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09" w:rsidRDefault="00BE6B86" w:rsidP="00A61B32">
      <w:pPr>
        <w:spacing w:line="240" w:lineRule="auto"/>
        <w:jc w:val="center"/>
        <w:rPr>
          <w:rFonts w:ascii="Arial" w:hAnsi="Arial" w:cs="Arial"/>
          <w:b/>
          <w:u w:val="single"/>
        </w:rPr>
      </w:pPr>
      <w:bookmarkStart w:id="0" w:name="_GoBack"/>
      <w:bookmarkEnd w:id="0"/>
      <w:r>
        <w:rPr>
          <w:rFonts w:ascii="Arial" w:hAnsi="Arial" w:cs="Arial"/>
          <w:b/>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CERlogo.jpg" style="width:132.85pt;height:81.3pt;visibility:visible">
            <v:imagedata r:id="rId9" o:title="CCERlogo"/>
          </v:shape>
        </w:pict>
      </w:r>
    </w:p>
    <w:p w:rsidR="004B4077" w:rsidRPr="00651CC0" w:rsidRDefault="00835AB2" w:rsidP="00651CC0">
      <w:pPr>
        <w:jc w:val="center"/>
        <w:rPr>
          <w:rFonts w:ascii="Arial" w:hAnsi="Arial" w:cs="Arial"/>
          <w:b/>
          <w:bCs/>
          <w:color w:val="C0504D"/>
          <w:sz w:val="28"/>
          <w:szCs w:val="28"/>
        </w:rPr>
      </w:pPr>
      <w:r>
        <w:rPr>
          <w:rFonts w:ascii="Arial" w:hAnsi="Arial" w:cs="Arial"/>
          <w:color w:val="632423"/>
        </w:rPr>
        <w:br/>
      </w:r>
      <w:r w:rsidR="004B4077" w:rsidRPr="00651CC0">
        <w:rPr>
          <w:rFonts w:ascii="Arial" w:hAnsi="Arial" w:cs="Arial"/>
          <w:b/>
          <w:bCs/>
          <w:color w:val="C0504D"/>
          <w:sz w:val="28"/>
          <w:szCs w:val="28"/>
        </w:rPr>
        <w:t>CATHOLIC COMMISSION</w:t>
      </w:r>
    </w:p>
    <w:p w:rsidR="004B4077" w:rsidRPr="00651CC0" w:rsidRDefault="006407B7" w:rsidP="00651CC0">
      <w:pPr>
        <w:jc w:val="center"/>
        <w:rPr>
          <w:rFonts w:ascii="Arial" w:hAnsi="Arial" w:cs="Arial"/>
          <w:b/>
          <w:bCs/>
          <w:color w:val="C0504D"/>
          <w:sz w:val="28"/>
          <w:szCs w:val="28"/>
        </w:rPr>
      </w:pPr>
      <w:r w:rsidRPr="00651CC0">
        <w:rPr>
          <w:rFonts w:ascii="Arial" w:hAnsi="Arial" w:cs="Arial"/>
          <w:b/>
          <w:bCs/>
          <w:color w:val="C0504D"/>
          <w:sz w:val="28"/>
          <w:szCs w:val="28"/>
        </w:rPr>
        <w:t xml:space="preserve">FOR </w:t>
      </w:r>
      <w:r w:rsidR="004B4077" w:rsidRPr="00651CC0">
        <w:rPr>
          <w:rFonts w:ascii="Arial" w:hAnsi="Arial" w:cs="Arial"/>
          <w:b/>
          <w:bCs/>
          <w:color w:val="C0504D"/>
          <w:sz w:val="28"/>
          <w:szCs w:val="28"/>
        </w:rPr>
        <w:t>EMPLOYMENT RELATIONS</w:t>
      </w:r>
    </w:p>
    <w:p w:rsidR="00E76358" w:rsidRPr="00651CC0" w:rsidRDefault="00E76358" w:rsidP="00651CC0">
      <w:pPr>
        <w:jc w:val="center"/>
        <w:rPr>
          <w:rFonts w:ascii="Arial" w:hAnsi="Arial" w:cs="Arial"/>
          <w:b/>
          <w:bCs/>
          <w:color w:val="C0504D"/>
          <w:sz w:val="28"/>
          <w:szCs w:val="28"/>
        </w:rPr>
      </w:pPr>
      <w:r w:rsidRPr="00651CC0">
        <w:rPr>
          <w:rFonts w:ascii="Arial" w:hAnsi="Arial" w:cs="Arial"/>
          <w:b/>
          <w:bCs/>
          <w:color w:val="C0504D"/>
          <w:sz w:val="28"/>
          <w:szCs w:val="28"/>
        </w:rPr>
        <w:t>SUBMISSION TO THE PRODUCTIVITY COMMISSION INQUIRY INTO THE WORKPLACE RELATIONS FRAMEWORK</w:t>
      </w:r>
    </w:p>
    <w:p w:rsidR="0004714A" w:rsidRPr="00651CC0" w:rsidRDefault="0004714A" w:rsidP="00651CC0">
      <w:pPr>
        <w:jc w:val="center"/>
        <w:rPr>
          <w:rFonts w:ascii="Arial" w:hAnsi="Arial" w:cs="Arial"/>
          <w:b/>
          <w:bCs/>
          <w:color w:val="C0504D"/>
          <w:sz w:val="28"/>
          <w:szCs w:val="28"/>
        </w:rPr>
      </w:pPr>
      <w:r w:rsidRPr="00651CC0">
        <w:rPr>
          <w:rFonts w:ascii="Arial" w:hAnsi="Arial" w:cs="Arial"/>
          <w:b/>
          <w:bCs/>
          <w:color w:val="C0504D"/>
          <w:sz w:val="28"/>
          <w:szCs w:val="28"/>
        </w:rPr>
        <w:t>MARCH 2015</w:t>
      </w:r>
    </w:p>
    <w:p w:rsidR="00E63B1F" w:rsidRPr="00835AB2" w:rsidRDefault="009A4F2A" w:rsidP="00E76358">
      <w:pPr>
        <w:jc w:val="center"/>
        <w:rPr>
          <w:rFonts w:ascii="Arial" w:hAnsi="Arial" w:cs="Arial"/>
          <w:color w:val="632423"/>
          <w:sz w:val="28"/>
          <w:szCs w:val="28"/>
        </w:rPr>
      </w:pPr>
      <w:r>
        <w:rPr>
          <w:rFonts w:ascii="Arial" w:hAnsi="Arial" w:cs="Arial"/>
          <w:color w:val="632423"/>
          <w:sz w:val="28"/>
          <w:szCs w:val="28"/>
        </w:rPr>
        <w:br/>
      </w:r>
    </w:p>
    <w:p w:rsidR="00835AB2" w:rsidRPr="00651CC0" w:rsidRDefault="00835AB2" w:rsidP="009A4F2A">
      <w:pPr>
        <w:pBdr>
          <w:bottom w:val="single" w:sz="4" w:space="1" w:color="auto"/>
        </w:pBdr>
        <w:rPr>
          <w:rFonts w:ascii="Arial" w:hAnsi="Arial" w:cs="Arial"/>
          <w:b/>
          <w:bCs/>
          <w:color w:val="C0504D"/>
          <w:sz w:val="28"/>
          <w:szCs w:val="28"/>
        </w:rPr>
      </w:pPr>
      <w:r>
        <w:rPr>
          <w:rFonts w:ascii="Arial" w:hAnsi="Arial" w:cs="Arial"/>
          <w:b/>
          <w:color w:val="1F497D"/>
          <w:sz w:val="21"/>
          <w:szCs w:val="21"/>
        </w:rPr>
        <w:br/>
      </w:r>
      <w:r w:rsidR="006407B7">
        <w:rPr>
          <w:rFonts w:ascii="Arial" w:hAnsi="Arial" w:cs="Arial"/>
          <w:color w:val="632423"/>
          <w:sz w:val="28"/>
          <w:szCs w:val="28"/>
        </w:rPr>
        <w:br/>
      </w:r>
      <w:r w:rsidRPr="00651CC0">
        <w:rPr>
          <w:rFonts w:ascii="Arial" w:hAnsi="Arial" w:cs="Arial"/>
          <w:b/>
          <w:bCs/>
          <w:color w:val="C0504D"/>
          <w:sz w:val="28"/>
          <w:szCs w:val="28"/>
        </w:rPr>
        <w:t>EXECUTIVE SUMMARY</w:t>
      </w:r>
    </w:p>
    <w:p w:rsidR="005A6475" w:rsidRPr="00AD4CEE" w:rsidRDefault="005A6475" w:rsidP="005A6475">
      <w:pPr>
        <w:rPr>
          <w:rFonts w:ascii="Arial" w:hAnsi="Arial" w:cs="Arial"/>
        </w:rPr>
      </w:pPr>
      <w:r w:rsidRPr="00AD4CEE">
        <w:rPr>
          <w:rFonts w:ascii="Arial" w:hAnsi="Arial" w:cs="Arial"/>
        </w:rPr>
        <w:t xml:space="preserve">The context of </w:t>
      </w:r>
      <w:r w:rsidR="009F3336">
        <w:rPr>
          <w:rFonts w:ascii="Arial" w:hAnsi="Arial" w:cs="Arial"/>
        </w:rPr>
        <w:t xml:space="preserve">the </w:t>
      </w:r>
      <w:r w:rsidRPr="00E022C2">
        <w:rPr>
          <w:rFonts w:ascii="Arial" w:hAnsi="Arial" w:cs="Arial"/>
        </w:rPr>
        <w:t>Catholic Commission for Employment Relations</w:t>
      </w:r>
      <w:r>
        <w:rPr>
          <w:rFonts w:ascii="Arial" w:hAnsi="Arial" w:cs="Arial"/>
        </w:rPr>
        <w:t xml:space="preserve"> </w:t>
      </w:r>
      <w:r w:rsidR="00FB2371">
        <w:rPr>
          <w:rFonts w:ascii="Arial" w:hAnsi="Arial" w:cs="Arial"/>
        </w:rPr>
        <w:t xml:space="preserve">(CCER) </w:t>
      </w:r>
      <w:r w:rsidRPr="00AD4CEE">
        <w:rPr>
          <w:rFonts w:ascii="Arial" w:hAnsi="Arial" w:cs="Arial"/>
        </w:rPr>
        <w:t>submission is to provide a perspective on some key elements of the workplace relations framework</w:t>
      </w:r>
      <w:r w:rsidR="00967F46">
        <w:rPr>
          <w:rFonts w:ascii="Arial" w:hAnsi="Arial" w:cs="Arial"/>
        </w:rPr>
        <w:t xml:space="preserve"> and </w:t>
      </w:r>
      <w:r w:rsidR="00967F46" w:rsidRPr="00967F46">
        <w:rPr>
          <w:rFonts w:ascii="Arial" w:hAnsi="Arial" w:cs="Arial"/>
          <w:i/>
        </w:rPr>
        <w:t>Fair Work Act 2009</w:t>
      </w:r>
      <w:r w:rsidR="00967F46">
        <w:rPr>
          <w:rFonts w:ascii="Arial" w:hAnsi="Arial" w:cs="Arial"/>
        </w:rPr>
        <w:t xml:space="preserve"> (FW Act</w:t>
      </w:r>
      <w:r w:rsidR="00EF4D68">
        <w:rPr>
          <w:rFonts w:ascii="Arial" w:hAnsi="Arial" w:cs="Arial"/>
        </w:rPr>
        <w:t xml:space="preserve">) </w:t>
      </w:r>
      <w:r w:rsidR="00EF4D68" w:rsidRPr="00AD4CEE">
        <w:rPr>
          <w:rFonts w:ascii="Arial" w:hAnsi="Arial" w:cs="Arial"/>
        </w:rPr>
        <w:t>based</w:t>
      </w:r>
      <w:r w:rsidRPr="00AD4CEE">
        <w:rPr>
          <w:rFonts w:ascii="Arial" w:hAnsi="Arial" w:cs="Arial"/>
        </w:rPr>
        <w:t xml:space="preserve"> on the principles of Catholic social teaching,</w:t>
      </w:r>
      <w:r w:rsidRPr="00AD4CEE">
        <w:t> </w:t>
      </w:r>
      <w:r w:rsidRPr="00AD4CEE">
        <w:rPr>
          <w:rFonts w:ascii="Arial" w:hAnsi="Arial" w:cs="Arial"/>
        </w:rPr>
        <w:t xml:space="preserve">balanced with the mindfulness that our </w:t>
      </w:r>
      <w:r w:rsidR="001537C7">
        <w:rPr>
          <w:rFonts w:ascii="Arial" w:hAnsi="Arial" w:cs="Arial"/>
        </w:rPr>
        <w:t>members</w:t>
      </w:r>
      <w:r w:rsidRPr="00AD4CEE">
        <w:rPr>
          <w:rFonts w:ascii="Arial" w:hAnsi="Arial" w:cs="Arial"/>
        </w:rPr>
        <w:t xml:space="preserve"> are employers who need to run viable businesses so that they can continue to serve the community. </w:t>
      </w:r>
    </w:p>
    <w:p w:rsidR="004B4077" w:rsidRDefault="00FB2371" w:rsidP="005A6475">
      <w:pPr>
        <w:rPr>
          <w:rFonts w:ascii="Arial" w:hAnsi="Arial" w:cs="Arial"/>
        </w:rPr>
      </w:pPr>
      <w:r>
        <w:rPr>
          <w:rFonts w:ascii="Arial" w:hAnsi="Arial" w:cs="Arial"/>
        </w:rPr>
        <w:t xml:space="preserve">CCER </w:t>
      </w:r>
      <w:r w:rsidRPr="00E022C2">
        <w:rPr>
          <w:rFonts w:ascii="Arial" w:hAnsi="Arial" w:cs="Arial"/>
        </w:rPr>
        <w:t>advise</w:t>
      </w:r>
      <w:r>
        <w:rPr>
          <w:rFonts w:ascii="Arial" w:hAnsi="Arial" w:cs="Arial"/>
        </w:rPr>
        <w:t>s</w:t>
      </w:r>
      <w:r w:rsidRPr="00E022C2">
        <w:rPr>
          <w:rFonts w:ascii="Arial" w:hAnsi="Arial" w:cs="Arial"/>
        </w:rPr>
        <w:t xml:space="preserve"> and represent</w:t>
      </w:r>
      <w:r w:rsidR="00F750E3">
        <w:rPr>
          <w:rFonts w:ascii="Arial" w:hAnsi="Arial" w:cs="Arial"/>
        </w:rPr>
        <w:t>s</w:t>
      </w:r>
      <w:r w:rsidRPr="00E022C2">
        <w:rPr>
          <w:rFonts w:ascii="Arial" w:hAnsi="Arial" w:cs="Arial"/>
        </w:rPr>
        <w:t xml:space="preserve"> the interests of Catholic employers in NSW and the ACT on a broad range of employment relations and human resource issues</w:t>
      </w:r>
      <w:r>
        <w:rPr>
          <w:rFonts w:ascii="Arial" w:hAnsi="Arial" w:cs="Arial"/>
        </w:rPr>
        <w:t xml:space="preserve">. </w:t>
      </w:r>
      <w:r w:rsidR="00F750E3">
        <w:rPr>
          <w:rFonts w:ascii="Arial" w:hAnsi="Arial" w:cs="Arial"/>
        </w:rPr>
        <w:t>T</w:t>
      </w:r>
      <w:r w:rsidR="005A6475">
        <w:rPr>
          <w:rFonts w:ascii="Arial" w:hAnsi="Arial" w:cs="Arial"/>
        </w:rPr>
        <w:t xml:space="preserve">he </w:t>
      </w:r>
      <w:r w:rsidR="005A6475" w:rsidRPr="00E022C2">
        <w:rPr>
          <w:rFonts w:ascii="Arial" w:hAnsi="Arial" w:cs="Arial"/>
        </w:rPr>
        <w:t xml:space="preserve">Australian </w:t>
      </w:r>
      <w:r w:rsidR="005A6475">
        <w:rPr>
          <w:rFonts w:ascii="Arial" w:hAnsi="Arial" w:cs="Arial"/>
        </w:rPr>
        <w:t xml:space="preserve">Catholic </w:t>
      </w:r>
      <w:r w:rsidR="005A6475" w:rsidRPr="00E022C2">
        <w:rPr>
          <w:rFonts w:ascii="Arial" w:hAnsi="Arial" w:cs="Arial"/>
        </w:rPr>
        <w:t xml:space="preserve">Council for Employment Relations </w:t>
      </w:r>
      <w:r>
        <w:rPr>
          <w:rFonts w:ascii="Arial" w:hAnsi="Arial" w:cs="Arial"/>
        </w:rPr>
        <w:t xml:space="preserve">(ACCER) </w:t>
      </w:r>
      <w:r w:rsidR="005A6475" w:rsidRPr="005A6475">
        <w:rPr>
          <w:rFonts w:ascii="Arial" w:hAnsi="Arial" w:cs="Arial"/>
        </w:rPr>
        <w:t>has long publically advocated on behalf of low paid employees and their families and in particular, that work which pays a decent wage will promote proper care of children, family stability and social inclusion, in accordance with Catholic social teaching. Furthermore, this advocacy is informed by the Catholic Church’s experience as a major employer, with over 180,000 employees in health, aged care, education, welfare and administration across Australia</w:t>
      </w:r>
      <w:r w:rsidR="005A6475">
        <w:rPr>
          <w:rFonts w:ascii="Arial" w:hAnsi="Arial" w:cs="Arial"/>
        </w:rPr>
        <w:t>.</w:t>
      </w:r>
    </w:p>
    <w:p w:rsidR="00071C38" w:rsidRPr="00516275" w:rsidRDefault="00516275" w:rsidP="002F366A">
      <w:pPr>
        <w:rPr>
          <w:rFonts w:ascii="Arial" w:hAnsi="Arial" w:cs="Arial"/>
        </w:rPr>
      </w:pPr>
      <w:r w:rsidRPr="00E022C2">
        <w:rPr>
          <w:rFonts w:ascii="Arial" w:hAnsi="Arial" w:cs="Arial"/>
        </w:rPr>
        <w:t>The application of Catholic social teaching to work and the employment relations framework has been extensively considered by the Australian Catholic Bishops Conference</w:t>
      </w:r>
      <w:r>
        <w:rPr>
          <w:rFonts w:ascii="Arial" w:hAnsi="Arial" w:cs="Arial"/>
        </w:rPr>
        <w:t>.</w:t>
      </w:r>
      <w:r w:rsidR="006571A4">
        <w:rPr>
          <w:rFonts w:ascii="Arial" w:hAnsi="Arial" w:cs="Arial"/>
        </w:rPr>
        <w:t xml:space="preserve"> </w:t>
      </w:r>
      <w:r>
        <w:rPr>
          <w:rFonts w:ascii="Arial" w:hAnsi="Arial" w:cs="Arial"/>
        </w:rPr>
        <w:t xml:space="preserve">In its 2005 Statement the Bishops outlined key </w:t>
      </w:r>
      <w:r w:rsidR="00A05C26">
        <w:rPr>
          <w:rFonts w:ascii="Arial" w:hAnsi="Arial" w:cs="Arial"/>
        </w:rPr>
        <w:t>principles</w:t>
      </w:r>
      <w:r w:rsidR="00F750E3">
        <w:rPr>
          <w:rFonts w:ascii="Arial" w:hAnsi="Arial" w:cs="Arial"/>
        </w:rPr>
        <w:t xml:space="preserve"> </w:t>
      </w:r>
      <w:r w:rsidR="002F366A">
        <w:rPr>
          <w:rFonts w:ascii="Arial" w:hAnsi="Arial" w:cs="Arial"/>
        </w:rPr>
        <w:t xml:space="preserve">including that: </w:t>
      </w:r>
      <w:r w:rsidRPr="00516275">
        <w:rPr>
          <w:rFonts w:ascii="Arial" w:hAnsi="Arial" w:cs="Arial"/>
        </w:rPr>
        <w:t>g</w:t>
      </w:r>
      <w:r w:rsidR="00D320E2" w:rsidRPr="00516275">
        <w:rPr>
          <w:rFonts w:ascii="Arial" w:hAnsi="Arial" w:cs="Arial"/>
        </w:rPr>
        <w:t xml:space="preserve">overnments </w:t>
      </w:r>
      <w:r w:rsidRPr="00516275">
        <w:rPr>
          <w:rFonts w:ascii="Arial" w:hAnsi="Arial" w:cs="Arial"/>
        </w:rPr>
        <w:t xml:space="preserve">are </w:t>
      </w:r>
      <w:r w:rsidR="00D320E2" w:rsidRPr="00516275">
        <w:rPr>
          <w:rFonts w:ascii="Arial" w:hAnsi="Arial" w:cs="Arial"/>
        </w:rPr>
        <w:t xml:space="preserve">responsible for integrating economic growth </w:t>
      </w:r>
      <w:r w:rsidR="006571A4">
        <w:rPr>
          <w:rFonts w:ascii="Arial" w:hAnsi="Arial" w:cs="Arial"/>
        </w:rPr>
        <w:t>and</w:t>
      </w:r>
      <w:r w:rsidR="00D320E2" w:rsidRPr="00516275">
        <w:rPr>
          <w:rFonts w:ascii="Arial" w:hAnsi="Arial" w:cs="Arial"/>
        </w:rPr>
        <w:t xml:space="preserve"> social justice to ensure proper balance between </w:t>
      </w:r>
      <w:r>
        <w:rPr>
          <w:rFonts w:ascii="Arial" w:hAnsi="Arial" w:cs="Arial"/>
        </w:rPr>
        <w:t xml:space="preserve">the </w:t>
      </w:r>
      <w:r w:rsidR="00D320E2" w:rsidRPr="00516275">
        <w:rPr>
          <w:rFonts w:ascii="Arial" w:hAnsi="Arial" w:cs="Arial"/>
        </w:rPr>
        <w:t>rights of employers</w:t>
      </w:r>
      <w:r w:rsidR="004C19FB">
        <w:rPr>
          <w:rFonts w:ascii="Arial" w:hAnsi="Arial" w:cs="Arial"/>
        </w:rPr>
        <w:t xml:space="preserve"> and </w:t>
      </w:r>
      <w:r w:rsidR="00D320E2" w:rsidRPr="00516275">
        <w:rPr>
          <w:rFonts w:ascii="Arial" w:hAnsi="Arial" w:cs="Arial"/>
        </w:rPr>
        <w:t>workers</w:t>
      </w:r>
      <w:r>
        <w:rPr>
          <w:rFonts w:ascii="Arial" w:hAnsi="Arial" w:cs="Arial"/>
        </w:rPr>
        <w:t>;</w:t>
      </w:r>
      <w:r w:rsidR="002F366A">
        <w:rPr>
          <w:rFonts w:ascii="Arial" w:hAnsi="Arial" w:cs="Arial"/>
        </w:rPr>
        <w:t xml:space="preserve"> </w:t>
      </w:r>
      <w:r>
        <w:rPr>
          <w:rFonts w:ascii="Arial" w:hAnsi="Arial" w:cs="Arial"/>
        </w:rPr>
        <w:t>w</w:t>
      </w:r>
      <w:r w:rsidR="00D320E2" w:rsidRPr="00516275">
        <w:rPr>
          <w:rFonts w:ascii="Arial" w:hAnsi="Arial" w:cs="Arial"/>
        </w:rPr>
        <w:t>orkers are entitled to just wages that support a family</w:t>
      </w:r>
      <w:r>
        <w:rPr>
          <w:rFonts w:ascii="Arial" w:hAnsi="Arial" w:cs="Arial"/>
        </w:rPr>
        <w:t>;</w:t>
      </w:r>
      <w:r w:rsidR="002F366A">
        <w:rPr>
          <w:rFonts w:ascii="Arial" w:hAnsi="Arial" w:cs="Arial"/>
        </w:rPr>
        <w:t xml:space="preserve"> </w:t>
      </w:r>
      <w:r w:rsidRPr="00516275">
        <w:rPr>
          <w:rFonts w:ascii="Arial" w:hAnsi="Arial" w:cs="Arial"/>
        </w:rPr>
        <w:t>m</w:t>
      </w:r>
      <w:r w:rsidR="00D320E2" w:rsidRPr="00516275">
        <w:rPr>
          <w:rFonts w:ascii="Arial" w:hAnsi="Arial" w:cs="Arial"/>
        </w:rPr>
        <w:t>inimum conditions should be p</w:t>
      </w:r>
      <w:r w:rsidRPr="00516275">
        <w:rPr>
          <w:rFonts w:ascii="Arial" w:hAnsi="Arial" w:cs="Arial"/>
        </w:rPr>
        <w:t>rotected from unfair bargaining and w</w:t>
      </w:r>
      <w:r w:rsidR="00D320E2" w:rsidRPr="00516275">
        <w:rPr>
          <w:rFonts w:ascii="Arial" w:hAnsi="Arial" w:cs="Arial"/>
        </w:rPr>
        <w:t>orkers’ family responsibilities should be properly recognised</w:t>
      </w:r>
      <w:r>
        <w:rPr>
          <w:rFonts w:ascii="Arial" w:hAnsi="Arial" w:cs="Arial"/>
        </w:rPr>
        <w:t>;</w:t>
      </w:r>
      <w:r w:rsidR="002F366A">
        <w:rPr>
          <w:rFonts w:ascii="Arial" w:hAnsi="Arial" w:cs="Arial"/>
        </w:rPr>
        <w:t xml:space="preserve"> </w:t>
      </w:r>
      <w:r w:rsidRPr="00516275">
        <w:rPr>
          <w:rFonts w:ascii="Arial" w:hAnsi="Arial" w:cs="Arial"/>
        </w:rPr>
        <w:t>w</w:t>
      </w:r>
      <w:r w:rsidR="00D320E2" w:rsidRPr="00516275">
        <w:rPr>
          <w:rFonts w:ascii="Arial" w:hAnsi="Arial" w:cs="Arial"/>
        </w:rPr>
        <w:t xml:space="preserve">orkers should have security of employment  </w:t>
      </w:r>
      <w:r w:rsidR="006571A4">
        <w:rPr>
          <w:rFonts w:ascii="Arial" w:hAnsi="Arial" w:cs="Arial"/>
        </w:rPr>
        <w:t>and</w:t>
      </w:r>
      <w:r w:rsidR="00D320E2" w:rsidRPr="00516275">
        <w:rPr>
          <w:rFonts w:ascii="Arial" w:hAnsi="Arial" w:cs="Arial"/>
        </w:rPr>
        <w:t xml:space="preserve"> redress against arbitrary dismissal</w:t>
      </w:r>
      <w:r w:rsidRPr="00516275">
        <w:rPr>
          <w:rFonts w:ascii="Arial" w:hAnsi="Arial" w:cs="Arial"/>
        </w:rPr>
        <w:t>; and w</w:t>
      </w:r>
      <w:r w:rsidR="00D320E2" w:rsidRPr="00516275">
        <w:rPr>
          <w:rFonts w:ascii="Arial" w:hAnsi="Arial" w:cs="Arial"/>
        </w:rPr>
        <w:t>orkers have rights to advance</w:t>
      </w:r>
      <w:r>
        <w:rPr>
          <w:rFonts w:ascii="Arial" w:hAnsi="Arial" w:cs="Arial"/>
        </w:rPr>
        <w:t xml:space="preserve"> their interests through unions.</w:t>
      </w:r>
    </w:p>
    <w:p w:rsidR="00516275" w:rsidRDefault="004C19FB" w:rsidP="00A80155">
      <w:pPr>
        <w:rPr>
          <w:rFonts w:ascii="Arial" w:hAnsi="Arial" w:cs="Arial"/>
        </w:rPr>
      </w:pPr>
      <w:r>
        <w:rPr>
          <w:rFonts w:ascii="Arial" w:hAnsi="Arial" w:cs="Arial"/>
        </w:rPr>
        <w:lastRenderedPageBreak/>
        <w:t xml:space="preserve">Consistent with Catholic social teaching </w:t>
      </w:r>
      <w:r w:rsidR="000B27E7">
        <w:rPr>
          <w:rFonts w:ascii="Arial" w:hAnsi="Arial" w:cs="Arial"/>
        </w:rPr>
        <w:t>CCER strongly supp</w:t>
      </w:r>
      <w:r w:rsidR="00516275" w:rsidRPr="00AD4CEE">
        <w:rPr>
          <w:rFonts w:ascii="Arial" w:hAnsi="Arial" w:cs="Arial"/>
        </w:rPr>
        <w:t>or</w:t>
      </w:r>
      <w:r w:rsidR="00844D9C">
        <w:rPr>
          <w:rFonts w:ascii="Arial" w:hAnsi="Arial" w:cs="Arial"/>
        </w:rPr>
        <w:t>t</w:t>
      </w:r>
      <w:r w:rsidR="000B27E7">
        <w:rPr>
          <w:rFonts w:ascii="Arial" w:hAnsi="Arial" w:cs="Arial"/>
        </w:rPr>
        <w:t>s</w:t>
      </w:r>
      <w:r w:rsidR="00516275" w:rsidRPr="00AD4CEE">
        <w:rPr>
          <w:rFonts w:ascii="Arial" w:hAnsi="Arial" w:cs="Arial"/>
        </w:rPr>
        <w:t xml:space="preserve"> a safety net of fair and equitable conditions with particular focus on just minimum wages and fair compensation for working unsociable hours</w:t>
      </w:r>
      <w:r w:rsidR="00A80155">
        <w:rPr>
          <w:rFonts w:ascii="Arial" w:hAnsi="Arial" w:cs="Arial"/>
        </w:rPr>
        <w:t>.</w:t>
      </w:r>
      <w:r>
        <w:rPr>
          <w:rFonts w:ascii="Arial" w:hAnsi="Arial" w:cs="Arial"/>
        </w:rPr>
        <w:t xml:space="preserve"> </w:t>
      </w:r>
    </w:p>
    <w:p w:rsidR="00071C38" w:rsidRPr="00DC1CB8" w:rsidRDefault="0063451C" w:rsidP="00DC1CB8">
      <w:pPr>
        <w:rPr>
          <w:rFonts w:ascii="Arial" w:hAnsi="Arial" w:cs="Arial"/>
        </w:rPr>
      </w:pPr>
      <w:r>
        <w:rPr>
          <w:rFonts w:ascii="Arial" w:hAnsi="Arial" w:cs="Arial"/>
        </w:rPr>
        <w:t>CCE</w:t>
      </w:r>
      <w:r w:rsidR="00003F12">
        <w:rPr>
          <w:rFonts w:ascii="Arial" w:hAnsi="Arial" w:cs="Arial"/>
        </w:rPr>
        <w:t>R</w:t>
      </w:r>
      <w:r>
        <w:rPr>
          <w:rFonts w:ascii="Arial" w:hAnsi="Arial" w:cs="Arial"/>
        </w:rPr>
        <w:t xml:space="preserve"> supports </w:t>
      </w:r>
      <w:r w:rsidR="00003F12">
        <w:rPr>
          <w:rFonts w:ascii="Arial" w:hAnsi="Arial" w:cs="Arial"/>
        </w:rPr>
        <w:t>the payment of min</w:t>
      </w:r>
      <w:r w:rsidR="003E3545">
        <w:rPr>
          <w:rFonts w:ascii="Arial" w:hAnsi="Arial" w:cs="Arial"/>
        </w:rPr>
        <w:t>i</w:t>
      </w:r>
      <w:r w:rsidR="00003F12">
        <w:rPr>
          <w:rFonts w:ascii="Arial" w:hAnsi="Arial" w:cs="Arial"/>
        </w:rPr>
        <w:t>mum wages</w:t>
      </w:r>
      <w:r w:rsidR="003E3545">
        <w:rPr>
          <w:rFonts w:ascii="Arial" w:hAnsi="Arial" w:cs="Arial"/>
        </w:rPr>
        <w:t xml:space="preserve"> - what may be termed a </w:t>
      </w:r>
      <w:r w:rsidR="00947B82">
        <w:rPr>
          <w:rFonts w:ascii="Arial" w:hAnsi="Arial" w:cs="Arial"/>
        </w:rPr>
        <w:t>‘</w:t>
      </w:r>
      <w:r w:rsidR="003E3545" w:rsidRPr="003E3545">
        <w:rPr>
          <w:rFonts w:ascii="Arial" w:hAnsi="Arial" w:cs="Arial"/>
          <w:i/>
        </w:rPr>
        <w:t>living wage</w:t>
      </w:r>
      <w:r w:rsidR="00601048">
        <w:rPr>
          <w:rFonts w:ascii="Arial" w:hAnsi="Arial" w:cs="Arial"/>
          <w:i/>
        </w:rPr>
        <w:t>’</w:t>
      </w:r>
      <w:r w:rsidR="003E3545">
        <w:rPr>
          <w:rFonts w:ascii="Arial" w:hAnsi="Arial" w:cs="Arial"/>
        </w:rPr>
        <w:t xml:space="preserve">- </w:t>
      </w:r>
      <w:r w:rsidR="00D320E2" w:rsidRPr="0063451C">
        <w:rPr>
          <w:rFonts w:ascii="Arial" w:hAnsi="Arial" w:cs="Arial"/>
        </w:rPr>
        <w:t xml:space="preserve">that </w:t>
      </w:r>
      <w:r w:rsidR="00003F12">
        <w:rPr>
          <w:rFonts w:ascii="Arial" w:hAnsi="Arial" w:cs="Arial"/>
        </w:rPr>
        <w:t xml:space="preserve">enable a worker and their family to achieve a decent standard of living, not </w:t>
      </w:r>
      <w:r w:rsidR="003E3545">
        <w:rPr>
          <w:rFonts w:ascii="Arial" w:hAnsi="Arial" w:cs="Arial"/>
        </w:rPr>
        <w:t xml:space="preserve">wages </w:t>
      </w:r>
      <w:r w:rsidR="00003F12">
        <w:rPr>
          <w:rFonts w:ascii="Arial" w:hAnsi="Arial" w:cs="Arial"/>
        </w:rPr>
        <w:t xml:space="preserve">merely </w:t>
      </w:r>
      <w:r w:rsidR="00DC332E">
        <w:rPr>
          <w:rFonts w:ascii="Arial" w:hAnsi="Arial" w:cs="Arial"/>
        </w:rPr>
        <w:t>sufficient to</w:t>
      </w:r>
      <w:r w:rsidR="00003F12">
        <w:rPr>
          <w:rFonts w:ascii="Arial" w:hAnsi="Arial" w:cs="Arial"/>
        </w:rPr>
        <w:t xml:space="preserve"> avoid poverty. </w:t>
      </w:r>
      <w:r w:rsidR="00DC1CB8">
        <w:rPr>
          <w:rFonts w:ascii="Arial" w:hAnsi="Arial" w:cs="Arial"/>
        </w:rPr>
        <w:t>As advocated by ACCER, m</w:t>
      </w:r>
      <w:r w:rsidR="00D320E2" w:rsidRPr="00DC1CB8">
        <w:rPr>
          <w:rFonts w:ascii="Arial" w:hAnsi="Arial" w:cs="Arial"/>
        </w:rPr>
        <w:t>inimum wages should be fixed by reference to community living standards to meet the needs of a family (couple or sole parent with</w:t>
      </w:r>
      <w:r w:rsidR="00DC1CB8">
        <w:rPr>
          <w:rFonts w:ascii="Arial" w:hAnsi="Arial" w:cs="Arial"/>
        </w:rPr>
        <w:t xml:space="preserve"> two</w:t>
      </w:r>
      <w:r w:rsidR="00D320E2" w:rsidRPr="00DC1CB8">
        <w:rPr>
          <w:rFonts w:ascii="Arial" w:hAnsi="Arial" w:cs="Arial"/>
        </w:rPr>
        <w:t xml:space="preserve"> children) not a single person</w:t>
      </w:r>
      <w:r w:rsidR="00DC1CB8">
        <w:rPr>
          <w:rFonts w:ascii="Arial" w:hAnsi="Arial" w:cs="Arial"/>
        </w:rPr>
        <w:t>.</w:t>
      </w:r>
      <w:r w:rsidR="00D320E2" w:rsidRPr="00DC1CB8">
        <w:rPr>
          <w:rFonts w:ascii="Arial" w:hAnsi="Arial" w:cs="Arial"/>
        </w:rPr>
        <w:t xml:space="preserve"> </w:t>
      </w:r>
    </w:p>
    <w:p w:rsidR="00A4640F" w:rsidRDefault="00C10FC4" w:rsidP="00A4640F">
      <w:pPr>
        <w:rPr>
          <w:rFonts w:ascii="Arial" w:hAnsi="Arial" w:cs="Arial"/>
        </w:rPr>
      </w:pPr>
      <w:r>
        <w:rPr>
          <w:rFonts w:ascii="Arial" w:hAnsi="Arial" w:cs="Arial"/>
        </w:rPr>
        <w:t>CCER is greatly concerned at the i</w:t>
      </w:r>
      <w:r w:rsidRPr="00242331">
        <w:rPr>
          <w:rFonts w:ascii="Arial" w:hAnsi="Arial" w:cs="Arial"/>
        </w:rPr>
        <w:t xml:space="preserve">ncreasing inadequacy of the existing safety net and the growing levels of inequality and poverty for </w:t>
      </w:r>
      <w:r w:rsidR="00A4640F">
        <w:rPr>
          <w:rFonts w:ascii="Arial" w:hAnsi="Arial" w:cs="Arial"/>
        </w:rPr>
        <w:t xml:space="preserve">the approximately one-fifth of </w:t>
      </w:r>
      <w:r w:rsidR="00DC332E">
        <w:rPr>
          <w:rFonts w:ascii="Arial" w:hAnsi="Arial" w:cs="Arial"/>
        </w:rPr>
        <w:t>Australian</w:t>
      </w:r>
      <w:r w:rsidR="00A4640F">
        <w:rPr>
          <w:rFonts w:ascii="Arial" w:hAnsi="Arial" w:cs="Arial"/>
        </w:rPr>
        <w:t xml:space="preserve"> </w:t>
      </w:r>
      <w:r w:rsidRPr="00242331">
        <w:rPr>
          <w:rFonts w:ascii="Arial" w:hAnsi="Arial" w:cs="Arial"/>
        </w:rPr>
        <w:t>minimum wage dependent employees</w:t>
      </w:r>
      <w:r w:rsidR="00DD3E9E">
        <w:rPr>
          <w:rFonts w:ascii="Arial" w:hAnsi="Arial" w:cs="Arial"/>
        </w:rPr>
        <w:t>.</w:t>
      </w:r>
    </w:p>
    <w:p w:rsidR="00071C38" w:rsidRPr="00C10FC4" w:rsidRDefault="00A4640F" w:rsidP="00B82C4E">
      <w:pPr>
        <w:tabs>
          <w:tab w:val="num" w:pos="2160"/>
        </w:tabs>
        <w:rPr>
          <w:rFonts w:ascii="Arial" w:hAnsi="Arial" w:cs="Arial"/>
        </w:rPr>
      </w:pPr>
      <w:r>
        <w:rPr>
          <w:rFonts w:ascii="Arial" w:hAnsi="Arial" w:cs="Arial"/>
        </w:rPr>
        <w:t xml:space="preserve">The wages of these workers are </w:t>
      </w:r>
      <w:r w:rsidRPr="001E08E2">
        <w:rPr>
          <w:rFonts w:ascii="Arial" w:hAnsi="Arial" w:cs="Arial"/>
        </w:rPr>
        <w:t>falling behind community wide average wage movements</w:t>
      </w:r>
      <w:r>
        <w:rPr>
          <w:rFonts w:ascii="Arial" w:hAnsi="Arial" w:cs="Arial"/>
        </w:rPr>
        <w:t xml:space="preserve">. Alarmingly, the fall in the relative value of minimum wages has caused </w:t>
      </w:r>
      <w:r w:rsidR="00D320E2" w:rsidRPr="00C10FC4">
        <w:rPr>
          <w:rFonts w:ascii="Arial" w:hAnsi="Arial" w:cs="Arial"/>
        </w:rPr>
        <w:t xml:space="preserve">rising </w:t>
      </w:r>
      <w:r>
        <w:rPr>
          <w:rFonts w:ascii="Arial" w:hAnsi="Arial" w:cs="Arial"/>
        </w:rPr>
        <w:t xml:space="preserve">poverty </w:t>
      </w:r>
      <w:r w:rsidR="00D320E2" w:rsidRPr="00C10FC4">
        <w:rPr>
          <w:rFonts w:ascii="Arial" w:hAnsi="Arial" w:cs="Arial"/>
        </w:rPr>
        <w:t xml:space="preserve">among low paid workers </w:t>
      </w:r>
      <w:r>
        <w:rPr>
          <w:rFonts w:ascii="Arial" w:hAnsi="Arial" w:cs="Arial"/>
        </w:rPr>
        <w:t>–</w:t>
      </w:r>
      <w:r w:rsidR="00D320E2" w:rsidRPr="00C10FC4">
        <w:rPr>
          <w:rFonts w:ascii="Arial" w:hAnsi="Arial" w:cs="Arial"/>
        </w:rPr>
        <w:t xml:space="preserve"> </w:t>
      </w:r>
      <w:r>
        <w:rPr>
          <w:rFonts w:ascii="Arial" w:hAnsi="Arial" w:cs="Arial"/>
        </w:rPr>
        <w:t xml:space="preserve">the </w:t>
      </w:r>
      <w:r w:rsidR="00947B82">
        <w:rPr>
          <w:rFonts w:ascii="Arial" w:hAnsi="Arial" w:cs="Arial"/>
        </w:rPr>
        <w:t>‘</w:t>
      </w:r>
      <w:r w:rsidRPr="00947B82">
        <w:rPr>
          <w:rFonts w:ascii="Arial" w:hAnsi="Arial" w:cs="Arial"/>
          <w:i/>
        </w:rPr>
        <w:t>working poor</w:t>
      </w:r>
      <w:r w:rsidR="00947B82">
        <w:rPr>
          <w:rFonts w:ascii="Arial" w:hAnsi="Arial" w:cs="Arial"/>
          <w:i/>
        </w:rPr>
        <w:t>’</w:t>
      </w:r>
      <w:r w:rsidR="00B82C4E">
        <w:rPr>
          <w:rFonts w:ascii="Arial" w:hAnsi="Arial" w:cs="Arial"/>
          <w:i/>
        </w:rPr>
        <w:t xml:space="preserve"> – </w:t>
      </w:r>
      <w:r w:rsidR="00B82C4E" w:rsidRPr="00B82C4E">
        <w:rPr>
          <w:rFonts w:ascii="Arial" w:hAnsi="Arial" w:cs="Arial"/>
        </w:rPr>
        <w:t>and has not been ma</w:t>
      </w:r>
      <w:r w:rsidR="00D320E2" w:rsidRPr="00B82C4E">
        <w:rPr>
          <w:rFonts w:ascii="Arial" w:hAnsi="Arial" w:cs="Arial"/>
        </w:rPr>
        <w:t>tched</w:t>
      </w:r>
      <w:r w:rsidR="00D320E2" w:rsidRPr="00C10FC4">
        <w:rPr>
          <w:rFonts w:ascii="Arial" w:hAnsi="Arial" w:cs="Arial"/>
        </w:rPr>
        <w:t xml:space="preserve"> by increases in family and tax transfers</w:t>
      </w:r>
      <w:r w:rsidR="00B82C4E">
        <w:rPr>
          <w:rFonts w:ascii="Arial" w:hAnsi="Arial" w:cs="Arial"/>
        </w:rPr>
        <w:t>.</w:t>
      </w:r>
    </w:p>
    <w:p w:rsidR="00071C38" w:rsidRPr="00A07566" w:rsidRDefault="002C53B1" w:rsidP="0079791C">
      <w:pPr>
        <w:rPr>
          <w:rFonts w:ascii="Arial" w:hAnsi="Arial" w:cs="Arial"/>
        </w:rPr>
      </w:pPr>
      <w:r>
        <w:rPr>
          <w:rFonts w:ascii="Arial" w:hAnsi="Arial" w:cs="Arial"/>
        </w:rPr>
        <w:t>L</w:t>
      </w:r>
      <w:r w:rsidRPr="00C22168">
        <w:rPr>
          <w:rFonts w:ascii="Arial" w:hAnsi="Arial" w:cs="Arial"/>
        </w:rPr>
        <w:t xml:space="preserve">abour market flexibility does not require the reduction of wages and other basic conditions of </w:t>
      </w:r>
      <w:r w:rsidR="000F514F" w:rsidRPr="00C22168">
        <w:rPr>
          <w:rFonts w:ascii="Arial" w:hAnsi="Arial" w:cs="Arial"/>
        </w:rPr>
        <w:t>employment</w:t>
      </w:r>
      <w:r w:rsidR="000F514F">
        <w:rPr>
          <w:rFonts w:ascii="Arial" w:hAnsi="Arial" w:cs="Arial"/>
        </w:rPr>
        <w:t>, which</w:t>
      </w:r>
      <w:r>
        <w:rPr>
          <w:rFonts w:ascii="Arial" w:hAnsi="Arial" w:cs="Arial"/>
        </w:rPr>
        <w:t xml:space="preserve"> would </w:t>
      </w:r>
      <w:r w:rsidRPr="00C22168">
        <w:rPr>
          <w:rFonts w:ascii="Arial" w:hAnsi="Arial" w:cs="Arial"/>
        </w:rPr>
        <w:t>impose the burden of economic adjustment on low paid and vulnerable workers.</w:t>
      </w:r>
      <w:r w:rsidR="00E82600">
        <w:rPr>
          <w:rFonts w:ascii="Arial" w:hAnsi="Arial" w:cs="Arial"/>
        </w:rPr>
        <w:t xml:space="preserve"> </w:t>
      </w:r>
      <w:r w:rsidR="0079791C">
        <w:rPr>
          <w:rFonts w:ascii="Arial" w:hAnsi="Arial" w:cs="Arial"/>
        </w:rPr>
        <w:t>Other strategies are required to increase productivity such as skill development and targeted support to assist the unemployed.</w:t>
      </w:r>
    </w:p>
    <w:p w:rsidR="00C10FC4" w:rsidRDefault="008E3E13" w:rsidP="00BD5FB0">
      <w:pPr>
        <w:tabs>
          <w:tab w:val="num" w:pos="2160"/>
        </w:tabs>
        <w:rPr>
          <w:rFonts w:ascii="Arial" w:hAnsi="Arial" w:cs="Arial"/>
        </w:rPr>
      </w:pPr>
      <w:r>
        <w:rPr>
          <w:rFonts w:ascii="Arial" w:hAnsi="Arial" w:cs="Arial"/>
        </w:rPr>
        <w:t>In CCER’s view, the award s</w:t>
      </w:r>
      <w:r w:rsidR="00D320E2" w:rsidRPr="008E3E13">
        <w:rPr>
          <w:rFonts w:ascii="Arial" w:hAnsi="Arial" w:cs="Arial"/>
        </w:rPr>
        <w:t xml:space="preserve">afety net </w:t>
      </w:r>
      <w:r>
        <w:rPr>
          <w:rFonts w:ascii="Arial" w:hAnsi="Arial" w:cs="Arial"/>
        </w:rPr>
        <w:t xml:space="preserve">is </w:t>
      </w:r>
      <w:r w:rsidR="00D320E2" w:rsidRPr="008E3E13">
        <w:rPr>
          <w:rFonts w:ascii="Arial" w:hAnsi="Arial" w:cs="Arial"/>
        </w:rPr>
        <w:t xml:space="preserve">no impediment to productivity </w:t>
      </w:r>
      <w:r>
        <w:rPr>
          <w:rFonts w:ascii="Arial" w:hAnsi="Arial" w:cs="Arial"/>
        </w:rPr>
        <w:t>and cooperative workplace relations and provide</w:t>
      </w:r>
      <w:r w:rsidR="00E82600">
        <w:rPr>
          <w:rFonts w:ascii="Arial" w:hAnsi="Arial" w:cs="Arial"/>
        </w:rPr>
        <w:t>s</w:t>
      </w:r>
      <w:r>
        <w:rPr>
          <w:rFonts w:ascii="Arial" w:hAnsi="Arial" w:cs="Arial"/>
        </w:rPr>
        <w:t xml:space="preserve"> fair </w:t>
      </w:r>
      <w:r w:rsidR="00D320E2" w:rsidRPr="008E3E13">
        <w:rPr>
          <w:rFonts w:ascii="Arial" w:hAnsi="Arial" w:cs="Arial"/>
        </w:rPr>
        <w:t xml:space="preserve">protections for </w:t>
      </w:r>
      <w:r>
        <w:rPr>
          <w:rFonts w:ascii="Arial" w:hAnsi="Arial" w:cs="Arial"/>
        </w:rPr>
        <w:t xml:space="preserve">the welfare, health and safety of workers. </w:t>
      </w:r>
      <w:r w:rsidR="00ED697E">
        <w:rPr>
          <w:rFonts w:ascii="Arial" w:hAnsi="Arial" w:cs="Arial"/>
        </w:rPr>
        <w:t xml:space="preserve">Employers cite </w:t>
      </w:r>
      <w:r w:rsidR="00ED697E" w:rsidRPr="008E3E13">
        <w:rPr>
          <w:rFonts w:ascii="Arial" w:hAnsi="Arial" w:cs="Arial"/>
        </w:rPr>
        <w:t xml:space="preserve">fair </w:t>
      </w:r>
      <w:r w:rsidR="00ED697E">
        <w:rPr>
          <w:rFonts w:ascii="Arial" w:hAnsi="Arial" w:cs="Arial"/>
        </w:rPr>
        <w:t xml:space="preserve">and </w:t>
      </w:r>
      <w:r w:rsidR="00ED697E" w:rsidRPr="008E3E13">
        <w:rPr>
          <w:rFonts w:ascii="Arial" w:hAnsi="Arial" w:cs="Arial"/>
        </w:rPr>
        <w:t>a</w:t>
      </w:r>
      <w:r w:rsidR="000C37D9">
        <w:rPr>
          <w:rFonts w:ascii="Arial" w:hAnsi="Arial" w:cs="Arial"/>
        </w:rPr>
        <w:t xml:space="preserve">ffordable </w:t>
      </w:r>
      <w:r w:rsidR="00ED697E">
        <w:rPr>
          <w:rFonts w:ascii="Arial" w:hAnsi="Arial" w:cs="Arial"/>
        </w:rPr>
        <w:t xml:space="preserve">rates of pay, </w:t>
      </w:r>
      <w:r w:rsidR="00B176D8" w:rsidRPr="008E3E13">
        <w:rPr>
          <w:rFonts w:ascii="Arial" w:hAnsi="Arial" w:cs="Arial"/>
        </w:rPr>
        <w:t>simplicity,</w:t>
      </w:r>
      <w:r w:rsidR="00ED697E">
        <w:rPr>
          <w:rFonts w:ascii="Arial" w:hAnsi="Arial" w:cs="Arial"/>
        </w:rPr>
        <w:t xml:space="preserve"> and certainty as reasons for </w:t>
      </w:r>
      <w:r w:rsidR="00B176D8">
        <w:rPr>
          <w:rFonts w:ascii="Arial" w:hAnsi="Arial" w:cs="Arial"/>
        </w:rPr>
        <w:t>award</w:t>
      </w:r>
      <w:r w:rsidR="00ED697E">
        <w:rPr>
          <w:rFonts w:ascii="Arial" w:hAnsi="Arial" w:cs="Arial"/>
        </w:rPr>
        <w:t xml:space="preserve"> reliance. Awards also play a </w:t>
      </w:r>
      <w:r w:rsidR="00B176D8">
        <w:rPr>
          <w:rFonts w:ascii="Arial" w:hAnsi="Arial" w:cs="Arial"/>
        </w:rPr>
        <w:t>critical</w:t>
      </w:r>
      <w:r w:rsidR="00ED697E">
        <w:rPr>
          <w:rFonts w:ascii="Arial" w:hAnsi="Arial" w:cs="Arial"/>
        </w:rPr>
        <w:t xml:space="preserve"> </w:t>
      </w:r>
      <w:r w:rsidR="00B176D8">
        <w:rPr>
          <w:rFonts w:ascii="Arial" w:hAnsi="Arial" w:cs="Arial"/>
        </w:rPr>
        <w:t>role in</w:t>
      </w:r>
      <w:r w:rsidR="00ED697E">
        <w:rPr>
          <w:rFonts w:ascii="Arial" w:hAnsi="Arial" w:cs="Arial"/>
        </w:rPr>
        <w:t xml:space="preserve"> </w:t>
      </w:r>
      <w:r w:rsidR="00B176D8">
        <w:rPr>
          <w:rFonts w:ascii="Arial" w:hAnsi="Arial" w:cs="Arial"/>
        </w:rPr>
        <w:t>guiding</w:t>
      </w:r>
      <w:r w:rsidR="00ED697E">
        <w:rPr>
          <w:rFonts w:ascii="Arial" w:hAnsi="Arial" w:cs="Arial"/>
        </w:rPr>
        <w:t xml:space="preserve"> pay and conditions for </w:t>
      </w:r>
      <w:r w:rsidR="00B176D8">
        <w:rPr>
          <w:rFonts w:ascii="Arial" w:hAnsi="Arial" w:cs="Arial"/>
        </w:rPr>
        <w:t>non-award</w:t>
      </w:r>
      <w:r w:rsidR="00ED697E">
        <w:rPr>
          <w:rFonts w:ascii="Arial" w:hAnsi="Arial" w:cs="Arial"/>
        </w:rPr>
        <w:t xml:space="preserve"> reliant employers and </w:t>
      </w:r>
      <w:r w:rsidR="00B176D8">
        <w:rPr>
          <w:rFonts w:ascii="Arial" w:hAnsi="Arial" w:cs="Arial"/>
        </w:rPr>
        <w:t>employees</w:t>
      </w:r>
      <w:r w:rsidR="00ED697E">
        <w:rPr>
          <w:rFonts w:ascii="Arial" w:hAnsi="Arial" w:cs="Arial"/>
        </w:rPr>
        <w:t xml:space="preserve">. </w:t>
      </w:r>
      <w:r w:rsidR="00B176D8">
        <w:rPr>
          <w:rFonts w:ascii="Arial" w:hAnsi="Arial" w:cs="Arial"/>
        </w:rPr>
        <w:t xml:space="preserve">The </w:t>
      </w:r>
      <w:r w:rsidR="000C37D9" w:rsidRPr="008E3E13">
        <w:rPr>
          <w:rFonts w:ascii="Arial" w:hAnsi="Arial" w:cs="Arial"/>
        </w:rPr>
        <w:t>4-year</w:t>
      </w:r>
      <w:r w:rsidRPr="008E3E13">
        <w:rPr>
          <w:rFonts w:ascii="Arial" w:hAnsi="Arial" w:cs="Arial"/>
        </w:rPr>
        <w:t xml:space="preserve"> review </w:t>
      </w:r>
      <w:r w:rsidR="000C37D9">
        <w:rPr>
          <w:rFonts w:ascii="Arial" w:hAnsi="Arial" w:cs="Arial"/>
        </w:rPr>
        <w:t xml:space="preserve">process </w:t>
      </w:r>
      <w:r w:rsidR="009F3336">
        <w:rPr>
          <w:rFonts w:ascii="Arial" w:hAnsi="Arial" w:cs="Arial"/>
        </w:rPr>
        <w:t xml:space="preserve">undertaken by the </w:t>
      </w:r>
      <w:r w:rsidR="00BD5FB0">
        <w:rPr>
          <w:rFonts w:ascii="Arial" w:hAnsi="Arial" w:cs="Arial"/>
        </w:rPr>
        <w:t>Fair Work Commission (</w:t>
      </w:r>
      <w:r w:rsidR="009F3336">
        <w:rPr>
          <w:rFonts w:ascii="Arial" w:hAnsi="Arial" w:cs="Arial"/>
        </w:rPr>
        <w:t>F</w:t>
      </w:r>
      <w:r w:rsidR="00735E9D">
        <w:rPr>
          <w:rFonts w:ascii="Arial" w:hAnsi="Arial" w:cs="Arial"/>
        </w:rPr>
        <w:t>WC</w:t>
      </w:r>
      <w:r w:rsidR="00EF4D68">
        <w:rPr>
          <w:rFonts w:ascii="Arial" w:hAnsi="Arial" w:cs="Arial"/>
        </w:rPr>
        <w:t>) provides</w:t>
      </w:r>
      <w:r w:rsidR="00B176D8">
        <w:rPr>
          <w:rFonts w:ascii="Arial" w:hAnsi="Arial" w:cs="Arial"/>
        </w:rPr>
        <w:t xml:space="preserve"> </w:t>
      </w:r>
      <w:r w:rsidR="000C37D9">
        <w:rPr>
          <w:rFonts w:ascii="Arial" w:hAnsi="Arial" w:cs="Arial"/>
        </w:rPr>
        <w:t>the</w:t>
      </w:r>
      <w:r w:rsidR="00B176D8">
        <w:rPr>
          <w:rFonts w:ascii="Arial" w:hAnsi="Arial" w:cs="Arial"/>
        </w:rPr>
        <w:t xml:space="preserve"> </w:t>
      </w:r>
      <w:r w:rsidR="000C37D9">
        <w:rPr>
          <w:rFonts w:ascii="Arial" w:hAnsi="Arial" w:cs="Arial"/>
        </w:rPr>
        <w:t>flexibility</w:t>
      </w:r>
      <w:r w:rsidR="00B176D8">
        <w:rPr>
          <w:rFonts w:ascii="Arial" w:hAnsi="Arial" w:cs="Arial"/>
        </w:rPr>
        <w:t xml:space="preserve"> to ensure that a</w:t>
      </w:r>
      <w:r w:rsidR="000C37D9">
        <w:rPr>
          <w:rFonts w:ascii="Arial" w:hAnsi="Arial" w:cs="Arial"/>
        </w:rPr>
        <w:t>wards</w:t>
      </w:r>
      <w:r w:rsidR="00B176D8">
        <w:rPr>
          <w:rFonts w:ascii="Arial" w:hAnsi="Arial" w:cs="Arial"/>
        </w:rPr>
        <w:t xml:space="preserve"> remain </w:t>
      </w:r>
      <w:r w:rsidR="000C37D9">
        <w:rPr>
          <w:rFonts w:ascii="Arial" w:hAnsi="Arial" w:cs="Arial"/>
        </w:rPr>
        <w:t>relevant</w:t>
      </w:r>
      <w:r w:rsidR="00B176D8">
        <w:rPr>
          <w:rFonts w:ascii="Arial" w:hAnsi="Arial" w:cs="Arial"/>
        </w:rPr>
        <w:t xml:space="preserve"> and responsive to </w:t>
      </w:r>
      <w:r w:rsidRPr="008E3E13">
        <w:rPr>
          <w:rFonts w:ascii="Arial" w:hAnsi="Arial" w:cs="Arial"/>
        </w:rPr>
        <w:t xml:space="preserve">economic </w:t>
      </w:r>
      <w:r w:rsidR="00B176D8">
        <w:rPr>
          <w:rFonts w:ascii="Arial" w:hAnsi="Arial" w:cs="Arial"/>
        </w:rPr>
        <w:t xml:space="preserve">and community </w:t>
      </w:r>
      <w:r w:rsidRPr="008E3E13">
        <w:rPr>
          <w:rFonts w:ascii="Arial" w:hAnsi="Arial" w:cs="Arial"/>
        </w:rPr>
        <w:t>change</w:t>
      </w:r>
      <w:r w:rsidR="00B176D8">
        <w:rPr>
          <w:rFonts w:ascii="Arial" w:hAnsi="Arial" w:cs="Arial"/>
        </w:rPr>
        <w:t>.</w:t>
      </w:r>
      <w:r w:rsidRPr="008E3E13">
        <w:rPr>
          <w:rFonts w:ascii="Arial" w:hAnsi="Arial" w:cs="Arial"/>
        </w:rPr>
        <w:t xml:space="preserve">  </w:t>
      </w:r>
    </w:p>
    <w:p w:rsidR="00A27CA4" w:rsidRDefault="00A27CA4" w:rsidP="008B65D1">
      <w:pPr>
        <w:rPr>
          <w:rFonts w:ascii="Arial" w:hAnsi="Arial" w:cs="Arial"/>
        </w:rPr>
      </w:pPr>
      <w:r>
        <w:rPr>
          <w:rFonts w:ascii="Arial" w:hAnsi="Arial" w:cs="Arial"/>
          <w:color w:val="262626"/>
        </w:rPr>
        <w:t>T</w:t>
      </w:r>
      <w:r w:rsidRPr="00D737E8">
        <w:rPr>
          <w:rFonts w:ascii="Arial" w:hAnsi="Arial" w:cs="Arial"/>
          <w:color w:val="262626"/>
        </w:rPr>
        <w:t xml:space="preserve">he </w:t>
      </w:r>
      <w:r w:rsidR="00E3670F">
        <w:rPr>
          <w:rFonts w:ascii="Arial" w:hAnsi="Arial" w:cs="Arial"/>
          <w:color w:val="262626"/>
        </w:rPr>
        <w:t xml:space="preserve">Catholic </w:t>
      </w:r>
      <w:r>
        <w:rPr>
          <w:rFonts w:ascii="Arial" w:hAnsi="Arial" w:cs="Arial"/>
          <w:color w:val="262626"/>
        </w:rPr>
        <w:t>C</w:t>
      </w:r>
      <w:r w:rsidRPr="00D737E8">
        <w:rPr>
          <w:rFonts w:ascii="Arial" w:hAnsi="Arial" w:cs="Arial"/>
          <w:color w:val="262626"/>
        </w:rPr>
        <w:t xml:space="preserve">hurch </w:t>
      </w:r>
      <w:r>
        <w:rPr>
          <w:rFonts w:ascii="Arial" w:hAnsi="Arial" w:cs="Arial"/>
          <w:color w:val="262626"/>
        </w:rPr>
        <w:t>has r</w:t>
      </w:r>
      <w:r w:rsidRPr="00D737E8">
        <w:rPr>
          <w:rFonts w:ascii="Arial" w:hAnsi="Arial" w:cs="Arial"/>
          <w:color w:val="262626"/>
        </w:rPr>
        <w:t>eject</w:t>
      </w:r>
      <w:r>
        <w:rPr>
          <w:rFonts w:ascii="Arial" w:hAnsi="Arial" w:cs="Arial"/>
          <w:color w:val="262626"/>
        </w:rPr>
        <w:t>ed</w:t>
      </w:r>
      <w:r w:rsidRPr="00D737E8">
        <w:rPr>
          <w:rFonts w:ascii="Arial" w:hAnsi="Arial" w:cs="Arial"/>
          <w:color w:val="262626"/>
        </w:rPr>
        <w:t xml:space="preserve"> </w:t>
      </w:r>
      <w:r w:rsidR="00D371FB">
        <w:rPr>
          <w:rFonts w:ascii="Arial" w:hAnsi="Arial" w:cs="Arial"/>
          <w:color w:val="262626"/>
        </w:rPr>
        <w:t xml:space="preserve">previous </w:t>
      </w:r>
      <w:r w:rsidRPr="00D737E8">
        <w:rPr>
          <w:rFonts w:ascii="Arial" w:hAnsi="Arial" w:cs="Arial"/>
          <w:color w:val="262626"/>
        </w:rPr>
        <w:t>legislative and other attempts to abolish penalty rates</w:t>
      </w:r>
      <w:r w:rsidR="00D371FB">
        <w:rPr>
          <w:rFonts w:ascii="Arial" w:hAnsi="Arial" w:cs="Arial"/>
          <w:color w:val="262626"/>
        </w:rPr>
        <w:t xml:space="preserve"> due to co</w:t>
      </w:r>
      <w:r w:rsidRPr="00D737E8">
        <w:rPr>
          <w:rFonts w:ascii="Arial" w:hAnsi="Arial" w:cs="Arial"/>
          <w:color w:val="262626"/>
        </w:rPr>
        <w:t xml:space="preserve">ncerns </w:t>
      </w:r>
      <w:r w:rsidR="00D371FB">
        <w:rPr>
          <w:rFonts w:ascii="Arial" w:hAnsi="Arial" w:cs="Arial"/>
          <w:color w:val="262626"/>
        </w:rPr>
        <w:t xml:space="preserve">about </w:t>
      </w:r>
      <w:r w:rsidRPr="00D737E8">
        <w:rPr>
          <w:rFonts w:ascii="Arial" w:hAnsi="Arial" w:cs="Arial"/>
          <w:color w:val="262626"/>
        </w:rPr>
        <w:t>the negative impact on the incomes of vulnerable workers and the detrimental impact of unsocial working hours on rest, recreation, and family time.</w:t>
      </w:r>
    </w:p>
    <w:p w:rsidR="00D371FB" w:rsidRPr="009E36AA" w:rsidRDefault="00D371FB" w:rsidP="00D371FB">
      <w:pPr>
        <w:rPr>
          <w:rFonts w:ascii="Arial" w:hAnsi="Arial" w:cs="Arial"/>
        </w:rPr>
      </w:pPr>
      <w:r>
        <w:rPr>
          <w:rFonts w:ascii="Arial" w:hAnsi="Arial" w:cs="Arial"/>
        </w:rPr>
        <w:t xml:space="preserve">Around one third of </w:t>
      </w:r>
      <w:r w:rsidRPr="009E36AA">
        <w:rPr>
          <w:rFonts w:ascii="Arial" w:hAnsi="Arial" w:cs="Arial"/>
        </w:rPr>
        <w:t xml:space="preserve">Australian workers </w:t>
      </w:r>
      <w:r>
        <w:rPr>
          <w:rFonts w:ascii="Arial" w:hAnsi="Arial" w:cs="Arial"/>
        </w:rPr>
        <w:t>ar</w:t>
      </w:r>
      <w:r w:rsidRPr="009E36AA">
        <w:rPr>
          <w:rFonts w:ascii="Arial" w:hAnsi="Arial" w:cs="Arial"/>
        </w:rPr>
        <w:t>e required to work weekends</w:t>
      </w:r>
      <w:r>
        <w:rPr>
          <w:rFonts w:ascii="Arial" w:hAnsi="Arial" w:cs="Arial"/>
        </w:rPr>
        <w:t xml:space="preserve"> and </w:t>
      </w:r>
      <w:r w:rsidRPr="00D371FB">
        <w:rPr>
          <w:rFonts w:ascii="Arial" w:hAnsi="Arial" w:cs="Arial"/>
        </w:rPr>
        <w:t>regularly miss important family engagements, social occasions and sporting events.</w:t>
      </w:r>
      <w:r>
        <w:rPr>
          <w:rFonts w:ascii="Arial" w:hAnsi="Arial" w:cs="Arial"/>
        </w:rPr>
        <w:t xml:space="preserve"> Rest, recreation and family time is valued and work in unsociable hours precludes workers from these opportunities.</w:t>
      </w:r>
    </w:p>
    <w:p w:rsidR="00071C38" w:rsidRPr="00D371FB" w:rsidRDefault="00A916FF" w:rsidP="00BA6CE1">
      <w:pPr>
        <w:rPr>
          <w:rFonts w:ascii="Arial" w:hAnsi="Arial" w:cs="Arial"/>
        </w:rPr>
      </w:pPr>
      <w:r>
        <w:rPr>
          <w:rFonts w:ascii="Arial" w:hAnsi="Arial" w:cs="Arial"/>
        </w:rPr>
        <w:t xml:space="preserve">There is no reliable </w:t>
      </w:r>
      <w:r w:rsidR="00D320E2" w:rsidRPr="00D371FB">
        <w:rPr>
          <w:rFonts w:ascii="Arial" w:hAnsi="Arial" w:cs="Arial"/>
        </w:rPr>
        <w:t xml:space="preserve">evidence </w:t>
      </w:r>
      <w:r>
        <w:rPr>
          <w:rFonts w:ascii="Arial" w:hAnsi="Arial" w:cs="Arial"/>
        </w:rPr>
        <w:t xml:space="preserve">or economic analysis that </w:t>
      </w:r>
      <w:r w:rsidR="00D320E2" w:rsidRPr="00D371FB">
        <w:rPr>
          <w:rFonts w:ascii="Arial" w:hAnsi="Arial" w:cs="Arial"/>
        </w:rPr>
        <w:t xml:space="preserve">removing penalty rates </w:t>
      </w:r>
      <w:r>
        <w:rPr>
          <w:rFonts w:ascii="Arial" w:hAnsi="Arial" w:cs="Arial"/>
        </w:rPr>
        <w:t xml:space="preserve">will boost employment and job creation </w:t>
      </w:r>
      <w:r w:rsidR="00D320E2" w:rsidRPr="00D371FB">
        <w:rPr>
          <w:rFonts w:ascii="Arial" w:hAnsi="Arial" w:cs="Arial"/>
        </w:rPr>
        <w:t xml:space="preserve">in cases put before </w:t>
      </w:r>
      <w:r>
        <w:rPr>
          <w:rFonts w:ascii="Arial" w:hAnsi="Arial" w:cs="Arial"/>
        </w:rPr>
        <w:t xml:space="preserve">the </w:t>
      </w:r>
      <w:r w:rsidR="00A06192">
        <w:rPr>
          <w:rFonts w:ascii="Arial" w:hAnsi="Arial" w:cs="Arial"/>
        </w:rPr>
        <w:t xml:space="preserve">FWC </w:t>
      </w:r>
      <w:r w:rsidR="00D320E2" w:rsidRPr="00D371FB">
        <w:rPr>
          <w:rFonts w:ascii="Arial" w:hAnsi="Arial" w:cs="Arial"/>
        </w:rPr>
        <w:t>to date</w:t>
      </w:r>
      <w:r w:rsidR="00B20814">
        <w:rPr>
          <w:rFonts w:ascii="Arial" w:hAnsi="Arial" w:cs="Arial"/>
        </w:rPr>
        <w:t>.</w:t>
      </w:r>
      <w:r w:rsidR="00BA6CE1">
        <w:rPr>
          <w:rFonts w:ascii="Arial" w:hAnsi="Arial" w:cs="Arial"/>
        </w:rPr>
        <w:t xml:space="preserve"> Further, m</w:t>
      </w:r>
      <w:r w:rsidR="00D320E2" w:rsidRPr="00D371FB">
        <w:rPr>
          <w:rFonts w:ascii="Arial" w:hAnsi="Arial" w:cs="Arial"/>
        </w:rPr>
        <w:t xml:space="preserve">inimum wage earners </w:t>
      </w:r>
      <w:r w:rsidR="00BA6CE1">
        <w:rPr>
          <w:rFonts w:ascii="Arial" w:hAnsi="Arial" w:cs="Arial"/>
        </w:rPr>
        <w:t xml:space="preserve">and their families who rely on </w:t>
      </w:r>
      <w:r w:rsidR="00B2040B">
        <w:rPr>
          <w:rFonts w:ascii="Arial" w:hAnsi="Arial" w:cs="Arial"/>
        </w:rPr>
        <w:t>penalty</w:t>
      </w:r>
      <w:r w:rsidR="00BA6CE1">
        <w:rPr>
          <w:rFonts w:ascii="Arial" w:hAnsi="Arial" w:cs="Arial"/>
        </w:rPr>
        <w:t xml:space="preserve"> rate</w:t>
      </w:r>
      <w:r w:rsidR="00B2040B">
        <w:rPr>
          <w:rFonts w:ascii="Arial" w:hAnsi="Arial" w:cs="Arial"/>
        </w:rPr>
        <w:t>s to</w:t>
      </w:r>
      <w:r w:rsidR="00BA6CE1">
        <w:rPr>
          <w:rFonts w:ascii="Arial" w:hAnsi="Arial" w:cs="Arial"/>
        </w:rPr>
        <w:t xml:space="preserve"> make ends meet would be </w:t>
      </w:r>
      <w:r w:rsidR="00B2040B" w:rsidRPr="00D371FB">
        <w:rPr>
          <w:rFonts w:ascii="Arial" w:hAnsi="Arial" w:cs="Arial"/>
        </w:rPr>
        <w:t>disproportionately</w:t>
      </w:r>
      <w:r w:rsidR="00D320E2" w:rsidRPr="00D371FB">
        <w:rPr>
          <w:rFonts w:ascii="Arial" w:hAnsi="Arial" w:cs="Arial"/>
        </w:rPr>
        <w:t xml:space="preserve"> affected by reductions</w:t>
      </w:r>
      <w:r w:rsidR="00BA6CE1">
        <w:rPr>
          <w:rFonts w:ascii="Arial" w:hAnsi="Arial" w:cs="Arial"/>
        </w:rPr>
        <w:t>.</w:t>
      </w:r>
    </w:p>
    <w:p w:rsidR="00D371FB" w:rsidRDefault="00E05678" w:rsidP="00E05678">
      <w:pPr>
        <w:rPr>
          <w:rFonts w:ascii="Arial" w:hAnsi="Arial" w:cs="Arial"/>
        </w:rPr>
      </w:pPr>
      <w:r>
        <w:rPr>
          <w:rFonts w:ascii="Arial" w:hAnsi="Arial" w:cs="Arial"/>
        </w:rPr>
        <w:t>CCER ac</w:t>
      </w:r>
      <w:r w:rsidRPr="003A66AB">
        <w:rPr>
          <w:rFonts w:ascii="Arial" w:hAnsi="Arial" w:cs="Arial"/>
        </w:rPr>
        <w:t>cept</w:t>
      </w:r>
      <w:r>
        <w:rPr>
          <w:rFonts w:ascii="Arial" w:hAnsi="Arial" w:cs="Arial"/>
        </w:rPr>
        <w:t xml:space="preserve">s that a wide range of work in </w:t>
      </w:r>
      <w:r w:rsidRPr="003A66AB">
        <w:rPr>
          <w:rFonts w:ascii="Arial" w:hAnsi="Arial" w:cs="Arial"/>
        </w:rPr>
        <w:t xml:space="preserve">unsocial hours is, and will continue to be, necessary to meet the community's economic and social needs. </w:t>
      </w:r>
      <w:r w:rsidR="00BD5FB0">
        <w:rPr>
          <w:rFonts w:ascii="Arial" w:hAnsi="Arial" w:cs="Arial"/>
        </w:rPr>
        <w:t xml:space="preserve">In our </w:t>
      </w:r>
      <w:r w:rsidR="00EF4D68">
        <w:rPr>
          <w:rFonts w:ascii="Arial" w:hAnsi="Arial" w:cs="Arial"/>
        </w:rPr>
        <w:t>view,</w:t>
      </w:r>
      <w:r w:rsidR="00D371FB">
        <w:rPr>
          <w:rFonts w:ascii="Arial" w:hAnsi="Arial" w:cs="Arial"/>
        </w:rPr>
        <w:t xml:space="preserve"> a penalty should continue to be paid for the family time that is sacrificed by those workers. While penalty rates cannot</w:t>
      </w:r>
      <w:r w:rsidR="00D371FB" w:rsidRPr="003A66AB">
        <w:rPr>
          <w:rFonts w:ascii="Arial" w:hAnsi="Arial" w:cs="Arial"/>
        </w:rPr>
        <w:t xml:space="preserve"> remedy the </w:t>
      </w:r>
      <w:r w:rsidR="00D371FB">
        <w:rPr>
          <w:rFonts w:ascii="Arial" w:hAnsi="Arial" w:cs="Arial"/>
        </w:rPr>
        <w:t xml:space="preserve">negative impacts of working unsociable hours, they </w:t>
      </w:r>
      <w:r w:rsidR="00D371FB" w:rsidRPr="003A66AB">
        <w:rPr>
          <w:rFonts w:ascii="Arial" w:hAnsi="Arial" w:cs="Arial"/>
        </w:rPr>
        <w:t xml:space="preserve">can provide fair and just compensation for some of them. </w:t>
      </w:r>
    </w:p>
    <w:p w:rsidR="00CE2D1E" w:rsidRDefault="007F490D" w:rsidP="00CE2D1E">
      <w:pPr>
        <w:rPr>
          <w:rFonts w:ascii="Arial" w:hAnsi="Arial" w:cs="Arial"/>
          <w:color w:val="262626"/>
        </w:rPr>
      </w:pPr>
      <w:r>
        <w:rPr>
          <w:rFonts w:ascii="Arial" w:hAnsi="Arial" w:cs="Arial"/>
          <w:color w:val="262626"/>
        </w:rPr>
        <w:lastRenderedPageBreak/>
        <w:t>T</w:t>
      </w:r>
      <w:r w:rsidR="00CE2D1E">
        <w:rPr>
          <w:rFonts w:ascii="Arial" w:hAnsi="Arial" w:cs="Arial"/>
          <w:color w:val="262626"/>
        </w:rPr>
        <w:t xml:space="preserve">here is sufficient flexibility within the existing industrial regulatory framework to respond to changes in the business </w:t>
      </w:r>
      <w:r w:rsidR="00E05678">
        <w:rPr>
          <w:rFonts w:ascii="Arial" w:hAnsi="Arial" w:cs="Arial"/>
          <w:color w:val="262626"/>
        </w:rPr>
        <w:t>environment</w:t>
      </w:r>
      <w:r w:rsidR="00A06192">
        <w:rPr>
          <w:rFonts w:ascii="Arial" w:hAnsi="Arial" w:cs="Arial"/>
          <w:color w:val="262626"/>
        </w:rPr>
        <w:t>. T</w:t>
      </w:r>
      <w:r w:rsidR="00CE2D1E">
        <w:rPr>
          <w:rFonts w:ascii="Arial" w:hAnsi="Arial" w:cs="Arial"/>
          <w:color w:val="262626"/>
        </w:rPr>
        <w:t xml:space="preserve">he </w:t>
      </w:r>
      <w:r w:rsidR="00E05678">
        <w:rPr>
          <w:rFonts w:ascii="Arial" w:hAnsi="Arial" w:cs="Arial"/>
          <w:color w:val="262626"/>
        </w:rPr>
        <w:t>FWC</w:t>
      </w:r>
      <w:r w:rsidR="00CE2D1E">
        <w:rPr>
          <w:rFonts w:ascii="Arial" w:hAnsi="Arial" w:cs="Arial"/>
          <w:color w:val="262626"/>
        </w:rPr>
        <w:t xml:space="preserve"> is </w:t>
      </w:r>
      <w:r w:rsidR="00E05678">
        <w:rPr>
          <w:rFonts w:ascii="Arial" w:hAnsi="Arial" w:cs="Arial"/>
          <w:color w:val="262626"/>
        </w:rPr>
        <w:t>a</w:t>
      </w:r>
      <w:r w:rsidR="00CE2D1E">
        <w:rPr>
          <w:rFonts w:ascii="Arial" w:hAnsi="Arial" w:cs="Arial"/>
          <w:color w:val="262626"/>
        </w:rPr>
        <w:t xml:space="preserve">lready well placed to consider evidence of the impacts of penalty rates during the </w:t>
      </w:r>
      <w:r w:rsidR="00AD22CB">
        <w:rPr>
          <w:rFonts w:ascii="Arial" w:hAnsi="Arial" w:cs="Arial"/>
          <w:color w:val="262626"/>
        </w:rPr>
        <w:t>upcoming f</w:t>
      </w:r>
      <w:r w:rsidR="00CE2D1E">
        <w:rPr>
          <w:rFonts w:ascii="Arial" w:hAnsi="Arial" w:cs="Arial"/>
          <w:color w:val="262626"/>
        </w:rPr>
        <w:t>our-year review of modern awards</w:t>
      </w:r>
      <w:r w:rsidR="00BD5FB0">
        <w:rPr>
          <w:rFonts w:ascii="Arial" w:hAnsi="Arial" w:cs="Arial"/>
          <w:color w:val="262626"/>
        </w:rPr>
        <w:t>.</w:t>
      </w:r>
    </w:p>
    <w:p w:rsidR="00FA5C4F" w:rsidRDefault="00D320E2" w:rsidP="001B2AF8">
      <w:pPr>
        <w:tabs>
          <w:tab w:val="num" w:pos="2160"/>
        </w:tabs>
        <w:rPr>
          <w:rFonts w:ascii="Arial" w:hAnsi="Arial" w:cs="Arial"/>
          <w:color w:val="262626"/>
        </w:rPr>
      </w:pPr>
      <w:r w:rsidRPr="00FA5C4F">
        <w:rPr>
          <w:rFonts w:ascii="Arial" w:hAnsi="Arial" w:cs="Arial"/>
          <w:color w:val="262626"/>
        </w:rPr>
        <w:t>CCER regularly acts as a bargaining representative for members in enterprise agreement negotiations</w:t>
      </w:r>
      <w:r w:rsidR="00FA5C4F">
        <w:rPr>
          <w:rFonts w:ascii="Arial" w:hAnsi="Arial" w:cs="Arial"/>
          <w:color w:val="262626"/>
        </w:rPr>
        <w:t xml:space="preserve">. </w:t>
      </w:r>
      <w:r w:rsidRPr="00FA5C4F">
        <w:rPr>
          <w:rFonts w:ascii="Arial" w:hAnsi="Arial" w:cs="Arial"/>
          <w:color w:val="262626"/>
        </w:rPr>
        <w:t>The highly prescriptive procedural</w:t>
      </w:r>
      <w:r w:rsidR="00BD5FB0">
        <w:rPr>
          <w:rFonts w:ascii="Arial" w:hAnsi="Arial" w:cs="Arial"/>
          <w:color w:val="262626"/>
        </w:rPr>
        <w:t xml:space="preserve"> and </w:t>
      </w:r>
      <w:r w:rsidRPr="00FA5C4F">
        <w:rPr>
          <w:rFonts w:ascii="Arial" w:hAnsi="Arial" w:cs="Arial"/>
          <w:color w:val="262626"/>
        </w:rPr>
        <w:t xml:space="preserve">compliance requirements from the outset of bargaining to applying </w:t>
      </w:r>
      <w:r w:rsidR="00BF664E">
        <w:rPr>
          <w:rFonts w:ascii="Arial" w:hAnsi="Arial" w:cs="Arial"/>
          <w:color w:val="262626"/>
        </w:rPr>
        <w:t xml:space="preserve">to the FWC </w:t>
      </w:r>
      <w:r w:rsidRPr="00FA5C4F">
        <w:rPr>
          <w:rFonts w:ascii="Arial" w:hAnsi="Arial" w:cs="Arial"/>
          <w:color w:val="262626"/>
        </w:rPr>
        <w:t>for approval are problematic, particularly when acting for multiple employers</w:t>
      </w:r>
      <w:r w:rsidR="00BF664E">
        <w:rPr>
          <w:rFonts w:ascii="Arial" w:hAnsi="Arial" w:cs="Arial"/>
          <w:color w:val="262626"/>
        </w:rPr>
        <w:t>.</w:t>
      </w:r>
      <w:r w:rsidR="001B2AF8">
        <w:rPr>
          <w:rFonts w:ascii="Arial" w:hAnsi="Arial" w:cs="Arial"/>
          <w:color w:val="262626"/>
        </w:rPr>
        <w:t xml:space="preserve"> </w:t>
      </w:r>
      <w:r w:rsidRPr="00FA5C4F">
        <w:rPr>
          <w:rFonts w:ascii="Arial" w:hAnsi="Arial" w:cs="Arial"/>
          <w:color w:val="262626"/>
        </w:rPr>
        <w:t xml:space="preserve">This, combined with a lack of discretion </w:t>
      </w:r>
      <w:r w:rsidR="0041384D">
        <w:rPr>
          <w:rFonts w:ascii="Arial" w:hAnsi="Arial" w:cs="Arial"/>
          <w:color w:val="262626"/>
        </w:rPr>
        <w:t>for</w:t>
      </w:r>
      <w:r w:rsidRPr="00FA5C4F">
        <w:rPr>
          <w:rFonts w:ascii="Arial" w:hAnsi="Arial" w:cs="Arial"/>
          <w:color w:val="262626"/>
        </w:rPr>
        <w:t xml:space="preserve"> the FWC to rectify certain trivial defects, can and has resulted in absurd results for employers, employees, and representatives</w:t>
      </w:r>
      <w:r w:rsidR="00967F46">
        <w:rPr>
          <w:rFonts w:ascii="Arial" w:hAnsi="Arial" w:cs="Arial"/>
          <w:color w:val="262626"/>
        </w:rPr>
        <w:t xml:space="preserve"> with regard to t</w:t>
      </w:r>
      <w:r w:rsidR="00803060" w:rsidRPr="00803060">
        <w:rPr>
          <w:rFonts w:ascii="Arial" w:hAnsi="Arial" w:cs="Arial"/>
          <w:color w:val="262626"/>
        </w:rPr>
        <w:t>he notice of e</w:t>
      </w:r>
      <w:r w:rsidR="00803060">
        <w:rPr>
          <w:rFonts w:ascii="Arial" w:hAnsi="Arial" w:cs="Arial"/>
          <w:color w:val="262626"/>
        </w:rPr>
        <w:t>mployee representational rights.</w:t>
      </w:r>
    </w:p>
    <w:p w:rsidR="00AF401A" w:rsidRPr="00A02B84" w:rsidRDefault="00A02B84" w:rsidP="00A02B84">
      <w:pPr>
        <w:tabs>
          <w:tab w:val="num" w:pos="2880"/>
        </w:tabs>
        <w:rPr>
          <w:rFonts w:ascii="Arial" w:hAnsi="Arial" w:cs="Arial"/>
          <w:color w:val="262626"/>
        </w:rPr>
      </w:pPr>
      <w:r>
        <w:rPr>
          <w:rFonts w:ascii="Arial" w:hAnsi="Arial" w:cs="Arial"/>
          <w:color w:val="262626"/>
        </w:rPr>
        <w:t>The</w:t>
      </w:r>
      <w:r w:rsidR="00257926">
        <w:rPr>
          <w:rFonts w:ascii="Arial" w:hAnsi="Arial" w:cs="Arial"/>
          <w:color w:val="262626"/>
        </w:rPr>
        <w:t>re</w:t>
      </w:r>
      <w:r>
        <w:rPr>
          <w:rFonts w:ascii="Arial" w:hAnsi="Arial" w:cs="Arial"/>
          <w:color w:val="262626"/>
        </w:rPr>
        <w:t xml:space="preserve"> are numerous </w:t>
      </w:r>
      <w:r w:rsidR="00AF401A" w:rsidRPr="00A02B84">
        <w:rPr>
          <w:rFonts w:ascii="Arial" w:hAnsi="Arial" w:cs="Arial"/>
          <w:color w:val="262626"/>
        </w:rPr>
        <w:t>examples of trivial defects or errors that have resulted in agreements being dismissed by FWC</w:t>
      </w:r>
      <w:r w:rsidR="00967F46">
        <w:rPr>
          <w:rFonts w:ascii="Arial" w:hAnsi="Arial" w:cs="Arial"/>
          <w:color w:val="262626"/>
        </w:rPr>
        <w:t>,</w:t>
      </w:r>
      <w:r>
        <w:rPr>
          <w:rFonts w:ascii="Arial" w:hAnsi="Arial" w:cs="Arial"/>
          <w:color w:val="262626"/>
        </w:rPr>
        <w:t xml:space="preserve"> such as i</w:t>
      </w:r>
      <w:r w:rsidR="00AF401A" w:rsidRPr="00A02B84">
        <w:rPr>
          <w:rFonts w:ascii="Arial" w:hAnsi="Arial" w:cs="Arial"/>
          <w:color w:val="262626"/>
        </w:rPr>
        <w:t>nnocuous covering emails</w:t>
      </w:r>
      <w:r>
        <w:rPr>
          <w:rFonts w:ascii="Arial" w:hAnsi="Arial" w:cs="Arial"/>
          <w:color w:val="262626"/>
        </w:rPr>
        <w:t xml:space="preserve"> or </w:t>
      </w:r>
      <w:r w:rsidR="00AF401A" w:rsidRPr="00A02B84">
        <w:rPr>
          <w:rFonts w:ascii="Arial" w:hAnsi="Arial" w:cs="Arial"/>
          <w:color w:val="262626"/>
        </w:rPr>
        <w:t>letters sent in good faith</w:t>
      </w:r>
      <w:r>
        <w:rPr>
          <w:rFonts w:ascii="Arial" w:hAnsi="Arial" w:cs="Arial"/>
          <w:color w:val="262626"/>
        </w:rPr>
        <w:t xml:space="preserve"> or ad</w:t>
      </w:r>
      <w:r w:rsidR="00AF401A" w:rsidRPr="00A02B84">
        <w:rPr>
          <w:rFonts w:ascii="Arial" w:hAnsi="Arial" w:cs="Arial"/>
          <w:color w:val="262626"/>
        </w:rPr>
        <w:t>ditional material (not inappropriate or unlawful) attached to a valid notice by a stapler</w:t>
      </w:r>
      <w:r>
        <w:rPr>
          <w:rFonts w:ascii="Arial" w:hAnsi="Arial" w:cs="Arial"/>
          <w:color w:val="262626"/>
        </w:rPr>
        <w:t>.</w:t>
      </w:r>
    </w:p>
    <w:p w:rsidR="00B4072F" w:rsidRDefault="00257926" w:rsidP="00CE2D1E">
      <w:pPr>
        <w:rPr>
          <w:rFonts w:ascii="Arial" w:hAnsi="Arial" w:cs="Arial"/>
        </w:rPr>
      </w:pPr>
      <w:r>
        <w:rPr>
          <w:rFonts w:ascii="Arial" w:hAnsi="Arial" w:cs="Arial"/>
          <w:color w:val="262626"/>
        </w:rPr>
        <w:t xml:space="preserve">CCER </w:t>
      </w:r>
      <w:r w:rsidR="007C14C9">
        <w:rPr>
          <w:rFonts w:ascii="Arial" w:hAnsi="Arial" w:cs="Arial"/>
          <w:color w:val="262626"/>
        </w:rPr>
        <w:t>proposes</w:t>
      </w:r>
      <w:r w:rsidR="00B9669D" w:rsidRPr="00B9669D">
        <w:rPr>
          <w:rFonts w:ascii="Arial" w:hAnsi="Arial" w:cs="Arial"/>
        </w:rPr>
        <w:t xml:space="preserve"> </w:t>
      </w:r>
      <w:r w:rsidR="004A32F1">
        <w:rPr>
          <w:rFonts w:ascii="Arial" w:hAnsi="Arial" w:cs="Arial"/>
        </w:rPr>
        <w:t>t</w:t>
      </w:r>
      <w:r w:rsidR="00B9669D">
        <w:rPr>
          <w:rFonts w:ascii="Arial" w:hAnsi="Arial" w:cs="Arial"/>
        </w:rPr>
        <w:t xml:space="preserve">hat </w:t>
      </w:r>
      <w:r w:rsidR="00B9669D" w:rsidRPr="0062314E">
        <w:rPr>
          <w:rFonts w:ascii="Arial" w:hAnsi="Arial" w:cs="Arial"/>
        </w:rPr>
        <w:t xml:space="preserve">the </w:t>
      </w:r>
      <w:r w:rsidR="00EF4D68">
        <w:rPr>
          <w:rFonts w:ascii="Arial" w:hAnsi="Arial" w:cs="Arial"/>
        </w:rPr>
        <w:t>FW Act</w:t>
      </w:r>
      <w:r w:rsidR="00ED0D56">
        <w:rPr>
          <w:rFonts w:ascii="Arial" w:hAnsi="Arial" w:cs="Arial"/>
        </w:rPr>
        <w:t xml:space="preserve"> </w:t>
      </w:r>
      <w:r w:rsidR="00B9669D" w:rsidRPr="0062314E">
        <w:rPr>
          <w:rFonts w:ascii="Arial" w:hAnsi="Arial" w:cs="Arial"/>
        </w:rPr>
        <w:t>shoul</w:t>
      </w:r>
      <w:r w:rsidR="00B9669D">
        <w:rPr>
          <w:rFonts w:ascii="Arial" w:hAnsi="Arial" w:cs="Arial"/>
        </w:rPr>
        <w:t>d be amended to empower the FWC,</w:t>
      </w:r>
      <w:r w:rsidR="00B4072F" w:rsidRPr="00B4072F">
        <w:rPr>
          <w:rFonts w:ascii="Arial" w:hAnsi="Arial" w:cs="Arial"/>
        </w:rPr>
        <w:t xml:space="preserve"> </w:t>
      </w:r>
      <w:r w:rsidR="00B4072F" w:rsidRPr="0062314E">
        <w:rPr>
          <w:rFonts w:ascii="Arial" w:hAnsi="Arial" w:cs="Arial"/>
        </w:rPr>
        <w:t xml:space="preserve">where apparent defects have been identified in the content and form of the </w:t>
      </w:r>
      <w:r w:rsidR="00B4072F">
        <w:rPr>
          <w:rFonts w:ascii="Arial" w:hAnsi="Arial" w:cs="Arial"/>
        </w:rPr>
        <w:t>notice</w:t>
      </w:r>
      <w:r w:rsidR="00505766">
        <w:rPr>
          <w:rFonts w:ascii="Arial" w:hAnsi="Arial" w:cs="Arial"/>
        </w:rPr>
        <w:t>, to take into account factors such as t</w:t>
      </w:r>
      <w:r w:rsidR="00505766">
        <w:rPr>
          <w:rFonts w:ascii="Arial" w:hAnsi="Arial" w:cs="Arial"/>
          <w:bCs/>
        </w:rPr>
        <w:t>he severity of the defects</w:t>
      </w:r>
      <w:r w:rsidR="004A375A" w:rsidRPr="004A375A">
        <w:rPr>
          <w:rFonts w:ascii="Arial" w:hAnsi="Arial" w:cs="Arial"/>
          <w:bCs/>
        </w:rPr>
        <w:t xml:space="preserve"> </w:t>
      </w:r>
      <w:r w:rsidR="004A375A">
        <w:rPr>
          <w:rFonts w:ascii="Arial" w:hAnsi="Arial" w:cs="Arial"/>
          <w:bCs/>
        </w:rPr>
        <w:t>and whether they had a real or likely adverse impact on the parties or adversely influenced the conduct or outcome of bargaining.</w:t>
      </w:r>
    </w:p>
    <w:p w:rsidR="009A4525" w:rsidRPr="0070774A" w:rsidRDefault="009A4525" w:rsidP="009A4525">
      <w:pPr>
        <w:rPr>
          <w:rFonts w:ascii="Arial" w:hAnsi="Arial" w:cs="Arial"/>
        </w:rPr>
      </w:pPr>
      <w:r w:rsidRPr="0070774A">
        <w:rPr>
          <w:rFonts w:ascii="Arial" w:hAnsi="Arial" w:cs="Arial"/>
        </w:rPr>
        <w:t xml:space="preserve">The </w:t>
      </w:r>
      <w:r w:rsidR="00EF4D68">
        <w:rPr>
          <w:rFonts w:ascii="Arial" w:hAnsi="Arial" w:cs="Arial"/>
        </w:rPr>
        <w:t>Productivity</w:t>
      </w:r>
      <w:r w:rsidR="00EF4BBD">
        <w:rPr>
          <w:rFonts w:ascii="Arial" w:hAnsi="Arial" w:cs="Arial"/>
        </w:rPr>
        <w:t xml:space="preserve"> </w:t>
      </w:r>
      <w:r w:rsidR="00EF4D68">
        <w:rPr>
          <w:rFonts w:ascii="Arial" w:hAnsi="Arial" w:cs="Arial"/>
        </w:rPr>
        <w:t>Commission</w:t>
      </w:r>
      <w:r w:rsidR="00EF4BBD">
        <w:rPr>
          <w:rFonts w:ascii="Arial" w:hAnsi="Arial" w:cs="Arial"/>
        </w:rPr>
        <w:t xml:space="preserve"> </w:t>
      </w:r>
      <w:r w:rsidRPr="0070774A">
        <w:rPr>
          <w:rFonts w:ascii="Arial" w:hAnsi="Arial" w:cs="Arial"/>
        </w:rPr>
        <w:t xml:space="preserve">may </w:t>
      </w:r>
      <w:r>
        <w:rPr>
          <w:rFonts w:ascii="Arial" w:hAnsi="Arial" w:cs="Arial"/>
        </w:rPr>
        <w:t xml:space="preserve">also </w:t>
      </w:r>
      <w:r w:rsidRPr="0070774A">
        <w:rPr>
          <w:rFonts w:ascii="Arial" w:hAnsi="Arial" w:cs="Arial"/>
        </w:rPr>
        <w:t>consider more effective and contemporary ways of informing employees of the</w:t>
      </w:r>
      <w:r w:rsidR="00E020E3">
        <w:rPr>
          <w:rFonts w:ascii="Arial" w:hAnsi="Arial" w:cs="Arial"/>
        </w:rPr>
        <w:t>ir</w:t>
      </w:r>
      <w:r w:rsidRPr="0070774A">
        <w:rPr>
          <w:rFonts w:ascii="Arial" w:hAnsi="Arial" w:cs="Arial"/>
        </w:rPr>
        <w:t xml:space="preserve"> representational rights, possibly through better use of technology, rather than paper based forms.</w:t>
      </w:r>
    </w:p>
    <w:p w:rsidR="00AF401A" w:rsidRDefault="00AF401A" w:rsidP="006D1D72">
      <w:pPr>
        <w:rPr>
          <w:rFonts w:ascii="Arial" w:hAnsi="Arial" w:cs="Arial"/>
        </w:rPr>
      </w:pPr>
      <w:r w:rsidRPr="006D1D72">
        <w:rPr>
          <w:rFonts w:ascii="Arial" w:hAnsi="Arial" w:cs="Arial"/>
        </w:rPr>
        <w:t>CCER supports general protections against unlawful adverse action such as discrimination</w:t>
      </w:r>
      <w:r w:rsidR="00A61848">
        <w:rPr>
          <w:rFonts w:ascii="Arial" w:hAnsi="Arial" w:cs="Arial"/>
        </w:rPr>
        <w:t xml:space="preserve">, victimisation </w:t>
      </w:r>
      <w:r w:rsidR="006D1D72">
        <w:rPr>
          <w:rFonts w:ascii="Arial" w:hAnsi="Arial" w:cs="Arial"/>
        </w:rPr>
        <w:t>and</w:t>
      </w:r>
      <w:r w:rsidRPr="006D1D72">
        <w:rPr>
          <w:rFonts w:ascii="Arial" w:hAnsi="Arial" w:cs="Arial"/>
        </w:rPr>
        <w:t xml:space="preserve"> anti-bullying measures</w:t>
      </w:r>
      <w:r w:rsidR="006D1D72">
        <w:rPr>
          <w:rFonts w:ascii="Arial" w:hAnsi="Arial" w:cs="Arial"/>
        </w:rPr>
        <w:t>. However</w:t>
      </w:r>
      <w:r w:rsidR="008C1167">
        <w:rPr>
          <w:rFonts w:ascii="Arial" w:hAnsi="Arial" w:cs="Arial"/>
        </w:rPr>
        <w:t>, we</w:t>
      </w:r>
      <w:r w:rsidR="006D1D72">
        <w:rPr>
          <w:rFonts w:ascii="Arial" w:hAnsi="Arial" w:cs="Arial"/>
        </w:rPr>
        <w:t xml:space="preserve"> are </w:t>
      </w:r>
      <w:r w:rsidRPr="006D1D72">
        <w:rPr>
          <w:rFonts w:ascii="Arial" w:hAnsi="Arial" w:cs="Arial"/>
        </w:rPr>
        <w:t>concern</w:t>
      </w:r>
      <w:r w:rsidR="006D1D72">
        <w:rPr>
          <w:rFonts w:ascii="Arial" w:hAnsi="Arial" w:cs="Arial"/>
        </w:rPr>
        <w:t>ed</w:t>
      </w:r>
      <w:r w:rsidRPr="006D1D72">
        <w:rPr>
          <w:rFonts w:ascii="Arial" w:hAnsi="Arial" w:cs="Arial"/>
        </w:rPr>
        <w:t xml:space="preserve"> that when a third party </w:t>
      </w:r>
      <w:r w:rsidR="008C1167">
        <w:rPr>
          <w:rFonts w:ascii="Arial" w:hAnsi="Arial" w:cs="Arial"/>
        </w:rPr>
        <w:t>arbitrator</w:t>
      </w:r>
      <w:r w:rsidR="006D1D72">
        <w:rPr>
          <w:rFonts w:ascii="Arial" w:hAnsi="Arial" w:cs="Arial"/>
        </w:rPr>
        <w:t xml:space="preserve"> </w:t>
      </w:r>
      <w:r w:rsidRPr="006D1D72">
        <w:rPr>
          <w:rFonts w:ascii="Arial" w:hAnsi="Arial" w:cs="Arial"/>
        </w:rPr>
        <w:t xml:space="preserve">becomes </w:t>
      </w:r>
      <w:r w:rsidR="00603B8F">
        <w:rPr>
          <w:rFonts w:ascii="Arial" w:hAnsi="Arial" w:cs="Arial"/>
        </w:rPr>
        <w:t xml:space="preserve">prematurely </w:t>
      </w:r>
      <w:r w:rsidRPr="006D1D72">
        <w:rPr>
          <w:rFonts w:ascii="Arial" w:hAnsi="Arial" w:cs="Arial"/>
        </w:rPr>
        <w:t xml:space="preserve">involved in a workplace dispute, tensions escalate, positions become </w:t>
      </w:r>
      <w:r w:rsidR="008C1167" w:rsidRPr="006D1D72">
        <w:rPr>
          <w:rFonts w:ascii="Arial" w:hAnsi="Arial" w:cs="Arial"/>
        </w:rPr>
        <w:t>entrenched,</w:t>
      </w:r>
      <w:r w:rsidRPr="006D1D72">
        <w:rPr>
          <w:rFonts w:ascii="Arial" w:hAnsi="Arial" w:cs="Arial"/>
        </w:rPr>
        <w:t xml:space="preserve"> </w:t>
      </w:r>
      <w:r w:rsidR="006D1D72">
        <w:rPr>
          <w:rFonts w:ascii="Arial" w:hAnsi="Arial" w:cs="Arial"/>
        </w:rPr>
        <w:t>and</w:t>
      </w:r>
      <w:r w:rsidRPr="006D1D72">
        <w:rPr>
          <w:rFonts w:ascii="Arial" w:hAnsi="Arial" w:cs="Arial"/>
        </w:rPr>
        <w:t xml:space="preserve"> it can become increasing difficult to salvage the working relationship</w:t>
      </w:r>
      <w:r w:rsidR="006D1D72">
        <w:rPr>
          <w:rFonts w:ascii="Arial" w:hAnsi="Arial" w:cs="Arial"/>
        </w:rPr>
        <w:t>.</w:t>
      </w:r>
      <w:r w:rsidRPr="006D1D72">
        <w:rPr>
          <w:rFonts w:ascii="Arial" w:hAnsi="Arial" w:cs="Arial"/>
        </w:rPr>
        <w:t xml:space="preserve"> </w:t>
      </w:r>
    </w:p>
    <w:p w:rsidR="008658D0" w:rsidRDefault="008658D0" w:rsidP="006D1D72">
      <w:pPr>
        <w:rPr>
          <w:rFonts w:ascii="Arial" w:hAnsi="Arial" w:cs="Arial"/>
          <w:bCs/>
        </w:rPr>
      </w:pPr>
      <w:r>
        <w:rPr>
          <w:rFonts w:ascii="Arial" w:hAnsi="Arial" w:cs="Arial"/>
        </w:rPr>
        <w:t xml:space="preserve">The </w:t>
      </w:r>
      <w:r w:rsidR="00AF401A" w:rsidRPr="00120733">
        <w:rPr>
          <w:rFonts w:ascii="Arial" w:hAnsi="Arial" w:cs="Arial"/>
        </w:rPr>
        <w:t>n</w:t>
      </w:r>
      <w:r w:rsidR="00120733">
        <w:rPr>
          <w:rFonts w:ascii="Arial" w:hAnsi="Arial" w:cs="Arial"/>
        </w:rPr>
        <w:t xml:space="preserve">umber of </w:t>
      </w:r>
      <w:r w:rsidR="00AF401A" w:rsidRPr="00120733">
        <w:rPr>
          <w:rFonts w:ascii="Arial" w:hAnsi="Arial" w:cs="Arial"/>
        </w:rPr>
        <w:t>individual disputes lodged with</w:t>
      </w:r>
      <w:r w:rsidR="00E020E3">
        <w:rPr>
          <w:rFonts w:ascii="Arial" w:hAnsi="Arial" w:cs="Arial"/>
        </w:rPr>
        <w:t xml:space="preserve"> the</w:t>
      </w:r>
      <w:r w:rsidR="00AF401A" w:rsidRPr="00120733">
        <w:rPr>
          <w:rFonts w:ascii="Arial" w:hAnsi="Arial" w:cs="Arial"/>
        </w:rPr>
        <w:t xml:space="preserve"> FWC</w:t>
      </w:r>
      <w:r w:rsidR="00120733">
        <w:rPr>
          <w:rFonts w:ascii="Arial" w:hAnsi="Arial" w:cs="Arial"/>
        </w:rPr>
        <w:t xml:space="preserve"> that </w:t>
      </w:r>
      <w:r w:rsidR="00120733">
        <w:rPr>
          <w:rFonts w:ascii="Arial" w:hAnsi="Arial" w:cs="Arial"/>
          <w:bCs/>
        </w:rPr>
        <w:t xml:space="preserve">occur while the employment relationship remains on foot </w:t>
      </w:r>
      <w:r w:rsidR="00120733">
        <w:rPr>
          <w:rFonts w:ascii="Arial" w:hAnsi="Arial" w:cs="Arial"/>
        </w:rPr>
        <w:t>(</w:t>
      </w:r>
      <w:r w:rsidR="00E020E3">
        <w:rPr>
          <w:rFonts w:ascii="Arial" w:hAnsi="Arial" w:cs="Arial"/>
        </w:rPr>
        <w:t xml:space="preserve">non-dismissal </w:t>
      </w:r>
      <w:r w:rsidR="00120733">
        <w:rPr>
          <w:rFonts w:ascii="Arial" w:hAnsi="Arial" w:cs="Arial"/>
          <w:bCs/>
        </w:rPr>
        <w:t>adverse action and bullying matters</w:t>
      </w:r>
      <w:r w:rsidR="004D4863">
        <w:rPr>
          <w:rFonts w:ascii="Arial" w:hAnsi="Arial" w:cs="Arial"/>
          <w:bCs/>
        </w:rPr>
        <w:t>)</w:t>
      </w:r>
      <w:r w:rsidR="00802B0F">
        <w:rPr>
          <w:rFonts w:ascii="Arial" w:hAnsi="Arial" w:cs="Arial"/>
          <w:bCs/>
        </w:rPr>
        <w:t xml:space="preserve"> is increasing</w:t>
      </w:r>
      <w:r>
        <w:rPr>
          <w:rFonts w:ascii="Arial" w:hAnsi="Arial" w:cs="Arial"/>
          <w:bCs/>
        </w:rPr>
        <w:t xml:space="preserve">. Further, </w:t>
      </w:r>
      <w:r w:rsidR="00A743DA">
        <w:rPr>
          <w:rFonts w:ascii="Arial" w:hAnsi="Arial" w:cs="Arial"/>
          <w:bCs/>
        </w:rPr>
        <w:t>some data</w:t>
      </w:r>
      <w:r>
        <w:rPr>
          <w:rFonts w:ascii="Arial" w:hAnsi="Arial" w:cs="Arial"/>
          <w:bCs/>
        </w:rPr>
        <w:t xml:space="preserve"> suggest</w:t>
      </w:r>
      <w:r w:rsidR="00532FBC">
        <w:rPr>
          <w:rFonts w:ascii="Arial" w:hAnsi="Arial" w:cs="Arial"/>
          <w:bCs/>
        </w:rPr>
        <w:t>s</w:t>
      </w:r>
      <w:r>
        <w:rPr>
          <w:rFonts w:ascii="Arial" w:hAnsi="Arial" w:cs="Arial"/>
          <w:bCs/>
        </w:rPr>
        <w:t xml:space="preserve"> that many of these </w:t>
      </w:r>
      <w:r w:rsidR="00BB31C4">
        <w:rPr>
          <w:rFonts w:ascii="Arial" w:hAnsi="Arial" w:cs="Arial"/>
          <w:bCs/>
        </w:rPr>
        <w:t xml:space="preserve">complaints </w:t>
      </w:r>
      <w:r w:rsidR="00532FBC">
        <w:rPr>
          <w:rFonts w:ascii="Arial" w:hAnsi="Arial" w:cs="Arial"/>
          <w:bCs/>
        </w:rPr>
        <w:t xml:space="preserve">are </w:t>
      </w:r>
      <w:r w:rsidR="00BB31C4">
        <w:rPr>
          <w:rFonts w:ascii="Arial" w:hAnsi="Arial" w:cs="Arial"/>
          <w:bCs/>
        </w:rPr>
        <w:t xml:space="preserve">really </w:t>
      </w:r>
      <w:r w:rsidR="00A743DA">
        <w:rPr>
          <w:rFonts w:ascii="Arial" w:hAnsi="Arial" w:cs="Arial"/>
          <w:bCs/>
        </w:rPr>
        <w:t xml:space="preserve">about </w:t>
      </w:r>
      <w:r w:rsidR="00BB31C4">
        <w:rPr>
          <w:rFonts w:ascii="Arial" w:hAnsi="Arial" w:cs="Arial"/>
          <w:bCs/>
        </w:rPr>
        <w:t xml:space="preserve">workplace </w:t>
      </w:r>
      <w:r w:rsidR="00262382">
        <w:rPr>
          <w:rFonts w:ascii="Arial" w:hAnsi="Arial" w:cs="Arial"/>
          <w:bCs/>
        </w:rPr>
        <w:t>conflicts</w:t>
      </w:r>
      <w:r w:rsidR="00A743DA">
        <w:rPr>
          <w:rFonts w:ascii="Arial" w:hAnsi="Arial" w:cs="Arial"/>
          <w:bCs/>
        </w:rPr>
        <w:t xml:space="preserve"> such as </w:t>
      </w:r>
      <w:r w:rsidR="00A743DA" w:rsidRPr="00024F47">
        <w:rPr>
          <w:rFonts w:ascii="Arial" w:hAnsi="Arial" w:cs="Arial"/>
        </w:rPr>
        <w:t xml:space="preserve">personality conflicts, clashes in </w:t>
      </w:r>
      <w:r w:rsidR="00A743DA">
        <w:rPr>
          <w:rFonts w:ascii="Arial" w:hAnsi="Arial" w:cs="Arial"/>
        </w:rPr>
        <w:t>inter-</w:t>
      </w:r>
      <w:r w:rsidR="00A743DA" w:rsidRPr="00024F47">
        <w:rPr>
          <w:rFonts w:ascii="Arial" w:hAnsi="Arial" w:cs="Arial"/>
        </w:rPr>
        <w:t>person</w:t>
      </w:r>
      <w:r w:rsidR="00A743DA">
        <w:rPr>
          <w:rFonts w:ascii="Arial" w:hAnsi="Arial" w:cs="Arial"/>
        </w:rPr>
        <w:t>al</w:t>
      </w:r>
      <w:r w:rsidR="00A743DA" w:rsidRPr="00024F47">
        <w:rPr>
          <w:rFonts w:ascii="Arial" w:hAnsi="Arial" w:cs="Arial"/>
        </w:rPr>
        <w:t xml:space="preserve"> styles</w:t>
      </w:r>
      <w:r w:rsidR="00A743DA">
        <w:rPr>
          <w:rFonts w:ascii="Arial" w:hAnsi="Arial" w:cs="Arial"/>
        </w:rPr>
        <w:t xml:space="preserve"> and </w:t>
      </w:r>
      <w:r w:rsidR="00A743DA" w:rsidRPr="00024F47">
        <w:rPr>
          <w:rFonts w:ascii="Arial" w:hAnsi="Arial" w:cs="Arial"/>
        </w:rPr>
        <w:t>organisational issues</w:t>
      </w:r>
      <w:r w:rsidR="00A743DA">
        <w:rPr>
          <w:rFonts w:ascii="Arial" w:hAnsi="Arial" w:cs="Arial"/>
        </w:rPr>
        <w:t>.</w:t>
      </w:r>
    </w:p>
    <w:p w:rsidR="00A61848" w:rsidRDefault="00120733" w:rsidP="006D1D72">
      <w:pPr>
        <w:rPr>
          <w:rFonts w:ascii="Arial" w:hAnsi="Arial" w:cs="Arial"/>
          <w:bCs/>
        </w:rPr>
      </w:pPr>
      <w:r>
        <w:rPr>
          <w:rFonts w:ascii="Arial" w:hAnsi="Arial" w:cs="Arial"/>
          <w:bCs/>
        </w:rPr>
        <w:t>CCER</w:t>
      </w:r>
      <w:r w:rsidR="00FE5453">
        <w:rPr>
          <w:rFonts w:ascii="Arial" w:hAnsi="Arial" w:cs="Arial"/>
          <w:bCs/>
        </w:rPr>
        <w:t>’s</w:t>
      </w:r>
      <w:r w:rsidR="00FE5453" w:rsidRPr="00FE5453">
        <w:rPr>
          <w:rFonts w:ascii="Arial" w:hAnsi="Arial" w:cs="Arial"/>
          <w:bCs/>
        </w:rPr>
        <w:t xml:space="preserve"> </w:t>
      </w:r>
      <w:r w:rsidR="00FE5453" w:rsidRPr="00065D3A">
        <w:rPr>
          <w:rFonts w:ascii="Arial" w:hAnsi="Arial" w:cs="Arial"/>
          <w:bCs/>
        </w:rPr>
        <w:t xml:space="preserve">aim </w:t>
      </w:r>
      <w:r w:rsidR="00FE5453">
        <w:rPr>
          <w:rFonts w:ascii="Arial" w:hAnsi="Arial" w:cs="Arial"/>
          <w:bCs/>
        </w:rPr>
        <w:t xml:space="preserve">is </w:t>
      </w:r>
      <w:r w:rsidR="00FE5453" w:rsidRPr="00065D3A">
        <w:rPr>
          <w:rFonts w:ascii="Arial" w:hAnsi="Arial" w:cs="Arial"/>
          <w:bCs/>
        </w:rPr>
        <w:t xml:space="preserve">to ensure adequate measures have been sufficiently explored </w:t>
      </w:r>
      <w:r w:rsidR="008658D0">
        <w:rPr>
          <w:rFonts w:ascii="Arial" w:hAnsi="Arial" w:cs="Arial"/>
          <w:bCs/>
        </w:rPr>
        <w:t xml:space="preserve">to resolve disputes </w:t>
      </w:r>
      <w:r w:rsidR="00FE5453" w:rsidRPr="00065D3A">
        <w:rPr>
          <w:rFonts w:ascii="Arial" w:hAnsi="Arial" w:cs="Arial"/>
          <w:bCs/>
        </w:rPr>
        <w:t xml:space="preserve">at the local level </w:t>
      </w:r>
      <w:r w:rsidR="00FE5453">
        <w:rPr>
          <w:rFonts w:ascii="Arial" w:hAnsi="Arial" w:cs="Arial"/>
          <w:bCs/>
        </w:rPr>
        <w:t>t</w:t>
      </w:r>
      <w:r w:rsidR="00FE5453" w:rsidRPr="00762230">
        <w:rPr>
          <w:rFonts w:ascii="Arial" w:hAnsi="Arial" w:cs="Arial"/>
          <w:bCs/>
        </w:rPr>
        <w:t>o achieve more positive, productive, efficient and fair outcomes for the parties involved</w:t>
      </w:r>
      <w:r w:rsidR="00FE5453">
        <w:rPr>
          <w:rFonts w:ascii="Arial" w:hAnsi="Arial" w:cs="Arial"/>
          <w:bCs/>
        </w:rPr>
        <w:t>.</w:t>
      </w:r>
    </w:p>
    <w:p w:rsidR="00AF401A" w:rsidRDefault="00C031E6" w:rsidP="00CB10F1">
      <w:pPr>
        <w:tabs>
          <w:tab w:val="num" w:pos="1440"/>
          <w:tab w:val="num" w:pos="2160"/>
        </w:tabs>
        <w:rPr>
          <w:rFonts w:ascii="Arial" w:hAnsi="Arial" w:cs="Arial"/>
        </w:rPr>
      </w:pPr>
      <w:r>
        <w:rPr>
          <w:rFonts w:ascii="Arial" w:hAnsi="Arial" w:cs="Arial"/>
          <w:bCs/>
        </w:rPr>
        <w:t xml:space="preserve">To this end, </w:t>
      </w:r>
      <w:r w:rsidR="00C21869">
        <w:rPr>
          <w:rFonts w:ascii="Arial" w:hAnsi="Arial" w:cs="Arial"/>
          <w:bCs/>
        </w:rPr>
        <w:t>CCER</w:t>
      </w:r>
      <w:r w:rsidR="007B49AE">
        <w:rPr>
          <w:rFonts w:ascii="Arial" w:hAnsi="Arial" w:cs="Arial"/>
          <w:bCs/>
        </w:rPr>
        <w:t xml:space="preserve"> proposes </w:t>
      </w:r>
      <w:r>
        <w:rPr>
          <w:rFonts w:ascii="Arial" w:hAnsi="Arial" w:cs="Arial"/>
          <w:bCs/>
        </w:rPr>
        <w:t xml:space="preserve">the introduction of </w:t>
      </w:r>
      <w:r w:rsidR="007B49AE">
        <w:rPr>
          <w:rFonts w:ascii="Arial" w:hAnsi="Arial" w:cs="Arial"/>
          <w:bCs/>
        </w:rPr>
        <w:t xml:space="preserve">a </w:t>
      </w:r>
      <w:r w:rsidR="00AF401A" w:rsidRPr="00C031E6">
        <w:rPr>
          <w:rFonts w:ascii="Arial" w:hAnsi="Arial" w:cs="Arial"/>
        </w:rPr>
        <w:t xml:space="preserve">threshold test for </w:t>
      </w:r>
      <w:r>
        <w:rPr>
          <w:rFonts w:ascii="Arial" w:hAnsi="Arial" w:cs="Arial"/>
        </w:rPr>
        <w:t xml:space="preserve">non-dismissal </w:t>
      </w:r>
      <w:r w:rsidR="00C21869" w:rsidRPr="00C031E6">
        <w:rPr>
          <w:rFonts w:ascii="Arial" w:hAnsi="Arial" w:cs="Arial"/>
        </w:rPr>
        <w:t>complaints that</w:t>
      </w:r>
      <w:r>
        <w:rPr>
          <w:rFonts w:ascii="Arial" w:hAnsi="Arial" w:cs="Arial"/>
        </w:rPr>
        <w:t xml:space="preserve"> r</w:t>
      </w:r>
      <w:r w:rsidR="00AF401A" w:rsidRPr="00C031E6">
        <w:rPr>
          <w:rFonts w:ascii="Arial" w:hAnsi="Arial" w:cs="Arial"/>
        </w:rPr>
        <w:t>equir</w:t>
      </w:r>
      <w:r w:rsidR="007072A1">
        <w:rPr>
          <w:rFonts w:ascii="Arial" w:hAnsi="Arial" w:cs="Arial"/>
        </w:rPr>
        <w:t>es</w:t>
      </w:r>
      <w:r w:rsidR="00AF401A" w:rsidRPr="00C031E6">
        <w:rPr>
          <w:rFonts w:ascii="Arial" w:hAnsi="Arial" w:cs="Arial"/>
        </w:rPr>
        <w:t xml:space="preserve"> the </w:t>
      </w:r>
      <w:r>
        <w:rPr>
          <w:rFonts w:ascii="Arial" w:hAnsi="Arial" w:cs="Arial"/>
        </w:rPr>
        <w:t>a</w:t>
      </w:r>
      <w:r w:rsidR="00AF401A" w:rsidRPr="00C031E6">
        <w:rPr>
          <w:rFonts w:ascii="Arial" w:hAnsi="Arial" w:cs="Arial"/>
        </w:rPr>
        <w:t>pplicant to demonstrate they have taken reasonable steps at the workplace level to resolve their dispute before l</w:t>
      </w:r>
      <w:r w:rsidR="007072A1">
        <w:rPr>
          <w:rFonts w:ascii="Arial" w:hAnsi="Arial" w:cs="Arial"/>
        </w:rPr>
        <w:t>odging their claim with the FWC.</w:t>
      </w:r>
      <w:r w:rsidR="00CB10F1">
        <w:rPr>
          <w:rFonts w:ascii="Arial" w:hAnsi="Arial" w:cs="Arial"/>
        </w:rPr>
        <w:t xml:space="preserve"> Such a step would be co</w:t>
      </w:r>
      <w:r w:rsidR="00AF401A" w:rsidRPr="00CB10F1">
        <w:rPr>
          <w:rFonts w:ascii="Arial" w:hAnsi="Arial" w:cs="Arial"/>
        </w:rPr>
        <w:t>mparable with model dispute resolution requirements</w:t>
      </w:r>
      <w:r w:rsidR="00CB10F1">
        <w:rPr>
          <w:rFonts w:ascii="Arial" w:hAnsi="Arial" w:cs="Arial"/>
        </w:rPr>
        <w:t xml:space="preserve">. </w:t>
      </w:r>
    </w:p>
    <w:p w:rsidR="00AF401A" w:rsidRDefault="007B49AE" w:rsidP="00752C79">
      <w:pPr>
        <w:tabs>
          <w:tab w:val="num" w:pos="2160"/>
        </w:tabs>
        <w:rPr>
          <w:rFonts w:ascii="Arial" w:hAnsi="Arial" w:cs="Arial"/>
        </w:rPr>
      </w:pPr>
      <w:r>
        <w:rPr>
          <w:rFonts w:ascii="Arial" w:hAnsi="Arial" w:cs="Arial"/>
        </w:rPr>
        <w:t xml:space="preserve">Other proposals are to refer bullying claims to the relevant work, </w:t>
      </w:r>
      <w:r w:rsidR="00F7799D">
        <w:rPr>
          <w:rFonts w:ascii="Arial" w:hAnsi="Arial" w:cs="Arial"/>
        </w:rPr>
        <w:t>health,</w:t>
      </w:r>
      <w:r>
        <w:rPr>
          <w:rFonts w:ascii="Arial" w:hAnsi="Arial" w:cs="Arial"/>
        </w:rPr>
        <w:t xml:space="preserve"> and safety regulator for an i</w:t>
      </w:r>
      <w:r w:rsidR="00F7799D">
        <w:rPr>
          <w:rFonts w:ascii="Arial" w:hAnsi="Arial" w:cs="Arial"/>
        </w:rPr>
        <w:t xml:space="preserve">nitial </w:t>
      </w:r>
      <w:r>
        <w:rPr>
          <w:rFonts w:ascii="Arial" w:hAnsi="Arial" w:cs="Arial"/>
        </w:rPr>
        <w:t xml:space="preserve">risk assessment </w:t>
      </w:r>
      <w:r w:rsidR="00F7799D">
        <w:rPr>
          <w:rFonts w:ascii="Arial" w:hAnsi="Arial" w:cs="Arial"/>
        </w:rPr>
        <w:t>and</w:t>
      </w:r>
      <w:r>
        <w:rPr>
          <w:rFonts w:ascii="Arial" w:hAnsi="Arial" w:cs="Arial"/>
        </w:rPr>
        <w:t xml:space="preserve"> to </w:t>
      </w:r>
      <w:r w:rsidR="00F7799D">
        <w:rPr>
          <w:rFonts w:ascii="Arial" w:hAnsi="Arial" w:cs="Arial"/>
        </w:rPr>
        <w:t>consider</w:t>
      </w:r>
      <w:r>
        <w:rPr>
          <w:rFonts w:ascii="Arial" w:hAnsi="Arial" w:cs="Arial"/>
        </w:rPr>
        <w:t xml:space="preserve"> the </w:t>
      </w:r>
      <w:r w:rsidR="004C6732">
        <w:rPr>
          <w:rFonts w:ascii="Arial" w:hAnsi="Arial" w:cs="Arial"/>
        </w:rPr>
        <w:t>i</w:t>
      </w:r>
      <w:r w:rsidR="00AF401A" w:rsidRPr="00752C79">
        <w:rPr>
          <w:rFonts w:ascii="Arial" w:hAnsi="Arial" w:cs="Arial"/>
        </w:rPr>
        <w:t>ntroduc</w:t>
      </w:r>
      <w:r>
        <w:rPr>
          <w:rFonts w:ascii="Arial" w:hAnsi="Arial" w:cs="Arial"/>
        </w:rPr>
        <w:t xml:space="preserve">tion of </w:t>
      </w:r>
      <w:r w:rsidR="00AF401A" w:rsidRPr="00752C79">
        <w:rPr>
          <w:rFonts w:ascii="Arial" w:hAnsi="Arial" w:cs="Arial"/>
        </w:rPr>
        <w:t xml:space="preserve">alternative dispute resolution (ADR) </w:t>
      </w:r>
      <w:r w:rsidR="00F7799D" w:rsidRPr="00752C79">
        <w:rPr>
          <w:rFonts w:ascii="Arial" w:hAnsi="Arial" w:cs="Arial"/>
        </w:rPr>
        <w:t>processes such</w:t>
      </w:r>
      <w:r w:rsidR="00AF401A" w:rsidRPr="00752C79">
        <w:rPr>
          <w:rFonts w:ascii="Arial" w:hAnsi="Arial" w:cs="Arial"/>
        </w:rPr>
        <w:t xml:space="preserve"> as mediation or restorative justice conferencing as an option prior to</w:t>
      </w:r>
      <w:r w:rsidR="00F7799D">
        <w:rPr>
          <w:rFonts w:ascii="Arial" w:hAnsi="Arial" w:cs="Arial"/>
        </w:rPr>
        <w:t xml:space="preserve"> or</w:t>
      </w:r>
      <w:r w:rsidR="000A0A14">
        <w:rPr>
          <w:rFonts w:ascii="Arial" w:hAnsi="Arial" w:cs="Arial"/>
        </w:rPr>
        <w:t>,</w:t>
      </w:r>
      <w:r w:rsidR="00F7799D">
        <w:rPr>
          <w:rFonts w:ascii="Arial" w:hAnsi="Arial" w:cs="Arial"/>
        </w:rPr>
        <w:t xml:space="preserve"> </w:t>
      </w:r>
      <w:r w:rsidR="00AF401A" w:rsidRPr="00752C79">
        <w:rPr>
          <w:rFonts w:ascii="Arial" w:hAnsi="Arial" w:cs="Arial"/>
        </w:rPr>
        <w:t>as an alternative to</w:t>
      </w:r>
      <w:r w:rsidR="000A0A14">
        <w:rPr>
          <w:rFonts w:ascii="Arial" w:hAnsi="Arial" w:cs="Arial"/>
        </w:rPr>
        <w:t>,</w:t>
      </w:r>
      <w:r w:rsidR="00AF401A" w:rsidRPr="00752C79">
        <w:rPr>
          <w:rFonts w:ascii="Arial" w:hAnsi="Arial" w:cs="Arial"/>
        </w:rPr>
        <w:t xml:space="preserve"> a conference held </w:t>
      </w:r>
      <w:r>
        <w:rPr>
          <w:rFonts w:ascii="Arial" w:hAnsi="Arial" w:cs="Arial"/>
        </w:rPr>
        <w:t>by</w:t>
      </w:r>
      <w:r w:rsidR="00AF401A" w:rsidRPr="00752C79">
        <w:rPr>
          <w:rFonts w:ascii="Arial" w:hAnsi="Arial" w:cs="Arial"/>
        </w:rPr>
        <w:t xml:space="preserve"> the FWC</w:t>
      </w:r>
      <w:r w:rsidR="004C6732">
        <w:rPr>
          <w:rFonts w:ascii="Arial" w:hAnsi="Arial" w:cs="Arial"/>
        </w:rPr>
        <w:t>.</w:t>
      </w:r>
    </w:p>
    <w:p w:rsidR="00752C79" w:rsidRPr="0098594B" w:rsidRDefault="00AF401A" w:rsidP="0098594B">
      <w:pPr>
        <w:tabs>
          <w:tab w:val="num" w:pos="2160"/>
        </w:tabs>
        <w:rPr>
          <w:rFonts w:ascii="Arial" w:hAnsi="Arial" w:cs="Arial"/>
        </w:rPr>
      </w:pPr>
      <w:r w:rsidRPr="0098594B">
        <w:rPr>
          <w:rFonts w:ascii="Arial" w:hAnsi="Arial" w:cs="Arial"/>
        </w:rPr>
        <w:lastRenderedPageBreak/>
        <w:t>CCER strongly supports the right of redress for genuine unfair dismissal</w:t>
      </w:r>
      <w:r w:rsidR="0098594B">
        <w:rPr>
          <w:rFonts w:ascii="Arial" w:hAnsi="Arial" w:cs="Arial"/>
        </w:rPr>
        <w:t xml:space="preserve">. </w:t>
      </w:r>
      <w:r w:rsidR="0098594B" w:rsidRPr="0098594B">
        <w:rPr>
          <w:rFonts w:ascii="Arial" w:hAnsi="Arial" w:cs="Arial"/>
        </w:rPr>
        <w:t xml:space="preserve">However, our concern is when applicant claims lack substance, are meritless, do not have reasonable prospects, are vexatious or instigated for </w:t>
      </w:r>
      <w:r w:rsidR="00BA6A3C">
        <w:rPr>
          <w:rFonts w:ascii="Arial" w:hAnsi="Arial" w:cs="Arial"/>
        </w:rPr>
        <w:t xml:space="preserve">the </w:t>
      </w:r>
      <w:r w:rsidR="0098594B" w:rsidRPr="0098594B">
        <w:rPr>
          <w:rFonts w:ascii="Arial" w:hAnsi="Arial" w:cs="Arial"/>
        </w:rPr>
        <w:t xml:space="preserve">purpose of settlement </w:t>
      </w:r>
      <w:r w:rsidR="00E47A57">
        <w:rPr>
          <w:rFonts w:ascii="Arial" w:hAnsi="Arial" w:cs="Arial"/>
        </w:rPr>
        <w:t xml:space="preserve">and </w:t>
      </w:r>
      <w:r w:rsidR="0098594B" w:rsidRPr="0098594B">
        <w:rPr>
          <w:rFonts w:ascii="Arial" w:hAnsi="Arial" w:cs="Arial"/>
        </w:rPr>
        <w:t>yet</w:t>
      </w:r>
      <w:r w:rsidR="008773A5">
        <w:rPr>
          <w:rFonts w:ascii="Arial" w:hAnsi="Arial" w:cs="Arial"/>
        </w:rPr>
        <w:t>,</w:t>
      </w:r>
      <w:r w:rsidR="0098594B" w:rsidRPr="0098594B">
        <w:rPr>
          <w:rFonts w:ascii="Arial" w:hAnsi="Arial" w:cs="Arial"/>
        </w:rPr>
        <w:t xml:space="preserve"> for commercial reasons</w:t>
      </w:r>
      <w:r w:rsidR="008773A5">
        <w:rPr>
          <w:rFonts w:ascii="Arial" w:hAnsi="Arial" w:cs="Arial"/>
        </w:rPr>
        <w:t>,</w:t>
      </w:r>
      <w:r w:rsidR="0098594B" w:rsidRPr="0098594B">
        <w:rPr>
          <w:rFonts w:ascii="Arial" w:hAnsi="Arial" w:cs="Arial"/>
        </w:rPr>
        <w:t xml:space="preserve"> employers still pay </w:t>
      </w:r>
      <w:r w:rsidR="00E47A57">
        <w:rPr>
          <w:rFonts w:ascii="Arial" w:hAnsi="Arial" w:cs="Arial"/>
        </w:rPr>
        <w:t>‘</w:t>
      </w:r>
      <w:r w:rsidR="0098594B" w:rsidRPr="00E47A57">
        <w:rPr>
          <w:rFonts w:ascii="Arial" w:hAnsi="Arial" w:cs="Arial"/>
          <w:i/>
        </w:rPr>
        <w:t>go-away money</w:t>
      </w:r>
      <w:r w:rsidR="00E47A57" w:rsidRPr="00E47A57">
        <w:rPr>
          <w:rFonts w:ascii="Arial" w:hAnsi="Arial" w:cs="Arial"/>
          <w:i/>
        </w:rPr>
        <w:t>’</w:t>
      </w:r>
      <w:r w:rsidR="0098594B">
        <w:rPr>
          <w:rFonts w:ascii="Arial" w:hAnsi="Arial" w:cs="Arial"/>
        </w:rPr>
        <w:t>.</w:t>
      </w:r>
    </w:p>
    <w:p w:rsidR="00AF401A" w:rsidRPr="007A3552" w:rsidRDefault="0008652D" w:rsidP="00A64BCE">
      <w:pPr>
        <w:tabs>
          <w:tab w:val="num" w:pos="1440"/>
          <w:tab w:val="num" w:pos="2160"/>
        </w:tabs>
        <w:rPr>
          <w:rFonts w:ascii="Arial" w:hAnsi="Arial" w:cs="Arial"/>
        </w:rPr>
      </w:pPr>
      <w:r w:rsidRPr="0008652D">
        <w:rPr>
          <w:rFonts w:ascii="Arial" w:hAnsi="Arial" w:cs="Arial"/>
        </w:rPr>
        <w:t>While no stati</w:t>
      </w:r>
      <w:r>
        <w:rPr>
          <w:rFonts w:ascii="Arial" w:hAnsi="Arial" w:cs="Arial"/>
        </w:rPr>
        <w:t>stics on merits are available, CCER</w:t>
      </w:r>
      <w:r w:rsidRPr="0008652D">
        <w:rPr>
          <w:rFonts w:ascii="Arial" w:hAnsi="Arial" w:cs="Arial"/>
        </w:rPr>
        <w:t xml:space="preserve"> believe</w:t>
      </w:r>
      <w:r>
        <w:rPr>
          <w:rFonts w:ascii="Arial" w:hAnsi="Arial" w:cs="Arial"/>
        </w:rPr>
        <w:t>s</w:t>
      </w:r>
      <w:r w:rsidRPr="0008652D">
        <w:rPr>
          <w:rFonts w:ascii="Arial" w:hAnsi="Arial" w:cs="Arial"/>
        </w:rPr>
        <w:t xml:space="preserve"> a not insignificant proportion of </w:t>
      </w:r>
      <w:r>
        <w:rPr>
          <w:rFonts w:ascii="Arial" w:hAnsi="Arial" w:cs="Arial"/>
        </w:rPr>
        <w:t xml:space="preserve">the 80% of cases </w:t>
      </w:r>
      <w:r w:rsidRPr="0008652D">
        <w:rPr>
          <w:rFonts w:ascii="Arial" w:hAnsi="Arial" w:cs="Arial"/>
        </w:rPr>
        <w:t xml:space="preserve">settled </w:t>
      </w:r>
      <w:r>
        <w:rPr>
          <w:rFonts w:ascii="Arial" w:hAnsi="Arial" w:cs="Arial"/>
        </w:rPr>
        <w:t xml:space="preserve">at conciliation </w:t>
      </w:r>
      <w:r w:rsidRPr="0008652D">
        <w:rPr>
          <w:rFonts w:ascii="Arial" w:hAnsi="Arial" w:cs="Arial"/>
        </w:rPr>
        <w:t>are meritless</w:t>
      </w:r>
      <w:r>
        <w:rPr>
          <w:rFonts w:ascii="Arial" w:hAnsi="Arial" w:cs="Arial"/>
        </w:rPr>
        <w:t>.</w:t>
      </w:r>
      <w:r w:rsidR="007A3552">
        <w:rPr>
          <w:rFonts w:ascii="Arial" w:hAnsi="Arial" w:cs="Arial"/>
        </w:rPr>
        <w:t xml:space="preserve"> In our view, the problem is compounded by the </w:t>
      </w:r>
      <w:r w:rsidR="00AF401A" w:rsidRPr="007A3552">
        <w:rPr>
          <w:rFonts w:ascii="Arial" w:hAnsi="Arial" w:cs="Arial"/>
        </w:rPr>
        <w:t>ease of filing a claim</w:t>
      </w:r>
      <w:r w:rsidR="007A3552">
        <w:rPr>
          <w:rFonts w:ascii="Arial" w:hAnsi="Arial" w:cs="Arial"/>
        </w:rPr>
        <w:t xml:space="preserve">, </w:t>
      </w:r>
      <w:r w:rsidR="005746FF">
        <w:rPr>
          <w:rFonts w:ascii="Arial" w:hAnsi="Arial" w:cs="Arial"/>
        </w:rPr>
        <w:t xml:space="preserve">the </w:t>
      </w:r>
      <w:r w:rsidR="007A3552">
        <w:rPr>
          <w:rFonts w:ascii="Arial" w:hAnsi="Arial" w:cs="Arial"/>
        </w:rPr>
        <w:t>g</w:t>
      </w:r>
      <w:r w:rsidR="00AF401A" w:rsidRPr="007A3552">
        <w:rPr>
          <w:rFonts w:ascii="Arial" w:hAnsi="Arial" w:cs="Arial"/>
        </w:rPr>
        <w:t>uarantee of conciliation</w:t>
      </w:r>
      <w:r w:rsidR="00A657CA">
        <w:rPr>
          <w:rFonts w:ascii="Arial" w:hAnsi="Arial" w:cs="Arial"/>
        </w:rPr>
        <w:t xml:space="preserve"> </w:t>
      </w:r>
      <w:r w:rsidR="00BA6A3C">
        <w:rPr>
          <w:rFonts w:ascii="Arial" w:hAnsi="Arial" w:cs="Arial"/>
        </w:rPr>
        <w:t xml:space="preserve">which is </w:t>
      </w:r>
      <w:r w:rsidR="00A657CA">
        <w:rPr>
          <w:rFonts w:ascii="Arial" w:hAnsi="Arial" w:cs="Arial"/>
        </w:rPr>
        <w:t xml:space="preserve">often focused on settlement </w:t>
      </w:r>
      <w:r w:rsidR="00AF401A" w:rsidRPr="007A3552">
        <w:rPr>
          <w:rFonts w:ascii="Arial" w:hAnsi="Arial" w:cs="Arial"/>
        </w:rPr>
        <w:t>irrespective of merit and jurisdictional objections</w:t>
      </w:r>
      <w:r w:rsidR="00A64BCE">
        <w:rPr>
          <w:rFonts w:ascii="Arial" w:hAnsi="Arial" w:cs="Arial"/>
        </w:rPr>
        <w:t xml:space="preserve"> (</w:t>
      </w:r>
      <w:r w:rsidR="00AF401A" w:rsidRPr="007A3552">
        <w:rPr>
          <w:rFonts w:ascii="Arial" w:hAnsi="Arial" w:cs="Arial"/>
        </w:rPr>
        <w:t xml:space="preserve"> the </w:t>
      </w:r>
      <w:r w:rsidR="00A64BCE">
        <w:rPr>
          <w:rFonts w:ascii="Arial" w:hAnsi="Arial" w:cs="Arial"/>
        </w:rPr>
        <w:t>‘</w:t>
      </w:r>
      <w:r w:rsidR="00AF401A" w:rsidRPr="00BA6A3C">
        <w:rPr>
          <w:rFonts w:ascii="Arial" w:hAnsi="Arial" w:cs="Arial"/>
          <w:i/>
        </w:rPr>
        <w:t>free-kick</w:t>
      </w:r>
      <w:r w:rsidR="00A64BCE" w:rsidRPr="00BA6A3C">
        <w:rPr>
          <w:rFonts w:ascii="Arial" w:hAnsi="Arial" w:cs="Arial"/>
          <w:i/>
        </w:rPr>
        <w:t>’</w:t>
      </w:r>
      <w:r w:rsidR="00AF401A" w:rsidRPr="007A3552">
        <w:rPr>
          <w:rFonts w:ascii="Arial" w:hAnsi="Arial" w:cs="Arial"/>
        </w:rPr>
        <w:t xml:space="preserve"> at settlement</w:t>
      </w:r>
      <w:r w:rsidR="00A64BCE">
        <w:rPr>
          <w:rFonts w:ascii="Arial" w:hAnsi="Arial" w:cs="Arial"/>
        </w:rPr>
        <w:t>)</w:t>
      </w:r>
      <w:r w:rsidR="005746FF">
        <w:rPr>
          <w:rFonts w:ascii="Arial" w:hAnsi="Arial" w:cs="Arial"/>
        </w:rPr>
        <w:t xml:space="preserve">, </w:t>
      </w:r>
      <w:r w:rsidR="00A64BCE">
        <w:rPr>
          <w:rFonts w:ascii="Arial" w:hAnsi="Arial" w:cs="Arial"/>
        </w:rPr>
        <w:t>and the n</w:t>
      </w:r>
      <w:r w:rsidR="00AF401A" w:rsidRPr="007A3552">
        <w:rPr>
          <w:rFonts w:ascii="Arial" w:hAnsi="Arial" w:cs="Arial"/>
        </w:rPr>
        <w:t>o costs jurisdiction (generally)</w:t>
      </w:r>
      <w:r w:rsidR="00A64BCE">
        <w:rPr>
          <w:rFonts w:ascii="Arial" w:hAnsi="Arial" w:cs="Arial"/>
        </w:rPr>
        <w:t>.</w:t>
      </w:r>
    </w:p>
    <w:p w:rsidR="00565CC0" w:rsidRPr="00565CC0" w:rsidRDefault="002800A5" w:rsidP="002800A5">
      <w:pPr>
        <w:rPr>
          <w:rFonts w:ascii="Arial" w:hAnsi="Arial" w:cs="Arial"/>
        </w:rPr>
      </w:pPr>
      <w:r>
        <w:rPr>
          <w:rFonts w:ascii="Arial" w:hAnsi="Arial" w:cs="Arial"/>
        </w:rPr>
        <w:t xml:space="preserve">CCER </w:t>
      </w:r>
      <w:r w:rsidR="007C14C9">
        <w:rPr>
          <w:rFonts w:ascii="Arial" w:hAnsi="Arial" w:cs="Arial"/>
        </w:rPr>
        <w:t>proposes</w:t>
      </w:r>
      <w:r>
        <w:rPr>
          <w:rFonts w:ascii="Arial" w:hAnsi="Arial" w:cs="Arial"/>
        </w:rPr>
        <w:t xml:space="preserve"> </w:t>
      </w:r>
      <w:r w:rsidR="004B3AB7">
        <w:rPr>
          <w:rFonts w:ascii="Arial" w:hAnsi="Arial" w:cs="Arial"/>
        </w:rPr>
        <w:t xml:space="preserve">that the </w:t>
      </w:r>
      <w:r w:rsidR="0074354C">
        <w:rPr>
          <w:rFonts w:ascii="Arial" w:hAnsi="Arial" w:cs="Arial"/>
        </w:rPr>
        <w:t>Productivity</w:t>
      </w:r>
      <w:r w:rsidR="004B3AB7">
        <w:rPr>
          <w:rFonts w:ascii="Arial" w:hAnsi="Arial" w:cs="Arial"/>
        </w:rPr>
        <w:t xml:space="preserve"> Commission consider the </w:t>
      </w:r>
      <w:r w:rsidR="0074354C">
        <w:rPr>
          <w:rFonts w:ascii="Arial" w:hAnsi="Arial" w:cs="Arial"/>
        </w:rPr>
        <w:t>introduction</w:t>
      </w:r>
      <w:r w:rsidR="004B3AB7">
        <w:rPr>
          <w:rFonts w:ascii="Arial" w:hAnsi="Arial" w:cs="Arial"/>
        </w:rPr>
        <w:t xml:space="preserve"> of a </w:t>
      </w:r>
      <w:r w:rsidR="0074354C">
        <w:rPr>
          <w:rFonts w:ascii="Arial" w:hAnsi="Arial" w:cs="Arial"/>
        </w:rPr>
        <w:t>preliminary merit based assessment process on the papers prior to the FWC listing a conciliation and/or redesigning a more merit-based conciliation process</w:t>
      </w:r>
      <w:r w:rsidR="007C4EFB">
        <w:rPr>
          <w:rFonts w:ascii="Arial" w:hAnsi="Arial" w:cs="Arial"/>
        </w:rPr>
        <w:t xml:space="preserve"> </w:t>
      </w:r>
      <w:r w:rsidR="0074354C">
        <w:rPr>
          <w:rFonts w:ascii="Arial" w:hAnsi="Arial" w:cs="Arial"/>
        </w:rPr>
        <w:t>to reduce meritless application</w:t>
      </w:r>
      <w:r w:rsidR="00FB6D06">
        <w:rPr>
          <w:rFonts w:ascii="Arial" w:hAnsi="Arial" w:cs="Arial"/>
        </w:rPr>
        <w:t>s</w:t>
      </w:r>
      <w:r w:rsidR="0074354C">
        <w:rPr>
          <w:rFonts w:ascii="Arial" w:hAnsi="Arial" w:cs="Arial"/>
        </w:rPr>
        <w:t xml:space="preserve">. </w:t>
      </w:r>
    </w:p>
    <w:p w:rsidR="001060A1" w:rsidRDefault="00AF401A" w:rsidP="005A6475">
      <w:pPr>
        <w:rPr>
          <w:rFonts w:ascii="Arial" w:hAnsi="Arial" w:cs="Arial"/>
        </w:rPr>
      </w:pPr>
      <w:r w:rsidRPr="002800A5">
        <w:rPr>
          <w:rFonts w:ascii="Arial" w:hAnsi="Arial" w:cs="Arial"/>
        </w:rPr>
        <w:t>CCER supports the general protections framework as necessary for protecting workers from victimisation for exercising their lawful workplace rights</w:t>
      </w:r>
      <w:r w:rsidR="005934EA">
        <w:rPr>
          <w:rFonts w:ascii="Arial" w:hAnsi="Arial" w:cs="Arial"/>
        </w:rPr>
        <w:t>.</w:t>
      </w:r>
      <w:r w:rsidR="009B349A">
        <w:rPr>
          <w:rFonts w:ascii="Arial" w:hAnsi="Arial" w:cs="Arial"/>
        </w:rPr>
        <w:t xml:space="preserve"> </w:t>
      </w:r>
      <w:r w:rsidR="002800A5" w:rsidRPr="002800A5">
        <w:rPr>
          <w:rFonts w:ascii="Arial" w:hAnsi="Arial" w:cs="Arial"/>
        </w:rPr>
        <w:t>However,</w:t>
      </w:r>
      <w:r w:rsidR="005934EA">
        <w:rPr>
          <w:rFonts w:ascii="Arial" w:hAnsi="Arial" w:cs="Arial"/>
        </w:rPr>
        <w:t xml:space="preserve"> due to inconsistency in the case law </w:t>
      </w:r>
      <w:r w:rsidR="002800A5" w:rsidRPr="002800A5">
        <w:rPr>
          <w:rFonts w:ascii="Arial" w:hAnsi="Arial" w:cs="Arial"/>
        </w:rPr>
        <w:t xml:space="preserve">there is </w:t>
      </w:r>
      <w:r w:rsidR="002800A5">
        <w:rPr>
          <w:rFonts w:ascii="Arial" w:hAnsi="Arial" w:cs="Arial"/>
        </w:rPr>
        <w:t xml:space="preserve">currently </w:t>
      </w:r>
      <w:r w:rsidR="006B7601">
        <w:rPr>
          <w:rFonts w:ascii="Arial" w:hAnsi="Arial" w:cs="Arial"/>
        </w:rPr>
        <w:t xml:space="preserve">a </w:t>
      </w:r>
      <w:r w:rsidR="002800A5" w:rsidRPr="002800A5">
        <w:rPr>
          <w:rFonts w:ascii="Arial" w:hAnsi="Arial" w:cs="Arial"/>
        </w:rPr>
        <w:t xml:space="preserve">significant lack of clarity surrounding </w:t>
      </w:r>
      <w:r w:rsidR="005934EA">
        <w:rPr>
          <w:rFonts w:ascii="Arial" w:hAnsi="Arial" w:cs="Arial"/>
        </w:rPr>
        <w:t>t</w:t>
      </w:r>
      <w:r w:rsidR="005934EA" w:rsidRPr="005934EA">
        <w:rPr>
          <w:rFonts w:ascii="Arial" w:hAnsi="Arial" w:cs="Arial"/>
        </w:rPr>
        <w:t xml:space="preserve">he workplace right of </w:t>
      </w:r>
      <w:r w:rsidR="005934EA">
        <w:rPr>
          <w:rFonts w:ascii="Arial" w:hAnsi="Arial" w:cs="Arial"/>
        </w:rPr>
        <w:t xml:space="preserve">a </w:t>
      </w:r>
      <w:r w:rsidR="00485868">
        <w:rPr>
          <w:rFonts w:ascii="Arial" w:hAnsi="Arial" w:cs="Arial"/>
        </w:rPr>
        <w:t>person</w:t>
      </w:r>
      <w:r w:rsidR="00987E75">
        <w:rPr>
          <w:rFonts w:ascii="Arial" w:hAnsi="Arial" w:cs="Arial"/>
        </w:rPr>
        <w:t xml:space="preserve"> who</w:t>
      </w:r>
      <w:r w:rsidR="00927A9C">
        <w:rPr>
          <w:rFonts w:ascii="Arial" w:hAnsi="Arial" w:cs="Arial"/>
        </w:rPr>
        <w:t xml:space="preserve"> </w:t>
      </w:r>
      <w:r w:rsidR="005934EA" w:rsidRPr="00927A9C">
        <w:rPr>
          <w:rFonts w:ascii="Arial" w:hAnsi="Arial" w:cs="Arial"/>
          <w:i/>
        </w:rPr>
        <w:t>‘</w:t>
      </w:r>
      <w:r w:rsidR="00927A9C" w:rsidRPr="00927A9C">
        <w:rPr>
          <w:rFonts w:ascii="Arial" w:hAnsi="Arial" w:cs="Arial"/>
          <w:i/>
        </w:rPr>
        <w:t>is able</w:t>
      </w:r>
      <w:r w:rsidR="00927A9C">
        <w:rPr>
          <w:rFonts w:ascii="Arial" w:hAnsi="Arial" w:cs="Arial"/>
        </w:rPr>
        <w:t xml:space="preserve"> </w:t>
      </w:r>
      <w:r w:rsidR="005934EA" w:rsidRPr="005934EA">
        <w:rPr>
          <w:rFonts w:ascii="Arial" w:hAnsi="Arial" w:cs="Arial"/>
          <w:i/>
          <w:iCs/>
        </w:rPr>
        <w:t>to make a complaint or inquiry...in relation to his or her employmen</w:t>
      </w:r>
      <w:r w:rsidR="005934EA" w:rsidRPr="005934EA">
        <w:rPr>
          <w:rFonts w:ascii="Arial" w:hAnsi="Arial" w:cs="Arial"/>
        </w:rPr>
        <w:t>t</w:t>
      </w:r>
      <w:r w:rsidR="005934EA">
        <w:rPr>
          <w:rFonts w:ascii="Arial" w:hAnsi="Arial" w:cs="Arial"/>
        </w:rPr>
        <w:t>’</w:t>
      </w:r>
      <w:r w:rsidR="00927A9C">
        <w:rPr>
          <w:rFonts w:ascii="Arial" w:hAnsi="Arial" w:cs="Arial"/>
        </w:rPr>
        <w:t>.</w:t>
      </w:r>
      <w:r w:rsidR="005934EA" w:rsidRPr="005934EA">
        <w:rPr>
          <w:rFonts w:ascii="Arial" w:hAnsi="Arial" w:cs="Arial"/>
        </w:rPr>
        <w:t xml:space="preserve"> </w:t>
      </w:r>
      <w:r w:rsidR="001060A1">
        <w:rPr>
          <w:rFonts w:ascii="Arial" w:hAnsi="Arial" w:cs="Arial"/>
        </w:rPr>
        <w:t xml:space="preserve"> </w:t>
      </w:r>
    </w:p>
    <w:p w:rsidR="008B3C5B" w:rsidRPr="001060A1" w:rsidRDefault="00447395" w:rsidP="001060A1">
      <w:pPr>
        <w:rPr>
          <w:rFonts w:ascii="Arial" w:hAnsi="Arial" w:cs="Arial"/>
        </w:rPr>
      </w:pPr>
      <w:r w:rsidRPr="001060A1">
        <w:rPr>
          <w:rFonts w:ascii="Arial" w:hAnsi="Arial" w:cs="Arial"/>
        </w:rPr>
        <w:t>Complaints in workplaces range from formal</w:t>
      </w:r>
      <w:r w:rsidR="007E26F7">
        <w:rPr>
          <w:rFonts w:ascii="Arial" w:hAnsi="Arial" w:cs="Arial"/>
        </w:rPr>
        <w:t xml:space="preserve">ly lodged </w:t>
      </w:r>
      <w:r w:rsidRPr="001060A1">
        <w:rPr>
          <w:rFonts w:ascii="Arial" w:hAnsi="Arial" w:cs="Arial"/>
        </w:rPr>
        <w:t xml:space="preserve">complaints </w:t>
      </w:r>
      <w:r w:rsidR="007E26F7">
        <w:rPr>
          <w:rFonts w:ascii="Arial" w:hAnsi="Arial" w:cs="Arial"/>
        </w:rPr>
        <w:t>and grievances</w:t>
      </w:r>
      <w:r w:rsidRPr="001060A1">
        <w:rPr>
          <w:rFonts w:ascii="Arial" w:hAnsi="Arial" w:cs="Arial"/>
        </w:rPr>
        <w:t xml:space="preserve"> to </w:t>
      </w:r>
      <w:r w:rsidR="00B500F0">
        <w:rPr>
          <w:rFonts w:ascii="Arial" w:hAnsi="Arial" w:cs="Arial"/>
        </w:rPr>
        <w:t xml:space="preserve">trivial </w:t>
      </w:r>
      <w:r w:rsidRPr="001060A1">
        <w:rPr>
          <w:rFonts w:ascii="Arial" w:hAnsi="Arial" w:cs="Arial"/>
        </w:rPr>
        <w:t xml:space="preserve">comments </w:t>
      </w:r>
      <w:r w:rsidR="00B500F0">
        <w:rPr>
          <w:rFonts w:ascii="Arial" w:hAnsi="Arial" w:cs="Arial"/>
        </w:rPr>
        <w:t xml:space="preserve">made </w:t>
      </w:r>
      <w:r w:rsidRPr="001060A1">
        <w:rPr>
          <w:rFonts w:ascii="Arial" w:hAnsi="Arial" w:cs="Arial"/>
        </w:rPr>
        <w:t>in passing</w:t>
      </w:r>
      <w:r w:rsidR="00B500F0">
        <w:rPr>
          <w:rFonts w:ascii="Arial" w:hAnsi="Arial" w:cs="Arial"/>
        </w:rPr>
        <w:t>,</w:t>
      </w:r>
      <w:r w:rsidRPr="001060A1">
        <w:rPr>
          <w:rFonts w:ascii="Arial" w:hAnsi="Arial" w:cs="Arial"/>
        </w:rPr>
        <w:t xml:space="preserve"> </w:t>
      </w:r>
      <w:r w:rsidR="00694EA7">
        <w:rPr>
          <w:rFonts w:ascii="Arial" w:hAnsi="Arial" w:cs="Arial"/>
        </w:rPr>
        <w:t xml:space="preserve">however </w:t>
      </w:r>
      <w:r w:rsidR="001060A1">
        <w:rPr>
          <w:rFonts w:ascii="Arial" w:hAnsi="Arial" w:cs="Arial"/>
        </w:rPr>
        <w:t xml:space="preserve">there is </w:t>
      </w:r>
      <w:r w:rsidR="00987E75">
        <w:rPr>
          <w:rFonts w:ascii="Arial" w:hAnsi="Arial" w:cs="Arial"/>
        </w:rPr>
        <w:t>uncertainty about</w:t>
      </w:r>
      <w:r w:rsidR="001060A1">
        <w:rPr>
          <w:rFonts w:ascii="Arial" w:hAnsi="Arial" w:cs="Arial"/>
        </w:rPr>
        <w:t xml:space="preserve"> </w:t>
      </w:r>
      <w:r w:rsidRPr="001060A1">
        <w:rPr>
          <w:rFonts w:ascii="Arial" w:hAnsi="Arial" w:cs="Arial"/>
        </w:rPr>
        <w:t xml:space="preserve">when </w:t>
      </w:r>
      <w:r w:rsidR="004C6D1E">
        <w:rPr>
          <w:rFonts w:ascii="Arial" w:hAnsi="Arial" w:cs="Arial"/>
        </w:rPr>
        <w:t xml:space="preserve">a matter </w:t>
      </w:r>
      <w:r w:rsidRPr="001060A1">
        <w:rPr>
          <w:rFonts w:ascii="Arial" w:hAnsi="Arial" w:cs="Arial"/>
        </w:rPr>
        <w:t xml:space="preserve">is a </w:t>
      </w:r>
      <w:r w:rsidR="00485868">
        <w:rPr>
          <w:rFonts w:ascii="Arial" w:hAnsi="Arial" w:cs="Arial"/>
        </w:rPr>
        <w:t>‘</w:t>
      </w:r>
      <w:r w:rsidRPr="001060A1">
        <w:rPr>
          <w:rFonts w:ascii="Arial" w:hAnsi="Arial" w:cs="Arial"/>
          <w:i/>
          <w:iCs/>
        </w:rPr>
        <w:t>complaint or inquiry</w:t>
      </w:r>
      <w:r w:rsidR="00485868">
        <w:rPr>
          <w:rFonts w:ascii="Arial" w:hAnsi="Arial" w:cs="Arial"/>
          <w:i/>
          <w:iCs/>
        </w:rPr>
        <w:t>’</w:t>
      </w:r>
      <w:r w:rsidRPr="001060A1">
        <w:rPr>
          <w:rFonts w:ascii="Arial" w:hAnsi="Arial" w:cs="Arial"/>
          <w:i/>
          <w:iCs/>
        </w:rPr>
        <w:t xml:space="preserve"> </w:t>
      </w:r>
      <w:r w:rsidRPr="001060A1">
        <w:rPr>
          <w:rFonts w:ascii="Arial" w:hAnsi="Arial" w:cs="Arial"/>
        </w:rPr>
        <w:t>for the purposes of the FW Act</w:t>
      </w:r>
      <w:r w:rsidR="005E491B">
        <w:rPr>
          <w:rFonts w:ascii="Arial" w:hAnsi="Arial" w:cs="Arial"/>
        </w:rPr>
        <w:t>.</w:t>
      </w:r>
    </w:p>
    <w:p w:rsidR="0084137C" w:rsidRPr="00B97DED" w:rsidRDefault="002800A5" w:rsidP="005A6475">
      <w:pPr>
        <w:rPr>
          <w:rFonts w:ascii="Arial" w:hAnsi="Arial" w:cs="Arial"/>
          <w:b/>
          <w:sz w:val="28"/>
          <w:szCs w:val="28"/>
        </w:rPr>
      </w:pPr>
      <w:r w:rsidRPr="002800A5">
        <w:rPr>
          <w:rFonts w:ascii="Arial" w:hAnsi="Arial" w:cs="Arial"/>
        </w:rPr>
        <w:t xml:space="preserve">Improved clarity will assist employers </w:t>
      </w:r>
      <w:r w:rsidR="00750746">
        <w:rPr>
          <w:rFonts w:ascii="Arial" w:hAnsi="Arial" w:cs="Arial"/>
        </w:rPr>
        <w:t xml:space="preserve">to </w:t>
      </w:r>
      <w:r w:rsidRPr="002800A5">
        <w:rPr>
          <w:rFonts w:ascii="Arial" w:hAnsi="Arial" w:cs="Arial"/>
        </w:rPr>
        <w:t>understand their liability and appropriately manage their risks</w:t>
      </w:r>
      <w:r w:rsidR="008A2509">
        <w:rPr>
          <w:rFonts w:ascii="Arial" w:hAnsi="Arial" w:cs="Arial"/>
        </w:rPr>
        <w:t xml:space="preserve">. CCER </w:t>
      </w:r>
      <w:r w:rsidR="009B349A">
        <w:rPr>
          <w:rFonts w:ascii="Arial" w:hAnsi="Arial" w:cs="Arial"/>
        </w:rPr>
        <w:t xml:space="preserve">proposes </w:t>
      </w:r>
      <w:r w:rsidR="004C6D1E">
        <w:rPr>
          <w:rFonts w:ascii="Arial" w:hAnsi="Arial" w:cs="Arial"/>
        </w:rPr>
        <w:t xml:space="preserve">the Productivity Commission consider </w:t>
      </w:r>
      <w:r w:rsidR="00987E75">
        <w:rPr>
          <w:rFonts w:ascii="Arial" w:hAnsi="Arial" w:cs="Arial"/>
        </w:rPr>
        <w:t>a</w:t>
      </w:r>
      <w:r w:rsidR="008A2509">
        <w:rPr>
          <w:rFonts w:ascii="Arial" w:hAnsi="Arial" w:cs="Arial"/>
        </w:rPr>
        <w:t>m</w:t>
      </w:r>
      <w:r w:rsidR="00987E75">
        <w:rPr>
          <w:rFonts w:ascii="Arial" w:hAnsi="Arial" w:cs="Arial"/>
        </w:rPr>
        <w:t>endment</w:t>
      </w:r>
      <w:r w:rsidR="004C6D1E">
        <w:rPr>
          <w:rFonts w:ascii="Arial" w:hAnsi="Arial" w:cs="Arial"/>
        </w:rPr>
        <w:t xml:space="preserve">s </w:t>
      </w:r>
      <w:r w:rsidR="008A2509">
        <w:rPr>
          <w:rFonts w:ascii="Arial" w:hAnsi="Arial" w:cs="Arial"/>
        </w:rPr>
        <w:t xml:space="preserve">to </w:t>
      </w:r>
      <w:r w:rsidR="00987E75">
        <w:rPr>
          <w:rFonts w:ascii="Arial" w:hAnsi="Arial" w:cs="Arial"/>
        </w:rPr>
        <w:t>the</w:t>
      </w:r>
      <w:r w:rsidR="008A2509">
        <w:rPr>
          <w:rFonts w:ascii="Arial" w:hAnsi="Arial" w:cs="Arial"/>
        </w:rPr>
        <w:t xml:space="preserve"> FW Act to </w:t>
      </w:r>
      <w:r w:rsidR="004C6D1E">
        <w:rPr>
          <w:rFonts w:ascii="Arial" w:hAnsi="Arial" w:cs="Arial"/>
        </w:rPr>
        <w:t xml:space="preserve">clarify </w:t>
      </w:r>
      <w:r w:rsidR="008A2509">
        <w:rPr>
          <w:rFonts w:ascii="Arial" w:hAnsi="Arial" w:cs="Arial"/>
        </w:rPr>
        <w:t>that the c</w:t>
      </w:r>
      <w:r w:rsidR="008A2509" w:rsidRPr="008A2509">
        <w:rPr>
          <w:rFonts w:ascii="Arial" w:hAnsi="Arial" w:cs="Arial"/>
        </w:rPr>
        <w:t xml:space="preserve">omplainant must hold a genuine belief in the </w:t>
      </w:r>
      <w:r w:rsidR="00F86134">
        <w:rPr>
          <w:rFonts w:ascii="Arial" w:hAnsi="Arial" w:cs="Arial"/>
        </w:rPr>
        <w:t>merit</w:t>
      </w:r>
      <w:r w:rsidR="008A2509" w:rsidRPr="008A2509">
        <w:rPr>
          <w:rFonts w:ascii="Arial" w:hAnsi="Arial" w:cs="Arial"/>
        </w:rPr>
        <w:t xml:space="preserve"> of their complaint</w:t>
      </w:r>
      <w:r w:rsidR="009B349A">
        <w:rPr>
          <w:rFonts w:ascii="Arial" w:hAnsi="Arial" w:cs="Arial"/>
        </w:rPr>
        <w:t>,</w:t>
      </w:r>
      <w:r w:rsidR="008A2509" w:rsidRPr="008A2509">
        <w:rPr>
          <w:rFonts w:ascii="Arial" w:hAnsi="Arial" w:cs="Arial"/>
        </w:rPr>
        <w:t xml:space="preserve"> </w:t>
      </w:r>
      <w:r w:rsidR="00485868">
        <w:rPr>
          <w:rFonts w:ascii="Arial" w:hAnsi="Arial" w:cs="Arial"/>
        </w:rPr>
        <w:t xml:space="preserve">must properly communicate it to their employer, </w:t>
      </w:r>
      <w:r w:rsidR="004C6D1E">
        <w:rPr>
          <w:rFonts w:ascii="Arial" w:hAnsi="Arial" w:cs="Arial"/>
        </w:rPr>
        <w:t xml:space="preserve">and that it must </w:t>
      </w:r>
      <w:r w:rsidR="00485868">
        <w:rPr>
          <w:rFonts w:ascii="Arial" w:hAnsi="Arial" w:cs="Arial"/>
        </w:rPr>
        <w:t xml:space="preserve">be sufficiently </w:t>
      </w:r>
      <w:r w:rsidR="004C6D1E">
        <w:rPr>
          <w:rFonts w:ascii="Arial" w:hAnsi="Arial" w:cs="Arial"/>
        </w:rPr>
        <w:t>relate</w:t>
      </w:r>
      <w:r w:rsidR="00485868">
        <w:rPr>
          <w:rFonts w:ascii="Arial" w:hAnsi="Arial" w:cs="Arial"/>
        </w:rPr>
        <w:t>d</w:t>
      </w:r>
      <w:r w:rsidR="004C6D1E">
        <w:rPr>
          <w:rFonts w:ascii="Arial" w:hAnsi="Arial" w:cs="Arial"/>
        </w:rPr>
        <w:t xml:space="preserve"> to the complainant’s own employment</w:t>
      </w:r>
      <w:r w:rsidR="008A2509">
        <w:rPr>
          <w:rFonts w:ascii="Arial" w:hAnsi="Arial" w:cs="Arial"/>
        </w:rPr>
        <w:t>.</w:t>
      </w:r>
    </w:p>
    <w:p w:rsidR="00690D79" w:rsidRPr="0051171B" w:rsidRDefault="00603278" w:rsidP="00690D79">
      <w:pPr>
        <w:pBdr>
          <w:bottom w:val="single" w:sz="4" w:space="1" w:color="auto"/>
        </w:pBdr>
        <w:rPr>
          <w:rFonts w:ascii="Arial" w:hAnsi="Arial" w:cs="Arial"/>
          <w:b/>
          <w:bCs/>
          <w:color w:val="C0504D"/>
          <w:sz w:val="28"/>
          <w:szCs w:val="28"/>
        </w:rPr>
      </w:pPr>
      <w:r>
        <w:rPr>
          <w:rFonts w:ascii="Arial" w:hAnsi="Arial" w:cs="Arial"/>
          <w:b/>
          <w:bCs/>
          <w:color w:val="C0504D"/>
          <w:sz w:val="28"/>
          <w:szCs w:val="28"/>
        </w:rPr>
        <w:br w:type="page"/>
      </w:r>
      <w:r w:rsidR="00E76358" w:rsidRPr="0051171B">
        <w:rPr>
          <w:rFonts w:ascii="Arial" w:hAnsi="Arial" w:cs="Arial"/>
          <w:b/>
          <w:bCs/>
          <w:color w:val="C0504D"/>
          <w:sz w:val="28"/>
          <w:szCs w:val="28"/>
        </w:rPr>
        <w:lastRenderedPageBreak/>
        <w:t>INTRODUCTION</w:t>
      </w:r>
    </w:p>
    <w:p w:rsidR="000C5272" w:rsidRPr="0051171B" w:rsidRDefault="00C628E9" w:rsidP="0051171B">
      <w:pPr>
        <w:rPr>
          <w:rFonts w:ascii="Arial" w:hAnsi="Arial" w:cs="Arial"/>
          <w:b/>
          <w:bCs/>
          <w:color w:val="C0504D"/>
          <w:sz w:val="28"/>
          <w:szCs w:val="28"/>
        </w:rPr>
      </w:pPr>
      <w:r w:rsidRPr="0051171B">
        <w:rPr>
          <w:rFonts w:ascii="Arial" w:hAnsi="Arial" w:cs="Arial"/>
          <w:b/>
          <w:bCs/>
          <w:color w:val="C0504D"/>
          <w:sz w:val="28"/>
          <w:szCs w:val="28"/>
        </w:rPr>
        <w:t xml:space="preserve">Catholic Commission for Employment Relations </w:t>
      </w:r>
    </w:p>
    <w:p w:rsidR="00E76358" w:rsidRPr="00E022C2" w:rsidRDefault="00E76358" w:rsidP="007E4A64">
      <w:pPr>
        <w:rPr>
          <w:rFonts w:ascii="Arial" w:hAnsi="Arial" w:cs="Arial"/>
        </w:rPr>
      </w:pPr>
      <w:r w:rsidRPr="00E022C2">
        <w:rPr>
          <w:rFonts w:ascii="Arial" w:hAnsi="Arial" w:cs="Arial"/>
        </w:rPr>
        <w:t xml:space="preserve">The Catholic Commission for Employment Relations </w:t>
      </w:r>
      <w:r w:rsidR="004B609C" w:rsidRPr="00E022C2">
        <w:rPr>
          <w:rFonts w:ascii="Arial" w:hAnsi="Arial" w:cs="Arial"/>
        </w:rPr>
        <w:t xml:space="preserve">(CCER) </w:t>
      </w:r>
      <w:r w:rsidRPr="00E022C2">
        <w:rPr>
          <w:rFonts w:ascii="Arial" w:hAnsi="Arial" w:cs="Arial"/>
        </w:rPr>
        <w:t>is a</w:t>
      </w:r>
      <w:r w:rsidR="000F5502" w:rsidRPr="00E022C2">
        <w:rPr>
          <w:rFonts w:ascii="Arial" w:hAnsi="Arial" w:cs="Arial"/>
        </w:rPr>
        <w:t xml:space="preserve"> not for profit organisation </w:t>
      </w:r>
      <w:r w:rsidR="00CD14D5" w:rsidRPr="00E022C2">
        <w:rPr>
          <w:rFonts w:ascii="Arial" w:hAnsi="Arial" w:cs="Arial"/>
        </w:rPr>
        <w:t xml:space="preserve">established by the Bishops of New South Wales (NSW) and the Australian Capital Territory (ACT) to </w:t>
      </w:r>
      <w:r w:rsidR="000F5502" w:rsidRPr="00E022C2">
        <w:rPr>
          <w:rFonts w:ascii="Arial" w:hAnsi="Arial" w:cs="Arial"/>
        </w:rPr>
        <w:t>advis</w:t>
      </w:r>
      <w:r w:rsidR="00CD14D5" w:rsidRPr="00E022C2">
        <w:rPr>
          <w:rFonts w:ascii="Arial" w:hAnsi="Arial" w:cs="Arial"/>
        </w:rPr>
        <w:t>e</w:t>
      </w:r>
      <w:r w:rsidR="000F5502" w:rsidRPr="00E022C2">
        <w:rPr>
          <w:rFonts w:ascii="Arial" w:hAnsi="Arial" w:cs="Arial"/>
        </w:rPr>
        <w:t xml:space="preserve"> </w:t>
      </w:r>
      <w:r w:rsidR="00080049" w:rsidRPr="00E022C2">
        <w:rPr>
          <w:rFonts w:ascii="Arial" w:hAnsi="Arial" w:cs="Arial"/>
        </w:rPr>
        <w:t xml:space="preserve">and represent the interests of </w:t>
      </w:r>
      <w:r w:rsidRPr="00E022C2">
        <w:rPr>
          <w:rFonts w:ascii="Arial" w:hAnsi="Arial" w:cs="Arial"/>
        </w:rPr>
        <w:t>Catholic employers in NSW and the ACT</w:t>
      </w:r>
      <w:r w:rsidR="00080049" w:rsidRPr="00E022C2">
        <w:rPr>
          <w:rFonts w:ascii="Arial" w:hAnsi="Arial" w:cs="Arial"/>
        </w:rPr>
        <w:t xml:space="preserve"> on a broad range of</w:t>
      </w:r>
      <w:r w:rsidR="000F5502" w:rsidRPr="00E022C2">
        <w:rPr>
          <w:rFonts w:ascii="Arial" w:hAnsi="Arial" w:cs="Arial"/>
        </w:rPr>
        <w:t xml:space="preserve"> employment </w:t>
      </w:r>
      <w:r w:rsidRPr="00E022C2">
        <w:rPr>
          <w:rFonts w:ascii="Arial" w:hAnsi="Arial" w:cs="Arial"/>
        </w:rPr>
        <w:t xml:space="preserve">relations and </w:t>
      </w:r>
      <w:r w:rsidR="000F5502" w:rsidRPr="00E022C2">
        <w:rPr>
          <w:rFonts w:ascii="Arial" w:hAnsi="Arial" w:cs="Arial"/>
        </w:rPr>
        <w:t>human resource issues</w:t>
      </w:r>
      <w:r w:rsidRPr="00E022C2">
        <w:rPr>
          <w:rFonts w:ascii="Arial" w:hAnsi="Arial" w:cs="Arial"/>
        </w:rPr>
        <w:t>.</w:t>
      </w:r>
      <w:r w:rsidR="004B609C" w:rsidRPr="00E022C2">
        <w:rPr>
          <w:rFonts w:ascii="Arial" w:hAnsi="Arial" w:cs="Arial"/>
        </w:rPr>
        <w:t xml:space="preserve"> CCER </w:t>
      </w:r>
      <w:r w:rsidR="008E48C8" w:rsidRPr="00E022C2">
        <w:rPr>
          <w:rFonts w:ascii="Arial" w:hAnsi="Arial" w:cs="Arial"/>
        </w:rPr>
        <w:t xml:space="preserve">is committed to promoting effective employment relations </w:t>
      </w:r>
      <w:r w:rsidR="007560E7" w:rsidRPr="00E022C2">
        <w:rPr>
          <w:rFonts w:ascii="Arial" w:hAnsi="Arial" w:cs="Arial"/>
        </w:rPr>
        <w:t xml:space="preserve">to create </w:t>
      </w:r>
      <w:r w:rsidR="008E48C8" w:rsidRPr="00E022C2">
        <w:rPr>
          <w:rFonts w:ascii="Arial" w:hAnsi="Arial" w:cs="Arial"/>
        </w:rPr>
        <w:t>workplaces of innovation and excellence, imbued with dignity and justice</w:t>
      </w:r>
      <w:r w:rsidR="007560E7" w:rsidRPr="00E022C2">
        <w:rPr>
          <w:rFonts w:ascii="Arial" w:hAnsi="Arial" w:cs="Arial"/>
        </w:rPr>
        <w:t>, consistent with Catholic</w:t>
      </w:r>
      <w:r w:rsidR="00EF0051" w:rsidRPr="00E022C2">
        <w:rPr>
          <w:rFonts w:ascii="Arial" w:hAnsi="Arial" w:cs="Arial"/>
        </w:rPr>
        <w:t xml:space="preserve"> s</w:t>
      </w:r>
      <w:r w:rsidR="007560E7" w:rsidRPr="00E022C2">
        <w:rPr>
          <w:rFonts w:ascii="Arial" w:hAnsi="Arial" w:cs="Arial"/>
        </w:rPr>
        <w:t xml:space="preserve">ocial </w:t>
      </w:r>
      <w:r w:rsidR="00EF0051" w:rsidRPr="00E022C2">
        <w:rPr>
          <w:rFonts w:ascii="Arial" w:hAnsi="Arial" w:cs="Arial"/>
        </w:rPr>
        <w:t>t</w:t>
      </w:r>
      <w:r w:rsidR="007560E7" w:rsidRPr="00E022C2">
        <w:rPr>
          <w:rFonts w:ascii="Arial" w:hAnsi="Arial" w:cs="Arial"/>
        </w:rPr>
        <w:t>eaching.</w:t>
      </w:r>
    </w:p>
    <w:p w:rsidR="00CD14D5" w:rsidRPr="00E022C2" w:rsidRDefault="00CD14D5" w:rsidP="00CD14D5">
      <w:pPr>
        <w:rPr>
          <w:rFonts w:ascii="Arial" w:hAnsi="Arial" w:cs="Arial"/>
        </w:rPr>
      </w:pPr>
      <w:r w:rsidRPr="00E022C2">
        <w:rPr>
          <w:rFonts w:ascii="Arial" w:hAnsi="Arial" w:cs="Arial"/>
        </w:rPr>
        <w:t xml:space="preserve">CCER provides our </w:t>
      </w:r>
      <w:r w:rsidR="00621F2C" w:rsidRPr="00E022C2">
        <w:rPr>
          <w:rFonts w:ascii="Arial" w:hAnsi="Arial" w:cs="Arial"/>
        </w:rPr>
        <w:t xml:space="preserve">Catholic member organisations </w:t>
      </w:r>
      <w:r w:rsidRPr="00E022C2">
        <w:rPr>
          <w:rFonts w:ascii="Arial" w:hAnsi="Arial" w:cs="Arial"/>
        </w:rPr>
        <w:t xml:space="preserve">with a range of services including agreement making, mediation and dispute resolution, representation before tribunals and investigations, advice on compliance with workplace legislation and </w:t>
      </w:r>
      <w:r w:rsidR="0013026E" w:rsidRPr="00E022C2">
        <w:rPr>
          <w:rFonts w:ascii="Arial" w:hAnsi="Arial" w:cs="Arial"/>
        </w:rPr>
        <w:t xml:space="preserve">the management of all employment relations matters. </w:t>
      </w:r>
      <w:r w:rsidR="005A3419" w:rsidRPr="00E022C2">
        <w:rPr>
          <w:rFonts w:ascii="Arial" w:hAnsi="Arial" w:cs="Arial"/>
        </w:rPr>
        <w:t>CCER also advocates on behalf of its</w:t>
      </w:r>
      <w:r w:rsidR="00621F2C" w:rsidRPr="00E022C2">
        <w:rPr>
          <w:rFonts w:ascii="Arial" w:hAnsi="Arial" w:cs="Arial"/>
        </w:rPr>
        <w:t xml:space="preserve"> members </w:t>
      </w:r>
      <w:r w:rsidR="00EF0051" w:rsidRPr="00E022C2">
        <w:rPr>
          <w:rFonts w:ascii="Arial" w:hAnsi="Arial" w:cs="Arial"/>
        </w:rPr>
        <w:t>within the context of Catholic s</w:t>
      </w:r>
      <w:r w:rsidR="005A3419" w:rsidRPr="00E022C2">
        <w:rPr>
          <w:rFonts w:ascii="Arial" w:hAnsi="Arial" w:cs="Arial"/>
        </w:rPr>
        <w:t xml:space="preserve">ocial </w:t>
      </w:r>
      <w:r w:rsidR="00EF0051" w:rsidRPr="00E022C2">
        <w:rPr>
          <w:rFonts w:ascii="Arial" w:hAnsi="Arial" w:cs="Arial"/>
        </w:rPr>
        <w:t>t</w:t>
      </w:r>
      <w:r w:rsidR="005A3419" w:rsidRPr="00E022C2">
        <w:rPr>
          <w:rFonts w:ascii="Arial" w:hAnsi="Arial" w:cs="Arial"/>
        </w:rPr>
        <w:t>eaching.</w:t>
      </w:r>
    </w:p>
    <w:p w:rsidR="00381B0E" w:rsidRPr="00E022C2" w:rsidRDefault="009434AD" w:rsidP="007E4A64">
      <w:pPr>
        <w:rPr>
          <w:rFonts w:ascii="Arial" w:hAnsi="Arial" w:cs="Arial"/>
        </w:rPr>
      </w:pPr>
      <w:r w:rsidRPr="00E022C2">
        <w:rPr>
          <w:rFonts w:ascii="Arial" w:hAnsi="Arial" w:cs="Arial"/>
        </w:rPr>
        <w:t xml:space="preserve">CCER works with </w:t>
      </w:r>
      <w:r w:rsidR="00CD14D5" w:rsidRPr="00E022C2">
        <w:rPr>
          <w:rFonts w:ascii="Arial" w:hAnsi="Arial" w:cs="Arial"/>
        </w:rPr>
        <w:t xml:space="preserve">employers across </w:t>
      </w:r>
      <w:r w:rsidR="00485F6A" w:rsidRPr="00E022C2">
        <w:rPr>
          <w:rFonts w:ascii="Arial" w:hAnsi="Arial" w:cs="Arial"/>
        </w:rPr>
        <w:t xml:space="preserve">a number of </w:t>
      </w:r>
      <w:r w:rsidR="00CD14D5" w:rsidRPr="00E022C2">
        <w:rPr>
          <w:rFonts w:ascii="Arial" w:hAnsi="Arial" w:cs="Arial"/>
        </w:rPr>
        <w:t xml:space="preserve">sectors: </w:t>
      </w:r>
      <w:r w:rsidR="0055004A" w:rsidRPr="00E022C2">
        <w:rPr>
          <w:rFonts w:ascii="Arial" w:hAnsi="Arial" w:cs="Arial"/>
        </w:rPr>
        <w:t xml:space="preserve">Catholic </w:t>
      </w:r>
      <w:r w:rsidR="00080049" w:rsidRPr="00E022C2">
        <w:rPr>
          <w:rFonts w:ascii="Arial" w:hAnsi="Arial" w:cs="Arial"/>
        </w:rPr>
        <w:t>i</w:t>
      </w:r>
      <w:r w:rsidR="0055004A" w:rsidRPr="00E022C2">
        <w:rPr>
          <w:rFonts w:ascii="Arial" w:hAnsi="Arial" w:cs="Arial"/>
        </w:rPr>
        <w:t xml:space="preserve">ndependent and </w:t>
      </w:r>
      <w:r w:rsidR="00080049" w:rsidRPr="00E022C2">
        <w:rPr>
          <w:rFonts w:ascii="Arial" w:hAnsi="Arial" w:cs="Arial"/>
        </w:rPr>
        <w:t>s</w:t>
      </w:r>
      <w:r w:rsidR="0055004A" w:rsidRPr="00E022C2">
        <w:rPr>
          <w:rFonts w:ascii="Arial" w:hAnsi="Arial" w:cs="Arial"/>
        </w:rPr>
        <w:t xml:space="preserve">ystemic </w:t>
      </w:r>
      <w:r w:rsidR="00080049" w:rsidRPr="00E022C2">
        <w:rPr>
          <w:rFonts w:ascii="Arial" w:hAnsi="Arial" w:cs="Arial"/>
        </w:rPr>
        <w:t>s</w:t>
      </w:r>
      <w:r w:rsidR="0055004A" w:rsidRPr="00E022C2">
        <w:rPr>
          <w:rFonts w:ascii="Arial" w:hAnsi="Arial" w:cs="Arial"/>
        </w:rPr>
        <w:t>chool</w:t>
      </w:r>
      <w:r w:rsidR="008639B7" w:rsidRPr="00E022C2">
        <w:rPr>
          <w:rFonts w:ascii="Arial" w:hAnsi="Arial" w:cs="Arial"/>
        </w:rPr>
        <w:t>s</w:t>
      </w:r>
      <w:r w:rsidR="00CE552F" w:rsidRPr="00E022C2">
        <w:rPr>
          <w:rFonts w:ascii="Arial" w:hAnsi="Arial" w:cs="Arial"/>
        </w:rPr>
        <w:t>;</w:t>
      </w:r>
      <w:r w:rsidR="0055004A" w:rsidRPr="00E022C2">
        <w:rPr>
          <w:rFonts w:ascii="Arial" w:hAnsi="Arial" w:cs="Arial"/>
        </w:rPr>
        <w:t xml:space="preserve"> social services agencies, including aged care</w:t>
      </w:r>
      <w:r w:rsidR="00117BD2" w:rsidRPr="00E022C2">
        <w:rPr>
          <w:rFonts w:ascii="Arial" w:hAnsi="Arial" w:cs="Arial"/>
        </w:rPr>
        <w:t xml:space="preserve">, disability support, </w:t>
      </w:r>
      <w:r w:rsidR="0055004A" w:rsidRPr="00E022C2">
        <w:rPr>
          <w:rFonts w:ascii="Arial" w:hAnsi="Arial" w:cs="Arial"/>
        </w:rPr>
        <w:t>health facilities and children's services</w:t>
      </w:r>
      <w:r w:rsidR="00CE552F" w:rsidRPr="00E022C2">
        <w:rPr>
          <w:rFonts w:ascii="Arial" w:hAnsi="Arial" w:cs="Arial"/>
        </w:rPr>
        <w:t>;</w:t>
      </w:r>
      <w:r w:rsidR="0055004A" w:rsidRPr="00E022C2">
        <w:rPr>
          <w:rFonts w:ascii="Arial" w:hAnsi="Arial" w:cs="Arial"/>
        </w:rPr>
        <w:t xml:space="preserve"> and </w:t>
      </w:r>
      <w:r w:rsidR="00485F6A" w:rsidRPr="00E022C2">
        <w:rPr>
          <w:rFonts w:ascii="Arial" w:hAnsi="Arial" w:cs="Arial"/>
        </w:rPr>
        <w:t xml:space="preserve">religious </w:t>
      </w:r>
      <w:r w:rsidR="00465DF7" w:rsidRPr="00E022C2">
        <w:rPr>
          <w:rFonts w:ascii="Arial" w:hAnsi="Arial" w:cs="Arial"/>
        </w:rPr>
        <w:t xml:space="preserve">congregations, parishes, chanceries and other </w:t>
      </w:r>
      <w:r w:rsidR="009A61C2">
        <w:rPr>
          <w:rFonts w:ascii="Arial" w:hAnsi="Arial" w:cs="Arial"/>
        </w:rPr>
        <w:t>D</w:t>
      </w:r>
      <w:r w:rsidR="00465DF7" w:rsidRPr="00E022C2">
        <w:rPr>
          <w:rFonts w:ascii="Arial" w:hAnsi="Arial" w:cs="Arial"/>
        </w:rPr>
        <w:t>iocesan employers</w:t>
      </w:r>
      <w:r w:rsidR="0013026E" w:rsidRPr="00E022C2">
        <w:rPr>
          <w:rFonts w:ascii="Arial" w:hAnsi="Arial" w:cs="Arial"/>
        </w:rPr>
        <w:t xml:space="preserve"> across NSW and the ACT.</w:t>
      </w:r>
      <w:r w:rsidR="00465DF7" w:rsidRPr="00E022C2">
        <w:rPr>
          <w:rFonts w:ascii="Arial" w:hAnsi="Arial" w:cs="Arial"/>
        </w:rPr>
        <w:t xml:space="preserve"> </w:t>
      </w:r>
    </w:p>
    <w:p w:rsidR="00715ECD" w:rsidRPr="00E022C2" w:rsidRDefault="00946240" w:rsidP="00912895">
      <w:pPr>
        <w:rPr>
          <w:rFonts w:ascii="Arial" w:hAnsi="Arial" w:cs="Arial"/>
        </w:rPr>
      </w:pPr>
      <w:r w:rsidRPr="00E022C2">
        <w:rPr>
          <w:rFonts w:ascii="Arial" w:hAnsi="Arial" w:cs="Arial"/>
        </w:rPr>
        <w:t xml:space="preserve">CCER’s </w:t>
      </w:r>
      <w:r w:rsidR="00D762E2">
        <w:rPr>
          <w:rFonts w:ascii="Arial" w:hAnsi="Arial" w:cs="Arial"/>
        </w:rPr>
        <w:t>members</w:t>
      </w:r>
      <w:r w:rsidR="000F5502" w:rsidRPr="00E022C2">
        <w:rPr>
          <w:rFonts w:ascii="Arial" w:hAnsi="Arial" w:cs="Arial"/>
        </w:rPr>
        <w:t xml:space="preserve"> </w:t>
      </w:r>
      <w:r w:rsidR="006343F3" w:rsidRPr="00E022C2">
        <w:rPr>
          <w:rFonts w:ascii="Arial" w:hAnsi="Arial" w:cs="Arial"/>
        </w:rPr>
        <w:t>represent a divers</w:t>
      </w:r>
      <w:r w:rsidR="00CD14D5" w:rsidRPr="00E022C2">
        <w:rPr>
          <w:rFonts w:ascii="Arial" w:hAnsi="Arial" w:cs="Arial"/>
        </w:rPr>
        <w:t>e range of employers across these</w:t>
      </w:r>
      <w:r w:rsidR="00485F6A" w:rsidRPr="00E022C2">
        <w:rPr>
          <w:rFonts w:ascii="Arial" w:hAnsi="Arial" w:cs="Arial"/>
        </w:rPr>
        <w:t xml:space="preserve"> </w:t>
      </w:r>
      <w:r w:rsidR="00CD14D5" w:rsidRPr="00E022C2">
        <w:rPr>
          <w:rFonts w:ascii="Arial" w:hAnsi="Arial" w:cs="Arial"/>
        </w:rPr>
        <w:t>sectors</w:t>
      </w:r>
      <w:r w:rsidR="00381B0E" w:rsidRPr="00E022C2">
        <w:rPr>
          <w:rFonts w:ascii="Arial" w:hAnsi="Arial" w:cs="Arial"/>
        </w:rPr>
        <w:t xml:space="preserve"> and all operate within increasingly complex and challenging environment</w:t>
      </w:r>
      <w:r w:rsidR="00407E28" w:rsidRPr="00E022C2">
        <w:rPr>
          <w:rFonts w:ascii="Arial" w:hAnsi="Arial" w:cs="Arial"/>
        </w:rPr>
        <w:t xml:space="preserve">s. </w:t>
      </w:r>
      <w:r w:rsidR="0004375D" w:rsidRPr="00E022C2">
        <w:rPr>
          <w:rFonts w:ascii="Arial" w:hAnsi="Arial" w:cs="Arial"/>
        </w:rPr>
        <w:t>Typically,</w:t>
      </w:r>
      <w:r w:rsidR="003F7DD4" w:rsidRPr="00E022C2">
        <w:rPr>
          <w:rFonts w:ascii="Arial" w:hAnsi="Arial" w:cs="Arial"/>
        </w:rPr>
        <w:t xml:space="preserve"> our workplaces </w:t>
      </w:r>
      <w:r w:rsidR="0004375D" w:rsidRPr="00E022C2">
        <w:rPr>
          <w:rFonts w:ascii="Arial" w:hAnsi="Arial" w:cs="Arial"/>
        </w:rPr>
        <w:t>comprise:</w:t>
      </w:r>
    </w:p>
    <w:p w:rsidR="0037744E" w:rsidRPr="00E022C2" w:rsidRDefault="0013026E" w:rsidP="00516275">
      <w:pPr>
        <w:pStyle w:val="ListParagraph"/>
        <w:numPr>
          <w:ilvl w:val="0"/>
          <w:numId w:val="2"/>
        </w:numPr>
        <w:rPr>
          <w:rFonts w:ascii="Arial" w:hAnsi="Arial" w:cs="Arial"/>
        </w:rPr>
      </w:pPr>
      <w:r w:rsidRPr="00E022C2">
        <w:rPr>
          <w:rFonts w:ascii="Arial" w:hAnsi="Arial" w:cs="Arial"/>
        </w:rPr>
        <w:t xml:space="preserve">Independent </w:t>
      </w:r>
      <w:r w:rsidR="003F7DD4" w:rsidRPr="00E022C2">
        <w:rPr>
          <w:rFonts w:ascii="Arial" w:hAnsi="Arial" w:cs="Arial"/>
        </w:rPr>
        <w:t xml:space="preserve">Catholic </w:t>
      </w:r>
      <w:r w:rsidR="00BB39BE" w:rsidRPr="00E022C2">
        <w:rPr>
          <w:rFonts w:ascii="Arial" w:hAnsi="Arial" w:cs="Arial"/>
        </w:rPr>
        <w:t>s</w:t>
      </w:r>
      <w:r w:rsidR="003F7DD4" w:rsidRPr="00E022C2">
        <w:rPr>
          <w:rFonts w:ascii="Arial" w:hAnsi="Arial" w:cs="Arial"/>
        </w:rPr>
        <w:t xml:space="preserve">chools with </w:t>
      </w:r>
      <w:r w:rsidR="00BB39BE" w:rsidRPr="00E022C2">
        <w:rPr>
          <w:rFonts w:ascii="Arial" w:hAnsi="Arial" w:cs="Arial"/>
        </w:rPr>
        <w:t xml:space="preserve">multi employer </w:t>
      </w:r>
      <w:r w:rsidR="003F7DD4" w:rsidRPr="00E022C2">
        <w:rPr>
          <w:rFonts w:ascii="Arial" w:hAnsi="Arial" w:cs="Arial"/>
        </w:rPr>
        <w:t>enterprise agreements separately covering teachers and support staff</w:t>
      </w:r>
      <w:r w:rsidR="00CD4DBF" w:rsidRPr="00E022C2">
        <w:rPr>
          <w:rFonts w:ascii="Arial" w:hAnsi="Arial" w:cs="Arial"/>
        </w:rPr>
        <w:t>;</w:t>
      </w:r>
    </w:p>
    <w:p w:rsidR="00ED4654" w:rsidRPr="00E022C2" w:rsidRDefault="00BB39BE" w:rsidP="00516275">
      <w:pPr>
        <w:pStyle w:val="ListParagraph"/>
        <w:numPr>
          <w:ilvl w:val="0"/>
          <w:numId w:val="2"/>
        </w:numPr>
        <w:rPr>
          <w:rFonts w:ascii="Arial" w:hAnsi="Arial" w:cs="Arial"/>
        </w:rPr>
      </w:pPr>
      <w:r w:rsidRPr="00E022C2">
        <w:rPr>
          <w:rFonts w:ascii="Arial" w:hAnsi="Arial" w:cs="Arial"/>
        </w:rPr>
        <w:t xml:space="preserve">Catholic systemic schools </w:t>
      </w:r>
      <w:r w:rsidR="00C61752">
        <w:rPr>
          <w:rFonts w:ascii="Arial" w:hAnsi="Arial" w:cs="Arial"/>
        </w:rPr>
        <w:t xml:space="preserve">that fall within the 11 </w:t>
      </w:r>
      <w:r w:rsidR="00531C3E" w:rsidRPr="00E022C2">
        <w:rPr>
          <w:rFonts w:ascii="Arial" w:hAnsi="Arial" w:cs="Arial"/>
        </w:rPr>
        <w:t xml:space="preserve">Dioceses </w:t>
      </w:r>
      <w:r w:rsidR="00C61752">
        <w:rPr>
          <w:rFonts w:ascii="Arial" w:hAnsi="Arial" w:cs="Arial"/>
        </w:rPr>
        <w:t>of</w:t>
      </w:r>
      <w:r w:rsidR="00531C3E" w:rsidRPr="00E022C2">
        <w:rPr>
          <w:rFonts w:ascii="Arial" w:hAnsi="Arial" w:cs="Arial"/>
        </w:rPr>
        <w:t xml:space="preserve"> NSW and the ACT with </w:t>
      </w:r>
      <w:r w:rsidR="00C61752">
        <w:rPr>
          <w:rFonts w:ascii="Arial" w:hAnsi="Arial" w:cs="Arial"/>
        </w:rPr>
        <w:t xml:space="preserve">single interest employer </w:t>
      </w:r>
      <w:r w:rsidR="00ED4654" w:rsidRPr="00E022C2">
        <w:rPr>
          <w:rFonts w:ascii="Arial" w:hAnsi="Arial" w:cs="Arial"/>
        </w:rPr>
        <w:t>enterprise agreem</w:t>
      </w:r>
      <w:r w:rsidR="00CD4DBF" w:rsidRPr="00E022C2">
        <w:rPr>
          <w:rFonts w:ascii="Arial" w:hAnsi="Arial" w:cs="Arial"/>
        </w:rPr>
        <w:t xml:space="preserve">ents </w:t>
      </w:r>
      <w:r w:rsidR="00ED4654" w:rsidRPr="00E022C2">
        <w:rPr>
          <w:rFonts w:ascii="Arial" w:hAnsi="Arial" w:cs="Arial"/>
        </w:rPr>
        <w:t>separately covering principals, teachers and support staff</w:t>
      </w:r>
      <w:r w:rsidR="00B062BC" w:rsidRPr="00E022C2">
        <w:rPr>
          <w:rFonts w:ascii="Arial" w:hAnsi="Arial" w:cs="Arial"/>
        </w:rPr>
        <w:t xml:space="preserve"> and early childhood services typically reliant on the relevant modern awards;</w:t>
      </w:r>
    </w:p>
    <w:p w:rsidR="0013026E" w:rsidRPr="00E022C2" w:rsidRDefault="00946240" w:rsidP="00516275">
      <w:pPr>
        <w:pStyle w:val="ListParagraph"/>
        <w:numPr>
          <w:ilvl w:val="0"/>
          <w:numId w:val="2"/>
        </w:numPr>
        <w:rPr>
          <w:rFonts w:ascii="Arial" w:hAnsi="Arial" w:cs="Arial"/>
        </w:rPr>
      </w:pPr>
      <w:r w:rsidRPr="00E022C2">
        <w:rPr>
          <w:rFonts w:ascii="Arial" w:hAnsi="Arial" w:cs="Arial"/>
        </w:rPr>
        <w:t>S</w:t>
      </w:r>
      <w:r w:rsidR="0013026E" w:rsidRPr="00E022C2">
        <w:rPr>
          <w:rFonts w:ascii="Arial" w:hAnsi="Arial" w:cs="Arial"/>
        </w:rPr>
        <w:t xml:space="preserve">ocial </w:t>
      </w:r>
      <w:r w:rsidR="00ED4654" w:rsidRPr="00E022C2">
        <w:rPr>
          <w:rFonts w:ascii="Arial" w:hAnsi="Arial" w:cs="Arial"/>
        </w:rPr>
        <w:t>s</w:t>
      </w:r>
      <w:r w:rsidR="0013026E" w:rsidRPr="00E022C2">
        <w:rPr>
          <w:rFonts w:ascii="Arial" w:hAnsi="Arial" w:cs="Arial"/>
        </w:rPr>
        <w:t xml:space="preserve">ervices, </w:t>
      </w:r>
      <w:r w:rsidR="00ED4654" w:rsidRPr="00E022C2">
        <w:rPr>
          <w:rFonts w:ascii="Arial" w:hAnsi="Arial" w:cs="Arial"/>
        </w:rPr>
        <w:t>h</w:t>
      </w:r>
      <w:r w:rsidR="0013026E" w:rsidRPr="00E022C2">
        <w:rPr>
          <w:rFonts w:ascii="Arial" w:hAnsi="Arial" w:cs="Arial"/>
        </w:rPr>
        <w:t xml:space="preserve">ealth, </w:t>
      </w:r>
      <w:r w:rsidR="00ED4654" w:rsidRPr="00E022C2">
        <w:rPr>
          <w:rFonts w:ascii="Arial" w:hAnsi="Arial" w:cs="Arial"/>
        </w:rPr>
        <w:t>a</w:t>
      </w:r>
      <w:r w:rsidR="0013026E" w:rsidRPr="00E022C2">
        <w:rPr>
          <w:rFonts w:ascii="Arial" w:hAnsi="Arial" w:cs="Arial"/>
        </w:rPr>
        <w:t xml:space="preserve">ged </w:t>
      </w:r>
      <w:r w:rsidR="00ED4654" w:rsidRPr="00E022C2">
        <w:rPr>
          <w:rFonts w:ascii="Arial" w:hAnsi="Arial" w:cs="Arial"/>
        </w:rPr>
        <w:t>c</w:t>
      </w:r>
      <w:r w:rsidR="0013026E" w:rsidRPr="00E022C2">
        <w:rPr>
          <w:rFonts w:ascii="Arial" w:hAnsi="Arial" w:cs="Arial"/>
        </w:rPr>
        <w:t>are</w:t>
      </w:r>
      <w:r w:rsidR="00ED4654" w:rsidRPr="00E022C2">
        <w:rPr>
          <w:rFonts w:ascii="Arial" w:hAnsi="Arial" w:cs="Arial"/>
        </w:rPr>
        <w:t xml:space="preserve">, disability support </w:t>
      </w:r>
      <w:r w:rsidR="0013026E" w:rsidRPr="00E022C2">
        <w:rPr>
          <w:rFonts w:ascii="Arial" w:hAnsi="Arial" w:cs="Arial"/>
        </w:rPr>
        <w:t>and</w:t>
      </w:r>
      <w:r w:rsidR="00E11F86" w:rsidRPr="00E022C2">
        <w:rPr>
          <w:rFonts w:ascii="Arial" w:hAnsi="Arial" w:cs="Arial"/>
        </w:rPr>
        <w:t xml:space="preserve"> </w:t>
      </w:r>
      <w:r w:rsidR="00ED4654" w:rsidRPr="00E022C2">
        <w:rPr>
          <w:rFonts w:ascii="Arial" w:hAnsi="Arial" w:cs="Arial"/>
        </w:rPr>
        <w:t>c</w:t>
      </w:r>
      <w:r w:rsidR="00E11F86" w:rsidRPr="00E022C2">
        <w:rPr>
          <w:rFonts w:ascii="Arial" w:hAnsi="Arial" w:cs="Arial"/>
        </w:rPr>
        <w:t xml:space="preserve">hildren's </w:t>
      </w:r>
      <w:r w:rsidR="0004375D" w:rsidRPr="00E022C2">
        <w:rPr>
          <w:rFonts w:ascii="Arial" w:hAnsi="Arial" w:cs="Arial"/>
        </w:rPr>
        <w:t>services</w:t>
      </w:r>
      <w:r w:rsidR="00E11F86" w:rsidRPr="00E022C2">
        <w:rPr>
          <w:rFonts w:ascii="Arial" w:hAnsi="Arial" w:cs="Arial"/>
        </w:rPr>
        <w:t xml:space="preserve"> </w:t>
      </w:r>
      <w:r w:rsidR="005F481F" w:rsidRPr="00E022C2">
        <w:rPr>
          <w:rFonts w:ascii="Arial" w:hAnsi="Arial" w:cs="Arial"/>
        </w:rPr>
        <w:t xml:space="preserve">providers mostly reliant on the </w:t>
      </w:r>
      <w:r w:rsidR="00E11F86" w:rsidRPr="00E022C2">
        <w:rPr>
          <w:rFonts w:ascii="Arial" w:hAnsi="Arial" w:cs="Arial"/>
        </w:rPr>
        <w:t>relevant modern awards</w:t>
      </w:r>
      <w:r w:rsidR="00B062BC" w:rsidRPr="00E022C2">
        <w:rPr>
          <w:rFonts w:ascii="Arial" w:hAnsi="Arial" w:cs="Arial"/>
        </w:rPr>
        <w:t xml:space="preserve">, </w:t>
      </w:r>
      <w:r w:rsidR="00ED4654" w:rsidRPr="00E022C2">
        <w:rPr>
          <w:rFonts w:ascii="Arial" w:hAnsi="Arial" w:cs="Arial"/>
        </w:rPr>
        <w:t>although some of the larger employers have enterprise agreements in place</w:t>
      </w:r>
      <w:r w:rsidR="00CD4DBF" w:rsidRPr="00E022C2">
        <w:rPr>
          <w:rFonts w:ascii="Arial" w:hAnsi="Arial" w:cs="Arial"/>
        </w:rPr>
        <w:t>; and</w:t>
      </w:r>
    </w:p>
    <w:p w:rsidR="00C72824" w:rsidRPr="00E022C2" w:rsidRDefault="0013026E" w:rsidP="00516275">
      <w:pPr>
        <w:pStyle w:val="ListParagraph"/>
        <w:numPr>
          <w:ilvl w:val="0"/>
          <w:numId w:val="2"/>
        </w:numPr>
        <w:rPr>
          <w:rFonts w:ascii="Arial" w:hAnsi="Arial" w:cs="Arial"/>
        </w:rPr>
      </w:pPr>
      <w:r w:rsidRPr="00E022C2">
        <w:rPr>
          <w:rFonts w:ascii="Arial" w:hAnsi="Arial" w:cs="Arial"/>
        </w:rPr>
        <w:t xml:space="preserve">Parishes, Dioceses &amp; </w:t>
      </w:r>
      <w:r w:rsidR="00666269" w:rsidRPr="00E022C2">
        <w:rPr>
          <w:rFonts w:ascii="Arial" w:hAnsi="Arial" w:cs="Arial"/>
        </w:rPr>
        <w:t>r</w:t>
      </w:r>
      <w:r w:rsidRPr="00E022C2">
        <w:rPr>
          <w:rFonts w:ascii="Arial" w:hAnsi="Arial" w:cs="Arial"/>
        </w:rPr>
        <w:t xml:space="preserve">eligious </w:t>
      </w:r>
      <w:r w:rsidR="00666269" w:rsidRPr="00E022C2">
        <w:rPr>
          <w:rFonts w:ascii="Arial" w:hAnsi="Arial" w:cs="Arial"/>
        </w:rPr>
        <w:t>i</w:t>
      </w:r>
      <w:r w:rsidRPr="00E022C2">
        <w:rPr>
          <w:rFonts w:ascii="Arial" w:hAnsi="Arial" w:cs="Arial"/>
        </w:rPr>
        <w:t>nstitutes</w:t>
      </w:r>
      <w:r w:rsidR="00715ECD" w:rsidRPr="00E022C2">
        <w:rPr>
          <w:rFonts w:ascii="Arial" w:hAnsi="Arial" w:cs="Arial"/>
        </w:rPr>
        <w:t xml:space="preserve"> </w:t>
      </w:r>
      <w:r w:rsidR="009C0D4C" w:rsidRPr="00E022C2">
        <w:rPr>
          <w:rFonts w:ascii="Arial" w:hAnsi="Arial" w:cs="Arial"/>
        </w:rPr>
        <w:t>comprising small</w:t>
      </w:r>
      <w:r w:rsidR="001615F1" w:rsidRPr="00E022C2">
        <w:rPr>
          <w:rFonts w:ascii="Arial" w:hAnsi="Arial" w:cs="Arial"/>
        </w:rPr>
        <w:t xml:space="preserve"> </w:t>
      </w:r>
      <w:r w:rsidR="009F4FCF" w:rsidRPr="00E022C2">
        <w:rPr>
          <w:rFonts w:ascii="Arial" w:hAnsi="Arial" w:cs="Arial"/>
        </w:rPr>
        <w:t>employers</w:t>
      </w:r>
      <w:r w:rsidR="009C0D4C" w:rsidRPr="00E022C2">
        <w:rPr>
          <w:rFonts w:ascii="Arial" w:hAnsi="Arial" w:cs="Arial"/>
        </w:rPr>
        <w:t xml:space="preserve"> typically reliant o</w:t>
      </w:r>
      <w:r w:rsidR="009F4FCF" w:rsidRPr="00E022C2">
        <w:rPr>
          <w:rFonts w:ascii="Arial" w:hAnsi="Arial" w:cs="Arial"/>
        </w:rPr>
        <w:t>n</w:t>
      </w:r>
      <w:r w:rsidR="009C0D4C" w:rsidRPr="00E022C2">
        <w:rPr>
          <w:rFonts w:ascii="Arial" w:hAnsi="Arial" w:cs="Arial"/>
        </w:rPr>
        <w:t xml:space="preserve"> the </w:t>
      </w:r>
      <w:r w:rsidR="009F4FCF" w:rsidRPr="00E022C2">
        <w:rPr>
          <w:rFonts w:ascii="Arial" w:hAnsi="Arial" w:cs="Arial"/>
        </w:rPr>
        <w:t>relevant</w:t>
      </w:r>
      <w:r w:rsidR="009C0D4C" w:rsidRPr="00E022C2">
        <w:rPr>
          <w:rFonts w:ascii="Arial" w:hAnsi="Arial" w:cs="Arial"/>
        </w:rPr>
        <w:t xml:space="preserve"> modern</w:t>
      </w:r>
      <w:r w:rsidR="009F4FCF" w:rsidRPr="00E022C2">
        <w:rPr>
          <w:rFonts w:ascii="Arial" w:hAnsi="Arial" w:cs="Arial"/>
        </w:rPr>
        <w:t xml:space="preserve"> a</w:t>
      </w:r>
      <w:r w:rsidR="009C0D4C" w:rsidRPr="00E022C2">
        <w:rPr>
          <w:rFonts w:ascii="Arial" w:hAnsi="Arial" w:cs="Arial"/>
        </w:rPr>
        <w:t>ward or often award free.</w:t>
      </w:r>
      <w:r w:rsidR="00A65171" w:rsidRPr="00E022C2">
        <w:rPr>
          <w:rFonts w:ascii="Arial" w:hAnsi="Arial" w:cs="Arial"/>
        </w:rPr>
        <w:t xml:space="preserve"> </w:t>
      </w:r>
    </w:p>
    <w:p w:rsidR="00AD357B" w:rsidRPr="00E022C2" w:rsidRDefault="00C72824" w:rsidP="00912895">
      <w:pPr>
        <w:rPr>
          <w:rFonts w:ascii="Arial" w:hAnsi="Arial" w:cs="Arial"/>
        </w:rPr>
      </w:pPr>
      <w:r w:rsidRPr="00E022C2">
        <w:rPr>
          <w:rFonts w:ascii="Arial" w:hAnsi="Arial" w:cs="Arial"/>
        </w:rPr>
        <w:t xml:space="preserve">Key challenges for the education sector include implementation of the </w:t>
      </w:r>
      <w:r w:rsidR="00ED0558">
        <w:rPr>
          <w:rFonts w:ascii="Arial" w:hAnsi="Arial" w:cs="Arial"/>
        </w:rPr>
        <w:t>‘</w:t>
      </w:r>
      <w:r w:rsidR="00FD04B8" w:rsidRPr="00E022C2">
        <w:rPr>
          <w:rFonts w:ascii="Arial" w:hAnsi="Arial" w:cs="Arial"/>
          <w:i/>
        </w:rPr>
        <w:t>Great Teaching Inspired Learning</w:t>
      </w:r>
      <w:r w:rsidR="00ED0558">
        <w:rPr>
          <w:rFonts w:ascii="Arial" w:hAnsi="Arial" w:cs="Arial"/>
          <w:i/>
        </w:rPr>
        <w:t>’</w:t>
      </w:r>
      <w:r w:rsidR="00FD04B8" w:rsidRPr="00E022C2">
        <w:rPr>
          <w:rFonts w:ascii="Arial" w:hAnsi="Arial" w:cs="Arial"/>
        </w:rPr>
        <w:t xml:space="preserve"> </w:t>
      </w:r>
      <w:r w:rsidRPr="00E022C2">
        <w:rPr>
          <w:rFonts w:ascii="Arial" w:hAnsi="Arial" w:cs="Arial"/>
        </w:rPr>
        <w:t xml:space="preserve">reform </w:t>
      </w:r>
      <w:r w:rsidR="00FD04B8" w:rsidRPr="00E022C2">
        <w:rPr>
          <w:rFonts w:ascii="Arial" w:hAnsi="Arial" w:cs="Arial"/>
        </w:rPr>
        <w:t xml:space="preserve">initiatives such as </w:t>
      </w:r>
      <w:r w:rsidR="000F6B68" w:rsidRPr="00E022C2">
        <w:rPr>
          <w:rFonts w:ascii="Arial" w:hAnsi="Arial" w:cs="Arial"/>
        </w:rPr>
        <w:t xml:space="preserve">new </w:t>
      </w:r>
      <w:r w:rsidR="000A4790" w:rsidRPr="00E022C2">
        <w:rPr>
          <w:rFonts w:ascii="Arial" w:hAnsi="Arial" w:cs="Arial"/>
        </w:rPr>
        <w:t xml:space="preserve">teacher </w:t>
      </w:r>
      <w:r w:rsidR="000F6B68" w:rsidRPr="00E022C2">
        <w:rPr>
          <w:rFonts w:ascii="Arial" w:hAnsi="Arial" w:cs="Arial"/>
        </w:rPr>
        <w:t xml:space="preserve">accreditation requirements linked to </w:t>
      </w:r>
      <w:r w:rsidR="001615F1" w:rsidRPr="00E022C2">
        <w:rPr>
          <w:rFonts w:ascii="Arial" w:hAnsi="Arial" w:cs="Arial"/>
        </w:rPr>
        <w:t>national p</w:t>
      </w:r>
      <w:r w:rsidR="000A4790" w:rsidRPr="00E022C2">
        <w:rPr>
          <w:rFonts w:ascii="Arial" w:hAnsi="Arial" w:cs="Arial"/>
        </w:rPr>
        <w:t>rof</w:t>
      </w:r>
      <w:r w:rsidR="001615F1" w:rsidRPr="00E022C2">
        <w:rPr>
          <w:rFonts w:ascii="Arial" w:hAnsi="Arial" w:cs="Arial"/>
        </w:rPr>
        <w:t>essional st</w:t>
      </w:r>
      <w:r w:rsidR="00531C3E" w:rsidRPr="00E022C2">
        <w:rPr>
          <w:rFonts w:ascii="Arial" w:hAnsi="Arial" w:cs="Arial"/>
        </w:rPr>
        <w:t>andards</w:t>
      </w:r>
      <w:r w:rsidR="001F28B1">
        <w:rPr>
          <w:rFonts w:ascii="Arial" w:hAnsi="Arial" w:cs="Arial"/>
        </w:rPr>
        <w:t xml:space="preserve">, </w:t>
      </w:r>
      <w:r w:rsidR="005B7D3A">
        <w:rPr>
          <w:rFonts w:ascii="Arial" w:hAnsi="Arial" w:cs="Arial"/>
        </w:rPr>
        <w:t>and funding pressures</w:t>
      </w:r>
      <w:r w:rsidR="0004375D" w:rsidRPr="00E022C2">
        <w:rPr>
          <w:rFonts w:ascii="Arial" w:hAnsi="Arial" w:cs="Arial"/>
        </w:rPr>
        <w:t>.</w:t>
      </w:r>
    </w:p>
    <w:p w:rsidR="000A4790" w:rsidRPr="00E022C2" w:rsidRDefault="000A4790" w:rsidP="002E6B16">
      <w:r w:rsidRPr="00E022C2">
        <w:rPr>
          <w:rFonts w:ascii="Arial" w:hAnsi="Arial" w:cs="Arial"/>
        </w:rPr>
        <w:t xml:space="preserve">In the </w:t>
      </w:r>
      <w:r w:rsidR="009F4FCF" w:rsidRPr="00E022C2">
        <w:rPr>
          <w:rFonts w:ascii="Arial" w:hAnsi="Arial" w:cs="Arial"/>
        </w:rPr>
        <w:t>social services sector</w:t>
      </w:r>
      <w:r w:rsidR="00912895" w:rsidRPr="00E022C2">
        <w:rPr>
          <w:rFonts w:ascii="Arial" w:hAnsi="Arial" w:cs="Arial"/>
        </w:rPr>
        <w:t xml:space="preserve">, </w:t>
      </w:r>
      <w:r w:rsidR="00892949" w:rsidRPr="00E022C2">
        <w:rPr>
          <w:rFonts w:ascii="Arial" w:hAnsi="Arial" w:cs="Arial"/>
        </w:rPr>
        <w:t>challenges include</w:t>
      </w:r>
      <w:r w:rsidR="001F28B1">
        <w:rPr>
          <w:rFonts w:ascii="Arial" w:hAnsi="Arial" w:cs="Arial"/>
        </w:rPr>
        <w:t xml:space="preserve"> </w:t>
      </w:r>
      <w:r w:rsidR="00892949" w:rsidRPr="00E022C2">
        <w:rPr>
          <w:rFonts w:ascii="Arial" w:hAnsi="Arial" w:cs="Arial"/>
        </w:rPr>
        <w:t>compl</w:t>
      </w:r>
      <w:r w:rsidR="00B0679A" w:rsidRPr="00E022C2">
        <w:rPr>
          <w:rFonts w:ascii="Arial" w:hAnsi="Arial" w:cs="Arial"/>
        </w:rPr>
        <w:t xml:space="preserve">iance with </w:t>
      </w:r>
      <w:r w:rsidR="00912895" w:rsidRPr="00E022C2">
        <w:rPr>
          <w:rFonts w:ascii="Arial" w:hAnsi="Arial" w:cs="Arial"/>
        </w:rPr>
        <w:t>government driven reform</w:t>
      </w:r>
      <w:r w:rsidR="002E6B16" w:rsidRPr="00E022C2">
        <w:rPr>
          <w:rFonts w:ascii="Arial" w:hAnsi="Arial" w:cs="Arial"/>
        </w:rPr>
        <w:t>s</w:t>
      </w:r>
      <w:r w:rsidR="001F28B1">
        <w:rPr>
          <w:rFonts w:ascii="Arial" w:hAnsi="Arial" w:cs="Arial"/>
        </w:rPr>
        <w:t xml:space="preserve">, </w:t>
      </w:r>
      <w:r w:rsidR="00C6602F">
        <w:rPr>
          <w:rFonts w:ascii="Arial" w:hAnsi="Arial" w:cs="Arial"/>
        </w:rPr>
        <w:t xml:space="preserve">including the person centred approach, that aim </w:t>
      </w:r>
      <w:r w:rsidR="00892949" w:rsidRPr="00E022C2">
        <w:rPr>
          <w:rFonts w:ascii="Arial" w:hAnsi="Arial" w:cs="Arial"/>
        </w:rPr>
        <w:t xml:space="preserve">to improve the quality of care, protection and inclusion </w:t>
      </w:r>
      <w:r w:rsidR="00912895" w:rsidRPr="00E022C2">
        <w:rPr>
          <w:rFonts w:ascii="Arial" w:hAnsi="Arial" w:cs="Arial"/>
        </w:rPr>
        <w:t>in aged care</w:t>
      </w:r>
      <w:r w:rsidR="00892949" w:rsidRPr="00E022C2">
        <w:rPr>
          <w:rFonts w:ascii="Arial" w:hAnsi="Arial" w:cs="Arial"/>
        </w:rPr>
        <w:t>, disability support, children’ services</w:t>
      </w:r>
      <w:r w:rsidR="001F28B1">
        <w:rPr>
          <w:rFonts w:ascii="Arial" w:hAnsi="Arial" w:cs="Arial"/>
        </w:rPr>
        <w:t xml:space="preserve"> and community services, </w:t>
      </w:r>
      <w:r w:rsidR="00A24234" w:rsidRPr="00E022C2">
        <w:rPr>
          <w:rFonts w:ascii="Arial" w:hAnsi="Arial" w:cs="Arial"/>
        </w:rPr>
        <w:t xml:space="preserve">and to </w:t>
      </w:r>
      <w:r w:rsidR="00B0679A" w:rsidRPr="00E022C2">
        <w:rPr>
          <w:rFonts w:ascii="Arial" w:hAnsi="Arial" w:cs="Arial"/>
        </w:rPr>
        <w:t xml:space="preserve">support the </w:t>
      </w:r>
      <w:r w:rsidR="00BB5B7B" w:rsidRPr="00E022C2">
        <w:rPr>
          <w:rFonts w:ascii="Arial" w:hAnsi="Arial" w:cs="Arial"/>
        </w:rPr>
        <w:t xml:space="preserve">transition to the National </w:t>
      </w:r>
      <w:r w:rsidR="00892949" w:rsidRPr="00E022C2">
        <w:rPr>
          <w:rFonts w:ascii="Arial" w:hAnsi="Arial" w:cs="Arial"/>
        </w:rPr>
        <w:t>D</w:t>
      </w:r>
      <w:r w:rsidR="00BB5B7B" w:rsidRPr="00E022C2">
        <w:rPr>
          <w:rFonts w:ascii="Arial" w:hAnsi="Arial" w:cs="Arial"/>
        </w:rPr>
        <w:t xml:space="preserve">isability Insurance </w:t>
      </w:r>
      <w:r w:rsidR="00B0679A" w:rsidRPr="00E022C2">
        <w:rPr>
          <w:rFonts w:ascii="Arial" w:hAnsi="Arial" w:cs="Arial"/>
        </w:rPr>
        <w:t>S</w:t>
      </w:r>
      <w:r w:rsidR="00BB5B7B" w:rsidRPr="00E022C2">
        <w:rPr>
          <w:rFonts w:ascii="Arial" w:hAnsi="Arial" w:cs="Arial"/>
        </w:rPr>
        <w:t>cheme</w:t>
      </w:r>
      <w:r w:rsidR="00B0679A" w:rsidRPr="00E022C2">
        <w:rPr>
          <w:rFonts w:ascii="Arial" w:hAnsi="Arial" w:cs="Arial"/>
        </w:rPr>
        <w:t>.</w:t>
      </w:r>
    </w:p>
    <w:p w:rsidR="009F4FCF" w:rsidRDefault="00316B86" w:rsidP="001615F1">
      <w:pPr>
        <w:rPr>
          <w:rFonts w:ascii="Arial" w:hAnsi="Arial" w:cs="Arial"/>
        </w:rPr>
      </w:pPr>
      <w:r w:rsidRPr="00E022C2">
        <w:rPr>
          <w:rFonts w:ascii="Arial" w:hAnsi="Arial" w:cs="Arial"/>
        </w:rPr>
        <w:t>In religious congregations, parishes and chanceries, employers are typically small and under resourced in term</w:t>
      </w:r>
      <w:r w:rsidR="001615F1" w:rsidRPr="00E022C2">
        <w:rPr>
          <w:rFonts w:ascii="Arial" w:hAnsi="Arial" w:cs="Arial"/>
        </w:rPr>
        <w:t>s of human resource expertise.</w:t>
      </w:r>
    </w:p>
    <w:p w:rsidR="00DE7307" w:rsidRPr="0051171B" w:rsidRDefault="00201A23" w:rsidP="00A278FE">
      <w:pPr>
        <w:rPr>
          <w:rFonts w:ascii="Arial" w:hAnsi="Arial" w:cs="Arial"/>
          <w:b/>
          <w:bCs/>
          <w:color w:val="C0504D"/>
          <w:sz w:val="28"/>
          <w:szCs w:val="28"/>
        </w:rPr>
      </w:pPr>
      <w:r w:rsidRPr="0051171B">
        <w:rPr>
          <w:rFonts w:ascii="Arial" w:hAnsi="Arial" w:cs="Arial"/>
          <w:b/>
          <w:bCs/>
          <w:color w:val="C0504D"/>
          <w:sz w:val="28"/>
          <w:szCs w:val="28"/>
        </w:rPr>
        <w:lastRenderedPageBreak/>
        <w:t>C</w:t>
      </w:r>
      <w:r w:rsidR="00C628E9" w:rsidRPr="0051171B">
        <w:rPr>
          <w:rFonts w:ascii="Arial" w:hAnsi="Arial" w:cs="Arial"/>
          <w:b/>
          <w:bCs/>
          <w:color w:val="C0504D"/>
          <w:sz w:val="28"/>
          <w:szCs w:val="28"/>
        </w:rPr>
        <w:t>atholic Social Teaching and Work</w:t>
      </w:r>
    </w:p>
    <w:p w:rsidR="00ED2954" w:rsidRPr="00E022C2" w:rsidRDefault="000C5272" w:rsidP="008F7025">
      <w:pPr>
        <w:rPr>
          <w:rFonts w:ascii="Arial" w:hAnsi="Arial" w:cs="Arial"/>
        </w:rPr>
      </w:pPr>
      <w:r w:rsidRPr="00E022C2">
        <w:rPr>
          <w:rFonts w:ascii="Arial" w:hAnsi="Arial" w:cs="Arial"/>
        </w:rPr>
        <w:t xml:space="preserve">Work, in its broadest sense </w:t>
      </w:r>
      <w:r w:rsidR="00485F85">
        <w:rPr>
          <w:rFonts w:ascii="Arial" w:hAnsi="Arial" w:cs="Arial"/>
        </w:rPr>
        <w:t xml:space="preserve">is </w:t>
      </w:r>
      <w:r w:rsidRPr="00E022C2">
        <w:rPr>
          <w:rFonts w:ascii="Arial" w:hAnsi="Arial" w:cs="Arial"/>
        </w:rPr>
        <w:t>not just employment</w:t>
      </w:r>
      <w:r w:rsidR="00485F85">
        <w:rPr>
          <w:rFonts w:ascii="Arial" w:hAnsi="Arial" w:cs="Arial"/>
        </w:rPr>
        <w:t xml:space="preserve"> and</w:t>
      </w:r>
      <w:r w:rsidRPr="00E022C2">
        <w:rPr>
          <w:rFonts w:ascii="Arial" w:hAnsi="Arial" w:cs="Arial"/>
        </w:rPr>
        <w:t xml:space="preserve"> occupies a central position in Catholic social teaching </w:t>
      </w:r>
      <w:r w:rsidR="00485F85">
        <w:rPr>
          <w:rFonts w:ascii="Arial" w:hAnsi="Arial" w:cs="Arial"/>
        </w:rPr>
        <w:t xml:space="preserve">as the </w:t>
      </w:r>
      <w:r w:rsidRPr="00E022C2">
        <w:rPr>
          <w:rFonts w:ascii="Arial" w:hAnsi="Arial" w:cs="Arial"/>
        </w:rPr>
        <w:t xml:space="preserve">fair and just treatment of workers </w:t>
      </w:r>
      <w:r w:rsidR="00485F85">
        <w:rPr>
          <w:rFonts w:ascii="Arial" w:hAnsi="Arial" w:cs="Arial"/>
        </w:rPr>
        <w:t xml:space="preserve">is </w:t>
      </w:r>
      <w:r w:rsidRPr="00E022C2">
        <w:rPr>
          <w:rFonts w:ascii="Arial" w:hAnsi="Arial" w:cs="Arial"/>
        </w:rPr>
        <w:t>an essential requirement of a society based on social justice.</w:t>
      </w:r>
      <w:r w:rsidR="00D87AAF" w:rsidRPr="00E022C2">
        <w:rPr>
          <w:rFonts w:ascii="Arial" w:hAnsi="Arial" w:cs="Arial"/>
        </w:rPr>
        <w:t xml:space="preserve"> </w:t>
      </w:r>
      <w:r w:rsidR="002C7801" w:rsidRPr="00E022C2">
        <w:rPr>
          <w:rFonts w:ascii="Arial" w:hAnsi="Arial" w:cs="Arial"/>
        </w:rPr>
        <w:t xml:space="preserve">The </w:t>
      </w:r>
      <w:r w:rsidR="00E3670F">
        <w:rPr>
          <w:rFonts w:ascii="Arial" w:hAnsi="Arial" w:cs="Arial"/>
        </w:rPr>
        <w:t xml:space="preserve">Catholic </w:t>
      </w:r>
      <w:r w:rsidR="002C7801" w:rsidRPr="00E022C2">
        <w:rPr>
          <w:rFonts w:ascii="Arial" w:hAnsi="Arial" w:cs="Arial"/>
        </w:rPr>
        <w:t>Church’s central concerns, in solidarity with the poor, are unempl</w:t>
      </w:r>
      <w:r w:rsidR="008C6EAF" w:rsidRPr="00E022C2">
        <w:rPr>
          <w:rFonts w:ascii="Arial" w:hAnsi="Arial" w:cs="Arial"/>
        </w:rPr>
        <w:t>oyment, poverty and inequality.</w:t>
      </w:r>
    </w:p>
    <w:p w:rsidR="0073587D" w:rsidRPr="00E022C2" w:rsidRDefault="0073587D" w:rsidP="0073587D">
      <w:pPr>
        <w:rPr>
          <w:rFonts w:ascii="Arial" w:hAnsi="Arial" w:cs="Arial"/>
        </w:rPr>
      </w:pPr>
      <w:r w:rsidRPr="00E022C2">
        <w:rPr>
          <w:rFonts w:ascii="Arial" w:hAnsi="Arial" w:cs="Arial"/>
        </w:rPr>
        <w:t xml:space="preserve">In Pope John Paul II’s 1981 encyclical </w:t>
      </w:r>
      <w:r w:rsidRPr="00E022C2">
        <w:rPr>
          <w:rFonts w:ascii="Arial" w:hAnsi="Arial" w:cs="Arial"/>
          <w:i/>
        </w:rPr>
        <w:t>Laborem Exercens</w:t>
      </w:r>
      <w:r w:rsidRPr="00E022C2">
        <w:rPr>
          <w:rFonts w:ascii="Arial" w:hAnsi="Arial" w:cs="Arial"/>
        </w:rPr>
        <w:t xml:space="preserve">, the relationship between the Gospel message and social justice in the workplace is brought together: </w:t>
      </w:r>
    </w:p>
    <w:p w:rsidR="0073587D" w:rsidRPr="004867D8" w:rsidRDefault="0073587D" w:rsidP="0073587D">
      <w:pPr>
        <w:ind w:left="720"/>
        <w:rPr>
          <w:rFonts w:ascii="Arial" w:hAnsi="Arial" w:cs="Arial"/>
          <w:i/>
          <w:sz w:val="20"/>
          <w:szCs w:val="20"/>
        </w:rPr>
      </w:pPr>
      <w:r w:rsidRPr="004867D8">
        <w:rPr>
          <w:rFonts w:ascii="Arial" w:hAnsi="Arial" w:cs="Arial"/>
          <w:i/>
          <w:sz w:val="20"/>
          <w:szCs w:val="20"/>
        </w:rPr>
        <w:t>....The Church is firmly committed to this cause, for she considers it her mission, her service, a proof of her fidelity to Christ, so that she can truly be the "Church of the poor.” And the "poor" appear under various forms; they appear in various places and at various times; in many cases they appear as a result of the violation of the dignity of human work: either because the opportunities for human work are limited as a result of the scourge of unemployment, or because a low value is put on work and the rights that flow from it, especially the right to a just wage and to the personal security of th</w:t>
      </w:r>
      <w:r w:rsidR="00BA6A3C">
        <w:rPr>
          <w:rFonts w:ascii="Arial" w:hAnsi="Arial" w:cs="Arial"/>
          <w:i/>
          <w:sz w:val="20"/>
          <w:szCs w:val="20"/>
        </w:rPr>
        <w:t>e worker and his or her family.</w:t>
      </w:r>
      <w:r w:rsidRPr="004867D8">
        <w:rPr>
          <w:rFonts w:ascii="Arial" w:hAnsi="Arial" w:cs="Arial"/>
          <w:i/>
          <w:sz w:val="20"/>
          <w:szCs w:val="20"/>
        </w:rPr>
        <w:t xml:space="preserve"> (Laborem Exercens, 8)</w:t>
      </w:r>
    </w:p>
    <w:p w:rsidR="00AD357B" w:rsidRPr="00E022C2" w:rsidRDefault="00D906BA" w:rsidP="00D737E8">
      <w:pPr>
        <w:rPr>
          <w:rFonts w:ascii="Arial" w:hAnsi="Arial" w:cs="Arial"/>
        </w:rPr>
      </w:pPr>
      <w:r w:rsidRPr="00E022C2">
        <w:rPr>
          <w:rFonts w:ascii="Arial" w:hAnsi="Arial" w:cs="Arial"/>
        </w:rPr>
        <w:t>The application of Catholic social teaching to work and the emplo</w:t>
      </w:r>
      <w:r w:rsidR="00CC562B" w:rsidRPr="00E022C2">
        <w:rPr>
          <w:rFonts w:ascii="Arial" w:hAnsi="Arial" w:cs="Arial"/>
        </w:rPr>
        <w:t xml:space="preserve">yment </w:t>
      </w:r>
      <w:r w:rsidRPr="00E022C2">
        <w:rPr>
          <w:rFonts w:ascii="Arial" w:hAnsi="Arial" w:cs="Arial"/>
        </w:rPr>
        <w:t xml:space="preserve">relations framework has been extensively considered by the </w:t>
      </w:r>
      <w:r w:rsidR="00AD357B" w:rsidRPr="00E022C2">
        <w:rPr>
          <w:rFonts w:ascii="Arial" w:hAnsi="Arial" w:cs="Arial"/>
        </w:rPr>
        <w:t xml:space="preserve">Australian Catholic Bishops </w:t>
      </w:r>
      <w:r w:rsidR="00303555" w:rsidRPr="00E022C2">
        <w:rPr>
          <w:rFonts w:ascii="Arial" w:hAnsi="Arial" w:cs="Arial"/>
        </w:rPr>
        <w:t xml:space="preserve">Conference </w:t>
      </w:r>
      <w:r w:rsidR="001B2C6F" w:rsidRPr="00E022C2">
        <w:rPr>
          <w:rFonts w:ascii="Arial" w:hAnsi="Arial" w:cs="Arial"/>
        </w:rPr>
        <w:t xml:space="preserve">and its agency the Australian </w:t>
      </w:r>
      <w:r w:rsidR="00F86FAF">
        <w:rPr>
          <w:rFonts w:ascii="Arial" w:hAnsi="Arial" w:cs="Arial"/>
        </w:rPr>
        <w:t xml:space="preserve">Catholic </w:t>
      </w:r>
      <w:r w:rsidR="001B2C6F" w:rsidRPr="00E022C2">
        <w:rPr>
          <w:rFonts w:ascii="Arial" w:hAnsi="Arial" w:cs="Arial"/>
        </w:rPr>
        <w:t>Council for Employment Relations (ACCER)</w:t>
      </w:r>
      <w:r w:rsidR="00303555" w:rsidRPr="00E022C2">
        <w:rPr>
          <w:rFonts w:ascii="Arial" w:hAnsi="Arial" w:cs="Arial"/>
        </w:rPr>
        <w:t xml:space="preserve">. </w:t>
      </w:r>
      <w:r w:rsidR="00AD357B" w:rsidRPr="00E022C2">
        <w:rPr>
          <w:rFonts w:ascii="Arial" w:hAnsi="Arial" w:cs="Arial"/>
        </w:rPr>
        <w:t>Part of</w:t>
      </w:r>
      <w:r w:rsidR="001B2C6F" w:rsidRPr="00E022C2">
        <w:rPr>
          <w:rFonts w:ascii="Arial" w:hAnsi="Arial" w:cs="Arial"/>
        </w:rPr>
        <w:t xml:space="preserve"> ACCER’s</w:t>
      </w:r>
      <w:r w:rsidR="00AD357B" w:rsidRPr="00E022C2">
        <w:rPr>
          <w:rFonts w:ascii="Arial" w:hAnsi="Arial" w:cs="Arial"/>
        </w:rPr>
        <w:t xml:space="preserve"> mandate is to advocate policies on work and the employment relationship, based on Catholic social teaching.</w:t>
      </w:r>
    </w:p>
    <w:p w:rsidR="000850E9" w:rsidRPr="00AD4CEE" w:rsidRDefault="008B359F" w:rsidP="001B2C6F">
      <w:pPr>
        <w:rPr>
          <w:rFonts w:ascii="Arial" w:hAnsi="Arial" w:cs="Arial"/>
        </w:rPr>
      </w:pPr>
      <w:r w:rsidRPr="00AD4CEE">
        <w:rPr>
          <w:rFonts w:ascii="Arial" w:hAnsi="Arial" w:cs="Arial"/>
        </w:rPr>
        <w:t>In November 2005 the Australian Catholic Bishops Conference published a</w:t>
      </w:r>
      <w:r w:rsidR="008F7025" w:rsidRPr="00AD4CEE">
        <w:rPr>
          <w:rFonts w:ascii="Arial" w:hAnsi="Arial" w:cs="Arial"/>
        </w:rPr>
        <w:t xml:space="preserve"> </w:t>
      </w:r>
      <w:r w:rsidRPr="00AD4CEE">
        <w:rPr>
          <w:rFonts w:ascii="Arial" w:hAnsi="Arial" w:cs="Arial"/>
        </w:rPr>
        <w:t xml:space="preserve">Statement on aspects of the then proposed Work Choices legislation. The basis of the Bishops’ Statement </w:t>
      </w:r>
      <w:r w:rsidR="0050127A" w:rsidRPr="00AD4CEE">
        <w:rPr>
          <w:rFonts w:ascii="Arial" w:hAnsi="Arial" w:cs="Arial"/>
        </w:rPr>
        <w:t xml:space="preserve">is </w:t>
      </w:r>
      <w:r w:rsidRPr="00AD4CEE">
        <w:rPr>
          <w:rFonts w:ascii="Arial" w:hAnsi="Arial" w:cs="Arial"/>
        </w:rPr>
        <w:t>Catholic social teaching on work, the employment relationship</w:t>
      </w:r>
      <w:r w:rsidR="001B2C6F" w:rsidRPr="00AD4CEE">
        <w:rPr>
          <w:rFonts w:ascii="Arial" w:hAnsi="Arial" w:cs="Arial"/>
        </w:rPr>
        <w:t xml:space="preserve"> </w:t>
      </w:r>
      <w:r w:rsidRPr="00AD4CEE">
        <w:rPr>
          <w:rFonts w:ascii="Arial" w:hAnsi="Arial" w:cs="Arial"/>
        </w:rPr>
        <w:t xml:space="preserve">and the role of governments. </w:t>
      </w:r>
      <w:r w:rsidR="000850E9" w:rsidRPr="00AD4CEE">
        <w:rPr>
          <w:rFonts w:ascii="Arial" w:hAnsi="Arial" w:cs="Arial"/>
        </w:rPr>
        <w:t>The Statement outline</w:t>
      </w:r>
      <w:r w:rsidR="0050127A" w:rsidRPr="00AD4CEE">
        <w:rPr>
          <w:rFonts w:ascii="Arial" w:hAnsi="Arial" w:cs="Arial"/>
        </w:rPr>
        <w:t>s</w:t>
      </w:r>
      <w:r w:rsidR="000850E9" w:rsidRPr="00AD4CEE">
        <w:rPr>
          <w:rFonts w:ascii="Arial" w:hAnsi="Arial" w:cs="Arial"/>
        </w:rPr>
        <w:t xml:space="preserve"> some key </w:t>
      </w:r>
      <w:r w:rsidR="00C907AD" w:rsidRPr="00AD4CEE">
        <w:rPr>
          <w:rFonts w:ascii="Arial" w:hAnsi="Arial" w:cs="Arial"/>
        </w:rPr>
        <w:t xml:space="preserve">workplace relations </w:t>
      </w:r>
      <w:r w:rsidR="003839CA" w:rsidRPr="00AD4CEE">
        <w:rPr>
          <w:rFonts w:ascii="Arial" w:hAnsi="Arial" w:cs="Arial"/>
        </w:rPr>
        <w:t>principles</w:t>
      </w:r>
      <w:r w:rsidR="003839CA">
        <w:rPr>
          <w:rFonts w:ascii="Arial" w:hAnsi="Arial" w:cs="Arial"/>
        </w:rPr>
        <w:t>, which were further enunciated by ACCER in 2007</w:t>
      </w:r>
      <w:r w:rsidR="0026711B">
        <w:rPr>
          <w:rFonts w:ascii="Arial" w:hAnsi="Arial" w:cs="Arial"/>
        </w:rPr>
        <w:t xml:space="preserve"> in </w:t>
      </w:r>
      <w:r w:rsidR="003839CA" w:rsidRPr="003839CA">
        <w:rPr>
          <w:rFonts w:ascii="Arial" w:hAnsi="Arial" w:cs="Arial"/>
          <w:i/>
        </w:rPr>
        <w:t>Workplace Relations</w:t>
      </w:r>
      <w:r w:rsidR="000850E9" w:rsidRPr="003839CA">
        <w:rPr>
          <w:rFonts w:ascii="Arial" w:hAnsi="Arial" w:cs="Arial"/>
          <w:i/>
        </w:rPr>
        <w:t>:</w:t>
      </w:r>
      <w:r w:rsidR="003839CA" w:rsidRPr="003839CA">
        <w:rPr>
          <w:rFonts w:ascii="Arial" w:hAnsi="Arial" w:cs="Arial"/>
          <w:i/>
        </w:rPr>
        <w:t xml:space="preserve"> A Catholic Perspective</w:t>
      </w:r>
      <w:r w:rsidR="007E631D">
        <w:rPr>
          <w:rFonts w:ascii="Arial" w:hAnsi="Arial" w:cs="Arial"/>
        </w:rPr>
        <w:t>.</w:t>
      </w:r>
    </w:p>
    <w:p w:rsidR="001A325F" w:rsidRPr="003A03C6" w:rsidRDefault="000850E9" w:rsidP="001B2C6F">
      <w:pPr>
        <w:rPr>
          <w:rFonts w:ascii="Arial" w:hAnsi="Arial" w:cs="Arial"/>
          <w:b/>
          <w:bCs/>
          <w:i/>
          <w:color w:val="C0504D"/>
          <w:sz w:val="24"/>
          <w:szCs w:val="24"/>
        </w:rPr>
      </w:pPr>
      <w:r w:rsidRPr="003A03C6">
        <w:rPr>
          <w:rFonts w:ascii="Arial" w:hAnsi="Arial" w:cs="Arial"/>
          <w:b/>
          <w:bCs/>
          <w:i/>
          <w:color w:val="C0504D"/>
          <w:sz w:val="24"/>
          <w:szCs w:val="24"/>
        </w:rPr>
        <w:t xml:space="preserve">Role of governments </w:t>
      </w:r>
    </w:p>
    <w:p w:rsidR="000850E9" w:rsidRDefault="00864BCF" w:rsidP="00665279">
      <w:pPr>
        <w:rPr>
          <w:rFonts w:ascii="Arial" w:hAnsi="Arial" w:cs="Arial"/>
        </w:rPr>
      </w:pPr>
      <w:r>
        <w:rPr>
          <w:rFonts w:ascii="Arial" w:hAnsi="Arial" w:cs="Arial"/>
        </w:rPr>
        <w:t>G</w:t>
      </w:r>
      <w:r w:rsidR="008B359F" w:rsidRPr="00AD4CEE">
        <w:rPr>
          <w:rFonts w:ascii="Arial" w:hAnsi="Arial" w:cs="Arial"/>
        </w:rPr>
        <w:t>overnments have a responsibility to promote employment and to ensure that the basic needs of workers and their families are met through fair minimum standards</w:t>
      </w:r>
      <w:r w:rsidR="009B455A" w:rsidRPr="00AD4CEE">
        <w:rPr>
          <w:rFonts w:ascii="Arial" w:hAnsi="Arial" w:cs="Arial"/>
        </w:rPr>
        <w:t>.</w:t>
      </w:r>
      <w:r w:rsidR="00665279">
        <w:rPr>
          <w:rFonts w:ascii="Arial" w:hAnsi="Arial" w:cs="Arial"/>
        </w:rPr>
        <w:t xml:space="preserve"> </w:t>
      </w:r>
      <w:r w:rsidR="00665279" w:rsidRPr="00665279">
        <w:rPr>
          <w:rFonts w:ascii="Arial" w:hAnsi="Arial" w:cs="Arial"/>
        </w:rPr>
        <w:t xml:space="preserve">Catholic </w:t>
      </w:r>
      <w:r w:rsidR="00377E32">
        <w:rPr>
          <w:rFonts w:ascii="Arial" w:hAnsi="Arial" w:cs="Arial"/>
        </w:rPr>
        <w:t>s</w:t>
      </w:r>
      <w:r w:rsidR="00665279" w:rsidRPr="00665279">
        <w:rPr>
          <w:rFonts w:ascii="Arial" w:hAnsi="Arial" w:cs="Arial"/>
        </w:rPr>
        <w:t xml:space="preserve">ocial </w:t>
      </w:r>
      <w:r w:rsidR="000A260F">
        <w:rPr>
          <w:rFonts w:ascii="Arial" w:hAnsi="Arial" w:cs="Arial"/>
        </w:rPr>
        <w:t>t</w:t>
      </w:r>
      <w:r w:rsidR="00665279" w:rsidRPr="00665279">
        <w:rPr>
          <w:rFonts w:ascii="Arial" w:hAnsi="Arial" w:cs="Arial"/>
        </w:rPr>
        <w:t>eaching recognises and supports a proper balance between the rights and responsibilities of employers and workers. The terms of employment cannot be left wholly to the marketplace.</w:t>
      </w:r>
    </w:p>
    <w:p w:rsidR="001A325F" w:rsidRPr="003A03C6" w:rsidRDefault="009B455A" w:rsidP="00E022C2">
      <w:pPr>
        <w:rPr>
          <w:rFonts w:ascii="Arial" w:hAnsi="Arial" w:cs="Arial"/>
          <w:b/>
          <w:bCs/>
          <w:i/>
          <w:color w:val="C0504D"/>
          <w:sz w:val="24"/>
          <w:szCs w:val="24"/>
        </w:rPr>
      </w:pPr>
      <w:r w:rsidRPr="003A03C6">
        <w:rPr>
          <w:rFonts w:ascii="Arial" w:hAnsi="Arial" w:cs="Arial"/>
          <w:b/>
          <w:bCs/>
          <w:i/>
          <w:color w:val="C0504D"/>
          <w:sz w:val="24"/>
          <w:szCs w:val="24"/>
        </w:rPr>
        <w:t xml:space="preserve">Minimum wage </w:t>
      </w:r>
    </w:p>
    <w:p w:rsidR="009B455A" w:rsidRPr="00AD4CEE" w:rsidRDefault="001A325F" w:rsidP="00864BCF">
      <w:pPr>
        <w:rPr>
          <w:rFonts w:ascii="Arial" w:hAnsi="Arial" w:cs="Arial"/>
        </w:rPr>
      </w:pPr>
      <w:r w:rsidRPr="00AE7327">
        <w:rPr>
          <w:rFonts w:ascii="Arial" w:hAnsi="Arial" w:cs="Arial"/>
        </w:rPr>
        <w:t>W</w:t>
      </w:r>
      <w:r w:rsidR="009B455A" w:rsidRPr="00AE7327">
        <w:rPr>
          <w:rFonts w:ascii="Arial" w:hAnsi="Arial" w:cs="Arial"/>
        </w:rPr>
        <w:t>orker</w:t>
      </w:r>
      <w:r w:rsidR="009B455A" w:rsidRPr="00AD4CEE">
        <w:rPr>
          <w:rFonts w:ascii="Arial" w:hAnsi="Arial" w:cs="Arial"/>
        </w:rPr>
        <w:t xml:space="preserve">s are entitled to a wage that allows them to live a fulfilling life and to meet their family obligations. </w:t>
      </w:r>
      <w:r w:rsidR="0039344E">
        <w:rPr>
          <w:rFonts w:ascii="Arial" w:hAnsi="Arial" w:cs="Arial"/>
        </w:rPr>
        <w:t xml:space="preserve">A central part of Catholic social teaching is </w:t>
      </w:r>
      <w:r w:rsidR="00864BCF" w:rsidRPr="00864BCF">
        <w:rPr>
          <w:rFonts w:ascii="Arial" w:hAnsi="Arial" w:cs="Arial"/>
        </w:rPr>
        <w:t>that the worker is entitled to a just</w:t>
      </w:r>
      <w:r w:rsidR="00864BCF">
        <w:rPr>
          <w:rFonts w:ascii="Arial" w:hAnsi="Arial" w:cs="Arial"/>
        </w:rPr>
        <w:t xml:space="preserve"> </w:t>
      </w:r>
      <w:r w:rsidR="00864BCF" w:rsidRPr="00864BCF">
        <w:rPr>
          <w:rFonts w:ascii="Arial" w:hAnsi="Arial" w:cs="Arial"/>
        </w:rPr>
        <w:t xml:space="preserve">wage for the work performed and that the wage should be at least </w:t>
      </w:r>
      <w:r w:rsidR="00CB40FC" w:rsidRPr="00864BCF">
        <w:rPr>
          <w:rFonts w:ascii="Arial" w:hAnsi="Arial" w:cs="Arial"/>
        </w:rPr>
        <w:t xml:space="preserve">sufficient </w:t>
      </w:r>
      <w:r w:rsidR="00CB40FC">
        <w:rPr>
          <w:rFonts w:ascii="Arial" w:hAnsi="Arial" w:cs="Arial"/>
        </w:rPr>
        <w:t>to</w:t>
      </w:r>
      <w:r w:rsidR="00864BCF" w:rsidRPr="00864BCF">
        <w:rPr>
          <w:rFonts w:ascii="Arial" w:hAnsi="Arial" w:cs="Arial"/>
        </w:rPr>
        <w:t xml:space="preserve"> support the worker and the worker’s dependants.</w:t>
      </w:r>
    </w:p>
    <w:p w:rsidR="001A325F" w:rsidRPr="003A03C6" w:rsidRDefault="00464054" w:rsidP="001A325F">
      <w:pPr>
        <w:rPr>
          <w:rFonts w:ascii="Arial" w:hAnsi="Arial" w:cs="Arial"/>
          <w:b/>
          <w:bCs/>
          <w:i/>
          <w:color w:val="C0504D"/>
          <w:sz w:val="24"/>
          <w:szCs w:val="24"/>
        </w:rPr>
      </w:pPr>
      <w:r w:rsidRPr="003A03C6">
        <w:rPr>
          <w:rFonts w:ascii="Arial" w:hAnsi="Arial" w:cs="Arial"/>
          <w:b/>
          <w:bCs/>
          <w:i/>
          <w:color w:val="C0504D"/>
          <w:sz w:val="24"/>
          <w:szCs w:val="24"/>
        </w:rPr>
        <w:t xml:space="preserve">Minimum </w:t>
      </w:r>
      <w:r w:rsidR="00F1031B" w:rsidRPr="003A03C6">
        <w:rPr>
          <w:rFonts w:ascii="Arial" w:hAnsi="Arial" w:cs="Arial"/>
          <w:b/>
          <w:bCs/>
          <w:i/>
          <w:color w:val="C0504D"/>
          <w:sz w:val="24"/>
          <w:szCs w:val="24"/>
        </w:rPr>
        <w:t>c</w:t>
      </w:r>
      <w:r w:rsidRPr="003A03C6">
        <w:rPr>
          <w:rFonts w:ascii="Arial" w:hAnsi="Arial" w:cs="Arial"/>
          <w:b/>
          <w:bCs/>
          <w:i/>
          <w:color w:val="C0504D"/>
          <w:sz w:val="24"/>
          <w:szCs w:val="24"/>
        </w:rPr>
        <w:t xml:space="preserve">onditions and </w:t>
      </w:r>
      <w:r w:rsidR="001A325F" w:rsidRPr="003A03C6">
        <w:rPr>
          <w:rFonts w:ascii="Arial" w:hAnsi="Arial" w:cs="Arial"/>
          <w:b/>
          <w:bCs/>
          <w:i/>
          <w:color w:val="C0504D"/>
          <w:sz w:val="24"/>
          <w:szCs w:val="24"/>
        </w:rPr>
        <w:t xml:space="preserve">protection from unfair agreements </w:t>
      </w:r>
      <w:r w:rsidR="009B455A" w:rsidRPr="003A03C6">
        <w:rPr>
          <w:rFonts w:ascii="Arial" w:hAnsi="Arial" w:cs="Arial"/>
          <w:b/>
          <w:bCs/>
          <w:i/>
          <w:color w:val="C0504D"/>
          <w:sz w:val="24"/>
          <w:szCs w:val="24"/>
        </w:rPr>
        <w:t xml:space="preserve">  </w:t>
      </w:r>
      <w:r w:rsidR="00074456" w:rsidRPr="003A03C6">
        <w:rPr>
          <w:rFonts w:ascii="Arial" w:hAnsi="Arial" w:cs="Arial"/>
          <w:b/>
          <w:bCs/>
          <w:i/>
          <w:color w:val="C0504D"/>
          <w:sz w:val="24"/>
          <w:szCs w:val="24"/>
        </w:rPr>
        <w:t xml:space="preserve"> </w:t>
      </w:r>
    </w:p>
    <w:p w:rsidR="001A325F" w:rsidRDefault="001A325F" w:rsidP="001A325F">
      <w:pPr>
        <w:rPr>
          <w:rFonts w:ascii="Arial" w:hAnsi="Arial" w:cs="Arial"/>
        </w:rPr>
      </w:pPr>
      <w:r w:rsidRPr="007D1E09">
        <w:rPr>
          <w:rFonts w:ascii="Arial" w:hAnsi="Arial" w:cs="Arial"/>
        </w:rPr>
        <w:t>Catholic social teaching is concerned with equitable remuneration and conditions</w:t>
      </w:r>
      <w:r>
        <w:rPr>
          <w:rFonts w:ascii="Arial" w:hAnsi="Arial" w:cs="Arial"/>
        </w:rPr>
        <w:t xml:space="preserve"> </w:t>
      </w:r>
      <w:r w:rsidRPr="007D1E09">
        <w:rPr>
          <w:rFonts w:ascii="Arial" w:hAnsi="Arial" w:cs="Arial"/>
        </w:rPr>
        <w:t>of employment and with the protection of workers who are vulnerable and at</w:t>
      </w:r>
      <w:r>
        <w:rPr>
          <w:rFonts w:ascii="Arial" w:hAnsi="Arial" w:cs="Arial"/>
        </w:rPr>
        <w:t xml:space="preserve"> risk of pressure to agree to an unjust arrangement</w:t>
      </w:r>
      <w:r w:rsidR="00CE673D">
        <w:rPr>
          <w:rFonts w:ascii="Arial" w:hAnsi="Arial" w:cs="Arial"/>
        </w:rPr>
        <w:t xml:space="preserve"> when </w:t>
      </w:r>
      <w:r w:rsidRPr="007D1E09">
        <w:rPr>
          <w:rFonts w:ascii="Arial" w:hAnsi="Arial" w:cs="Arial"/>
        </w:rPr>
        <w:t>dealing with employers who have superior bargaining</w:t>
      </w:r>
      <w:r>
        <w:rPr>
          <w:rFonts w:ascii="Arial" w:hAnsi="Arial" w:cs="Arial"/>
        </w:rPr>
        <w:t xml:space="preserve"> </w:t>
      </w:r>
      <w:r w:rsidRPr="007D1E09">
        <w:rPr>
          <w:rFonts w:ascii="Arial" w:hAnsi="Arial" w:cs="Arial"/>
        </w:rPr>
        <w:t>power</w:t>
      </w:r>
      <w:r>
        <w:rPr>
          <w:rFonts w:ascii="Arial" w:hAnsi="Arial" w:cs="Arial"/>
        </w:rPr>
        <w:t>. S</w:t>
      </w:r>
      <w:r w:rsidRPr="00AD4CEE">
        <w:rPr>
          <w:rFonts w:ascii="Arial" w:hAnsi="Arial" w:cs="Arial"/>
        </w:rPr>
        <w:t xml:space="preserve">afety net conditions such as overtime rates, penalty rates and rest breaks should be </w:t>
      </w:r>
      <w:r w:rsidRPr="00AD4CEE">
        <w:rPr>
          <w:rFonts w:ascii="Arial" w:hAnsi="Arial" w:cs="Arial"/>
        </w:rPr>
        <w:lastRenderedPageBreak/>
        <w:t xml:space="preserve">appropriately protected and workers especially the poor and vulnerable should not be placed in a situation where they will be required to bargain away some of their entitlements. </w:t>
      </w:r>
    </w:p>
    <w:p w:rsidR="001A325F" w:rsidRPr="003A03C6" w:rsidRDefault="001A325F" w:rsidP="001A325F">
      <w:pPr>
        <w:rPr>
          <w:rFonts w:ascii="Arial" w:hAnsi="Arial" w:cs="Arial"/>
          <w:b/>
          <w:bCs/>
          <w:i/>
          <w:color w:val="C0504D"/>
          <w:sz w:val="24"/>
          <w:szCs w:val="24"/>
        </w:rPr>
      </w:pPr>
      <w:r w:rsidRPr="003A03C6">
        <w:rPr>
          <w:rFonts w:ascii="Arial" w:hAnsi="Arial" w:cs="Arial"/>
          <w:b/>
          <w:bCs/>
          <w:i/>
          <w:color w:val="C0504D"/>
          <w:sz w:val="24"/>
          <w:szCs w:val="24"/>
        </w:rPr>
        <w:t>Family responsibilities and work</w:t>
      </w:r>
    </w:p>
    <w:p w:rsidR="001A325F" w:rsidRPr="00AE7327" w:rsidRDefault="001A325F" w:rsidP="00AE7327">
      <w:pPr>
        <w:rPr>
          <w:rFonts w:ascii="Arial" w:hAnsi="Arial" w:cs="Arial"/>
        </w:rPr>
      </w:pPr>
      <w:r w:rsidRPr="003F3052">
        <w:rPr>
          <w:rFonts w:ascii="Arial" w:hAnsi="Arial" w:cs="Arial"/>
        </w:rPr>
        <w:t xml:space="preserve">Catholic social teaching deals with rights that relate to what is </w:t>
      </w:r>
      <w:r>
        <w:rPr>
          <w:rFonts w:ascii="Arial" w:hAnsi="Arial" w:cs="Arial"/>
        </w:rPr>
        <w:t>referred to as</w:t>
      </w:r>
      <w:r w:rsidRPr="003F3052">
        <w:rPr>
          <w:rFonts w:ascii="Arial" w:hAnsi="Arial" w:cs="Arial"/>
        </w:rPr>
        <w:t xml:space="preserve"> the </w:t>
      </w:r>
      <w:r w:rsidRPr="00AE7327">
        <w:rPr>
          <w:rFonts w:ascii="Arial" w:hAnsi="Arial" w:cs="Arial"/>
        </w:rPr>
        <w:t>work/life balance</w:t>
      </w:r>
      <w:r w:rsidRPr="003F3052">
        <w:rPr>
          <w:rFonts w:ascii="Arial" w:hAnsi="Arial" w:cs="Arial"/>
        </w:rPr>
        <w:t>. The principal aspects of this balance are the right to adequate rest</w:t>
      </w:r>
      <w:r w:rsidR="00120993">
        <w:rPr>
          <w:rFonts w:ascii="Arial" w:hAnsi="Arial" w:cs="Arial"/>
        </w:rPr>
        <w:t xml:space="preserve">, </w:t>
      </w:r>
      <w:r w:rsidR="00120993" w:rsidRPr="003F3052">
        <w:rPr>
          <w:rFonts w:ascii="Arial" w:hAnsi="Arial" w:cs="Arial"/>
        </w:rPr>
        <w:t>protection against onerous</w:t>
      </w:r>
      <w:r w:rsidR="00120993">
        <w:rPr>
          <w:rFonts w:ascii="Arial" w:hAnsi="Arial" w:cs="Arial"/>
        </w:rPr>
        <w:t xml:space="preserve"> </w:t>
      </w:r>
      <w:r w:rsidR="00120993" w:rsidRPr="003F3052">
        <w:rPr>
          <w:rFonts w:ascii="Arial" w:hAnsi="Arial" w:cs="Arial"/>
        </w:rPr>
        <w:t>working hours</w:t>
      </w:r>
      <w:r w:rsidR="00120993">
        <w:rPr>
          <w:rFonts w:ascii="Arial" w:hAnsi="Arial" w:cs="Arial"/>
        </w:rPr>
        <w:t xml:space="preserve"> </w:t>
      </w:r>
      <w:r w:rsidRPr="003F3052">
        <w:rPr>
          <w:rFonts w:ascii="Arial" w:hAnsi="Arial" w:cs="Arial"/>
        </w:rPr>
        <w:t xml:space="preserve">and the proper recognition of the worker’s family responsibilities. </w:t>
      </w:r>
    </w:p>
    <w:p w:rsidR="001A325F" w:rsidRPr="003A03C6" w:rsidRDefault="001A325F" w:rsidP="001A325F">
      <w:pPr>
        <w:rPr>
          <w:rFonts w:ascii="Arial" w:hAnsi="Arial" w:cs="Arial"/>
          <w:b/>
          <w:bCs/>
          <w:i/>
          <w:color w:val="C0504D"/>
          <w:sz w:val="24"/>
          <w:szCs w:val="24"/>
        </w:rPr>
      </w:pPr>
      <w:r w:rsidRPr="003A03C6">
        <w:rPr>
          <w:rFonts w:ascii="Arial" w:hAnsi="Arial" w:cs="Arial"/>
          <w:b/>
          <w:bCs/>
          <w:i/>
          <w:color w:val="C0504D"/>
          <w:sz w:val="24"/>
          <w:szCs w:val="24"/>
        </w:rPr>
        <w:t xml:space="preserve">Security of employment </w:t>
      </w:r>
    </w:p>
    <w:p w:rsidR="003839CA" w:rsidRDefault="001A325F" w:rsidP="00120993">
      <w:pPr>
        <w:rPr>
          <w:rFonts w:ascii="Arial" w:hAnsi="Arial" w:cs="Arial"/>
        </w:rPr>
      </w:pPr>
      <w:r w:rsidRPr="00120993">
        <w:rPr>
          <w:rFonts w:ascii="Arial" w:hAnsi="Arial" w:cs="Arial"/>
        </w:rPr>
        <w:t xml:space="preserve">Workers should have substantial security of employment and </w:t>
      </w:r>
      <w:r w:rsidR="00464054" w:rsidRPr="00120993">
        <w:rPr>
          <w:rFonts w:ascii="Arial" w:hAnsi="Arial" w:cs="Arial"/>
        </w:rPr>
        <w:t>appropriate redress against</w:t>
      </w:r>
      <w:r w:rsidR="00120993" w:rsidRPr="00120993">
        <w:rPr>
          <w:rFonts w:ascii="Arial" w:hAnsi="Arial" w:cs="Arial"/>
        </w:rPr>
        <w:t xml:space="preserve"> arbitrary or unwarranted dismissal. This is not to say that an employer is required to employ</w:t>
      </w:r>
      <w:r w:rsidR="00120993">
        <w:rPr>
          <w:rFonts w:ascii="Arial" w:hAnsi="Arial" w:cs="Arial"/>
        </w:rPr>
        <w:t xml:space="preserve"> </w:t>
      </w:r>
      <w:r w:rsidR="00120993" w:rsidRPr="00120993">
        <w:rPr>
          <w:rFonts w:ascii="Arial" w:hAnsi="Arial" w:cs="Arial"/>
        </w:rPr>
        <w:t xml:space="preserve">a worker for whom there is no work, or no suitable work, or that </w:t>
      </w:r>
      <w:r w:rsidR="00120993">
        <w:rPr>
          <w:rFonts w:ascii="Arial" w:hAnsi="Arial" w:cs="Arial"/>
        </w:rPr>
        <w:t xml:space="preserve">a </w:t>
      </w:r>
      <w:r w:rsidR="003839CA" w:rsidRPr="00120993">
        <w:rPr>
          <w:rFonts w:ascii="Arial" w:hAnsi="Arial" w:cs="Arial"/>
        </w:rPr>
        <w:t>worker should</w:t>
      </w:r>
      <w:r w:rsidR="00120993">
        <w:rPr>
          <w:rFonts w:ascii="Arial" w:hAnsi="Arial" w:cs="Arial"/>
        </w:rPr>
        <w:t xml:space="preserve"> </w:t>
      </w:r>
      <w:r w:rsidR="003839CA" w:rsidRPr="00120993">
        <w:rPr>
          <w:rFonts w:ascii="Arial" w:hAnsi="Arial" w:cs="Arial"/>
        </w:rPr>
        <w:t>not be dismissed if his or her conduct or work performance justif</w:t>
      </w:r>
      <w:r w:rsidR="006B0F71">
        <w:rPr>
          <w:rFonts w:ascii="Arial" w:hAnsi="Arial" w:cs="Arial"/>
        </w:rPr>
        <w:t>ies</w:t>
      </w:r>
      <w:r w:rsidR="003839CA" w:rsidRPr="00120993">
        <w:rPr>
          <w:rFonts w:ascii="Arial" w:hAnsi="Arial" w:cs="Arial"/>
        </w:rPr>
        <w:t xml:space="preserve"> dismissal.</w:t>
      </w:r>
      <w:r w:rsidR="00120993">
        <w:rPr>
          <w:rFonts w:ascii="Arial" w:hAnsi="Arial" w:cs="Arial"/>
        </w:rPr>
        <w:t xml:space="preserve"> </w:t>
      </w:r>
    </w:p>
    <w:p w:rsidR="00120993" w:rsidRPr="003A03C6" w:rsidRDefault="00120993" w:rsidP="00120993">
      <w:pPr>
        <w:rPr>
          <w:rFonts w:ascii="Arial" w:hAnsi="Arial" w:cs="Arial"/>
          <w:b/>
          <w:bCs/>
          <w:i/>
          <w:color w:val="C0504D"/>
          <w:sz w:val="24"/>
          <w:szCs w:val="24"/>
        </w:rPr>
      </w:pPr>
      <w:r w:rsidRPr="003A03C6">
        <w:rPr>
          <w:rFonts w:ascii="Arial" w:hAnsi="Arial" w:cs="Arial"/>
          <w:b/>
          <w:bCs/>
          <w:i/>
          <w:color w:val="C0504D"/>
          <w:sz w:val="24"/>
          <w:szCs w:val="24"/>
        </w:rPr>
        <w:t xml:space="preserve">Right to participate in unions </w:t>
      </w:r>
    </w:p>
    <w:p w:rsidR="00120993" w:rsidRPr="00885AC8" w:rsidRDefault="00120993" w:rsidP="00120993">
      <w:pPr>
        <w:rPr>
          <w:rFonts w:ascii="Arial" w:hAnsi="Arial" w:cs="Arial"/>
        </w:rPr>
      </w:pPr>
      <w:r>
        <w:rPr>
          <w:rFonts w:ascii="Arial" w:hAnsi="Arial" w:cs="Arial"/>
        </w:rPr>
        <w:t>Wo</w:t>
      </w:r>
      <w:r w:rsidRPr="00AD4CEE">
        <w:rPr>
          <w:rFonts w:ascii="Arial" w:hAnsi="Arial" w:cs="Arial"/>
        </w:rPr>
        <w:t>rkers should be able to cooperate so that they can advance their mutual interests and participate freely in unions.</w:t>
      </w:r>
      <w:r>
        <w:rPr>
          <w:rFonts w:ascii="Arial" w:hAnsi="Arial" w:cs="Arial"/>
        </w:rPr>
        <w:t xml:space="preserve"> Catholic social teaching e</w:t>
      </w:r>
      <w:r w:rsidRPr="00885AC8">
        <w:rPr>
          <w:rFonts w:ascii="Arial" w:hAnsi="Arial" w:cs="Arial"/>
        </w:rPr>
        <w:t>ncourages and promotes union membership and participation</w:t>
      </w:r>
      <w:r w:rsidRPr="00177C64">
        <w:rPr>
          <w:rFonts w:ascii="Arial" w:hAnsi="Arial" w:cs="Arial"/>
        </w:rPr>
        <w:t xml:space="preserve"> </w:t>
      </w:r>
      <w:r w:rsidRPr="00885AC8">
        <w:rPr>
          <w:rFonts w:ascii="Arial" w:hAnsi="Arial" w:cs="Arial"/>
        </w:rPr>
        <w:t xml:space="preserve">because of the role that </w:t>
      </w:r>
      <w:r>
        <w:rPr>
          <w:rFonts w:ascii="Arial" w:hAnsi="Arial" w:cs="Arial"/>
        </w:rPr>
        <w:t xml:space="preserve">unions </w:t>
      </w:r>
      <w:r w:rsidRPr="00885AC8">
        <w:rPr>
          <w:rFonts w:ascii="Arial" w:hAnsi="Arial" w:cs="Arial"/>
        </w:rPr>
        <w:t>can play in advancing the interests of workers in the workplace and in society</w:t>
      </w:r>
      <w:r>
        <w:rPr>
          <w:rFonts w:ascii="Arial" w:hAnsi="Arial" w:cs="Arial"/>
        </w:rPr>
        <w:t xml:space="preserve"> </w:t>
      </w:r>
      <w:r w:rsidRPr="00885AC8">
        <w:rPr>
          <w:rFonts w:ascii="Arial" w:hAnsi="Arial" w:cs="Arial"/>
        </w:rPr>
        <w:t>as a whole</w:t>
      </w:r>
      <w:r>
        <w:rPr>
          <w:rFonts w:ascii="Arial" w:hAnsi="Arial" w:cs="Arial"/>
        </w:rPr>
        <w:t xml:space="preserve"> . W</w:t>
      </w:r>
      <w:r w:rsidRPr="00885AC8">
        <w:rPr>
          <w:rFonts w:ascii="Arial" w:hAnsi="Arial" w:cs="Arial"/>
        </w:rPr>
        <w:t>orkers are entitled to exercise</w:t>
      </w:r>
      <w:r>
        <w:rPr>
          <w:rFonts w:ascii="Arial" w:hAnsi="Arial" w:cs="Arial"/>
        </w:rPr>
        <w:t xml:space="preserve"> </w:t>
      </w:r>
      <w:r w:rsidRPr="00885AC8">
        <w:rPr>
          <w:rFonts w:ascii="Arial" w:hAnsi="Arial" w:cs="Arial"/>
        </w:rPr>
        <w:t>their right of freedom of association</w:t>
      </w:r>
      <w:r>
        <w:rPr>
          <w:rFonts w:ascii="Arial" w:hAnsi="Arial" w:cs="Arial"/>
        </w:rPr>
        <w:t xml:space="preserve"> </w:t>
      </w:r>
      <w:r w:rsidRPr="00885AC8">
        <w:rPr>
          <w:rFonts w:ascii="Arial" w:hAnsi="Arial" w:cs="Arial"/>
        </w:rPr>
        <w:t>to protect and pursue their common</w:t>
      </w:r>
      <w:r>
        <w:rPr>
          <w:rFonts w:ascii="Arial" w:hAnsi="Arial" w:cs="Arial"/>
        </w:rPr>
        <w:t xml:space="preserve"> </w:t>
      </w:r>
      <w:r w:rsidRPr="00885AC8">
        <w:rPr>
          <w:rFonts w:ascii="Arial" w:hAnsi="Arial" w:cs="Arial"/>
        </w:rPr>
        <w:t>interests. Consistent with freedom of association,</w:t>
      </w:r>
      <w:r>
        <w:rPr>
          <w:rFonts w:ascii="Arial" w:hAnsi="Arial" w:cs="Arial"/>
        </w:rPr>
        <w:t xml:space="preserve"> </w:t>
      </w:r>
      <w:r w:rsidRPr="00885AC8">
        <w:rPr>
          <w:rFonts w:ascii="Arial" w:hAnsi="Arial" w:cs="Arial"/>
        </w:rPr>
        <w:t>the State should also ensure that workers are not coerced to join, or not to join, a</w:t>
      </w:r>
      <w:r>
        <w:rPr>
          <w:rFonts w:ascii="Arial" w:hAnsi="Arial" w:cs="Arial"/>
        </w:rPr>
        <w:t xml:space="preserve"> </w:t>
      </w:r>
      <w:r w:rsidRPr="00885AC8">
        <w:rPr>
          <w:rFonts w:ascii="Arial" w:hAnsi="Arial" w:cs="Arial"/>
        </w:rPr>
        <w:t>union.</w:t>
      </w:r>
    </w:p>
    <w:p w:rsidR="00C22225" w:rsidRPr="00AD4CEE" w:rsidRDefault="00C22225" w:rsidP="00C22225">
      <w:pPr>
        <w:rPr>
          <w:rFonts w:ascii="Arial" w:hAnsi="Arial" w:cs="Arial"/>
        </w:rPr>
      </w:pPr>
      <w:r w:rsidRPr="00AD4CEE">
        <w:rPr>
          <w:rFonts w:ascii="Arial" w:hAnsi="Arial" w:cs="Arial"/>
        </w:rPr>
        <w:t>Further, the Bishops’ ma</w:t>
      </w:r>
      <w:r w:rsidR="0050127A" w:rsidRPr="00AD4CEE">
        <w:rPr>
          <w:rFonts w:ascii="Arial" w:hAnsi="Arial" w:cs="Arial"/>
        </w:rPr>
        <w:t>ke</w:t>
      </w:r>
      <w:r w:rsidRPr="00AD4CEE">
        <w:rPr>
          <w:rFonts w:ascii="Arial" w:hAnsi="Arial" w:cs="Arial"/>
        </w:rPr>
        <w:t xml:space="preserve"> the point that:</w:t>
      </w:r>
    </w:p>
    <w:p w:rsidR="00C22225" w:rsidRPr="004867D8" w:rsidRDefault="00C22225" w:rsidP="00864BCF">
      <w:pPr>
        <w:ind w:left="720" w:hanging="720"/>
        <w:rPr>
          <w:rFonts w:ascii="Arial" w:hAnsi="Arial" w:cs="Arial"/>
          <w:sz w:val="20"/>
          <w:szCs w:val="20"/>
        </w:rPr>
      </w:pPr>
      <w:r w:rsidRPr="00AD4CEE">
        <w:rPr>
          <w:rFonts w:ascii="Arial" w:hAnsi="Arial" w:cs="Arial"/>
          <w:i/>
        </w:rPr>
        <w:tab/>
      </w:r>
      <w:r w:rsidR="00864BCF" w:rsidRPr="004867D8">
        <w:rPr>
          <w:rFonts w:ascii="Arial" w:hAnsi="Arial" w:cs="Arial"/>
          <w:i/>
          <w:sz w:val="20"/>
          <w:szCs w:val="20"/>
        </w:rPr>
        <w:t xml:space="preserve">Our experience emphasises the importance that employment, fair remuneration and job security play in providing a decent life for workers and their </w:t>
      </w:r>
      <w:r w:rsidR="00CB40FC" w:rsidRPr="004867D8">
        <w:rPr>
          <w:rFonts w:ascii="Arial" w:hAnsi="Arial" w:cs="Arial"/>
          <w:i/>
          <w:sz w:val="20"/>
          <w:szCs w:val="20"/>
        </w:rPr>
        <w:t>families. They</w:t>
      </w:r>
      <w:r w:rsidR="00864BCF" w:rsidRPr="004867D8">
        <w:rPr>
          <w:rFonts w:ascii="Arial" w:hAnsi="Arial" w:cs="Arial"/>
          <w:i/>
          <w:sz w:val="20"/>
          <w:szCs w:val="20"/>
        </w:rPr>
        <w:t xml:space="preserve"> are particularly important for those who have limited job prospects and who are vulnerable to economic change. </w:t>
      </w:r>
      <w:r w:rsidRPr="004867D8">
        <w:rPr>
          <w:rFonts w:ascii="Arial" w:hAnsi="Arial" w:cs="Arial"/>
          <w:i/>
          <w:sz w:val="20"/>
          <w:szCs w:val="20"/>
        </w:rPr>
        <w:t>It is not morally acceptable to reduce the scourge of unemployment or underemployment by allowing the wages and conditions of those who are employed to fall below the level needed by workers to sustain a decent standard of living.</w:t>
      </w:r>
      <w:r w:rsidRPr="004867D8">
        <w:rPr>
          <w:rFonts w:ascii="Arial" w:hAnsi="Arial" w:cs="Arial"/>
          <w:sz w:val="20"/>
          <w:szCs w:val="20"/>
        </w:rPr>
        <w:t xml:space="preserve"> </w:t>
      </w:r>
    </w:p>
    <w:p w:rsidR="0026711B" w:rsidRPr="00FF6E07" w:rsidRDefault="0026711B" w:rsidP="0026711B">
      <w:pPr>
        <w:rPr>
          <w:rFonts w:ascii="Arial" w:hAnsi="Arial" w:cs="Arial"/>
          <w:b/>
          <w:bCs/>
          <w:i/>
          <w:color w:val="C0504D"/>
          <w:sz w:val="24"/>
          <w:szCs w:val="24"/>
        </w:rPr>
      </w:pPr>
      <w:r w:rsidRPr="00FF6E07">
        <w:rPr>
          <w:rFonts w:ascii="Arial" w:hAnsi="Arial" w:cs="Arial"/>
          <w:b/>
          <w:bCs/>
          <w:i/>
          <w:color w:val="C0504D"/>
          <w:sz w:val="24"/>
          <w:szCs w:val="24"/>
        </w:rPr>
        <w:t xml:space="preserve">Social justice </w:t>
      </w:r>
    </w:p>
    <w:p w:rsidR="00566DD1" w:rsidRPr="006166FC" w:rsidRDefault="00566DD1" w:rsidP="00E022C2">
      <w:pPr>
        <w:rPr>
          <w:rStyle w:val="FootnoteReference"/>
          <w:rFonts w:ascii="Arial" w:hAnsi="Arial" w:cs="Arial"/>
        </w:rPr>
      </w:pPr>
      <w:r w:rsidRPr="00AD4CEE">
        <w:rPr>
          <w:rFonts w:ascii="Arial" w:hAnsi="Arial" w:cs="Arial"/>
        </w:rPr>
        <w:t xml:space="preserve">The Statement concludes that the integration of economic growth and social justice is a fundamental obligation of government. It is vitally important as a matter of social justice that the burden of adjustment is not borne disproportionately by one part of the community, in particular the low paid and vulnerable workers. Changes must be pursued in ways that are fair and </w:t>
      </w:r>
      <w:r w:rsidR="007717BB">
        <w:rPr>
          <w:rFonts w:ascii="Arial" w:hAnsi="Arial" w:cs="Arial"/>
        </w:rPr>
        <w:t>equitable to society as a whole</w:t>
      </w:r>
      <w:r w:rsidRPr="006166FC">
        <w:rPr>
          <w:rStyle w:val="FootnoteReference"/>
          <w:rFonts w:ascii="Arial" w:hAnsi="Arial" w:cs="Arial"/>
        </w:rPr>
        <w:t>.</w:t>
      </w:r>
      <w:r w:rsidRPr="006166FC">
        <w:rPr>
          <w:rStyle w:val="FootnoteReference"/>
          <w:rFonts w:ascii="Arial" w:hAnsi="Arial" w:cs="Arial"/>
        </w:rPr>
        <w:footnoteReference w:id="1"/>
      </w:r>
    </w:p>
    <w:p w:rsidR="00C37FD4" w:rsidRPr="00AD4CEE" w:rsidRDefault="00474BC2" w:rsidP="00C37FD4">
      <w:pPr>
        <w:rPr>
          <w:rFonts w:ascii="Arial" w:hAnsi="Arial" w:cs="Arial"/>
        </w:rPr>
      </w:pPr>
      <w:r w:rsidRPr="00AD4CEE">
        <w:rPr>
          <w:rFonts w:ascii="Arial" w:hAnsi="Arial" w:cs="Arial"/>
        </w:rPr>
        <w:t xml:space="preserve">In its detailed consideration of workplace relations from a Catholic perspective, ACCER notes that the </w:t>
      </w:r>
      <w:r w:rsidR="00274D0B">
        <w:rPr>
          <w:rFonts w:ascii="Arial" w:hAnsi="Arial" w:cs="Arial"/>
        </w:rPr>
        <w:t xml:space="preserve">Catholic </w:t>
      </w:r>
      <w:r w:rsidR="00C37FD4" w:rsidRPr="00AD4CEE">
        <w:rPr>
          <w:rFonts w:ascii="Arial" w:hAnsi="Arial" w:cs="Arial"/>
        </w:rPr>
        <w:t>Church’s teachings recognise and support a proper balance between the rights and responsibi</w:t>
      </w:r>
      <w:r w:rsidR="00377E32">
        <w:rPr>
          <w:rFonts w:ascii="Arial" w:hAnsi="Arial" w:cs="Arial"/>
        </w:rPr>
        <w:t>lities of employers and workers.</w:t>
      </w:r>
    </w:p>
    <w:p w:rsidR="00C37FD4" w:rsidRPr="00B1772F" w:rsidRDefault="005820FD" w:rsidP="005820FD">
      <w:pPr>
        <w:ind w:left="720"/>
        <w:rPr>
          <w:rFonts w:ascii="Arial" w:hAnsi="Arial" w:cs="Arial"/>
          <w:sz w:val="20"/>
          <w:szCs w:val="20"/>
        </w:rPr>
      </w:pPr>
      <w:r w:rsidRPr="00B1772F">
        <w:rPr>
          <w:rFonts w:ascii="Arial" w:hAnsi="Arial" w:cs="Arial"/>
          <w:i/>
          <w:sz w:val="20"/>
          <w:szCs w:val="20"/>
        </w:rPr>
        <w:t>......</w:t>
      </w:r>
      <w:r w:rsidR="00C37FD4" w:rsidRPr="00B1772F">
        <w:rPr>
          <w:rFonts w:ascii="Arial" w:hAnsi="Arial" w:cs="Arial"/>
          <w:i/>
          <w:sz w:val="20"/>
          <w:szCs w:val="20"/>
        </w:rPr>
        <w:t>jobs alone are not sufficient to achieve social justice. There must be more, including the rights to adequate</w:t>
      </w:r>
      <w:r w:rsidRPr="00B1772F">
        <w:rPr>
          <w:rFonts w:ascii="Arial" w:hAnsi="Arial" w:cs="Arial"/>
          <w:i/>
          <w:sz w:val="20"/>
          <w:szCs w:val="20"/>
        </w:rPr>
        <w:t xml:space="preserve"> </w:t>
      </w:r>
      <w:r w:rsidR="00C37FD4" w:rsidRPr="00B1772F">
        <w:rPr>
          <w:rFonts w:ascii="Arial" w:hAnsi="Arial" w:cs="Arial"/>
          <w:i/>
          <w:sz w:val="20"/>
          <w:szCs w:val="20"/>
        </w:rPr>
        <w:t>wages and job security.....there are other rights</w:t>
      </w:r>
      <w:r w:rsidRPr="00B1772F">
        <w:rPr>
          <w:rFonts w:ascii="Arial" w:hAnsi="Arial" w:cs="Arial"/>
          <w:i/>
          <w:sz w:val="20"/>
          <w:szCs w:val="20"/>
        </w:rPr>
        <w:t xml:space="preserve"> </w:t>
      </w:r>
      <w:r w:rsidR="00C37FD4" w:rsidRPr="00B1772F">
        <w:rPr>
          <w:rFonts w:ascii="Arial" w:hAnsi="Arial" w:cs="Arial"/>
          <w:i/>
          <w:sz w:val="20"/>
          <w:szCs w:val="20"/>
        </w:rPr>
        <w:t xml:space="preserve">that flow from the </w:t>
      </w:r>
      <w:r w:rsidR="00C37FD4" w:rsidRPr="00B1772F">
        <w:rPr>
          <w:rFonts w:ascii="Arial" w:hAnsi="Arial" w:cs="Arial"/>
          <w:i/>
          <w:sz w:val="20"/>
          <w:szCs w:val="20"/>
        </w:rPr>
        <w:lastRenderedPageBreak/>
        <w:t>performance of work; such as the rights to protection against</w:t>
      </w:r>
      <w:r w:rsidRPr="00B1772F">
        <w:rPr>
          <w:rFonts w:ascii="Arial" w:hAnsi="Arial" w:cs="Arial"/>
          <w:i/>
          <w:sz w:val="20"/>
          <w:szCs w:val="20"/>
        </w:rPr>
        <w:t xml:space="preserve"> </w:t>
      </w:r>
      <w:r w:rsidR="00C37FD4" w:rsidRPr="00B1772F">
        <w:rPr>
          <w:rFonts w:ascii="Arial" w:hAnsi="Arial" w:cs="Arial"/>
          <w:i/>
          <w:sz w:val="20"/>
          <w:szCs w:val="20"/>
        </w:rPr>
        <w:t>unfair bargains, participation in unions, adequate rest and leisure, decent work</w:t>
      </w:r>
      <w:r w:rsidRPr="00B1772F">
        <w:rPr>
          <w:rFonts w:ascii="Arial" w:hAnsi="Arial" w:cs="Arial"/>
          <w:i/>
          <w:sz w:val="20"/>
          <w:szCs w:val="20"/>
        </w:rPr>
        <w:t xml:space="preserve"> </w:t>
      </w:r>
      <w:r w:rsidR="00C37FD4" w:rsidRPr="00B1772F">
        <w:rPr>
          <w:rFonts w:ascii="Arial" w:hAnsi="Arial" w:cs="Arial"/>
          <w:i/>
          <w:sz w:val="20"/>
          <w:szCs w:val="20"/>
        </w:rPr>
        <w:t>and safe working conditions</w:t>
      </w:r>
      <w:r w:rsidR="007717BB">
        <w:rPr>
          <w:rFonts w:ascii="Arial" w:hAnsi="Arial" w:cs="Arial"/>
          <w:i/>
          <w:sz w:val="20"/>
          <w:szCs w:val="20"/>
        </w:rPr>
        <w:t>.</w:t>
      </w:r>
      <w:r w:rsidR="00474BC2" w:rsidRPr="00B1772F">
        <w:rPr>
          <w:rFonts w:ascii="Arial" w:hAnsi="Arial" w:cs="Arial"/>
          <w:sz w:val="20"/>
          <w:szCs w:val="20"/>
        </w:rPr>
        <w:t xml:space="preserve"> </w:t>
      </w:r>
      <w:r w:rsidR="00D55BA3" w:rsidRPr="00B1772F">
        <w:rPr>
          <w:rStyle w:val="FootnoteReference"/>
          <w:rFonts w:ascii="Arial" w:hAnsi="Arial" w:cs="Arial"/>
          <w:sz w:val="20"/>
          <w:szCs w:val="20"/>
        </w:rPr>
        <w:footnoteReference w:id="2"/>
      </w:r>
    </w:p>
    <w:p w:rsidR="001B2C6F" w:rsidRPr="00AD4CEE" w:rsidRDefault="001B2C6F" w:rsidP="001B2C6F">
      <w:pPr>
        <w:rPr>
          <w:rFonts w:ascii="Arial" w:hAnsi="Arial" w:cs="Arial"/>
        </w:rPr>
      </w:pPr>
      <w:r w:rsidRPr="00AD4CEE">
        <w:rPr>
          <w:rFonts w:ascii="Arial" w:hAnsi="Arial" w:cs="Arial"/>
        </w:rPr>
        <w:t>ACCER has long publically advocated on behalf of low paid employees and their families and in particular, that work which pays a decent wage will promote proper care of children, family stability and social inclusion</w:t>
      </w:r>
      <w:r w:rsidR="001E5C9F" w:rsidRPr="00AD4CEE">
        <w:rPr>
          <w:rFonts w:ascii="Arial" w:hAnsi="Arial" w:cs="Arial"/>
        </w:rPr>
        <w:t xml:space="preserve">, in </w:t>
      </w:r>
      <w:r w:rsidR="00673938" w:rsidRPr="00AD4CEE">
        <w:rPr>
          <w:rFonts w:ascii="Arial" w:hAnsi="Arial" w:cs="Arial"/>
        </w:rPr>
        <w:t>accordance</w:t>
      </w:r>
      <w:r w:rsidR="001E5C9F" w:rsidRPr="00AD4CEE">
        <w:rPr>
          <w:rFonts w:ascii="Arial" w:hAnsi="Arial" w:cs="Arial"/>
        </w:rPr>
        <w:t xml:space="preserve"> </w:t>
      </w:r>
      <w:r w:rsidR="00673938" w:rsidRPr="00AD4CEE">
        <w:rPr>
          <w:rFonts w:ascii="Arial" w:hAnsi="Arial" w:cs="Arial"/>
        </w:rPr>
        <w:t>with</w:t>
      </w:r>
      <w:r w:rsidR="00E022C2" w:rsidRPr="00AD4CEE">
        <w:rPr>
          <w:rFonts w:ascii="Arial" w:hAnsi="Arial" w:cs="Arial"/>
        </w:rPr>
        <w:t xml:space="preserve"> C</w:t>
      </w:r>
      <w:r w:rsidR="001E5C9F" w:rsidRPr="00AD4CEE">
        <w:rPr>
          <w:rFonts w:ascii="Arial" w:hAnsi="Arial" w:cs="Arial"/>
        </w:rPr>
        <w:t xml:space="preserve">atholic social </w:t>
      </w:r>
      <w:r w:rsidR="00673938" w:rsidRPr="00AD4CEE">
        <w:rPr>
          <w:rFonts w:ascii="Arial" w:hAnsi="Arial" w:cs="Arial"/>
        </w:rPr>
        <w:t>teaching</w:t>
      </w:r>
      <w:r w:rsidR="001E5C9F" w:rsidRPr="00AD4CEE">
        <w:rPr>
          <w:rFonts w:ascii="Arial" w:hAnsi="Arial" w:cs="Arial"/>
        </w:rPr>
        <w:t>.</w:t>
      </w:r>
      <w:r w:rsidRPr="00AD4CEE">
        <w:rPr>
          <w:rStyle w:val="FootnoteReference"/>
          <w:rFonts w:ascii="Arial" w:hAnsi="Arial" w:cs="Arial"/>
        </w:rPr>
        <w:footnoteReference w:id="3"/>
      </w:r>
      <w:r w:rsidRPr="00AD4CEE">
        <w:rPr>
          <w:rFonts w:ascii="Arial" w:hAnsi="Arial" w:cs="Arial"/>
        </w:rPr>
        <w:t xml:space="preserve">  Furthermore, this advocacy is informed by the Catholic Church’s experience as a major employer, with over 180,000 employees in health, aged care, education, welfare and administration across Australia.</w:t>
      </w:r>
    </w:p>
    <w:p w:rsidR="00DE7307" w:rsidRPr="00AD4CEE" w:rsidRDefault="004C5984" w:rsidP="00E74E8D">
      <w:pPr>
        <w:rPr>
          <w:rFonts w:ascii="Arial" w:hAnsi="Arial" w:cs="Arial"/>
        </w:rPr>
      </w:pPr>
      <w:r w:rsidRPr="00AD4CEE">
        <w:rPr>
          <w:rFonts w:ascii="Arial" w:hAnsi="Arial" w:cs="Arial"/>
        </w:rPr>
        <w:t>The c</w:t>
      </w:r>
      <w:r w:rsidR="00DE7307" w:rsidRPr="00AD4CEE">
        <w:rPr>
          <w:rFonts w:ascii="Arial" w:hAnsi="Arial" w:cs="Arial"/>
        </w:rPr>
        <w:t xml:space="preserve">ontext of </w:t>
      </w:r>
      <w:r w:rsidR="001B2C6F" w:rsidRPr="00AD4CEE">
        <w:rPr>
          <w:rFonts w:ascii="Arial" w:hAnsi="Arial" w:cs="Arial"/>
        </w:rPr>
        <w:t xml:space="preserve">CCER’s </w:t>
      </w:r>
      <w:r w:rsidR="00DE7307" w:rsidRPr="00AD4CEE">
        <w:rPr>
          <w:rFonts w:ascii="Arial" w:hAnsi="Arial" w:cs="Arial"/>
        </w:rPr>
        <w:t xml:space="preserve">submission is to provide a perspective </w:t>
      </w:r>
      <w:r w:rsidR="00381B0E" w:rsidRPr="00AD4CEE">
        <w:rPr>
          <w:rFonts w:ascii="Arial" w:hAnsi="Arial" w:cs="Arial"/>
        </w:rPr>
        <w:t xml:space="preserve">on </w:t>
      </w:r>
      <w:r w:rsidR="001E7306" w:rsidRPr="00AD4CEE">
        <w:rPr>
          <w:rFonts w:ascii="Arial" w:hAnsi="Arial" w:cs="Arial"/>
        </w:rPr>
        <w:t>some key elements of the workplace</w:t>
      </w:r>
      <w:r w:rsidR="00381B0E" w:rsidRPr="00AD4CEE">
        <w:rPr>
          <w:rFonts w:ascii="Arial" w:hAnsi="Arial" w:cs="Arial"/>
        </w:rPr>
        <w:t xml:space="preserve"> relations framework </w:t>
      </w:r>
      <w:r w:rsidR="00DE7307" w:rsidRPr="00AD4CEE">
        <w:rPr>
          <w:rFonts w:ascii="Arial" w:hAnsi="Arial" w:cs="Arial"/>
        </w:rPr>
        <w:t xml:space="preserve">based on the principles of Catholic </w:t>
      </w:r>
      <w:r w:rsidR="00EF0051" w:rsidRPr="00AD4CEE">
        <w:rPr>
          <w:rFonts w:ascii="Arial" w:hAnsi="Arial" w:cs="Arial"/>
        </w:rPr>
        <w:t>s</w:t>
      </w:r>
      <w:r w:rsidR="00DE7307" w:rsidRPr="00AD4CEE">
        <w:rPr>
          <w:rFonts w:ascii="Arial" w:hAnsi="Arial" w:cs="Arial"/>
        </w:rPr>
        <w:t xml:space="preserve">ocial </w:t>
      </w:r>
      <w:r w:rsidR="00EF0051" w:rsidRPr="00AD4CEE">
        <w:rPr>
          <w:rFonts w:ascii="Arial" w:hAnsi="Arial" w:cs="Arial"/>
        </w:rPr>
        <w:t>t</w:t>
      </w:r>
      <w:r w:rsidR="00DE7307" w:rsidRPr="00AD4CEE">
        <w:rPr>
          <w:rFonts w:ascii="Arial" w:hAnsi="Arial" w:cs="Arial"/>
        </w:rPr>
        <w:t>eaching,</w:t>
      </w:r>
      <w:r w:rsidR="00DE7307" w:rsidRPr="00AD4CEE">
        <w:t> </w:t>
      </w:r>
      <w:r w:rsidR="00DE7307" w:rsidRPr="00AD4CEE">
        <w:rPr>
          <w:rFonts w:ascii="Arial" w:hAnsi="Arial" w:cs="Arial"/>
        </w:rPr>
        <w:t>also balanced</w:t>
      </w:r>
      <w:r w:rsidR="00D762E2">
        <w:rPr>
          <w:rFonts w:ascii="Arial" w:hAnsi="Arial" w:cs="Arial"/>
        </w:rPr>
        <w:t xml:space="preserve"> with the mindfulness that our members</w:t>
      </w:r>
      <w:r w:rsidR="00DE7307" w:rsidRPr="00AD4CEE">
        <w:rPr>
          <w:rFonts w:ascii="Arial" w:hAnsi="Arial" w:cs="Arial"/>
        </w:rPr>
        <w:t xml:space="preserve"> are employers who need to run viable businesses so that they can continue to serve the community. </w:t>
      </w:r>
    </w:p>
    <w:p w:rsidR="001E7306" w:rsidRPr="00AD4CEE" w:rsidRDefault="001E7306" w:rsidP="00E74E8D">
      <w:pPr>
        <w:rPr>
          <w:rFonts w:ascii="Arial" w:hAnsi="Arial" w:cs="Arial"/>
        </w:rPr>
      </w:pPr>
      <w:r w:rsidRPr="00AD4CEE">
        <w:rPr>
          <w:rFonts w:ascii="Arial" w:hAnsi="Arial" w:cs="Arial"/>
        </w:rPr>
        <w:t xml:space="preserve">In particular, </w:t>
      </w:r>
      <w:r w:rsidR="00143477">
        <w:rPr>
          <w:rFonts w:ascii="Arial" w:hAnsi="Arial" w:cs="Arial"/>
        </w:rPr>
        <w:t xml:space="preserve">this submission </w:t>
      </w:r>
      <w:r w:rsidRPr="00AD4CEE">
        <w:rPr>
          <w:rFonts w:ascii="Arial" w:hAnsi="Arial" w:cs="Arial"/>
        </w:rPr>
        <w:t>focus</w:t>
      </w:r>
      <w:r w:rsidR="00143477">
        <w:rPr>
          <w:rFonts w:ascii="Arial" w:hAnsi="Arial" w:cs="Arial"/>
        </w:rPr>
        <w:t>es</w:t>
      </w:r>
      <w:r w:rsidRPr="00AD4CEE">
        <w:rPr>
          <w:rFonts w:ascii="Arial" w:hAnsi="Arial" w:cs="Arial"/>
        </w:rPr>
        <w:t xml:space="preserve"> on </w:t>
      </w:r>
      <w:r w:rsidR="008E7FE4">
        <w:rPr>
          <w:rFonts w:ascii="Arial" w:hAnsi="Arial" w:cs="Arial"/>
        </w:rPr>
        <w:t>f</w:t>
      </w:r>
      <w:r w:rsidR="00765B5D">
        <w:rPr>
          <w:rFonts w:ascii="Arial" w:hAnsi="Arial" w:cs="Arial"/>
        </w:rPr>
        <w:t>ive</w:t>
      </w:r>
      <w:r w:rsidR="008E7FE4">
        <w:rPr>
          <w:rFonts w:ascii="Arial" w:hAnsi="Arial" w:cs="Arial"/>
        </w:rPr>
        <w:t xml:space="preserve"> </w:t>
      </w:r>
      <w:r w:rsidRPr="00AD4CEE">
        <w:rPr>
          <w:rFonts w:ascii="Arial" w:hAnsi="Arial" w:cs="Arial"/>
        </w:rPr>
        <w:t>key areas:</w:t>
      </w:r>
    </w:p>
    <w:p w:rsidR="001E7306" w:rsidRDefault="00DB29A1" w:rsidP="00516275">
      <w:pPr>
        <w:pStyle w:val="ListParagraph"/>
        <w:numPr>
          <w:ilvl w:val="0"/>
          <w:numId w:val="1"/>
        </w:numPr>
        <w:rPr>
          <w:rFonts w:ascii="Arial" w:hAnsi="Arial" w:cs="Arial"/>
        </w:rPr>
      </w:pPr>
      <w:r w:rsidRPr="00AD4CEE">
        <w:rPr>
          <w:rFonts w:ascii="Arial" w:hAnsi="Arial" w:cs="Arial"/>
        </w:rPr>
        <w:t>Support for a safety net of fair and equitable conditions</w:t>
      </w:r>
      <w:r w:rsidR="00C739E8" w:rsidRPr="00AD4CEE">
        <w:rPr>
          <w:rFonts w:ascii="Arial" w:hAnsi="Arial" w:cs="Arial"/>
        </w:rPr>
        <w:t xml:space="preserve"> with particular focus on just minimum wages and fair compensation for working unsociable hours</w:t>
      </w:r>
    </w:p>
    <w:p w:rsidR="008E7FE4" w:rsidRPr="00AD4CEE" w:rsidRDefault="005A6475" w:rsidP="00516275">
      <w:pPr>
        <w:pStyle w:val="ListParagraph"/>
        <w:numPr>
          <w:ilvl w:val="0"/>
          <w:numId w:val="1"/>
        </w:numPr>
        <w:rPr>
          <w:rFonts w:ascii="Arial" w:hAnsi="Arial" w:cs="Arial"/>
        </w:rPr>
      </w:pPr>
      <w:r>
        <w:rPr>
          <w:rFonts w:ascii="Arial" w:hAnsi="Arial" w:cs="Arial"/>
        </w:rPr>
        <w:t>Concerns with p</w:t>
      </w:r>
      <w:r w:rsidR="00765B5D">
        <w:rPr>
          <w:rFonts w:ascii="Arial" w:hAnsi="Arial" w:cs="Arial"/>
        </w:rPr>
        <w:t xml:space="preserve">rescriptive </w:t>
      </w:r>
      <w:r w:rsidR="008E7FE4">
        <w:rPr>
          <w:rFonts w:ascii="Arial" w:hAnsi="Arial" w:cs="Arial"/>
        </w:rPr>
        <w:t xml:space="preserve">procedural </w:t>
      </w:r>
      <w:r w:rsidR="00765B5D">
        <w:rPr>
          <w:rFonts w:ascii="Arial" w:hAnsi="Arial" w:cs="Arial"/>
        </w:rPr>
        <w:t xml:space="preserve">requirements </w:t>
      </w:r>
      <w:r w:rsidR="00376032">
        <w:rPr>
          <w:rFonts w:ascii="Arial" w:hAnsi="Arial" w:cs="Arial"/>
        </w:rPr>
        <w:t>for</w:t>
      </w:r>
      <w:r w:rsidR="00765B5D">
        <w:rPr>
          <w:rFonts w:ascii="Arial" w:hAnsi="Arial" w:cs="Arial"/>
        </w:rPr>
        <w:t xml:space="preserve"> </w:t>
      </w:r>
      <w:r w:rsidR="008E7FE4">
        <w:rPr>
          <w:rFonts w:ascii="Arial" w:hAnsi="Arial" w:cs="Arial"/>
        </w:rPr>
        <w:t>agreement making</w:t>
      </w:r>
    </w:p>
    <w:p w:rsidR="00C739E8" w:rsidRPr="00AD4CEE" w:rsidRDefault="000B539E" w:rsidP="00516275">
      <w:pPr>
        <w:pStyle w:val="ListParagraph"/>
        <w:numPr>
          <w:ilvl w:val="0"/>
          <w:numId w:val="1"/>
        </w:numPr>
        <w:rPr>
          <w:rFonts w:ascii="Arial" w:hAnsi="Arial" w:cs="Arial"/>
        </w:rPr>
      </w:pPr>
      <w:r>
        <w:rPr>
          <w:rFonts w:ascii="Arial" w:hAnsi="Arial" w:cs="Arial"/>
          <w:bCs/>
        </w:rPr>
        <w:t>M</w:t>
      </w:r>
      <w:r w:rsidR="00765B5D">
        <w:rPr>
          <w:rFonts w:ascii="Arial" w:hAnsi="Arial" w:cs="Arial"/>
          <w:bCs/>
        </w:rPr>
        <w:t xml:space="preserve">anaging individual disputes to maintain the employment relationship </w:t>
      </w:r>
    </w:p>
    <w:p w:rsidR="00765B5D" w:rsidRDefault="00765B5D" w:rsidP="00516275">
      <w:pPr>
        <w:pStyle w:val="ListParagraph"/>
        <w:numPr>
          <w:ilvl w:val="0"/>
          <w:numId w:val="1"/>
        </w:numPr>
        <w:rPr>
          <w:rFonts w:ascii="Arial" w:hAnsi="Arial" w:cs="Arial"/>
        </w:rPr>
      </w:pPr>
      <w:r>
        <w:rPr>
          <w:rFonts w:ascii="Arial" w:hAnsi="Arial" w:cs="Arial"/>
        </w:rPr>
        <w:t xml:space="preserve">Improved responses to dismissal applications </w:t>
      </w:r>
    </w:p>
    <w:p w:rsidR="00C739E8" w:rsidRPr="00AD4CEE" w:rsidRDefault="00765B5D" w:rsidP="00516275">
      <w:pPr>
        <w:pStyle w:val="ListParagraph"/>
        <w:numPr>
          <w:ilvl w:val="0"/>
          <w:numId w:val="1"/>
        </w:numPr>
        <w:rPr>
          <w:rFonts w:ascii="Arial" w:hAnsi="Arial" w:cs="Arial"/>
        </w:rPr>
      </w:pPr>
      <w:r>
        <w:rPr>
          <w:rFonts w:ascii="Arial" w:hAnsi="Arial" w:cs="Arial"/>
        </w:rPr>
        <w:t>Improved clarity in general protections</w:t>
      </w:r>
      <w:r w:rsidR="005B1EFE">
        <w:rPr>
          <w:rFonts w:ascii="Arial" w:hAnsi="Arial" w:cs="Arial"/>
        </w:rPr>
        <w:t xml:space="preserve"> – </w:t>
      </w:r>
      <w:r w:rsidR="00AA5BC3">
        <w:rPr>
          <w:rFonts w:ascii="Arial" w:hAnsi="Arial" w:cs="Arial"/>
        </w:rPr>
        <w:t xml:space="preserve">the workplace right to make a </w:t>
      </w:r>
      <w:r w:rsidR="005B1EFE">
        <w:rPr>
          <w:rFonts w:ascii="Arial" w:hAnsi="Arial" w:cs="Arial"/>
        </w:rPr>
        <w:t>‘complaint or inquiry’.</w:t>
      </w:r>
    </w:p>
    <w:p w:rsidR="0041471D" w:rsidRPr="0051171B" w:rsidRDefault="00851632" w:rsidP="0051171B">
      <w:pPr>
        <w:rPr>
          <w:rFonts w:ascii="Arial" w:hAnsi="Arial" w:cs="Arial"/>
          <w:b/>
          <w:bCs/>
          <w:color w:val="C0504D"/>
          <w:sz w:val="28"/>
          <w:szCs w:val="28"/>
        </w:rPr>
      </w:pPr>
      <w:r>
        <w:rPr>
          <w:rFonts w:ascii="Arial" w:hAnsi="Arial" w:cs="Arial"/>
          <w:color w:val="632423"/>
          <w:sz w:val="28"/>
          <w:szCs w:val="28"/>
        </w:rPr>
        <w:br w:type="page"/>
      </w:r>
      <w:r w:rsidR="0041471D" w:rsidRPr="0051171B">
        <w:rPr>
          <w:rFonts w:ascii="Arial" w:hAnsi="Arial" w:cs="Arial"/>
          <w:b/>
          <w:bCs/>
          <w:color w:val="C0504D"/>
          <w:sz w:val="28"/>
          <w:szCs w:val="28"/>
        </w:rPr>
        <w:lastRenderedPageBreak/>
        <w:t xml:space="preserve">PART ONE </w:t>
      </w:r>
    </w:p>
    <w:p w:rsidR="00620D64" w:rsidRPr="005A036C" w:rsidRDefault="00533AD1" w:rsidP="00CD01A9">
      <w:pPr>
        <w:pBdr>
          <w:bottom w:val="single" w:sz="4" w:space="1" w:color="auto"/>
        </w:pBdr>
        <w:rPr>
          <w:rFonts w:ascii="Arial" w:hAnsi="Arial" w:cs="Arial"/>
          <w:b/>
          <w:color w:val="632423"/>
          <w:sz w:val="28"/>
          <w:szCs w:val="28"/>
        </w:rPr>
      </w:pPr>
      <w:r w:rsidRPr="00620D64">
        <w:rPr>
          <w:rFonts w:ascii="Arial" w:hAnsi="Arial" w:cs="Arial"/>
          <w:b/>
          <w:bCs/>
          <w:color w:val="C0504D"/>
          <w:sz w:val="28"/>
          <w:szCs w:val="28"/>
        </w:rPr>
        <w:t>SUPPORT FOR A SAFETY NET OF FAIR AND EQUITABLE CONDITIONS</w:t>
      </w:r>
    </w:p>
    <w:p w:rsidR="008B359F" w:rsidRDefault="008B359F" w:rsidP="008B359F">
      <w:pPr>
        <w:autoSpaceDE w:val="0"/>
        <w:autoSpaceDN w:val="0"/>
        <w:adjustRightInd w:val="0"/>
        <w:spacing w:after="0" w:line="240" w:lineRule="auto"/>
        <w:rPr>
          <w:rFonts w:ascii="Arial" w:hAnsi="Arial" w:cs="Arial"/>
          <w:color w:val="262626"/>
        </w:rPr>
      </w:pPr>
    </w:p>
    <w:p w:rsidR="005C5A8B" w:rsidRPr="00287E91" w:rsidRDefault="006536EB" w:rsidP="00217C92">
      <w:pPr>
        <w:rPr>
          <w:rFonts w:ascii="Arial" w:hAnsi="Arial" w:cs="Arial"/>
        </w:rPr>
      </w:pPr>
      <w:r w:rsidRPr="00287E91">
        <w:rPr>
          <w:rFonts w:ascii="Arial" w:hAnsi="Arial" w:cs="Arial"/>
        </w:rPr>
        <w:t xml:space="preserve">Consistent with the </w:t>
      </w:r>
      <w:r w:rsidR="00754E83">
        <w:rPr>
          <w:rFonts w:ascii="Arial" w:hAnsi="Arial" w:cs="Arial"/>
        </w:rPr>
        <w:t xml:space="preserve">Catholic </w:t>
      </w:r>
      <w:r w:rsidRPr="00287E91">
        <w:rPr>
          <w:rFonts w:ascii="Arial" w:hAnsi="Arial" w:cs="Arial"/>
        </w:rPr>
        <w:t>Church’s principles of equity,</w:t>
      </w:r>
      <w:r w:rsidR="007E0654" w:rsidRPr="00287E91">
        <w:rPr>
          <w:rFonts w:ascii="Arial" w:hAnsi="Arial" w:cs="Arial"/>
        </w:rPr>
        <w:t xml:space="preserve"> </w:t>
      </w:r>
      <w:r w:rsidRPr="00287E91">
        <w:rPr>
          <w:rFonts w:ascii="Arial" w:hAnsi="Arial" w:cs="Arial"/>
        </w:rPr>
        <w:t xml:space="preserve">fairness and justice, </w:t>
      </w:r>
      <w:r w:rsidR="00284CC9" w:rsidRPr="00287E91">
        <w:rPr>
          <w:rFonts w:ascii="Arial" w:hAnsi="Arial" w:cs="Arial"/>
        </w:rPr>
        <w:t xml:space="preserve">CCER supports a </w:t>
      </w:r>
      <w:r w:rsidRPr="00287E91">
        <w:rPr>
          <w:rFonts w:ascii="Arial" w:hAnsi="Arial" w:cs="Arial"/>
        </w:rPr>
        <w:t xml:space="preserve">workplace relations framework that provides a safety net of fair and equitable </w:t>
      </w:r>
      <w:r w:rsidR="00C87457" w:rsidRPr="00287E91">
        <w:rPr>
          <w:rFonts w:ascii="Arial" w:hAnsi="Arial" w:cs="Arial"/>
        </w:rPr>
        <w:t xml:space="preserve">pay and </w:t>
      </w:r>
      <w:r w:rsidRPr="00287E91">
        <w:rPr>
          <w:rFonts w:ascii="Arial" w:hAnsi="Arial" w:cs="Arial"/>
        </w:rPr>
        <w:t>conditions</w:t>
      </w:r>
      <w:r w:rsidR="00217C92">
        <w:rPr>
          <w:rFonts w:ascii="Arial" w:hAnsi="Arial" w:cs="Arial"/>
        </w:rPr>
        <w:t xml:space="preserve">. Such a safety net </w:t>
      </w:r>
      <w:r w:rsidR="005C5A8B" w:rsidRPr="00287E91">
        <w:rPr>
          <w:rFonts w:ascii="Arial" w:hAnsi="Arial" w:cs="Arial"/>
        </w:rPr>
        <w:t>compris</w:t>
      </w:r>
      <w:r w:rsidR="00217C92">
        <w:rPr>
          <w:rFonts w:ascii="Arial" w:hAnsi="Arial" w:cs="Arial"/>
        </w:rPr>
        <w:t xml:space="preserve">es </w:t>
      </w:r>
      <w:r w:rsidR="005C5A8B" w:rsidRPr="00287E91">
        <w:rPr>
          <w:rFonts w:ascii="Arial" w:hAnsi="Arial" w:cs="Arial"/>
        </w:rPr>
        <w:t>just minimum wage</w:t>
      </w:r>
      <w:r w:rsidR="00926569" w:rsidRPr="00287E91">
        <w:rPr>
          <w:rFonts w:ascii="Arial" w:hAnsi="Arial" w:cs="Arial"/>
        </w:rPr>
        <w:t>s</w:t>
      </w:r>
      <w:r w:rsidR="005C5A8B" w:rsidRPr="00287E91">
        <w:rPr>
          <w:rFonts w:ascii="Arial" w:hAnsi="Arial" w:cs="Arial"/>
        </w:rPr>
        <w:t xml:space="preserve"> th</w:t>
      </w:r>
      <w:r w:rsidRPr="00287E91">
        <w:rPr>
          <w:rFonts w:ascii="Arial" w:hAnsi="Arial" w:cs="Arial"/>
        </w:rPr>
        <w:t>at keep workers and their families out of poverty</w:t>
      </w:r>
      <w:r w:rsidR="00217C92">
        <w:rPr>
          <w:rFonts w:ascii="Arial" w:hAnsi="Arial" w:cs="Arial"/>
        </w:rPr>
        <w:t>; decent</w:t>
      </w:r>
      <w:r w:rsidR="006F7345" w:rsidRPr="00287E91">
        <w:rPr>
          <w:rFonts w:ascii="Arial" w:hAnsi="Arial" w:cs="Arial"/>
        </w:rPr>
        <w:t xml:space="preserve"> conditions including adequate rest</w:t>
      </w:r>
      <w:r w:rsidR="001F63B6" w:rsidRPr="00287E91">
        <w:rPr>
          <w:rFonts w:ascii="Arial" w:hAnsi="Arial" w:cs="Arial"/>
        </w:rPr>
        <w:t xml:space="preserve"> and reasonable hours of work</w:t>
      </w:r>
      <w:r w:rsidR="00217C92">
        <w:rPr>
          <w:rFonts w:ascii="Arial" w:hAnsi="Arial" w:cs="Arial"/>
        </w:rPr>
        <w:t>; and fair</w:t>
      </w:r>
      <w:r w:rsidR="005C5A8B" w:rsidRPr="00287E91">
        <w:rPr>
          <w:rFonts w:ascii="Arial" w:hAnsi="Arial" w:cs="Arial"/>
        </w:rPr>
        <w:t xml:space="preserve"> compensation for the impacts of working unsociable hours</w:t>
      </w:r>
      <w:r w:rsidR="00B71FCA" w:rsidRPr="00287E91">
        <w:rPr>
          <w:rFonts w:ascii="Arial" w:hAnsi="Arial" w:cs="Arial"/>
        </w:rPr>
        <w:t xml:space="preserve"> on family life</w:t>
      </w:r>
      <w:r w:rsidR="00217C92">
        <w:rPr>
          <w:rFonts w:ascii="Arial" w:hAnsi="Arial" w:cs="Arial"/>
        </w:rPr>
        <w:t>.</w:t>
      </w:r>
    </w:p>
    <w:p w:rsidR="00AB4A72" w:rsidRPr="0051171B" w:rsidRDefault="00AB4A72" w:rsidP="00AB4A72">
      <w:pPr>
        <w:rPr>
          <w:rFonts w:ascii="Arial" w:hAnsi="Arial" w:cs="Arial"/>
          <w:b/>
          <w:bCs/>
          <w:color w:val="C0504D"/>
          <w:sz w:val="28"/>
          <w:szCs w:val="28"/>
        </w:rPr>
      </w:pPr>
      <w:r w:rsidRPr="0051171B">
        <w:rPr>
          <w:rFonts w:ascii="Arial" w:hAnsi="Arial" w:cs="Arial"/>
          <w:b/>
          <w:bCs/>
          <w:color w:val="C0504D"/>
          <w:sz w:val="28"/>
          <w:szCs w:val="28"/>
        </w:rPr>
        <w:t>Minimum wages</w:t>
      </w:r>
      <w:r w:rsidR="00EA0635" w:rsidRPr="0051171B">
        <w:rPr>
          <w:rFonts w:ascii="Arial" w:hAnsi="Arial" w:cs="Arial"/>
          <w:b/>
          <w:bCs/>
          <w:color w:val="C0504D"/>
          <w:sz w:val="28"/>
          <w:szCs w:val="28"/>
        </w:rPr>
        <w:t xml:space="preserve"> and the award </w:t>
      </w:r>
      <w:r w:rsidR="00132203" w:rsidRPr="0051171B">
        <w:rPr>
          <w:rFonts w:ascii="Arial" w:hAnsi="Arial" w:cs="Arial"/>
          <w:b/>
          <w:bCs/>
          <w:color w:val="C0504D"/>
          <w:sz w:val="28"/>
          <w:szCs w:val="28"/>
        </w:rPr>
        <w:t xml:space="preserve">wage </w:t>
      </w:r>
      <w:r w:rsidR="00EA0635" w:rsidRPr="0051171B">
        <w:rPr>
          <w:rFonts w:ascii="Arial" w:hAnsi="Arial" w:cs="Arial"/>
          <w:b/>
          <w:bCs/>
          <w:color w:val="C0504D"/>
          <w:sz w:val="28"/>
          <w:szCs w:val="28"/>
        </w:rPr>
        <w:t>safety net</w:t>
      </w:r>
    </w:p>
    <w:p w:rsidR="00A554F8" w:rsidRPr="00FF6E07" w:rsidRDefault="00A554F8" w:rsidP="00AB4A72">
      <w:pPr>
        <w:rPr>
          <w:rFonts w:ascii="Arial" w:hAnsi="Arial" w:cs="Arial"/>
          <w:b/>
          <w:bCs/>
          <w:i/>
          <w:color w:val="C0504D"/>
          <w:sz w:val="24"/>
          <w:szCs w:val="24"/>
        </w:rPr>
      </w:pPr>
      <w:r w:rsidRPr="00FF6E07">
        <w:rPr>
          <w:rFonts w:ascii="Arial" w:hAnsi="Arial" w:cs="Arial"/>
          <w:b/>
          <w:bCs/>
          <w:i/>
          <w:color w:val="C0504D"/>
          <w:sz w:val="24"/>
          <w:szCs w:val="24"/>
        </w:rPr>
        <w:t xml:space="preserve">Support for a </w:t>
      </w:r>
      <w:r w:rsidR="00F72BAC" w:rsidRPr="00FF6E07">
        <w:rPr>
          <w:rFonts w:ascii="Arial" w:hAnsi="Arial" w:cs="Arial"/>
          <w:b/>
          <w:bCs/>
          <w:i/>
          <w:color w:val="C0504D"/>
          <w:sz w:val="24"/>
          <w:szCs w:val="24"/>
        </w:rPr>
        <w:t>‘</w:t>
      </w:r>
      <w:r w:rsidRPr="00FF6E07">
        <w:rPr>
          <w:rFonts w:ascii="Arial" w:hAnsi="Arial" w:cs="Arial"/>
          <w:b/>
          <w:bCs/>
          <w:i/>
          <w:color w:val="C0504D"/>
          <w:sz w:val="24"/>
          <w:szCs w:val="24"/>
        </w:rPr>
        <w:t>living wage</w:t>
      </w:r>
      <w:r w:rsidR="00F72BAC" w:rsidRPr="00FF6E07">
        <w:rPr>
          <w:rFonts w:ascii="Arial" w:hAnsi="Arial" w:cs="Arial"/>
          <w:b/>
          <w:bCs/>
          <w:i/>
          <w:color w:val="C0504D"/>
          <w:sz w:val="24"/>
          <w:szCs w:val="24"/>
        </w:rPr>
        <w:t>’</w:t>
      </w:r>
      <w:r w:rsidRPr="00FF6E07">
        <w:rPr>
          <w:rFonts w:ascii="Arial" w:hAnsi="Arial" w:cs="Arial"/>
          <w:b/>
          <w:bCs/>
          <w:i/>
          <w:color w:val="C0504D"/>
          <w:sz w:val="24"/>
          <w:szCs w:val="24"/>
        </w:rPr>
        <w:t xml:space="preserve"> </w:t>
      </w:r>
      <w:r w:rsidR="00674CA1" w:rsidRPr="00FF6E07">
        <w:rPr>
          <w:rFonts w:ascii="Arial" w:hAnsi="Arial" w:cs="Arial"/>
          <w:b/>
          <w:bCs/>
          <w:i/>
          <w:color w:val="C0504D"/>
          <w:sz w:val="24"/>
          <w:szCs w:val="24"/>
        </w:rPr>
        <w:t>that meets family needs</w:t>
      </w:r>
    </w:p>
    <w:p w:rsidR="00C062A4" w:rsidRDefault="005C65D1" w:rsidP="005C65D1">
      <w:pPr>
        <w:rPr>
          <w:rFonts w:ascii="Arial" w:hAnsi="Arial" w:cs="Arial"/>
        </w:rPr>
      </w:pPr>
      <w:r w:rsidRPr="00644539">
        <w:rPr>
          <w:rFonts w:ascii="Arial" w:hAnsi="Arial" w:cs="Arial"/>
        </w:rPr>
        <w:t>Approximately</w:t>
      </w:r>
      <w:r w:rsidR="00644539" w:rsidRPr="00644539">
        <w:rPr>
          <w:rFonts w:ascii="Arial" w:hAnsi="Arial" w:cs="Arial"/>
        </w:rPr>
        <w:t xml:space="preserve"> 20% of employees </w:t>
      </w:r>
      <w:r w:rsidRPr="00644539">
        <w:rPr>
          <w:rFonts w:ascii="Arial" w:hAnsi="Arial" w:cs="Arial"/>
        </w:rPr>
        <w:t>are ‘</w:t>
      </w:r>
      <w:r w:rsidRPr="001A137D">
        <w:rPr>
          <w:rFonts w:ascii="Arial" w:hAnsi="Arial" w:cs="Arial"/>
          <w:i/>
        </w:rPr>
        <w:t xml:space="preserve">award only’ </w:t>
      </w:r>
      <w:r w:rsidRPr="00644539">
        <w:rPr>
          <w:rFonts w:ascii="Arial" w:hAnsi="Arial" w:cs="Arial"/>
        </w:rPr>
        <w:t>or ‘</w:t>
      </w:r>
      <w:r w:rsidRPr="001A137D">
        <w:rPr>
          <w:rFonts w:ascii="Arial" w:hAnsi="Arial" w:cs="Arial"/>
          <w:i/>
        </w:rPr>
        <w:t>safety net dependent’</w:t>
      </w:r>
      <w:r w:rsidRPr="00644539">
        <w:rPr>
          <w:rFonts w:ascii="Arial" w:hAnsi="Arial" w:cs="Arial"/>
        </w:rPr>
        <w:t xml:space="preserve"> workers, that is, they rely on their terms and conditions prescribed in an award</w:t>
      </w:r>
      <w:r w:rsidR="00644539">
        <w:rPr>
          <w:rFonts w:ascii="Arial" w:hAnsi="Arial" w:cs="Arial"/>
        </w:rPr>
        <w:t>, with a</w:t>
      </w:r>
      <w:r w:rsidR="00644539" w:rsidRPr="00644539">
        <w:rPr>
          <w:rFonts w:ascii="Arial" w:hAnsi="Arial" w:cs="Arial"/>
        </w:rPr>
        <w:t xml:space="preserve">bout </w:t>
      </w:r>
      <w:r w:rsidR="002E5CB1" w:rsidRPr="00644539">
        <w:rPr>
          <w:rFonts w:ascii="Arial" w:hAnsi="Arial" w:cs="Arial"/>
          <w:color w:val="000000"/>
          <w:shd w:val="clear" w:color="auto" w:fill="FFFFFF"/>
        </w:rPr>
        <w:t xml:space="preserve">1,860,700 employees </w:t>
      </w:r>
      <w:r w:rsidR="00644539" w:rsidRPr="00644539">
        <w:rPr>
          <w:rFonts w:ascii="Arial" w:hAnsi="Arial" w:cs="Arial"/>
          <w:color w:val="000000"/>
          <w:shd w:val="clear" w:color="auto" w:fill="FFFFFF"/>
        </w:rPr>
        <w:t>receiv</w:t>
      </w:r>
      <w:r w:rsidR="008471C3">
        <w:rPr>
          <w:rFonts w:ascii="Arial" w:hAnsi="Arial" w:cs="Arial"/>
          <w:color w:val="000000"/>
          <w:shd w:val="clear" w:color="auto" w:fill="FFFFFF"/>
        </w:rPr>
        <w:t xml:space="preserve">ing </w:t>
      </w:r>
      <w:r w:rsidR="00644539">
        <w:rPr>
          <w:rFonts w:ascii="Arial" w:hAnsi="Arial" w:cs="Arial"/>
          <w:color w:val="000000"/>
          <w:shd w:val="clear" w:color="auto" w:fill="FFFFFF"/>
        </w:rPr>
        <w:t>t</w:t>
      </w:r>
      <w:r w:rsidR="00644539" w:rsidRPr="00644539">
        <w:rPr>
          <w:rFonts w:ascii="Arial" w:hAnsi="Arial" w:cs="Arial"/>
          <w:color w:val="000000"/>
          <w:shd w:val="clear" w:color="auto" w:fill="FFFFFF"/>
        </w:rPr>
        <w:t>he min</w:t>
      </w:r>
      <w:r w:rsidR="00644539">
        <w:rPr>
          <w:rFonts w:ascii="Arial" w:hAnsi="Arial" w:cs="Arial"/>
          <w:color w:val="000000"/>
          <w:shd w:val="clear" w:color="auto" w:fill="FFFFFF"/>
        </w:rPr>
        <w:t>imum</w:t>
      </w:r>
      <w:r w:rsidR="00644539" w:rsidRPr="00644539">
        <w:rPr>
          <w:rFonts w:ascii="Arial" w:hAnsi="Arial" w:cs="Arial"/>
          <w:color w:val="000000"/>
          <w:shd w:val="clear" w:color="auto" w:fill="FFFFFF"/>
        </w:rPr>
        <w:t xml:space="preserve"> wage </w:t>
      </w:r>
      <w:r w:rsidR="00644539">
        <w:rPr>
          <w:rFonts w:ascii="Arial" w:hAnsi="Arial" w:cs="Arial"/>
          <w:color w:val="000000"/>
          <w:shd w:val="clear" w:color="auto" w:fill="FFFFFF"/>
        </w:rPr>
        <w:t xml:space="preserve">prescribed </w:t>
      </w:r>
      <w:r w:rsidR="00644539" w:rsidRPr="00644539">
        <w:rPr>
          <w:rFonts w:ascii="Arial" w:hAnsi="Arial" w:cs="Arial"/>
          <w:color w:val="000000"/>
          <w:shd w:val="clear" w:color="auto" w:fill="FFFFFF"/>
        </w:rPr>
        <w:t xml:space="preserve">by </w:t>
      </w:r>
      <w:r w:rsidR="008471C3">
        <w:rPr>
          <w:rFonts w:ascii="Arial" w:hAnsi="Arial" w:cs="Arial"/>
          <w:color w:val="000000"/>
          <w:shd w:val="clear" w:color="auto" w:fill="FFFFFF"/>
        </w:rPr>
        <w:t>a</w:t>
      </w:r>
      <w:r w:rsidR="002E5CB1" w:rsidRPr="00644539">
        <w:rPr>
          <w:rFonts w:ascii="Arial" w:hAnsi="Arial" w:cs="Arial"/>
          <w:color w:val="000000"/>
          <w:shd w:val="clear" w:color="auto" w:fill="FFFFFF"/>
        </w:rPr>
        <w:t>ward</w:t>
      </w:r>
      <w:r w:rsidR="00D95AFB">
        <w:rPr>
          <w:rFonts w:ascii="Arial" w:hAnsi="Arial" w:cs="Arial"/>
          <w:color w:val="000000"/>
          <w:shd w:val="clear" w:color="auto" w:fill="FFFFFF"/>
        </w:rPr>
        <w:t>s</w:t>
      </w:r>
      <w:r w:rsidR="002E5CB1" w:rsidRPr="00644539">
        <w:rPr>
          <w:rFonts w:ascii="Arial" w:hAnsi="Arial" w:cs="Arial"/>
          <w:color w:val="000000"/>
          <w:shd w:val="clear" w:color="auto" w:fill="FFFFFF"/>
        </w:rPr>
        <w:t xml:space="preserve"> only</w:t>
      </w:r>
      <w:r w:rsidR="00644539" w:rsidRPr="00644539">
        <w:rPr>
          <w:rFonts w:ascii="Arial" w:hAnsi="Arial" w:cs="Arial"/>
          <w:color w:val="000000"/>
          <w:shd w:val="clear" w:color="auto" w:fill="FFFFFF"/>
        </w:rPr>
        <w:t>.</w:t>
      </w:r>
      <w:r w:rsidR="00D22ECB" w:rsidRPr="00644539">
        <w:rPr>
          <w:rStyle w:val="FootnoteReference"/>
          <w:rFonts w:ascii="Arial" w:hAnsi="Arial" w:cs="Arial"/>
          <w:color w:val="000000"/>
          <w:shd w:val="clear" w:color="auto" w:fill="FFFFFF"/>
        </w:rPr>
        <w:footnoteReference w:id="4"/>
      </w:r>
      <w:r w:rsidR="00644539" w:rsidRPr="00644539">
        <w:rPr>
          <w:rFonts w:ascii="Arial" w:hAnsi="Arial" w:cs="Arial"/>
          <w:color w:val="000000"/>
          <w:shd w:val="clear" w:color="auto" w:fill="FFFFFF"/>
        </w:rPr>
        <w:t xml:space="preserve"> </w:t>
      </w:r>
      <w:r w:rsidRPr="00644539">
        <w:rPr>
          <w:rFonts w:ascii="Arial" w:hAnsi="Arial" w:cs="Arial"/>
        </w:rPr>
        <w:t>They are mostly employed on lower paid award classifications and typically have no</w:t>
      </w:r>
      <w:r w:rsidRPr="00287E91">
        <w:rPr>
          <w:rFonts w:ascii="Arial" w:hAnsi="Arial" w:cs="Arial"/>
        </w:rPr>
        <w:t xml:space="preserve"> capacity to bargain above the safety net</w:t>
      </w:r>
      <w:r>
        <w:rPr>
          <w:rFonts w:ascii="Arial" w:hAnsi="Arial" w:cs="Arial"/>
        </w:rPr>
        <w:t>, relying instead on annual minimum wage adjustments.</w:t>
      </w:r>
      <w:r w:rsidRPr="00287E91">
        <w:rPr>
          <w:rFonts w:ascii="Arial" w:hAnsi="Arial" w:cs="Arial"/>
        </w:rPr>
        <w:t xml:space="preserve"> </w:t>
      </w:r>
    </w:p>
    <w:p w:rsidR="005C65D1" w:rsidRPr="00287E91" w:rsidRDefault="005C65D1" w:rsidP="005C65D1">
      <w:pPr>
        <w:rPr>
          <w:rFonts w:ascii="Arial" w:hAnsi="Arial" w:cs="Arial"/>
        </w:rPr>
      </w:pPr>
      <w:r w:rsidRPr="00287E91">
        <w:rPr>
          <w:rFonts w:ascii="Arial" w:hAnsi="Arial" w:cs="Arial"/>
        </w:rPr>
        <w:t>Th</w:t>
      </w:r>
      <w:r w:rsidR="00992DA6">
        <w:rPr>
          <w:rFonts w:ascii="Arial" w:hAnsi="Arial" w:cs="Arial"/>
        </w:rPr>
        <w:t>e</w:t>
      </w:r>
      <w:r>
        <w:rPr>
          <w:rFonts w:ascii="Arial" w:hAnsi="Arial" w:cs="Arial"/>
        </w:rPr>
        <w:t xml:space="preserve"> </w:t>
      </w:r>
      <w:r w:rsidRPr="00287E91">
        <w:rPr>
          <w:rFonts w:ascii="Arial" w:hAnsi="Arial" w:cs="Arial"/>
        </w:rPr>
        <w:t xml:space="preserve">safety net is often influential in determining outcomes for </w:t>
      </w:r>
      <w:r w:rsidR="00992DA6">
        <w:rPr>
          <w:rFonts w:ascii="Arial" w:hAnsi="Arial" w:cs="Arial"/>
        </w:rPr>
        <w:t xml:space="preserve">other </w:t>
      </w:r>
      <w:r w:rsidRPr="00287E91">
        <w:rPr>
          <w:rFonts w:ascii="Arial" w:hAnsi="Arial" w:cs="Arial"/>
        </w:rPr>
        <w:t>employees, including lower paid workers, who are able to bargain either collectively or individually for better wages and conditions, and especially so for those who have wages and benefits only slightly above the award.</w:t>
      </w:r>
      <w:r>
        <w:rPr>
          <w:rFonts w:ascii="Arial" w:hAnsi="Arial" w:cs="Arial"/>
        </w:rPr>
        <w:t xml:space="preserve"> </w:t>
      </w:r>
    </w:p>
    <w:p w:rsidR="00F14B95" w:rsidRPr="00287E91" w:rsidRDefault="00F14B95" w:rsidP="00F14B95">
      <w:pPr>
        <w:rPr>
          <w:rFonts w:ascii="Arial" w:hAnsi="Arial" w:cs="Arial"/>
        </w:rPr>
      </w:pPr>
      <w:r w:rsidRPr="00287E91">
        <w:rPr>
          <w:rFonts w:ascii="Arial" w:hAnsi="Arial" w:cs="Arial"/>
        </w:rPr>
        <w:t xml:space="preserve">The </w:t>
      </w:r>
      <w:r w:rsidR="00E92BCF">
        <w:rPr>
          <w:rFonts w:ascii="Arial" w:hAnsi="Arial" w:cs="Arial"/>
        </w:rPr>
        <w:t xml:space="preserve">Catholic </w:t>
      </w:r>
      <w:r w:rsidRPr="00287E91">
        <w:rPr>
          <w:rFonts w:ascii="Arial" w:hAnsi="Arial" w:cs="Arial"/>
        </w:rPr>
        <w:t xml:space="preserve">Church through ACCER is an active advocate in the Annual Wage Review on behalf of low paid workers and their families. The review is conducted by the </w:t>
      </w:r>
      <w:r w:rsidR="00287E91" w:rsidRPr="00287E91">
        <w:rPr>
          <w:rFonts w:ascii="Arial" w:hAnsi="Arial" w:cs="Arial"/>
        </w:rPr>
        <w:t>F</w:t>
      </w:r>
      <w:r w:rsidRPr="00287E91">
        <w:rPr>
          <w:rFonts w:ascii="Arial" w:hAnsi="Arial" w:cs="Arial"/>
        </w:rPr>
        <w:t>WC, which is required to set a ‘</w:t>
      </w:r>
      <w:r w:rsidRPr="001A137D">
        <w:rPr>
          <w:rFonts w:ascii="Arial" w:hAnsi="Arial" w:cs="Arial"/>
          <w:i/>
        </w:rPr>
        <w:t>safety net of fair minimum wages</w:t>
      </w:r>
      <w:r w:rsidRPr="00287E91">
        <w:rPr>
          <w:rFonts w:ascii="Arial" w:hAnsi="Arial" w:cs="Arial"/>
        </w:rPr>
        <w:t xml:space="preserve">’ through the National Minimum Wage (NMW) and award rates of pay. The </w:t>
      </w:r>
      <w:r w:rsidR="009B482E">
        <w:rPr>
          <w:rFonts w:ascii="Arial" w:hAnsi="Arial" w:cs="Arial"/>
        </w:rPr>
        <w:t>FWC</w:t>
      </w:r>
      <w:r w:rsidRPr="00287E91">
        <w:rPr>
          <w:rFonts w:ascii="Arial" w:hAnsi="Arial" w:cs="Arial"/>
        </w:rPr>
        <w:t xml:space="preserve"> is required to consider economic and other factors, including ‘</w:t>
      </w:r>
      <w:r w:rsidRPr="001A137D">
        <w:rPr>
          <w:rFonts w:ascii="Arial" w:hAnsi="Arial" w:cs="Arial"/>
          <w:i/>
        </w:rPr>
        <w:t>relative living standards and the needs of the low paid’</w:t>
      </w:r>
      <w:r w:rsidRPr="00287E91">
        <w:rPr>
          <w:rFonts w:ascii="Arial" w:hAnsi="Arial" w:cs="Arial"/>
        </w:rPr>
        <w:t xml:space="preserve"> and to promote social inclusion. </w:t>
      </w:r>
    </w:p>
    <w:p w:rsidR="00F14B95" w:rsidRPr="00287E91" w:rsidRDefault="00C74AA0" w:rsidP="00566EF2">
      <w:pPr>
        <w:rPr>
          <w:rFonts w:ascii="Arial" w:hAnsi="Arial" w:cs="Arial"/>
        </w:rPr>
      </w:pPr>
      <w:r w:rsidRPr="00287E91">
        <w:rPr>
          <w:rFonts w:ascii="Arial" w:hAnsi="Arial" w:cs="Arial"/>
        </w:rPr>
        <w:t xml:space="preserve">The Bishops’ </w:t>
      </w:r>
      <w:r w:rsidR="00076DAD" w:rsidRPr="00287E91">
        <w:rPr>
          <w:rFonts w:ascii="Arial" w:hAnsi="Arial" w:cs="Arial"/>
        </w:rPr>
        <w:t>Statement calls</w:t>
      </w:r>
      <w:r w:rsidR="007C4F20" w:rsidRPr="00287E91">
        <w:rPr>
          <w:rFonts w:ascii="Arial" w:hAnsi="Arial" w:cs="Arial"/>
        </w:rPr>
        <w:t xml:space="preserve"> for ‘</w:t>
      </w:r>
      <w:r w:rsidR="007C4F20" w:rsidRPr="00994390">
        <w:rPr>
          <w:rFonts w:ascii="Arial" w:hAnsi="Arial" w:cs="Arial"/>
          <w:i/>
        </w:rPr>
        <w:t>workers to be entitled to a wage that allows them to live a fulfilling life and to meet their family obligations</w:t>
      </w:r>
      <w:r w:rsidR="00994390">
        <w:rPr>
          <w:rFonts w:ascii="Arial" w:hAnsi="Arial" w:cs="Arial"/>
          <w:i/>
        </w:rPr>
        <w:t>’</w:t>
      </w:r>
      <w:r w:rsidR="007C4F20" w:rsidRPr="00287E91">
        <w:rPr>
          <w:rFonts w:ascii="Arial" w:hAnsi="Arial" w:cs="Arial"/>
        </w:rPr>
        <w:t xml:space="preserve"> and calls for ‘</w:t>
      </w:r>
      <w:r w:rsidR="007C4F20" w:rsidRPr="00B819AF">
        <w:rPr>
          <w:rFonts w:ascii="Arial" w:hAnsi="Arial" w:cs="Arial"/>
          <w:i/>
        </w:rPr>
        <w:t xml:space="preserve">the provision of a fair safety net by reference to the living standards generally prevailing in Australia; the needs of employees and their families; and the proper assessment of the impact of taxes and welfare support </w:t>
      </w:r>
      <w:r w:rsidR="00673938" w:rsidRPr="00B819AF">
        <w:rPr>
          <w:rFonts w:ascii="Arial" w:hAnsi="Arial" w:cs="Arial"/>
          <w:i/>
        </w:rPr>
        <w:t>payments</w:t>
      </w:r>
      <w:r w:rsidR="00EA0635" w:rsidRPr="00287E91">
        <w:rPr>
          <w:rFonts w:ascii="Arial" w:hAnsi="Arial" w:cs="Arial"/>
        </w:rPr>
        <w:t>’</w:t>
      </w:r>
      <w:r w:rsidR="00673938" w:rsidRPr="00287E91">
        <w:rPr>
          <w:rFonts w:ascii="Arial" w:hAnsi="Arial" w:cs="Arial"/>
        </w:rPr>
        <w:t>.</w:t>
      </w:r>
      <w:r w:rsidR="00F14B95" w:rsidRPr="00287E91">
        <w:rPr>
          <w:rFonts w:ascii="Arial" w:hAnsi="Arial" w:cs="Arial"/>
        </w:rPr>
        <w:t xml:space="preserve"> </w:t>
      </w:r>
    </w:p>
    <w:p w:rsidR="00FB17E7" w:rsidRPr="00287E91" w:rsidRDefault="00A554F8" w:rsidP="00E058AE">
      <w:pPr>
        <w:rPr>
          <w:rFonts w:ascii="Arial" w:hAnsi="Arial" w:cs="Arial"/>
        </w:rPr>
      </w:pPr>
      <w:r w:rsidRPr="00287E91">
        <w:rPr>
          <w:rFonts w:ascii="Arial" w:hAnsi="Arial" w:cs="Arial"/>
        </w:rPr>
        <w:t xml:space="preserve">This </w:t>
      </w:r>
      <w:r w:rsidR="0070343E" w:rsidRPr="00287E91">
        <w:rPr>
          <w:rFonts w:ascii="Arial" w:hAnsi="Arial" w:cs="Arial"/>
        </w:rPr>
        <w:t>reflects a</w:t>
      </w:r>
      <w:r w:rsidRPr="00287E91">
        <w:rPr>
          <w:rFonts w:ascii="Arial" w:hAnsi="Arial" w:cs="Arial"/>
        </w:rPr>
        <w:t xml:space="preserve"> central part of Catholic </w:t>
      </w:r>
      <w:r w:rsidR="00953950" w:rsidRPr="00287E91">
        <w:rPr>
          <w:rFonts w:ascii="Arial" w:hAnsi="Arial" w:cs="Arial"/>
        </w:rPr>
        <w:t>s</w:t>
      </w:r>
      <w:r w:rsidRPr="00287E91">
        <w:rPr>
          <w:rFonts w:ascii="Arial" w:hAnsi="Arial" w:cs="Arial"/>
        </w:rPr>
        <w:t xml:space="preserve">ocial </w:t>
      </w:r>
      <w:r w:rsidR="00953950" w:rsidRPr="00287E91">
        <w:rPr>
          <w:rFonts w:ascii="Arial" w:hAnsi="Arial" w:cs="Arial"/>
        </w:rPr>
        <w:t>t</w:t>
      </w:r>
      <w:r w:rsidRPr="00287E91">
        <w:rPr>
          <w:rFonts w:ascii="Arial" w:hAnsi="Arial" w:cs="Arial"/>
        </w:rPr>
        <w:t>eaching that a</w:t>
      </w:r>
      <w:r w:rsidR="00D13B54" w:rsidRPr="00287E91">
        <w:rPr>
          <w:rFonts w:ascii="Arial" w:hAnsi="Arial" w:cs="Arial"/>
        </w:rPr>
        <w:t xml:space="preserve"> full time unskilled </w:t>
      </w:r>
      <w:r w:rsidRPr="00287E91">
        <w:rPr>
          <w:rFonts w:ascii="Arial" w:hAnsi="Arial" w:cs="Arial"/>
        </w:rPr>
        <w:t>worker is enti</w:t>
      </w:r>
      <w:r w:rsidR="00C466FA" w:rsidRPr="00287E91">
        <w:rPr>
          <w:rFonts w:ascii="Arial" w:hAnsi="Arial" w:cs="Arial"/>
        </w:rPr>
        <w:t xml:space="preserve">tled </w:t>
      </w:r>
      <w:r w:rsidR="00F93BAF" w:rsidRPr="00287E91">
        <w:rPr>
          <w:rFonts w:ascii="Arial" w:hAnsi="Arial" w:cs="Arial"/>
        </w:rPr>
        <w:t>to</w:t>
      </w:r>
      <w:r w:rsidRPr="00287E91">
        <w:rPr>
          <w:rFonts w:ascii="Arial" w:hAnsi="Arial" w:cs="Arial"/>
        </w:rPr>
        <w:t xml:space="preserve"> a just wage for work performed </w:t>
      </w:r>
      <w:r w:rsidRPr="00287E91">
        <w:rPr>
          <w:rFonts w:ascii="Arial" w:hAnsi="Arial" w:cs="Arial"/>
          <w:i/>
        </w:rPr>
        <w:t>at</w:t>
      </w:r>
      <w:r w:rsidR="003D3EB1" w:rsidRPr="00287E91">
        <w:rPr>
          <w:rFonts w:ascii="Arial" w:hAnsi="Arial" w:cs="Arial"/>
          <w:i/>
        </w:rPr>
        <w:t xml:space="preserve"> least</w:t>
      </w:r>
      <w:r w:rsidR="003D3EB1" w:rsidRPr="00287E91">
        <w:rPr>
          <w:rFonts w:ascii="Arial" w:hAnsi="Arial" w:cs="Arial"/>
        </w:rPr>
        <w:t xml:space="preserve"> </w:t>
      </w:r>
      <w:r w:rsidR="00C466FA" w:rsidRPr="00287E91">
        <w:rPr>
          <w:rFonts w:ascii="Arial" w:hAnsi="Arial" w:cs="Arial"/>
        </w:rPr>
        <w:t>s</w:t>
      </w:r>
      <w:r w:rsidRPr="00287E91">
        <w:rPr>
          <w:rFonts w:ascii="Arial" w:hAnsi="Arial" w:cs="Arial"/>
        </w:rPr>
        <w:t>uff</w:t>
      </w:r>
      <w:r w:rsidR="00C466FA" w:rsidRPr="00287E91">
        <w:rPr>
          <w:rFonts w:ascii="Arial" w:hAnsi="Arial" w:cs="Arial"/>
        </w:rPr>
        <w:t>i</w:t>
      </w:r>
      <w:r w:rsidRPr="00287E91">
        <w:rPr>
          <w:rFonts w:ascii="Arial" w:hAnsi="Arial" w:cs="Arial"/>
        </w:rPr>
        <w:t>c</w:t>
      </w:r>
      <w:r w:rsidR="00C466FA" w:rsidRPr="00287E91">
        <w:rPr>
          <w:rFonts w:ascii="Arial" w:hAnsi="Arial" w:cs="Arial"/>
        </w:rPr>
        <w:t>i</w:t>
      </w:r>
      <w:r w:rsidRPr="00287E91">
        <w:rPr>
          <w:rFonts w:ascii="Arial" w:hAnsi="Arial" w:cs="Arial"/>
        </w:rPr>
        <w:t xml:space="preserve">ent </w:t>
      </w:r>
      <w:r w:rsidR="00AE03F5" w:rsidRPr="00287E91">
        <w:rPr>
          <w:rFonts w:ascii="Arial" w:hAnsi="Arial" w:cs="Arial"/>
        </w:rPr>
        <w:t>to support a worker and the worker</w:t>
      </w:r>
      <w:r w:rsidR="003D3EB1" w:rsidRPr="00287E91">
        <w:rPr>
          <w:rFonts w:ascii="Arial" w:hAnsi="Arial" w:cs="Arial"/>
        </w:rPr>
        <w:t>’</w:t>
      </w:r>
      <w:r w:rsidR="00AE03F5" w:rsidRPr="00287E91">
        <w:rPr>
          <w:rFonts w:ascii="Arial" w:hAnsi="Arial" w:cs="Arial"/>
        </w:rPr>
        <w:t xml:space="preserve">s dependents. </w:t>
      </w:r>
      <w:r w:rsidR="008B6803" w:rsidRPr="00287E91">
        <w:rPr>
          <w:rFonts w:ascii="Arial" w:hAnsi="Arial" w:cs="Arial"/>
        </w:rPr>
        <w:t xml:space="preserve">This standard is widely accepted by the community. </w:t>
      </w:r>
      <w:r w:rsidR="00F14B95" w:rsidRPr="00287E91">
        <w:rPr>
          <w:rFonts w:ascii="Arial" w:hAnsi="Arial" w:cs="Arial"/>
        </w:rPr>
        <w:t xml:space="preserve">ACCER advocates that the </w:t>
      </w:r>
      <w:r w:rsidR="00AE03F5" w:rsidRPr="00287E91">
        <w:rPr>
          <w:rFonts w:ascii="Arial" w:hAnsi="Arial" w:cs="Arial"/>
        </w:rPr>
        <w:t xml:space="preserve">minimum </w:t>
      </w:r>
      <w:r w:rsidR="003D3EB1" w:rsidRPr="00287E91">
        <w:rPr>
          <w:rFonts w:ascii="Arial" w:hAnsi="Arial" w:cs="Arial"/>
        </w:rPr>
        <w:t>w</w:t>
      </w:r>
      <w:r w:rsidR="00AE03F5" w:rsidRPr="00287E91">
        <w:rPr>
          <w:rFonts w:ascii="Arial" w:hAnsi="Arial" w:cs="Arial"/>
        </w:rPr>
        <w:t xml:space="preserve">age </w:t>
      </w:r>
      <w:r w:rsidR="003D3EB1" w:rsidRPr="00287E91">
        <w:rPr>
          <w:rFonts w:ascii="Arial" w:hAnsi="Arial" w:cs="Arial"/>
        </w:rPr>
        <w:t>n</w:t>
      </w:r>
      <w:r w:rsidR="00AE03F5" w:rsidRPr="00287E91">
        <w:rPr>
          <w:rFonts w:ascii="Arial" w:hAnsi="Arial" w:cs="Arial"/>
        </w:rPr>
        <w:t xml:space="preserve">ecessary may be termed a </w:t>
      </w:r>
      <w:r w:rsidR="0054242C" w:rsidRPr="0054242C">
        <w:rPr>
          <w:rFonts w:ascii="Arial" w:hAnsi="Arial" w:cs="Arial"/>
          <w:i/>
        </w:rPr>
        <w:t>‘l</w:t>
      </w:r>
      <w:r w:rsidR="003D3EB1" w:rsidRPr="0054242C">
        <w:rPr>
          <w:rFonts w:ascii="Arial" w:hAnsi="Arial" w:cs="Arial"/>
          <w:i/>
        </w:rPr>
        <w:t xml:space="preserve">iving </w:t>
      </w:r>
      <w:r w:rsidR="0054242C" w:rsidRPr="0054242C">
        <w:rPr>
          <w:rFonts w:ascii="Arial" w:hAnsi="Arial" w:cs="Arial"/>
          <w:i/>
        </w:rPr>
        <w:t>w</w:t>
      </w:r>
      <w:r w:rsidR="003D3EB1" w:rsidRPr="0054242C">
        <w:rPr>
          <w:rFonts w:ascii="Arial" w:hAnsi="Arial" w:cs="Arial"/>
          <w:i/>
        </w:rPr>
        <w:t>age</w:t>
      </w:r>
      <w:r w:rsidR="0054242C" w:rsidRPr="0054242C">
        <w:rPr>
          <w:rFonts w:ascii="Arial" w:hAnsi="Arial" w:cs="Arial"/>
          <w:i/>
        </w:rPr>
        <w:t>’</w:t>
      </w:r>
      <w:r w:rsidR="003D3EB1" w:rsidRPr="00287E91">
        <w:rPr>
          <w:rFonts w:ascii="Arial" w:hAnsi="Arial" w:cs="Arial"/>
        </w:rPr>
        <w:t xml:space="preserve"> </w:t>
      </w:r>
      <w:r w:rsidR="00AE03F5" w:rsidRPr="00287E91">
        <w:rPr>
          <w:rFonts w:ascii="Arial" w:hAnsi="Arial" w:cs="Arial"/>
        </w:rPr>
        <w:t xml:space="preserve">that </w:t>
      </w:r>
      <w:r w:rsidR="00953950" w:rsidRPr="00287E91">
        <w:rPr>
          <w:rFonts w:ascii="Arial" w:hAnsi="Arial" w:cs="Arial"/>
        </w:rPr>
        <w:t xml:space="preserve">enables a family to </w:t>
      </w:r>
      <w:r w:rsidR="0070343E" w:rsidRPr="00287E91">
        <w:rPr>
          <w:rFonts w:ascii="Arial" w:hAnsi="Arial" w:cs="Arial"/>
        </w:rPr>
        <w:t>achieve</w:t>
      </w:r>
      <w:r w:rsidR="00953950" w:rsidRPr="00287E91">
        <w:rPr>
          <w:rFonts w:ascii="Arial" w:hAnsi="Arial" w:cs="Arial"/>
        </w:rPr>
        <w:t xml:space="preserve"> </w:t>
      </w:r>
      <w:r w:rsidR="00F2193E" w:rsidRPr="00287E91">
        <w:rPr>
          <w:rFonts w:ascii="Arial" w:hAnsi="Arial" w:cs="Arial"/>
        </w:rPr>
        <w:t>a</w:t>
      </w:r>
      <w:r w:rsidR="003A2B01" w:rsidRPr="00287E91">
        <w:rPr>
          <w:rFonts w:ascii="Arial" w:hAnsi="Arial" w:cs="Arial"/>
        </w:rPr>
        <w:t xml:space="preserve"> decent </w:t>
      </w:r>
      <w:r w:rsidR="00953950" w:rsidRPr="00287E91">
        <w:rPr>
          <w:rFonts w:ascii="Arial" w:hAnsi="Arial" w:cs="Arial"/>
        </w:rPr>
        <w:t>standard of living</w:t>
      </w:r>
      <w:r w:rsidR="00F72BAC" w:rsidRPr="00287E91">
        <w:rPr>
          <w:rFonts w:ascii="Arial" w:hAnsi="Arial" w:cs="Arial"/>
        </w:rPr>
        <w:t xml:space="preserve">, not merely a wage that avoids </w:t>
      </w:r>
      <w:r w:rsidR="009A6BE5" w:rsidRPr="00287E91">
        <w:rPr>
          <w:rFonts w:ascii="Arial" w:hAnsi="Arial" w:cs="Arial"/>
        </w:rPr>
        <w:t xml:space="preserve">poverty. </w:t>
      </w:r>
      <w:r w:rsidR="00F72BAC" w:rsidRPr="00287E91">
        <w:rPr>
          <w:rFonts w:ascii="Arial" w:hAnsi="Arial" w:cs="Arial"/>
        </w:rPr>
        <w:t xml:space="preserve">A living wage is a wage </w:t>
      </w:r>
      <w:r w:rsidR="00C466FA" w:rsidRPr="00287E91">
        <w:rPr>
          <w:rFonts w:ascii="Arial" w:hAnsi="Arial" w:cs="Arial"/>
        </w:rPr>
        <w:t xml:space="preserve">fixed by reference to </w:t>
      </w:r>
      <w:r w:rsidR="00F72BAC" w:rsidRPr="00287E91">
        <w:rPr>
          <w:rFonts w:ascii="Arial" w:hAnsi="Arial" w:cs="Arial"/>
        </w:rPr>
        <w:t xml:space="preserve">relative </w:t>
      </w:r>
      <w:r w:rsidR="00E058AE" w:rsidRPr="00287E91">
        <w:rPr>
          <w:rFonts w:ascii="Arial" w:hAnsi="Arial" w:cs="Arial"/>
        </w:rPr>
        <w:t xml:space="preserve">community </w:t>
      </w:r>
      <w:r w:rsidR="00F72BAC" w:rsidRPr="00287E91">
        <w:rPr>
          <w:rFonts w:ascii="Arial" w:hAnsi="Arial" w:cs="Arial"/>
        </w:rPr>
        <w:t xml:space="preserve">living standards to meet </w:t>
      </w:r>
      <w:r w:rsidR="00C466FA" w:rsidRPr="00287E91">
        <w:rPr>
          <w:rFonts w:ascii="Arial" w:hAnsi="Arial" w:cs="Arial"/>
        </w:rPr>
        <w:t xml:space="preserve">the needs of a family, </w:t>
      </w:r>
      <w:r w:rsidR="006E679C" w:rsidRPr="00287E91">
        <w:rPr>
          <w:rFonts w:ascii="Arial" w:hAnsi="Arial" w:cs="Arial"/>
        </w:rPr>
        <w:t xml:space="preserve">whether a couple with children </w:t>
      </w:r>
      <w:r w:rsidR="009A6BE5" w:rsidRPr="00287E91">
        <w:rPr>
          <w:rFonts w:ascii="Arial" w:hAnsi="Arial" w:cs="Arial"/>
        </w:rPr>
        <w:t>or sole</w:t>
      </w:r>
      <w:r w:rsidR="006E679C" w:rsidRPr="00287E91">
        <w:rPr>
          <w:rFonts w:ascii="Arial" w:hAnsi="Arial" w:cs="Arial"/>
        </w:rPr>
        <w:t xml:space="preserve"> parents, </w:t>
      </w:r>
      <w:r w:rsidR="0070343E" w:rsidRPr="00287E91">
        <w:rPr>
          <w:rFonts w:ascii="Arial" w:hAnsi="Arial" w:cs="Arial"/>
        </w:rPr>
        <w:t xml:space="preserve">not </w:t>
      </w:r>
      <w:r w:rsidR="00C466FA" w:rsidRPr="00287E91">
        <w:rPr>
          <w:rFonts w:ascii="Arial" w:hAnsi="Arial" w:cs="Arial"/>
        </w:rPr>
        <w:t>the needs of a s</w:t>
      </w:r>
      <w:r w:rsidR="0070343E" w:rsidRPr="00287E91">
        <w:rPr>
          <w:rFonts w:ascii="Arial" w:hAnsi="Arial" w:cs="Arial"/>
        </w:rPr>
        <w:t>ingle person.</w:t>
      </w:r>
      <w:r w:rsidR="008827D7">
        <w:rPr>
          <w:rStyle w:val="FootnoteReference"/>
          <w:rFonts w:ascii="Arial" w:hAnsi="Arial" w:cs="Arial"/>
        </w:rPr>
        <w:footnoteReference w:id="5"/>
      </w:r>
    </w:p>
    <w:p w:rsidR="00FB17E7" w:rsidRPr="00287E91" w:rsidRDefault="00FB17E7" w:rsidP="00E058AE">
      <w:pPr>
        <w:rPr>
          <w:rFonts w:ascii="Arial" w:hAnsi="Arial" w:cs="Arial"/>
        </w:rPr>
      </w:pPr>
      <w:r w:rsidRPr="00287E91">
        <w:rPr>
          <w:rFonts w:ascii="Arial" w:hAnsi="Arial" w:cs="Arial"/>
        </w:rPr>
        <w:lastRenderedPageBreak/>
        <w:t xml:space="preserve">In ACCER’s </w:t>
      </w:r>
      <w:r w:rsidR="004A0C0E" w:rsidRPr="00287E91">
        <w:rPr>
          <w:rFonts w:ascii="Arial" w:hAnsi="Arial" w:cs="Arial"/>
        </w:rPr>
        <w:t>view,</w:t>
      </w:r>
      <w:r w:rsidRPr="00287E91">
        <w:rPr>
          <w:rFonts w:ascii="Arial" w:hAnsi="Arial" w:cs="Arial"/>
        </w:rPr>
        <w:t xml:space="preserve"> this approach is consistent with the principle established in the 1907 </w:t>
      </w:r>
      <w:r w:rsidR="00176C40">
        <w:rPr>
          <w:rFonts w:ascii="Arial" w:hAnsi="Arial" w:cs="Arial"/>
        </w:rPr>
        <w:t>‘</w:t>
      </w:r>
      <w:r w:rsidRPr="00B819AF">
        <w:rPr>
          <w:rFonts w:ascii="Arial" w:hAnsi="Arial" w:cs="Arial"/>
          <w:i/>
        </w:rPr>
        <w:t>Harvester</w:t>
      </w:r>
      <w:r w:rsidRPr="00287E91">
        <w:rPr>
          <w:rFonts w:ascii="Arial" w:hAnsi="Arial" w:cs="Arial"/>
        </w:rPr>
        <w:t xml:space="preserve"> </w:t>
      </w:r>
      <w:r w:rsidR="00176C40">
        <w:rPr>
          <w:rFonts w:ascii="Arial" w:hAnsi="Arial" w:cs="Arial"/>
        </w:rPr>
        <w:t>‘</w:t>
      </w:r>
      <w:r w:rsidRPr="00287E91">
        <w:rPr>
          <w:rFonts w:ascii="Arial" w:hAnsi="Arial" w:cs="Arial"/>
        </w:rPr>
        <w:t>decision</w:t>
      </w:r>
      <w:r w:rsidR="00095BB4">
        <w:rPr>
          <w:rFonts w:ascii="Arial" w:hAnsi="Arial" w:cs="Arial"/>
        </w:rPr>
        <w:t xml:space="preserve">, </w:t>
      </w:r>
      <w:r w:rsidR="004A0C0E" w:rsidRPr="00287E91">
        <w:rPr>
          <w:rFonts w:ascii="Arial" w:hAnsi="Arial" w:cs="Arial"/>
        </w:rPr>
        <w:t xml:space="preserve">still relevant and important today, </w:t>
      </w:r>
      <w:r w:rsidRPr="00287E91">
        <w:rPr>
          <w:rFonts w:ascii="Arial" w:hAnsi="Arial" w:cs="Arial"/>
        </w:rPr>
        <w:t>that recognises the setting of minimum wages needs to take into account the interests of a worker’s dependent children</w:t>
      </w:r>
      <w:r w:rsidR="004A0C0E" w:rsidRPr="00287E91">
        <w:rPr>
          <w:rFonts w:ascii="Arial" w:hAnsi="Arial" w:cs="Arial"/>
        </w:rPr>
        <w:t xml:space="preserve">. </w:t>
      </w:r>
      <w:r w:rsidR="006B6849" w:rsidRPr="00287E91">
        <w:rPr>
          <w:rFonts w:ascii="Arial" w:hAnsi="Arial" w:cs="Arial"/>
        </w:rPr>
        <w:t>However</w:t>
      </w:r>
      <w:r w:rsidR="004A0C0E" w:rsidRPr="00287E91">
        <w:rPr>
          <w:rFonts w:ascii="Arial" w:hAnsi="Arial" w:cs="Arial"/>
        </w:rPr>
        <w:t>,</w:t>
      </w:r>
      <w:r w:rsidRPr="00287E91">
        <w:rPr>
          <w:rFonts w:ascii="Arial" w:hAnsi="Arial" w:cs="Arial"/>
        </w:rPr>
        <w:t xml:space="preserve"> a more contemporary version of the Harvester formula</w:t>
      </w:r>
      <w:r w:rsidR="005D059C" w:rsidRPr="00287E91">
        <w:rPr>
          <w:rFonts w:ascii="Arial" w:hAnsi="Arial" w:cs="Arial"/>
        </w:rPr>
        <w:t>,</w:t>
      </w:r>
      <w:r w:rsidRPr="00287E91">
        <w:rPr>
          <w:rFonts w:ascii="Arial" w:hAnsi="Arial" w:cs="Arial"/>
        </w:rPr>
        <w:t xml:space="preserve"> that does not distinguish on </w:t>
      </w:r>
      <w:r w:rsidR="006B6849" w:rsidRPr="00287E91">
        <w:rPr>
          <w:rFonts w:ascii="Arial" w:hAnsi="Arial" w:cs="Arial"/>
        </w:rPr>
        <w:t>the</w:t>
      </w:r>
      <w:r w:rsidRPr="00287E91">
        <w:rPr>
          <w:rFonts w:ascii="Arial" w:hAnsi="Arial" w:cs="Arial"/>
        </w:rPr>
        <w:t xml:space="preserve"> </w:t>
      </w:r>
      <w:r w:rsidR="006B6849" w:rsidRPr="00287E91">
        <w:rPr>
          <w:rFonts w:ascii="Arial" w:hAnsi="Arial" w:cs="Arial"/>
        </w:rPr>
        <w:t>basis</w:t>
      </w:r>
      <w:r w:rsidRPr="00287E91">
        <w:rPr>
          <w:rFonts w:ascii="Arial" w:hAnsi="Arial" w:cs="Arial"/>
        </w:rPr>
        <w:t xml:space="preserve"> of a </w:t>
      </w:r>
      <w:r w:rsidRPr="00267FC7">
        <w:rPr>
          <w:rFonts w:ascii="Arial" w:hAnsi="Arial" w:cs="Arial"/>
        </w:rPr>
        <w:t>male breadwinner</w:t>
      </w:r>
      <w:r w:rsidR="005D059C" w:rsidRPr="00287E91">
        <w:rPr>
          <w:rFonts w:ascii="Arial" w:hAnsi="Arial" w:cs="Arial"/>
        </w:rPr>
        <w:t>,</w:t>
      </w:r>
      <w:r w:rsidR="006A71B8" w:rsidRPr="00287E91">
        <w:rPr>
          <w:rFonts w:ascii="Arial" w:hAnsi="Arial" w:cs="Arial"/>
        </w:rPr>
        <w:t xml:space="preserve"> can be applied to ensure fairness and reflect modern family structures</w:t>
      </w:r>
      <w:r w:rsidR="005D059C" w:rsidRPr="007D4C99">
        <w:rPr>
          <w:rFonts w:ascii="Arial" w:hAnsi="Arial" w:cs="Arial"/>
        </w:rPr>
        <w:t>.</w:t>
      </w:r>
      <w:r w:rsidR="00C510E9" w:rsidRPr="007D4C99">
        <w:rPr>
          <w:rStyle w:val="FootnoteReference"/>
          <w:rFonts w:ascii="Arial" w:hAnsi="Arial" w:cs="Arial"/>
        </w:rPr>
        <w:footnoteReference w:id="6"/>
      </w:r>
    </w:p>
    <w:p w:rsidR="00E058AE" w:rsidRDefault="0070343E" w:rsidP="00E058AE">
      <w:pPr>
        <w:rPr>
          <w:rFonts w:ascii="Arial" w:hAnsi="Arial" w:cs="Arial"/>
        </w:rPr>
      </w:pPr>
      <w:r w:rsidRPr="00287E91">
        <w:rPr>
          <w:rFonts w:ascii="Arial" w:hAnsi="Arial" w:cs="Arial"/>
        </w:rPr>
        <w:t>A living wage is</w:t>
      </w:r>
      <w:r w:rsidR="00F2193E" w:rsidRPr="00287E91">
        <w:rPr>
          <w:rFonts w:ascii="Arial" w:hAnsi="Arial" w:cs="Arial"/>
        </w:rPr>
        <w:t xml:space="preserve"> </w:t>
      </w:r>
      <w:r w:rsidR="00C466FA" w:rsidRPr="00287E91">
        <w:rPr>
          <w:rFonts w:ascii="Arial" w:hAnsi="Arial" w:cs="Arial"/>
        </w:rPr>
        <w:t xml:space="preserve">necessary </w:t>
      </w:r>
      <w:r w:rsidR="00F2193E" w:rsidRPr="00287E91">
        <w:rPr>
          <w:rFonts w:ascii="Arial" w:hAnsi="Arial" w:cs="Arial"/>
        </w:rPr>
        <w:t>bec</w:t>
      </w:r>
      <w:r w:rsidR="001946A1" w:rsidRPr="00287E91">
        <w:rPr>
          <w:rFonts w:ascii="Arial" w:hAnsi="Arial" w:cs="Arial"/>
        </w:rPr>
        <w:t xml:space="preserve">ause of its </w:t>
      </w:r>
      <w:r w:rsidR="00C466FA" w:rsidRPr="00287E91">
        <w:rPr>
          <w:rFonts w:ascii="Arial" w:hAnsi="Arial" w:cs="Arial"/>
        </w:rPr>
        <w:t xml:space="preserve">critical importance to </w:t>
      </w:r>
      <w:r w:rsidR="00F2193E" w:rsidRPr="00287E91">
        <w:rPr>
          <w:rFonts w:ascii="Arial" w:hAnsi="Arial" w:cs="Arial"/>
        </w:rPr>
        <w:t xml:space="preserve">families and </w:t>
      </w:r>
      <w:r w:rsidRPr="00287E91">
        <w:rPr>
          <w:rFonts w:ascii="Arial" w:hAnsi="Arial" w:cs="Arial"/>
        </w:rPr>
        <w:t>society</w:t>
      </w:r>
      <w:r w:rsidR="00E058AE" w:rsidRPr="00287E91">
        <w:rPr>
          <w:rFonts w:ascii="Arial" w:hAnsi="Arial" w:cs="Arial"/>
        </w:rPr>
        <w:t xml:space="preserve"> and to avoid </w:t>
      </w:r>
      <w:r w:rsidR="009A6BE5" w:rsidRPr="00287E91">
        <w:rPr>
          <w:rFonts w:ascii="Arial" w:hAnsi="Arial" w:cs="Arial"/>
        </w:rPr>
        <w:t>the</w:t>
      </w:r>
      <w:r w:rsidR="00E058AE" w:rsidRPr="00287E91">
        <w:rPr>
          <w:rFonts w:ascii="Arial" w:hAnsi="Arial" w:cs="Arial"/>
        </w:rPr>
        <w:t xml:space="preserve"> social exclusion </w:t>
      </w:r>
      <w:r w:rsidR="009A6BE5" w:rsidRPr="00287E91">
        <w:rPr>
          <w:rFonts w:ascii="Arial" w:hAnsi="Arial" w:cs="Arial"/>
        </w:rPr>
        <w:t>that</w:t>
      </w:r>
      <w:r w:rsidR="00E058AE" w:rsidRPr="00287E91">
        <w:rPr>
          <w:rFonts w:ascii="Arial" w:hAnsi="Arial" w:cs="Arial"/>
        </w:rPr>
        <w:t xml:space="preserve"> </w:t>
      </w:r>
      <w:r w:rsidR="009A6BE5" w:rsidRPr="00287E91">
        <w:rPr>
          <w:rFonts w:ascii="Arial" w:hAnsi="Arial" w:cs="Arial"/>
        </w:rPr>
        <w:t>arises</w:t>
      </w:r>
      <w:r w:rsidR="00E058AE" w:rsidRPr="00287E91">
        <w:rPr>
          <w:rFonts w:ascii="Arial" w:hAnsi="Arial" w:cs="Arial"/>
        </w:rPr>
        <w:t xml:space="preserve"> f</w:t>
      </w:r>
      <w:r w:rsidR="009A6BE5" w:rsidRPr="00287E91">
        <w:rPr>
          <w:rFonts w:ascii="Arial" w:hAnsi="Arial" w:cs="Arial"/>
        </w:rPr>
        <w:t>rom inequality</w:t>
      </w:r>
      <w:r w:rsidR="00E058AE" w:rsidRPr="00287E91">
        <w:rPr>
          <w:rFonts w:ascii="Arial" w:hAnsi="Arial" w:cs="Arial"/>
        </w:rPr>
        <w:t xml:space="preserve">. </w:t>
      </w:r>
      <w:r w:rsidR="009A6BE5" w:rsidRPr="00287E91">
        <w:rPr>
          <w:rFonts w:ascii="Arial" w:hAnsi="Arial" w:cs="Arial"/>
        </w:rPr>
        <w:t>Employment</w:t>
      </w:r>
      <w:r w:rsidR="00E058AE" w:rsidRPr="00287E91">
        <w:rPr>
          <w:rFonts w:ascii="Arial" w:hAnsi="Arial" w:cs="Arial"/>
        </w:rPr>
        <w:t xml:space="preserve"> in </w:t>
      </w:r>
      <w:r w:rsidR="009A6BE5" w:rsidRPr="00287E91">
        <w:rPr>
          <w:rFonts w:ascii="Arial" w:hAnsi="Arial" w:cs="Arial"/>
        </w:rPr>
        <w:t>work, which pays a living wage,</w:t>
      </w:r>
      <w:r w:rsidR="00E058AE" w:rsidRPr="00287E91">
        <w:rPr>
          <w:rFonts w:ascii="Arial" w:hAnsi="Arial" w:cs="Arial"/>
        </w:rPr>
        <w:t xml:space="preserve"> will promote </w:t>
      </w:r>
      <w:r w:rsidR="009A6BE5" w:rsidRPr="00287E91">
        <w:rPr>
          <w:rFonts w:ascii="Arial" w:hAnsi="Arial" w:cs="Arial"/>
        </w:rPr>
        <w:t>the</w:t>
      </w:r>
      <w:r w:rsidR="00E058AE" w:rsidRPr="00287E91">
        <w:rPr>
          <w:rFonts w:ascii="Arial" w:hAnsi="Arial" w:cs="Arial"/>
        </w:rPr>
        <w:t xml:space="preserve"> </w:t>
      </w:r>
      <w:r w:rsidR="009A6BE5" w:rsidRPr="00287E91">
        <w:rPr>
          <w:rFonts w:ascii="Arial" w:hAnsi="Arial" w:cs="Arial"/>
        </w:rPr>
        <w:t xml:space="preserve">proper </w:t>
      </w:r>
      <w:r w:rsidR="00E058AE" w:rsidRPr="00287E91">
        <w:rPr>
          <w:rFonts w:ascii="Arial" w:hAnsi="Arial" w:cs="Arial"/>
        </w:rPr>
        <w:t>car</w:t>
      </w:r>
      <w:r w:rsidR="009A6BE5" w:rsidRPr="00287E91">
        <w:rPr>
          <w:rFonts w:ascii="Arial" w:hAnsi="Arial" w:cs="Arial"/>
        </w:rPr>
        <w:t>e</w:t>
      </w:r>
      <w:r w:rsidR="00E058AE" w:rsidRPr="00287E91">
        <w:rPr>
          <w:rFonts w:ascii="Arial" w:hAnsi="Arial" w:cs="Arial"/>
        </w:rPr>
        <w:t xml:space="preserve"> </w:t>
      </w:r>
      <w:r w:rsidR="009A6BE5" w:rsidRPr="00287E91">
        <w:rPr>
          <w:rFonts w:ascii="Arial" w:hAnsi="Arial" w:cs="Arial"/>
        </w:rPr>
        <w:t>of</w:t>
      </w:r>
      <w:r w:rsidR="00E058AE" w:rsidRPr="00287E91">
        <w:rPr>
          <w:rFonts w:ascii="Arial" w:hAnsi="Arial" w:cs="Arial"/>
        </w:rPr>
        <w:t xml:space="preserve"> children</w:t>
      </w:r>
      <w:r w:rsidR="009A6BE5" w:rsidRPr="00287E91">
        <w:rPr>
          <w:rFonts w:ascii="Arial" w:hAnsi="Arial" w:cs="Arial"/>
        </w:rPr>
        <w:t>,</w:t>
      </w:r>
      <w:r w:rsidR="00E058AE" w:rsidRPr="00287E91">
        <w:rPr>
          <w:rFonts w:ascii="Arial" w:hAnsi="Arial" w:cs="Arial"/>
        </w:rPr>
        <w:t xml:space="preserve"> </w:t>
      </w:r>
      <w:r w:rsidR="009A6BE5" w:rsidRPr="00287E91">
        <w:rPr>
          <w:rFonts w:ascii="Arial" w:hAnsi="Arial" w:cs="Arial"/>
        </w:rPr>
        <w:t>family</w:t>
      </w:r>
      <w:r w:rsidR="00E058AE" w:rsidRPr="00287E91">
        <w:rPr>
          <w:rFonts w:ascii="Arial" w:hAnsi="Arial" w:cs="Arial"/>
        </w:rPr>
        <w:t xml:space="preserve"> stability</w:t>
      </w:r>
      <w:r w:rsidR="009A6BE5" w:rsidRPr="00287E91">
        <w:rPr>
          <w:rFonts w:ascii="Arial" w:hAnsi="Arial" w:cs="Arial"/>
        </w:rPr>
        <w:t>,</w:t>
      </w:r>
      <w:r w:rsidR="00E058AE" w:rsidRPr="00287E91">
        <w:rPr>
          <w:rFonts w:ascii="Arial" w:hAnsi="Arial" w:cs="Arial"/>
        </w:rPr>
        <w:t xml:space="preserve"> social </w:t>
      </w:r>
      <w:r w:rsidR="009A6BE5" w:rsidRPr="00287E91">
        <w:rPr>
          <w:rFonts w:ascii="Arial" w:hAnsi="Arial" w:cs="Arial"/>
        </w:rPr>
        <w:t>inclusion,</w:t>
      </w:r>
      <w:r w:rsidR="00E058AE" w:rsidRPr="00287E91">
        <w:rPr>
          <w:rFonts w:ascii="Arial" w:hAnsi="Arial" w:cs="Arial"/>
        </w:rPr>
        <w:t xml:space="preserve"> and </w:t>
      </w:r>
      <w:r w:rsidR="009A6BE5" w:rsidRPr="00287E91">
        <w:rPr>
          <w:rFonts w:ascii="Arial" w:hAnsi="Arial" w:cs="Arial"/>
        </w:rPr>
        <w:t>cohesion</w:t>
      </w:r>
      <w:r w:rsidR="00E058AE" w:rsidRPr="00287E91">
        <w:rPr>
          <w:rFonts w:ascii="Arial" w:hAnsi="Arial" w:cs="Arial"/>
        </w:rPr>
        <w:t>.</w:t>
      </w:r>
      <w:r w:rsidR="00FB17E7" w:rsidRPr="00287E91">
        <w:rPr>
          <w:rFonts w:ascii="Arial" w:hAnsi="Arial" w:cs="Arial"/>
        </w:rPr>
        <w:t xml:space="preserve"> </w:t>
      </w:r>
    </w:p>
    <w:p w:rsidR="00F93BAF" w:rsidRPr="00FF6E07" w:rsidRDefault="0070343E" w:rsidP="00566EF2">
      <w:pPr>
        <w:rPr>
          <w:rFonts w:ascii="Arial" w:hAnsi="Arial" w:cs="Arial"/>
          <w:b/>
          <w:bCs/>
          <w:i/>
          <w:color w:val="C0504D"/>
          <w:sz w:val="24"/>
          <w:szCs w:val="24"/>
        </w:rPr>
      </w:pPr>
      <w:r w:rsidRPr="00FF6E07">
        <w:rPr>
          <w:rFonts w:ascii="Arial" w:hAnsi="Arial" w:cs="Arial"/>
          <w:b/>
          <w:bCs/>
          <w:i/>
          <w:color w:val="C0504D"/>
          <w:sz w:val="24"/>
          <w:szCs w:val="24"/>
        </w:rPr>
        <w:t>Existing minimum</w:t>
      </w:r>
      <w:r w:rsidR="00F93BAF" w:rsidRPr="00FF6E07">
        <w:rPr>
          <w:rFonts w:ascii="Arial" w:hAnsi="Arial" w:cs="Arial"/>
          <w:b/>
          <w:bCs/>
          <w:i/>
          <w:color w:val="C0504D"/>
          <w:sz w:val="24"/>
          <w:szCs w:val="24"/>
        </w:rPr>
        <w:t xml:space="preserve"> </w:t>
      </w:r>
      <w:r w:rsidRPr="00FF6E07">
        <w:rPr>
          <w:rFonts w:ascii="Arial" w:hAnsi="Arial" w:cs="Arial"/>
          <w:b/>
          <w:bCs/>
          <w:i/>
          <w:color w:val="C0504D"/>
          <w:sz w:val="24"/>
          <w:szCs w:val="24"/>
        </w:rPr>
        <w:t xml:space="preserve">wages </w:t>
      </w:r>
      <w:r w:rsidR="00DD14BD" w:rsidRPr="00FF6E07">
        <w:rPr>
          <w:rFonts w:ascii="Arial" w:hAnsi="Arial" w:cs="Arial"/>
          <w:b/>
          <w:bCs/>
          <w:i/>
          <w:color w:val="C0504D"/>
          <w:sz w:val="24"/>
          <w:szCs w:val="24"/>
        </w:rPr>
        <w:t xml:space="preserve">are </w:t>
      </w:r>
      <w:r w:rsidRPr="00FF6E07">
        <w:rPr>
          <w:rFonts w:ascii="Arial" w:hAnsi="Arial" w:cs="Arial"/>
          <w:b/>
          <w:bCs/>
          <w:i/>
          <w:color w:val="C0504D"/>
          <w:sz w:val="24"/>
          <w:szCs w:val="24"/>
        </w:rPr>
        <w:t>inadequate</w:t>
      </w:r>
      <w:r w:rsidR="00531ED1" w:rsidRPr="00FF6E07">
        <w:rPr>
          <w:rFonts w:ascii="Arial" w:hAnsi="Arial" w:cs="Arial"/>
          <w:b/>
          <w:bCs/>
          <w:i/>
          <w:color w:val="C0504D"/>
          <w:sz w:val="24"/>
          <w:szCs w:val="24"/>
        </w:rPr>
        <w:t xml:space="preserve"> and</w:t>
      </w:r>
      <w:r w:rsidR="00DD14BD" w:rsidRPr="00FF6E07">
        <w:rPr>
          <w:rFonts w:ascii="Arial" w:hAnsi="Arial" w:cs="Arial"/>
          <w:b/>
          <w:bCs/>
          <w:i/>
          <w:color w:val="C0504D"/>
          <w:sz w:val="24"/>
          <w:szCs w:val="24"/>
        </w:rPr>
        <w:t xml:space="preserve"> </w:t>
      </w:r>
      <w:r w:rsidR="00531ED1" w:rsidRPr="00FF6E07">
        <w:rPr>
          <w:rFonts w:ascii="Arial" w:hAnsi="Arial" w:cs="Arial"/>
          <w:b/>
          <w:bCs/>
          <w:i/>
          <w:color w:val="C0504D"/>
          <w:sz w:val="24"/>
          <w:szCs w:val="24"/>
        </w:rPr>
        <w:t xml:space="preserve">inequality </w:t>
      </w:r>
      <w:r w:rsidR="00DD14BD" w:rsidRPr="00FF6E07">
        <w:rPr>
          <w:rFonts w:ascii="Arial" w:hAnsi="Arial" w:cs="Arial"/>
          <w:b/>
          <w:bCs/>
          <w:i/>
          <w:color w:val="C0504D"/>
          <w:sz w:val="24"/>
          <w:szCs w:val="24"/>
        </w:rPr>
        <w:t xml:space="preserve">is </w:t>
      </w:r>
      <w:r w:rsidR="00531ED1" w:rsidRPr="00FF6E07">
        <w:rPr>
          <w:rFonts w:ascii="Arial" w:hAnsi="Arial" w:cs="Arial"/>
          <w:b/>
          <w:bCs/>
          <w:i/>
          <w:color w:val="C0504D"/>
          <w:sz w:val="24"/>
          <w:szCs w:val="24"/>
        </w:rPr>
        <w:t>growing</w:t>
      </w:r>
    </w:p>
    <w:p w:rsidR="00983732" w:rsidRPr="007400EA" w:rsidRDefault="00983732" w:rsidP="00566EF2">
      <w:pPr>
        <w:rPr>
          <w:rFonts w:ascii="Arial" w:hAnsi="Arial" w:cs="Arial"/>
        </w:rPr>
      </w:pPr>
      <w:r w:rsidRPr="007400EA">
        <w:rPr>
          <w:rFonts w:ascii="Arial" w:hAnsi="Arial" w:cs="Arial"/>
        </w:rPr>
        <w:t xml:space="preserve">The </w:t>
      </w:r>
      <w:r w:rsidR="00F0613A" w:rsidRPr="007400EA">
        <w:rPr>
          <w:rFonts w:ascii="Arial" w:hAnsi="Arial" w:cs="Arial"/>
        </w:rPr>
        <w:t xml:space="preserve">Productivity Commission’s </w:t>
      </w:r>
      <w:r w:rsidR="006D7210" w:rsidRPr="007400EA">
        <w:rPr>
          <w:rFonts w:ascii="Arial" w:hAnsi="Arial" w:cs="Arial"/>
        </w:rPr>
        <w:t xml:space="preserve">Safety Nets </w:t>
      </w:r>
      <w:r w:rsidR="00F0613A" w:rsidRPr="007400EA">
        <w:rPr>
          <w:rFonts w:ascii="Arial" w:hAnsi="Arial" w:cs="Arial"/>
        </w:rPr>
        <w:t xml:space="preserve">paper </w:t>
      </w:r>
      <w:r w:rsidRPr="007400EA">
        <w:rPr>
          <w:rFonts w:ascii="Arial" w:hAnsi="Arial" w:cs="Arial"/>
        </w:rPr>
        <w:t>canvasses</w:t>
      </w:r>
      <w:r w:rsidR="00E743E9" w:rsidRPr="007400EA">
        <w:rPr>
          <w:rFonts w:ascii="Arial" w:hAnsi="Arial" w:cs="Arial"/>
        </w:rPr>
        <w:t xml:space="preserve"> </w:t>
      </w:r>
      <w:r w:rsidRPr="007400EA">
        <w:rPr>
          <w:rFonts w:ascii="Arial" w:hAnsi="Arial" w:cs="Arial"/>
        </w:rPr>
        <w:t xml:space="preserve">views that </w:t>
      </w:r>
      <w:r w:rsidR="00FE121D" w:rsidRPr="007400EA">
        <w:rPr>
          <w:rFonts w:ascii="Arial" w:hAnsi="Arial" w:cs="Arial"/>
        </w:rPr>
        <w:t>there is no</w:t>
      </w:r>
      <w:r w:rsidR="00434B85" w:rsidRPr="007400EA">
        <w:rPr>
          <w:rFonts w:ascii="Arial" w:hAnsi="Arial" w:cs="Arial"/>
        </w:rPr>
        <w:t xml:space="preserve"> longer a rationale for the </w:t>
      </w:r>
      <w:r w:rsidR="00FE121D" w:rsidRPr="007400EA">
        <w:rPr>
          <w:rFonts w:ascii="Arial" w:hAnsi="Arial" w:cs="Arial"/>
        </w:rPr>
        <w:t xml:space="preserve">minimum wage </w:t>
      </w:r>
      <w:r w:rsidR="00115A9A" w:rsidRPr="007400EA">
        <w:rPr>
          <w:rFonts w:ascii="Arial" w:hAnsi="Arial" w:cs="Arial"/>
        </w:rPr>
        <w:t xml:space="preserve">in contemporary Australia </w:t>
      </w:r>
      <w:r w:rsidR="007152F6" w:rsidRPr="007400EA">
        <w:rPr>
          <w:rFonts w:ascii="Arial" w:hAnsi="Arial" w:cs="Arial"/>
        </w:rPr>
        <w:t xml:space="preserve">or that </w:t>
      </w:r>
      <w:r w:rsidR="000D0347" w:rsidRPr="007400EA">
        <w:rPr>
          <w:rFonts w:ascii="Arial" w:hAnsi="Arial" w:cs="Arial"/>
        </w:rPr>
        <w:t xml:space="preserve">minimum wages </w:t>
      </w:r>
      <w:r w:rsidR="00115A9A" w:rsidRPr="007400EA">
        <w:rPr>
          <w:rFonts w:ascii="Arial" w:hAnsi="Arial" w:cs="Arial"/>
        </w:rPr>
        <w:t xml:space="preserve">may be </w:t>
      </w:r>
      <w:r w:rsidR="000D0347" w:rsidRPr="007400EA">
        <w:rPr>
          <w:rFonts w:ascii="Arial" w:hAnsi="Arial" w:cs="Arial"/>
        </w:rPr>
        <w:t xml:space="preserve">set too </w:t>
      </w:r>
      <w:r w:rsidR="007152F6" w:rsidRPr="007400EA">
        <w:rPr>
          <w:rFonts w:ascii="Arial" w:hAnsi="Arial" w:cs="Arial"/>
        </w:rPr>
        <w:t xml:space="preserve">high </w:t>
      </w:r>
      <w:r w:rsidRPr="007400EA">
        <w:rPr>
          <w:rFonts w:ascii="Arial" w:hAnsi="Arial" w:cs="Arial"/>
        </w:rPr>
        <w:t xml:space="preserve">and </w:t>
      </w:r>
      <w:r w:rsidR="007400EA">
        <w:rPr>
          <w:rFonts w:ascii="Arial" w:hAnsi="Arial" w:cs="Arial"/>
        </w:rPr>
        <w:t>s</w:t>
      </w:r>
      <w:r w:rsidR="007400EA" w:rsidRPr="007400EA">
        <w:rPr>
          <w:rFonts w:ascii="Arial" w:hAnsi="Arial" w:cs="Arial"/>
        </w:rPr>
        <w:t xml:space="preserve">ufficiently large increases </w:t>
      </w:r>
      <w:r w:rsidRPr="007400EA">
        <w:rPr>
          <w:rFonts w:ascii="Arial" w:hAnsi="Arial" w:cs="Arial"/>
        </w:rPr>
        <w:t xml:space="preserve">have </w:t>
      </w:r>
      <w:r w:rsidR="00E743E9" w:rsidRPr="007400EA">
        <w:rPr>
          <w:rFonts w:ascii="Arial" w:hAnsi="Arial" w:cs="Arial"/>
        </w:rPr>
        <w:t>negative effects on employment, particular</w:t>
      </w:r>
      <w:r w:rsidR="00225CF1" w:rsidRPr="007400EA">
        <w:rPr>
          <w:rFonts w:ascii="Arial" w:hAnsi="Arial" w:cs="Arial"/>
        </w:rPr>
        <w:t xml:space="preserve">ly </w:t>
      </w:r>
      <w:r w:rsidR="00E743E9" w:rsidRPr="007400EA">
        <w:rPr>
          <w:rFonts w:ascii="Arial" w:hAnsi="Arial" w:cs="Arial"/>
        </w:rPr>
        <w:t xml:space="preserve">for low skilled workers. </w:t>
      </w:r>
    </w:p>
    <w:p w:rsidR="00FE121D" w:rsidRPr="00242331" w:rsidRDefault="00983732" w:rsidP="00566EF2">
      <w:pPr>
        <w:rPr>
          <w:rFonts w:ascii="Arial" w:hAnsi="Arial" w:cs="Arial"/>
        </w:rPr>
      </w:pPr>
      <w:r w:rsidRPr="00242331">
        <w:rPr>
          <w:rFonts w:ascii="Arial" w:hAnsi="Arial" w:cs="Arial"/>
        </w:rPr>
        <w:t xml:space="preserve">CCER is greatly concerned at these suggestions </w:t>
      </w:r>
      <w:r w:rsidR="00FE121D" w:rsidRPr="00242331">
        <w:rPr>
          <w:rFonts w:ascii="Arial" w:hAnsi="Arial" w:cs="Arial"/>
        </w:rPr>
        <w:t>in light of evid</w:t>
      </w:r>
      <w:r w:rsidR="00112A98" w:rsidRPr="00242331">
        <w:rPr>
          <w:rFonts w:ascii="Arial" w:hAnsi="Arial" w:cs="Arial"/>
        </w:rPr>
        <w:t xml:space="preserve">ence </w:t>
      </w:r>
      <w:r w:rsidR="00FE121D" w:rsidRPr="00242331">
        <w:rPr>
          <w:rFonts w:ascii="Arial" w:hAnsi="Arial" w:cs="Arial"/>
        </w:rPr>
        <w:t xml:space="preserve">that the current minima are </w:t>
      </w:r>
      <w:r w:rsidR="006D7210" w:rsidRPr="00242331">
        <w:rPr>
          <w:rFonts w:ascii="Arial" w:hAnsi="Arial" w:cs="Arial"/>
        </w:rPr>
        <w:t xml:space="preserve">increasingly </w:t>
      </w:r>
      <w:r w:rsidR="007152F6" w:rsidRPr="00242331">
        <w:rPr>
          <w:rFonts w:ascii="Arial" w:hAnsi="Arial" w:cs="Arial"/>
        </w:rPr>
        <w:t>inadequate</w:t>
      </w:r>
      <w:r w:rsidR="00712718" w:rsidRPr="00242331">
        <w:rPr>
          <w:rFonts w:ascii="Arial" w:hAnsi="Arial" w:cs="Arial"/>
        </w:rPr>
        <w:t xml:space="preserve"> to support wo</w:t>
      </w:r>
      <w:r w:rsidR="00721801" w:rsidRPr="00242331">
        <w:rPr>
          <w:rFonts w:ascii="Arial" w:hAnsi="Arial" w:cs="Arial"/>
        </w:rPr>
        <w:t xml:space="preserve">rkers </w:t>
      </w:r>
      <w:r w:rsidR="00712718" w:rsidRPr="00242331">
        <w:rPr>
          <w:rFonts w:ascii="Arial" w:hAnsi="Arial" w:cs="Arial"/>
        </w:rPr>
        <w:t xml:space="preserve">and their </w:t>
      </w:r>
      <w:r w:rsidR="009F4096" w:rsidRPr="00242331">
        <w:rPr>
          <w:rFonts w:ascii="Arial" w:hAnsi="Arial" w:cs="Arial"/>
        </w:rPr>
        <w:t>families</w:t>
      </w:r>
      <w:r w:rsidR="006D7210" w:rsidRPr="00242331">
        <w:rPr>
          <w:rFonts w:ascii="Arial" w:hAnsi="Arial" w:cs="Arial"/>
        </w:rPr>
        <w:t xml:space="preserve"> and that </w:t>
      </w:r>
      <w:r w:rsidRPr="00242331">
        <w:rPr>
          <w:rFonts w:ascii="Arial" w:hAnsi="Arial" w:cs="Arial"/>
        </w:rPr>
        <w:t>inequality</w:t>
      </w:r>
      <w:r w:rsidR="006D7210" w:rsidRPr="00242331">
        <w:rPr>
          <w:rFonts w:ascii="Arial" w:hAnsi="Arial" w:cs="Arial"/>
        </w:rPr>
        <w:t xml:space="preserve"> is growing.</w:t>
      </w:r>
    </w:p>
    <w:p w:rsidR="001139AE" w:rsidRPr="00242331" w:rsidRDefault="00AA7181" w:rsidP="001139AE">
      <w:pPr>
        <w:rPr>
          <w:rFonts w:ascii="Arial" w:hAnsi="Arial" w:cs="Arial"/>
        </w:rPr>
      </w:pPr>
      <w:r w:rsidRPr="00242331">
        <w:rPr>
          <w:rFonts w:ascii="Arial" w:hAnsi="Arial" w:cs="Arial"/>
        </w:rPr>
        <w:t xml:space="preserve">In submissions to the </w:t>
      </w:r>
      <w:r w:rsidR="00983732" w:rsidRPr="00242331">
        <w:rPr>
          <w:rFonts w:ascii="Arial" w:hAnsi="Arial" w:cs="Arial"/>
        </w:rPr>
        <w:t xml:space="preserve">Annual Wage </w:t>
      </w:r>
      <w:r w:rsidRPr="00242331">
        <w:rPr>
          <w:rFonts w:ascii="Arial" w:hAnsi="Arial" w:cs="Arial"/>
        </w:rPr>
        <w:t>Review</w:t>
      </w:r>
      <w:r w:rsidR="006529F1" w:rsidRPr="00242331">
        <w:rPr>
          <w:rFonts w:ascii="Arial" w:hAnsi="Arial" w:cs="Arial"/>
        </w:rPr>
        <w:t xml:space="preserve"> over the past decade</w:t>
      </w:r>
      <w:r w:rsidRPr="00242331">
        <w:rPr>
          <w:rFonts w:ascii="Arial" w:hAnsi="Arial" w:cs="Arial"/>
        </w:rPr>
        <w:t>, ACCER has expressed concern at the</w:t>
      </w:r>
      <w:r w:rsidR="004F5098" w:rsidRPr="00242331">
        <w:rPr>
          <w:rFonts w:ascii="Arial" w:hAnsi="Arial" w:cs="Arial"/>
        </w:rPr>
        <w:t xml:space="preserve"> increasing inadequacy of the existing safety net </w:t>
      </w:r>
      <w:r w:rsidR="007D0E7F" w:rsidRPr="00242331">
        <w:rPr>
          <w:rFonts w:ascii="Arial" w:hAnsi="Arial" w:cs="Arial"/>
        </w:rPr>
        <w:t xml:space="preserve">and the </w:t>
      </w:r>
      <w:r w:rsidR="00A46209" w:rsidRPr="00242331">
        <w:rPr>
          <w:rFonts w:ascii="Arial" w:hAnsi="Arial" w:cs="Arial"/>
        </w:rPr>
        <w:t xml:space="preserve">growing levels of inequality </w:t>
      </w:r>
      <w:r w:rsidR="007D0E7F" w:rsidRPr="00242331">
        <w:rPr>
          <w:rFonts w:ascii="Arial" w:hAnsi="Arial" w:cs="Arial"/>
        </w:rPr>
        <w:t xml:space="preserve">and poverty </w:t>
      </w:r>
      <w:r w:rsidR="00A46209" w:rsidRPr="00242331">
        <w:rPr>
          <w:rFonts w:ascii="Arial" w:hAnsi="Arial" w:cs="Arial"/>
        </w:rPr>
        <w:t>for minimum wage dependent employees.</w:t>
      </w:r>
      <w:r w:rsidR="001E5C9F" w:rsidRPr="00242331">
        <w:rPr>
          <w:rFonts w:ascii="Arial" w:hAnsi="Arial" w:cs="Arial"/>
        </w:rPr>
        <w:t xml:space="preserve"> </w:t>
      </w:r>
      <w:r w:rsidR="004F5098" w:rsidRPr="00242331">
        <w:rPr>
          <w:rFonts w:ascii="Arial" w:hAnsi="Arial" w:cs="Arial"/>
        </w:rPr>
        <w:t>T</w:t>
      </w:r>
      <w:r w:rsidR="001E5C9F" w:rsidRPr="00242331">
        <w:rPr>
          <w:rFonts w:ascii="Arial" w:hAnsi="Arial" w:cs="Arial"/>
        </w:rPr>
        <w:t>he N</w:t>
      </w:r>
      <w:r w:rsidR="0033240B" w:rsidRPr="00242331">
        <w:rPr>
          <w:rFonts w:ascii="Arial" w:hAnsi="Arial" w:cs="Arial"/>
        </w:rPr>
        <w:t>MW</w:t>
      </w:r>
      <w:r w:rsidR="001E5C9F" w:rsidRPr="00242331">
        <w:rPr>
          <w:rFonts w:ascii="Arial" w:hAnsi="Arial" w:cs="Arial"/>
        </w:rPr>
        <w:t xml:space="preserve"> and other low wage rates have become poverty wages for low-income working families, affecting the </w:t>
      </w:r>
      <w:r w:rsidR="007B73CE" w:rsidRPr="00242331">
        <w:rPr>
          <w:rFonts w:ascii="Arial" w:hAnsi="Arial" w:cs="Arial"/>
        </w:rPr>
        <w:t xml:space="preserve">approximately </w:t>
      </w:r>
      <w:r w:rsidR="001E5C9F" w:rsidRPr="00242331">
        <w:rPr>
          <w:rFonts w:ascii="Arial" w:hAnsi="Arial" w:cs="Arial"/>
        </w:rPr>
        <w:t>one-</w:t>
      </w:r>
      <w:r w:rsidR="00E743E9" w:rsidRPr="00242331">
        <w:rPr>
          <w:rFonts w:ascii="Arial" w:hAnsi="Arial" w:cs="Arial"/>
        </w:rPr>
        <w:t>fifth</w:t>
      </w:r>
      <w:r w:rsidR="001E5C9F" w:rsidRPr="00242331">
        <w:rPr>
          <w:rFonts w:ascii="Arial" w:hAnsi="Arial" w:cs="Arial"/>
        </w:rPr>
        <w:t xml:space="preserve"> of Australian workers who only receive the minimum wage rates set by law</w:t>
      </w:r>
      <w:r w:rsidR="001139AE" w:rsidRPr="00242331">
        <w:rPr>
          <w:rFonts w:ascii="Arial" w:hAnsi="Arial" w:cs="Arial"/>
        </w:rPr>
        <w:t>.</w:t>
      </w:r>
      <w:r w:rsidR="001139AE" w:rsidRPr="006166FC">
        <w:rPr>
          <w:rStyle w:val="FootnoteReference"/>
        </w:rPr>
        <w:footnoteReference w:id="7"/>
      </w:r>
    </w:p>
    <w:p w:rsidR="00372A95" w:rsidRDefault="001139AE" w:rsidP="001F0F2F">
      <w:pPr>
        <w:rPr>
          <w:rFonts w:ascii="Arial" w:hAnsi="Arial" w:cs="Arial"/>
        </w:rPr>
      </w:pPr>
      <w:r w:rsidRPr="001E08E2">
        <w:rPr>
          <w:rFonts w:ascii="Arial" w:hAnsi="Arial" w:cs="Arial"/>
        </w:rPr>
        <w:t xml:space="preserve">While only 2% of workers are employed on the NMW, the large majority of safety net workers </w:t>
      </w:r>
      <w:r w:rsidR="00372A95">
        <w:rPr>
          <w:rFonts w:ascii="Arial" w:hAnsi="Arial" w:cs="Arial"/>
        </w:rPr>
        <w:t>who are</w:t>
      </w:r>
      <w:r w:rsidRPr="001E08E2">
        <w:rPr>
          <w:rFonts w:ascii="Arial" w:hAnsi="Arial" w:cs="Arial"/>
        </w:rPr>
        <w:t xml:space="preserve"> mostly in the lower wage award classifications are falling behind community wide </w:t>
      </w:r>
      <w:r w:rsidR="000D0347" w:rsidRPr="001E08E2">
        <w:rPr>
          <w:rFonts w:ascii="Arial" w:hAnsi="Arial" w:cs="Arial"/>
        </w:rPr>
        <w:t xml:space="preserve">average </w:t>
      </w:r>
      <w:r w:rsidRPr="001E08E2">
        <w:rPr>
          <w:rFonts w:ascii="Arial" w:hAnsi="Arial" w:cs="Arial"/>
        </w:rPr>
        <w:t>wage movements</w:t>
      </w:r>
      <w:r w:rsidR="00993352">
        <w:rPr>
          <w:rFonts w:ascii="Arial" w:hAnsi="Arial" w:cs="Arial"/>
        </w:rPr>
        <w:t xml:space="preserve">. </w:t>
      </w:r>
      <w:r w:rsidR="00372A95">
        <w:rPr>
          <w:rFonts w:ascii="Arial" w:hAnsi="Arial" w:cs="Arial"/>
        </w:rPr>
        <w:t xml:space="preserve">While average weekly ordinary time earnings </w:t>
      </w:r>
      <w:r w:rsidR="009F7D91">
        <w:rPr>
          <w:rFonts w:ascii="Arial" w:hAnsi="Arial" w:cs="Arial"/>
        </w:rPr>
        <w:t xml:space="preserve">(AWOTE) </w:t>
      </w:r>
      <w:r w:rsidR="00372A95">
        <w:rPr>
          <w:rFonts w:ascii="Arial" w:hAnsi="Arial" w:cs="Arial"/>
        </w:rPr>
        <w:t xml:space="preserve">have increased by 80% in </w:t>
      </w:r>
      <w:r w:rsidR="00CF1823">
        <w:rPr>
          <w:rFonts w:ascii="Arial" w:hAnsi="Arial" w:cs="Arial"/>
        </w:rPr>
        <w:t>the</w:t>
      </w:r>
      <w:r w:rsidR="00372A95">
        <w:rPr>
          <w:rFonts w:ascii="Arial" w:hAnsi="Arial" w:cs="Arial"/>
        </w:rPr>
        <w:t xml:space="preserve"> 13 years prior to </w:t>
      </w:r>
      <w:r w:rsidR="00CF1823">
        <w:rPr>
          <w:rFonts w:ascii="Arial" w:hAnsi="Arial" w:cs="Arial"/>
        </w:rPr>
        <w:t>November</w:t>
      </w:r>
      <w:r w:rsidR="00372A95">
        <w:rPr>
          <w:rFonts w:ascii="Arial" w:hAnsi="Arial" w:cs="Arial"/>
        </w:rPr>
        <w:t xml:space="preserve"> 2013, the NMW has </w:t>
      </w:r>
      <w:r w:rsidR="00CF1823">
        <w:rPr>
          <w:rFonts w:ascii="Arial" w:hAnsi="Arial" w:cs="Arial"/>
        </w:rPr>
        <w:t>only</w:t>
      </w:r>
      <w:r w:rsidR="00372A95">
        <w:rPr>
          <w:rFonts w:ascii="Arial" w:hAnsi="Arial" w:cs="Arial"/>
        </w:rPr>
        <w:t xml:space="preserve"> </w:t>
      </w:r>
      <w:r w:rsidR="008164D8">
        <w:rPr>
          <w:rFonts w:ascii="Arial" w:hAnsi="Arial" w:cs="Arial"/>
        </w:rPr>
        <w:t>i</w:t>
      </w:r>
      <w:r w:rsidR="00372A95">
        <w:rPr>
          <w:rFonts w:ascii="Arial" w:hAnsi="Arial" w:cs="Arial"/>
        </w:rPr>
        <w:t>ncreased by 55.4</w:t>
      </w:r>
      <w:r w:rsidR="00993352">
        <w:rPr>
          <w:rFonts w:ascii="Arial" w:hAnsi="Arial" w:cs="Arial"/>
        </w:rPr>
        <w:t>%</w:t>
      </w:r>
      <w:r w:rsidR="00372A95">
        <w:rPr>
          <w:rFonts w:ascii="Arial" w:hAnsi="Arial" w:cs="Arial"/>
        </w:rPr>
        <w:t xml:space="preserve"> </w:t>
      </w:r>
      <w:r w:rsidR="00CF1823">
        <w:rPr>
          <w:rFonts w:ascii="Arial" w:hAnsi="Arial" w:cs="Arial"/>
        </w:rPr>
        <w:t>over</w:t>
      </w:r>
      <w:r w:rsidR="00372A95">
        <w:rPr>
          <w:rFonts w:ascii="Arial" w:hAnsi="Arial" w:cs="Arial"/>
        </w:rPr>
        <w:t xml:space="preserve"> </w:t>
      </w:r>
      <w:r w:rsidR="00CF1823">
        <w:rPr>
          <w:rFonts w:ascii="Arial" w:hAnsi="Arial" w:cs="Arial"/>
        </w:rPr>
        <w:t>the</w:t>
      </w:r>
      <w:r w:rsidR="00372A95">
        <w:rPr>
          <w:rFonts w:ascii="Arial" w:hAnsi="Arial" w:cs="Arial"/>
        </w:rPr>
        <w:t xml:space="preserve"> same </w:t>
      </w:r>
      <w:r w:rsidR="00CF1823">
        <w:rPr>
          <w:rFonts w:ascii="Arial" w:hAnsi="Arial" w:cs="Arial"/>
        </w:rPr>
        <w:t>period</w:t>
      </w:r>
      <w:r w:rsidR="00AE0C03">
        <w:rPr>
          <w:rFonts w:ascii="Arial" w:hAnsi="Arial" w:cs="Arial"/>
        </w:rPr>
        <w:t xml:space="preserve">. </w:t>
      </w:r>
      <w:r w:rsidR="00136B6E">
        <w:rPr>
          <w:rFonts w:ascii="Arial" w:hAnsi="Arial" w:cs="Arial"/>
        </w:rPr>
        <w:t>P</w:t>
      </w:r>
      <w:r w:rsidR="00AE0C03">
        <w:rPr>
          <w:rFonts w:ascii="Arial" w:hAnsi="Arial" w:cs="Arial"/>
        </w:rPr>
        <w:t xml:space="preserve">ercentage declines </w:t>
      </w:r>
      <w:r w:rsidR="00136B6E">
        <w:rPr>
          <w:rFonts w:ascii="Arial" w:hAnsi="Arial" w:cs="Arial"/>
        </w:rPr>
        <w:t xml:space="preserve">of similar magnitude </w:t>
      </w:r>
      <w:r w:rsidR="00AE0C03">
        <w:rPr>
          <w:rFonts w:ascii="Arial" w:hAnsi="Arial" w:cs="Arial"/>
        </w:rPr>
        <w:t>have also</w:t>
      </w:r>
      <w:r w:rsidR="00136B6E">
        <w:rPr>
          <w:rFonts w:ascii="Arial" w:hAnsi="Arial" w:cs="Arial"/>
        </w:rPr>
        <w:t xml:space="preserve"> occurred</w:t>
      </w:r>
      <w:r w:rsidR="00AE0C03">
        <w:rPr>
          <w:rFonts w:ascii="Arial" w:hAnsi="Arial" w:cs="Arial"/>
        </w:rPr>
        <w:t xml:space="preserve"> in award </w:t>
      </w:r>
      <w:r w:rsidR="00136B6E">
        <w:rPr>
          <w:rFonts w:ascii="Arial" w:hAnsi="Arial" w:cs="Arial"/>
        </w:rPr>
        <w:t>minimum</w:t>
      </w:r>
      <w:r w:rsidR="00AE0C03">
        <w:rPr>
          <w:rFonts w:ascii="Arial" w:hAnsi="Arial" w:cs="Arial"/>
        </w:rPr>
        <w:t xml:space="preserve"> rates </w:t>
      </w:r>
      <w:r w:rsidR="00136B6E">
        <w:rPr>
          <w:rFonts w:ascii="Arial" w:hAnsi="Arial" w:cs="Arial"/>
        </w:rPr>
        <w:t xml:space="preserve">relative to </w:t>
      </w:r>
      <w:r w:rsidR="009F7D91">
        <w:rPr>
          <w:rFonts w:ascii="Arial" w:hAnsi="Arial" w:cs="Arial"/>
        </w:rPr>
        <w:t>AWOTE</w:t>
      </w:r>
      <w:r w:rsidR="00E026D2" w:rsidRPr="001E08E2">
        <w:rPr>
          <w:rFonts w:ascii="Arial" w:hAnsi="Arial" w:cs="Arial"/>
        </w:rPr>
        <w:t>.</w:t>
      </w:r>
      <w:r w:rsidR="00E026D2">
        <w:rPr>
          <w:rStyle w:val="FootnoteReference"/>
          <w:rFonts w:ascii="Arial" w:hAnsi="Arial" w:cs="Arial"/>
        </w:rPr>
        <w:footnoteReference w:id="8"/>
      </w:r>
      <w:r w:rsidR="00E026D2">
        <w:rPr>
          <w:rFonts w:ascii="Arial" w:hAnsi="Arial" w:cs="Arial"/>
        </w:rPr>
        <w:t xml:space="preserve"> </w:t>
      </w:r>
    </w:p>
    <w:p w:rsidR="00740F62" w:rsidRDefault="00DC64B2" w:rsidP="001F0F2F">
      <w:pPr>
        <w:rPr>
          <w:rFonts w:ascii="Arial" w:hAnsi="Arial" w:cs="Arial"/>
        </w:rPr>
      </w:pPr>
      <w:r>
        <w:rPr>
          <w:rFonts w:ascii="Arial" w:hAnsi="Arial" w:cs="Arial"/>
        </w:rPr>
        <w:t>Similarly,</w:t>
      </w:r>
      <w:r w:rsidR="00993352">
        <w:rPr>
          <w:rFonts w:ascii="Arial" w:hAnsi="Arial" w:cs="Arial"/>
        </w:rPr>
        <w:t xml:space="preserve"> </w:t>
      </w:r>
      <w:r w:rsidR="00740F62">
        <w:rPr>
          <w:rFonts w:ascii="Arial" w:hAnsi="Arial" w:cs="Arial"/>
        </w:rPr>
        <w:t>the fall in the rel</w:t>
      </w:r>
      <w:r w:rsidR="000859FC">
        <w:rPr>
          <w:rFonts w:ascii="Arial" w:hAnsi="Arial" w:cs="Arial"/>
        </w:rPr>
        <w:t xml:space="preserve">ative </w:t>
      </w:r>
      <w:r w:rsidR="00740F62">
        <w:rPr>
          <w:rFonts w:ascii="Arial" w:hAnsi="Arial" w:cs="Arial"/>
        </w:rPr>
        <w:t xml:space="preserve">value of </w:t>
      </w:r>
      <w:r w:rsidR="00957E0A">
        <w:rPr>
          <w:rFonts w:ascii="Arial" w:hAnsi="Arial" w:cs="Arial"/>
        </w:rPr>
        <w:t xml:space="preserve">minimum </w:t>
      </w:r>
      <w:r w:rsidR="00740F62">
        <w:rPr>
          <w:rFonts w:ascii="Arial" w:hAnsi="Arial" w:cs="Arial"/>
        </w:rPr>
        <w:t>wage</w:t>
      </w:r>
      <w:r w:rsidR="00957E0A">
        <w:rPr>
          <w:rFonts w:ascii="Arial" w:hAnsi="Arial" w:cs="Arial"/>
        </w:rPr>
        <w:t>s</w:t>
      </w:r>
      <w:r w:rsidR="00740F62">
        <w:rPr>
          <w:rFonts w:ascii="Arial" w:hAnsi="Arial" w:cs="Arial"/>
        </w:rPr>
        <w:t xml:space="preserve"> has caused wo</w:t>
      </w:r>
      <w:r w:rsidR="000859FC">
        <w:rPr>
          <w:rFonts w:ascii="Arial" w:hAnsi="Arial" w:cs="Arial"/>
        </w:rPr>
        <w:t xml:space="preserve">rking </w:t>
      </w:r>
      <w:r w:rsidR="00740F62">
        <w:rPr>
          <w:rFonts w:ascii="Arial" w:hAnsi="Arial" w:cs="Arial"/>
        </w:rPr>
        <w:t xml:space="preserve">families to </w:t>
      </w:r>
      <w:r w:rsidR="000859FC">
        <w:rPr>
          <w:rFonts w:ascii="Arial" w:hAnsi="Arial" w:cs="Arial"/>
        </w:rPr>
        <w:t xml:space="preserve">fall </w:t>
      </w:r>
      <w:r w:rsidR="00740F62">
        <w:rPr>
          <w:rFonts w:ascii="Arial" w:hAnsi="Arial" w:cs="Arial"/>
        </w:rPr>
        <w:t>below rising poverty lines</w:t>
      </w:r>
      <w:r w:rsidR="000859FC">
        <w:rPr>
          <w:rFonts w:ascii="Arial" w:hAnsi="Arial" w:cs="Arial"/>
        </w:rPr>
        <w:t xml:space="preserve"> becoming</w:t>
      </w:r>
      <w:r w:rsidR="00C447CF">
        <w:rPr>
          <w:rFonts w:ascii="Arial" w:hAnsi="Arial" w:cs="Arial"/>
        </w:rPr>
        <w:t>,</w:t>
      </w:r>
      <w:r w:rsidR="000859FC">
        <w:rPr>
          <w:rFonts w:ascii="Arial" w:hAnsi="Arial" w:cs="Arial"/>
        </w:rPr>
        <w:t xml:space="preserve"> in effect, the ‘</w:t>
      </w:r>
      <w:r w:rsidR="000859FC" w:rsidRPr="0054242C">
        <w:rPr>
          <w:rFonts w:ascii="Arial" w:hAnsi="Arial" w:cs="Arial"/>
          <w:i/>
        </w:rPr>
        <w:t>working poor’</w:t>
      </w:r>
      <w:r w:rsidR="000859FC">
        <w:rPr>
          <w:rFonts w:ascii="Arial" w:hAnsi="Arial" w:cs="Arial"/>
        </w:rPr>
        <w:t xml:space="preserve">. ACCER has calculated that </w:t>
      </w:r>
      <w:r w:rsidR="00F0706D">
        <w:rPr>
          <w:rFonts w:ascii="Arial" w:hAnsi="Arial" w:cs="Arial"/>
        </w:rPr>
        <w:t xml:space="preserve">over the ten years to </w:t>
      </w:r>
      <w:r w:rsidR="00957E0A">
        <w:rPr>
          <w:rFonts w:ascii="Arial" w:hAnsi="Arial" w:cs="Arial"/>
        </w:rPr>
        <w:t>January</w:t>
      </w:r>
      <w:r w:rsidR="00F0706D">
        <w:rPr>
          <w:rFonts w:ascii="Arial" w:hAnsi="Arial" w:cs="Arial"/>
        </w:rPr>
        <w:t xml:space="preserve"> 2014 </w:t>
      </w:r>
      <w:r w:rsidR="000859FC">
        <w:rPr>
          <w:rFonts w:ascii="Arial" w:hAnsi="Arial" w:cs="Arial"/>
        </w:rPr>
        <w:t>a NMW dependent family of four fell from 3.3% below</w:t>
      </w:r>
      <w:r w:rsidR="00AF1EDF">
        <w:rPr>
          <w:rFonts w:ascii="Arial" w:hAnsi="Arial" w:cs="Arial"/>
        </w:rPr>
        <w:t>,</w:t>
      </w:r>
      <w:r w:rsidR="000859FC">
        <w:rPr>
          <w:rFonts w:ascii="Arial" w:hAnsi="Arial" w:cs="Arial"/>
        </w:rPr>
        <w:t xml:space="preserve"> to 10% below</w:t>
      </w:r>
      <w:r w:rsidR="00324DDF">
        <w:rPr>
          <w:rFonts w:ascii="Arial" w:hAnsi="Arial" w:cs="Arial"/>
        </w:rPr>
        <w:t>,</w:t>
      </w:r>
      <w:r w:rsidR="000859FC">
        <w:rPr>
          <w:rFonts w:ascii="Arial" w:hAnsi="Arial" w:cs="Arial"/>
        </w:rPr>
        <w:t xml:space="preserve"> the 60% relative poverty line</w:t>
      </w:r>
      <w:r w:rsidR="00EF79F3">
        <w:rPr>
          <w:rFonts w:ascii="Arial" w:hAnsi="Arial" w:cs="Arial"/>
        </w:rPr>
        <w:t xml:space="preserve"> (determined </w:t>
      </w:r>
      <w:r w:rsidR="008B6803">
        <w:rPr>
          <w:rFonts w:ascii="Arial" w:hAnsi="Arial" w:cs="Arial"/>
        </w:rPr>
        <w:t xml:space="preserve">by reference to </w:t>
      </w:r>
      <w:r w:rsidR="00EF79F3">
        <w:rPr>
          <w:rFonts w:ascii="Arial" w:hAnsi="Arial" w:cs="Arial"/>
        </w:rPr>
        <w:t>ABS median disposable income measures)</w:t>
      </w:r>
      <w:r w:rsidR="00981187">
        <w:rPr>
          <w:rFonts w:ascii="Arial" w:hAnsi="Arial" w:cs="Arial"/>
        </w:rPr>
        <w:t xml:space="preserve">. </w:t>
      </w:r>
      <w:r w:rsidR="00981187">
        <w:rPr>
          <w:rStyle w:val="FootnoteReference"/>
          <w:rFonts w:ascii="Arial" w:hAnsi="Arial" w:cs="Arial"/>
        </w:rPr>
        <w:footnoteReference w:id="9"/>
      </w:r>
    </w:p>
    <w:p w:rsidR="00163315" w:rsidRDefault="00DC64B2" w:rsidP="001F0F2F">
      <w:pPr>
        <w:rPr>
          <w:rFonts w:ascii="Arial" w:hAnsi="Arial" w:cs="Arial"/>
        </w:rPr>
      </w:pPr>
      <w:r>
        <w:rPr>
          <w:rFonts w:ascii="Arial" w:hAnsi="Arial" w:cs="Arial"/>
        </w:rPr>
        <w:t xml:space="preserve">Poverty is rising among low paid workers with </w:t>
      </w:r>
      <w:r w:rsidR="007509DC">
        <w:rPr>
          <w:rFonts w:ascii="Arial" w:hAnsi="Arial" w:cs="Arial"/>
        </w:rPr>
        <w:t xml:space="preserve">the Australian Council of Social Services </w:t>
      </w:r>
      <w:r>
        <w:rPr>
          <w:rFonts w:ascii="Arial" w:hAnsi="Arial" w:cs="Arial"/>
        </w:rPr>
        <w:t>reporting that 20.5% of those living in poverty were in a household where there was at lea</w:t>
      </w:r>
      <w:r w:rsidR="009B2B5A">
        <w:rPr>
          <w:rFonts w:ascii="Arial" w:hAnsi="Arial" w:cs="Arial"/>
        </w:rPr>
        <w:t xml:space="preserve">st </w:t>
      </w:r>
      <w:r>
        <w:rPr>
          <w:rFonts w:ascii="Arial" w:hAnsi="Arial" w:cs="Arial"/>
        </w:rPr>
        <w:lastRenderedPageBreak/>
        <w:t>one full time worker</w:t>
      </w:r>
      <w:r w:rsidR="009B2B5A">
        <w:rPr>
          <w:rFonts w:ascii="Arial" w:hAnsi="Arial" w:cs="Arial"/>
        </w:rPr>
        <w:t>,13.5% a part time worker and 5.9% were unemployed</w:t>
      </w:r>
      <w:r w:rsidR="00C368EE">
        <w:rPr>
          <w:rFonts w:ascii="Arial" w:hAnsi="Arial" w:cs="Arial"/>
        </w:rPr>
        <w:t xml:space="preserve"> </w:t>
      </w:r>
      <w:r>
        <w:rPr>
          <w:rFonts w:ascii="Arial" w:hAnsi="Arial" w:cs="Arial"/>
        </w:rPr>
        <w:t>(ACOSS 2012)</w:t>
      </w:r>
      <w:r w:rsidR="00C368EE">
        <w:rPr>
          <w:rFonts w:ascii="Arial" w:hAnsi="Arial" w:cs="Arial"/>
        </w:rPr>
        <w:t>.</w:t>
      </w:r>
      <w:r>
        <w:rPr>
          <w:rFonts w:ascii="Arial" w:hAnsi="Arial" w:cs="Arial"/>
        </w:rPr>
        <w:t xml:space="preserve"> </w:t>
      </w:r>
      <w:r>
        <w:rPr>
          <w:rStyle w:val="FootnoteReference"/>
          <w:rFonts w:ascii="Arial" w:hAnsi="Arial" w:cs="Arial"/>
        </w:rPr>
        <w:footnoteReference w:id="10"/>
      </w:r>
      <w:r w:rsidR="004A0C0E">
        <w:rPr>
          <w:rFonts w:ascii="Arial" w:hAnsi="Arial" w:cs="Arial"/>
        </w:rPr>
        <w:t xml:space="preserve"> </w:t>
      </w:r>
      <w:r w:rsidR="000C7EEB">
        <w:rPr>
          <w:rFonts w:ascii="Arial" w:hAnsi="Arial" w:cs="Arial"/>
        </w:rPr>
        <w:t xml:space="preserve">Evidence that low paid workers and their children are living in poverty was accepted by the FWC in </w:t>
      </w:r>
      <w:r w:rsidR="00E026D2">
        <w:rPr>
          <w:rFonts w:ascii="Arial" w:hAnsi="Arial" w:cs="Arial"/>
        </w:rPr>
        <w:t xml:space="preserve">its </w:t>
      </w:r>
      <w:r w:rsidR="000C7EEB">
        <w:rPr>
          <w:rFonts w:ascii="Arial" w:hAnsi="Arial" w:cs="Arial"/>
        </w:rPr>
        <w:t>2013</w:t>
      </w:r>
      <w:r w:rsidR="00E026D2">
        <w:rPr>
          <w:rFonts w:ascii="Arial" w:hAnsi="Arial" w:cs="Arial"/>
        </w:rPr>
        <w:t xml:space="preserve"> decision</w:t>
      </w:r>
      <w:r w:rsidR="001F0F2F">
        <w:rPr>
          <w:rFonts w:ascii="Arial" w:hAnsi="Arial" w:cs="Arial"/>
        </w:rPr>
        <w:t xml:space="preserve"> ‘</w:t>
      </w:r>
      <w:r w:rsidR="001F0F2F" w:rsidRPr="00B819AF">
        <w:rPr>
          <w:rFonts w:ascii="Arial" w:hAnsi="Arial" w:cs="Arial"/>
          <w:i/>
        </w:rPr>
        <w:t>Low-paid employment appears to contribute more to the total numbers in poverty than does unemployment</w:t>
      </w:r>
      <w:r w:rsidR="00163315" w:rsidRPr="00B819AF">
        <w:rPr>
          <w:rFonts w:ascii="Arial" w:hAnsi="Arial" w:cs="Arial"/>
          <w:i/>
        </w:rPr>
        <w:t>’</w:t>
      </w:r>
      <w:r w:rsidR="00163315">
        <w:rPr>
          <w:rFonts w:ascii="Arial" w:hAnsi="Arial" w:cs="Arial"/>
        </w:rPr>
        <w:t>.</w:t>
      </w:r>
      <w:r w:rsidR="00387A28">
        <w:rPr>
          <w:rStyle w:val="FootnoteReference"/>
          <w:rFonts w:ascii="Arial" w:hAnsi="Arial" w:cs="Arial"/>
        </w:rPr>
        <w:footnoteReference w:id="11"/>
      </w:r>
    </w:p>
    <w:p w:rsidR="002B03EA" w:rsidRDefault="00EA0635" w:rsidP="00566EF2">
      <w:pPr>
        <w:rPr>
          <w:rFonts w:ascii="Arial" w:hAnsi="Arial" w:cs="Arial"/>
        </w:rPr>
      </w:pPr>
      <w:r w:rsidRPr="001E08E2">
        <w:rPr>
          <w:rFonts w:ascii="Arial" w:hAnsi="Arial" w:cs="Arial"/>
        </w:rPr>
        <w:t xml:space="preserve">The </w:t>
      </w:r>
      <w:r w:rsidR="000127C2">
        <w:rPr>
          <w:rFonts w:ascii="Arial" w:hAnsi="Arial" w:cs="Arial"/>
        </w:rPr>
        <w:t xml:space="preserve">Catholic </w:t>
      </w:r>
      <w:r w:rsidRPr="001E08E2">
        <w:rPr>
          <w:rFonts w:ascii="Arial" w:hAnsi="Arial" w:cs="Arial"/>
        </w:rPr>
        <w:t>Church supports the proper assessment of the impact of taxes and welfare support payments in deter</w:t>
      </w:r>
      <w:r w:rsidR="001E08E2" w:rsidRPr="001E08E2">
        <w:rPr>
          <w:rFonts w:ascii="Arial" w:hAnsi="Arial" w:cs="Arial"/>
        </w:rPr>
        <w:t xml:space="preserve">mining </w:t>
      </w:r>
      <w:r w:rsidRPr="001E08E2">
        <w:rPr>
          <w:rFonts w:ascii="Arial" w:hAnsi="Arial" w:cs="Arial"/>
        </w:rPr>
        <w:t>a fair safety net</w:t>
      </w:r>
      <w:r w:rsidR="001E08E2" w:rsidRPr="001E08E2">
        <w:rPr>
          <w:rFonts w:ascii="Arial" w:hAnsi="Arial" w:cs="Arial"/>
        </w:rPr>
        <w:t>. However despite the large increases in family payments over past decades</w:t>
      </w:r>
      <w:r w:rsidR="002C1CED">
        <w:rPr>
          <w:rFonts w:ascii="Arial" w:hAnsi="Arial" w:cs="Arial"/>
        </w:rPr>
        <w:t xml:space="preserve">, the fall in minimum wages relative to AWOTE </w:t>
      </w:r>
      <w:r w:rsidR="001E08E2">
        <w:rPr>
          <w:rFonts w:ascii="Arial" w:hAnsi="Arial" w:cs="Arial"/>
        </w:rPr>
        <w:t>experienced by the low paid ha</w:t>
      </w:r>
      <w:r w:rsidR="002C1CED">
        <w:rPr>
          <w:rFonts w:ascii="Arial" w:hAnsi="Arial" w:cs="Arial"/>
        </w:rPr>
        <w:t>s</w:t>
      </w:r>
      <w:r w:rsidR="001E08E2">
        <w:rPr>
          <w:rFonts w:ascii="Arial" w:hAnsi="Arial" w:cs="Arial"/>
        </w:rPr>
        <w:t xml:space="preserve"> not been matched by increases in family and tax transfers</w:t>
      </w:r>
      <w:r w:rsidR="005C7801">
        <w:rPr>
          <w:rFonts w:ascii="Arial" w:hAnsi="Arial" w:cs="Arial"/>
        </w:rPr>
        <w:t>.</w:t>
      </w:r>
      <w:r w:rsidR="001E08E2">
        <w:rPr>
          <w:rFonts w:ascii="Arial" w:hAnsi="Arial" w:cs="Arial"/>
        </w:rPr>
        <w:t xml:space="preserve"> </w:t>
      </w:r>
      <w:r w:rsidR="00646412">
        <w:rPr>
          <w:rFonts w:ascii="Arial" w:hAnsi="Arial" w:cs="Arial"/>
        </w:rPr>
        <w:t xml:space="preserve">Even with the addition of </w:t>
      </w:r>
      <w:r w:rsidR="00F72BAC">
        <w:rPr>
          <w:rFonts w:ascii="Arial" w:hAnsi="Arial" w:cs="Arial"/>
        </w:rPr>
        <w:t xml:space="preserve">social security </w:t>
      </w:r>
      <w:r w:rsidR="00646412">
        <w:rPr>
          <w:rFonts w:ascii="Arial" w:hAnsi="Arial" w:cs="Arial"/>
        </w:rPr>
        <w:t>measures, s</w:t>
      </w:r>
      <w:r w:rsidR="00B16F1A">
        <w:rPr>
          <w:rFonts w:ascii="Arial" w:hAnsi="Arial" w:cs="Arial"/>
        </w:rPr>
        <w:t>afety net wages are increasingly inadequate for a worker with family dependents</w:t>
      </w:r>
      <w:r w:rsidR="001E08E2">
        <w:rPr>
          <w:rFonts w:ascii="Arial" w:hAnsi="Arial" w:cs="Arial"/>
        </w:rPr>
        <w:t>.</w:t>
      </w:r>
      <w:r w:rsidR="002B03EA">
        <w:rPr>
          <w:rFonts w:ascii="Arial" w:hAnsi="Arial" w:cs="Arial"/>
        </w:rPr>
        <w:t xml:space="preserve"> Future changes to </w:t>
      </w:r>
      <w:r w:rsidR="007B6FD9">
        <w:rPr>
          <w:rFonts w:ascii="Arial" w:hAnsi="Arial" w:cs="Arial"/>
        </w:rPr>
        <w:t xml:space="preserve">tighten the </w:t>
      </w:r>
      <w:r w:rsidR="002B03EA">
        <w:rPr>
          <w:rFonts w:ascii="Arial" w:hAnsi="Arial" w:cs="Arial"/>
        </w:rPr>
        <w:t>social security safety net</w:t>
      </w:r>
      <w:r w:rsidR="007B6FD9">
        <w:rPr>
          <w:rFonts w:ascii="Arial" w:hAnsi="Arial" w:cs="Arial"/>
        </w:rPr>
        <w:t>,</w:t>
      </w:r>
      <w:r w:rsidR="002B03EA">
        <w:rPr>
          <w:rFonts w:ascii="Arial" w:hAnsi="Arial" w:cs="Arial"/>
        </w:rPr>
        <w:t xml:space="preserve"> such as those proposed but not yet enacted in the 2014-2</w:t>
      </w:r>
      <w:r w:rsidR="007509DC">
        <w:rPr>
          <w:rFonts w:ascii="Arial" w:hAnsi="Arial" w:cs="Arial"/>
        </w:rPr>
        <w:t>015</w:t>
      </w:r>
      <w:r w:rsidR="002B03EA">
        <w:rPr>
          <w:rFonts w:ascii="Arial" w:hAnsi="Arial" w:cs="Arial"/>
        </w:rPr>
        <w:t xml:space="preserve"> Budget</w:t>
      </w:r>
      <w:r w:rsidR="007B6FD9">
        <w:rPr>
          <w:rFonts w:ascii="Arial" w:hAnsi="Arial" w:cs="Arial"/>
        </w:rPr>
        <w:t>,</w:t>
      </w:r>
      <w:r w:rsidR="002B03EA">
        <w:rPr>
          <w:rFonts w:ascii="Arial" w:hAnsi="Arial" w:cs="Arial"/>
        </w:rPr>
        <w:t xml:space="preserve"> will further </w:t>
      </w:r>
      <w:r w:rsidR="009A6BE5">
        <w:rPr>
          <w:rFonts w:ascii="Arial" w:hAnsi="Arial" w:cs="Arial"/>
        </w:rPr>
        <w:t>affect</w:t>
      </w:r>
      <w:r w:rsidR="002B03EA">
        <w:rPr>
          <w:rFonts w:ascii="Arial" w:hAnsi="Arial" w:cs="Arial"/>
        </w:rPr>
        <w:t xml:space="preserve"> t</w:t>
      </w:r>
      <w:r w:rsidR="007B6FD9">
        <w:rPr>
          <w:rFonts w:ascii="Arial" w:hAnsi="Arial" w:cs="Arial"/>
        </w:rPr>
        <w:t>he</w:t>
      </w:r>
      <w:r w:rsidR="007509DC">
        <w:rPr>
          <w:rFonts w:ascii="Arial" w:hAnsi="Arial" w:cs="Arial"/>
        </w:rPr>
        <w:t xml:space="preserve"> adequacy of minimum wages. </w:t>
      </w:r>
    </w:p>
    <w:p w:rsidR="0001293B" w:rsidRDefault="00B16F1A" w:rsidP="00566EF2">
      <w:pPr>
        <w:rPr>
          <w:rFonts w:ascii="Arial" w:hAnsi="Arial" w:cs="Arial"/>
        </w:rPr>
      </w:pPr>
      <w:r>
        <w:rPr>
          <w:rFonts w:ascii="Arial" w:hAnsi="Arial" w:cs="Arial"/>
          <w:color w:val="262626"/>
        </w:rPr>
        <w:t xml:space="preserve">Of </w:t>
      </w:r>
      <w:r w:rsidR="00344D5E" w:rsidRPr="00CA0548">
        <w:rPr>
          <w:rFonts w:ascii="Arial" w:hAnsi="Arial" w:cs="Arial"/>
          <w:color w:val="262626"/>
        </w:rPr>
        <w:t xml:space="preserve">further concern </w:t>
      </w:r>
      <w:r>
        <w:rPr>
          <w:rFonts w:ascii="Arial" w:hAnsi="Arial" w:cs="Arial"/>
          <w:color w:val="262626"/>
        </w:rPr>
        <w:t xml:space="preserve">is </w:t>
      </w:r>
      <w:r w:rsidR="00344D5E" w:rsidRPr="00CA0548">
        <w:rPr>
          <w:rFonts w:ascii="Arial" w:hAnsi="Arial" w:cs="Arial"/>
          <w:color w:val="262626"/>
        </w:rPr>
        <w:t xml:space="preserve">that </w:t>
      </w:r>
      <w:r w:rsidR="00B8407B" w:rsidRPr="00CA0548">
        <w:rPr>
          <w:rFonts w:ascii="Arial" w:hAnsi="Arial" w:cs="Arial"/>
          <w:color w:val="262626"/>
        </w:rPr>
        <w:t xml:space="preserve">in its 2014 </w:t>
      </w:r>
      <w:r w:rsidR="00FF4896">
        <w:rPr>
          <w:rFonts w:ascii="Arial" w:hAnsi="Arial" w:cs="Arial"/>
          <w:color w:val="262626"/>
        </w:rPr>
        <w:t xml:space="preserve">Annual Wage Review </w:t>
      </w:r>
      <w:r w:rsidR="00B8407B" w:rsidRPr="00CA0548">
        <w:rPr>
          <w:rFonts w:ascii="Arial" w:hAnsi="Arial" w:cs="Arial"/>
          <w:color w:val="262626"/>
        </w:rPr>
        <w:t xml:space="preserve">decision the FWC decided </w:t>
      </w:r>
      <w:r w:rsidR="00CA0548" w:rsidRPr="00CA0548">
        <w:rPr>
          <w:rFonts w:ascii="Arial" w:hAnsi="Arial" w:cs="Arial"/>
        </w:rPr>
        <w:t>that the</w:t>
      </w:r>
      <w:r>
        <w:rPr>
          <w:rFonts w:ascii="Arial" w:hAnsi="Arial" w:cs="Arial"/>
        </w:rPr>
        <w:t xml:space="preserve"> ‘</w:t>
      </w:r>
      <w:r w:rsidR="00CA0548" w:rsidRPr="00B819AF">
        <w:rPr>
          <w:rFonts w:ascii="Arial" w:hAnsi="Arial" w:cs="Arial"/>
          <w:i/>
        </w:rPr>
        <w:t>appropriate reference household for the purposes of setting minimum wages is the single person household</w:t>
      </w:r>
      <w:r w:rsidR="00FF4896">
        <w:rPr>
          <w:rFonts w:ascii="Arial" w:hAnsi="Arial" w:cs="Arial"/>
        </w:rPr>
        <w:t>’</w:t>
      </w:r>
      <w:r w:rsidR="000B0F04">
        <w:rPr>
          <w:rFonts w:ascii="Arial" w:hAnsi="Arial" w:cs="Arial"/>
        </w:rPr>
        <w:t>.</w:t>
      </w:r>
      <w:r>
        <w:rPr>
          <w:rFonts w:ascii="Arial" w:hAnsi="Arial" w:cs="Arial"/>
        </w:rPr>
        <w:t xml:space="preserve"> </w:t>
      </w:r>
      <w:r w:rsidR="00AF7EC1">
        <w:rPr>
          <w:rStyle w:val="FootnoteReference"/>
          <w:rFonts w:ascii="Arial" w:hAnsi="Arial" w:cs="Arial"/>
        </w:rPr>
        <w:footnoteReference w:id="12"/>
      </w:r>
      <w:r w:rsidR="003E3F3D">
        <w:rPr>
          <w:rFonts w:ascii="Arial" w:hAnsi="Arial" w:cs="Arial"/>
        </w:rPr>
        <w:t xml:space="preserve"> </w:t>
      </w:r>
      <w:r w:rsidR="0003327D">
        <w:rPr>
          <w:rFonts w:ascii="Arial" w:hAnsi="Arial" w:cs="Arial"/>
        </w:rPr>
        <w:t xml:space="preserve"> </w:t>
      </w:r>
      <w:r w:rsidR="00DE73EA">
        <w:rPr>
          <w:rFonts w:ascii="Arial" w:hAnsi="Arial" w:cs="Arial"/>
        </w:rPr>
        <w:t xml:space="preserve">This is the first time that the </w:t>
      </w:r>
      <w:r w:rsidR="00B431F2">
        <w:rPr>
          <w:rFonts w:ascii="Arial" w:hAnsi="Arial" w:cs="Arial"/>
        </w:rPr>
        <w:t>minimum</w:t>
      </w:r>
      <w:r w:rsidR="00DE73EA">
        <w:rPr>
          <w:rFonts w:ascii="Arial" w:hAnsi="Arial" w:cs="Arial"/>
        </w:rPr>
        <w:t xml:space="preserve"> wage has been set on a basis </w:t>
      </w:r>
      <w:r w:rsidR="00B431F2">
        <w:rPr>
          <w:rFonts w:ascii="Arial" w:hAnsi="Arial" w:cs="Arial"/>
        </w:rPr>
        <w:t xml:space="preserve">appropriate </w:t>
      </w:r>
      <w:r w:rsidR="00DE73EA">
        <w:rPr>
          <w:rFonts w:ascii="Arial" w:hAnsi="Arial" w:cs="Arial"/>
        </w:rPr>
        <w:t>for a single worker with no de</w:t>
      </w:r>
      <w:r w:rsidR="00B431F2">
        <w:rPr>
          <w:rFonts w:ascii="Arial" w:hAnsi="Arial" w:cs="Arial"/>
        </w:rPr>
        <w:t xml:space="preserve">pendents </w:t>
      </w:r>
      <w:r w:rsidR="00DE73EA">
        <w:rPr>
          <w:rFonts w:ascii="Arial" w:hAnsi="Arial" w:cs="Arial"/>
        </w:rPr>
        <w:t xml:space="preserve">and excludes from consideration the needs of workers </w:t>
      </w:r>
      <w:r w:rsidR="00B431F2">
        <w:rPr>
          <w:rFonts w:ascii="Arial" w:hAnsi="Arial" w:cs="Arial"/>
        </w:rPr>
        <w:t>with</w:t>
      </w:r>
      <w:r w:rsidR="00DE73EA">
        <w:rPr>
          <w:rFonts w:ascii="Arial" w:hAnsi="Arial" w:cs="Arial"/>
        </w:rPr>
        <w:t xml:space="preserve"> </w:t>
      </w:r>
      <w:r w:rsidR="00B431F2">
        <w:rPr>
          <w:rFonts w:ascii="Arial" w:hAnsi="Arial" w:cs="Arial"/>
        </w:rPr>
        <w:t>family</w:t>
      </w:r>
      <w:r w:rsidR="00DE73EA">
        <w:rPr>
          <w:rFonts w:ascii="Arial" w:hAnsi="Arial" w:cs="Arial"/>
        </w:rPr>
        <w:t xml:space="preserve"> </w:t>
      </w:r>
      <w:r w:rsidR="003B7215">
        <w:rPr>
          <w:rFonts w:ascii="Arial" w:hAnsi="Arial" w:cs="Arial"/>
        </w:rPr>
        <w:t xml:space="preserve">responsibilities. </w:t>
      </w:r>
      <w:r w:rsidR="00365579">
        <w:rPr>
          <w:rFonts w:ascii="Arial" w:hAnsi="Arial" w:cs="Arial"/>
        </w:rPr>
        <w:t xml:space="preserve">It is of particular concern </w:t>
      </w:r>
      <w:r w:rsidR="00646412">
        <w:rPr>
          <w:rFonts w:ascii="Arial" w:hAnsi="Arial" w:cs="Arial"/>
        </w:rPr>
        <w:t xml:space="preserve">that </w:t>
      </w:r>
      <w:r w:rsidR="00365579">
        <w:rPr>
          <w:rFonts w:ascii="Arial" w:hAnsi="Arial" w:cs="Arial"/>
        </w:rPr>
        <w:t xml:space="preserve">existing safety net wages </w:t>
      </w:r>
      <w:r w:rsidR="00646412">
        <w:rPr>
          <w:rFonts w:ascii="Arial" w:hAnsi="Arial" w:cs="Arial"/>
        </w:rPr>
        <w:t xml:space="preserve">already </w:t>
      </w:r>
      <w:r w:rsidR="00365579">
        <w:rPr>
          <w:rFonts w:ascii="Arial" w:hAnsi="Arial" w:cs="Arial"/>
        </w:rPr>
        <w:t xml:space="preserve">inadequate for families are now determined to </w:t>
      </w:r>
      <w:r w:rsidR="00646412">
        <w:rPr>
          <w:rFonts w:ascii="Arial" w:hAnsi="Arial" w:cs="Arial"/>
        </w:rPr>
        <w:t>be suitable</w:t>
      </w:r>
      <w:r w:rsidR="00365579">
        <w:rPr>
          <w:rFonts w:ascii="Arial" w:hAnsi="Arial" w:cs="Arial"/>
        </w:rPr>
        <w:t xml:space="preserve"> for a single worker. </w:t>
      </w:r>
      <w:r w:rsidR="003B7215">
        <w:rPr>
          <w:rFonts w:ascii="Arial" w:hAnsi="Arial" w:cs="Arial"/>
        </w:rPr>
        <w:t>A safety net des</w:t>
      </w:r>
      <w:r w:rsidR="00935CFC">
        <w:rPr>
          <w:rFonts w:ascii="Arial" w:hAnsi="Arial" w:cs="Arial"/>
        </w:rPr>
        <w:t>igned f</w:t>
      </w:r>
      <w:r w:rsidR="003B7215">
        <w:rPr>
          <w:rFonts w:ascii="Arial" w:hAnsi="Arial" w:cs="Arial"/>
        </w:rPr>
        <w:t xml:space="preserve">or single workers cannot be a safety net for </w:t>
      </w:r>
      <w:r w:rsidR="00841104">
        <w:rPr>
          <w:rFonts w:ascii="Arial" w:hAnsi="Arial" w:cs="Arial"/>
        </w:rPr>
        <w:t xml:space="preserve">a </w:t>
      </w:r>
      <w:r w:rsidR="003B7215">
        <w:rPr>
          <w:rFonts w:ascii="Arial" w:hAnsi="Arial" w:cs="Arial"/>
        </w:rPr>
        <w:t xml:space="preserve">worker </w:t>
      </w:r>
      <w:r w:rsidR="00935CFC">
        <w:rPr>
          <w:rFonts w:ascii="Arial" w:hAnsi="Arial" w:cs="Arial"/>
        </w:rPr>
        <w:t>with</w:t>
      </w:r>
      <w:r w:rsidR="003B7215">
        <w:rPr>
          <w:rFonts w:ascii="Arial" w:hAnsi="Arial" w:cs="Arial"/>
        </w:rPr>
        <w:t xml:space="preserve"> family respo</w:t>
      </w:r>
      <w:r w:rsidR="00935CFC">
        <w:rPr>
          <w:rFonts w:ascii="Arial" w:hAnsi="Arial" w:cs="Arial"/>
        </w:rPr>
        <w:t>nsibilities</w:t>
      </w:r>
      <w:r w:rsidR="003B7215">
        <w:rPr>
          <w:rFonts w:ascii="Arial" w:hAnsi="Arial" w:cs="Arial"/>
        </w:rPr>
        <w:t>, whe</w:t>
      </w:r>
      <w:r w:rsidR="00935CFC">
        <w:rPr>
          <w:rFonts w:ascii="Arial" w:hAnsi="Arial" w:cs="Arial"/>
        </w:rPr>
        <w:t>ther</w:t>
      </w:r>
      <w:r w:rsidR="003B7215">
        <w:rPr>
          <w:rFonts w:ascii="Arial" w:hAnsi="Arial" w:cs="Arial"/>
        </w:rPr>
        <w:t xml:space="preserve"> sole parents or partnered. </w:t>
      </w:r>
    </w:p>
    <w:p w:rsidR="00CA0548" w:rsidRDefault="0001293B" w:rsidP="00566EF2">
      <w:pPr>
        <w:rPr>
          <w:rFonts w:ascii="Arial" w:hAnsi="Arial" w:cs="Arial"/>
          <w:color w:val="262626"/>
        </w:rPr>
      </w:pPr>
      <w:r>
        <w:rPr>
          <w:rFonts w:ascii="Arial" w:hAnsi="Arial" w:cs="Arial"/>
        </w:rPr>
        <w:t>In ACCER’s view, this approach will only entrench further disadvantage and undermine family life</w:t>
      </w:r>
      <w:r w:rsidR="00F60338">
        <w:rPr>
          <w:rFonts w:ascii="Arial" w:hAnsi="Arial" w:cs="Arial"/>
        </w:rPr>
        <w:t xml:space="preserve"> for </w:t>
      </w:r>
      <w:r w:rsidR="0036327E">
        <w:rPr>
          <w:rFonts w:ascii="Arial" w:hAnsi="Arial" w:cs="Arial"/>
        </w:rPr>
        <w:t>low paid working families</w:t>
      </w:r>
      <w:r w:rsidR="00F60338">
        <w:rPr>
          <w:rFonts w:ascii="Arial" w:hAnsi="Arial" w:cs="Arial"/>
        </w:rPr>
        <w:t xml:space="preserve">. </w:t>
      </w:r>
      <w:r w:rsidR="00B431F2">
        <w:rPr>
          <w:rFonts w:ascii="Arial" w:hAnsi="Arial" w:cs="Arial"/>
        </w:rPr>
        <w:t>ACCER has given notice to the FWC that it will challenge th</w:t>
      </w:r>
      <w:r w:rsidR="00695E0E">
        <w:rPr>
          <w:rFonts w:ascii="Arial" w:hAnsi="Arial" w:cs="Arial"/>
        </w:rPr>
        <w:t xml:space="preserve">e ‘single worker’ </w:t>
      </w:r>
      <w:r w:rsidR="00B431F2">
        <w:rPr>
          <w:rFonts w:ascii="Arial" w:hAnsi="Arial" w:cs="Arial"/>
        </w:rPr>
        <w:t xml:space="preserve">decision in the 2015 Annual Wage </w:t>
      </w:r>
      <w:r w:rsidR="006B0A8C">
        <w:rPr>
          <w:rFonts w:ascii="Arial" w:hAnsi="Arial" w:cs="Arial"/>
        </w:rPr>
        <w:t xml:space="preserve">Review </w:t>
      </w:r>
      <w:r w:rsidR="00C243A0">
        <w:rPr>
          <w:rFonts w:ascii="Arial" w:hAnsi="Arial" w:cs="Arial"/>
          <w:color w:val="262626"/>
        </w:rPr>
        <w:t>.</w:t>
      </w:r>
      <w:r w:rsidR="00B431F2">
        <w:rPr>
          <w:rStyle w:val="FootnoteReference"/>
          <w:rFonts w:ascii="Arial" w:hAnsi="Arial" w:cs="Arial"/>
          <w:color w:val="262626"/>
        </w:rPr>
        <w:footnoteReference w:id="13"/>
      </w:r>
    </w:p>
    <w:p w:rsidR="00420814" w:rsidRPr="00FF6E07" w:rsidRDefault="009A346C" w:rsidP="00566EF2">
      <w:pPr>
        <w:rPr>
          <w:rFonts w:ascii="Arial" w:hAnsi="Arial" w:cs="Arial"/>
          <w:b/>
          <w:bCs/>
          <w:i/>
          <w:color w:val="C0504D"/>
          <w:sz w:val="24"/>
          <w:szCs w:val="24"/>
        </w:rPr>
      </w:pPr>
      <w:r w:rsidRPr="00FF6E07">
        <w:rPr>
          <w:rFonts w:ascii="Arial" w:hAnsi="Arial" w:cs="Arial"/>
          <w:b/>
          <w:bCs/>
          <w:i/>
          <w:color w:val="C0504D"/>
          <w:sz w:val="24"/>
          <w:szCs w:val="24"/>
        </w:rPr>
        <w:t xml:space="preserve">Abolition or </w:t>
      </w:r>
      <w:r w:rsidR="00F04912" w:rsidRPr="00FF6E07">
        <w:rPr>
          <w:rFonts w:ascii="Arial" w:hAnsi="Arial" w:cs="Arial"/>
          <w:b/>
          <w:bCs/>
          <w:i/>
          <w:color w:val="C0504D"/>
          <w:sz w:val="24"/>
          <w:szCs w:val="24"/>
        </w:rPr>
        <w:t xml:space="preserve">reduction </w:t>
      </w:r>
      <w:r w:rsidR="00B82C0B" w:rsidRPr="00FF6E07">
        <w:rPr>
          <w:rFonts w:ascii="Arial" w:hAnsi="Arial" w:cs="Arial"/>
          <w:b/>
          <w:bCs/>
          <w:i/>
          <w:color w:val="C0504D"/>
          <w:sz w:val="24"/>
          <w:szCs w:val="24"/>
        </w:rPr>
        <w:t xml:space="preserve">of minimum wages </w:t>
      </w:r>
      <w:r w:rsidR="00DD14BD" w:rsidRPr="00FF6E07">
        <w:rPr>
          <w:rFonts w:ascii="Arial" w:hAnsi="Arial" w:cs="Arial"/>
          <w:b/>
          <w:bCs/>
          <w:i/>
          <w:color w:val="C0504D"/>
          <w:sz w:val="24"/>
          <w:szCs w:val="24"/>
        </w:rPr>
        <w:t xml:space="preserve">is </w:t>
      </w:r>
      <w:r w:rsidR="00F04912" w:rsidRPr="00FF6E07">
        <w:rPr>
          <w:rFonts w:ascii="Arial" w:hAnsi="Arial" w:cs="Arial"/>
          <w:b/>
          <w:bCs/>
          <w:i/>
          <w:color w:val="C0504D"/>
          <w:sz w:val="24"/>
          <w:szCs w:val="24"/>
        </w:rPr>
        <w:t>not supported</w:t>
      </w:r>
      <w:r w:rsidR="00420814" w:rsidRPr="00FF6E07">
        <w:rPr>
          <w:rFonts w:ascii="Arial" w:hAnsi="Arial" w:cs="Arial"/>
          <w:b/>
          <w:bCs/>
          <w:i/>
          <w:color w:val="C0504D"/>
          <w:sz w:val="24"/>
          <w:szCs w:val="24"/>
        </w:rPr>
        <w:t xml:space="preserve"> </w:t>
      </w:r>
    </w:p>
    <w:p w:rsidR="00ED2BB4" w:rsidRDefault="001F0F2F" w:rsidP="00C22168">
      <w:pPr>
        <w:rPr>
          <w:rFonts w:ascii="Arial" w:hAnsi="Arial" w:cs="Arial"/>
        </w:rPr>
      </w:pPr>
      <w:r w:rsidRPr="00C22168">
        <w:rPr>
          <w:rFonts w:ascii="Arial" w:hAnsi="Arial" w:cs="Arial"/>
        </w:rPr>
        <w:t xml:space="preserve">In light of the inadequacy </w:t>
      </w:r>
      <w:r w:rsidR="009C5F99" w:rsidRPr="00C22168">
        <w:rPr>
          <w:rFonts w:ascii="Arial" w:hAnsi="Arial" w:cs="Arial"/>
        </w:rPr>
        <w:t>of the existing safety net</w:t>
      </w:r>
      <w:r w:rsidR="002F5A35">
        <w:rPr>
          <w:rFonts w:ascii="Arial" w:hAnsi="Arial" w:cs="Arial"/>
        </w:rPr>
        <w:t xml:space="preserve"> for the reasons outlined above</w:t>
      </w:r>
      <w:r w:rsidR="002F1499">
        <w:rPr>
          <w:rFonts w:ascii="Arial" w:hAnsi="Arial" w:cs="Arial"/>
        </w:rPr>
        <w:t>,</w:t>
      </w:r>
      <w:r w:rsidR="0045156C">
        <w:rPr>
          <w:rFonts w:ascii="Arial" w:hAnsi="Arial" w:cs="Arial"/>
        </w:rPr>
        <w:t xml:space="preserve"> the</w:t>
      </w:r>
      <w:r w:rsidR="009C5F99" w:rsidRPr="00C22168">
        <w:rPr>
          <w:rFonts w:ascii="Arial" w:hAnsi="Arial" w:cs="Arial"/>
        </w:rPr>
        <w:t xml:space="preserve"> removal or reduction </w:t>
      </w:r>
      <w:r w:rsidR="0045156C">
        <w:rPr>
          <w:rFonts w:ascii="Arial" w:hAnsi="Arial" w:cs="Arial"/>
        </w:rPr>
        <w:t xml:space="preserve">of minimum wages </w:t>
      </w:r>
      <w:r w:rsidR="009C5F99" w:rsidRPr="00C22168">
        <w:rPr>
          <w:rFonts w:ascii="Arial" w:hAnsi="Arial" w:cs="Arial"/>
        </w:rPr>
        <w:t>cannot be supported</w:t>
      </w:r>
      <w:r w:rsidR="00C22168" w:rsidRPr="00C22168">
        <w:rPr>
          <w:rFonts w:ascii="Arial" w:hAnsi="Arial" w:cs="Arial"/>
        </w:rPr>
        <w:t xml:space="preserve">. </w:t>
      </w:r>
      <w:r w:rsidR="00ED2BB4">
        <w:rPr>
          <w:rFonts w:ascii="Arial" w:hAnsi="Arial" w:cs="Arial"/>
        </w:rPr>
        <w:t>To the contrary</w:t>
      </w:r>
      <w:r w:rsidR="00714E49">
        <w:rPr>
          <w:rFonts w:ascii="Arial" w:hAnsi="Arial" w:cs="Arial"/>
        </w:rPr>
        <w:t>,</w:t>
      </w:r>
      <w:r w:rsidR="00ED2BB4">
        <w:rPr>
          <w:rFonts w:ascii="Arial" w:hAnsi="Arial" w:cs="Arial"/>
        </w:rPr>
        <w:t xml:space="preserve"> the NMW </w:t>
      </w:r>
      <w:r w:rsidR="00B047F8">
        <w:rPr>
          <w:rFonts w:ascii="Arial" w:hAnsi="Arial" w:cs="Arial"/>
        </w:rPr>
        <w:t xml:space="preserve">and lower safety net pay rates </w:t>
      </w:r>
      <w:r w:rsidR="00ED2BB4">
        <w:rPr>
          <w:rFonts w:ascii="Arial" w:hAnsi="Arial" w:cs="Arial"/>
        </w:rPr>
        <w:t xml:space="preserve">should be increased to meet the needs of the low paid and remain </w:t>
      </w:r>
      <w:r w:rsidR="00714E49">
        <w:rPr>
          <w:rFonts w:ascii="Arial" w:hAnsi="Arial" w:cs="Arial"/>
        </w:rPr>
        <w:t>relevant</w:t>
      </w:r>
      <w:r w:rsidR="00ED2BB4">
        <w:rPr>
          <w:rFonts w:ascii="Arial" w:hAnsi="Arial" w:cs="Arial"/>
        </w:rPr>
        <w:t xml:space="preserve"> in a </w:t>
      </w:r>
      <w:r w:rsidR="00714E49">
        <w:rPr>
          <w:rFonts w:ascii="Arial" w:hAnsi="Arial" w:cs="Arial"/>
        </w:rPr>
        <w:t>contemporary</w:t>
      </w:r>
      <w:r w:rsidR="00ED2BB4">
        <w:rPr>
          <w:rFonts w:ascii="Arial" w:hAnsi="Arial" w:cs="Arial"/>
        </w:rPr>
        <w:t xml:space="preserve"> social context</w:t>
      </w:r>
      <w:r w:rsidR="00FF4896">
        <w:rPr>
          <w:rFonts w:ascii="Arial" w:hAnsi="Arial" w:cs="Arial"/>
        </w:rPr>
        <w:t>.</w:t>
      </w:r>
    </w:p>
    <w:p w:rsidR="00D4065B" w:rsidRDefault="004A5DD7" w:rsidP="00C22168">
      <w:pPr>
        <w:rPr>
          <w:rFonts w:ascii="Arial" w:hAnsi="Arial" w:cs="Arial"/>
        </w:rPr>
      </w:pPr>
      <w:r>
        <w:rPr>
          <w:rFonts w:ascii="Arial" w:hAnsi="Arial" w:cs="Arial"/>
        </w:rPr>
        <w:t>In our view, l</w:t>
      </w:r>
      <w:r w:rsidR="00D4065B" w:rsidRPr="00C22168">
        <w:rPr>
          <w:rFonts w:ascii="Arial" w:hAnsi="Arial" w:cs="Arial"/>
        </w:rPr>
        <w:t xml:space="preserve">abour market flexibility does not require the reduction of wages and other basic conditions of employment. A labour market policy that reduces wages and other basic conditions of employment would impose the burden of economic adjustment </w:t>
      </w:r>
      <w:r w:rsidR="006B77F4" w:rsidRPr="00C22168">
        <w:rPr>
          <w:rFonts w:ascii="Arial" w:hAnsi="Arial" w:cs="Arial"/>
        </w:rPr>
        <w:t>on low</w:t>
      </w:r>
      <w:r w:rsidR="00D4065B" w:rsidRPr="00C22168">
        <w:rPr>
          <w:rFonts w:ascii="Arial" w:hAnsi="Arial" w:cs="Arial"/>
        </w:rPr>
        <w:t xml:space="preserve"> paid and vulnerable workers.</w:t>
      </w:r>
    </w:p>
    <w:p w:rsidR="00841104" w:rsidRDefault="007B2C07" w:rsidP="00841104">
      <w:pPr>
        <w:rPr>
          <w:rFonts w:ascii="Arial" w:hAnsi="Arial" w:cs="Arial"/>
        </w:rPr>
      </w:pPr>
      <w:r>
        <w:rPr>
          <w:rFonts w:ascii="Arial" w:hAnsi="Arial" w:cs="Arial"/>
        </w:rPr>
        <w:t>While measures to promote greater employment are of critical importance</w:t>
      </w:r>
      <w:r w:rsidR="0019771F">
        <w:rPr>
          <w:rFonts w:ascii="Arial" w:hAnsi="Arial" w:cs="Arial"/>
        </w:rPr>
        <w:t>,</w:t>
      </w:r>
      <w:r>
        <w:rPr>
          <w:rFonts w:ascii="Arial" w:hAnsi="Arial" w:cs="Arial"/>
        </w:rPr>
        <w:t xml:space="preserve"> </w:t>
      </w:r>
      <w:r w:rsidR="00AB77F4">
        <w:rPr>
          <w:rFonts w:ascii="Arial" w:hAnsi="Arial" w:cs="Arial"/>
        </w:rPr>
        <w:t xml:space="preserve">CCER rejects the notion that wage levels should be reduced to maintain global competiveness or job opportunities. Other strategies are required to increase productivity such as skill development and targeted support to assist the unemployed. As the </w:t>
      </w:r>
      <w:r w:rsidRPr="009A6B07">
        <w:rPr>
          <w:rFonts w:ascii="Arial" w:hAnsi="Arial" w:cs="Arial"/>
        </w:rPr>
        <w:t>Australian Bishops’ Committee for Industrial</w:t>
      </w:r>
      <w:r>
        <w:rPr>
          <w:rFonts w:ascii="Arial" w:hAnsi="Arial" w:cs="Arial"/>
        </w:rPr>
        <w:t xml:space="preserve"> </w:t>
      </w:r>
      <w:r w:rsidRPr="009A6B07">
        <w:rPr>
          <w:rFonts w:ascii="Arial" w:hAnsi="Arial" w:cs="Arial"/>
        </w:rPr>
        <w:t>Affairs has said:</w:t>
      </w:r>
    </w:p>
    <w:p w:rsidR="007B2C07" w:rsidRPr="00B1772F" w:rsidRDefault="007B2C07" w:rsidP="000139D3">
      <w:pPr>
        <w:ind w:left="720"/>
        <w:rPr>
          <w:rFonts w:ascii="Arial" w:hAnsi="Arial" w:cs="Arial"/>
          <w:i/>
          <w:sz w:val="20"/>
          <w:szCs w:val="20"/>
        </w:rPr>
      </w:pPr>
      <w:r w:rsidRPr="00B1772F">
        <w:rPr>
          <w:rFonts w:ascii="Arial" w:hAnsi="Arial" w:cs="Arial"/>
          <w:i/>
          <w:sz w:val="20"/>
          <w:szCs w:val="20"/>
        </w:rPr>
        <w:t>Every family has the right to sufficient income through work. Workers</w:t>
      </w:r>
      <w:r w:rsidR="00AB77F4" w:rsidRPr="00B1772F">
        <w:rPr>
          <w:rFonts w:ascii="Arial" w:hAnsi="Arial" w:cs="Arial"/>
          <w:i/>
          <w:sz w:val="20"/>
          <w:szCs w:val="20"/>
        </w:rPr>
        <w:t xml:space="preserve"> </w:t>
      </w:r>
      <w:r w:rsidRPr="00B1772F">
        <w:rPr>
          <w:rFonts w:ascii="Arial" w:hAnsi="Arial" w:cs="Arial"/>
          <w:i/>
          <w:sz w:val="20"/>
          <w:szCs w:val="20"/>
        </w:rPr>
        <w:t>have the right to just minimum wages and to just and safe working</w:t>
      </w:r>
      <w:r w:rsidR="00AB77F4" w:rsidRPr="00B1772F">
        <w:rPr>
          <w:rFonts w:ascii="Arial" w:hAnsi="Arial" w:cs="Arial"/>
          <w:i/>
          <w:sz w:val="20"/>
          <w:szCs w:val="20"/>
        </w:rPr>
        <w:t xml:space="preserve"> </w:t>
      </w:r>
      <w:r w:rsidRPr="00B1772F">
        <w:rPr>
          <w:rFonts w:ascii="Arial" w:hAnsi="Arial" w:cs="Arial"/>
          <w:i/>
          <w:sz w:val="20"/>
          <w:szCs w:val="20"/>
        </w:rPr>
        <w:t>conditions. …</w:t>
      </w:r>
      <w:r w:rsidR="00AB77F4" w:rsidRPr="00B1772F">
        <w:rPr>
          <w:rFonts w:ascii="Arial" w:hAnsi="Arial" w:cs="Arial"/>
          <w:i/>
          <w:sz w:val="20"/>
          <w:szCs w:val="20"/>
        </w:rPr>
        <w:t xml:space="preserve"> </w:t>
      </w:r>
      <w:r w:rsidRPr="00B1772F">
        <w:rPr>
          <w:rFonts w:ascii="Arial" w:hAnsi="Arial" w:cs="Arial"/>
          <w:i/>
          <w:sz w:val="20"/>
          <w:szCs w:val="20"/>
        </w:rPr>
        <w:t xml:space="preserve">The provision of more work </w:t>
      </w:r>
      <w:r w:rsidRPr="00B1772F">
        <w:rPr>
          <w:rFonts w:ascii="Arial" w:hAnsi="Arial" w:cs="Arial"/>
          <w:i/>
          <w:sz w:val="20"/>
          <w:szCs w:val="20"/>
        </w:rPr>
        <w:lastRenderedPageBreak/>
        <w:t>opportunities does not, however, by</w:t>
      </w:r>
      <w:r w:rsidR="00AB77F4" w:rsidRPr="00B1772F">
        <w:rPr>
          <w:rFonts w:ascii="Arial" w:hAnsi="Arial" w:cs="Arial"/>
          <w:i/>
          <w:sz w:val="20"/>
          <w:szCs w:val="20"/>
        </w:rPr>
        <w:t xml:space="preserve"> </w:t>
      </w:r>
      <w:r w:rsidRPr="00B1772F">
        <w:rPr>
          <w:rFonts w:ascii="Arial" w:hAnsi="Arial" w:cs="Arial"/>
          <w:i/>
          <w:sz w:val="20"/>
          <w:szCs w:val="20"/>
        </w:rPr>
        <w:t>itself justify reducing below a just level, the wages of those already in</w:t>
      </w:r>
      <w:r w:rsidR="00AB77F4" w:rsidRPr="00B1772F">
        <w:rPr>
          <w:rFonts w:ascii="Arial" w:hAnsi="Arial" w:cs="Arial"/>
          <w:i/>
          <w:sz w:val="20"/>
          <w:szCs w:val="20"/>
        </w:rPr>
        <w:t xml:space="preserve"> </w:t>
      </w:r>
      <w:r w:rsidR="00841104">
        <w:rPr>
          <w:rFonts w:ascii="Arial" w:hAnsi="Arial" w:cs="Arial"/>
          <w:i/>
          <w:sz w:val="20"/>
          <w:szCs w:val="20"/>
        </w:rPr>
        <w:t>jobs.</w:t>
      </w:r>
      <w:r w:rsidRPr="00B1772F">
        <w:rPr>
          <w:rFonts w:ascii="Arial" w:hAnsi="Arial" w:cs="Arial"/>
          <w:i/>
          <w:sz w:val="20"/>
          <w:szCs w:val="20"/>
        </w:rPr>
        <w:t xml:space="preserve"> </w:t>
      </w:r>
      <w:r w:rsidR="009811FB" w:rsidRPr="00E90225">
        <w:rPr>
          <w:rStyle w:val="FootnoteReference"/>
          <w:rFonts w:ascii="Arial" w:hAnsi="Arial" w:cs="Arial"/>
          <w:i/>
        </w:rPr>
        <w:footnoteReference w:id="14"/>
      </w:r>
    </w:p>
    <w:p w:rsidR="00F925C1" w:rsidRPr="00447B2E" w:rsidRDefault="004A5DD7" w:rsidP="00C22168">
      <w:pPr>
        <w:rPr>
          <w:rStyle w:val="FootnoteReference"/>
          <w:rFonts w:ascii="Arial" w:hAnsi="Arial" w:cs="Arial"/>
          <w:i/>
        </w:rPr>
      </w:pPr>
      <w:r w:rsidRPr="005908A2">
        <w:rPr>
          <w:rFonts w:ascii="Arial" w:eastAsia="Times New Roman" w:hAnsi="Arial" w:cs="Arial"/>
          <w:lang w:eastAsia="en-AU"/>
        </w:rPr>
        <w:t>T</w:t>
      </w:r>
      <w:r w:rsidR="00AB77F4" w:rsidRPr="005908A2">
        <w:rPr>
          <w:rFonts w:ascii="Arial" w:eastAsia="Times New Roman" w:hAnsi="Arial" w:cs="Arial"/>
          <w:lang w:eastAsia="en-AU"/>
        </w:rPr>
        <w:t xml:space="preserve">here is no evidence that reducing wages would </w:t>
      </w:r>
      <w:r w:rsidR="00904D98" w:rsidRPr="005908A2">
        <w:rPr>
          <w:rFonts w:ascii="Arial" w:eastAsia="Times New Roman" w:hAnsi="Arial" w:cs="Arial"/>
          <w:lang w:eastAsia="en-AU"/>
        </w:rPr>
        <w:t>improve productivity</w:t>
      </w:r>
      <w:r w:rsidR="00AB77F4" w:rsidRPr="005908A2">
        <w:rPr>
          <w:rFonts w:ascii="Arial" w:eastAsia="Times New Roman" w:hAnsi="Arial" w:cs="Arial"/>
          <w:lang w:eastAsia="en-AU"/>
        </w:rPr>
        <w:t>. In f</w:t>
      </w:r>
      <w:r w:rsidRPr="005908A2">
        <w:rPr>
          <w:rFonts w:ascii="Arial" w:eastAsia="Times New Roman" w:hAnsi="Arial" w:cs="Arial"/>
          <w:lang w:eastAsia="en-AU"/>
        </w:rPr>
        <w:t>act,</w:t>
      </w:r>
      <w:r w:rsidR="00AB77F4" w:rsidRPr="005908A2">
        <w:rPr>
          <w:rFonts w:ascii="Arial" w:eastAsia="Times New Roman" w:hAnsi="Arial" w:cs="Arial"/>
          <w:lang w:eastAsia="en-AU"/>
        </w:rPr>
        <w:t xml:space="preserve"> t</w:t>
      </w:r>
      <w:r w:rsidR="00904D98" w:rsidRPr="005908A2">
        <w:rPr>
          <w:rFonts w:ascii="Arial" w:eastAsia="Times New Roman" w:hAnsi="Arial" w:cs="Arial"/>
          <w:lang w:eastAsia="en-AU"/>
        </w:rPr>
        <w:t>here have been substantial</w:t>
      </w:r>
      <w:r w:rsidR="00F925C1" w:rsidRPr="005908A2">
        <w:rPr>
          <w:rFonts w:ascii="Arial" w:eastAsia="Times New Roman" w:hAnsi="Arial" w:cs="Arial"/>
          <w:lang w:eastAsia="en-AU"/>
        </w:rPr>
        <w:t xml:space="preserve"> increases in </w:t>
      </w:r>
      <w:r w:rsidR="00904D98" w:rsidRPr="005908A2">
        <w:rPr>
          <w:rFonts w:ascii="Arial" w:eastAsia="Times New Roman" w:hAnsi="Arial" w:cs="Arial"/>
          <w:lang w:eastAsia="en-AU"/>
        </w:rPr>
        <w:t xml:space="preserve">labour </w:t>
      </w:r>
      <w:r w:rsidR="00F925C1" w:rsidRPr="005908A2">
        <w:rPr>
          <w:rFonts w:ascii="Arial" w:eastAsia="Times New Roman" w:hAnsi="Arial" w:cs="Arial"/>
          <w:lang w:eastAsia="en-AU"/>
        </w:rPr>
        <w:t xml:space="preserve">productivity since 2000 </w:t>
      </w:r>
      <w:r w:rsidR="00904D98" w:rsidRPr="005908A2">
        <w:rPr>
          <w:rFonts w:ascii="Arial" w:eastAsia="Times New Roman" w:hAnsi="Arial" w:cs="Arial"/>
          <w:lang w:eastAsia="en-AU"/>
        </w:rPr>
        <w:t xml:space="preserve">illustrated by increases in the </w:t>
      </w:r>
      <w:r w:rsidR="00904D98" w:rsidRPr="00887F0A">
        <w:rPr>
          <w:rFonts w:ascii="Arial" w:eastAsia="Times New Roman" w:hAnsi="Arial" w:cs="Arial"/>
          <w:i/>
          <w:lang w:eastAsia="en-AU"/>
        </w:rPr>
        <w:t>ABS Index of Gross Domestic Product</w:t>
      </w:r>
      <w:r w:rsidR="00904D98" w:rsidRPr="005908A2">
        <w:rPr>
          <w:rFonts w:ascii="Arial" w:eastAsia="Times New Roman" w:hAnsi="Arial" w:cs="Arial"/>
          <w:lang w:eastAsia="en-AU"/>
        </w:rPr>
        <w:t xml:space="preserve"> per hour worked </w:t>
      </w:r>
      <w:r w:rsidR="00E939BC" w:rsidRPr="005908A2">
        <w:rPr>
          <w:rFonts w:ascii="Arial" w:eastAsia="Times New Roman" w:hAnsi="Arial" w:cs="Arial"/>
          <w:lang w:eastAsia="en-AU"/>
        </w:rPr>
        <w:t xml:space="preserve">of 20.1% </w:t>
      </w:r>
      <w:r w:rsidR="00904D98" w:rsidRPr="005908A2">
        <w:rPr>
          <w:rFonts w:ascii="Arial" w:eastAsia="Times New Roman" w:hAnsi="Arial" w:cs="Arial"/>
          <w:lang w:eastAsia="en-AU"/>
        </w:rPr>
        <w:t>over the 13 years to December 2013 (</w:t>
      </w:r>
      <w:r w:rsidR="004B753C" w:rsidRPr="005908A2">
        <w:rPr>
          <w:rFonts w:ascii="Arial" w:eastAsia="Times New Roman" w:hAnsi="Arial" w:cs="Arial"/>
          <w:lang w:eastAsia="en-AU"/>
        </w:rPr>
        <w:t>Lawrence</w:t>
      </w:r>
      <w:r w:rsidR="00904D98" w:rsidRPr="005908A2">
        <w:rPr>
          <w:rFonts w:ascii="Arial" w:eastAsia="Times New Roman" w:hAnsi="Arial" w:cs="Arial"/>
          <w:lang w:eastAsia="en-AU"/>
        </w:rPr>
        <w:t xml:space="preserve"> 2014</w:t>
      </w:r>
      <w:r w:rsidR="00291ADF" w:rsidRPr="005908A2">
        <w:rPr>
          <w:rFonts w:ascii="Arial" w:eastAsia="Times New Roman" w:hAnsi="Arial" w:cs="Arial"/>
          <w:lang w:eastAsia="en-AU"/>
        </w:rPr>
        <w:t>).</w:t>
      </w:r>
      <w:r w:rsidR="00291ADF" w:rsidRPr="00447B2E">
        <w:rPr>
          <w:rStyle w:val="FootnoteReference"/>
          <w:rFonts w:ascii="Arial" w:hAnsi="Arial" w:cs="Arial"/>
          <w:i/>
        </w:rPr>
        <w:footnoteReference w:id="15"/>
      </w:r>
      <w:r w:rsidR="00BF4BB5" w:rsidRPr="00447B2E">
        <w:rPr>
          <w:rFonts w:ascii="Arial" w:eastAsia="Times New Roman" w:hAnsi="Arial" w:cs="Arial"/>
          <w:lang w:eastAsia="en-AU"/>
        </w:rPr>
        <w:t xml:space="preserve"> </w:t>
      </w:r>
      <w:r w:rsidR="00A72407" w:rsidRPr="005908A2">
        <w:rPr>
          <w:rFonts w:ascii="Arial" w:eastAsia="Times New Roman" w:hAnsi="Arial" w:cs="Arial"/>
          <w:lang w:eastAsia="en-AU"/>
        </w:rPr>
        <w:t xml:space="preserve">Further, the recent </w:t>
      </w:r>
      <w:r w:rsidR="00A72407" w:rsidRPr="00887F0A">
        <w:rPr>
          <w:rFonts w:ascii="Arial" w:eastAsia="Times New Roman" w:hAnsi="Arial" w:cs="Arial"/>
          <w:i/>
          <w:lang w:eastAsia="en-AU"/>
        </w:rPr>
        <w:t>Australian Workplace Relations Study</w:t>
      </w:r>
      <w:r w:rsidR="00BA07A2" w:rsidRPr="005908A2">
        <w:rPr>
          <w:rFonts w:ascii="Arial" w:eastAsia="Times New Roman" w:hAnsi="Arial" w:cs="Arial"/>
          <w:lang w:eastAsia="en-AU"/>
        </w:rPr>
        <w:t xml:space="preserve"> </w:t>
      </w:r>
      <w:r w:rsidR="009B2EC2" w:rsidRPr="005908A2">
        <w:rPr>
          <w:rFonts w:ascii="Arial" w:eastAsia="Times New Roman" w:hAnsi="Arial" w:cs="Arial"/>
          <w:lang w:eastAsia="en-AU"/>
        </w:rPr>
        <w:t xml:space="preserve">(AWRS) </w:t>
      </w:r>
      <w:r w:rsidR="00BA07A2" w:rsidRPr="005908A2">
        <w:rPr>
          <w:rFonts w:ascii="Arial" w:eastAsia="Times New Roman" w:hAnsi="Arial" w:cs="Arial"/>
          <w:lang w:eastAsia="en-AU"/>
        </w:rPr>
        <w:t>data compiled from employer responses show</w:t>
      </w:r>
      <w:r w:rsidR="00DB4CF2" w:rsidRPr="005908A2">
        <w:rPr>
          <w:rFonts w:ascii="Arial" w:eastAsia="Times New Roman" w:hAnsi="Arial" w:cs="Arial"/>
          <w:lang w:eastAsia="en-AU"/>
        </w:rPr>
        <w:t>s</w:t>
      </w:r>
      <w:r w:rsidR="00BA07A2" w:rsidRPr="005908A2">
        <w:rPr>
          <w:rFonts w:ascii="Arial" w:eastAsia="Times New Roman" w:hAnsi="Arial" w:cs="Arial"/>
          <w:lang w:eastAsia="en-AU"/>
        </w:rPr>
        <w:t xml:space="preserve"> that 85% believe that</w:t>
      </w:r>
      <w:r w:rsidR="009B2EC2" w:rsidRPr="005908A2">
        <w:rPr>
          <w:rFonts w:ascii="Arial" w:eastAsia="Times New Roman" w:hAnsi="Arial" w:cs="Arial"/>
          <w:lang w:eastAsia="en-AU"/>
        </w:rPr>
        <w:t xml:space="preserve"> </w:t>
      </w:r>
      <w:r w:rsidR="00BA07A2" w:rsidRPr="005908A2">
        <w:rPr>
          <w:rFonts w:ascii="Arial" w:eastAsia="Times New Roman" w:hAnsi="Arial" w:cs="Arial"/>
          <w:lang w:eastAsia="en-AU"/>
        </w:rPr>
        <w:t>workforce</w:t>
      </w:r>
      <w:r w:rsidR="00BA07A2" w:rsidRPr="005908A2">
        <w:rPr>
          <w:rFonts w:eastAsia="Times New Roman"/>
          <w:lang w:eastAsia="en-AU"/>
        </w:rPr>
        <w:t> </w:t>
      </w:r>
      <w:r w:rsidR="00BA07A2" w:rsidRPr="00B61C8D">
        <w:rPr>
          <w:rFonts w:ascii="Arial" w:eastAsia="Times New Roman" w:hAnsi="Arial" w:cs="Arial"/>
          <w:lang w:eastAsia="en-AU"/>
        </w:rPr>
        <w:t>productivity</w:t>
      </w:r>
      <w:r w:rsidR="00BA07A2" w:rsidRPr="005908A2">
        <w:rPr>
          <w:rFonts w:eastAsia="Times New Roman"/>
          <w:lang w:eastAsia="en-AU"/>
        </w:rPr>
        <w:t xml:space="preserve"> </w:t>
      </w:r>
      <w:r w:rsidR="00BA07A2" w:rsidRPr="005908A2">
        <w:rPr>
          <w:rFonts w:ascii="Arial" w:eastAsia="Times New Roman" w:hAnsi="Arial" w:cs="Arial"/>
          <w:lang w:eastAsia="en-AU"/>
        </w:rPr>
        <w:t>is either the same as the previous financial year (2012-2013) or higher</w:t>
      </w:r>
      <w:r w:rsidR="00447B2E">
        <w:rPr>
          <w:rFonts w:ascii="Arial" w:eastAsia="Times New Roman" w:hAnsi="Arial" w:cs="Arial"/>
          <w:lang w:eastAsia="en-AU"/>
        </w:rPr>
        <w:t>.</w:t>
      </w:r>
      <w:r w:rsidR="00BA07A2" w:rsidRPr="00447B2E">
        <w:rPr>
          <w:rStyle w:val="FootnoteReference"/>
          <w:rFonts w:ascii="Arial" w:hAnsi="Arial" w:cs="Arial"/>
          <w:i/>
        </w:rPr>
        <w:t>.</w:t>
      </w:r>
      <w:r w:rsidR="009B2EC2" w:rsidRPr="00447B2E">
        <w:rPr>
          <w:rStyle w:val="FootnoteReference"/>
          <w:rFonts w:ascii="Arial" w:hAnsi="Arial" w:cs="Arial"/>
          <w:i/>
        </w:rPr>
        <w:footnoteReference w:id="16"/>
      </w:r>
    </w:p>
    <w:p w:rsidR="009A346C" w:rsidRPr="00554EBF" w:rsidRDefault="009A346C" w:rsidP="00C22168">
      <w:pPr>
        <w:rPr>
          <w:rFonts w:ascii="Arial" w:hAnsi="Arial" w:cs="Arial"/>
        </w:rPr>
      </w:pPr>
      <w:r w:rsidRPr="00554EBF">
        <w:rPr>
          <w:rFonts w:ascii="Arial" w:hAnsi="Arial" w:cs="Arial"/>
        </w:rPr>
        <w:t xml:space="preserve">In our view, there is an important and real need </w:t>
      </w:r>
      <w:r w:rsidR="00554EBF">
        <w:rPr>
          <w:rFonts w:ascii="Arial" w:hAnsi="Arial" w:cs="Arial"/>
        </w:rPr>
        <w:t xml:space="preserve">for the </w:t>
      </w:r>
      <w:r w:rsidRPr="00554EBF">
        <w:rPr>
          <w:rFonts w:ascii="Arial" w:hAnsi="Arial" w:cs="Arial"/>
        </w:rPr>
        <w:t>continuing</w:t>
      </w:r>
      <w:r w:rsidR="00554EBF">
        <w:rPr>
          <w:rFonts w:ascii="Arial" w:hAnsi="Arial" w:cs="Arial"/>
        </w:rPr>
        <w:t xml:space="preserve"> role of the </w:t>
      </w:r>
      <w:r w:rsidRPr="00554EBF">
        <w:rPr>
          <w:rFonts w:ascii="Arial" w:hAnsi="Arial" w:cs="Arial"/>
        </w:rPr>
        <w:t>NMW and minimum wages</w:t>
      </w:r>
      <w:r w:rsidR="00554EBF">
        <w:rPr>
          <w:rFonts w:ascii="Arial" w:hAnsi="Arial" w:cs="Arial"/>
        </w:rPr>
        <w:t xml:space="preserve"> as the </w:t>
      </w:r>
      <w:r w:rsidR="00222151" w:rsidRPr="00BD4997">
        <w:rPr>
          <w:rFonts w:ascii="Arial" w:hAnsi="Arial" w:cs="Arial"/>
        </w:rPr>
        <w:t>floor</w:t>
      </w:r>
      <w:r w:rsidR="00222151" w:rsidRPr="00554EBF">
        <w:rPr>
          <w:rFonts w:ascii="Arial" w:hAnsi="Arial" w:cs="Arial"/>
        </w:rPr>
        <w:t xml:space="preserve"> for pay rates</w:t>
      </w:r>
      <w:r w:rsidR="001F30B7" w:rsidRPr="00554EBF">
        <w:rPr>
          <w:rFonts w:ascii="Arial" w:hAnsi="Arial" w:cs="Arial"/>
        </w:rPr>
        <w:t xml:space="preserve">. A cut in </w:t>
      </w:r>
      <w:r w:rsidR="00554EBF">
        <w:rPr>
          <w:rFonts w:ascii="Arial" w:hAnsi="Arial" w:cs="Arial"/>
        </w:rPr>
        <w:t xml:space="preserve">real </w:t>
      </w:r>
      <w:r w:rsidR="001F30B7" w:rsidRPr="00554EBF">
        <w:rPr>
          <w:rFonts w:ascii="Arial" w:hAnsi="Arial" w:cs="Arial"/>
        </w:rPr>
        <w:t>wages of low paid workers would cause a fall in the living standards of safety net-dependent workers and their families and others who have their wages linked in some way to safety net rates. Many of these workers and their families are already living in poverty and do not have a decent standard of living</w:t>
      </w:r>
      <w:r w:rsidR="00A70E40">
        <w:rPr>
          <w:rFonts w:ascii="Arial" w:hAnsi="Arial" w:cs="Arial"/>
        </w:rPr>
        <w:t>.</w:t>
      </w:r>
    </w:p>
    <w:p w:rsidR="00554EBF" w:rsidRDefault="00554EBF" w:rsidP="00554EBF">
      <w:pPr>
        <w:rPr>
          <w:rFonts w:ascii="Arial" w:hAnsi="Arial" w:cs="Arial"/>
        </w:rPr>
      </w:pPr>
      <w:r w:rsidRPr="00EB0BF5">
        <w:rPr>
          <w:rFonts w:ascii="Arial" w:hAnsi="Arial" w:cs="Arial"/>
        </w:rPr>
        <w:t xml:space="preserve">Wage justice and fair employment are not just about productivity but are critical measures of a society’s commitment to providing work and decent incomes, alleviating poverty,  promoting social inclusion and protecting those who are disadvantaged. </w:t>
      </w:r>
    </w:p>
    <w:p w:rsidR="003A5782" w:rsidRPr="00D7563B" w:rsidRDefault="000E6E56">
      <w:pPr>
        <w:rPr>
          <w:rFonts w:ascii="Arial" w:hAnsi="Arial" w:cs="Arial"/>
          <w:b/>
          <w:bCs/>
          <w:i/>
          <w:color w:val="C0504D"/>
          <w:sz w:val="24"/>
          <w:szCs w:val="24"/>
        </w:rPr>
      </w:pPr>
      <w:r w:rsidRPr="00D7563B">
        <w:rPr>
          <w:rFonts w:ascii="Arial" w:hAnsi="Arial" w:cs="Arial"/>
          <w:b/>
          <w:bCs/>
          <w:i/>
          <w:color w:val="C0504D"/>
          <w:sz w:val="24"/>
          <w:szCs w:val="24"/>
        </w:rPr>
        <w:t xml:space="preserve">Safety net no </w:t>
      </w:r>
      <w:r w:rsidR="00786730" w:rsidRPr="00D7563B">
        <w:rPr>
          <w:rFonts w:ascii="Arial" w:hAnsi="Arial" w:cs="Arial"/>
          <w:b/>
          <w:bCs/>
          <w:i/>
          <w:color w:val="C0504D"/>
          <w:sz w:val="24"/>
          <w:szCs w:val="24"/>
        </w:rPr>
        <w:t>impediment to prod</w:t>
      </w:r>
      <w:r w:rsidR="00FF4AF5" w:rsidRPr="00D7563B">
        <w:rPr>
          <w:rFonts w:ascii="Arial" w:hAnsi="Arial" w:cs="Arial"/>
          <w:b/>
          <w:bCs/>
          <w:i/>
          <w:color w:val="C0504D"/>
          <w:sz w:val="24"/>
          <w:szCs w:val="24"/>
        </w:rPr>
        <w:t xml:space="preserve">uctivity </w:t>
      </w:r>
      <w:r w:rsidR="00786730" w:rsidRPr="00D7563B">
        <w:rPr>
          <w:rFonts w:ascii="Arial" w:hAnsi="Arial" w:cs="Arial"/>
          <w:b/>
          <w:bCs/>
          <w:i/>
          <w:color w:val="C0504D"/>
          <w:sz w:val="24"/>
          <w:szCs w:val="24"/>
        </w:rPr>
        <w:t xml:space="preserve">and cooperative </w:t>
      </w:r>
      <w:r w:rsidR="00904860" w:rsidRPr="00D7563B">
        <w:rPr>
          <w:rFonts w:ascii="Arial" w:hAnsi="Arial" w:cs="Arial"/>
          <w:b/>
          <w:bCs/>
          <w:i/>
          <w:color w:val="C0504D"/>
          <w:sz w:val="24"/>
          <w:szCs w:val="24"/>
        </w:rPr>
        <w:t>workplace</w:t>
      </w:r>
      <w:r w:rsidR="00786730" w:rsidRPr="00D7563B">
        <w:rPr>
          <w:rFonts w:ascii="Arial" w:hAnsi="Arial" w:cs="Arial"/>
          <w:b/>
          <w:bCs/>
          <w:i/>
          <w:color w:val="C0504D"/>
          <w:sz w:val="24"/>
          <w:szCs w:val="24"/>
        </w:rPr>
        <w:t xml:space="preserve"> </w:t>
      </w:r>
      <w:r w:rsidR="00904860" w:rsidRPr="00D7563B">
        <w:rPr>
          <w:rFonts w:ascii="Arial" w:hAnsi="Arial" w:cs="Arial"/>
          <w:b/>
          <w:bCs/>
          <w:i/>
          <w:color w:val="C0504D"/>
          <w:sz w:val="24"/>
          <w:szCs w:val="24"/>
        </w:rPr>
        <w:t>relations</w:t>
      </w:r>
    </w:p>
    <w:p w:rsidR="00D61BCE" w:rsidRDefault="00331A6F">
      <w:pPr>
        <w:rPr>
          <w:rFonts w:ascii="Arial" w:hAnsi="Arial" w:cs="Arial"/>
        </w:rPr>
      </w:pPr>
      <w:r>
        <w:rPr>
          <w:rFonts w:ascii="Arial" w:hAnsi="Arial" w:cs="Arial"/>
        </w:rPr>
        <w:t xml:space="preserve">In addition to </w:t>
      </w:r>
      <w:r w:rsidR="00BD386B">
        <w:rPr>
          <w:rFonts w:ascii="Arial" w:hAnsi="Arial" w:cs="Arial"/>
        </w:rPr>
        <w:t>the wages safety net</w:t>
      </w:r>
      <w:r>
        <w:rPr>
          <w:rFonts w:ascii="Arial" w:hAnsi="Arial" w:cs="Arial"/>
        </w:rPr>
        <w:t xml:space="preserve">, CCER </w:t>
      </w:r>
      <w:r w:rsidR="005F0F07">
        <w:rPr>
          <w:rFonts w:ascii="Arial" w:hAnsi="Arial" w:cs="Arial"/>
        </w:rPr>
        <w:t>supports the safety net of minimum terms and conditions provided for in the N</w:t>
      </w:r>
      <w:r>
        <w:rPr>
          <w:rFonts w:ascii="Arial" w:hAnsi="Arial" w:cs="Arial"/>
        </w:rPr>
        <w:t xml:space="preserve">ational Employment Standards </w:t>
      </w:r>
      <w:r w:rsidR="003C3BD0">
        <w:rPr>
          <w:rFonts w:ascii="Arial" w:hAnsi="Arial" w:cs="Arial"/>
        </w:rPr>
        <w:t xml:space="preserve">(NES) </w:t>
      </w:r>
      <w:r>
        <w:rPr>
          <w:rFonts w:ascii="Arial" w:hAnsi="Arial" w:cs="Arial"/>
        </w:rPr>
        <w:t>a</w:t>
      </w:r>
      <w:r w:rsidR="005F0F07">
        <w:rPr>
          <w:rFonts w:ascii="Arial" w:hAnsi="Arial" w:cs="Arial"/>
        </w:rPr>
        <w:t xml:space="preserve">nd modern awards. </w:t>
      </w:r>
      <w:r w:rsidR="003C3BD0">
        <w:rPr>
          <w:rFonts w:ascii="Arial" w:hAnsi="Arial" w:cs="Arial"/>
        </w:rPr>
        <w:t>We recognise that minor modifications may be appropriate to clarify some aspects of the NES and are supportive of the four-</w:t>
      </w:r>
      <w:r w:rsidR="003C3BD0" w:rsidRPr="003C69E5">
        <w:rPr>
          <w:rFonts w:ascii="Arial" w:hAnsi="Arial" w:cs="Arial"/>
        </w:rPr>
        <w:t>year</w:t>
      </w:r>
      <w:r w:rsidR="003C3BD0">
        <w:rPr>
          <w:rFonts w:ascii="Arial" w:hAnsi="Arial" w:cs="Arial"/>
        </w:rPr>
        <w:t>ly process to review modern awards.</w:t>
      </w:r>
    </w:p>
    <w:p w:rsidR="00EC633B" w:rsidRDefault="00331A6F" w:rsidP="00331A6F">
      <w:pPr>
        <w:rPr>
          <w:rFonts w:ascii="Arial" w:hAnsi="Arial" w:cs="Arial"/>
        </w:rPr>
      </w:pPr>
      <w:r w:rsidRPr="009D1142">
        <w:rPr>
          <w:rFonts w:ascii="Arial" w:hAnsi="Arial" w:cs="Arial"/>
        </w:rPr>
        <w:t>Typically, awards include requirements</w:t>
      </w:r>
      <w:r>
        <w:rPr>
          <w:rFonts w:ascii="Arial" w:hAnsi="Arial" w:cs="Arial"/>
        </w:rPr>
        <w:t xml:space="preserve"> </w:t>
      </w:r>
      <w:r w:rsidRPr="009D1142">
        <w:rPr>
          <w:rFonts w:ascii="Arial" w:hAnsi="Arial" w:cs="Arial"/>
        </w:rPr>
        <w:t>for meal breaks, rest periods, minimum breaks between shifts, restrictions on</w:t>
      </w:r>
      <w:r>
        <w:rPr>
          <w:rFonts w:ascii="Arial" w:hAnsi="Arial" w:cs="Arial"/>
        </w:rPr>
        <w:t xml:space="preserve"> </w:t>
      </w:r>
      <w:r w:rsidRPr="009D1142">
        <w:rPr>
          <w:rFonts w:ascii="Arial" w:hAnsi="Arial" w:cs="Arial"/>
        </w:rPr>
        <w:t>excessive overtime and the like. They may be seen by some as impediments</w:t>
      </w:r>
      <w:r>
        <w:rPr>
          <w:rFonts w:ascii="Arial" w:hAnsi="Arial" w:cs="Arial"/>
        </w:rPr>
        <w:t xml:space="preserve"> </w:t>
      </w:r>
      <w:r w:rsidRPr="009D1142">
        <w:rPr>
          <w:rFonts w:ascii="Arial" w:hAnsi="Arial" w:cs="Arial"/>
        </w:rPr>
        <w:t xml:space="preserve">to productivity gains, but they are, </w:t>
      </w:r>
      <w:r>
        <w:rPr>
          <w:rFonts w:ascii="Arial" w:hAnsi="Arial" w:cs="Arial"/>
        </w:rPr>
        <w:t xml:space="preserve">in CCER’s view, </w:t>
      </w:r>
      <w:r w:rsidRPr="009D1142">
        <w:rPr>
          <w:rFonts w:ascii="Arial" w:hAnsi="Arial" w:cs="Arial"/>
        </w:rPr>
        <w:t>fair protections of the welfare and,</w:t>
      </w:r>
      <w:r>
        <w:rPr>
          <w:rFonts w:ascii="Arial" w:hAnsi="Arial" w:cs="Arial"/>
        </w:rPr>
        <w:t xml:space="preserve"> </w:t>
      </w:r>
      <w:r w:rsidRPr="009D1142">
        <w:rPr>
          <w:rFonts w:ascii="Arial" w:hAnsi="Arial" w:cs="Arial"/>
        </w:rPr>
        <w:t xml:space="preserve">sometimes, the health and safety of workers. They </w:t>
      </w:r>
      <w:r w:rsidR="00BB744F">
        <w:rPr>
          <w:rFonts w:ascii="Arial" w:hAnsi="Arial" w:cs="Arial"/>
        </w:rPr>
        <w:t xml:space="preserve">are not onerous, </w:t>
      </w:r>
      <w:r w:rsidRPr="009D1142">
        <w:rPr>
          <w:rFonts w:ascii="Arial" w:hAnsi="Arial" w:cs="Arial"/>
        </w:rPr>
        <w:t>provide sufficient rest for</w:t>
      </w:r>
      <w:r>
        <w:rPr>
          <w:rFonts w:ascii="Arial" w:hAnsi="Arial" w:cs="Arial"/>
        </w:rPr>
        <w:t xml:space="preserve"> </w:t>
      </w:r>
      <w:r w:rsidRPr="009D1142">
        <w:rPr>
          <w:rFonts w:ascii="Arial" w:hAnsi="Arial" w:cs="Arial"/>
        </w:rPr>
        <w:t>workers and assist productivity.</w:t>
      </w:r>
      <w:r w:rsidR="00EC633B">
        <w:rPr>
          <w:rFonts w:ascii="Arial" w:hAnsi="Arial" w:cs="Arial"/>
        </w:rPr>
        <w:t xml:space="preserve"> </w:t>
      </w:r>
    </w:p>
    <w:p w:rsidR="00331A6F" w:rsidRDefault="00EC633B" w:rsidP="00331A6F">
      <w:pPr>
        <w:rPr>
          <w:rFonts w:ascii="Arial" w:hAnsi="Arial" w:cs="Arial"/>
        </w:rPr>
      </w:pPr>
      <w:r>
        <w:rPr>
          <w:rFonts w:ascii="Arial" w:hAnsi="Arial" w:cs="Arial"/>
        </w:rPr>
        <w:t xml:space="preserve">In CCER’s view, </w:t>
      </w:r>
      <w:r w:rsidR="00331A6F" w:rsidRPr="009D1142">
        <w:rPr>
          <w:rFonts w:ascii="Arial" w:hAnsi="Arial" w:cs="Arial"/>
        </w:rPr>
        <w:t>poor health and safety arrangements</w:t>
      </w:r>
      <w:r w:rsidR="00331A6F">
        <w:rPr>
          <w:rFonts w:ascii="Arial" w:hAnsi="Arial" w:cs="Arial"/>
        </w:rPr>
        <w:t xml:space="preserve"> </w:t>
      </w:r>
      <w:r w:rsidR="00331A6F" w:rsidRPr="009D1142">
        <w:rPr>
          <w:rFonts w:ascii="Arial" w:hAnsi="Arial" w:cs="Arial"/>
        </w:rPr>
        <w:t xml:space="preserve">may be an impediment to productivity levels. </w:t>
      </w:r>
      <w:r w:rsidR="00C1359D">
        <w:rPr>
          <w:rFonts w:ascii="Arial" w:hAnsi="Arial" w:cs="Arial"/>
        </w:rPr>
        <w:t>Award p</w:t>
      </w:r>
      <w:r w:rsidR="00331A6F" w:rsidRPr="009D1142">
        <w:rPr>
          <w:rFonts w:ascii="Arial" w:hAnsi="Arial" w:cs="Arial"/>
        </w:rPr>
        <w:t>rovisions designed to improve</w:t>
      </w:r>
      <w:r w:rsidR="00331A6F">
        <w:rPr>
          <w:rFonts w:ascii="Arial" w:hAnsi="Arial" w:cs="Arial"/>
        </w:rPr>
        <w:t xml:space="preserve"> </w:t>
      </w:r>
      <w:r w:rsidR="00331A6F" w:rsidRPr="009D1142">
        <w:rPr>
          <w:rFonts w:ascii="Arial" w:hAnsi="Arial" w:cs="Arial"/>
        </w:rPr>
        <w:t>the work/life balance and family friendly provisions may prevent an employer</w:t>
      </w:r>
      <w:r w:rsidR="00331A6F">
        <w:rPr>
          <w:rFonts w:ascii="Arial" w:hAnsi="Arial" w:cs="Arial"/>
        </w:rPr>
        <w:t xml:space="preserve"> </w:t>
      </w:r>
      <w:r w:rsidR="00331A6F" w:rsidRPr="009D1142">
        <w:rPr>
          <w:rFonts w:ascii="Arial" w:hAnsi="Arial" w:cs="Arial"/>
        </w:rPr>
        <w:t xml:space="preserve">from directing its workers in the way that it would prefer. </w:t>
      </w:r>
      <w:r w:rsidR="00C1359D">
        <w:rPr>
          <w:rFonts w:ascii="Arial" w:hAnsi="Arial" w:cs="Arial"/>
        </w:rPr>
        <w:t>However</w:t>
      </w:r>
      <w:r w:rsidR="00226522">
        <w:rPr>
          <w:rFonts w:ascii="Arial" w:hAnsi="Arial" w:cs="Arial"/>
        </w:rPr>
        <w:t>, the</w:t>
      </w:r>
      <w:r w:rsidR="006B06CB">
        <w:rPr>
          <w:rFonts w:ascii="Arial" w:hAnsi="Arial" w:cs="Arial"/>
        </w:rPr>
        <w:t xml:space="preserve"> removal of </w:t>
      </w:r>
      <w:r w:rsidR="00C1359D">
        <w:rPr>
          <w:rFonts w:ascii="Arial" w:hAnsi="Arial" w:cs="Arial"/>
        </w:rPr>
        <w:t xml:space="preserve">these </w:t>
      </w:r>
      <w:r w:rsidR="00331A6F" w:rsidRPr="009D1142">
        <w:rPr>
          <w:rFonts w:ascii="Arial" w:hAnsi="Arial" w:cs="Arial"/>
        </w:rPr>
        <w:t xml:space="preserve">kinds of </w:t>
      </w:r>
      <w:r w:rsidR="00C1359D">
        <w:rPr>
          <w:rFonts w:ascii="Arial" w:hAnsi="Arial" w:cs="Arial"/>
        </w:rPr>
        <w:t xml:space="preserve">award </w:t>
      </w:r>
      <w:r w:rsidR="00331A6F" w:rsidRPr="009D1142">
        <w:rPr>
          <w:rFonts w:ascii="Arial" w:hAnsi="Arial" w:cs="Arial"/>
        </w:rPr>
        <w:t>protections would have a de</w:t>
      </w:r>
      <w:r w:rsidR="00C1359D">
        <w:rPr>
          <w:rFonts w:ascii="Arial" w:hAnsi="Arial" w:cs="Arial"/>
        </w:rPr>
        <w:t>trimental</w:t>
      </w:r>
      <w:r w:rsidR="00331A6F" w:rsidRPr="009D1142">
        <w:rPr>
          <w:rFonts w:ascii="Arial" w:hAnsi="Arial" w:cs="Arial"/>
        </w:rPr>
        <w:t xml:space="preserve"> effect on many of those workers</w:t>
      </w:r>
      <w:r w:rsidR="00331A6F">
        <w:rPr>
          <w:rFonts w:ascii="Arial" w:hAnsi="Arial" w:cs="Arial"/>
        </w:rPr>
        <w:t xml:space="preserve"> </w:t>
      </w:r>
      <w:r w:rsidR="00331A6F" w:rsidRPr="009D1142">
        <w:rPr>
          <w:rFonts w:ascii="Arial" w:hAnsi="Arial" w:cs="Arial"/>
        </w:rPr>
        <w:t>with little or no bargaining power</w:t>
      </w:r>
      <w:r w:rsidR="00514640">
        <w:rPr>
          <w:rFonts w:ascii="Arial" w:hAnsi="Arial" w:cs="Arial"/>
        </w:rPr>
        <w:t xml:space="preserve"> without any corresponding increases in productivity</w:t>
      </w:r>
      <w:r w:rsidR="00092EBF">
        <w:rPr>
          <w:rFonts w:ascii="Arial" w:hAnsi="Arial" w:cs="Arial"/>
        </w:rPr>
        <w:t xml:space="preserve">, </w:t>
      </w:r>
      <w:r w:rsidR="00226522">
        <w:rPr>
          <w:rFonts w:ascii="Arial" w:hAnsi="Arial" w:cs="Arial"/>
        </w:rPr>
        <w:t>efficiency,</w:t>
      </w:r>
      <w:r w:rsidR="00092EBF">
        <w:rPr>
          <w:rFonts w:ascii="Arial" w:hAnsi="Arial" w:cs="Arial"/>
        </w:rPr>
        <w:t xml:space="preserve"> or employee </w:t>
      </w:r>
      <w:r w:rsidR="00226522">
        <w:rPr>
          <w:rFonts w:ascii="Arial" w:hAnsi="Arial" w:cs="Arial"/>
        </w:rPr>
        <w:t xml:space="preserve">satisfaction. </w:t>
      </w:r>
    </w:p>
    <w:p w:rsidR="00FA5205" w:rsidRPr="00883377" w:rsidRDefault="00132203">
      <w:pPr>
        <w:rPr>
          <w:rFonts w:ascii="Arial" w:eastAsia="Times New Roman" w:hAnsi="Arial" w:cs="Arial"/>
          <w:lang w:eastAsia="en-AU"/>
        </w:rPr>
      </w:pPr>
      <w:r w:rsidRPr="00883377">
        <w:rPr>
          <w:rFonts w:ascii="Arial" w:eastAsia="Times New Roman" w:hAnsi="Arial" w:cs="Arial"/>
          <w:lang w:eastAsia="en-AU"/>
        </w:rPr>
        <w:t>Following</w:t>
      </w:r>
      <w:r w:rsidR="00260410" w:rsidRPr="00883377">
        <w:rPr>
          <w:rFonts w:ascii="Arial" w:eastAsia="Times New Roman" w:hAnsi="Arial" w:cs="Arial"/>
          <w:lang w:eastAsia="en-AU"/>
        </w:rPr>
        <w:t xml:space="preserve"> the detailed award modernisation process,</w:t>
      </w:r>
      <w:r w:rsidR="00051DFC" w:rsidRPr="00883377">
        <w:rPr>
          <w:rFonts w:ascii="Arial" w:eastAsia="Times New Roman" w:hAnsi="Arial" w:cs="Arial"/>
          <w:lang w:eastAsia="en-AU"/>
        </w:rPr>
        <w:t xml:space="preserve"> </w:t>
      </w:r>
      <w:r w:rsidR="005F0F07" w:rsidRPr="00883377">
        <w:rPr>
          <w:rFonts w:ascii="Arial" w:eastAsia="Times New Roman" w:hAnsi="Arial" w:cs="Arial"/>
          <w:lang w:eastAsia="en-AU"/>
        </w:rPr>
        <w:t xml:space="preserve">award </w:t>
      </w:r>
      <w:r w:rsidRPr="00883377">
        <w:rPr>
          <w:rFonts w:ascii="Arial" w:eastAsia="Times New Roman" w:hAnsi="Arial" w:cs="Arial"/>
          <w:lang w:eastAsia="en-AU"/>
        </w:rPr>
        <w:t>provisions</w:t>
      </w:r>
      <w:r w:rsidR="005F0F07" w:rsidRPr="00883377">
        <w:rPr>
          <w:rFonts w:ascii="Arial" w:eastAsia="Times New Roman" w:hAnsi="Arial" w:cs="Arial"/>
          <w:lang w:eastAsia="en-AU"/>
        </w:rPr>
        <w:t xml:space="preserve"> are </w:t>
      </w:r>
      <w:r w:rsidRPr="00883377">
        <w:rPr>
          <w:rFonts w:ascii="Arial" w:eastAsia="Times New Roman" w:hAnsi="Arial" w:cs="Arial"/>
          <w:lang w:eastAsia="en-AU"/>
        </w:rPr>
        <w:t>tailored</w:t>
      </w:r>
      <w:r w:rsidR="005F0F07" w:rsidRPr="00883377">
        <w:rPr>
          <w:rFonts w:ascii="Arial" w:eastAsia="Times New Roman" w:hAnsi="Arial" w:cs="Arial"/>
          <w:lang w:eastAsia="en-AU"/>
        </w:rPr>
        <w:t xml:space="preserve"> to </w:t>
      </w:r>
      <w:r w:rsidRPr="00883377">
        <w:rPr>
          <w:rFonts w:ascii="Arial" w:eastAsia="Times New Roman" w:hAnsi="Arial" w:cs="Arial"/>
          <w:lang w:eastAsia="en-AU"/>
        </w:rPr>
        <w:t>meet</w:t>
      </w:r>
      <w:r w:rsidR="005F0F07" w:rsidRPr="00883377">
        <w:rPr>
          <w:rFonts w:ascii="Arial" w:eastAsia="Times New Roman" w:hAnsi="Arial" w:cs="Arial"/>
          <w:lang w:eastAsia="en-AU"/>
        </w:rPr>
        <w:t xml:space="preserve"> </w:t>
      </w:r>
      <w:r w:rsidR="00051DFC" w:rsidRPr="00883377">
        <w:rPr>
          <w:rFonts w:ascii="Arial" w:eastAsia="Times New Roman" w:hAnsi="Arial" w:cs="Arial"/>
          <w:lang w:eastAsia="en-AU"/>
        </w:rPr>
        <w:t>the needs of p</w:t>
      </w:r>
      <w:r w:rsidR="005F0F07" w:rsidRPr="00883377">
        <w:rPr>
          <w:rFonts w:ascii="Arial" w:eastAsia="Times New Roman" w:hAnsi="Arial" w:cs="Arial"/>
          <w:lang w:eastAsia="en-AU"/>
        </w:rPr>
        <w:t xml:space="preserve">articular industries, occupations or enterprises and </w:t>
      </w:r>
      <w:r w:rsidR="00E649FE" w:rsidRPr="00883377">
        <w:rPr>
          <w:rFonts w:ascii="Arial" w:eastAsia="Times New Roman" w:hAnsi="Arial" w:cs="Arial"/>
          <w:lang w:eastAsia="en-AU"/>
        </w:rPr>
        <w:t xml:space="preserve">should not </w:t>
      </w:r>
      <w:r w:rsidR="004B7D19" w:rsidRPr="00883377">
        <w:rPr>
          <w:rFonts w:ascii="Arial" w:eastAsia="Times New Roman" w:hAnsi="Arial" w:cs="Arial"/>
          <w:lang w:eastAsia="en-AU"/>
        </w:rPr>
        <w:t>be reduced</w:t>
      </w:r>
      <w:r w:rsidR="005F0F07" w:rsidRPr="00883377">
        <w:rPr>
          <w:rFonts w:ascii="Arial" w:eastAsia="Times New Roman" w:hAnsi="Arial" w:cs="Arial"/>
          <w:lang w:eastAsia="en-AU"/>
        </w:rPr>
        <w:t xml:space="preserve"> to a </w:t>
      </w:r>
      <w:r w:rsidR="00E80250">
        <w:rPr>
          <w:rFonts w:ascii="Arial" w:eastAsia="Times New Roman" w:hAnsi="Arial" w:cs="Arial"/>
          <w:lang w:eastAsia="en-AU"/>
        </w:rPr>
        <w:t>‘</w:t>
      </w:r>
      <w:r w:rsidR="005F0F07" w:rsidRPr="00887F0A">
        <w:rPr>
          <w:rFonts w:ascii="Arial" w:eastAsia="Times New Roman" w:hAnsi="Arial" w:cs="Arial"/>
          <w:i/>
          <w:lang w:eastAsia="en-AU"/>
        </w:rPr>
        <w:t>one size fits all</w:t>
      </w:r>
      <w:r w:rsidR="00E80250">
        <w:rPr>
          <w:rFonts w:ascii="Arial" w:eastAsia="Times New Roman" w:hAnsi="Arial" w:cs="Arial"/>
          <w:i/>
          <w:lang w:eastAsia="en-AU"/>
        </w:rPr>
        <w:t>’</w:t>
      </w:r>
      <w:r w:rsidR="005F0F07" w:rsidRPr="00883377">
        <w:rPr>
          <w:rFonts w:ascii="Arial" w:eastAsia="Times New Roman" w:hAnsi="Arial" w:cs="Arial"/>
          <w:lang w:eastAsia="en-AU"/>
        </w:rPr>
        <w:t xml:space="preserve"> approach’</w:t>
      </w:r>
      <w:r w:rsidR="00051DFC" w:rsidRPr="00883377">
        <w:rPr>
          <w:rFonts w:ascii="Arial" w:eastAsia="Times New Roman" w:hAnsi="Arial" w:cs="Arial"/>
          <w:lang w:eastAsia="en-AU"/>
        </w:rPr>
        <w:t xml:space="preserve">. In CCER’s </w:t>
      </w:r>
      <w:r w:rsidR="00330126" w:rsidRPr="00883377">
        <w:rPr>
          <w:rFonts w:ascii="Arial" w:eastAsia="Times New Roman" w:hAnsi="Arial" w:cs="Arial"/>
          <w:lang w:eastAsia="en-AU"/>
        </w:rPr>
        <w:t>view,</w:t>
      </w:r>
      <w:r w:rsidR="00051DFC" w:rsidRPr="00883377">
        <w:rPr>
          <w:rFonts w:ascii="Arial" w:eastAsia="Times New Roman" w:hAnsi="Arial" w:cs="Arial"/>
          <w:lang w:eastAsia="en-AU"/>
        </w:rPr>
        <w:t xml:space="preserve"> </w:t>
      </w:r>
      <w:r w:rsidR="00FA5205" w:rsidRPr="00883377">
        <w:rPr>
          <w:rFonts w:ascii="Arial" w:eastAsia="Times New Roman" w:hAnsi="Arial" w:cs="Arial"/>
          <w:lang w:eastAsia="en-AU"/>
        </w:rPr>
        <w:t xml:space="preserve">awards </w:t>
      </w:r>
      <w:r w:rsidR="005F0F07" w:rsidRPr="00883377">
        <w:rPr>
          <w:rFonts w:ascii="Arial" w:eastAsia="Times New Roman" w:hAnsi="Arial" w:cs="Arial"/>
          <w:lang w:eastAsia="en-AU"/>
        </w:rPr>
        <w:t>should remain an important safety net and effective floor for collective bargaining</w:t>
      </w:r>
      <w:r w:rsidR="00FA5205" w:rsidRPr="00883377">
        <w:rPr>
          <w:rFonts w:ascii="Arial" w:eastAsia="Times New Roman" w:hAnsi="Arial" w:cs="Arial"/>
          <w:lang w:eastAsia="en-AU"/>
        </w:rPr>
        <w:t>. As well as protecting the rights of employees, awards provide certainty for employers in determining what conditions to apply as well as a ‘</w:t>
      </w:r>
      <w:r w:rsidR="00FA5205" w:rsidRPr="00E80250">
        <w:rPr>
          <w:rFonts w:ascii="Arial" w:eastAsia="Times New Roman" w:hAnsi="Arial" w:cs="Arial"/>
          <w:i/>
          <w:lang w:eastAsia="en-AU"/>
        </w:rPr>
        <w:t>level playing field’</w:t>
      </w:r>
      <w:r w:rsidR="00FA5205" w:rsidRPr="00883377">
        <w:rPr>
          <w:rFonts w:ascii="Arial" w:eastAsia="Times New Roman" w:hAnsi="Arial" w:cs="Arial"/>
          <w:lang w:eastAsia="en-AU"/>
        </w:rPr>
        <w:t xml:space="preserve"> for organisations competing in the same industries. </w:t>
      </w:r>
    </w:p>
    <w:p w:rsidR="00FB664D" w:rsidRPr="00D320E2" w:rsidRDefault="00FA5205" w:rsidP="00FB664D">
      <w:pPr>
        <w:rPr>
          <w:rFonts w:ascii="Arial" w:hAnsi="Arial" w:cs="Arial"/>
        </w:rPr>
      </w:pPr>
      <w:r w:rsidRPr="00883377">
        <w:rPr>
          <w:rFonts w:ascii="Arial" w:eastAsia="Times New Roman" w:hAnsi="Arial" w:cs="Arial"/>
          <w:lang w:eastAsia="en-AU"/>
        </w:rPr>
        <w:lastRenderedPageBreak/>
        <w:t xml:space="preserve">For example, health care and social </w:t>
      </w:r>
      <w:r w:rsidR="0041036C">
        <w:rPr>
          <w:rFonts w:ascii="Arial" w:eastAsia="Times New Roman" w:hAnsi="Arial" w:cs="Arial"/>
          <w:lang w:eastAsia="en-AU"/>
        </w:rPr>
        <w:t xml:space="preserve">services </w:t>
      </w:r>
      <w:r w:rsidRPr="00883377">
        <w:rPr>
          <w:rFonts w:ascii="Arial" w:eastAsia="Times New Roman" w:hAnsi="Arial" w:cs="Arial"/>
          <w:lang w:eastAsia="en-AU"/>
        </w:rPr>
        <w:t xml:space="preserve">is one of the five industries that accounts for the highest proportion of award-reliant employees in the ABS EEH 2012 survey. </w:t>
      </w:r>
      <w:r w:rsidRPr="0058035B">
        <w:rPr>
          <w:rStyle w:val="FootnoteReference"/>
          <w:rFonts w:ascii="Arial" w:hAnsi="Arial" w:cs="Arial"/>
          <w:i/>
        </w:rPr>
        <w:footnoteReference w:id="17"/>
      </w:r>
      <w:r w:rsidRPr="0058035B">
        <w:rPr>
          <w:rStyle w:val="FootnoteReference"/>
          <w:rFonts w:ascii="Arial" w:hAnsi="Arial" w:cs="Arial"/>
          <w:i/>
        </w:rPr>
        <w:t xml:space="preserve"> </w:t>
      </w:r>
      <w:r w:rsidRPr="009F35F6">
        <w:rPr>
          <w:rFonts w:ascii="Arial" w:eastAsia="Times New Roman" w:hAnsi="Arial" w:cs="Arial"/>
          <w:lang w:eastAsia="en-AU"/>
        </w:rPr>
        <w:t xml:space="preserve"> </w:t>
      </w:r>
      <w:r w:rsidRPr="00883377">
        <w:rPr>
          <w:rFonts w:ascii="Arial" w:eastAsia="Times New Roman" w:hAnsi="Arial" w:cs="Arial"/>
          <w:lang w:eastAsia="en-AU"/>
        </w:rPr>
        <w:t>Th</w:t>
      </w:r>
      <w:r w:rsidR="00981960">
        <w:rPr>
          <w:rFonts w:ascii="Arial" w:eastAsia="Times New Roman" w:hAnsi="Arial" w:cs="Arial"/>
          <w:lang w:eastAsia="en-AU"/>
        </w:rPr>
        <w:t>e</w:t>
      </w:r>
      <w:r w:rsidRPr="00883377">
        <w:rPr>
          <w:rFonts w:ascii="Arial" w:eastAsia="Times New Roman" w:hAnsi="Arial" w:cs="Arial"/>
          <w:lang w:eastAsia="en-AU"/>
        </w:rPr>
        <w:t xml:space="preserve"> high degree of award reliance among CCER </w:t>
      </w:r>
      <w:r w:rsidR="00F963A9">
        <w:rPr>
          <w:rFonts w:ascii="Arial" w:eastAsia="Times New Roman" w:hAnsi="Arial" w:cs="Arial"/>
          <w:lang w:eastAsia="en-AU"/>
        </w:rPr>
        <w:t>members</w:t>
      </w:r>
      <w:r w:rsidRPr="00883377">
        <w:rPr>
          <w:rFonts w:ascii="Arial" w:eastAsia="Times New Roman" w:hAnsi="Arial" w:cs="Arial"/>
          <w:lang w:eastAsia="en-AU"/>
        </w:rPr>
        <w:t xml:space="preserve"> </w:t>
      </w:r>
      <w:r w:rsidR="00487FDD" w:rsidRPr="00883377">
        <w:rPr>
          <w:rFonts w:ascii="Arial" w:eastAsia="Times New Roman" w:hAnsi="Arial" w:cs="Arial"/>
          <w:lang w:eastAsia="en-AU"/>
        </w:rPr>
        <w:t xml:space="preserve">in </w:t>
      </w:r>
      <w:r w:rsidRPr="00883377">
        <w:rPr>
          <w:rFonts w:ascii="Arial" w:eastAsia="Times New Roman" w:hAnsi="Arial" w:cs="Arial"/>
          <w:lang w:eastAsia="en-AU"/>
        </w:rPr>
        <w:t xml:space="preserve">social services enables those </w:t>
      </w:r>
      <w:r w:rsidR="00487FDD" w:rsidRPr="00883377">
        <w:rPr>
          <w:rFonts w:ascii="Arial" w:eastAsia="Times New Roman" w:hAnsi="Arial" w:cs="Arial"/>
          <w:lang w:eastAsia="en-AU"/>
        </w:rPr>
        <w:t xml:space="preserve">employers </w:t>
      </w:r>
      <w:r w:rsidRPr="00883377">
        <w:rPr>
          <w:rFonts w:ascii="Arial" w:eastAsia="Times New Roman" w:hAnsi="Arial" w:cs="Arial"/>
          <w:lang w:eastAsia="en-AU"/>
        </w:rPr>
        <w:t xml:space="preserve">competing for government contracts </w:t>
      </w:r>
      <w:r w:rsidR="00487FDD" w:rsidRPr="00883377">
        <w:rPr>
          <w:rFonts w:ascii="Arial" w:eastAsia="Times New Roman" w:hAnsi="Arial" w:cs="Arial"/>
          <w:lang w:eastAsia="en-AU"/>
        </w:rPr>
        <w:t xml:space="preserve">to </w:t>
      </w:r>
      <w:r w:rsidRPr="00883377">
        <w:rPr>
          <w:rFonts w:ascii="Arial" w:eastAsia="Times New Roman" w:hAnsi="Arial" w:cs="Arial"/>
          <w:lang w:eastAsia="en-AU"/>
        </w:rPr>
        <w:t>focus on</w:t>
      </w:r>
      <w:r w:rsidR="00487FDD" w:rsidRPr="00883377">
        <w:rPr>
          <w:rFonts w:ascii="Arial" w:eastAsia="Times New Roman" w:hAnsi="Arial" w:cs="Arial"/>
          <w:lang w:eastAsia="en-AU"/>
        </w:rPr>
        <w:t xml:space="preserve"> the </w:t>
      </w:r>
      <w:r w:rsidRPr="00883377">
        <w:rPr>
          <w:rFonts w:ascii="Arial" w:eastAsia="Times New Roman" w:hAnsi="Arial" w:cs="Arial"/>
          <w:lang w:eastAsia="en-AU"/>
        </w:rPr>
        <w:t>quality of service</w:t>
      </w:r>
      <w:r w:rsidR="00487FDD" w:rsidRPr="00883377">
        <w:rPr>
          <w:rFonts w:ascii="Arial" w:eastAsia="Times New Roman" w:hAnsi="Arial" w:cs="Arial"/>
          <w:lang w:eastAsia="en-AU"/>
        </w:rPr>
        <w:t xml:space="preserve"> delivery and their</w:t>
      </w:r>
      <w:r w:rsidR="00682B50" w:rsidRPr="00883377">
        <w:rPr>
          <w:rFonts w:ascii="Arial" w:eastAsia="Times New Roman" w:hAnsi="Arial" w:cs="Arial"/>
          <w:lang w:eastAsia="en-AU"/>
        </w:rPr>
        <w:t xml:space="preserve"> </w:t>
      </w:r>
      <w:r w:rsidRPr="00D320E2">
        <w:rPr>
          <w:rFonts w:ascii="Arial" w:hAnsi="Arial" w:cs="Arial"/>
        </w:rPr>
        <w:t>relationships with clients</w:t>
      </w:r>
      <w:r w:rsidR="00682B50" w:rsidRPr="00D320E2">
        <w:rPr>
          <w:rFonts w:ascii="Arial" w:hAnsi="Arial" w:cs="Arial"/>
        </w:rPr>
        <w:t xml:space="preserve">, rather than on </w:t>
      </w:r>
      <w:r w:rsidR="00CA4F50" w:rsidRPr="00D320E2">
        <w:rPr>
          <w:rFonts w:ascii="Arial" w:hAnsi="Arial" w:cs="Arial"/>
        </w:rPr>
        <w:t xml:space="preserve">reducing labour costs by </w:t>
      </w:r>
      <w:r w:rsidR="00682B50" w:rsidRPr="00D320E2">
        <w:rPr>
          <w:rFonts w:ascii="Arial" w:hAnsi="Arial" w:cs="Arial"/>
        </w:rPr>
        <w:t>cutting wages and conditions.</w:t>
      </w:r>
      <w:r w:rsidR="00FB664D" w:rsidRPr="00D320E2">
        <w:rPr>
          <w:rFonts w:ascii="Arial" w:hAnsi="Arial" w:cs="Arial"/>
        </w:rPr>
        <w:t xml:space="preserve"> Competition based on reduction of award standards is not an issue of productivity or efficiency, but one of costs in which workers’ standard of living is at risk.</w:t>
      </w:r>
    </w:p>
    <w:p w:rsidR="00D320E2" w:rsidRPr="00D320E2" w:rsidRDefault="00CA4F50" w:rsidP="00D320E2">
      <w:pPr>
        <w:rPr>
          <w:rFonts w:ascii="Arial" w:hAnsi="Arial" w:cs="Arial"/>
        </w:rPr>
      </w:pPr>
      <w:r w:rsidRPr="00D320E2">
        <w:rPr>
          <w:rFonts w:ascii="Arial" w:hAnsi="Arial" w:cs="Arial"/>
        </w:rPr>
        <w:t>Key reasons for a</w:t>
      </w:r>
      <w:r w:rsidR="00FA5205" w:rsidRPr="00D320E2">
        <w:rPr>
          <w:rFonts w:ascii="Arial" w:hAnsi="Arial" w:cs="Arial"/>
        </w:rPr>
        <w:t xml:space="preserve">ward usage was canvassed in the </w:t>
      </w:r>
      <w:r w:rsidR="00FA5205" w:rsidRPr="00887F0A">
        <w:rPr>
          <w:rFonts w:ascii="Arial" w:hAnsi="Arial" w:cs="Arial"/>
          <w:i/>
        </w:rPr>
        <w:t>Award Reliance Survey</w:t>
      </w:r>
      <w:r w:rsidR="00FA5205" w:rsidRPr="00D320E2">
        <w:rPr>
          <w:rFonts w:ascii="Arial" w:hAnsi="Arial" w:cs="Arial"/>
        </w:rPr>
        <w:t xml:space="preserve"> </w:t>
      </w:r>
      <w:r w:rsidRPr="00D320E2">
        <w:rPr>
          <w:rFonts w:ascii="Arial" w:hAnsi="Arial" w:cs="Arial"/>
        </w:rPr>
        <w:t xml:space="preserve">commissioned by the FWC, </w:t>
      </w:r>
      <w:r w:rsidR="00981960" w:rsidRPr="00D320E2">
        <w:rPr>
          <w:rFonts w:ascii="Arial" w:hAnsi="Arial" w:cs="Arial"/>
        </w:rPr>
        <w:t xml:space="preserve">which found </w:t>
      </w:r>
      <w:r w:rsidR="00FA5205" w:rsidRPr="00D320E2">
        <w:rPr>
          <w:rFonts w:ascii="Arial" w:hAnsi="Arial" w:cs="Arial"/>
        </w:rPr>
        <w:t xml:space="preserve">the main reasons </w:t>
      </w:r>
      <w:r w:rsidR="00502F2D" w:rsidRPr="00D320E2">
        <w:rPr>
          <w:rFonts w:ascii="Arial" w:hAnsi="Arial" w:cs="Arial"/>
        </w:rPr>
        <w:t xml:space="preserve">cited by employers </w:t>
      </w:r>
      <w:r w:rsidR="00FA5205" w:rsidRPr="00D320E2">
        <w:rPr>
          <w:rFonts w:ascii="Arial" w:hAnsi="Arial" w:cs="Arial"/>
        </w:rPr>
        <w:t>for paying exactly the award rates of pay was because they felt awards provided fair and appropriate remuneration</w:t>
      </w:r>
      <w:r w:rsidR="00E76F97" w:rsidRPr="00D320E2">
        <w:rPr>
          <w:rFonts w:ascii="Arial" w:hAnsi="Arial" w:cs="Arial"/>
        </w:rPr>
        <w:t>, were a good indicator of the ‘</w:t>
      </w:r>
      <w:r w:rsidR="00E76F97" w:rsidRPr="00887F0A">
        <w:rPr>
          <w:rFonts w:ascii="Arial" w:hAnsi="Arial" w:cs="Arial"/>
          <w:i/>
        </w:rPr>
        <w:t>going rate’</w:t>
      </w:r>
      <w:r w:rsidR="00E76F97" w:rsidRPr="00D320E2">
        <w:rPr>
          <w:rFonts w:ascii="Arial" w:hAnsi="Arial" w:cs="Arial"/>
        </w:rPr>
        <w:t xml:space="preserve">, </w:t>
      </w:r>
      <w:r w:rsidR="00FA5205" w:rsidRPr="00D320E2">
        <w:rPr>
          <w:rFonts w:ascii="Arial" w:hAnsi="Arial" w:cs="Arial"/>
        </w:rPr>
        <w:t>and were affordable. Not wanting to pay more, simplicity and certainty, and common industry practice were also key reasons. The survey also found that awards are used for the basis of setting pay rates for other employees, not just those on minimum rates including by non award-reliant organisations.</w:t>
      </w:r>
      <w:r w:rsidR="00FA5205" w:rsidRPr="0058035B">
        <w:rPr>
          <w:rStyle w:val="FootnoteReference"/>
          <w:rFonts w:ascii="Arial" w:hAnsi="Arial" w:cs="Arial"/>
          <w:i/>
        </w:rPr>
        <w:footnoteReference w:id="18"/>
      </w:r>
      <w:r w:rsidR="0066590A" w:rsidRPr="0058035B">
        <w:rPr>
          <w:rStyle w:val="FootnoteReference"/>
          <w:rFonts w:ascii="Arial" w:hAnsi="Arial" w:cs="Arial"/>
          <w:i/>
        </w:rPr>
        <w:t xml:space="preserve">  </w:t>
      </w:r>
    </w:p>
    <w:p w:rsidR="00FA5205" w:rsidRPr="001915BA" w:rsidRDefault="0066590A" w:rsidP="00D320E2">
      <w:pPr>
        <w:rPr>
          <w:rStyle w:val="FootnoteReference"/>
          <w:i/>
        </w:rPr>
      </w:pPr>
      <w:r w:rsidRPr="00D320E2">
        <w:rPr>
          <w:rFonts w:ascii="Arial" w:hAnsi="Arial" w:cs="Arial"/>
        </w:rPr>
        <w:t xml:space="preserve">The relationship between minimum rates of pay and over-award/agreement rates of pay is explored in further </w:t>
      </w:r>
      <w:r w:rsidR="00B2040B" w:rsidRPr="00D320E2">
        <w:rPr>
          <w:rFonts w:ascii="Arial" w:hAnsi="Arial" w:cs="Arial"/>
        </w:rPr>
        <w:t>research, which</w:t>
      </w:r>
      <w:r w:rsidR="00DB4CF2" w:rsidRPr="00D320E2">
        <w:rPr>
          <w:rFonts w:ascii="Arial" w:hAnsi="Arial" w:cs="Arial"/>
        </w:rPr>
        <w:t xml:space="preserve"> identified a positive association between award and agreement increases in certain industries</w:t>
      </w:r>
      <w:r w:rsidR="00AF471D" w:rsidRPr="00D320E2">
        <w:rPr>
          <w:rFonts w:ascii="Arial" w:hAnsi="Arial" w:cs="Arial"/>
        </w:rPr>
        <w:t>. The research found</w:t>
      </w:r>
      <w:r w:rsidR="00CA5DB3" w:rsidRPr="00D320E2">
        <w:rPr>
          <w:rFonts w:ascii="Arial" w:hAnsi="Arial" w:cs="Arial"/>
        </w:rPr>
        <w:t xml:space="preserve"> ‘</w:t>
      </w:r>
      <w:r w:rsidR="00CA5DB3" w:rsidRPr="00A20EC7">
        <w:rPr>
          <w:rFonts w:ascii="Arial" w:hAnsi="Arial" w:cs="Arial"/>
          <w:i/>
        </w:rPr>
        <w:t>award</w:t>
      </w:r>
      <w:r w:rsidR="00E65CAB" w:rsidRPr="00A20EC7">
        <w:rPr>
          <w:rFonts w:ascii="Arial" w:hAnsi="Arial" w:cs="Arial"/>
          <w:i/>
        </w:rPr>
        <w:t>s</w:t>
      </w:r>
      <w:r w:rsidR="00CA5DB3" w:rsidRPr="00A20EC7">
        <w:rPr>
          <w:rFonts w:ascii="Arial" w:hAnsi="Arial" w:cs="Arial"/>
          <w:i/>
        </w:rPr>
        <w:t xml:space="preserve"> can shape the wage determination process and wag</w:t>
      </w:r>
      <w:r w:rsidR="00E65CAB" w:rsidRPr="00A20EC7">
        <w:rPr>
          <w:rFonts w:ascii="Arial" w:hAnsi="Arial" w:cs="Arial"/>
          <w:i/>
        </w:rPr>
        <w:t>e</w:t>
      </w:r>
      <w:r w:rsidR="00CA5DB3" w:rsidRPr="00A20EC7">
        <w:rPr>
          <w:rFonts w:ascii="Arial" w:hAnsi="Arial" w:cs="Arial"/>
          <w:i/>
        </w:rPr>
        <w:t xml:space="preserve"> outcomes</w:t>
      </w:r>
      <w:r w:rsidR="00CA5DB3" w:rsidRPr="00D320E2">
        <w:rPr>
          <w:rFonts w:ascii="Arial" w:hAnsi="Arial" w:cs="Arial"/>
        </w:rPr>
        <w:t xml:space="preserve">’ </w:t>
      </w:r>
      <w:r w:rsidR="00E65CAB" w:rsidRPr="00D320E2">
        <w:rPr>
          <w:rFonts w:ascii="Arial" w:hAnsi="Arial" w:cs="Arial"/>
        </w:rPr>
        <w:t>and particularly</w:t>
      </w:r>
      <w:r w:rsidR="00CA5DB3" w:rsidRPr="00D320E2">
        <w:rPr>
          <w:rFonts w:ascii="Arial" w:hAnsi="Arial" w:cs="Arial"/>
        </w:rPr>
        <w:t xml:space="preserve"> in parts of the labour market paying below median wages</w:t>
      </w:r>
      <w:r w:rsidR="00DB4CF2" w:rsidRPr="00D320E2">
        <w:rPr>
          <w:rFonts w:ascii="Arial" w:hAnsi="Arial" w:cs="Arial"/>
        </w:rPr>
        <w:t xml:space="preserve">. </w:t>
      </w:r>
      <w:r w:rsidRPr="001915BA">
        <w:rPr>
          <w:rStyle w:val="FootnoteReference"/>
          <w:rFonts w:ascii="Arial" w:hAnsi="Arial" w:cs="Arial"/>
          <w:i/>
        </w:rPr>
        <w:footnoteReference w:id="19"/>
      </w:r>
    </w:p>
    <w:p w:rsidR="00551DB1" w:rsidRDefault="00DF09A8" w:rsidP="00E63072">
      <w:pPr>
        <w:rPr>
          <w:rFonts w:ascii="Arial" w:hAnsi="Arial" w:cs="Arial"/>
          <w:shd w:val="clear" w:color="auto" w:fill="FFFFFF"/>
        </w:rPr>
      </w:pPr>
      <w:r w:rsidRPr="00551DB1">
        <w:rPr>
          <w:rFonts w:ascii="Arial" w:hAnsi="Arial" w:cs="Arial"/>
          <w:shd w:val="clear" w:color="auto" w:fill="FFFFFF"/>
        </w:rPr>
        <w:t>Among enterprises that only used awards to set pay for their employees, almost half (47%) indicated that they did not have an enterprise agreement in place because award rates and conditions were adequate. This was also the most commonly cited reason for enterprises with a mix of award and individual arrangements (33%)</w:t>
      </w:r>
      <w:r w:rsidR="00551DB1" w:rsidRPr="00551DB1">
        <w:rPr>
          <w:rFonts w:ascii="Arial" w:hAnsi="Arial" w:cs="Arial"/>
          <w:shd w:val="clear" w:color="auto" w:fill="FFFFFF"/>
        </w:rPr>
        <w:t xml:space="preserve">. </w:t>
      </w:r>
      <w:r w:rsidR="004570D4">
        <w:rPr>
          <w:rStyle w:val="FootnoteReference"/>
          <w:rFonts w:ascii="Arial" w:hAnsi="Arial" w:cs="Arial"/>
          <w:shd w:val="clear" w:color="auto" w:fill="FFFFFF"/>
        </w:rPr>
        <w:footnoteReference w:id="20"/>
      </w:r>
    </w:p>
    <w:p w:rsidR="0023411B" w:rsidRPr="005A3F2F" w:rsidRDefault="0005191A" w:rsidP="005A3F2F">
      <w:pPr>
        <w:rPr>
          <w:rFonts w:ascii="Arial" w:hAnsi="Arial" w:cs="Arial"/>
        </w:rPr>
      </w:pPr>
      <w:r w:rsidRPr="005A3F2F">
        <w:rPr>
          <w:rFonts w:ascii="Arial" w:hAnsi="Arial" w:cs="Arial"/>
        </w:rPr>
        <w:t>A</w:t>
      </w:r>
      <w:r w:rsidR="00B303F6" w:rsidRPr="005A3F2F">
        <w:rPr>
          <w:rFonts w:ascii="Arial" w:hAnsi="Arial" w:cs="Arial"/>
        </w:rPr>
        <w:t>wards</w:t>
      </w:r>
      <w:r w:rsidR="00215ECE" w:rsidRPr="005A3F2F">
        <w:rPr>
          <w:rFonts w:ascii="Arial" w:hAnsi="Arial" w:cs="Arial"/>
        </w:rPr>
        <w:t xml:space="preserve"> remain </w:t>
      </w:r>
      <w:r w:rsidR="00B303F6" w:rsidRPr="005A3F2F">
        <w:rPr>
          <w:rFonts w:ascii="Arial" w:hAnsi="Arial" w:cs="Arial"/>
        </w:rPr>
        <w:t>relevant</w:t>
      </w:r>
      <w:r w:rsidR="00215ECE" w:rsidRPr="005A3F2F">
        <w:rPr>
          <w:rFonts w:ascii="Arial" w:hAnsi="Arial" w:cs="Arial"/>
        </w:rPr>
        <w:t xml:space="preserve"> </w:t>
      </w:r>
      <w:r w:rsidR="00C85F4E" w:rsidRPr="005A3F2F">
        <w:rPr>
          <w:rFonts w:ascii="Arial" w:hAnsi="Arial" w:cs="Arial"/>
        </w:rPr>
        <w:t xml:space="preserve">and play an important role in guiding pay and conditions for a </w:t>
      </w:r>
      <w:r w:rsidR="00B303F6" w:rsidRPr="005A3F2F">
        <w:rPr>
          <w:rFonts w:ascii="Arial" w:hAnsi="Arial" w:cs="Arial"/>
        </w:rPr>
        <w:t>large</w:t>
      </w:r>
      <w:r w:rsidR="00215ECE" w:rsidRPr="005A3F2F">
        <w:rPr>
          <w:rFonts w:ascii="Arial" w:hAnsi="Arial" w:cs="Arial"/>
        </w:rPr>
        <w:t xml:space="preserve"> </w:t>
      </w:r>
      <w:r w:rsidR="00B303F6" w:rsidRPr="005A3F2F">
        <w:rPr>
          <w:rFonts w:ascii="Arial" w:hAnsi="Arial" w:cs="Arial"/>
        </w:rPr>
        <w:t xml:space="preserve">number </w:t>
      </w:r>
      <w:r w:rsidR="00215ECE" w:rsidRPr="005A3F2F">
        <w:rPr>
          <w:rFonts w:ascii="Arial" w:hAnsi="Arial" w:cs="Arial"/>
        </w:rPr>
        <w:t>of employers an</w:t>
      </w:r>
      <w:r w:rsidR="00B303F6" w:rsidRPr="005A3F2F">
        <w:rPr>
          <w:rFonts w:ascii="Arial" w:hAnsi="Arial" w:cs="Arial"/>
        </w:rPr>
        <w:t>d</w:t>
      </w:r>
      <w:r w:rsidR="00215ECE" w:rsidRPr="005A3F2F">
        <w:rPr>
          <w:rFonts w:ascii="Arial" w:hAnsi="Arial" w:cs="Arial"/>
        </w:rPr>
        <w:t xml:space="preserve"> </w:t>
      </w:r>
      <w:r w:rsidR="00B303F6" w:rsidRPr="005A3F2F">
        <w:rPr>
          <w:rFonts w:ascii="Arial" w:hAnsi="Arial" w:cs="Arial"/>
        </w:rPr>
        <w:t>employees</w:t>
      </w:r>
      <w:r w:rsidR="00215ECE" w:rsidRPr="005A3F2F">
        <w:rPr>
          <w:rFonts w:ascii="Arial" w:hAnsi="Arial" w:cs="Arial"/>
        </w:rPr>
        <w:t xml:space="preserve"> </w:t>
      </w:r>
      <w:r w:rsidR="00E401C4" w:rsidRPr="005A3F2F">
        <w:rPr>
          <w:rFonts w:ascii="Arial" w:hAnsi="Arial" w:cs="Arial"/>
        </w:rPr>
        <w:t xml:space="preserve">including </w:t>
      </w:r>
      <w:r w:rsidR="00215ECE" w:rsidRPr="005A3F2F">
        <w:rPr>
          <w:rFonts w:ascii="Arial" w:hAnsi="Arial" w:cs="Arial"/>
        </w:rPr>
        <w:t xml:space="preserve">those who </w:t>
      </w:r>
      <w:r w:rsidR="00E401C4" w:rsidRPr="005A3F2F">
        <w:rPr>
          <w:rFonts w:ascii="Arial" w:hAnsi="Arial" w:cs="Arial"/>
        </w:rPr>
        <w:t xml:space="preserve">do not </w:t>
      </w:r>
      <w:r w:rsidR="00215ECE" w:rsidRPr="005A3F2F">
        <w:rPr>
          <w:rFonts w:ascii="Arial" w:hAnsi="Arial" w:cs="Arial"/>
        </w:rPr>
        <w:t>rely o</w:t>
      </w:r>
      <w:r w:rsidR="00B303F6" w:rsidRPr="005A3F2F">
        <w:rPr>
          <w:rFonts w:ascii="Arial" w:hAnsi="Arial" w:cs="Arial"/>
        </w:rPr>
        <w:t>n</w:t>
      </w:r>
      <w:r w:rsidR="00215ECE" w:rsidRPr="005A3F2F">
        <w:rPr>
          <w:rFonts w:ascii="Arial" w:hAnsi="Arial" w:cs="Arial"/>
        </w:rPr>
        <w:t xml:space="preserve"> </w:t>
      </w:r>
      <w:r w:rsidR="00B303F6" w:rsidRPr="005A3F2F">
        <w:rPr>
          <w:rFonts w:ascii="Arial" w:hAnsi="Arial" w:cs="Arial"/>
        </w:rPr>
        <w:t>award</w:t>
      </w:r>
      <w:r w:rsidR="00376F87" w:rsidRPr="005A3F2F">
        <w:rPr>
          <w:rFonts w:ascii="Arial" w:hAnsi="Arial" w:cs="Arial"/>
        </w:rPr>
        <w:t>s</w:t>
      </w:r>
      <w:r w:rsidR="00215ECE" w:rsidRPr="005A3F2F">
        <w:rPr>
          <w:rFonts w:ascii="Arial" w:hAnsi="Arial" w:cs="Arial"/>
        </w:rPr>
        <w:t xml:space="preserve"> to </w:t>
      </w:r>
      <w:r w:rsidR="00B303F6" w:rsidRPr="005A3F2F">
        <w:rPr>
          <w:rFonts w:ascii="Arial" w:hAnsi="Arial" w:cs="Arial"/>
        </w:rPr>
        <w:t>determine</w:t>
      </w:r>
      <w:r w:rsidR="00215ECE" w:rsidRPr="005A3F2F">
        <w:rPr>
          <w:rFonts w:ascii="Arial" w:hAnsi="Arial" w:cs="Arial"/>
        </w:rPr>
        <w:t xml:space="preserve"> </w:t>
      </w:r>
      <w:r w:rsidR="00376F87" w:rsidRPr="005A3F2F">
        <w:rPr>
          <w:rFonts w:ascii="Arial" w:hAnsi="Arial" w:cs="Arial"/>
        </w:rPr>
        <w:t>the</w:t>
      </w:r>
      <w:r w:rsidR="0023411B" w:rsidRPr="005A3F2F">
        <w:rPr>
          <w:rFonts w:ascii="Arial" w:hAnsi="Arial" w:cs="Arial"/>
        </w:rPr>
        <w:t xml:space="preserve">ir exact rates of pay. </w:t>
      </w:r>
    </w:p>
    <w:p w:rsidR="00887F0A" w:rsidRPr="005A3F2F" w:rsidRDefault="00887F0A" w:rsidP="005A3F2F">
      <w:pPr>
        <w:rPr>
          <w:rFonts w:ascii="Arial" w:hAnsi="Arial" w:cs="Arial"/>
        </w:rPr>
      </w:pPr>
      <w:r w:rsidRPr="005A3F2F">
        <w:rPr>
          <w:rFonts w:ascii="Arial" w:hAnsi="Arial" w:cs="Arial"/>
        </w:rPr>
        <w:t xml:space="preserve">The four-yearly Modern Award Review process provides the flexibility to ensure that awards are responsive to the changes in the economy and keep pace with community standards of what constitutes a fair minimum safety net and provides a transparent process that enables the relevant parties to make submissions on the operation of individual awards. </w:t>
      </w:r>
    </w:p>
    <w:p w:rsidR="00887F0A" w:rsidRPr="005A3F2F" w:rsidRDefault="00887F0A" w:rsidP="005A3F2F">
      <w:pPr>
        <w:rPr>
          <w:rFonts w:ascii="Arial" w:hAnsi="Arial" w:cs="Arial"/>
        </w:rPr>
      </w:pPr>
      <w:r w:rsidRPr="005A3F2F">
        <w:rPr>
          <w:rFonts w:ascii="Arial" w:hAnsi="Arial" w:cs="Arial"/>
        </w:rPr>
        <w:t xml:space="preserve">The FWC will also examine seven common issues affecting all awards through a separate hearing and review process, including annual leave (such as cashing out); casual employment, part time employment (issues such as minimum engagement and rostering); and flexibility (issues such as time off in lieu of overtime).  </w:t>
      </w:r>
    </w:p>
    <w:p w:rsidR="00883377" w:rsidRPr="005A3F2F" w:rsidRDefault="00883377" w:rsidP="005A3F2F">
      <w:pPr>
        <w:rPr>
          <w:rFonts w:ascii="Arial" w:hAnsi="Arial" w:cs="Arial"/>
        </w:rPr>
      </w:pPr>
      <w:r w:rsidRPr="005A3F2F">
        <w:rPr>
          <w:rFonts w:ascii="Arial" w:hAnsi="Arial" w:cs="Arial"/>
        </w:rPr>
        <w:t xml:space="preserve">The goal of increased productivity is not mutually exclusive with ensuring equity in the workplace. </w:t>
      </w:r>
      <w:r w:rsidR="0030760B" w:rsidRPr="005A3F2F">
        <w:rPr>
          <w:rFonts w:ascii="Arial" w:hAnsi="Arial" w:cs="Arial"/>
        </w:rPr>
        <w:t>In CCER’s view, e</w:t>
      </w:r>
      <w:r w:rsidRPr="005A3F2F">
        <w:rPr>
          <w:rFonts w:ascii="Arial" w:hAnsi="Arial" w:cs="Arial"/>
        </w:rPr>
        <w:t>quity will enhance a productive workplace culture where fair treatment leads to great</w:t>
      </w:r>
      <w:r w:rsidR="00B247F1" w:rsidRPr="005A3F2F">
        <w:rPr>
          <w:rFonts w:ascii="Arial" w:hAnsi="Arial" w:cs="Arial"/>
        </w:rPr>
        <w:t>er</w:t>
      </w:r>
      <w:r w:rsidRPr="005A3F2F">
        <w:rPr>
          <w:rFonts w:ascii="Arial" w:hAnsi="Arial" w:cs="Arial"/>
        </w:rPr>
        <w:t xml:space="preserve"> employee satisfaction and more cooperative workplace relations.</w:t>
      </w:r>
    </w:p>
    <w:p w:rsidR="00AB4A72" w:rsidRPr="00620D64" w:rsidRDefault="00603278" w:rsidP="00AB4A72">
      <w:pPr>
        <w:rPr>
          <w:rFonts w:ascii="Arial" w:hAnsi="Arial" w:cs="Arial"/>
          <w:b/>
          <w:bCs/>
          <w:color w:val="C0504D"/>
          <w:sz w:val="28"/>
          <w:szCs w:val="28"/>
        </w:rPr>
      </w:pPr>
      <w:r>
        <w:rPr>
          <w:rFonts w:ascii="Arial" w:hAnsi="Arial" w:cs="Arial"/>
          <w:b/>
          <w:bCs/>
          <w:color w:val="C0504D"/>
          <w:sz w:val="28"/>
          <w:szCs w:val="28"/>
        </w:rPr>
        <w:br w:type="page"/>
      </w:r>
      <w:r w:rsidR="00DF61E9" w:rsidRPr="00620D64">
        <w:rPr>
          <w:rFonts w:ascii="Arial" w:hAnsi="Arial" w:cs="Arial"/>
          <w:b/>
          <w:bCs/>
          <w:color w:val="C0504D"/>
          <w:sz w:val="28"/>
          <w:szCs w:val="28"/>
        </w:rPr>
        <w:lastRenderedPageBreak/>
        <w:t>Working u</w:t>
      </w:r>
      <w:r w:rsidR="00AB4A72" w:rsidRPr="00620D64">
        <w:rPr>
          <w:rFonts w:ascii="Arial" w:hAnsi="Arial" w:cs="Arial"/>
          <w:b/>
          <w:bCs/>
          <w:color w:val="C0504D"/>
          <w:sz w:val="28"/>
          <w:szCs w:val="28"/>
        </w:rPr>
        <w:t xml:space="preserve">nsociable hours </w:t>
      </w:r>
    </w:p>
    <w:p w:rsidR="002D2E2C" w:rsidRPr="00D7563B" w:rsidRDefault="002D2E2C" w:rsidP="00AB4A72">
      <w:pPr>
        <w:rPr>
          <w:rFonts w:ascii="Arial" w:hAnsi="Arial" w:cs="Arial"/>
          <w:b/>
          <w:bCs/>
          <w:i/>
          <w:color w:val="C0504D"/>
          <w:sz w:val="24"/>
          <w:szCs w:val="24"/>
        </w:rPr>
      </w:pPr>
      <w:r w:rsidRPr="00D7563B">
        <w:rPr>
          <w:rFonts w:ascii="Arial" w:hAnsi="Arial" w:cs="Arial"/>
          <w:b/>
          <w:bCs/>
          <w:i/>
          <w:color w:val="C0504D"/>
          <w:sz w:val="24"/>
          <w:szCs w:val="24"/>
        </w:rPr>
        <w:t xml:space="preserve">No evidence </w:t>
      </w:r>
      <w:r w:rsidR="003922D0" w:rsidRPr="00D7563B">
        <w:rPr>
          <w:rFonts w:ascii="Arial" w:hAnsi="Arial" w:cs="Arial"/>
          <w:b/>
          <w:bCs/>
          <w:i/>
          <w:color w:val="C0504D"/>
          <w:sz w:val="24"/>
          <w:szCs w:val="24"/>
        </w:rPr>
        <w:t xml:space="preserve">removing </w:t>
      </w:r>
      <w:r w:rsidR="009C13B4" w:rsidRPr="00D7563B">
        <w:rPr>
          <w:rFonts w:ascii="Arial" w:hAnsi="Arial" w:cs="Arial"/>
          <w:b/>
          <w:bCs/>
          <w:i/>
          <w:color w:val="C0504D"/>
          <w:sz w:val="24"/>
          <w:szCs w:val="24"/>
        </w:rPr>
        <w:t>penalty</w:t>
      </w:r>
      <w:r w:rsidR="003922D0" w:rsidRPr="00D7563B">
        <w:rPr>
          <w:rFonts w:ascii="Arial" w:hAnsi="Arial" w:cs="Arial"/>
          <w:b/>
          <w:bCs/>
          <w:i/>
          <w:color w:val="C0504D"/>
          <w:sz w:val="24"/>
          <w:szCs w:val="24"/>
        </w:rPr>
        <w:t xml:space="preserve"> r</w:t>
      </w:r>
      <w:r w:rsidR="009C13B4" w:rsidRPr="00D7563B">
        <w:rPr>
          <w:rFonts w:ascii="Arial" w:hAnsi="Arial" w:cs="Arial"/>
          <w:b/>
          <w:bCs/>
          <w:i/>
          <w:color w:val="C0504D"/>
          <w:sz w:val="24"/>
          <w:szCs w:val="24"/>
        </w:rPr>
        <w:t>ates</w:t>
      </w:r>
      <w:r w:rsidR="003922D0" w:rsidRPr="00D7563B">
        <w:rPr>
          <w:rFonts w:ascii="Arial" w:hAnsi="Arial" w:cs="Arial"/>
          <w:b/>
          <w:bCs/>
          <w:i/>
          <w:color w:val="C0504D"/>
          <w:sz w:val="24"/>
          <w:szCs w:val="24"/>
        </w:rPr>
        <w:t xml:space="preserve"> increases </w:t>
      </w:r>
      <w:r w:rsidR="009C13B4" w:rsidRPr="00D7563B">
        <w:rPr>
          <w:rFonts w:ascii="Arial" w:hAnsi="Arial" w:cs="Arial"/>
          <w:b/>
          <w:bCs/>
          <w:i/>
          <w:color w:val="C0504D"/>
          <w:sz w:val="24"/>
          <w:szCs w:val="24"/>
        </w:rPr>
        <w:t>employment</w:t>
      </w:r>
      <w:r w:rsidR="003922D0" w:rsidRPr="00D7563B">
        <w:rPr>
          <w:rFonts w:ascii="Arial" w:hAnsi="Arial" w:cs="Arial"/>
          <w:b/>
          <w:bCs/>
          <w:i/>
          <w:color w:val="C0504D"/>
          <w:sz w:val="24"/>
          <w:szCs w:val="24"/>
        </w:rPr>
        <w:t xml:space="preserve"> </w:t>
      </w:r>
    </w:p>
    <w:p w:rsidR="00697A85" w:rsidRDefault="00086B0F" w:rsidP="00086B0F">
      <w:pPr>
        <w:rPr>
          <w:rFonts w:ascii="Arial" w:hAnsi="Arial" w:cs="Arial"/>
          <w:color w:val="262626"/>
        </w:rPr>
      </w:pPr>
      <w:r>
        <w:rPr>
          <w:rFonts w:ascii="Arial" w:hAnsi="Arial" w:cs="Arial"/>
          <w:color w:val="262626"/>
        </w:rPr>
        <w:t>T</w:t>
      </w:r>
      <w:r w:rsidRPr="00D737E8">
        <w:rPr>
          <w:rFonts w:ascii="Arial" w:hAnsi="Arial" w:cs="Arial"/>
          <w:color w:val="262626"/>
        </w:rPr>
        <w:t xml:space="preserve">he </w:t>
      </w:r>
      <w:r w:rsidR="001A4153">
        <w:rPr>
          <w:rFonts w:ascii="Arial" w:hAnsi="Arial" w:cs="Arial"/>
          <w:color w:val="262626"/>
        </w:rPr>
        <w:t xml:space="preserve">Catholic </w:t>
      </w:r>
      <w:r>
        <w:rPr>
          <w:rFonts w:ascii="Arial" w:hAnsi="Arial" w:cs="Arial"/>
          <w:color w:val="262626"/>
        </w:rPr>
        <w:t>C</w:t>
      </w:r>
      <w:r w:rsidRPr="00D737E8">
        <w:rPr>
          <w:rFonts w:ascii="Arial" w:hAnsi="Arial" w:cs="Arial"/>
          <w:color w:val="262626"/>
        </w:rPr>
        <w:t xml:space="preserve">hurch </w:t>
      </w:r>
      <w:r w:rsidR="00D17BCC">
        <w:rPr>
          <w:rFonts w:ascii="Arial" w:hAnsi="Arial" w:cs="Arial"/>
          <w:color w:val="262626"/>
        </w:rPr>
        <w:t xml:space="preserve">has rejected previous </w:t>
      </w:r>
      <w:r w:rsidRPr="00D737E8">
        <w:rPr>
          <w:rFonts w:ascii="Arial" w:hAnsi="Arial" w:cs="Arial"/>
          <w:color w:val="262626"/>
        </w:rPr>
        <w:t>legislative and other attempts to abolish penalty rates</w:t>
      </w:r>
      <w:r w:rsidR="00D17BCC">
        <w:rPr>
          <w:rFonts w:ascii="Arial" w:hAnsi="Arial" w:cs="Arial"/>
          <w:color w:val="262626"/>
        </w:rPr>
        <w:t xml:space="preserve"> due to co</w:t>
      </w:r>
      <w:r w:rsidRPr="00D737E8">
        <w:rPr>
          <w:rFonts w:ascii="Arial" w:hAnsi="Arial" w:cs="Arial"/>
          <w:color w:val="262626"/>
        </w:rPr>
        <w:t xml:space="preserve">ncerns </w:t>
      </w:r>
      <w:r w:rsidR="00D17BCC">
        <w:rPr>
          <w:rFonts w:ascii="Arial" w:hAnsi="Arial" w:cs="Arial"/>
          <w:color w:val="262626"/>
        </w:rPr>
        <w:t xml:space="preserve">about </w:t>
      </w:r>
      <w:r w:rsidRPr="00D737E8">
        <w:rPr>
          <w:rFonts w:ascii="Arial" w:hAnsi="Arial" w:cs="Arial"/>
          <w:color w:val="262626"/>
        </w:rPr>
        <w:t xml:space="preserve">the negative impact on the incomes of </w:t>
      </w:r>
      <w:r w:rsidR="00D17BCC">
        <w:rPr>
          <w:rFonts w:ascii="Arial" w:hAnsi="Arial" w:cs="Arial"/>
          <w:color w:val="262626"/>
        </w:rPr>
        <w:t>low paid, v</w:t>
      </w:r>
      <w:r w:rsidRPr="00D737E8">
        <w:rPr>
          <w:rFonts w:ascii="Arial" w:hAnsi="Arial" w:cs="Arial"/>
          <w:color w:val="262626"/>
        </w:rPr>
        <w:t xml:space="preserve">ulnerable workers and the detrimental impact of unsocial working hours on rest, recreation, and family time. </w:t>
      </w:r>
    </w:p>
    <w:p w:rsidR="004B034A" w:rsidRDefault="00A86BF3" w:rsidP="00086B0F">
      <w:pPr>
        <w:rPr>
          <w:rFonts w:ascii="Arial" w:hAnsi="Arial" w:cs="Arial"/>
          <w:color w:val="262626"/>
        </w:rPr>
      </w:pPr>
      <w:r>
        <w:rPr>
          <w:rFonts w:ascii="Arial" w:hAnsi="Arial" w:cs="Arial"/>
          <w:color w:val="262626"/>
        </w:rPr>
        <w:t xml:space="preserve">As the Productivity Commission </w:t>
      </w:r>
      <w:r w:rsidR="00D413F2">
        <w:rPr>
          <w:rFonts w:ascii="Arial" w:hAnsi="Arial" w:cs="Arial"/>
          <w:color w:val="262626"/>
        </w:rPr>
        <w:t>issues paper n</w:t>
      </w:r>
      <w:r>
        <w:rPr>
          <w:rFonts w:ascii="Arial" w:hAnsi="Arial" w:cs="Arial"/>
          <w:color w:val="262626"/>
        </w:rPr>
        <w:t>otes</w:t>
      </w:r>
      <w:r w:rsidR="00041F32">
        <w:rPr>
          <w:rFonts w:ascii="Arial" w:hAnsi="Arial" w:cs="Arial"/>
          <w:color w:val="262626"/>
        </w:rPr>
        <w:t>,</w:t>
      </w:r>
      <w:r w:rsidR="00086B0F">
        <w:rPr>
          <w:rFonts w:ascii="Arial" w:hAnsi="Arial" w:cs="Arial"/>
          <w:color w:val="262626"/>
        </w:rPr>
        <w:t xml:space="preserve"> </w:t>
      </w:r>
      <w:r w:rsidR="004B034A">
        <w:rPr>
          <w:rFonts w:ascii="Arial" w:hAnsi="Arial" w:cs="Arial"/>
          <w:color w:val="262626"/>
        </w:rPr>
        <w:t xml:space="preserve">the </w:t>
      </w:r>
      <w:r w:rsidR="00086B0F">
        <w:rPr>
          <w:rFonts w:ascii="Arial" w:hAnsi="Arial" w:cs="Arial"/>
          <w:color w:val="262626"/>
        </w:rPr>
        <w:t xml:space="preserve">stated rationale </w:t>
      </w:r>
      <w:r w:rsidR="004B034A">
        <w:rPr>
          <w:rFonts w:ascii="Arial" w:hAnsi="Arial" w:cs="Arial"/>
          <w:color w:val="262626"/>
        </w:rPr>
        <w:t xml:space="preserve">for </w:t>
      </w:r>
      <w:r w:rsidR="000366C6">
        <w:rPr>
          <w:rFonts w:ascii="Arial" w:hAnsi="Arial" w:cs="Arial"/>
          <w:color w:val="262626"/>
        </w:rPr>
        <w:t xml:space="preserve">changing </w:t>
      </w:r>
      <w:r w:rsidR="004B034A">
        <w:rPr>
          <w:rFonts w:ascii="Arial" w:hAnsi="Arial" w:cs="Arial"/>
          <w:color w:val="262626"/>
        </w:rPr>
        <w:t xml:space="preserve">penalty rates relies on </w:t>
      </w:r>
      <w:r w:rsidR="000366C6">
        <w:rPr>
          <w:rFonts w:ascii="Arial" w:hAnsi="Arial" w:cs="Arial"/>
          <w:color w:val="262626"/>
        </w:rPr>
        <w:t>the</w:t>
      </w:r>
      <w:r w:rsidR="004B034A">
        <w:rPr>
          <w:rFonts w:ascii="Arial" w:hAnsi="Arial" w:cs="Arial"/>
          <w:color w:val="262626"/>
        </w:rPr>
        <w:t xml:space="preserve"> propositio</w:t>
      </w:r>
      <w:r w:rsidR="006919EA">
        <w:rPr>
          <w:rFonts w:ascii="Arial" w:hAnsi="Arial" w:cs="Arial"/>
          <w:color w:val="262626"/>
        </w:rPr>
        <w:t>n</w:t>
      </w:r>
      <w:r w:rsidR="004B034A">
        <w:rPr>
          <w:rFonts w:ascii="Arial" w:hAnsi="Arial" w:cs="Arial"/>
          <w:color w:val="262626"/>
        </w:rPr>
        <w:t xml:space="preserve"> </w:t>
      </w:r>
      <w:r w:rsidR="00B42D63">
        <w:rPr>
          <w:rFonts w:ascii="Arial" w:hAnsi="Arial" w:cs="Arial"/>
          <w:color w:val="262626"/>
        </w:rPr>
        <w:t xml:space="preserve">that </w:t>
      </w:r>
      <w:r w:rsidR="006919EA">
        <w:rPr>
          <w:rFonts w:ascii="Arial" w:hAnsi="Arial" w:cs="Arial"/>
          <w:color w:val="262626"/>
        </w:rPr>
        <w:t xml:space="preserve">the </w:t>
      </w:r>
      <w:r w:rsidR="006919EA" w:rsidRPr="00F77C67">
        <w:rPr>
          <w:rFonts w:ascii="Arial" w:hAnsi="Arial" w:cs="Arial"/>
          <w:color w:val="262626"/>
        </w:rPr>
        <w:t xml:space="preserve">concept of compensating employees by paying ‘premium’ rates for hours worked outside the standard Monday to Friday working </w:t>
      </w:r>
      <w:r w:rsidR="00C609C5" w:rsidRPr="00F77C67">
        <w:rPr>
          <w:rFonts w:ascii="Arial" w:hAnsi="Arial" w:cs="Arial"/>
          <w:color w:val="262626"/>
        </w:rPr>
        <w:t xml:space="preserve">week </w:t>
      </w:r>
      <w:r w:rsidR="000366C6">
        <w:rPr>
          <w:rFonts w:ascii="Arial" w:hAnsi="Arial" w:cs="Arial"/>
          <w:color w:val="262626"/>
        </w:rPr>
        <w:t xml:space="preserve">is </w:t>
      </w:r>
      <w:r w:rsidR="00C609C5" w:rsidRPr="00F77C67">
        <w:rPr>
          <w:rFonts w:ascii="Arial" w:hAnsi="Arial" w:cs="Arial"/>
          <w:color w:val="262626"/>
        </w:rPr>
        <w:t>outdated</w:t>
      </w:r>
      <w:r w:rsidR="006919EA">
        <w:rPr>
          <w:rFonts w:ascii="Arial" w:hAnsi="Arial" w:cs="Arial"/>
          <w:color w:val="262626"/>
        </w:rPr>
        <w:t xml:space="preserve"> due to </w:t>
      </w:r>
      <w:r w:rsidR="00CA6044">
        <w:rPr>
          <w:rFonts w:ascii="Arial" w:hAnsi="Arial" w:cs="Arial"/>
          <w:color w:val="262626"/>
        </w:rPr>
        <w:t xml:space="preserve">transition to </w:t>
      </w:r>
      <w:r w:rsidR="00B42D63">
        <w:rPr>
          <w:rFonts w:ascii="Arial" w:hAnsi="Arial" w:cs="Arial"/>
          <w:color w:val="262626"/>
        </w:rPr>
        <w:t xml:space="preserve">a </w:t>
      </w:r>
      <w:r w:rsidR="006919EA">
        <w:rPr>
          <w:rFonts w:ascii="Arial" w:hAnsi="Arial" w:cs="Arial"/>
          <w:color w:val="262626"/>
        </w:rPr>
        <w:t>24/7 economy</w:t>
      </w:r>
      <w:r w:rsidR="00B42D63">
        <w:rPr>
          <w:rFonts w:ascii="Arial" w:hAnsi="Arial" w:cs="Arial"/>
          <w:color w:val="262626"/>
        </w:rPr>
        <w:t>, changing social norms and claims that</w:t>
      </w:r>
      <w:r w:rsidR="006919EA">
        <w:rPr>
          <w:rFonts w:ascii="Arial" w:hAnsi="Arial" w:cs="Arial"/>
          <w:color w:val="262626"/>
        </w:rPr>
        <w:t xml:space="preserve"> weekends </w:t>
      </w:r>
      <w:r w:rsidR="00B42D63">
        <w:rPr>
          <w:rFonts w:ascii="Arial" w:hAnsi="Arial" w:cs="Arial"/>
          <w:color w:val="262626"/>
        </w:rPr>
        <w:t xml:space="preserve">are no longer special days for rest, family and social time </w:t>
      </w:r>
      <w:r w:rsidR="00CA6044">
        <w:rPr>
          <w:rFonts w:ascii="Arial" w:hAnsi="Arial" w:cs="Arial"/>
          <w:color w:val="262626"/>
        </w:rPr>
        <w:t xml:space="preserve">or </w:t>
      </w:r>
      <w:r w:rsidR="00B42D63">
        <w:rPr>
          <w:rFonts w:ascii="Arial" w:hAnsi="Arial" w:cs="Arial"/>
          <w:color w:val="262626"/>
        </w:rPr>
        <w:t>religious observance.</w:t>
      </w:r>
      <w:r w:rsidR="00CA54B8">
        <w:rPr>
          <w:rStyle w:val="FootnoteReference"/>
          <w:rFonts w:ascii="Arial" w:hAnsi="Arial" w:cs="Arial"/>
          <w:color w:val="262626"/>
        </w:rPr>
        <w:footnoteReference w:id="21"/>
      </w:r>
    </w:p>
    <w:p w:rsidR="00BE7C51" w:rsidRDefault="00B42D63" w:rsidP="00BE7C51">
      <w:pPr>
        <w:rPr>
          <w:rFonts w:ascii="Arial" w:hAnsi="Arial" w:cs="Arial"/>
          <w:color w:val="262626"/>
        </w:rPr>
      </w:pPr>
      <w:r w:rsidRPr="00BE7C51">
        <w:rPr>
          <w:rFonts w:ascii="Arial" w:hAnsi="Arial" w:cs="Arial"/>
          <w:color w:val="262626"/>
        </w:rPr>
        <w:t xml:space="preserve">It is also claimed that </w:t>
      </w:r>
      <w:r w:rsidR="00BE7C51" w:rsidRPr="00BE7C51">
        <w:rPr>
          <w:rFonts w:ascii="Arial" w:hAnsi="Arial" w:cs="Arial"/>
          <w:color w:val="262626"/>
        </w:rPr>
        <w:t>penalty rates inhibit employers from engaging more employees on weekend shifts, or even operating their businesses at all, and their reduction would promote greater workplace participation, social inclusion and productivity.</w:t>
      </w:r>
    </w:p>
    <w:p w:rsidR="0013153E" w:rsidRDefault="004F1CD3" w:rsidP="0013153E">
      <w:pPr>
        <w:rPr>
          <w:rFonts w:ascii="Arial" w:hAnsi="Arial" w:cs="Arial"/>
        </w:rPr>
      </w:pPr>
      <w:r>
        <w:rPr>
          <w:rFonts w:ascii="Arial" w:hAnsi="Arial" w:cs="Arial"/>
          <w:color w:val="262626"/>
        </w:rPr>
        <w:t xml:space="preserve">It is the Church’s view that the evidence does not support a case for change. There is </w:t>
      </w:r>
      <w:r w:rsidR="00676DBC">
        <w:rPr>
          <w:rFonts w:ascii="Arial" w:hAnsi="Arial" w:cs="Arial"/>
          <w:color w:val="262626"/>
        </w:rPr>
        <w:t>no evidence or eco</w:t>
      </w:r>
      <w:r w:rsidR="0013153E">
        <w:rPr>
          <w:rFonts w:ascii="Arial" w:hAnsi="Arial" w:cs="Arial"/>
          <w:color w:val="262626"/>
        </w:rPr>
        <w:t>nomic</w:t>
      </w:r>
      <w:r w:rsidR="00676DBC">
        <w:rPr>
          <w:rFonts w:ascii="Arial" w:hAnsi="Arial" w:cs="Arial"/>
          <w:color w:val="262626"/>
        </w:rPr>
        <w:t xml:space="preserve"> analysis that a reduction in penalty rates would increase </w:t>
      </w:r>
      <w:r w:rsidR="0013153E">
        <w:rPr>
          <w:rFonts w:ascii="Arial" w:hAnsi="Arial" w:cs="Arial"/>
          <w:color w:val="262626"/>
        </w:rPr>
        <w:t xml:space="preserve">employment </w:t>
      </w:r>
      <w:r w:rsidR="00676DBC">
        <w:rPr>
          <w:rFonts w:ascii="Arial" w:hAnsi="Arial" w:cs="Arial"/>
          <w:color w:val="262626"/>
        </w:rPr>
        <w:t xml:space="preserve">  and business turnover. This was appare</w:t>
      </w:r>
      <w:r w:rsidR="0013153E">
        <w:rPr>
          <w:rFonts w:ascii="Arial" w:hAnsi="Arial" w:cs="Arial"/>
          <w:color w:val="262626"/>
        </w:rPr>
        <w:t>nt</w:t>
      </w:r>
      <w:r w:rsidR="00676DBC">
        <w:rPr>
          <w:rFonts w:ascii="Arial" w:hAnsi="Arial" w:cs="Arial"/>
          <w:color w:val="262626"/>
        </w:rPr>
        <w:t xml:space="preserve"> in the </w:t>
      </w:r>
      <w:r w:rsidR="00C84FB4">
        <w:rPr>
          <w:rFonts w:ascii="Arial" w:hAnsi="Arial" w:cs="Arial"/>
          <w:color w:val="262626"/>
        </w:rPr>
        <w:t xml:space="preserve">significant evidentiary gap </w:t>
      </w:r>
      <w:r w:rsidR="00671B5C">
        <w:rPr>
          <w:rFonts w:ascii="Arial" w:hAnsi="Arial" w:cs="Arial"/>
          <w:color w:val="262626"/>
        </w:rPr>
        <w:t>identified by the F</w:t>
      </w:r>
      <w:r w:rsidR="00696AC0">
        <w:rPr>
          <w:rFonts w:ascii="Arial" w:hAnsi="Arial" w:cs="Arial"/>
          <w:color w:val="262626"/>
        </w:rPr>
        <w:t>WC</w:t>
      </w:r>
      <w:r w:rsidR="00671B5C">
        <w:rPr>
          <w:rFonts w:ascii="Arial" w:hAnsi="Arial" w:cs="Arial"/>
          <w:color w:val="262626"/>
        </w:rPr>
        <w:t xml:space="preserve"> in the </w:t>
      </w:r>
      <w:r w:rsidR="00671B5C" w:rsidRPr="009D05ED">
        <w:rPr>
          <w:rFonts w:ascii="Arial" w:hAnsi="Arial" w:cs="Arial"/>
          <w:i/>
          <w:color w:val="262626"/>
        </w:rPr>
        <w:t xml:space="preserve">2013 </w:t>
      </w:r>
      <w:r w:rsidR="00C84FB4" w:rsidRPr="009D05ED">
        <w:rPr>
          <w:rFonts w:ascii="Arial" w:hAnsi="Arial" w:cs="Arial"/>
          <w:i/>
        </w:rPr>
        <w:t xml:space="preserve">Transitional Review Penalty Rates </w:t>
      </w:r>
      <w:r w:rsidR="0013153E" w:rsidRPr="009D05ED">
        <w:rPr>
          <w:rFonts w:ascii="Arial" w:hAnsi="Arial" w:cs="Arial"/>
          <w:i/>
        </w:rPr>
        <w:t>Decision</w:t>
      </w:r>
      <w:r w:rsidR="0013153E">
        <w:rPr>
          <w:rFonts w:ascii="Arial" w:hAnsi="Arial" w:cs="Arial"/>
        </w:rPr>
        <w:t xml:space="preserve"> in rejecting ap</w:t>
      </w:r>
      <w:r w:rsidR="00BB6E2A">
        <w:rPr>
          <w:rFonts w:ascii="Arial" w:hAnsi="Arial" w:cs="Arial"/>
        </w:rPr>
        <w:t xml:space="preserve">plications to </w:t>
      </w:r>
      <w:r w:rsidR="0013153E">
        <w:rPr>
          <w:rFonts w:ascii="Arial" w:hAnsi="Arial" w:cs="Arial"/>
        </w:rPr>
        <w:t>reduce penalty in awards covering retail, fast food, food</w:t>
      </w:r>
      <w:r w:rsidR="00BB6E2A">
        <w:rPr>
          <w:rFonts w:ascii="Arial" w:hAnsi="Arial" w:cs="Arial"/>
        </w:rPr>
        <w:t xml:space="preserve"> and </w:t>
      </w:r>
      <w:r w:rsidR="0013153E">
        <w:rPr>
          <w:rFonts w:ascii="Arial" w:hAnsi="Arial" w:cs="Arial"/>
        </w:rPr>
        <w:t xml:space="preserve">beverage manufacturing, </w:t>
      </w:r>
      <w:r w:rsidR="00BB6E2A">
        <w:rPr>
          <w:rFonts w:ascii="Arial" w:hAnsi="Arial" w:cs="Arial"/>
        </w:rPr>
        <w:t>hair and beauty and h</w:t>
      </w:r>
      <w:r w:rsidR="0013153E">
        <w:rPr>
          <w:rFonts w:ascii="Arial" w:hAnsi="Arial" w:cs="Arial"/>
        </w:rPr>
        <w:t xml:space="preserve">ospitality workers. The </w:t>
      </w:r>
      <w:r w:rsidR="00F11F16">
        <w:rPr>
          <w:rFonts w:ascii="Arial" w:hAnsi="Arial" w:cs="Arial"/>
        </w:rPr>
        <w:t>FWC</w:t>
      </w:r>
      <w:r w:rsidR="0013153E">
        <w:rPr>
          <w:rFonts w:ascii="Arial" w:hAnsi="Arial" w:cs="Arial"/>
        </w:rPr>
        <w:t xml:space="preserve"> said:</w:t>
      </w:r>
    </w:p>
    <w:p w:rsidR="00867438" w:rsidRPr="00FF5C73" w:rsidRDefault="00867438" w:rsidP="00867438">
      <w:pPr>
        <w:ind w:left="720"/>
        <w:rPr>
          <w:rFonts w:ascii="Arial" w:hAnsi="Arial" w:cs="Arial"/>
          <w:i/>
          <w:iCs/>
          <w:color w:val="000000"/>
          <w:sz w:val="20"/>
          <w:szCs w:val="20"/>
        </w:rPr>
      </w:pPr>
      <w:r w:rsidRPr="00FF5C73">
        <w:rPr>
          <w:rFonts w:ascii="Arial" w:hAnsi="Arial" w:cs="Arial"/>
          <w:i/>
          <w:iCs/>
          <w:color w:val="000000"/>
          <w:sz w:val="20"/>
          <w:szCs w:val="20"/>
        </w:rPr>
        <w:t>There is a significant ‘evidentiary gap’ in the cases put. It is particularly telling that there is no reliable evidence regarding the impact of the differing Sunday (or other) penalties when applied upon actual employer behaviour and practice..... There is also no reliable evidence about the impact of the existing differential Saturday and Sunday penalties upon employment patterns, operational decisions and business performance</w:t>
      </w:r>
      <w:r w:rsidR="00567C0B">
        <w:rPr>
          <w:rFonts w:ascii="Arial" w:hAnsi="Arial" w:cs="Arial"/>
          <w:i/>
          <w:iCs/>
          <w:color w:val="000000"/>
          <w:sz w:val="20"/>
          <w:szCs w:val="20"/>
        </w:rPr>
        <w:t>.</w:t>
      </w:r>
      <w:r w:rsidR="002F6EB0" w:rsidRPr="00FF5C73">
        <w:rPr>
          <w:rFonts w:ascii="Arial" w:hAnsi="Arial" w:cs="Arial"/>
          <w:i/>
          <w:iCs/>
          <w:color w:val="000000"/>
          <w:sz w:val="20"/>
          <w:szCs w:val="20"/>
        </w:rPr>
        <w:t xml:space="preserve"> </w:t>
      </w:r>
      <w:r w:rsidRPr="00FF5C73">
        <w:rPr>
          <w:rStyle w:val="FootnoteReference"/>
          <w:rFonts w:ascii="Arial" w:hAnsi="Arial" w:cs="Arial"/>
          <w:i/>
          <w:iCs/>
          <w:color w:val="000000"/>
          <w:sz w:val="20"/>
          <w:szCs w:val="20"/>
        </w:rPr>
        <w:footnoteReference w:id="22"/>
      </w:r>
    </w:p>
    <w:p w:rsidR="00C84F69" w:rsidRDefault="00C84F69" w:rsidP="00C84F69">
      <w:pPr>
        <w:rPr>
          <w:rFonts w:ascii="Arial" w:hAnsi="Arial" w:cs="Arial"/>
          <w:i/>
          <w:iCs/>
          <w:color w:val="000000"/>
        </w:rPr>
      </w:pPr>
      <w:r w:rsidRPr="00C512DE">
        <w:rPr>
          <w:rFonts w:ascii="Arial" w:hAnsi="Arial" w:cs="Arial"/>
        </w:rPr>
        <w:t xml:space="preserve">The fact that some industries </w:t>
      </w:r>
      <w:r w:rsidR="00240638">
        <w:rPr>
          <w:rFonts w:ascii="Arial" w:hAnsi="Arial" w:cs="Arial"/>
        </w:rPr>
        <w:t>operate</w:t>
      </w:r>
      <w:r w:rsidR="00C74DB5">
        <w:rPr>
          <w:rFonts w:ascii="Arial" w:hAnsi="Arial" w:cs="Arial"/>
        </w:rPr>
        <w:t xml:space="preserve"> </w:t>
      </w:r>
      <w:r>
        <w:rPr>
          <w:rFonts w:ascii="Arial" w:hAnsi="Arial" w:cs="Arial"/>
        </w:rPr>
        <w:t>24/7</w:t>
      </w:r>
      <w:r w:rsidRPr="00C512DE">
        <w:rPr>
          <w:rFonts w:ascii="Arial" w:hAnsi="Arial" w:cs="Arial"/>
        </w:rPr>
        <w:t xml:space="preserve"> should not disentitle workers to penalty rates for the working of unsocial hours. Penalty payments are paid for work in unsocial hours in seven day a week industries, such as health, aged care, policing, emergency services and private security. The </w:t>
      </w:r>
      <w:r w:rsidR="00240638">
        <w:rPr>
          <w:rFonts w:ascii="Arial" w:hAnsi="Arial" w:cs="Arial"/>
        </w:rPr>
        <w:t>fact t</w:t>
      </w:r>
      <w:r w:rsidRPr="00C512DE">
        <w:rPr>
          <w:rFonts w:ascii="Arial" w:hAnsi="Arial" w:cs="Arial"/>
        </w:rPr>
        <w:t>hat certain industries such as retail</w:t>
      </w:r>
      <w:r>
        <w:rPr>
          <w:rFonts w:ascii="Arial" w:hAnsi="Arial" w:cs="Arial"/>
        </w:rPr>
        <w:t xml:space="preserve"> are changing due to consumer expectations </w:t>
      </w:r>
      <w:r w:rsidRPr="00C512DE">
        <w:rPr>
          <w:rFonts w:ascii="Arial" w:hAnsi="Arial" w:cs="Arial"/>
        </w:rPr>
        <w:t>does not support a claim that penalty rates should be reduced or removed.</w:t>
      </w:r>
    </w:p>
    <w:p w:rsidR="00486863" w:rsidRPr="00D7563B" w:rsidRDefault="009C13B4" w:rsidP="00486863">
      <w:pPr>
        <w:rPr>
          <w:rFonts w:ascii="Arial" w:hAnsi="Arial" w:cs="Arial"/>
          <w:b/>
          <w:bCs/>
          <w:i/>
          <w:color w:val="C0504D"/>
          <w:sz w:val="24"/>
          <w:szCs w:val="24"/>
        </w:rPr>
      </w:pPr>
      <w:r w:rsidRPr="00D7563B">
        <w:rPr>
          <w:rFonts w:ascii="Arial" w:hAnsi="Arial" w:cs="Arial"/>
          <w:b/>
          <w:bCs/>
          <w:i/>
          <w:color w:val="C0504D"/>
          <w:sz w:val="24"/>
          <w:szCs w:val="24"/>
        </w:rPr>
        <w:t>M</w:t>
      </w:r>
      <w:r w:rsidR="00486863" w:rsidRPr="00D7563B">
        <w:rPr>
          <w:rFonts w:ascii="Arial" w:hAnsi="Arial" w:cs="Arial"/>
          <w:b/>
          <w:bCs/>
          <w:i/>
          <w:color w:val="C0504D"/>
          <w:sz w:val="24"/>
          <w:szCs w:val="24"/>
        </w:rPr>
        <w:t>inimum wage earners</w:t>
      </w:r>
      <w:r w:rsidRPr="00D7563B">
        <w:rPr>
          <w:rFonts w:ascii="Arial" w:hAnsi="Arial" w:cs="Arial"/>
          <w:b/>
          <w:bCs/>
          <w:i/>
          <w:color w:val="C0504D"/>
          <w:sz w:val="24"/>
          <w:szCs w:val="24"/>
        </w:rPr>
        <w:t xml:space="preserve"> will be disproportionately affected by reductions </w:t>
      </w:r>
    </w:p>
    <w:p w:rsidR="009814DB" w:rsidRPr="00C512DE" w:rsidRDefault="009814DB" w:rsidP="009814DB">
      <w:pPr>
        <w:rPr>
          <w:rFonts w:ascii="Arial" w:hAnsi="Arial" w:cs="Arial"/>
        </w:rPr>
      </w:pPr>
      <w:r w:rsidRPr="00C512DE">
        <w:rPr>
          <w:rFonts w:ascii="Arial" w:hAnsi="Arial" w:cs="Arial"/>
        </w:rPr>
        <w:t>CCER is concerned about the impact that any reductions in penalty rates would have on minimum wage earners and their families</w:t>
      </w:r>
      <w:r>
        <w:rPr>
          <w:rFonts w:ascii="Arial" w:hAnsi="Arial" w:cs="Arial"/>
        </w:rPr>
        <w:t xml:space="preserve"> in light of evidence </w:t>
      </w:r>
      <w:r w:rsidRPr="00C512DE">
        <w:rPr>
          <w:rFonts w:ascii="Arial" w:hAnsi="Arial" w:cs="Arial"/>
        </w:rPr>
        <w:t xml:space="preserve">that while </w:t>
      </w:r>
      <w:r w:rsidR="0080215D">
        <w:rPr>
          <w:rFonts w:ascii="Arial" w:hAnsi="Arial" w:cs="Arial"/>
        </w:rPr>
        <w:t xml:space="preserve">evening </w:t>
      </w:r>
      <w:r w:rsidRPr="00C512DE">
        <w:rPr>
          <w:rFonts w:ascii="Arial" w:hAnsi="Arial" w:cs="Arial"/>
        </w:rPr>
        <w:t xml:space="preserve">or weekend work provides flexibility for some workers, for </w:t>
      </w:r>
      <w:r w:rsidR="00A55499">
        <w:rPr>
          <w:rFonts w:ascii="Arial" w:hAnsi="Arial" w:cs="Arial"/>
        </w:rPr>
        <w:t xml:space="preserve">a disproportionate number of </w:t>
      </w:r>
      <w:r w:rsidRPr="00C512DE">
        <w:rPr>
          <w:rFonts w:ascii="Arial" w:hAnsi="Arial" w:cs="Arial"/>
        </w:rPr>
        <w:t xml:space="preserve">employees working non-standard hours in precarious and low paid jobs, penalty rates help to protect their living standards. </w:t>
      </w:r>
    </w:p>
    <w:p w:rsidR="009814DB" w:rsidRPr="00C512DE" w:rsidRDefault="009814DB" w:rsidP="0066482F">
      <w:pPr>
        <w:rPr>
          <w:rFonts w:ascii="Arial" w:hAnsi="Arial" w:cs="Arial"/>
        </w:rPr>
      </w:pPr>
      <w:r w:rsidRPr="00C512DE">
        <w:rPr>
          <w:rFonts w:ascii="Arial" w:hAnsi="Arial" w:cs="Arial"/>
        </w:rPr>
        <w:t xml:space="preserve">In evidence provided to the </w:t>
      </w:r>
      <w:r w:rsidR="00A65171">
        <w:rPr>
          <w:rFonts w:ascii="Arial" w:hAnsi="Arial" w:cs="Arial"/>
        </w:rPr>
        <w:t xml:space="preserve">2012 </w:t>
      </w:r>
      <w:r w:rsidRPr="00C512DE">
        <w:rPr>
          <w:rFonts w:ascii="Arial" w:hAnsi="Arial" w:cs="Arial"/>
        </w:rPr>
        <w:t xml:space="preserve">Senate inquiry into </w:t>
      </w:r>
      <w:r w:rsidR="000C39F2">
        <w:rPr>
          <w:rFonts w:ascii="Arial" w:hAnsi="Arial" w:cs="Arial"/>
        </w:rPr>
        <w:t xml:space="preserve">a </w:t>
      </w:r>
      <w:r>
        <w:rPr>
          <w:rFonts w:ascii="Arial" w:hAnsi="Arial" w:cs="Arial"/>
        </w:rPr>
        <w:t>B</w:t>
      </w:r>
      <w:r w:rsidRPr="00C512DE">
        <w:rPr>
          <w:rFonts w:ascii="Arial" w:hAnsi="Arial" w:cs="Arial"/>
        </w:rPr>
        <w:t xml:space="preserve">ill to exempt restaurant and catering and retail businesses from paying penalty rates, the Department of Education, Employment </w:t>
      </w:r>
      <w:r w:rsidRPr="00C512DE">
        <w:rPr>
          <w:rFonts w:ascii="Arial" w:hAnsi="Arial" w:cs="Arial"/>
        </w:rPr>
        <w:lastRenderedPageBreak/>
        <w:t xml:space="preserve">and Workplace Relations submitted the average casual non-managerial employee would lose </w:t>
      </w:r>
      <w:r w:rsidR="00BB7B0A">
        <w:rPr>
          <w:rFonts w:ascii="Arial" w:hAnsi="Arial" w:cs="Arial"/>
        </w:rPr>
        <w:t xml:space="preserve">income of </w:t>
      </w:r>
      <w:r w:rsidRPr="00C512DE">
        <w:rPr>
          <w:rFonts w:ascii="Arial" w:hAnsi="Arial" w:cs="Arial"/>
        </w:rPr>
        <w:t>$58 (11%) a week in restaurants, $47 (9%) in hospitality, $37 (6%) in fast food and $29 (6%) in retail</w:t>
      </w:r>
      <w:r w:rsidR="00303B14">
        <w:rPr>
          <w:rFonts w:ascii="Arial" w:hAnsi="Arial" w:cs="Arial"/>
        </w:rPr>
        <w:t>, affecting some 200,000 typically award reliant and low paid employees</w:t>
      </w:r>
      <w:r w:rsidR="00BB7B0A">
        <w:rPr>
          <w:rFonts w:ascii="Arial" w:hAnsi="Arial" w:cs="Arial"/>
        </w:rPr>
        <w:t xml:space="preserve">. </w:t>
      </w:r>
      <w:r>
        <w:rPr>
          <w:rStyle w:val="FootnoteReference"/>
          <w:rFonts w:ascii="Arial" w:hAnsi="Arial" w:cs="Arial"/>
        </w:rPr>
        <w:footnoteReference w:id="23"/>
      </w:r>
    </w:p>
    <w:p w:rsidR="004B034A" w:rsidRDefault="0066482F" w:rsidP="0066482F">
      <w:pPr>
        <w:rPr>
          <w:rFonts w:ascii="Arial" w:hAnsi="Arial" w:cs="Arial"/>
        </w:rPr>
      </w:pPr>
      <w:r>
        <w:rPr>
          <w:rFonts w:ascii="Arial" w:hAnsi="Arial" w:cs="Arial"/>
        </w:rPr>
        <w:t>P</w:t>
      </w:r>
      <w:r w:rsidR="00076BDB" w:rsidRPr="00AB574F">
        <w:rPr>
          <w:rFonts w:ascii="Arial" w:hAnsi="Arial" w:cs="Arial"/>
        </w:rPr>
        <w:t xml:space="preserve">enalty rates are an inherent part of the existing award safety net, and any </w:t>
      </w:r>
      <w:r w:rsidR="00076BDB" w:rsidRPr="00AB574F">
        <w:rPr>
          <w:rFonts w:ascii="Arial" w:hAnsi="Arial" w:cs="Arial"/>
          <w:i/>
        </w:rPr>
        <w:t>‘loss of penalty rates would have a major and often devastating impact on many low paid workers and their families. This will compound the situation where the National Minimum Wage and other award rates provide only poverty wages.</w:t>
      </w:r>
      <w:r w:rsidR="00076BDB" w:rsidRPr="00AB574F">
        <w:rPr>
          <w:rFonts w:ascii="Arial" w:hAnsi="Arial" w:cs="Arial"/>
        </w:rPr>
        <w:t xml:space="preserve"> </w:t>
      </w:r>
      <w:r w:rsidR="00076BDB" w:rsidRPr="00AB574F">
        <w:rPr>
          <w:rFonts w:ascii="Arial" w:hAnsi="Arial" w:cs="Arial"/>
          <w:i/>
        </w:rPr>
        <w:t>Workers who rely on penalty rates to help make ends meet would be left without any compensation.</w:t>
      </w:r>
      <w:r w:rsidR="00076BDB" w:rsidRPr="00AB574F">
        <w:rPr>
          <w:rFonts w:ascii="Arial" w:hAnsi="Arial" w:cs="Arial"/>
        </w:rPr>
        <w:t xml:space="preserve">’ </w:t>
      </w:r>
      <w:r w:rsidR="00076BDB">
        <w:rPr>
          <w:rFonts w:ascii="Arial" w:hAnsi="Arial" w:cs="Arial"/>
        </w:rPr>
        <w:t>Any</w:t>
      </w:r>
      <w:r w:rsidR="00076BDB" w:rsidRPr="00AB574F">
        <w:rPr>
          <w:rFonts w:ascii="Arial" w:hAnsi="Arial" w:cs="Arial"/>
        </w:rPr>
        <w:t xml:space="preserve"> reduction or removal of penalty rates will disproportionately affect low paid workers and their families</w:t>
      </w:r>
      <w:r w:rsidR="00B26379">
        <w:rPr>
          <w:rFonts w:ascii="Arial" w:hAnsi="Arial" w:cs="Arial"/>
        </w:rPr>
        <w:t xml:space="preserve"> who may need to work additional hours to receive the same income</w:t>
      </w:r>
      <w:r w:rsidR="00076BDB" w:rsidRPr="00AB574F">
        <w:rPr>
          <w:rFonts w:ascii="Arial" w:hAnsi="Arial" w:cs="Arial"/>
        </w:rPr>
        <w:t>. This is unfair.</w:t>
      </w:r>
      <w:r w:rsidR="00076BDB" w:rsidRPr="00D4447B">
        <w:rPr>
          <w:rStyle w:val="FootnoteReference"/>
          <w:rFonts w:ascii="Arial" w:hAnsi="Arial" w:cs="Arial"/>
        </w:rPr>
        <w:footnoteReference w:id="24"/>
      </w:r>
      <w:r w:rsidR="00076BDB" w:rsidRPr="00AB574F">
        <w:rPr>
          <w:rFonts w:ascii="Arial" w:hAnsi="Arial" w:cs="Arial"/>
        </w:rPr>
        <w:t xml:space="preserve">  </w:t>
      </w:r>
    </w:p>
    <w:p w:rsidR="00B26379" w:rsidRDefault="00B26379" w:rsidP="00086B0F">
      <w:pPr>
        <w:rPr>
          <w:rFonts w:ascii="Arial" w:hAnsi="Arial" w:cs="Arial"/>
        </w:rPr>
      </w:pPr>
      <w:r>
        <w:rPr>
          <w:rFonts w:ascii="Arial" w:hAnsi="Arial" w:cs="Arial"/>
        </w:rPr>
        <w:t>T</w:t>
      </w:r>
      <w:r w:rsidR="007C6835">
        <w:rPr>
          <w:rFonts w:ascii="Arial" w:hAnsi="Arial" w:cs="Arial"/>
        </w:rPr>
        <w:t xml:space="preserve">he choice </w:t>
      </w:r>
      <w:r>
        <w:rPr>
          <w:rFonts w:ascii="Arial" w:hAnsi="Arial" w:cs="Arial"/>
        </w:rPr>
        <w:t>to wo</w:t>
      </w:r>
      <w:r w:rsidR="007C6835">
        <w:rPr>
          <w:rFonts w:ascii="Arial" w:hAnsi="Arial" w:cs="Arial"/>
        </w:rPr>
        <w:t>r</w:t>
      </w:r>
      <w:r>
        <w:rPr>
          <w:rFonts w:ascii="Arial" w:hAnsi="Arial" w:cs="Arial"/>
        </w:rPr>
        <w:t>k unsocial hours is large</w:t>
      </w:r>
      <w:r w:rsidR="007C6835">
        <w:rPr>
          <w:rFonts w:ascii="Arial" w:hAnsi="Arial" w:cs="Arial"/>
        </w:rPr>
        <w:t>ly</w:t>
      </w:r>
      <w:r>
        <w:rPr>
          <w:rFonts w:ascii="Arial" w:hAnsi="Arial" w:cs="Arial"/>
        </w:rPr>
        <w:t xml:space="preserve"> driven by th</w:t>
      </w:r>
      <w:r w:rsidR="007C6835">
        <w:rPr>
          <w:rFonts w:ascii="Arial" w:hAnsi="Arial" w:cs="Arial"/>
        </w:rPr>
        <w:t>e</w:t>
      </w:r>
      <w:r>
        <w:rPr>
          <w:rFonts w:ascii="Arial" w:hAnsi="Arial" w:cs="Arial"/>
        </w:rPr>
        <w:t xml:space="preserve"> financial incentive of pe</w:t>
      </w:r>
      <w:r w:rsidR="007C6835">
        <w:rPr>
          <w:rFonts w:ascii="Arial" w:hAnsi="Arial" w:cs="Arial"/>
        </w:rPr>
        <w:t>nalty</w:t>
      </w:r>
      <w:r>
        <w:rPr>
          <w:rFonts w:ascii="Arial" w:hAnsi="Arial" w:cs="Arial"/>
        </w:rPr>
        <w:t xml:space="preserve"> </w:t>
      </w:r>
      <w:r w:rsidR="00CA209D">
        <w:rPr>
          <w:rFonts w:ascii="Arial" w:hAnsi="Arial" w:cs="Arial"/>
        </w:rPr>
        <w:t>rates with</w:t>
      </w:r>
      <w:r w:rsidR="007C6835">
        <w:rPr>
          <w:rFonts w:ascii="Arial" w:hAnsi="Arial" w:cs="Arial"/>
        </w:rPr>
        <w:t xml:space="preserve"> women, </w:t>
      </w:r>
      <w:r w:rsidR="00CA209D">
        <w:rPr>
          <w:rFonts w:ascii="Arial" w:hAnsi="Arial" w:cs="Arial"/>
        </w:rPr>
        <w:t>workers</w:t>
      </w:r>
      <w:r w:rsidR="007C6835">
        <w:rPr>
          <w:rFonts w:ascii="Arial" w:hAnsi="Arial" w:cs="Arial"/>
        </w:rPr>
        <w:t xml:space="preserve"> with combined </w:t>
      </w:r>
      <w:r w:rsidR="00CA209D">
        <w:rPr>
          <w:rFonts w:ascii="Arial" w:hAnsi="Arial" w:cs="Arial"/>
        </w:rPr>
        <w:t>household</w:t>
      </w:r>
      <w:r w:rsidR="007C6835">
        <w:rPr>
          <w:rFonts w:ascii="Arial" w:hAnsi="Arial" w:cs="Arial"/>
        </w:rPr>
        <w:t xml:space="preserve"> incomes </w:t>
      </w:r>
      <w:r w:rsidR="00CA209D">
        <w:rPr>
          <w:rFonts w:ascii="Arial" w:hAnsi="Arial" w:cs="Arial"/>
        </w:rPr>
        <w:t>below $</w:t>
      </w:r>
      <w:r w:rsidR="007C6835">
        <w:rPr>
          <w:rFonts w:ascii="Arial" w:hAnsi="Arial" w:cs="Arial"/>
        </w:rPr>
        <w:t>30,000 and rural an</w:t>
      </w:r>
      <w:r w:rsidR="00CA209D">
        <w:rPr>
          <w:rFonts w:ascii="Arial" w:hAnsi="Arial" w:cs="Arial"/>
        </w:rPr>
        <w:t>d</w:t>
      </w:r>
      <w:r w:rsidR="007C6835">
        <w:rPr>
          <w:rFonts w:ascii="Arial" w:hAnsi="Arial" w:cs="Arial"/>
        </w:rPr>
        <w:t xml:space="preserve"> </w:t>
      </w:r>
      <w:r w:rsidR="00CA209D">
        <w:rPr>
          <w:rFonts w:ascii="Arial" w:hAnsi="Arial" w:cs="Arial"/>
        </w:rPr>
        <w:t>regional</w:t>
      </w:r>
      <w:r w:rsidR="007C6835">
        <w:rPr>
          <w:rFonts w:ascii="Arial" w:hAnsi="Arial" w:cs="Arial"/>
        </w:rPr>
        <w:t xml:space="preserve"> </w:t>
      </w:r>
      <w:r w:rsidR="00CA209D">
        <w:rPr>
          <w:rFonts w:ascii="Arial" w:hAnsi="Arial" w:cs="Arial"/>
        </w:rPr>
        <w:t xml:space="preserve">employees </w:t>
      </w:r>
      <w:r w:rsidR="007C6835">
        <w:rPr>
          <w:rFonts w:ascii="Arial" w:hAnsi="Arial" w:cs="Arial"/>
        </w:rPr>
        <w:t xml:space="preserve">most financially vulnerable to </w:t>
      </w:r>
      <w:r w:rsidR="00CA209D">
        <w:rPr>
          <w:rFonts w:ascii="Arial" w:hAnsi="Arial" w:cs="Arial"/>
        </w:rPr>
        <w:t>their</w:t>
      </w:r>
      <w:r w:rsidR="007C6835">
        <w:rPr>
          <w:rFonts w:ascii="Arial" w:hAnsi="Arial" w:cs="Arial"/>
        </w:rPr>
        <w:t xml:space="preserve"> removal</w:t>
      </w:r>
      <w:r w:rsidR="00CA209D">
        <w:rPr>
          <w:rFonts w:ascii="Arial" w:hAnsi="Arial" w:cs="Arial"/>
        </w:rPr>
        <w:t xml:space="preserve">. </w:t>
      </w:r>
      <w:r w:rsidR="003273DA">
        <w:rPr>
          <w:rFonts w:ascii="Arial" w:hAnsi="Arial" w:cs="Arial"/>
        </w:rPr>
        <w:t>The same r</w:t>
      </w:r>
      <w:r w:rsidR="00CA209D">
        <w:rPr>
          <w:rFonts w:ascii="Arial" w:hAnsi="Arial" w:cs="Arial"/>
        </w:rPr>
        <w:t xml:space="preserve">esearch also </w:t>
      </w:r>
      <w:r w:rsidR="00A44922">
        <w:rPr>
          <w:rFonts w:ascii="Arial" w:hAnsi="Arial" w:cs="Arial"/>
        </w:rPr>
        <w:t>indicates</w:t>
      </w:r>
      <w:r w:rsidR="00EB337E">
        <w:rPr>
          <w:rFonts w:ascii="Arial" w:hAnsi="Arial" w:cs="Arial"/>
        </w:rPr>
        <w:t xml:space="preserve"> a large number </w:t>
      </w:r>
      <w:r w:rsidR="002B46A0">
        <w:rPr>
          <w:rFonts w:ascii="Arial" w:hAnsi="Arial" w:cs="Arial"/>
        </w:rPr>
        <w:t xml:space="preserve">of employees </w:t>
      </w:r>
      <w:r w:rsidR="00EB337E">
        <w:rPr>
          <w:rFonts w:ascii="Arial" w:hAnsi="Arial" w:cs="Arial"/>
        </w:rPr>
        <w:t xml:space="preserve">would </w:t>
      </w:r>
      <w:r w:rsidR="00CB194C">
        <w:rPr>
          <w:rFonts w:ascii="Arial" w:hAnsi="Arial" w:cs="Arial"/>
        </w:rPr>
        <w:t>stop</w:t>
      </w:r>
      <w:r w:rsidR="00EB337E">
        <w:rPr>
          <w:rFonts w:ascii="Arial" w:hAnsi="Arial" w:cs="Arial"/>
        </w:rPr>
        <w:t xml:space="preserve"> working unsociable hours if penalties </w:t>
      </w:r>
      <w:r w:rsidR="00CB194C">
        <w:rPr>
          <w:rFonts w:ascii="Arial" w:hAnsi="Arial" w:cs="Arial"/>
        </w:rPr>
        <w:t>were</w:t>
      </w:r>
      <w:r w:rsidR="00A52F45">
        <w:rPr>
          <w:rFonts w:ascii="Arial" w:hAnsi="Arial" w:cs="Arial"/>
        </w:rPr>
        <w:t xml:space="preserve"> removed.</w:t>
      </w:r>
      <w:r w:rsidR="00A52F45" w:rsidRPr="00A52F45">
        <w:rPr>
          <w:rStyle w:val="FootnoteReference"/>
          <w:rFonts w:ascii="Arial" w:hAnsi="Arial" w:cs="Arial"/>
        </w:rPr>
        <w:t xml:space="preserve"> </w:t>
      </w:r>
      <w:r w:rsidR="00A52F45">
        <w:rPr>
          <w:rStyle w:val="FootnoteReference"/>
          <w:rFonts w:ascii="Arial" w:hAnsi="Arial" w:cs="Arial"/>
        </w:rPr>
        <w:footnoteReference w:id="25"/>
      </w:r>
    </w:p>
    <w:p w:rsidR="00486863" w:rsidRPr="00D7563B" w:rsidRDefault="009C13B4" w:rsidP="00086B0F">
      <w:pPr>
        <w:rPr>
          <w:rFonts w:ascii="Arial" w:hAnsi="Arial" w:cs="Arial"/>
          <w:b/>
          <w:bCs/>
          <w:i/>
          <w:color w:val="C0504D"/>
          <w:sz w:val="24"/>
          <w:szCs w:val="24"/>
        </w:rPr>
      </w:pPr>
      <w:r w:rsidRPr="00D7563B">
        <w:rPr>
          <w:rFonts w:ascii="Arial" w:hAnsi="Arial" w:cs="Arial"/>
          <w:b/>
          <w:bCs/>
          <w:i/>
          <w:color w:val="C0504D"/>
          <w:sz w:val="24"/>
          <w:szCs w:val="24"/>
        </w:rPr>
        <w:t xml:space="preserve">Unsociable hours negatively </w:t>
      </w:r>
      <w:r w:rsidR="00C739E8" w:rsidRPr="00D7563B">
        <w:rPr>
          <w:rFonts w:ascii="Arial" w:hAnsi="Arial" w:cs="Arial"/>
          <w:b/>
          <w:bCs/>
          <w:i/>
          <w:color w:val="C0504D"/>
          <w:sz w:val="24"/>
          <w:szCs w:val="24"/>
        </w:rPr>
        <w:t>affect</w:t>
      </w:r>
      <w:r w:rsidR="00486863" w:rsidRPr="00D7563B">
        <w:rPr>
          <w:rFonts w:ascii="Arial" w:hAnsi="Arial" w:cs="Arial"/>
          <w:b/>
          <w:bCs/>
          <w:i/>
          <w:color w:val="C0504D"/>
          <w:sz w:val="24"/>
          <w:szCs w:val="24"/>
        </w:rPr>
        <w:t xml:space="preserve"> family life and leisure</w:t>
      </w:r>
    </w:p>
    <w:p w:rsidR="00740EF5" w:rsidRPr="00260ADA" w:rsidRDefault="00890C47" w:rsidP="00740EF5">
      <w:pPr>
        <w:rPr>
          <w:rStyle w:val="FootnoteReference"/>
          <w:rFonts w:ascii="Arial" w:hAnsi="Arial" w:cs="Arial"/>
        </w:rPr>
      </w:pPr>
      <w:r w:rsidRPr="00740EF5">
        <w:rPr>
          <w:rFonts w:ascii="Arial" w:hAnsi="Arial" w:cs="Arial"/>
          <w:shd w:val="clear" w:color="auto" w:fill="FFFFFF"/>
        </w:rPr>
        <w:t xml:space="preserve">Weekend work has nearly trebled over the past 20 years, from 12 per cent of workers in 1993 to </w:t>
      </w:r>
      <w:r w:rsidR="00740EF5">
        <w:rPr>
          <w:rFonts w:ascii="Arial" w:hAnsi="Arial" w:cs="Arial"/>
          <w:shd w:val="clear" w:color="auto" w:fill="FFFFFF"/>
        </w:rPr>
        <w:t xml:space="preserve">roughly a third </w:t>
      </w:r>
      <w:r w:rsidRPr="00740EF5">
        <w:rPr>
          <w:rFonts w:ascii="Arial" w:hAnsi="Arial" w:cs="Arial"/>
          <w:shd w:val="clear" w:color="auto" w:fill="FFFFFF"/>
        </w:rPr>
        <w:t xml:space="preserve">today </w:t>
      </w:r>
      <w:r w:rsidR="00740EF5">
        <w:rPr>
          <w:rFonts w:ascii="Arial" w:hAnsi="Arial" w:cs="Arial"/>
          <w:shd w:val="clear" w:color="auto" w:fill="FFFFFF"/>
        </w:rPr>
        <w:t xml:space="preserve">with 30% of single job </w:t>
      </w:r>
      <w:r w:rsidR="0094506C">
        <w:rPr>
          <w:rFonts w:ascii="Arial" w:hAnsi="Arial" w:cs="Arial"/>
          <w:shd w:val="clear" w:color="auto" w:fill="FFFFFF"/>
        </w:rPr>
        <w:t>h</w:t>
      </w:r>
      <w:r w:rsidR="00740EF5">
        <w:rPr>
          <w:rFonts w:ascii="Arial" w:hAnsi="Arial" w:cs="Arial"/>
          <w:shd w:val="clear" w:color="auto" w:fill="FFFFFF"/>
        </w:rPr>
        <w:t>olders and 60% of multiple job holders working weekdays and weekends</w:t>
      </w:r>
      <w:r w:rsidRPr="00740EF5">
        <w:rPr>
          <w:rFonts w:ascii="Arial" w:hAnsi="Arial" w:cs="Arial"/>
          <w:shd w:val="clear" w:color="auto" w:fill="FFFFFF"/>
        </w:rPr>
        <w:t>.</w:t>
      </w:r>
      <w:r w:rsidR="00740EF5">
        <w:rPr>
          <w:rFonts w:ascii="Arial" w:hAnsi="Arial" w:cs="Arial"/>
          <w:shd w:val="clear" w:color="auto" w:fill="FFFFFF"/>
        </w:rPr>
        <w:t xml:space="preserve"> </w:t>
      </w:r>
      <w:r w:rsidR="00740EF5" w:rsidRPr="00DE7084">
        <w:rPr>
          <w:rStyle w:val="FootnoteReference"/>
          <w:rFonts w:ascii="Arial" w:hAnsi="Arial" w:cs="Arial"/>
        </w:rPr>
        <w:footnoteReference w:id="26"/>
      </w:r>
    </w:p>
    <w:p w:rsidR="00D63CB4" w:rsidRPr="00BF7323" w:rsidRDefault="00D63CB4" w:rsidP="00D63CB4">
      <w:pPr>
        <w:rPr>
          <w:rFonts w:ascii="Arial" w:hAnsi="Arial" w:cs="Arial"/>
        </w:rPr>
      </w:pPr>
      <w:r w:rsidRPr="00BF7323">
        <w:rPr>
          <w:rFonts w:ascii="Arial" w:hAnsi="Arial" w:cs="Arial"/>
        </w:rPr>
        <w:t>Research indicates that compared to work at other unsociable times including night and evening shifts, weekend employment is associated with the most interference on family activities</w:t>
      </w:r>
      <w:r w:rsidR="0019695A">
        <w:rPr>
          <w:rFonts w:ascii="Arial" w:hAnsi="Arial" w:cs="Arial"/>
        </w:rPr>
        <w:t>.</w:t>
      </w:r>
      <w:r>
        <w:rPr>
          <w:rStyle w:val="FootnoteReference"/>
          <w:rFonts w:ascii="Arial" w:hAnsi="Arial" w:cs="Arial"/>
        </w:rPr>
        <w:footnoteReference w:id="27"/>
      </w:r>
      <w:r w:rsidRPr="00BF7323">
        <w:rPr>
          <w:rFonts w:ascii="Arial" w:hAnsi="Arial" w:cs="Arial"/>
        </w:rPr>
        <w:t xml:space="preserve"> This interference encompasses family and leisure activities, because weekends are when most sports and recreation activities, church gatherings and civic and social events take place. </w:t>
      </w:r>
    </w:p>
    <w:p w:rsidR="00C57E67" w:rsidRPr="00BF7323" w:rsidRDefault="00C57E67" w:rsidP="00C57E67">
      <w:pPr>
        <w:rPr>
          <w:rFonts w:ascii="Arial" w:hAnsi="Arial" w:cs="Arial"/>
        </w:rPr>
      </w:pPr>
      <w:r w:rsidRPr="00BF7323">
        <w:rPr>
          <w:rFonts w:ascii="Arial" w:hAnsi="Arial" w:cs="Arial"/>
        </w:rPr>
        <w:t>These events are important for rest, recuperation, and cementing social ties, which have positive effects on workers’ health, well-being, and social inclusion. In particular, research sugges</w:t>
      </w:r>
      <w:r w:rsidR="00D16B91">
        <w:rPr>
          <w:rFonts w:ascii="Arial" w:hAnsi="Arial" w:cs="Arial"/>
        </w:rPr>
        <w:t>ts</w:t>
      </w:r>
      <w:r w:rsidRPr="00BF7323">
        <w:rPr>
          <w:rFonts w:ascii="Arial" w:hAnsi="Arial" w:cs="Arial"/>
        </w:rPr>
        <w:t xml:space="preserve"> that shared leisure time is key to positive relationships and good family functioning with couples’ shared leisure time important for marriage quality. </w:t>
      </w:r>
      <w:r>
        <w:rPr>
          <w:rStyle w:val="FootnoteReference"/>
          <w:rFonts w:ascii="Arial" w:hAnsi="Arial" w:cs="Arial"/>
        </w:rPr>
        <w:footnoteReference w:id="28"/>
      </w:r>
      <w:r w:rsidRPr="00BF7323">
        <w:rPr>
          <w:rFonts w:ascii="Arial" w:hAnsi="Arial" w:cs="Arial"/>
        </w:rPr>
        <w:t xml:space="preserve">  Weekends are the main opportunity to spend family time with children</w:t>
      </w:r>
      <w:r>
        <w:rPr>
          <w:rFonts w:ascii="Arial" w:hAnsi="Arial" w:cs="Arial"/>
        </w:rPr>
        <w:t xml:space="preserve"> with S</w:t>
      </w:r>
      <w:r w:rsidRPr="00BF7323">
        <w:rPr>
          <w:rFonts w:ascii="Arial" w:hAnsi="Arial" w:cs="Arial"/>
        </w:rPr>
        <w:t>unday retain</w:t>
      </w:r>
      <w:r>
        <w:rPr>
          <w:rFonts w:ascii="Arial" w:hAnsi="Arial" w:cs="Arial"/>
        </w:rPr>
        <w:t>ing</w:t>
      </w:r>
      <w:r w:rsidRPr="00BF7323">
        <w:rPr>
          <w:rFonts w:ascii="Arial" w:hAnsi="Arial" w:cs="Arial"/>
        </w:rPr>
        <w:t xml:space="preserve"> a special status as a day preserved for family.</w:t>
      </w:r>
      <w:r>
        <w:rPr>
          <w:rStyle w:val="FootnoteReference"/>
          <w:rFonts w:ascii="Arial" w:hAnsi="Arial" w:cs="Arial"/>
        </w:rPr>
        <w:footnoteReference w:id="29"/>
      </w:r>
      <w:r w:rsidRPr="00C078A6">
        <w:t xml:space="preserve"> </w:t>
      </w:r>
    </w:p>
    <w:p w:rsidR="00E156F6" w:rsidRDefault="00A543A0" w:rsidP="00224908">
      <w:pPr>
        <w:rPr>
          <w:rFonts w:ascii="Arial" w:hAnsi="Arial" w:cs="Arial"/>
        </w:rPr>
      </w:pPr>
      <w:r w:rsidRPr="00BF7323">
        <w:rPr>
          <w:rFonts w:ascii="Arial" w:hAnsi="Arial" w:cs="Arial"/>
        </w:rPr>
        <w:t>Contemporary research provides further evidence of the cost of weekend work on family and leisure time. A 2014 U</w:t>
      </w:r>
      <w:r>
        <w:rPr>
          <w:rFonts w:ascii="Arial" w:hAnsi="Arial" w:cs="Arial"/>
        </w:rPr>
        <w:t xml:space="preserve">niversity of New South Wales </w:t>
      </w:r>
      <w:r w:rsidRPr="00BF7323">
        <w:rPr>
          <w:rFonts w:ascii="Arial" w:hAnsi="Arial" w:cs="Arial"/>
        </w:rPr>
        <w:t>study</w:t>
      </w:r>
      <w:r>
        <w:rPr>
          <w:rFonts w:ascii="Arial" w:hAnsi="Arial" w:cs="Arial"/>
        </w:rPr>
        <w:t xml:space="preserve"> </w:t>
      </w:r>
      <w:r w:rsidR="00E156F6">
        <w:rPr>
          <w:rFonts w:ascii="Arial" w:hAnsi="Arial" w:cs="Arial"/>
        </w:rPr>
        <w:t>found that w</w:t>
      </w:r>
      <w:r w:rsidR="00E156F6" w:rsidRPr="00E20EC8">
        <w:rPr>
          <w:rFonts w:ascii="Arial" w:hAnsi="Arial" w:cs="Arial"/>
        </w:rPr>
        <w:t xml:space="preserve">eekend work is </w:t>
      </w:r>
      <w:r w:rsidR="00E156F6" w:rsidRPr="00E20EC8">
        <w:rPr>
          <w:rFonts w:ascii="Arial" w:hAnsi="Arial" w:cs="Arial"/>
        </w:rPr>
        <w:lastRenderedPageBreak/>
        <w:t xml:space="preserve">disruptive to leisure time spent with family and friends, </w:t>
      </w:r>
      <w:r w:rsidR="00E156F6">
        <w:rPr>
          <w:rFonts w:ascii="Arial" w:hAnsi="Arial" w:cs="Arial"/>
        </w:rPr>
        <w:t xml:space="preserve">with </w:t>
      </w:r>
      <w:r w:rsidR="00E156F6" w:rsidRPr="00E20EC8">
        <w:rPr>
          <w:rFonts w:ascii="Arial" w:hAnsi="Arial" w:cs="Arial"/>
        </w:rPr>
        <w:t xml:space="preserve">particular </w:t>
      </w:r>
      <w:r w:rsidR="00E156F6">
        <w:rPr>
          <w:rFonts w:ascii="Arial" w:hAnsi="Arial" w:cs="Arial"/>
        </w:rPr>
        <w:t xml:space="preserve">impacts on parents who work </w:t>
      </w:r>
      <w:r w:rsidR="00E156F6" w:rsidRPr="00E20EC8">
        <w:rPr>
          <w:rFonts w:ascii="Arial" w:hAnsi="Arial" w:cs="Arial"/>
        </w:rPr>
        <w:t>on Sundays</w:t>
      </w:r>
      <w:r w:rsidR="00E156F6">
        <w:rPr>
          <w:rFonts w:ascii="Arial" w:hAnsi="Arial" w:cs="Arial"/>
        </w:rPr>
        <w:t xml:space="preserve"> losing time with their sp</w:t>
      </w:r>
      <w:r w:rsidR="000C4F5A">
        <w:rPr>
          <w:rFonts w:ascii="Arial" w:hAnsi="Arial" w:cs="Arial"/>
        </w:rPr>
        <w:t>o</w:t>
      </w:r>
      <w:r w:rsidR="00E156F6">
        <w:rPr>
          <w:rFonts w:ascii="Arial" w:hAnsi="Arial" w:cs="Arial"/>
        </w:rPr>
        <w:t>use and children. In most cases</w:t>
      </w:r>
      <w:r w:rsidR="00E156F6" w:rsidRPr="00E20EC8">
        <w:rPr>
          <w:rFonts w:ascii="Arial" w:hAnsi="Arial" w:cs="Arial"/>
        </w:rPr>
        <w:t xml:space="preserve"> workers do not recoup this loss </w:t>
      </w:r>
      <w:r w:rsidR="00E156F6">
        <w:rPr>
          <w:rFonts w:ascii="Arial" w:hAnsi="Arial" w:cs="Arial"/>
        </w:rPr>
        <w:t xml:space="preserve">of prized weekend time </w:t>
      </w:r>
      <w:r w:rsidR="00E156F6" w:rsidRPr="00E20EC8">
        <w:rPr>
          <w:rFonts w:ascii="Arial" w:hAnsi="Arial" w:cs="Arial"/>
        </w:rPr>
        <w:t>at other times of the week</w:t>
      </w:r>
      <w:r w:rsidR="00156AF4">
        <w:rPr>
          <w:rFonts w:ascii="Arial" w:hAnsi="Arial" w:cs="Arial"/>
        </w:rPr>
        <w:t>.</w:t>
      </w:r>
      <w:r w:rsidR="00850F17">
        <w:rPr>
          <w:rStyle w:val="FootnoteReference"/>
          <w:rFonts w:ascii="Arial" w:hAnsi="Arial" w:cs="Arial"/>
        </w:rPr>
        <w:footnoteReference w:id="30"/>
      </w:r>
    </w:p>
    <w:p w:rsidR="000C4F5A" w:rsidRPr="00E20EC8" w:rsidRDefault="00042298" w:rsidP="000C4F5A">
      <w:pPr>
        <w:rPr>
          <w:rFonts w:ascii="Arial" w:hAnsi="Arial" w:cs="Arial"/>
        </w:rPr>
      </w:pPr>
      <w:r w:rsidRPr="00E14229">
        <w:rPr>
          <w:rFonts w:ascii="Arial" w:hAnsi="Arial" w:cs="Arial"/>
        </w:rPr>
        <w:t>CCE</w:t>
      </w:r>
      <w:r w:rsidR="00E14229">
        <w:rPr>
          <w:rFonts w:ascii="Arial" w:hAnsi="Arial" w:cs="Arial"/>
        </w:rPr>
        <w:t>R</w:t>
      </w:r>
      <w:r w:rsidRPr="00E14229">
        <w:rPr>
          <w:rFonts w:ascii="Arial" w:hAnsi="Arial" w:cs="Arial"/>
        </w:rPr>
        <w:t xml:space="preserve"> recognises </w:t>
      </w:r>
      <w:r w:rsidR="00E14229">
        <w:rPr>
          <w:rFonts w:ascii="Arial" w:hAnsi="Arial" w:cs="Arial"/>
        </w:rPr>
        <w:t>that for some workers, such as student</w:t>
      </w:r>
      <w:r w:rsidR="000C4F5A">
        <w:rPr>
          <w:rFonts w:ascii="Arial" w:hAnsi="Arial" w:cs="Arial"/>
        </w:rPr>
        <w:t>s</w:t>
      </w:r>
      <w:r w:rsidR="00E14229">
        <w:rPr>
          <w:rFonts w:ascii="Arial" w:hAnsi="Arial" w:cs="Arial"/>
        </w:rPr>
        <w:t xml:space="preserve"> or carers,</w:t>
      </w:r>
      <w:r w:rsidR="000C4F5A">
        <w:rPr>
          <w:rFonts w:ascii="Arial" w:hAnsi="Arial" w:cs="Arial"/>
        </w:rPr>
        <w:t xml:space="preserve"> </w:t>
      </w:r>
      <w:r w:rsidR="00E14229">
        <w:rPr>
          <w:rFonts w:ascii="Arial" w:hAnsi="Arial" w:cs="Arial"/>
        </w:rPr>
        <w:t>u</w:t>
      </w:r>
      <w:r w:rsidR="00E14229" w:rsidRPr="00E20EC8">
        <w:rPr>
          <w:rFonts w:ascii="Arial" w:hAnsi="Arial" w:cs="Arial"/>
        </w:rPr>
        <w:t>nsociable hours are convenient and desirable</w:t>
      </w:r>
      <w:r w:rsidR="00E14229">
        <w:rPr>
          <w:rFonts w:ascii="Arial" w:hAnsi="Arial" w:cs="Arial"/>
        </w:rPr>
        <w:t>.</w:t>
      </w:r>
      <w:r w:rsidR="000C4F5A">
        <w:rPr>
          <w:rFonts w:ascii="Arial" w:hAnsi="Arial" w:cs="Arial"/>
        </w:rPr>
        <w:t xml:space="preserve"> The F</w:t>
      </w:r>
      <w:r w:rsidR="006F1F25">
        <w:rPr>
          <w:rFonts w:ascii="Arial" w:hAnsi="Arial" w:cs="Arial"/>
        </w:rPr>
        <w:t>WC</w:t>
      </w:r>
      <w:r w:rsidR="000C4F5A">
        <w:rPr>
          <w:rFonts w:ascii="Arial" w:hAnsi="Arial" w:cs="Arial"/>
        </w:rPr>
        <w:t xml:space="preserve"> also accepted</w:t>
      </w:r>
      <w:r w:rsidR="00045609" w:rsidRPr="00045609">
        <w:rPr>
          <w:rFonts w:ascii="Arial" w:eastAsia="Times New Roman" w:hAnsi="Arial" w:cs="Arial"/>
          <w:shd w:val="clear" w:color="auto" w:fill="FFFFFF"/>
        </w:rPr>
        <w:t xml:space="preserve"> </w:t>
      </w:r>
      <w:r w:rsidR="00045609">
        <w:rPr>
          <w:rFonts w:ascii="Arial" w:eastAsia="Times New Roman" w:hAnsi="Arial" w:cs="Arial"/>
          <w:shd w:val="clear" w:color="auto" w:fill="FFFFFF"/>
        </w:rPr>
        <w:t>in</w:t>
      </w:r>
      <w:r w:rsidR="00045609" w:rsidRPr="00E20EC8">
        <w:rPr>
          <w:rFonts w:ascii="Arial" w:eastAsia="Times New Roman" w:hAnsi="Arial" w:cs="Arial"/>
          <w:shd w:val="clear" w:color="auto" w:fill="FFFFFF"/>
        </w:rPr>
        <w:t xml:space="preserve"> the Restaurant Award decision</w:t>
      </w:r>
      <w:r w:rsidR="000C4F5A">
        <w:rPr>
          <w:rFonts w:ascii="Arial" w:hAnsi="Arial" w:cs="Arial"/>
        </w:rPr>
        <w:t xml:space="preserve"> </w:t>
      </w:r>
      <w:r w:rsidR="000C4F5A" w:rsidRPr="00E20EC8">
        <w:rPr>
          <w:rFonts w:ascii="Arial" w:hAnsi="Arial" w:cs="Arial"/>
        </w:rPr>
        <w:t>that for many of these workers, weekends will frequently be the time that they are available to and want t</w:t>
      </w:r>
      <w:r w:rsidR="00DE0E30">
        <w:rPr>
          <w:rFonts w:ascii="Arial" w:hAnsi="Arial" w:cs="Arial"/>
        </w:rPr>
        <w:t>o work</w:t>
      </w:r>
      <w:r w:rsidR="00045609">
        <w:rPr>
          <w:rFonts w:ascii="Arial" w:hAnsi="Arial" w:cs="Arial"/>
        </w:rPr>
        <w:t>.</w:t>
      </w:r>
    </w:p>
    <w:p w:rsidR="000C4F5A" w:rsidRPr="00E20EC8" w:rsidRDefault="000C4F5A" w:rsidP="000C4F5A">
      <w:pPr>
        <w:rPr>
          <w:rFonts w:ascii="Arial" w:eastAsia="Times New Roman" w:hAnsi="Arial" w:cs="Arial"/>
          <w:shd w:val="clear" w:color="auto" w:fill="FFFFFF"/>
        </w:rPr>
      </w:pPr>
      <w:r w:rsidRPr="00E20EC8">
        <w:rPr>
          <w:rFonts w:ascii="Arial" w:hAnsi="Arial" w:cs="Arial"/>
        </w:rPr>
        <w:t xml:space="preserve">However, </w:t>
      </w:r>
      <w:r w:rsidR="00045609">
        <w:rPr>
          <w:rFonts w:ascii="Arial" w:hAnsi="Arial" w:cs="Arial"/>
        </w:rPr>
        <w:t>in the same decision t</w:t>
      </w:r>
      <w:r w:rsidRPr="00E20EC8">
        <w:rPr>
          <w:rFonts w:ascii="Arial" w:hAnsi="Arial" w:cs="Arial"/>
        </w:rPr>
        <w:t xml:space="preserve">he </w:t>
      </w:r>
      <w:r w:rsidR="00045609">
        <w:rPr>
          <w:rFonts w:ascii="Arial" w:hAnsi="Arial" w:cs="Arial"/>
        </w:rPr>
        <w:t>F</w:t>
      </w:r>
      <w:r w:rsidR="006F1F25">
        <w:rPr>
          <w:rFonts w:ascii="Arial" w:hAnsi="Arial" w:cs="Arial"/>
        </w:rPr>
        <w:t>WC</w:t>
      </w:r>
      <w:r w:rsidRPr="00E20EC8">
        <w:rPr>
          <w:rFonts w:ascii="Arial" w:hAnsi="Arial" w:cs="Arial"/>
        </w:rPr>
        <w:t xml:space="preserve"> also recognised the particular impact of working on Sunday.</w:t>
      </w:r>
      <w:r w:rsidR="00C94B02">
        <w:rPr>
          <w:rFonts w:ascii="Arial" w:hAnsi="Arial" w:cs="Arial"/>
        </w:rPr>
        <w:t xml:space="preserve"> </w:t>
      </w:r>
      <w:r w:rsidR="00045609">
        <w:rPr>
          <w:rFonts w:ascii="Arial" w:hAnsi="Arial" w:cs="Arial"/>
        </w:rPr>
        <w:t>T</w:t>
      </w:r>
      <w:r w:rsidRPr="00E20EC8">
        <w:rPr>
          <w:rFonts w:ascii="Arial" w:eastAsia="Times New Roman" w:hAnsi="Arial" w:cs="Arial"/>
          <w:shd w:val="clear" w:color="auto" w:fill="FFFFFF"/>
        </w:rPr>
        <w:t xml:space="preserve">he </w:t>
      </w:r>
      <w:r w:rsidR="00F103AD">
        <w:rPr>
          <w:rFonts w:ascii="Arial" w:eastAsia="Times New Roman" w:hAnsi="Arial" w:cs="Arial"/>
          <w:shd w:val="clear" w:color="auto" w:fill="FFFFFF"/>
        </w:rPr>
        <w:t>FWC</w:t>
      </w:r>
      <w:r w:rsidRPr="00E20EC8">
        <w:rPr>
          <w:rFonts w:ascii="Arial" w:eastAsia="Times New Roman" w:hAnsi="Arial" w:cs="Arial"/>
          <w:shd w:val="clear" w:color="auto" w:fill="FFFFFF"/>
        </w:rPr>
        <w:t xml:space="preserve"> rejected the general proposition that the level of disability for working on Sundays is no higher than that for Saturdays stating, ‘</w:t>
      </w:r>
      <w:r w:rsidRPr="00E20EC8">
        <w:rPr>
          <w:rFonts w:ascii="Arial" w:eastAsia="Times New Roman" w:hAnsi="Arial" w:cs="Arial"/>
          <w:i/>
          <w:shd w:val="clear" w:color="auto" w:fill="FFFFFF"/>
        </w:rPr>
        <w:t>The position has not changed since a Full Bench of the Australian Industrial Relations Commission considered this issue in 2003. Working on Sundays involves a loss of a day of family time and personal interaction upon which special emphasis is placed by Australian society</w:t>
      </w:r>
      <w:r w:rsidR="00FA31A5">
        <w:rPr>
          <w:rFonts w:ascii="Arial" w:eastAsia="Times New Roman" w:hAnsi="Arial" w:cs="Arial"/>
          <w:shd w:val="clear" w:color="auto" w:fill="FFFFFF"/>
        </w:rPr>
        <w:t>’</w:t>
      </w:r>
      <w:r w:rsidR="008C4EFE">
        <w:rPr>
          <w:rFonts w:ascii="Arial" w:eastAsia="Times New Roman" w:hAnsi="Arial" w:cs="Arial"/>
          <w:shd w:val="clear" w:color="auto" w:fill="FFFFFF"/>
        </w:rPr>
        <w:t>.</w:t>
      </w:r>
      <w:r w:rsidRPr="00BA52E6">
        <w:rPr>
          <w:rStyle w:val="FootnoteReference"/>
          <w:rFonts w:ascii="Arial" w:eastAsia="Times New Roman" w:hAnsi="Arial" w:cs="Arial"/>
          <w:shd w:val="clear" w:color="auto" w:fill="FFFFFF"/>
        </w:rPr>
        <w:footnoteReference w:id="31"/>
      </w:r>
    </w:p>
    <w:p w:rsidR="004D371A" w:rsidRPr="00BF7323" w:rsidRDefault="0056019A" w:rsidP="004D371A">
      <w:pPr>
        <w:rPr>
          <w:rFonts w:ascii="Arial" w:hAnsi="Arial" w:cs="Arial"/>
        </w:rPr>
      </w:pPr>
      <w:r w:rsidRPr="0056019A">
        <w:rPr>
          <w:rFonts w:ascii="Arial" w:hAnsi="Arial" w:cs="Arial"/>
          <w:shd w:val="clear" w:color="auto" w:fill="FFFFFF"/>
        </w:rPr>
        <w:t>Loss of famil</w:t>
      </w:r>
      <w:r w:rsidR="00C74ADE">
        <w:rPr>
          <w:rFonts w:ascii="Arial" w:hAnsi="Arial" w:cs="Arial"/>
          <w:shd w:val="clear" w:color="auto" w:fill="FFFFFF"/>
        </w:rPr>
        <w:t>y</w:t>
      </w:r>
      <w:r w:rsidRPr="0056019A">
        <w:rPr>
          <w:rFonts w:ascii="Arial" w:hAnsi="Arial" w:cs="Arial"/>
          <w:shd w:val="clear" w:color="auto" w:fill="FFFFFF"/>
        </w:rPr>
        <w:t xml:space="preserve"> time </w:t>
      </w:r>
      <w:r>
        <w:rPr>
          <w:rFonts w:ascii="Arial" w:hAnsi="Arial" w:cs="Arial"/>
          <w:shd w:val="clear" w:color="auto" w:fill="FFFFFF"/>
        </w:rPr>
        <w:t>is</w:t>
      </w:r>
      <w:r w:rsidRPr="0056019A">
        <w:rPr>
          <w:rFonts w:ascii="Arial" w:hAnsi="Arial" w:cs="Arial"/>
          <w:shd w:val="clear" w:color="auto" w:fill="FFFFFF"/>
        </w:rPr>
        <w:t xml:space="preserve"> of </w:t>
      </w:r>
      <w:r w:rsidR="00C74ADE">
        <w:rPr>
          <w:rFonts w:ascii="Arial" w:hAnsi="Arial" w:cs="Arial"/>
          <w:shd w:val="clear" w:color="auto" w:fill="FFFFFF"/>
        </w:rPr>
        <w:t xml:space="preserve">particular concern </w:t>
      </w:r>
      <w:r w:rsidRPr="0056019A">
        <w:rPr>
          <w:rFonts w:ascii="Arial" w:hAnsi="Arial" w:cs="Arial"/>
          <w:shd w:val="clear" w:color="auto" w:fill="FFFFFF"/>
        </w:rPr>
        <w:t>to t</w:t>
      </w:r>
      <w:r w:rsidR="00C74ADE">
        <w:rPr>
          <w:rFonts w:ascii="Arial" w:hAnsi="Arial" w:cs="Arial"/>
          <w:shd w:val="clear" w:color="auto" w:fill="FFFFFF"/>
        </w:rPr>
        <w:t>he</w:t>
      </w:r>
      <w:r w:rsidRPr="0056019A">
        <w:rPr>
          <w:rFonts w:ascii="Arial" w:hAnsi="Arial" w:cs="Arial"/>
          <w:shd w:val="clear" w:color="auto" w:fill="FFFFFF"/>
        </w:rPr>
        <w:t xml:space="preserve"> Church</w:t>
      </w:r>
      <w:r w:rsidR="004D371A">
        <w:rPr>
          <w:rFonts w:ascii="Arial" w:hAnsi="Arial" w:cs="Arial"/>
          <w:shd w:val="clear" w:color="auto" w:fill="FFFFFF"/>
        </w:rPr>
        <w:t xml:space="preserve"> a</w:t>
      </w:r>
      <w:r w:rsidR="000F0B9E">
        <w:rPr>
          <w:rFonts w:ascii="Arial" w:hAnsi="Arial" w:cs="Arial"/>
          <w:shd w:val="clear" w:color="auto" w:fill="FFFFFF"/>
        </w:rPr>
        <w:t xml:space="preserve">s identified </w:t>
      </w:r>
      <w:r w:rsidR="004D371A">
        <w:rPr>
          <w:rFonts w:ascii="Arial" w:hAnsi="Arial" w:cs="Arial"/>
          <w:shd w:val="clear" w:color="auto" w:fill="FFFFFF"/>
        </w:rPr>
        <w:t xml:space="preserve">by the </w:t>
      </w:r>
      <w:r w:rsidR="004D371A" w:rsidRPr="00BF7323">
        <w:rPr>
          <w:rFonts w:ascii="Arial" w:hAnsi="Arial" w:cs="Arial"/>
        </w:rPr>
        <w:t>Australian Catholic Bishops Conference</w:t>
      </w:r>
      <w:r w:rsidR="004D371A" w:rsidRPr="00BF7323">
        <w:rPr>
          <w:rFonts w:ascii="Arial" w:hAnsi="Arial" w:cs="Arial"/>
          <w:i/>
        </w:rPr>
        <w:t>:</w:t>
      </w:r>
    </w:p>
    <w:p w:rsidR="004D371A" w:rsidRPr="00AD1865" w:rsidRDefault="004D371A" w:rsidP="004D371A">
      <w:pPr>
        <w:ind w:left="720"/>
        <w:rPr>
          <w:rFonts w:ascii="Arial" w:hAnsi="Arial" w:cs="Arial"/>
          <w:i/>
          <w:sz w:val="20"/>
          <w:szCs w:val="20"/>
        </w:rPr>
      </w:pPr>
      <w:r w:rsidRPr="00AD1865">
        <w:rPr>
          <w:rFonts w:ascii="Arial" w:hAnsi="Arial" w:cs="Arial"/>
          <w:i/>
          <w:sz w:val="20"/>
          <w:szCs w:val="20"/>
        </w:rPr>
        <w:t>Time together as a family – for mutual care and relaxation – should be regarded as a right. Pope Benedict XVI refers to this right as the ‘raw material’ of life, which is essential for the loving attention of children, but which for many people seems ever more scarce and barely enough to meet individual needs. The demands of work have increased and placed real pressures on family time</w:t>
      </w:r>
      <w:r w:rsidRPr="00AD1865">
        <w:rPr>
          <w:rFonts w:ascii="Arial" w:hAnsi="Arial" w:cs="Arial"/>
          <w:sz w:val="20"/>
          <w:szCs w:val="20"/>
        </w:rPr>
        <w:t>.</w:t>
      </w:r>
      <w:r w:rsidRPr="00AD1865">
        <w:rPr>
          <w:rFonts w:ascii="Arial" w:hAnsi="Arial" w:cs="Arial"/>
          <w:i/>
          <w:sz w:val="20"/>
          <w:szCs w:val="20"/>
        </w:rPr>
        <w:t xml:space="preserve"> </w:t>
      </w:r>
      <w:r w:rsidRPr="00AD1865">
        <w:rPr>
          <w:rStyle w:val="FootnoteReference"/>
          <w:rFonts w:ascii="Arial" w:hAnsi="Arial" w:cs="Arial"/>
          <w:i/>
          <w:sz w:val="20"/>
          <w:szCs w:val="20"/>
        </w:rPr>
        <w:footnoteReference w:id="32"/>
      </w:r>
    </w:p>
    <w:p w:rsidR="00DA13AC" w:rsidRDefault="00DA13AC" w:rsidP="00DA13AC">
      <w:pPr>
        <w:rPr>
          <w:rFonts w:ascii="Arial" w:hAnsi="Arial" w:cs="Arial"/>
        </w:rPr>
      </w:pPr>
      <w:r>
        <w:rPr>
          <w:rFonts w:ascii="Arial" w:hAnsi="Arial" w:cs="Arial"/>
        </w:rPr>
        <w:t>Despite, or because of, the 24/7 economy, we live in a community and while the notion of the Sabbath may have lost currency in a secular world, there is a continued need for a day of rest, to play, to socialise, to worship.</w:t>
      </w:r>
    </w:p>
    <w:p w:rsidR="00C74ADE" w:rsidRDefault="00C74ADE" w:rsidP="00C74ADE">
      <w:pPr>
        <w:rPr>
          <w:rFonts w:ascii="Arial" w:hAnsi="Arial" w:cs="Arial"/>
        </w:rPr>
      </w:pPr>
      <w:r>
        <w:rPr>
          <w:rFonts w:ascii="Arial" w:hAnsi="Arial" w:cs="Arial"/>
        </w:rPr>
        <w:t>It is CCER’s view that a penalty should continue to be paid for the family time that is sacrificed by those workers who work at night or on weekends. While penalty rates cannot</w:t>
      </w:r>
      <w:r w:rsidRPr="003A66AB">
        <w:rPr>
          <w:rFonts w:ascii="Arial" w:hAnsi="Arial" w:cs="Arial"/>
        </w:rPr>
        <w:t xml:space="preserve"> remedy the </w:t>
      </w:r>
      <w:r>
        <w:rPr>
          <w:rFonts w:ascii="Arial" w:hAnsi="Arial" w:cs="Arial"/>
        </w:rPr>
        <w:t xml:space="preserve">negative impacts of working unsociable hours, they </w:t>
      </w:r>
      <w:r w:rsidRPr="003A66AB">
        <w:rPr>
          <w:rFonts w:ascii="Arial" w:hAnsi="Arial" w:cs="Arial"/>
        </w:rPr>
        <w:t>can provide fair and just compensation for some of the</w:t>
      </w:r>
      <w:r w:rsidR="00BC4D6B">
        <w:rPr>
          <w:rFonts w:ascii="Arial" w:hAnsi="Arial" w:cs="Arial"/>
        </w:rPr>
        <w:t xml:space="preserve"> detriment</w:t>
      </w:r>
      <w:r w:rsidRPr="003A66AB">
        <w:rPr>
          <w:rFonts w:ascii="Arial" w:hAnsi="Arial" w:cs="Arial"/>
        </w:rPr>
        <w:t xml:space="preserve">. </w:t>
      </w:r>
    </w:p>
    <w:p w:rsidR="00486863" w:rsidRPr="00D7563B" w:rsidRDefault="00486863" w:rsidP="00086B0F">
      <w:pPr>
        <w:rPr>
          <w:rFonts w:ascii="Arial" w:hAnsi="Arial" w:cs="Arial"/>
          <w:b/>
          <w:bCs/>
          <w:i/>
          <w:color w:val="C0504D"/>
          <w:sz w:val="24"/>
          <w:szCs w:val="24"/>
        </w:rPr>
      </w:pPr>
      <w:r w:rsidRPr="00D7563B">
        <w:rPr>
          <w:rFonts w:ascii="Arial" w:hAnsi="Arial" w:cs="Arial"/>
          <w:b/>
          <w:bCs/>
          <w:i/>
          <w:color w:val="C0504D"/>
          <w:sz w:val="24"/>
          <w:szCs w:val="24"/>
        </w:rPr>
        <w:t xml:space="preserve">Support for </w:t>
      </w:r>
      <w:r w:rsidR="00436C92" w:rsidRPr="00D7563B">
        <w:rPr>
          <w:rFonts w:ascii="Arial" w:hAnsi="Arial" w:cs="Arial"/>
          <w:b/>
          <w:bCs/>
          <w:i/>
          <w:color w:val="C0504D"/>
          <w:sz w:val="24"/>
          <w:szCs w:val="24"/>
        </w:rPr>
        <w:t xml:space="preserve">regulating </w:t>
      </w:r>
      <w:r w:rsidR="00500F4D" w:rsidRPr="00D7563B">
        <w:rPr>
          <w:rFonts w:ascii="Arial" w:hAnsi="Arial" w:cs="Arial"/>
          <w:b/>
          <w:bCs/>
          <w:i/>
          <w:color w:val="C0504D"/>
          <w:sz w:val="24"/>
          <w:szCs w:val="24"/>
        </w:rPr>
        <w:t xml:space="preserve">penalty </w:t>
      </w:r>
      <w:r w:rsidR="00436C92" w:rsidRPr="00D7563B">
        <w:rPr>
          <w:rFonts w:ascii="Arial" w:hAnsi="Arial" w:cs="Arial"/>
          <w:b/>
          <w:bCs/>
          <w:i/>
          <w:color w:val="C0504D"/>
          <w:sz w:val="24"/>
          <w:szCs w:val="24"/>
        </w:rPr>
        <w:t xml:space="preserve">rates on a </w:t>
      </w:r>
      <w:r w:rsidR="00B2040B" w:rsidRPr="00D7563B">
        <w:rPr>
          <w:rFonts w:ascii="Arial" w:hAnsi="Arial" w:cs="Arial"/>
          <w:b/>
          <w:bCs/>
          <w:i/>
          <w:color w:val="C0504D"/>
          <w:sz w:val="24"/>
          <w:szCs w:val="24"/>
        </w:rPr>
        <w:t>case-by-case</w:t>
      </w:r>
      <w:r w:rsidRPr="00D7563B">
        <w:rPr>
          <w:rFonts w:ascii="Arial" w:hAnsi="Arial" w:cs="Arial"/>
          <w:b/>
          <w:bCs/>
          <w:i/>
          <w:color w:val="C0504D"/>
          <w:sz w:val="24"/>
          <w:szCs w:val="24"/>
        </w:rPr>
        <w:t xml:space="preserve"> </w:t>
      </w:r>
      <w:r w:rsidR="00436C92" w:rsidRPr="00D7563B">
        <w:rPr>
          <w:rFonts w:ascii="Arial" w:hAnsi="Arial" w:cs="Arial"/>
          <w:b/>
          <w:bCs/>
          <w:i/>
          <w:color w:val="C0504D"/>
          <w:sz w:val="24"/>
          <w:szCs w:val="24"/>
        </w:rPr>
        <w:t xml:space="preserve">basis </w:t>
      </w:r>
    </w:p>
    <w:p w:rsidR="009F40C4" w:rsidRPr="00FF4BF7" w:rsidRDefault="00C67DF2" w:rsidP="009F40C4">
      <w:pPr>
        <w:rPr>
          <w:rFonts w:ascii="Arial" w:hAnsi="Arial" w:cs="Arial"/>
        </w:rPr>
      </w:pPr>
      <w:r>
        <w:rPr>
          <w:rFonts w:ascii="Arial" w:hAnsi="Arial" w:cs="Arial"/>
        </w:rPr>
        <w:t xml:space="preserve">Support for penalty rates </w:t>
      </w:r>
      <w:r w:rsidR="002E6947">
        <w:rPr>
          <w:rFonts w:ascii="Arial" w:hAnsi="Arial" w:cs="Arial"/>
        </w:rPr>
        <w:t xml:space="preserve">is consistent with </w:t>
      </w:r>
      <w:r w:rsidR="009F40C4">
        <w:rPr>
          <w:rFonts w:ascii="Arial" w:hAnsi="Arial" w:cs="Arial"/>
        </w:rPr>
        <w:t>CCER</w:t>
      </w:r>
      <w:r w:rsidR="002E6947">
        <w:rPr>
          <w:rFonts w:ascii="Arial" w:hAnsi="Arial" w:cs="Arial"/>
        </w:rPr>
        <w:t>’s</w:t>
      </w:r>
      <w:r w:rsidR="009F40C4">
        <w:rPr>
          <w:rFonts w:ascii="Arial" w:hAnsi="Arial" w:cs="Arial"/>
        </w:rPr>
        <w:t xml:space="preserve"> support</w:t>
      </w:r>
      <w:r w:rsidR="002E6947">
        <w:rPr>
          <w:rFonts w:ascii="Arial" w:hAnsi="Arial" w:cs="Arial"/>
        </w:rPr>
        <w:t xml:space="preserve"> for </w:t>
      </w:r>
      <w:r w:rsidR="009F40C4">
        <w:rPr>
          <w:rFonts w:ascii="Arial" w:hAnsi="Arial" w:cs="Arial"/>
        </w:rPr>
        <w:t xml:space="preserve">the explicit protection in the regulatory framework </w:t>
      </w:r>
      <w:r w:rsidR="009F40C4" w:rsidRPr="00FF4BF7">
        <w:rPr>
          <w:rFonts w:ascii="Arial" w:hAnsi="Arial" w:cs="Arial"/>
        </w:rPr>
        <w:t xml:space="preserve">in section 134 (da) </w:t>
      </w:r>
      <w:r w:rsidR="00486AA9">
        <w:rPr>
          <w:rFonts w:ascii="Arial" w:hAnsi="Arial" w:cs="Arial"/>
        </w:rPr>
        <w:t>of the F</w:t>
      </w:r>
      <w:r w:rsidR="007D50E7">
        <w:rPr>
          <w:rFonts w:ascii="Arial" w:hAnsi="Arial" w:cs="Arial"/>
        </w:rPr>
        <w:t xml:space="preserve">W </w:t>
      </w:r>
      <w:r w:rsidR="00486AA9">
        <w:rPr>
          <w:rFonts w:ascii="Arial" w:hAnsi="Arial" w:cs="Arial"/>
        </w:rPr>
        <w:t xml:space="preserve">Act </w:t>
      </w:r>
      <w:r w:rsidR="009F40C4">
        <w:rPr>
          <w:rFonts w:ascii="Arial" w:hAnsi="Arial" w:cs="Arial"/>
        </w:rPr>
        <w:t xml:space="preserve">which </w:t>
      </w:r>
      <w:r w:rsidR="009F40C4" w:rsidRPr="00FF4BF7">
        <w:rPr>
          <w:rFonts w:ascii="Arial" w:hAnsi="Arial" w:cs="Arial"/>
        </w:rPr>
        <w:t>requires the F</w:t>
      </w:r>
      <w:r w:rsidR="007D50E7">
        <w:rPr>
          <w:rFonts w:ascii="Arial" w:hAnsi="Arial" w:cs="Arial"/>
        </w:rPr>
        <w:t>WC</w:t>
      </w:r>
      <w:r w:rsidR="009F40C4" w:rsidRPr="00FF4BF7">
        <w:rPr>
          <w:rFonts w:ascii="Arial" w:hAnsi="Arial" w:cs="Arial"/>
        </w:rPr>
        <w:t xml:space="preserve"> to ensure that modern awards, together with National Employment Standards, provide a fair and relevant minimum safety net of terms and conditions and take into account:</w:t>
      </w:r>
    </w:p>
    <w:p w:rsidR="009F40C4" w:rsidRPr="00AD1865" w:rsidRDefault="009F40C4" w:rsidP="009F40C4">
      <w:pPr>
        <w:pStyle w:val="paragraph"/>
        <w:ind w:left="360" w:firstLine="0"/>
        <w:rPr>
          <w:rFonts w:ascii="Arial" w:hAnsi="Arial" w:cs="Arial"/>
          <w:i/>
          <w:sz w:val="20"/>
        </w:rPr>
      </w:pPr>
      <w:r w:rsidRPr="00442214">
        <w:rPr>
          <w:rFonts w:ascii="Arial" w:hAnsi="Arial" w:cs="Arial"/>
          <w:szCs w:val="22"/>
        </w:rPr>
        <w:tab/>
      </w:r>
      <w:r w:rsidRPr="00442214">
        <w:rPr>
          <w:rFonts w:ascii="Arial" w:hAnsi="Arial" w:cs="Arial"/>
          <w:i/>
          <w:szCs w:val="22"/>
        </w:rPr>
        <w:tab/>
      </w:r>
      <w:r w:rsidRPr="00AD1865">
        <w:rPr>
          <w:rFonts w:ascii="Arial" w:hAnsi="Arial" w:cs="Arial"/>
          <w:i/>
          <w:sz w:val="20"/>
        </w:rPr>
        <w:t>the need to provide additional remuneration for:</w:t>
      </w:r>
    </w:p>
    <w:p w:rsidR="009F40C4" w:rsidRPr="00AD1865" w:rsidRDefault="009F40C4" w:rsidP="009F40C4">
      <w:pPr>
        <w:pStyle w:val="paragraphsub"/>
        <w:ind w:left="360" w:firstLine="0"/>
        <w:rPr>
          <w:rFonts w:ascii="Arial" w:hAnsi="Arial" w:cs="Arial"/>
          <w:i/>
          <w:sz w:val="20"/>
        </w:rPr>
      </w:pPr>
      <w:r w:rsidRPr="00AD1865">
        <w:rPr>
          <w:rFonts w:ascii="Arial" w:hAnsi="Arial" w:cs="Arial"/>
          <w:i/>
          <w:sz w:val="20"/>
        </w:rPr>
        <w:tab/>
        <w:t>(i)</w:t>
      </w:r>
      <w:r w:rsidRPr="00AD1865">
        <w:rPr>
          <w:rFonts w:ascii="Arial" w:hAnsi="Arial" w:cs="Arial"/>
          <w:i/>
          <w:sz w:val="20"/>
        </w:rPr>
        <w:tab/>
        <w:t>employees working overtime; or</w:t>
      </w:r>
    </w:p>
    <w:p w:rsidR="009F40C4" w:rsidRPr="00AD1865" w:rsidRDefault="009F40C4" w:rsidP="009F40C4">
      <w:pPr>
        <w:pStyle w:val="paragraphsub"/>
        <w:ind w:left="360" w:firstLine="0"/>
        <w:rPr>
          <w:rFonts w:ascii="Arial" w:hAnsi="Arial" w:cs="Arial"/>
          <w:i/>
          <w:sz w:val="20"/>
        </w:rPr>
      </w:pPr>
      <w:r w:rsidRPr="00AD1865">
        <w:rPr>
          <w:rFonts w:ascii="Arial" w:hAnsi="Arial" w:cs="Arial"/>
          <w:i/>
          <w:sz w:val="20"/>
        </w:rPr>
        <w:tab/>
        <w:t>(ii)</w:t>
      </w:r>
      <w:r w:rsidRPr="00AD1865">
        <w:rPr>
          <w:rFonts w:ascii="Arial" w:hAnsi="Arial" w:cs="Arial"/>
          <w:i/>
          <w:sz w:val="20"/>
        </w:rPr>
        <w:tab/>
        <w:t>employees working unsocial, irregular or unpredictable hours; or</w:t>
      </w:r>
    </w:p>
    <w:p w:rsidR="009F40C4" w:rsidRPr="00AD1865" w:rsidRDefault="009F40C4" w:rsidP="009F40C4">
      <w:pPr>
        <w:pStyle w:val="paragraphsub"/>
        <w:ind w:left="360" w:firstLine="0"/>
        <w:rPr>
          <w:rFonts w:ascii="Arial" w:hAnsi="Arial" w:cs="Arial"/>
          <w:i/>
          <w:sz w:val="20"/>
        </w:rPr>
      </w:pPr>
      <w:r w:rsidRPr="00AD1865">
        <w:rPr>
          <w:rFonts w:ascii="Arial" w:hAnsi="Arial" w:cs="Arial"/>
          <w:i/>
          <w:sz w:val="20"/>
        </w:rPr>
        <w:tab/>
        <w:t>(iii)</w:t>
      </w:r>
      <w:r w:rsidRPr="00AD1865">
        <w:rPr>
          <w:rFonts w:ascii="Arial" w:hAnsi="Arial" w:cs="Arial"/>
          <w:i/>
          <w:sz w:val="20"/>
        </w:rPr>
        <w:tab/>
        <w:t>employees working on weekends or public holidays; or</w:t>
      </w:r>
    </w:p>
    <w:p w:rsidR="009F40C4" w:rsidRPr="00AD1865" w:rsidRDefault="009F40C4" w:rsidP="009F40C4">
      <w:pPr>
        <w:pStyle w:val="paragraphsub"/>
        <w:ind w:left="360" w:firstLine="0"/>
        <w:rPr>
          <w:rFonts w:ascii="Arial" w:hAnsi="Arial" w:cs="Arial"/>
          <w:i/>
          <w:sz w:val="20"/>
        </w:rPr>
      </w:pPr>
      <w:r w:rsidRPr="00AD1865">
        <w:rPr>
          <w:rFonts w:ascii="Arial" w:hAnsi="Arial" w:cs="Arial"/>
          <w:i/>
          <w:sz w:val="20"/>
        </w:rPr>
        <w:tab/>
        <w:t>(iv)</w:t>
      </w:r>
      <w:r w:rsidRPr="00AD1865">
        <w:rPr>
          <w:rFonts w:ascii="Arial" w:hAnsi="Arial" w:cs="Arial"/>
          <w:i/>
          <w:sz w:val="20"/>
        </w:rPr>
        <w:tab/>
        <w:t>employees working shifts; ........</w:t>
      </w:r>
    </w:p>
    <w:p w:rsidR="00904860" w:rsidRPr="00AD1865" w:rsidRDefault="00904860" w:rsidP="009F40C4">
      <w:pPr>
        <w:rPr>
          <w:rFonts w:ascii="Arial" w:hAnsi="Arial" w:cs="Arial"/>
          <w:sz w:val="20"/>
          <w:szCs w:val="20"/>
        </w:rPr>
      </w:pPr>
    </w:p>
    <w:p w:rsidR="009F40C4" w:rsidRDefault="00486AA9" w:rsidP="009F40C4">
      <w:pPr>
        <w:rPr>
          <w:rFonts w:ascii="Arial" w:hAnsi="Arial" w:cs="Arial"/>
        </w:rPr>
      </w:pPr>
      <w:r w:rsidRPr="00486AA9">
        <w:rPr>
          <w:rFonts w:ascii="Arial" w:hAnsi="Arial" w:cs="Arial"/>
        </w:rPr>
        <w:lastRenderedPageBreak/>
        <w:t>This requiremen</w:t>
      </w:r>
      <w:r>
        <w:rPr>
          <w:rFonts w:ascii="Arial" w:hAnsi="Arial" w:cs="Arial"/>
        </w:rPr>
        <w:t xml:space="preserve">t </w:t>
      </w:r>
      <w:r w:rsidR="00276E6A" w:rsidRPr="00276E6A">
        <w:rPr>
          <w:rFonts w:ascii="Arial" w:hAnsi="Arial" w:cs="Arial"/>
          <w:i/>
        </w:rPr>
        <w:t>‘</w:t>
      </w:r>
      <w:r w:rsidRPr="00276E6A">
        <w:rPr>
          <w:rFonts w:ascii="Arial" w:hAnsi="Arial" w:cs="Arial"/>
          <w:i/>
        </w:rPr>
        <w:t>r</w:t>
      </w:r>
      <w:r w:rsidR="009F40C4" w:rsidRPr="00276E6A">
        <w:rPr>
          <w:rFonts w:ascii="Arial" w:hAnsi="Arial" w:cs="Arial"/>
          <w:i/>
        </w:rPr>
        <w:t>ecognises</w:t>
      </w:r>
      <w:r w:rsidR="009F40C4" w:rsidRPr="00FF4BF7">
        <w:rPr>
          <w:rFonts w:ascii="Arial" w:hAnsi="Arial" w:cs="Arial"/>
          <w:i/>
        </w:rPr>
        <w:t xml:space="preserve"> the need to fairly compensate employees who work long, irregular, unsocial hours, or hours that could reasonably be expected to impact their work/life balance and enjoyment of life outside of work</w:t>
      </w:r>
      <w:r w:rsidR="009F40C4" w:rsidRPr="00FF4BF7">
        <w:rPr>
          <w:rFonts w:ascii="Arial" w:hAnsi="Arial" w:cs="Arial"/>
        </w:rPr>
        <w:t xml:space="preserve">.’ </w:t>
      </w:r>
      <w:r w:rsidR="00276E6A">
        <w:rPr>
          <w:rFonts w:ascii="Arial" w:hAnsi="Arial" w:cs="Arial"/>
        </w:rPr>
        <w:t xml:space="preserve"> </w:t>
      </w:r>
      <w:r w:rsidR="009F40C4" w:rsidRPr="00442214">
        <w:rPr>
          <w:rStyle w:val="FootnoteReference"/>
          <w:rFonts w:ascii="Arial" w:hAnsi="Arial" w:cs="Arial"/>
        </w:rPr>
        <w:footnoteReference w:id="33"/>
      </w:r>
    </w:p>
    <w:p w:rsidR="00C6578C" w:rsidRDefault="002E6947" w:rsidP="00C6578C">
      <w:pPr>
        <w:rPr>
          <w:rFonts w:ascii="Arial" w:hAnsi="Arial" w:cs="Arial"/>
        </w:rPr>
      </w:pPr>
      <w:r>
        <w:rPr>
          <w:rFonts w:ascii="Arial" w:hAnsi="Arial" w:cs="Arial"/>
        </w:rPr>
        <w:t xml:space="preserve">CCER </w:t>
      </w:r>
      <w:r w:rsidR="007067D2">
        <w:rPr>
          <w:rFonts w:ascii="Arial" w:hAnsi="Arial" w:cs="Arial"/>
        </w:rPr>
        <w:t>ac</w:t>
      </w:r>
      <w:r w:rsidR="007067D2" w:rsidRPr="003A66AB">
        <w:rPr>
          <w:rFonts w:ascii="Arial" w:hAnsi="Arial" w:cs="Arial"/>
        </w:rPr>
        <w:t>cept</w:t>
      </w:r>
      <w:r w:rsidR="007067D2">
        <w:rPr>
          <w:rFonts w:ascii="Arial" w:hAnsi="Arial" w:cs="Arial"/>
        </w:rPr>
        <w:t>s</w:t>
      </w:r>
      <w:r w:rsidR="007067D2" w:rsidRPr="003A66AB">
        <w:rPr>
          <w:rFonts w:ascii="Arial" w:hAnsi="Arial" w:cs="Arial"/>
        </w:rPr>
        <w:t>, of course</w:t>
      </w:r>
      <w:r w:rsidR="007067D2">
        <w:rPr>
          <w:rFonts w:ascii="Arial" w:hAnsi="Arial" w:cs="Arial"/>
        </w:rPr>
        <w:t xml:space="preserve">, that a wide range of work in </w:t>
      </w:r>
      <w:r w:rsidR="007067D2" w:rsidRPr="003A66AB">
        <w:rPr>
          <w:rFonts w:ascii="Arial" w:hAnsi="Arial" w:cs="Arial"/>
        </w:rPr>
        <w:t>unsocial hours is, and will continue to be, necessary to meet the community's economic and social needs.</w:t>
      </w:r>
      <w:r w:rsidR="007067D2">
        <w:rPr>
          <w:rFonts w:ascii="Arial" w:hAnsi="Arial" w:cs="Arial"/>
        </w:rPr>
        <w:t xml:space="preserve"> However, in</w:t>
      </w:r>
      <w:r w:rsidR="00276E6A">
        <w:rPr>
          <w:rFonts w:ascii="Arial" w:hAnsi="Arial" w:cs="Arial"/>
        </w:rPr>
        <w:t xml:space="preserve"> our view, p</w:t>
      </w:r>
      <w:r w:rsidR="00C6578C" w:rsidRPr="0033176C">
        <w:rPr>
          <w:rFonts w:ascii="Arial" w:hAnsi="Arial" w:cs="Arial"/>
        </w:rPr>
        <w:t xml:space="preserve">revious decisions and current deliberations by the </w:t>
      </w:r>
      <w:r w:rsidR="007D50E7">
        <w:rPr>
          <w:rFonts w:ascii="Arial" w:hAnsi="Arial" w:cs="Arial"/>
        </w:rPr>
        <w:t>FWC</w:t>
      </w:r>
      <w:r w:rsidR="00C6578C" w:rsidRPr="0033176C">
        <w:rPr>
          <w:rFonts w:ascii="Arial" w:hAnsi="Arial" w:cs="Arial"/>
        </w:rPr>
        <w:t xml:space="preserve"> demonstrate that existing industrial mechanisms provide sufficient flexibility to respond to changes in the business environment without prejudicing the right to compensation for the impact of working unsociable hours. </w:t>
      </w:r>
    </w:p>
    <w:p w:rsidR="008E6052" w:rsidRPr="00C512DE" w:rsidRDefault="008E6052" w:rsidP="008E6052">
      <w:pPr>
        <w:rPr>
          <w:rFonts w:ascii="Arial" w:hAnsi="Arial" w:cs="Arial"/>
        </w:rPr>
      </w:pPr>
      <w:r>
        <w:rPr>
          <w:rFonts w:ascii="Arial" w:hAnsi="Arial" w:cs="Arial"/>
        </w:rPr>
        <w:t>C</w:t>
      </w:r>
      <w:r w:rsidRPr="00C512DE">
        <w:rPr>
          <w:rFonts w:ascii="Arial" w:hAnsi="Arial" w:cs="Arial"/>
        </w:rPr>
        <w:t>hanges to industry working patterns over recent decades have resulted in changes in some awards to the ‘</w:t>
      </w:r>
      <w:r w:rsidRPr="00F9534A">
        <w:rPr>
          <w:rFonts w:ascii="Arial" w:hAnsi="Arial" w:cs="Arial"/>
          <w:i/>
        </w:rPr>
        <w:t>spread of ordinary hours’</w:t>
      </w:r>
      <w:r w:rsidRPr="00C512DE">
        <w:rPr>
          <w:rFonts w:ascii="Arial" w:hAnsi="Arial" w:cs="Arial"/>
        </w:rPr>
        <w:t xml:space="preserve"> clauses, which are the clauses that regulate the employer's ability to roster an employee for his or her ordinary time</w:t>
      </w:r>
      <w:r>
        <w:rPr>
          <w:rFonts w:ascii="Arial" w:hAnsi="Arial" w:cs="Arial"/>
        </w:rPr>
        <w:t xml:space="preserve">, for example in the </w:t>
      </w:r>
      <w:r w:rsidR="00E22868" w:rsidRPr="00E22868">
        <w:rPr>
          <w:rFonts w:ascii="Arial" w:hAnsi="Arial" w:cs="Arial"/>
          <w:i/>
        </w:rPr>
        <w:t xml:space="preserve">General Retail Industry </w:t>
      </w:r>
      <w:r w:rsidRPr="00E22868">
        <w:rPr>
          <w:rFonts w:ascii="Arial" w:hAnsi="Arial" w:cs="Arial"/>
          <w:i/>
        </w:rPr>
        <w:t xml:space="preserve">Award </w:t>
      </w:r>
      <w:r w:rsidR="00E22868" w:rsidRPr="00E22868">
        <w:rPr>
          <w:rFonts w:ascii="Arial" w:hAnsi="Arial" w:cs="Arial"/>
          <w:i/>
        </w:rPr>
        <w:t>2010</w:t>
      </w:r>
      <w:r w:rsidR="00E22868">
        <w:rPr>
          <w:rFonts w:ascii="Arial" w:hAnsi="Arial" w:cs="Arial"/>
        </w:rPr>
        <w:t xml:space="preserve"> </w:t>
      </w:r>
      <w:r>
        <w:rPr>
          <w:rFonts w:ascii="Arial" w:hAnsi="Arial" w:cs="Arial"/>
        </w:rPr>
        <w:t>to r</w:t>
      </w:r>
      <w:r w:rsidRPr="00C512DE">
        <w:rPr>
          <w:rFonts w:ascii="Arial" w:hAnsi="Arial" w:cs="Arial"/>
        </w:rPr>
        <w:t>eflect substantial changes in shop trading hours</w:t>
      </w:r>
      <w:r>
        <w:rPr>
          <w:rFonts w:ascii="Arial" w:hAnsi="Arial" w:cs="Arial"/>
        </w:rPr>
        <w:t>.</w:t>
      </w:r>
      <w:r w:rsidRPr="00C512DE">
        <w:rPr>
          <w:rFonts w:ascii="Arial" w:hAnsi="Arial" w:cs="Arial"/>
        </w:rPr>
        <w:t xml:space="preserve"> </w:t>
      </w:r>
      <w:r w:rsidRPr="004A3E7B">
        <w:rPr>
          <w:rStyle w:val="FootnoteReference"/>
          <w:rFonts w:ascii="Arial" w:hAnsi="Arial" w:cs="Arial"/>
        </w:rPr>
        <w:footnoteReference w:id="34"/>
      </w:r>
    </w:p>
    <w:p w:rsidR="00276E6A" w:rsidRDefault="00C6578C" w:rsidP="00C6578C">
      <w:pPr>
        <w:rPr>
          <w:rFonts w:ascii="Arial" w:hAnsi="Arial" w:cs="Arial"/>
        </w:rPr>
      </w:pPr>
      <w:r w:rsidRPr="0033176C">
        <w:rPr>
          <w:rFonts w:ascii="Arial" w:hAnsi="Arial" w:cs="Arial"/>
        </w:rPr>
        <w:t>The</w:t>
      </w:r>
      <w:r w:rsidR="007D50E7">
        <w:rPr>
          <w:rFonts w:ascii="Arial" w:hAnsi="Arial" w:cs="Arial"/>
        </w:rPr>
        <w:t xml:space="preserve"> FWC</w:t>
      </w:r>
      <w:r w:rsidRPr="0033176C">
        <w:rPr>
          <w:rFonts w:ascii="Arial" w:hAnsi="Arial" w:cs="Arial"/>
        </w:rPr>
        <w:t xml:space="preserve"> has used its existing powers to consider penalty rates on an industry case-by-case basis </w:t>
      </w:r>
      <w:r w:rsidR="00886CFC">
        <w:rPr>
          <w:rFonts w:ascii="Arial" w:hAnsi="Arial" w:cs="Arial"/>
        </w:rPr>
        <w:t xml:space="preserve">evident </w:t>
      </w:r>
      <w:r w:rsidRPr="0033176C">
        <w:rPr>
          <w:rFonts w:ascii="Arial" w:hAnsi="Arial" w:cs="Arial"/>
        </w:rPr>
        <w:t xml:space="preserve">in the decision to reduce the </w:t>
      </w:r>
      <w:r w:rsidR="00F836B3" w:rsidRPr="0033176C">
        <w:rPr>
          <w:rFonts w:ascii="Arial" w:hAnsi="Arial" w:cs="Arial"/>
        </w:rPr>
        <w:t>Sunday</w:t>
      </w:r>
      <w:r w:rsidRPr="0033176C">
        <w:rPr>
          <w:rFonts w:ascii="Arial" w:hAnsi="Arial" w:cs="Arial"/>
        </w:rPr>
        <w:t xml:space="preserve"> loading payable to certain casual employees under the </w:t>
      </w:r>
      <w:r w:rsidRPr="00920316">
        <w:rPr>
          <w:rFonts w:ascii="Arial" w:hAnsi="Arial" w:cs="Arial"/>
          <w:i/>
        </w:rPr>
        <w:t>Restaurant Industry Award 2010</w:t>
      </w:r>
      <w:r w:rsidRPr="00276E6A">
        <w:rPr>
          <w:rFonts w:ascii="Arial" w:hAnsi="Arial" w:cs="Arial"/>
        </w:rPr>
        <w:t>.</w:t>
      </w:r>
      <w:r w:rsidRPr="0033176C">
        <w:rPr>
          <w:rFonts w:ascii="Arial" w:hAnsi="Arial" w:cs="Arial"/>
        </w:rPr>
        <w:t xml:space="preserve"> </w:t>
      </w:r>
      <w:r w:rsidR="0080308B">
        <w:rPr>
          <w:rFonts w:ascii="Arial" w:hAnsi="Arial" w:cs="Arial"/>
        </w:rPr>
        <w:t xml:space="preserve">The </w:t>
      </w:r>
      <w:r w:rsidR="00F103AD">
        <w:rPr>
          <w:rFonts w:ascii="Arial" w:hAnsi="Arial" w:cs="Arial"/>
        </w:rPr>
        <w:t>FWC</w:t>
      </w:r>
      <w:r w:rsidR="0080308B">
        <w:rPr>
          <w:rFonts w:ascii="Arial" w:hAnsi="Arial" w:cs="Arial"/>
        </w:rPr>
        <w:t xml:space="preserve"> accepted</w:t>
      </w:r>
      <w:r w:rsidR="0080308B" w:rsidRPr="00337361">
        <w:rPr>
          <w:rFonts w:ascii="Arial" w:hAnsi="Arial" w:cs="Arial"/>
        </w:rPr>
        <w:t xml:space="preserve"> that the evidence filed demonstrated the special and peculiar characteristics of the industry’s ‘</w:t>
      </w:r>
      <w:r w:rsidR="0080308B" w:rsidRPr="009C015D">
        <w:rPr>
          <w:rFonts w:ascii="Arial" w:hAnsi="Arial" w:cs="Arial"/>
          <w:i/>
        </w:rPr>
        <w:t>transient and lower-skilled casual workforce’</w:t>
      </w:r>
      <w:r w:rsidR="0080308B" w:rsidRPr="00337361">
        <w:rPr>
          <w:rFonts w:ascii="Arial" w:hAnsi="Arial" w:cs="Arial"/>
        </w:rPr>
        <w:t xml:space="preserve"> meant that the Sunday penalty rate </w:t>
      </w:r>
      <w:r w:rsidR="0080308B">
        <w:rPr>
          <w:rFonts w:ascii="Arial" w:hAnsi="Arial" w:cs="Arial"/>
        </w:rPr>
        <w:t xml:space="preserve">is higher than </w:t>
      </w:r>
      <w:r w:rsidR="0080308B" w:rsidRPr="00337361">
        <w:rPr>
          <w:rFonts w:ascii="Arial" w:hAnsi="Arial" w:cs="Arial"/>
        </w:rPr>
        <w:t>is required to attract them for work on that day</w:t>
      </w:r>
      <w:r w:rsidR="00333792">
        <w:rPr>
          <w:rFonts w:ascii="Arial" w:hAnsi="Arial" w:cs="Arial"/>
        </w:rPr>
        <w:t>.</w:t>
      </w:r>
      <w:r w:rsidR="00920316">
        <w:rPr>
          <w:rStyle w:val="FootnoteReference"/>
          <w:rFonts w:ascii="Arial" w:hAnsi="Arial" w:cs="Arial"/>
        </w:rPr>
        <w:footnoteReference w:id="35"/>
      </w:r>
      <w:r w:rsidR="00C609C5">
        <w:rPr>
          <w:rFonts w:ascii="Arial" w:hAnsi="Arial" w:cs="Arial"/>
        </w:rPr>
        <w:t xml:space="preserve"> </w:t>
      </w:r>
      <w:r w:rsidR="00276E6A">
        <w:rPr>
          <w:rFonts w:ascii="Arial" w:hAnsi="Arial" w:cs="Arial"/>
        </w:rPr>
        <w:t xml:space="preserve"> </w:t>
      </w:r>
    </w:p>
    <w:p w:rsidR="00C6578C" w:rsidRDefault="00C6578C" w:rsidP="00C6578C">
      <w:pPr>
        <w:rPr>
          <w:rFonts w:ascii="Arial" w:hAnsi="Arial" w:cs="Arial"/>
        </w:rPr>
      </w:pPr>
      <w:r w:rsidRPr="0033176C">
        <w:rPr>
          <w:rFonts w:ascii="Arial" w:hAnsi="Arial" w:cs="Arial"/>
        </w:rPr>
        <w:t xml:space="preserve">The </w:t>
      </w:r>
      <w:r w:rsidR="00F836B3" w:rsidRPr="0033176C">
        <w:rPr>
          <w:rFonts w:ascii="Arial" w:hAnsi="Arial" w:cs="Arial"/>
        </w:rPr>
        <w:t>forthcoming Award</w:t>
      </w:r>
      <w:r w:rsidRPr="0033176C">
        <w:rPr>
          <w:rFonts w:ascii="Arial" w:hAnsi="Arial" w:cs="Arial"/>
        </w:rPr>
        <w:t xml:space="preserve"> </w:t>
      </w:r>
      <w:r w:rsidR="00B713D9" w:rsidRPr="0033176C">
        <w:rPr>
          <w:rFonts w:ascii="Arial" w:hAnsi="Arial" w:cs="Arial"/>
        </w:rPr>
        <w:t>R</w:t>
      </w:r>
      <w:r w:rsidRPr="0033176C">
        <w:rPr>
          <w:rFonts w:ascii="Arial" w:hAnsi="Arial" w:cs="Arial"/>
        </w:rPr>
        <w:t xml:space="preserve">eview </w:t>
      </w:r>
      <w:r w:rsidR="00F836B3" w:rsidRPr="0033176C">
        <w:rPr>
          <w:rFonts w:ascii="Arial" w:hAnsi="Arial" w:cs="Arial"/>
        </w:rPr>
        <w:t>penalty</w:t>
      </w:r>
      <w:r w:rsidR="00B713D9" w:rsidRPr="0033176C">
        <w:rPr>
          <w:rFonts w:ascii="Arial" w:hAnsi="Arial" w:cs="Arial"/>
        </w:rPr>
        <w:t xml:space="preserve"> rates case</w:t>
      </w:r>
      <w:r w:rsidR="00276E6A">
        <w:rPr>
          <w:rFonts w:ascii="Arial" w:hAnsi="Arial" w:cs="Arial"/>
        </w:rPr>
        <w:t xml:space="preserve"> will a</w:t>
      </w:r>
      <w:r w:rsidRPr="0033176C">
        <w:rPr>
          <w:rFonts w:ascii="Arial" w:hAnsi="Arial" w:cs="Arial"/>
        </w:rPr>
        <w:t xml:space="preserve">llow for </w:t>
      </w:r>
      <w:r w:rsidR="002468BF" w:rsidRPr="0033176C">
        <w:rPr>
          <w:rFonts w:ascii="Arial" w:hAnsi="Arial" w:cs="Arial"/>
        </w:rPr>
        <w:t xml:space="preserve">an </w:t>
      </w:r>
      <w:r w:rsidR="00F836B3" w:rsidRPr="0033176C">
        <w:rPr>
          <w:rFonts w:ascii="Arial" w:hAnsi="Arial" w:cs="Arial"/>
        </w:rPr>
        <w:t>evidence-based</w:t>
      </w:r>
      <w:r w:rsidRPr="0033176C">
        <w:rPr>
          <w:rFonts w:ascii="Arial" w:hAnsi="Arial" w:cs="Arial"/>
        </w:rPr>
        <w:t xml:space="preserve"> approach </w:t>
      </w:r>
      <w:r w:rsidR="009A5D31">
        <w:rPr>
          <w:rFonts w:ascii="Arial" w:hAnsi="Arial" w:cs="Arial"/>
        </w:rPr>
        <w:t xml:space="preserve">to determining rates </w:t>
      </w:r>
      <w:r w:rsidRPr="0033176C">
        <w:rPr>
          <w:rFonts w:ascii="Arial" w:hAnsi="Arial" w:cs="Arial"/>
        </w:rPr>
        <w:t>that provides for the involvement of the parties directly affected</w:t>
      </w:r>
      <w:r w:rsidR="004C64A2" w:rsidRPr="0033176C">
        <w:rPr>
          <w:rFonts w:ascii="Arial" w:hAnsi="Arial" w:cs="Arial"/>
        </w:rPr>
        <w:t>.</w:t>
      </w:r>
      <w:r w:rsidR="002468BF" w:rsidRPr="0033176C">
        <w:rPr>
          <w:rFonts w:ascii="Arial" w:hAnsi="Arial" w:cs="Arial"/>
        </w:rPr>
        <w:t xml:space="preserve"> </w:t>
      </w:r>
      <w:r w:rsidR="004C64A2" w:rsidRPr="0033176C">
        <w:rPr>
          <w:rFonts w:ascii="Arial" w:hAnsi="Arial" w:cs="Arial"/>
        </w:rPr>
        <w:t>A</w:t>
      </w:r>
      <w:r w:rsidRPr="0033176C">
        <w:rPr>
          <w:rFonts w:ascii="Arial" w:hAnsi="Arial" w:cs="Arial"/>
        </w:rPr>
        <w:t xml:space="preserve"> specially constituted full bench will hear the evidence of almost 200 witnesses </w:t>
      </w:r>
      <w:r w:rsidR="00886CFC">
        <w:rPr>
          <w:rFonts w:ascii="Arial" w:hAnsi="Arial" w:cs="Arial"/>
        </w:rPr>
        <w:t>ov</w:t>
      </w:r>
      <w:r w:rsidRPr="0033176C">
        <w:rPr>
          <w:rFonts w:ascii="Arial" w:hAnsi="Arial" w:cs="Arial"/>
        </w:rPr>
        <w:t>er more than 100 hearing days</w:t>
      </w:r>
      <w:r w:rsidR="00C609C5">
        <w:rPr>
          <w:rFonts w:ascii="Arial" w:hAnsi="Arial" w:cs="Arial"/>
        </w:rPr>
        <w:t xml:space="preserve"> concerning the impact of penalty rates in nine awards</w:t>
      </w:r>
      <w:r w:rsidR="00276E6A">
        <w:rPr>
          <w:rFonts w:ascii="Arial" w:hAnsi="Arial" w:cs="Arial"/>
        </w:rPr>
        <w:t xml:space="preserve"> covering </w:t>
      </w:r>
      <w:r w:rsidR="00CF599E">
        <w:rPr>
          <w:rFonts w:ascii="Arial" w:hAnsi="Arial" w:cs="Arial"/>
        </w:rPr>
        <w:t>hospitality</w:t>
      </w:r>
      <w:r w:rsidR="00276E6A">
        <w:rPr>
          <w:rFonts w:ascii="Arial" w:hAnsi="Arial" w:cs="Arial"/>
        </w:rPr>
        <w:t xml:space="preserve"> and retail </w:t>
      </w:r>
      <w:r w:rsidR="00CF599E">
        <w:rPr>
          <w:rFonts w:ascii="Arial" w:hAnsi="Arial" w:cs="Arial"/>
        </w:rPr>
        <w:t>employees</w:t>
      </w:r>
      <w:r w:rsidR="00276E6A">
        <w:rPr>
          <w:rFonts w:ascii="Arial" w:hAnsi="Arial" w:cs="Arial"/>
        </w:rPr>
        <w:t>.</w:t>
      </w:r>
      <w:r w:rsidR="009A0F74">
        <w:rPr>
          <w:rStyle w:val="FootnoteReference"/>
          <w:rFonts w:ascii="Arial" w:hAnsi="Arial" w:cs="Arial"/>
        </w:rPr>
        <w:footnoteReference w:id="36"/>
      </w:r>
    </w:p>
    <w:p w:rsidR="00C6578C" w:rsidRPr="0033176C" w:rsidRDefault="00C67DF2" w:rsidP="00C6578C">
      <w:pPr>
        <w:rPr>
          <w:rFonts w:ascii="Arial" w:hAnsi="Arial" w:cs="Arial"/>
        </w:rPr>
      </w:pPr>
      <w:r>
        <w:rPr>
          <w:rFonts w:ascii="Arial" w:hAnsi="Arial" w:cs="Arial"/>
        </w:rPr>
        <w:t xml:space="preserve">Just as a </w:t>
      </w:r>
      <w:r w:rsidR="00C6578C" w:rsidRPr="0033176C">
        <w:rPr>
          <w:rFonts w:ascii="Arial" w:hAnsi="Arial" w:cs="Arial"/>
        </w:rPr>
        <w:t>‘</w:t>
      </w:r>
      <w:r w:rsidR="00C6578C" w:rsidRPr="0033176C">
        <w:rPr>
          <w:rFonts w:ascii="Arial" w:hAnsi="Arial" w:cs="Arial"/>
          <w:i/>
        </w:rPr>
        <w:t>one-size fits all’</w:t>
      </w:r>
      <w:r w:rsidR="00C6578C" w:rsidRPr="0033176C">
        <w:rPr>
          <w:rFonts w:ascii="Arial" w:hAnsi="Arial" w:cs="Arial"/>
        </w:rPr>
        <w:t xml:space="preserve"> legislative approach to determine </w:t>
      </w:r>
      <w:r>
        <w:rPr>
          <w:rFonts w:ascii="Arial" w:hAnsi="Arial" w:cs="Arial"/>
        </w:rPr>
        <w:t xml:space="preserve">applicable </w:t>
      </w:r>
      <w:r w:rsidR="00C6578C" w:rsidRPr="0033176C">
        <w:rPr>
          <w:rFonts w:ascii="Arial" w:hAnsi="Arial" w:cs="Arial"/>
        </w:rPr>
        <w:t xml:space="preserve">rates is </w:t>
      </w:r>
      <w:r>
        <w:rPr>
          <w:rFonts w:ascii="Arial" w:hAnsi="Arial" w:cs="Arial"/>
        </w:rPr>
        <w:t xml:space="preserve">neither necessary nor desirable, nor is an approach that permits rates to be set by individual enterprises and determined by the  market. The experience of </w:t>
      </w:r>
      <w:r w:rsidR="00904860">
        <w:rPr>
          <w:rFonts w:ascii="Arial" w:hAnsi="Arial" w:cs="Arial"/>
        </w:rPr>
        <w:t>Work Choices</w:t>
      </w:r>
      <w:r>
        <w:rPr>
          <w:rFonts w:ascii="Arial" w:hAnsi="Arial" w:cs="Arial"/>
        </w:rPr>
        <w:t xml:space="preserve"> has shown that often individual employees, particularly the low-paid, have no real bargaining power to negotiate pay and </w:t>
      </w:r>
      <w:r w:rsidR="00904860">
        <w:rPr>
          <w:rFonts w:ascii="Arial" w:hAnsi="Arial" w:cs="Arial"/>
        </w:rPr>
        <w:t xml:space="preserve">conditions. </w:t>
      </w:r>
      <w:r w:rsidR="00C6578C" w:rsidRPr="0033176C">
        <w:rPr>
          <w:rFonts w:ascii="Arial" w:hAnsi="Arial" w:cs="Arial"/>
        </w:rPr>
        <w:t xml:space="preserve">The setting of payments for the evident disabilities associated with working unsociable hours should continue to be the function of the industrial arbitrator. </w:t>
      </w:r>
      <w:r w:rsidR="004E6F6A">
        <w:rPr>
          <w:rFonts w:ascii="Arial" w:hAnsi="Arial" w:cs="Arial"/>
        </w:rPr>
        <w:t>In CCER’s view, w</w:t>
      </w:r>
      <w:r w:rsidR="0033176C" w:rsidRPr="0033176C">
        <w:rPr>
          <w:rFonts w:ascii="Arial" w:hAnsi="Arial" w:cs="Arial"/>
        </w:rPr>
        <w:t xml:space="preserve">orkers should continue to be </w:t>
      </w:r>
      <w:r w:rsidR="00217B8F">
        <w:rPr>
          <w:rFonts w:ascii="Arial" w:hAnsi="Arial" w:cs="Arial"/>
        </w:rPr>
        <w:t>c</w:t>
      </w:r>
      <w:r w:rsidR="0033176C" w:rsidRPr="0033176C">
        <w:rPr>
          <w:rFonts w:ascii="Arial" w:hAnsi="Arial" w:cs="Arial"/>
        </w:rPr>
        <w:t>ompensated for the negative effects of working unsociable hours</w:t>
      </w:r>
      <w:r w:rsidR="00486863">
        <w:rPr>
          <w:rFonts w:ascii="Arial" w:hAnsi="Arial" w:cs="Arial"/>
        </w:rPr>
        <w:t>.</w:t>
      </w:r>
      <w:r w:rsidR="0033176C" w:rsidRPr="0033176C">
        <w:rPr>
          <w:rFonts w:ascii="Arial" w:hAnsi="Arial" w:cs="Arial"/>
        </w:rPr>
        <w:t xml:space="preserve"> </w:t>
      </w:r>
    </w:p>
    <w:p w:rsidR="00086B0F" w:rsidRDefault="00086B0F" w:rsidP="00086B0F">
      <w:pPr>
        <w:rPr>
          <w:rFonts w:ascii="Arial" w:hAnsi="Arial" w:cs="Arial"/>
        </w:rPr>
      </w:pPr>
    </w:p>
    <w:p w:rsidR="007E1E05" w:rsidRDefault="007E1E05">
      <w:pPr>
        <w:rPr>
          <w:rFonts w:ascii="Arial" w:hAnsi="Arial" w:cs="Arial"/>
          <w:color w:val="632423"/>
          <w:sz w:val="28"/>
          <w:szCs w:val="28"/>
        </w:rPr>
      </w:pPr>
    </w:p>
    <w:p w:rsidR="0041471D" w:rsidRPr="00F7501D" w:rsidRDefault="00603278" w:rsidP="00F7501D">
      <w:pPr>
        <w:rPr>
          <w:rFonts w:ascii="Arial" w:hAnsi="Arial" w:cs="Arial"/>
          <w:b/>
          <w:bCs/>
          <w:color w:val="C0504D"/>
          <w:sz w:val="28"/>
          <w:szCs w:val="28"/>
        </w:rPr>
      </w:pPr>
      <w:r>
        <w:rPr>
          <w:rFonts w:ascii="Arial" w:hAnsi="Arial" w:cs="Arial"/>
          <w:b/>
          <w:bCs/>
          <w:color w:val="C0504D"/>
          <w:sz w:val="28"/>
          <w:szCs w:val="28"/>
        </w:rPr>
        <w:br w:type="page"/>
      </w:r>
      <w:r w:rsidR="0041471D" w:rsidRPr="00F7501D">
        <w:rPr>
          <w:rFonts w:ascii="Arial" w:hAnsi="Arial" w:cs="Arial"/>
          <w:b/>
          <w:bCs/>
          <w:color w:val="C0504D"/>
          <w:sz w:val="28"/>
          <w:szCs w:val="28"/>
        </w:rPr>
        <w:lastRenderedPageBreak/>
        <w:t xml:space="preserve">PART TWO </w:t>
      </w:r>
    </w:p>
    <w:p w:rsidR="00F7501D" w:rsidRPr="0041471D" w:rsidRDefault="00926FBD" w:rsidP="002B6FEF">
      <w:pPr>
        <w:pBdr>
          <w:bottom w:val="single" w:sz="4" w:space="1" w:color="auto"/>
        </w:pBdr>
        <w:rPr>
          <w:rFonts w:ascii="Arial" w:hAnsi="Arial" w:cs="Arial"/>
          <w:b/>
          <w:sz w:val="21"/>
          <w:szCs w:val="21"/>
        </w:rPr>
      </w:pPr>
      <w:r w:rsidRPr="00F7501D">
        <w:rPr>
          <w:rFonts w:ascii="Arial" w:hAnsi="Arial" w:cs="Arial"/>
          <w:b/>
          <w:bCs/>
          <w:color w:val="C0504D"/>
          <w:sz w:val="28"/>
          <w:szCs w:val="28"/>
        </w:rPr>
        <w:t xml:space="preserve">CONCERNS WITH </w:t>
      </w:r>
      <w:r w:rsidR="00873FAB" w:rsidRPr="00F7501D">
        <w:rPr>
          <w:rFonts w:ascii="Arial" w:hAnsi="Arial" w:cs="Arial"/>
          <w:b/>
          <w:bCs/>
          <w:color w:val="C0504D"/>
          <w:sz w:val="28"/>
          <w:szCs w:val="28"/>
        </w:rPr>
        <w:t>PRESCRIPTIVE PROCEDURAL REQUIREMENTS</w:t>
      </w:r>
      <w:r w:rsidR="00451E55" w:rsidRPr="00F7501D">
        <w:rPr>
          <w:rFonts w:ascii="Arial" w:hAnsi="Arial" w:cs="Arial"/>
          <w:b/>
          <w:bCs/>
          <w:color w:val="C0504D"/>
          <w:sz w:val="28"/>
          <w:szCs w:val="28"/>
        </w:rPr>
        <w:t xml:space="preserve"> </w:t>
      </w:r>
      <w:r w:rsidR="00873FAB" w:rsidRPr="00F7501D">
        <w:rPr>
          <w:rFonts w:ascii="Arial" w:hAnsi="Arial" w:cs="Arial"/>
          <w:b/>
          <w:bCs/>
          <w:color w:val="C0504D"/>
          <w:sz w:val="28"/>
          <w:szCs w:val="28"/>
        </w:rPr>
        <w:t>FOR AGREEMENT</w:t>
      </w:r>
      <w:r w:rsidR="002B6FEF" w:rsidRPr="00F7501D">
        <w:rPr>
          <w:rFonts w:ascii="Arial" w:hAnsi="Arial" w:cs="Arial"/>
          <w:b/>
          <w:bCs/>
          <w:color w:val="C0504D"/>
          <w:sz w:val="28"/>
          <w:szCs w:val="28"/>
        </w:rPr>
        <w:t xml:space="preserve"> MAKING</w:t>
      </w:r>
    </w:p>
    <w:p w:rsidR="00A73A3E" w:rsidRPr="003D32AD" w:rsidRDefault="00A73A3E" w:rsidP="00A73A3E">
      <w:pPr>
        <w:rPr>
          <w:rFonts w:ascii="Arial" w:hAnsi="Arial" w:cs="Arial"/>
          <w:b/>
          <w:bCs/>
          <w:i/>
          <w:color w:val="C0504D"/>
          <w:sz w:val="24"/>
          <w:szCs w:val="24"/>
        </w:rPr>
      </w:pPr>
      <w:r w:rsidRPr="003D32AD">
        <w:rPr>
          <w:rFonts w:ascii="Arial" w:hAnsi="Arial" w:cs="Arial"/>
          <w:b/>
          <w:bCs/>
          <w:i/>
          <w:color w:val="C0504D"/>
          <w:sz w:val="24"/>
          <w:szCs w:val="24"/>
        </w:rPr>
        <w:t xml:space="preserve">Support for enterprise bargaining </w:t>
      </w:r>
    </w:p>
    <w:p w:rsidR="00A73A3E" w:rsidRDefault="00A73A3E" w:rsidP="00A73A3E">
      <w:pPr>
        <w:rPr>
          <w:rFonts w:ascii="Arial" w:hAnsi="Arial" w:cs="Arial"/>
        </w:rPr>
      </w:pPr>
      <w:r>
        <w:rPr>
          <w:rFonts w:ascii="Arial" w:hAnsi="Arial" w:cs="Arial"/>
        </w:rPr>
        <w:t>CCER is actively involved in the enterprise bargaining regime under the FW Act as a bargaining representative for employers, particularly in Catholic education in NSW and the ACT. We also regularly provide our members with advice and advocacy in matters connected with enterprise agreement making and compliance.</w:t>
      </w:r>
    </w:p>
    <w:p w:rsidR="00A73A3E" w:rsidRDefault="00A73A3E" w:rsidP="00A73A3E">
      <w:pPr>
        <w:rPr>
          <w:rFonts w:ascii="Arial" w:hAnsi="Arial" w:cs="Arial"/>
        </w:rPr>
      </w:pPr>
      <w:r>
        <w:rPr>
          <w:rFonts w:ascii="Arial" w:hAnsi="Arial" w:cs="Arial"/>
        </w:rPr>
        <w:t>Consistent with Catholic social teaching, CCER supports the concept and purpose of the enterprise bargaining provisions of the FW Act. In our view, enterprise bargaining is consistent with the universal right to freedom of association and the right of employees to collectively bargain in relation to the terms and conditions of their employment, underpinned by the safety net, as discussed earlier in this submission. CCER also expresses our broad view that, despite difficulties from time to time when engaged in robust bargaining with unions on behalf of our members, we believe the good faith bargaining requirements as prescribed by s 228 of the FW Act are balanced and workable. In our experience, matters where parties seek redress by way of bargaining orders for conduct alleged to breach the good faith bargaining requirements are rare.</w:t>
      </w:r>
    </w:p>
    <w:p w:rsidR="00A73A3E" w:rsidRDefault="00B63E3C" w:rsidP="00A73A3E">
      <w:pPr>
        <w:rPr>
          <w:rFonts w:ascii="Arial" w:hAnsi="Arial" w:cs="Arial"/>
        </w:rPr>
      </w:pPr>
      <w:r>
        <w:rPr>
          <w:rFonts w:ascii="Arial" w:hAnsi="Arial" w:cs="Arial"/>
        </w:rPr>
        <w:t xml:space="preserve">While agreeing with the principle of enterprise bargaining, CCER believes </w:t>
      </w:r>
      <w:r w:rsidR="00A73A3E">
        <w:rPr>
          <w:rFonts w:ascii="Arial" w:hAnsi="Arial" w:cs="Arial"/>
        </w:rPr>
        <w:t xml:space="preserve">the compliance requirements associated with agreement making under the FW Act are </w:t>
      </w:r>
      <w:r w:rsidR="00D72B72">
        <w:rPr>
          <w:rFonts w:ascii="Arial" w:hAnsi="Arial" w:cs="Arial"/>
        </w:rPr>
        <w:t xml:space="preserve">too prescriptive </w:t>
      </w:r>
      <w:r w:rsidR="00A73A3E">
        <w:rPr>
          <w:rFonts w:ascii="Arial" w:hAnsi="Arial" w:cs="Arial"/>
        </w:rPr>
        <w:t xml:space="preserve">and in some cases </w:t>
      </w:r>
      <w:r w:rsidR="00D72B72">
        <w:rPr>
          <w:rFonts w:ascii="Arial" w:hAnsi="Arial" w:cs="Arial"/>
        </w:rPr>
        <w:t xml:space="preserve">are </w:t>
      </w:r>
      <w:r w:rsidR="00A73A3E">
        <w:rPr>
          <w:rFonts w:ascii="Arial" w:hAnsi="Arial" w:cs="Arial"/>
        </w:rPr>
        <w:t>onerous for employers. This compliance burden is more acutely felt in the context of bargaining involving large numbers of employers (either pursuant to a multi</w:t>
      </w:r>
      <w:r w:rsidR="00A32226">
        <w:rPr>
          <w:rFonts w:ascii="Arial" w:hAnsi="Arial" w:cs="Arial"/>
        </w:rPr>
        <w:t>-enterprise agreement or single-</w:t>
      </w:r>
      <w:r w:rsidR="00A73A3E">
        <w:rPr>
          <w:rFonts w:ascii="Arial" w:hAnsi="Arial" w:cs="Arial"/>
        </w:rPr>
        <w:t>enterprise agreement underpinned by a single interest employer authorisation).</w:t>
      </w:r>
    </w:p>
    <w:p w:rsidR="00A73A3E" w:rsidRDefault="00A73A3E" w:rsidP="00A73A3E">
      <w:pPr>
        <w:rPr>
          <w:rFonts w:ascii="Arial" w:hAnsi="Arial" w:cs="Arial"/>
        </w:rPr>
      </w:pPr>
      <w:r>
        <w:rPr>
          <w:rFonts w:ascii="Arial" w:hAnsi="Arial" w:cs="Arial"/>
        </w:rPr>
        <w:t>Broadly, CCER would encourage the P</w:t>
      </w:r>
      <w:r w:rsidR="00840FFE">
        <w:rPr>
          <w:rFonts w:ascii="Arial" w:hAnsi="Arial" w:cs="Arial"/>
        </w:rPr>
        <w:t xml:space="preserve">roductivity Commission </w:t>
      </w:r>
      <w:r>
        <w:rPr>
          <w:rFonts w:ascii="Arial" w:hAnsi="Arial" w:cs="Arial"/>
        </w:rPr>
        <w:t xml:space="preserve">to examine whether any of the existing compliance and administrative requirements associated with agreement making </w:t>
      </w:r>
      <w:r w:rsidR="004E77A6">
        <w:rPr>
          <w:rFonts w:ascii="Arial" w:hAnsi="Arial" w:cs="Arial"/>
        </w:rPr>
        <w:t xml:space="preserve">can be reduced or made less burdensome. Such </w:t>
      </w:r>
      <w:r>
        <w:rPr>
          <w:rFonts w:ascii="Arial" w:hAnsi="Arial" w:cs="Arial"/>
        </w:rPr>
        <w:t xml:space="preserve">changes in this area </w:t>
      </w:r>
      <w:r w:rsidR="004E77A6">
        <w:rPr>
          <w:rFonts w:ascii="Arial" w:hAnsi="Arial" w:cs="Arial"/>
        </w:rPr>
        <w:t>would b</w:t>
      </w:r>
      <w:r>
        <w:rPr>
          <w:rFonts w:ascii="Arial" w:hAnsi="Arial" w:cs="Arial"/>
        </w:rPr>
        <w:t>e consistent with the objects expressed in s 171 of the FW Act</w:t>
      </w:r>
      <w:r w:rsidR="00413C14">
        <w:rPr>
          <w:rFonts w:ascii="Arial" w:hAnsi="Arial" w:cs="Arial"/>
        </w:rPr>
        <w:t>,</w:t>
      </w:r>
      <w:r>
        <w:rPr>
          <w:rFonts w:ascii="Arial" w:hAnsi="Arial" w:cs="Arial"/>
        </w:rPr>
        <w:t xml:space="preserve"> that among other things, the enterprise bargaining regime ensures a simple, flexible and fair framework, promotes productivity and that applications for approval are dealt with without delay.</w:t>
      </w:r>
    </w:p>
    <w:p w:rsidR="00A73A3E" w:rsidRPr="00376032" w:rsidRDefault="00A73A3E" w:rsidP="00A73A3E">
      <w:pPr>
        <w:rPr>
          <w:rFonts w:ascii="Arial" w:hAnsi="Arial" w:cs="Arial"/>
          <w:b/>
          <w:bCs/>
          <w:i/>
          <w:color w:val="C0504D"/>
          <w:sz w:val="24"/>
          <w:szCs w:val="24"/>
        </w:rPr>
      </w:pPr>
      <w:r w:rsidRPr="00376032">
        <w:rPr>
          <w:rFonts w:ascii="Arial" w:hAnsi="Arial" w:cs="Arial"/>
          <w:b/>
          <w:bCs/>
          <w:i/>
          <w:color w:val="C0504D"/>
          <w:sz w:val="24"/>
          <w:szCs w:val="24"/>
        </w:rPr>
        <w:t>Notice of employee representational rights</w:t>
      </w:r>
    </w:p>
    <w:p w:rsidR="00BC6A2E" w:rsidRDefault="00A73A3E" w:rsidP="00BC6A2E">
      <w:pPr>
        <w:rPr>
          <w:rFonts w:ascii="Arial" w:hAnsi="Arial" w:cs="Arial"/>
        </w:rPr>
      </w:pPr>
      <w:r>
        <w:rPr>
          <w:rFonts w:ascii="Arial" w:hAnsi="Arial" w:cs="Arial"/>
        </w:rPr>
        <w:t xml:space="preserve">Rather than make an exhaustive submission commenting on all of the compliance aspects of agreement making, CCER wishes to limit this submission to the significant (albeit narrow) issue of the affects of the prescriptive requirements of s 174(1A) of the FW Act. This provision concerns the content and form of the notice of employee representational rights (‘NoERR’), which must be issued in the form prescribed by the </w:t>
      </w:r>
      <w:r w:rsidRPr="00E21E9A">
        <w:rPr>
          <w:rFonts w:ascii="Arial" w:hAnsi="Arial" w:cs="Arial"/>
          <w:i/>
        </w:rPr>
        <w:t>Fair Work Regulations</w:t>
      </w:r>
      <w:r>
        <w:rPr>
          <w:rFonts w:ascii="Arial" w:hAnsi="Arial" w:cs="Arial"/>
        </w:rPr>
        <w:t xml:space="preserve"> within 14 days after the employer initiates or agrees to commence bargaining for an enterprise agreement (s</w:t>
      </w:r>
      <w:r w:rsidR="004114E5">
        <w:rPr>
          <w:rFonts w:ascii="Arial" w:hAnsi="Arial" w:cs="Arial"/>
        </w:rPr>
        <w:t>s 173(3</w:t>
      </w:r>
      <w:r>
        <w:rPr>
          <w:rFonts w:ascii="Arial" w:hAnsi="Arial" w:cs="Arial"/>
        </w:rPr>
        <w:t xml:space="preserve">)). </w:t>
      </w:r>
    </w:p>
    <w:p w:rsidR="00603278" w:rsidRDefault="00603278" w:rsidP="00BC6A2E">
      <w:pPr>
        <w:rPr>
          <w:rFonts w:ascii="Arial" w:hAnsi="Arial" w:cs="Arial"/>
          <w:sz w:val="20"/>
          <w:szCs w:val="20"/>
        </w:rPr>
      </w:pPr>
    </w:p>
    <w:p w:rsidR="00603278" w:rsidRDefault="00603278" w:rsidP="00BC6A2E">
      <w:pPr>
        <w:rPr>
          <w:rFonts w:ascii="Arial" w:hAnsi="Arial" w:cs="Arial"/>
          <w:sz w:val="20"/>
          <w:szCs w:val="20"/>
        </w:rPr>
      </w:pPr>
    </w:p>
    <w:p w:rsidR="00A73A3E" w:rsidRPr="0002161E" w:rsidRDefault="00A73A3E" w:rsidP="00BC6A2E">
      <w:pPr>
        <w:rPr>
          <w:rFonts w:ascii="Arial" w:hAnsi="Arial" w:cs="Arial"/>
          <w:i/>
          <w:sz w:val="20"/>
          <w:szCs w:val="20"/>
        </w:rPr>
      </w:pPr>
      <w:r w:rsidRPr="0002161E">
        <w:rPr>
          <w:rFonts w:ascii="Arial" w:hAnsi="Arial" w:cs="Arial"/>
          <w:sz w:val="20"/>
          <w:szCs w:val="20"/>
        </w:rPr>
        <w:lastRenderedPageBreak/>
        <w:t>s 174:</w:t>
      </w:r>
      <w:r>
        <w:rPr>
          <w:rFonts w:ascii="Arial" w:hAnsi="Arial" w:cs="Arial"/>
          <w:i/>
          <w:sz w:val="20"/>
          <w:szCs w:val="20"/>
        </w:rPr>
        <w:t xml:space="preserve"> </w:t>
      </w:r>
      <w:r w:rsidRPr="0002161E">
        <w:rPr>
          <w:rFonts w:ascii="Arial" w:hAnsi="Arial" w:cs="Arial"/>
          <w:i/>
          <w:sz w:val="20"/>
          <w:szCs w:val="20"/>
        </w:rPr>
        <w:t xml:space="preserve">Notice requirements </w:t>
      </w:r>
    </w:p>
    <w:p w:rsidR="00A73A3E" w:rsidRPr="0002161E" w:rsidRDefault="00A73A3E" w:rsidP="00A73A3E">
      <w:pPr>
        <w:pStyle w:val="subsection"/>
        <w:rPr>
          <w:rFonts w:ascii="Arial" w:hAnsi="Arial" w:cs="Arial"/>
          <w:i/>
          <w:sz w:val="20"/>
          <w:szCs w:val="20"/>
        </w:rPr>
      </w:pPr>
      <w:r w:rsidRPr="0002161E">
        <w:rPr>
          <w:rFonts w:ascii="Arial" w:hAnsi="Arial" w:cs="Arial"/>
          <w:i/>
          <w:sz w:val="20"/>
          <w:szCs w:val="20"/>
        </w:rPr>
        <w:t xml:space="preserve">          (1A)  The notice </w:t>
      </w:r>
      <w:r w:rsidRPr="00166F38">
        <w:rPr>
          <w:rFonts w:ascii="Arial" w:hAnsi="Arial" w:cs="Arial"/>
          <w:i/>
          <w:sz w:val="20"/>
          <w:szCs w:val="20"/>
          <w:u w:val="single"/>
        </w:rPr>
        <w:t>must</w:t>
      </w:r>
      <w:r w:rsidRPr="0002161E">
        <w:rPr>
          <w:rFonts w:ascii="Arial" w:hAnsi="Arial" w:cs="Arial"/>
          <w:i/>
          <w:sz w:val="20"/>
          <w:szCs w:val="20"/>
        </w:rPr>
        <w:t xml:space="preserve">: </w:t>
      </w:r>
    </w:p>
    <w:p w:rsidR="00A73A3E" w:rsidRPr="0002161E" w:rsidRDefault="00A73A3E" w:rsidP="00A73A3E">
      <w:pPr>
        <w:pStyle w:val="paragraph"/>
        <w:rPr>
          <w:rFonts w:ascii="Arial" w:hAnsi="Arial" w:cs="Arial"/>
          <w:i/>
          <w:sz w:val="20"/>
        </w:rPr>
      </w:pPr>
      <w:r w:rsidRPr="0002161E">
        <w:rPr>
          <w:rFonts w:ascii="Arial" w:hAnsi="Arial" w:cs="Arial"/>
          <w:i/>
          <w:sz w:val="20"/>
        </w:rPr>
        <w:t xml:space="preserve">                     (a)  contain the content prescribed by the regulations; and </w:t>
      </w:r>
    </w:p>
    <w:p w:rsidR="00A73A3E" w:rsidRPr="0002161E" w:rsidRDefault="00A73A3E" w:rsidP="00A73A3E">
      <w:pPr>
        <w:pStyle w:val="paragraph"/>
        <w:rPr>
          <w:rFonts w:ascii="Arial" w:hAnsi="Arial" w:cs="Arial"/>
          <w:i/>
          <w:sz w:val="20"/>
        </w:rPr>
      </w:pPr>
      <w:r w:rsidRPr="0002161E">
        <w:rPr>
          <w:rFonts w:ascii="Arial" w:hAnsi="Arial" w:cs="Arial"/>
          <w:i/>
          <w:sz w:val="20"/>
        </w:rPr>
        <w:t xml:space="preserve">                     (b)  not contain any other content; and </w:t>
      </w:r>
    </w:p>
    <w:p w:rsidR="00A73A3E" w:rsidRPr="0002161E" w:rsidRDefault="00A73A3E" w:rsidP="00A73A3E">
      <w:pPr>
        <w:pStyle w:val="paragraph"/>
        <w:rPr>
          <w:rFonts w:ascii="Arial" w:hAnsi="Arial" w:cs="Arial"/>
          <w:i/>
          <w:sz w:val="20"/>
        </w:rPr>
      </w:pPr>
      <w:r w:rsidRPr="0002161E">
        <w:rPr>
          <w:rFonts w:ascii="Arial" w:hAnsi="Arial" w:cs="Arial"/>
          <w:i/>
          <w:sz w:val="20"/>
        </w:rPr>
        <w:t xml:space="preserve">                     (c)  be in the form prescribed by the regulations. </w:t>
      </w:r>
    </w:p>
    <w:p w:rsidR="00A73A3E" w:rsidRPr="00166F38" w:rsidRDefault="00A73A3E" w:rsidP="00A73A3E">
      <w:pPr>
        <w:pStyle w:val="subsection"/>
        <w:ind w:left="1134" w:hanging="1134"/>
        <w:rPr>
          <w:rFonts w:ascii="Arial" w:hAnsi="Arial" w:cs="Arial"/>
          <w:sz w:val="20"/>
          <w:szCs w:val="20"/>
        </w:rPr>
      </w:pPr>
      <w:r w:rsidRPr="0002161E">
        <w:rPr>
          <w:rFonts w:ascii="Arial" w:hAnsi="Arial" w:cs="Arial"/>
          <w:i/>
          <w:sz w:val="20"/>
          <w:szCs w:val="20"/>
        </w:rPr>
        <w:t xml:space="preserve">          (1B)  </w:t>
      </w:r>
      <w:r>
        <w:rPr>
          <w:rFonts w:ascii="Arial" w:hAnsi="Arial" w:cs="Arial"/>
          <w:i/>
          <w:sz w:val="20"/>
          <w:szCs w:val="20"/>
        </w:rPr>
        <w:t xml:space="preserve"> </w:t>
      </w:r>
      <w:r w:rsidRPr="0002161E">
        <w:rPr>
          <w:rFonts w:ascii="Arial" w:hAnsi="Arial" w:cs="Arial"/>
          <w:i/>
          <w:sz w:val="20"/>
          <w:szCs w:val="20"/>
        </w:rPr>
        <w:t xml:space="preserve">When prescribing the content of the notice for the purposes of paragraph (1A)(a), the </w:t>
      </w:r>
      <w:r>
        <w:rPr>
          <w:rFonts w:ascii="Arial" w:hAnsi="Arial" w:cs="Arial"/>
          <w:i/>
          <w:sz w:val="20"/>
          <w:szCs w:val="20"/>
        </w:rPr>
        <w:t xml:space="preserve"> </w:t>
      </w:r>
      <w:r w:rsidRPr="0002161E">
        <w:rPr>
          <w:rFonts w:ascii="Arial" w:hAnsi="Arial" w:cs="Arial"/>
          <w:i/>
          <w:sz w:val="20"/>
          <w:szCs w:val="20"/>
        </w:rPr>
        <w:t xml:space="preserve">regulations must ensure that the notice complies with this section. </w:t>
      </w:r>
      <w:r>
        <w:rPr>
          <w:rFonts w:ascii="Arial" w:hAnsi="Arial" w:cs="Arial"/>
          <w:sz w:val="20"/>
          <w:szCs w:val="20"/>
        </w:rPr>
        <w:t>(emphasis added)</w:t>
      </w:r>
    </w:p>
    <w:p w:rsidR="00A73A3E" w:rsidRDefault="00A73A3E" w:rsidP="00A73A3E">
      <w:r>
        <w:rPr>
          <w:rFonts w:ascii="Arial" w:hAnsi="Arial" w:cs="Arial"/>
        </w:rPr>
        <w:t xml:space="preserve">We understand the intent of ss 174(1A), introduced in the </w:t>
      </w:r>
      <w:r w:rsidRPr="00514ABE">
        <w:rPr>
          <w:rFonts w:ascii="Arial" w:hAnsi="Arial" w:cs="Arial"/>
          <w:i/>
        </w:rPr>
        <w:t>Fair Work Amendment Act 2012</w:t>
      </w:r>
      <w:r>
        <w:rPr>
          <w:rFonts w:ascii="Arial" w:hAnsi="Arial" w:cs="Arial"/>
        </w:rPr>
        <w:t>, was in response to evidence of employers unacceptably modifying the content and form of the notices, resulting in employees being misinformed of their representational rights or associated processes</w:t>
      </w:r>
      <w:r w:rsidRPr="00AD7BAA">
        <w:rPr>
          <w:rFonts w:ascii="Arial" w:hAnsi="Arial" w:cs="Arial"/>
        </w:rPr>
        <w:t xml:space="preserve">: </w:t>
      </w:r>
      <w:r w:rsidRPr="00AD7BAA">
        <w:rPr>
          <w:rFonts w:ascii="Arial" w:hAnsi="Arial" w:cs="Arial"/>
          <w:i/>
        </w:rPr>
        <w:t>Peabody Moorvale Pty Ltd</w:t>
      </w:r>
      <w:r w:rsidR="00765A41">
        <w:rPr>
          <w:rStyle w:val="FootnoteReference"/>
          <w:rFonts w:ascii="Arial" w:hAnsi="Arial" w:cs="Arial"/>
          <w:i/>
        </w:rPr>
        <w:footnoteReference w:id="37"/>
      </w:r>
      <w:r w:rsidRPr="00AD7BAA">
        <w:rPr>
          <w:rFonts w:ascii="Arial" w:hAnsi="Arial" w:cs="Arial"/>
        </w:rPr>
        <w:t xml:space="preserve"> (</w:t>
      </w:r>
      <w:r>
        <w:rPr>
          <w:rFonts w:ascii="Arial" w:hAnsi="Arial" w:cs="Arial"/>
        </w:rPr>
        <w:t>‘</w:t>
      </w:r>
      <w:r w:rsidRPr="00AD7BAA">
        <w:rPr>
          <w:rFonts w:ascii="Arial" w:hAnsi="Arial" w:cs="Arial"/>
        </w:rPr>
        <w:t>Peabody</w:t>
      </w:r>
      <w:r>
        <w:rPr>
          <w:rFonts w:ascii="Arial" w:hAnsi="Arial" w:cs="Arial"/>
        </w:rPr>
        <w:t>’</w:t>
      </w:r>
      <w:r w:rsidRPr="00AD7BAA">
        <w:rPr>
          <w:rFonts w:ascii="Arial" w:hAnsi="Arial" w:cs="Arial"/>
        </w:rPr>
        <w:t>) referring to Recommendation 19 of the ‘</w:t>
      </w:r>
      <w:r w:rsidRPr="00AD7BAA">
        <w:rPr>
          <w:rFonts w:ascii="Arial" w:hAnsi="Arial" w:cs="Arial"/>
          <w:i/>
          <w:iCs/>
        </w:rPr>
        <w:t>Towards more productive and equitable workplaces: An evaluation of the Fair Work legislation</w:t>
      </w:r>
      <w:r w:rsidRPr="00AD7BAA">
        <w:rPr>
          <w:rFonts w:ascii="Arial" w:hAnsi="Arial" w:cs="Arial"/>
        </w:rPr>
        <w:t>’ (</w:t>
      </w:r>
      <w:r>
        <w:rPr>
          <w:rFonts w:ascii="Arial" w:hAnsi="Arial" w:cs="Arial"/>
        </w:rPr>
        <w:t>‘</w:t>
      </w:r>
      <w:r w:rsidRPr="00AD7BAA">
        <w:rPr>
          <w:rFonts w:ascii="Arial" w:hAnsi="Arial" w:cs="Arial"/>
        </w:rPr>
        <w:t>the Review Report</w:t>
      </w:r>
      <w:r>
        <w:rPr>
          <w:rFonts w:ascii="Arial" w:hAnsi="Arial" w:cs="Arial"/>
        </w:rPr>
        <w:t>’</w:t>
      </w:r>
      <w:r w:rsidRPr="00AD7BAA">
        <w:rPr>
          <w:rFonts w:ascii="Arial" w:hAnsi="Arial" w:cs="Arial"/>
        </w:rPr>
        <w:t>).</w:t>
      </w:r>
      <w:r>
        <w:t xml:space="preserve"> </w:t>
      </w:r>
    </w:p>
    <w:p w:rsidR="00A73A3E" w:rsidRPr="00266D1B" w:rsidRDefault="00A73A3E" w:rsidP="00A73A3E">
      <w:pPr>
        <w:rPr>
          <w:rFonts w:ascii="Arial" w:hAnsi="Arial" w:cs="Arial"/>
          <w:b/>
          <w:bCs/>
          <w:i/>
          <w:color w:val="C0504D"/>
          <w:sz w:val="24"/>
          <w:szCs w:val="24"/>
        </w:rPr>
      </w:pPr>
      <w:r w:rsidRPr="00266D1B">
        <w:rPr>
          <w:rFonts w:ascii="Arial" w:hAnsi="Arial" w:cs="Arial"/>
          <w:b/>
          <w:bCs/>
          <w:i/>
          <w:color w:val="C0504D"/>
          <w:sz w:val="24"/>
          <w:szCs w:val="24"/>
        </w:rPr>
        <w:t xml:space="preserve">Lack of FWC discretion </w:t>
      </w:r>
    </w:p>
    <w:p w:rsidR="00A73A3E" w:rsidRDefault="00A73A3E" w:rsidP="00A73A3E">
      <w:pPr>
        <w:rPr>
          <w:rFonts w:ascii="Arial" w:hAnsi="Arial" w:cs="Arial"/>
        </w:rPr>
      </w:pPr>
      <w:r>
        <w:rPr>
          <w:rFonts w:ascii="Arial" w:hAnsi="Arial" w:cs="Arial"/>
        </w:rPr>
        <w:t xml:space="preserve">While the intent to </w:t>
      </w:r>
      <w:r w:rsidR="00BC6A2E">
        <w:rPr>
          <w:rFonts w:ascii="Arial" w:hAnsi="Arial" w:cs="Arial"/>
        </w:rPr>
        <w:t xml:space="preserve">ensure employees are not uninformed or misrepresented </w:t>
      </w:r>
      <w:r>
        <w:rPr>
          <w:rFonts w:ascii="Arial" w:hAnsi="Arial" w:cs="Arial"/>
        </w:rPr>
        <w:t xml:space="preserve">is acknowledged, the problem identified through direct experience and </w:t>
      </w:r>
      <w:r w:rsidR="008A1E88">
        <w:rPr>
          <w:rFonts w:ascii="Arial" w:hAnsi="Arial" w:cs="Arial"/>
        </w:rPr>
        <w:t>from the case law on this point</w:t>
      </w:r>
      <w:r>
        <w:rPr>
          <w:rFonts w:ascii="Arial" w:hAnsi="Arial" w:cs="Arial"/>
        </w:rPr>
        <w:t xml:space="preserve"> is that </w:t>
      </w:r>
      <w:r w:rsidR="008A1E88">
        <w:rPr>
          <w:rFonts w:ascii="Arial" w:hAnsi="Arial" w:cs="Arial"/>
        </w:rPr>
        <w:t>now</w:t>
      </w:r>
      <w:r>
        <w:rPr>
          <w:rFonts w:ascii="Arial" w:hAnsi="Arial" w:cs="Arial"/>
        </w:rPr>
        <w:t xml:space="preserve"> the FWC has no discretion at all but to dismiss an application for approval of an enterprise agreement where it finds any defect with the NoERR, irrespective of how trivial, innocent or inconsequential the defect(s) may be.</w:t>
      </w:r>
    </w:p>
    <w:p w:rsidR="00A73A3E" w:rsidRDefault="00A73A3E" w:rsidP="00A73A3E">
      <w:pPr>
        <w:rPr>
          <w:rFonts w:ascii="Arial" w:hAnsi="Arial" w:cs="Arial"/>
        </w:rPr>
      </w:pPr>
      <w:r>
        <w:rPr>
          <w:rFonts w:ascii="Arial" w:hAnsi="Arial" w:cs="Arial"/>
        </w:rPr>
        <w:t xml:space="preserve">This lack of discretion was confirmed by the Full Bench in </w:t>
      </w:r>
      <w:r w:rsidRPr="004D391D">
        <w:rPr>
          <w:rFonts w:ascii="Arial" w:hAnsi="Arial" w:cs="Arial"/>
          <w:i/>
        </w:rPr>
        <w:t>Peabody</w:t>
      </w:r>
      <w:r>
        <w:rPr>
          <w:rFonts w:ascii="Arial" w:hAnsi="Arial" w:cs="Arial"/>
        </w:rPr>
        <w:t>:</w:t>
      </w:r>
    </w:p>
    <w:p w:rsidR="00A73A3E" w:rsidRDefault="00A73A3E" w:rsidP="00A73A3E">
      <w:pPr>
        <w:ind w:left="720"/>
        <w:rPr>
          <w:rFonts w:ascii="Arial" w:hAnsi="Arial" w:cs="Arial"/>
          <w:i/>
          <w:sz w:val="20"/>
          <w:szCs w:val="20"/>
        </w:rPr>
      </w:pPr>
      <w:r w:rsidRPr="004D391D">
        <w:rPr>
          <w:rFonts w:ascii="Arial" w:hAnsi="Arial" w:cs="Arial"/>
          <w:b/>
          <w:bCs/>
          <w:i/>
          <w:sz w:val="20"/>
          <w:szCs w:val="20"/>
        </w:rPr>
        <w:t xml:space="preserve">[18] </w:t>
      </w:r>
      <w:r w:rsidRPr="004D391D">
        <w:rPr>
          <w:rFonts w:ascii="Arial" w:hAnsi="Arial" w:cs="Arial"/>
          <w:i/>
          <w:sz w:val="20"/>
          <w:szCs w:val="20"/>
        </w:rPr>
        <w:t>Subsection 174(1A) uses language in mandatory form and goes to some length to make it clear that there can be no departure from the content or form of the Notice prescribed in the Regulations. As mentioned earlier, s.174(1A) provides that a Notice must contain the prescribed content, must not contain any other content and must be in the form prescribed.</w:t>
      </w:r>
    </w:p>
    <w:p w:rsidR="00A73A3E" w:rsidRDefault="0082403A" w:rsidP="00A73A3E">
      <w:pPr>
        <w:ind w:left="720"/>
        <w:rPr>
          <w:rFonts w:ascii="Arial" w:hAnsi="Arial" w:cs="Arial"/>
          <w:bCs/>
          <w:sz w:val="20"/>
          <w:szCs w:val="20"/>
        </w:rPr>
      </w:pPr>
      <w:r>
        <w:rPr>
          <w:rFonts w:ascii="Arial" w:hAnsi="Arial" w:cs="Arial"/>
          <w:bCs/>
          <w:sz w:val="20"/>
          <w:szCs w:val="20"/>
        </w:rPr>
        <w:t>...</w:t>
      </w:r>
    </w:p>
    <w:p w:rsidR="00A73A3E" w:rsidRDefault="00A73A3E" w:rsidP="00A73A3E">
      <w:pPr>
        <w:ind w:left="720"/>
        <w:rPr>
          <w:rFonts w:ascii="Arial" w:hAnsi="Arial" w:cs="Arial"/>
          <w:i/>
          <w:sz w:val="20"/>
          <w:szCs w:val="20"/>
        </w:rPr>
      </w:pPr>
      <w:r w:rsidRPr="00043E32">
        <w:rPr>
          <w:rFonts w:ascii="Arial" w:hAnsi="Arial" w:cs="Arial"/>
          <w:b/>
          <w:bCs/>
          <w:i/>
          <w:sz w:val="20"/>
          <w:szCs w:val="20"/>
        </w:rPr>
        <w:t xml:space="preserve">[46] </w:t>
      </w:r>
      <w:r w:rsidRPr="00043E32">
        <w:rPr>
          <w:rFonts w:ascii="Arial" w:hAnsi="Arial" w:cs="Arial"/>
          <w:i/>
          <w:sz w:val="20"/>
          <w:szCs w:val="20"/>
        </w:rPr>
        <w:t>In our view s.174(1A) is clear and unambiguous. There is simply no capacity to depart from the form and content of the notice template provided in the Regulations. A failure to comply with these provisions goes to invalidity.</w:t>
      </w:r>
    </w:p>
    <w:p w:rsidR="00A73A3E" w:rsidRDefault="00A73A3E" w:rsidP="00A73A3E">
      <w:pPr>
        <w:rPr>
          <w:rFonts w:ascii="Arial" w:hAnsi="Arial" w:cs="Arial"/>
        </w:rPr>
      </w:pPr>
      <w:r>
        <w:rPr>
          <w:rFonts w:ascii="Arial" w:hAnsi="Arial" w:cs="Arial"/>
        </w:rPr>
        <w:t>Unlike the situation with other concerns the FWC may have with an application for approval of an enterprise agreement, where problems or defects can be remedied by way of undertakings, there is no such flexibility afforded to the FWC regarding the resolution of defects in the NoERR.</w:t>
      </w:r>
    </w:p>
    <w:p w:rsidR="00A73A3E" w:rsidRDefault="00A73A3E" w:rsidP="00A73A3E">
      <w:pPr>
        <w:rPr>
          <w:rFonts w:ascii="Arial" w:hAnsi="Arial" w:cs="Arial"/>
        </w:rPr>
      </w:pPr>
      <w:r>
        <w:rPr>
          <w:rFonts w:ascii="Arial" w:hAnsi="Arial" w:cs="Arial"/>
        </w:rPr>
        <w:t xml:space="preserve">In a case in which CCER was the applicant, </w:t>
      </w:r>
      <w:r w:rsidRPr="004670E9">
        <w:rPr>
          <w:rFonts w:ascii="Arial" w:hAnsi="Arial" w:cs="Arial"/>
        </w:rPr>
        <w:t>Commissioner McKenna</w:t>
      </w:r>
      <w:r>
        <w:rPr>
          <w:rFonts w:ascii="Arial" w:hAnsi="Arial" w:cs="Arial"/>
        </w:rPr>
        <w:t xml:space="preserve"> in </w:t>
      </w:r>
      <w:r w:rsidRPr="004670E9">
        <w:rPr>
          <w:rFonts w:ascii="Arial" w:hAnsi="Arial" w:cs="Arial"/>
          <w:i/>
        </w:rPr>
        <w:t>Catholic Commission for Employment Relations through its Executive Director Anthony Farley</w:t>
      </w:r>
      <w:r w:rsidR="00E76BE7">
        <w:rPr>
          <w:rStyle w:val="FootnoteReference"/>
          <w:rFonts w:ascii="Arial" w:hAnsi="Arial" w:cs="Arial"/>
          <w:i/>
        </w:rPr>
        <w:footnoteReference w:id="38"/>
      </w:r>
      <w:r w:rsidR="00E76BE7">
        <w:rPr>
          <w:rFonts w:ascii="Arial" w:hAnsi="Arial" w:cs="Arial"/>
          <w:i/>
        </w:rPr>
        <w:t xml:space="preserve"> </w:t>
      </w:r>
      <w:r>
        <w:rPr>
          <w:rFonts w:ascii="Arial" w:hAnsi="Arial" w:cs="Arial"/>
        </w:rPr>
        <w:t>(‘CCER’) highlighted the FWC’s inability under the legislation to take into account the merits of a defect in a particular case. Also considered in this judgement was the affect of the increased level of prescription as a result of the am</w:t>
      </w:r>
      <w:r w:rsidR="0082403A">
        <w:rPr>
          <w:rFonts w:ascii="Arial" w:hAnsi="Arial" w:cs="Arial"/>
        </w:rPr>
        <w:t>endments to s 174(1A)</w:t>
      </w:r>
      <w:r>
        <w:rPr>
          <w:rFonts w:ascii="Arial" w:hAnsi="Arial" w:cs="Arial"/>
        </w:rPr>
        <w:t xml:space="preserve"> of the FW Act:</w:t>
      </w:r>
    </w:p>
    <w:p w:rsidR="00A73A3E" w:rsidRPr="00422F61" w:rsidRDefault="00A73A3E" w:rsidP="00A73A3E">
      <w:pPr>
        <w:pStyle w:val="NormalWeb"/>
        <w:ind w:left="720"/>
        <w:rPr>
          <w:rFonts w:ascii="Arial" w:hAnsi="Arial" w:cs="Arial"/>
          <w:i/>
          <w:sz w:val="20"/>
          <w:szCs w:val="20"/>
        </w:rPr>
      </w:pPr>
      <w:r w:rsidRPr="00422F61">
        <w:rPr>
          <w:rFonts w:ascii="Arial" w:hAnsi="Arial" w:cs="Arial"/>
          <w:b/>
          <w:bCs/>
          <w:i/>
          <w:sz w:val="20"/>
          <w:szCs w:val="20"/>
        </w:rPr>
        <w:lastRenderedPageBreak/>
        <w:t xml:space="preserve">[10] </w:t>
      </w:r>
      <w:r w:rsidRPr="00422F61">
        <w:rPr>
          <w:rFonts w:ascii="Arial" w:hAnsi="Arial" w:cs="Arial"/>
          <w:i/>
          <w:sz w:val="20"/>
          <w:szCs w:val="20"/>
        </w:rPr>
        <w:t xml:space="preserve">Despite the submissions for the applicant, I would not accept </w:t>
      </w:r>
      <w:r w:rsidRPr="00843A4B">
        <w:rPr>
          <w:rFonts w:ascii="Arial" w:hAnsi="Arial" w:cs="Arial"/>
          <w:i/>
          <w:color w:val="000000"/>
          <w:sz w:val="20"/>
          <w:szCs w:val="20"/>
        </w:rPr>
        <w:t xml:space="preserve">that </w:t>
      </w:r>
      <w:hyperlink r:id="rId10" w:history="1">
        <w:r w:rsidRPr="00843A4B">
          <w:rPr>
            <w:rStyle w:val="Hyperlink"/>
            <w:rFonts w:ascii="Arial" w:hAnsi="Arial" w:cs="Arial"/>
            <w:i/>
            <w:color w:val="000000"/>
            <w:sz w:val="20"/>
            <w:szCs w:val="20"/>
            <w:u w:val="none"/>
          </w:rPr>
          <w:t>s.586</w:t>
        </w:r>
      </w:hyperlink>
      <w:r w:rsidRPr="00843A4B">
        <w:rPr>
          <w:rFonts w:ascii="Arial" w:hAnsi="Arial" w:cs="Arial"/>
          <w:i/>
          <w:color w:val="000000"/>
          <w:sz w:val="20"/>
          <w:szCs w:val="20"/>
        </w:rPr>
        <w:t xml:space="preserve"> of the</w:t>
      </w:r>
      <w:r w:rsidRPr="00422F61">
        <w:rPr>
          <w:rFonts w:ascii="Arial" w:hAnsi="Arial" w:cs="Arial"/>
          <w:i/>
          <w:sz w:val="20"/>
          <w:szCs w:val="20"/>
        </w:rPr>
        <w:t xml:space="preserve"> Act, dealing with correcting and amending any application or other document relating to a matter before the Commission, would be available to address the issues concerning the notices. </w:t>
      </w:r>
    </w:p>
    <w:p w:rsidR="00A73A3E" w:rsidRDefault="00A73A3E" w:rsidP="00A73A3E">
      <w:pPr>
        <w:pStyle w:val="NormalWeb"/>
        <w:ind w:left="720"/>
        <w:rPr>
          <w:rFonts w:ascii="Arial" w:hAnsi="Arial" w:cs="Arial"/>
          <w:i/>
          <w:sz w:val="20"/>
          <w:szCs w:val="20"/>
        </w:rPr>
      </w:pPr>
      <w:r w:rsidRPr="00422F61">
        <w:rPr>
          <w:rFonts w:ascii="Arial" w:hAnsi="Arial" w:cs="Arial"/>
          <w:b/>
          <w:bCs/>
          <w:i/>
          <w:sz w:val="20"/>
          <w:szCs w:val="20"/>
        </w:rPr>
        <w:t xml:space="preserve">[11] </w:t>
      </w:r>
      <w:r w:rsidRPr="00422F61">
        <w:rPr>
          <w:rFonts w:ascii="Arial" w:hAnsi="Arial" w:cs="Arial"/>
          <w:i/>
          <w:sz w:val="20"/>
          <w:szCs w:val="20"/>
        </w:rPr>
        <w:t>The Act does not appear to allow discretion concerning the form and content of a notice of representational rights, given the word “must” in relation to the matters specified in subsections (a)-(c) of s.174(1A). If it seemed the Act allowed discretion in relation to the matter, I would exercise it; that is, the departure in the content of the notices of representational rights from the prescribed form might be considered to be something akin to a misnomer of no real consequence, rather than anything that, in a practical sense, alters the advice to employees of their rights in such respects.</w:t>
      </w:r>
    </w:p>
    <w:p w:rsidR="00A73A3E" w:rsidRDefault="00A73A3E" w:rsidP="00A73A3E">
      <w:pPr>
        <w:rPr>
          <w:rFonts w:ascii="Arial" w:hAnsi="Arial" w:cs="Arial"/>
        </w:rPr>
      </w:pPr>
      <w:r>
        <w:rPr>
          <w:rFonts w:ascii="Arial" w:hAnsi="Arial" w:cs="Arial"/>
        </w:rPr>
        <w:t xml:space="preserve">CCER’s concern on behalf of our members is that it is not efficient, productive or indeed fair on any of the parties, nor is it sound public policy, if an application to approve an enterprise agreement is dismissed </w:t>
      </w:r>
      <w:r w:rsidR="00C825C1">
        <w:rPr>
          <w:rFonts w:ascii="Arial" w:hAnsi="Arial" w:cs="Arial"/>
        </w:rPr>
        <w:t xml:space="preserve">only </w:t>
      </w:r>
      <w:r>
        <w:rPr>
          <w:rFonts w:ascii="Arial" w:hAnsi="Arial" w:cs="Arial"/>
        </w:rPr>
        <w:t>by reason</w:t>
      </w:r>
      <w:r w:rsidR="00C825C1">
        <w:rPr>
          <w:rFonts w:ascii="Arial" w:hAnsi="Arial" w:cs="Arial"/>
        </w:rPr>
        <w:t xml:space="preserve"> </w:t>
      </w:r>
      <w:r>
        <w:rPr>
          <w:rFonts w:ascii="Arial" w:hAnsi="Arial" w:cs="Arial"/>
        </w:rPr>
        <w:t>of a trivial administrative defect with the NoERR, despite the time and resources invested, and of the benefits that flow as a result of, the following:</w:t>
      </w:r>
    </w:p>
    <w:p w:rsidR="00A73A3E" w:rsidRDefault="00A73A3E" w:rsidP="00A73A3E">
      <w:pPr>
        <w:pStyle w:val="ListParagraph"/>
        <w:numPr>
          <w:ilvl w:val="0"/>
          <w:numId w:val="23"/>
        </w:numPr>
        <w:rPr>
          <w:rFonts w:ascii="Arial" w:hAnsi="Arial" w:cs="Arial"/>
        </w:rPr>
      </w:pPr>
      <w:r>
        <w:rPr>
          <w:rFonts w:ascii="Arial" w:hAnsi="Arial" w:cs="Arial"/>
        </w:rPr>
        <w:t xml:space="preserve">The parties have concluded (often robust and/or lengthy) negotiations and in </w:t>
      </w:r>
      <w:r w:rsidR="00BD456E">
        <w:rPr>
          <w:rFonts w:ascii="Arial" w:hAnsi="Arial" w:cs="Arial"/>
        </w:rPr>
        <w:t xml:space="preserve">the majority of </w:t>
      </w:r>
      <w:r>
        <w:rPr>
          <w:rFonts w:ascii="Arial" w:hAnsi="Arial" w:cs="Arial"/>
        </w:rPr>
        <w:t xml:space="preserve">cases, </w:t>
      </w:r>
      <w:r w:rsidR="00BD456E">
        <w:rPr>
          <w:rFonts w:ascii="Arial" w:hAnsi="Arial" w:cs="Arial"/>
        </w:rPr>
        <w:t xml:space="preserve">all parties </w:t>
      </w:r>
      <w:r>
        <w:rPr>
          <w:rFonts w:ascii="Arial" w:hAnsi="Arial" w:cs="Arial"/>
        </w:rPr>
        <w:t>support the agreement reached;</w:t>
      </w:r>
    </w:p>
    <w:p w:rsidR="00A73A3E" w:rsidRDefault="00A73A3E" w:rsidP="00A73A3E">
      <w:pPr>
        <w:pStyle w:val="ListParagraph"/>
        <w:numPr>
          <w:ilvl w:val="0"/>
          <w:numId w:val="23"/>
        </w:numPr>
        <w:rPr>
          <w:rFonts w:ascii="Arial" w:hAnsi="Arial" w:cs="Arial"/>
        </w:rPr>
      </w:pPr>
      <w:r>
        <w:rPr>
          <w:rFonts w:ascii="Arial" w:hAnsi="Arial" w:cs="Arial"/>
        </w:rPr>
        <w:t>The concluded bargain result</w:t>
      </w:r>
      <w:r w:rsidR="003042B7">
        <w:rPr>
          <w:rFonts w:ascii="Arial" w:hAnsi="Arial" w:cs="Arial"/>
        </w:rPr>
        <w:t>s</w:t>
      </w:r>
      <w:r>
        <w:rPr>
          <w:rFonts w:ascii="Arial" w:hAnsi="Arial" w:cs="Arial"/>
        </w:rPr>
        <w:t xml:space="preserve"> in employees being better off overall than they would otherwise be under any applicable modern award, or in the absence of renewal of a nominally expired agreement;</w:t>
      </w:r>
    </w:p>
    <w:p w:rsidR="00A73A3E" w:rsidRDefault="00A73A3E" w:rsidP="00A73A3E">
      <w:pPr>
        <w:pStyle w:val="ListParagraph"/>
        <w:numPr>
          <w:ilvl w:val="0"/>
          <w:numId w:val="23"/>
        </w:numPr>
        <w:rPr>
          <w:rFonts w:ascii="Arial" w:hAnsi="Arial" w:cs="Arial"/>
        </w:rPr>
      </w:pPr>
      <w:r>
        <w:rPr>
          <w:rFonts w:ascii="Arial" w:hAnsi="Arial" w:cs="Arial"/>
        </w:rPr>
        <w:t>The employer invests time and resources in arranging for, and facilitating, a consultation process for employees to be covered by the proposed agreement which complies with s</w:t>
      </w:r>
      <w:r w:rsidR="00A23E7D">
        <w:rPr>
          <w:rFonts w:ascii="Arial" w:hAnsi="Arial" w:cs="Arial"/>
        </w:rPr>
        <w:t>s</w:t>
      </w:r>
      <w:r>
        <w:rPr>
          <w:rFonts w:ascii="Arial" w:hAnsi="Arial" w:cs="Arial"/>
        </w:rPr>
        <w:t xml:space="preserve"> 180(5);</w:t>
      </w:r>
    </w:p>
    <w:p w:rsidR="00A73A3E" w:rsidRDefault="00A73A3E" w:rsidP="00A73A3E">
      <w:pPr>
        <w:pStyle w:val="ListParagraph"/>
        <w:numPr>
          <w:ilvl w:val="0"/>
          <w:numId w:val="23"/>
        </w:numPr>
        <w:rPr>
          <w:rFonts w:ascii="Arial" w:hAnsi="Arial" w:cs="Arial"/>
        </w:rPr>
      </w:pPr>
      <w:r>
        <w:rPr>
          <w:rFonts w:ascii="Arial" w:hAnsi="Arial" w:cs="Arial"/>
        </w:rPr>
        <w:t>The employer complies with its obligations in relation to circulation of the agreement and providing for the access period in accordance with s</w:t>
      </w:r>
      <w:r w:rsidR="00EC4C4D">
        <w:rPr>
          <w:rFonts w:ascii="Arial" w:hAnsi="Arial" w:cs="Arial"/>
        </w:rPr>
        <w:t>s</w:t>
      </w:r>
      <w:r>
        <w:rPr>
          <w:rFonts w:ascii="Arial" w:hAnsi="Arial" w:cs="Arial"/>
        </w:rPr>
        <w:t xml:space="preserve"> 180(2)-(3);</w:t>
      </w:r>
    </w:p>
    <w:p w:rsidR="00A73A3E" w:rsidRDefault="00A73A3E" w:rsidP="00A73A3E">
      <w:pPr>
        <w:pStyle w:val="ListParagraph"/>
        <w:numPr>
          <w:ilvl w:val="0"/>
          <w:numId w:val="23"/>
        </w:numPr>
        <w:rPr>
          <w:rFonts w:ascii="Arial" w:hAnsi="Arial" w:cs="Arial"/>
        </w:rPr>
      </w:pPr>
      <w:r>
        <w:rPr>
          <w:rFonts w:ascii="Arial" w:hAnsi="Arial" w:cs="Arial"/>
        </w:rPr>
        <w:t>The employer arranges and pays f</w:t>
      </w:r>
      <w:r w:rsidR="0003583C">
        <w:rPr>
          <w:rFonts w:ascii="Arial" w:hAnsi="Arial" w:cs="Arial"/>
        </w:rPr>
        <w:t xml:space="preserve">or an independent organisation </w:t>
      </w:r>
      <w:r>
        <w:rPr>
          <w:rFonts w:ascii="Arial" w:hAnsi="Arial" w:cs="Arial"/>
        </w:rPr>
        <w:t>to conduct an electronic or paper based ballot; and</w:t>
      </w:r>
    </w:p>
    <w:p w:rsidR="00A73A3E" w:rsidRDefault="00A73A3E" w:rsidP="00A73A3E">
      <w:pPr>
        <w:pStyle w:val="ListParagraph"/>
        <w:numPr>
          <w:ilvl w:val="0"/>
          <w:numId w:val="23"/>
        </w:numPr>
        <w:rPr>
          <w:rFonts w:ascii="Arial" w:hAnsi="Arial" w:cs="Arial"/>
        </w:rPr>
      </w:pPr>
      <w:r>
        <w:rPr>
          <w:rFonts w:ascii="Arial" w:hAnsi="Arial" w:cs="Arial"/>
        </w:rPr>
        <w:t xml:space="preserve">The employees to be covered </w:t>
      </w:r>
      <w:r w:rsidR="0006700C">
        <w:rPr>
          <w:rFonts w:ascii="Arial" w:hAnsi="Arial" w:cs="Arial"/>
        </w:rPr>
        <w:t>have taken time to p</w:t>
      </w:r>
      <w:r>
        <w:rPr>
          <w:rFonts w:ascii="Arial" w:hAnsi="Arial" w:cs="Arial"/>
        </w:rPr>
        <w:t>articipate in the ballot and approve the agreement by majority support.</w:t>
      </w:r>
    </w:p>
    <w:p w:rsidR="00A73A3E" w:rsidRPr="00376032" w:rsidRDefault="00A73A3E" w:rsidP="00A73A3E">
      <w:pPr>
        <w:rPr>
          <w:rFonts w:ascii="Arial" w:hAnsi="Arial" w:cs="Arial"/>
          <w:b/>
          <w:bCs/>
          <w:i/>
          <w:color w:val="C0504D"/>
          <w:sz w:val="24"/>
          <w:szCs w:val="24"/>
        </w:rPr>
      </w:pPr>
      <w:r w:rsidRPr="00376032">
        <w:rPr>
          <w:rFonts w:ascii="Arial" w:hAnsi="Arial" w:cs="Arial"/>
          <w:b/>
          <w:bCs/>
          <w:i/>
          <w:color w:val="C0504D"/>
          <w:sz w:val="24"/>
          <w:szCs w:val="24"/>
        </w:rPr>
        <w:t>FWC to exercise discretion on case-by-case basis</w:t>
      </w:r>
    </w:p>
    <w:p w:rsidR="00A73A3E" w:rsidRPr="00445F6D" w:rsidRDefault="00A73A3E" w:rsidP="00A73A3E">
      <w:pPr>
        <w:rPr>
          <w:rFonts w:ascii="Arial" w:hAnsi="Arial" w:cs="Arial"/>
        </w:rPr>
      </w:pPr>
      <w:r w:rsidRPr="00445F6D">
        <w:rPr>
          <w:rFonts w:ascii="Arial" w:hAnsi="Arial" w:cs="Arial"/>
        </w:rPr>
        <w:t xml:space="preserve">CCER </w:t>
      </w:r>
      <w:r w:rsidR="00843A4B">
        <w:rPr>
          <w:rFonts w:ascii="Arial" w:hAnsi="Arial" w:cs="Arial"/>
        </w:rPr>
        <w:t xml:space="preserve">believes </w:t>
      </w:r>
      <w:r w:rsidRPr="00445F6D">
        <w:rPr>
          <w:rFonts w:ascii="Arial" w:hAnsi="Arial" w:cs="Arial"/>
        </w:rPr>
        <w:t xml:space="preserve">that the legislation should </w:t>
      </w:r>
      <w:r w:rsidR="0006700C">
        <w:rPr>
          <w:rFonts w:ascii="Arial" w:hAnsi="Arial" w:cs="Arial"/>
        </w:rPr>
        <w:t>allow</w:t>
      </w:r>
      <w:r w:rsidRPr="00445F6D">
        <w:rPr>
          <w:rFonts w:ascii="Arial" w:hAnsi="Arial" w:cs="Arial"/>
        </w:rPr>
        <w:t xml:space="preserve"> the FWC to consider the merits of each case, and</w:t>
      </w:r>
      <w:r w:rsidR="00790C6B">
        <w:rPr>
          <w:rFonts w:ascii="Arial" w:hAnsi="Arial" w:cs="Arial"/>
        </w:rPr>
        <w:t>,</w:t>
      </w:r>
      <w:r w:rsidRPr="00445F6D">
        <w:rPr>
          <w:rFonts w:ascii="Arial" w:hAnsi="Arial" w:cs="Arial"/>
        </w:rPr>
        <w:t xml:space="preserve"> where the defect in question is a ‘</w:t>
      </w:r>
      <w:r w:rsidRPr="00B95EA3">
        <w:rPr>
          <w:rFonts w:ascii="Arial" w:hAnsi="Arial" w:cs="Arial"/>
          <w:i/>
        </w:rPr>
        <w:t>misnomer of no real consequence’</w:t>
      </w:r>
      <w:r w:rsidRPr="00445F6D">
        <w:rPr>
          <w:rFonts w:ascii="Arial" w:hAnsi="Arial" w:cs="Arial"/>
        </w:rPr>
        <w:t xml:space="preserve"> as described at [11] in </w:t>
      </w:r>
      <w:r w:rsidRPr="00B95EA3">
        <w:rPr>
          <w:rFonts w:ascii="Arial" w:hAnsi="Arial" w:cs="Arial"/>
          <w:i/>
        </w:rPr>
        <w:t>CCER</w:t>
      </w:r>
      <w:r w:rsidR="00790C6B">
        <w:rPr>
          <w:rFonts w:ascii="Arial" w:hAnsi="Arial" w:cs="Arial"/>
          <w:i/>
        </w:rPr>
        <w:t>,</w:t>
      </w:r>
      <w:r w:rsidR="00FB180A">
        <w:rPr>
          <w:rFonts w:ascii="Arial" w:hAnsi="Arial" w:cs="Arial"/>
        </w:rPr>
        <w:t xml:space="preserve"> waive the irregularity. </w:t>
      </w:r>
      <w:r w:rsidRPr="00445F6D">
        <w:rPr>
          <w:rFonts w:ascii="Arial" w:hAnsi="Arial" w:cs="Arial"/>
        </w:rPr>
        <w:t>Where a defect results in no real or likely adverse affect on any of the parties, and in no way can be said to materially influence or affect the outcome of the negotiations, an agreement should not be dismissed</w:t>
      </w:r>
      <w:r w:rsidR="00396EA1">
        <w:rPr>
          <w:rFonts w:ascii="Arial" w:hAnsi="Arial" w:cs="Arial"/>
        </w:rPr>
        <w:t>, forcing a new bargaining and voting regime which is onerous on employers, unions and employees.</w:t>
      </w:r>
      <w:r w:rsidRPr="00445F6D">
        <w:rPr>
          <w:rFonts w:ascii="Arial" w:hAnsi="Arial" w:cs="Arial"/>
        </w:rPr>
        <w:t xml:space="preserve">  </w:t>
      </w:r>
    </w:p>
    <w:p w:rsidR="00A73A3E" w:rsidRDefault="00A73A3E" w:rsidP="00A73A3E">
      <w:pPr>
        <w:rPr>
          <w:rFonts w:ascii="Arial" w:hAnsi="Arial" w:cs="Arial"/>
        </w:rPr>
      </w:pPr>
      <w:r w:rsidRPr="00445F6D">
        <w:rPr>
          <w:rFonts w:ascii="Arial" w:hAnsi="Arial" w:cs="Arial"/>
        </w:rPr>
        <w:t>Furthermore, an onerous compliance standard, easily breached, may offer a perverse incentive for employee bargaining representatives to agitate on a technicality for the dismissal of an agreement (despite the agreement being approved by the majority of employees to be covered).</w:t>
      </w:r>
    </w:p>
    <w:p w:rsidR="00A73A3E" w:rsidRPr="00847BF1" w:rsidRDefault="00A73A3E" w:rsidP="00A73A3E">
      <w:pPr>
        <w:rPr>
          <w:rFonts w:ascii="Arial" w:hAnsi="Arial" w:cs="Arial"/>
          <w:b/>
          <w:bCs/>
          <w:i/>
          <w:color w:val="C0504D"/>
          <w:sz w:val="24"/>
          <w:szCs w:val="24"/>
        </w:rPr>
      </w:pPr>
      <w:r w:rsidRPr="00847BF1">
        <w:rPr>
          <w:rFonts w:ascii="Arial" w:hAnsi="Arial" w:cs="Arial"/>
          <w:b/>
          <w:bCs/>
          <w:i/>
          <w:color w:val="C0504D"/>
          <w:sz w:val="24"/>
          <w:szCs w:val="24"/>
        </w:rPr>
        <w:t>Concerns from experience and case law</w:t>
      </w:r>
    </w:p>
    <w:p w:rsidR="00A73A3E" w:rsidRPr="009158E0" w:rsidRDefault="00A73A3E" w:rsidP="00A73A3E">
      <w:pPr>
        <w:rPr>
          <w:rFonts w:ascii="Arial" w:hAnsi="Arial" w:cs="Arial"/>
        </w:rPr>
      </w:pPr>
      <w:r w:rsidRPr="009158E0">
        <w:rPr>
          <w:rFonts w:ascii="Arial" w:hAnsi="Arial" w:cs="Arial"/>
        </w:rPr>
        <w:t xml:space="preserve">In the </w:t>
      </w:r>
      <w:r w:rsidRPr="00B95EA3">
        <w:rPr>
          <w:rFonts w:ascii="Arial" w:hAnsi="Arial" w:cs="Arial"/>
          <w:i/>
        </w:rPr>
        <w:t>Peabody</w:t>
      </w:r>
      <w:r w:rsidRPr="009158E0">
        <w:rPr>
          <w:rFonts w:ascii="Arial" w:hAnsi="Arial" w:cs="Arial"/>
        </w:rPr>
        <w:t xml:space="preserve"> case, the Full Bench determined that an otherwise compliant NoERR was invalid because two further documents (</w:t>
      </w:r>
      <w:r w:rsidR="00D2111C">
        <w:rPr>
          <w:rFonts w:ascii="Arial" w:hAnsi="Arial" w:cs="Arial"/>
        </w:rPr>
        <w:t>those being</w:t>
      </w:r>
      <w:r w:rsidRPr="009158E0">
        <w:rPr>
          <w:rFonts w:ascii="Arial" w:hAnsi="Arial" w:cs="Arial"/>
        </w:rPr>
        <w:t xml:space="preserve"> bargaining representative nomination slips) were attached to the NoERR by a staple when the NoERR was issued to staff. While </w:t>
      </w:r>
      <w:r w:rsidRPr="009158E0">
        <w:rPr>
          <w:rFonts w:ascii="Arial" w:hAnsi="Arial" w:cs="Arial"/>
        </w:rPr>
        <w:lastRenderedPageBreak/>
        <w:t>the Full Bench confirmed at [84] that s</w:t>
      </w:r>
      <w:r w:rsidR="00EC4C4D">
        <w:rPr>
          <w:rFonts w:ascii="Arial" w:hAnsi="Arial" w:cs="Arial"/>
        </w:rPr>
        <w:t>s</w:t>
      </w:r>
      <w:r w:rsidR="00790ACF">
        <w:rPr>
          <w:rFonts w:ascii="Arial" w:hAnsi="Arial" w:cs="Arial"/>
        </w:rPr>
        <w:t xml:space="preserve"> 174(1A)</w:t>
      </w:r>
      <w:r w:rsidRPr="009158E0">
        <w:rPr>
          <w:rFonts w:ascii="Arial" w:hAnsi="Arial" w:cs="Arial"/>
        </w:rPr>
        <w:t xml:space="preserve"> ‘</w:t>
      </w:r>
      <w:r w:rsidR="00790ACF">
        <w:rPr>
          <w:rFonts w:ascii="Arial" w:hAnsi="Arial" w:cs="Arial"/>
          <w:i/>
        </w:rPr>
        <w:t xml:space="preserve">is </w:t>
      </w:r>
      <w:r w:rsidRPr="000B5049">
        <w:rPr>
          <w:rFonts w:ascii="Arial" w:hAnsi="Arial" w:cs="Arial"/>
          <w:i/>
        </w:rPr>
        <w:t xml:space="preserve">not </w:t>
      </w:r>
      <w:r w:rsidR="00790ACF">
        <w:rPr>
          <w:rFonts w:ascii="Arial" w:hAnsi="Arial" w:cs="Arial"/>
          <w:i/>
        </w:rPr>
        <w:t xml:space="preserve">to </w:t>
      </w:r>
      <w:r w:rsidRPr="000B5049">
        <w:rPr>
          <w:rFonts w:ascii="Arial" w:hAnsi="Arial" w:cs="Arial"/>
          <w:i/>
        </w:rPr>
        <w:t>be construed so as to preclude an employer from providing additional material to its employees at the same time as the Notice is given to them</w:t>
      </w:r>
      <w:r w:rsidRPr="009158E0">
        <w:rPr>
          <w:rFonts w:ascii="Arial" w:hAnsi="Arial" w:cs="Arial"/>
        </w:rPr>
        <w:t>’, in this case the deciding factor was that the other documents formed part of the NoERR because they were joined by a staple</w:t>
      </w:r>
      <w:r w:rsidR="00790ACF">
        <w:rPr>
          <w:rFonts w:ascii="Arial" w:hAnsi="Arial" w:cs="Arial"/>
        </w:rPr>
        <w:t xml:space="preserve"> and because the employer disclosed them in the Form F17 Statutory Declaration and referred to them within this application collectively as the notice</w:t>
      </w:r>
      <w:r w:rsidR="006D3596">
        <w:rPr>
          <w:rStyle w:val="FootnoteReference"/>
          <w:rFonts w:ascii="Arial" w:hAnsi="Arial" w:cs="Arial"/>
        </w:rPr>
        <w:footnoteReference w:id="39"/>
      </w:r>
      <w:r w:rsidRPr="009158E0">
        <w:rPr>
          <w:rFonts w:ascii="Arial" w:hAnsi="Arial" w:cs="Arial"/>
        </w:rPr>
        <w:t xml:space="preserve">. As a consequence, the NoERR contained other content, and </w:t>
      </w:r>
      <w:r w:rsidR="00B61807">
        <w:rPr>
          <w:rFonts w:ascii="Arial" w:hAnsi="Arial" w:cs="Arial"/>
        </w:rPr>
        <w:t xml:space="preserve">it was for that </w:t>
      </w:r>
      <w:r w:rsidRPr="009158E0">
        <w:rPr>
          <w:rFonts w:ascii="Arial" w:hAnsi="Arial" w:cs="Arial"/>
        </w:rPr>
        <w:t xml:space="preserve">reason (not because of the substance of the additional content) </w:t>
      </w:r>
      <w:r w:rsidR="00B61807">
        <w:rPr>
          <w:rFonts w:ascii="Arial" w:hAnsi="Arial" w:cs="Arial"/>
        </w:rPr>
        <w:t xml:space="preserve">it </w:t>
      </w:r>
      <w:r w:rsidRPr="009158E0">
        <w:rPr>
          <w:rFonts w:ascii="Arial" w:hAnsi="Arial" w:cs="Arial"/>
        </w:rPr>
        <w:t>was held to be invalid:</w:t>
      </w:r>
    </w:p>
    <w:p w:rsidR="00A73A3E" w:rsidRDefault="00A73A3E" w:rsidP="00A73A3E">
      <w:pPr>
        <w:pStyle w:val="NormalWeb"/>
        <w:ind w:left="720"/>
        <w:rPr>
          <w:rFonts w:ascii="Arial" w:hAnsi="Arial" w:cs="Arial"/>
          <w:i/>
          <w:sz w:val="20"/>
          <w:szCs w:val="20"/>
        </w:rPr>
      </w:pPr>
      <w:r w:rsidRPr="002A0762">
        <w:rPr>
          <w:rFonts w:ascii="Arial" w:hAnsi="Arial" w:cs="Arial"/>
          <w:i/>
          <w:sz w:val="20"/>
          <w:szCs w:val="20"/>
        </w:rPr>
        <w:t>As the Notice includes ‘other content’ it does not comply with s.174(1A) and hence is invalid. The Notice did not appear to comply with the prescribed Notice in a number of other respects, however given our conclusion above it is unnecessary for us to deal with those matters.</w:t>
      </w:r>
      <w:r w:rsidR="00EF0E01">
        <w:rPr>
          <w:rStyle w:val="FootnoteReference"/>
          <w:rFonts w:ascii="Arial" w:hAnsi="Arial" w:cs="Arial"/>
          <w:i/>
          <w:sz w:val="20"/>
          <w:szCs w:val="20"/>
        </w:rPr>
        <w:footnoteReference w:id="40"/>
      </w:r>
    </w:p>
    <w:p w:rsidR="00A73A3E" w:rsidRDefault="00A73A3E" w:rsidP="00A73A3E">
      <w:pPr>
        <w:rPr>
          <w:rFonts w:ascii="Arial" w:hAnsi="Arial" w:cs="Arial"/>
        </w:rPr>
      </w:pPr>
      <w:r w:rsidRPr="009158E0">
        <w:rPr>
          <w:rFonts w:ascii="Arial" w:hAnsi="Arial" w:cs="Arial"/>
        </w:rPr>
        <w:t xml:space="preserve">In </w:t>
      </w:r>
      <w:r w:rsidRPr="00EF5668">
        <w:rPr>
          <w:rFonts w:ascii="Arial" w:hAnsi="Arial" w:cs="Arial"/>
          <w:i/>
        </w:rPr>
        <w:t>CCER</w:t>
      </w:r>
      <w:r>
        <w:rPr>
          <w:rFonts w:ascii="Arial" w:hAnsi="Arial" w:cs="Arial"/>
        </w:rPr>
        <w:t xml:space="preserve">, cited above, the application for approval of an agreement to cover teachers in </w:t>
      </w:r>
      <w:r w:rsidR="0047437C">
        <w:rPr>
          <w:rFonts w:ascii="Arial" w:hAnsi="Arial" w:cs="Arial"/>
        </w:rPr>
        <w:t xml:space="preserve">12 </w:t>
      </w:r>
      <w:r>
        <w:rPr>
          <w:rFonts w:ascii="Arial" w:hAnsi="Arial" w:cs="Arial"/>
        </w:rPr>
        <w:t xml:space="preserve">Catholic independent schools, </w:t>
      </w:r>
      <w:r w:rsidR="003E55F5">
        <w:rPr>
          <w:rFonts w:ascii="Arial" w:hAnsi="Arial" w:cs="Arial"/>
        </w:rPr>
        <w:t xml:space="preserve">which was supported by employees and their </w:t>
      </w:r>
      <w:r>
        <w:rPr>
          <w:rFonts w:ascii="Arial" w:hAnsi="Arial" w:cs="Arial"/>
        </w:rPr>
        <w:t>representative</w:t>
      </w:r>
      <w:r w:rsidR="003E55F5">
        <w:rPr>
          <w:rFonts w:ascii="Arial" w:hAnsi="Arial" w:cs="Arial"/>
        </w:rPr>
        <w:t xml:space="preserve">s, </w:t>
      </w:r>
      <w:r>
        <w:rPr>
          <w:rFonts w:ascii="Arial" w:hAnsi="Arial" w:cs="Arial"/>
        </w:rPr>
        <w:t>was dismissed because a single NoERR at one school:</w:t>
      </w:r>
    </w:p>
    <w:p w:rsidR="00A73A3E" w:rsidRDefault="00A73A3E" w:rsidP="00A73A3E">
      <w:pPr>
        <w:pStyle w:val="NormalWeb"/>
        <w:ind w:left="720"/>
        <w:rPr>
          <w:rFonts w:ascii="Arial" w:hAnsi="Arial" w:cs="Arial"/>
          <w:sz w:val="20"/>
          <w:szCs w:val="20"/>
        </w:rPr>
      </w:pPr>
      <w:r w:rsidRPr="003646F6">
        <w:rPr>
          <w:rFonts w:ascii="Arial" w:hAnsi="Arial" w:cs="Arial"/>
          <w:i/>
          <w:sz w:val="20"/>
          <w:szCs w:val="20"/>
        </w:rPr>
        <w:t>inadvertently did not include the name of the employer - with the result the notice issued by that particular school read “</w:t>
      </w:r>
      <w:r w:rsidRPr="003646F6">
        <w:rPr>
          <w:rFonts w:ascii="Arial" w:hAnsi="Arial" w:cs="Arial"/>
          <w:i/>
          <w:iCs/>
          <w:sz w:val="20"/>
          <w:szCs w:val="20"/>
        </w:rPr>
        <w:t>[Name of employer]</w:t>
      </w:r>
      <w:r w:rsidRPr="003646F6">
        <w:rPr>
          <w:rFonts w:ascii="Arial" w:hAnsi="Arial" w:cs="Arial"/>
          <w:i/>
          <w:sz w:val="20"/>
          <w:szCs w:val="20"/>
        </w:rPr>
        <w:t>” instead of inserting the name of the particular employer, albeit the notice was issued letterhead paper that named the school</w:t>
      </w:r>
      <w:r w:rsidRPr="003646F6">
        <w:rPr>
          <w:rFonts w:ascii="Arial" w:hAnsi="Arial" w:cs="Arial"/>
          <w:sz w:val="20"/>
          <w:szCs w:val="20"/>
        </w:rPr>
        <w:t>: at [13]</w:t>
      </w:r>
    </w:p>
    <w:p w:rsidR="00A73A3E" w:rsidRDefault="00A73A3E" w:rsidP="00A73A3E">
      <w:pPr>
        <w:pStyle w:val="NormalWeb"/>
        <w:ind w:left="720"/>
        <w:rPr>
          <w:rFonts w:ascii="Arial" w:hAnsi="Arial" w:cs="Arial"/>
          <w:sz w:val="20"/>
          <w:szCs w:val="20"/>
        </w:rPr>
      </w:pPr>
      <w:r w:rsidRPr="003646F6">
        <w:rPr>
          <w:rFonts w:ascii="Arial" w:hAnsi="Arial" w:cs="Arial"/>
          <w:sz w:val="20"/>
          <w:szCs w:val="20"/>
        </w:rPr>
        <w:t>.</w:t>
      </w:r>
      <w:r>
        <w:rPr>
          <w:rFonts w:ascii="Arial" w:hAnsi="Arial" w:cs="Arial"/>
          <w:sz w:val="20"/>
          <w:szCs w:val="20"/>
        </w:rPr>
        <w:t>..</w:t>
      </w:r>
    </w:p>
    <w:p w:rsidR="00A73A3E" w:rsidRDefault="00A73A3E" w:rsidP="00A73A3E">
      <w:pPr>
        <w:pStyle w:val="NormalWeb"/>
        <w:ind w:left="720"/>
        <w:rPr>
          <w:rFonts w:ascii="Arial" w:hAnsi="Arial" w:cs="Arial"/>
          <w:i/>
          <w:sz w:val="20"/>
          <w:szCs w:val="20"/>
        </w:rPr>
      </w:pPr>
      <w:r w:rsidRPr="003646F6">
        <w:rPr>
          <w:rFonts w:ascii="Arial" w:hAnsi="Arial" w:cs="Arial"/>
          <w:b/>
          <w:bCs/>
          <w:i/>
          <w:sz w:val="20"/>
          <w:szCs w:val="20"/>
        </w:rPr>
        <w:t xml:space="preserve">[14] </w:t>
      </w:r>
      <w:r w:rsidRPr="003646F6">
        <w:rPr>
          <w:rFonts w:ascii="Arial" w:hAnsi="Arial" w:cs="Arial"/>
          <w:i/>
          <w:sz w:val="20"/>
          <w:szCs w:val="20"/>
        </w:rPr>
        <w:t>The defect in this notice is seemingly minor in circumstances where, I accept, it would have been reasonably plain from the letterhead paper as to which school was giving notice. Nonetheless, the notice of representational rights issued to the employees of this particular school did not conform to the prescribed form in that it did not include the name of the employer.</w:t>
      </w:r>
    </w:p>
    <w:p w:rsidR="00A73A3E" w:rsidRDefault="00A73A3E" w:rsidP="00A73A3E">
      <w:pPr>
        <w:rPr>
          <w:rFonts w:ascii="Arial" w:hAnsi="Arial" w:cs="Arial"/>
        </w:rPr>
      </w:pPr>
      <w:r w:rsidRPr="008C7352">
        <w:rPr>
          <w:rFonts w:ascii="Arial" w:hAnsi="Arial" w:cs="Arial"/>
        </w:rPr>
        <w:t xml:space="preserve">In </w:t>
      </w:r>
      <w:r w:rsidRPr="008C2600">
        <w:rPr>
          <w:rFonts w:ascii="Arial" w:hAnsi="Arial" w:cs="Arial"/>
          <w:i/>
        </w:rPr>
        <w:t>New Town Toyota Pty Ltd</w:t>
      </w:r>
      <w:r w:rsidR="00ED4BA9">
        <w:rPr>
          <w:rStyle w:val="FootnoteReference"/>
          <w:rFonts w:ascii="Arial" w:hAnsi="Arial" w:cs="Arial"/>
          <w:i/>
        </w:rPr>
        <w:footnoteReference w:id="41"/>
      </w:r>
      <w:r w:rsidRPr="008C7352">
        <w:rPr>
          <w:rFonts w:ascii="Arial" w:hAnsi="Arial" w:cs="Arial"/>
        </w:rPr>
        <w:t xml:space="preserve">, despite what was said </w:t>
      </w:r>
      <w:r>
        <w:rPr>
          <w:rFonts w:ascii="Arial" w:hAnsi="Arial" w:cs="Arial"/>
        </w:rPr>
        <w:t xml:space="preserve">at paragraph [84] of </w:t>
      </w:r>
      <w:r w:rsidRPr="00821D01">
        <w:rPr>
          <w:rFonts w:ascii="Arial" w:hAnsi="Arial" w:cs="Arial"/>
          <w:i/>
        </w:rPr>
        <w:t>Peabody</w:t>
      </w:r>
      <w:r w:rsidRPr="008C7352">
        <w:rPr>
          <w:rFonts w:ascii="Arial" w:hAnsi="Arial" w:cs="Arial"/>
        </w:rPr>
        <w:t xml:space="preserve"> that additional material given at the same time of the NoERR should not be construed as forming part of the NoERR, an accompanying letter was found to form part of the NoERR, and on this basis the application was dismissed. It appears from the reasoning</w:t>
      </w:r>
      <w:r>
        <w:rPr>
          <w:rFonts w:ascii="Arial" w:hAnsi="Arial" w:cs="Arial"/>
        </w:rPr>
        <w:t xml:space="preserve"> in paragraph [13] that the accompanying letter was said to form part of the NoERR because it was disclosed in the employer’s F17 statutory declaration at the time approval was sought:</w:t>
      </w:r>
    </w:p>
    <w:p w:rsidR="00A73A3E" w:rsidRPr="008006EF" w:rsidRDefault="00A73A3E" w:rsidP="00A73A3E">
      <w:pPr>
        <w:pStyle w:val="NormalWeb"/>
        <w:ind w:left="720"/>
        <w:rPr>
          <w:rFonts w:ascii="Arial" w:hAnsi="Arial" w:cs="Arial"/>
          <w:i/>
          <w:sz w:val="20"/>
          <w:szCs w:val="20"/>
        </w:rPr>
      </w:pPr>
      <w:r w:rsidRPr="00603278">
        <w:rPr>
          <w:rFonts w:ascii="Arial" w:hAnsi="Arial" w:cs="Arial"/>
          <w:bCs/>
          <w:i/>
          <w:sz w:val="20"/>
          <w:szCs w:val="20"/>
        </w:rPr>
        <w:t>W</w:t>
      </w:r>
      <w:r w:rsidRPr="008006EF">
        <w:rPr>
          <w:rFonts w:ascii="Arial" w:hAnsi="Arial" w:cs="Arial"/>
          <w:bCs/>
          <w:i/>
          <w:sz w:val="20"/>
          <w:szCs w:val="20"/>
        </w:rPr>
        <w:t>hat was the Notice?</w:t>
      </w:r>
    </w:p>
    <w:p w:rsidR="00A73A3E" w:rsidRPr="00022783" w:rsidRDefault="00A73A3E" w:rsidP="00A73A3E">
      <w:pPr>
        <w:pStyle w:val="NormalWeb"/>
        <w:ind w:left="720"/>
        <w:rPr>
          <w:rFonts w:ascii="Arial" w:hAnsi="Arial" w:cs="Arial"/>
          <w:i/>
          <w:sz w:val="20"/>
          <w:szCs w:val="20"/>
        </w:rPr>
      </w:pPr>
      <w:r w:rsidRPr="00022783">
        <w:rPr>
          <w:rFonts w:ascii="Arial" w:hAnsi="Arial" w:cs="Arial"/>
          <w:b/>
          <w:bCs/>
          <w:i/>
          <w:sz w:val="20"/>
          <w:szCs w:val="20"/>
        </w:rPr>
        <w:t xml:space="preserve">[13] </w:t>
      </w:r>
      <w:r w:rsidRPr="00022783">
        <w:rPr>
          <w:rFonts w:ascii="Arial" w:hAnsi="Arial" w:cs="Arial"/>
          <w:i/>
          <w:sz w:val="20"/>
          <w:szCs w:val="20"/>
        </w:rPr>
        <w:t xml:space="preserve">Both the letter and notice were given to employees at the same time. The content of the letter and the notice were intended to inform employees of their right to appoint a bargaining representative. The Notice was required to be attached to the employer’s statutory declaration and in this case both the letter and the notice were attached. I find on the material before me that the combined documents were the Notice and consistent with the decision in </w:t>
      </w:r>
      <w:r w:rsidRPr="00022783">
        <w:rPr>
          <w:rFonts w:ascii="Arial" w:hAnsi="Arial" w:cs="Arial"/>
          <w:i/>
          <w:iCs/>
          <w:sz w:val="20"/>
          <w:szCs w:val="20"/>
        </w:rPr>
        <w:t>Peabody</w:t>
      </w:r>
      <w:r w:rsidRPr="00022783">
        <w:rPr>
          <w:rFonts w:ascii="Arial" w:hAnsi="Arial" w:cs="Arial"/>
          <w:i/>
          <w:sz w:val="20"/>
          <w:szCs w:val="20"/>
        </w:rPr>
        <w:t xml:space="preserve"> because the Notice contains additional information</w:t>
      </w:r>
      <w:r w:rsidRPr="00022783">
        <w:rPr>
          <w:rFonts w:ascii="Arial" w:hAnsi="Arial" w:cs="Arial"/>
          <w:i/>
          <w:iCs/>
          <w:sz w:val="20"/>
          <w:szCs w:val="20"/>
        </w:rPr>
        <w:t xml:space="preserve"> </w:t>
      </w:r>
      <w:r w:rsidRPr="00022783">
        <w:rPr>
          <w:rFonts w:ascii="Arial" w:hAnsi="Arial" w:cs="Arial"/>
          <w:i/>
          <w:sz w:val="20"/>
          <w:szCs w:val="20"/>
        </w:rPr>
        <w:t>the Notice is invalid and therefore the Agreement cannot be approved.</w:t>
      </w:r>
    </w:p>
    <w:p w:rsidR="00A73A3E" w:rsidRPr="00786B2C" w:rsidRDefault="00A73A3E" w:rsidP="00A73A3E">
      <w:pPr>
        <w:rPr>
          <w:rFonts w:ascii="Arial" w:hAnsi="Arial" w:cs="Arial"/>
        </w:rPr>
      </w:pPr>
      <w:r w:rsidRPr="00786B2C">
        <w:rPr>
          <w:rFonts w:ascii="Arial" w:hAnsi="Arial" w:cs="Arial"/>
        </w:rPr>
        <w:t xml:space="preserve">In </w:t>
      </w:r>
      <w:r w:rsidRPr="00786B2C">
        <w:rPr>
          <w:rFonts w:ascii="Arial" w:hAnsi="Arial" w:cs="Arial"/>
          <w:i/>
        </w:rPr>
        <w:t>Diamond Dell Pty Ltd ATF the</w:t>
      </w:r>
      <w:r w:rsidRPr="00786B2C">
        <w:rPr>
          <w:rFonts w:ascii="Arial" w:hAnsi="Arial" w:cs="Arial"/>
        </w:rPr>
        <w:t xml:space="preserve"> </w:t>
      </w:r>
      <w:r w:rsidRPr="00786B2C">
        <w:rPr>
          <w:rFonts w:ascii="Arial" w:hAnsi="Arial" w:cs="Arial"/>
          <w:i/>
        </w:rPr>
        <w:t>Kez’s Kitchen Trust</w:t>
      </w:r>
      <w:r w:rsidR="000F1058">
        <w:rPr>
          <w:rStyle w:val="FootnoteReference"/>
          <w:rFonts w:ascii="Arial" w:hAnsi="Arial" w:cs="Arial"/>
          <w:i/>
        </w:rPr>
        <w:footnoteReference w:id="42"/>
      </w:r>
      <w:r w:rsidRPr="00786B2C">
        <w:rPr>
          <w:rFonts w:ascii="Arial" w:hAnsi="Arial" w:cs="Arial"/>
        </w:rPr>
        <w:t>, an otherwise compliant NoERR was held to be invalid, because the employer inserted additional material</w:t>
      </w:r>
      <w:r w:rsidR="0047437C">
        <w:rPr>
          <w:rFonts w:ascii="Arial" w:hAnsi="Arial" w:cs="Arial"/>
        </w:rPr>
        <w:t xml:space="preserve"> (copied in the extract </w:t>
      </w:r>
      <w:r w:rsidR="0047437C">
        <w:rPr>
          <w:rFonts w:ascii="Arial" w:hAnsi="Arial" w:cs="Arial"/>
        </w:rPr>
        <w:lastRenderedPageBreak/>
        <w:t>below) which appeared</w:t>
      </w:r>
      <w:r w:rsidRPr="00786B2C">
        <w:rPr>
          <w:rFonts w:ascii="Arial" w:hAnsi="Arial" w:cs="Arial"/>
        </w:rPr>
        <w:t xml:space="preserve"> to be done in good faith and for the purpose of providing additional information of an administrative nature only. It appears innocuous and in no way capable of misleading the employees to be covered by the proposed</w:t>
      </w:r>
      <w:r w:rsidR="00D448EB">
        <w:rPr>
          <w:rFonts w:ascii="Arial" w:hAnsi="Arial" w:cs="Arial"/>
        </w:rPr>
        <w:t xml:space="preserve"> agreement</w:t>
      </w:r>
      <w:r w:rsidRPr="00786B2C">
        <w:rPr>
          <w:rFonts w:ascii="Arial" w:hAnsi="Arial" w:cs="Arial"/>
        </w:rPr>
        <w:t xml:space="preserve">. Notwithstanding this, because of the </w:t>
      </w:r>
      <w:r w:rsidR="00A4479A">
        <w:rPr>
          <w:rFonts w:ascii="Arial" w:hAnsi="Arial" w:cs="Arial"/>
        </w:rPr>
        <w:t xml:space="preserve">text below </w:t>
      </w:r>
      <w:r w:rsidRPr="00786B2C">
        <w:rPr>
          <w:rFonts w:ascii="Arial" w:hAnsi="Arial" w:cs="Arial"/>
        </w:rPr>
        <w:t>the application for approval of the agreement was dismissed:</w:t>
      </w:r>
    </w:p>
    <w:p w:rsidR="00A73A3E" w:rsidRPr="00A2668D" w:rsidRDefault="00A73A3E" w:rsidP="00A73A3E">
      <w:pPr>
        <w:pStyle w:val="NormalWeb"/>
        <w:ind w:left="1440"/>
        <w:rPr>
          <w:rFonts w:ascii="Arial" w:hAnsi="Arial" w:cs="Arial"/>
          <w:i/>
          <w:sz w:val="20"/>
          <w:szCs w:val="20"/>
        </w:rPr>
      </w:pPr>
      <w:r w:rsidRPr="00A2668D">
        <w:rPr>
          <w:rFonts w:ascii="Arial" w:hAnsi="Arial" w:cs="Arial"/>
          <w:i/>
          <w:sz w:val="20"/>
          <w:szCs w:val="20"/>
        </w:rPr>
        <w:t xml:space="preserve">“I am writing to inform you that Kez’s Kitchen seeks to enter into discussions to make a new enterprise agreement with our staff. This is because the current enterprise agreement, </w:t>
      </w:r>
      <w:r w:rsidRPr="00A2668D">
        <w:rPr>
          <w:rFonts w:ascii="Arial" w:hAnsi="Arial" w:cs="Arial"/>
          <w:i/>
          <w:iCs/>
          <w:sz w:val="20"/>
          <w:szCs w:val="20"/>
        </w:rPr>
        <w:t>Kez’s Kitchen &amp; National Union of Workers Enterprise Agreement 2011</w:t>
      </w:r>
      <w:r w:rsidRPr="00A2668D">
        <w:rPr>
          <w:rFonts w:ascii="Arial" w:hAnsi="Arial" w:cs="Arial"/>
          <w:i/>
          <w:sz w:val="20"/>
          <w:szCs w:val="20"/>
        </w:rPr>
        <w:t>, will expire on 1 July 2014. We have contacted Dominic Melling of the NUW to advise him of our intention to negotiate a new enterprise agreement.</w:t>
      </w:r>
    </w:p>
    <w:p w:rsidR="00A73A3E" w:rsidRPr="00A2668D" w:rsidRDefault="00A73A3E" w:rsidP="00A73A3E">
      <w:pPr>
        <w:pStyle w:val="NormalWeb"/>
        <w:ind w:left="1440"/>
        <w:rPr>
          <w:rFonts w:ascii="Arial" w:hAnsi="Arial" w:cs="Arial"/>
          <w:i/>
          <w:sz w:val="20"/>
          <w:szCs w:val="20"/>
        </w:rPr>
      </w:pPr>
      <w:r w:rsidRPr="00A2668D">
        <w:rPr>
          <w:rFonts w:ascii="Arial" w:hAnsi="Arial" w:cs="Arial"/>
          <w:i/>
          <w:sz w:val="20"/>
          <w:szCs w:val="20"/>
        </w:rPr>
        <w:t xml:space="preserve">It is a legal requirement that the company provides you with written notice about your rights in the making of </w:t>
      </w:r>
      <w:r w:rsidRPr="00AA3F0A">
        <w:rPr>
          <w:rFonts w:ascii="Arial" w:hAnsi="Arial" w:cs="Arial"/>
          <w:i/>
          <w:color w:val="000000"/>
          <w:sz w:val="20"/>
          <w:szCs w:val="20"/>
        </w:rPr>
        <w:t>an enterprise agreement (</w:t>
      </w:r>
      <w:hyperlink r:id="rId11" w:history="1">
        <w:r w:rsidRPr="00AA3F0A">
          <w:rPr>
            <w:rStyle w:val="Hyperlink"/>
            <w:rFonts w:ascii="Arial" w:hAnsi="Arial" w:cs="Arial"/>
            <w:i/>
            <w:iCs/>
            <w:color w:val="000000"/>
            <w:sz w:val="20"/>
            <w:szCs w:val="20"/>
          </w:rPr>
          <w:t>Fair Work Act 2009</w:t>
        </w:r>
      </w:hyperlink>
      <w:r w:rsidRPr="00AA3F0A">
        <w:rPr>
          <w:rFonts w:ascii="Arial" w:hAnsi="Arial" w:cs="Arial"/>
          <w:i/>
          <w:color w:val="000000"/>
          <w:sz w:val="20"/>
          <w:szCs w:val="20"/>
        </w:rPr>
        <w:t xml:space="preserve">, </w:t>
      </w:r>
      <w:hyperlink r:id="rId12" w:history="1">
        <w:r w:rsidRPr="00AA3F0A">
          <w:rPr>
            <w:rStyle w:val="Hyperlink"/>
            <w:rFonts w:ascii="Arial" w:hAnsi="Arial" w:cs="Arial"/>
            <w:i/>
            <w:color w:val="000000"/>
            <w:sz w:val="20"/>
            <w:szCs w:val="20"/>
          </w:rPr>
          <w:t>subsection 174</w:t>
        </w:r>
      </w:hyperlink>
      <w:r w:rsidRPr="00AA3F0A">
        <w:rPr>
          <w:rFonts w:ascii="Arial" w:hAnsi="Arial" w:cs="Arial"/>
          <w:i/>
          <w:color w:val="000000"/>
          <w:sz w:val="20"/>
          <w:szCs w:val="20"/>
        </w:rPr>
        <w:t xml:space="preserve"> (6)). These are outlined in this letter.</w:t>
      </w:r>
    </w:p>
    <w:p w:rsidR="00A73A3E" w:rsidRPr="00A2668D" w:rsidRDefault="00A73A3E" w:rsidP="00A73A3E">
      <w:pPr>
        <w:pStyle w:val="NormalWeb"/>
        <w:ind w:left="720" w:firstLine="720"/>
        <w:rPr>
          <w:rFonts w:ascii="Arial" w:hAnsi="Arial" w:cs="Arial"/>
          <w:i/>
          <w:sz w:val="20"/>
          <w:szCs w:val="20"/>
        </w:rPr>
      </w:pPr>
      <w:r w:rsidRPr="00A2668D">
        <w:rPr>
          <w:rFonts w:ascii="Arial" w:hAnsi="Arial" w:cs="Arial"/>
          <w:i/>
          <w:sz w:val="20"/>
          <w:szCs w:val="20"/>
        </w:rPr>
        <w:t>...</w:t>
      </w:r>
    </w:p>
    <w:p w:rsidR="00A73A3E" w:rsidRPr="00A2668D" w:rsidRDefault="00A73A3E" w:rsidP="00A73A3E">
      <w:pPr>
        <w:pStyle w:val="NormalWeb"/>
        <w:ind w:firstLine="720"/>
        <w:rPr>
          <w:rFonts w:ascii="Arial" w:hAnsi="Arial" w:cs="Arial"/>
          <w:i/>
          <w:sz w:val="20"/>
          <w:szCs w:val="20"/>
        </w:rPr>
      </w:pPr>
      <w:r w:rsidRPr="00A2668D">
        <w:rPr>
          <w:rFonts w:ascii="Arial" w:hAnsi="Arial" w:cs="Arial"/>
          <w:b/>
          <w:bCs/>
          <w:i/>
          <w:sz w:val="20"/>
          <w:szCs w:val="20"/>
        </w:rPr>
        <w:t>What happens if the new Agreement isn’t made?</w:t>
      </w:r>
    </w:p>
    <w:p w:rsidR="00A73A3E" w:rsidRDefault="00A73A3E" w:rsidP="00A73A3E">
      <w:pPr>
        <w:pStyle w:val="NormalWeb"/>
        <w:ind w:left="1440"/>
        <w:rPr>
          <w:rFonts w:ascii="Arial" w:hAnsi="Arial" w:cs="Arial"/>
          <w:i/>
          <w:sz w:val="20"/>
          <w:szCs w:val="20"/>
        </w:rPr>
      </w:pPr>
      <w:r w:rsidRPr="00A2668D">
        <w:rPr>
          <w:rFonts w:ascii="Arial" w:hAnsi="Arial" w:cs="Arial"/>
          <w:i/>
          <w:sz w:val="20"/>
          <w:szCs w:val="20"/>
        </w:rPr>
        <w:t xml:space="preserve">The terms and conditions of the </w:t>
      </w:r>
      <w:r w:rsidRPr="00A2668D">
        <w:rPr>
          <w:rFonts w:ascii="Arial" w:hAnsi="Arial" w:cs="Arial"/>
          <w:i/>
          <w:iCs/>
          <w:sz w:val="20"/>
          <w:szCs w:val="20"/>
        </w:rPr>
        <w:t xml:space="preserve">Kez’s Kitchen and National Union of Workers Enterprise Agreement 2011 </w:t>
      </w:r>
      <w:r w:rsidRPr="00A2668D">
        <w:rPr>
          <w:rFonts w:ascii="Arial" w:hAnsi="Arial" w:cs="Arial"/>
          <w:i/>
          <w:sz w:val="20"/>
          <w:szCs w:val="20"/>
        </w:rPr>
        <w:t>will continue to apply and no employee shall suffer any reduction in their terms of employment.”</w:t>
      </w:r>
      <w:r w:rsidR="000F1058">
        <w:rPr>
          <w:rStyle w:val="FootnoteReference"/>
          <w:rFonts w:ascii="Arial" w:hAnsi="Arial" w:cs="Arial"/>
          <w:i/>
          <w:sz w:val="20"/>
          <w:szCs w:val="20"/>
        </w:rPr>
        <w:footnoteReference w:id="43"/>
      </w:r>
    </w:p>
    <w:p w:rsidR="00DD41ED" w:rsidRPr="00847BF1" w:rsidRDefault="00DD41ED" w:rsidP="00A73A3E">
      <w:pPr>
        <w:rPr>
          <w:rFonts w:ascii="Arial" w:hAnsi="Arial" w:cs="Arial"/>
          <w:b/>
          <w:bCs/>
          <w:i/>
          <w:color w:val="C0504D"/>
          <w:sz w:val="24"/>
          <w:szCs w:val="24"/>
        </w:rPr>
      </w:pPr>
      <w:r w:rsidRPr="00847BF1">
        <w:rPr>
          <w:rFonts w:ascii="Arial" w:hAnsi="Arial" w:cs="Arial"/>
          <w:b/>
          <w:bCs/>
          <w:i/>
          <w:color w:val="C0504D"/>
          <w:sz w:val="24"/>
          <w:szCs w:val="24"/>
        </w:rPr>
        <w:t>P</w:t>
      </w:r>
      <w:r w:rsidR="00266D1B" w:rsidRPr="00847BF1">
        <w:rPr>
          <w:rFonts w:ascii="Arial" w:hAnsi="Arial" w:cs="Arial"/>
          <w:b/>
          <w:bCs/>
          <w:i/>
          <w:color w:val="C0504D"/>
          <w:sz w:val="24"/>
          <w:szCs w:val="24"/>
        </w:rPr>
        <w:t>roposals</w:t>
      </w:r>
      <w:r w:rsidRPr="00847BF1">
        <w:rPr>
          <w:rFonts w:ascii="Arial" w:hAnsi="Arial" w:cs="Arial"/>
          <w:b/>
          <w:bCs/>
          <w:i/>
          <w:color w:val="C0504D"/>
          <w:sz w:val="24"/>
          <w:szCs w:val="24"/>
        </w:rPr>
        <w:t xml:space="preserve"> </w:t>
      </w:r>
      <w:r w:rsidR="0019361F" w:rsidRPr="00847BF1">
        <w:rPr>
          <w:rFonts w:ascii="Arial" w:hAnsi="Arial" w:cs="Arial"/>
          <w:b/>
          <w:bCs/>
          <w:i/>
          <w:color w:val="C0504D"/>
          <w:sz w:val="24"/>
          <w:szCs w:val="24"/>
        </w:rPr>
        <w:t>for consideration</w:t>
      </w:r>
    </w:p>
    <w:p w:rsidR="00A73A3E" w:rsidRPr="00847BF1" w:rsidRDefault="00A73A3E" w:rsidP="00847BF1">
      <w:pPr>
        <w:pStyle w:val="ListParagraph"/>
        <w:numPr>
          <w:ilvl w:val="0"/>
          <w:numId w:val="34"/>
        </w:numPr>
        <w:rPr>
          <w:rFonts w:ascii="Arial" w:hAnsi="Arial" w:cs="Arial"/>
          <w:bCs/>
          <w:i/>
          <w:color w:val="C0504D"/>
        </w:rPr>
      </w:pPr>
      <w:r w:rsidRPr="00847BF1">
        <w:rPr>
          <w:rFonts w:ascii="Arial" w:hAnsi="Arial" w:cs="Arial"/>
          <w:bCs/>
          <w:i/>
          <w:color w:val="C0504D"/>
        </w:rPr>
        <w:t xml:space="preserve">Empower the FWC to exercise discretion  </w:t>
      </w:r>
    </w:p>
    <w:p w:rsidR="00A73A3E" w:rsidRPr="0062314E" w:rsidRDefault="00A73A3E" w:rsidP="00A73A3E">
      <w:pPr>
        <w:rPr>
          <w:rFonts w:ascii="Arial" w:hAnsi="Arial" w:cs="Arial"/>
        </w:rPr>
      </w:pPr>
      <w:r w:rsidRPr="0062314E">
        <w:rPr>
          <w:rFonts w:ascii="Arial" w:hAnsi="Arial" w:cs="Arial"/>
        </w:rPr>
        <w:t>That the FW Act should be amended to empower the FWC to take into account the following factors when determining an application for approval of an enterprise agreement in circumstances where defects have been identified in the content and form of the NoERR:</w:t>
      </w:r>
    </w:p>
    <w:p w:rsidR="00A73A3E" w:rsidRPr="00FA693F" w:rsidRDefault="00A73A3E" w:rsidP="00A73A3E">
      <w:pPr>
        <w:pStyle w:val="NormalWeb"/>
        <w:numPr>
          <w:ilvl w:val="0"/>
          <w:numId w:val="24"/>
        </w:numPr>
        <w:rPr>
          <w:rFonts w:ascii="Arial" w:hAnsi="Arial" w:cs="Arial"/>
          <w:bCs/>
          <w:sz w:val="22"/>
          <w:szCs w:val="22"/>
        </w:rPr>
      </w:pPr>
      <w:r>
        <w:rPr>
          <w:rFonts w:ascii="Arial" w:hAnsi="Arial" w:cs="Arial"/>
          <w:bCs/>
          <w:sz w:val="22"/>
          <w:szCs w:val="22"/>
        </w:rPr>
        <w:t>The severity of the defect(s) - whether or not they are by nature trivial</w:t>
      </w:r>
      <w:r w:rsidR="00673B9A">
        <w:rPr>
          <w:rFonts w:ascii="Arial" w:hAnsi="Arial" w:cs="Arial"/>
          <w:bCs/>
          <w:sz w:val="22"/>
          <w:szCs w:val="22"/>
        </w:rPr>
        <w:t>, minor</w:t>
      </w:r>
      <w:r>
        <w:rPr>
          <w:rFonts w:ascii="Arial" w:hAnsi="Arial" w:cs="Arial"/>
          <w:bCs/>
          <w:sz w:val="22"/>
          <w:szCs w:val="22"/>
        </w:rPr>
        <w:t xml:space="preserve"> or a misnomer;</w:t>
      </w:r>
    </w:p>
    <w:p w:rsidR="00A73A3E" w:rsidRDefault="00A73A3E" w:rsidP="00A73A3E">
      <w:pPr>
        <w:pStyle w:val="NormalWeb"/>
        <w:numPr>
          <w:ilvl w:val="0"/>
          <w:numId w:val="24"/>
        </w:numPr>
        <w:rPr>
          <w:rFonts w:ascii="Arial" w:hAnsi="Arial" w:cs="Arial"/>
          <w:bCs/>
          <w:sz w:val="22"/>
          <w:szCs w:val="22"/>
        </w:rPr>
      </w:pPr>
      <w:r>
        <w:rPr>
          <w:rFonts w:ascii="Arial" w:hAnsi="Arial" w:cs="Arial"/>
          <w:bCs/>
          <w:sz w:val="22"/>
          <w:szCs w:val="22"/>
        </w:rPr>
        <w:t xml:space="preserve">Whether the employer intended to avoid their obligations under the FW Act, or </w:t>
      </w:r>
      <w:r w:rsidR="00AA3F0A">
        <w:rPr>
          <w:rFonts w:ascii="Arial" w:hAnsi="Arial" w:cs="Arial"/>
          <w:bCs/>
          <w:sz w:val="22"/>
          <w:szCs w:val="22"/>
        </w:rPr>
        <w:t xml:space="preserve">to </w:t>
      </w:r>
      <w:r>
        <w:rPr>
          <w:rFonts w:ascii="Arial" w:hAnsi="Arial" w:cs="Arial"/>
          <w:bCs/>
          <w:sz w:val="22"/>
          <w:szCs w:val="22"/>
        </w:rPr>
        <w:t>withhold or vary prescribed information concerning representational rights for employees to be covered by the proposed agreement. Alternatively, this could phrased in a positive question</w:t>
      </w:r>
      <w:r w:rsidR="006D6B87">
        <w:rPr>
          <w:rFonts w:ascii="Arial" w:hAnsi="Arial" w:cs="Arial"/>
          <w:bCs/>
          <w:sz w:val="22"/>
          <w:szCs w:val="22"/>
        </w:rPr>
        <w:t xml:space="preserve">, for example, </w:t>
      </w:r>
      <w:r>
        <w:rPr>
          <w:rFonts w:ascii="Arial" w:hAnsi="Arial" w:cs="Arial"/>
          <w:bCs/>
          <w:sz w:val="22"/>
          <w:szCs w:val="22"/>
        </w:rPr>
        <w:t>did the employer act in good faith?</w:t>
      </w:r>
    </w:p>
    <w:p w:rsidR="00A73A3E" w:rsidRDefault="00956550" w:rsidP="00A73A3E">
      <w:pPr>
        <w:pStyle w:val="NormalWeb"/>
        <w:numPr>
          <w:ilvl w:val="0"/>
          <w:numId w:val="24"/>
        </w:numPr>
        <w:rPr>
          <w:rFonts w:ascii="Arial" w:hAnsi="Arial" w:cs="Arial"/>
          <w:bCs/>
          <w:sz w:val="22"/>
          <w:szCs w:val="22"/>
        </w:rPr>
      </w:pPr>
      <w:r>
        <w:rPr>
          <w:rFonts w:ascii="Arial" w:hAnsi="Arial" w:cs="Arial"/>
          <w:bCs/>
          <w:sz w:val="22"/>
          <w:szCs w:val="22"/>
        </w:rPr>
        <w:t xml:space="preserve">Whether </w:t>
      </w:r>
      <w:r w:rsidR="004D55CC">
        <w:rPr>
          <w:rFonts w:ascii="Arial" w:hAnsi="Arial" w:cs="Arial"/>
          <w:bCs/>
          <w:sz w:val="22"/>
          <w:szCs w:val="22"/>
        </w:rPr>
        <w:t xml:space="preserve">the defect resulted in the employees </w:t>
      </w:r>
      <w:r>
        <w:rPr>
          <w:rFonts w:ascii="Arial" w:hAnsi="Arial" w:cs="Arial"/>
          <w:bCs/>
          <w:sz w:val="22"/>
          <w:szCs w:val="22"/>
        </w:rPr>
        <w:t>being misle</w:t>
      </w:r>
      <w:r w:rsidR="00A73A3E">
        <w:rPr>
          <w:rFonts w:ascii="Arial" w:hAnsi="Arial" w:cs="Arial"/>
          <w:bCs/>
          <w:sz w:val="22"/>
          <w:szCs w:val="22"/>
        </w:rPr>
        <w:t>d about their representational rights in any material sense</w:t>
      </w:r>
    </w:p>
    <w:p w:rsidR="00A73A3E" w:rsidRDefault="00A73A3E" w:rsidP="00A73A3E">
      <w:pPr>
        <w:pStyle w:val="NormalWeb"/>
        <w:numPr>
          <w:ilvl w:val="0"/>
          <w:numId w:val="24"/>
        </w:numPr>
        <w:rPr>
          <w:rFonts w:ascii="Arial" w:hAnsi="Arial" w:cs="Arial"/>
          <w:bCs/>
          <w:sz w:val="22"/>
          <w:szCs w:val="22"/>
        </w:rPr>
      </w:pPr>
      <w:r>
        <w:rPr>
          <w:rFonts w:ascii="Arial" w:hAnsi="Arial" w:cs="Arial"/>
          <w:bCs/>
          <w:sz w:val="22"/>
          <w:szCs w:val="22"/>
        </w:rPr>
        <w:t>Whether or not the defect(s) had a real or likely adverse impact on the parties or adversely influenced the conduct or outcome of bargaining.</w:t>
      </w:r>
    </w:p>
    <w:p w:rsidR="00A73A3E" w:rsidRPr="00847BF1" w:rsidRDefault="00A73A3E" w:rsidP="00847BF1">
      <w:pPr>
        <w:pStyle w:val="ListParagraph"/>
        <w:numPr>
          <w:ilvl w:val="0"/>
          <w:numId w:val="34"/>
        </w:numPr>
        <w:rPr>
          <w:rFonts w:ascii="Arial" w:hAnsi="Arial" w:cs="Arial"/>
          <w:bCs/>
          <w:i/>
          <w:color w:val="C0504D"/>
        </w:rPr>
      </w:pPr>
      <w:r w:rsidRPr="00847BF1">
        <w:rPr>
          <w:rFonts w:ascii="Arial" w:hAnsi="Arial" w:cs="Arial"/>
          <w:bCs/>
          <w:i/>
          <w:color w:val="C0504D"/>
        </w:rPr>
        <w:t>Effective use of IT to inform employees of NoERR</w:t>
      </w:r>
    </w:p>
    <w:p w:rsidR="00A73A3E" w:rsidRPr="0070774A" w:rsidRDefault="00A73A3E" w:rsidP="00A73A3E">
      <w:pPr>
        <w:rPr>
          <w:rFonts w:ascii="Arial" w:hAnsi="Arial" w:cs="Arial"/>
        </w:rPr>
      </w:pPr>
      <w:r w:rsidRPr="0070774A">
        <w:rPr>
          <w:rFonts w:ascii="Arial" w:hAnsi="Arial" w:cs="Arial"/>
        </w:rPr>
        <w:t>CCER does not advocate for the removal of any standard mechanism for accurately informing employees of their representational rights, and acknowledges the importance of a well informed workforce able to understand and make decisions with respect to their lawful rights, particularly on important issues such as enterprise bargaining. The Productivity Commission may however, consider more effective and contemporary ways of informing employees of the</w:t>
      </w:r>
      <w:r w:rsidR="00413C14">
        <w:rPr>
          <w:rFonts w:ascii="Arial" w:hAnsi="Arial" w:cs="Arial"/>
        </w:rPr>
        <w:t>ir</w:t>
      </w:r>
      <w:r w:rsidRPr="0070774A">
        <w:rPr>
          <w:rFonts w:ascii="Arial" w:hAnsi="Arial" w:cs="Arial"/>
        </w:rPr>
        <w:t xml:space="preserve"> representational rights, possibly through better use of technology, rather than paper based forms.</w:t>
      </w:r>
    </w:p>
    <w:p w:rsidR="0041471D" w:rsidRPr="00B306D2" w:rsidRDefault="000607EA" w:rsidP="00B306D2">
      <w:pPr>
        <w:rPr>
          <w:rFonts w:ascii="Arial" w:hAnsi="Arial" w:cs="Arial"/>
          <w:b/>
          <w:bCs/>
          <w:color w:val="C0504D"/>
          <w:sz w:val="28"/>
          <w:szCs w:val="28"/>
        </w:rPr>
      </w:pPr>
      <w:r>
        <w:rPr>
          <w:rFonts w:ascii="Arial" w:hAnsi="Arial" w:cs="Arial"/>
          <w:color w:val="632423"/>
          <w:sz w:val="28"/>
          <w:szCs w:val="28"/>
        </w:rPr>
        <w:br w:type="page"/>
      </w:r>
      <w:r w:rsidR="0041471D" w:rsidRPr="00B306D2">
        <w:rPr>
          <w:rFonts w:ascii="Arial" w:hAnsi="Arial" w:cs="Arial"/>
          <w:b/>
          <w:bCs/>
          <w:color w:val="C0504D"/>
          <w:sz w:val="28"/>
          <w:szCs w:val="28"/>
        </w:rPr>
        <w:lastRenderedPageBreak/>
        <w:t xml:space="preserve">PART THREE </w:t>
      </w:r>
    </w:p>
    <w:p w:rsidR="00784473" w:rsidRPr="004A498A" w:rsidRDefault="00784473" w:rsidP="00784473">
      <w:pPr>
        <w:pBdr>
          <w:bottom w:val="single" w:sz="4" w:space="1" w:color="auto"/>
        </w:pBdr>
        <w:rPr>
          <w:rFonts w:ascii="Arial" w:hAnsi="Arial" w:cs="Arial"/>
          <w:b/>
          <w:bCs/>
          <w:color w:val="C0504D"/>
          <w:sz w:val="28"/>
          <w:szCs w:val="28"/>
        </w:rPr>
      </w:pPr>
      <w:r w:rsidRPr="004A498A">
        <w:rPr>
          <w:rFonts w:ascii="Arial" w:hAnsi="Arial" w:cs="Arial"/>
          <w:b/>
          <w:bCs/>
          <w:color w:val="C0504D"/>
          <w:sz w:val="28"/>
          <w:szCs w:val="28"/>
        </w:rPr>
        <w:t xml:space="preserve">MANAGING INDIVIDUAL DISPUTES TO MAINTAIN THE EMPLOYMENT RELATIONSHIP </w:t>
      </w:r>
    </w:p>
    <w:p w:rsidR="00784473" w:rsidRPr="00D871F5" w:rsidRDefault="00784473" w:rsidP="00784473">
      <w:pPr>
        <w:rPr>
          <w:rFonts w:ascii="Arial" w:hAnsi="Arial" w:cs="Arial"/>
          <w:b/>
          <w:bCs/>
          <w:i/>
          <w:color w:val="C0504D"/>
          <w:sz w:val="24"/>
          <w:szCs w:val="24"/>
        </w:rPr>
      </w:pPr>
      <w:r w:rsidRPr="00D871F5">
        <w:rPr>
          <w:rFonts w:ascii="Arial" w:hAnsi="Arial" w:cs="Arial"/>
          <w:b/>
          <w:bCs/>
          <w:i/>
          <w:color w:val="C0504D"/>
          <w:sz w:val="24"/>
          <w:szCs w:val="24"/>
        </w:rPr>
        <w:t xml:space="preserve">Individual workplace disputes </w:t>
      </w:r>
    </w:p>
    <w:p w:rsidR="00784473" w:rsidRDefault="00784473" w:rsidP="00784473">
      <w:pPr>
        <w:rPr>
          <w:rFonts w:ascii="Arial" w:hAnsi="Arial" w:cs="Arial"/>
          <w:bCs/>
        </w:rPr>
      </w:pPr>
      <w:r>
        <w:rPr>
          <w:rFonts w:ascii="Arial" w:hAnsi="Arial" w:cs="Arial"/>
          <w:bCs/>
        </w:rPr>
        <w:t xml:space="preserve">The industrial relations </w:t>
      </w:r>
      <w:r w:rsidR="00D964B8">
        <w:rPr>
          <w:rFonts w:ascii="Arial" w:hAnsi="Arial" w:cs="Arial"/>
          <w:bCs/>
        </w:rPr>
        <w:t>landscape</w:t>
      </w:r>
      <w:r>
        <w:rPr>
          <w:rFonts w:ascii="Arial" w:hAnsi="Arial" w:cs="Arial"/>
          <w:bCs/>
        </w:rPr>
        <w:t xml:space="preserve"> has gradually shifted from a focus on the resolution of collective disputes to an increased focus on managing individual disputes. </w:t>
      </w:r>
      <w:r w:rsidR="009D1A13">
        <w:rPr>
          <w:rFonts w:ascii="Arial" w:hAnsi="Arial" w:cs="Arial"/>
          <w:bCs/>
        </w:rPr>
        <w:t xml:space="preserve">Over time </w:t>
      </w:r>
      <w:r>
        <w:rPr>
          <w:rFonts w:ascii="Arial" w:hAnsi="Arial" w:cs="Arial"/>
          <w:bCs/>
        </w:rPr>
        <w:t xml:space="preserve">the workplace relations legislative framework has been amended to codify general protections that protect workers  from adverse action taken for unlawful reasons such as discrimination, coercion, victimisation or because they exercised a workplace right. </w:t>
      </w:r>
      <w:r w:rsidR="00855061">
        <w:rPr>
          <w:rFonts w:ascii="Arial" w:hAnsi="Arial" w:cs="Arial"/>
          <w:bCs/>
        </w:rPr>
        <w:t xml:space="preserve">This codification of protections </w:t>
      </w:r>
      <w:r>
        <w:rPr>
          <w:rFonts w:ascii="Arial" w:hAnsi="Arial" w:cs="Arial"/>
          <w:bCs/>
        </w:rPr>
        <w:t xml:space="preserve">for individual workers </w:t>
      </w:r>
      <w:r w:rsidR="00855061">
        <w:rPr>
          <w:rFonts w:ascii="Arial" w:hAnsi="Arial" w:cs="Arial"/>
          <w:bCs/>
        </w:rPr>
        <w:t xml:space="preserve">was increased by </w:t>
      </w:r>
      <w:r>
        <w:rPr>
          <w:rFonts w:ascii="Arial" w:hAnsi="Arial" w:cs="Arial"/>
          <w:bCs/>
        </w:rPr>
        <w:t>new FW Act provisions for the anti-bullying jurisdiction, which commenced in January 2014.</w:t>
      </w:r>
    </w:p>
    <w:p w:rsidR="00784473" w:rsidRDefault="00784473" w:rsidP="00784473">
      <w:pPr>
        <w:rPr>
          <w:rFonts w:ascii="Arial" w:hAnsi="Arial" w:cs="Arial"/>
          <w:bCs/>
        </w:rPr>
      </w:pPr>
      <w:r>
        <w:rPr>
          <w:rFonts w:ascii="Arial" w:hAnsi="Arial" w:cs="Arial"/>
          <w:bCs/>
        </w:rPr>
        <w:t xml:space="preserve">Consistent with the principles of equity and natural justice, CCER strongly supports a jurisdiction and framework that </w:t>
      </w:r>
      <w:r w:rsidR="009C15DC">
        <w:rPr>
          <w:rFonts w:ascii="Arial" w:hAnsi="Arial" w:cs="Arial"/>
          <w:bCs/>
        </w:rPr>
        <w:t>allows</w:t>
      </w:r>
      <w:r>
        <w:rPr>
          <w:rFonts w:ascii="Arial" w:hAnsi="Arial" w:cs="Arial"/>
          <w:bCs/>
        </w:rPr>
        <w:t xml:space="preserve"> for employers and employees to make complaints to the FWC and </w:t>
      </w:r>
      <w:r w:rsidR="009C15DC">
        <w:rPr>
          <w:rFonts w:ascii="Arial" w:hAnsi="Arial" w:cs="Arial"/>
          <w:bCs/>
        </w:rPr>
        <w:t>seek</w:t>
      </w:r>
      <w:r>
        <w:rPr>
          <w:rFonts w:ascii="Arial" w:hAnsi="Arial" w:cs="Arial"/>
          <w:bCs/>
        </w:rPr>
        <w:t xml:space="preserve"> redress from </w:t>
      </w:r>
      <w:r w:rsidR="0039232C">
        <w:rPr>
          <w:rFonts w:ascii="Arial" w:hAnsi="Arial" w:cs="Arial"/>
          <w:bCs/>
        </w:rPr>
        <w:t xml:space="preserve">bullying, </w:t>
      </w:r>
      <w:r>
        <w:rPr>
          <w:rFonts w:ascii="Arial" w:hAnsi="Arial" w:cs="Arial"/>
          <w:bCs/>
        </w:rPr>
        <w:t>discrimination, victimisation and other unlawful adverse action. Such behaviours are unacceptable</w:t>
      </w:r>
      <w:r w:rsidR="0039232C">
        <w:rPr>
          <w:rFonts w:ascii="Arial" w:hAnsi="Arial" w:cs="Arial"/>
          <w:bCs/>
        </w:rPr>
        <w:t xml:space="preserve">, detrimental to individuals and the wider workforce and hurt </w:t>
      </w:r>
      <w:r>
        <w:rPr>
          <w:rFonts w:ascii="Arial" w:hAnsi="Arial" w:cs="Arial"/>
          <w:bCs/>
        </w:rPr>
        <w:t xml:space="preserve">workplace productivity and performance.  </w:t>
      </w:r>
    </w:p>
    <w:p w:rsidR="00784473" w:rsidRDefault="00784473" w:rsidP="00784473">
      <w:pPr>
        <w:rPr>
          <w:rFonts w:ascii="Arial" w:hAnsi="Arial" w:cs="Arial"/>
          <w:bCs/>
        </w:rPr>
      </w:pPr>
      <w:r w:rsidRPr="00065D3A">
        <w:rPr>
          <w:rFonts w:ascii="Arial" w:hAnsi="Arial" w:cs="Arial"/>
          <w:bCs/>
        </w:rPr>
        <w:t xml:space="preserve">However, CCER is concerned that, </w:t>
      </w:r>
      <w:r w:rsidR="006D3421">
        <w:rPr>
          <w:rFonts w:ascii="Arial" w:hAnsi="Arial" w:cs="Arial"/>
          <w:bCs/>
        </w:rPr>
        <w:t>introducing</w:t>
      </w:r>
      <w:r w:rsidR="002A4C28">
        <w:rPr>
          <w:rFonts w:ascii="Arial" w:hAnsi="Arial" w:cs="Arial"/>
          <w:bCs/>
        </w:rPr>
        <w:t xml:space="preserve"> a </w:t>
      </w:r>
      <w:r w:rsidRPr="00065D3A">
        <w:rPr>
          <w:rFonts w:ascii="Arial" w:hAnsi="Arial" w:cs="Arial"/>
          <w:bCs/>
        </w:rPr>
        <w:t xml:space="preserve">third party </w:t>
      </w:r>
      <w:r>
        <w:rPr>
          <w:rFonts w:ascii="Arial" w:hAnsi="Arial" w:cs="Arial"/>
          <w:bCs/>
        </w:rPr>
        <w:t xml:space="preserve">arbitrator </w:t>
      </w:r>
      <w:r w:rsidRPr="00065D3A">
        <w:rPr>
          <w:rFonts w:ascii="Arial" w:hAnsi="Arial" w:cs="Arial"/>
          <w:bCs/>
        </w:rPr>
        <w:t>in a workplace dispute between individuals</w:t>
      </w:r>
      <w:r w:rsidR="002A4C28">
        <w:rPr>
          <w:rFonts w:ascii="Arial" w:hAnsi="Arial" w:cs="Arial"/>
          <w:bCs/>
        </w:rPr>
        <w:t xml:space="preserve"> prematurely, escalates </w:t>
      </w:r>
      <w:r w:rsidRPr="00065D3A">
        <w:rPr>
          <w:rFonts w:ascii="Arial" w:hAnsi="Arial" w:cs="Arial"/>
          <w:bCs/>
        </w:rPr>
        <w:t>tensions</w:t>
      </w:r>
      <w:r w:rsidR="002A4C28">
        <w:rPr>
          <w:rFonts w:ascii="Arial" w:hAnsi="Arial" w:cs="Arial"/>
          <w:bCs/>
        </w:rPr>
        <w:t xml:space="preserve">, causing </w:t>
      </w:r>
      <w:r w:rsidRPr="00065D3A">
        <w:rPr>
          <w:rFonts w:ascii="Arial" w:hAnsi="Arial" w:cs="Arial"/>
          <w:bCs/>
        </w:rPr>
        <w:t xml:space="preserve">positions </w:t>
      </w:r>
      <w:r w:rsidR="002A4C28">
        <w:rPr>
          <w:rFonts w:ascii="Arial" w:hAnsi="Arial" w:cs="Arial"/>
          <w:bCs/>
        </w:rPr>
        <w:t>to become</w:t>
      </w:r>
      <w:r w:rsidRPr="00065D3A">
        <w:rPr>
          <w:rFonts w:ascii="Arial" w:hAnsi="Arial" w:cs="Arial"/>
          <w:bCs/>
        </w:rPr>
        <w:t xml:space="preserve"> entrenched, parties </w:t>
      </w:r>
      <w:r w:rsidR="002A4C28">
        <w:rPr>
          <w:rFonts w:ascii="Arial" w:hAnsi="Arial" w:cs="Arial"/>
          <w:bCs/>
        </w:rPr>
        <w:t xml:space="preserve">to </w:t>
      </w:r>
      <w:r w:rsidRPr="00065D3A">
        <w:rPr>
          <w:rFonts w:ascii="Arial" w:hAnsi="Arial" w:cs="Arial"/>
          <w:bCs/>
        </w:rPr>
        <w:t>become</w:t>
      </w:r>
      <w:r w:rsidR="002A4C28">
        <w:rPr>
          <w:rFonts w:ascii="Arial" w:hAnsi="Arial" w:cs="Arial"/>
          <w:bCs/>
        </w:rPr>
        <w:t xml:space="preserve"> more polarised</w:t>
      </w:r>
      <w:r w:rsidRPr="00065D3A">
        <w:rPr>
          <w:rFonts w:ascii="Arial" w:hAnsi="Arial" w:cs="Arial"/>
          <w:bCs/>
        </w:rPr>
        <w:t>, and it becomes increasing difficult to salvage the working relationship.</w:t>
      </w:r>
    </w:p>
    <w:p w:rsidR="00784473" w:rsidRDefault="00784473" w:rsidP="00784473">
      <w:pPr>
        <w:rPr>
          <w:rFonts w:ascii="Arial" w:hAnsi="Arial" w:cs="Arial"/>
        </w:rPr>
      </w:pPr>
      <w:r>
        <w:rPr>
          <w:rFonts w:ascii="Arial" w:hAnsi="Arial" w:cs="Arial"/>
          <w:bCs/>
        </w:rPr>
        <w:t>Further, we note</w:t>
      </w:r>
      <w:r w:rsidRPr="004D110D">
        <w:rPr>
          <w:rFonts w:ascii="Arial" w:hAnsi="Arial" w:cs="Arial"/>
          <w:bCs/>
        </w:rPr>
        <w:t xml:space="preserve"> c</w:t>
      </w:r>
      <w:r w:rsidRPr="004D110D">
        <w:rPr>
          <w:rFonts w:ascii="Arial" w:hAnsi="Arial" w:cs="Arial"/>
        </w:rPr>
        <w:t xml:space="preserve">oncerns expressed by some </w:t>
      </w:r>
      <w:r>
        <w:rPr>
          <w:rFonts w:ascii="Arial" w:hAnsi="Arial" w:cs="Arial"/>
        </w:rPr>
        <w:t xml:space="preserve">employers </w:t>
      </w:r>
      <w:r w:rsidRPr="004D110D">
        <w:rPr>
          <w:rFonts w:ascii="Arial" w:hAnsi="Arial" w:cs="Arial"/>
        </w:rPr>
        <w:t xml:space="preserve">that bullying claims remain </w:t>
      </w:r>
      <w:r>
        <w:rPr>
          <w:rFonts w:ascii="Arial" w:hAnsi="Arial" w:cs="Arial"/>
        </w:rPr>
        <w:t>‘</w:t>
      </w:r>
      <w:r w:rsidRPr="00920EFE">
        <w:rPr>
          <w:rFonts w:ascii="Arial" w:hAnsi="Arial" w:cs="Arial"/>
          <w:i/>
        </w:rPr>
        <w:t>a strategic lever</w:t>
      </w:r>
      <w:r>
        <w:rPr>
          <w:rFonts w:ascii="Arial" w:hAnsi="Arial" w:cs="Arial"/>
        </w:rPr>
        <w:t>’</w:t>
      </w:r>
      <w:r w:rsidRPr="004D110D">
        <w:rPr>
          <w:rFonts w:ascii="Arial" w:hAnsi="Arial" w:cs="Arial"/>
        </w:rPr>
        <w:t xml:space="preserve"> for employees to </w:t>
      </w:r>
      <w:r>
        <w:rPr>
          <w:rFonts w:ascii="Arial" w:hAnsi="Arial" w:cs="Arial"/>
        </w:rPr>
        <w:t>pursue various agendas including</w:t>
      </w:r>
      <w:r w:rsidRPr="004D110D">
        <w:rPr>
          <w:rFonts w:ascii="Arial" w:hAnsi="Arial" w:cs="Arial"/>
        </w:rPr>
        <w:t xml:space="preserve"> workplace change or </w:t>
      </w:r>
      <w:r>
        <w:rPr>
          <w:rFonts w:ascii="Arial" w:hAnsi="Arial" w:cs="Arial"/>
        </w:rPr>
        <w:t xml:space="preserve">to </w:t>
      </w:r>
      <w:r w:rsidRPr="004D110D">
        <w:rPr>
          <w:rFonts w:ascii="Arial" w:hAnsi="Arial" w:cs="Arial"/>
        </w:rPr>
        <w:t xml:space="preserve">extract </w:t>
      </w:r>
      <w:r>
        <w:rPr>
          <w:rFonts w:ascii="Arial" w:hAnsi="Arial" w:cs="Arial"/>
        </w:rPr>
        <w:t>‘</w:t>
      </w:r>
      <w:r w:rsidRPr="00920EFE">
        <w:rPr>
          <w:rFonts w:ascii="Arial" w:hAnsi="Arial" w:cs="Arial"/>
          <w:i/>
        </w:rPr>
        <w:t>advantageous exit packages’</w:t>
      </w:r>
      <w:r>
        <w:rPr>
          <w:rFonts w:ascii="Arial" w:hAnsi="Arial" w:cs="Arial"/>
        </w:rPr>
        <w:t>.</w:t>
      </w:r>
      <w:r w:rsidRPr="009469A5">
        <w:rPr>
          <w:rStyle w:val="FootnoteReference"/>
          <w:rFonts w:ascii="Arial" w:hAnsi="Arial" w:cs="Arial"/>
        </w:rPr>
        <w:footnoteReference w:id="44"/>
      </w:r>
      <w:r>
        <w:rPr>
          <w:rFonts w:ascii="Arial" w:hAnsi="Arial" w:cs="Arial"/>
        </w:rPr>
        <w:t xml:space="preserve"> Alternatively, claims may be made to </w:t>
      </w:r>
      <w:r w:rsidRPr="004D110D">
        <w:rPr>
          <w:rFonts w:ascii="Arial" w:hAnsi="Arial" w:cs="Arial"/>
        </w:rPr>
        <w:t>frustrate pe</w:t>
      </w:r>
      <w:r>
        <w:rPr>
          <w:rFonts w:ascii="Arial" w:hAnsi="Arial" w:cs="Arial"/>
        </w:rPr>
        <w:t>rformance management pr</w:t>
      </w:r>
      <w:r w:rsidRPr="004D110D">
        <w:rPr>
          <w:rFonts w:ascii="Arial" w:hAnsi="Arial" w:cs="Arial"/>
        </w:rPr>
        <w:t xml:space="preserve">ocesses or to support </w:t>
      </w:r>
      <w:r>
        <w:rPr>
          <w:rFonts w:ascii="Arial" w:hAnsi="Arial" w:cs="Arial"/>
        </w:rPr>
        <w:t>c</w:t>
      </w:r>
      <w:r w:rsidRPr="004D110D">
        <w:rPr>
          <w:rFonts w:ascii="Arial" w:hAnsi="Arial" w:cs="Arial"/>
        </w:rPr>
        <w:t xml:space="preserve">laims </w:t>
      </w:r>
      <w:r>
        <w:rPr>
          <w:rFonts w:ascii="Arial" w:hAnsi="Arial" w:cs="Arial"/>
        </w:rPr>
        <w:t xml:space="preserve">for </w:t>
      </w:r>
      <w:r w:rsidRPr="004D110D">
        <w:rPr>
          <w:rFonts w:ascii="Arial" w:hAnsi="Arial" w:cs="Arial"/>
        </w:rPr>
        <w:t>workers compensation</w:t>
      </w:r>
      <w:r>
        <w:rPr>
          <w:rFonts w:ascii="Arial" w:hAnsi="Arial" w:cs="Arial"/>
        </w:rPr>
        <w:t xml:space="preserve">. </w:t>
      </w:r>
      <w:r>
        <w:rPr>
          <w:rStyle w:val="FootnoteReference"/>
          <w:rFonts w:ascii="Arial" w:hAnsi="Arial" w:cs="Arial"/>
        </w:rPr>
        <w:footnoteReference w:id="45"/>
      </w:r>
    </w:p>
    <w:p w:rsidR="00784473" w:rsidRPr="00A628ED" w:rsidRDefault="00784473" w:rsidP="00784473">
      <w:pPr>
        <w:rPr>
          <w:rFonts w:ascii="Arial" w:hAnsi="Arial" w:cs="Arial"/>
        </w:rPr>
      </w:pPr>
      <w:r w:rsidRPr="00A628ED">
        <w:rPr>
          <w:rFonts w:ascii="Arial" w:hAnsi="Arial" w:cs="Arial"/>
        </w:rPr>
        <w:t xml:space="preserve">Because an application can be made by a current employee, </w:t>
      </w:r>
      <w:r>
        <w:rPr>
          <w:rFonts w:ascii="Arial" w:hAnsi="Arial" w:cs="Arial"/>
        </w:rPr>
        <w:t xml:space="preserve">the </w:t>
      </w:r>
      <w:r w:rsidRPr="00A628ED">
        <w:rPr>
          <w:rFonts w:ascii="Arial" w:hAnsi="Arial" w:cs="Arial"/>
        </w:rPr>
        <w:t>FW</w:t>
      </w:r>
      <w:r>
        <w:rPr>
          <w:rFonts w:ascii="Arial" w:hAnsi="Arial" w:cs="Arial"/>
        </w:rPr>
        <w:t>C</w:t>
      </w:r>
      <w:r w:rsidRPr="00A628ED">
        <w:rPr>
          <w:rFonts w:ascii="Arial" w:hAnsi="Arial" w:cs="Arial"/>
        </w:rPr>
        <w:t xml:space="preserve"> is potentially drawn into a negotiation around how to repair or improve an employment relationship, and not simply about the terms on which that relationship might be severed (MacDermott and </w:t>
      </w:r>
      <w:r>
        <w:rPr>
          <w:rFonts w:ascii="Arial" w:hAnsi="Arial" w:cs="Arial"/>
        </w:rPr>
        <w:t>R</w:t>
      </w:r>
      <w:r w:rsidRPr="00A628ED">
        <w:rPr>
          <w:rFonts w:ascii="Arial" w:hAnsi="Arial" w:cs="Arial"/>
        </w:rPr>
        <w:t>iley 2012).</w:t>
      </w:r>
      <w:r>
        <w:rPr>
          <w:rStyle w:val="FootnoteReference"/>
          <w:rFonts w:ascii="Arial" w:hAnsi="Arial" w:cs="Arial"/>
        </w:rPr>
        <w:footnoteReference w:id="46"/>
      </w:r>
    </w:p>
    <w:p w:rsidR="00784473" w:rsidRDefault="00784473" w:rsidP="00784473">
      <w:pPr>
        <w:rPr>
          <w:rFonts w:ascii="Arial" w:hAnsi="Arial" w:cs="Arial"/>
          <w:bCs/>
        </w:rPr>
      </w:pPr>
      <w:r w:rsidRPr="00065D3A">
        <w:rPr>
          <w:rFonts w:ascii="Arial" w:hAnsi="Arial" w:cs="Arial"/>
          <w:bCs/>
        </w:rPr>
        <w:t xml:space="preserve">Given this, CCER makes some observations about the </w:t>
      </w:r>
      <w:r w:rsidRPr="00331F43">
        <w:rPr>
          <w:rFonts w:ascii="Arial" w:hAnsi="Arial" w:cs="Arial"/>
          <w:bCs/>
        </w:rPr>
        <w:t>process of making and responding to individual non-dismissal complaints</w:t>
      </w:r>
      <w:r w:rsidR="00A412CE">
        <w:rPr>
          <w:rFonts w:ascii="Arial" w:hAnsi="Arial" w:cs="Arial"/>
          <w:bCs/>
        </w:rPr>
        <w:t xml:space="preserve"> to the FWC</w:t>
      </w:r>
      <w:r w:rsidRPr="00331F43">
        <w:rPr>
          <w:rFonts w:ascii="Arial" w:hAnsi="Arial" w:cs="Arial"/>
          <w:bCs/>
        </w:rPr>
        <w:t>,</w:t>
      </w:r>
      <w:r w:rsidRPr="00065D3A">
        <w:rPr>
          <w:rFonts w:ascii="Arial" w:hAnsi="Arial" w:cs="Arial"/>
          <w:bCs/>
        </w:rPr>
        <w:t xml:space="preserve"> the complaints handling process of the FWC, and suggests some alternative options </w:t>
      </w:r>
      <w:r>
        <w:rPr>
          <w:rFonts w:ascii="Arial" w:hAnsi="Arial" w:cs="Arial"/>
          <w:bCs/>
        </w:rPr>
        <w:t xml:space="preserve">that could be further examined by the Productivity Commission, </w:t>
      </w:r>
      <w:r w:rsidRPr="00065D3A">
        <w:rPr>
          <w:rFonts w:ascii="Arial" w:hAnsi="Arial" w:cs="Arial"/>
          <w:bCs/>
        </w:rPr>
        <w:t xml:space="preserve">with the aim to ensure adequate measures have been sufficiently explored at the local level prior to a third party arbitrator becoming involved. Our focus is </w:t>
      </w:r>
      <w:r w:rsidRPr="00762230">
        <w:rPr>
          <w:rFonts w:ascii="Arial" w:hAnsi="Arial" w:cs="Arial"/>
          <w:bCs/>
        </w:rPr>
        <w:t>to achieve more positive, productive, efficient and fair outcomes for the parties involved in general protections (no</w:t>
      </w:r>
      <w:r>
        <w:rPr>
          <w:rFonts w:ascii="Arial" w:hAnsi="Arial" w:cs="Arial"/>
          <w:bCs/>
        </w:rPr>
        <w:t>n-</w:t>
      </w:r>
      <w:r w:rsidRPr="00762230">
        <w:rPr>
          <w:rFonts w:ascii="Arial" w:hAnsi="Arial" w:cs="Arial"/>
          <w:bCs/>
        </w:rPr>
        <w:t>dismissal) and bullying claims, in light of</w:t>
      </w:r>
      <w:r w:rsidR="000B20A2">
        <w:rPr>
          <w:rFonts w:ascii="Arial" w:hAnsi="Arial" w:cs="Arial"/>
          <w:bCs/>
        </w:rPr>
        <w:t xml:space="preserve"> and to protect, </w:t>
      </w:r>
      <w:r w:rsidRPr="00762230">
        <w:rPr>
          <w:rFonts w:ascii="Arial" w:hAnsi="Arial" w:cs="Arial"/>
          <w:bCs/>
        </w:rPr>
        <w:t xml:space="preserve">the ongoing employment relationship.  </w:t>
      </w:r>
    </w:p>
    <w:p w:rsidR="00784473" w:rsidRPr="00D871F5" w:rsidRDefault="00784473" w:rsidP="00784473">
      <w:pPr>
        <w:rPr>
          <w:rFonts w:ascii="Arial" w:hAnsi="Arial" w:cs="Arial"/>
          <w:b/>
          <w:bCs/>
          <w:i/>
          <w:color w:val="C0504D"/>
          <w:sz w:val="24"/>
          <w:szCs w:val="24"/>
        </w:rPr>
      </w:pPr>
      <w:r w:rsidRPr="00D871F5">
        <w:rPr>
          <w:rFonts w:ascii="Arial" w:hAnsi="Arial" w:cs="Arial"/>
          <w:b/>
          <w:bCs/>
          <w:i/>
          <w:color w:val="C0504D"/>
          <w:sz w:val="24"/>
          <w:szCs w:val="24"/>
        </w:rPr>
        <w:lastRenderedPageBreak/>
        <w:t>Number of non-dismissal disputes increasing</w:t>
      </w:r>
    </w:p>
    <w:p w:rsidR="00784473" w:rsidRPr="002367C7" w:rsidRDefault="00784473" w:rsidP="00784473">
      <w:pPr>
        <w:pStyle w:val="Heading4"/>
        <w:rPr>
          <w:rFonts w:ascii="Arial" w:hAnsi="Arial" w:cs="Arial"/>
          <w:b w:val="0"/>
          <w:color w:val="000000"/>
          <w:sz w:val="22"/>
          <w:szCs w:val="22"/>
        </w:rPr>
      </w:pPr>
      <w:r w:rsidRPr="002367C7">
        <w:rPr>
          <w:rFonts w:ascii="Arial" w:hAnsi="Arial" w:cs="Arial"/>
          <w:b w:val="0"/>
          <w:bCs w:val="0"/>
          <w:sz w:val="22"/>
          <w:szCs w:val="22"/>
        </w:rPr>
        <w:t>Under s</w:t>
      </w:r>
      <w:r>
        <w:rPr>
          <w:rFonts w:ascii="Arial" w:hAnsi="Arial" w:cs="Arial"/>
          <w:b w:val="0"/>
          <w:bCs w:val="0"/>
          <w:sz w:val="22"/>
          <w:szCs w:val="22"/>
        </w:rPr>
        <w:t xml:space="preserve"> </w:t>
      </w:r>
      <w:r w:rsidRPr="002367C7">
        <w:rPr>
          <w:rFonts w:ascii="Arial" w:hAnsi="Arial" w:cs="Arial"/>
          <w:b w:val="0"/>
          <w:bCs w:val="0"/>
          <w:sz w:val="22"/>
          <w:szCs w:val="22"/>
        </w:rPr>
        <w:t>372 o</w:t>
      </w:r>
      <w:r>
        <w:rPr>
          <w:rFonts w:ascii="Arial" w:hAnsi="Arial" w:cs="Arial"/>
          <w:b w:val="0"/>
          <w:bCs w:val="0"/>
          <w:sz w:val="22"/>
          <w:szCs w:val="22"/>
        </w:rPr>
        <w:t xml:space="preserve">f the </w:t>
      </w:r>
      <w:r w:rsidRPr="002367C7">
        <w:rPr>
          <w:rFonts w:ascii="Arial" w:hAnsi="Arial" w:cs="Arial"/>
          <w:b w:val="0"/>
          <w:bCs w:val="0"/>
          <w:sz w:val="22"/>
          <w:szCs w:val="22"/>
        </w:rPr>
        <w:t>FW Act, an empl</w:t>
      </w:r>
      <w:r>
        <w:rPr>
          <w:rFonts w:ascii="Arial" w:hAnsi="Arial" w:cs="Arial"/>
          <w:b w:val="0"/>
          <w:bCs w:val="0"/>
          <w:sz w:val="22"/>
          <w:szCs w:val="22"/>
        </w:rPr>
        <w:t xml:space="preserve">oyee </w:t>
      </w:r>
      <w:r w:rsidRPr="002367C7">
        <w:rPr>
          <w:rFonts w:ascii="Arial" w:hAnsi="Arial" w:cs="Arial"/>
          <w:b w:val="0"/>
          <w:bCs w:val="0"/>
          <w:sz w:val="22"/>
          <w:szCs w:val="22"/>
        </w:rPr>
        <w:t xml:space="preserve">may make </w:t>
      </w:r>
      <w:r>
        <w:rPr>
          <w:rFonts w:ascii="Arial" w:hAnsi="Arial" w:cs="Arial"/>
          <w:b w:val="0"/>
          <w:bCs w:val="0"/>
          <w:sz w:val="22"/>
          <w:szCs w:val="22"/>
        </w:rPr>
        <w:t>an a</w:t>
      </w:r>
      <w:r w:rsidRPr="002367C7">
        <w:rPr>
          <w:rFonts w:ascii="Arial" w:hAnsi="Arial" w:cs="Arial"/>
          <w:b w:val="0"/>
          <w:color w:val="000000"/>
          <w:sz w:val="22"/>
          <w:szCs w:val="22"/>
        </w:rPr>
        <w:t xml:space="preserve">pplication </w:t>
      </w:r>
      <w:r w:rsidR="006D3421">
        <w:rPr>
          <w:rFonts w:ascii="Arial" w:hAnsi="Arial" w:cs="Arial"/>
          <w:b w:val="0"/>
          <w:color w:val="000000"/>
          <w:sz w:val="22"/>
          <w:szCs w:val="22"/>
        </w:rPr>
        <w:t>to</w:t>
      </w:r>
      <w:r w:rsidRPr="002367C7">
        <w:rPr>
          <w:rFonts w:ascii="Arial" w:hAnsi="Arial" w:cs="Arial"/>
          <w:b w:val="0"/>
          <w:color w:val="000000"/>
          <w:sz w:val="22"/>
          <w:szCs w:val="22"/>
        </w:rPr>
        <w:t xml:space="preserve"> the FWC to deal with a non-dismissal dispute</w:t>
      </w:r>
      <w:r>
        <w:rPr>
          <w:rFonts w:ascii="Arial" w:hAnsi="Arial" w:cs="Arial"/>
          <w:b w:val="0"/>
          <w:color w:val="000000"/>
          <w:sz w:val="22"/>
          <w:szCs w:val="22"/>
        </w:rPr>
        <w:t xml:space="preserve"> where a breach of the general protections is alleged.</w:t>
      </w:r>
    </w:p>
    <w:p w:rsidR="00784473" w:rsidRDefault="00784473" w:rsidP="00784473">
      <w:pPr>
        <w:rPr>
          <w:rFonts w:ascii="Arial" w:hAnsi="Arial" w:cs="Arial"/>
          <w:color w:val="000000"/>
        </w:rPr>
      </w:pPr>
      <w:r>
        <w:rPr>
          <w:rFonts w:ascii="Arial" w:hAnsi="Arial" w:cs="Arial"/>
          <w:color w:val="000000"/>
        </w:rPr>
        <w:t>U</w:t>
      </w:r>
      <w:r w:rsidRPr="00EB0584">
        <w:rPr>
          <w:rFonts w:ascii="Arial" w:hAnsi="Arial" w:cs="Arial"/>
          <w:color w:val="000000"/>
        </w:rPr>
        <w:t xml:space="preserve">nder </w:t>
      </w:r>
      <w:r>
        <w:rPr>
          <w:rFonts w:ascii="Arial" w:hAnsi="Arial" w:cs="Arial"/>
          <w:color w:val="000000"/>
        </w:rPr>
        <w:t xml:space="preserve">s </w:t>
      </w:r>
      <w:r w:rsidRPr="00EB0584">
        <w:rPr>
          <w:rFonts w:ascii="Arial" w:hAnsi="Arial" w:cs="Arial"/>
          <w:color w:val="000000"/>
        </w:rPr>
        <w:t>789F</w:t>
      </w:r>
      <w:r>
        <w:rPr>
          <w:rFonts w:ascii="Arial" w:hAnsi="Arial" w:cs="Arial"/>
          <w:color w:val="000000"/>
        </w:rPr>
        <w:t xml:space="preserve">C </w:t>
      </w:r>
      <w:r w:rsidRPr="002367C7">
        <w:rPr>
          <w:rFonts w:ascii="Arial" w:hAnsi="Arial" w:cs="Arial"/>
        </w:rPr>
        <w:t>o</w:t>
      </w:r>
      <w:r>
        <w:rPr>
          <w:rFonts w:ascii="Arial" w:hAnsi="Arial" w:cs="Arial"/>
        </w:rPr>
        <w:t xml:space="preserve">f the </w:t>
      </w:r>
      <w:r w:rsidRPr="002367C7">
        <w:rPr>
          <w:rFonts w:ascii="Arial" w:hAnsi="Arial" w:cs="Arial"/>
        </w:rPr>
        <w:t>FW Act</w:t>
      </w:r>
      <w:r>
        <w:rPr>
          <w:rFonts w:ascii="Arial" w:hAnsi="Arial" w:cs="Arial"/>
        </w:rPr>
        <w:t xml:space="preserve">, a </w:t>
      </w:r>
      <w:r w:rsidRPr="00EB0584">
        <w:rPr>
          <w:rFonts w:ascii="Arial" w:hAnsi="Arial" w:cs="Arial"/>
          <w:color w:val="000000"/>
        </w:rPr>
        <w:t>worker who reasonably believes that he or she has been bullied at work may apply to the FWC for an order</w:t>
      </w:r>
      <w:r>
        <w:rPr>
          <w:rFonts w:ascii="Arial" w:hAnsi="Arial" w:cs="Arial"/>
          <w:color w:val="000000"/>
        </w:rPr>
        <w:t>.</w:t>
      </w:r>
      <w:r w:rsidRPr="00EB0584">
        <w:rPr>
          <w:rFonts w:ascii="Arial" w:hAnsi="Arial" w:cs="Arial"/>
          <w:color w:val="000000"/>
        </w:rPr>
        <w:t xml:space="preserve"> </w:t>
      </w:r>
    </w:p>
    <w:p w:rsidR="00784473" w:rsidRDefault="00784473" w:rsidP="00784473">
      <w:pPr>
        <w:rPr>
          <w:rFonts w:ascii="Arial" w:hAnsi="Arial" w:cs="Arial"/>
          <w:bCs/>
        </w:rPr>
      </w:pPr>
      <w:r>
        <w:rPr>
          <w:rFonts w:ascii="Arial" w:hAnsi="Arial" w:cs="Arial"/>
          <w:bCs/>
        </w:rPr>
        <w:t xml:space="preserve">There are an increasing number of </w:t>
      </w:r>
      <w:r w:rsidRPr="0044575D">
        <w:rPr>
          <w:rFonts w:ascii="Arial" w:hAnsi="Arial" w:cs="Arial"/>
          <w:bCs/>
        </w:rPr>
        <w:t xml:space="preserve">individual </w:t>
      </w:r>
      <w:r>
        <w:rPr>
          <w:rFonts w:ascii="Arial" w:hAnsi="Arial" w:cs="Arial"/>
          <w:bCs/>
        </w:rPr>
        <w:t xml:space="preserve">(non-dismissal) </w:t>
      </w:r>
      <w:r w:rsidRPr="0044575D">
        <w:rPr>
          <w:rFonts w:ascii="Arial" w:hAnsi="Arial" w:cs="Arial"/>
          <w:bCs/>
        </w:rPr>
        <w:t xml:space="preserve">disputes lodged with </w:t>
      </w:r>
      <w:r>
        <w:rPr>
          <w:rFonts w:ascii="Arial" w:hAnsi="Arial" w:cs="Arial"/>
          <w:bCs/>
        </w:rPr>
        <w:t xml:space="preserve">the </w:t>
      </w:r>
      <w:r w:rsidRPr="0044575D">
        <w:rPr>
          <w:rFonts w:ascii="Arial" w:hAnsi="Arial" w:cs="Arial"/>
          <w:bCs/>
        </w:rPr>
        <w:t>FWC</w:t>
      </w:r>
      <w:r>
        <w:rPr>
          <w:rFonts w:ascii="Arial" w:hAnsi="Arial" w:cs="Arial"/>
          <w:bCs/>
        </w:rPr>
        <w:t>:</w:t>
      </w:r>
    </w:p>
    <w:p w:rsidR="00784473" w:rsidRPr="0099684D" w:rsidRDefault="00784473" w:rsidP="00784473">
      <w:pPr>
        <w:pStyle w:val="ListParagraph"/>
        <w:numPr>
          <w:ilvl w:val="0"/>
          <w:numId w:val="25"/>
        </w:numPr>
        <w:rPr>
          <w:rFonts w:ascii="Arial" w:hAnsi="Arial" w:cs="Arial"/>
          <w:bCs/>
        </w:rPr>
      </w:pPr>
      <w:r>
        <w:rPr>
          <w:rFonts w:ascii="Arial" w:hAnsi="Arial" w:cs="Arial"/>
          <w:bCs/>
        </w:rPr>
        <w:t xml:space="preserve">779 </w:t>
      </w:r>
      <w:r w:rsidRPr="0099684D">
        <w:rPr>
          <w:rFonts w:ascii="Arial" w:hAnsi="Arial" w:cs="Arial"/>
          <w:bCs/>
        </w:rPr>
        <w:t xml:space="preserve">general protections (non-dismissal contraventions) claims </w:t>
      </w:r>
      <w:r>
        <w:rPr>
          <w:rFonts w:ascii="Arial" w:hAnsi="Arial" w:cs="Arial"/>
          <w:bCs/>
        </w:rPr>
        <w:t xml:space="preserve">were </w:t>
      </w:r>
      <w:r w:rsidRPr="0099684D">
        <w:rPr>
          <w:rFonts w:ascii="Arial" w:hAnsi="Arial" w:cs="Arial"/>
          <w:bCs/>
        </w:rPr>
        <w:t xml:space="preserve">made </w:t>
      </w:r>
      <w:r>
        <w:rPr>
          <w:rFonts w:ascii="Arial" w:hAnsi="Arial" w:cs="Arial"/>
          <w:bCs/>
        </w:rPr>
        <w:t xml:space="preserve">in </w:t>
      </w:r>
      <w:r w:rsidRPr="0099684D">
        <w:rPr>
          <w:rFonts w:ascii="Arial" w:hAnsi="Arial" w:cs="Arial"/>
          <w:bCs/>
        </w:rPr>
        <w:t>2013</w:t>
      </w:r>
      <w:r>
        <w:rPr>
          <w:rFonts w:ascii="Arial" w:hAnsi="Arial" w:cs="Arial"/>
          <w:bCs/>
        </w:rPr>
        <w:t>-</w:t>
      </w:r>
      <w:r w:rsidRPr="0099684D">
        <w:rPr>
          <w:rFonts w:ascii="Arial" w:hAnsi="Arial" w:cs="Arial"/>
          <w:bCs/>
        </w:rPr>
        <w:t>2014</w:t>
      </w:r>
      <w:r>
        <w:rPr>
          <w:rFonts w:ascii="Arial" w:hAnsi="Arial" w:cs="Arial"/>
          <w:bCs/>
        </w:rPr>
        <w:t>.</w:t>
      </w:r>
      <w:r w:rsidRPr="0099684D">
        <w:rPr>
          <w:rFonts w:ascii="Arial" w:hAnsi="Arial" w:cs="Arial"/>
          <w:bCs/>
        </w:rPr>
        <w:t xml:space="preserve"> This is a </w:t>
      </w:r>
      <w:r>
        <w:rPr>
          <w:rFonts w:ascii="Arial" w:hAnsi="Arial" w:cs="Arial"/>
          <w:bCs/>
        </w:rPr>
        <w:t xml:space="preserve">significant </w:t>
      </w:r>
      <w:r w:rsidRPr="0099684D">
        <w:rPr>
          <w:rFonts w:ascii="Arial" w:hAnsi="Arial" w:cs="Arial"/>
          <w:bCs/>
        </w:rPr>
        <w:t>4</w:t>
      </w:r>
      <w:r>
        <w:rPr>
          <w:rFonts w:ascii="Arial" w:hAnsi="Arial" w:cs="Arial"/>
          <w:bCs/>
        </w:rPr>
        <w:t>0</w:t>
      </w:r>
      <w:r w:rsidRPr="0099684D">
        <w:rPr>
          <w:rFonts w:ascii="Arial" w:hAnsi="Arial" w:cs="Arial"/>
          <w:bCs/>
        </w:rPr>
        <w:t xml:space="preserve">% </w:t>
      </w:r>
      <w:r w:rsidR="006D3421">
        <w:rPr>
          <w:rFonts w:ascii="Arial" w:hAnsi="Arial" w:cs="Arial"/>
          <w:bCs/>
        </w:rPr>
        <w:t xml:space="preserve">increase </w:t>
      </w:r>
      <w:r w:rsidR="00871158">
        <w:rPr>
          <w:rFonts w:ascii="Arial" w:hAnsi="Arial" w:cs="Arial"/>
          <w:bCs/>
        </w:rPr>
        <w:t>o</w:t>
      </w:r>
      <w:r w:rsidRPr="0099684D">
        <w:rPr>
          <w:rFonts w:ascii="Arial" w:hAnsi="Arial" w:cs="Arial"/>
          <w:bCs/>
        </w:rPr>
        <w:t xml:space="preserve">n the </w:t>
      </w:r>
      <w:r>
        <w:rPr>
          <w:rFonts w:ascii="Arial" w:hAnsi="Arial" w:cs="Arial"/>
          <w:bCs/>
        </w:rPr>
        <w:t xml:space="preserve">number of </w:t>
      </w:r>
      <w:r w:rsidRPr="0099684D">
        <w:rPr>
          <w:rFonts w:ascii="Arial" w:hAnsi="Arial" w:cs="Arial"/>
          <w:bCs/>
        </w:rPr>
        <w:t xml:space="preserve">claims lodged </w:t>
      </w:r>
      <w:r>
        <w:rPr>
          <w:rFonts w:ascii="Arial" w:hAnsi="Arial" w:cs="Arial"/>
          <w:bCs/>
        </w:rPr>
        <w:t xml:space="preserve">the previous year (555 applications </w:t>
      </w:r>
      <w:r w:rsidRPr="0099684D">
        <w:rPr>
          <w:rFonts w:ascii="Arial" w:hAnsi="Arial" w:cs="Arial"/>
          <w:bCs/>
        </w:rPr>
        <w:t>in 2012-2013</w:t>
      </w:r>
      <w:r>
        <w:rPr>
          <w:rFonts w:ascii="Arial" w:hAnsi="Arial" w:cs="Arial"/>
          <w:bCs/>
        </w:rPr>
        <w:t>);</w:t>
      </w:r>
    </w:p>
    <w:p w:rsidR="00784473" w:rsidRDefault="00784473" w:rsidP="00784473">
      <w:pPr>
        <w:pStyle w:val="ListParagraph"/>
        <w:numPr>
          <w:ilvl w:val="0"/>
          <w:numId w:val="25"/>
        </w:numPr>
        <w:rPr>
          <w:rFonts w:ascii="Arial" w:hAnsi="Arial" w:cs="Arial"/>
          <w:bCs/>
        </w:rPr>
      </w:pPr>
      <w:r>
        <w:rPr>
          <w:rFonts w:ascii="Arial" w:hAnsi="Arial" w:cs="Arial"/>
          <w:bCs/>
        </w:rPr>
        <w:t xml:space="preserve">701 </w:t>
      </w:r>
      <w:r w:rsidRPr="0099684D">
        <w:rPr>
          <w:rFonts w:ascii="Arial" w:hAnsi="Arial" w:cs="Arial"/>
          <w:bCs/>
        </w:rPr>
        <w:t xml:space="preserve">applications </w:t>
      </w:r>
      <w:r>
        <w:rPr>
          <w:rFonts w:ascii="Arial" w:hAnsi="Arial" w:cs="Arial"/>
          <w:bCs/>
        </w:rPr>
        <w:t xml:space="preserve">were filed in </w:t>
      </w:r>
      <w:r w:rsidRPr="0099684D">
        <w:rPr>
          <w:rFonts w:ascii="Arial" w:hAnsi="Arial" w:cs="Arial"/>
          <w:bCs/>
        </w:rPr>
        <w:t xml:space="preserve">the first </w:t>
      </w:r>
      <w:r>
        <w:rPr>
          <w:rFonts w:ascii="Arial" w:hAnsi="Arial" w:cs="Arial"/>
          <w:bCs/>
        </w:rPr>
        <w:t>12</w:t>
      </w:r>
      <w:r w:rsidRPr="0099684D">
        <w:rPr>
          <w:rFonts w:ascii="Arial" w:hAnsi="Arial" w:cs="Arial"/>
          <w:bCs/>
        </w:rPr>
        <w:t xml:space="preserve"> months of</w:t>
      </w:r>
      <w:r>
        <w:rPr>
          <w:rFonts w:ascii="Arial" w:hAnsi="Arial" w:cs="Arial"/>
          <w:bCs/>
        </w:rPr>
        <w:t xml:space="preserve"> the anti-bullying jurisdiction in 2014, </w:t>
      </w:r>
      <w:r w:rsidRPr="0099684D">
        <w:rPr>
          <w:rFonts w:ascii="Arial" w:hAnsi="Arial" w:cs="Arial"/>
          <w:bCs/>
        </w:rPr>
        <w:t xml:space="preserve">with a gradual increase in the number </w:t>
      </w:r>
      <w:r>
        <w:rPr>
          <w:rFonts w:ascii="Arial" w:hAnsi="Arial" w:cs="Arial"/>
          <w:bCs/>
        </w:rPr>
        <w:t xml:space="preserve">filed </w:t>
      </w:r>
      <w:r w:rsidRPr="0099684D">
        <w:rPr>
          <w:rFonts w:ascii="Arial" w:hAnsi="Arial" w:cs="Arial"/>
          <w:bCs/>
        </w:rPr>
        <w:t>each month</w:t>
      </w:r>
      <w:r>
        <w:rPr>
          <w:rFonts w:ascii="Arial" w:hAnsi="Arial" w:cs="Arial"/>
          <w:bCs/>
        </w:rPr>
        <w:t>.</w:t>
      </w:r>
      <w:r>
        <w:rPr>
          <w:rStyle w:val="FootnoteReference"/>
          <w:rFonts w:ascii="Arial" w:hAnsi="Arial" w:cs="Arial"/>
          <w:bCs/>
        </w:rPr>
        <w:footnoteReference w:id="47"/>
      </w:r>
    </w:p>
    <w:p w:rsidR="00784473" w:rsidRDefault="00784473" w:rsidP="00784473">
      <w:pPr>
        <w:rPr>
          <w:rFonts w:ascii="Arial" w:hAnsi="Arial" w:cs="Arial"/>
          <w:bCs/>
        </w:rPr>
      </w:pPr>
      <w:r>
        <w:rPr>
          <w:rFonts w:ascii="Arial" w:hAnsi="Arial" w:cs="Arial"/>
          <w:bCs/>
        </w:rPr>
        <w:t xml:space="preserve">Both adverse action (non-dismissal) and bullying disputes lodged by employees occur while the employment relationship </w:t>
      </w:r>
      <w:r w:rsidR="00A00302">
        <w:rPr>
          <w:rFonts w:ascii="Arial" w:hAnsi="Arial" w:cs="Arial"/>
          <w:bCs/>
        </w:rPr>
        <w:t>remains on foot as t</w:t>
      </w:r>
      <w:r>
        <w:rPr>
          <w:rFonts w:ascii="Arial" w:hAnsi="Arial" w:cs="Arial"/>
          <w:bCs/>
        </w:rPr>
        <w:t xml:space="preserve">here is no jurisdiction for the FWC to deal with such claims if the employment relationship is terminated </w:t>
      </w:r>
      <w:r w:rsidR="00A00302">
        <w:rPr>
          <w:rFonts w:ascii="Arial" w:hAnsi="Arial" w:cs="Arial"/>
          <w:bCs/>
        </w:rPr>
        <w:t>under either Chapter 3, Part 3-1, Division 8, Subdivision B (Other contraventions) or  Part 6-4B (Workers bullied at work)</w:t>
      </w:r>
      <w:r w:rsidR="00A00302" w:rsidRPr="00A00302">
        <w:rPr>
          <w:rFonts w:ascii="Arial" w:hAnsi="Arial" w:cs="Arial"/>
          <w:bCs/>
        </w:rPr>
        <w:t xml:space="preserve"> </w:t>
      </w:r>
      <w:r w:rsidR="00A00302">
        <w:rPr>
          <w:rFonts w:ascii="Arial" w:hAnsi="Arial" w:cs="Arial"/>
          <w:bCs/>
        </w:rPr>
        <w:t>although of course there are other jurisdictions under the FW Act.</w:t>
      </w:r>
    </w:p>
    <w:p w:rsidR="00784473" w:rsidRPr="00D871F5" w:rsidRDefault="00784473" w:rsidP="00784473">
      <w:pPr>
        <w:rPr>
          <w:rFonts w:ascii="Arial" w:hAnsi="Arial" w:cs="Arial"/>
          <w:b/>
          <w:bCs/>
          <w:i/>
          <w:color w:val="C0504D"/>
          <w:sz w:val="24"/>
          <w:szCs w:val="24"/>
        </w:rPr>
      </w:pPr>
      <w:r w:rsidRPr="00D871F5">
        <w:rPr>
          <w:rFonts w:ascii="Arial" w:hAnsi="Arial" w:cs="Arial"/>
          <w:b/>
          <w:bCs/>
          <w:i/>
          <w:color w:val="C0504D"/>
          <w:sz w:val="24"/>
          <w:szCs w:val="24"/>
        </w:rPr>
        <w:t>General protections (non-dismissal) process</w:t>
      </w:r>
    </w:p>
    <w:p w:rsidR="00784473" w:rsidRPr="006476A0" w:rsidRDefault="00A00302" w:rsidP="00784473">
      <w:pPr>
        <w:rPr>
          <w:rFonts w:ascii="Arial" w:hAnsi="Arial" w:cs="Arial"/>
          <w:bCs/>
          <w:highlight w:val="yellow"/>
        </w:rPr>
      </w:pPr>
      <w:r>
        <w:rPr>
          <w:rFonts w:ascii="Arial" w:hAnsi="Arial" w:cs="Arial"/>
          <w:bCs/>
        </w:rPr>
        <w:t>An</w:t>
      </w:r>
      <w:r w:rsidR="00784473" w:rsidRPr="00331F43">
        <w:rPr>
          <w:rFonts w:ascii="Arial" w:hAnsi="Arial" w:cs="Arial"/>
          <w:bCs/>
        </w:rPr>
        <w:t xml:space="preserve"> application is made by the filing of Form F</w:t>
      </w:r>
      <w:r w:rsidR="00784473">
        <w:rPr>
          <w:rFonts w:ascii="Arial" w:hAnsi="Arial" w:cs="Arial"/>
          <w:bCs/>
        </w:rPr>
        <w:t>8C. T</w:t>
      </w:r>
      <w:r w:rsidR="00784473" w:rsidRPr="00331F43">
        <w:rPr>
          <w:rFonts w:ascii="Arial" w:hAnsi="Arial" w:cs="Arial"/>
          <w:bCs/>
        </w:rPr>
        <w:t xml:space="preserve">he </w:t>
      </w:r>
      <w:r w:rsidR="00784473">
        <w:rPr>
          <w:rFonts w:ascii="Arial" w:hAnsi="Arial" w:cs="Arial"/>
          <w:bCs/>
        </w:rPr>
        <w:t xml:space="preserve">employer </w:t>
      </w:r>
      <w:r w:rsidR="00784473" w:rsidRPr="00331F43">
        <w:rPr>
          <w:rFonts w:ascii="Arial" w:hAnsi="Arial" w:cs="Arial"/>
          <w:bCs/>
        </w:rPr>
        <w:t>is given a copy of the applica</w:t>
      </w:r>
      <w:r w:rsidR="00784473">
        <w:rPr>
          <w:rFonts w:ascii="Arial" w:hAnsi="Arial" w:cs="Arial"/>
          <w:bCs/>
        </w:rPr>
        <w:t>tion and</w:t>
      </w:r>
      <w:r w:rsidR="00784473" w:rsidRPr="00331F43">
        <w:rPr>
          <w:rFonts w:ascii="Arial" w:hAnsi="Arial" w:cs="Arial"/>
          <w:bCs/>
        </w:rPr>
        <w:t xml:space="preserve"> 7 days to respond using the Form </w:t>
      </w:r>
      <w:r w:rsidR="00784473">
        <w:rPr>
          <w:rFonts w:ascii="Arial" w:hAnsi="Arial" w:cs="Arial"/>
          <w:bCs/>
        </w:rPr>
        <w:t>F8A.</w:t>
      </w:r>
    </w:p>
    <w:p w:rsidR="00544F67" w:rsidRDefault="00784473" w:rsidP="00784473">
      <w:pPr>
        <w:rPr>
          <w:rFonts w:ascii="Arial" w:hAnsi="Arial" w:cs="Arial"/>
          <w:bCs/>
        </w:rPr>
      </w:pPr>
      <w:r w:rsidRPr="005A2E2F">
        <w:rPr>
          <w:rFonts w:ascii="Arial" w:hAnsi="Arial" w:cs="Arial"/>
          <w:bCs/>
        </w:rPr>
        <w:t>The FWC deals with general protections (non-dismissal) applications by private conference in the first instance, but only if all the parties to the dispute agree to participate (s</w:t>
      </w:r>
      <w:r w:rsidR="006931A6">
        <w:rPr>
          <w:rFonts w:ascii="Arial" w:hAnsi="Arial" w:cs="Arial"/>
          <w:bCs/>
        </w:rPr>
        <w:t xml:space="preserve"> </w:t>
      </w:r>
      <w:r w:rsidRPr="005A2E2F">
        <w:rPr>
          <w:rFonts w:ascii="Arial" w:hAnsi="Arial" w:cs="Arial"/>
          <w:bCs/>
        </w:rPr>
        <w:t xml:space="preserve">374). </w:t>
      </w:r>
      <w:r w:rsidR="00C11F90">
        <w:rPr>
          <w:rFonts w:ascii="Arial" w:hAnsi="Arial" w:cs="Arial"/>
          <w:bCs/>
        </w:rPr>
        <w:t>CCER understand</w:t>
      </w:r>
      <w:r w:rsidR="00FA25F4">
        <w:rPr>
          <w:rFonts w:ascii="Arial" w:hAnsi="Arial" w:cs="Arial"/>
          <w:bCs/>
        </w:rPr>
        <w:t>s</w:t>
      </w:r>
      <w:r w:rsidR="00C11F90">
        <w:rPr>
          <w:rFonts w:ascii="Arial" w:hAnsi="Arial" w:cs="Arial"/>
          <w:bCs/>
        </w:rPr>
        <w:t xml:space="preserve"> that </w:t>
      </w:r>
      <w:r w:rsidR="00FA25F4">
        <w:rPr>
          <w:rFonts w:ascii="Arial" w:hAnsi="Arial" w:cs="Arial"/>
          <w:bCs/>
        </w:rPr>
        <w:t>t</w:t>
      </w:r>
      <w:r w:rsidRPr="005A2E2F">
        <w:rPr>
          <w:rFonts w:ascii="Arial" w:hAnsi="Arial" w:cs="Arial"/>
          <w:bCs/>
        </w:rPr>
        <w:t xml:space="preserve">hese conferences </w:t>
      </w:r>
      <w:r w:rsidRPr="00C11F90">
        <w:rPr>
          <w:rFonts w:ascii="Arial" w:hAnsi="Arial" w:cs="Arial"/>
          <w:bCs/>
        </w:rPr>
        <w:t xml:space="preserve">are held by FWC members and not the </w:t>
      </w:r>
      <w:r w:rsidR="00C11F90" w:rsidRPr="00C11F90">
        <w:rPr>
          <w:rFonts w:ascii="Arial" w:hAnsi="Arial" w:cs="Arial"/>
          <w:bCs/>
        </w:rPr>
        <w:t xml:space="preserve">specialist </w:t>
      </w:r>
      <w:r w:rsidRPr="00C11F90">
        <w:rPr>
          <w:rFonts w:ascii="Arial" w:hAnsi="Arial" w:cs="Arial"/>
          <w:bCs/>
        </w:rPr>
        <w:t>mediators</w:t>
      </w:r>
      <w:r w:rsidRPr="005A2E2F">
        <w:rPr>
          <w:rFonts w:ascii="Arial" w:hAnsi="Arial" w:cs="Arial"/>
          <w:bCs/>
        </w:rPr>
        <w:t xml:space="preserve"> that manage unfair dismissal matters. If disputes are not resolved in this process they can only be determined by the Federal Circuit Court or Federal Court if the applicant wishes to pursue the claim.</w:t>
      </w:r>
      <w:r>
        <w:rPr>
          <w:rFonts w:ascii="Arial" w:hAnsi="Arial" w:cs="Arial"/>
          <w:bCs/>
        </w:rPr>
        <w:t xml:space="preserve"> </w:t>
      </w:r>
      <w:r w:rsidR="00A934A8">
        <w:rPr>
          <w:rFonts w:ascii="Arial" w:hAnsi="Arial" w:cs="Arial"/>
          <w:bCs/>
        </w:rPr>
        <w:t xml:space="preserve">  </w:t>
      </w:r>
    </w:p>
    <w:p w:rsidR="00784473" w:rsidRDefault="00784473" w:rsidP="00784473">
      <w:pPr>
        <w:rPr>
          <w:rFonts w:ascii="Arial" w:hAnsi="Arial" w:cs="Arial"/>
          <w:bCs/>
        </w:rPr>
      </w:pPr>
      <w:r>
        <w:rPr>
          <w:rFonts w:ascii="Arial" w:hAnsi="Arial" w:cs="Arial"/>
          <w:bCs/>
        </w:rPr>
        <w:t xml:space="preserve">While it is open to a respondent not to agree to participate in </w:t>
      </w:r>
      <w:r w:rsidR="006E0279">
        <w:rPr>
          <w:rFonts w:ascii="Arial" w:hAnsi="Arial" w:cs="Arial"/>
          <w:bCs/>
        </w:rPr>
        <w:t>a conference</w:t>
      </w:r>
      <w:r>
        <w:rPr>
          <w:rFonts w:ascii="Arial" w:hAnsi="Arial" w:cs="Arial"/>
          <w:bCs/>
        </w:rPr>
        <w:t xml:space="preserve"> for a non-dismissal dispute, in CCER’s experience our </w:t>
      </w:r>
      <w:r w:rsidR="001537C7">
        <w:rPr>
          <w:rFonts w:ascii="Arial" w:hAnsi="Arial" w:cs="Arial"/>
          <w:bCs/>
        </w:rPr>
        <w:t>members</w:t>
      </w:r>
      <w:r>
        <w:rPr>
          <w:rFonts w:ascii="Arial" w:hAnsi="Arial" w:cs="Arial"/>
          <w:bCs/>
        </w:rPr>
        <w:t xml:space="preserve"> will invariably agree to participate. </w:t>
      </w:r>
      <w:r w:rsidR="00E33632">
        <w:rPr>
          <w:rFonts w:ascii="Arial" w:hAnsi="Arial" w:cs="Arial"/>
          <w:bCs/>
        </w:rPr>
        <w:t>Early r</w:t>
      </w:r>
      <w:r>
        <w:rPr>
          <w:rFonts w:ascii="Arial" w:hAnsi="Arial" w:cs="Arial"/>
          <w:bCs/>
        </w:rPr>
        <w:t xml:space="preserve">esolution of the dispute is particularly important in light of the need to manage or repair the ongoing employment relationship </w:t>
      </w:r>
      <w:r w:rsidR="00966227">
        <w:rPr>
          <w:rFonts w:ascii="Arial" w:hAnsi="Arial" w:cs="Arial"/>
          <w:bCs/>
        </w:rPr>
        <w:t>before the relationship breaks down</w:t>
      </w:r>
      <w:r>
        <w:rPr>
          <w:rFonts w:ascii="Arial" w:hAnsi="Arial" w:cs="Arial"/>
          <w:bCs/>
        </w:rPr>
        <w:t xml:space="preserve">.  The alternative prospect of delayed and expensive court proceedings is unlikely to enhance </w:t>
      </w:r>
      <w:r w:rsidR="005D3D71">
        <w:rPr>
          <w:rFonts w:ascii="Arial" w:hAnsi="Arial" w:cs="Arial"/>
          <w:bCs/>
        </w:rPr>
        <w:t xml:space="preserve">or even maintain </w:t>
      </w:r>
      <w:r>
        <w:rPr>
          <w:rFonts w:ascii="Arial" w:hAnsi="Arial" w:cs="Arial"/>
          <w:bCs/>
        </w:rPr>
        <w:t xml:space="preserve">a workable relationship in the interim.   </w:t>
      </w:r>
    </w:p>
    <w:p w:rsidR="00784473" w:rsidRDefault="00784473" w:rsidP="00784473">
      <w:pPr>
        <w:rPr>
          <w:rFonts w:ascii="Arial" w:hAnsi="Arial" w:cs="Arial"/>
          <w:bCs/>
        </w:rPr>
      </w:pPr>
      <w:r>
        <w:rPr>
          <w:rFonts w:ascii="Arial" w:hAnsi="Arial" w:cs="Arial"/>
          <w:bCs/>
        </w:rPr>
        <w:t xml:space="preserve">A general protections (non-dismissal) application (and others) can be dismissed by the FWC if not made in accordance with the Act, </w:t>
      </w:r>
      <w:r w:rsidR="00E33632">
        <w:rPr>
          <w:rFonts w:ascii="Arial" w:hAnsi="Arial" w:cs="Arial"/>
          <w:bCs/>
        </w:rPr>
        <w:t xml:space="preserve">or is </w:t>
      </w:r>
      <w:r>
        <w:rPr>
          <w:rFonts w:ascii="Arial" w:hAnsi="Arial" w:cs="Arial"/>
          <w:bCs/>
        </w:rPr>
        <w:t>frivolous, vexatious, or not likely to succeed (s</w:t>
      </w:r>
      <w:r w:rsidR="006E0279">
        <w:rPr>
          <w:rFonts w:ascii="Arial" w:hAnsi="Arial" w:cs="Arial"/>
          <w:bCs/>
        </w:rPr>
        <w:t>s</w:t>
      </w:r>
      <w:r>
        <w:rPr>
          <w:rFonts w:ascii="Arial" w:hAnsi="Arial" w:cs="Arial"/>
          <w:bCs/>
        </w:rPr>
        <w:t xml:space="preserve"> 587 (1)). After a conference, the FWC must advise the parties </w:t>
      </w:r>
      <w:r w:rsidR="00664F5B">
        <w:rPr>
          <w:rFonts w:ascii="Arial" w:hAnsi="Arial" w:cs="Arial"/>
          <w:bCs/>
        </w:rPr>
        <w:t xml:space="preserve">if they believe </w:t>
      </w:r>
      <w:r>
        <w:rPr>
          <w:rFonts w:ascii="Arial" w:hAnsi="Arial" w:cs="Arial"/>
          <w:bCs/>
        </w:rPr>
        <w:t xml:space="preserve">that the dispute would not have reasonable prospects of success if pursued in court (s 375). </w:t>
      </w:r>
    </w:p>
    <w:p w:rsidR="00784473" w:rsidRPr="00826A5E" w:rsidRDefault="00603278" w:rsidP="00784473">
      <w:pPr>
        <w:rPr>
          <w:rFonts w:ascii="Arial" w:hAnsi="Arial" w:cs="Arial"/>
          <w:b/>
          <w:bCs/>
          <w:i/>
          <w:color w:val="C0504D"/>
          <w:sz w:val="24"/>
          <w:szCs w:val="24"/>
        </w:rPr>
      </w:pPr>
      <w:r>
        <w:rPr>
          <w:rFonts w:ascii="Arial" w:hAnsi="Arial" w:cs="Arial"/>
          <w:b/>
          <w:bCs/>
          <w:i/>
          <w:color w:val="C0504D"/>
          <w:sz w:val="24"/>
          <w:szCs w:val="24"/>
        </w:rPr>
        <w:br w:type="page"/>
      </w:r>
      <w:r w:rsidR="00784473" w:rsidRPr="00826A5E">
        <w:rPr>
          <w:rFonts w:ascii="Arial" w:hAnsi="Arial" w:cs="Arial"/>
          <w:b/>
          <w:bCs/>
          <w:i/>
          <w:color w:val="C0504D"/>
          <w:sz w:val="24"/>
          <w:szCs w:val="24"/>
        </w:rPr>
        <w:lastRenderedPageBreak/>
        <w:t>Bullying claims process</w:t>
      </w:r>
    </w:p>
    <w:p w:rsidR="00784473" w:rsidRPr="00331F43" w:rsidRDefault="00723C24" w:rsidP="00784473">
      <w:pPr>
        <w:rPr>
          <w:rFonts w:ascii="Arial" w:hAnsi="Arial" w:cs="Arial"/>
          <w:bCs/>
        </w:rPr>
      </w:pPr>
      <w:r>
        <w:rPr>
          <w:rFonts w:ascii="Arial" w:hAnsi="Arial" w:cs="Arial"/>
          <w:bCs/>
        </w:rPr>
        <w:t>An</w:t>
      </w:r>
      <w:r w:rsidR="00784473" w:rsidRPr="00331F43">
        <w:rPr>
          <w:rFonts w:ascii="Arial" w:hAnsi="Arial" w:cs="Arial"/>
          <w:bCs/>
        </w:rPr>
        <w:t xml:space="preserve"> application is made by the filing of Form F72</w:t>
      </w:r>
      <w:r w:rsidR="00784473">
        <w:rPr>
          <w:rFonts w:ascii="Arial" w:hAnsi="Arial" w:cs="Arial"/>
          <w:bCs/>
        </w:rPr>
        <w:t>. T</w:t>
      </w:r>
      <w:r w:rsidR="00784473" w:rsidRPr="00331F43">
        <w:rPr>
          <w:rFonts w:ascii="Arial" w:hAnsi="Arial" w:cs="Arial"/>
          <w:bCs/>
        </w:rPr>
        <w:t xml:space="preserve">he </w:t>
      </w:r>
      <w:r w:rsidR="00784473">
        <w:rPr>
          <w:rFonts w:ascii="Arial" w:hAnsi="Arial" w:cs="Arial"/>
          <w:bCs/>
        </w:rPr>
        <w:t xml:space="preserve">employer </w:t>
      </w:r>
      <w:r w:rsidR="00784473" w:rsidRPr="00331F43">
        <w:rPr>
          <w:rFonts w:ascii="Arial" w:hAnsi="Arial" w:cs="Arial"/>
          <w:bCs/>
        </w:rPr>
        <w:t>is given a copy of the applica</w:t>
      </w:r>
      <w:r w:rsidR="00784473">
        <w:rPr>
          <w:rFonts w:ascii="Arial" w:hAnsi="Arial" w:cs="Arial"/>
          <w:bCs/>
        </w:rPr>
        <w:t>tion and</w:t>
      </w:r>
      <w:r w:rsidR="00784473" w:rsidRPr="00331F43">
        <w:rPr>
          <w:rFonts w:ascii="Arial" w:hAnsi="Arial" w:cs="Arial"/>
          <w:bCs/>
        </w:rPr>
        <w:t xml:space="preserve"> 7 days to respond using the Form F73</w:t>
      </w:r>
      <w:r w:rsidR="00784473">
        <w:rPr>
          <w:rFonts w:ascii="Arial" w:hAnsi="Arial" w:cs="Arial"/>
          <w:bCs/>
        </w:rPr>
        <w:t xml:space="preserve"> as is any person named in the complaint using the Form F74. </w:t>
      </w:r>
    </w:p>
    <w:p w:rsidR="00784473" w:rsidRDefault="00784473" w:rsidP="00784473">
      <w:pPr>
        <w:rPr>
          <w:rFonts w:ascii="Arial" w:hAnsi="Arial" w:cs="Arial"/>
          <w:bCs/>
        </w:rPr>
      </w:pPr>
      <w:r>
        <w:rPr>
          <w:rFonts w:ascii="Arial" w:hAnsi="Arial" w:cs="Arial"/>
          <w:bCs/>
        </w:rPr>
        <w:t xml:space="preserve">The FWC must start dealing with a bullying claim within 14 days of lodgement. The FWC anti-bullying case management team ‘triage’ applications. The FWC will usually contact parties within 24 hours of the claim’s lodgement and prioritise and assess whether a matter should be dealt with by a </w:t>
      </w:r>
      <w:r w:rsidR="00BB665A">
        <w:rPr>
          <w:rFonts w:ascii="Arial" w:hAnsi="Arial" w:cs="Arial"/>
          <w:bCs/>
        </w:rPr>
        <w:t>FWC</w:t>
      </w:r>
      <w:r>
        <w:rPr>
          <w:rFonts w:ascii="Arial" w:hAnsi="Arial" w:cs="Arial"/>
          <w:bCs/>
        </w:rPr>
        <w:t xml:space="preserve"> member or referred to a qualified FWC mediator for phone mediation. </w:t>
      </w:r>
    </w:p>
    <w:p w:rsidR="00784473" w:rsidRDefault="00784473" w:rsidP="00784473">
      <w:pPr>
        <w:rPr>
          <w:rFonts w:ascii="Arial" w:hAnsi="Arial" w:cs="Arial"/>
          <w:bCs/>
        </w:rPr>
      </w:pPr>
      <w:r>
        <w:rPr>
          <w:rFonts w:ascii="Arial" w:hAnsi="Arial" w:cs="Arial"/>
          <w:bCs/>
        </w:rPr>
        <w:t xml:space="preserve">In most cases, matters have been referred to a </w:t>
      </w:r>
      <w:r w:rsidR="00C53814">
        <w:rPr>
          <w:rFonts w:ascii="Arial" w:hAnsi="Arial" w:cs="Arial"/>
          <w:bCs/>
        </w:rPr>
        <w:t>FWC</w:t>
      </w:r>
      <w:r>
        <w:rPr>
          <w:rFonts w:ascii="Arial" w:hAnsi="Arial" w:cs="Arial"/>
          <w:bCs/>
        </w:rPr>
        <w:t xml:space="preserve"> member and informal conferences conducted with the aim to ‘</w:t>
      </w:r>
      <w:r w:rsidRPr="00920EFE">
        <w:rPr>
          <w:rFonts w:ascii="Arial" w:hAnsi="Arial" w:cs="Arial"/>
          <w:bCs/>
          <w:i/>
        </w:rPr>
        <w:t>stabilise the relationships</w:t>
      </w:r>
      <w:r>
        <w:rPr>
          <w:rFonts w:ascii="Arial" w:hAnsi="Arial" w:cs="Arial"/>
          <w:bCs/>
          <w:i/>
        </w:rPr>
        <w:t xml:space="preserve"> </w:t>
      </w:r>
      <w:r w:rsidRPr="00920EFE">
        <w:rPr>
          <w:rFonts w:ascii="Arial" w:hAnsi="Arial" w:cs="Arial"/>
          <w:bCs/>
          <w:i/>
        </w:rPr>
        <w:t>and make future arrangements</w:t>
      </w:r>
      <w:r>
        <w:rPr>
          <w:rFonts w:ascii="Arial" w:hAnsi="Arial" w:cs="Arial"/>
          <w:bCs/>
          <w:i/>
        </w:rPr>
        <w:t>’</w:t>
      </w:r>
      <w:r>
        <w:rPr>
          <w:rFonts w:ascii="Arial" w:hAnsi="Arial" w:cs="Arial"/>
          <w:bCs/>
        </w:rPr>
        <w:t>.</w:t>
      </w:r>
      <w:r>
        <w:rPr>
          <w:rStyle w:val="FootnoteReference"/>
          <w:rFonts w:ascii="Arial" w:hAnsi="Arial" w:cs="Arial"/>
          <w:bCs/>
        </w:rPr>
        <w:footnoteReference w:id="48"/>
      </w:r>
      <w:r>
        <w:rPr>
          <w:rFonts w:ascii="Arial" w:hAnsi="Arial" w:cs="Arial"/>
          <w:bCs/>
        </w:rPr>
        <w:t xml:space="preserve"> </w:t>
      </w:r>
    </w:p>
    <w:p w:rsidR="00784473" w:rsidRDefault="00784473" w:rsidP="00784473">
      <w:pPr>
        <w:rPr>
          <w:rFonts w:ascii="Arial" w:hAnsi="Arial" w:cs="Arial"/>
          <w:bCs/>
        </w:rPr>
      </w:pPr>
      <w:r>
        <w:rPr>
          <w:rFonts w:ascii="Arial" w:hAnsi="Arial" w:cs="Arial"/>
          <w:bCs/>
        </w:rPr>
        <w:t>The FWC can refer the matter to the relevant workplace health and safety (WHS) regulator if appropriate,</w:t>
      </w:r>
      <w:r>
        <w:rPr>
          <w:rStyle w:val="FootnoteReference"/>
          <w:rFonts w:ascii="Arial" w:hAnsi="Arial" w:cs="Arial"/>
          <w:bCs/>
        </w:rPr>
        <w:footnoteReference w:id="49"/>
      </w:r>
      <w:r>
        <w:rPr>
          <w:rFonts w:ascii="Arial" w:hAnsi="Arial" w:cs="Arial"/>
          <w:bCs/>
        </w:rPr>
        <w:t xml:space="preserve"> although there is no data as to whether this has occurred in the matters dealt with to date. Where the circumstances indicate a significant risk, a </w:t>
      </w:r>
      <w:r w:rsidR="00C53814">
        <w:rPr>
          <w:rFonts w:ascii="Arial" w:hAnsi="Arial" w:cs="Arial"/>
          <w:bCs/>
        </w:rPr>
        <w:t>FWC</w:t>
      </w:r>
      <w:r>
        <w:rPr>
          <w:rFonts w:ascii="Arial" w:hAnsi="Arial" w:cs="Arial"/>
          <w:bCs/>
        </w:rPr>
        <w:t xml:space="preserve"> member may also hold a preliminary conference or urgent hearing for interim orders that the bullying stop. </w:t>
      </w:r>
    </w:p>
    <w:p w:rsidR="00784473" w:rsidRDefault="00784473" w:rsidP="00784473">
      <w:pPr>
        <w:rPr>
          <w:rFonts w:ascii="Arial" w:hAnsi="Arial" w:cs="Arial"/>
          <w:bCs/>
        </w:rPr>
      </w:pPr>
      <w:r>
        <w:rPr>
          <w:rFonts w:ascii="Arial" w:hAnsi="Arial" w:cs="Arial"/>
          <w:bCs/>
        </w:rPr>
        <w:t>Orders can only be made to prevent further bullying where the FWC is satisfied that bullying has occurred and where there is a risk that bullying behaviour could continue. While orders made in a successful claim cannot include a pecuniary amount, CCER is aware that some bullying matters have been settled by payment of monetary compensation.</w:t>
      </w:r>
    </w:p>
    <w:p w:rsidR="00784473" w:rsidRPr="00826A5E" w:rsidRDefault="00784473" w:rsidP="00784473">
      <w:pPr>
        <w:rPr>
          <w:rFonts w:ascii="Arial" w:hAnsi="Arial" w:cs="Arial"/>
          <w:b/>
          <w:bCs/>
          <w:i/>
          <w:color w:val="C0504D"/>
          <w:sz w:val="24"/>
          <w:szCs w:val="24"/>
        </w:rPr>
      </w:pPr>
      <w:r w:rsidRPr="00826A5E">
        <w:rPr>
          <w:rFonts w:ascii="Arial" w:hAnsi="Arial" w:cs="Arial"/>
          <w:b/>
          <w:bCs/>
          <w:i/>
          <w:color w:val="C0504D"/>
          <w:sz w:val="24"/>
          <w:szCs w:val="24"/>
        </w:rPr>
        <w:t xml:space="preserve">Outcomes of the current process/approach </w:t>
      </w:r>
    </w:p>
    <w:p w:rsidR="00784473" w:rsidRDefault="00784473" w:rsidP="00784473">
      <w:pPr>
        <w:rPr>
          <w:rFonts w:ascii="Arial" w:hAnsi="Arial" w:cs="Arial"/>
          <w:bCs/>
        </w:rPr>
      </w:pPr>
      <w:r>
        <w:rPr>
          <w:rFonts w:ascii="Arial" w:hAnsi="Arial" w:cs="Arial"/>
          <w:bCs/>
        </w:rPr>
        <w:t xml:space="preserve">While CCER is supportive of the FWC’s focus to resolve the matters in dispute and enable normal working relationships to continue, it is not clear </w:t>
      </w:r>
      <w:r w:rsidR="00723C24">
        <w:rPr>
          <w:rFonts w:ascii="Arial" w:hAnsi="Arial" w:cs="Arial"/>
          <w:bCs/>
        </w:rPr>
        <w:t xml:space="preserve">that </w:t>
      </w:r>
      <w:r>
        <w:rPr>
          <w:rFonts w:ascii="Arial" w:hAnsi="Arial" w:cs="Arial"/>
          <w:bCs/>
        </w:rPr>
        <w:t xml:space="preserve">the process </w:t>
      </w:r>
      <w:r w:rsidR="00723C24">
        <w:rPr>
          <w:rFonts w:ascii="Arial" w:hAnsi="Arial" w:cs="Arial"/>
          <w:bCs/>
        </w:rPr>
        <w:t>currently supports the maintenance of those relationships</w:t>
      </w:r>
      <w:r>
        <w:rPr>
          <w:rFonts w:ascii="Arial" w:hAnsi="Arial" w:cs="Arial"/>
          <w:bCs/>
        </w:rPr>
        <w:t>.</w:t>
      </w:r>
    </w:p>
    <w:p w:rsidR="00784473" w:rsidRPr="00D17130" w:rsidRDefault="00784473" w:rsidP="00784473">
      <w:pPr>
        <w:rPr>
          <w:rFonts w:ascii="Arial" w:hAnsi="Arial" w:cs="Arial"/>
          <w:bCs/>
          <w:i/>
          <w:color w:val="C0504D"/>
        </w:rPr>
      </w:pPr>
      <w:r w:rsidRPr="00D17130">
        <w:rPr>
          <w:rFonts w:ascii="Arial" w:hAnsi="Arial" w:cs="Arial"/>
          <w:bCs/>
          <w:i/>
          <w:color w:val="C0504D"/>
        </w:rPr>
        <w:t>Bullying</w:t>
      </w:r>
    </w:p>
    <w:p w:rsidR="00784473" w:rsidRDefault="00784473" w:rsidP="00784473">
      <w:pPr>
        <w:rPr>
          <w:rFonts w:ascii="Arial" w:hAnsi="Arial" w:cs="Arial"/>
          <w:bCs/>
        </w:rPr>
      </w:pPr>
      <w:r>
        <w:rPr>
          <w:rFonts w:ascii="Arial" w:hAnsi="Arial" w:cs="Arial"/>
          <w:bCs/>
        </w:rPr>
        <w:t xml:space="preserve">CCER notes that in the first 12 months of 2014, of the total 527 bullying matters finalised, a significant number of applications were either withdrawn early in the FWC case management process (149) or prior to proceedings (90). </w:t>
      </w:r>
      <w:r w:rsidR="007C5ED2">
        <w:rPr>
          <w:rFonts w:ascii="Arial" w:hAnsi="Arial" w:cs="Arial"/>
          <w:bCs/>
        </w:rPr>
        <w:t xml:space="preserve">In its </w:t>
      </w:r>
      <w:r w:rsidR="00E01083">
        <w:rPr>
          <w:rFonts w:ascii="Arial" w:hAnsi="Arial" w:cs="Arial"/>
          <w:bCs/>
        </w:rPr>
        <w:t>A</w:t>
      </w:r>
      <w:r w:rsidR="007C5ED2">
        <w:rPr>
          <w:rFonts w:ascii="Arial" w:hAnsi="Arial" w:cs="Arial"/>
          <w:bCs/>
        </w:rPr>
        <w:t xml:space="preserve">nnual </w:t>
      </w:r>
      <w:r w:rsidR="000520ED">
        <w:rPr>
          <w:rFonts w:ascii="Arial" w:hAnsi="Arial" w:cs="Arial"/>
          <w:bCs/>
        </w:rPr>
        <w:t xml:space="preserve">and </w:t>
      </w:r>
      <w:r w:rsidR="007C5ED2">
        <w:rPr>
          <w:rFonts w:ascii="Arial" w:hAnsi="Arial" w:cs="Arial"/>
          <w:bCs/>
        </w:rPr>
        <w:t>Quarterly Reports, th</w:t>
      </w:r>
      <w:r>
        <w:rPr>
          <w:rFonts w:ascii="Arial" w:hAnsi="Arial" w:cs="Arial"/>
          <w:bCs/>
        </w:rPr>
        <w:t xml:space="preserve">e FWC notes that this includes matters withdrawn prior to any </w:t>
      </w:r>
      <w:r w:rsidR="00C53814">
        <w:rPr>
          <w:rFonts w:ascii="Arial" w:hAnsi="Arial" w:cs="Arial"/>
          <w:bCs/>
        </w:rPr>
        <w:t>FWC</w:t>
      </w:r>
      <w:r>
        <w:rPr>
          <w:rFonts w:ascii="Arial" w:hAnsi="Arial" w:cs="Arial"/>
          <w:bCs/>
        </w:rPr>
        <w:t xml:space="preserve"> conference or mediation and includes matters where the applicant was satisfied with the response provided by the employer/respondent.</w:t>
      </w:r>
    </w:p>
    <w:p w:rsidR="00784473" w:rsidRDefault="00784473" w:rsidP="00784473">
      <w:pPr>
        <w:rPr>
          <w:rFonts w:ascii="Arial" w:hAnsi="Arial" w:cs="Arial"/>
          <w:color w:val="000000"/>
        </w:rPr>
      </w:pPr>
      <w:r>
        <w:rPr>
          <w:rFonts w:ascii="Arial" w:hAnsi="Arial" w:cs="Arial"/>
          <w:bCs/>
        </w:rPr>
        <w:t xml:space="preserve">52 matters were mediated by qualified FWC mediators. </w:t>
      </w:r>
      <w:r w:rsidRPr="000B718A">
        <w:rPr>
          <w:rFonts w:ascii="Arial" w:hAnsi="Arial" w:cs="Arial"/>
          <w:bCs/>
        </w:rPr>
        <w:t xml:space="preserve">Further, of the </w:t>
      </w:r>
      <w:r>
        <w:rPr>
          <w:rFonts w:ascii="Arial" w:hAnsi="Arial" w:cs="Arial"/>
          <w:bCs/>
        </w:rPr>
        <w:t xml:space="preserve">56 bullying </w:t>
      </w:r>
      <w:r w:rsidRPr="000B718A">
        <w:rPr>
          <w:rFonts w:ascii="Arial" w:hAnsi="Arial" w:cs="Arial"/>
          <w:bCs/>
        </w:rPr>
        <w:t>matters heard and determined by FW</w:t>
      </w:r>
      <w:r>
        <w:rPr>
          <w:rFonts w:ascii="Arial" w:hAnsi="Arial" w:cs="Arial"/>
          <w:bCs/>
        </w:rPr>
        <w:t>C members in 2014, 55</w:t>
      </w:r>
      <w:r w:rsidRPr="000B718A">
        <w:rPr>
          <w:rFonts w:ascii="Arial" w:hAnsi="Arial" w:cs="Arial"/>
          <w:bCs/>
        </w:rPr>
        <w:t xml:space="preserve"> were dismissed and only one order was granted. </w:t>
      </w:r>
      <w:r>
        <w:rPr>
          <w:rFonts w:ascii="Arial" w:hAnsi="Arial" w:cs="Arial"/>
          <w:bCs/>
        </w:rPr>
        <w:t>Seven of those matters were dismissed because bullying at work was not found and 44</w:t>
      </w:r>
      <w:r w:rsidRPr="000B718A">
        <w:rPr>
          <w:rFonts w:ascii="Arial" w:hAnsi="Arial" w:cs="Arial"/>
          <w:bCs/>
        </w:rPr>
        <w:t xml:space="preserve"> of those matters were dismissed under s</w:t>
      </w:r>
      <w:r>
        <w:rPr>
          <w:rFonts w:ascii="Arial" w:hAnsi="Arial" w:cs="Arial"/>
          <w:bCs/>
        </w:rPr>
        <w:t xml:space="preserve"> </w:t>
      </w:r>
      <w:r w:rsidRPr="000B718A">
        <w:rPr>
          <w:rFonts w:ascii="Arial" w:hAnsi="Arial" w:cs="Arial"/>
          <w:bCs/>
        </w:rPr>
        <w:t>587, which pro</w:t>
      </w:r>
      <w:r>
        <w:rPr>
          <w:rFonts w:ascii="Arial" w:hAnsi="Arial" w:cs="Arial"/>
          <w:bCs/>
        </w:rPr>
        <w:t xml:space="preserve">vides </w:t>
      </w:r>
      <w:r w:rsidRPr="000B718A">
        <w:rPr>
          <w:rFonts w:ascii="Arial" w:hAnsi="Arial" w:cs="Arial"/>
          <w:bCs/>
        </w:rPr>
        <w:t>for the F</w:t>
      </w:r>
      <w:r>
        <w:rPr>
          <w:rFonts w:ascii="Arial" w:hAnsi="Arial" w:cs="Arial"/>
          <w:bCs/>
        </w:rPr>
        <w:t xml:space="preserve">WC </w:t>
      </w:r>
      <w:r w:rsidRPr="000B718A">
        <w:rPr>
          <w:rFonts w:ascii="Arial" w:hAnsi="Arial" w:cs="Arial"/>
          <w:bCs/>
        </w:rPr>
        <w:t xml:space="preserve">to dismiss applications </w:t>
      </w:r>
      <w:r w:rsidRPr="000B718A">
        <w:rPr>
          <w:rFonts w:ascii="Arial" w:hAnsi="Arial" w:cs="Arial"/>
          <w:color w:val="000000"/>
        </w:rPr>
        <w:t>not made in accordance with the FW Act</w:t>
      </w:r>
      <w:r>
        <w:rPr>
          <w:rFonts w:ascii="Arial" w:hAnsi="Arial" w:cs="Arial"/>
          <w:color w:val="000000"/>
        </w:rPr>
        <w:t xml:space="preserve">, that are </w:t>
      </w:r>
      <w:r w:rsidRPr="000B718A">
        <w:rPr>
          <w:rFonts w:ascii="Arial" w:hAnsi="Arial" w:cs="Arial"/>
          <w:color w:val="000000"/>
        </w:rPr>
        <w:t>frivolous or vexatious</w:t>
      </w:r>
      <w:r>
        <w:rPr>
          <w:rFonts w:ascii="Arial" w:hAnsi="Arial" w:cs="Arial"/>
          <w:color w:val="000000"/>
        </w:rPr>
        <w:t xml:space="preserve">, </w:t>
      </w:r>
      <w:r w:rsidRPr="000B718A">
        <w:rPr>
          <w:rFonts w:ascii="Arial" w:hAnsi="Arial" w:cs="Arial"/>
          <w:color w:val="000000"/>
        </w:rPr>
        <w:t>or where there are no reasonable prospects of success.</w:t>
      </w:r>
    </w:p>
    <w:p w:rsidR="00784473" w:rsidRDefault="00784473" w:rsidP="00784473">
      <w:pPr>
        <w:rPr>
          <w:rFonts w:ascii="Arial" w:hAnsi="Arial" w:cs="Arial"/>
          <w:bCs/>
        </w:rPr>
      </w:pPr>
      <w:r>
        <w:rPr>
          <w:rFonts w:ascii="Arial" w:hAnsi="Arial" w:cs="Arial"/>
          <w:bCs/>
        </w:rPr>
        <w:t xml:space="preserve">While it is early days in this jurisdiction and difficult to predict trends, these outcomes would appear to indicate that the matters in dispute in many of these claims were not because of </w:t>
      </w:r>
      <w:r>
        <w:rPr>
          <w:rFonts w:ascii="Arial" w:hAnsi="Arial" w:cs="Arial"/>
          <w:bCs/>
        </w:rPr>
        <w:lastRenderedPageBreak/>
        <w:t>bullying behaviour (notwithstanding the belief may have been genuinely held by employees about their treatment). Rather they were claims arising from a workplace grievance such as an objection by an employee to being performance managed, a dispute about contractual entitlements</w:t>
      </w:r>
      <w:r w:rsidR="002C440F">
        <w:rPr>
          <w:rFonts w:ascii="Arial" w:hAnsi="Arial" w:cs="Arial"/>
          <w:bCs/>
        </w:rPr>
        <w:t>, or interpersonal conflict between colleagues.</w:t>
      </w:r>
      <w:r>
        <w:rPr>
          <w:rFonts w:ascii="Arial" w:hAnsi="Arial" w:cs="Arial"/>
          <w:bCs/>
        </w:rPr>
        <w:t xml:space="preserve"> </w:t>
      </w:r>
    </w:p>
    <w:p w:rsidR="00784473" w:rsidRDefault="00784473" w:rsidP="00784473">
      <w:pPr>
        <w:rPr>
          <w:rFonts w:ascii="Arial" w:hAnsi="Arial" w:cs="Arial"/>
          <w:bCs/>
        </w:rPr>
      </w:pPr>
      <w:r>
        <w:rPr>
          <w:rFonts w:ascii="Arial" w:hAnsi="Arial" w:cs="Arial"/>
          <w:bCs/>
        </w:rPr>
        <w:t xml:space="preserve">While obvious jurisdictional problems are identified by the FWC at the initial ‘triage‘ and information gathering stage, this process does not deter the </w:t>
      </w:r>
      <w:r w:rsidR="00C10938">
        <w:rPr>
          <w:rFonts w:ascii="Arial" w:hAnsi="Arial" w:cs="Arial"/>
          <w:bCs/>
        </w:rPr>
        <w:t xml:space="preserve">FWC’s </w:t>
      </w:r>
      <w:r>
        <w:rPr>
          <w:rFonts w:ascii="Arial" w:hAnsi="Arial" w:cs="Arial"/>
          <w:bCs/>
        </w:rPr>
        <w:t>ongoing management of claims that do not meet the definition of bullying, for example, claims that may be about a dysfunctional workplace relationship or conflict between parties</w:t>
      </w:r>
      <w:r w:rsidR="005704C5">
        <w:rPr>
          <w:rFonts w:ascii="Arial" w:hAnsi="Arial" w:cs="Arial"/>
          <w:bCs/>
        </w:rPr>
        <w:t>.</w:t>
      </w:r>
    </w:p>
    <w:p w:rsidR="00784473" w:rsidRDefault="00784473" w:rsidP="00784473">
      <w:pPr>
        <w:rPr>
          <w:rFonts w:ascii="Arial" w:hAnsi="Arial" w:cs="Arial"/>
        </w:rPr>
      </w:pPr>
      <w:r>
        <w:rPr>
          <w:rFonts w:ascii="Arial" w:eastAsia="Times New Roman" w:hAnsi="Arial" w:cs="Arial"/>
          <w:bCs/>
          <w:color w:val="000000"/>
          <w:lang w:eastAsia="en-AU"/>
        </w:rPr>
        <w:t xml:space="preserve">CCER’s </w:t>
      </w:r>
      <w:r w:rsidRPr="004A34D7">
        <w:rPr>
          <w:rFonts w:ascii="Arial" w:eastAsia="Times New Roman" w:hAnsi="Arial" w:cs="Arial"/>
          <w:bCs/>
          <w:color w:val="000000"/>
          <w:lang w:eastAsia="en-AU"/>
        </w:rPr>
        <w:t xml:space="preserve">experience in the bullying jurisdiction is the current process is </w:t>
      </w:r>
      <w:r>
        <w:rPr>
          <w:rFonts w:ascii="Arial" w:eastAsia="Times New Roman" w:hAnsi="Arial" w:cs="Arial"/>
          <w:bCs/>
          <w:color w:val="000000"/>
          <w:lang w:eastAsia="en-AU"/>
        </w:rPr>
        <w:t>lengthy</w:t>
      </w:r>
      <w:r w:rsidRPr="004A34D7">
        <w:rPr>
          <w:rFonts w:ascii="Arial" w:eastAsia="Times New Roman" w:hAnsi="Arial" w:cs="Arial"/>
          <w:bCs/>
          <w:color w:val="000000"/>
          <w:lang w:eastAsia="en-AU"/>
        </w:rPr>
        <w:t xml:space="preserve">, resource intensive, and adversarial. In short, on current experience we do not think it serves its objective of maintaining the employment relationship, if anything it does the opposite. </w:t>
      </w:r>
      <w:r w:rsidRPr="00F611A9">
        <w:rPr>
          <w:rFonts w:ascii="Arial" w:hAnsi="Arial" w:cs="Arial"/>
          <w:color w:val="000000"/>
        </w:rPr>
        <w:t>Notwithstanding the 14-day timeframe for the FWC to start dealing with a claim, anecdotally in CCER’s experience, timeframes for the matter to be listed for conciliat</w:t>
      </w:r>
      <w:r w:rsidR="00612D0A">
        <w:rPr>
          <w:rFonts w:ascii="Arial" w:hAnsi="Arial" w:cs="Arial"/>
          <w:color w:val="000000"/>
        </w:rPr>
        <w:t>ion</w:t>
      </w:r>
      <w:r w:rsidRPr="00F611A9">
        <w:rPr>
          <w:rFonts w:ascii="Arial" w:hAnsi="Arial" w:cs="Arial"/>
          <w:color w:val="000000"/>
        </w:rPr>
        <w:t xml:space="preserve"> and if necessary hear</w:t>
      </w:r>
      <w:r w:rsidR="00612D0A">
        <w:rPr>
          <w:rFonts w:ascii="Arial" w:hAnsi="Arial" w:cs="Arial"/>
          <w:color w:val="000000"/>
        </w:rPr>
        <w:t>ing</w:t>
      </w:r>
      <w:r w:rsidRPr="00F611A9">
        <w:rPr>
          <w:rFonts w:ascii="Arial" w:hAnsi="Arial" w:cs="Arial"/>
          <w:color w:val="000000"/>
        </w:rPr>
        <w:t>, are still moderately lengthy</w:t>
      </w:r>
      <w:r>
        <w:rPr>
          <w:rFonts w:ascii="Arial" w:hAnsi="Arial" w:cs="Arial"/>
          <w:color w:val="000000"/>
        </w:rPr>
        <w:t xml:space="preserve">. </w:t>
      </w:r>
      <w:r w:rsidR="00612D0A">
        <w:rPr>
          <w:rFonts w:ascii="Arial" w:hAnsi="Arial" w:cs="Arial"/>
          <w:color w:val="000000"/>
        </w:rPr>
        <w:t>Given this, we believe a</w:t>
      </w:r>
      <w:r w:rsidRPr="004A34D7">
        <w:rPr>
          <w:rFonts w:ascii="Arial" w:eastAsia="Times New Roman" w:hAnsi="Arial" w:cs="Arial"/>
          <w:bCs/>
          <w:color w:val="000000"/>
          <w:lang w:eastAsia="en-AU"/>
        </w:rPr>
        <w:t xml:space="preserve"> more</w:t>
      </w:r>
      <w:r w:rsidRPr="000D60C2">
        <w:rPr>
          <w:rFonts w:ascii="Arial" w:hAnsi="Arial" w:cs="Arial"/>
        </w:rPr>
        <w:t xml:space="preserve"> collaborative and less adversarial process (through </w:t>
      </w:r>
      <w:r>
        <w:rPr>
          <w:rFonts w:ascii="Arial" w:hAnsi="Arial" w:cs="Arial"/>
        </w:rPr>
        <w:t xml:space="preserve">other forms of alternative dispute resolution) </w:t>
      </w:r>
      <w:r w:rsidRPr="000D60C2">
        <w:rPr>
          <w:rFonts w:ascii="Arial" w:hAnsi="Arial" w:cs="Arial"/>
        </w:rPr>
        <w:t xml:space="preserve">may achieve better outcomes for all involved. It may also promote quicker resolution of matters. </w:t>
      </w:r>
    </w:p>
    <w:p w:rsidR="00784473" w:rsidRPr="00D17130" w:rsidRDefault="00784473" w:rsidP="00784473">
      <w:pPr>
        <w:rPr>
          <w:rFonts w:ascii="Arial" w:hAnsi="Arial" w:cs="Arial"/>
          <w:bCs/>
          <w:i/>
          <w:color w:val="C0504D"/>
        </w:rPr>
      </w:pPr>
      <w:r w:rsidRPr="00D17130">
        <w:rPr>
          <w:rFonts w:ascii="Arial" w:hAnsi="Arial" w:cs="Arial"/>
          <w:bCs/>
          <w:i/>
          <w:color w:val="C0504D"/>
        </w:rPr>
        <w:t xml:space="preserve">General protections (non-dismissal) matters </w:t>
      </w:r>
    </w:p>
    <w:p w:rsidR="00784473" w:rsidRPr="00D21C49" w:rsidRDefault="00784473" w:rsidP="00784473">
      <w:pPr>
        <w:rPr>
          <w:rFonts w:ascii="Arial" w:hAnsi="Arial" w:cs="Arial"/>
          <w:bCs/>
        </w:rPr>
      </w:pPr>
      <w:r w:rsidRPr="00D21C49">
        <w:rPr>
          <w:rFonts w:ascii="Arial" w:hAnsi="Arial" w:cs="Arial"/>
          <w:bCs/>
        </w:rPr>
        <w:t xml:space="preserve">There is limited data available about </w:t>
      </w:r>
      <w:r>
        <w:rPr>
          <w:rFonts w:ascii="Arial" w:hAnsi="Arial" w:cs="Arial"/>
          <w:bCs/>
        </w:rPr>
        <w:t>the outcomes of applications made under s</w:t>
      </w:r>
      <w:r w:rsidR="00C21D8E">
        <w:rPr>
          <w:rFonts w:ascii="Arial" w:hAnsi="Arial" w:cs="Arial"/>
          <w:bCs/>
        </w:rPr>
        <w:t xml:space="preserve"> </w:t>
      </w:r>
      <w:r>
        <w:rPr>
          <w:rFonts w:ascii="Arial" w:hAnsi="Arial" w:cs="Arial"/>
          <w:bCs/>
        </w:rPr>
        <w:t>372, as these matters are not disaggregated from FWC’s data about dispute resolution matters more generally.</w:t>
      </w:r>
    </w:p>
    <w:p w:rsidR="00784473" w:rsidRDefault="00784473" w:rsidP="00784473">
      <w:pPr>
        <w:rPr>
          <w:rFonts w:ascii="Arial" w:hAnsi="Arial" w:cs="Arial"/>
          <w:bCs/>
        </w:rPr>
      </w:pPr>
      <w:r w:rsidRPr="00D15058">
        <w:rPr>
          <w:rFonts w:ascii="Arial" w:hAnsi="Arial" w:cs="Arial"/>
          <w:bCs/>
        </w:rPr>
        <w:t>The median time from lodgement of general protections (non-dismissal) matters to the first</w:t>
      </w:r>
      <w:r>
        <w:rPr>
          <w:rFonts w:ascii="Arial" w:hAnsi="Arial" w:cs="Arial"/>
          <w:bCs/>
        </w:rPr>
        <w:t xml:space="preserve"> conference held by FWC is 26 days for 50% of matters and 50 days for 90% of m</w:t>
      </w:r>
      <w:r w:rsidR="00C21D8E">
        <w:rPr>
          <w:rFonts w:ascii="Arial" w:hAnsi="Arial" w:cs="Arial"/>
          <w:bCs/>
        </w:rPr>
        <w:t>atters.</w:t>
      </w:r>
      <w:r w:rsidR="00060F52">
        <w:rPr>
          <w:rStyle w:val="FootnoteReference"/>
          <w:rFonts w:ascii="Arial" w:hAnsi="Arial" w:cs="Arial"/>
          <w:bCs/>
        </w:rPr>
        <w:footnoteReference w:id="50"/>
      </w:r>
      <w:r>
        <w:rPr>
          <w:rFonts w:ascii="Arial" w:hAnsi="Arial" w:cs="Arial"/>
          <w:bCs/>
        </w:rPr>
        <w:t xml:space="preserve"> </w:t>
      </w:r>
    </w:p>
    <w:p w:rsidR="00784473" w:rsidRDefault="00784473" w:rsidP="00784473">
      <w:pPr>
        <w:rPr>
          <w:rFonts w:ascii="Arial" w:hAnsi="Arial" w:cs="Arial"/>
          <w:bCs/>
        </w:rPr>
      </w:pPr>
      <w:r>
        <w:rPr>
          <w:rFonts w:ascii="Arial" w:hAnsi="Arial" w:cs="Arial"/>
          <w:bCs/>
        </w:rPr>
        <w:t xml:space="preserve">While not a criticism of the FWC’s handling of these types of matters, we observe that this is a relatively lengthy period between the applicant making the complaint and the conciliation of the matter by the FWC with the parties (where participation in a conference is agreed). This time lapse may </w:t>
      </w:r>
      <w:r w:rsidR="00E10854">
        <w:rPr>
          <w:rFonts w:ascii="Arial" w:hAnsi="Arial" w:cs="Arial"/>
          <w:bCs/>
        </w:rPr>
        <w:t>further agitate t</w:t>
      </w:r>
      <w:r>
        <w:rPr>
          <w:rFonts w:ascii="Arial" w:hAnsi="Arial" w:cs="Arial"/>
          <w:bCs/>
        </w:rPr>
        <w:t>he dispute compared to earlier opportunities.</w:t>
      </w:r>
    </w:p>
    <w:p w:rsidR="00784473" w:rsidRDefault="00784473" w:rsidP="00784473">
      <w:pPr>
        <w:rPr>
          <w:rFonts w:ascii="Arial" w:hAnsi="Arial" w:cs="Arial"/>
          <w:bCs/>
        </w:rPr>
      </w:pPr>
      <w:r>
        <w:rPr>
          <w:rFonts w:ascii="Arial" w:hAnsi="Arial" w:cs="Arial"/>
          <w:bCs/>
        </w:rPr>
        <w:t xml:space="preserve">In CCER’s view, some </w:t>
      </w:r>
      <w:r w:rsidR="00C563CF">
        <w:rPr>
          <w:rFonts w:ascii="Arial" w:hAnsi="Arial" w:cs="Arial"/>
          <w:bCs/>
        </w:rPr>
        <w:t xml:space="preserve">of these </w:t>
      </w:r>
      <w:r>
        <w:rPr>
          <w:rFonts w:ascii="Arial" w:hAnsi="Arial" w:cs="Arial"/>
          <w:bCs/>
        </w:rPr>
        <w:t>matters may well have resolved at the workplace level had the parties been required or encouraged to resolve the dispute locally in the first instance</w:t>
      </w:r>
      <w:r w:rsidR="00797F02">
        <w:rPr>
          <w:rFonts w:ascii="Arial" w:hAnsi="Arial" w:cs="Arial"/>
          <w:bCs/>
        </w:rPr>
        <w:t>, potentially saving the employment relationship and saving FWC time and resources.</w:t>
      </w:r>
      <w:r>
        <w:rPr>
          <w:rFonts w:ascii="Arial" w:hAnsi="Arial" w:cs="Arial"/>
          <w:bCs/>
        </w:rPr>
        <w:t xml:space="preserve"> </w:t>
      </w:r>
    </w:p>
    <w:p w:rsidR="00784473" w:rsidRPr="00E10854" w:rsidRDefault="00784473" w:rsidP="00784473">
      <w:pPr>
        <w:rPr>
          <w:rFonts w:ascii="Arial" w:hAnsi="Arial" w:cs="Arial"/>
          <w:b/>
          <w:bCs/>
          <w:i/>
          <w:color w:val="C0504D"/>
          <w:sz w:val="24"/>
          <w:szCs w:val="24"/>
        </w:rPr>
      </w:pPr>
      <w:r w:rsidRPr="00E10854">
        <w:rPr>
          <w:rFonts w:ascii="Arial" w:hAnsi="Arial" w:cs="Arial"/>
          <w:b/>
          <w:bCs/>
          <w:i/>
          <w:color w:val="C0504D"/>
          <w:sz w:val="24"/>
          <w:szCs w:val="24"/>
        </w:rPr>
        <w:t>Currently no obligation to attempt to resolve disputes at local level first</w:t>
      </w:r>
    </w:p>
    <w:p w:rsidR="00784473" w:rsidRDefault="00784473" w:rsidP="00784473">
      <w:pPr>
        <w:rPr>
          <w:rFonts w:ascii="Arial" w:hAnsi="Arial" w:cs="Arial"/>
          <w:bCs/>
          <w:i/>
          <w:color w:val="C0504D"/>
          <w:sz w:val="24"/>
          <w:szCs w:val="24"/>
        </w:rPr>
      </w:pPr>
      <w:r>
        <w:rPr>
          <w:rFonts w:ascii="Arial" w:hAnsi="Arial" w:cs="Arial"/>
          <w:bCs/>
        </w:rPr>
        <w:t>Currently there is no obligation on a person making a bullying or general protections (non-dismissal) application to have raised or attempted to resolve the dispute at the workplace level in the first instance.</w:t>
      </w:r>
    </w:p>
    <w:p w:rsidR="00784473" w:rsidRPr="0087600D" w:rsidRDefault="00784473" w:rsidP="00784473">
      <w:pPr>
        <w:rPr>
          <w:rFonts w:ascii="Arial" w:hAnsi="Arial" w:cs="Arial"/>
          <w:bCs/>
          <w:i/>
          <w:color w:val="C0504D"/>
        </w:rPr>
      </w:pPr>
      <w:r w:rsidRPr="0087600D">
        <w:rPr>
          <w:rFonts w:ascii="Arial" w:hAnsi="Arial" w:cs="Arial"/>
          <w:bCs/>
          <w:i/>
          <w:color w:val="C0504D"/>
        </w:rPr>
        <w:t>Bullying</w:t>
      </w:r>
    </w:p>
    <w:p w:rsidR="00784473" w:rsidRDefault="00784473" w:rsidP="00784473">
      <w:pPr>
        <w:rPr>
          <w:rFonts w:ascii="Arial" w:hAnsi="Arial" w:cs="Arial"/>
          <w:bCs/>
        </w:rPr>
      </w:pPr>
      <w:r>
        <w:rPr>
          <w:rFonts w:ascii="Arial" w:hAnsi="Arial" w:cs="Arial"/>
          <w:bCs/>
        </w:rPr>
        <w:t xml:space="preserve">Section 789FF of the Act requires the FWC, when making an order to stop bullying, to take into account any known outcomes of investigations into the matter (whether complete or not), or if there are any internal grievance procedures available to the worker to resolve a dispute or complaint. This approach is to enable the FWC to seek to ensure consistency with </w:t>
      </w:r>
      <w:r>
        <w:rPr>
          <w:rFonts w:ascii="Arial" w:hAnsi="Arial" w:cs="Arial"/>
          <w:bCs/>
        </w:rPr>
        <w:lastRenderedPageBreak/>
        <w:t xml:space="preserve">any action being taken by other bodies such as WHS regulators </w:t>
      </w:r>
      <w:r w:rsidR="001F2BFA">
        <w:rPr>
          <w:rFonts w:ascii="Arial" w:hAnsi="Arial" w:cs="Arial"/>
          <w:bCs/>
        </w:rPr>
        <w:t>(a</w:t>
      </w:r>
      <w:r>
        <w:rPr>
          <w:rFonts w:ascii="Arial" w:hAnsi="Arial" w:cs="Arial"/>
          <w:bCs/>
        </w:rPr>
        <w:t>lthough arguably there may be some overlap or duplication between jurisdictions</w:t>
      </w:r>
      <w:r w:rsidR="001F2BFA">
        <w:rPr>
          <w:rFonts w:ascii="Arial" w:hAnsi="Arial" w:cs="Arial"/>
          <w:bCs/>
        </w:rPr>
        <w:t>,</w:t>
      </w:r>
      <w:r>
        <w:rPr>
          <w:rFonts w:ascii="Arial" w:hAnsi="Arial" w:cs="Arial"/>
          <w:bCs/>
        </w:rPr>
        <w:t xml:space="preserve"> see below).   </w:t>
      </w:r>
    </w:p>
    <w:p w:rsidR="00784473" w:rsidRDefault="00784473" w:rsidP="00784473">
      <w:pPr>
        <w:rPr>
          <w:rFonts w:ascii="Arial" w:hAnsi="Arial" w:cs="Arial"/>
          <w:bCs/>
        </w:rPr>
      </w:pPr>
      <w:r>
        <w:rPr>
          <w:rFonts w:ascii="Arial" w:hAnsi="Arial" w:cs="Arial"/>
          <w:bCs/>
        </w:rPr>
        <w:t xml:space="preserve">However, the </w:t>
      </w:r>
      <w:r w:rsidRPr="001208BC">
        <w:rPr>
          <w:rFonts w:ascii="Arial" w:hAnsi="Arial" w:cs="Arial"/>
          <w:bCs/>
        </w:rPr>
        <w:t xml:space="preserve">FW Act does not require </w:t>
      </w:r>
      <w:r>
        <w:rPr>
          <w:rFonts w:ascii="Arial" w:hAnsi="Arial" w:cs="Arial"/>
          <w:bCs/>
        </w:rPr>
        <w:t xml:space="preserve">a </w:t>
      </w:r>
      <w:r w:rsidRPr="001208BC">
        <w:rPr>
          <w:rFonts w:ascii="Arial" w:hAnsi="Arial" w:cs="Arial"/>
          <w:bCs/>
        </w:rPr>
        <w:t xml:space="preserve">worker to </w:t>
      </w:r>
      <w:r>
        <w:rPr>
          <w:rFonts w:ascii="Arial" w:hAnsi="Arial" w:cs="Arial"/>
          <w:bCs/>
        </w:rPr>
        <w:t xml:space="preserve">attempt to resolve the matter through an internal grievance procedure </w:t>
      </w:r>
      <w:r w:rsidRPr="001208BC">
        <w:rPr>
          <w:rFonts w:ascii="Arial" w:hAnsi="Arial" w:cs="Arial"/>
          <w:bCs/>
        </w:rPr>
        <w:t>before</w:t>
      </w:r>
      <w:r>
        <w:rPr>
          <w:rFonts w:ascii="Arial" w:hAnsi="Arial" w:cs="Arial"/>
          <w:bCs/>
        </w:rPr>
        <w:t xml:space="preserve"> lodging an anti-bullying claim. This lack of preliminary requirement was recently confirmed in a FWC decision by Commissioner Hampton:</w:t>
      </w:r>
    </w:p>
    <w:p w:rsidR="00784473" w:rsidRPr="00BD6287" w:rsidRDefault="00784473" w:rsidP="00784473">
      <w:pPr>
        <w:ind w:left="720"/>
        <w:rPr>
          <w:rFonts w:ascii="Arial" w:hAnsi="Arial" w:cs="Arial"/>
          <w:bCs/>
          <w:sz w:val="20"/>
          <w:szCs w:val="20"/>
        </w:rPr>
      </w:pPr>
      <w:r w:rsidRPr="00BD6287">
        <w:rPr>
          <w:rFonts w:ascii="Arial" w:hAnsi="Arial" w:cs="Arial"/>
          <w:i/>
          <w:sz w:val="20"/>
          <w:szCs w:val="20"/>
        </w:rPr>
        <w:t>In terms of the timing of the AB application, there is no requirement under the FW Act that a complaint or allegation of bullying be made at the workplace prior to lodging the application. Although in many cases that course of action would be well advised, the fact that this has not occurred is only relevant at the point when the Commission considers whether an Order should be made. This arises under s.789FF (2) (b), and potentially s.789FF (2) (c) and (d), of the FW Act</w:t>
      </w:r>
      <w:r w:rsidRPr="00BD6287">
        <w:rPr>
          <w:rFonts w:ascii="Arial" w:hAnsi="Arial" w:cs="Arial"/>
          <w:sz w:val="20"/>
          <w:szCs w:val="20"/>
        </w:rPr>
        <w:t xml:space="preserve">. </w:t>
      </w:r>
      <w:r w:rsidRPr="00BD6287">
        <w:rPr>
          <w:rStyle w:val="FootnoteReference"/>
          <w:rFonts w:ascii="Arial" w:hAnsi="Arial" w:cs="Arial"/>
          <w:sz w:val="20"/>
          <w:szCs w:val="20"/>
        </w:rPr>
        <w:footnoteReference w:id="51"/>
      </w:r>
    </w:p>
    <w:p w:rsidR="00137C56" w:rsidRPr="00137C56" w:rsidRDefault="00784473" w:rsidP="00137C56">
      <w:pPr>
        <w:rPr>
          <w:rFonts w:ascii="Arial" w:eastAsia="Times New Roman" w:hAnsi="Arial" w:cs="Arial"/>
          <w:color w:val="000000"/>
          <w:lang w:eastAsia="en-AU"/>
        </w:rPr>
      </w:pPr>
      <w:r w:rsidRPr="00FD4E24">
        <w:rPr>
          <w:rFonts w:ascii="Arial" w:hAnsi="Arial" w:cs="Arial"/>
          <w:bCs/>
        </w:rPr>
        <w:t xml:space="preserve">This </w:t>
      </w:r>
      <w:r w:rsidR="005411A7" w:rsidRPr="00FD4E24">
        <w:rPr>
          <w:rFonts w:ascii="Arial" w:hAnsi="Arial" w:cs="Arial"/>
          <w:bCs/>
        </w:rPr>
        <w:t xml:space="preserve">lack of onus on a worker to raise a WHS concern or risk with the person conducting a business or undertaking (PCBU) appears inconsistent </w:t>
      </w:r>
      <w:r w:rsidR="00FD4E24">
        <w:rPr>
          <w:rFonts w:ascii="Arial" w:hAnsi="Arial" w:cs="Arial"/>
          <w:bCs/>
        </w:rPr>
        <w:t xml:space="preserve">with </w:t>
      </w:r>
      <w:r w:rsidR="00D20DBB" w:rsidRPr="00FD4E24">
        <w:rPr>
          <w:rFonts w:ascii="Arial" w:hAnsi="Arial" w:cs="Arial"/>
          <w:bCs/>
        </w:rPr>
        <w:t>the</w:t>
      </w:r>
      <w:r w:rsidR="005411A7" w:rsidRPr="00FD4E24">
        <w:rPr>
          <w:rFonts w:ascii="Arial" w:hAnsi="Arial" w:cs="Arial"/>
          <w:bCs/>
        </w:rPr>
        <w:t xml:space="preserve"> legal obligation</w:t>
      </w:r>
      <w:r w:rsidR="00FD4E24">
        <w:rPr>
          <w:rFonts w:ascii="Arial" w:hAnsi="Arial" w:cs="Arial"/>
          <w:bCs/>
        </w:rPr>
        <w:t xml:space="preserve">s of </w:t>
      </w:r>
      <w:r w:rsidR="00D20DBB">
        <w:rPr>
          <w:rFonts w:ascii="Arial" w:hAnsi="Arial" w:cs="Arial"/>
          <w:bCs/>
        </w:rPr>
        <w:t xml:space="preserve">workers </w:t>
      </w:r>
      <w:r w:rsidR="00D20DBB" w:rsidRPr="00FD4E24">
        <w:rPr>
          <w:rFonts w:ascii="Arial" w:hAnsi="Arial" w:cs="Arial"/>
          <w:bCs/>
        </w:rPr>
        <w:t>under</w:t>
      </w:r>
      <w:r w:rsidR="005411A7" w:rsidRPr="00FD4E24">
        <w:rPr>
          <w:rFonts w:ascii="Arial" w:hAnsi="Arial" w:cs="Arial"/>
          <w:bCs/>
        </w:rPr>
        <w:t xml:space="preserve"> WHS legislation</w:t>
      </w:r>
      <w:r w:rsidR="00FD4E24">
        <w:rPr>
          <w:rFonts w:ascii="Arial" w:hAnsi="Arial" w:cs="Arial"/>
          <w:bCs/>
        </w:rPr>
        <w:t xml:space="preserve">, </w:t>
      </w:r>
      <w:r w:rsidR="00137C56" w:rsidRPr="00FD4E24">
        <w:rPr>
          <w:rFonts w:ascii="Arial" w:hAnsi="Arial" w:cs="Arial"/>
          <w:bCs/>
        </w:rPr>
        <w:t>such as</w:t>
      </w:r>
      <w:r w:rsidR="00FD4E24">
        <w:rPr>
          <w:rFonts w:ascii="Arial" w:hAnsi="Arial" w:cs="Arial"/>
          <w:bCs/>
        </w:rPr>
        <w:t xml:space="preserve">, complying </w:t>
      </w:r>
      <w:r w:rsidR="00D20DBB">
        <w:rPr>
          <w:rFonts w:ascii="Arial" w:hAnsi="Arial" w:cs="Arial"/>
          <w:bCs/>
        </w:rPr>
        <w:t>with</w:t>
      </w:r>
      <w:r w:rsidR="00FD4E24">
        <w:rPr>
          <w:rFonts w:ascii="Arial" w:hAnsi="Arial" w:cs="Arial"/>
          <w:bCs/>
        </w:rPr>
        <w:t xml:space="preserve"> reasonable instructions </w:t>
      </w:r>
      <w:r w:rsidR="00D20DBB">
        <w:rPr>
          <w:rFonts w:ascii="Arial" w:hAnsi="Arial" w:cs="Arial"/>
          <w:bCs/>
        </w:rPr>
        <w:t>to</w:t>
      </w:r>
      <w:r w:rsidR="00FD4E24">
        <w:rPr>
          <w:rFonts w:ascii="Arial" w:hAnsi="Arial" w:cs="Arial"/>
          <w:bCs/>
        </w:rPr>
        <w:t xml:space="preserve"> allow the PCBU </w:t>
      </w:r>
      <w:r w:rsidR="00D20DBB">
        <w:rPr>
          <w:rFonts w:ascii="Arial" w:hAnsi="Arial" w:cs="Arial"/>
          <w:bCs/>
        </w:rPr>
        <w:t>to comply</w:t>
      </w:r>
      <w:r w:rsidR="00FD4E24">
        <w:rPr>
          <w:rFonts w:ascii="Arial" w:hAnsi="Arial" w:cs="Arial"/>
          <w:bCs/>
        </w:rPr>
        <w:t xml:space="preserve"> </w:t>
      </w:r>
      <w:r w:rsidR="00D20DBB">
        <w:rPr>
          <w:rFonts w:ascii="Arial" w:hAnsi="Arial" w:cs="Arial"/>
          <w:bCs/>
        </w:rPr>
        <w:t>with</w:t>
      </w:r>
      <w:r w:rsidR="00FD4E24">
        <w:rPr>
          <w:rFonts w:ascii="Arial" w:hAnsi="Arial" w:cs="Arial"/>
          <w:bCs/>
        </w:rPr>
        <w:t xml:space="preserve"> the Act or </w:t>
      </w:r>
      <w:r w:rsidR="00137C56" w:rsidRPr="00FD4E24">
        <w:rPr>
          <w:rFonts w:ascii="Arial" w:hAnsi="Arial" w:cs="Arial"/>
          <w:bCs/>
        </w:rPr>
        <w:t xml:space="preserve">cooperating </w:t>
      </w:r>
      <w:r w:rsidR="00137C56" w:rsidRPr="00137C56">
        <w:rPr>
          <w:rFonts w:ascii="Arial" w:eastAsia="Times New Roman" w:hAnsi="Arial" w:cs="Arial"/>
          <w:color w:val="000000"/>
          <w:lang w:eastAsia="en-AU"/>
        </w:rPr>
        <w:t xml:space="preserve">with any reasonable policy or procedure of the </w:t>
      </w:r>
      <w:r w:rsidR="00D20DBB" w:rsidRPr="00FD4E24">
        <w:rPr>
          <w:rFonts w:ascii="Arial" w:eastAsia="Times New Roman" w:hAnsi="Arial" w:cs="Arial"/>
          <w:color w:val="000000"/>
          <w:lang w:eastAsia="en-AU"/>
        </w:rPr>
        <w:t>PCBU</w:t>
      </w:r>
      <w:r w:rsidR="00D20DBB" w:rsidRPr="00137C56">
        <w:rPr>
          <w:rFonts w:ascii="Arial" w:eastAsia="Times New Roman" w:hAnsi="Arial" w:cs="Arial"/>
          <w:color w:val="000000"/>
          <w:lang w:eastAsia="en-AU"/>
        </w:rPr>
        <w:t xml:space="preserve"> relating</w:t>
      </w:r>
      <w:r w:rsidR="00137C56" w:rsidRPr="00137C56">
        <w:rPr>
          <w:rFonts w:ascii="Arial" w:eastAsia="Times New Roman" w:hAnsi="Arial" w:cs="Arial"/>
          <w:color w:val="000000"/>
          <w:lang w:eastAsia="en-AU"/>
        </w:rPr>
        <w:t xml:space="preserve"> to health or safety at the workplace that has been notified to workers.</w:t>
      </w:r>
    </w:p>
    <w:p w:rsidR="00784473" w:rsidRPr="0087600D" w:rsidRDefault="00784473" w:rsidP="00784473">
      <w:pPr>
        <w:rPr>
          <w:rFonts w:ascii="Arial" w:hAnsi="Arial" w:cs="Arial"/>
          <w:bCs/>
          <w:i/>
          <w:color w:val="C0504D"/>
        </w:rPr>
      </w:pPr>
      <w:r w:rsidRPr="0087600D">
        <w:rPr>
          <w:rFonts w:ascii="Arial" w:hAnsi="Arial" w:cs="Arial"/>
          <w:bCs/>
          <w:i/>
          <w:color w:val="C0504D"/>
        </w:rPr>
        <w:t xml:space="preserve">General protections (non-dismissal) matters </w:t>
      </w:r>
    </w:p>
    <w:p w:rsidR="00784473" w:rsidRDefault="00784473" w:rsidP="00784473">
      <w:pPr>
        <w:rPr>
          <w:rFonts w:ascii="Arial" w:hAnsi="Arial" w:cs="Arial"/>
          <w:bCs/>
        </w:rPr>
      </w:pPr>
      <w:r w:rsidRPr="009A7E98">
        <w:rPr>
          <w:rFonts w:ascii="Arial" w:hAnsi="Arial" w:cs="Arial"/>
          <w:bCs/>
        </w:rPr>
        <w:t>Similarly, there is no provision in the FW Act that requires an applicant making a s</w:t>
      </w:r>
      <w:r>
        <w:rPr>
          <w:rFonts w:ascii="Arial" w:hAnsi="Arial" w:cs="Arial"/>
          <w:bCs/>
        </w:rPr>
        <w:t xml:space="preserve"> </w:t>
      </w:r>
      <w:r w:rsidR="005B5DCE">
        <w:rPr>
          <w:rFonts w:ascii="Arial" w:hAnsi="Arial" w:cs="Arial"/>
          <w:bCs/>
        </w:rPr>
        <w:t xml:space="preserve">372 claim  to </w:t>
      </w:r>
      <w:r w:rsidRPr="009A7E98">
        <w:rPr>
          <w:rFonts w:ascii="Arial" w:hAnsi="Arial" w:cs="Arial"/>
          <w:bCs/>
        </w:rPr>
        <w:t>have raised or attempted to resolve the issue at the workplace level in the first instance.</w:t>
      </w:r>
    </w:p>
    <w:p w:rsidR="00784473" w:rsidRPr="0087600D" w:rsidRDefault="00784473" w:rsidP="00784473">
      <w:pPr>
        <w:rPr>
          <w:rFonts w:ascii="Arial" w:hAnsi="Arial" w:cs="Arial"/>
          <w:bCs/>
          <w:i/>
          <w:color w:val="C0504D"/>
        </w:rPr>
      </w:pPr>
      <w:r w:rsidRPr="0087600D">
        <w:rPr>
          <w:rFonts w:ascii="Arial" w:hAnsi="Arial" w:cs="Arial"/>
          <w:bCs/>
          <w:i/>
          <w:color w:val="C0504D"/>
        </w:rPr>
        <w:t xml:space="preserve">Model dispute resolution clauses </w:t>
      </w:r>
    </w:p>
    <w:p w:rsidR="00784473" w:rsidRDefault="00336DA9" w:rsidP="00784473">
      <w:pPr>
        <w:rPr>
          <w:rFonts w:ascii="Arial" w:eastAsia="Times New Roman" w:hAnsi="Arial" w:cs="Arial"/>
          <w:color w:val="000000"/>
          <w:lang w:eastAsia="en-AU"/>
        </w:rPr>
      </w:pPr>
      <w:r>
        <w:rPr>
          <w:rFonts w:ascii="Arial" w:hAnsi="Arial" w:cs="Arial"/>
          <w:bCs/>
        </w:rPr>
        <w:t>A</w:t>
      </w:r>
      <w:r w:rsidR="00784473">
        <w:rPr>
          <w:rFonts w:ascii="Arial" w:hAnsi="Arial" w:cs="Arial"/>
          <w:bCs/>
        </w:rPr>
        <w:t xml:space="preserve"> requirement to raise and attempt to resolve a dispute at the local level is c</w:t>
      </w:r>
      <w:r w:rsidR="00784473" w:rsidRPr="00413CE3">
        <w:rPr>
          <w:rFonts w:ascii="Arial" w:hAnsi="Arial" w:cs="Arial"/>
          <w:bCs/>
        </w:rPr>
        <w:t>omparable with model dispute resolution clause requirements</w:t>
      </w:r>
      <w:r w:rsidR="00784473">
        <w:rPr>
          <w:rFonts w:ascii="Arial" w:hAnsi="Arial" w:cs="Arial"/>
          <w:bCs/>
        </w:rPr>
        <w:t xml:space="preserve"> in awards and enterprise agreements. The FW Act </w:t>
      </w:r>
      <w:r w:rsidR="005B5DCE">
        <w:rPr>
          <w:rFonts w:ascii="Arial" w:hAnsi="Arial" w:cs="Arial"/>
          <w:bCs/>
        </w:rPr>
        <w:t xml:space="preserve">requires </w:t>
      </w:r>
      <w:r w:rsidR="00784473">
        <w:rPr>
          <w:rFonts w:ascii="Arial" w:hAnsi="Arial" w:cs="Arial"/>
          <w:bCs/>
        </w:rPr>
        <w:t>every m</w:t>
      </w:r>
      <w:r w:rsidR="00784473" w:rsidRPr="00413CE3">
        <w:rPr>
          <w:rFonts w:ascii="Arial" w:eastAsia="Times New Roman" w:hAnsi="Arial" w:cs="Arial"/>
          <w:bCs/>
          <w:color w:val="000000"/>
          <w:lang w:eastAsia="en-AU"/>
        </w:rPr>
        <w:t xml:space="preserve">odern award </w:t>
      </w:r>
      <w:r w:rsidR="005B5DCE">
        <w:rPr>
          <w:rFonts w:ascii="Arial" w:eastAsia="Times New Roman" w:hAnsi="Arial" w:cs="Arial"/>
          <w:bCs/>
          <w:color w:val="000000"/>
          <w:lang w:eastAsia="en-AU"/>
        </w:rPr>
        <w:t>to</w:t>
      </w:r>
      <w:r w:rsidR="00784473" w:rsidRPr="00413CE3">
        <w:rPr>
          <w:rFonts w:ascii="Arial" w:eastAsia="Times New Roman" w:hAnsi="Arial" w:cs="Arial"/>
          <w:bCs/>
          <w:color w:val="000000"/>
          <w:lang w:eastAsia="en-AU"/>
        </w:rPr>
        <w:t xml:space="preserve"> contain a dispute resolution term that provides a procedure for settling disputes about award or NES matters (s</w:t>
      </w:r>
      <w:r w:rsidR="00784473">
        <w:rPr>
          <w:rFonts w:ascii="Arial" w:eastAsia="Times New Roman" w:hAnsi="Arial" w:cs="Arial"/>
          <w:bCs/>
          <w:color w:val="000000"/>
          <w:lang w:eastAsia="en-AU"/>
        </w:rPr>
        <w:t xml:space="preserve"> </w:t>
      </w:r>
      <w:r w:rsidR="00784473" w:rsidRPr="00413CE3">
        <w:rPr>
          <w:rFonts w:ascii="Arial" w:eastAsia="Times New Roman" w:hAnsi="Arial" w:cs="Arial"/>
          <w:bCs/>
          <w:color w:val="000000"/>
          <w:lang w:eastAsia="en-AU"/>
        </w:rPr>
        <w:t>146</w:t>
      </w:r>
      <w:r w:rsidR="00784473">
        <w:rPr>
          <w:rFonts w:ascii="Arial" w:eastAsia="Times New Roman" w:hAnsi="Arial" w:cs="Arial"/>
          <w:bCs/>
          <w:color w:val="000000"/>
          <w:lang w:eastAsia="en-AU"/>
        </w:rPr>
        <w:t>).</w:t>
      </w:r>
    </w:p>
    <w:p w:rsidR="00784473" w:rsidRPr="00E84A1D" w:rsidRDefault="00784473" w:rsidP="00784473">
      <w:pPr>
        <w:rPr>
          <w:rFonts w:ascii="Arial" w:hAnsi="Arial" w:cs="Arial"/>
          <w:bCs/>
        </w:rPr>
      </w:pPr>
      <w:r w:rsidRPr="00E84A1D">
        <w:rPr>
          <w:rFonts w:ascii="Arial" w:hAnsi="Arial" w:cs="Arial"/>
          <w:bCs/>
        </w:rPr>
        <w:t xml:space="preserve">Generally, the clause provides for a process where in the first instance, the parties must attempt to resolve the matter at the workplace by discussions between the employee(s) and </w:t>
      </w:r>
      <w:r w:rsidR="00336DA9">
        <w:rPr>
          <w:rFonts w:ascii="Arial" w:hAnsi="Arial" w:cs="Arial"/>
          <w:bCs/>
        </w:rPr>
        <w:t xml:space="preserve">the </w:t>
      </w:r>
      <w:r w:rsidRPr="00E84A1D">
        <w:rPr>
          <w:rFonts w:ascii="Arial" w:hAnsi="Arial" w:cs="Arial"/>
          <w:bCs/>
        </w:rPr>
        <w:t>relevant supervisor. Failing resolution, the matter is discussed in a timely manner in discussions with senior management. Where the dispute remains unresolved, the parties may jointly or individually refer the matter to the FWC.</w:t>
      </w:r>
    </w:p>
    <w:p w:rsidR="00784473" w:rsidRDefault="00784473" w:rsidP="00784473">
      <w:pPr>
        <w:rPr>
          <w:rFonts w:ascii="Arial" w:hAnsi="Arial" w:cs="Arial"/>
          <w:bCs/>
        </w:rPr>
      </w:pPr>
      <w:r w:rsidRPr="00E84A1D">
        <w:rPr>
          <w:rFonts w:ascii="Arial" w:hAnsi="Arial" w:cs="Arial"/>
          <w:bCs/>
        </w:rPr>
        <w:t>In addition, s</w:t>
      </w:r>
      <w:r>
        <w:rPr>
          <w:rFonts w:ascii="Arial" w:hAnsi="Arial" w:cs="Arial"/>
          <w:bCs/>
        </w:rPr>
        <w:t xml:space="preserve"> </w:t>
      </w:r>
      <w:r w:rsidRPr="00E84A1D">
        <w:rPr>
          <w:rFonts w:ascii="Arial" w:hAnsi="Arial" w:cs="Arial"/>
          <w:bCs/>
        </w:rPr>
        <w:t xml:space="preserve">737 provides that the regulations must prescribe a model term for dealing with disputes for enterprise agreements. </w:t>
      </w:r>
      <w:r w:rsidRPr="00413CE3">
        <w:rPr>
          <w:rFonts w:ascii="Arial" w:hAnsi="Arial" w:cs="Arial"/>
          <w:bCs/>
        </w:rPr>
        <w:t xml:space="preserve">The model term in Schedule 6.1 of the regulations </w:t>
      </w:r>
      <w:r>
        <w:rPr>
          <w:rFonts w:ascii="Arial" w:hAnsi="Arial" w:cs="Arial"/>
          <w:bCs/>
        </w:rPr>
        <w:t>is similar to the standard award clause.</w:t>
      </w:r>
    </w:p>
    <w:p w:rsidR="00784473" w:rsidRPr="00826A5E" w:rsidRDefault="00784473" w:rsidP="00784473">
      <w:pPr>
        <w:rPr>
          <w:rFonts w:ascii="Arial" w:hAnsi="Arial" w:cs="Arial"/>
          <w:b/>
          <w:bCs/>
          <w:i/>
          <w:color w:val="C0504D"/>
          <w:sz w:val="24"/>
          <w:szCs w:val="24"/>
        </w:rPr>
      </w:pPr>
      <w:r w:rsidRPr="00826A5E">
        <w:rPr>
          <w:rFonts w:ascii="Arial" w:hAnsi="Arial" w:cs="Arial"/>
          <w:b/>
          <w:bCs/>
          <w:i/>
          <w:color w:val="C0504D"/>
          <w:sz w:val="24"/>
          <w:szCs w:val="24"/>
        </w:rPr>
        <w:t xml:space="preserve">Adversarial process can exacerbate dispute resolution </w:t>
      </w:r>
    </w:p>
    <w:p w:rsidR="00784473" w:rsidRDefault="00784473" w:rsidP="00784473">
      <w:pPr>
        <w:rPr>
          <w:rFonts w:ascii="Arial" w:hAnsi="Arial" w:cs="Arial"/>
          <w:bCs/>
        </w:rPr>
      </w:pPr>
      <w:r w:rsidRPr="002B4F98">
        <w:rPr>
          <w:rFonts w:ascii="Arial" w:hAnsi="Arial" w:cs="Arial"/>
          <w:bCs/>
        </w:rPr>
        <w:t xml:space="preserve">Bullying </w:t>
      </w:r>
      <w:r>
        <w:rPr>
          <w:rFonts w:ascii="Arial" w:hAnsi="Arial" w:cs="Arial"/>
          <w:bCs/>
        </w:rPr>
        <w:t xml:space="preserve">and general protection </w:t>
      </w:r>
      <w:r w:rsidRPr="002B4F98">
        <w:rPr>
          <w:rFonts w:ascii="Arial" w:hAnsi="Arial" w:cs="Arial"/>
          <w:bCs/>
        </w:rPr>
        <w:t>claims are often accompanied by i</w:t>
      </w:r>
      <w:r>
        <w:rPr>
          <w:rFonts w:ascii="Arial" w:hAnsi="Arial" w:cs="Arial"/>
          <w:bCs/>
        </w:rPr>
        <w:t xml:space="preserve">ntense </w:t>
      </w:r>
      <w:r w:rsidRPr="002B4F98">
        <w:rPr>
          <w:rFonts w:ascii="Arial" w:hAnsi="Arial" w:cs="Arial"/>
          <w:bCs/>
        </w:rPr>
        <w:t>emotional and psychological is</w:t>
      </w:r>
      <w:r>
        <w:rPr>
          <w:rFonts w:ascii="Arial" w:hAnsi="Arial" w:cs="Arial"/>
          <w:bCs/>
        </w:rPr>
        <w:t xml:space="preserve">sues. Often </w:t>
      </w:r>
      <w:r w:rsidR="00B6121B">
        <w:rPr>
          <w:rFonts w:ascii="Arial" w:hAnsi="Arial" w:cs="Arial"/>
          <w:bCs/>
        </w:rPr>
        <w:t xml:space="preserve">effective </w:t>
      </w:r>
      <w:r>
        <w:rPr>
          <w:rFonts w:ascii="Arial" w:hAnsi="Arial" w:cs="Arial"/>
          <w:bCs/>
        </w:rPr>
        <w:t>resolution will require a focus on feelings and perceptions rather than a focus on fact-finding and litigation, particularly if the aim is to maintain productive employment and workplace relationships.</w:t>
      </w:r>
    </w:p>
    <w:p w:rsidR="00784473" w:rsidRDefault="00784473" w:rsidP="00784473">
      <w:pPr>
        <w:rPr>
          <w:rFonts w:ascii="Arial" w:hAnsi="Arial" w:cs="Arial"/>
          <w:bCs/>
        </w:rPr>
      </w:pPr>
      <w:r>
        <w:rPr>
          <w:rFonts w:ascii="Arial" w:hAnsi="Arial" w:cs="Arial"/>
          <w:bCs/>
        </w:rPr>
        <w:t xml:space="preserve">The FWC process can be confronting for the person(s) named in the complaint as a ‘bully’  or as having ‘broken the law’ (by taking unlawful adverse action) from the beginning of the </w:t>
      </w:r>
      <w:r>
        <w:rPr>
          <w:rFonts w:ascii="Arial" w:hAnsi="Arial" w:cs="Arial"/>
          <w:bCs/>
        </w:rPr>
        <w:lastRenderedPageBreak/>
        <w:t>process, notwithstanding that the respondent’s actions may ultimately be found to be lawful and</w:t>
      </w:r>
      <w:r w:rsidR="00B6121B">
        <w:rPr>
          <w:rFonts w:ascii="Arial" w:hAnsi="Arial" w:cs="Arial"/>
          <w:bCs/>
        </w:rPr>
        <w:t>/or</w:t>
      </w:r>
      <w:r>
        <w:rPr>
          <w:rFonts w:ascii="Arial" w:hAnsi="Arial" w:cs="Arial"/>
          <w:bCs/>
        </w:rPr>
        <w:t xml:space="preserve"> reasonable management actions undertaken in a reasonable manner.</w:t>
      </w:r>
    </w:p>
    <w:p w:rsidR="00784473" w:rsidRDefault="00784473" w:rsidP="00784473">
      <w:pPr>
        <w:rPr>
          <w:rFonts w:ascii="Arial" w:hAnsi="Arial" w:cs="Arial"/>
          <w:bCs/>
        </w:rPr>
      </w:pPr>
      <w:r>
        <w:rPr>
          <w:rFonts w:ascii="Arial" w:hAnsi="Arial" w:cs="Arial"/>
          <w:bCs/>
        </w:rPr>
        <w:t xml:space="preserve">Where an employer is served with a formal claim by an employee commencing proceedings in the FWC, their reaction (which may be angry or disappointed) will often be to engage legal representation and commence the ‘defence’ to the claim rather than to focus on resolving the underlying issues to the dispute and preserving the employment relationship. </w:t>
      </w:r>
    </w:p>
    <w:p w:rsidR="005B5DCE" w:rsidRDefault="005B5DCE" w:rsidP="00784473">
      <w:pPr>
        <w:rPr>
          <w:rFonts w:ascii="Arial" w:hAnsi="Arial" w:cs="Arial"/>
          <w:bCs/>
        </w:rPr>
      </w:pPr>
      <w:r>
        <w:rPr>
          <w:rFonts w:ascii="Arial" w:hAnsi="Arial" w:cs="Arial"/>
          <w:bCs/>
        </w:rPr>
        <w:t xml:space="preserve">Not providing a mechanism for employees to seek to resolve the dispute </w:t>
      </w:r>
      <w:r w:rsidR="00811969">
        <w:rPr>
          <w:rFonts w:ascii="Arial" w:hAnsi="Arial" w:cs="Arial"/>
          <w:bCs/>
        </w:rPr>
        <w:t xml:space="preserve">at </w:t>
      </w:r>
      <w:r>
        <w:rPr>
          <w:rFonts w:ascii="Arial" w:hAnsi="Arial" w:cs="Arial"/>
          <w:bCs/>
        </w:rPr>
        <w:t>the w</w:t>
      </w:r>
      <w:r w:rsidR="00811969">
        <w:rPr>
          <w:rFonts w:ascii="Arial" w:hAnsi="Arial" w:cs="Arial"/>
          <w:bCs/>
        </w:rPr>
        <w:t>orkplace</w:t>
      </w:r>
      <w:r>
        <w:rPr>
          <w:rFonts w:ascii="Arial" w:hAnsi="Arial" w:cs="Arial"/>
          <w:bCs/>
        </w:rPr>
        <w:t xml:space="preserve"> level al</w:t>
      </w:r>
      <w:r w:rsidR="00811969">
        <w:rPr>
          <w:rFonts w:ascii="Arial" w:hAnsi="Arial" w:cs="Arial"/>
          <w:bCs/>
        </w:rPr>
        <w:t>so</w:t>
      </w:r>
      <w:r>
        <w:rPr>
          <w:rFonts w:ascii="Arial" w:hAnsi="Arial" w:cs="Arial"/>
          <w:bCs/>
        </w:rPr>
        <w:t xml:space="preserve"> removes any onus on the individual to </w:t>
      </w:r>
      <w:r w:rsidR="00811969">
        <w:rPr>
          <w:rFonts w:ascii="Arial" w:hAnsi="Arial" w:cs="Arial"/>
          <w:bCs/>
        </w:rPr>
        <w:t>consider</w:t>
      </w:r>
      <w:r>
        <w:rPr>
          <w:rFonts w:ascii="Arial" w:hAnsi="Arial" w:cs="Arial"/>
          <w:bCs/>
        </w:rPr>
        <w:t xml:space="preserve"> </w:t>
      </w:r>
      <w:r w:rsidR="00811969">
        <w:rPr>
          <w:rFonts w:ascii="Arial" w:hAnsi="Arial" w:cs="Arial"/>
          <w:bCs/>
        </w:rPr>
        <w:t>their</w:t>
      </w:r>
      <w:r>
        <w:rPr>
          <w:rFonts w:ascii="Arial" w:hAnsi="Arial" w:cs="Arial"/>
          <w:bCs/>
        </w:rPr>
        <w:t xml:space="preserve"> own accou</w:t>
      </w:r>
      <w:r w:rsidR="00811969">
        <w:rPr>
          <w:rFonts w:ascii="Arial" w:hAnsi="Arial" w:cs="Arial"/>
          <w:bCs/>
        </w:rPr>
        <w:t xml:space="preserve">ntability </w:t>
      </w:r>
      <w:r>
        <w:rPr>
          <w:rFonts w:ascii="Arial" w:hAnsi="Arial" w:cs="Arial"/>
          <w:bCs/>
        </w:rPr>
        <w:t>in resol</w:t>
      </w:r>
      <w:r w:rsidR="00811969">
        <w:rPr>
          <w:rFonts w:ascii="Arial" w:hAnsi="Arial" w:cs="Arial"/>
          <w:bCs/>
        </w:rPr>
        <w:t xml:space="preserve">ving the </w:t>
      </w:r>
      <w:r>
        <w:rPr>
          <w:rFonts w:ascii="Arial" w:hAnsi="Arial" w:cs="Arial"/>
          <w:bCs/>
        </w:rPr>
        <w:t>conflict.</w:t>
      </w:r>
    </w:p>
    <w:p w:rsidR="00784473" w:rsidRDefault="00784473" w:rsidP="00784473">
      <w:pPr>
        <w:rPr>
          <w:rFonts w:ascii="Arial" w:hAnsi="Arial" w:cs="Arial"/>
          <w:bCs/>
        </w:rPr>
      </w:pPr>
      <w:r>
        <w:rPr>
          <w:rFonts w:ascii="Arial" w:hAnsi="Arial" w:cs="Arial"/>
          <w:bCs/>
        </w:rPr>
        <w:t>Further, to enable the claim to be filed in the FWC, complaints may be ‘constructed’ by applicants to meet particular legal definitions, such as bullying, or adverse action, which deflects from the underlying workplace conflict.</w:t>
      </w:r>
    </w:p>
    <w:p w:rsidR="00784473" w:rsidRDefault="00784473" w:rsidP="00784473">
      <w:pPr>
        <w:rPr>
          <w:rFonts w:ascii="Arial" w:hAnsi="Arial" w:cs="Arial"/>
          <w:bCs/>
        </w:rPr>
      </w:pPr>
      <w:r>
        <w:rPr>
          <w:rFonts w:ascii="Arial" w:hAnsi="Arial" w:cs="Arial"/>
          <w:bCs/>
        </w:rPr>
        <w:t xml:space="preserve">Generally speaking, where matters go to a hearing the process is </w:t>
      </w:r>
      <w:r w:rsidR="00942662">
        <w:rPr>
          <w:rFonts w:ascii="Arial" w:hAnsi="Arial" w:cs="Arial"/>
          <w:bCs/>
        </w:rPr>
        <w:t xml:space="preserve">highly </w:t>
      </w:r>
      <w:r>
        <w:rPr>
          <w:rFonts w:ascii="Arial" w:hAnsi="Arial" w:cs="Arial"/>
          <w:bCs/>
        </w:rPr>
        <w:t>technical, often len</w:t>
      </w:r>
      <w:r w:rsidR="00942662">
        <w:rPr>
          <w:rFonts w:ascii="Arial" w:hAnsi="Arial" w:cs="Arial"/>
          <w:bCs/>
        </w:rPr>
        <w:t xml:space="preserve">gthy, ‘wearing’ on parties and creates a perception that </w:t>
      </w:r>
      <w:r>
        <w:rPr>
          <w:rFonts w:ascii="Arial" w:hAnsi="Arial" w:cs="Arial"/>
          <w:bCs/>
        </w:rPr>
        <w:t xml:space="preserve">getting the matter ‘settled’ is more important than the quality of the resolution </w:t>
      </w:r>
      <w:r w:rsidR="00D524AB">
        <w:rPr>
          <w:rFonts w:ascii="Arial" w:hAnsi="Arial" w:cs="Arial"/>
          <w:bCs/>
        </w:rPr>
        <w:t>and resolving the real concerns</w:t>
      </w:r>
      <w:r>
        <w:rPr>
          <w:rFonts w:ascii="Arial" w:hAnsi="Arial" w:cs="Arial"/>
          <w:bCs/>
        </w:rPr>
        <w:t>.</w:t>
      </w:r>
      <w:r>
        <w:rPr>
          <w:rStyle w:val="FootnoteReference"/>
          <w:rFonts w:ascii="Arial" w:hAnsi="Arial" w:cs="Arial"/>
          <w:bCs/>
        </w:rPr>
        <w:footnoteReference w:id="52"/>
      </w:r>
      <w:r>
        <w:rPr>
          <w:rFonts w:ascii="Arial" w:hAnsi="Arial" w:cs="Arial"/>
          <w:bCs/>
        </w:rPr>
        <w:t xml:space="preserve">  This is consistent with CCER’s experience in these types of matters conducted by the FWC, where the conciliation conference or hearing is often adversarial between the employer and employee </w:t>
      </w:r>
      <w:r w:rsidR="00D317BD">
        <w:rPr>
          <w:rFonts w:ascii="Arial" w:hAnsi="Arial" w:cs="Arial"/>
          <w:bCs/>
        </w:rPr>
        <w:t xml:space="preserve">trying to obtain a settlement </w:t>
      </w:r>
      <w:r>
        <w:rPr>
          <w:rFonts w:ascii="Arial" w:hAnsi="Arial" w:cs="Arial"/>
          <w:bCs/>
        </w:rPr>
        <w:t xml:space="preserve">rather than a round table approach to resolving the </w:t>
      </w:r>
      <w:r w:rsidR="00F670EB">
        <w:rPr>
          <w:rFonts w:ascii="Arial" w:hAnsi="Arial" w:cs="Arial"/>
          <w:bCs/>
        </w:rPr>
        <w:t xml:space="preserve">underlying </w:t>
      </w:r>
      <w:r>
        <w:rPr>
          <w:rFonts w:ascii="Arial" w:hAnsi="Arial" w:cs="Arial"/>
          <w:bCs/>
        </w:rPr>
        <w:t>conflict.</w:t>
      </w:r>
      <w:r w:rsidRPr="00E6253A">
        <w:rPr>
          <w:rFonts w:ascii="Arial" w:hAnsi="Arial" w:cs="Arial"/>
          <w:bCs/>
        </w:rPr>
        <w:t xml:space="preserve"> </w:t>
      </w:r>
    </w:p>
    <w:p w:rsidR="00784473" w:rsidRDefault="00784473" w:rsidP="00784473">
      <w:pPr>
        <w:rPr>
          <w:rFonts w:ascii="Arial" w:hAnsi="Arial" w:cs="Arial"/>
          <w:bCs/>
        </w:rPr>
      </w:pPr>
      <w:r>
        <w:rPr>
          <w:rFonts w:ascii="Arial" w:hAnsi="Arial" w:cs="Arial"/>
          <w:bCs/>
        </w:rPr>
        <w:t xml:space="preserve">Litigation is </w:t>
      </w:r>
      <w:r w:rsidR="00D317BD">
        <w:rPr>
          <w:rFonts w:ascii="Arial" w:hAnsi="Arial" w:cs="Arial"/>
          <w:bCs/>
        </w:rPr>
        <w:t xml:space="preserve">also </w:t>
      </w:r>
      <w:r>
        <w:rPr>
          <w:rFonts w:ascii="Arial" w:hAnsi="Arial" w:cs="Arial"/>
          <w:bCs/>
        </w:rPr>
        <w:t>often focused on each party’s ‘</w:t>
      </w:r>
      <w:r w:rsidRPr="00D524AB">
        <w:rPr>
          <w:rFonts w:ascii="Arial" w:hAnsi="Arial" w:cs="Arial"/>
          <w:bCs/>
          <w:i/>
        </w:rPr>
        <w:t>rights at law’</w:t>
      </w:r>
      <w:r>
        <w:rPr>
          <w:rFonts w:ascii="Arial" w:hAnsi="Arial" w:cs="Arial"/>
          <w:bCs/>
        </w:rPr>
        <w:t xml:space="preserve"> rather than their mutual interests and cooperation. If the matter goes to hearing the litigation can be protracted, destructive and expensive and the goal becomes about winning not resolution or preserving the relationship.</w:t>
      </w:r>
    </w:p>
    <w:p w:rsidR="00784473" w:rsidRDefault="00784473" w:rsidP="00784473">
      <w:pPr>
        <w:rPr>
          <w:rFonts w:ascii="Arial" w:hAnsi="Arial" w:cs="Arial"/>
          <w:bCs/>
        </w:rPr>
      </w:pPr>
      <w:r>
        <w:rPr>
          <w:rFonts w:ascii="Arial" w:hAnsi="Arial" w:cs="Arial"/>
          <w:bCs/>
        </w:rPr>
        <w:t xml:space="preserve">While it is and should be a legitimate option for employees to lodge a formal complaint to the FWC, this is by its nature an adversarial process that is often not conducive to producing a positive outcome between two employees who have to continue to work together after one has complained about the </w:t>
      </w:r>
      <w:r w:rsidR="00633EBC">
        <w:rPr>
          <w:rFonts w:ascii="Arial" w:hAnsi="Arial" w:cs="Arial"/>
          <w:bCs/>
        </w:rPr>
        <w:t xml:space="preserve">other </w:t>
      </w:r>
      <w:r>
        <w:rPr>
          <w:rFonts w:ascii="Arial" w:hAnsi="Arial" w:cs="Arial"/>
          <w:bCs/>
        </w:rPr>
        <w:t xml:space="preserve">one. </w:t>
      </w:r>
    </w:p>
    <w:p w:rsidR="00784473" w:rsidRDefault="00784473" w:rsidP="00784473">
      <w:pPr>
        <w:rPr>
          <w:rFonts w:ascii="Arial" w:hAnsi="Arial" w:cs="Arial"/>
          <w:bCs/>
        </w:rPr>
      </w:pPr>
      <w:r w:rsidRPr="006C61EF">
        <w:rPr>
          <w:rFonts w:ascii="Arial" w:hAnsi="Arial" w:cs="Arial"/>
          <w:bCs/>
        </w:rPr>
        <w:t>Research shows that dealing</w:t>
      </w:r>
      <w:r>
        <w:rPr>
          <w:rFonts w:ascii="Arial" w:hAnsi="Arial" w:cs="Arial"/>
          <w:bCs/>
        </w:rPr>
        <w:t xml:space="preserve"> with alleged bullying or </w:t>
      </w:r>
      <w:r w:rsidR="00F670EB">
        <w:rPr>
          <w:rFonts w:ascii="Arial" w:hAnsi="Arial" w:cs="Arial"/>
          <w:bCs/>
        </w:rPr>
        <w:t xml:space="preserve">adverse action claims </w:t>
      </w:r>
      <w:r>
        <w:rPr>
          <w:rFonts w:ascii="Arial" w:hAnsi="Arial" w:cs="Arial"/>
          <w:bCs/>
        </w:rPr>
        <w:t>early and informally produces better outcomes in terms of maintaining constructive and viable ongoing workplace relationships.</w:t>
      </w:r>
    </w:p>
    <w:p w:rsidR="00784473" w:rsidRPr="00085C69" w:rsidRDefault="00784473" w:rsidP="00784473">
      <w:pPr>
        <w:rPr>
          <w:rFonts w:ascii="Arial" w:hAnsi="Arial" w:cs="Arial"/>
          <w:b/>
          <w:bCs/>
          <w:i/>
          <w:color w:val="C0504D"/>
          <w:sz w:val="24"/>
          <w:szCs w:val="24"/>
        </w:rPr>
      </w:pPr>
      <w:r w:rsidRPr="00085C69">
        <w:rPr>
          <w:rFonts w:ascii="Arial" w:hAnsi="Arial" w:cs="Arial"/>
          <w:b/>
          <w:bCs/>
          <w:i/>
          <w:color w:val="C0504D"/>
          <w:sz w:val="24"/>
          <w:szCs w:val="24"/>
        </w:rPr>
        <w:t>Mediation and other alternative dispute resolution (ADR) options</w:t>
      </w:r>
    </w:p>
    <w:p w:rsidR="00784473" w:rsidRPr="0040719B" w:rsidRDefault="00784473" w:rsidP="00784473">
      <w:pPr>
        <w:rPr>
          <w:rFonts w:ascii="Arial" w:hAnsi="Arial" w:cs="Arial"/>
        </w:rPr>
      </w:pPr>
      <w:r w:rsidRPr="004B4A48">
        <w:rPr>
          <w:rFonts w:ascii="Arial" w:eastAsia="Times New Roman" w:hAnsi="Arial" w:cs="Arial"/>
          <w:bCs/>
          <w:color w:val="000000"/>
          <w:lang w:eastAsia="en-AU"/>
        </w:rPr>
        <w:t xml:space="preserve">ADR includes mediation, conciliation, and assisted negotiation. </w:t>
      </w:r>
      <w:r w:rsidRPr="0040719B">
        <w:rPr>
          <w:rFonts w:ascii="Arial" w:hAnsi="Arial" w:cs="Arial"/>
        </w:rPr>
        <w:t>There is a view that mediation is regarded as better able to deal with disputes involving ongoing relationships than other more adversarial forms of dispute resolution</w:t>
      </w:r>
      <w:r w:rsidR="00734A0D">
        <w:rPr>
          <w:rFonts w:ascii="Arial" w:hAnsi="Arial" w:cs="Arial"/>
        </w:rPr>
        <w:t>,</w:t>
      </w:r>
      <w:r w:rsidRPr="0040719B">
        <w:rPr>
          <w:rFonts w:ascii="Arial" w:hAnsi="Arial" w:cs="Arial"/>
        </w:rPr>
        <w:t xml:space="preserve"> and </w:t>
      </w:r>
      <w:r w:rsidR="00734A0D">
        <w:rPr>
          <w:rFonts w:ascii="Arial" w:hAnsi="Arial" w:cs="Arial"/>
        </w:rPr>
        <w:t xml:space="preserve">is </w:t>
      </w:r>
      <w:r w:rsidRPr="0040719B">
        <w:rPr>
          <w:rFonts w:ascii="Arial" w:hAnsi="Arial" w:cs="Arial"/>
        </w:rPr>
        <w:t xml:space="preserve">more suitable than the alternatives when the </w:t>
      </w:r>
      <w:r>
        <w:rPr>
          <w:rFonts w:ascii="Arial" w:hAnsi="Arial" w:cs="Arial"/>
        </w:rPr>
        <w:t>complainant</w:t>
      </w:r>
      <w:r w:rsidRPr="0040719B">
        <w:rPr>
          <w:rFonts w:ascii="Arial" w:hAnsi="Arial" w:cs="Arial"/>
        </w:rPr>
        <w:t xml:space="preserve"> is still and wishes to remain employed</w:t>
      </w:r>
      <w:r w:rsidR="003A3974">
        <w:rPr>
          <w:rFonts w:ascii="Arial" w:hAnsi="Arial" w:cs="Arial"/>
        </w:rPr>
        <w:t>.</w:t>
      </w:r>
      <w:r w:rsidRPr="0040719B">
        <w:rPr>
          <w:rStyle w:val="FootnoteReference"/>
          <w:rFonts w:ascii="Arial" w:hAnsi="Arial" w:cs="Arial"/>
          <w:shd w:val="clear" w:color="auto" w:fill="FFFFFF"/>
        </w:rPr>
        <w:t xml:space="preserve"> </w:t>
      </w:r>
      <w:r w:rsidRPr="0040719B">
        <w:rPr>
          <w:rStyle w:val="FootnoteReference"/>
          <w:rFonts w:ascii="Arial" w:hAnsi="Arial" w:cs="Arial"/>
          <w:shd w:val="clear" w:color="auto" w:fill="FFFFFF"/>
        </w:rPr>
        <w:footnoteReference w:id="53"/>
      </w:r>
    </w:p>
    <w:p w:rsidR="00784473" w:rsidRPr="0040719B" w:rsidRDefault="00784473" w:rsidP="00784473">
      <w:pPr>
        <w:rPr>
          <w:rFonts w:ascii="Arial" w:hAnsi="Arial" w:cs="Arial"/>
        </w:rPr>
      </w:pPr>
      <w:r w:rsidRPr="0040719B">
        <w:rPr>
          <w:rFonts w:ascii="Arial" w:hAnsi="Arial" w:cs="Arial"/>
          <w:shd w:val="clear" w:color="auto" w:fill="FFFFFF"/>
        </w:rPr>
        <w:t xml:space="preserve">CCER notes the research indicates mediation for bullying remains controversial. Some academics and practitioners advise against using mediation for bullying, due to power differences between the bully and their ‘target’. However, others argue that mediation can be effective if the power dynamics are successfully addressed by focusing on improving the </w:t>
      </w:r>
      <w:r w:rsidRPr="0040719B">
        <w:rPr>
          <w:rFonts w:ascii="Arial" w:hAnsi="Arial" w:cs="Arial"/>
          <w:shd w:val="clear" w:color="auto" w:fill="FFFFFF"/>
        </w:rPr>
        <w:lastRenderedPageBreak/>
        <w:t xml:space="preserve">quality of the relationship between those in dispute and addressing organisational </w:t>
      </w:r>
      <w:r w:rsidR="00753ABE">
        <w:rPr>
          <w:rFonts w:ascii="Arial" w:hAnsi="Arial" w:cs="Arial"/>
          <w:shd w:val="clear" w:color="auto" w:fill="FFFFFF"/>
        </w:rPr>
        <w:t xml:space="preserve">risk </w:t>
      </w:r>
      <w:r w:rsidRPr="0040719B">
        <w:rPr>
          <w:rFonts w:ascii="Arial" w:hAnsi="Arial" w:cs="Arial"/>
          <w:shd w:val="clear" w:color="auto" w:fill="FFFFFF"/>
        </w:rPr>
        <w:t>factors</w:t>
      </w:r>
      <w:r w:rsidRPr="0040719B">
        <w:rPr>
          <w:rFonts w:ascii="Arial" w:hAnsi="Arial" w:cs="Arial"/>
        </w:rPr>
        <w:t>.</w:t>
      </w:r>
      <w:r w:rsidRPr="0040719B">
        <w:rPr>
          <w:rStyle w:val="FootnoteReference"/>
          <w:rFonts w:ascii="Arial" w:hAnsi="Arial" w:cs="Arial"/>
        </w:rPr>
        <w:footnoteReference w:id="54"/>
      </w:r>
    </w:p>
    <w:p w:rsidR="00784473" w:rsidRPr="00024F47" w:rsidRDefault="00784473" w:rsidP="00784473">
      <w:pPr>
        <w:rPr>
          <w:rFonts w:ascii="Arial" w:hAnsi="Arial" w:cs="Arial"/>
        </w:rPr>
      </w:pPr>
      <w:r w:rsidRPr="00024F47">
        <w:rPr>
          <w:rFonts w:ascii="Arial" w:hAnsi="Arial" w:cs="Arial"/>
        </w:rPr>
        <w:t>Anecdotal evidence from the FWC however</w:t>
      </w:r>
      <w:r>
        <w:rPr>
          <w:rFonts w:ascii="Arial" w:hAnsi="Arial" w:cs="Arial"/>
        </w:rPr>
        <w:t>,</w:t>
      </w:r>
      <w:r w:rsidRPr="00024F47">
        <w:rPr>
          <w:rFonts w:ascii="Arial" w:hAnsi="Arial" w:cs="Arial"/>
        </w:rPr>
        <w:t xml:space="preserve"> indicates that for those applications that have been the subject of mediation, bullying behaviour </w:t>
      </w:r>
      <w:r w:rsidR="00B82109">
        <w:rPr>
          <w:rFonts w:ascii="Arial" w:hAnsi="Arial" w:cs="Arial"/>
        </w:rPr>
        <w:t xml:space="preserve">was not occurring. </w:t>
      </w:r>
      <w:r w:rsidRPr="00024F47">
        <w:rPr>
          <w:rFonts w:ascii="Arial" w:hAnsi="Arial" w:cs="Arial"/>
        </w:rPr>
        <w:t xml:space="preserve">Rather, the conflict was the result of other factors, </w:t>
      </w:r>
      <w:r>
        <w:rPr>
          <w:rFonts w:ascii="Arial" w:hAnsi="Arial" w:cs="Arial"/>
        </w:rPr>
        <w:t xml:space="preserve">for example, </w:t>
      </w:r>
      <w:r w:rsidRPr="00024F47">
        <w:rPr>
          <w:rFonts w:ascii="Arial" w:hAnsi="Arial" w:cs="Arial"/>
        </w:rPr>
        <w:t xml:space="preserve">personality conflicts, clashes in </w:t>
      </w:r>
      <w:r>
        <w:rPr>
          <w:rFonts w:ascii="Arial" w:hAnsi="Arial" w:cs="Arial"/>
        </w:rPr>
        <w:t>inter-</w:t>
      </w:r>
      <w:r w:rsidRPr="00024F47">
        <w:rPr>
          <w:rFonts w:ascii="Arial" w:hAnsi="Arial" w:cs="Arial"/>
        </w:rPr>
        <w:t>person</w:t>
      </w:r>
      <w:r>
        <w:rPr>
          <w:rFonts w:ascii="Arial" w:hAnsi="Arial" w:cs="Arial"/>
        </w:rPr>
        <w:t>al</w:t>
      </w:r>
      <w:r w:rsidRPr="00024F47">
        <w:rPr>
          <w:rFonts w:ascii="Arial" w:hAnsi="Arial" w:cs="Arial"/>
        </w:rPr>
        <w:t xml:space="preserve"> styles</w:t>
      </w:r>
      <w:r>
        <w:rPr>
          <w:rFonts w:ascii="Arial" w:hAnsi="Arial" w:cs="Arial"/>
        </w:rPr>
        <w:t xml:space="preserve"> and </w:t>
      </w:r>
      <w:r w:rsidRPr="00024F47">
        <w:rPr>
          <w:rFonts w:ascii="Arial" w:hAnsi="Arial" w:cs="Arial"/>
        </w:rPr>
        <w:t>organisational issues</w:t>
      </w:r>
      <w:r>
        <w:rPr>
          <w:rFonts w:ascii="Arial" w:hAnsi="Arial" w:cs="Arial"/>
        </w:rPr>
        <w:t>.</w:t>
      </w:r>
      <w:r>
        <w:rPr>
          <w:rStyle w:val="FootnoteReference"/>
          <w:rFonts w:ascii="Arial" w:hAnsi="Arial" w:cs="Arial"/>
        </w:rPr>
        <w:footnoteReference w:id="55"/>
      </w:r>
    </w:p>
    <w:p w:rsidR="00784473" w:rsidRDefault="00784473" w:rsidP="00784473">
      <w:pPr>
        <w:rPr>
          <w:rFonts w:ascii="Arial" w:hAnsi="Arial" w:cs="Arial"/>
        </w:rPr>
      </w:pPr>
      <w:r>
        <w:rPr>
          <w:rFonts w:ascii="Arial" w:hAnsi="Arial" w:cs="Arial"/>
        </w:rPr>
        <w:t xml:space="preserve">While this may be consistent with a view that bullying complaints should not be mediated, it also reflects the FWC’s experience that a large proportion of complaints are not about bullying but </w:t>
      </w:r>
      <w:r w:rsidR="006355E3">
        <w:rPr>
          <w:rFonts w:ascii="Arial" w:hAnsi="Arial" w:cs="Arial"/>
        </w:rPr>
        <w:t>about interpersonal conflict or other workplace concerns.</w:t>
      </w:r>
    </w:p>
    <w:p w:rsidR="00784473" w:rsidRDefault="00784473" w:rsidP="00784473">
      <w:pPr>
        <w:rPr>
          <w:rFonts w:ascii="Arial" w:hAnsi="Arial" w:cs="Arial"/>
          <w:shd w:val="clear" w:color="auto" w:fill="FFFFFF"/>
        </w:rPr>
      </w:pPr>
      <w:r>
        <w:rPr>
          <w:rFonts w:ascii="Arial" w:hAnsi="Arial" w:cs="Arial"/>
          <w:shd w:val="clear" w:color="auto" w:fill="FFFFFF"/>
        </w:rPr>
        <w:t xml:space="preserve">CCER notes that </w:t>
      </w:r>
      <w:r w:rsidRPr="0040719B">
        <w:rPr>
          <w:rFonts w:ascii="Arial" w:hAnsi="Arial" w:cs="Arial"/>
          <w:shd w:val="clear" w:color="auto" w:fill="FFFFFF"/>
        </w:rPr>
        <w:t>two notable recommendations of the Parliamentary Inquiry that did not receive government support in the enactment of the anti-bullying jurisdiction</w:t>
      </w:r>
      <w:r>
        <w:rPr>
          <w:rFonts w:ascii="Arial" w:hAnsi="Arial" w:cs="Arial"/>
          <w:shd w:val="clear" w:color="auto" w:fill="FFFFFF"/>
        </w:rPr>
        <w:t>,</w:t>
      </w:r>
      <w:r w:rsidRPr="0040719B">
        <w:rPr>
          <w:rFonts w:ascii="Arial" w:hAnsi="Arial" w:cs="Arial"/>
          <w:shd w:val="clear" w:color="auto" w:fill="FFFFFF"/>
        </w:rPr>
        <w:t xml:space="preserve"> included the development of a mediation service trial and an investigation referral service. While CCER recognises that perceived and actual bias, and variation in practice and skills</w:t>
      </w:r>
      <w:r w:rsidR="000264FF">
        <w:rPr>
          <w:rFonts w:ascii="Arial" w:hAnsi="Arial" w:cs="Arial"/>
          <w:shd w:val="clear" w:color="auto" w:fill="FFFFFF"/>
        </w:rPr>
        <w:t>,</w:t>
      </w:r>
      <w:r w:rsidRPr="0040719B">
        <w:rPr>
          <w:rFonts w:ascii="Arial" w:hAnsi="Arial" w:cs="Arial"/>
          <w:shd w:val="clear" w:color="auto" w:fill="FFFFFF"/>
        </w:rPr>
        <w:t xml:space="preserve"> remain challenges for bullying mediations and investigations, there may be merit in further exploring access to such services. </w:t>
      </w:r>
    </w:p>
    <w:p w:rsidR="00784473" w:rsidRPr="004B4A48" w:rsidRDefault="00784473" w:rsidP="00784473">
      <w:pPr>
        <w:rPr>
          <w:rFonts w:ascii="Arial" w:eastAsia="Times New Roman" w:hAnsi="Arial" w:cs="Arial"/>
          <w:bCs/>
          <w:color w:val="000000"/>
          <w:lang w:eastAsia="en-AU"/>
        </w:rPr>
      </w:pPr>
      <w:r>
        <w:rPr>
          <w:rFonts w:ascii="Arial" w:hAnsi="Arial" w:cs="Arial"/>
          <w:shd w:val="clear" w:color="auto" w:fill="FFFFFF"/>
        </w:rPr>
        <w:t>Another ADR option that may be suited to some instances of workplace conflict is r</w:t>
      </w:r>
      <w:r w:rsidRPr="004B4A48">
        <w:rPr>
          <w:rFonts w:ascii="Arial" w:eastAsia="Times New Roman" w:hAnsi="Arial" w:cs="Arial"/>
          <w:bCs/>
          <w:color w:val="000000"/>
          <w:lang w:eastAsia="en-AU"/>
        </w:rPr>
        <w:t>estorative justice conferencing</w:t>
      </w:r>
      <w:r>
        <w:rPr>
          <w:rFonts w:ascii="Arial" w:eastAsia="Times New Roman" w:hAnsi="Arial" w:cs="Arial"/>
          <w:bCs/>
          <w:color w:val="000000"/>
          <w:lang w:eastAsia="en-AU"/>
        </w:rPr>
        <w:t xml:space="preserve">. This </w:t>
      </w:r>
      <w:r w:rsidRPr="004B4A48">
        <w:rPr>
          <w:rFonts w:ascii="Arial" w:eastAsia="Times New Roman" w:hAnsi="Arial" w:cs="Arial"/>
          <w:bCs/>
          <w:color w:val="000000"/>
          <w:lang w:eastAsia="en-AU"/>
        </w:rPr>
        <w:t xml:space="preserve">is a facilitated, structured process that enables those affected by conflict to engage in a facilitated exchange about what has happened and how they have been affected. </w:t>
      </w:r>
      <w:r>
        <w:rPr>
          <w:rFonts w:ascii="Arial" w:eastAsia="Times New Roman" w:hAnsi="Arial" w:cs="Arial"/>
          <w:bCs/>
          <w:color w:val="000000"/>
          <w:lang w:eastAsia="en-AU"/>
        </w:rPr>
        <w:t>‘</w:t>
      </w:r>
      <w:r w:rsidRPr="004B4A48">
        <w:rPr>
          <w:rFonts w:ascii="Arial" w:eastAsia="Times New Roman" w:hAnsi="Arial" w:cs="Arial"/>
          <w:bCs/>
          <w:i/>
          <w:color w:val="000000"/>
          <w:lang w:eastAsia="en-AU"/>
        </w:rPr>
        <w:t>Participants benefit from the opportunity to say things to each other that they have either avoided saying or have said hurtfully rather than helpfully. The group then decides together what needs to be done to behave constructively towards each other, with the end</w:t>
      </w:r>
      <w:r w:rsidRPr="004B4A48">
        <w:rPr>
          <w:rFonts w:eastAsia="Times New Roman"/>
          <w:bCs/>
          <w:i/>
          <w:color w:val="000000"/>
          <w:lang w:eastAsia="en-AU"/>
        </w:rPr>
        <w:t>  </w:t>
      </w:r>
      <w:r w:rsidRPr="004B4A48">
        <w:rPr>
          <w:rFonts w:ascii="Arial" w:eastAsia="Times New Roman" w:hAnsi="Arial" w:cs="Arial"/>
          <w:bCs/>
          <w:i/>
          <w:color w:val="000000"/>
          <w:lang w:eastAsia="en-AU"/>
        </w:rPr>
        <w:t>result being a concrete behavioural agreement that can be implemented</w:t>
      </w:r>
      <w:r>
        <w:rPr>
          <w:rFonts w:ascii="Arial" w:eastAsia="Times New Roman" w:hAnsi="Arial" w:cs="Arial"/>
          <w:bCs/>
          <w:i/>
          <w:color w:val="000000"/>
          <w:lang w:eastAsia="en-AU"/>
        </w:rPr>
        <w:t>’.</w:t>
      </w:r>
      <w:r>
        <w:rPr>
          <w:rStyle w:val="FootnoteReference"/>
          <w:rFonts w:ascii="Arial" w:eastAsia="Times New Roman" w:hAnsi="Arial" w:cs="Arial"/>
          <w:bCs/>
          <w:i/>
          <w:color w:val="000000"/>
          <w:lang w:eastAsia="en-AU"/>
        </w:rPr>
        <w:footnoteReference w:id="56"/>
      </w:r>
      <w:r w:rsidRPr="004B4A48">
        <w:rPr>
          <w:rFonts w:eastAsia="Times New Roman"/>
          <w:bCs/>
          <w:color w:val="000000"/>
          <w:lang w:eastAsia="en-AU"/>
        </w:rPr>
        <w:t> </w:t>
      </w:r>
    </w:p>
    <w:p w:rsidR="00784473" w:rsidRPr="00085C69" w:rsidRDefault="00784473" w:rsidP="00784473">
      <w:pPr>
        <w:rPr>
          <w:rFonts w:ascii="Arial" w:hAnsi="Arial" w:cs="Arial"/>
          <w:b/>
          <w:bCs/>
          <w:i/>
          <w:color w:val="C0504D"/>
          <w:sz w:val="24"/>
          <w:szCs w:val="24"/>
        </w:rPr>
      </w:pPr>
      <w:r w:rsidRPr="00085C69">
        <w:rPr>
          <w:rFonts w:ascii="Arial" w:hAnsi="Arial" w:cs="Arial"/>
          <w:b/>
          <w:bCs/>
          <w:i/>
          <w:color w:val="C0504D"/>
          <w:sz w:val="24"/>
          <w:szCs w:val="24"/>
        </w:rPr>
        <w:t xml:space="preserve">Bullying jurisdiction interaction with WHS regulation     </w:t>
      </w:r>
    </w:p>
    <w:p w:rsidR="00784473" w:rsidRDefault="00784473" w:rsidP="00784473">
      <w:pPr>
        <w:rPr>
          <w:rFonts w:ascii="Arial" w:hAnsi="Arial" w:cs="Arial"/>
          <w:bCs/>
        </w:rPr>
      </w:pPr>
      <w:r>
        <w:rPr>
          <w:rFonts w:ascii="Arial" w:hAnsi="Arial" w:cs="Arial"/>
          <w:bCs/>
        </w:rPr>
        <w:t xml:space="preserve">To sustain a claim of bullying, the alleged behaviour must create a risk to health and safety, a causal link must exist between the behaviour and the risk, and the behaviour is a substantial risk factor </w:t>
      </w:r>
      <w:r w:rsidRPr="002A0E56">
        <w:rPr>
          <w:rFonts w:ascii="Arial" w:hAnsi="Arial" w:cs="Arial"/>
          <w:bCs/>
        </w:rPr>
        <w:t>(</w:t>
      </w:r>
      <w:r>
        <w:rPr>
          <w:rFonts w:ascii="Arial" w:hAnsi="Arial" w:cs="Arial"/>
          <w:bCs/>
        </w:rPr>
        <w:t>s 789FD).</w:t>
      </w:r>
    </w:p>
    <w:p w:rsidR="00784473" w:rsidRDefault="00784473" w:rsidP="00784473">
      <w:pPr>
        <w:rPr>
          <w:rFonts w:ascii="Arial" w:hAnsi="Arial" w:cs="Arial"/>
          <w:bCs/>
        </w:rPr>
      </w:pPr>
      <w:r>
        <w:rPr>
          <w:rFonts w:ascii="Arial" w:hAnsi="Arial" w:cs="Arial"/>
          <w:bCs/>
        </w:rPr>
        <w:t xml:space="preserve">While the jurisdiction is not intended to replace other mechanisms to deal with bullying such as WHS, it appears that inevitably there may be duplication between overlapping jurisdictions that cover risks to WHS.  </w:t>
      </w:r>
    </w:p>
    <w:p w:rsidR="00784473" w:rsidRDefault="00784473" w:rsidP="00784473">
      <w:pPr>
        <w:rPr>
          <w:rFonts w:ascii="Arial" w:hAnsi="Arial" w:cs="Arial"/>
        </w:rPr>
      </w:pPr>
      <w:r w:rsidRPr="00C96B7E">
        <w:rPr>
          <w:rFonts w:ascii="Arial" w:hAnsi="Arial" w:cs="Arial"/>
          <w:bCs/>
        </w:rPr>
        <w:t xml:space="preserve">The role of the WHS Regulator </w:t>
      </w:r>
      <w:r>
        <w:rPr>
          <w:rFonts w:ascii="Arial" w:hAnsi="Arial" w:cs="Arial"/>
          <w:bCs/>
        </w:rPr>
        <w:t xml:space="preserve">is to </w:t>
      </w:r>
      <w:r w:rsidRPr="00C96B7E">
        <w:rPr>
          <w:rFonts w:ascii="Arial" w:hAnsi="Arial" w:cs="Arial"/>
          <w:bCs/>
        </w:rPr>
        <w:t>assess and investigate bullying complaints in accordance with their own compliance and prosecution policies, which may take into account risks to health and safety, and possible breaches of WHS legislation</w:t>
      </w:r>
      <w:r>
        <w:rPr>
          <w:rFonts w:ascii="Arial" w:hAnsi="Arial" w:cs="Arial"/>
          <w:bCs/>
        </w:rPr>
        <w:t>. W</w:t>
      </w:r>
      <w:r>
        <w:rPr>
          <w:rFonts w:ascii="Arial" w:hAnsi="Arial" w:cs="Arial"/>
        </w:rPr>
        <w:t xml:space="preserve">orkCover </w:t>
      </w:r>
      <w:r w:rsidRPr="00C96B7E">
        <w:rPr>
          <w:rFonts w:ascii="Arial" w:hAnsi="Arial" w:cs="Arial"/>
        </w:rPr>
        <w:t xml:space="preserve">NSW’s approach to dealing with bullying matters is outlined in their </w:t>
      </w:r>
      <w:r w:rsidRPr="00C00533">
        <w:rPr>
          <w:rFonts w:ascii="Arial" w:hAnsi="Arial" w:cs="Arial"/>
          <w:i/>
        </w:rPr>
        <w:t>Workplace Bullying Response – Service Standards</w:t>
      </w:r>
      <w:r w:rsidRPr="00C96B7E">
        <w:rPr>
          <w:rFonts w:ascii="Arial" w:hAnsi="Arial" w:cs="Arial"/>
        </w:rPr>
        <w:t>. Inspectors may contact a complainant for mo</w:t>
      </w:r>
      <w:r>
        <w:rPr>
          <w:rFonts w:ascii="Arial" w:hAnsi="Arial" w:cs="Arial"/>
        </w:rPr>
        <w:t xml:space="preserve">re information </w:t>
      </w:r>
      <w:r w:rsidRPr="00C96B7E">
        <w:rPr>
          <w:rFonts w:ascii="Arial" w:hAnsi="Arial" w:cs="Arial"/>
        </w:rPr>
        <w:t>and</w:t>
      </w:r>
      <w:r>
        <w:rPr>
          <w:rFonts w:ascii="Arial" w:hAnsi="Arial" w:cs="Arial"/>
        </w:rPr>
        <w:t xml:space="preserve"> follow up </w:t>
      </w:r>
      <w:r>
        <w:rPr>
          <w:rFonts w:ascii="Arial" w:hAnsi="Arial" w:cs="Arial"/>
        </w:rPr>
        <w:lastRenderedPageBreak/>
        <w:t xml:space="preserve">with the workplace to assess the extent of </w:t>
      </w:r>
      <w:r w:rsidR="00EE5588">
        <w:rPr>
          <w:rFonts w:ascii="Arial" w:hAnsi="Arial" w:cs="Arial"/>
        </w:rPr>
        <w:t>compliance with WHS obligations</w:t>
      </w:r>
      <w:r>
        <w:rPr>
          <w:rFonts w:ascii="Arial" w:hAnsi="Arial" w:cs="Arial"/>
        </w:rPr>
        <w:t>.</w:t>
      </w:r>
      <w:r>
        <w:rPr>
          <w:rStyle w:val="FootnoteReference"/>
          <w:rFonts w:ascii="Arial" w:hAnsi="Arial" w:cs="Arial"/>
        </w:rPr>
        <w:footnoteReference w:id="57"/>
      </w:r>
      <w:r>
        <w:rPr>
          <w:rFonts w:ascii="Arial" w:hAnsi="Arial" w:cs="Arial"/>
        </w:rPr>
        <w:t xml:space="preserve"> Action may include issuing prohibition or improvement notices or prosecuting alleged offences.  </w:t>
      </w:r>
    </w:p>
    <w:p w:rsidR="00E318D5" w:rsidRDefault="00784473" w:rsidP="00784473">
      <w:pPr>
        <w:rPr>
          <w:rFonts w:ascii="Arial" w:hAnsi="Arial" w:cs="Arial"/>
          <w:szCs w:val="24"/>
        </w:rPr>
      </w:pPr>
      <w:r>
        <w:rPr>
          <w:rFonts w:ascii="Arial" w:hAnsi="Arial" w:cs="Arial"/>
          <w:szCs w:val="24"/>
        </w:rPr>
        <w:t>CCER notes that in enacting the anti-bullying jurisdiction in the FW Act, ‘</w:t>
      </w:r>
      <w:r w:rsidRPr="0091486B">
        <w:rPr>
          <w:rFonts w:ascii="Arial" w:hAnsi="Arial" w:cs="Arial"/>
          <w:i/>
          <w:szCs w:val="24"/>
        </w:rPr>
        <w:t>WHS regulators should not perceive individual remedies as a replacement for penalties enforceable under WHS and criminal legislation. The amendments in Schedule 3 are not intended to preclude investigation and prosecutions under WHS and criminal law</w:t>
      </w:r>
      <w:r>
        <w:rPr>
          <w:rFonts w:ascii="Arial" w:hAnsi="Arial" w:cs="Arial"/>
          <w:szCs w:val="24"/>
        </w:rPr>
        <w:t>’</w:t>
      </w:r>
      <w:r w:rsidR="00E318D5">
        <w:rPr>
          <w:rFonts w:ascii="Arial" w:hAnsi="Arial" w:cs="Arial"/>
          <w:szCs w:val="24"/>
        </w:rPr>
        <w:t xml:space="preserve">. </w:t>
      </w:r>
      <w:r w:rsidR="00E318D5">
        <w:rPr>
          <w:rStyle w:val="FootnoteReference"/>
          <w:rFonts w:ascii="Arial" w:hAnsi="Arial" w:cs="Arial"/>
          <w:szCs w:val="24"/>
        </w:rPr>
        <w:footnoteReference w:id="58"/>
      </w:r>
    </w:p>
    <w:p w:rsidR="00784473" w:rsidRPr="00A706F3" w:rsidRDefault="00784473" w:rsidP="00784473">
      <w:pPr>
        <w:rPr>
          <w:rFonts w:ascii="Arial" w:hAnsi="Arial" w:cs="Arial"/>
          <w:bCs/>
        </w:rPr>
      </w:pPr>
      <w:r w:rsidRPr="00A706F3">
        <w:rPr>
          <w:rFonts w:ascii="Arial" w:hAnsi="Arial" w:cs="Arial"/>
          <w:szCs w:val="24"/>
        </w:rPr>
        <w:t>However, a</w:t>
      </w:r>
      <w:r w:rsidRPr="00A706F3">
        <w:rPr>
          <w:rFonts w:ascii="Arial" w:hAnsi="Arial" w:cs="Arial"/>
          <w:bCs/>
        </w:rPr>
        <w:t>rguably there is scope for duplication.</w:t>
      </w:r>
      <w:r w:rsidRPr="00A706F3">
        <w:rPr>
          <w:rFonts w:ascii="Arial" w:hAnsi="Arial" w:cs="Arial"/>
        </w:rPr>
        <w:t xml:space="preserve"> There may be merit in requiring the WHS regulator to undertake an initial </w:t>
      </w:r>
      <w:r w:rsidRPr="00A706F3">
        <w:rPr>
          <w:rFonts w:ascii="Arial" w:hAnsi="Arial" w:cs="Arial"/>
          <w:bCs/>
        </w:rPr>
        <w:t xml:space="preserve">risk assessment for bullying claims before </w:t>
      </w:r>
      <w:r>
        <w:rPr>
          <w:rFonts w:ascii="Arial" w:hAnsi="Arial" w:cs="Arial"/>
          <w:bCs/>
        </w:rPr>
        <w:t xml:space="preserve">they proceed to be dealt with by an FWC conciliator or </w:t>
      </w:r>
      <w:r w:rsidR="00C53814">
        <w:rPr>
          <w:rFonts w:ascii="Arial" w:hAnsi="Arial" w:cs="Arial"/>
          <w:bCs/>
        </w:rPr>
        <w:t xml:space="preserve">FWC </w:t>
      </w:r>
      <w:r>
        <w:rPr>
          <w:rFonts w:ascii="Arial" w:hAnsi="Arial" w:cs="Arial"/>
          <w:bCs/>
        </w:rPr>
        <w:t>member.</w:t>
      </w:r>
    </w:p>
    <w:p w:rsidR="00784473" w:rsidRDefault="00784473" w:rsidP="00784473">
      <w:pPr>
        <w:rPr>
          <w:rFonts w:ascii="Arial" w:hAnsi="Arial" w:cs="Arial"/>
        </w:rPr>
      </w:pPr>
      <w:r>
        <w:rPr>
          <w:rFonts w:ascii="Arial" w:hAnsi="Arial" w:cs="Arial"/>
        </w:rPr>
        <w:t xml:space="preserve">Alternatively it may be possible to </w:t>
      </w:r>
      <w:r w:rsidRPr="00C00533">
        <w:rPr>
          <w:rFonts w:ascii="Arial" w:hAnsi="Arial" w:cs="Arial"/>
        </w:rPr>
        <w:t xml:space="preserve">further tailor the WHS regulatory </w:t>
      </w:r>
      <w:r w:rsidR="002B22B7">
        <w:rPr>
          <w:rFonts w:ascii="Arial" w:hAnsi="Arial" w:cs="Arial"/>
        </w:rPr>
        <w:t>jurisdiction</w:t>
      </w:r>
      <w:r w:rsidRPr="00C00533">
        <w:rPr>
          <w:rFonts w:ascii="Arial" w:hAnsi="Arial" w:cs="Arial"/>
        </w:rPr>
        <w:t xml:space="preserve"> to provide a quick and cost-effective </w:t>
      </w:r>
      <w:r>
        <w:rPr>
          <w:rFonts w:ascii="Arial" w:hAnsi="Arial" w:cs="Arial"/>
        </w:rPr>
        <w:t xml:space="preserve">response or remedy to an </w:t>
      </w:r>
      <w:r w:rsidRPr="00C00533">
        <w:rPr>
          <w:rFonts w:ascii="Arial" w:hAnsi="Arial" w:cs="Arial"/>
        </w:rPr>
        <w:t xml:space="preserve">individual </w:t>
      </w:r>
      <w:r>
        <w:rPr>
          <w:rFonts w:ascii="Arial" w:hAnsi="Arial" w:cs="Arial"/>
        </w:rPr>
        <w:t xml:space="preserve">complaint. </w:t>
      </w:r>
    </w:p>
    <w:p w:rsidR="00784473" w:rsidRPr="00085C69" w:rsidRDefault="00784473" w:rsidP="00784473">
      <w:pPr>
        <w:rPr>
          <w:rFonts w:ascii="Arial" w:hAnsi="Arial" w:cs="Arial"/>
          <w:b/>
          <w:bCs/>
          <w:i/>
          <w:color w:val="C0504D"/>
          <w:sz w:val="24"/>
          <w:szCs w:val="24"/>
        </w:rPr>
      </w:pPr>
      <w:r w:rsidRPr="00085C69">
        <w:rPr>
          <w:rFonts w:ascii="Arial" w:hAnsi="Arial" w:cs="Arial"/>
          <w:b/>
          <w:bCs/>
          <w:i/>
          <w:color w:val="C0504D"/>
          <w:sz w:val="24"/>
          <w:szCs w:val="24"/>
        </w:rPr>
        <w:t xml:space="preserve">Pre-action requirements  </w:t>
      </w:r>
    </w:p>
    <w:p w:rsidR="00784473" w:rsidRDefault="00784473" w:rsidP="00784473">
      <w:pPr>
        <w:rPr>
          <w:rFonts w:ascii="Arial" w:hAnsi="Arial" w:cs="Arial"/>
          <w:bCs/>
        </w:rPr>
      </w:pPr>
      <w:r w:rsidRPr="00E465C5">
        <w:rPr>
          <w:rFonts w:ascii="Arial" w:hAnsi="Arial" w:cs="Arial"/>
          <w:bCs/>
        </w:rPr>
        <w:t>Re</w:t>
      </w:r>
      <w:r>
        <w:rPr>
          <w:rFonts w:ascii="Arial" w:hAnsi="Arial" w:cs="Arial"/>
          <w:bCs/>
        </w:rPr>
        <w:t xml:space="preserve">search </w:t>
      </w:r>
      <w:r w:rsidRPr="00E465C5">
        <w:rPr>
          <w:rFonts w:ascii="Arial" w:hAnsi="Arial" w:cs="Arial"/>
          <w:bCs/>
        </w:rPr>
        <w:t xml:space="preserve">into the effectiveness of pre-action schemes </w:t>
      </w:r>
      <w:r>
        <w:rPr>
          <w:rFonts w:ascii="Arial" w:hAnsi="Arial" w:cs="Arial"/>
          <w:bCs/>
        </w:rPr>
        <w:t>and obligations that encourage people to resolve their disputes before filing proceedings with a court or t</w:t>
      </w:r>
      <w:r w:rsidR="00E318D5">
        <w:rPr>
          <w:rFonts w:ascii="Arial" w:hAnsi="Arial" w:cs="Arial"/>
          <w:bCs/>
        </w:rPr>
        <w:t>ribunal was undertaken in 2012</w:t>
      </w:r>
      <w:r>
        <w:rPr>
          <w:rFonts w:ascii="Arial" w:hAnsi="Arial" w:cs="Arial"/>
          <w:bCs/>
        </w:rPr>
        <w:t>.</w:t>
      </w:r>
      <w:r>
        <w:rPr>
          <w:rStyle w:val="FootnoteReference"/>
          <w:rFonts w:ascii="Arial" w:hAnsi="Arial" w:cs="Arial"/>
          <w:bCs/>
        </w:rPr>
        <w:footnoteReference w:id="59"/>
      </w:r>
    </w:p>
    <w:p w:rsidR="00784473" w:rsidRDefault="00AE6193" w:rsidP="00784473">
      <w:pPr>
        <w:rPr>
          <w:rFonts w:ascii="Arial" w:hAnsi="Arial" w:cs="Arial"/>
          <w:bCs/>
        </w:rPr>
      </w:pPr>
      <w:r>
        <w:rPr>
          <w:rFonts w:ascii="Arial" w:hAnsi="Arial" w:cs="Arial"/>
          <w:bCs/>
        </w:rPr>
        <w:t>The research shows that p</w:t>
      </w:r>
      <w:r w:rsidR="00784473">
        <w:rPr>
          <w:rFonts w:ascii="Arial" w:hAnsi="Arial" w:cs="Arial"/>
          <w:bCs/>
        </w:rPr>
        <w:t xml:space="preserve">re-action requirements are not intended as a hurdle that prevents people from accessing justice through the tribunal and court system but as a measure to support early and more effective dispute resolution. </w:t>
      </w:r>
    </w:p>
    <w:p w:rsidR="00784473" w:rsidRDefault="00784473" w:rsidP="00784473">
      <w:pPr>
        <w:rPr>
          <w:rFonts w:ascii="Arial" w:hAnsi="Arial" w:cs="Arial"/>
          <w:bCs/>
        </w:rPr>
      </w:pPr>
      <w:r>
        <w:rPr>
          <w:rFonts w:ascii="Arial" w:hAnsi="Arial" w:cs="Arial"/>
          <w:bCs/>
        </w:rPr>
        <w:t xml:space="preserve">The approaches vary between formal arrangements to </w:t>
      </w:r>
      <w:r w:rsidR="00892CC9">
        <w:rPr>
          <w:rFonts w:ascii="Arial" w:hAnsi="Arial" w:cs="Arial"/>
          <w:bCs/>
        </w:rPr>
        <w:t>self-help</w:t>
      </w:r>
      <w:r w:rsidR="0077105D">
        <w:rPr>
          <w:rFonts w:ascii="Arial" w:hAnsi="Arial" w:cs="Arial"/>
          <w:bCs/>
        </w:rPr>
        <w:t xml:space="preserve"> processes inserted within l</w:t>
      </w:r>
      <w:r>
        <w:rPr>
          <w:rFonts w:ascii="Arial" w:hAnsi="Arial" w:cs="Arial"/>
          <w:bCs/>
        </w:rPr>
        <w:t xml:space="preserve">egislation which requires litigants to lodge a ‘genuine steps’ statement when commencing certain types of civil proceedings. The research indicates positive findings about the impact of pre-action requirements although it also showed there must be exceptions to any ADR referral or pre-action process. Further, the use of a facilitated process such as ADR or mediation requires qualified participants.  </w:t>
      </w:r>
    </w:p>
    <w:p w:rsidR="00784473" w:rsidRDefault="00784473" w:rsidP="00784473">
      <w:pPr>
        <w:rPr>
          <w:rFonts w:ascii="Arial" w:hAnsi="Arial" w:cs="Arial"/>
          <w:bCs/>
        </w:rPr>
      </w:pPr>
      <w:r>
        <w:rPr>
          <w:rFonts w:ascii="Arial" w:hAnsi="Arial" w:cs="Arial"/>
          <w:bCs/>
        </w:rPr>
        <w:t>CCER notes that other jurisdictions provide for compulsory dispute resolution prior to filing an application. These alternative approaches may be useful to apply</w:t>
      </w:r>
      <w:r w:rsidR="00533D63">
        <w:rPr>
          <w:rFonts w:ascii="Arial" w:hAnsi="Arial" w:cs="Arial"/>
          <w:bCs/>
        </w:rPr>
        <w:t xml:space="preserve"> in </w:t>
      </w:r>
      <w:r>
        <w:rPr>
          <w:rFonts w:ascii="Arial" w:hAnsi="Arial" w:cs="Arial"/>
          <w:bCs/>
        </w:rPr>
        <w:t>the employment context,</w:t>
      </w:r>
      <w:r w:rsidRPr="003B49C9">
        <w:rPr>
          <w:rFonts w:ascii="Arial" w:hAnsi="Arial" w:cs="Arial"/>
          <w:bCs/>
        </w:rPr>
        <w:t xml:space="preserve"> given the highly emotive nature of these disputes and personal and financial investment of the parties involved.</w:t>
      </w:r>
      <w:r>
        <w:rPr>
          <w:rFonts w:ascii="Arial" w:hAnsi="Arial" w:cs="Arial"/>
          <w:bCs/>
        </w:rPr>
        <w:t xml:space="preserve"> For example:</w:t>
      </w:r>
    </w:p>
    <w:p w:rsidR="00784473" w:rsidRPr="003B49C9" w:rsidRDefault="00784473" w:rsidP="00784473">
      <w:pPr>
        <w:pStyle w:val="ListParagraph"/>
        <w:numPr>
          <w:ilvl w:val="0"/>
          <w:numId w:val="27"/>
        </w:numPr>
        <w:rPr>
          <w:rFonts w:ascii="Arial" w:hAnsi="Arial" w:cs="Arial"/>
        </w:rPr>
      </w:pPr>
      <w:r w:rsidRPr="003B49C9">
        <w:rPr>
          <w:rFonts w:ascii="Arial" w:hAnsi="Arial" w:cs="Arial"/>
          <w:bCs/>
        </w:rPr>
        <w:t>the</w:t>
      </w:r>
      <w:r w:rsidRPr="003B49C9">
        <w:rPr>
          <w:rFonts w:ascii="Arial" w:hAnsi="Arial" w:cs="Arial"/>
        </w:rPr>
        <w:t xml:space="preserve"> </w:t>
      </w:r>
      <w:r w:rsidRPr="003B49C9">
        <w:rPr>
          <w:rFonts w:ascii="Arial" w:hAnsi="Arial" w:cs="Arial"/>
          <w:i/>
        </w:rPr>
        <w:t>Family Law Act 1975</w:t>
      </w:r>
      <w:r w:rsidRPr="003B49C9">
        <w:rPr>
          <w:rFonts w:ascii="Arial" w:hAnsi="Arial" w:cs="Arial"/>
        </w:rPr>
        <w:t xml:space="preserve"> requires a person to obtain a certificate from a registered family dispute resolution practitioner before an application is filed for an order in relation to parenting arrangements for a child.  </w:t>
      </w:r>
      <w:r>
        <w:rPr>
          <w:rFonts w:ascii="Arial" w:hAnsi="Arial" w:cs="Arial"/>
        </w:rPr>
        <w:t>The certificate will state whether the parties made a genuine effort to resolve their dispute or not. Parties who do not may be referred back from the court to the mediation process and/or be liable for the other party’s costs.</w:t>
      </w:r>
      <w:r w:rsidRPr="003B49C9">
        <w:rPr>
          <w:rFonts w:ascii="Arial" w:hAnsi="Arial" w:cs="Arial"/>
        </w:rPr>
        <w:t xml:space="preserve"> Exemptions apply in certain circumstances, for example, where there is significant risk of violence or abuse.</w:t>
      </w:r>
      <w:r>
        <w:rPr>
          <w:rStyle w:val="FootnoteReference"/>
          <w:rFonts w:ascii="Arial" w:hAnsi="Arial" w:cs="Arial"/>
        </w:rPr>
        <w:footnoteReference w:id="60"/>
      </w:r>
    </w:p>
    <w:p w:rsidR="00784473" w:rsidRPr="003B49C9" w:rsidRDefault="00784473" w:rsidP="00784473">
      <w:pPr>
        <w:pStyle w:val="ListParagraph"/>
        <w:numPr>
          <w:ilvl w:val="0"/>
          <w:numId w:val="27"/>
        </w:numPr>
        <w:rPr>
          <w:rFonts w:ascii="Arial" w:hAnsi="Arial" w:cs="Arial"/>
        </w:rPr>
      </w:pPr>
      <w:r>
        <w:rPr>
          <w:rFonts w:ascii="Arial" w:hAnsi="Arial" w:cs="Arial"/>
        </w:rPr>
        <w:lastRenderedPageBreak/>
        <w:t>s</w:t>
      </w:r>
      <w:r w:rsidRPr="003B49C9">
        <w:rPr>
          <w:rFonts w:ascii="Arial" w:hAnsi="Arial" w:cs="Arial"/>
        </w:rPr>
        <w:t xml:space="preserve">ection 40(1A) of the </w:t>
      </w:r>
      <w:r w:rsidRPr="003B49C9">
        <w:rPr>
          <w:rFonts w:ascii="Arial" w:hAnsi="Arial" w:cs="Arial"/>
          <w:i/>
          <w:iCs/>
        </w:rPr>
        <w:t>Privacy Act 1988</w:t>
      </w:r>
      <w:r w:rsidRPr="003B49C9">
        <w:rPr>
          <w:rFonts w:ascii="Arial" w:hAnsi="Arial" w:cs="Arial"/>
        </w:rPr>
        <w:t xml:space="preserve"> disallows </w:t>
      </w:r>
      <w:r>
        <w:rPr>
          <w:rFonts w:ascii="Arial" w:hAnsi="Arial" w:cs="Arial"/>
        </w:rPr>
        <w:t xml:space="preserve">the Office of the Privacy </w:t>
      </w:r>
      <w:r w:rsidRPr="003B49C9">
        <w:rPr>
          <w:rFonts w:ascii="Arial" w:hAnsi="Arial" w:cs="Arial"/>
        </w:rPr>
        <w:t>Commissioner from investigating a complaint if the complainant did not complain to the</w:t>
      </w:r>
      <w:r>
        <w:rPr>
          <w:rFonts w:ascii="Arial" w:hAnsi="Arial" w:cs="Arial"/>
        </w:rPr>
        <w:t xml:space="preserve"> r</w:t>
      </w:r>
      <w:r w:rsidRPr="003B49C9">
        <w:rPr>
          <w:rFonts w:ascii="Arial" w:hAnsi="Arial" w:cs="Arial"/>
        </w:rPr>
        <w:t xml:space="preserve">espondent prior to making the complaint. This rule may be overridden if the Commissioner considers it inappropriate for the complainant to complain to the respondent. </w:t>
      </w:r>
    </w:p>
    <w:p w:rsidR="00D871F5" w:rsidRDefault="00784473" w:rsidP="00784473">
      <w:pPr>
        <w:rPr>
          <w:rFonts w:ascii="Arial" w:hAnsi="Arial" w:cs="Arial"/>
        </w:rPr>
      </w:pPr>
      <w:r w:rsidRPr="00900A53">
        <w:rPr>
          <w:rFonts w:ascii="Arial" w:hAnsi="Arial" w:cs="Arial"/>
          <w:bCs/>
        </w:rPr>
        <w:t xml:space="preserve">The Productivity Commission has itself examined the </w:t>
      </w:r>
      <w:r w:rsidRPr="00900A53">
        <w:rPr>
          <w:rFonts w:ascii="Arial" w:hAnsi="Arial" w:cs="Arial"/>
        </w:rPr>
        <w:t>potential for resolving more disputes through alternative dispute resolution without compromising fairness or equity</w:t>
      </w:r>
      <w:r w:rsidR="00D871F5">
        <w:rPr>
          <w:rFonts w:ascii="Arial" w:hAnsi="Arial" w:cs="Arial"/>
        </w:rPr>
        <w:t>.</w:t>
      </w:r>
      <w:r w:rsidRPr="00900A53">
        <w:rPr>
          <w:rFonts w:ascii="Arial" w:hAnsi="Arial" w:cs="Arial"/>
        </w:rPr>
        <w:t xml:space="preserve"> </w:t>
      </w:r>
      <w:r w:rsidR="00D871F5">
        <w:rPr>
          <w:rStyle w:val="FootnoteReference"/>
          <w:rFonts w:ascii="Arial" w:hAnsi="Arial" w:cs="Arial"/>
        </w:rPr>
        <w:footnoteReference w:id="61"/>
      </w:r>
    </w:p>
    <w:p w:rsidR="00784473" w:rsidRPr="00085C69" w:rsidRDefault="00E318D5" w:rsidP="00784473">
      <w:pPr>
        <w:rPr>
          <w:rFonts w:ascii="Arial" w:hAnsi="Arial" w:cs="Arial"/>
          <w:b/>
          <w:bCs/>
          <w:i/>
          <w:color w:val="C0504D"/>
          <w:sz w:val="24"/>
          <w:szCs w:val="24"/>
        </w:rPr>
      </w:pPr>
      <w:r w:rsidRPr="00085C69">
        <w:rPr>
          <w:rFonts w:ascii="Arial" w:hAnsi="Arial" w:cs="Arial"/>
          <w:b/>
          <w:bCs/>
          <w:i/>
          <w:color w:val="C0504D"/>
          <w:sz w:val="24"/>
          <w:szCs w:val="24"/>
        </w:rPr>
        <w:t>P</w:t>
      </w:r>
      <w:r>
        <w:rPr>
          <w:rFonts w:ascii="Arial" w:hAnsi="Arial" w:cs="Arial"/>
          <w:b/>
          <w:bCs/>
          <w:i/>
          <w:color w:val="C0504D"/>
          <w:sz w:val="24"/>
          <w:szCs w:val="24"/>
        </w:rPr>
        <w:t xml:space="preserve">roposals </w:t>
      </w:r>
      <w:r w:rsidRPr="00085C69">
        <w:rPr>
          <w:rFonts w:ascii="Arial" w:hAnsi="Arial" w:cs="Arial"/>
          <w:b/>
          <w:bCs/>
          <w:i/>
          <w:color w:val="C0504D"/>
          <w:sz w:val="24"/>
          <w:szCs w:val="24"/>
        </w:rPr>
        <w:t>for</w:t>
      </w:r>
      <w:r w:rsidR="0019361F">
        <w:rPr>
          <w:rFonts w:ascii="Arial" w:hAnsi="Arial" w:cs="Arial"/>
          <w:b/>
          <w:bCs/>
          <w:i/>
          <w:color w:val="C0504D"/>
          <w:sz w:val="24"/>
          <w:szCs w:val="24"/>
        </w:rPr>
        <w:t xml:space="preserve"> consideration</w:t>
      </w:r>
    </w:p>
    <w:p w:rsidR="00784473" w:rsidRPr="009649B3" w:rsidRDefault="00394D9C" w:rsidP="00784473">
      <w:pPr>
        <w:rPr>
          <w:rFonts w:ascii="Arial" w:hAnsi="Arial" w:cs="Arial"/>
          <w:bCs/>
        </w:rPr>
      </w:pPr>
      <w:r>
        <w:rPr>
          <w:rFonts w:ascii="Arial" w:hAnsi="Arial" w:cs="Arial"/>
          <w:bCs/>
        </w:rPr>
        <w:t xml:space="preserve">Given all of </w:t>
      </w:r>
      <w:r w:rsidR="00892CC9">
        <w:rPr>
          <w:rFonts w:ascii="Arial" w:hAnsi="Arial" w:cs="Arial"/>
          <w:bCs/>
        </w:rPr>
        <w:t>the</w:t>
      </w:r>
      <w:r>
        <w:rPr>
          <w:rFonts w:ascii="Arial" w:hAnsi="Arial" w:cs="Arial"/>
          <w:bCs/>
        </w:rPr>
        <w:t xml:space="preserve"> </w:t>
      </w:r>
      <w:r w:rsidR="00892CC9">
        <w:rPr>
          <w:rFonts w:ascii="Arial" w:hAnsi="Arial" w:cs="Arial"/>
          <w:bCs/>
        </w:rPr>
        <w:t>above</w:t>
      </w:r>
      <w:r>
        <w:rPr>
          <w:rFonts w:ascii="Arial" w:hAnsi="Arial" w:cs="Arial"/>
          <w:bCs/>
        </w:rPr>
        <w:t xml:space="preserve">, CCER </w:t>
      </w:r>
      <w:r w:rsidR="00B13AFA">
        <w:rPr>
          <w:rFonts w:ascii="Arial" w:hAnsi="Arial" w:cs="Arial"/>
          <w:bCs/>
        </w:rPr>
        <w:t xml:space="preserve">suggests </w:t>
      </w:r>
      <w:r>
        <w:rPr>
          <w:rFonts w:ascii="Arial" w:hAnsi="Arial" w:cs="Arial"/>
          <w:bCs/>
        </w:rPr>
        <w:t>th</w:t>
      </w:r>
      <w:r w:rsidR="00784473" w:rsidRPr="009649B3">
        <w:rPr>
          <w:rFonts w:ascii="Arial" w:hAnsi="Arial" w:cs="Arial"/>
          <w:bCs/>
        </w:rPr>
        <w:t xml:space="preserve">e Productivity Commission consider the following </w:t>
      </w:r>
      <w:r>
        <w:rPr>
          <w:rFonts w:ascii="Arial" w:hAnsi="Arial" w:cs="Arial"/>
          <w:bCs/>
        </w:rPr>
        <w:t>p</w:t>
      </w:r>
      <w:r w:rsidR="00DC4123">
        <w:rPr>
          <w:rFonts w:ascii="Arial" w:hAnsi="Arial" w:cs="Arial"/>
          <w:bCs/>
        </w:rPr>
        <w:t>roposals</w:t>
      </w:r>
      <w:r w:rsidR="00784473">
        <w:rPr>
          <w:rFonts w:ascii="Arial" w:hAnsi="Arial" w:cs="Arial"/>
          <w:bCs/>
        </w:rPr>
        <w:t>:</w:t>
      </w:r>
    </w:p>
    <w:p w:rsidR="00784473" w:rsidRPr="00DC4123" w:rsidRDefault="00784473" w:rsidP="00DC4123">
      <w:pPr>
        <w:pStyle w:val="ListParagraph"/>
        <w:numPr>
          <w:ilvl w:val="0"/>
          <w:numId w:val="32"/>
        </w:numPr>
        <w:rPr>
          <w:rFonts w:ascii="Arial" w:hAnsi="Arial" w:cs="Arial"/>
          <w:bCs/>
          <w:i/>
          <w:color w:val="C0504D"/>
        </w:rPr>
      </w:pPr>
      <w:r w:rsidRPr="00DC4123">
        <w:rPr>
          <w:rFonts w:ascii="Arial" w:hAnsi="Arial" w:cs="Arial"/>
          <w:bCs/>
          <w:i/>
          <w:color w:val="C0504D"/>
        </w:rPr>
        <w:t xml:space="preserve">Threshold test – local level resolution </w:t>
      </w:r>
    </w:p>
    <w:p w:rsidR="00784473" w:rsidRPr="00F86EC2" w:rsidRDefault="00997C03" w:rsidP="00784473">
      <w:pPr>
        <w:rPr>
          <w:rFonts w:ascii="Arial" w:hAnsi="Arial" w:cs="Arial"/>
          <w:bCs/>
        </w:rPr>
      </w:pPr>
      <w:r>
        <w:rPr>
          <w:rFonts w:ascii="Arial" w:hAnsi="Arial" w:cs="Arial"/>
          <w:bCs/>
        </w:rPr>
        <w:t>I</w:t>
      </w:r>
      <w:r w:rsidR="00784473" w:rsidRPr="00F86EC2">
        <w:rPr>
          <w:rFonts w:ascii="Arial" w:hAnsi="Arial" w:cs="Arial"/>
          <w:bCs/>
        </w:rPr>
        <w:t xml:space="preserve">ntroduce </w:t>
      </w:r>
      <w:r w:rsidR="00784473">
        <w:rPr>
          <w:rFonts w:ascii="Arial" w:hAnsi="Arial" w:cs="Arial"/>
          <w:bCs/>
        </w:rPr>
        <w:t xml:space="preserve">a </w:t>
      </w:r>
      <w:r w:rsidR="00784473" w:rsidRPr="00F86EC2">
        <w:rPr>
          <w:rFonts w:ascii="Arial" w:hAnsi="Arial" w:cs="Arial"/>
          <w:bCs/>
        </w:rPr>
        <w:t xml:space="preserve">threshold test for workplace bullying and general protections </w:t>
      </w:r>
      <w:r w:rsidR="00784473">
        <w:rPr>
          <w:rFonts w:ascii="Arial" w:hAnsi="Arial" w:cs="Arial"/>
          <w:bCs/>
        </w:rPr>
        <w:t xml:space="preserve">(non-dismissal) </w:t>
      </w:r>
      <w:r w:rsidR="00784473" w:rsidRPr="00F86EC2">
        <w:rPr>
          <w:rFonts w:ascii="Arial" w:hAnsi="Arial" w:cs="Arial"/>
          <w:bCs/>
        </w:rPr>
        <w:t xml:space="preserve">complaints, requiring the </w:t>
      </w:r>
      <w:r w:rsidR="00784473">
        <w:rPr>
          <w:rFonts w:ascii="Arial" w:hAnsi="Arial" w:cs="Arial"/>
          <w:bCs/>
        </w:rPr>
        <w:t>a</w:t>
      </w:r>
      <w:r w:rsidR="00784473" w:rsidRPr="00F86EC2">
        <w:rPr>
          <w:rFonts w:ascii="Arial" w:hAnsi="Arial" w:cs="Arial"/>
          <w:bCs/>
        </w:rPr>
        <w:t xml:space="preserve">pplicant to demonstrate they have taken reasonable steps at the workplace level to resolve their </w:t>
      </w:r>
      <w:r w:rsidR="00784473">
        <w:rPr>
          <w:rFonts w:ascii="Arial" w:hAnsi="Arial" w:cs="Arial"/>
          <w:bCs/>
        </w:rPr>
        <w:t xml:space="preserve">grievance or </w:t>
      </w:r>
      <w:r w:rsidR="00784473" w:rsidRPr="00F86EC2">
        <w:rPr>
          <w:rFonts w:ascii="Arial" w:hAnsi="Arial" w:cs="Arial"/>
          <w:bCs/>
        </w:rPr>
        <w:t>dispute before lodging their claim with the FWC</w:t>
      </w:r>
      <w:r w:rsidR="00784473">
        <w:rPr>
          <w:rFonts w:ascii="Arial" w:hAnsi="Arial" w:cs="Arial"/>
          <w:bCs/>
        </w:rPr>
        <w:t>.</w:t>
      </w:r>
      <w:r w:rsidR="00784473" w:rsidRPr="00F86EC2">
        <w:rPr>
          <w:rFonts w:ascii="Arial" w:hAnsi="Arial" w:cs="Arial"/>
          <w:bCs/>
        </w:rPr>
        <w:t xml:space="preserve"> </w:t>
      </w:r>
    </w:p>
    <w:p w:rsidR="00784473" w:rsidRPr="004D4421" w:rsidRDefault="00784473" w:rsidP="00784473">
      <w:pPr>
        <w:rPr>
          <w:rFonts w:ascii="Arial" w:eastAsia="Times New Roman" w:hAnsi="Arial" w:cs="Arial"/>
          <w:bCs/>
          <w:color w:val="000000"/>
          <w:lang w:eastAsia="en-AU"/>
        </w:rPr>
      </w:pPr>
      <w:r w:rsidRPr="004D4421">
        <w:rPr>
          <w:rFonts w:ascii="Arial" w:eastAsia="Times New Roman" w:hAnsi="Arial" w:cs="Arial"/>
          <w:bCs/>
          <w:color w:val="000000"/>
          <w:lang w:eastAsia="en-AU"/>
        </w:rPr>
        <w:t xml:space="preserve">This approach could be implemented by introducing </w:t>
      </w:r>
      <w:r>
        <w:rPr>
          <w:rFonts w:ascii="Arial" w:eastAsia="Times New Roman" w:hAnsi="Arial" w:cs="Arial"/>
          <w:bCs/>
          <w:color w:val="000000"/>
          <w:lang w:eastAsia="en-AU"/>
        </w:rPr>
        <w:t xml:space="preserve">an obligation </w:t>
      </w:r>
      <w:r w:rsidR="00997C03">
        <w:rPr>
          <w:rFonts w:ascii="Arial" w:eastAsia="Times New Roman" w:hAnsi="Arial" w:cs="Arial"/>
          <w:bCs/>
          <w:color w:val="000000"/>
          <w:lang w:eastAsia="en-AU"/>
        </w:rPr>
        <w:t>for</w:t>
      </w:r>
      <w:r w:rsidRPr="004D4421">
        <w:rPr>
          <w:rFonts w:ascii="Arial" w:eastAsia="Times New Roman" w:hAnsi="Arial" w:cs="Arial"/>
          <w:bCs/>
          <w:color w:val="000000"/>
          <w:lang w:eastAsia="en-AU"/>
        </w:rPr>
        <w:t xml:space="preserve"> </w:t>
      </w:r>
      <w:r>
        <w:rPr>
          <w:rFonts w:ascii="Arial" w:eastAsia="Times New Roman" w:hAnsi="Arial" w:cs="Arial"/>
          <w:bCs/>
          <w:color w:val="000000"/>
          <w:lang w:eastAsia="en-AU"/>
        </w:rPr>
        <w:t>a</w:t>
      </w:r>
      <w:r w:rsidRPr="004D4421">
        <w:rPr>
          <w:rFonts w:ascii="Arial" w:eastAsia="Times New Roman" w:hAnsi="Arial" w:cs="Arial"/>
          <w:bCs/>
          <w:color w:val="000000"/>
          <w:lang w:eastAsia="en-AU"/>
        </w:rPr>
        <w:t>pplicant</w:t>
      </w:r>
      <w:r w:rsidR="00997C03">
        <w:rPr>
          <w:rFonts w:ascii="Arial" w:eastAsia="Times New Roman" w:hAnsi="Arial" w:cs="Arial"/>
          <w:bCs/>
          <w:color w:val="000000"/>
          <w:lang w:eastAsia="en-AU"/>
        </w:rPr>
        <w:t>s</w:t>
      </w:r>
      <w:r w:rsidRPr="004D4421">
        <w:rPr>
          <w:rFonts w:ascii="Arial" w:eastAsia="Times New Roman" w:hAnsi="Arial" w:cs="Arial"/>
          <w:bCs/>
          <w:color w:val="000000"/>
          <w:lang w:eastAsia="en-AU"/>
        </w:rPr>
        <w:t xml:space="preserve"> to demonstrate they have </w:t>
      </w:r>
      <w:r>
        <w:rPr>
          <w:rFonts w:ascii="Arial" w:eastAsia="Times New Roman" w:hAnsi="Arial" w:cs="Arial"/>
          <w:bCs/>
          <w:color w:val="000000"/>
          <w:lang w:eastAsia="en-AU"/>
        </w:rPr>
        <w:t xml:space="preserve">first discussed the matter in dispute with their supervisor, then with more senior management in a genuine attempt </w:t>
      </w:r>
      <w:r w:rsidRPr="004D4421">
        <w:rPr>
          <w:rFonts w:ascii="Arial" w:eastAsia="Times New Roman" w:hAnsi="Arial" w:cs="Arial"/>
          <w:bCs/>
          <w:color w:val="000000"/>
          <w:lang w:eastAsia="en-AU"/>
        </w:rPr>
        <w:t xml:space="preserve">to resolve their dispute before lodging their claim with the FWC. </w:t>
      </w:r>
      <w:r>
        <w:rPr>
          <w:rFonts w:ascii="Arial" w:eastAsia="Times New Roman" w:hAnsi="Arial" w:cs="Arial"/>
          <w:bCs/>
          <w:color w:val="000000"/>
          <w:lang w:eastAsia="en-AU"/>
        </w:rPr>
        <w:t>This</w:t>
      </w:r>
      <w:r w:rsidRPr="00511150">
        <w:rPr>
          <w:rFonts w:ascii="Arial" w:hAnsi="Arial" w:cs="Arial"/>
          <w:bCs/>
        </w:rPr>
        <w:t xml:space="preserve"> </w:t>
      </w:r>
      <w:r>
        <w:rPr>
          <w:rFonts w:ascii="Arial" w:hAnsi="Arial" w:cs="Arial"/>
          <w:bCs/>
        </w:rPr>
        <w:t>s</w:t>
      </w:r>
      <w:r w:rsidRPr="00511150">
        <w:rPr>
          <w:rFonts w:ascii="Arial" w:hAnsi="Arial" w:cs="Arial"/>
          <w:bCs/>
        </w:rPr>
        <w:t xml:space="preserve">tep </w:t>
      </w:r>
      <w:r>
        <w:rPr>
          <w:rFonts w:ascii="Arial" w:hAnsi="Arial" w:cs="Arial"/>
          <w:bCs/>
        </w:rPr>
        <w:t>may provide an opportunity for employers and employees to de-escalate and resolve disputes in house and in a more timely manner</w:t>
      </w:r>
      <w:r w:rsidR="00997C03">
        <w:rPr>
          <w:rFonts w:ascii="Arial" w:hAnsi="Arial" w:cs="Arial"/>
          <w:bCs/>
        </w:rPr>
        <w:t>,</w:t>
      </w:r>
      <w:r>
        <w:rPr>
          <w:rFonts w:ascii="Arial" w:hAnsi="Arial" w:cs="Arial"/>
          <w:bCs/>
        </w:rPr>
        <w:t xml:space="preserve"> with the potential to avoid formal claims and potential litigation.</w:t>
      </w:r>
    </w:p>
    <w:p w:rsidR="00784473" w:rsidRPr="004D4421" w:rsidRDefault="00784473" w:rsidP="00784473">
      <w:pPr>
        <w:rPr>
          <w:rFonts w:ascii="Arial" w:eastAsia="Times New Roman" w:hAnsi="Arial" w:cs="Arial"/>
          <w:bCs/>
          <w:color w:val="000000"/>
          <w:lang w:eastAsia="en-AU"/>
        </w:rPr>
      </w:pPr>
      <w:r w:rsidRPr="004D4421">
        <w:rPr>
          <w:rFonts w:ascii="Arial" w:eastAsia="Times New Roman" w:hAnsi="Arial" w:cs="Arial"/>
          <w:bCs/>
          <w:color w:val="000000"/>
          <w:lang w:eastAsia="en-AU"/>
        </w:rPr>
        <w:t>The requirement to attempt to resolve at the workplace level could operate as a jurisdictional objection to the claim being conciliated by the FWC.</w:t>
      </w:r>
      <w:r>
        <w:rPr>
          <w:rFonts w:ascii="Arial" w:eastAsia="Times New Roman" w:hAnsi="Arial" w:cs="Arial"/>
          <w:bCs/>
          <w:color w:val="000000"/>
          <w:lang w:eastAsia="en-AU"/>
        </w:rPr>
        <w:t xml:space="preserve"> </w:t>
      </w:r>
      <w:r w:rsidRPr="004D4421">
        <w:rPr>
          <w:rFonts w:ascii="Arial" w:eastAsia="Times New Roman" w:hAnsi="Arial" w:cs="Arial"/>
          <w:bCs/>
          <w:color w:val="000000"/>
          <w:lang w:eastAsia="en-AU"/>
        </w:rPr>
        <w:t xml:space="preserve">The obligation could be further strengthened, for example, by including a specific object in the </w:t>
      </w:r>
      <w:r>
        <w:rPr>
          <w:rFonts w:ascii="Arial" w:eastAsia="Times New Roman" w:hAnsi="Arial" w:cs="Arial"/>
          <w:bCs/>
          <w:color w:val="000000"/>
          <w:lang w:eastAsia="en-AU"/>
        </w:rPr>
        <w:t xml:space="preserve">FW </w:t>
      </w:r>
      <w:r w:rsidRPr="004D4421">
        <w:rPr>
          <w:rFonts w:ascii="Arial" w:eastAsia="Times New Roman" w:hAnsi="Arial" w:cs="Arial"/>
          <w:bCs/>
          <w:color w:val="000000"/>
          <w:lang w:eastAsia="en-AU"/>
        </w:rPr>
        <w:t xml:space="preserve">Act to encourage employers and employees who are parties to a dispute to </w:t>
      </w:r>
      <w:r w:rsidR="006A6714">
        <w:rPr>
          <w:rFonts w:ascii="Arial" w:eastAsia="Times New Roman" w:hAnsi="Arial" w:cs="Arial"/>
          <w:bCs/>
          <w:color w:val="000000"/>
          <w:lang w:eastAsia="en-AU"/>
        </w:rPr>
        <w:t xml:space="preserve">seek to </w:t>
      </w:r>
      <w:r w:rsidRPr="004D4421">
        <w:rPr>
          <w:rFonts w:ascii="Arial" w:eastAsia="Times New Roman" w:hAnsi="Arial" w:cs="Arial"/>
          <w:bCs/>
          <w:color w:val="000000"/>
          <w:lang w:eastAsia="en-AU"/>
        </w:rPr>
        <w:t xml:space="preserve">resolve it </w:t>
      </w:r>
      <w:r w:rsidR="006A6714">
        <w:rPr>
          <w:rFonts w:ascii="Arial" w:eastAsia="Times New Roman" w:hAnsi="Arial" w:cs="Arial"/>
          <w:bCs/>
          <w:color w:val="000000"/>
          <w:lang w:eastAsia="en-AU"/>
        </w:rPr>
        <w:t xml:space="preserve">first </w:t>
      </w:r>
      <w:r w:rsidRPr="004D4421">
        <w:rPr>
          <w:rFonts w:ascii="Arial" w:eastAsia="Times New Roman" w:hAnsi="Arial" w:cs="Arial"/>
          <w:bCs/>
          <w:color w:val="000000"/>
          <w:lang w:eastAsia="en-AU"/>
        </w:rPr>
        <w:t>at the workplace level.</w:t>
      </w:r>
    </w:p>
    <w:p w:rsidR="00784473" w:rsidRDefault="00784473" w:rsidP="00784473">
      <w:pPr>
        <w:rPr>
          <w:rFonts w:ascii="Arial" w:eastAsia="Times New Roman" w:hAnsi="Arial" w:cs="Arial"/>
          <w:bCs/>
          <w:color w:val="000000"/>
          <w:lang w:eastAsia="en-AU"/>
        </w:rPr>
      </w:pPr>
      <w:r w:rsidRPr="004D4421">
        <w:rPr>
          <w:rFonts w:ascii="Arial" w:eastAsia="Times New Roman" w:hAnsi="Arial" w:cs="Arial"/>
          <w:bCs/>
          <w:color w:val="000000"/>
          <w:lang w:eastAsia="en-AU"/>
        </w:rPr>
        <w:t>CCER recognises there may be a need for exceptions here, for example, where there is a significant risk to health and safety</w:t>
      </w:r>
      <w:r>
        <w:rPr>
          <w:rFonts w:ascii="Arial" w:eastAsia="Times New Roman" w:hAnsi="Arial" w:cs="Arial"/>
          <w:bCs/>
          <w:color w:val="000000"/>
          <w:lang w:eastAsia="en-AU"/>
        </w:rPr>
        <w:t xml:space="preserve">, although in such circumstances the WHS regulator or the Police may also need to be involved as the conduct may be of a criminal nature. </w:t>
      </w:r>
    </w:p>
    <w:p w:rsidR="00784473" w:rsidRPr="00DC4123" w:rsidRDefault="00784473" w:rsidP="00DC4123">
      <w:pPr>
        <w:pStyle w:val="ListParagraph"/>
        <w:numPr>
          <w:ilvl w:val="0"/>
          <w:numId w:val="32"/>
        </w:numPr>
        <w:rPr>
          <w:rFonts w:ascii="Arial" w:hAnsi="Arial" w:cs="Arial"/>
          <w:bCs/>
          <w:i/>
          <w:color w:val="C0504D"/>
        </w:rPr>
      </w:pPr>
      <w:r w:rsidRPr="00DC4123">
        <w:rPr>
          <w:rFonts w:ascii="Arial" w:hAnsi="Arial" w:cs="Arial"/>
          <w:bCs/>
          <w:i/>
          <w:color w:val="C0504D"/>
        </w:rPr>
        <w:t xml:space="preserve">Initial WHS risk assessment for bullying claims by the relevant WHS regulator     </w:t>
      </w:r>
    </w:p>
    <w:p w:rsidR="00784473" w:rsidRDefault="00DD48BE" w:rsidP="00784473">
      <w:pPr>
        <w:rPr>
          <w:rFonts w:ascii="Arial" w:hAnsi="Arial" w:cs="Arial"/>
          <w:bCs/>
        </w:rPr>
      </w:pPr>
      <w:r>
        <w:rPr>
          <w:rFonts w:ascii="Arial" w:hAnsi="Arial" w:cs="Arial"/>
        </w:rPr>
        <w:t>R</w:t>
      </w:r>
      <w:r w:rsidR="00784473" w:rsidRPr="00A706F3">
        <w:rPr>
          <w:rFonts w:ascii="Arial" w:hAnsi="Arial" w:cs="Arial"/>
        </w:rPr>
        <w:t>equi</w:t>
      </w:r>
      <w:r w:rsidR="00784473">
        <w:rPr>
          <w:rFonts w:ascii="Arial" w:hAnsi="Arial" w:cs="Arial"/>
        </w:rPr>
        <w:t>re</w:t>
      </w:r>
      <w:r w:rsidR="00784473" w:rsidRPr="00A706F3">
        <w:rPr>
          <w:rFonts w:ascii="Arial" w:hAnsi="Arial" w:cs="Arial"/>
        </w:rPr>
        <w:t xml:space="preserve"> the WHS regulator to undertake an initial </w:t>
      </w:r>
      <w:r w:rsidR="00784473" w:rsidRPr="00A706F3">
        <w:rPr>
          <w:rFonts w:ascii="Arial" w:hAnsi="Arial" w:cs="Arial"/>
          <w:bCs/>
        </w:rPr>
        <w:t xml:space="preserve">risk assessment for bullying claims before </w:t>
      </w:r>
      <w:r w:rsidR="00784473">
        <w:rPr>
          <w:rFonts w:ascii="Arial" w:hAnsi="Arial" w:cs="Arial"/>
          <w:bCs/>
        </w:rPr>
        <w:t xml:space="preserve">they proceed to be dealt with by a FWC conciliator or </w:t>
      </w:r>
      <w:r w:rsidR="00566A30">
        <w:rPr>
          <w:rFonts w:ascii="Arial" w:hAnsi="Arial" w:cs="Arial"/>
          <w:bCs/>
        </w:rPr>
        <w:t>FWC</w:t>
      </w:r>
      <w:r w:rsidR="00784473">
        <w:rPr>
          <w:rFonts w:ascii="Arial" w:hAnsi="Arial" w:cs="Arial"/>
          <w:bCs/>
        </w:rPr>
        <w:t xml:space="preserve"> member.</w:t>
      </w:r>
    </w:p>
    <w:p w:rsidR="00784473" w:rsidRDefault="00784473" w:rsidP="00784473">
      <w:pPr>
        <w:rPr>
          <w:rFonts w:ascii="Arial" w:hAnsi="Arial" w:cs="Arial"/>
          <w:bCs/>
        </w:rPr>
      </w:pPr>
      <w:r>
        <w:rPr>
          <w:rFonts w:ascii="Arial" w:hAnsi="Arial" w:cs="Arial"/>
          <w:bCs/>
        </w:rPr>
        <w:t>All claims could be referred by the FWC case management team to the WHS regulator in the first instance. If the regulator identified any risks to health and safety and/or breaches of WHS legislation by the PCBU, it may undertake further investigation of the complaint, or alternatively refer the matter back to the FWC.</w:t>
      </w:r>
    </w:p>
    <w:p w:rsidR="00192758" w:rsidRDefault="00192758" w:rsidP="00784473">
      <w:pPr>
        <w:rPr>
          <w:rFonts w:ascii="Arial" w:hAnsi="Arial" w:cs="Arial"/>
          <w:bCs/>
        </w:rPr>
      </w:pPr>
    </w:p>
    <w:p w:rsidR="00784473" w:rsidRPr="00DC4123" w:rsidRDefault="00784473" w:rsidP="00DC4123">
      <w:pPr>
        <w:pStyle w:val="ListParagraph"/>
        <w:numPr>
          <w:ilvl w:val="0"/>
          <w:numId w:val="32"/>
        </w:numPr>
        <w:rPr>
          <w:rFonts w:ascii="Arial" w:hAnsi="Arial" w:cs="Arial"/>
          <w:bCs/>
          <w:i/>
          <w:color w:val="C0504D"/>
        </w:rPr>
      </w:pPr>
      <w:r w:rsidRPr="00DC4123">
        <w:rPr>
          <w:rFonts w:ascii="Arial" w:hAnsi="Arial" w:cs="Arial"/>
          <w:bCs/>
          <w:i/>
          <w:color w:val="C0504D"/>
        </w:rPr>
        <w:lastRenderedPageBreak/>
        <w:t xml:space="preserve">Introduce ADR processes such as private mediation or restorative justice conferencing </w:t>
      </w:r>
    </w:p>
    <w:p w:rsidR="00784473" w:rsidRPr="004A34D7" w:rsidRDefault="00DD48BE" w:rsidP="00784473">
      <w:pPr>
        <w:rPr>
          <w:rFonts w:ascii="Arial" w:eastAsia="Times New Roman" w:hAnsi="Arial" w:cs="Arial"/>
          <w:bCs/>
          <w:color w:val="000000"/>
          <w:lang w:eastAsia="en-AU"/>
        </w:rPr>
      </w:pPr>
      <w:r>
        <w:rPr>
          <w:rFonts w:ascii="Arial" w:eastAsia="Times New Roman" w:hAnsi="Arial" w:cs="Arial"/>
          <w:bCs/>
          <w:color w:val="000000"/>
          <w:lang w:eastAsia="en-AU"/>
        </w:rPr>
        <w:t>I</w:t>
      </w:r>
      <w:r w:rsidR="00784473" w:rsidRPr="004A34D7">
        <w:rPr>
          <w:rFonts w:ascii="Arial" w:eastAsia="Times New Roman" w:hAnsi="Arial" w:cs="Arial"/>
          <w:bCs/>
          <w:color w:val="000000"/>
          <w:lang w:eastAsia="en-AU"/>
        </w:rPr>
        <w:t xml:space="preserve">ntroduce ADR processes (such as </w:t>
      </w:r>
      <w:r w:rsidR="00784473">
        <w:rPr>
          <w:rFonts w:ascii="Arial" w:eastAsia="Times New Roman" w:hAnsi="Arial" w:cs="Arial"/>
          <w:bCs/>
          <w:color w:val="000000"/>
          <w:lang w:eastAsia="en-AU"/>
        </w:rPr>
        <w:t xml:space="preserve">private </w:t>
      </w:r>
      <w:r w:rsidR="00784473" w:rsidRPr="004A34D7">
        <w:rPr>
          <w:rFonts w:ascii="Arial" w:eastAsia="Times New Roman" w:hAnsi="Arial" w:cs="Arial"/>
          <w:bCs/>
          <w:color w:val="000000"/>
          <w:lang w:eastAsia="en-AU"/>
        </w:rPr>
        <w:t>mediation or restorative justice conferencing) as an option prior to</w:t>
      </w:r>
      <w:r>
        <w:rPr>
          <w:rFonts w:ascii="Arial" w:eastAsia="Times New Roman" w:hAnsi="Arial" w:cs="Arial"/>
          <w:bCs/>
          <w:color w:val="000000"/>
          <w:lang w:eastAsia="en-AU"/>
        </w:rPr>
        <w:t xml:space="preserve"> or as an alternative to </w:t>
      </w:r>
      <w:r w:rsidR="00784473" w:rsidRPr="004A34D7">
        <w:rPr>
          <w:rFonts w:ascii="Arial" w:eastAsia="Times New Roman" w:hAnsi="Arial" w:cs="Arial"/>
          <w:bCs/>
          <w:color w:val="000000"/>
          <w:lang w:eastAsia="en-AU"/>
        </w:rPr>
        <w:t xml:space="preserve">a </w:t>
      </w:r>
      <w:r>
        <w:rPr>
          <w:rFonts w:ascii="Arial" w:eastAsia="Times New Roman" w:hAnsi="Arial" w:cs="Arial"/>
          <w:bCs/>
          <w:color w:val="000000"/>
          <w:lang w:eastAsia="en-AU"/>
        </w:rPr>
        <w:t xml:space="preserve">FWC </w:t>
      </w:r>
      <w:r w:rsidR="00784473" w:rsidRPr="004A34D7">
        <w:rPr>
          <w:rFonts w:ascii="Arial" w:eastAsia="Times New Roman" w:hAnsi="Arial" w:cs="Arial"/>
          <w:bCs/>
          <w:color w:val="000000"/>
          <w:lang w:eastAsia="en-AU"/>
        </w:rPr>
        <w:t xml:space="preserve">conference </w:t>
      </w:r>
      <w:r w:rsidR="00784473">
        <w:rPr>
          <w:rFonts w:ascii="Arial" w:eastAsia="Times New Roman" w:hAnsi="Arial" w:cs="Arial"/>
          <w:bCs/>
          <w:color w:val="000000"/>
          <w:lang w:eastAsia="en-AU"/>
        </w:rPr>
        <w:t>for a bullying or general pr</w:t>
      </w:r>
      <w:r>
        <w:rPr>
          <w:rFonts w:ascii="Arial" w:eastAsia="Times New Roman" w:hAnsi="Arial" w:cs="Arial"/>
          <w:bCs/>
          <w:color w:val="000000"/>
          <w:lang w:eastAsia="en-AU"/>
        </w:rPr>
        <w:t>otections (non-dismissal) claim.</w:t>
      </w:r>
      <w:r w:rsidR="00784473" w:rsidRPr="004A34D7">
        <w:rPr>
          <w:rFonts w:ascii="Arial" w:eastAsia="Times New Roman" w:hAnsi="Arial" w:cs="Arial"/>
          <w:bCs/>
          <w:color w:val="000000"/>
          <w:lang w:eastAsia="en-AU"/>
        </w:rPr>
        <w:t xml:space="preserve"> </w:t>
      </w:r>
    </w:p>
    <w:p w:rsidR="00784473" w:rsidRDefault="00784473" w:rsidP="00784473">
      <w:pPr>
        <w:rPr>
          <w:rFonts w:ascii="Arial" w:hAnsi="Arial" w:cs="Arial"/>
          <w:shd w:val="clear" w:color="auto" w:fill="FFFFFF"/>
        </w:rPr>
      </w:pPr>
      <w:r w:rsidRPr="004C7349">
        <w:rPr>
          <w:rFonts w:ascii="Arial" w:eastAsia="Times New Roman" w:hAnsi="Arial" w:cs="Arial"/>
          <w:bCs/>
          <w:color w:val="000000"/>
          <w:lang w:eastAsia="en-AU"/>
        </w:rPr>
        <w:t>The parties could choose between referring a matter to a private ADR provider (with outcomes enforceable based on the agreement of the parties to enter into such a process) or to the FWC for assistance.</w:t>
      </w:r>
      <w:r w:rsidRPr="00124FAD">
        <w:rPr>
          <w:rFonts w:ascii="Arial" w:hAnsi="Arial" w:cs="Arial"/>
          <w:shd w:val="clear" w:color="auto" w:fill="FFFFFF"/>
        </w:rPr>
        <w:t xml:space="preserve"> </w:t>
      </w:r>
      <w:r>
        <w:rPr>
          <w:rFonts w:ascii="Arial" w:hAnsi="Arial" w:cs="Arial"/>
          <w:shd w:val="clear" w:color="auto" w:fill="FFFFFF"/>
        </w:rPr>
        <w:t>T</w:t>
      </w:r>
      <w:r w:rsidRPr="0040719B">
        <w:rPr>
          <w:rFonts w:ascii="Arial" w:hAnsi="Arial" w:cs="Arial"/>
          <w:shd w:val="clear" w:color="auto" w:fill="FFFFFF"/>
        </w:rPr>
        <w:t xml:space="preserve">his could be </w:t>
      </w:r>
      <w:r w:rsidRPr="0040719B">
        <w:rPr>
          <w:rFonts w:ascii="Arial" w:hAnsi="Arial" w:cs="Arial"/>
          <w:bCs/>
        </w:rPr>
        <w:t>by way of access to a register</w:t>
      </w:r>
      <w:r w:rsidRPr="0040719B">
        <w:rPr>
          <w:rFonts w:ascii="Arial" w:hAnsi="Arial" w:cs="Arial"/>
          <w:shd w:val="clear" w:color="auto" w:fill="FFFFFF"/>
        </w:rPr>
        <w:t xml:space="preserve"> of accredited workplace relations mediators or a referral service for accredited workplace investigators on rotation</w:t>
      </w:r>
      <w:r>
        <w:rPr>
          <w:rFonts w:ascii="Arial" w:hAnsi="Arial" w:cs="Arial"/>
          <w:shd w:val="clear" w:color="auto" w:fill="FFFFFF"/>
        </w:rPr>
        <w:t>.</w:t>
      </w:r>
      <w:r w:rsidRPr="0040719B">
        <w:rPr>
          <w:rFonts w:ascii="Arial" w:hAnsi="Arial" w:cs="Arial"/>
          <w:shd w:val="clear" w:color="auto" w:fill="FFFFFF"/>
        </w:rPr>
        <w:t xml:space="preserve"> </w:t>
      </w:r>
    </w:p>
    <w:p w:rsidR="00784473" w:rsidRDefault="00784473" w:rsidP="00784473">
      <w:pPr>
        <w:rPr>
          <w:rFonts w:ascii="Arial" w:eastAsia="Times New Roman" w:hAnsi="Arial" w:cs="Arial"/>
          <w:bCs/>
          <w:color w:val="000000"/>
          <w:lang w:eastAsia="en-AU"/>
        </w:rPr>
      </w:pPr>
      <w:r w:rsidRPr="004C7349">
        <w:rPr>
          <w:rFonts w:ascii="Arial" w:eastAsia="Times New Roman" w:hAnsi="Arial" w:cs="Arial"/>
          <w:bCs/>
          <w:color w:val="000000"/>
          <w:lang w:eastAsia="en-AU"/>
        </w:rPr>
        <w:t xml:space="preserve">Parties </w:t>
      </w:r>
      <w:r>
        <w:rPr>
          <w:rFonts w:ascii="Arial" w:eastAsia="Times New Roman" w:hAnsi="Arial" w:cs="Arial"/>
          <w:bCs/>
          <w:color w:val="000000"/>
          <w:lang w:eastAsia="en-AU"/>
        </w:rPr>
        <w:t xml:space="preserve">could </w:t>
      </w:r>
      <w:r w:rsidRPr="004C7349">
        <w:rPr>
          <w:rFonts w:ascii="Arial" w:eastAsia="Times New Roman" w:hAnsi="Arial" w:cs="Arial"/>
          <w:bCs/>
          <w:color w:val="000000"/>
          <w:lang w:eastAsia="en-AU"/>
        </w:rPr>
        <w:t>retain the right to bring FWC or Court proceedings in relation to a matter that was not settled in the ADR pr</w:t>
      </w:r>
      <w:r w:rsidR="00B63D54">
        <w:rPr>
          <w:rFonts w:ascii="Arial" w:eastAsia="Times New Roman" w:hAnsi="Arial" w:cs="Arial"/>
          <w:bCs/>
          <w:color w:val="000000"/>
          <w:lang w:eastAsia="en-AU"/>
        </w:rPr>
        <w:t xml:space="preserve">ocess. This could include </w:t>
      </w:r>
      <w:r>
        <w:rPr>
          <w:rFonts w:ascii="Arial" w:eastAsia="Times New Roman" w:hAnsi="Arial" w:cs="Arial"/>
          <w:bCs/>
          <w:color w:val="000000"/>
          <w:lang w:eastAsia="en-AU"/>
        </w:rPr>
        <w:t>a requirement for the mediator to provide a compliance certificate as to whether the parties genuinely tried to resolve the dispute and/or the prospects of success if a claim is progressed.</w:t>
      </w:r>
    </w:p>
    <w:p w:rsidR="00BB4231" w:rsidRDefault="00BB4231" w:rsidP="00DA3622">
      <w:pPr>
        <w:spacing w:after="0" w:line="240" w:lineRule="auto"/>
        <w:rPr>
          <w:rFonts w:ascii="Arial" w:hAnsi="Arial" w:cs="Arial"/>
          <w:b/>
          <w:bCs/>
        </w:rPr>
      </w:pPr>
    </w:p>
    <w:p w:rsidR="006278CC" w:rsidRPr="0051168F" w:rsidRDefault="000607EA" w:rsidP="00766ED1">
      <w:pPr>
        <w:rPr>
          <w:rFonts w:ascii="Arial" w:hAnsi="Arial" w:cs="Arial"/>
          <w:b/>
          <w:bCs/>
          <w:color w:val="C0504D"/>
          <w:sz w:val="28"/>
          <w:szCs w:val="28"/>
        </w:rPr>
      </w:pPr>
      <w:r>
        <w:rPr>
          <w:rFonts w:ascii="Arial" w:hAnsi="Arial" w:cs="Arial"/>
          <w:color w:val="632423"/>
          <w:sz w:val="28"/>
          <w:szCs w:val="28"/>
        </w:rPr>
        <w:br w:type="page"/>
      </w:r>
      <w:r w:rsidR="006278CC" w:rsidRPr="0051168F">
        <w:rPr>
          <w:rFonts w:ascii="Arial" w:hAnsi="Arial" w:cs="Arial"/>
          <w:b/>
          <w:bCs/>
          <w:color w:val="C0504D"/>
          <w:sz w:val="28"/>
          <w:szCs w:val="28"/>
        </w:rPr>
        <w:lastRenderedPageBreak/>
        <w:t xml:space="preserve">PART FOUR </w:t>
      </w:r>
    </w:p>
    <w:p w:rsidR="00867AAC" w:rsidRPr="0051168F" w:rsidRDefault="00823C23" w:rsidP="006E3E8C">
      <w:pPr>
        <w:pBdr>
          <w:bottom w:val="single" w:sz="4" w:space="1" w:color="auto"/>
        </w:pBdr>
        <w:rPr>
          <w:rFonts w:ascii="Arial" w:hAnsi="Arial" w:cs="Arial"/>
          <w:b/>
          <w:bCs/>
          <w:color w:val="C0504D"/>
          <w:sz w:val="28"/>
          <w:szCs w:val="28"/>
        </w:rPr>
      </w:pPr>
      <w:r w:rsidRPr="0051168F">
        <w:rPr>
          <w:rFonts w:ascii="Arial" w:hAnsi="Arial" w:cs="Arial"/>
          <w:b/>
          <w:bCs/>
          <w:color w:val="C0504D"/>
          <w:sz w:val="28"/>
          <w:szCs w:val="28"/>
        </w:rPr>
        <w:t xml:space="preserve">IMPROVED RESPONSES TO </w:t>
      </w:r>
      <w:r w:rsidR="006315EF" w:rsidRPr="0051168F">
        <w:rPr>
          <w:rFonts w:ascii="Arial" w:hAnsi="Arial" w:cs="Arial"/>
          <w:b/>
          <w:bCs/>
          <w:color w:val="C0504D"/>
          <w:sz w:val="28"/>
          <w:szCs w:val="28"/>
        </w:rPr>
        <w:t xml:space="preserve">DISMISSAL </w:t>
      </w:r>
      <w:r w:rsidRPr="0051168F">
        <w:rPr>
          <w:rFonts w:ascii="Arial" w:hAnsi="Arial" w:cs="Arial"/>
          <w:b/>
          <w:bCs/>
          <w:color w:val="C0504D"/>
          <w:sz w:val="28"/>
          <w:szCs w:val="28"/>
        </w:rPr>
        <w:t>APPLICATIONS</w:t>
      </w:r>
      <w:r w:rsidR="006315EF" w:rsidRPr="0051168F">
        <w:rPr>
          <w:rFonts w:ascii="Arial" w:hAnsi="Arial" w:cs="Arial"/>
          <w:b/>
          <w:bCs/>
          <w:color w:val="C0504D"/>
          <w:sz w:val="28"/>
          <w:szCs w:val="28"/>
        </w:rPr>
        <w:t xml:space="preserve"> </w:t>
      </w:r>
      <w:r w:rsidR="00417401" w:rsidRPr="0051168F">
        <w:rPr>
          <w:rFonts w:ascii="Arial" w:hAnsi="Arial" w:cs="Arial"/>
          <w:b/>
          <w:bCs/>
          <w:color w:val="C0504D"/>
          <w:sz w:val="28"/>
          <w:szCs w:val="28"/>
        </w:rPr>
        <w:t xml:space="preserve"> </w:t>
      </w:r>
    </w:p>
    <w:p w:rsidR="00B173E0" w:rsidRPr="00121766" w:rsidRDefault="00702CC7" w:rsidP="006278CC">
      <w:pPr>
        <w:rPr>
          <w:rFonts w:ascii="Arial" w:hAnsi="Arial" w:cs="Arial"/>
          <w:b/>
          <w:bCs/>
          <w:i/>
          <w:color w:val="C0504D"/>
          <w:sz w:val="24"/>
          <w:szCs w:val="24"/>
        </w:rPr>
      </w:pPr>
      <w:r w:rsidRPr="00121766">
        <w:rPr>
          <w:rFonts w:ascii="Arial" w:hAnsi="Arial" w:cs="Arial"/>
          <w:b/>
          <w:bCs/>
          <w:i/>
          <w:color w:val="C0504D"/>
          <w:sz w:val="24"/>
          <w:szCs w:val="24"/>
        </w:rPr>
        <w:t>Current dismissal outcomes</w:t>
      </w:r>
      <w:r w:rsidR="00B173E0" w:rsidRPr="00121766">
        <w:rPr>
          <w:rFonts w:ascii="Arial" w:hAnsi="Arial" w:cs="Arial"/>
          <w:b/>
          <w:bCs/>
          <w:i/>
          <w:color w:val="C0504D"/>
          <w:sz w:val="24"/>
          <w:szCs w:val="24"/>
        </w:rPr>
        <w:t xml:space="preserve"> </w:t>
      </w:r>
    </w:p>
    <w:p w:rsidR="0068457A" w:rsidRDefault="006278CC" w:rsidP="006278CC">
      <w:pPr>
        <w:rPr>
          <w:rFonts w:ascii="Arial" w:hAnsi="Arial" w:cs="Arial"/>
        </w:rPr>
      </w:pPr>
      <w:r w:rsidRPr="001C1053">
        <w:rPr>
          <w:rFonts w:ascii="Arial" w:hAnsi="Arial" w:cs="Arial"/>
        </w:rPr>
        <w:t xml:space="preserve">CCER </w:t>
      </w:r>
      <w:r>
        <w:rPr>
          <w:rFonts w:ascii="Arial" w:hAnsi="Arial" w:cs="Arial"/>
        </w:rPr>
        <w:t xml:space="preserve">regularly advises and advocates for </w:t>
      </w:r>
      <w:r w:rsidR="00B245B0">
        <w:rPr>
          <w:rFonts w:ascii="Arial" w:hAnsi="Arial" w:cs="Arial"/>
        </w:rPr>
        <w:t>C</w:t>
      </w:r>
      <w:r>
        <w:rPr>
          <w:rFonts w:ascii="Arial" w:hAnsi="Arial" w:cs="Arial"/>
        </w:rPr>
        <w:t xml:space="preserve">atholic employers in unfair dismissal and general protections claims brought under the FW Act. </w:t>
      </w:r>
      <w:r w:rsidR="0068457A">
        <w:rPr>
          <w:rFonts w:ascii="Arial" w:hAnsi="Arial" w:cs="Arial"/>
        </w:rPr>
        <w:t>In accordance with C</w:t>
      </w:r>
      <w:r>
        <w:rPr>
          <w:rFonts w:ascii="Arial" w:hAnsi="Arial" w:cs="Arial"/>
        </w:rPr>
        <w:t xml:space="preserve">atholic social teaching, CCER strongly supports a right of redress for genuine unfair dismissal as a fundamental protection at the core of the Australian workplace relations framework. </w:t>
      </w:r>
    </w:p>
    <w:p w:rsidR="006278CC" w:rsidRDefault="006278CC" w:rsidP="006278CC">
      <w:pPr>
        <w:rPr>
          <w:rFonts w:ascii="Arial" w:hAnsi="Arial" w:cs="Arial"/>
        </w:rPr>
      </w:pPr>
      <w:r>
        <w:rPr>
          <w:rFonts w:ascii="Arial" w:hAnsi="Arial" w:cs="Arial"/>
        </w:rPr>
        <w:t>As the majority of unfair dismissal and general protections claims are resolved through settlement between the parties, and a smaller number by discontinuance, only a small fraction of claims proceed to a formal hearing before the F</w:t>
      </w:r>
      <w:r w:rsidR="00566A30">
        <w:rPr>
          <w:rFonts w:ascii="Arial" w:hAnsi="Arial" w:cs="Arial"/>
        </w:rPr>
        <w:t>WC</w:t>
      </w:r>
      <w:r w:rsidR="00030680">
        <w:rPr>
          <w:rFonts w:ascii="Arial" w:hAnsi="Arial" w:cs="Arial"/>
        </w:rPr>
        <w:t xml:space="preserve"> (</w:t>
      </w:r>
      <w:r>
        <w:rPr>
          <w:rFonts w:ascii="Arial" w:hAnsi="Arial" w:cs="Arial"/>
        </w:rPr>
        <w:t xml:space="preserve">in </w:t>
      </w:r>
      <w:r w:rsidR="00030680">
        <w:rPr>
          <w:rFonts w:ascii="Arial" w:hAnsi="Arial" w:cs="Arial"/>
        </w:rPr>
        <w:t xml:space="preserve">the </w:t>
      </w:r>
      <w:r>
        <w:rPr>
          <w:rFonts w:ascii="Arial" w:hAnsi="Arial" w:cs="Arial"/>
        </w:rPr>
        <w:t>case of unfair dismissals</w:t>
      </w:r>
      <w:r w:rsidR="00030680">
        <w:rPr>
          <w:rFonts w:ascii="Arial" w:hAnsi="Arial" w:cs="Arial"/>
        </w:rPr>
        <w:t>)</w:t>
      </w:r>
      <w:r>
        <w:rPr>
          <w:rFonts w:ascii="Arial" w:hAnsi="Arial" w:cs="Arial"/>
        </w:rPr>
        <w:t xml:space="preserve"> and to the Federal Circuit Court or Federal Court of Australia </w:t>
      </w:r>
      <w:r w:rsidR="00030680">
        <w:rPr>
          <w:rFonts w:ascii="Arial" w:hAnsi="Arial" w:cs="Arial"/>
        </w:rPr>
        <w:t>(</w:t>
      </w:r>
      <w:r>
        <w:rPr>
          <w:rFonts w:ascii="Arial" w:hAnsi="Arial" w:cs="Arial"/>
        </w:rPr>
        <w:t>in the case of general protections claims</w:t>
      </w:r>
      <w:r w:rsidR="00030680">
        <w:rPr>
          <w:rFonts w:ascii="Arial" w:hAnsi="Arial" w:cs="Arial"/>
        </w:rPr>
        <w:t>)</w:t>
      </w:r>
      <w:r>
        <w:rPr>
          <w:rFonts w:ascii="Arial" w:hAnsi="Arial" w:cs="Arial"/>
        </w:rPr>
        <w:t xml:space="preserve">. </w:t>
      </w:r>
    </w:p>
    <w:p w:rsidR="006278CC" w:rsidRDefault="006278CC" w:rsidP="006278CC">
      <w:pPr>
        <w:rPr>
          <w:rFonts w:ascii="Arial" w:hAnsi="Arial" w:cs="Arial"/>
        </w:rPr>
      </w:pPr>
      <w:r>
        <w:rPr>
          <w:rFonts w:ascii="Arial" w:hAnsi="Arial" w:cs="Arial"/>
        </w:rPr>
        <w:t xml:space="preserve">According to the </w:t>
      </w:r>
      <w:r w:rsidRPr="0052173C">
        <w:rPr>
          <w:rFonts w:ascii="Arial" w:hAnsi="Arial" w:cs="Arial"/>
          <w:i/>
        </w:rPr>
        <w:t>Fair Work Commission Annual Report 2013-14</w:t>
      </w:r>
      <w:r>
        <w:rPr>
          <w:rFonts w:ascii="Arial" w:hAnsi="Arial" w:cs="Arial"/>
        </w:rPr>
        <w:t>, of the 14,797 unfair dismissal applications lodged</w:t>
      </w:r>
      <w:r w:rsidR="00F10B96">
        <w:rPr>
          <w:rStyle w:val="FootnoteReference"/>
          <w:rFonts w:ascii="Arial" w:hAnsi="Arial" w:cs="Arial"/>
        </w:rPr>
        <w:footnoteReference w:id="62"/>
      </w:r>
      <w:r>
        <w:rPr>
          <w:rFonts w:ascii="Arial" w:hAnsi="Arial" w:cs="Arial"/>
        </w:rPr>
        <w:t>, only 367 (2.5%) were reported as finalised at arbitration (not including administrative dismissals and jurisdictional orders)</w:t>
      </w:r>
      <w:r w:rsidR="00F10B96">
        <w:rPr>
          <w:rStyle w:val="FootnoteReference"/>
          <w:rFonts w:ascii="Arial" w:hAnsi="Arial" w:cs="Arial"/>
        </w:rPr>
        <w:footnoteReference w:id="63"/>
      </w:r>
      <w:r w:rsidR="00F10B96">
        <w:rPr>
          <w:rFonts w:ascii="Arial" w:hAnsi="Arial" w:cs="Arial"/>
        </w:rPr>
        <w:t>.</w:t>
      </w:r>
      <w:r>
        <w:rPr>
          <w:rFonts w:ascii="Arial" w:hAnsi="Arial" w:cs="Arial"/>
        </w:rPr>
        <w:t xml:space="preserve"> This is consistent with the historically small percentage of claims decided at a substantive arbitration hearing. For example, the </w:t>
      </w:r>
      <w:r w:rsidRPr="00A817C0">
        <w:rPr>
          <w:rFonts w:ascii="Arial" w:hAnsi="Arial" w:cs="Arial"/>
          <w:i/>
        </w:rPr>
        <w:t>2007-08 Annual Report</w:t>
      </w:r>
      <w:r>
        <w:rPr>
          <w:rFonts w:ascii="Arial" w:hAnsi="Arial" w:cs="Arial"/>
        </w:rPr>
        <w:t xml:space="preserve"> of the Australian Industrial Relations Commission, reported just 1% of total lodgements of applications in termination of employment matters were fi</w:t>
      </w:r>
      <w:r w:rsidR="00BE55B9">
        <w:rPr>
          <w:rFonts w:ascii="Arial" w:hAnsi="Arial" w:cs="Arial"/>
        </w:rPr>
        <w:t>nalised by an arbitrated order.</w:t>
      </w:r>
      <w:r w:rsidR="00BE55B9">
        <w:rPr>
          <w:rStyle w:val="FootnoteReference"/>
          <w:rFonts w:ascii="Arial" w:hAnsi="Arial" w:cs="Arial"/>
        </w:rPr>
        <w:footnoteReference w:id="64"/>
      </w:r>
    </w:p>
    <w:p w:rsidR="006278CC" w:rsidRDefault="006278CC" w:rsidP="006278CC">
      <w:pPr>
        <w:rPr>
          <w:rFonts w:ascii="Arial" w:hAnsi="Arial" w:cs="Arial"/>
        </w:rPr>
      </w:pPr>
      <w:r>
        <w:rPr>
          <w:rFonts w:ascii="Arial" w:hAnsi="Arial" w:cs="Arial"/>
        </w:rPr>
        <w:t xml:space="preserve">CCER believes that these statistics </w:t>
      </w:r>
      <w:r w:rsidR="00A429CC">
        <w:rPr>
          <w:rFonts w:ascii="Arial" w:hAnsi="Arial" w:cs="Arial"/>
        </w:rPr>
        <w:t>may indicate the b</w:t>
      </w:r>
      <w:r>
        <w:rPr>
          <w:rFonts w:ascii="Arial" w:hAnsi="Arial" w:cs="Arial"/>
        </w:rPr>
        <w:t xml:space="preserve">alance </w:t>
      </w:r>
      <w:r w:rsidRPr="009F4726">
        <w:rPr>
          <w:rFonts w:ascii="Arial" w:hAnsi="Arial" w:cs="Arial"/>
        </w:rPr>
        <w:t>between the interests of applicants and respondents and the object</w:t>
      </w:r>
      <w:r w:rsidR="00A429CC">
        <w:rPr>
          <w:rFonts w:ascii="Arial" w:hAnsi="Arial" w:cs="Arial"/>
        </w:rPr>
        <w:t>ive</w:t>
      </w:r>
      <w:r w:rsidRPr="009F4726">
        <w:rPr>
          <w:rFonts w:ascii="Arial" w:hAnsi="Arial" w:cs="Arial"/>
        </w:rPr>
        <w:t xml:space="preserve"> of a </w:t>
      </w:r>
      <w:r w:rsidR="00A429CC">
        <w:rPr>
          <w:rFonts w:ascii="Arial" w:hAnsi="Arial" w:cs="Arial"/>
        </w:rPr>
        <w:t>‘</w:t>
      </w:r>
      <w:r w:rsidR="0091426B">
        <w:rPr>
          <w:rFonts w:ascii="Arial" w:hAnsi="Arial" w:cs="Arial"/>
          <w:i/>
        </w:rPr>
        <w:t xml:space="preserve">fair go all </w:t>
      </w:r>
      <w:r w:rsidRPr="009F4726">
        <w:rPr>
          <w:rFonts w:ascii="Arial" w:hAnsi="Arial" w:cs="Arial"/>
          <w:i/>
        </w:rPr>
        <w:t>round</w:t>
      </w:r>
      <w:r w:rsidR="00A429CC">
        <w:rPr>
          <w:rFonts w:ascii="Arial" w:hAnsi="Arial" w:cs="Arial"/>
          <w:i/>
        </w:rPr>
        <w:t>’</w:t>
      </w:r>
      <w:r>
        <w:rPr>
          <w:rFonts w:ascii="Arial" w:hAnsi="Arial" w:cs="Arial"/>
        </w:rPr>
        <w:t xml:space="preserve"> including for employers, as expressed in ss 381(2) of the FW Act (for unfair dismissals)</w:t>
      </w:r>
      <w:r w:rsidR="00A429CC">
        <w:rPr>
          <w:rFonts w:ascii="Arial" w:hAnsi="Arial" w:cs="Arial"/>
        </w:rPr>
        <w:t>, i</w:t>
      </w:r>
      <w:r w:rsidR="00AA7F8D">
        <w:rPr>
          <w:rFonts w:ascii="Arial" w:hAnsi="Arial" w:cs="Arial"/>
        </w:rPr>
        <w:t>s</w:t>
      </w:r>
      <w:r w:rsidR="00A429CC">
        <w:rPr>
          <w:rFonts w:ascii="Arial" w:hAnsi="Arial" w:cs="Arial"/>
        </w:rPr>
        <w:t xml:space="preserve"> not being met</w:t>
      </w:r>
      <w:r>
        <w:rPr>
          <w:rFonts w:ascii="Arial" w:hAnsi="Arial" w:cs="Arial"/>
        </w:rPr>
        <w:t>.</w:t>
      </w:r>
    </w:p>
    <w:p w:rsidR="00512FA6" w:rsidRPr="00121766" w:rsidRDefault="00512FA6" w:rsidP="006278CC">
      <w:pPr>
        <w:rPr>
          <w:rFonts w:ascii="Arial" w:hAnsi="Arial" w:cs="Arial"/>
          <w:b/>
          <w:bCs/>
          <w:i/>
          <w:color w:val="C0504D"/>
          <w:sz w:val="24"/>
          <w:szCs w:val="24"/>
        </w:rPr>
      </w:pPr>
      <w:r w:rsidRPr="00121766">
        <w:rPr>
          <w:rFonts w:ascii="Arial" w:hAnsi="Arial" w:cs="Arial"/>
          <w:b/>
          <w:bCs/>
          <w:i/>
          <w:color w:val="C0504D"/>
          <w:sz w:val="24"/>
          <w:szCs w:val="24"/>
        </w:rPr>
        <w:t>‘Go away money’</w:t>
      </w:r>
    </w:p>
    <w:p w:rsidR="006278CC" w:rsidRDefault="006278CC" w:rsidP="006278CC">
      <w:pPr>
        <w:spacing w:before="240"/>
        <w:rPr>
          <w:rFonts w:ascii="Arial" w:hAnsi="Arial" w:cs="Arial"/>
        </w:rPr>
      </w:pPr>
      <w:r>
        <w:rPr>
          <w:rFonts w:ascii="Arial" w:hAnsi="Arial" w:cs="Arial"/>
        </w:rPr>
        <w:t>CCER</w:t>
      </w:r>
      <w:r w:rsidR="005726C3">
        <w:rPr>
          <w:rFonts w:ascii="Arial" w:hAnsi="Arial" w:cs="Arial"/>
        </w:rPr>
        <w:t>’s</w:t>
      </w:r>
      <w:r>
        <w:rPr>
          <w:rFonts w:ascii="Arial" w:hAnsi="Arial" w:cs="Arial"/>
        </w:rPr>
        <w:t xml:space="preserve"> experience </w:t>
      </w:r>
      <w:r w:rsidR="005726C3">
        <w:rPr>
          <w:rFonts w:ascii="Arial" w:hAnsi="Arial" w:cs="Arial"/>
        </w:rPr>
        <w:t xml:space="preserve">in </w:t>
      </w:r>
      <w:r>
        <w:rPr>
          <w:rFonts w:ascii="Arial" w:hAnsi="Arial" w:cs="Arial"/>
        </w:rPr>
        <w:t>representing employers in dismissal matters which vary greatly in terms of complexity, substance and merit</w:t>
      </w:r>
      <w:r w:rsidR="005726C3">
        <w:rPr>
          <w:rFonts w:ascii="Arial" w:hAnsi="Arial" w:cs="Arial"/>
        </w:rPr>
        <w:t xml:space="preserve">, illustrates two </w:t>
      </w:r>
      <w:r>
        <w:rPr>
          <w:rFonts w:ascii="Arial" w:hAnsi="Arial" w:cs="Arial"/>
        </w:rPr>
        <w:t xml:space="preserve">consistent </w:t>
      </w:r>
      <w:r w:rsidR="005726C3">
        <w:rPr>
          <w:rFonts w:ascii="Arial" w:hAnsi="Arial" w:cs="Arial"/>
        </w:rPr>
        <w:t>themes</w:t>
      </w:r>
      <w:r>
        <w:rPr>
          <w:rFonts w:ascii="Arial" w:hAnsi="Arial" w:cs="Arial"/>
        </w:rPr>
        <w:t>:</w:t>
      </w:r>
    </w:p>
    <w:p w:rsidR="006278CC" w:rsidRDefault="006278CC" w:rsidP="006278CC">
      <w:pPr>
        <w:pStyle w:val="ListParagraph"/>
        <w:numPr>
          <w:ilvl w:val="0"/>
          <w:numId w:val="28"/>
        </w:numPr>
        <w:rPr>
          <w:rFonts w:ascii="Arial" w:hAnsi="Arial" w:cs="Arial"/>
        </w:rPr>
      </w:pPr>
      <w:r>
        <w:rPr>
          <w:rFonts w:ascii="Arial" w:hAnsi="Arial" w:cs="Arial"/>
        </w:rPr>
        <w:t xml:space="preserve">while the parties are afforded an opportunity to present their cases in writing prior to the conciliation and in relatively brief oral submissions, the substantial focus of the process is to facilitate, and in some circumstances actively and inappropriately encourage </w:t>
      </w:r>
      <w:r w:rsidR="005726C3">
        <w:rPr>
          <w:rFonts w:ascii="Arial" w:hAnsi="Arial" w:cs="Arial"/>
        </w:rPr>
        <w:t>‘</w:t>
      </w:r>
      <w:r w:rsidRPr="005726C3">
        <w:rPr>
          <w:rFonts w:ascii="Arial" w:hAnsi="Arial" w:cs="Arial"/>
          <w:i/>
        </w:rPr>
        <w:t>go away money</w:t>
      </w:r>
      <w:r w:rsidR="005726C3" w:rsidRPr="005726C3">
        <w:rPr>
          <w:rFonts w:ascii="Arial" w:hAnsi="Arial" w:cs="Arial"/>
          <w:i/>
        </w:rPr>
        <w:t>’</w:t>
      </w:r>
      <w:r w:rsidR="009314F0">
        <w:rPr>
          <w:rFonts w:ascii="Arial" w:hAnsi="Arial" w:cs="Arial"/>
        </w:rPr>
        <w:t xml:space="preserve"> by way of monetary settlement.</w:t>
      </w:r>
    </w:p>
    <w:p w:rsidR="006278CC" w:rsidRDefault="006278CC" w:rsidP="006278CC">
      <w:pPr>
        <w:pStyle w:val="ListParagraph"/>
        <w:numPr>
          <w:ilvl w:val="0"/>
          <w:numId w:val="28"/>
        </w:numPr>
        <w:rPr>
          <w:rFonts w:ascii="Arial" w:hAnsi="Arial" w:cs="Arial"/>
        </w:rPr>
      </w:pPr>
      <w:r>
        <w:rPr>
          <w:rFonts w:ascii="Arial" w:hAnsi="Arial" w:cs="Arial"/>
        </w:rPr>
        <w:t>the practice of mone</w:t>
      </w:r>
      <w:r w:rsidR="00F0028B">
        <w:rPr>
          <w:rFonts w:ascii="Arial" w:hAnsi="Arial" w:cs="Arial"/>
        </w:rPr>
        <w:t>tary</w:t>
      </w:r>
      <w:r>
        <w:rPr>
          <w:rFonts w:ascii="Arial" w:hAnsi="Arial" w:cs="Arial"/>
        </w:rPr>
        <w:t xml:space="preserve"> settlement is in many cases disconnected with </w:t>
      </w:r>
      <w:r w:rsidR="00237C75">
        <w:rPr>
          <w:rFonts w:ascii="Arial" w:hAnsi="Arial" w:cs="Arial"/>
        </w:rPr>
        <w:t xml:space="preserve">the </w:t>
      </w:r>
      <w:r>
        <w:rPr>
          <w:rFonts w:ascii="Arial" w:hAnsi="Arial" w:cs="Arial"/>
        </w:rPr>
        <w:t xml:space="preserve">merits of a claim, and is made for purely commercial reasons, </w:t>
      </w:r>
      <w:r w:rsidR="00F0028B">
        <w:rPr>
          <w:rFonts w:ascii="Arial" w:hAnsi="Arial" w:cs="Arial"/>
        </w:rPr>
        <w:t xml:space="preserve">notwithstanding the </w:t>
      </w:r>
      <w:r>
        <w:rPr>
          <w:rFonts w:ascii="Arial" w:hAnsi="Arial" w:cs="Arial"/>
        </w:rPr>
        <w:t>respective merits</w:t>
      </w:r>
      <w:r w:rsidR="00F0028B">
        <w:rPr>
          <w:rFonts w:ascii="Arial" w:hAnsi="Arial" w:cs="Arial"/>
        </w:rPr>
        <w:t xml:space="preserve">, or lack thereof, </w:t>
      </w:r>
      <w:r>
        <w:rPr>
          <w:rFonts w:ascii="Arial" w:hAnsi="Arial" w:cs="Arial"/>
        </w:rPr>
        <w:t>of the case.</w:t>
      </w:r>
    </w:p>
    <w:p w:rsidR="006278CC" w:rsidRDefault="006278CC" w:rsidP="006278CC">
      <w:pPr>
        <w:rPr>
          <w:rFonts w:ascii="Arial" w:hAnsi="Arial" w:cs="Arial"/>
        </w:rPr>
      </w:pPr>
      <w:r w:rsidRPr="008B3629">
        <w:rPr>
          <w:rFonts w:ascii="Arial" w:hAnsi="Arial" w:cs="Arial"/>
        </w:rPr>
        <w:t>CCER acknowledges that monetary settlement plays an important role in the efficient resolution of the bulk of claims, and this substantially reduces the private</w:t>
      </w:r>
      <w:r w:rsidR="0091426B">
        <w:rPr>
          <w:rFonts w:ascii="Arial" w:hAnsi="Arial" w:cs="Arial"/>
        </w:rPr>
        <w:t xml:space="preserve"> and</w:t>
      </w:r>
      <w:r w:rsidR="009F039A">
        <w:rPr>
          <w:rFonts w:ascii="Arial" w:hAnsi="Arial" w:cs="Arial"/>
        </w:rPr>
        <w:t xml:space="preserve"> </w:t>
      </w:r>
      <w:r w:rsidRPr="008B3629">
        <w:rPr>
          <w:rFonts w:ascii="Arial" w:hAnsi="Arial" w:cs="Arial"/>
        </w:rPr>
        <w:t>public financia</w:t>
      </w:r>
      <w:r w:rsidR="009F039A">
        <w:rPr>
          <w:rFonts w:ascii="Arial" w:hAnsi="Arial" w:cs="Arial"/>
        </w:rPr>
        <w:t>l and social cost of litigation</w:t>
      </w:r>
      <w:r w:rsidRPr="008B3629">
        <w:rPr>
          <w:rFonts w:ascii="Arial" w:hAnsi="Arial" w:cs="Arial"/>
        </w:rPr>
        <w:t>. Monetary settlement in appropriate cases, particularly where an applicant presents a strong case, or at least a case that has some objective prosp</w:t>
      </w:r>
      <w:r>
        <w:rPr>
          <w:rFonts w:ascii="Arial" w:hAnsi="Arial" w:cs="Arial"/>
        </w:rPr>
        <w:t>ects of success on its face</w:t>
      </w:r>
      <w:r w:rsidR="00B66912">
        <w:rPr>
          <w:rFonts w:ascii="Arial" w:hAnsi="Arial" w:cs="Arial"/>
        </w:rPr>
        <w:t xml:space="preserve"> value</w:t>
      </w:r>
      <w:r>
        <w:rPr>
          <w:rFonts w:ascii="Arial" w:hAnsi="Arial" w:cs="Arial"/>
        </w:rPr>
        <w:t xml:space="preserve">, is often a </w:t>
      </w:r>
      <w:r w:rsidRPr="008B3629">
        <w:rPr>
          <w:rFonts w:ascii="Arial" w:hAnsi="Arial" w:cs="Arial"/>
        </w:rPr>
        <w:t xml:space="preserve">mutually beneficial result for all parties, including </w:t>
      </w:r>
      <w:r w:rsidR="00237C75">
        <w:rPr>
          <w:rFonts w:ascii="Arial" w:hAnsi="Arial" w:cs="Arial"/>
        </w:rPr>
        <w:t xml:space="preserve">where </w:t>
      </w:r>
      <w:r w:rsidR="003C3CA3">
        <w:rPr>
          <w:rFonts w:ascii="Arial" w:hAnsi="Arial" w:cs="Arial"/>
        </w:rPr>
        <w:lastRenderedPageBreak/>
        <w:t>an</w:t>
      </w:r>
      <w:r w:rsidRPr="008B3629">
        <w:rPr>
          <w:rFonts w:ascii="Arial" w:hAnsi="Arial" w:cs="Arial"/>
        </w:rPr>
        <w:t xml:space="preserve"> applica</w:t>
      </w:r>
      <w:r>
        <w:rPr>
          <w:rFonts w:ascii="Arial" w:hAnsi="Arial" w:cs="Arial"/>
        </w:rPr>
        <w:t xml:space="preserve">nt has </w:t>
      </w:r>
      <w:r w:rsidRPr="008B3629">
        <w:rPr>
          <w:rFonts w:ascii="Arial" w:hAnsi="Arial" w:cs="Arial"/>
        </w:rPr>
        <w:t xml:space="preserve">lost their job </w:t>
      </w:r>
      <w:r w:rsidR="003C3CA3">
        <w:rPr>
          <w:rFonts w:ascii="Arial" w:hAnsi="Arial" w:cs="Arial"/>
        </w:rPr>
        <w:t xml:space="preserve">without just cause </w:t>
      </w:r>
      <w:r w:rsidRPr="008B3629">
        <w:rPr>
          <w:rFonts w:ascii="Arial" w:hAnsi="Arial" w:cs="Arial"/>
        </w:rPr>
        <w:t xml:space="preserve">and </w:t>
      </w:r>
      <w:r>
        <w:rPr>
          <w:rFonts w:ascii="Arial" w:hAnsi="Arial" w:cs="Arial"/>
        </w:rPr>
        <w:t xml:space="preserve">is </w:t>
      </w:r>
      <w:r w:rsidRPr="008B3629">
        <w:rPr>
          <w:rFonts w:ascii="Arial" w:hAnsi="Arial" w:cs="Arial"/>
        </w:rPr>
        <w:t>often facing difficult financial and personal circumstances.</w:t>
      </w:r>
      <w:r w:rsidR="004154B5">
        <w:rPr>
          <w:rFonts w:ascii="Arial" w:hAnsi="Arial" w:cs="Arial"/>
        </w:rPr>
        <w:t xml:space="preserve"> </w:t>
      </w:r>
      <w:r>
        <w:rPr>
          <w:rFonts w:ascii="Arial" w:hAnsi="Arial" w:cs="Arial"/>
        </w:rPr>
        <w:t>For these reasons CCER is not opposed in pr</w:t>
      </w:r>
      <w:r w:rsidR="00512FA6">
        <w:rPr>
          <w:rFonts w:ascii="Arial" w:hAnsi="Arial" w:cs="Arial"/>
        </w:rPr>
        <w:t>inciple to the practice of monetary</w:t>
      </w:r>
      <w:r>
        <w:rPr>
          <w:rFonts w:ascii="Arial" w:hAnsi="Arial" w:cs="Arial"/>
        </w:rPr>
        <w:t xml:space="preserve"> settlement in cases that fall into the above categories.</w:t>
      </w:r>
    </w:p>
    <w:p w:rsidR="006B1CBA" w:rsidRDefault="006278CC" w:rsidP="006278CC">
      <w:pPr>
        <w:rPr>
          <w:rFonts w:ascii="Arial" w:hAnsi="Arial" w:cs="Arial"/>
        </w:rPr>
      </w:pPr>
      <w:r>
        <w:rPr>
          <w:rFonts w:ascii="Arial" w:hAnsi="Arial" w:cs="Arial"/>
        </w:rPr>
        <w:t xml:space="preserve">The strong concern however, in the interests of fairness and justice for employers, is where monetary settlement is offered for purely commercial reasons, despite the fact the applicant’s case as presented is without merit, has no reasonable prospects of success or is vexatious. These are the cases in which the pejorative term </w:t>
      </w:r>
      <w:r w:rsidR="00512FA6">
        <w:rPr>
          <w:rFonts w:ascii="Arial" w:hAnsi="Arial" w:cs="Arial"/>
        </w:rPr>
        <w:t>‘</w:t>
      </w:r>
      <w:r w:rsidRPr="00E41A43">
        <w:rPr>
          <w:rFonts w:ascii="Arial" w:hAnsi="Arial" w:cs="Arial"/>
          <w:i/>
        </w:rPr>
        <w:t>go-away money</w:t>
      </w:r>
      <w:r w:rsidR="00512FA6">
        <w:rPr>
          <w:rFonts w:ascii="Arial" w:hAnsi="Arial" w:cs="Arial"/>
          <w:i/>
        </w:rPr>
        <w:t>’</w:t>
      </w:r>
      <w:r>
        <w:rPr>
          <w:rFonts w:ascii="Arial" w:hAnsi="Arial" w:cs="Arial"/>
        </w:rPr>
        <w:t xml:space="preserve"> is apt, and we do not believe this represents fair and just outcomes for employer respondents.</w:t>
      </w:r>
    </w:p>
    <w:p w:rsidR="006278CC" w:rsidRPr="00121766" w:rsidRDefault="006B1CBA" w:rsidP="006278CC">
      <w:pPr>
        <w:rPr>
          <w:rFonts w:ascii="Arial" w:hAnsi="Arial" w:cs="Arial"/>
          <w:b/>
          <w:bCs/>
          <w:i/>
          <w:color w:val="C0504D"/>
          <w:sz w:val="24"/>
          <w:szCs w:val="24"/>
        </w:rPr>
      </w:pPr>
      <w:r w:rsidRPr="00121766">
        <w:rPr>
          <w:rFonts w:ascii="Arial" w:hAnsi="Arial" w:cs="Arial"/>
          <w:b/>
          <w:bCs/>
          <w:i/>
          <w:color w:val="C0504D"/>
          <w:sz w:val="24"/>
          <w:szCs w:val="24"/>
        </w:rPr>
        <w:t>Conciliation process</w:t>
      </w:r>
      <w:r w:rsidR="00121766" w:rsidRPr="00121766">
        <w:rPr>
          <w:rFonts w:ascii="Arial" w:hAnsi="Arial" w:cs="Arial"/>
          <w:b/>
          <w:bCs/>
          <w:i/>
          <w:color w:val="C0504D"/>
          <w:sz w:val="24"/>
          <w:szCs w:val="24"/>
        </w:rPr>
        <w:t xml:space="preserve"> needs change</w:t>
      </w:r>
    </w:p>
    <w:p w:rsidR="006278CC" w:rsidRPr="00FF7A9B" w:rsidRDefault="006278CC" w:rsidP="006278CC">
      <w:pPr>
        <w:rPr>
          <w:rFonts w:ascii="Arial" w:hAnsi="Arial" w:cs="Arial"/>
        </w:rPr>
      </w:pPr>
      <w:r>
        <w:rPr>
          <w:rFonts w:ascii="Arial" w:hAnsi="Arial" w:cs="Arial"/>
        </w:rPr>
        <w:t>CCER acknowledges the practical pressures of a high case load, however</w:t>
      </w:r>
      <w:r w:rsidR="00237C75">
        <w:rPr>
          <w:rFonts w:ascii="Arial" w:hAnsi="Arial" w:cs="Arial"/>
        </w:rPr>
        <w:t>,</w:t>
      </w:r>
      <w:r>
        <w:rPr>
          <w:rFonts w:ascii="Arial" w:hAnsi="Arial" w:cs="Arial"/>
        </w:rPr>
        <w:t xml:space="preserve"> in light of the above, we cannot agree with the sentiment and simplicity of the FWC’s view in the </w:t>
      </w:r>
      <w:r w:rsidRPr="00CF760B">
        <w:rPr>
          <w:rFonts w:ascii="Arial" w:hAnsi="Arial" w:cs="Arial"/>
          <w:i/>
        </w:rPr>
        <w:t>2013-14 Annual Report</w:t>
      </w:r>
      <w:r w:rsidR="008240BC">
        <w:rPr>
          <w:rFonts w:ascii="Arial" w:hAnsi="Arial" w:cs="Arial"/>
          <w:i/>
        </w:rPr>
        <w:t>,</w:t>
      </w:r>
      <w:r>
        <w:rPr>
          <w:rFonts w:ascii="Arial" w:hAnsi="Arial" w:cs="Arial"/>
        </w:rPr>
        <w:t xml:space="preserve"> that the </w:t>
      </w:r>
      <w:r w:rsidR="00387FB0">
        <w:rPr>
          <w:rFonts w:ascii="Arial" w:hAnsi="Arial" w:cs="Arial"/>
        </w:rPr>
        <w:t>‘</w:t>
      </w:r>
      <w:r w:rsidRPr="00FF7A9B">
        <w:rPr>
          <w:rFonts w:ascii="Arial" w:hAnsi="Arial" w:cs="Arial"/>
          <w:i/>
        </w:rPr>
        <w:t>conciliation process is a major success</w:t>
      </w:r>
      <w:r w:rsidR="00387FB0">
        <w:rPr>
          <w:rFonts w:ascii="Arial" w:hAnsi="Arial" w:cs="Arial"/>
          <w:i/>
        </w:rPr>
        <w:t>’</w:t>
      </w:r>
      <w:r>
        <w:rPr>
          <w:rFonts w:ascii="Arial" w:hAnsi="Arial" w:cs="Arial"/>
        </w:rPr>
        <w:t>:</w:t>
      </w:r>
    </w:p>
    <w:p w:rsidR="006278CC" w:rsidRPr="00FF7A9B" w:rsidRDefault="006278CC" w:rsidP="006278CC">
      <w:pPr>
        <w:ind w:left="720"/>
        <w:rPr>
          <w:rFonts w:ascii="Arial" w:hAnsi="Arial" w:cs="Arial"/>
          <w:i/>
          <w:sz w:val="20"/>
          <w:szCs w:val="20"/>
        </w:rPr>
      </w:pPr>
      <w:r w:rsidRPr="00FF7A9B">
        <w:rPr>
          <w:rFonts w:ascii="Arial" w:hAnsi="Arial" w:cs="Arial"/>
          <w:i/>
          <w:sz w:val="20"/>
          <w:szCs w:val="20"/>
        </w:rPr>
        <w:t xml:space="preserve"> Conciliation remained a highly effective resolution process for unfair dismissal applications, with a settlement rate of 79 per cent...</w:t>
      </w:r>
    </w:p>
    <w:p w:rsidR="006278CC" w:rsidRPr="00FF7A9B" w:rsidRDefault="006278CC" w:rsidP="006278CC">
      <w:pPr>
        <w:ind w:left="720"/>
        <w:rPr>
          <w:rFonts w:ascii="Arial" w:hAnsi="Arial" w:cs="Arial"/>
          <w:i/>
          <w:sz w:val="20"/>
          <w:szCs w:val="20"/>
        </w:rPr>
      </w:pPr>
      <w:r w:rsidRPr="00FF7A9B">
        <w:rPr>
          <w:rFonts w:ascii="Arial" w:hAnsi="Arial" w:cs="Arial"/>
          <w:i/>
          <w:sz w:val="20"/>
          <w:szCs w:val="20"/>
        </w:rPr>
        <w:t>The conciliation process is a major success. Its high resolution rate meant only 3,716 matters were required</w:t>
      </w:r>
      <w:r>
        <w:rPr>
          <w:rFonts w:ascii="Arial" w:hAnsi="Arial" w:cs="Arial"/>
          <w:i/>
          <w:sz w:val="20"/>
          <w:szCs w:val="20"/>
        </w:rPr>
        <w:t xml:space="preserve"> to proceed past conciliation, with only 8 per cent of matters requiring to be resolved by a decision or order at a conference or hearing</w:t>
      </w:r>
      <w:r w:rsidR="00237C75">
        <w:rPr>
          <w:rFonts w:ascii="Arial" w:hAnsi="Arial" w:cs="Arial"/>
          <w:i/>
          <w:sz w:val="20"/>
          <w:szCs w:val="20"/>
        </w:rPr>
        <w:t>.</w:t>
      </w:r>
      <w:r w:rsidR="006A3032">
        <w:rPr>
          <w:rStyle w:val="FootnoteReference"/>
          <w:rFonts w:ascii="Arial" w:hAnsi="Arial" w:cs="Arial"/>
          <w:i/>
          <w:sz w:val="20"/>
          <w:szCs w:val="20"/>
        </w:rPr>
        <w:footnoteReference w:id="65"/>
      </w:r>
      <w:r w:rsidRPr="00FF7A9B">
        <w:rPr>
          <w:rFonts w:ascii="Arial" w:hAnsi="Arial" w:cs="Arial"/>
          <w:sz w:val="20"/>
          <w:szCs w:val="20"/>
        </w:rPr>
        <w:t xml:space="preserve"> </w:t>
      </w:r>
    </w:p>
    <w:p w:rsidR="006278CC" w:rsidRDefault="006278CC" w:rsidP="006278CC">
      <w:pPr>
        <w:rPr>
          <w:rFonts w:ascii="Arial" w:hAnsi="Arial" w:cs="Arial"/>
        </w:rPr>
      </w:pPr>
      <w:r>
        <w:rPr>
          <w:rFonts w:ascii="Arial" w:hAnsi="Arial" w:cs="Arial"/>
        </w:rPr>
        <w:t xml:space="preserve">CCER submits that the problem of </w:t>
      </w:r>
      <w:r w:rsidR="00D05142">
        <w:rPr>
          <w:rFonts w:ascii="Arial" w:hAnsi="Arial" w:cs="Arial"/>
        </w:rPr>
        <w:t>‘</w:t>
      </w:r>
      <w:r w:rsidRPr="00D05142">
        <w:rPr>
          <w:rFonts w:ascii="Arial" w:hAnsi="Arial" w:cs="Arial"/>
          <w:i/>
        </w:rPr>
        <w:t>go-away money</w:t>
      </w:r>
      <w:r w:rsidR="00D05142" w:rsidRPr="00D05142">
        <w:rPr>
          <w:rFonts w:ascii="Arial" w:hAnsi="Arial" w:cs="Arial"/>
          <w:i/>
        </w:rPr>
        <w:t>’</w:t>
      </w:r>
      <w:r>
        <w:rPr>
          <w:rFonts w:ascii="Arial" w:hAnsi="Arial" w:cs="Arial"/>
        </w:rPr>
        <w:t xml:space="preserve"> in the case of meritless claims is encouraged by a number of factors. A major contributing factor, as referred to above, is the design / format and focus of the conciliation process itself. While the extent and quality of the discourse about the respective merits of a case can differ depending on the conciliator, in many cases we have observed that merits are only referred to in passing, and this is not sufficient to avoid what in effect is a </w:t>
      </w:r>
      <w:r w:rsidR="00D05142">
        <w:rPr>
          <w:rFonts w:ascii="Arial" w:hAnsi="Arial" w:cs="Arial"/>
        </w:rPr>
        <w:t>‘</w:t>
      </w:r>
      <w:r w:rsidRPr="00D05142">
        <w:rPr>
          <w:rFonts w:ascii="Arial" w:hAnsi="Arial" w:cs="Arial"/>
          <w:i/>
        </w:rPr>
        <w:t>free-kick</w:t>
      </w:r>
      <w:r w:rsidR="00D05142" w:rsidRPr="00D05142">
        <w:rPr>
          <w:rFonts w:ascii="Arial" w:hAnsi="Arial" w:cs="Arial"/>
          <w:i/>
        </w:rPr>
        <w:t>’</w:t>
      </w:r>
      <w:r>
        <w:rPr>
          <w:rFonts w:ascii="Arial" w:hAnsi="Arial" w:cs="Arial"/>
        </w:rPr>
        <w:t xml:space="preserve"> at settlement for the applicant. </w:t>
      </w:r>
    </w:p>
    <w:p w:rsidR="002B557E" w:rsidRDefault="006278CC" w:rsidP="006278CC">
      <w:pPr>
        <w:rPr>
          <w:rFonts w:ascii="Arial" w:hAnsi="Arial" w:cs="Arial"/>
        </w:rPr>
      </w:pPr>
      <w:r>
        <w:rPr>
          <w:rFonts w:ascii="Arial" w:hAnsi="Arial" w:cs="Arial"/>
        </w:rPr>
        <w:t xml:space="preserve">Contributing to the problem is the </w:t>
      </w:r>
      <w:r w:rsidR="002B557E">
        <w:rPr>
          <w:rFonts w:ascii="Arial" w:hAnsi="Arial" w:cs="Arial"/>
        </w:rPr>
        <w:t>lack of substance require</w:t>
      </w:r>
      <w:r w:rsidR="00FE1849">
        <w:rPr>
          <w:rFonts w:ascii="Arial" w:hAnsi="Arial" w:cs="Arial"/>
        </w:rPr>
        <w:t>d by applicants in their appli</w:t>
      </w:r>
      <w:r w:rsidR="002B557E">
        <w:rPr>
          <w:rFonts w:ascii="Arial" w:hAnsi="Arial" w:cs="Arial"/>
        </w:rPr>
        <w:t xml:space="preserve">cations. In many </w:t>
      </w:r>
      <w:r w:rsidR="004B7D19">
        <w:rPr>
          <w:rFonts w:ascii="Arial" w:hAnsi="Arial" w:cs="Arial"/>
        </w:rPr>
        <w:t>cases,</w:t>
      </w:r>
      <w:r w:rsidR="002B557E">
        <w:rPr>
          <w:rFonts w:ascii="Arial" w:hAnsi="Arial" w:cs="Arial"/>
        </w:rPr>
        <w:t xml:space="preserve"> employers </w:t>
      </w:r>
      <w:r w:rsidR="004B7D19">
        <w:rPr>
          <w:rFonts w:ascii="Arial" w:hAnsi="Arial" w:cs="Arial"/>
        </w:rPr>
        <w:t>have</w:t>
      </w:r>
      <w:r w:rsidR="002B557E">
        <w:rPr>
          <w:rFonts w:ascii="Arial" w:hAnsi="Arial" w:cs="Arial"/>
        </w:rPr>
        <w:t xml:space="preserve"> to respond to limited facts, lack of particulars and vague assertions. In these </w:t>
      </w:r>
      <w:r w:rsidR="004B7D19">
        <w:rPr>
          <w:rFonts w:ascii="Arial" w:hAnsi="Arial" w:cs="Arial"/>
        </w:rPr>
        <w:t>circumstance</w:t>
      </w:r>
      <w:r w:rsidR="00123E92">
        <w:rPr>
          <w:rFonts w:ascii="Arial" w:hAnsi="Arial" w:cs="Arial"/>
        </w:rPr>
        <w:t xml:space="preserve">s there does not </w:t>
      </w:r>
      <w:r w:rsidR="002B557E">
        <w:rPr>
          <w:rFonts w:ascii="Arial" w:hAnsi="Arial" w:cs="Arial"/>
        </w:rPr>
        <w:t xml:space="preserve">appear to be any </w:t>
      </w:r>
      <w:r w:rsidR="004B7D19">
        <w:rPr>
          <w:rFonts w:ascii="Arial" w:hAnsi="Arial" w:cs="Arial"/>
        </w:rPr>
        <w:t>substantive</w:t>
      </w:r>
      <w:r w:rsidR="002B557E">
        <w:rPr>
          <w:rFonts w:ascii="Arial" w:hAnsi="Arial" w:cs="Arial"/>
        </w:rPr>
        <w:t xml:space="preserve"> push by the FWC to require applicants to legitimise their claims. </w:t>
      </w:r>
    </w:p>
    <w:p w:rsidR="006278CC" w:rsidRDefault="006278CC" w:rsidP="006278CC">
      <w:pPr>
        <w:rPr>
          <w:rFonts w:ascii="Arial" w:hAnsi="Arial" w:cs="Arial"/>
        </w:rPr>
      </w:pPr>
      <w:r>
        <w:rPr>
          <w:rFonts w:ascii="Arial" w:hAnsi="Arial" w:cs="Arial"/>
        </w:rPr>
        <w:t>CCER submits that the high settlement rate of conciliations, while indicative of an efficient system, supports our contention that changes should be made to</w:t>
      </w:r>
      <w:r w:rsidR="00123E92">
        <w:rPr>
          <w:rFonts w:ascii="Arial" w:hAnsi="Arial" w:cs="Arial"/>
        </w:rPr>
        <w:t xml:space="preserve"> limit</w:t>
      </w:r>
      <w:r>
        <w:rPr>
          <w:rFonts w:ascii="Arial" w:hAnsi="Arial" w:cs="Arial"/>
        </w:rPr>
        <w:t xml:space="preserve"> claims that are without merit. Based only on real-life experience and anecdotal accounts (as we understand data on merits are not kept for settled cases), it is reasonable to conclude that of the 79% of total cases settled at conciliation last financial year, a not insignificant proportion were meritless, without reasonable prospects of success, or vexatious. This presents a public policy problem.</w:t>
      </w:r>
    </w:p>
    <w:p w:rsidR="006278CC" w:rsidRPr="00B245B0" w:rsidRDefault="0019361F" w:rsidP="006278CC">
      <w:pPr>
        <w:rPr>
          <w:rFonts w:ascii="Arial" w:hAnsi="Arial" w:cs="Arial"/>
          <w:b/>
          <w:bCs/>
          <w:i/>
          <w:color w:val="C0504D"/>
          <w:sz w:val="24"/>
          <w:szCs w:val="24"/>
        </w:rPr>
      </w:pPr>
      <w:r>
        <w:rPr>
          <w:rFonts w:ascii="Arial" w:hAnsi="Arial" w:cs="Arial"/>
          <w:b/>
          <w:bCs/>
          <w:i/>
          <w:color w:val="C0504D"/>
          <w:sz w:val="24"/>
          <w:szCs w:val="24"/>
        </w:rPr>
        <w:t>P</w:t>
      </w:r>
      <w:r w:rsidR="00C71132">
        <w:rPr>
          <w:rFonts w:ascii="Arial" w:hAnsi="Arial" w:cs="Arial"/>
          <w:b/>
          <w:bCs/>
          <w:i/>
          <w:color w:val="C0504D"/>
          <w:sz w:val="24"/>
          <w:szCs w:val="24"/>
        </w:rPr>
        <w:t xml:space="preserve">roposals </w:t>
      </w:r>
      <w:r w:rsidR="006278CC" w:rsidRPr="00B245B0">
        <w:rPr>
          <w:rFonts w:ascii="Arial" w:hAnsi="Arial" w:cs="Arial"/>
          <w:b/>
          <w:bCs/>
          <w:i/>
          <w:color w:val="C0504D"/>
          <w:sz w:val="24"/>
          <w:szCs w:val="24"/>
        </w:rPr>
        <w:t>for consideration</w:t>
      </w:r>
    </w:p>
    <w:p w:rsidR="006278CC" w:rsidRDefault="006278CC" w:rsidP="006278CC">
      <w:pPr>
        <w:rPr>
          <w:rFonts w:ascii="Arial" w:hAnsi="Arial" w:cs="Arial"/>
        </w:rPr>
      </w:pPr>
      <w:r w:rsidRPr="008F0A2D">
        <w:rPr>
          <w:rFonts w:ascii="Arial" w:hAnsi="Arial" w:cs="Arial"/>
        </w:rPr>
        <w:t xml:space="preserve">CCER has considered two </w:t>
      </w:r>
      <w:r>
        <w:rPr>
          <w:rFonts w:ascii="Arial" w:hAnsi="Arial" w:cs="Arial"/>
        </w:rPr>
        <w:t xml:space="preserve">potential solutions to address the public policy problem </w:t>
      </w:r>
      <w:r w:rsidR="004E7C58">
        <w:rPr>
          <w:rFonts w:ascii="Arial" w:hAnsi="Arial" w:cs="Arial"/>
        </w:rPr>
        <w:t>of ‘</w:t>
      </w:r>
      <w:r w:rsidR="004E7C58" w:rsidRPr="00E33117">
        <w:rPr>
          <w:rFonts w:ascii="Arial" w:hAnsi="Arial" w:cs="Arial"/>
          <w:i/>
        </w:rPr>
        <w:t>go</w:t>
      </w:r>
      <w:r w:rsidRPr="007D2C68">
        <w:rPr>
          <w:rFonts w:ascii="Arial" w:hAnsi="Arial" w:cs="Arial"/>
          <w:i/>
        </w:rPr>
        <w:t>-away money</w:t>
      </w:r>
      <w:r w:rsidR="007D2C68" w:rsidRPr="007D2C68">
        <w:rPr>
          <w:rFonts w:ascii="Arial" w:hAnsi="Arial" w:cs="Arial"/>
          <w:i/>
        </w:rPr>
        <w:t>’</w:t>
      </w:r>
      <w:r>
        <w:rPr>
          <w:rFonts w:ascii="Arial" w:hAnsi="Arial" w:cs="Arial"/>
        </w:rPr>
        <w:t xml:space="preserve"> for applications that are without merit. </w:t>
      </w:r>
      <w:r w:rsidR="00D54E53">
        <w:rPr>
          <w:rFonts w:ascii="Arial" w:hAnsi="Arial" w:cs="Arial"/>
        </w:rPr>
        <w:t xml:space="preserve">The problem identified </w:t>
      </w:r>
      <w:r>
        <w:rPr>
          <w:rFonts w:ascii="Arial" w:hAnsi="Arial" w:cs="Arial"/>
        </w:rPr>
        <w:t xml:space="preserve">may otherwise be described as a lack of a filter to </w:t>
      </w:r>
      <w:r w:rsidR="007D2C68">
        <w:rPr>
          <w:rFonts w:ascii="Arial" w:hAnsi="Arial" w:cs="Arial"/>
        </w:rPr>
        <w:t xml:space="preserve">reduce or eliminate </w:t>
      </w:r>
      <w:r>
        <w:rPr>
          <w:rFonts w:ascii="Arial" w:hAnsi="Arial" w:cs="Arial"/>
        </w:rPr>
        <w:t xml:space="preserve">meritless applications. </w:t>
      </w:r>
    </w:p>
    <w:p w:rsidR="006278CC" w:rsidRDefault="006278CC" w:rsidP="006278CC">
      <w:pPr>
        <w:rPr>
          <w:rFonts w:ascii="Arial" w:hAnsi="Arial" w:cs="Arial"/>
        </w:rPr>
      </w:pPr>
      <w:r>
        <w:rPr>
          <w:rFonts w:ascii="Arial" w:hAnsi="Arial" w:cs="Arial"/>
        </w:rPr>
        <w:lastRenderedPageBreak/>
        <w:t>As an opening disclaimer, CCER acknowledges there is no such thing as a perfect system and there are arguments against the proposal</w:t>
      </w:r>
      <w:r w:rsidR="00E83FAD">
        <w:rPr>
          <w:rFonts w:ascii="Arial" w:hAnsi="Arial" w:cs="Arial"/>
        </w:rPr>
        <w:t>s below</w:t>
      </w:r>
      <w:r>
        <w:rPr>
          <w:rFonts w:ascii="Arial" w:hAnsi="Arial" w:cs="Arial"/>
        </w:rPr>
        <w:t>. Where possible, we have briefly highlighted them to assist the public discussion.</w:t>
      </w:r>
    </w:p>
    <w:p w:rsidR="006278CC" w:rsidRDefault="006278CC" w:rsidP="006278CC">
      <w:pPr>
        <w:rPr>
          <w:rFonts w:ascii="Arial" w:hAnsi="Arial" w:cs="Arial"/>
        </w:rPr>
      </w:pPr>
      <w:r>
        <w:rPr>
          <w:rFonts w:ascii="Arial" w:hAnsi="Arial" w:cs="Arial"/>
        </w:rPr>
        <w:t xml:space="preserve">One significant impact of both </w:t>
      </w:r>
      <w:r w:rsidR="00AB73B7">
        <w:rPr>
          <w:rFonts w:ascii="Arial" w:hAnsi="Arial" w:cs="Arial"/>
        </w:rPr>
        <w:t xml:space="preserve">of the proposals </w:t>
      </w:r>
      <w:r w:rsidR="00E83FAD">
        <w:rPr>
          <w:rFonts w:ascii="Arial" w:hAnsi="Arial" w:cs="Arial"/>
        </w:rPr>
        <w:t>outlined</w:t>
      </w:r>
      <w:r w:rsidR="00AB73B7">
        <w:rPr>
          <w:rFonts w:ascii="Arial" w:hAnsi="Arial" w:cs="Arial"/>
        </w:rPr>
        <w:t xml:space="preserve"> </w:t>
      </w:r>
      <w:r w:rsidR="004E7C58">
        <w:rPr>
          <w:rFonts w:ascii="Arial" w:hAnsi="Arial" w:cs="Arial"/>
        </w:rPr>
        <w:t>below</w:t>
      </w:r>
      <w:r w:rsidR="00AB73B7">
        <w:rPr>
          <w:rFonts w:ascii="Arial" w:hAnsi="Arial" w:cs="Arial"/>
        </w:rPr>
        <w:t xml:space="preserve"> is that by reducing </w:t>
      </w:r>
      <w:r>
        <w:rPr>
          <w:rFonts w:ascii="Arial" w:hAnsi="Arial" w:cs="Arial"/>
        </w:rPr>
        <w:t>meritless claims,</w:t>
      </w:r>
      <w:r w:rsidR="00AB73B7">
        <w:rPr>
          <w:rFonts w:ascii="Arial" w:hAnsi="Arial" w:cs="Arial"/>
        </w:rPr>
        <w:t xml:space="preserve"> it </w:t>
      </w:r>
      <w:r>
        <w:rPr>
          <w:rFonts w:ascii="Arial" w:hAnsi="Arial" w:cs="Arial"/>
        </w:rPr>
        <w:t xml:space="preserve">would </w:t>
      </w:r>
      <w:r w:rsidR="00AB73B7">
        <w:rPr>
          <w:rFonts w:ascii="Arial" w:hAnsi="Arial" w:cs="Arial"/>
        </w:rPr>
        <w:t xml:space="preserve">allow additional </w:t>
      </w:r>
      <w:r>
        <w:rPr>
          <w:rFonts w:ascii="Arial" w:hAnsi="Arial" w:cs="Arial"/>
        </w:rPr>
        <w:t xml:space="preserve">time for the FWC to deal with </w:t>
      </w:r>
      <w:r w:rsidR="00AB73B7">
        <w:rPr>
          <w:rFonts w:ascii="Arial" w:hAnsi="Arial" w:cs="Arial"/>
        </w:rPr>
        <w:t xml:space="preserve">legitimate </w:t>
      </w:r>
      <w:r>
        <w:rPr>
          <w:rFonts w:ascii="Arial" w:hAnsi="Arial" w:cs="Arial"/>
        </w:rPr>
        <w:t>applications. Broadly, th</w:t>
      </w:r>
      <w:r w:rsidR="004A2914">
        <w:rPr>
          <w:rFonts w:ascii="Arial" w:hAnsi="Arial" w:cs="Arial"/>
        </w:rPr>
        <w:t>e Productivity Commission</w:t>
      </w:r>
      <w:r w:rsidR="002E4965">
        <w:rPr>
          <w:rFonts w:ascii="Arial" w:hAnsi="Arial" w:cs="Arial"/>
        </w:rPr>
        <w:t xml:space="preserve"> </w:t>
      </w:r>
      <w:r>
        <w:rPr>
          <w:rFonts w:ascii="Arial" w:hAnsi="Arial" w:cs="Arial"/>
        </w:rPr>
        <w:t>should consider the competing values of a system that i</w:t>
      </w:r>
      <w:r w:rsidR="002E4965">
        <w:rPr>
          <w:rFonts w:ascii="Arial" w:hAnsi="Arial" w:cs="Arial"/>
        </w:rPr>
        <w:t xml:space="preserve">s efficient yet geared towards </w:t>
      </w:r>
      <w:r w:rsidR="002E4965" w:rsidRPr="002E4965">
        <w:rPr>
          <w:rFonts w:ascii="Arial" w:hAnsi="Arial" w:cs="Arial"/>
          <w:i/>
        </w:rPr>
        <w:t>‘</w:t>
      </w:r>
      <w:r w:rsidRPr="002E4965">
        <w:rPr>
          <w:rFonts w:ascii="Arial" w:hAnsi="Arial" w:cs="Arial"/>
          <w:i/>
        </w:rPr>
        <w:t>go-away money</w:t>
      </w:r>
      <w:r w:rsidR="002E4965" w:rsidRPr="002E4965">
        <w:rPr>
          <w:rFonts w:ascii="Arial" w:hAnsi="Arial" w:cs="Arial"/>
          <w:i/>
        </w:rPr>
        <w:t>’</w:t>
      </w:r>
      <w:r w:rsidR="002E4965">
        <w:rPr>
          <w:rFonts w:ascii="Arial" w:hAnsi="Arial" w:cs="Arial"/>
        </w:rPr>
        <w:t xml:space="preserve">; compared to a system that takes longer but is </w:t>
      </w:r>
      <w:r>
        <w:rPr>
          <w:rFonts w:ascii="Arial" w:hAnsi="Arial" w:cs="Arial"/>
        </w:rPr>
        <w:t>arguably fairer on employers, and that has in place appropriate disincentives for meritless applicants.</w:t>
      </w:r>
    </w:p>
    <w:p w:rsidR="006278CC" w:rsidRDefault="006278CC" w:rsidP="006278CC">
      <w:pPr>
        <w:rPr>
          <w:rFonts w:ascii="Arial" w:hAnsi="Arial" w:cs="Arial"/>
        </w:rPr>
      </w:pPr>
      <w:r>
        <w:rPr>
          <w:rFonts w:ascii="Arial" w:hAnsi="Arial" w:cs="Arial"/>
        </w:rPr>
        <w:t>A model flow chart has been provided for each of the proposals</w:t>
      </w:r>
      <w:r w:rsidR="002E4965">
        <w:rPr>
          <w:rFonts w:ascii="Arial" w:hAnsi="Arial" w:cs="Arial"/>
        </w:rPr>
        <w:t xml:space="preserve"> outlined below.</w:t>
      </w:r>
    </w:p>
    <w:p w:rsidR="006278CC" w:rsidRPr="00AE7397" w:rsidRDefault="00E83FAD" w:rsidP="00AE7397">
      <w:pPr>
        <w:pStyle w:val="ListParagraph"/>
        <w:numPr>
          <w:ilvl w:val="0"/>
          <w:numId w:val="31"/>
        </w:numPr>
        <w:rPr>
          <w:rFonts w:ascii="Arial" w:hAnsi="Arial" w:cs="Arial"/>
          <w:bCs/>
          <w:i/>
          <w:color w:val="C0504D"/>
        </w:rPr>
      </w:pPr>
      <w:r w:rsidRPr="00AE7397">
        <w:rPr>
          <w:rFonts w:ascii="Arial" w:hAnsi="Arial" w:cs="Arial"/>
          <w:bCs/>
          <w:i/>
          <w:color w:val="C0504D"/>
        </w:rPr>
        <w:t>In</w:t>
      </w:r>
      <w:r w:rsidR="006278CC" w:rsidRPr="00AE7397">
        <w:rPr>
          <w:rFonts w:ascii="Arial" w:hAnsi="Arial" w:cs="Arial"/>
          <w:bCs/>
          <w:i/>
          <w:color w:val="C0504D"/>
        </w:rPr>
        <w:t>troduce a preliminary merit based assessment process prior to listing a conciliation</w:t>
      </w:r>
    </w:p>
    <w:p w:rsidR="006278CC" w:rsidRDefault="006278CC" w:rsidP="006278CC">
      <w:pPr>
        <w:rPr>
          <w:rFonts w:ascii="Arial" w:hAnsi="Arial" w:cs="Arial"/>
        </w:rPr>
      </w:pPr>
      <w:r w:rsidRPr="00461557">
        <w:rPr>
          <w:rFonts w:ascii="Arial" w:hAnsi="Arial" w:cs="Arial"/>
        </w:rPr>
        <w:t xml:space="preserve">At present, all claims irrespective of merit, are listed for conciliation as matter of course. The </w:t>
      </w:r>
      <w:r w:rsidR="00504792">
        <w:rPr>
          <w:rFonts w:ascii="Arial" w:hAnsi="Arial" w:cs="Arial"/>
        </w:rPr>
        <w:t>a</w:t>
      </w:r>
      <w:r w:rsidRPr="00461557">
        <w:rPr>
          <w:rFonts w:ascii="Arial" w:hAnsi="Arial" w:cs="Arial"/>
        </w:rPr>
        <w:t>venue for settlement is therefore immediately available.</w:t>
      </w:r>
    </w:p>
    <w:p w:rsidR="006278CC" w:rsidRDefault="006278CC" w:rsidP="006278CC">
      <w:pPr>
        <w:rPr>
          <w:rFonts w:ascii="Arial" w:hAnsi="Arial" w:cs="Arial"/>
        </w:rPr>
      </w:pPr>
      <w:r>
        <w:rPr>
          <w:rFonts w:ascii="Arial" w:hAnsi="Arial" w:cs="Arial"/>
        </w:rPr>
        <w:t xml:space="preserve">In this </w:t>
      </w:r>
      <w:r w:rsidR="00E83FAD">
        <w:rPr>
          <w:rFonts w:ascii="Arial" w:hAnsi="Arial" w:cs="Arial"/>
        </w:rPr>
        <w:t>proposal</w:t>
      </w:r>
      <w:r>
        <w:rPr>
          <w:rFonts w:ascii="Arial" w:hAnsi="Arial" w:cs="Arial"/>
        </w:rPr>
        <w:t xml:space="preserve">, the current Form F2 application and Form F3 employer response are retained, however the </w:t>
      </w:r>
      <w:r w:rsidR="001B3408">
        <w:rPr>
          <w:rFonts w:ascii="Arial" w:hAnsi="Arial" w:cs="Arial"/>
        </w:rPr>
        <w:t>7-day</w:t>
      </w:r>
      <w:r>
        <w:rPr>
          <w:rFonts w:ascii="Arial" w:hAnsi="Arial" w:cs="Arial"/>
        </w:rPr>
        <w:t xml:space="preserve"> timeframe may be extended to 14 days to allow an employer to have sufficient time to prepare a response.</w:t>
      </w:r>
    </w:p>
    <w:p w:rsidR="006278CC" w:rsidRDefault="006278CC" w:rsidP="006278CC">
      <w:pPr>
        <w:rPr>
          <w:rFonts w:ascii="Arial" w:hAnsi="Arial" w:cs="Arial"/>
        </w:rPr>
      </w:pPr>
      <w:r>
        <w:rPr>
          <w:rFonts w:ascii="Arial" w:hAnsi="Arial" w:cs="Arial"/>
        </w:rPr>
        <w:t>Each application then undergo</w:t>
      </w:r>
      <w:r w:rsidR="00E83FAD">
        <w:rPr>
          <w:rFonts w:ascii="Arial" w:hAnsi="Arial" w:cs="Arial"/>
        </w:rPr>
        <w:t>es</w:t>
      </w:r>
      <w:r>
        <w:rPr>
          <w:rFonts w:ascii="Arial" w:hAnsi="Arial" w:cs="Arial"/>
        </w:rPr>
        <w:t xml:space="preserve"> a preliminary assessment </w:t>
      </w:r>
      <w:r w:rsidRPr="00632CCE">
        <w:rPr>
          <w:rFonts w:ascii="Arial" w:hAnsi="Arial" w:cs="Arial"/>
        </w:rPr>
        <w:t>on the papers.</w:t>
      </w:r>
      <w:r>
        <w:rPr>
          <w:rFonts w:ascii="Arial" w:hAnsi="Arial" w:cs="Arial"/>
        </w:rPr>
        <w:t xml:space="preserve"> If the application, taking into consideration the employer response, fails to demonstrate a prima facie case or the conciliator</w:t>
      </w:r>
      <w:r w:rsidR="00E83FAD">
        <w:rPr>
          <w:rFonts w:ascii="Arial" w:hAnsi="Arial" w:cs="Arial"/>
        </w:rPr>
        <w:t xml:space="preserve"> or FWC member </w:t>
      </w:r>
      <w:r>
        <w:rPr>
          <w:rFonts w:ascii="Arial" w:hAnsi="Arial" w:cs="Arial"/>
        </w:rPr>
        <w:t>is satisfied on the material before them, that the case is without sufficient merit, then they must summarily dismiss the application and write to the parties confirming this.</w:t>
      </w:r>
    </w:p>
    <w:p w:rsidR="006278CC" w:rsidRDefault="006278CC" w:rsidP="006278CC">
      <w:pPr>
        <w:rPr>
          <w:rFonts w:ascii="Arial" w:hAnsi="Arial" w:cs="Arial"/>
        </w:rPr>
      </w:pPr>
      <w:r>
        <w:rPr>
          <w:rFonts w:ascii="Arial" w:hAnsi="Arial" w:cs="Arial"/>
        </w:rPr>
        <w:t xml:space="preserve">Where the application is not found to be </w:t>
      </w:r>
      <w:r w:rsidRPr="00CF760B">
        <w:rPr>
          <w:rFonts w:ascii="Arial" w:hAnsi="Arial" w:cs="Arial"/>
        </w:rPr>
        <w:t>lacking</w:t>
      </w:r>
      <w:r w:rsidRPr="00103086">
        <w:rPr>
          <w:rFonts w:ascii="Arial" w:hAnsi="Arial" w:cs="Arial"/>
          <w:i/>
        </w:rPr>
        <w:t xml:space="preserve"> </w:t>
      </w:r>
      <w:r>
        <w:rPr>
          <w:rFonts w:ascii="Arial" w:hAnsi="Arial" w:cs="Arial"/>
          <w:i/>
        </w:rPr>
        <w:t>‘</w:t>
      </w:r>
      <w:r w:rsidRPr="00103086">
        <w:rPr>
          <w:rFonts w:ascii="Arial" w:hAnsi="Arial" w:cs="Arial"/>
          <w:i/>
        </w:rPr>
        <w:t>sufficient merit’</w:t>
      </w:r>
      <w:r>
        <w:rPr>
          <w:rFonts w:ascii="Arial" w:hAnsi="Arial" w:cs="Arial"/>
        </w:rPr>
        <w:t xml:space="preserve">, </w:t>
      </w:r>
      <w:r w:rsidRPr="00103086">
        <w:rPr>
          <w:rFonts w:ascii="Arial" w:hAnsi="Arial" w:cs="Arial"/>
        </w:rPr>
        <w:t xml:space="preserve">the FWC </w:t>
      </w:r>
      <w:r>
        <w:rPr>
          <w:rFonts w:ascii="Arial" w:hAnsi="Arial" w:cs="Arial"/>
        </w:rPr>
        <w:t xml:space="preserve">then </w:t>
      </w:r>
      <w:r w:rsidRPr="00103086">
        <w:rPr>
          <w:rFonts w:ascii="Arial" w:hAnsi="Arial" w:cs="Arial"/>
        </w:rPr>
        <w:t>issues a listing for conciliation.</w:t>
      </w:r>
    </w:p>
    <w:p w:rsidR="006278CC" w:rsidRDefault="006278CC" w:rsidP="006278CC">
      <w:pPr>
        <w:rPr>
          <w:rFonts w:ascii="Arial" w:hAnsi="Arial" w:cs="Arial"/>
        </w:rPr>
      </w:pPr>
      <w:r>
        <w:rPr>
          <w:rFonts w:ascii="Arial" w:hAnsi="Arial" w:cs="Arial"/>
        </w:rPr>
        <w:t>The main arguments against this proposal are concerns surrounding access to justice, particularly for unrepresented applicants of low socio</w:t>
      </w:r>
      <w:r w:rsidR="00504792">
        <w:rPr>
          <w:rFonts w:ascii="Arial" w:hAnsi="Arial" w:cs="Arial"/>
        </w:rPr>
        <w:t>-</w:t>
      </w:r>
      <w:r>
        <w:rPr>
          <w:rFonts w:ascii="Arial" w:hAnsi="Arial" w:cs="Arial"/>
        </w:rPr>
        <w:t>economic status or those who possess a disability. If in practice this results in otherwise valid claims being dismissed on the papers for lack of quality written expression, then this is not the intention and may require more detailed consideration.</w:t>
      </w:r>
      <w:r w:rsidR="00B12977">
        <w:rPr>
          <w:rFonts w:ascii="Arial" w:hAnsi="Arial" w:cs="Arial"/>
        </w:rPr>
        <w:t xml:space="preserve"> </w:t>
      </w:r>
      <w:r>
        <w:rPr>
          <w:rFonts w:ascii="Arial" w:hAnsi="Arial" w:cs="Arial"/>
        </w:rPr>
        <w:t>To offset the access to justice concerns, the availability of services to assist unrepresented applicants</w:t>
      </w:r>
      <w:r w:rsidR="00B12977">
        <w:rPr>
          <w:rFonts w:ascii="Arial" w:hAnsi="Arial" w:cs="Arial"/>
        </w:rPr>
        <w:t xml:space="preserve"> could be a further consideration</w:t>
      </w:r>
      <w:r>
        <w:rPr>
          <w:rFonts w:ascii="Arial" w:hAnsi="Arial" w:cs="Arial"/>
        </w:rPr>
        <w:t xml:space="preserve">. </w:t>
      </w:r>
    </w:p>
    <w:p w:rsidR="006278CC" w:rsidRPr="00AE7397" w:rsidRDefault="00AE7397" w:rsidP="00BD7BC3">
      <w:pPr>
        <w:ind w:firstLine="426"/>
        <w:rPr>
          <w:rFonts w:ascii="Arial" w:hAnsi="Arial" w:cs="Arial"/>
          <w:bCs/>
          <w:i/>
          <w:color w:val="C0504D"/>
        </w:rPr>
      </w:pPr>
      <w:r w:rsidRPr="00AE7397">
        <w:rPr>
          <w:rFonts w:ascii="Arial" w:hAnsi="Arial" w:cs="Arial"/>
          <w:bCs/>
          <w:i/>
          <w:color w:val="C0504D"/>
        </w:rPr>
        <w:t xml:space="preserve">2. </w:t>
      </w:r>
      <w:r w:rsidR="00BD7BC3">
        <w:rPr>
          <w:rFonts w:ascii="Arial" w:hAnsi="Arial" w:cs="Arial"/>
          <w:bCs/>
          <w:i/>
          <w:color w:val="C0504D"/>
        </w:rPr>
        <w:tab/>
      </w:r>
      <w:r w:rsidR="008E3230" w:rsidRPr="00AE7397">
        <w:rPr>
          <w:rFonts w:ascii="Arial" w:hAnsi="Arial" w:cs="Arial"/>
          <w:bCs/>
          <w:i/>
          <w:color w:val="C0504D"/>
        </w:rPr>
        <w:t>R</w:t>
      </w:r>
      <w:r w:rsidR="00BD7BC3">
        <w:rPr>
          <w:rFonts w:ascii="Arial" w:hAnsi="Arial" w:cs="Arial"/>
          <w:bCs/>
          <w:i/>
          <w:color w:val="C0504D"/>
        </w:rPr>
        <w:t>edesign a more merit-focused</w:t>
      </w:r>
      <w:r w:rsidR="006278CC" w:rsidRPr="00AE7397">
        <w:rPr>
          <w:rFonts w:ascii="Arial" w:hAnsi="Arial" w:cs="Arial"/>
          <w:bCs/>
          <w:i/>
          <w:color w:val="C0504D"/>
        </w:rPr>
        <w:t xml:space="preserve"> conciliation process</w:t>
      </w:r>
    </w:p>
    <w:p w:rsidR="006278CC" w:rsidRDefault="006278CC" w:rsidP="006278CC">
      <w:pPr>
        <w:rPr>
          <w:rFonts w:ascii="Arial" w:hAnsi="Arial" w:cs="Arial"/>
        </w:rPr>
      </w:pPr>
      <w:r w:rsidRPr="005D0225">
        <w:rPr>
          <w:rFonts w:ascii="Arial" w:hAnsi="Arial" w:cs="Arial"/>
        </w:rPr>
        <w:t>The second proposal is also</w:t>
      </w:r>
      <w:r>
        <w:rPr>
          <w:rFonts w:ascii="Arial" w:hAnsi="Arial" w:cs="Arial"/>
        </w:rPr>
        <w:t xml:space="preserve"> designed to be</w:t>
      </w:r>
      <w:r w:rsidRPr="005D0225">
        <w:rPr>
          <w:rFonts w:ascii="Arial" w:hAnsi="Arial" w:cs="Arial"/>
        </w:rPr>
        <w:t xml:space="preserve"> a filter mechanism to discourage meritless claims</w:t>
      </w:r>
      <w:r>
        <w:rPr>
          <w:rFonts w:ascii="Arial" w:hAnsi="Arial" w:cs="Arial"/>
        </w:rPr>
        <w:t xml:space="preserve">, however this concept incorporates the conciliation into the initial assessment, rather than allowing applications to be struck out on the papers. This proposal would alleviate potential access to justice concerns surrounding the first proposal, as all applicants would have the opportunity to attend the conciliation. </w:t>
      </w:r>
    </w:p>
    <w:p w:rsidR="002E1A69" w:rsidRDefault="006278CC" w:rsidP="006278CC">
      <w:pPr>
        <w:rPr>
          <w:rFonts w:ascii="Arial" w:hAnsi="Arial" w:cs="Arial"/>
        </w:rPr>
      </w:pPr>
      <w:r>
        <w:rPr>
          <w:rFonts w:ascii="Arial" w:hAnsi="Arial" w:cs="Arial"/>
        </w:rPr>
        <w:t>The conciliation format itself would require re-design to enable a greater assessment of merits</w:t>
      </w:r>
      <w:r w:rsidR="00C220B3">
        <w:rPr>
          <w:rFonts w:ascii="Arial" w:hAnsi="Arial" w:cs="Arial"/>
        </w:rPr>
        <w:t xml:space="preserve"> that must be discussed during conciliation.</w:t>
      </w:r>
      <w:r>
        <w:rPr>
          <w:rFonts w:ascii="Arial" w:hAnsi="Arial" w:cs="Arial"/>
        </w:rPr>
        <w:t xml:space="preserve"> After the merits have been adequately assessed in open discussion and in private conference, a discussion </w:t>
      </w:r>
      <w:r w:rsidR="002E1A69">
        <w:rPr>
          <w:rFonts w:ascii="Arial" w:hAnsi="Arial" w:cs="Arial"/>
        </w:rPr>
        <w:t>may</w:t>
      </w:r>
      <w:r>
        <w:rPr>
          <w:rFonts w:ascii="Arial" w:hAnsi="Arial" w:cs="Arial"/>
        </w:rPr>
        <w:t xml:space="preserve"> be held surrounding potential settlement, presumably with some customary horse trading. </w:t>
      </w:r>
    </w:p>
    <w:p w:rsidR="006278CC" w:rsidRDefault="006278CC" w:rsidP="006278CC">
      <w:pPr>
        <w:rPr>
          <w:rFonts w:ascii="Arial" w:hAnsi="Arial" w:cs="Arial"/>
        </w:rPr>
      </w:pPr>
      <w:r>
        <w:rPr>
          <w:rFonts w:ascii="Arial" w:hAnsi="Arial" w:cs="Arial"/>
        </w:rPr>
        <w:lastRenderedPageBreak/>
        <w:t>This will enable the parties to still turn their minds to settlement, however this will be done in the context of a more robust discussion of merits and in the knowledge that the parties will receive the conciliator</w:t>
      </w:r>
      <w:r w:rsidR="00A6036F">
        <w:rPr>
          <w:rFonts w:ascii="Arial" w:hAnsi="Arial" w:cs="Arial"/>
        </w:rPr>
        <w:t>’</w:t>
      </w:r>
      <w:r>
        <w:rPr>
          <w:rFonts w:ascii="Arial" w:hAnsi="Arial" w:cs="Arial"/>
        </w:rPr>
        <w:t>s opinion on merits soon after the conciliation. If settlement is reached, the matter discontinues and no forthcoming written opinion is received from the FWC.</w:t>
      </w:r>
    </w:p>
    <w:p w:rsidR="006278CC" w:rsidRDefault="006278CC" w:rsidP="006278CC">
      <w:pPr>
        <w:rPr>
          <w:rFonts w:ascii="Arial" w:hAnsi="Arial" w:cs="Arial"/>
        </w:rPr>
      </w:pPr>
      <w:r>
        <w:rPr>
          <w:rFonts w:ascii="Arial" w:hAnsi="Arial" w:cs="Arial"/>
        </w:rPr>
        <w:t>Where the matter is unresolved at the conciliation, the conciliator</w:t>
      </w:r>
      <w:r w:rsidR="00985DB2">
        <w:rPr>
          <w:rFonts w:ascii="Arial" w:hAnsi="Arial" w:cs="Arial"/>
        </w:rPr>
        <w:t xml:space="preserve"> or </w:t>
      </w:r>
      <w:r w:rsidR="00FE43F6">
        <w:rPr>
          <w:rFonts w:ascii="Arial" w:hAnsi="Arial" w:cs="Arial"/>
        </w:rPr>
        <w:t>FWC member</w:t>
      </w:r>
      <w:r>
        <w:rPr>
          <w:rFonts w:ascii="Arial" w:hAnsi="Arial" w:cs="Arial"/>
        </w:rPr>
        <w:t xml:space="preserve"> is required to write to the parties expressing their opinion on whether or not the claim is </w:t>
      </w:r>
      <w:r w:rsidR="00A6036F" w:rsidRPr="00A6036F">
        <w:rPr>
          <w:rFonts w:ascii="Arial" w:hAnsi="Arial" w:cs="Arial"/>
          <w:i/>
        </w:rPr>
        <w:t>‘</w:t>
      </w:r>
      <w:r w:rsidRPr="00A6036F">
        <w:rPr>
          <w:rFonts w:ascii="Arial" w:hAnsi="Arial" w:cs="Arial"/>
          <w:i/>
        </w:rPr>
        <w:t>without sufficient merit</w:t>
      </w:r>
      <w:r w:rsidR="00A6036F" w:rsidRPr="00A6036F">
        <w:rPr>
          <w:rFonts w:ascii="Arial" w:hAnsi="Arial" w:cs="Arial"/>
          <w:i/>
        </w:rPr>
        <w:t>’</w:t>
      </w:r>
      <w:r w:rsidR="004B7D19">
        <w:rPr>
          <w:rFonts w:ascii="Arial" w:hAnsi="Arial" w:cs="Arial"/>
        </w:rPr>
        <w:t>.</w:t>
      </w:r>
      <w:r>
        <w:rPr>
          <w:rFonts w:ascii="Arial" w:hAnsi="Arial" w:cs="Arial"/>
        </w:rPr>
        <w:t xml:space="preserve"> If in the opinion of the conciliator, on the basis of the material available to him </w:t>
      </w:r>
      <w:r w:rsidR="0088636F">
        <w:rPr>
          <w:rFonts w:ascii="Arial" w:hAnsi="Arial" w:cs="Arial"/>
        </w:rPr>
        <w:t xml:space="preserve">or </w:t>
      </w:r>
      <w:r>
        <w:rPr>
          <w:rFonts w:ascii="Arial" w:hAnsi="Arial" w:cs="Arial"/>
        </w:rPr>
        <w:t>her, the claim is without sufficient merit, the applicant will still be given an opportunity to proceed to a formal hearing (as the conciliation is not intended to be a hearing by another name). However, if the applicant is advised after the more robust assessment process that their claim is without sufficient</w:t>
      </w:r>
      <w:r w:rsidR="0046024E">
        <w:rPr>
          <w:rFonts w:ascii="Arial" w:hAnsi="Arial" w:cs="Arial"/>
        </w:rPr>
        <w:t xml:space="preserve"> merit</w:t>
      </w:r>
      <w:r>
        <w:rPr>
          <w:rFonts w:ascii="Arial" w:hAnsi="Arial" w:cs="Arial"/>
        </w:rPr>
        <w:t>, yet they still elect to proceed to hearing and are unsuccessful, modest cost implications may follow, either as a fixed s</w:t>
      </w:r>
      <w:r w:rsidR="0046024E">
        <w:rPr>
          <w:rFonts w:ascii="Arial" w:hAnsi="Arial" w:cs="Arial"/>
        </w:rPr>
        <w:t>um</w:t>
      </w:r>
      <w:r>
        <w:rPr>
          <w:rFonts w:ascii="Arial" w:hAnsi="Arial" w:cs="Arial"/>
        </w:rPr>
        <w:t xml:space="preserve"> or up to a cap. </w:t>
      </w:r>
    </w:p>
    <w:p w:rsidR="006278CC" w:rsidRDefault="006278CC" w:rsidP="006278CC">
      <w:pPr>
        <w:rPr>
          <w:rFonts w:ascii="Arial" w:hAnsi="Arial" w:cs="Arial"/>
        </w:rPr>
      </w:pPr>
      <w:r>
        <w:rPr>
          <w:rFonts w:ascii="Arial" w:hAnsi="Arial" w:cs="Arial"/>
        </w:rPr>
        <w:t>This mechanism would in part compensate an employer for time, resources and cost of preparing for and attending a hearing, which the applicant proceeded with against the opinion of the FWC. It would act as a disincentive to proceeding with fruitless claims, and it would also provide employers with more leverage at the conciliation because some may wish to wait for the conciliator</w:t>
      </w:r>
      <w:r w:rsidR="008D3092">
        <w:rPr>
          <w:rFonts w:ascii="Arial" w:hAnsi="Arial" w:cs="Arial"/>
        </w:rPr>
        <w:t>’</w:t>
      </w:r>
      <w:r>
        <w:rPr>
          <w:rFonts w:ascii="Arial" w:hAnsi="Arial" w:cs="Arial"/>
        </w:rPr>
        <w:t>s opinion on the merits before considering settlement options.</w:t>
      </w:r>
    </w:p>
    <w:p w:rsidR="00B737FC" w:rsidRDefault="00B737FC" w:rsidP="006278CC">
      <w:pPr>
        <w:rPr>
          <w:rFonts w:ascii="Arial" w:hAnsi="Arial" w:cs="Arial"/>
        </w:rPr>
      </w:pPr>
    </w:p>
    <w:p w:rsidR="00B737FC" w:rsidRDefault="00B737FC" w:rsidP="006278CC">
      <w:pPr>
        <w:rPr>
          <w:rFonts w:ascii="Arial" w:hAnsi="Arial" w:cs="Arial"/>
        </w:rPr>
      </w:pPr>
    </w:p>
    <w:p w:rsidR="00B737FC" w:rsidRDefault="00B737FC" w:rsidP="006278CC">
      <w:pPr>
        <w:rPr>
          <w:rFonts w:ascii="Arial" w:hAnsi="Arial" w:cs="Arial"/>
        </w:rPr>
      </w:pPr>
    </w:p>
    <w:p w:rsidR="00277832" w:rsidRDefault="00277832" w:rsidP="006278CC">
      <w:pPr>
        <w:rPr>
          <w:rFonts w:ascii="Arial" w:hAnsi="Arial" w:cs="Arial"/>
        </w:rPr>
      </w:pPr>
    </w:p>
    <w:p w:rsidR="00277832" w:rsidRDefault="00277832" w:rsidP="006278CC">
      <w:pPr>
        <w:rPr>
          <w:rFonts w:ascii="Arial" w:hAnsi="Arial" w:cs="Arial"/>
        </w:rPr>
      </w:pPr>
    </w:p>
    <w:p w:rsidR="00277832" w:rsidRDefault="00277832" w:rsidP="006278CC">
      <w:pPr>
        <w:rPr>
          <w:rFonts w:ascii="Arial" w:hAnsi="Arial" w:cs="Arial"/>
        </w:rPr>
      </w:pPr>
    </w:p>
    <w:p w:rsidR="00EB4987" w:rsidRPr="00D2354A" w:rsidRDefault="002C7E9D" w:rsidP="00EB4987">
      <w:pPr>
        <w:rPr>
          <w:rFonts w:ascii="Arial" w:hAnsi="Arial" w:cs="Arial"/>
          <w:b/>
          <w:bCs/>
          <w:i/>
          <w:color w:val="C0504D"/>
        </w:rPr>
      </w:pPr>
      <w:r>
        <w:rPr>
          <w:rFonts w:ascii="Arial" w:hAnsi="Arial" w:cs="Arial"/>
          <w:b/>
        </w:rPr>
        <w:br w:type="page"/>
      </w:r>
      <w:r w:rsidR="00AE7397" w:rsidRPr="00D2354A">
        <w:rPr>
          <w:rFonts w:ascii="Arial" w:hAnsi="Arial" w:cs="Arial"/>
          <w:b/>
          <w:bCs/>
          <w:i/>
          <w:color w:val="C0504D"/>
        </w:rPr>
        <w:lastRenderedPageBreak/>
        <w:t xml:space="preserve">Proposal </w:t>
      </w:r>
      <w:r w:rsidR="00EB4987" w:rsidRPr="00D2354A">
        <w:rPr>
          <w:rFonts w:ascii="Arial" w:hAnsi="Arial" w:cs="Arial"/>
          <w:b/>
          <w:bCs/>
          <w:i/>
          <w:color w:val="C0504D"/>
        </w:rPr>
        <w:t>1 – Introduce a preliminary FWC merit</w:t>
      </w:r>
      <w:r w:rsidR="00C61A3C">
        <w:rPr>
          <w:rFonts w:ascii="Arial" w:hAnsi="Arial" w:cs="Arial"/>
          <w:b/>
          <w:bCs/>
          <w:i/>
          <w:color w:val="C0504D"/>
        </w:rPr>
        <w:t>-</w:t>
      </w:r>
      <w:r w:rsidR="00EB4987" w:rsidRPr="00D2354A">
        <w:rPr>
          <w:rFonts w:ascii="Arial" w:hAnsi="Arial" w:cs="Arial"/>
          <w:b/>
          <w:bCs/>
          <w:i/>
          <w:color w:val="C0504D"/>
        </w:rPr>
        <w:t>based assessment process</w:t>
      </w:r>
    </w:p>
    <w:p w:rsidR="00EB4987" w:rsidRDefault="00BE6B86" w:rsidP="00EB4987">
      <w:pPr>
        <w:rPr>
          <w:rFonts w:ascii="Arial" w:hAnsi="Arial" w:cs="Arial"/>
        </w:rPr>
      </w:pPr>
      <w:r>
        <w:rPr>
          <w:rFonts w:ascii="Arial" w:hAnsi="Arial" w:cs="Arial"/>
          <w:noProof/>
          <w:lang w:eastAsia="en-AU"/>
        </w:rPr>
        <w:pict>
          <v:shapetype id="_x0000_t202" coordsize="21600,21600" o:spt="202" path="m,l,21600r21600,l21600,xe">
            <v:stroke joinstyle="miter"/>
            <v:path gradientshapeok="t" o:connecttype="rect"/>
          </v:shapetype>
          <v:shape id="_x0000_s1201" type="#_x0000_t202" style="position:absolute;margin-left:135.8pt;margin-top:13.6pt;width:151.8pt;height:30.05pt;z-index:251680256;mso-width-relative:margin;mso-height-relative:margin">
            <v:textbox>
              <w:txbxContent>
                <w:p w:rsidR="000D1AD5" w:rsidRPr="00691652" w:rsidRDefault="000D1AD5" w:rsidP="00AE7397">
                  <w:pPr>
                    <w:rPr>
                      <w:rFonts w:ascii="Arial" w:hAnsi="Arial" w:cs="Arial"/>
                      <w:sz w:val="16"/>
                      <w:szCs w:val="16"/>
                    </w:rPr>
                  </w:pPr>
                  <w:r w:rsidRPr="00691652">
                    <w:rPr>
                      <w:rFonts w:ascii="Arial" w:hAnsi="Arial" w:cs="Arial"/>
                      <w:sz w:val="16"/>
                      <w:szCs w:val="16"/>
                    </w:rPr>
                    <w:t>Applicant files Form F2 – Application for Unfair Dismissal Remedy</w:t>
                  </w:r>
                </w:p>
                <w:p w:rsidR="000D1AD5" w:rsidRPr="00691652" w:rsidRDefault="000D1AD5" w:rsidP="00EB4987">
                  <w:pPr>
                    <w:rPr>
                      <w:rFonts w:ascii="Arial" w:hAnsi="Arial" w:cs="Arial"/>
                      <w:sz w:val="16"/>
                      <w:szCs w:val="16"/>
                    </w:rPr>
                  </w:pPr>
                  <w:r>
                    <w:rPr>
                      <w:rFonts w:ascii="Arial" w:hAnsi="Arial" w:cs="Arial"/>
                      <w:sz w:val="16"/>
                      <w:szCs w:val="16"/>
                    </w:rPr>
                    <w:t xml:space="preserve"> </w:t>
                  </w: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p>
    <w:p w:rsidR="00EB4987" w:rsidRDefault="00EB4987" w:rsidP="00EB4987">
      <w:pPr>
        <w:rPr>
          <w:rFonts w:ascii="Arial" w:hAnsi="Arial" w:cs="Arial"/>
          <w:b/>
        </w:rPr>
      </w:pPr>
    </w:p>
    <w:p w:rsidR="00EB4987" w:rsidRPr="00691652" w:rsidRDefault="00BE6B86" w:rsidP="00EB4987">
      <w:pPr>
        <w:rPr>
          <w:rFonts w:ascii="Arial" w:hAnsi="Arial" w:cs="Arial"/>
          <w:b/>
        </w:rPr>
      </w:pPr>
      <w:r>
        <w:rPr>
          <w:rFonts w:ascii="Arial" w:hAnsi="Arial" w:cs="Arial"/>
          <w:noProof/>
          <w:lang w:eastAsia="en-AU"/>
        </w:rPr>
        <w:pict>
          <v:shape id="_x0000_s1181" type="#_x0000_t202" style="position:absolute;margin-left:135.8pt;margin-top:13.6pt;width:151.8pt;height:30.05pt;z-index:251660800;mso-width-relative:margin;mso-height-relative:margin">
            <v:textbox>
              <w:txbxContent>
                <w:p w:rsidR="000D1AD5" w:rsidRPr="00691652" w:rsidRDefault="000D1AD5" w:rsidP="00EB4987">
                  <w:pPr>
                    <w:rPr>
                      <w:rFonts w:ascii="Arial" w:hAnsi="Arial" w:cs="Arial"/>
                      <w:sz w:val="16"/>
                      <w:szCs w:val="16"/>
                    </w:rPr>
                  </w:pPr>
                  <w:r>
                    <w:rPr>
                      <w:rFonts w:ascii="Arial" w:hAnsi="Arial" w:cs="Arial"/>
                      <w:sz w:val="16"/>
                      <w:szCs w:val="16"/>
                    </w:rPr>
                    <w:t xml:space="preserve">Employer files (if they elect to) Form F3 - Employer Response </w:t>
                  </w: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b/>
          <w:noProof/>
          <w:lang w:eastAsia="en-A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0" type="#_x0000_t67" style="position:absolute;margin-left:203.65pt;margin-top:1.7pt;width:7.15pt;height:9.25pt;z-index:251659776">
            <v:textbox style="layout-flow:vertical-ideographic"/>
          </v:shape>
        </w:pict>
      </w:r>
    </w:p>
    <w:p w:rsidR="00EB4987" w:rsidRDefault="00BE6B86" w:rsidP="00EB4987">
      <w:pPr>
        <w:rPr>
          <w:rFonts w:ascii="Arial" w:hAnsi="Arial" w:cs="Arial"/>
        </w:rPr>
      </w:pPr>
      <w:r>
        <w:rPr>
          <w:rFonts w:ascii="Arial" w:hAnsi="Arial" w:cs="Arial"/>
          <w:noProof/>
          <w:lang w:eastAsia="en-AU"/>
        </w:rPr>
        <w:pict>
          <v:shape id="_x0000_s1182" type="#_x0000_t67" style="position:absolute;margin-left:203.65pt;margin-top:23.6pt;width:7.15pt;height:9.25pt;z-index:251661824">
            <v:textbox style="layout-flow:vertical-ideographic"/>
          </v:shape>
        </w:pict>
      </w:r>
      <w:r w:rsidR="00EB4987">
        <w:rPr>
          <w:rFonts w:ascii="Arial" w:hAnsi="Arial" w:cs="Arial"/>
        </w:rPr>
        <w:t xml:space="preserve"> </w:t>
      </w:r>
    </w:p>
    <w:p w:rsidR="00EB4987" w:rsidRPr="00327DB0" w:rsidRDefault="00BE6B86" w:rsidP="00EB4987">
      <w:pPr>
        <w:rPr>
          <w:rFonts w:ascii="Arial" w:hAnsi="Arial" w:cs="Arial"/>
        </w:rPr>
      </w:pPr>
      <w:r>
        <w:rPr>
          <w:rFonts w:ascii="Arial" w:hAnsi="Arial" w:cs="Arial"/>
          <w:noProof/>
          <w:lang w:eastAsia="en-AU"/>
        </w:rPr>
        <w:pict>
          <v:shape id="_x0000_s1183" type="#_x0000_t202" style="position:absolute;margin-left:106.9pt;margin-top:11.8pt;width:210.7pt;height:92.75pt;z-index:251662848;mso-width-relative:margin;mso-height-relative:margin">
            <v:textbox>
              <w:txbxContent>
                <w:p w:rsidR="000D1AD5" w:rsidRPr="005C2D79" w:rsidRDefault="000D1AD5" w:rsidP="00EB4987">
                  <w:pPr>
                    <w:rPr>
                      <w:rFonts w:ascii="Arial" w:hAnsi="Arial" w:cs="Arial"/>
                      <w:sz w:val="16"/>
                      <w:szCs w:val="16"/>
                    </w:rPr>
                  </w:pPr>
                  <w:r>
                    <w:rPr>
                      <w:rFonts w:ascii="Arial" w:hAnsi="Arial" w:cs="Arial"/>
                      <w:sz w:val="16"/>
                      <w:szCs w:val="16"/>
                    </w:rPr>
                    <w:t xml:space="preserve">FWC Conciliator / Commissioner assesses the application (taking into consideration the Employer Response) on the papers against a preliminary </w:t>
                  </w:r>
                  <w:r>
                    <w:rPr>
                      <w:rFonts w:ascii="Arial" w:hAnsi="Arial" w:cs="Arial"/>
                      <w:sz w:val="16"/>
                      <w:szCs w:val="16"/>
                      <w:u w:val="single"/>
                    </w:rPr>
                    <w:t>“</w:t>
                  </w:r>
                  <w:r w:rsidRPr="0006578A">
                    <w:rPr>
                      <w:rFonts w:ascii="Arial" w:hAnsi="Arial" w:cs="Arial"/>
                      <w:sz w:val="16"/>
                      <w:szCs w:val="16"/>
                      <w:u w:val="single"/>
                    </w:rPr>
                    <w:t>sufficient merit”</w:t>
                  </w:r>
                  <w:r>
                    <w:rPr>
                      <w:rFonts w:ascii="Arial" w:hAnsi="Arial" w:cs="Arial"/>
                      <w:sz w:val="16"/>
                      <w:szCs w:val="16"/>
                    </w:rPr>
                    <w:t xml:space="preserve"> test: </w:t>
                  </w:r>
                </w:p>
                <w:p w:rsidR="000D1AD5" w:rsidRDefault="000D1AD5" w:rsidP="00EB4987">
                  <w:pPr>
                    <w:rPr>
                      <w:rFonts w:ascii="Arial" w:hAnsi="Arial" w:cs="Arial"/>
                    </w:rPr>
                  </w:pPr>
                </w:p>
                <w:p w:rsidR="000D1AD5" w:rsidRPr="00691652" w:rsidRDefault="000D1AD5" w:rsidP="00EB4987">
                  <w:pPr>
                    <w:rPr>
                      <w:rFonts w:ascii="Arial" w:hAnsi="Arial" w:cs="Arial"/>
                    </w:rPr>
                  </w:pPr>
                </w:p>
              </w:txbxContent>
            </v:textbox>
          </v:shape>
        </w:pict>
      </w:r>
      <w:r>
        <w:rPr>
          <w:rFonts w:ascii="Arial" w:hAnsi="Arial" w:cs="Arial"/>
          <w:noProof/>
          <w:lang w:eastAsia="en-AU"/>
        </w:rPr>
        <w:pict>
          <v:shape id="_x0000_s1199" type="#_x0000_t67" style="position:absolute;margin-left:409.5pt;margin-top:428.1pt;width:10.5pt;height:35.1pt;z-index:251679232">
            <v:textbox style="layout-flow:vertical-ideographic"/>
          </v:shape>
        </w:pict>
      </w:r>
      <w:r>
        <w:rPr>
          <w:rFonts w:ascii="Arial" w:hAnsi="Arial" w:cs="Arial"/>
          <w:noProof/>
          <w:lang w:eastAsia="en-AU"/>
        </w:rPr>
        <w:pict>
          <v:shape id="_x0000_s1198" type="#_x0000_t202" style="position:absolute;margin-left:366.7pt;margin-top:465.85pt;width:95.15pt;height:44.6pt;z-index:251678208;mso-width-relative:margin;mso-height-relative:margin">
            <v:textbox>
              <w:txbxContent>
                <w:p w:rsidR="000D1AD5" w:rsidRDefault="000D1AD5" w:rsidP="00EB4987">
                  <w:pPr>
                    <w:rPr>
                      <w:rFonts w:ascii="Arial" w:hAnsi="Arial" w:cs="Arial"/>
                    </w:rPr>
                  </w:pPr>
                  <w:r>
                    <w:rPr>
                      <w:rFonts w:ascii="Arial" w:hAnsi="Arial" w:cs="Arial"/>
                      <w:sz w:val="16"/>
                      <w:szCs w:val="16"/>
                    </w:rPr>
                    <w:t>Arbitration hearing</w:t>
                  </w: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89" type="#_x0000_t202" style="position:absolute;margin-left:74.95pt;margin-top:199.15pt;width:128.7pt;height:62.65pt;z-index:251668992;mso-width-relative:margin;mso-height-relative:margin">
            <v:textbox>
              <w:txbxContent>
                <w:p w:rsidR="000D1AD5" w:rsidRDefault="000D1AD5" w:rsidP="00EB4987">
                  <w:pPr>
                    <w:rPr>
                      <w:rFonts w:ascii="Arial" w:hAnsi="Arial" w:cs="Arial"/>
                    </w:rPr>
                  </w:pPr>
                  <w:r>
                    <w:rPr>
                      <w:rFonts w:ascii="Arial" w:hAnsi="Arial" w:cs="Arial"/>
                      <w:sz w:val="16"/>
                      <w:szCs w:val="16"/>
                    </w:rPr>
                    <w:t>FWC dismisses the application on the papers and writes to the parties to advise them of this outcome (certificate or letter). Matter discontinued.</w:t>
                  </w: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97" type="#_x0000_t67" style="position:absolute;margin-left:344.5pt;margin-top:339.25pt;width:10.5pt;height:43.75pt;rotation:-4275085fd;z-index:251677184">
            <v:textbox style="layout-flow:vertical-ideographic"/>
          </v:shape>
        </w:pict>
      </w:r>
      <w:r>
        <w:rPr>
          <w:rFonts w:ascii="Arial" w:hAnsi="Arial" w:cs="Arial"/>
          <w:noProof/>
          <w:lang w:eastAsia="en-AU"/>
        </w:rPr>
        <w:pict>
          <v:shape id="_x0000_s1196" type="#_x0000_t202" style="position:absolute;margin-left:366.7pt;margin-top:379.75pt;width:95.15pt;height:44.6pt;z-index:251676160;mso-width-relative:margin;mso-height-relative:margin">
            <v:textbox>
              <w:txbxContent>
                <w:p w:rsidR="000D1AD5" w:rsidRPr="009D12B3" w:rsidRDefault="000D1AD5" w:rsidP="00EB4987">
                  <w:pPr>
                    <w:rPr>
                      <w:rFonts w:ascii="Arial" w:hAnsi="Arial" w:cs="Arial"/>
                      <w:sz w:val="16"/>
                      <w:szCs w:val="16"/>
                    </w:rPr>
                  </w:pPr>
                  <w:r w:rsidRPr="009D12B3">
                    <w:rPr>
                      <w:rFonts w:ascii="Arial" w:hAnsi="Arial" w:cs="Arial"/>
                      <w:sz w:val="16"/>
                      <w:szCs w:val="16"/>
                    </w:rPr>
                    <w:t xml:space="preserve">Matter </w:t>
                  </w:r>
                  <w:r>
                    <w:rPr>
                      <w:rFonts w:ascii="Arial" w:hAnsi="Arial" w:cs="Arial"/>
                      <w:sz w:val="16"/>
                      <w:szCs w:val="16"/>
                    </w:rPr>
                    <w:t>not resolved at conciliation</w:t>
                  </w: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94" type="#_x0000_t202" style="position:absolute;margin-left:160.8pt;margin-top:379.75pt;width:95.15pt;height:44.6pt;z-index:251674112;mso-width-relative:margin;mso-height-relative:margin">
            <v:textbox>
              <w:txbxContent>
                <w:p w:rsidR="000D1AD5" w:rsidRPr="009D12B3" w:rsidRDefault="000D1AD5" w:rsidP="00EB4987">
                  <w:pPr>
                    <w:rPr>
                      <w:rFonts w:ascii="Arial" w:hAnsi="Arial" w:cs="Arial"/>
                      <w:sz w:val="16"/>
                      <w:szCs w:val="16"/>
                    </w:rPr>
                  </w:pPr>
                  <w:r w:rsidRPr="009D12B3">
                    <w:rPr>
                      <w:rFonts w:ascii="Arial" w:hAnsi="Arial" w:cs="Arial"/>
                      <w:sz w:val="16"/>
                      <w:szCs w:val="16"/>
                    </w:rPr>
                    <w:t>Matter resolved / settled at conciliation - discontinued</w:t>
                  </w: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95" type="#_x0000_t67" style="position:absolute;margin-left:269.8pt;margin-top:339.25pt;width:10.5pt;height:43.75pt;rotation:3969107fd;z-index:251675136">
            <v:textbox style="layout-flow:vertical-ideographic"/>
          </v:shape>
        </w:pict>
      </w:r>
      <w:r>
        <w:rPr>
          <w:rFonts w:ascii="Arial" w:hAnsi="Arial" w:cs="Arial"/>
          <w:noProof/>
          <w:lang w:eastAsia="en-AU"/>
        </w:rPr>
        <w:pict>
          <v:shape id="_x0000_s1193" type="#_x0000_t67" style="position:absolute;margin-left:304.35pt;margin-top:290.2pt;width:7.15pt;height:11.8pt;z-index:251673088">
            <v:textbox style="layout-flow:vertical-ideographic"/>
          </v:shape>
        </w:pict>
      </w:r>
      <w:r>
        <w:rPr>
          <w:rFonts w:ascii="Arial" w:hAnsi="Arial" w:cs="Arial"/>
          <w:noProof/>
          <w:lang w:eastAsia="en-AU"/>
        </w:rPr>
        <w:pict>
          <v:shape id="_x0000_s1191" type="#_x0000_t67" style="position:absolute;margin-left:304.35pt;margin-top:185.95pt;width:7.15pt;height:59.5pt;z-index:251671040">
            <v:textbox style="layout-flow:vertical-ideographic"/>
          </v:shape>
        </w:pict>
      </w:r>
      <w:r>
        <w:rPr>
          <w:rFonts w:ascii="Arial" w:hAnsi="Arial" w:cs="Arial"/>
          <w:noProof/>
          <w:lang w:eastAsia="en-AU"/>
        </w:rPr>
        <w:pict>
          <v:shape id="_x0000_s1192" type="#_x0000_t202" style="position:absolute;margin-left:262.2pt;margin-top:305.1pt;width:95.15pt;height:41.05pt;z-index:251672064;mso-width-relative:margin;mso-height-relative:margin">
            <v:textbox>
              <w:txbxContent>
                <w:p w:rsidR="000D1AD5" w:rsidRPr="006C2386" w:rsidRDefault="000D1AD5" w:rsidP="00EB4987">
                  <w:pPr>
                    <w:rPr>
                      <w:rFonts w:ascii="Arial" w:hAnsi="Arial" w:cs="Arial"/>
                      <w:sz w:val="16"/>
                      <w:szCs w:val="16"/>
                    </w:rPr>
                  </w:pPr>
                  <w:r w:rsidRPr="006C2386">
                    <w:rPr>
                      <w:rFonts w:ascii="Arial" w:hAnsi="Arial" w:cs="Arial"/>
                      <w:sz w:val="16"/>
                      <w:szCs w:val="16"/>
                    </w:rPr>
                    <w:t>Conciliation held</w:t>
                  </w: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90" type="#_x0000_t202" style="position:absolute;margin-left:262.2pt;margin-top:250.3pt;width:95.15pt;height:36.25pt;z-index:251670016;mso-width-relative:margin;mso-height-relative:margin">
            <v:textbox>
              <w:txbxContent>
                <w:p w:rsidR="000D1AD5" w:rsidRPr="006C2386" w:rsidRDefault="000D1AD5" w:rsidP="00EB4987">
                  <w:pPr>
                    <w:rPr>
                      <w:rFonts w:ascii="Arial" w:hAnsi="Arial" w:cs="Arial"/>
                      <w:sz w:val="16"/>
                      <w:szCs w:val="16"/>
                    </w:rPr>
                  </w:pPr>
                  <w:r w:rsidRPr="006C2386">
                    <w:rPr>
                      <w:rFonts w:ascii="Arial" w:hAnsi="Arial" w:cs="Arial"/>
                      <w:sz w:val="16"/>
                      <w:szCs w:val="16"/>
                    </w:rPr>
                    <w:t>Conciliation listed</w:t>
                  </w: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88" type="#_x0000_t67" style="position:absolute;margin-left:131.7pt;margin-top:183.75pt;width:7.15pt;height:9.25pt;z-index:251667968">
            <v:textbox style="layout-flow:vertical-ideographic"/>
          </v:shape>
        </w:pict>
      </w:r>
      <w:r>
        <w:rPr>
          <w:rFonts w:ascii="Arial" w:hAnsi="Arial" w:cs="Arial"/>
          <w:noProof/>
          <w:lang w:eastAsia="en-AU"/>
        </w:rPr>
        <w:pict>
          <v:shape id="_x0000_s1187" type="#_x0000_t202" style="position:absolute;margin-left:74.95pt;margin-top:140.35pt;width:128.7pt;height:41.05pt;z-index:251666944;mso-width-relative:margin;mso-height-relative:margin">
            <v:textbox>
              <w:txbxContent>
                <w:p w:rsidR="000D1AD5" w:rsidRDefault="000D1AD5" w:rsidP="00EB4987">
                  <w:pPr>
                    <w:rPr>
                      <w:rFonts w:ascii="Arial" w:hAnsi="Arial" w:cs="Arial"/>
                    </w:rPr>
                  </w:pPr>
                  <w:r>
                    <w:rPr>
                      <w:rFonts w:ascii="Arial" w:hAnsi="Arial" w:cs="Arial"/>
                      <w:sz w:val="16"/>
                      <w:szCs w:val="16"/>
                    </w:rPr>
                    <w:t>If FWC finds the application is without sufficient merit</w:t>
                  </w: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86" type="#_x0000_t202" style="position:absolute;margin-left:233.95pt;margin-top:140.35pt;width:128.7pt;height:41.05pt;z-index:251665920;mso-width-relative:margin;mso-height-relative:margin">
            <v:textbox>
              <w:txbxContent>
                <w:p w:rsidR="000D1AD5" w:rsidRDefault="000D1AD5" w:rsidP="00EB4987">
                  <w:pPr>
                    <w:rPr>
                      <w:rFonts w:ascii="Arial" w:hAnsi="Arial" w:cs="Arial"/>
                    </w:rPr>
                  </w:pPr>
                  <w:r>
                    <w:rPr>
                      <w:rFonts w:ascii="Arial" w:hAnsi="Arial" w:cs="Arial"/>
                      <w:sz w:val="16"/>
                      <w:szCs w:val="16"/>
                    </w:rPr>
                    <w:t>If FWC finds the application is not without sufficient</w:t>
                  </w:r>
                  <w:r w:rsidR="00F30279">
                    <w:rPr>
                      <w:rFonts w:ascii="Arial" w:hAnsi="Arial" w:cs="Arial"/>
                      <w:sz w:val="16"/>
                      <w:szCs w:val="16"/>
                    </w:rPr>
                    <w:t xml:space="preserve"> merit</w:t>
                  </w:r>
                  <w:r>
                    <w:rPr>
                      <w:rFonts w:ascii="Arial" w:hAnsi="Arial" w:cs="Arial"/>
                      <w:sz w:val="16"/>
                      <w:szCs w:val="16"/>
                    </w:rPr>
                    <w:t xml:space="preserve"> (i.e. has sufficient merit)</w:t>
                  </w:r>
                </w:p>
                <w:p w:rsidR="000D1AD5" w:rsidRDefault="000D1AD5" w:rsidP="00EB4987">
                  <w:pPr>
                    <w:rPr>
                      <w:rFonts w:ascii="Arial" w:hAnsi="Arial" w:cs="Arial"/>
                    </w:rPr>
                  </w:pPr>
                </w:p>
                <w:p w:rsidR="000D1AD5" w:rsidRDefault="000D1AD5" w:rsidP="00EB4987">
                  <w:pPr>
                    <w:rPr>
                      <w:rFonts w:ascii="Arial" w:hAnsi="Arial" w:cs="Arial"/>
                    </w:rPr>
                  </w:pPr>
                </w:p>
                <w:p w:rsidR="000D1AD5" w:rsidRDefault="000D1AD5" w:rsidP="00EB4987">
                  <w:pPr>
                    <w:rPr>
                      <w:rFonts w:ascii="Arial" w:hAnsi="Arial" w:cs="Arial"/>
                    </w:rPr>
                  </w:pPr>
                </w:p>
                <w:p w:rsidR="000D1AD5" w:rsidRPr="00691652" w:rsidRDefault="000D1AD5" w:rsidP="00EB4987">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noProof/>
          <w:lang w:eastAsia="en-AU"/>
        </w:rPr>
        <w:pict>
          <v:shape id="_x0000_s1185" type="#_x0000_t67" style="position:absolute;margin-left:231.95pt;margin-top:105.2pt;width:11.15pt;height:36.85pt;rotation:-3734278fd;z-index:251664896">
            <v:textbox style="layout-flow:vertical-ideographic"/>
          </v:shape>
        </w:pict>
      </w:r>
      <w:r>
        <w:rPr>
          <w:rFonts w:ascii="Arial" w:hAnsi="Arial" w:cs="Arial"/>
          <w:noProof/>
          <w:lang w:eastAsia="en-AU"/>
        </w:rPr>
        <w:pict>
          <v:shape id="_x0000_s1184" type="#_x0000_t67" style="position:absolute;margin-left:192.5pt;margin-top:105.75pt;width:11.15pt;height:36.5pt;rotation:3661160fd;z-index:251663872">
            <v:textbox style="layout-flow:vertical-ideographic"/>
          </v:shape>
        </w:pict>
      </w:r>
    </w:p>
    <w:p w:rsidR="002C7E9D" w:rsidRDefault="002C7E9D">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EB4987" w:rsidRDefault="00EB4987">
      <w:pPr>
        <w:rPr>
          <w:rFonts w:ascii="Arial" w:hAnsi="Arial" w:cs="Arial"/>
          <w:b/>
        </w:rPr>
      </w:pPr>
    </w:p>
    <w:p w:rsidR="00B245B0" w:rsidRPr="00D2354A" w:rsidRDefault="00603278" w:rsidP="00B245B0">
      <w:pPr>
        <w:rPr>
          <w:rFonts w:ascii="Arial" w:hAnsi="Arial" w:cs="Arial"/>
          <w:b/>
          <w:bCs/>
          <w:i/>
          <w:color w:val="C0504D"/>
        </w:rPr>
      </w:pPr>
      <w:r>
        <w:rPr>
          <w:rFonts w:ascii="Arial" w:hAnsi="Arial" w:cs="Arial"/>
          <w:b/>
          <w:bCs/>
          <w:i/>
          <w:color w:val="C0504D"/>
        </w:rPr>
        <w:br w:type="page"/>
      </w:r>
      <w:r w:rsidR="00FB2AC1" w:rsidRPr="00D2354A">
        <w:rPr>
          <w:rFonts w:ascii="Arial" w:hAnsi="Arial" w:cs="Arial"/>
          <w:b/>
          <w:bCs/>
          <w:i/>
          <w:color w:val="C0504D"/>
        </w:rPr>
        <w:lastRenderedPageBreak/>
        <w:t xml:space="preserve">Proposal </w:t>
      </w:r>
      <w:r w:rsidR="00B245B0" w:rsidRPr="00D2354A">
        <w:rPr>
          <w:rFonts w:ascii="Arial" w:hAnsi="Arial" w:cs="Arial"/>
          <w:b/>
          <w:bCs/>
          <w:i/>
          <w:color w:val="C0504D"/>
        </w:rPr>
        <w:t xml:space="preserve">2 – Redesigned Merit Focused Conciliation Process </w:t>
      </w:r>
    </w:p>
    <w:p w:rsidR="00B245B0" w:rsidRDefault="00BE6B86" w:rsidP="00B245B0">
      <w:pPr>
        <w:rPr>
          <w:rFonts w:ascii="Arial" w:hAnsi="Arial" w:cs="Arial"/>
          <w:b/>
        </w:rPr>
      </w:pPr>
      <w:r>
        <w:rPr>
          <w:rFonts w:ascii="Arial" w:hAnsi="Arial" w:cs="Arial"/>
          <w:b/>
          <w:noProof/>
          <w:lang w:eastAsia="en-AU"/>
        </w:rPr>
        <w:pict>
          <v:shape id="_x0000_s1056" type="#_x0000_t67" style="position:absolute;margin-left:85.7pt;margin-top:224.25pt;width:11.15pt;height:36.5pt;rotation:3661160fd;z-index:251644416">
            <v:textbox style="layout-flow:vertical-ideographic"/>
          </v:shape>
        </w:pict>
      </w:r>
      <w:r>
        <w:rPr>
          <w:rFonts w:ascii="Arial" w:hAnsi="Arial" w:cs="Arial"/>
          <w:b/>
          <w:noProof/>
          <w:lang w:eastAsia="en-AU"/>
        </w:rPr>
        <w:pict>
          <v:shape id="_x0000_s1057" type="#_x0000_t67" style="position:absolute;margin-left:135.7pt;margin-top:225.55pt;width:11.15pt;height:33.85pt;rotation:-3240905fd;z-index:251645440">
            <v:textbox style="layout-flow:vertical-ideographic"/>
          </v:shape>
        </w:pict>
      </w:r>
      <w:r>
        <w:rPr>
          <w:rFonts w:ascii="Arial" w:hAnsi="Arial" w:cs="Arial"/>
          <w:b/>
          <w:noProof/>
          <w:lang w:eastAsia="en-AU"/>
        </w:rPr>
        <w:pict>
          <v:shape id="_x0000_s1054" type="#_x0000_t202" style="position:absolute;margin-left:15.35pt;margin-top:259.05pt;width:94.2pt;height:46.3pt;z-index:251642368;mso-width-relative:margin;mso-height-relative:margin">
            <v:textbox>
              <w:txbxContent>
                <w:p w:rsidR="000D1AD5" w:rsidRPr="002750A5" w:rsidRDefault="000D1AD5" w:rsidP="00B245B0">
                  <w:pPr>
                    <w:rPr>
                      <w:rFonts w:ascii="Arial" w:hAnsi="Arial" w:cs="Arial"/>
                      <w:sz w:val="16"/>
                      <w:szCs w:val="16"/>
                    </w:rPr>
                  </w:pPr>
                  <w:r>
                    <w:rPr>
                      <w:rFonts w:ascii="Arial" w:hAnsi="Arial" w:cs="Arial"/>
                      <w:sz w:val="16"/>
                      <w:szCs w:val="16"/>
                    </w:rPr>
                    <w:t>Matter resolved / settled at conciliation – matter discontinued.</w:t>
                  </w:r>
                </w:p>
                <w:p w:rsidR="000D1AD5" w:rsidRDefault="000D1AD5" w:rsidP="00B245B0">
                  <w:pPr>
                    <w:rPr>
                      <w:rFonts w:ascii="Arial" w:hAnsi="Arial" w:cs="Arial"/>
                    </w:rPr>
                  </w:pPr>
                </w:p>
                <w:p w:rsidR="000D1AD5" w:rsidRDefault="000D1AD5" w:rsidP="00B245B0">
                  <w:pPr>
                    <w:rPr>
                      <w:rFonts w:ascii="Arial" w:hAnsi="Arial" w:cs="Arial"/>
                    </w:rPr>
                  </w:pPr>
                </w:p>
                <w:p w:rsidR="000D1AD5" w:rsidRPr="00691652" w:rsidRDefault="000D1AD5" w:rsidP="00B245B0">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b/>
          <w:noProof/>
          <w:lang w:eastAsia="en-AU"/>
        </w:rPr>
        <w:pict>
          <v:shape id="_x0000_s1055" type="#_x0000_t202" style="position:absolute;margin-left:128.6pt;margin-top:259.05pt;width:94.2pt;height:46.3pt;z-index:251643392;mso-width-relative:margin;mso-height-relative:margin">
            <v:textbox>
              <w:txbxContent>
                <w:p w:rsidR="000D1AD5" w:rsidRPr="002750A5" w:rsidRDefault="000D1AD5" w:rsidP="00B245B0">
                  <w:pPr>
                    <w:rPr>
                      <w:rFonts w:ascii="Arial" w:hAnsi="Arial" w:cs="Arial"/>
                      <w:sz w:val="16"/>
                      <w:szCs w:val="16"/>
                    </w:rPr>
                  </w:pPr>
                  <w:r>
                    <w:rPr>
                      <w:rFonts w:ascii="Arial" w:hAnsi="Arial" w:cs="Arial"/>
                      <w:sz w:val="16"/>
                      <w:szCs w:val="16"/>
                    </w:rPr>
                    <w:t>Matter not resolved / settled at conciliation.</w:t>
                  </w:r>
                </w:p>
                <w:p w:rsidR="000D1AD5" w:rsidRDefault="000D1AD5" w:rsidP="00B245B0">
                  <w:pPr>
                    <w:rPr>
                      <w:rFonts w:ascii="Arial" w:hAnsi="Arial" w:cs="Arial"/>
                    </w:rPr>
                  </w:pPr>
                </w:p>
                <w:p w:rsidR="000D1AD5" w:rsidRDefault="000D1AD5" w:rsidP="00B245B0">
                  <w:pPr>
                    <w:rPr>
                      <w:rFonts w:ascii="Arial" w:hAnsi="Arial" w:cs="Arial"/>
                    </w:rPr>
                  </w:pPr>
                </w:p>
                <w:p w:rsidR="000D1AD5" w:rsidRPr="00691652" w:rsidRDefault="000D1AD5" w:rsidP="00B245B0">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b/>
          <w:noProof/>
          <w:lang w:eastAsia="en-AU"/>
        </w:rPr>
        <w:pict>
          <v:shape id="_x0000_s1053" type="#_x0000_t202" style="position:absolute;margin-left:69.35pt;margin-top:137.55pt;width:307pt;height:90.1pt;z-index:251641344;mso-width-relative:margin;mso-height-relative:margin">
            <v:textbox>
              <w:txbxContent>
                <w:p w:rsidR="000D1AD5" w:rsidRDefault="000D1AD5" w:rsidP="00B245B0">
                  <w:pPr>
                    <w:jc w:val="center"/>
                    <w:rPr>
                      <w:rFonts w:ascii="Arial" w:hAnsi="Arial" w:cs="Arial"/>
                      <w:sz w:val="16"/>
                      <w:szCs w:val="16"/>
                      <w:u w:val="single"/>
                    </w:rPr>
                  </w:pPr>
                  <w:r w:rsidRPr="0064638E">
                    <w:rPr>
                      <w:rFonts w:ascii="Arial" w:hAnsi="Arial" w:cs="Arial"/>
                      <w:sz w:val="16"/>
                      <w:szCs w:val="16"/>
                      <w:u w:val="single"/>
                    </w:rPr>
                    <w:t>Redesigned Merit Focused Conciliation</w:t>
                  </w:r>
                  <w:r>
                    <w:rPr>
                      <w:rFonts w:ascii="Arial" w:hAnsi="Arial" w:cs="Arial"/>
                      <w:sz w:val="16"/>
                      <w:szCs w:val="16"/>
                      <w:u w:val="single"/>
                    </w:rPr>
                    <w:t xml:space="preserve"> / Conference</w:t>
                  </w:r>
                </w:p>
                <w:p w:rsidR="000D1AD5" w:rsidRDefault="000D1AD5" w:rsidP="00B245B0">
                  <w:pPr>
                    <w:rPr>
                      <w:rFonts w:ascii="Arial" w:hAnsi="Arial" w:cs="Arial"/>
                      <w:sz w:val="16"/>
                      <w:szCs w:val="16"/>
                    </w:rPr>
                  </w:pPr>
                  <w:r>
                    <w:rPr>
                      <w:rFonts w:ascii="Arial" w:hAnsi="Arial" w:cs="Arial"/>
                      <w:sz w:val="16"/>
                      <w:szCs w:val="16"/>
                    </w:rPr>
                    <w:t>Primary focus of the Conciliator /</w:t>
                  </w:r>
                  <w:r w:rsidR="005B03E8">
                    <w:rPr>
                      <w:rFonts w:ascii="Arial" w:hAnsi="Arial" w:cs="Arial"/>
                      <w:sz w:val="16"/>
                      <w:szCs w:val="16"/>
                    </w:rPr>
                    <w:t xml:space="preserve"> Commissioner with the parties </w:t>
                  </w:r>
                  <w:r>
                    <w:rPr>
                      <w:rFonts w:ascii="Arial" w:hAnsi="Arial" w:cs="Arial"/>
                      <w:sz w:val="16"/>
                      <w:szCs w:val="16"/>
                    </w:rPr>
                    <w:t>is assessment of the merits of the case, taking into consideration the materials filed, oral submissions of the parties, and discussions in private conference.</w:t>
                  </w:r>
                </w:p>
                <w:p w:rsidR="000D1AD5" w:rsidRDefault="000D1AD5" w:rsidP="00B245B0">
                  <w:pPr>
                    <w:rPr>
                      <w:rFonts w:ascii="Arial" w:hAnsi="Arial" w:cs="Arial"/>
                      <w:sz w:val="16"/>
                      <w:szCs w:val="16"/>
                    </w:rPr>
                  </w:pPr>
                  <w:r>
                    <w:rPr>
                      <w:rFonts w:ascii="Arial" w:hAnsi="Arial" w:cs="Arial"/>
                      <w:sz w:val="16"/>
                      <w:szCs w:val="16"/>
                    </w:rPr>
                    <w:t>Once merit assessment has taken place, settlement discussions may take place as per current practice.</w:t>
                  </w:r>
                </w:p>
                <w:p w:rsidR="000D1AD5" w:rsidRDefault="000D1AD5" w:rsidP="00B245B0">
                  <w:pPr>
                    <w:rPr>
                      <w:rFonts w:ascii="Arial" w:hAnsi="Arial" w:cs="Arial"/>
                      <w:sz w:val="16"/>
                      <w:szCs w:val="16"/>
                    </w:rPr>
                  </w:pPr>
                </w:p>
                <w:p w:rsidR="000D1AD5" w:rsidRDefault="000D1AD5" w:rsidP="00B245B0">
                  <w:pPr>
                    <w:rPr>
                      <w:rFonts w:ascii="Arial" w:hAnsi="Arial" w:cs="Arial"/>
                      <w:sz w:val="16"/>
                      <w:szCs w:val="16"/>
                    </w:rPr>
                  </w:pPr>
                </w:p>
                <w:p w:rsidR="000D1AD5" w:rsidRDefault="000D1AD5" w:rsidP="00B245B0">
                  <w:pPr>
                    <w:rPr>
                      <w:rFonts w:ascii="Arial" w:hAnsi="Arial" w:cs="Arial"/>
                      <w:sz w:val="16"/>
                      <w:szCs w:val="16"/>
                    </w:rPr>
                  </w:pPr>
                  <w:r>
                    <w:rPr>
                      <w:rFonts w:ascii="Arial" w:hAnsi="Arial" w:cs="Arial"/>
                      <w:sz w:val="16"/>
                      <w:szCs w:val="16"/>
                      <w:u w:val="single"/>
                    </w:rPr>
                    <w:t>“</w:t>
                  </w:r>
                  <w:r w:rsidRPr="0006578A">
                    <w:rPr>
                      <w:rFonts w:ascii="Arial" w:hAnsi="Arial" w:cs="Arial"/>
                      <w:sz w:val="16"/>
                      <w:szCs w:val="16"/>
                      <w:u w:val="single"/>
                    </w:rPr>
                    <w:t>sufficient merit”</w:t>
                  </w:r>
                  <w:r>
                    <w:rPr>
                      <w:rFonts w:ascii="Arial" w:hAnsi="Arial" w:cs="Arial"/>
                      <w:sz w:val="16"/>
                      <w:szCs w:val="16"/>
                    </w:rPr>
                    <w:t xml:space="preserve"> test: </w:t>
                  </w:r>
                </w:p>
                <w:p w:rsidR="000D1AD5" w:rsidRPr="0006578A" w:rsidRDefault="000D1AD5" w:rsidP="00B245B0">
                  <w:pPr>
                    <w:pStyle w:val="ListParagraph"/>
                    <w:numPr>
                      <w:ilvl w:val="0"/>
                      <w:numId w:val="29"/>
                    </w:numPr>
                    <w:rPr>
                      <w:rFonts w:ascii="Arial" w:hAnsi="Arial" w:cs="Arial"/>
                      <w:sz w:val="16"/>
                      <w:szCs w:val="16"/>
                    </w:rPr>
                  </w:pPr>
                  <w:r w:rsidRPr="0006578A">
                    <w:rPr>
                      <w:rFonts w:ascii="Arial" w:hAnsi="Arial" w:cs="Arial"/>
                      <w:sz w:val="16"/>
                      <w:szCs w:val="16"/>
                    </w:rPr>
                    <w:t>Is the FWC satisfied on the papers that the Applicant’s case is not without sufficient merit? (framed as a positive statement) or</w:t>
                  </w:r>
                </w:p>
                <w:p w:rsidR="000D1AD5" w:rsidRPr="0006578A" w:rsidRDefault="000D1AD5" w:rsidP="00B245B0">
                  <w:pPr>
                    <w:pStyle w:val="ListParagraph"/>
                    <w:numPr>
                      <w:ilvl w:val="0"/>
                      <w:numId w:val="29"/>
                    </w:numPr>
                    <w:rPr>
                      <w:rFonts w:ascii="Arial" w:hAnsi="Arial" w:cs="Arial"/>
                      <w:sz w:val="16"/>
                      <w:szCs w:val="16"/>
                    </w:rPr>
                  </w:pPr>
                  <w:r>
                    <w:rPr>
                      <w:rFonts w:ascii="Arial" w:hAnsi="Arial" w:cs="Arial"/>
                      <w:sz w:val="16"/>
                      <w:szCs w:val="16"/>
                    </w:rPr>
                    <w:t>Is the FWC satisfied on the papers that the case as presented is without sufficient merit? (framed as a negative statement)</w:t>
                  </w:r>
                </w:p>
                <w:p w:rsidR="000D1AD5" w:rsidRDefault="000D1AD5" w:rsidP="00B245B0">
                  <w:pPr>
                    <w:rPr>
                      <w:rFonts w:ascii="Arial" w:hAnsi="Arial" w:cs="Arial"/>
                      <w:sz w:val="16"/>
                      <w:szCs w:val="16"/>
                    </w:rPr>
                  </w:pPr>
                </w:p>
                <w:p w:rsidR="000D1AD5" w:rsidRDefault="000D1AD5" w:rsidP="00B245B0">
                  <w:pPr>
                    <w:rPr>
                      <w:rFonts w:ascii="Arial" w:hAnsi="Arial" w:cs="Arial"/>
                      <w:sz w:val="16"/>
                      <w:szCs w:val="16"/>
                    </w:rPr>
                  </w:pPr>
                </w:p>
                <w:p w:rsidR="000D1AD5" w:rsidRDefault="000D1AD5" w:rsidP="00B245B0">
                  <w:pPr>
                    <w:rPr>
                      <w:rFonts w:ascii="Arial" w:hAnsi="Arial" w:cs="Arial"/>
                      <w:sz w:val="16"/>
                      <w:szCs w:val="16"/>
                    </w:rPr>
                  </w:pPr>
                </w:p>
                <w:p w:rsidR="000D1AD5" w:rsidRDefault="000D1AD5" w:rsidP="00B245B0">
                  <w:pPr>
                    <w:rPr>
                      <w:rFonts w:ascii="Arial" w:hAnsi="Arial" w:cs="Arial"/>
                    </w:rPr>
                  </w:pPr>
                </w:p>
                <w:p w:rsidR="000D1AD5" w:rsidRDefault="000D1AD5" w:rsidP="00B245B0">
                  <w:pPr>
                    <w:rPr>
                      <w:rFonts w:ascii="Arial" w:hAnsi="Arial" w:cs="Arial"/>
                    </w:rPr>
                  </w:pPr>
                </w:p>
                <w:p w:rsidR="000D1AD5" w:rsidRDefault="000D1AD5" w:rsidP="00B245B0">
                  <w:pPr>
                    <w:rPr>
                      <w:rFonts w:ascii="Arial" w:hAnsi="Arial" w:cs="Arial"/>
                    </w:rPr>
                  </w:pPr>
                </w:p>
                <w:p w:rsidR="000D1AD5" w:rsidRPr="00691652" w:rsidRDefault="000D1AD5" w:rsidP="00B245B0">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b/>
          <w:noProof/>
          <w:lang w:eastAsia="en-AU"/>
        </w:rPr>
        <w:pict>
          <v:shape id="_x0000_s1050" type="#_x0000_t67" style="position:absolute;margin-left:217.95pt;margin-top:84.7pt;width:7.15pt;height:9.25pt;z-index:251638272">
            <v:textbox style="layout-flow:vertical-ideographic"/>
          </v:shape>
        </w:pict>
      </w:r>
      <w:r>
        <w:rPr>
          <w:rFonts w:ascii="Arial" w:hAnsi="Arial" w:cs="Arial"/>
          <w:b/>
          <w:noProof/>
          <w:lang w:eastAsia="en-AU"/>
        </w:rPr>
        <w:pict>
          <v:shape id="_x0000_s1052" type="#_x0000_t67" style="position:absolute;margin-left:217.95pt;margin-top:123.6pt;width:7.15pt;height:9.25pt;z-index:251640320">
            <v:textbox style="layout-flow:vertical-ideographic"/>
          </v:shape>
        </w:pict>
      </w:r>
      <w:r>
        <w:rPr>
          <w:rFonts w:ascii="Arial" w:hAnsi="Arial" w:cs="Arial"/>
          <w:b/>
          <w:noProof/>
          <w:lang w:eastAsia="en-AU"/>
        </w:rPr>
        <w:pict>
          <v:shape id="_x0000_s1051" type="#_x0000_t202" style="position:absolute;margin-left:147.8pt;margin-top:99.6pt;width:151.8pt;height:20.3pt;z-index:251639296;mso-width-relative:margin;mso-height-relative:margin">
            <v:textbox>
              <w:txbxContent>
                <w:p w:rsidR="000D1AD5" w:rsidRPr="006C2386" w:rsidRDefault="000D1AD5" w:rsidP="00B245B0">
                  <w:pPr>
                    <w:rPr>
                      <w:rFonts w:ascii="Arial" w:hAnsi="Arial" w:cs="Arial"/>
                      <w:sz w:val="16"/>
                      <w:szCs w:val="16"/>
                    </w:rPr>
                  </w:pPr>
                  <w:r w:rsidRPr="006C2386">
                    <w:rPr>
                      <w:rFonts w:ascii="Arial" w:hAnsi="Arial" w:cs="Arial"/>
                      <w:sz w:val="16"/>
                      <w:szCs w:val="16"/>
                    </w:rPr>
                    <w:t>Conciliation</w:t>
                  </w:r>
                  <w:r>
                    <w:rPr>
                      <w:rFonts w:ascii="Arial" w:hAnsi="Arial" w:cs="Arial"/>
                      <w:sz w:val="16"/>
                      <w:szCs w:val="16"/>
                    </w:rPr>
                    <w:t xml:space="preserve"> / conference</w:t>
                  </w:r>
                  <w:r w:rsidRPr="006C2386">
                    <w:rPr>
                      <w:rFonts w:ascii="Arial" w:hAnsi="Arial" w:cs="Arial"/>
                      <w:sz w:val="16"/>
                      <w:szCs w:val="16"/>
                    </w:rPr>
                    <w:t xml:space="preserve"> listed</w:t>
                  </w:r>
                </w:p>
                <w:p w:rsidR="000D1AD5" w:rsidRDefault="000D1AD5" w:rsidP="00B245B0">
                  <w:pPr>
                    <w:rPr>
                      <w:rFonts w:ascii="Arial" w:hAnsi="Arial" w:cs="Arial"/>
                    </w:rPr>
                  </w:pPr>
                </w:p>
                <w:p w:rsidR="000D1AD5" w:rsidRDefault="000D1AD5" w:rsidP="00B245B0">
                  <w:pPr>
                    <w:rPr>
                      <w:rFonts w:ascii="Arial" w:hAnsi="Arial" w:cs="Arial"/>
                    </w:rPr>
                  </w:pPr>
                </w:p>
                <w:p w:rsidR="000D1AD5" w:rsidRDefault="000D1AD5" w:rsidP="00B245B0">
                  <w:pPr>
                    <w:rPr>
                      <w:rFonts w:ascii="Arial" w:hAnsi="Arial" w:cs="Arial"/>
                    </w:rPr>
                  </w:pPr>
                </w:p>
                <w:p w:rsidR="000D1AD5" w:rsidRPr="00691652" w:rsidRDefault="000D1AD5" w:rsidP="00B245B0">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b/>
          <w:noProof/>
          <w:lang w:eastAsia="en-AU"/>
        </w:rPr>
        <w:pict>
          <v:shape id="_x0000_s1049" type="#_x0000_t67" style="position:absolute;margin-left:215.65pt;margin-top:38.25pt;width:7.15pt;height:9.25pt;z-index:251637248">
            <v:textbox style="layout-flow:vertical-ideographic"/>
          </v:shape>
        </w:pict>
      </w:r>
      <w:r>
        <w:rPr>
          <w:rFonts w:ascii="Arial" w:hAnsi="Arial" w:cs="Arial"/>
          <w:b/>
          <w:noProof/>
          <w:lang w:eastAsia="en-AU"/>
        </w:rPr>
        <w:pict>
          <v:shape id="_x0000_s1048" type="#_x0000_t202" style="position:absolute;margin-left:147.8pt;margin-top:50.15pt;width:151.8pt;height:30.05pt;z-index:251636224;mso-width-relative:margin;mso-height-relative:margin">
            <v:textbox>
              <w:txbxContent>
                <w:p w:rsidR="000D1AD5" w:rsidRPr="00691652" w:rsidRDefault="000D1AD5" w:rsidP="00B245B0">
                  <w:pPr>
                    <w:rPr>
                      <w:rFonts w:ascii="Arial" w:hAnsi="Arial" w:cs="Arial"/>
                      <w:sz w:val="16"/>
                      <w:szCs w:val="16"/>
                    </w:rPr>
                  </w:pPr>
                  <w:r>
                    <w:rPr>
                      <w:rFonts w:ascii="Arial" w:hAnsi="Arial" w:cs="Arial"/>
                      <w:sz w:val="16"/>
                      <w:szCs w:val="16"/>
                    </w:rPr>
                    <w:t xml:space="preserve">Employer files (if they elect to) Form F3 - Employer Response </w:t>
                  </w:r>
                </w:p>
                <w:p w:rsidR="000D1AD5" w:rsidRDefault="000D1AD5" w:rsidP="00B245B0">
                  <w:pPr>
                    <w:rPr>
                      <w:rFonts w:ascii="Arial" w:hAnsi="Arial" w:cs="Arial"/>
                    </w:rPr>
                  </w:pPr>
                </w:p>
                <w:p w:rsidR="000D1AD5" w:rsidRDefault="000D1AD5" w:rsidP="00B245B0">
                  <w:pPr>
                    <w:rPr>
                      <w:rFonts w:ascii="Arial" w:hAnsi="Arial" w:cs="Arial"/>
                    </w:rPr>
                  </w:pPr>
                </w:p>
                <w:p w:rsidR="000D1AD5" w:rsidRDefault="000D1AD5" w:rsidP="00B245B0">
                  <w:pPr>
                    <w:rPr>
                      <w:rFonts w:ascii="Arial" w:hAnsi="Arial" w:cs="Arial"/>
                    </w:rPr>
                  </w:pPr>
                </w:p>
                <w:p w:rsidR="000D1AD5" w:rsidRDefault="000D1AD5" w:rsidP="00B245B0">
                  <w:pPr>
                    <w:rPr>
                      <w:rFonts w:ascii="Arial" w:hAnsi="Arial" w:cs="Arial"/>
                    </w:rPr>
                  </w:pPr>
                </w:p>
                <w:p w:rsidR="000D1AD5" w:rsidRPr="00691652" w:rsidRDefault="000D1AD5" w:rsidP="00B245B0">
                  <w:pPr>
                    <w:rPr>
                      <w:rFonts w:ascii="Arial" w:hAnsi="Arial" w:cs="Arial"/>
                    </w:rPr>
                  </w:pPr>
                  <w:r>
                    <w:rPr>
                      <w:rFonts w:ascii="Arial" w:hAnsi="Arial" w:cs="Arial"/>
                    </w:rPr>
                    <w:t>Re</w:t>
                  </w:r>
                  <w:r w:rsidRPr="00691652">
                    <w:rPr>
                      <w:rFonts w:ascii="Arial" w:hAnsi="Arial" w:cs="Arial"/>
                    </w:rPr>
                    <w:t>Remedy</w:t>
                  </w:r>
                </w:p>
              </w:txbxContent>
            </v:textbox>
          </v:shape>
        </w:pict>
      </w:r>
      <w:r>
        <w:rPr>
          <w:rFonts w:ascii="Arial" w:hAnsi="Arial" w:cs="Arial"/>
          <w:b/>
          <w:noProof/>
          <w:lang w:eastAsia="en-AU"/>
        </w:rPr>
        <w:pict>
          <v:shape id="_x0000_s1047" type="#_x0000_t202" style="position:absolute;margin-left:147.8pt;margin-top:8.85pt;width:151.8pt;height:26.8pt;z-index:251635200;mso-width-relative:margin;mso-height-relative:margin">
            <v:textbox>
              <w:txbxContent>
                <w:p w:rsidR="000D1AD5" w:rsidRPr="00691652" w:rsidRDefault="000D1AD5" w:rsidP="00B245B0">
                  <w:pPr>
                    <w:rPr>
                      <w:rFonts w:ascii="Arial" w:hAnsi="Arial" w:cs="Arial"/>
                      <w:sz w:val="16"/>
                      <w:szCs w:val="16"/>
                    </w:rPr>
                  </w:pPr>
                  <w:r w:rsidRPr="00691652">
                    <w:rPr>
                      <w:rFonts w:ascii="Arial" w:hAnsi="Arial" w:cs="Arial"/>
                      <w:sz w:val="16"/>
                      <w:szCs w:val="16"/>
                    </w:rPr>
                    <w:t>Applicant files Form F2 – Application for Unfair Dismissal Remedy</w:t>
                  </w:r>
                </w:p>
                <w:p w:rsidR="000D1AD5" w:rsidRDefault="000D1AD5" w:rsidP="00B245B0">
                  <w:pPr>
                    <w:rPr>
                      <w:rFonts w:ascii="Arial" w:hAnsi="Arial" w:cs="Arial"/>
                    </w:rPr>
                  </w:pPr>
                </w:p>
                <w:p w:rsidR="000D1AD5" w:rsidRDefault="000D1AD5" w:rsidP="00B245B0">
                  <w:pPr>
                    <w:rPr>
                      <w:rFonts w:ascii="Arial" w:hAnsi="Arial" w:cs="Arial"/>
                    </w:rPr>
                  </w:pPr>
                </w:p>
                <w:p w:rsidR="000D1AD5" w:rsidRDefault="000D1AD5" w:rsidP="00B245B0">
                  <w:pPr>
                    <w:rPr>
                      <w:rFonts w:ascii="Arial" w:hAnsi="Arial" w:cs="Arial"/>
                    </w:rPr>
                  </w:pPr>
                </w:p>
                <w:p w:rsidR="000D1AD5" w:rsidRDefault="000D1AD5" w:rsidP="00B245B0">
                  <w:pPr>
                    <w:rPr>
                      <w:rFonts w:ascii="Arial" w:hAnsi="Arial" w:cs="Arial"/>
                    </w:rPr>
                  </w:pPr>
                </w:p>
                <w:p w:rsidR="000D1AD5" w:rsidRPr="00691652" w:rsidRDefault="000D1AD5" w:rsidP="00B245B0">
                  <w:pPr>
                    <w:rPr>
                      <w:rFonts w:ascii="Arial" w:hAnsi="Arial" w:cs="Arial"/>
                    </w:rPr>
                  </w:pPr>
                  <w:r>
                    <w:rPr>
                      <w:rFonts w:ascii="Arial" w:hAnsi="Arial" w:cs="Arial"/>
                    </w:rPr>
                    <w:t>Re</w:t>
                  </w:r>
                  <w:r w:rsidRPr="00691652">
                    <w:rPr>
                      <w:rFonts w:ascii="Arial" w:hAnsi="Arial" w:cs="Arial"/>
                    </w:rPr>
                    <w:t>Remedy</w:t>
                  </w:r>
                </w:p>
              </w:txbxContent>
            </v:textbox>
          </v:shape>
        </w:pict>
      </w: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245B0" w:rsidP="00B245B0">
      <w:pPr>
        <w:rPr>
          <w:rFonts w:ascii="Arial" w:hAnsi="Arial" w:cs="Arial"/>
        </w:rPr>
      </w:pPr>
    </w:p>
    <w:p w:rsidR="00B245B0" w:rsidRPr="004F464E" w:rsidRDefault="00BE6B86" w:rsidP="00B245B0">
      <w:pPr>
        <w:rPr>
          <w:rFonts w:ascii="Arial" w:hAnsi="Arial" w:cs="Arial"/>
        </w:rPr>
      </w:pPr>
      <w:r>
        <w:rPr>
          <w:rFonts w:ascii="Arial" w:hAnsi="Arial" w:cs="Arial"/>
          <w:noProof/>
          <w:lang w:eastAsia="en-AU"/>
        </w:rPr>
        <w:pict>
          <v:shape id="_x0000_s1060" type="#_x0000_t67" style="position:absolute;margin-left:167.65pt;margin-top:13.05pt;width:7.15pt;height:11.75pt;z-index:251648512">
            <v:textbox style="layout-flow:vertical-ideographic"/>
          </v:shape>
        </w:pict>
      </w:r>
    </w:p>
    <w:p w:rsidR="00B245B0" w:rsidRPr="004F464E" w:rsidRDefault="00BE6B86" w:rsidP="00B245B0">
      <w:pPr>
        <w:rPr>
          <w:rFonts w:ascii="Arial" w:hAnsi="Arial" w:cs="Arial"/>
        </w:rPr>
      </w:pPr>
      <w:r>
        <w:rPr>
          <w:rFonts w:ascii="Arial" w:hAnsi="Arial" w:cs="Arial"/>
          <w:b/>
          <w:noProof/>
          <w:lang w:eastAsia="en-AU"/>
        </w:rPr>
        <w:pict>
          <v:shape id="_x0000_s1058" type="#_x0000_t202" style="position:absolute;margin-left:128.6pt;margin-top:.25pt;width:278.75pt;height:153.7pt;z-index:251646464;mso-width-relative:margin;mso-height-relative:margin">
            <v:textbox>
              <w:txbxContent>
                <w:p w:rsidR="000D1AD5" w:rsidRDefault="000D1AD5" w:rsidP="00B245B0">
                  <w:pPr>
                    <w:rPr>
                      <w:rFonts w:ascii="Arial" w:hAnsi="Arial" w:cs="Arial"/>
                      <w:sz w:val="16"/>
                      <w:szCs w:val="16"/>
                    </w:rPr>
                  </w:pPr>
                  <w:r>
                    <w:rPr>
                      <w:rFonts w:ascii="Arial" w:hAnsi="Arial" w:cs="Arial"/>
                      <w:sz w:val="16"/>
                      <w:szCs w:val="16"/>
                    </w:rPr>
                    <w:t xml:space="preserve">After the conciliation, the Conciliator / Commissioner writes to the parties to advise them of his/her opinion of whether or not the application is </w:t>
                  </w:r>
                  <w:r w:rsidRPr="004F464E">
                    <w:rPr>
                      <w:rFonts w:ascii="Arial" w:hAnsi="Arial" w:cs="Arial"/>
                      <w:i/>
                      <w:sz w:val="16"/>
                      <w:szCs w:val="16"/>
                    </w:rPr>
                    <w:t>“without sufficient merit”</w:t>
                  </w:r>
                  <w:r>
                    <w:rPr>
                      <w:rFonts w:ascii="Arial" w:hAnsi="Arial" w:cs="Arial"/>
                      <w:i/>
                      <w:sz w:val="16"/>
                      <w:szCs w:val="16"/>
                    </w:rPr>
                    <w:t xml:space="preserve">. </w:t>
                  </w:r>
                  <w:r w:rsidRPr="004F464E">
                    <w:rPr>
                      <w:rFonts w:ascii="Arial" w:hAnsi="Arial" w:cs="Arial"/>
                      <w:sz w:val="16"/>
                      <w:szCs w:val="16"/>
                    </w:rPr>
                    <w:t>The Applicant is issued with a letter / certificate to this effect</w:t>
                  </w:r>
                  <w:r>
                    <w:rPr>
                      <w:rFonts w:ascii="Arial" w:hAnsi="Arial" w:cs="Arial"/>
                      <w:sz w:val="16"/>
                      <w:szCs w:val="16"/>
                    </w:rPr>
                    <w:t>. If the opinion is the application is “without sufficient merit” – the applicant is advised that if he/she wishes to continue proceedings to a hearing, and is ultimately unsuccessful, there may be cost implications. Two options worth consideration are:</w:t>
                  </w:r>
                </w:p>
                <w:p w:rsidR="000D1AD5" w:rsidRDefault="000D1AD5" w:rsidP="00B245B0">
                  <w:pPr>
                    <w:pStyle w:val="ListParagraph"/>
                    <w:numPr>
                      <w:ilvl w:val="0"/>
                      <w:numId w:val="30"/>
                    </w:numPr>
                    <w:rPr>
                      <w:rFonts w:ascii="Arial" w:hAnsi="Arial" w:cs="Arial"/>
                      <w:sz w:val="16"/>
                      <w:szCs w:val="16"/>
                    </w:rPr>
                  </w:pPr>
                  <w:r>
                    <w:rPr>
                      <w:rFonts w:ascii="Arial" w:hAnsi="Arial" w:cs="Arial"/>
                      <w:sz w:val="16"/>
                      <w:szCs w:val="16"/>
                    </w:rPr>
                    <w:t>Modest fixed sum for costs</w:t>
                  </w:r>
                </w:p>
                <w:p w:rsidR="000D1AD5" w:rsidRDefault="000D1AD5" w:rsidP="00B245B0">
                  <w:pPr>
                    <w:pStyle w:val="ListParagraph"/>
                    <w:numPr>
                      <w:ilvl w:val="0"/>
                      <w:numId w:val="30"/>
                    </w:numPr>
                    <w:rPr>
                      <w:rFonts w:ascii="Arial" w:hAnsi="Arial" w:cs="Arial"/>
                      <w:sz w:val="16"/>
                      <w:szCs w:val="16"/>
                    </w:rPr>
                  </w:pPr>
                  <w:r>
                    <w:rPr>
                      <w:rFonts w:ascii="Arial" w:hAnsi="Arial" w:cs="Arial"/>
                      <w:sz w:val="16"/>
                      <w:szCs w:val="16"/>
                    </w:rPr>
                    <w:t>Costs up to a modest maximum amount as per schedule.</w:t>
                  </w:r>
                </w:p>
                <w:p w:rsidR="000D1AD5" w:rsidRPr="004961E7" w:rsidRDefault="000D1AD5" w:rsidP="00B245B0">
                  <w:pPr>
                    <w:rPr>
                      <w:rFonts w:ascii="Arial" w:hAnsi="Arial" w:cs="Arial"/>
                      <w:sz w:val="16"/>
                      <w:szCs w:val="16"/>
                    </w:rPr>
                  </w:pPr>
                  <w:r>
                    <w:rPr>
                      <w:rFonts w:ascii="Arial" w:hAnsi="Arial" w:cs="Arial"/>
                      <w:sz w:val="16"/>
                      <w:szCs w:val="16"/>
                    </w:rPr>
                    <w:t>Even if the Respondent is unrepresented, there could still be scope for modest costs orders in recognition of the transactional and indirect costs in preparing evidence and having witnesses attend the hearing.</w:t>
                  </w:r>
                </w:p>
                <w:p w:rsidR="000D1AD5" w:rsidRDefault="000D1AD5" w:rsidP="00B245B0">
                  <w:pPr>
                    <w:rPr>
                      <w:rFonts w:ascii="Arial" w:hAnsi="Arial" w:cs="Arial"/>
                    </w:rPr>
                  </w:pPr>
                </w:p>
                <w:p w:rsidR="000D1AD5" w:rsidRDefault="000D1AD5" w:rsidP="00B245B0">
                  <w:pPr>
                    <w:rPr>
                      <w:rFonts w:ascii="Arial" w:hAnsi="Arial" w:cs="Arial"/>
                    </w:rPr>
                  </w:pPr>
                </w:p>
                <w:p w:rsidR="000D1AD5" w:rsidRPr="00691652" w:rsidRDefault="000D1AD5" w:rsidP="00B245B0">
                  <w:pPr>
                    <w:rPr>
                      <w:rFonts w:ascii="Arial" w:hAnsi="Arial" w:cs="Arial"/>
                    </w:rPr>
                  </w:pPr>
                </w:p>
              </w:txbxContent>
            </v:textbox>
          </v:shape>
        </w:pict>
      </w:r>
    </w:p>
    <w:p w:rsidR="00B245B0" w:rsidRPr="004F464E" w:rsidRDefault="00B245B0" w:rsidP="00B245B0">
      <w:pPr>
        <w:rPr>
          <w:rFonts w:ascii="Arial" w:hAnsi="Arial" w:cs="Arial"/>
        </w:rPr>
      </w:pPr>
    </w:p>
    <w:p w:rsidR="00B245B0" w:rsidRDefault="00B245B0" w:rsidP="00B245B0">
      <w:pPr>
        <w:rPr>
          <w:rFonts w:ascii="Arial" w:hAnsi="Arial" w:cs="Arial"/>
        </w:rPr>
      </w:pPr>
    </w:p>
    <w:p w:rsidR="00B245B0" w:rsidRDefault="00B245B0" w:rsidP="00B245B0">
      <w:pPr>
        <w:tabs>
          <w:tab w:val="left" w:pos="3587"/>
        </w:tabs>
        <w:rPr>
          <w:rFonts w:ascii="Arial" w:hAnsi="Arial" w:cs="Arial"/>
        </w:rPr>
      </w:pPr>
      <w:r>
        <w:rPr>
          <w:rFonts w:ascii="Arial" w:hAnsi="Arial" w:cs="Arial"/>
        </w:rPr>
        <w:tab/>
      </w:r>
    </w:p>
    <w:p w:rsidR="005D6968" w:rsidRPr="009320A0" w:rsidRDefault="00BE6B86" w:rsidP="00603278">
      <w:pPr>
        <w:rPr>
          <w:rFonts w:ascii="Arial" w:hAnsi="Arial" w:cs="Arial"/>
          <w:b/>
          <w:bCs/>
          <w:color w:val="C0504D"/>
          <w:sz w:val="28"/>
          <w:szCs w:val="28"/>
        </w:rPr>
      </w:pPr>
      <w:r>
        <w:rPr>
          <w:rFonts w:ascii="Arial" w:hAnsi="Arial" w:cs="Arial"/>
          <w:noProof/>
          <w:lang w:eastAsia="en-AU"/>
        </w:rPr>
        <w:pict>
          <v:shape id="_x0000_s1064" type="#_x0000_t202" style="position:absolute;margin-left:128.6pt;margin-top:163.75pt;width:60.5pt;height:49.05pt;z-index:251652608;mso-width-relative:margin;mso-height-relative:margin">
            <v:textbox style="mso-next-textbox:#_x0000_s1064">
              <w:txbxContent>
                <w:p w:rsidR="000D1AD5" w:rsidRDefault="000D1AD5" w:rsidP="00B245B0">
                  <w:pPr>
                    <w:rPr>
                      <w:rFonts w:ascii="Arial" w:hAnsi="Arial" w:cs="Arial"/>
                    </w:rPr>
                  </w:pPr>
                  <w:r>
                    <w:rPr>
                      <w:rFonts w:ascii="Arial" w:hAnsi="Arial" w:cs="Arial"/>
                      <w:sz w:val="16"/>
                      <w:szCs w:val="16"/>
                    </w:rPr>
                    <w:t>Applicant elects to proceed to hearing</w:t>
                  </w:r>
                </w:p>
                <w:p w:rsidR="000D1AD5" w:rsidRPr="00691652" w:rsidRDefault="000D1AD5" w:rsidP="00B245B0">
                  <w:pPr>
                    <w:rPr>
                      <w:rFonts w:ascii="Arial" w:hAnsi="Arial" w:cs="Arial"/>
                    </w:rPr>
                  </w:pPr>
                </w:p>
              </w:txbxContent>
            </v:textbox>
          </v:shape>
        </w:pict>
      </w:r>
      <w:r>
        <w:rPr>
          <w:rFonts w:ascii="Arial" w:hAnsi="Arial" w:cs="Arial"/>
          <w:noProof/>
          <w:lang w:eastAsia="en-AU"/>
        </w:rPr>
        <w:pict>
          <v:shape id="_x0000_s1066" type="#_x0000_t67" style="position:absolute;margin-left:326.7pt;margin-top:30.65pt;width:11.15pt;height:87.45pt;rotation:89726242fd;z-index:251654656">
            <v:textbox style="layout-flow:vertical-ideographic"/>
          </v:shape>
        </w:pict>
      </w:r>
      <w:r>
        <w:rPr>
          <w:rFonts w:ascii="Arial" w:hAnsi="Arial" w:cs="Arial"/>
          <w:noProof/>
          <w:lang w:eastAsia="en-AU"/>
        </w:rPr>
        <w:pict>
          <v:shape id="_x0000_s1065" type="#_x0000_t67" style="position:absolute;margin-left:173.25pt;margin-top:17.4pt;width:11.15pt;height:110.4pt;rotation:5070186fd;z-index:251653632">
            <v:textbox style="layout-flow:vertical-ideographic"/>
          </v:shape>
        </w:pict>
      </w:r>
      <w:r>
        <w:rPr>
          <w:rFonts w:ascii="Arial" w:hAnsi="Arial" w:cs="Arial"/>
          <w:noProof/>
          <w:lang w:eastAsia="en-AU"/>
        </w:rPr>
        <w:pict>
          <v:shape id="_x0000_s1070" type="#_x0000_t67" style="position:absolute;margin-left:280.4pt;margin-top:102.3pt;width:11.15pt;height:192.95pt;rotation:18446568fd;z-index:251658752">
            <v:textbox style="layout-flow:vertical-ideographic"/>
          </v:shape>
        </w:pict>
      </w:r>
      <w:r>
        <w:rPr>
          <w:rFonts w:ascii="Arial" w:hAnsi="Arial" w:cs="Arial"/>
          <w:noProof/>
          <w:lang w:eastAsia="en-AU"/>
        </w:rPr>
        <w:pict>
          <v:shape id="_x0000_s1069" type="#_x0000_t67" style="position:absolute;margin-left:125pt;margin-top:148.65pt;width:11.15pt;height:13.85pt;rotation:-3860516fd;z-index:251657728">
            <v:textbox style="layout-flow:vertical-ideographic"/>
          </v:shape>
        </w:pict>
      </w:r>
      <w:r>
        <w:rPr>
          <w:rFonts w:ascii="Arial" w:hAnsi="Arial" w:cs="Arial"/>
          <w:noProof/>
          <w:lang w:eastAsia="en-AU"/>
        </w:rPr>
        <w:pict>
          <v:shape id="_x0000_s1068" type="#_x0000_t67" style="position:absolute;margin-left:99.15pt;margin-top:147.8pt;width:11.15pt;height:13.85pt;rotation:4323749fd;z-index:251656704">
            <v:textbox style="layout-flow:vertical-ideographic"/>
          </v:shape>
        </w:pict>
      </w:r>
      <w:r>
        <w:rPr>
          <w:rFonts w:ascii="Arial" w:hAnsi="Arial" w:cs="Arial"/>
          <w:noProof/>
          <w:lang w:eastAsia="en-AU"/>
        </w:rPr>
        <w:pict>
          <v:shape id="_x0000_s1063" type="#_x0000_t202" style="position:absolute;margin-left:44.6pt;margin-top:163.75pt;width:61.4pt;height:40.6pt;z-index:251651584;mso-width-relative:margin;mso-height-relative:margin">
            <v:textbox style="mso-next-textbox:#_x0000_s1063">
              <w:txbxContent>
                <w:p w:rsidR="000D1AD5" w:rsidRDefault="000D1AD5" w:rsidP="00B245B0">
                  <w:pPr>
                    <w:rPr>
                      <w:rFonts w:ascii="Arial" w:hAnsi="Arial" w:cs="Arial"/>
                    </w:rPr>
                  </w:pPr>
                  <w:r>
                    <w:rPr>
                      <w:rFonts w:ascii="Arial" w:hAnsi="Arial" w:cs="Arial"/>
                      <w:sz w:val="16"/>
                      <w:szCs w:val="16"/>
                    </w:rPr>
                    <w:t>Applicant elects to discontinue.</w:t>
                  </w:r>
                </w:p>
                <w:p w:rsidR="000D1AD5" w:rsidRPr="00691652" w:rsidRDefault="000D1AD5" w:rsidP="00B245B0">
                  <w:pPr>
                    <w:rPr>
                      <w:rFonts w:ascii="Arial" w:hAnsi="Arial" w:cs="Arial"/>
                    </w:rPr>
                  </w:pPr>
                </w:p>
              </w:txbxContent>
            </v:textbox>
          </v:shape>
        </w:pict>
      </w:r>
      <w:r>
        <w:rPr>
          <w:rFonts w:ascii="Arial" w:hAnsi="Arial" w:cs="Arial"/>
          <w:noProof/>
          <w:lang w:eastAsia="en-AU"/>
        </w:rPr>
        <w:pict>
          <v:shape id="_x0000_s1067" type="#_x0000_t67" style="position:absolute;margin-left:381.95pt;margin-top:136.1pt;width:7.15pt;height:82.4pt;z-index:251655680">
            <v:textbox style="layout-flow:vertical-ideographic"/>
          </v:shape>
        </w:pict>
      </w:r>
      <w:r>
        <w:rPr>
          <w:rFonts w:ascii="Arial" w:hAnsi="Arial" w:cs="Arial"/>
          <w:noProof/>
          <w:lang w:eastAsia="en-AU"/>
        </w:rPr>
        <w:pict>
          <v:shape id="_x0000_s1062" type="#_x0000_t202" style="position:absolute;margin-left:44.6pt;margin-top:89.1pt;width:144.9pt;height:58.75pt;z-index:251650560;mso-width-relative:margin;mso-height-relative:margin">
            <v:textbox style="mso-next-textbox:#_x0000_s1062">
              <w:txbxContent>
                <w:p w:rsidR="000D1AD5" w:rsidRPr="004961E7" w:rsidRDefault="000D1AD5" w:rsidP="00B245B0">
                  <w:pPr>
                    <w:rPr>
                      <w:rFonts w:ascii="Arial" w:hAnsi="Arial" w:cs="Arial"/>
                      <w:sz w:val="16"/>
                      <w:szCs w:val="16"/>
                    </w:rPr>
                  </w:pPr>
                  <w:r>
                    <w:rPr>
                      <w:rFonts w:ascii="Arial" w:hAnsi="Arial" w:cs="Arial"/>
                      <w:sz w:val="16"/>
                      <w:szCs w:val="16"/>
                    </w:rPr>
                    <w:t>FWC Opinion: Case without sufficient merit – Applicant directed to consider position on whether or not they will be proceeding with the application (7/14 days)</w:t>
                  </w:r>
                </w:p>
                <w:p w:rsidR="000D1AD5" w:rsidRDefault="000D1AD5" w:rsidP="00B245B0">
                  <w:pPr>
                    <w:rPr>
                      <w:rFonts w:ascii="Arial" w:hAnsi="Arial" w:cs="Arial"/>
                    </w:rPr>
                  </w:pPr>
                </w:p>
                <w:p w:rsidR="000D1AD5" w:rsidRPr="00691652" w:rsidRDefault="000D1AD5" w:rsidP="00B245B0">
                  <w:pPr>
                    <w:rPr>
                      <w:rFonts w:ascii="Arial" w:hAnsi="Arial" w:cs="Arial"/>
                    </w:rPr>
                  </w:pPr>
                </w:p>
              </w:txbxContent>
            </v:textbox>
          </v:shape>
        </w:pict>
      </w:r>
      <w:r>
        <w:rPr>
          <w:rFonts w:ascii="Arial" w:hAnsi="Arial" w:cs="Arial"/>
          <w:noProof/>
          <w:lang w:eastAsia="en-AU"/>
        </w:rPr>
        <w:pict>
          <v:shape id="_x0000_s1061" type="#_x0000_t202" style="position:absolute;margin-left:343.15pt;margin-top:221.15pt;width:94.15pt;height:33.6pt;z-index:251649536;mso-width-relative:margin;mso-height-relative:margin">
            <v:textbox style="mso-next-textbox:#_x0000_s1061">
              <w:txbxContent>
                <w:p w:rsidR="000D1AD5" w:rsidRPr="00691652" w:rsidRDefault="000D1AD5" w:rsidP="00B245B0">
                  <w:pPr>
                    <w:rPr>
                      <w:rFonts w:ascii="Arial" w:hAnsi="Arial" w:cs="Arial"/>
                    </w:rPr>
                  </w:pPr>
                  <w:r>
                    <w:rPr>
                      <w:rFonts w:ascii="Arial" w:hAnsi="Arial" w:cs="Arial"/>
                      <w:sz w:val="16"/>
                      <w:szCs w:val="16"/>
                    </w:rPr>
                    <w:t>Arbitration hearing</w:t>
                  </w:r>
                </w:p>
              </w:txbxContent>
            </v:textbox>
          </v:shape>
        </w:pict>
      </w:r>
      <w:r>
        <w:rPr>
          <w:rFonts w:ascii="Arial" w:hAnsi="Arial" w:cs="Arial"/>
          <w:noProof/>
          <w:lang w:eastAsia="en-AU"/>
        </w:rPr>
        <w:pict>
          <v:shape id="_x0000_s1059" type="#_x0000_t202" style="position:absolute;margin-left:340.05pt;margin-top:92.65pt;width:94.15pt;height:40.6pt;z-index:251647488;mso-width-relative:margin;mso-height-relative:margin">
            <v:textbox style="mso-next-textbox:#_x0000_s1059">
              <w:txbxContent>
                <w:p w:rsidR="000D1AD5" w:rsidRPr="004961E7" w:rsidRDefault="000D1AD5" w:rsidP="00B245B0">
                  <w:pPr>
                    <w:rPr>
                      <w:rFonts w:ascii="Arial" w:hAnsi="Arial" w:cs="Arial"/>
                      <w:sz w:val="16"/>
                      <w:szCs w:val="16"/>
                    </w:rPr>
                  </w:pPr>
                  <w:r>
                    <w:rPr>
                      <w:rFonts w:ascii="Arial" w:hAnsi="Arial" w:cs="Arial"/>
                      <w:sz w:val="16"/>
                      <w:szCs w:val="16"/>
                    </w:rPr>
                    <w:t>FWC Opinion: Case not without sufficient merit</w:t>
                  </w:r>
                </w:p>
                <w:p w:rsidR="000D1AD5" w:rsidRDefault="000D1AD5" w:rsidP="00B245B0">
                  <w:pPr>
                    <w:rPr>
                      <w:rFonts w:ascii="Arial" w:hAnsi="Arial" w:cs="Arial"/>
                    </w:rPr>
                  </w:pPr>
                </w:p>
                <w:p w:rsidR="000D1AD5" w:rsidRPr="00691652" w:rsidRDefault="000D1AD5" w:rsidP="00B245B0">
                  <w:pPr>
                    <w:rPr>
                      <w:rFonts w:ascii="Arial" w:hAnsi="Arial" w:cs="Arial"/>
                    </w:rPr>
                  </w:pPr>
                </w:p>
              </w:txbxContent>
            </v:textbox>
          </v:shape>
        </w:pict>
      </w:r>
      <w:r w:rsidR="00B245B0" w:rsidRPr="004F464E">
        <w:rPr>
          <w:rFonts w:ascii="Arial" w:hAnsi="Arial" w:cs="Arial"/>
        </w:rPr>
        <w:br w:type="page"/>
      </w:r>
      <w:r w:rsidR="005D6968" w:rsidRPr="009320A0">
        <w:rPr>
          <w:rFonts w:ascii="Arial" w:hAnsi="Arial" w:cs="Arial"/>
          <w:b/>
          <w:bCs/>
          <w:color w:val="C0504D"/>
          <w:sz w:val="28"/>
          <w:szCs w:val="28"/>
        </w:rPr>
        <w:lastRenderedPageBreak/>
        <w:t xml:space="preserve">PART FIVE </w:t>
      </w:r>
    </w:p>
    <w:p w:rsidR="000215B7" w:rsidRPr="000215B7" w:rsidRDefault="000215B7" w:rsidP="000215B7">
      <w:pPr>
        <w:pBdr>
          <w:bottom w:val="single" w:sz="4" w:space="1" w:color="auto"/>
        </w:pBdr>
        <w:rPr>
          <w:rFonts w:ascii="Arial" w:hAnsi="Arial" w:cs="Arial"/>
          <w:b/>
          <w:bCs/>
          <w:color w:val="C0504D"/>
          <w:sz w:val="28"/>
          <w:szCs w:val="28"/>
        </w:rPr>
      </w:pPr>
      <w:r w:rsidRPr="000215B7">
        <w:rPr>
          <w:rFonts w:ascii="Arial" w:hAnsi="Arial" w:cs="Arial"/>
          <w:b/>
          <w:bCs/>
          <w:color w:val="C0504D"/>
          <w:sz w:val="28"/>
          <w:szCs w:val="28"/>
        </w:rPr>
        <w:t xml:space="preserve">IMPROVED CLARITY IN THE GENERAL PROTECTIONS </w:t>
      </w:r>
      <w:r w:rsidR="00206202">
        <w:rPr>
          <w:rFonts w:ascii="Arial" w:hAnsi="Arial" w:cs="Arial"/>
          <w:b/>
          <w:bCs/>
          <w:color w:val="C0504D"/>
          <w:sz w:val="28"/>
          <w:szCs w:val="28"/>
        </w:rPr>
        <w:t xml:space="preserve">PROVISIONS </w:t>
      </w:r>
      <w:r w:rsidRPr="000215B7">
        <w:rPr>
          <w:rFonts w:ascii="Arial" w:hAnsi="Arial" w:cs="Arial"/>
          <w:b/>
          <w:bCs/>
          <w:color w:val="C0504D"/>
          <w:sz w:val="28"/>
          <w:szCs w:val="28"/>
        </w:rPr>
        <w:t xml:space="preserve">– THE </w:t>
      </w:r>
      <w:r w:rsidR="00D3062E" w:rsidRPr="000215B7">
        <w:rPr>
          <w:rFonts w:ascii="Arial" w:hAnsi="Arial" w:cs="Arial"/>
          <w:b/>
          <w:bCs/>
          <w:color w:val="C0504D"/>
          <w:sz w:val="28"/>
          <w:szCs w:val="28"/>
        </w:rPr>
        <w:t>PROTECTED</w:t>
      </w:r>
      <w:r w:rsidR="00D3062E">
        <w:rPr>
          <w:rFonts w:ascii="Arial" w:hAnsi="Arial" w:cs="Arial"/>
          <w:b/>
          <w:bCs/>
          <w:color w:val="C0504D"/>
          <w:sz w:val="28"/>
          <w:szCs w:val="28"/>
        </w:rPr>
        <w:t xml:space="preserve"> </w:t>
      </w:r>
      <w:r w:rsidR="00D3062E" w:rsidRPr="000215B7">
        <w:rPr>
          <w:rFonts w:ascii="Arial" w:hAnsi="Arial" w:cs="Arial"/>
          <w:b/>
          <w:bCs/>
          <w:color w:val="C0504D"/>
          <w:sz w:val="28"/>
          <w:szCs w:val="28"/>
        </w:rPr>
        <w:t>WORKPLACE</w:t>
      </w:r>
      <w:r w:rsidRPr="000215B7">
        <w:rPr>
          <w:rFonts w:ascii="Arial" w:hAnsi="Arial" w:cs="Arial"/>
          <w:b/>
          <w:bCs/>
          <w:color w:val="C0504D"/>
          <w:sz w:val="28"/>
          <w:szCs w:val="28"/>
        </w:rPr>
        <w:t xml:space="preserve"> RIGHT OF BEING ABLE TO MAKE A ‘COMPLAINT OR INQUIRY’  </w:t>
      </w:r>
    </w:p>
    <w:p w:rsidR="000215B7" w:rsidRPr="000215B7" w:rsidRDefault="000215B7" w:rsidP="000215B7">
      <w:pPr>
        <w:rPr>
          <w:rFonts w:ascii="Arial" w:hAnsi="Arial" w:cs="Arial"/>
          <w:b/>
          <w:bCs/>
          <w:i/>
          <w:color w:val="C0504D"/>
          <w:sz w:val="24"/>
          <w:szCs w:val="24"/>
        </w:rPr>
      </w:pPr>
      <w:r w:rsidRPr="000215B7">
        <w:rPr>
          <w:rFonts w:ascii="Arial" w:hAnsi="Arial" w:cs="Arial"/>
          <w:b/>
          <w:bCs/>
          <w:i/>
          <w:color w:val="C0504D"/>
          <w:sz w:val="24"/>
          <w:szCs w:val="24"/>
        </w:rPr>
        <w:t>Support for the object and purpose of the General Protections</w:t>
      </w:r>
    </w:p>
    <w:p w:rsidR="000215B7" w:rsidRDefault="00206202" w:rsidP="000215B7">
      <w:pPr>
        <w:rPr>
          <w:rFonts w:ascii="Arial" w:hAnsi="Arial" w:cs="Arial"/>
        </w:rPr>
      </w:pPr>
      <w:r>
        <w:rPr>
          <w:rFonts w:ascii="Arial" w:hAnsi="Arial" w:cs="Arial"/>
        </w:rPr>
        <w:t>The ‘general protections’ provisions</w:t>
      </w:r>
      <w:r w:rsidR="000215B7">
        <w:rPr>
          <w:rFonts w:ascii="Arial" w:hAnsi="Arial" w:cs="Arial"/>
        </w:rPr>
        <w:t xml:space="preserve"> contained wi</w:t>
      </w:r>
      <w:r w:rsidR="00057A8C">
        <w:rPr>
          <w:rFonts w:ascii="Arial" w:hAnsi="Arial" w:cs="Arial"/>
        </w:rPr>
        <w:t xml:space="preserve">thin Part 3-1 of the FW Act </w:t>
      </w:r>
      <w:r w:rsidR="000215B7">
        <w:rPr>
          <w:rFonts w:ascii="Arial" w:hAnsi="Arial" w:cs="Arial"/>
        </w:rPr>
        <w:t>provide a range of fundamental workplace protections, including the protection of employees (and other parties including employers and contractors) from suffering victimisation or retribution in the workplace because they have exercised, have proposed to exercise, or have proposed not to exercise, their lawful workplace rights as prescribed in ss 341(1) of the FW Act.</w:t>
      </w:r>
    </w:p>
    <w:p w:rsidR="00460DEA" w:rsidRDefault="000215B7" w:rsidP="000215B7">
      <w:pPr>
        <w:rPr>
          <w:rFonts w:ascii="Arial" w:hAnsi="Arial" w:cs="Arial"/>
        </w:rPr>
      </w:pPr>
      <w:r>
        <w:rPr>
          <w:rFonts w:ascii="Arial" w:hAnsi="Arial" w:cs="Arial"/>
        </w:rPr>
        <w:t xml:space="preserve">The general protections </w:t>
      </w:r>
      <w:r w:rsidR="00206202">
        <w:rPr>
          <w:rFonts w:ascii="Arial" w:hAnsi="Arial" w:cs="Arial"/>
        </w:rPr>
        <w:t>provisions</w:t>
      </w:r>
      <w:r>
        <w:rPr>
          <w:rFonts w:ascii="Arial" w:hAnsi="Arial" w:cs="Arial"/>
        </w:rPr>
        <w:t xml:space="preserve"> play an important role in promoting fair and just workplaces where basic rights are respected. However, </w:t>
      </w:r>
      <w:r w:rsidR="00460DEA">
        <w:rPr>
          <w:rFonts w:ascii="Arial" w:hAnsi="Arial" w:cs="Arial"/>
        </w:rPr>
        <w:t>where the scope of some protections is ambiguous and lacks clarity, it makes it difficult for employees and employers to know when the protection is available and to put safeguards in place to ensure compliance.</w:t>
      </w:r>
    </w:p>
    <w:p w:rsidR="000215B7" w:rsidRPr="00383A9D" w:rsidRDefault="000215B7" w:rsidP="000215B7">
      <w:pPr>
        <w:rPr>
          <w:rFonts w:ascii="Arial" w:hAnsi="Arial" w:cs="Arial"/>
          <w:b/>
          <w:bCs/>
          <w:i/>
          <w:color w:val="C0504D"/>
          <w:sz w:val="24"/>
          <w:szCs w:val="24"/>
        </w:rPr>
      </w:pPr>
      <w:r w:rsidRPr="00383A9D">
        <w:rPr>
          <w:rFonts w:ascii="Arial" w:hAnsi="Arial" w:cs="Arial"/>
          <w:b/>
          <w:bCs/>
          <w:i/>
          <w:color w:val="C0504D"/>
          <w:sz w:val="24"/>
          <w:szCs w:val="24"/>
        </w:rPr>
        <w:t>Lack of clarity about the complaint or inquiry right</w:t>
      </w:r>
    </w:p>
    <w:p w:rsidR="000215B7" w:rsidRDefault="000215B7" w:rsidP="000215B7">
      <w:pPr>
        <w:rPr>
          <w:rFonts w:ascii="Arial" w:hAnsi="Arial" w:cs="Arial"/>
        </w:rPr>
      </w:pPr>
      <w:r>
        <w:rPr>
          <w:rFonts w:ascii="Arial" w:hAnsi="Arial" w:cs="Arial"/>
        </w:rPr>
        <w:t xml:space="preserve">Sub-section </w:t>
      </w:r>
      <w:r w:rsidRPr="00FD69D7">
        <w:rPr>
          <w:rFonts w:ascii="Arial" w:hAnsi="Arial" w:cs="Arial"/>
        </w:rPr>
        <w:t>341(1</w:t>
      </w:r>
      <w:r w:rsidR="00D3062E" w:rsidRPr="00FD69D7">
        <w:rPr>
          <w:rFonts w:ascii="Arial" w:hAnsi="Arial" w:cs="Arial"/>
        </w:rPr>
        <w:t>) (</w:t>
      </w:r>
      <w:r w:rsidRPr="00FD69D7">
        <w:rPr>
          <w:rFonts w:ascii="Arial" w:hAnsi="Arial" w:cs="Arial"/>
        </w:rPr>
        <w:t>c</w:t>
      </w:r>
      <w:r w:rsidR="00D3062E" w:rsidRPr="00FD69D7">
        <w:rPr>
          <w:rFonts w:ascii="Arial" w:hAnsi="Arial" w:cs="Arial"/>
        </w:rPr>
        <w:t>) (</w:t>
      </w:r>
      <w:r w:rsidRPr="00FD69D7">
        <w:rPr>
          <w:rFonts w:ascii="Arial" w:hAnsi="Arial" w:cs="Arial"/>
        </w:rPr>
        <w:t>ii) of the FW Act</w:t>
      </w:r>
      <w:r>
        <w:rPr>
          <w:rFonts w:ascii="Arial" w:hAnsi="Arial" w:cs="Arial"/>
        </w:rPr>
        <w:t xml:space="preserve"> prescribes a protection where an </w:t>
      </w:r>
      <w:r w:rsidRPr="00FD69D7">
        <w:rPr>
          <w:rFonts w:ascii="Arial" w:hAnsi="Arial" w:cs="Arial"/>
        </w:rPr>
        <w:t xml:space="preserve">employee </w:t>
      </w:r>
      <w:r w:rsidRPr="009310CE">
        <w:rPr>
          <w:rFonts w:ascii="Arial" w:hAnsi="Arial" w:cs="Arial"/>
          <w:i/>
        </w:rPr>
        <w:t>“is able to make a complaint or inquiry...</w:t>
      </w:r>
      <w:r>
        <w:rPr>
          <w:rFonts w:ascii="Arial" w:hAnsi="Arial" w:cs="Arial"/>
          <w:i/>
        </w:rPr>
        <w:t>if the person is an employee--</w:t>
      </w:r>
      <w:r w:rsidRPr="009310CE">
        <w:rPr>
          <w:rFonts w:ascii="Arial" w:hAnsi="Arial" w:cs="Arial"/>
          <w:i/>
        </w:rPr>
        <w:t xml:space="preserve">in relation to his </w:t>
      </w:r>
      <w:r>
        <w:rPr>
          <w:rFonts w:ascii="Arial" w:hAnsi="Arial" w:cs="Arial"/>
          <w:i/>
        </w:rPr>
        <w:t>or her employment</w:t>
      </w:r>
      <w:r w:rsidRPr="009310CE">
        <w:rPr>
          <w:rFonts w:ascii="Arial" w:hAnsi="Arial" w:cs="Arial"/>
          <w:i/>
        </w:rPr>
        <w:t>”</w:t>
      </w:r>
      <w:r>
        <w:rPr>
          <w:rFonts w:ascii="Arial" w:hAnsi="Arial" w:cs="Arial"/>
          <w:i/>
        </w:rPr>
        <w:t xml:space="preserve"> </w:t>
      </w:r>
      <w:r w:rsidRPr="00982924">
        <w:rPr>
          <w:rFonts w:ascii="Arial" w:hAnsi="Arial" w:cs="Arial"/>
        </w:rPr>
        <w:t>(“the complaint or inquiry</w:t>
      </w:r>
      <w:r>
        <w:rPr>
          <w:rFonts w:ascii="Arial" w:hAnsi="Arial" w:cs="Arial"/>
        </w:rPr>
        <w:t xml:space="preserve"> right</w:t>
      </w:r>
      <w:r w:rsidRPr="00982924">
        <w:rPr>
          <w:rFonts w:ascii="Arial" w:hAnsi="Arial" w:cs="Arial"/>
        </w:rPr>
        <w:t>”).</w:t>
      </w:r>
    </w:p>
    <w:p w:rsidR="000215B7" w:rsidRDefault="00100429" w:rsidP="000215B7">
      <w:pPr>
        <w:rPr>
          <w:rFonts w:ascii="Arial" w:hAnsi="Arial" w:cs="Arial"/>
        </w:rPr>
      </w:pPr>
      <w:r>
        <w:rPr>
          <w:rFonts w:ascii="Arial" w:hAnsi="Arial" w:cs="Arial"/>
        </w:rPr>
        <w:t xml:space="preserve">However case law indicates there is ambiguity around the application of this provision. </w:t>
      </w:r>
      <w:r w:rsidR="000215B7">
        <w:rPr>
          <w:rFonts w:ascii="Arial" w:hAnsi="Arial" w:cs="Arial"/>
        </w:rPr>
        <w:t xml:space="preserve">In </w:t>
      </w:r>
      <w:r w:rsidR="000215B7" w:rsidRPr="000A5B81">
        <w:rPr>
          <w:rFonts w:ascii="Arial" w:hAnsi="Arial" w:cs="Arial"/>
          <w:i/>
        </w:rPr>
        <w:t>Bartolo v Doutta Galla Aged Services Ltd (No. 2)</w:t>
      </w:r>
      <w:r w:rsidR="00FD58D2">
        <w:rPr>
          <w:rStyle w:val="FootnoteReference"/>
          <w:rFonts w:ascii="Arial" w:hAnsi="Arial" w:cs="Arial"/>
          <w:i/>
        </w:rPr>
        <w:footnoteReference w:id="66"/>
      </w:r>
      <w:r w:rsidR="00FD58D2">
        <w:rPr>
          <w:rFonts w:ascii="Arial" w:hAnsi="Arial" w:cs="Arial"/>
        </w:rPr>
        <w:t>, Whelan J stated</w:t>
      </w:r>
      <w:r w:rsidR="000215B7">
        <w:rPr>
          <w:rFonts w:ascii="Arial" w:hAnsi="Arial" w:cs="Arial"/>
        </w:rPr>
        <w:t>:</w:t>
      </w:r>
    </w:p>
    <w:p w:rsidR="000215B7" w:rsidRPr="001420F7" w:rsidRDefault="000215B7" w:rsidP="000215B7">
      <w:pPr>
        <w:ind w:left="720"/>
        <w:rPr>
          <w:rFonts w:ascii="Arial" w:hAnsi="Arial" w:cs="Arial"/>
          <w:i/>
          <w:sz w:val="20"/>
          <w:szCs w:val="20"/>
        </w:rPr>
      </w:pPr>
      <w:bookmarkStart w:id="1" w:name="Heading469"/>
      <w:bookmarkEnd w:id="1"/>
      <w:r w:rsidRPr="001420F7">
        <w:rPr>
          <w:rFonts w:ascii="Arial" w:hAnsi="Arial" w:cs="Arial"/>
          <w:i/>
          <w:sz w:val="20"/>
          <w:szCs w:val="20"/>
        </w:rPr>
        <w:t>There is little authority on what constitutes a complaint within the meaning of s.341(1)(c) of the Act. Any discussion of the provision appears mainly to have been in the context of s.341(1)(c)(i) of the Act and in relation to the question of to whom a complaint or inquiry could be made in order to attract the provision. Section 341(1)(c)(ii) of the Act is not restricted by any requirement as to whom the complaint or inquiry is made, but only by the requirement that the complaint or inquiry be in relation to the employee’s employment.</w:t>
      </w:r>
      <w:r w:rsidR="00FD58D2">
        <w:rPr>
          <w:rStyle w:val="FootnoteReference"/>
          <w:rFonts w:ascii="Arial" w:hAnsi="Arial" w:cs="Arial"/>
          <w:i/>
          <w:sz w:val="20"/>
          <w:szCs w:val="20"/>
        </w:rPr>
        <w:footnoteReference w:id="67"/>
      </w:r>
    </w:p>
    <w:p w:rsidR="000215B7" w:rsidRDefault="000215B7" w:rsidP="000215B7">
      <w:pPr>
        <w:rPr>
          <w:rFonts w:ascii="Arial" w:hAnsi="Arial" w:cs="Arial"/>
        </w:rPr>
      </w:pPr>
      <w:r>
        <w:rPr>
          <w:rFonts w:ascii="Arial" w:hAnsi="Arial" w:cs="Arial"/>
        </w:rPr>
        <w:t xml:space="preserve">In </w:t>
      </w:r>
      <w:r w:rsidRPr="001420F7">
        <w:rPr>
          <w:rFonts w:ascii="Arial" w:hAnsi="Arial" w:cs="Arial"/>
          <w:i/>
        </w:rPr>
        <w:t>Evans v Trilab Pty Ltd</w:t>
      </w:r>
      <w:r w:rsidR="00F75667">
        <w:rPr>
          <w:rStyle w:val="FootnoteReference"/>
          <w:rFonts w:ascii="Arial" w:hAnsi="Arial" w:cs="Arial"/>
          <w:i/>
        </w:rPr>
        <w:footnoteReference w:id="68"/>
      </w:r>
      <w:r>
        <w:rPr>
          <w:rFonts w:ascii="Arial" w:hAnsi="Arial" w:cs="Arial"/>
        </w:rPr>
        <w:t xml:space="preserve">, Lucev J provided an extensive summary of the authorities concerning the meaning and scope of the complaint or inquiry right, including the meaning of </w:t>
      </w:r>
      <w:r w:rsidRPr="00F564E2">
        <w:rPr>
          <w:rFonts w:ascii="Arial" w:hAnsi="Arial" w:cs="Arial"/>
          <w:i/>
        </w:rPr>
        <w:t>“is able to”</w:t>
      </w:r>
      <w:r>
        <w:rPr>
          <w:rFonts w:ascii="Arial" w:hAnsi="Arial" w:cs="Arial"/>
        </w:rPr>
        <w:t xml:space="preserve"> (see [16]</w:t>
      </w:r>
      <w:r w:rsidR="00F75667">
        <w:rPr>
          <w:rFonts w:ascii="Arial" w:hAnsi="Arial" w:cs="Arial"/>
        </w:rPr>
        <w:t>-[26]</w:t>
      </w:r>
      <w:r>
        <w:rPr>
          <w:rFonts w:ascii="Arial" w:hAnsi="Arial" w:cs="Arial"/>
        </w:rPr>
        <w:t xml:space="preserve">) and </w:t>
      </w:r>
      <w:r w:rsidRPr="00F564E2">
        <w:rPr>
          <w:rFonts w:ascii="Arial" w:hAnsi="Arial" w:cs="Arial"/>
          <w:i/>
        </w:rPr>
        <w:t>“in relation to</w:t>
      </w:r>
      <w:r>
        <w:rPr>
          <w:rFonts w:ascii="Arial" w:hAnsi="Arial" w:cs="Arial"/>
        </w:rPr>
        <w:t>” (</w:t>
      </w:r>
      <w:r w:rsidR="00F75667">
        <w:rPr>
          <w:rFonts w:ascii="Arial" w:hAnsi="Arial" w:cs="Arial"/>
        </w:rPr>
        <w:t>see [2</w:t>
      </w:r>
      <w:r>
        <w:rPr>
          <w:rFonts w:ascii="Arial" w:hAnsi="Arial" w:cs="Arial"/>
        </w:rPr>
        <w:t>7]</w:t>
      </w:r>
      <w:r w:rsidR="00F75667">
        <w:rPr>
          <w:rFonts w:ascii="Arial" w:hAnsi="Arial" w:cs="Arial"/>
        </w:rPr>
        <w:t>-[38]</w:t>
      </w:r>
      <w:r>
        <w:rPr>
          <w:rFonts w:ascii="Arial" w:hAnsi="Arial" w:cs="Arial"/>
        </w:rPr>
        <w:t>) and concluded that there is uncertainty and a divergence in approach in different cases.</w:t>
      </w:r>
      <w:r w:rsidR="00F75667">
        <w:rPr>
          <w:rStyle w:val="FootnoteReference"/>
          <w:rFonts w:ascii="Arial" w:hAnsi="Arial" w:cs="Arial"/>
        </w:rPr>
        <w:footnoteReference w:id="69"/>
      </w:r>
    </w:p>
    <w:p w:rsidR="000215B7" w:rsidRDefault="000215B7" w:rsidP="000215B7">
      <w:pPr>
        <w:rPr>
          <w:rFonts w:ascii="Arial" w:hAnsi="Arial" w:cs="Arial"/>
        </w:rPr>
      </w:pPr>
      <w:r w:rsidRPr="00F564E2">
        <w:rPr>
          <w:rFonts w:ascii="Arial" w:hAnsi="Arial" w:cs="Arial"/>
        </w:rPr>
        <w:t xml:space="preserve">In </w:t>
      </w:r>
      <w:r w:rsidR="00787B91">
        <w:rPr>
          <w:rFonts w:ascii="Arial" w:hAnsi="Arial" w:cs="Arial"/>
        </w:rPr>
        <w:t xml:space="preserve">the </w:t>
      </w:r>
      <w:r w:rsidRPr="00F564E2">
        <w:rPr>
          <w:rFonts w:ascii="Arial" w:hAnsi="Arial" w:cs="Arial"/>
        </w:rPr>
        <w:t>first instance decision in</w:t>
      </w:r>
      <w:r w:rsidRPr="00F564E2">
        <w:rPr>
          <w:rFonts w:ascii="Arial" w:hAnsi="Arial" w:cs="Arial"/>
          <w:i/>
        </w:rPr>
        <w:t xml:space="preserve"> Shea v TRUenergy Services Pty Ltd (No 6)</w:t>
      </w:r>
      <w:r w:rsidR="00D25372">
        <w:rPr>
          <w:rStyle w:val="FootnoteReference"/>
          <w:rFonts w:ascii="Arial" w:hAnsi="Arial" w:cs="Arial"/>
          <w:i/>
        </w:rPr>
        <w:footnoteReference w:id="70"/>
      </w:r>
      <w:r>
        <w:rPr>
          <w:rFonts w:ascii="Arial" w:hAnsi="Arial" w:cs="Arial"/>
        </w:rPr>
        <w:t>, Dodds-Streeton J stated at [599]:</w:t>
      </w:r>
    </w:p>
    <w:p w:rsidR="000215B7" w:rsidRPr="005B6232" w:rsidRDefault="000215B7" w:rsidP="000215B7">
      <w:pPr>
        <w:ind w:left="720"/>
        <w:rPr>
          <w:i/>
        </w:rPr>
      </w:pPr>
      <w:r w:rsidRPr="005702AB">
        <w:rPr>
          <w:rFonts w:ascii="Arial" w:hAnsi="Arial" w:cs="Arial"/>
          <w:i/>
          <w:sz w:val="20"/>
          <w:szCs w:val="20"/>
        </w:rPr>
        <w:t xml:space="preserve">Section 341(1)(c)(ii) has not yet been the subject of extensive judicial consideration. The relatively few decided cases, discussed above, leave unaddressed many significant aspects </w:t>
      </w:r>
      <w:r w:rsidRPr="005702AB">
        <w:rPr>
          <w:rFonts w:ascii="Arial" w:hAnsi="Arial" w:cs="Arial"/>
          <w:i/>
          <w:sz w:val="20"/>
          <w:szCs w:val="20"/>
        </w:rPr>
        <w:lastRenderedPageBreak/>
        <w:t>of the meaning of a complaint that an employee is able to make in relation to his or her employment</w:t>
      </w:r>
      <w:r w:rsidRPr="005702AB">
        <w:rPr>
          <w:i/>
        </w:rPr>
        <w:t>.</w:t>
      </w:r>
    </w:p>
    <w:p w:rsidR="000215B7" w:rsidRDefault="000215B7" w:rsidP="000215B7">
      <w:pPr>
        <w:rPr>
          <w:rFonts w:ascii="Arial" w:hAnsi="Arial" w:cs="Arial"/>
        </w:rPr>
      </w:pPr>
      <w:r>
        <w:rPr>
          <w:rFonts w:ascii="Arial" w:hAnsi="Arial" w:cs="Arial"/>
        </w:rPr>
        <w:t xml:space="preserve">At present, there is no superior appellate authority on the correct interpretation of the complaint or inquiry right. On appeal of the </w:t>
      </w:r>
      <w:r w:rsidRPr="005B6232">
        <w:rPr>
          <w:rFonts w:ascii="Arial" w:hAnsi="Arial" w:cs="Arial"/>
          <w:i/>
        </w:rPr>
        <w:t>Shea</w:t>
      </w:r>
      <w:r>
        <w:rPr>
          <w:rFonts w:ascii="Arial" w:hAnsi="Arial" w:cs="Arial"/>
        </w:rPr>
        <w:t xml:space="preserve"> case, the Full Court of the Federal Court in </w:t>
      </w:r>
      <w:r w:rsidRPr="005C03C9">
        <w:rPr>
          <w:rFonts w:ascii="Arial" w:hAnsi="Arial" w:cs="Arial"/>
          <w:i/>
        </w:rPr>
        <w:t>Shea v EnergyAustralia Services Pty Ltd</w:t>
      </w:r>
      <w:r w:rsidR="000A350A">
        <w:rPr>
          <w:rStyle w:val="FootnoteReference"/>
          <w:rFonts w:ascii="Arial" w:hAnsi="Arial" w:cs="Arial"/>
          <w:i/>
        </w:rPr>
        <w:footnoteReference w:id="71"/>
      </w:r>
      <w:r>
        <w:rPr>
          <w:rFonts w:ascii="Arial" w:hAnsi="Arial" w:cs="Arial"/>
        </w:rPr>
        <w:t xml:space="preserve"> had an opportunity to consider whether the approach of Dodds-Streeton J (discussed in further detail below) was correct. However, the Full Court did not deem it necessary to determine the correct construction of</w:t>
      </w:r>
      <w:r w:rsidR="00BE0D7D">
        <w:rPr>
          <w:rFonts w:ascii="Arial" w:hAnsi="Arial" w:cs="Arial"/>
        </w:rPr>
        <w:t xml:space="preserve"> the complaint or inquiry right</w:t>
      </w:r>
      <w:r>
        <w:rPr>
          <w:rFonts w:ascii="Arial" w:hAnsi="Arial" w:cs="Arial"/>
        </w:rPr>
        <w:t xml:space="preserve"> because it was satisfied that the reasons in that cas</w:t>
      </w:r>
      <w:r w:rsidR="00BE0D7D">
        <w:rPr>
          <w:rFonts w:ascii="Arial" w:hAnsi="Arial" w:cs="Arial"/>
        </w:rPr>
        <w:t>e for taking the adverse action</w:t>
      </w:r>
      <w:r>
        <w:rPr>
          <w:rFonts w:ascii="Arial" w:hAnsi="Arial" w:cs="Arial"/>
        </w:rPr>
        <w:t xml:space="preserve"> did not include the </w:t>
      </w:r>
      <w:r w:rsidR="00787B91">
        <w:rPr>
          <w:rFonts w:ascii="Arial" w:hAnsi="Arial" w:cs="Arial"/>
        </w:rPr>
        <w:t>a</w:t>
      </w:r>
      <w:r>
        <w:rPr>
          <w:rFonts w:ascii="Arial" w:hAnsi="Arial" w:cs="Arial"/>
        </w:rPr>
        <w:t xml:space="preserve">ppellant exercising any alleged workplace rights: </w:t>
      </w:r>
    </w:p>
    <w:p w:rsidR="000215B7" w:rsidRDefault="000215B7" w:rsidP="000215B7">
      <w:pPr>
        <w:numPr>
          <w:ilvl w:val="0"/>
          <w:numId w:val="37"/>
        </w:numPr>
        <w:tabs>
          <w:tab w:val="clear" w:pos="720"/>
          <w:tab w:val="num" w:pos="1134"/>
        </w:tabs>
        <w:spacing w:after="0" w:line="240" w:lineRule="auto"/>
        <w:ind w:left="1134" w:hanging="414"/>
        <w:rPr>
          <w:rFonts w:ascii="Arial" w:eastAsia="Times New Roman" w:hAnsi="Arial" w:cs="Arial"/>
          <w:i/>
          <w:color w:val="000000"/>
          <w:sz w:val="20"/>
          <w:szCs w:val="20"/>
          <w:lang w:eastAsia="en-AU"/>
        </w:rPr>
      </w:pPr>
      <w:r w:rsidRPr="00FA541D">
        <w:rPr>
          <w:rFonts w:ascii="Arial" w:eastAsia="Times New Roman" w:hAnsi="Arial" w:cs="Arial"/>
          <w:i/>
          <w:color w:val="000000"/>
          <w:sz w:val="20"/>
          <w:szCs w:val="20"/>
          <w:lang w:eastAsia="en-AU"/>
        </w:rPr>
        <w:t xml:space="preserve">Notwithstanding the fundamental importance of </w:t>
      </w:r>
      <w:hyperlink r:id="rId13" w:history="1">
        <w:r w:rsidRPr="00FA541D">
          <w:rPr>
            <w:rFonts w:ascii="Arial" w:eastAsia="Times New Roman" w:hAnsi="Arial" w:cs="Arial"/>
            <w:i/>
            <w:color w:val="000000"/>
            <w:sz w:val="20"/>
            <w:szCs w:val="20"/>
            <w:lang w:eastAsia="en-AU"/>
          </w:rPr>
          <w:t>ss 340</w:t>
        </w:r>
      </w:hyperlink>
      <w:r w:rsidRPr="00FA541D">
        <w:rPr>
          <w:rFonts w:ascii="Arial" w:eastAsia="Times New Roman" w:hAnsi="Arial" w:cs="Arial"/>
          <w:i/>
          <w:color w:val="000000"/>
          <w:sz w:val="20"/>
          <w:szCs w:val="20"/>
          <w:lang w:eastAsia="en-AU"/>
        </w:rPr>
        <w:t xml:space="preserve"> and </w:t>
      </w:r>
      <w:hyperlink r:id="rId14" w:history="1">
        <w:r w:rsidRPr="00FA541D">
          <w:rPr>
            <w:rFonts w:ascii="Arial" w:eastAsia="Times New Roman" w:hAnsi="Arial" w:cs="Arial"/>
            <w:i/>
            <w:color w:val="000000"/>
            <w:sz w:val="20"/>
            <w:szCs w:val="20"/>
            <w:lang w:eastAsia="en-AU"/>
          </w:rPr>
          <w:t>341</w:t>
        </w:r>
      </w:hyperlink>
      <w:r w:rsidRPr="00FA541D">
        <w:rPr>
          <w:rFonts w:ascii="Arial" w:eastAsia="Times New Roman" w:hAnsi="Arial" w:cs="Arial"/>
          <w:i/>
          <w:color w:val="000000"/>
          <w:sz w:val="20"/>
          <w:szCs w:val="20"/>
          <w:lang w:eastAsia="en-AU"/>
        </w:rPr>
        <w:t xml:space="preserve"> to the scheme of protection established by the </w:t>
      </w:r>
      <w:hyperlink r:id="rId15" w:history="1">
        <w:r w:rsidRPr="00FA541D">
          <w:rPr>
            <w:rFonts w:ascii="Arial" w:eastAsia="Times New Roman" w:hAnsi="Arial" w:cs="Arial"/>
            <w:i/>
            <w:iCs/>
            <w:color w:val="000000"/>
            <w:sz w:val="20"/>
            <w:szCs w:val="20"/>
            <w:lang w:eastAsia="en-AU"/>
          </w:rPr>
          <w:t>Fair Work Act</w:t>
        </w:r>
      </w:hyperlink>
      <w:r w:rsidRPr="00FA541D">
        <w:rPr>
          <w:rFonts w:ascii="Arial" w:eastAsia="Times New Roman" w:hAnsi="Arial" w:cs="Arial"/>
          <w:i/>
          <w:color w:val="000000"/>
          <w:sz w:val="20"/>
          <w:szCs w:val="20"/>
          <w:lang w:eastAsia="en-AU"/>
        </w:rPr>
        <w:t xml:space="preserve">, questions regarding their construction and application do not need to be now resolved. These fundamental questions of statutory construction have, to date, received limited judicial attention: eg. </w:t>
      </w:r>
      <w:r w:rsidRPr="00FA541D">
        <w:rPr>
          <w:rFonts w:ascii="Arial" w:eastAsia="Times New Roman" w:hAnsi="Arial" w:cs="Arial"/>
          <w:i/>
          <w:iCs/>
          <w:color w:val="000000"/>
          <w:sz w:val="20"/>
          <w:szCs w:val="20"/>
          <w:lang w:eastAsia="en-AU"/>
        </w:rPr>
        <w:t xml:space="preserve">Jones v Queensland Tertiary Admissions Centre Ltd (No 2) </w:t>
      </w:r>
      <w:hyperlink r:id="rId16" w:tooltip="View Case" w:history="1">
        <w:r w:rsidRPr="00FA541D">
          <w:rPr>
            <w:rFonts w:ascii="Arial" w:eastAsia="Times New Roman" w:hAnsi="Arial" w:cs="Arial"/>
            <w:i/>
            <w:color w:val="000000"/>
            <w:sz w:val="20"/>
            <w:szCs w:val="20"/>
            <w:lang w:eastAsia="en-AU"/>
          </w:rPr>
          <w:t>[2010] FCA 399</w:t>
        </w:r>
      </w:hyperlink>
      <w:r w:rsidRPr="00FA541D">
        <w:rPr>
          <w:rFonts w:ascii="Arial" w:eastAsia="Times New Roman" w:hAnsi="Arial" w:cs="Arial"/>
          <w:i/>
          <w:color w:val="000000"/>
          <w:sz w:val="20"/>
          <w:szCs w:val="20"/>
          <w:lang w:eastAsia="en-AU"/>
        </w:rPr>
        <w:t xml:space="preserve">, </w:t>
      </w:r>
      <w:hyperlink r:id="rId17" w:tooltip="View LawCiteRecord" w:history="1">
        <w:r w:rsidRPr="00FA541D">
          <w:rPr>
            <w:rFonts w:ascii="Arial" w:eastAsia="Times New Roman" w:hAnsi="Arial" w:cs="Arial"/>
            <w:i/>
            <w:color w:val="000000"/>
            <w:sz w:val="20"/>
            <w:szCs w:val="20"/>
            <w:lang w:eastAsia="en-AU"/>
          </w:rPr>
          <w:t>(2010) 186 FCR 22</w:t>
        </w:r>
      </w:hyperlink>
      <w:r w:rsidRPr="00FA541D">
        <w:rPr>
          <w:rFonts w:ascii="Arial" w:eastAsia="Times New Roman" w:hAnsi="Arial" w:cs="Arial"/>
          <w:i/>
          <w:color w:val="000000"/>
          <w:sz w:val="20"/>
          <w:szCs w:val="20"/>
          <w:lang w:eastAsia="en-AU"/>
        </w:rPr>
        <w:t xml:space="preserve"> at </w:t>
      </w:r>
      <w:hyperlink r:id="rId18" w:anchor="para55" w:history="1">
        <w:r w:rsidRPr="00FA541D">
          <w:rPr>
            <w:rFonts w:ascii="Arial" w:eastAsia="Times New Roman" w:hAnsi="Arial" w:cs="Arial"/>
            <w:i/>
            <w:color w:val="000000"/>
            <w:sz w:val="20"/>
            <w:szCs w:val="20"/>
            <w:lang w:eastAsia="en-AU"/>
          </w:rPr>
          <w:t>[55]</w:t>
        </w:r>
      </w:hyperlink>
      <w:r w:rsidRPr="00FA541D">
        <w:rPr>
          <w:rFonts w:ascii="Arial" w:eastAsia="Times New Roman" w:hAnsi="Arial" w:cs="Arial"/>
          <w:i/>
          <w:color w:val="000000"/>
          <w:sz w:val="20"/>
          <w:szCs w:val="20"/>
          <w:lang w:eastAsia="en-AU"/>
        </w:rPr>
        <w:t>–[57], [84] per Collier J. Indeed, it was contended by both parties on appeal that the ambit of the term “</w:t>
      </w:r>
      <w:r w:rsidRPr="00FA541D">
        <w:rPr>
          <w:rFonts w:ascii="Arial" w:eastAsia="Times New Roman" w:hAnsi="Arial" w:cs="Arial"/>
          <w:i/>
          <w:iCs/>
          <w:color w:val="000000"/>
          <w:sz w:val="20"/>
          <w:szCs w:val="20"/>
          <w:lang w:eastAsia="en-AU"/>
        </w:rPr>
        <w:t>complaint</w:t>
      </w:r>
      <w:r w:rsidRPr="00FA541D">
        <w:rPr>
          <w:rFonts w:ascii="Arial" w:eastAsia="Times New Roman" w:hAnsi="Arial" w:cs="Arial"/>
          <w:i/>
          <w:color w:val="000000"/>
          <w:sz w:val="20"/>
          <w:szCs w:val="20"/>
          <w:lang w:eastAsia="en-AU"/>
        </w:rPr>
        <w:t xml:space="preserve">” (as employed in the </w:t>
      </w:r>
      <w:hyperlink r:id="rId19" w:history="1">
        <w:r w:rsidRPr="00FA541D">
          <w:rPr>
            <w:rFonts w:ascii="Arial" w:eastAsia="Times New Roman" w:hAnsi="Arial" w:cs="Arial"/>
            <w:i/>
            <w:iCs/>
            <w:color w:val="000000"/>
            <w:sz w:val="20"/>
            <w:szCs w:val="20"/>
            <w:lang w:eastAsia="en-AU"/>
          </w:rPr>
          <w:t>Fair Work Act</w:t>
        </w:r>
      </w:hyperlink>
      <w:r w:rsidRPr="00FA541D">
        <w:rPr>
          <w:rFonts w:ascii="Arial" w:eastAsia="Times New Roman" w:hAnsi="Arial" w:cs="Arial"/>
          <w:i/>
          <w:color w:val="000000"/>
          <w:sz w:val="20"/>
          <w:szCs w:val="20"/>
          <w:lang w:eastAsia="en-AU"/>
        </w:rPr>
        <w:t>) had not been previously considered.</w:t>
      </w:r>
      <w:r w:rsidR="000A350A">
        <w:rPr>
          <w:rStyle w:val="FootnoteReference"/>
          <w:rFonts w:ascii="Arial" w:eastAsia="Times New Roman" w:hAnsi="Arial" w:cs="Arial"/>
          <w:i/>
          <w:color w:val="000000"/>
          <w:sz w:val="20"/>
          <w:szCs w:val="20"/>
          <w:lang w:eastAsia="en-AU"/>
        </w:rPr>
        <w:footnoteReference w:id="72"/>
      </w:r>
      <w:r w:rsidRPr="00FA541D">
        <w:rPr>
          <w:rFonts w:ascii="Arial" w:eastAsia="Times New Roman" w:hAnsi="Arial" w:cs="Arial"/>
          <w:i/>
          <w:color w:val="000000"/>
          <w:sz w:val="20"/>
          <w:szCs w:val="20"/>
          <w:lang w:eastAsia="en-AU"/>
        </w:rPr>
        <w:t xml:space="preserve"> </w:t>
      </w:r>
    </w:p>
    <w:p w:rsidR="000215B7" w:rsidRPr="00FA541D" w:rsidRDefault="000215B7" w:rsidP="000215B7">
      <w:pPr>
        <w:spacing w:after="0" w:line="240" w:lineRule="auto"/>
        <w:ind w:left="1134" w:hanging="425"/>
        <w:rPr>
          <w:rFonts w:ascii="Arial" w:eastAsia="Times New Roman" w:hAnsi="Arial" w:cs="Arial"/>
          <w:i/>
          <w:color w:val="000000"/>
          <w:sz w:val="20"/>
          <w:szCs w:val="20"/>
          <w:lang w:eastAsia="en-AU"/>
        </w:rPr>
      </w:pPr>
    </w:p>
    <w:p w:rsidR="000215B7" w:rsidRDefault="000215B7" w:rsidP="000215B7">
      <w:pPr>
        <w:numPr>
          <w:ilvl w:val="1"/>
          <w:numId w:val="37"/>
        </w:numPr>
        <w:spacing w:after="0" w:line="240" w:lineRule="auto"/>
        <w:ind w:left="1134" w:hanging="425"/>
        <w:rPr>
          <w:rFonts w:ascii="Arial" w:eastAsia="Times New Roman" w:hAnsi="Arial" w:cs="Arial"/>
          <w:i/>
          <w:color w:val="000000"/>
          <w:sz w:val="20"/>
          <w:szCs w:val="20"/>
          <w:lang w:eastAsia="en-AU"/>
        </w:rPr>
      </w:pPr>
      <w:r w:rsidRPr="00FA541D">
        <w:rPr>
          <w:rFonts w:ascii="Arial" w:eastAsia="Times New Roman" w:hAnsi="Arial" w:cs="Arial"/>
          <w:i/>
          <w:color w:val="000000"/>
          <w:sz w:val="20"/>
          <w:szCs w:val="20"/>
          <w:lang w:eastAsia="en-AU"/>
        </w:rPr>
        <w:t xml:space="preserve">For the reasons below, </w:t>
      </w:r>
      <w:r w:rsidRPr="004B06FD">
        <w:rPr>
          <w:rFonts w:ascii="Arial" w:eastAsia="Times New Roman" w:hAnsi="Arial" w:cs="Arial"/>
          <w:i/>
          <w:color w:val="000000"/>
          <w:sz w:val="20"/>
          <w:szCs w:val="20"/>
          <w:lang w:eastAsia="en-AU"/>
        </w:rPr>
        <w:t xml:space="preserve">Ms </w:t>
      </w:r>
      <w:r w:rsidRPr="004B06FD">
        <w:rPr>
          <w:rFonts w:ascii="Arial" w:eastAsia="Times New Roman" w:hAnsi="Arial" w:cs="Arial"/>
          <w:bCs/>
          <w:i/>
          <w:color w:val="000000"/>
          <w:sz w:val="20"/>
          <w:szCs w:val="20"/>
          <w:lang w:eastAsia="en-AU"/>
        </w:rPr>
        <w:t>Shea </w:t>
      </w:r>
      <w:r w:rsidRPr="004B06FD">
        <w:rPr>
          <w:rFonts w:ascii="Arial" w:eastAsia="Times New Roman" w:hAnsi="Arial" w:cs="Arial"/>
          <w:i/>
          <w:color w:val="000000"/>
          <w:sz w:val="20"/>
          <w:szCs w:val="20"/>
          <w:lang w:eastAsia="en-AU"/>
        </w:rPr>
        <w:t>failed</w:t>
      </w:r>
      <w:r w:rsidRPr="00FA541D">
        <w:rPr>
          <w:rFonts w:ascii="Arial" w:eastAsia="Times New Roman" w:hAnsi="Arial" w:cs="Arial"/>
          <w:i/>
          <w:color w:val="000000"/>
          <w:sz w:val="20"/>
          <w:szCs w:val="20"/>
          <w:lang w:eastAsia="en-AU"/>
        </w:rPr>
        <w:t xml:space="preserve"> to demonstrate that her Honour erred in finding that none of her alleged complaints were a substantial and operative factor in EnergyAustralia’s decision to make her position redundant. Accordingly, it is not necessary to decide whether her Honour was correct to find that a complainant has to hold a genuine belief in the matter of the subject of complaint for the purposes of </w:t>
      </w:r>
      <w:hyperlink r:id="rId20" w:history="1">
        <w:r w:rsidRPr="00FA541D">
          <w:rPr>
            <w:rFonts w:ascii="Arial" w:eastAsia="Times New Roman" w:hAnsi="Arial" w:cs="Arial"/>
            <w:i/>
            <w:color w:val="000000"/>
            <w:sz w:val="20"/>
            <w:szCs w:val="20"/>
            <w:lang w:eastAsia="en-AU"/>
          </w:rPr>
          <w:t>ss 340</w:t>
        </w:r>
      </w:hyperlink>
      <w:r w:rsidRPr="00FA541D">
        <w:rPr>
          <w:rFonts w:ascii="Arial" w:eastAsia="Times New Roman" w:hAnsi="Arial" w:cs="Arial"/>
          <w:i/>
          <w:color w:val="000000"/>
          <w:sz w:val="20"/>
          <w:szCs w:val="20"/>
          <w:lang w:eastAsia="en-AU"/>
        </w:rPr>
        <w:t xml:space="preserve"> and </w:t>
      </w:r>
      <w:hyperlink r:id="rId21" w:history="1">
        <w:r w:rsidRPr="00FA541D">
          <w:rPr>
            <w:rFonts w:ascii="Arial" w:eastAsia="Times New Roman" w:hAnsi="Arial" w:cs="Arial"/>
            <w:i/>
            <w:color w:val="000000"/>
            <w:sz w:val="20"/>
            <w:szCs w:val="20"/>
            <w:lang w:eastAsia="en-AU"/>
          </w:rPr>
          <w:t>341</w:t>
        </w:r>
      </w:hyperlink>
      <w:r>
        <w:rPr>
          <w:rFonts w:ascii="Arial" w:eastAsia="Times New Roman" w:hAnsi="Arial" w:cs="Arial"/>
          <w:color w:val="000000"/>
          <w:sz w:val="20"/>
          <w:szCs w:val="20"/>
          <w:lang w:eastAsia="en-AU"/>
        </w:rPr>
        <w:t>.</w:t>
      </w:r>
      <w:r w:rsidR="000A350A">
        <w:rPr>
          <w:rStyle w:val="FootnoteReference"/>
          <w:rFonts w:ascii="Arial" w:eastAsia="Times New Roman" w:hAnsi="Arial" w:cs="Arial"/>
          <w:color w:val="000000"/>
          <w:sz w:val="20"/>
          <w:szCs w:val="20"/>
          <w:lang w:eastAsia="en-AU"/>
        </w:rPr>
        <w:footnoteReference w:id="73"/>
      </w:r>
    </w:p>
    <w:p w:rsidR="000215B7" w:rsidRPr="00FA541D" w:rsidRDefault="000215B7" w:rsidP="000215B7">
      <w:pPr>
        <w:spacing w:after="0" w:line="240" w:lineRule="auto"/>
        <w:ind w:left="1134"/>
        <w:rPr>
          <w:rFonts w:ascii="Arial" w:eastAsia="Times New Roman" w:hAnsi="Arial" w:cs="Arial"/>
          <w:i/>
          <w:color w:val="000000"/>
          <w:sz w:val="20"/>
          <w:szCs w:val="20"/>
          <w:lang w:eastAsia="en-AU"/>
        </w:rPr>
      </w:pPr>
    </w:p>
    <w:p w:rsidR="000215B7" w:rsidRPr="00383A9D" w:rsidRDefault="00BE0D7D" w:rsidP="000215B7">
      <w:pPr>
        <w:rPr>
          <w:rFonts w:ascii="Arial" w:hAnsi="Arial" w:cs="Arial"/>
          <w:b/>
          <w:bCs/>
          <w:i/>
          <w:color w:val="C0504D"/>
          <w:sz w:val="24"/>
          <w:szCs w:val="24"/>
        </w:rPr>
      </w:pPr>
      <w:r>
        <w:rPr>
          <w:rFonts w:ascii="Arial" w:hAnsi="Arial" w:cs="Arial"/>
          <w:b/>
          <w:bCs/>
          <w:i/>
          <w:color w:val="C0504D"/>
          <w:sz w:val="24"/>
          <w:szCs w:val="24"/>
        </w:rPr>
        <w:t>Specific areas of ambiguity / uncertainty</w:t>
      </w:r>
    </w:p>
    <w:p w:rsidR="000215B7" w:rsidRDefault="000215B7" w:rsidP="000215B7">
      <w:pPr>
        <w:rPr>
          <w:rFonts w:ascii="Arial" w:hAnsi="Arial" w:cs="Arial"/>
        </w:rPr>
      </w:pPr>
      <w:r>
        <w:rPr>
          <w:rFonts w:ascii="Arial" w:hAnsi="Arial" w:cs="Arial"/>
        </w:rPr>
        <w:t>The</w:t>
      </w:r>
      <w:r w:rsidR="00BE0D7D">
        <w:rPr>
          <w:rFonts w:ascii="Arial" w:hAnsi="Arial" w:cs="Arial"/>
        </w:rPr>
        <w:t xml:space="preserve"> areas of </w:t>
      </w:r>
      <w:r>
        <w:rPr>
          <w:rFonts w:ascii="Arial" w:hAnsi="Arial" w:cs="Arial"/>
        </w:rPr>
        <w:t xml:space="preserve">ambiguity and uncertainty </w:t>
      </w:r>
      <w:r w:rsidR="00BE0D7D">
        <w:rPr>
          <w:rFonts w:ascii="Arial" w:hAnsi="Arial" w:cs="Arial"/>
        </w:rPr>
        <w:t xml:space="preserve">around the complaint or inquiry right </w:t>
      </w:r>
      <w:r>
        <w:rPr>
          <w:rFonts w:ascii="Arial" w:hAnsi="Arial" w:cs="Arial"/>
        </w:rPr>
        <w:t xml:space="preserve">are listed below, </w:t>
      </w:r>
      <w:r w:rsidR="00BE0D7D">
        <w:rPr>
          <w:rFonts w:ascii="Arial" w:hAnsi="Arial" w:cs="Arial"/>
        </w:rPr>
        <w:t xml:space="preserve">and are also discussed separately in more detail in this </w:t>
      </w:r>
      <w:r>
        <w:rPr>
          <w:rFonts w:ascii="Arial" w:hAnsi="Arial" w:cs="Arial"/>
        </w:rPr>
        <w:t>Part:</w:t>
      </w:r>
    </w:p>
    <w:p w:rsidR="000215B7" w:rsidRDefault="000215B7" w:rsidP="000215B7">
      <w:pPr>
        <w:pStyle w:val="ListParagraph"/>
        <w:numPr>
          <w:ilvl w:val="0"/>
          <w:numId w:val="35"/>
        </w:numPr>
        <w:rPr>
          <w:rFonts w:ascii="Arial" w:hAnsi="Arial" w:cs="Arial"/>
        </w:rPr>
      </w:pPr>
      <w:r w:rsidRPr="00B06329">
        <w:rPr>
          <w:rFonts w:ascii="Arial" w:hAnsi="Arial" w:cs="Arial"/>
        </w:rPr>
        <w:t>Whether an employee making a complaint needs to hold a genuine belief in its merits in order for the complaint or inquiry to fall within the</w:t>
      </w:r>
      <w:r w:rsidR="00F17F2B">
        <w:rPr>
          <w:rFonts w:ascii="Arial" w:hAnsi="Arial" w:cs="Arial"/>
        </w:rPr>
        <w:t xml:space="preserve"> definition in s 341(1)(c)(ii) of the FW Act.</w:t>
      </w:r>
    </w:p>
    <w:p w:rsidR="00B06329" w:rsidRPr="00B06329" w:rsidRDefault="00B06329" w:rsidP="00B06329">
      <w:pPr>
        <w:pStyle w:val="ListParagraph"/>
        <w:rPr>
          <w:rFonts w:ascii="Arial" w:hAnsi="Arial" w:cs="Arial"/>
        </w:rPr>
      </w:pPr>
    </w:p>
    <w:p w:rsidR="000215B7" w:rsidRDefault="000215B7" w:rsidP="000215B7">
      <w:pPr>
        <w:pStyle w:val="ListParagraph"/>
        <w:numPr>
          <w:ilvl w:val="0"/>
          <w:numId w:val="35"/>
        </w:numPr>
        <w:rPr>
          <w:rFonts w:ascii="Arial" w:hAnsi="Arial" w:cs="Arial"/>
        </w:rPr>
      </w:pPr>
      <w:r w:rsidRPr="000F3134">
        <w:rPr>
          <w:rFonts w:ascii="Arial" w:hAnsi="Arial" w:cs="Arial"/>
          <w:i/>
        </w:rPr>
        <w:t>“Complaint or inquiry”</w:t>
      </w:r>
      <w:r w:rsidR="002329DE">
        <w:rPr>
          <w:rFonts w:ascii="Arial" w:hAnsi="Arial" w:cs="Arial"/>
        </w:rPr>
        <w:t xml:space="preserve"> is not defined in the FW Act or in </w:t>
      </w:r>
      <w:r>
        <w:rPr>
          <w:rFonts w:ascii="Arial" w:hAnsi="Arial" w:cs="Arial"/>
        </w:rPr>
        <w:t xml:space="preserve">the </w:t>
      </w:r>
      <w:r w:rsidRPr="00FE7D20">
        <w:rPr>
          <w:rFonts w:ascii="Arial" w:hAnsi="Arial" w:cs="Arial"/>
          <w:i/>
        </w:rPr>
        <w:t>Fair Work Regulations 2009</w:t>
      </w:r>
      <w:r>
        <w:rPr>
          <w:rFonts w:ascii="Arial" w:hAnsi="Arial" w:cs="Arial"/>
        </w:rPr>
        <w:t xml:space="preserve">, nor is it comprehensively analysed in the Explanatory Memorandum to the </w:t>
      </w:r>
      <w:r w:rsidRPr="000F3134">
        <w:rPr>
          <w:rFonts w:ascii="Arial" w:hAnsi="Arial" w:cs="Arial"/>
          <w:i/>
        </w:rPr>
        <w:t>Fair Work Bill 2009</w:t>
      </w:r>
      <w:r>
        <w:rPr>
          <w:rFonts w:ascii="Arial" w:hAnsi="Arial" w:cs="Arial"/>
        </w:rPr>
        <w:t>. As a consequence:</w:t>
      </w:r>
    </w:p>
    <w:p w:rsidR="000215B7" w:rsidRPr="005B0065" w:rsidRDefault="000215B7" w:rsidP="000215B7">
      <w:pPr>
        <w:pStyle w:val="ListParagraph"/>
        <w:ind w:left="0"/>
        <w:rPr>
          <w:rFonts w:ascii="Arial" w:hAnsi="Arial" w:cs="Arial"/>
        </w:rPr>
      </w:pPr>
    </w:p>
    <w:p w:rsidR="000215B7" w:rsidRDefault="000215B7" w:rsidP="000215B7">
      <w:pPr>
        <w:pStyle w:val="ListParagraph"/>
        <w:numPr>
          <w:ilvl w:val="0"/>
          <w:numId w:val="36"/>
        </w:numPr>
        <w:rPr>
          <w:rFonts w:ascii="Arial" w:hAnsi="Arial" w:cs="Arial"/>
        </w:rPr>
      </w:pPr>
      <w:r>
        <w:rPr>
          <w:rFonts w:ascii="Arial" w:hAnsi="Arial" w:cs="Arial"/>
        </w:rPr>
        <w:t>There is no test or qualification regarding the substance or content of a co</w:t>
      </w:r>
      <w:r w:rsidR="00787B91">
        <w:rPr>
          <w:rFonts w:ascii="Arial" w:hAnsi="Arial" w:cs="Arial"/>
        </w:rPr>
        <w:t>mplaint for it to constitute a ‘</w:t>
      </w:r>
      <w:r>
        <w:rPr>
          <w:rFonts w:ascii="Arial" w:hAnsi="Arial" w:cs="Arial"/>
        </w:rPr>
        <w:t>complaint</w:t>
      </w:r>
      <w:r w:rsidR="00787B91">
        <w:rPr>
          <w:rFonts w:ascii="Arial" w:hAnsi="Arial" w:cs="Arial"/>
        </w:rPr>
        <w:t>’</w:t>
      </w:r>
      <w:r>
        <w:rPr>
          <w:rFonts w:ascii="Arial" w:hAnsi="Arial" w:cs="Arial"/>
        </w:rPr>
        <w:t xml:space="preserve"> within the meaning of the FW Act. This is referred to below as </w:t>
      </w:r>
      <w:r w:rsidRPr="005B0065">
        <w:rPr>
          <w:rFonts w:ascii="Arial" w:hAnsi="Arial" w:cs="Arial"/>
        </w:rPr>
        <w:t xml:space="preserve">the </w:t>
      </w:r>
      <w:r w:rsidR="00787B91">
        <w:rPr>
          <w:rFonts w:ascii="Arial" w:hAnsi="Arial" w:cs="Arial"/>
        </w:rPr>
        <w:t>‘</w:t>
      </w:r>
      <w:r w:rsidRPr="005B0065">
        <w:rPr>
          <w:rFonts w:ascii="Arial" w:hAnsi="Arial" w:cs="Arial"/>
        </w:rPr>
        <w:t>lack of a substance test</w:t>
      </w:r>
      <w:r w:rsidR="00787B91">
        <w:rPr>
          <w:rFonts w:ascii="Arial" w:hAnsi="Arial" w:cs="Arial"/>
        </w:rPr>
        <w:t>’</w:t>
      </w:r>
      <w:r w:rsidRPr="005B0065">
        <w:rPr>
          <w:rFonts w:ascii="Arial" w:hAnsi="Arial" w:cs="Arial"/>
        </w:rPr>
        <w:t>;</w:t>
      </w:r>
      <w:r>
        <w:rPr>
          <w:rFonts w:ascii="Arial" w:hAnsi="Arial" w:cs="Arial"/>
        </w:rPr>
        <w:t xml:space="preserve"> </w:t>
      </w:r>
    </w:p>
    <w:p w:rsidR="000215B7" w:rsidRDefault="000215B7" w:rsidP="000215B7">
      <w:pPr>
        <w:pStyle w:val="ListParagraph"/>
        <w:ind w:left="1080"/>
        <w:rPr>
          <w:rFonts w:ascii="Arial" w:hAnsi="Arial" w:cs="Arial"/>
        </w:rPr>
      </w:pPr>
    </w:p>
    <w:p w:rsidR="000215B7" w:rsidRPr="005B0065" w:rsidRDefault="00180356" w:rsidP="000215B7">
      <w:pPr>
        <w:pStyle w:val="ListParagraph"/>
        <w:numPr>
          <w:ilvl w:val="0"/>
          <w:numId w:val="36"/>
        </w:numPr>
        <w:rPr>
          <w:rFonts w:ascii="Arial" w:hAnsi="Arial" w:cs="Arial"/>
        </w:rPr>
      </w:pPr>
      <w:r>
        <w:rPr>
          <w:rFonts w:ascii="Arial" w:hAnsi="Arial" w:cs="Arial"/>
        </w:rPr>
        <w:t xml:space="preserve">The FW Act does not define how the complaint or inquiry right must be exercised. </w:t>
      </w:r>
      <w:r w:rsidR="000215B7">
        <w:rPr>
          <w:rFonts w:ascii="Arial" w:hAnsi="Arial" w:cs="Arial"/>
        </w:rPr>
        <w:t xml:space="preserve">Consequently, there is a lack of clarity as to whether the complaint needs to be properly communicated to the employer, or for the employee to demonstrate that they reasonably intended for the employer to take significant steps in response to it. In other words, there is uncertainty as to whether a complainant needs to </w:t>
      </w:r>
      <w:r w:rsidR="000215B7">
        <w:rPr>
          <w:rFonts w:ascii="Arial" w:hAnsi="Arial" w:cs="Arial"/>
        </w:rPr>
        <w:lastRenderedPageBreak/>
        <w:t xml:space="preserve">reasonably put the employer on notice that they have actually exercised the right to make a complaint. This is referred to below as </w:t>
      </w:r>
      <w:r w:rsidR="000215B7" w:rsidRPr="005B0065">
        <w:rPr>
          <w:rFonts w:ascii="Arial" w:hAnsi="Arial" w:cs="Arial"/>
        </w:rPr>
        <w:t xml:space="preserve">the </w:t>
      </w:r>
      <w:r w:rsidR="00997EE3">
        <w:rPr>
          <w:rFonts w:ascii="Arial" w:hAnsi="Arial" w:cs="Arial"/>
        </w:rPr>
        <w:t>‘</w:t>
      </w:r>
      <w:r w:rsidR="000215B7" w:rsidRPr="005B0065">
        <w:rPr>
          <w:rFonts w:ascii="Arial" w:hAnsi="Arial" w:cs="Arial"/>
        </w:rPr>
        <w:t>lack of a requirement to properly communicate the complaint</w:t>
      </w:r>
      <w:r w:rsidR="00997EE3">
        <w:rPr>
          <w:rFonts w:ascii="Arial" w:hAnsi="Arial" w:cs="Arial"/>
        </w:rPr>
        <w:t>’</w:t>
      </w:r>
      <w:r w:rsidR="000215B7" w:rsidRPr="005B0065">
        <w:rPr>
          <w:rFonts w:ascii="Arial" w:hAnsi="Arial" w:cs="Arial"/>
        </w:rPr>
        <w:t>.</w:t>
      </w:r>
    </w:p>
    <w:p w:rsidR="000215B7" w:rsidRPr="008A1531" w:rsidRDefault="000215B7" w:rsidP="000215B7">
      <w:pPr>
        <w:pStyle w:val="ListParagraph"/>
        <w:rPr>
          <w:rFonts w:ascii="Arial" w:hAnsi="Arial" w:cs="Arial"/>
        </w:rPr>
      </w:pPr>
    </w:p>
    <w:p w:rsidR="000215B7" w:rsidRDefault="000215B7" w:rsidP="000215B7">
      <w:pPr>
        <w:pStyle w:val="ListParagraph"/>
        <w:numPr>
          <w:ilvl w:val="0"/>
          <w:numId w:val="35"/>
        </w:numPr>
        <w:rPr>
          <w:rFonts w:ascii="Arial" w:hAnsi="Arial" w:cs="Arial"/>
        </w:rPr>
      </w:pPr>
      <w:r w:rsidRPr="005B0065">
        <w:rPr>
          <w:rFonts w:ascii="Arial" w:hAnsi="Arial" w:cs="Arial"/>
        </w:rPr>
        <w:t xml:space="preserve">There is uncertainty as to the meaning of a complaint or inquiry that is </w:t>
      </w:r>
      <w:r w:rsidR="00997EE3">
        <w:rPr>
          <w:rFonts w:ascii="Arial" w:hAnsi="Arial" w:cs="Arial"/>
        </w:rPr>
        <w:t>‘</w:t>
      </w:r>
      <w:r w:rsidRPr="005B0065">
        <w:rPr>
          <w:rFonts w:ascii="Arial" w:hAnsi="Arial" w:cs="Arial"/>
          <w:i/>
        </w:rPr>
        <w:t>in relation to his or her employment</w:t>
      </w:r>
      <w:r w:rsidR="00997EE3">
        <w:rPr>
          <w:rFonts w:ascii="Arial" w:hAnsi="Arial" w:cs="Arial"/>
          <w:i/>
        </w:rPr>
        <w:t>’</w:t>
      </w:r>
      <w:r w:rsidRPr="005B0065">
        <w:rPr>
          <w:rFonts w:ascii="Arial" w:hAnsi="Arial" w:cs="Arial"/>
        </w:rPr>
        <w:t>. There is a divergence in the case law on this point, and consequently it is unclear whether the protection is limited to complaints directly related to the complainant</w:t>
      </w:r>
      <w:r w:rsidR="00997EE3">
        <w:rPr>
          <w:rFonts w:ascii="Arial" w:hAnsi="Arial" w:cs="Arial"/>
        </w:rPr>
        <w:t>’</w:t>
      </w:r>
      <w:r w:rsidRPr="005B0065">
        <w:rPr>
          <w:rFonts w:ascii="Arial" w:hAnsi="Arial" w:cs="Arial"/>
        </w:rPr>
        <w:t xml:space="preserve">s own employment, and if not, the extent to which a complaint may be indirectly </w:t>
      </w:r>
      <w:r w:rsidR="00163A88">
        <w:rPr>
          <w:rFonts w:ascii="Arial" w:hAnsi="Arial" w:cs="Arial"/>
        </w:rPr>
        <w:t>‘</w:t>
      </w:r>
      <w:r w:rsidRPr="005B0065">
        <w:rPr>
          <w:rFonts w:ascii="Arial" w:hAnsi="Arial" w:cs="Arial"/>
          <w:i/>
        </w:rPr>
        <w:t>in relation to</w:t>
      </w:r>
      <w:r w:rsidR="00163A88">
        <w:rPr>
          <w:rFonts w:ascii="Arial" w:hAnsi="Arial" w:cs="Arial"/>
          <w:i/>
        </w:rPr>
        <w:t>’</w:t>
      </w:r>
      <w:r w:rsidRPr="005B0065">
        <w:rPr>
          <w:rFonts w:ascii="Arial" w:hAnsi="Arial" w:cs="Arial"/>
        </w:rPr>
        <w:t xml:space="preserve"> the complainant’s emp</w:t>
      </w:r>
      <w:r>
        <w:rPr>
          <w:rFonts w:ascii="Arial" w:hAnsi="Arial" w:cs="Arial"/>
        </w:rPr>
        <w:t>loyment.</w:t>
      </w:r>
    </w:p>
    <w:p w:rsidR="000215B7" w:rsidRDefault="000215B7" w:rsidP="000215B7">
      <w:pPr>
        <w:pStyle w:val="ListParagraph"/>
        <w:rPr>
          <w:rFonts w:ascii="Arial" w:hAnsi="Arial" w:cs="Arial"/>
        </w:rPr>
      </w:pPr>
    </w:p>
    <w:p w:rsidR="000215B7" w:rsidRDefault="000215B7" w:rsidP="000215B7">
      <w:pPr>
        <w:pStyle w:val="ListParagraph"/>
        <w:numPr>
          <w:ilvl w:val="0"/>
          <w:numId w:val="35"/>
        </w:numPr>
        <w:rPr>
          <w:rFonts w:ascii="Arial" w:hAnsi="Arial" w:cs="Arial"/>
        </w:rPr>
      </w:pPr>
      <w:r>
        <w:rPr>
          <w:rFonts w:ascii="Arial" w:hAnsi="Arial" w:cs="Arial"/>
        </w:rPr>
        <w:t xml:space="preserve">Whether the meaning of the words </w:t>
      </w:r>
      <w:r w:rsidR="00FE032C">
        <w:rPr>
          <w:rFonts w:ascii="Arial" w:hAnsi="Arial" w:cs="Arial"/>
        </w:rPr>
        <w:t>‘</w:t>
      </w:r>
      <w:r w:rsidRPr="005E7CE6">
        <w:rPr>
          <w:rFonts w:ascii="Arial" w:hAnsi="Arial" w:cs="Arial"/>
          <w:i/>
        </w:rPr>
        <w:t>is able to</w:t>
      </w:r>
      <w:r w:rsidR="00FE032C">
        <w:rPr>
          <w:rFonts w:ascii="Arial" w:hAnsi="Arial" w:cs="Arial"/>
          <w:i/>
        </w:rPr>
        <w:t>’</w:t>
      </w:r>
      <w:r>
        <w:rPr>
          <w:rFonts w:ascii="Arial" w:hAnsi="Arial" w:cs="Arial"/>
        </w:rPr>
        <w:t xml:space="preserve"> in ss 341(1) of the FW Act, means there are certain circumstances in which an employee is not able to make a complaint or inquiry that attracts the protection</w:t>
      </w:r>
      <w:r w:rsidR="00CB4FA7">
        <w:rPr>
          <w:rFonts w:ascii="Arial" w:hAnsi="Arial" w:cs="Arial"/>
        </w:rPr>
        <w:t>.</w:t>
      </w:r>
    </w:p>
    <w:p w:rsidR="000215B7" w:rsidRPr="005B0065" w:rsidRDefault="000215B7" w:rsidP="000215B7">
      <w:pPr>
        <w:pStyle w:val="ListParagraph"/>
        <w:rPr>
          <w:rFonts w:ascii="Arial" w:hAnsi="Arial" w:cs="Arial"/>
        </w:rPr>
      </w:pPr>
    </w:p>
    <w:p w:rsidR="000215B7" w:rsidRDefault="000215B7" w:rsidP="000215B7">
      <w:pPr>
        <w:pStyle w:val="ListParagraph"/>
        <w:numPr>
          <w:ilvl w:val="0"/>
          <w:numId w:val="35"/>
        </w:numPr>
        <w:rPr>
          <w:rFonts w:ascii="Arial" w:hAnsi="Arial" w:cs="Arial"/>
        </w:rPr>
      </w:pPr>
      <w:r>
        <w:rPr>
          <w:rFonts w:ascii="Arial" w:hAnsi="Arial" w:cs="Arial"/>
        </w:rPr>
        <w:t xml:space="preserve">Whether </w:t>
      </w:r>
      <w:r w:rsidR="00CB4FA7">
        <w:rPr>
          <w:rFonts w:ascii="Arial" w:hAnsi="Arial" w:cs="Arial"/>
        </w:rPr>
        <w:t>‘</w:t>
      </w:r>
      <w:r w:rsidRPr="005E7CE6">
        <w:rPr>
          <w:rFonts w:ascii="Arial" w:hAnsi="Arial" w:cs="Arial"/>
          <w:i/>
        </w:rPr>
        <w:t>complaint or inquiry</w:t>
      </w:r>
      <w:r w:rsidR="00CB4FA7">
        <w:rPr>
          <w:rFonts w:ascii="Arial" w:hAnsi="Arial" w:cs="Arial"/>
          <w:i/>
        </w:rPr>
        <w:t>’</w:t>
      </w:r>
      <w:r>
        <w:rPr>
          <w:rFonts w:ascii="Arial" w:hAnsi="Arial" w:cs="Arial"/>
        </w:rPr>
        <w:t xml:space="preserve"> is one cumulative workplace right with a single meaning, or whether they constitute two distinct workplace rights with their own scope and meaning</w:t>
      </w:r>
      <w:r w:rsidR="00CB4FA7">
        <w:rPr>
          <w:rFonts w:ascii="Arial" w:hAnsi="Arial" w:cs="Arial"/>
        </w:rPr>
        <w:t>.</w:t>
      </w:r>
    </w:p>
    <w:p w:rsidR="00C27FE0" w:rsidRPr="00C27FE0" w:rsidRDefault="00C27FE0" w:rsidP="00C27FE0">
      <w:pPr>
        <w:pStyle w:val="ListParagraph"/>
        <w:rPr>
          <w:rFonts w:ascii="Arial" w:hAnsi="Arial" w:cs="Arial"/>
        </w:rPr>
      </w:pPr>
    </w:p>
    <w:p w:rsidR="000215B7" w:rsidRPr="00C27FE0" w:rsidRDefault="000215B7" w:rsidP="00C27FE0">
      <w:pPr>
        <w:pStyle w:val="ListParagraph"/>
        <w:numPr>
          <w:ilvl w:val="0"/>
          <w:numId w:val="45"/>
        </w:numPr>
        <w:ind w:left="284" w:hanging="284"/>
        <w:rPr>
          <w:rFonts w:ascii="Arial" w:hAnsi="Arial" w:cs="Arial"/>
          <w:b/>
          <w:bCs/>
          <w:i/>
          <w:color w:val="C0504D"/>
          <w:sz w:val="24"/>
          <w:szCs w:val="24"/>
        </w:rPr>
      </w:pPr>
      <w:r w:rsidRPr="00C27FE0">
        <w:rPr>
          <w:rFonts w:ascii="Arial" w:hAnsi="Arial" w:cs="Arial"/>
          <w:b/>
          <w:bCs/>
          <w:i/>
          <w:color w:val="C0504D"/>
          <w:sz w:val="24"/>
          <w:szCs w:val="24"/>
        </w:rPr>
        <w:t>Whether the complainant must hold a genuine belief in the substance of their complaint</w:t>
      </w:r>
    </w:p>
    <w:p w:rsidR="000215B7" w:rsidRDefault="00C27FE0" w:rsidP="000215B7">
      <w:pPr>
        <w:rPr>
          <w:rFonts w:ascii="Arial" w:hAnsi="Arial" w:cs="Arial"/>
        </w:rPr>
      </w:pPr>
      <w:r>
        <w:rPr>
          <w:rFonts w:ascii="Arial" w:hAnsi="Arial" w:cs="Arial"/>
        </w:rPr>
        <w:t>CCER</w:t>
      </w:r>
      <w:r w:rsidR="000215B7">
        <w:rPr>
          <w:rFonts w:ascii="Arial" w:hAnsi="Arial" w:cs="Arial"/>
        </w:rPr>
        <w:t xml:space="preserve"> supports the interpretation of Dodds-Streeton J in the </w:t>
      </w:r>
      <w:r w:rsidR="000215B7" w:rsidRPr="00B842F6">
        <w:rPr>
          <w:rFonts w:ascii="Arial" w:hAnsi="Arial" w:cs="Arial"/>
          <w:i/>
        </w:rPr>
        <w:t>Shea</w:t>
      </w:r>
      <w:r w:rsidR="000215B7">
        <w:rPr>
          <w:rFonts w:ascii="Arial" w:hAnsi="Arial" w:cs="Arial"/>
        </w:rPr>
        <w:t xml:space="preserve"> case, that a complainant must hold a genuine belief in the truthfulness and merit of their own complaint in order for such a complaint to attra</w:t>
      </w:r>
      <w:r>
        <w:rPr>
          <w:rFonts w:ascii="Arial" w:hAnsi="Arial" w:cs="Arial"/>
        </w:rPr>
        <w:t>ct the protection of the FW Act.</w:t>
      </w:r>
    </w:p>
    <w:p w:rsidR="00C27FE0" w:rsidRDefault="00C27FE0" w:rsidP="000215B7">
      <w:pPr>
        <w:rPr>
          <w:rFonts w:ascii="Arial" w:hAnsi="Arial" w:cs="Arial"/>
        </w:rPr>
      </w:pPr>
      <w:r>
        <w:rPr>
          <w:rFonts w:ascii="Arial" w:hAnsi="Arial" w:cs="Arial"/>
        </w:rPr>
        <w:t>In CCER’s view</w:t>
      </w:r>
      <w:r w:rsidR="000215B7">
        <w:rPr>
          <w:rFonts w:ascii="Arial" w:hAnsi="Arial" w:cs="Arial"/>
        </w:rPr>
        <w:t xml:space="preserve"> a req</w:t>
      </w:r>
      <w:r>
        <w:rPr>
          <w:rFonts w:ascii="Arial" w:hAnsi="Arial" w:cs="Arial"/>
        </w:rPr>
        <w:t>uirement for a complaint to be genuine</w:t>
      </w:r>
      <w:r w:rsidR="000215B7">
        <w:rPr>
          <w:rFonts w:ascii="Arial" w:hAnsi="Arial" w:cs="Arial"/>
        </w:rPr>
        <w:t xml:space="preserve"> is necessary</w:t>
      </w:r>
      <w:r>
        <w:rPr>
          <w:rFonts w:ascii="Arial" w:hAnsi="Arial" w:cs="Arial"/>
        </w:rPr>
        <w:t xml:space="preserve">. Allowing otherwise increases the risk of the FWC receiving claims for </w:t>
      </w:r>
      <w:r w:rsidR="000215B7">
        <w:rPr>
          <w:rFonts w:ascii="Arial" w:hAnsi="Arial" w:cs="Arial"/>
        </w:rPr>
        <w:t>complaints that are vexatious, malicious, knowingly false or constitute an abuse of process</w:t>
      </w:r>
      <w:r>
        <w:rPr>
          <w:rFonts w:ascii="Arial" w:hAnsi="Arial" w:cs="Arial"/>
        </w:rPr>
        <w:t>.</w:t>
      </w:r>
    </w:p>
    <w:p w:rsidR="000215B7" w:rsidRDefault="00C27FE0" w:rsidP="000215B7">
      <w:pPr>
        <w:rPr>
          <w:rFonts w:ascii="Arial" w:hAnsi="Arial" w:cs="Arial"/>
        </w:rPr>
      </w:pPr>
      <w:r>
        <w:rPr>
          <w:rFonts w:ascii="Arial" w:hAnsi="Arial" w:cs="Arial"/>
        </w:rPr>
        <w:t xml:space="preserve">We note that we do not advocate that </w:t>
      </w:r>
      <w:r w:rsidR="000215B7">
        <w:rPr>
          <w:rFonts w:ascii="Arial" w:hAnsi="Arial" w:cs="Arial"/>
        </w:rPr>
        <w:t xml:space="preserve">the complaint itself </w:t>
      </w:r>
      <w:r>
        <w:rPr>
          <w:rFonts w:ascii="Arial" w:hAnsi="Arial" w:cs="Arial"/>
        </w:rPr>
        <w:t xml:space="preserve">needs </w:t>
      </w:r>
      <w:r w:rsidR="000215B7">
        <w:rPr>
          <w:rFonts w:ascii="Arial" w:hAnsi="Arial" w:cs="Arial"/>
        </w:rPr>
        <w:t xml:space="preserve">to be </w:t>
      </w:r>
      <w:r>
        <w:rPr>
          <w:rFonts w:ascii="Arial" w:hAnsi="Arial" w:cs="Arial"/>
        </w:rPr>
        <w:t xml:space="preserve">factually proven for the protection to apply. We recognise such a restriction may act </w:t>
      </w:r>
      <w:r w:rsidR="000215B7">
        <w:rPr>
          <w:rFonts w:ascii="Arial" w:hAnsi="Arial" w:cs="Arial"/>
        </w:rPr>
        <w:t>as a disincentive for employees to raise concerns they feel are legitimate and genuine, and therefore would be inconsistent with the object</w:t>
      </w:r>
      <w:r w:rsidR="0095536D">
        <w:rPr>
          <w:rFonts w:ascii="Arial" w:hAnsi="Arial" w:cs="Arial"/>
        </w:rPr>
        <w:t>s</w:t>
      </w:r>
      <w:r w:rsidR="000215B7">
        <w:rPr>
          <w:rFonts w:ascii="Arial" w:hAnsi="Arial" w:cs="Arial"/>
        </w:rPr>
        <w:t xml:space="preserve"> of the general protections. This important qualification was expressed in </w:t>
      </w:r>
      <w:r w:rsidR="000215B7" w:rsidRPr="00C27FE0">
        <w:rPr>
          <w:rFonts w:ascii="Arial" w:hAnsi="Arial" w:cs="Arial"/>
          <w:i/>
        </w:rPr>
        <w:t>Shea</w:t>
      </w:r>
      <w:r w:rsidR="000215B7">
        <w:rPr>
          <w:rFonts w:ascii="Arial" w:hAnsi="Arial" w:cs="Arial"/>
        </w:rPr>
        <w:t xml:space="preserve"> at [619]: </w:t>
      </w:r>
    </w:p>
    <w:p w:rsidR="000215B7" w:rsidRPr="00A4104A" w:rsidRDefault="000215B7" w:rsidP="000215B7">
      <w:pPr>
        <w:ind w:left="720"/>
        <w:rPr>
          <w:rFonts w:ascii="Arial" w:hAnsi="Arial" w:cs="Arial"/>
        </w:rPr>
      </w:pPr>
      <w:r w:rsidRPr="00A4104A">
        <w:rPr>
          <w:rFonts w:ascii="Arial" w:hAnsi="Arial" w:cs="Arial"/>
          <w:i/>
        </w:rPr>
        <w:t xml:space="preserve">The relevant object of the provision is to protect employees from retribution in the form of adverse action because they have exercised a workplace right by making a complaint in relation to their employment, rather than to protect employees who have proved, or are able to prove, that the grievance or accusation is justified or meritorious. Were it otherwise, the protection afforded by the provision would be largely illusory, as persons would be vulnerable to retribution for making a complaint unless, and perhaps until, their case could subsequently, by some unspecified </w:t>
      </w:r>
      <w:r>
        <w:rPr>
          <w:rFonts w:ascii="Arial" w:hAnsi="Arial" w:cs="Arial"/>
          <w:i/>
        </w:rPr>
        <w:t>means, be proved or found valid</w:t>
      </w:r>
      <w:r>
        <w:rPr>
          <w:rFonts w:ascii="Arial" w:hAnsi="Arial" w:cs="Arial"/>
        </w:rPr>
        <w:t>.</w:t>
      </w:r>
    </w:p>
    <w:p w:rsidR="000215B7" w:rsidRDefault="000215B7" w:rsidP="000215B7">
      <w:pPr>
        <w:rPr>
          <w:rFonts w:ascii="Arial" w:hAnsi="Arial" w:cs="Arial"/>
        </w:rPr>
      </w:pPr>
      <w:r>
        <w:rPr>
          <w:rFonts w:ascii="Arial" w:hAnsi="Arial" w:cs="Arial"/>
        </w:rPr>
        <w:t>Dodds-Streeton J described the qualification for the complaint to be genuine (which was not determined on appeal to the Full Court) as follows:</w:t>
      </w:r>
    </w:p>
    <w:p w:rsidR="00C27FE0" w:rsidRDefault="000215B7" w:rsidP="00065A77">
      <w:pPr>
        <w:pStyle w:val="ListParagraph"/>
        <w:ind w:left="1080"/>
        <w:rPr>
          <w:rFonts w:ascii="Arial" w:hAnsi="Arial" w:cs="Arial"/>
          <w:sz w:val="20"/>
          <w:szCs w:val="20"/>
        </w:rPr>
      </w:pPr>
      <w:r w:rsidRPr="00375131">
        <w:rPr>
          <w:rFonts w:ascii="Arial" w:hAnsi="Arial" w:cs="Arial"/>
          <w:i/>
          <w:sz w:val="20"/>
          <w:szCs w:val="20"/>
        </w:rPr>
        <w:lastRenderedPageBreak/>
        <w:t>the grievance, finding of fault or accusation must be genuinely held or considered valid by the complainant;</w:t>
      </w:r>
      <w:r w:rsidR="00065A77">
        <w:rPr>
          <w:rStyle w:val="FootnoteReference"/>
          <w:rFonts w:ascii="Arial" w:hAnsi="Arial" w:cs="Arial"/>
          <w:i/>
          <w:sz w:val="20"/>
          <w:szCs w:val="20"/>
        </w:rPr>
        <w:footnoteReference w:id="74"/>
      </w:r>
      <w:r w:rsidRPr="00375131">
        <w:rPr>
          <w:rFonts w:ascii="Arial" w:hAnsi="Arial" w:cs="Arial"/>
          <w:sz w:val="20"/>
          <w:szCs w:val="20"/>
        </w:rPr>
        <w:t xml:space="preserve"> </w:t>
      </w:r>
    </w:p>
    <w:p w:rsidR="000215B7" w:rsidRPr="006E6D48" w:rsidRDefault="00C27FE0" w:rsidP="00C27FE0">
      <w:pPr>
        <w:rPr>
          <w:rFonts w:ascii="Arial" w:hAnsi="Arial" w:cs="Arial"/>
        </w:rPr>
      </w:pPr>
      <w:r w:rsidRPr="006E6D48">
        <w:rPr>
          <w:rFonts w:ascii="Arial" w:hAnsi="Arial" w:cs="Arial"/>
        </w:rPr>
        <w:t xml:space="preserve">Her </w:t>
      </w:r>
      <w:r w:rsidR="000215B7" w:rsidRPr="006E6D48">
        <w:rPr>
          <w:rFonts w:ascii="Arial" w:hAnsi="Arial" w:cs="Arial"/>
        </w:rPr>
        <w:t>Honour’s reasoning surrounding this qualification was expressed at [620]-[623] as follows:</w:t>
      </w:r>
    </w:p>
    <w:p w:rsidR="000215B7" w:rsidRPr="00D66BF0" w:rsidRDefault="000215B7" w:rsidP="000215B7">
      <w:pPr>
        <w:numPr>
          <w:ilvl w:val="0"/>
          <w:numId w:val="38"/>
        </w:numPr>
        <w:tabs>
          <w:tab w:val="clear" w:pos="720"/>
          <w:tab w:val="num" w:pos="1276"/>
        </w:tabs>
        <w:spacing w:after="0" w:line="240" w:lineRule="auto"/>
        <w:ind w:left="1276" w:hanging="556"/>
        <w:rPr>
          <w:rFonts w:ascii="Arial" w:eastAsia="Times New Roman" w:hAnsi="Arial" w:cs="Arial"/>
          <w:i/>
          <w:color w:val="000000"/>
          <w:sz w:val="20"/>
          <w:szCs w:val="20"/>
          <w:lang w:eastAsia="en-AU"/>
        </w:rPr>
      </w:pPr>
      <w:r w:rsidRPr="00D66BF0">
        <w:rPr>
          <w:rFonts w:ascii="Arial" w:eastAsia="Times New Roman" w:hAnsi="Arial" w:cs="Arial"/>
          <w:i/>
          <w:color w:val="000000"/>
          <w:sz w:val="20"/>
          <w:szCs w:val="20"/>
          <w:lang w:eastAsia="en-AU"/>
        </w:rPr>
        <w:t>It does not follow, however, that the making of false, baseless, unreasonable or contrived accusations of grave misconduct against fellow employees constitutes the making of a complaint that an employee is able to make in relation to his or her employment, and thus invokes the statutory prohibition on adverse action.</w:t>
      </w:r>
    </w:p>
    <w:p w:rsidR="000215B7" w:rsidRPr="00D66BF0" w:rsidRDefault="000215B7" w:rsidP="000215B7">
      <w:pPr>
        <w:numPr>
          <w:ilvl w:val="0"/>
          <w:numId w:val="39"/>
        </w:numPr>
        <w:tabs>
          <w:tab w:val="clear" w:pos="720"/>
          <w:tab w:val="num" w:pos="1276"/>
        </w:tabs>
        <w:spacing w:after="0" w:line="240" w:lineRule="auto"/>
        <w:ind w:left="1276" w:hanging="556"/>
        <w:rPr>
          <w:rFonts w:ascii="Arial" w:eastAsia="Times New Roman" w:hAnsi="Arial" w:cs="Arial"/>
          <w:i/>
          <w:color w:val="000000"/>
          <w:sz w:val="20"/>
          <w:szCs w:val="20"/>
          <w:lang w:eastAsia="en-AU"/>
        </w:rPr>
      </w:pPr>
      <w:r w:rsidRPr="00D66BF0">
        <w:rPr>
          <w:rFonts w:ascii="Arial" w:eastAsia="Times New Roman" w:hAnsi="Arial" w:cs="Arial"/>
          <w:i/>
          <w:color w:val="000000"/>
          <w:sz w:val="20"/>
          <w:szCs w:val="20"/>
          <w:lang w:eastAsia="en-AU"/>
        </w:rPr>
        <w:t>While the factual basis of a complaint need not be “true” or capable of ultimate substantiation, in my view, the grievance must at least be genuinely held and, where it takes the form of an accusation of fault, the complainant must believe it to be valid. There would otherwise be no real, but merely a spurious, grievance. The exercise of the workplace right constituted by the making of a complaint is not within the scope of statutory protection if it is made without good faith or for an ulterior purpose, extraneous to that for which the statutory protection was conferred.</w:t>
      </w:r>
    </w:p>
    <w:p w:rsidR="000215B7" w:rsidRPr="00D66BF0" w:rsidRDefault="000215B7" w:rsidP="000215B7">
      <w:pPr>
        <w:numPr>
          <w:ilvl w:val="0"/>
          <w:numId w:val="40"/>
        </w:numPr>
        <w:tabs>
          <w:tab w:val="clear" w:pos="720"/>
          <w:tab w:val="num" w:pos="1276"/>
        </w:tabs>
        <w:spacing w:after="0" w:line="240" w:lineRule="auto"/>
        <w:ind w:left="1276" w:hanging="556"/>
        <w:rPr>
          <w:rFonts w:ascii="Arial" w:eastAsia="Times New Roman" w:hAnsi="Arial" w:cs="Arial"/>
          <w:i/>
          <w:color w:val="000000"/>
          <w:sz w:val="20"/>
          <w:szCs w:val="20"/>
          <w:lang w:eastAsia="en-AU"/>
        </w:rPr>
      </w:pPr>
      <w:r w:rsidRPr="00D66BF0">
        <w:rPr>
          <w:rFonts w:ascii="Arial" w:eastAsia="Times New Roman" w:hAnsi="Arial" w:cs="Arial"/>
          <w:i/>
          <w:color w:val="000000"/>
          <w:sz w:val="20"/>
          <w:szCs w:val="20"/>
          <w:lang w:eastAsia="en-AU"/>
        </w:rPr>
        <w:t>The protection conferred by the provision is directed at workplace rights. When the relevant workplace right is the employee’s ability to make a complaint in relation to his or her employment, to make a complaint not in order to communicate the stated grievance or accusation so that it may be appropriately considered and redressed, but to achieve some collateral advantage or objective, would not, in my opinion, invoke the statutory protection. No legitimate statutory objective would be achieved.</w:t>
      </w:r>
    </w:p>
    <w:p w:rsidR="000215B7" w:rsidRPr="00D66BF0" w:rsidRDefault="000215B7" w:rsidP="000215B7">
      <w:pPr>
        <w:numPr>
          <w:ilvl w:val="0"/>
          <w:numId w:val="41"/>
        </w:numPr>
        <w:tabs>
          <w:tab w:val="clear" w:pos="720"/>
          <w:tab w:val="num" w:pos="1276"/>
        </w:tabs>
        <w:spacing w:after="0" w:line="240" w:lineRule="auto"/>
        <w:ind w:left="1276" w:hanging="556"/>
        <w:rPr>
          <w:rFonts w:ascii="Arial" w:eastAsia="Times New Roman" w:hAnsi="Arial" w:cs="Arial"/>
          <w:i/>
          <w:color w:val="000000"/>
          <w:sz w:val="20"/>
          <w:szCs w:val="20"/>
          <w:lang w:eastAsia="en-AU"/>
        </w:rPr>
      </w:pPr>
      <w:r w:rsidRPr="00D66BF0">
        <w:rPr>
          <w:rFonts w:ascii="Arial" w:eastAsia="Times New Roman" w:hAnsi="Arial" w:cs="Arial"/>
          <w:i/>
          <w:color w:val="000000"/>
          <w:sz w:val="20"/>
          <w:szCs w:val="20"/>
          <w:lang w:eastAsia="en-AU"/>
        </w:rPr>
        <w:t>Accordingly, in my view, the complainant must hold a genuine belief in the truth of the matters communicated as a grievance or accusation. In the absence of such a belief (which may be difficult, albeit not impossible, to establish in the absence of some reasonable basis) the complaint would not be a genuine grievance or finding of fault.</w:t>
      </w:r>
    </w:p>
    <w:p w:rsidR="00C27FE0" w:rsidRDefault="00C27FE0" w:rsidP="000215B7">
      <w:pPr>
        <w:rPr>
          <w:rFonts w:ascii="Arial" w:hAnsi="Arial" w:cs="Arial"/>
          <w:sz w:val="20"/>
          <w:szCs w:val="20"/>
        </w:rPr>
      </w:pPr>
    </w:p>
    <w:p w:rsidR="00C27FE0" w:rsidRDefault="000215B7" w:rsidP="000215B7">
      <w:pPr>
        <w:rPr>
          <w:rFonts w:ascii="Arial" w:hAnsi="Arial" w:cs="Arial"/>
        </w:rPr>
      </w:pPr>
      <w:r w:rsidRPr="00C27FE0">
        <w:rPr>
          <w:rFonts w:ascii="Arial" w:hAnsi="Arial" w:cs="Arial"/>
        </w:rPr>
        <w:t>As stated above, CCER</w:t>
      </w:r>
      <w:r w:rsidR="00C27FE0">
        <w:rPr>
          <w:rFonts w:ascii="Arial" w:hAnsi="Arial" w:cs="Arial"/>
        </w:rPr>
        <w:t xml:space="preserve"> believes</w:t>
      </w:r>
      <w:r w:rsidRPr="00C27FE0">
        <w:rPr>
          <w:rFonts w:ascii="Arial" w:hAnsi="Arial" w:cs="Arial"/>
        </w:rPr>
        <w:t xml:space="preserve"> that a qualification that a complaint be genuine in order to attract protection is important to ensure </w:t>
      </w:r>
      <w:r w:rsidR="00C27FE0">
        <w:rPr>
          <w:rFonts w:ascii="Arial" w:hAnsi="Arial" w:cs="Arial"/>
        </w:rPr>
        <w:t xml:space="preserve">the application of the provisions are clear and unambiguous and are consistent with the </w:t>
      </w:r>
      <w:r w:rsidRPr="00C27FE0">
        <w:rPr>
          <w:rFonts w:ascii="Arial" w:hAnsi="Arial" w:cs="Arial"/>
        </w:rPr>
        <w:t>objects of the general protections</w:t>
      </w:r>
      <w:r w:rsidR="00C27FE0">
        <w:rPr>
          <w:rFonts w:ascii="Arial" w:hAnsi="Arial" w:cs="Arial"/>
        </w:rPr>
        <w:t>.</w:t>
      </w:r>
    </w:p>
    <w:p w:rsidR="000215B7" w:rsidRPr="00383A9D" w:rsidRDefault="000D1AD5" w:rsidP="000215B7">
      <w:pPr>
        <w:rPr>
          <w:rFonts w:ascii="Arial" w:hAnsi="Arial" w:cs="Arial"/>
          <w:b/>
          <w:bCs/>
          <w:i/>
          <w:color w:val="C0504D"/>
          <w:sz w:val="24"/>
          <w:szCs w:val="24"/>
        </w:rPr>
      </w:pPr>
      <w:r>
        <w:rPr>
          <w:rFonts w:ascii="Arial" w:hAnsi="Arial" w:cs="Arial"/>
          <w:b/>
          <w:bCs/>
          <w:i/>
          <w:color w:val="C0504D"/>
          <w:sz w:val="24"/>
          <w:szCs w:val="24"/>
        </w:rPr>
        <w:t xml:space="preserve">2(a) </w:t>
      </w:r>
      <w:r w:rsidR="000215B7" w:rsidRPr="00383A9D">
        <w:rPr>
          <w:rFonts w:ascii="Arial" w:hAnsi="Arial" w:cs="Arial"/>
          <w:b/>
          <w:bCs/>
          <w:i/>
          <w:color w:val="C0504D"/>
          <w:sz w:val="24"/>
          <w:szCs w:val="24"/>
        </w:rPr>
        <w:t xml:space="preserve">Lack of a </w:t>
      </w:r>
      <w:r w:rsidR="00383A9D">
        <w:rPr>
          <w:rFonts w:ascii="Arial" w:hAnsi="Arial" w:cs="Arial"/>
          <w:b/>
          <w:bCs/>
          <w:i/>
          <w:color w:val="C0504D"/>
          <w:sz w:val="24"/>
          <w:szCs w:val="24"/>
        </w:rPr>
        <w:t>‘</w:t>
      </w:r>
      <w:r w:rsidR="000215B7" w:rsidRPr="00383A9D">
        <w:rPr>
          <w:rFonts w:ascii="Arial" w:hAnsi="Arial" w:cs="Arial"/>
          <w:b/>
          <w:bCs/>
          <w:i/>
          <w:color w:val="C0504D"/>
          <w:sz w:val="24"/>
          <w:szCs w:val="24"/>
        </w:rPr>
        <w:t>substance</w:t>
      </w:r>
      <w:r w:rsidR="00383A9D">
        <w:rPr>
          <w:rFonts w:ascii="Arial" w:hAnsi="Arial" w:cs="Arial"/>
          <w:b/>
          <w:bCs/>
          <w:i/>
          <w:color w:val="C0504D"/>
          <w:sz w:val="24"/>
          <w:szCs w:val="24"/>
        </w:rPr>
        <w:t>’</w:t>
      </w:r>
      <w:r w:rsidR="000215B7" w:rsidRPr="00383A9D">
        <w:rPr>
          <w:rFonts w:ascii="Arial" w:hAnsi="Arial" w:cs="Arial"/>
          <w:b/>
          <w:bCs/>
          <w:i/>
          <w:color w:val="C0504D"/>
          <w:sz w:val="24"/>
          <w:szCs w:val="24"/>
        </w:rPr>
        <w:t xml:space="preserve"> test</w:t>
      </w:r>
    </w:p>
    <w:p w:rsidR="000215B7" w:rsidRDefault="000215B7" w:rsidP="000215B7">
      <w:pPr>
        <w:rPr>
          <w:rFonts w:ascii="Arial" w:hAnsi="Arial" w:cs="Arial"/>
        </w:rPr>
      </w:pPr>
      <w:r>
        <w:rPr>
          <w:rFonts w:ascii="Arial" w:hAnsi="Arial" w:cs="Arial"/>
        </w:rPr>
        <w:t xml:space="preserve">In </w:t>
      </w:r>
      <w:r w:rsidR="009E49B9">
        <w:rPr>
          <w:rFonts w:ascii="Arial" w:hAnsi="Arial" w:cs="Arial"/>
        </w:rPr>
        <w:t xml:space="preserve">our experience, </w:t>
      </w:r>
      <w:r>
        <w:rPr>
          <w:rFonts w:ascii="Arial" w:hAnsi="Arial" w:cs="Arial"/>
        </w:rPr>
        <w:t>the nature and content of workplace complaints range</w:t>
      </w:r>
      <w:r w:rsidR="009E49B9">
        <w:rPr>
          <w:rFonts w:ascii="Arial" w:hAnsi="Arial" w:cs="Arial"/>
        </w:rPr>
        <w:t>s</w:t>
      </w:r>
      <w:r>
        <w:rPr>
          <w:rFonts w:ascii="Arial" w:hAnsi="Arial" w:cs="Arial"/>
        </w:rPr>
        <w:t xml:space="preserve"> from</w:t>
      </w:r>
      <w:r w:rsidR="009E49B9">
        <w:rPr>
          <w:rFonts w:ascii="Arial" w:hAnsi="Arial" w:cs="Arial"/>
        </w:rPr>
        <w:t xml:space="preserve"> formally lodged complaints and grievances, </w:t>
      </w:r>
      <w:r>
        <w:rPr>
          <w:rFonts w:ascii="Arial" w:hAnsi="Arial" w:cs="Arial"/>
        </w:rPr>
        <w:t>to trivial comments made in passing, and everything in between.</w:t>
      </w:r>
    </w:p>
    <w:p w:rsidR="007B6A35" w:rsidRDefault="00D3062E" w:rsidP="000215B7">
      <w:pPr>
        <w:rPr>
          <w:rFonts w:ascii="Arial" w:hAnsi="Arial" w:cs="Arial"/>
        </w:rPr>
      </w:pPr>
      <w:r>
        <w:rPr>
          <w:rFonts w:ascii="Arial" w:hAnsi="Arial" w:cs="Arial"/>
        </w:rPr>
        <w:t>However,</w:t>
      </w:r>
      <w:r w:rsidR="00221439">
        <w:rPr>
          <w:rFonts w:ascii="Arial" w:hAnsi="Arial" w:cs="Arial"/>
        </w:rPr>
        <w:t xml:space="preserve"> it is not clear whether </w:t>
      </w:r>
      <w:r w:rsidR="000215B7">
        <w:rPr>
          <w:rFonts w:ascii="Arial" w:hAnsi="Arial" w:cs="Arial"/>
        </w:rPr>
        <w:t>minor, trivial comments, sometimes made in passing</w:t>
      </w:r>
      <w:r w:rsidR="00221439">
        <w:rPr>
          <w:rFonts w:ascii="Arial" w:hAnsi="Arial" w:cs="Arial"/>
        </w:rPr>
        <w:t>,</w:t>
      </w:r>
      <w:r w:rsidR="000215B7">
        <w:rPr>
          <w:rFonts w:ascii="Arial" w:hAnsi="Arial" w:cs="Arial"/>
        </w:rPr>
        <w:t xml:space="preserve"> </w:t>
      </w:r>
      <w:r w:rsidR="00221439">
        <w:rPr>
          <w:rFonts w:ascii="Arial" w:hAnsi="Arial" w:cs="Arial"/>
        </w:rPr>
        <w:t xml:space="preserve">would </w:t>
      </w:r>
      <w:r w:rsidR="000215B7">
        <w:rPr>
          <w:rFonts w:ascii="Arial" w:hAnsi="Arial" w:cs="Arial"/>
        </w:rPr>
        <w:t xml:space="preserve">constitute a </w:t>
      </w:r>
      <w:r w:rsidR="00DA724A">
        <w:rPr>
          <w:rFonts w:ascii="Arial" w:hAnsi="Arial" w:cs="Arial"/>
          <w:i/>
        </w:rPr>
        <w:t>‘</w:t>
      </w:r>
      <w:r w:rsidR="000215B7" w:rsidRPr="00F1784F">
        <w:rPr>
          <w:rFonts w:ascii="Arial" w:hAnsi="Arial" w:cs="Arial"/>
          <w:i/>
        </w:rPr>
        <w:t>complaint</w:t>
      </w:r>
      <w:r w:rsidR="00DA724A">
        <w:rPr>
          <w:rFonts w:ascii="Arial" w:hAnsi="Arial" w:cs="Arial"/>
          <w:i/>
        </w:rPr>
        <w:t>’</w:t>
      </w:r>
      <w:r w:rsidR="000215B7">
        <w:rPr>
          <w:rFonts w:ascii="Arial" w:hAnsi="Arial" w:cs="Arial"/>
        </w:rPr>
        <w:t xml:space="preserve"> for the purposes of the FW Act</w:t>
      </w:r>
      <w:r w:rsidR="00221439">
        <w:rPr>
          <w:rFonts w:ascii="Arial" w:hAnsi="Arial" w:cs="Arial"/>
        </w:rPr>
        <w:t xml:space="preserve">. </w:t>
      </w:r>
    </w:p>
    <w:p w:rsidR="000215B7" w:rsidRPr="00AA09D6" w:rsidRDefault="000215B7" w:rsidP="000215B7">
      <w:pPr>
        <w:rPr>
          <w:rFonts w:ascii="Arial" w:hAnsi="Arial" w:cs="Arial"/>
        </w:rPr>
      </w:pPr>
      <w:r>
        <w:rPr>
          <w:rFonts w:ascii="Arial" w:hAnsi="Arial" w:cs="Arial"/>
        </w:rPr>
        <w:t xml:space="preserve">In the </w:t>
      </w:r>
      <w:r w:rsidRPr="00696FF4">
        <w:rPr>
          <w:rFonts w:ascii="Arial" w:hAnsi="Arial" w:cs="Arial"/>
          <w:i/>
        </w:rPr>
        <w:t>Shea</w:t>
      </w:r>
      <w:r>
        <w:rPr>
          <w:rFonts w:ascii="Arial" w:hAnsi="Arial" w:cs="Arial"/>
        </w:rPr>
        <w:t xml:space="preserve"> case, Dodds-Streeton J considered that a “complaint” for the purpose of </w:t>
      </w:r>
      <w:r w:rsidR="00221439">
        <w:rPr>
          <w:rFonts w:ascii="Arial" w:hAnsi="Arial" w:cs="Arial"/>
        </w:rPr>
        <w:t>the FW Act, needed to contain a</w:t>
      </w:r>
      <w:r>
        <w:rPr>
          <w:rFonts w:ascii="Arial" w:hAnsi="Arial" w:cs="Arial"/>
        </w:rPr>
        <w:t xml:space="preserve"> </w:t>
      </w:r>
      <w:r w:rsidR="00683C99">
        <w:rPr>
          <w:rFonts w:ascii="Arial" w:hAnsi="Arial" w:cs="Arial"/>
          <w:i/>
        </w:rPr>
        <w:t>‘</w:t>
      </w:r>
      <w:r w:rsidRPr="00FE4DA8">
        <w:rPr>
          <w:rFonts w:ascii="Arial" w:hAnsi="Arial" w:cs="Arial"/>
          <w:i/>
        </w:rPr>
        <w:t>grievance or accusation</w:t>
      </w:r>
      <w:r w:rsidR="00683C99">
        <w:rPr>
          <w:rFonts w:ascii="Arial" w:hAnsi="Arial" w:cs="Arial"/>
          <w:i/>
        </w:rPr>
        <w:t>’</w:t>
      </w:r>
      <w:r w:rsidR="0017628D">
        <w:rPr>
          <w:rStyle w:val="FootnoteReference"/>
          <w:rFonts w:ascii="Arial" w:hAnsi="Arial" w:cs="Arial"/>
          <w:i/>
        </w:rPr>
        <w:footnoteReference w:id="75"/>
      </w:r>
      <w:r>
        <w:rPr>
          <w:rFonts w:ascii="Arial" w:hAnsi="Arial" w:cs="Arial"/>
          <w:i/>
        </w:rPr>
        <w:t xml:space="preserve"> </w:t>
      </w:r>
      <w:r w:rsidRPr="00AA09D6">
        <w:rPr>
          <w:rFonts w:ascii="Arial" w:hAnsi="Arial" w:cs="Arial"/>
        </w:rPr>
        <w:t xml:space="preserve">although </w:t>
      </w:r>
      <w:r w:rsidR="007269BB">
        <w:rPr>
          <w:rFonts w:ascii="Arial" w:hAnsi="Arial" w:cs="Arial"/>
        </w:rPr>
        <w:t>what matters is the substance of</w:t>
      </w:r>
      <w:r>
        <w:rPr>
          <w:rFonts w:ascii="Arial" w:hAnsi="Arial" w:cs="Arial"/>
        </w:rPr>
        <w:t xml:space="preserve"> the complaint, not its form</w:t>
      </w:r>
      <w:r w:rsidR="0017628D">
        <w:rPr>
          <w:rFonts w:ascii="Arial" w:hAnsi="Arial" w:cs="Arial"/>
        </w:rPr>
        <w:t>.</w:t>
      </w:r>
      <w:r w:rsidR="0017628D">
        <w:rPr>
          <w:rStyle w:val="FootnoteReference"/>
          <w:rFonts w:ascii="Arial" w:hAnsi="Arial" w:cs="Arial"/>
        </w:rPr>
        <w:footnoteReference w:id="76"/>
      </w:r>
    </w:p>
    <w:p w:rsidR="000215B7" w:rsidRDefault="000215B7" w:rsidP="000215B7">
      <w:pPr>
        <w:rPr>
          <w:rFonts w:ascii="Arial" w:hAnsi="Arial" w:cs="Arial"/>
        </w:rPr>
      </w:pPr>
      <w:r>
        <w:rPr>
          <w:rFonts w:ascii="Arial" w:hAnsi="Arial" w:cs="Arial"/>
        </w:rPr>
        <w:t xml:space="preserve">CCER </w:t>
      </w:r>
      <w:r w:rsidR="00221439">
        <w:rPr>
          <w:rFonts w:ascii="Arial" w:hAnsi="Arial" w:cs="Arial"/>
        </w:rPr>
        <w:t xml:space="preserve">believes that all parties </w:t>
      </w:r>
      <w:r>
        <w:rPr>
          <w:rFonts w:ascii="Arial" w:hAnsi="Arial" w:cs="Arial"/>
        </w:rPr>
        <w:t xml:space="preserve">would benefit from the term </w:t>
      </w:r>
      <w:r w:rsidR="00683C99">
        <w:rPr>
          <w:rFonts w:ascii="Arial" w:hAnsi="Arial" w:cs="Arial"/>
        </w:rPr>
        <w:t>‘</w:t>
      </w:r>
      <w:r w:rsidRPr="00683C99">
        <w:rPr>
          <w:rFonts w:ascii="Arial" w:hAnsi="Arial" w:cs="Arial"/>
          <w:i/>
        </w:rPr>
        <w:t>complai</w:t>
      </w:r>
      <w:r w:rsidR="00221439" w:rsidRPr="00683C99">
        <w:rPr>
          <w:rFonts w:ascii="Arial" w:hAnsi="Arial" w:cs="Arial"/>
          <w:i/>
        </w:rPr>
        <w:t>nt</w:t>
      </w:r>
      <w:r w:rsidR="00683C99" w:rsidRPr="00683C99">
        <w:rPr>
          <w:rFonts w:ascii="Arial" w:hAnsi="Arial" w:cs="Arial"/>
          <w:i/>
        </w:rPr>
        <w:t>’</w:t>
      </w:r>
      <w:r w:rsidR="00221439">
        <w:rPr>
          <w:rFonts w:ascii="Arial" w:hAnsi="Arial" w:cs="Arial"/>
        </w:rPr>
        <w:t xml:space="preserve"> being defined in the FW Act so that there is an </w:t>
      </w:r>
      <w:r>
        <w:rPr>
          <w:rFonts w:ascii="Arial" w:hAnsi="Arial" w:cs="Arial"/>
        </w:rPr>
        <w:t>objective test to ensure that the protection does not extend to comments in passing</w:t>
      </w:r>
      <w:r w:rsidR="00221439">
        <w:rPr>
          <w:rFonts w:ascii="Arial" w:hAnsi="Arial" w:cs="Arial"/>
        </w:rPr>
        <w:t xml:space="preserve"> or made informally that do not contain a grievance o</w:t>
      </w:r>
      <w:r w:rsidR="00936248">
        <w:rPr>
          <w:rFonts w:ascii="Arial" w:hAnsi="Arial" w:cs="Arial"/>
        </w:rPr>
        <w:t>r</w:t>
      </w:r>
      <w:r w:rsidR="00221439">
        <w:rPr>
          <w:rFonts w:ascii="Arial" w:hAnsi="Arial" w:cs="Arial"/>
        </w:rPr>
        <w:t xml:space="preserve"> accusation</w:t>
      </w:r>
      <w:r>
        <w:rPr>
          <w:rFonts w:ascii="Arial" w:hAnsi="Arial" w:cs="Arial"/>
        </w:rPr>
        <w:t xml:space="preserve">. In the absence of some qualification or limitation, theoretically the most innocuous statements could constitute a protected complaint. </w:t>
      </w:r>
    </w:p>
    <w:p w:rsidR="00D33EB4" w:rsidRDefault="00D33EB4" w:rsidP="000215B7">
      <w:pPr>
        <w:rPr>
          <w:rFonts w:ascii="Arial" w:hAnsi="Arial" w:cs="Arial"/>
        </w:rPr>
      </w:pPr>
    </w:p>
    <w:p w:rsidR="000215B7" w:rsidRPr="001069B7" w:rsidRDefault="007B6A35" w:rsidP="000215B7">
      <w:pPr>
        <w:rPr>
          <w:rFonts w:ascii="Arial" w:hAnsi="Arial" w:cs="Arial"/>
          <w:b/>
          <w:bCs/>
          <w:i/>
          <w:color w:val="C0504D"/>
          <w:sz w:val="24"/>
          <w:szCs w:val="24"/>
        </w:rPr>
      </w:pPr>
      <w:r>
        <w:rPr>
          <w:rFonts w:ascii="Arial" w:hAnsi="Arial" w:cs="Arial"/>
          <w:b/>
          <w:bCs/>
          <w:i/>
          <w:color w:val="C0504D"/>
          <w:sz w:val="24"/>
          <w:szCs w:val="24"/>
        </w:rPr>
        <w:t xml:space="preserve">2(b) </w:t>
      </w:r>
      <w:r w:rsidR="000215B7" w:rsidRPr="001069B7">
        <w:rPr>
          <w:rFonts w:ascii="Arial" w:hAnsi="Arial" w:cs="Arial"/>
          <w:b/>
          <w:bCs/>
          <w:i/>
          <w:color w:val="C0504D"/>
          <w:sz w:val="24"/>
          <w:szCs w:val="24"/>
        </w:rPr>
        <w:t>Lack of a requirement to properly communicate the complaint</w:t>
      </w:r>
    </w:p>
    <w:p w:rsidR="000215B7" w:rsidRDefault="007B6A35" w:rsidP="000215B7">
      <w:pPr>
        <w:rPr>
          <w:rFonts w:ascii="Arial" w:hAnsi="Arial" w:cs="Arial"/>
        </w:rPr>
      </w:pPr>
      <w:r>
        <w:rPr>
          <w:rFonts w:ascii="Arial" w:hAnsi="Arial" w:cs="Arial"/>
        </w:rPr>
        <w:t>Leading on from the above, e</w:t>
      </w:r>
      <w:r w:rsidR="000215B7">
        <w:rPr>
          <w:rFonts w:ascii="Arial" w:hAnsi="Arial" w:cs="Arial"/>
        </w:rPr>
        <w:t>mployers need to be able to identify when a complaint received falls within the scope of ss 341(1)(c)(ii) of the FW Act</w:t>
      </w:r>
      <w:r>
        <w:rPr>
          <w:rFonts w:ascii="Arial" w:hAnsi="Arial" w:cs="Arial"/>
        </w:rPr>
        <w:t>,  and where potential liability arises as a consequence.</w:t>
      </w:r>
    </w:p>
    <w:p w:rsidR="000215B7" w:rsidRDefault="000215B7" w:rsidP="000215B7">
      <w:pPr>
        <w:rPr>
          <w:rFonts w:ascii="Arial" w:hAnsi="Arial" w:cs="Arial"/>
        </w:rPr>
      </w:pPr>
      <w:r>
        <w:rPr>
          <w:rFonts w:ascii="Arial" w:hAnsi="Arial" w:cs="Arial"/>
        </w:rPr>
        <w:t xml:space="preserve">To improve clarity </w:t>
      </w:r>
      <w:r w:rsidR="007B6A35">
        <w:rPr>
          <w:rFonts w:ascii="Arial" w:hAnsi="Arial" w:cs="Arial"/>
        </w:rPr>
        <w:t xml:space="preserve">around this, </w:t>
      </w:r>
      <w:r>
        <w:rPr>
          <w:rFonts w:ascii="Arial" w:hAnsi="Arial" w:cs="Arial"/>
        </w:rPr>
        <w:t xml:space="preserve">CCER supports the qualification stated by Dodds-Streeton J in </w:t>
      </w:r>
      <w:r w:rsidRPr="00360E48">
        <w:rPr>
          <w:rFonts w:ascii="Arial" w:hAnsi="Arial" w:cs="Arial"/>
          <w:i/>
        </w:rPr>
        <w:t>Shea</w:t>
      </w:r>
      <w:r>
        <w:rPr>
          <w:rFonts w:ascii="Arial" w:hAnsi="Arial" w:cs="Arial"/>
        </w:rPr>
        <w:t>, that a complaint must be properly communicated to the employer in such a way that a reasonable person would consider that the employer was put on notice that it was required to take some form of significant or structured action in response to the complaint (</w:t>
      </w:r>
      <w:r w:rsidR="00936248">
        <w:rPr>
          <w:rFonts w:ascii="Arial" w:hAnsi="Arial" w:cs="Arial"/>
        </w:rPr>
        <w:t xml:space="preserve">for example, </w:t>
      </w:r>
      <w:r>
        <w:rPr>
          <w:rFonts w:ascii="Arial" w:hAnsi="Arial" w:cs="Arial"/>
        </w:rPr>
        <w:t>an investigation, a mediation, or at least a specific meeting to address the concerns):</w:t>
      </w:r>
    </w:p>
    <w:p w:rsidR="00EE11AA" w:rsidRDefault="000215B7" w:rsidP="000215B7">
      <w:pPr>
        <w:ind w:left="720"/>
        <w:rPr>
          <w:rFonts w:ascii="Arial" w:hAnsi="Arial" w:cs="Arial"/>
          <w:i/>
          <w:color w:val="000000"/>
          <w:sz w:val="20"/>
          <w:szCs w:val="20"/>
        </w:rPr>
      </w:pPr>
      <w:r w:rsidRPr="002F1C83">
        <w:rPr>
          <w:rFonts w:ascii="Arial" w:hAnsi="Arial" w:cs="Arial"/>
          <w:i/>
          <w:color w:val="000000"/>
          <w:sz w:val="20"/>
          <w:szCs w:val="20"/>
        </w:rPr>
        <w:t>the proper purpose of making a complaint is giving notification of the grievance, accusation or finding of fault so that it may be, at least, received and, where appropr</w:t>
      </w:r>
      <w:r w:rsidR="00EE11AA">
        <w:rPr>
          <w:rFonts w:ascii="Arial" w:hAnsi="Arial" w:cs="Arial"/>
          <w:i/>
          <w:color w:val="000000"/>
          <w:sz w:val="20"/>
          <w:szCs w:val="20"/>
        </w:rPr>
        <w:t>iate, investigated or redresse</w:t>
      </w:r>
      <w:r>
        <w:rPr>
          <w:rFonts w:ascii="Arial" w:hAnsi="Arial" w:cs="Arial"/>
          <w:i/>
          <w:color w:val="000000"/>
          <w:sz w:val="20"/>
          <w:szCs w:val="20"/>
        </w:rPr>
        <w:t>’</w:t>
      </w:r>
      <w:r w:rsidR="00EE11AA">
        <w:rPr>
          <w:rStyle w:val="FootnoteReference"/>
          <w:rFonts w:ascii="Arial" w:hAnsi="Arial" w:cs="Arial"/>
          <w:i/>
          <w:color w:val="000000"/>
          <w:sz w:val="20"/>
          <w:szCs w:val="20"/>
        </w:rPr>
        <w:footnoteReference w:id="77"/>
      </w:r>
      <w:r>
        <w:rPr>
          <w:rFonts w:ascii="Arial" w:hAnsi="Arial" w:cs="Arial"/>
          <w:i/>
          <w:color w:val="000000"/>
          <w:sz w:val="20"/>
          <w:szCs w:val="20"/>
        </w:rPr>
        <w:t xml:space="preserve"> </w:t>
      </w:r>
      <w:r w:rsidRPr="002F1C83">
        <w:rPr>
          <w:rFonts w:ascii="Arial" w:hAnsi="Arial" w:cs="Arial"/>
          <w:i/>
          <w:color w:val="000000"/>
          <w:sz w:val="20"/>
          <w:szCs w:val="20"/>
        </w:rPr>
        <w:t xml:space="preserve"> </w:t>
      </w:r>
    </w:p>
    <w:p w:rsidR="000215B7" w:rsidRDefault="000215B7" w:rsidP="000215B7">
      <w:pPr>
        <w:ind w:left="720"/>
        <w:rPr>
          <w:rFonts w:ascii="Arial" w:hAnsi="Arial" w:cs="Arial"/>
          <w:color w:val="000000"/>
          <w:sz w:val="20"/>
          <w:szCs w:val="20"/>
        </w:rPr>
      </w:pPr>
      <w:r>
        <w:rPr>
          <w:rFonts w:ascii="Arial" w:hAnsi="Arial" w:cs="Arial"/>
          <w:color w:val="000000"/>
          <w:sz w:val="20"/>
          <w:szCs w:val="20"/>
        </w:rPr>
        <w:t>...</w:t>
      </w:r>
    </w:p>
    <w:p w:rsidR="000215B7" w:rsidRDefault="000215B7" w:rsidP="000215B7">
      <w:pPr>
        <w:ind w:left="720"/>
        <w:rPr>
          <w:rFonts w:ascii="Arial" w:hAnsi="Arial" w:cs="Arial"/>
          <w:sz w:val="20"/>
          <w:szCs w:val="20"/>
        </w:rPr>
      </w:pPr>
      <w:r>
        <w:rPr>
          <w:rFonts w:ascii="Arial" w:hAnsi="Arial" w:cs="Arial"/>
          <w:i/>
          <w:sz w:val="20"/>
          <w:szCs w:val="20"/>
        </w:rPr>
        <w:t>‘</w:t>
      </w:r>
      <w:r w:rsidRPr="002F1C83">
        <w:rPr>
          <w:rFonts w:ascii="Arial" w:hAnsi="Arial" w:cs="Arial"/>
          <w:i/>
          <w:sz w:val="20"/>
          <w:szCs w:val="20"/>
        </w:rPr>
        <w:t>Whether an employee has made a complaint is a matter of substance, not form, which should be determined in the light of all the relevant circumstances. It does not depend solely on the words used. An employee’s communication of a grievance or accusation could amount to making a complaint within the meaning of s 341(1)(c)(ii) despite an express disavowal of any intention to complain if a reasonable observer would conclude from the employee’s words and conduct in the circumstances (including the nature and gravity of the grievance or accusation) that he or she intended to bring the grievance to the employee’s attention for consideration or other appropriate action</w:t>
      </w:r>
      <w:r>
        <w:rPr>
          <w:rFonts w:ascii="Arial" w:hAnsi="Arial" w:cs="Arial"/>
          <w:i/>
          <w:sz w:val="20"/>
          <w:szCs w:val="20"/>
        </w:rPr>
        <w:t>.’</w:t>
      </w:r>
      <w:r w:rsidR="00EE11AA">
        <w:rPr>
          <w:rStyle w:val="FootnoteReference"/>
          <w:rFonts w:ascii="Arial" w:hAnsi="Arial" w:cs="Arial"/>
          <w:i/>
          <w:sz w:val="20"/>
          <w:szCs w:val="20"/>
        </w:rPr>
        <w:footnoteReference w:id="78"/>
      </w:r>
      <w:r>
        <w:rPr>
          <w:rFonts w:ascii="Arial" w:hAnsi="Arial" w:cs="Arial"/>
          <w:sz w:val="20"/>
          <w:szCs w:val="20"/>
        </w:rPr>
        <w:t xml:space="preserve"> </w:t>
      </w:r>
    </w:p>
    <w:p w:rsidR="000215B7" w:rsidRDefault="000215B7" w:rsidP="000215B7">
      <w:pPr>
        <w:rPr>
          <w:rFonts w:ascii="Arial" w:hAnsi="Arial" w:cs="Arial"/>
          <w:color w:val="000000"/>
        </w:rPr>
      </w:pPr>
      <w:r w:rsidRPr="00400B42">
        <w:rPr>
          <w:rFonts w:ascii="Arial" w:hAnsi="Arial" w:cs="Arial"/>
          <w:color w:val="000000"/>
        </w:rPr>
        <w:t xml:space="preserve">Without such a qualification, </w:t>
      </w:r>
      <w:r>
        <w:rPr>
          <w:rFonts w:ascii="Arial" w:hAnsi="Arial" w:cs="Arial"/>
          <w:color w:val="000000"/>
        </w:rPr>
        <w:t xml:space="preserve">it is possible that a complaint made to a colleague which is not brought to the attention of management, or not raised or relayed in full or with sufficient detail, may still be sufficient to attract the protection of the FW Act. This is problematic where an employer is effectively unaware that a workplace right is being exercised, yet such a right may still form the basis of an alleged claim of unlawful adverse action which the employer would be required to defend. </w:t>
      </w:r>
    </w:p>
    <w:p w:rsidR="00253140" w:rsidRDefault="000215B7" w:rsidP="000215B7">
      <w:pPr>
        <w:rPr>
          <w:rFonts w:ascii="Arial" w:hAnsi="Arial" w:cs="Arial"/>
          <w:i/>
          <w:color w:val="000000"/>
        </w:rPr>
      </w:pPr>
      <w:r>
        <w:rPr>
          <w:rFonts w:ascii="Arial" w:hAnsi="Arial" w:cs="Arial"/>
          <w:color w:val="000000"/>
        </w:rPr>
        <w:t xml:space="preserve">The need for some form of communication requirement, was considered although not determined, by the Full Bench of Fair Work Australia in </w:t>
      </w:r>
      <w:r w:rsidRPr="00AA75A1">
        <w:rPr>
          <w:rFonts w:ascii="Arial" w:hAnsi="Arial" w:cs="Arial"/>
          <w:i/>
          <w:color w:val="000000"/>
        </w:rPr>
        <w:t>Nulty v Blue Star Group</w:t>
      </w:r>
      <w:r w:rsidR="00EE11AA">
        <w:rPr>
          <w:rStyle w:val="FootnoteReference"/>
          <w:rFonts w:ascii="Arial" w:hAnsi="Arial" w:cs="Arial"/>
          <w:i/>
          <w:color w:val="000000"/>
        </w:rPr>
        <w:footnoteReference w:id="79"/>
      </w:r>
      <w:r>
        <w:rPr>
          <w:rFonts w:ascii="Arial" w:hAnsi="Arial" w:cs="Arial"/>
          <w:color w:val="000000"/>
        </w:rPr>
        <w:t xml:space="preserve">. The Full Bench appeared to assume that for a </w:t>
      </w:r>
      <w:r w:rsidR="00CD2201">
        <w:rPr>
          <w:rFonts w:ascii="Arial" w:hAnsi="Arial" w:cs="Arial"/>
          <w:color w:val="000000"/>
        </w:rPr>
        <w:t>‘</w:t>
      </w:r>
      <w:r w:rsidRPr="00CD2201">
        <w:rPr>
          <w:rFonts w:ascii="Arial" w:hAnsi="Arial" w:cs="Arial"/>
          <w:i/>
          <w:color w:val="000000"/>
        </w:rPr>
        <w:t>complaint</w:t>
      </w:r>
      <w:r w:rsidR="00CD2201" w:rsidRPr="00CD2201">
        <w:rPr>
          <w:rFonts w:ascii="Arial" w:hAnsi="Arial" w:cs="Arial"/>
          <w:i/>
          <w:color w:val="000000"/>
        </w:rPr>
        <w:t>’</w:t>
      </w:r>
      <w:r w:rsidRPr="00CD2201">
        <w:rPr>
          <w:rFonts w:ascii="Arial" w:hAnsi="Arial" w:cs="Arial"/>
          <w:i/>
          <w:color w:val="000000"/>
        </w:rPr>
        <w:t xml:space="preserve"> </w:t>
      </w:r>
      <w:r>
        <w:rPr>
          <w:rFonts w:ascii="Arial" w:hAnsi="Arial" w:cs="Arial"/>
          <w:color w:val="000000"/>
        </w:rPr>
        <w:t xml:space="preserve">to attract the protection of the FW Act it must be made to a </w:t>
      </w:r>
      <w:r w:rsidR="00CD2201">
        <w:rPr>
          <w:rFonts w:ascii="Arial" w:hAnsi="Arial" w:cs="Arial"/>
          <w:color w:val="000000"/>
        </w:rPr>
        <w:t>‘</w:t>
      </w:r>
      <w:r w:rsidRPr="00496676">
        <w:rPr>
          <w:rFonts w:ascii="Arial" w:hAnsi="Arial" w:cs="Arial"/>
          <w:i/>
          <w:color w:val="000000"/>
        </w:rPr>
        <w:t>responsible senior manager</w:t>
      </w:r>
      <w:r w:rsidR="00CD2201">
        <w:rPr>
          <w:rFonts w:ascii="Arial" w:hAnsi="Arial" w:cs="Arial"/>
          <w:i/>
          <w:color w:val="000000"/>
        </w:rPr>
        <w:t>’</w:t>
      </w:r>
      <w:r w:rsidR="00EE11AA">
        <w:rPr>
          <w:rFonts w:ascii="Arial" w:hAnsi="Arial" w:cs="Arial"/>
          <w:color w:val="000000"/>
        </w:rPr>
        <w:t>.</w:t>
      </w:r>
      <w:r w:rsidR="00EE11AA">
        <w:rPr>
          <w:rStyle w:val="FootnoteReference"/>
          <w:rFonts w:ascii="Arial" w:hAnsi="Arial" w:cs="Arial"/>
          <w:color w:val="000000"/>
        </w:rPr>
        <w:footnoteReference w:id="80"/>
      </w:r>
      <w:r>
        <w:rPr>
          <w:rFonts w:ascii="Arial" w:hAnsi="Arial" w:cs="Arial"/>
          <w:color w:val="000000"/>
        </w:rPr>
        <w:t xml:space="preserve"> </w:t>
      </w:r>
    </w:p>
    <w:p w:rsidR="000215B7" w:rsidRPr="00253140" w:rsidRDefault="00253140" w:rsidP="00253140">
      <w:pPr>
        <w:rPr>
          <w:rFonts w:ascii="Arial" w:hAnsi="Arial" w:cs="Arial"/>
          <w:i/>
          <w:color w:val="000000"/>
        </w:rPr>
      </w:pPr>
      <w:r>
        <w:rPr>
          <w:rFonts w:ascii="Arial" w:hAnsi="Arial" w:cs="Arial"/>
          <w:b/>
          <w:bCs/>
          <w:i/>
          <w:color w:val="C0504D"/>
          <w:sz w:val="24"/>
          <w:szCs w:val="24"/>
        </w:rPr>
        <w:t xml:space="preserve">(3) </w:t>
      </w:r>
      <w:r w:rsidR="000215B7" w:rsidRPr="001069B7">
        <w:rPr>
          <w:rFonts w:ascii="Arial" w:hAnsi="Arial" w:cs="Arial"/>
          <w:b/>
          <w:bCs/>
          <w:i/>
          <w:color w:val="C0504D"/>
          <w:sz w:val="24"/>
          <w:szCs w:val="24"/>
        </w:rPr>
        <w:t xml:space="preserve">Clarity surrounding the meaning of </w:t>
      </w:r>
      <w:r w:rsidR="001069B7">
        <w:rPr>
          <w:rFonts w:ascii="Arial" w:hAnsi="Arial" w:cs="Arial"/>
          <w:b/>
          <w:bCs/>
          <w:i/>
          <w:color w:val="C0504D"/>
          <w:sz w:val="24"/>
          <w:szCs w:val="24"/>
        </w:rPr>
        <w:t>‘</w:t>
      </w:r>
      <w:r w:rsidR="000215B7" w:rsidRPr="001069B7">
        <w:rPr>
          <w:rFonts w:ascii="Arial" w:hAnsi="Arial" w:cs="Arial"/>
          <w:b/>
          <w:bCs/>
          <w:i/>
          <w:color w:val="C0504D"/>
          <w:sz w:val="24"/>
          <w:szCs w:val="24"/>
        </w:rPr>
        <w:t>in relation to his or her employment</w:t>
      </w:r>
      <w:r w:rsidR="001069B7">
        <w:rPr>
          <w:rFonts w:ascii="Arial" w:hAnsi="Arial" w:cs="Arial"/>
          <w:b/>
          <w:bCs/>
          <w:i/>
          <w:color w:val="C0504D"/>
          <w:sz w:val="24"/>
          <w:szCs w:val="24"/>
        </w:rPr>
        <w:t>’</w:t>
      </w:r>
    </w:p>
    <w:p w:rsidR="000215B7" w:rsidRDefault="001024A5" w:rsidP="000215B7">
      <w:pPr>
        <w:rPr>
          <w:rFonts w:ascii="Arial" w:hAnsi="Arial" w:cs="Arial"/>
        </w:rPr>
      </w:pPr>
      <w:r>
        <w:rPr>
          <w:rFonts w:ascii="Arial" w:hAnsi="Arial" w:cs="Arial"/>
        </w:rPr>
        <w:t xml:space="preserve">It is unclear whether </w:t>
      </w:r>
      <w:r w:rsidR="00175CEC">
        <w:rPr>
          <w:rFonts w:ascii="Arial" w:hAnsi="Arial" w:cs="Arial"/>
        </w:rPr>
        <w:t>P</w:t>
      </w:r>
      <w:r w:rsidR="000215B7">
        <w:rPr>
          <w:rFonts w:ascii="Arial" w:hAnsi="Arial" w:cs="Arial"/>
        </w:rPr>
        <w:t xml:space="preserve">arliament intended to limit the </w:t>
      </w:r>
      <w:r>
        <w:rPr>
          <w:rFonts w:ascii="Arial" w:hAnsi="Arial" w:cs="Arial"/>
        </w:rPr>
        <w:t xml:space="preserve">complaint or inquiry right </w:t>
      </w:r>
      <w:r w:rsidR="000215B7">
        <w:rPr>
          <w:rFonts w:ascii="Arial" w:hAnsi="Arial" w:cs="Arial"/>
        </w:rPr>
        <w:t xml:space="preserve">protection to making a complaint or inquiry in relation to a complainant’s own employment, or whether the protection extends to complaints or inquiries that are unrelated or only indirectly related to the </w:t>
      </w:r>
      <w:r>
        <w:rPr>
          <w:rFonts w:ascii="Arial" w:hAnsi="Arial" w:cs="Arial"/>
        </w:rPr>
        <w:t>complainant’s</w:t>
      </w:r>
      <w:r w:rsidR="000215B7">
        <w:rPr>
          <w:rFonts w:ascii="Arial" w:hAnsi="Arial" w:cs="Arial"/>
        </w:rPr>
        <w:t xml:space="preserve"> employment.</w:t>
      </w:r>
    </w:p>
    <w:p w:rsidR="000215B7" w:rsidRDefault="000215B7" w:rsidP="000215B7">
      <w:pPr>
        <w:rPr>
          <w:rFonts w:ascii="Arial" w:hAnsi="Arial" w:cs="Arial"/>
        </w:rPr>
      </w:pPr>
      <w:r>
        <w:rPr>
          <w:rFonts w:ascii="Arial" w:hAnsi="Arial" w:cs="Arial"/>
        </w:rPr>
        <w:lastRenderedPageBreak/>
        <w:t xml:space="preserve">The case law appears to point towards a broader interpretation which includes complaints which are potentially indirectly related </w:t>
      </w:r>
      <w:r w:rsidR="001024A5">
        <w:rPr>
          <w:rFonts w:ascii="Arial" w:hAnsi="Arial" w:cs="Arial"/>
        </w:rPr>
        <w:t xml:space="preserve">to the complainant’s employment. In </w:t>
      </w:r>
      <w:r w:rsidR="00635864" w:rsidRPr="00635864">
        <w:rPr>
          <w:rFonts w:ascii="Arial" w:hAnsi="Arial" w:cs="Arial"/>
          <w:i/>
        </w:rPr>
        <w:t>Walsh v Greater Metropolitan Cemeteries Trust (No 2</w:t>
      </w:r>
      <w:r w:rsidR="00635864">
        <w:rPr>
          <w:rFonts w:ascii="Arial" w:hAnsi="Arial" w:cs="Arial"/>
        </w:rPr>
        <w:t>)</w:t>
      </w:r>
      <w:r w:rsidR="00AD3202">
        <w:rPr>
          <w:rStyle w:val="FootnoteReference"/>
          <w:rFonts w:ascii="Arial" w:hAnsi="Arial" w:cs="Arial"/>
        </w:rPr>
        <w:footnoteReference w:id="81"/>
      </w:r>
      <w:r w:rsidR="00635864">
        <w:rPr>
          <w:rFonts w:ascii="Arial" w:hAnsi="Arial" w:cs="Arial"/>
        </w:rPr>
        <w:t xml:space="preserve"> Bromberg J stated</w:t>
      </w:r>
      <w:r w:rsidR="00AD3202">
        <w:rPr>
          <w:rFonts w:ascii="Arial" w:hAnsi="Arial" w:cs="Arial"/>
        </w:rPr>
        <w:t xml:space="preserve"> at [41]-[42]</w:t>
      </w:r>
      <w:r w:rsidR="00635864">
        <w:rPr>
          <w:rFonts w:ascii="Arial" w:hAnsi="Arial" w:cs="Arial"/>
        </w:rPr>
        <w:t>:</w:t>
      </w:r>
    </w:p>
    <w:p w:rsidR="000215B7" w:rsidRPr="00D82828" w:rsidRDefault="000215B7" w:rsidP="00AD3202">
      <w:pPr>
        <w:spacing w:after="0" w:line="240" w:lineRule="auto"/>
        <w:ind w:left="1134"/>
        <w:rPr>
          <w:rFonts w:ascii="Arial" w:eastAsia="Times New Roman" w:hAnsi="Arial" w:cs="Arial"/>
          <w:i/>
          <w:color w:val="000000"/>
          <w:sz w:val="20"/>
          <w:szCs w:val="20"/>
          <w:lang w:eastAsia="en-AU"/>
        </w:rPr>
      </w:pPr>
      <w:r w:rsidRPr="00D82828">
        <w:rPr>
          <w:rFonts w:ascii="Arial" w:eastAsia="Times New Roman" w:hAnsi="Arial" w:cs="Arial"/>
          <w:i/>
          <w:color w:val="000000"/>
          <w:sz w:val="20"/>
          <w:szCs w:val="20"/>
          <w:lang w:eastAsia="en-AU"/>
        </w:rPr>
        <w:t xml:space="preserve">The words “in relation to” are words of wide import. The use of that phrase in s 341(1)(c)(ii) identifies that a relationship between the subject matter of the complaint and the complainant’s employment is required. The nature of that relationship need not be direct and may be indirect: </w:t>
      </w:r>
      <w:r w:rsidRPr="00D82828">
        <w:rPr>
          <w:rFonts w:ascii="Arial" w:eastAsia="Times New Roman" w:hAnsi="Arial" w:cs="Arial"/>
          <w:i/>
          <w:iCs/>
          <w:color w:val="000000"/>
          <w:sz w:val="20"/>
          <w:szCs w:val="20"/>
          <w:lang w:eastAsia="en-AU"/>
        </w:rPr>
        <w:t xml:space="preserve">Construction, Forestry, Mining and Energy Union v Pilbara Iron Company (Services) Pty Ltd (No 3) </w:t>
      </w:r>
      <w:hyperlink r:id="rId22" w:tooltip="View Case" w:history="1">
        <w:r w:rsidRPr="00D82828">
          <w:rPr>
            <w:rFonts w:ascii="Arial" w:eastAsia="Times New Roman" w:hAnsi="Arial" w:cs="Arial"/>
            <w:i/>
            <w:color w:val="000000"/>
            <w:sz w:val="20"/>
            <w:szCs w:val="20"/>
            <w:lang w:eastAsia="en-AU"/>
          </w:rPr>
          <w:t>[2012] FCA 697</w:t>
        </w:r>
      </w:hyperlink>
      <w:r w:rsidRPr="00D82828">
        <w:rPr>
          <w:rFonts w:ascii="Arial" w:eastAsia="Times New Roman" w:hAnsi="Arial" w:cs="Arial"/>
          <w:i/>
          <w:color w:val="000000"/>
          <w:sz w:val="20"/>
          <w:szCs w:val="20"/>
          <w:lang w:eastAsia="en-AU"/>
        </w:rPr>
        <w:t xml:space="preserve"> at </w:t>
      </w:r>
      <w:hyperlink r:id="rId23" w:anchor="para61" w:history="1">
        <w:r w:rsidRPr="00D82828">
          <w:rPr>
            <w:rFonts w:ascii="Arial" w:eastAsia="Times New Roman" w:hAnsi="Arial" w:cs="Arial"/>
            <w:i/>
            <w:color w:val="000000"/>
            <w:sz w:val="20"/>
            <w:szCs w:val="20"/>
            <w:lang w:eastAsia="en-AU"/>
          </w:rPr>
          <w:t>[61]</w:t>
        </w:r>
      </w:hyperlink>
      <w:r w:rsidRPr="00D82828">
        <w:rPr>
          <w:rFonts w:ascii="Arial" w:eastAsia="Times New Roman" w:hAnsi="Arial" w:cs="Arial"/>
          <w:i/>
          <w:color w:val="000000"/>
          <w:sz w:val="20"/>
          <w:szCs w:val="20"/>
          <w:lang w:eastAsia="en-AU"/>
        </w:rPr>
        <w:t xml:space="preserve">- </w:t>
      </w:r>
      <w:hyperlink r:id="rId24" w:anchor="para64" w:history="1">
        <w:r w:rsidRPr="00D82828">
          <w:rPr>
            <w:rFonts w:ascii="Arial" w:eastAsia="Times New Roman" w:hAnsi="Arial" w:cs="Arial"/>
            <w:i/>
            <w:color w:val="000000"/>
            <w:sz w:val="20"/>
            <w:szCs w:val="20"/>
            <w:lang w:eastAsia="en-AU"/>
          </w:rPr>
          <w:t>[64]</w:t>
        </w:r>
      </w:hyperlink>
      <w:r w:rsidRPr="00D82828">
        <w:rPr>
          <w:rFonts w:ascii="Arial" w:eastAsia="Times New Roman" w:hAnsi="Arial" w:cs="Arial"/>
          <w:i/>
          <w:color w:val="000000"/>
          <w:sz w:val="20"/>
          <w:szCs w:val="20"/>
          <w:lang w:eastAsia="en-AU"/>
        </w:rPr>
        <w:t xml:space="preserve"> (Katzmann J); </w:t>
      </w:r>
      <w:r w:rsidRPr="00D82828">
        <w:rPr>
          <w:rFonts w:ascii="Arial" w:eastAsia="Times New Roman" w:hAnsi="Arial" w:cs="Arial"/>
          <w:i/>
          <w:iCs/>
          <w:color w:val="000000"/>
          <w:sz w:val="20"/>
          <w:szCs w:val="20"/>
          <w:lang w:eastAsia="en-AU"/>
        </w:rPr>
        <w:t>Shea v TRUenergy Services Pty Ltd (No 6)</w:t>
      </w:r>
      <w:r w:rsidRPr="00D82828">
        <w:rPr>
          <w:rFonts w:ascii="Arial" w:eastAsia="Times New Roman" w:hAnsi="Arial" w:cs="Arial"/>
          <w:i/>
          <w:color w:val="000000"/>
          <w:sz w:val="20"/>
          <w:szCs w:val="20"/>
          <w:lang w:eastAsia="en-AU"/>
        </w:rPr>
        <w:t xml:space="preserve"> </w:t>
      </w:r>
      <w:hyperlink r:id="rId25" w:tooltip="View Case" w:history="1">
        <w:r w:rsidRPr="00D82828">
          <w:rPr>
            <w:rFonts w:ascii="Arial" w:eastAsia="Times New Roman" w:hAnsi="Arial" w:cs="Arial"/>
            <w:i/>
            <w:color w:val="000000"/>
            <w:sz w:val="20"/>
            <w:szCs w:val="20"/>
            <w:lang w:eastAsia="en-AU"/>
          </w:rPr>
          <w:t>[2014] FCA 271</w:t>
        </w:r>
      </w:hyperlink>
      <w:r w:rsidRPr="00D82828">
        <w:rPr>
          <w:rFonts w:ascii="Arial" w:eastAsia="Times New Roman" w:hAnsi="Arial" w:cs="Arial"/>
          <w:i/>
          <w:iCs/>
          <w:color w:val="000000"/>
          <w:sz w:val="20"/>
          <w:szCs w:val="20"/>
          <w:lang w:eastAsia="en-AU"/>
        </w:rPr>
        <w:t xml:space="preserve"> </w:t>
      </w:r>
      <w:r w:rsidRPr="00D82828">
        <w:rPr>
          <w:rFonts w:ascii="Arial" w:eastAsia="Times New Roman" w:hAnsi="Arial" w:cs="Arial"/>
          <w:i/>
          <w:color w:val="000000"/>
          <w:sz w:val="20"/>
          <w:szCs w:val="20"/>
          <w:lang w:eastAsia="en-AU"/>
        </w:rPr>
        <w:t xml:space="preserve">at </w:t>
      </w:r>
      <w:hyperlink r:id="rId26" w:anchor="para631" w:history="1">
        <w:r w:rsidRPr="00D82828">
          <w:rPr>
            <w:rFonts w:ascii="Arial" w:eastAsia="Times New Roman" w:hAnsi="Arial" w:cs="Arial"/>
            <w:i/>
            <w:color w:val="000000"/>
            <w:sz w:val="20"/>
            <w:szCs w:val="20"/>
            <w:lang w:eastAsia="en-AU"/>
          </w:rPr>
          <w:t>[631]</w:t>
        </w:r>
      </w:hyperlink>
      <w:r w:rsidRPr="00D82828">
        <w:rPr>
          <w:rFonts w:ascii="Arial" w:eastAsia="Times New Roman" w:hAnsi="Arial" w:cs="Arial"/>
          <w:i/>
          <w:color w:val="000000"/>
          <w:sz w:val="20"/>
          <w:szCs w:val="20"/>
          <w:lang w:eastAsia="en-AU"/>
        </w:rPr>
        <w:t xml:space="preserve"> (Dodds-Streeton J). I respectfully agree with Katzmann J’s observation in </w:t>
      </w:r>
      <w:r w:rsidRPr="00D82828">
        <w:rPr>
          <w:rFonts w:ascii="Arial" w:eastAsia="Times New Roman" w:hAnsi="Arial" w:cs="Arial"/>
          <w:i/>
          <w:iCs/>
          <w:color w:val="000000"/>
          <w:sz w:val="20"/>
          <w:szCs w:val="20"/>
          <w:lang w:eastAsia="en-AU"/>
        </w:rPr>
        <w:t xml:space="preserve">Pilbara </w:t>
      </w:r>
      <w:r w:rsidRPr="00D82828">
        <w:rPr>
          <w:rFonts w:ascii="Arial" w:eastAsia="Times New Roman" w:hAnsi="Arial" w:cs="Arial"/>
          <w:i/>
          <w:color w:val="000000"/>
          <w:sz w:val="20"/>
          <w:szCs w:val="20"/>
          <w:lang w:eastAsia="en-AU"/>
        </w:rPr>
        <w:t>at [64] that if some limit on the broad language utilised in the phrase “in relation to his or her employment” is to be imposed, it needs to be “found in the nature and purpose of the legislation, which includes the protection of workplace rights”.</w:t>
      </w:r>
    </w:p>
    <w:p w:rsidR="00AD3202" w:rsidRDefault="00AD3202" w:rsidP="00AD3202">
      <w:pPr>
        <w:spacing w:after="0" w:line="240" w:lineRule="auto"/>
        <w:ind w:left="1134"/>
        <w:rPr>
          <w:rFonts w:ascii="Arial" w:eastAsia="Times New Roman" w:hAnsi="Arial" w:cs="Arial"/>
          <w:i/>
          <w:color w:val="000000"/>
          <w:sz w:val="20"/>
          <w:szCs w:val="20"/>
          <w:lang w:eastAsia="en-AU"/>
        </w:rPr>
      </w:pPr>
    </w:p>
    <w:p w:rsidR="000215B7" w:rsidRPr="00D82828" w:rsidRDefault="000215B7" w:rsidP="00AD3202">
      <w:pPr>
        <w:spacing w:after="0" w:line="240" w:lineRule="auto"/>
        <w:ind w:left="1134"/>
        <w:rPr>
          <w:rFonts w:ascii="Arial" w:eastAsia="Times New Roman" w:hAnsi="Arial" w:cs="Arial"/>
          <w:i/>
          <w:color w:val="000000"/>
          <w:sz w:val="20"/>
          <w:szCs w:val="20"/>
          <w:lang w:eastAsia="en-AU"/>
        </w:rPr>
      </w:pPr>
      <w:r w:rsidRPr="00D82828">
        <w:rPr>
          <w:rFonts w:ascii="Arial" w:eastAsia="Times New Roman" w:hAnsi="Arial" w:cs="Arial"/>
          <w:i/>
          <w:color w:val="000000"/>
          <w:sz w:val="20"/>
          <w:szCs w:val="20"/>
          <w:lang w:eastAsia="en-AU"/>
        </w:rPr>
        <w:t xml:space="preserve">Where the subject matter of the complaint raises an issue with potential implications for the complainant’s employment, it is likely that the requisite nexus will be satisfied: </w:t>
      </w:r>
      <w:r w:rsidRPr="00D82828">
        <w:rPr>
          <w:rFonts w:ascii="Arial" w:eastAsia="Times New Roman" w:hAnsi="Arial" w:cs="Arial"/>
          <w:i/>
          <w:iCs/>
          <w:color w:val="000000"/>
          <w:sz w:val="20"/>
          <w:szCs w:val="20"/>
          <w:lang w:eastAsia="en-AU"/>
        </w:rPr>
        <w:t>Pilbara</w:t>
      </w:r>
      <w:r w:rsidRPr="00D82828">
        <w:rPr>
          <w:rFonts w:ascii="Arial" w:eastAsia="Times New Roman" w:hAnsi="Arial" w:cs="Arial"/>
          <w:i/>
          <w:color w:val="000000"/>
          <w:sz w:val="20"/>
          <w:szCs w:val="20"/>
          <w:lang w:eastAsia="en-AU"/>
        </w:rPr>
        <w:t xml:space="preserve"> at [69]. </w:t>
      </w:r>
    </w:p>
    <w:p w:rsidR="00AD3202" w:rsidRDefault="00AD3202" w:rsidP="000215B7">
      <w:pPr>
        <w:rPr>
          <w:rFonts w:ascii="Arial" w:hAnsi="Arial" w:cs="Arial"/>
        </w:rPr>
      </w:pPr>
    </w:p>
    <w:p w:rsidR="000215B7" w:rsidRDefault="000215B7" w:rsidP="000215B7">
      <w:pPr>
        <w:rPr>
          <w:rFonts w:ascii="Arial" w:hAnsi="Arial" w:cs="Arial"/>
        </w:rPr>
      </w:pPr>
      <w:r>
        <w:rPr>
          <w:rFonts w:ascii="Arial" w:hAnsi="Arial" w:cs="Arial"/>
        </w:rPr>
        <w:t xml:space="preserve">In </w:t>
      </w:r>
      <w:r w:rsidRPr="00CC333C">
        <w:rPr>
          <w:rFonts w:ascii="Arial" w:hAnsi="Arial" w:cs="Arial"/>
          <w:i/>
        </w:rPr>
        <w:t>Heathcote v University of Sydney</w:t>
      </w:r>
      <w:r w:rsidR="00AD3202">
        <w:rPr>
          <w:rStyle w:val="FootnoteReference"/>
          <w:rFonts w:ascii="Arial" w:hAnsi="Arial" w:cs="Arial"/>
          <w:i/>
        </w:rPr>
        <w:footnoteReference w:id="82"/>
      </w:r>
      <w:r>
        <w:rPr>
          <w:rFonts w:ascii="Arial" w:hAnsi="Arial" w:cs="Arial"/>
        </w:rPr>
        <w:t xml:space="preserve">, the University’s argument that a complaint about the way a manager handled a complaint raised by the complainant, as opposed to the substance of the complaint itself, </w:t>
      </w:r>
      <w:r w:rsidR="00942512">
        <w:rPr>
          <w:rFonts w:ascii="Arial" w:hAnsi="Arial" w:cs="Arial"/>
        </w:rPr>
        <w:t xml:space="preserve">was not in relation to the complainant’s employment, </w:t>
      </w:r>
      <w:r>
        <w:rPr>
          <w:rFonts w:ascii="Arial" w:hAnsi="Arial" w:cs="Arial"/>
        </w:rPr>
        <w:t xml:space="preserve">was rejected on the basis that the complaint was nonetheless </w:t>
      </w:r>
      <w:r w:rsidRPr="00CC333C">
        <w:rPr>
          <w:rFonts w:ascii="Arial" w:hAnsi="Arial" w:cs="Arial"/>
          <w:i/>
        </w:rPr>
        <w:t>‘indirectly connected to his</w:t>
      </w:r>
      <w:r>
        <w:rPr>
          <w:rFonts w:ascii="Arial" w:hAnsi="Arial" w:cs="Arial"/>
        </w:rPr>
        <w:t xml:space="preserve"> (the complainant’s) </w:t>
      </w:r>
      <w:r w:rsidRPr="00CC333C">
        <w:rPr>
          <w:rFonts w:ascii="Arial" w:hAnsi="Arial" w:cs="Arial"/>
          <w:i/>
        </w:rPr>
        <w:t>employment</w:t>
      </w:r>
      <w:r w:rsidR="00AD3202">
        <w:rPr>
          <w:rFonts w:ascii="Arial" w:hAnsi="Arial" w:cs="Arial"/>
          <w:i/>
        </w:rPr>
        <w:t>.</w:t>
      </w:r>
      <w:r w:rsidRPr="00CC333C">
        <w:rPr>
          <w:rFonts w:ascii="Arial" w:hAnsi="Arial" w:cs="Arial"/>
          <w:i/>
        </w:rPr>
        <w:t>’</w:t>
      </w:r>
      <w:r w:rsidR="00AD3202">
        <w:rPr>
          <w:rStyle w:val="FootnoteReference"/>
          <w:rFonts w:ascii="Arial" w:hAnsi="Arial" w:cs="Arial"/>
          <w:i/>
        </w:rPr>
        <w:footnoteReference w:id="83"/>
      </w:r>
      <w:r w:rsidR="00AD3202">
        <w:rPr>
          <w:rFonts w:ascii="Arial" w:hAnsi="Arial" w:cs="Arial"/>
        </w:rPr>
        <w:t xml:space="preserve"> </w:t>
      </w:r>
    </w:p>
    <w:p w:rsidR="000215B7" w:rsidRDefault="000215B7" w:rsidP="000215B7">
      <w:pPr>
        <w:rPr>
          <w:rFonts w:ascii="Arial" w:hAnsi="Arial" w:cs="Arial"/>
        </w:rPr>
      </w:pPr>
      <w:r>
        <w:rPr>
          <w:rFonts w:ascii="Arial" w:hAnsi="Arial" w:cs="Arial"/>
        </w:rPr>
        <w:t xml:space="preserve">However, there is some inconsistency in the case law. The judgment of Marshall ACJ in </w:t>
      </w:r>
      <w:r w:rsidRPr="00433CC1">
        <w:rPr>
          <w:rFonts w:ascii="Arial" w:hAnsi="Arial" w:cs="Arial"/>
          <w:i/>
        </w:rPr>
        <w:t>Rowland v Alfred Health</w:t>
      </w:r>
      <w:r>
        <w:rPr>
          <w:rFonts w:ascii="Arial" w:hAnsi="Arial" w:cs="Arial"/>
        </w:rPr>
        <w:t xml:space="preserve"> [2014] FCA 2, was considered and distinguished by Bromberg J in </w:t>
      </w:r>
      <w:r w:rsidRPr="007633DD">
        <w:rPr>
          <w:rFonts w:ascii="Arial" w:hAnsi="Arial" w:cs="Arial"/>
          <w:i/>
        </w:rPr>
        <w:t>Walsh</w:t>
      </w:r>
      <w:r>
        <w:rPr>
          <w:rFonts w:ascii="Arial" w:hAnsi="Arial" w:cs="Arial"/>
        </w:rPr>
        <w:t>, who stated at [44]:</w:t>
      </w:r>
    </w:p>
    <w:p w:rsidR="000215B7" w:rsidRDefault="000215B7" w:rsidP="000215B7">
      <w:pPr>
        <w:ind w:left="720"/>
        <w:rPr>
          <w:rFonts w:ascii="Arial" w:hAnsi="Arial" w:cs="Arial"/>
          <w:i/>
          <w:sz w:val="20"/>
          <w:szCs w:val="20"/>
        </w:rPr>
      </w:pPr>
      <w:r w:rsidRPr="00621EB5">
        <w:rPr>
          <w:rFonts w:ascii="Arial" w:hAnsi="Arial" w:cs="Arial"/>
          <w:i/>
          <w:sz w:val="20"/>
          <w:szCs w:val="20"/>
        </w:rPr>
        <w:t xml:space="preserve">In determining the construction issue raised here, I have considered but have not been persuaded by GMCT’s reliance upon </w:t>
      </w:r>
      <w:r w:rsidRPr="00621EB5">
        <w:rPr>
          <w:rFonts w:ascii="Arial" w:hAnsi="Arial" w:cs="Arial"/>
          <w:i/>
          <w:iCs/>
          <w:sz w:val="20"/>
          <w:szCs w:val="20"/>
        </w:rPr>
        <w:t xml:space="preserve">Rowland v Alfred </w:t>
      </w:r>
      <w:r w:rsidRPr="007633DD">
        <w:rPr>
          <w:rFonts w:ascii="Arial" w:hAnsi="Arial" w:cs="Arial"/>
          <w:i/>
          <w:iCs/>
          <w:color w:val="000000"/>
          <w:sz w:val="20"/>
          <w:szCs w:val="20"/>
        </w:rPr>
        <w:t xml:space="preserve">Health </w:t>
      </w:r>
      <w:hyperlink r:id="rId27" w:tooltip="View Case" w:history="1">
        <w:r w:rsidRPr="007633DD">
          <w:rPr>
            <w:rStyle w:val="Hyperlink"/>
            <w:rFonts w:ascii="Arial" w:hAnsi="Arial" w:cs="Arial"/>
            <w:i/>
            <w:color w:val="000000"/>
            <w:sz w:val="20"/>
            <w:szCs w:val="20"/>
          </w:rPr>
          <w:t>[2014] FCA 2.</w:t>
        </w:r>
      </w:hyperlink>
      <w:r w:rsidRPr="00621EB5">
        <w:rPr>
          <w:rFonts w:ascii="Arial" w:hAnsi="Arial" w:cs="Arial"/>
          <w:i/>
          <w:sz w:val="20"/>
          <w:szCs w:val="20"/>
        </w:rPr>
        <w:t xml:space="preserve"> In that case, Marshall ACJ determined that a complaint made by a doctor about the competency of another doctor with whom he worked was not a complaint in relation to the complainant’s employment. Whether the clinical competence of the doctor complained about had potential implications for the employment of the complainant is not a matter that appears to have been raised before or addressed by Marshall ACJ. His Honour does not appear to have been referred to </w:t>
      </w:r>
      <w:r w:rsidRPr="00621EB5">
        <w:rPr>
          <w:rFonts w:ascii="Arial" w:hAnsi="Arial" w:cs="Arial"/>
          <w:i/>
          <w:iCs/>
          <w:sz w:val="20"/>
          <w:szCs w:val="20"/>
        </w:rPr>
        <w:t>Pilbara</w:t>
      </w:r>
      <w:r w:rsidRPr="00621EB5">
        <w:rPr>
          <w:rFonts w:ascii="Arial" w:hAnsi="Arial" w:cs="Arial"/>
          <w:i/>
          <w:sz w:val="20"/>
          <w:szCs w:val="20"/>
        </w:rPr>
        <w:t xml:space="preserve"> and did not have the benefit of </w:t>
      </w:r>
      <w:r w:rsidRPr="00621EB5">
        <w:rPr>
          <w:rFonts w:ascii="Arial" w:hAnsi="Arial" w:cs="Arial"/>
          <w:i/>
          <w:iCs/>
          <w:sz w:val="20"/>
          <w:szCs w:val="20"/>
        </w:rPr>
        <w:t>Shea</w:t>
      </w:r>
      <w:r>
        <w:rPr>
          <w:rFonts w:ascii="Arial" w:hAnsi="Arial" w:cs="Arial"/>
          <w:i/>
          <w:iCs/>
          <w:sz w:val="20"/>
          <w:szCs w:val="20"/>
        </w:rPr>
        <w:t>.</w:t>
      </w:r>
      <w:r w:rsidR="00AD3202">
        <w:rPr>
          <w:rStyle w:val="FootnoteReference"/>
          <w:rFonts w:ascii="Arial" w:hAnsi="Arial" w:cs="Arial"/>
          <w:i/>
          <w:iCs/>
          <w:sz w:val="20"/>
          <w:szCs w:val="20"/>
        </w:rPr>
        <w:footnoteReference w:id="84"/>
      </w:r>
    </w:p>
    <w:p w:rsidR="000215B7" w:rsidRPr="00635864" w:rsidRDefault="000215B7" w:rsidP="000215B7">
      <w:pPr>
        <w:rPr>
          <w:rFonts w:ascii="Arial" w:hAnsi="Arial" w:cs="Arial"/>
        </w:rPr>
      </w:pPr>
      <w:r w:rsidRPr="00635864">
        <w:rPr>
          <w:rFonts w:ascii="Arial" w:hAnsi="Arial" w:cs="Arial"/>
        </w:rPr>
        <w:t xml:space="preserve">In </w:t>
      </w:r>
      <w:r w:rsidRPr="00635864">
        <w:rPr>
          <w:rFonts w:ascii="Arial" w:hAnsi="Arial" w:cs="Arial"/>
          <w:i/>
        </w:rPr>
        <w:t>Evans v Trilab Pty Ltd</w:t>
      </w:r>
      <w:r w:rsidR="00D30808">
        <w:rPr>
          <w:rFonts w:ascii="Arial" w:hAnsi="Arial" w:cs="Arial"/>
        </w:rPr>
        <w:t>, Lucev J</w:t>
      </w:r>
      <w:r w:rsidRPr="00635864">
        <w:rPr>
          <w:rFonts w:ascii="Arial" w:hAnsi="Arial" w:cs="Arial"/>
        </w:rPr>
        <w:t xml:space="preserve"> identified divergent approaches to whether or not a complaint is </w:t>
      </w:r>
      <w:r w:rsidR="001D22B6" w:rsidRPr="001D22B6">
        <w:rPr>
          <w:rFonts w:ascii="Arial" w:hAnsi="Arial" w:cs="Arial"/>
          <w:i/>
        </w:rPr>
        <w:t>‘</w:t>
      </w:r>
      <w:r w:rsidRPr="001D22B6">
        <w:rPr>
          <w:rFonts w:ascii="Arial" w:hAnsi="Arial" w:cs="Arial"/>
          <w:i/>
        </w:rPr>
        <w:t>in relation to</w:t>
      </w:r>
      <w:r w:rsidR="001D22B6" w:rsidRPr="001D22B6">
        <w:rPr>
          <w:rFonts w:ascii="Arial" w:hAnsi="Arial" w:cs="Arial"/>
          <w:i/>
        </w:rPr>
        <w:t>’</w:t>
      </w:r>
      <w:r w:rsidRPr="00635864">
        <w:rPr>
          <w:rFonts w:ascii="Arial" w:hAnsi="Arial" w:cs="Arial"/>
        </w:rPr>
        <w:t xml:space="preserve"> a complainant’s employment in the following cases:</w:t>
      </w:r>
    </w:p>
    <w:p w:rsidR="000215B7" w:rsidRDefault="000215B7" w:rsidP="000215B7">
      <w:pPr>
        <w:ind w:left="720"/>
        <w:rPr>
          <w:rFonts w:ascii="Arial" w:hAnsi="Arial" w:cs="Arial"/>
          <w:sz w:val="20"/>
          <w:szCs w:val="20"/>
        </w:rPr>
      </w:pPr>
      <w:r w:rsidRPr="000904B7">
        <w:rPr>
          <w:rFonts w:ascii="Arial" w:hAnsi="Arial" w:cs="Arial"/>
          <w:sz w:val="20"/>
          <w:szCs w:val="20"/>
        </w:rPr>
        <w:t xml:space="preserve">The outcome in </w:t>
      </w:r>
      <w:r w:rsidRPr="000904B7">
        <w:rPr>
          <w:rFonts w:ascii="Arial" w:hAnsi="Arial" w:cs="Arial"/>
          <w:i/>
          <w:iCs/>
          <w:sz w:val="20"/>
          <w:szCs w:val="20"/>
        </w:rPr>
        <w:t>Schneider Electric</w:t>
      </w:r>
      <w:r w:rsidRPr="000904B7">
        <w:rPr>
          <w:rFonts w:ascii="Arial" w:hAnsi="Arial" w:cs="Arial"/>
          <w:sz w:val="20"/>
          <w:szCs w:val="20"/>
        </w:rPr>
        <w:t xml:space="preserve">, that no workplace right arises from the refusal to perform duties which were illegal or unlawful, also does not sit easily with the Federal Court’s judgment in </w:t>
      </w:r>
      <w:r w:rsidRPr="000904B7">
        <w:rPr>
          <w:rFonts w:ascii="Arial" w:hAnsi="Arial" w:cs="Arial"/>
          <w:i/>
          <w:iCs/>
          <w:sz w:val="20"/>
          <w:szCs w:val="20"/>
        </w:rPr>
        <w:t>Greater Metropolitan Cemeteries Trust (No. 2)</w:t>
      </w:r>
      <w:r w:rsidRPr="000904B7">
        <w:rPr>
          <w:rFonts w:ascii="Arial" w:hAnsi="Arial" w:cs="Arial"/>
          <w:sz w:val="20"/>
          <w:szCs w:val="20"/>
        </w:rPr>
        <w:t xml:space="preserve"> where the raising of a contract probity issue in relation to a supply contract, which if not raised might have reflected badly on the employee and caused her prejudice in her employment, was held to give rise to a workplace right under s.341(1)(c)(ii) of the </w:t>
      </w:r>
      <w:r w:rsidRPr="000904B7">
        <w:rPr>
          <w:rFonts w:ascii="Arial" w:hAnsi="Arial" w:cs="Arial"/>
          <w:i/>
          <w:iCs/>
          <w:sz w:val="20"/>
          <w:szCs w:val="20"/>
        </w:rPr>
        <w:t>FW Act</w:t>
      </w:r>
      <w:r w:rsidRPr="000904B7">
        <w:rPr>
          <w:rFonts w:ascii="Arial" w:hAnsi="Arial" w:cs="Arial"/>
          <w:sz w:val="20"/>
          <w:szCs w:val="20"/>
        </w:rPr>
        <w:t>.</w:t>
      </w:r>
      <w:r w:rsidR="00D30808">
        <w:rPr>
          <w:rStyle w:val="FootnoteReference"/>
          <w:rFonts w:ascii="Arial" w:hAnsi="Arial" w:cs="Arial"/>
          <w:sz w:val="20"/>
          <w:szCs w:val="20"/>
        </w:rPr>
        <w:footnoteReference w:id="85"/>
      </w:r>
    </w:p>
    <w:p w:rsidR="000215B7" w:rsidRPr="00635864" w:rsidRDefault="000215B7" w:rsidP="000215B7">
      <w:pPr>
        <w:rPr>
          <w:rFonts w:ascii="Arial" w:hAnsi="Arial" w:cs="Arial"/>
        </w:rPr>
      </w:pPr>
      <w:r w:rsidRPr="00635864">
        <w:rPr>
          <w:rFonts w:ascii="Arial" w:hAnsi="Arial" w:cs="Arial"/>
        </w:rPr>
        <w:lastRenderedPageBreak/>
        <w:t>Finally, the possibility that some limits apply to a complaint that is indirectly in relation to the complainant</w:t>
      </w:r>
      <w:r w:rsidR="00890DA7">
        <w:rPr>
          <w:rFonts w:ascii="Arial" w:hAnsi="Arial" w:cs="Arial"/>
        </w:rPr>
        <w:t>’</w:t>
      </w:r>
      <w:r w:rsidRPr="00635864">
        <w:rPr>
          <w:rFonts w:ascii="Arial" w:hAnsi="Arial" w:cs="Arial"/>
        </w:rPr>
        <w:t xml:space="preserve">s employment, was left open by Katzmann J in </w:t>
      </w:r>
      <w:r w:rsidRPr="00635864">
        <w:rPr>
          <w:rFonts w:ascii="Arial" w:hAnsi="Arial" w:cs="Arial"/>
          <w:i/>
        </w:rPr>
        <w:t>Construction, Forestry, Mining &amp; Energy Union v Pilbara Iron Company (Services) Pty Ltd (No 3)</w:t>
      </w:r>
      <w:r w:rsidR="001C6F65">
        <w:rPr>
          <w:rStyle w:val="FootnoteReference"/>
          <w:rFonts w:ascii="Arial" w:hAnsi="Arial" w:cs="Arial"/>
          <w:i/>
        </w:rPr>
        <w:footnoteReference w:id="86"/>
      </w:r>
      <w:r w:rsidRPr="00635864">
        <w:rPr>
          <w:rFonts w:ascii="Arial" w:hAnsi="Arial" w:cs="Arial"/>
        </w:rPr>
        <w:t>:</w:t>
      </w:r>
    </w:p>
    <w:p w:rsidR="000215B7" w:rsidRDefault="000215B7" w:rsidP="000215B7">
      <w:pPr>
        <w:ind w:left="720"/>
        <w:rPr>
          <w:rFonts w:ascii="Arial" w:hAnsi="Arial" w:cs="Arial"/>
          <w:i/>
          <w:sz w:val="20"/>
          <w:szCs w:val="20"/>
        </w:rPr>
      </w:pPr>
      <w:r w:rsidRPr="00757271">
        <w:rPr>
          <w:rFonts w:ascii="Arial" w:hAnsi="Arial" w:cs="Arial"/>
          <w:i/>
          <w:sz w:val="20"/>
          <w:szCs w:val="20"/>
        </w:rPr>
        <w:t>In my view, in s 341(1)(c)(ii) the requisite relationship between the complaint or inquiry with the employee’s employment may be direct or indirect. No contrary indication may be gleaned from the context of the words or the drafting history. Mr Fernon SC, who appeared for the respondent, conceded that the words should be interpreted broadly, though he submitted they were not without limits. That qualification may be accepted but the limits are to be found in the nature and purpose of the legislation, which includes the protection of workplace rights.</w:t>
      </w:r>
      <w:r w:rsidR="001C6F65">
        <w:rPr>
          <w:rStyle w:val="FootnoteReference"/>
          <w:rFonts w:ascii="Arial" w:hAnsi="Arial" w:cs="Arial"/>
          <w:i/>
          <w:sz w:val="20"/>
          <w:szCs w:val="20"/>
        </w:rPr>
        <w:footnoteReference w:id="87"/>
      </w:r>
    </w:p>
    <w:p w:rsidR="00C61A86" w:rsidRPr="00C61A86" w:rsidRDefault="000215B7" w:rsidP="000215B7">
      <w:pPr>
        <w:rPr>
          <w:rFonts w:ascii="Arial" w:hAnsi="Arial" w:cs="Arial"/>
        </w:rPr>
      </w:pPr>
      <w:r w:rsidRPr="00C61A86">
        <w:rPr>
          <w:rFonts w:ascii="Arial" w:hAnsi="Arial" w:cs="Arial"/>
        </w:rPr>
        <w:t>CCER does not oppose a</w:t>
      </w:r>
      <w:r w:rsidR="004C646F" w:rsidRPr="00C61A86">
        <w:rPr>
          <w:rFonts w:ascii="Arial" w:hAnsi="Arial" w:cs="Arial"/>
        </w:rPr>
        <w:t xml:space="preserve"> relatively wide</w:t>
      </w:r>
      <w:r w:rsidRPr="00C61A86">
        <w:rPr>
          <w:rFonts w:ascii="Arial" w:hAnsi="Arial" w:cs="Arial"/>
        </w:rPr>
        <w:t xml:space="preserve"> interpretation of </w:t>
      </w:r>
      <w:r w:rsidR="00890DA7">
        <w:rPr>
          <w:rFonts w:ascii="Arial" w:hAnsi="Arial" w:cs="Arial"/>
        </w:rPr>
        <w:t>‘</w:t>
      </w:r>
      <w:r w:rsidRPr="00C61A86">
        <w:rPr>
          <w:rFonts w:ascii="Arial" w:hAnsi="Arial" w:cs="Arial"/>
          <w:i/>
        </w:rPr>
        <w:t>in relation to</w:t>
      </w:r>
      <w:r w:rsidR="00890DA7">
        <w:rPr>
          <w:rFonts w:ascii="Arial" w:hAnsi="Arial" w:cs="Arial"/>
          <w:i/>
        </w:rPr>
        <w:t>’</w:t>
      </w:r>
      <w:r w:rsidRPr="00C61A86">
        <w:rPr>
          <w:rFonts w:ascii="Arial" w:hAnsi="Arial" w:cs="Arial"/>
        </w:rPr>
        <w:t xml:space="preserve"> </w:t>
      </w:r>
      <w:r w:rsidR="004C646F" w:rsidRPr="00C61A86">
        <w:rPr>
          <w:rFonts w:ascii="Arial" w:hAnsi="Arial" w:cs="Arial"/>
        </w:rPr>
        <w:t xml:space="preserve">for </w:t>
      </w:r>
      <w:r w:rsidRPr="00C61A86">
        <w:rPr>
          <w:rFonts w:ascii="Arial" w:hAnsi="Arial" w:cs="Arial"/>
        </w:rPr>
        <w:t>complaints that are indirectly related to a complainant’s employment</w:t>
      </w:r>
      <w:r w:rsidR="00F67C96">
        <w:rPr>
          <w:rFonts w:ascii="Arial" w:hAnsi="Arial" w:cs="Arial"/>
        </w:rPr>
        <w:t>, so that they</w:t>
      </w:r>
      <w:r w:rsidRPr="00C61A86">
        <w:rPr>
          <w:rFonts w:ascii="Arial" w:hAnsi="Arial" w:cs="Arial"/>
        </w:rPr>
        <w:t xml:space="preserve"> fall within the complaint or inquiry right. However, </w:t>
      </w:r>
      <w:r w:rsidR="00F67C96">
        <w:rPr>
          <w:rFonts w:ascii="Arial" w:hAnsi="Arial" w:cs="Arial"/>
        </w:rPr>
        <w:t>we</w:t>
      </w:r>
      <w:r w:rsidR="004C646F" w:rsidRPr="00C61A86">
        <w:rPr>
          <w:rFonts w:ascii="Arial" w:hAnsi="Arial" w:cs="Arial"/>
        </w:rPr>
        <w:t xml:space="preserve"> believe</w:t>
      </w:r>
      <w:r w:rsidRPr="00C61A86">
        <w:rPr>
          <w:rFonts w:ascii="Arial" w:hAnsi="Arial" w:cs="Arial"/>
        </w:rPr>
        <w:t xml:space="preserve"> that the indirect connection must </w:t>
      </w:r>
      <w:r w:rsidR="004C646F" w:rsidRPr="00C61A86">
        <w:rPr>
          <w:rFonts w:ascii="Arial" w:hAnsi="Arial" w:cs="Arial"/>
        </w:rPr>
        <w:t xml:space="preserve">also have some limits </w:t>
      </w:r>
      <w:r w:rsidRPr="00C61A86">
        <w:rPr>
          <w:rFonts w:ascii="Arial" w:hAnsi="Arial" w:cs="Arial"/>
        </w:rPr>
        <w:t>to ensure that spurious complaints that have only a very remote connection</w:t>
      </w:r>
      <w:r w:rsidR="00C61A86" w:rsidRPr="00C61A86">
        <w:rPr>
          <w:rFonts w:ascii="Arial" w:hAnsi="Arial" w:cs="Arial"/>
        </w:rPr>
        <w:t xml:space="preserve"> are not protected. </w:t>
      </w:r>
    </w:p>
    <w:p w:rsidR="000215B7" w:rsidRPr="00C61A86" w:rsidRDefault="000215B7" w:rsidP="000215B7">
      <w:pPr>
        <w:rPr>
          <w:rFonts w:ascii="Arial" w:hAnsi="Arial" w:cs="Arial"/>
        </w:rPr>
      </w:pPr>
      <w:r w:rsidRPr="00C61A86">
        <w:rPr>
          <w:rFonts w:ascii="Arial" w:hAnsi="Arial" w:cs="Arial"/>
        </w:rPr>
        <w:t xml:space="preserve">In CCER’s view, </w:t>
      </w:r>
      <w:r w:rsidR="00C61A86">
        <w:rPr>
          <w:rFonts w:ascii="Arial" w:hAnsi="Arial" w:cs="Arial"/>
        </w:rPr>
        <w:t xml:space="preserve">providing clearer parameters for when the indirect relationship applies will assist all parties and remains consistent </w:t>
      </w:r>
      <w:r w:rsidRPr="00C61A86">
        <w:rPr>
          <w:rFonts w:ascii="Arial" w:hAnsi="Arial" w:cs="Arial"/>
        </w:rPr>
        <w:t>with the statutory purpose of s 341(1)(c)(ii)</w:t>
      </w:r>
      <w:r w:rsidR="00C61A86">
        <w:rPr>
          <w:rFonts w:ascii="Arial" w:hAnsi="Arial" w:cs="Arial"/>
        </w:rPr>
        <w:t xml:space="preserve"> of the FW Act</w:t>
      </w:r>
      <w:r w:rsidRPr="00C61A86">
        <w:rPr>
          <w:rFonts w:ascii="Arial" w:hAnsi="Arial" w:cs="Arial"/>
        </w:rPr>
        <w:t xml:space="preserve">. While </w:t>
      </w:r>
      <w:r w:rsidR="009F1CF2">
        <w:rPr>
          <w:rFonts w:ascii="Arial" w:hAnsi="Arial" w:cs="Arial"/>
        </w:rPr>
        <w:t>‘</w:t>
      </w:r>
      <w:r w:rsidRPr="00C61A86">
        <w:rPr>
          <w:rFonts w:ascii="Arial" w:hAnsi="Arial" w:cs="Arial"/>
          <w:i/>
        </w:rPr>
        <w:t>in relation to</w:t>
      </w:r>
      <w:r w:rsidR="009F1CF2">
        <w:rPr>
          <w:rFonts w:ascii="Arial" w:hAnsi="Arial" w:cs="Arial"/>
          <w:i/>
        </w:rPr>
        <w:t>’</w:t>
      </w:r>
      <w:r w:rsidRPr="00C61A86">
        <w:rPr>
          <w:rFonts w:ascii="Arial" w:hAnsi="Arial" w:cs="Arial"/>
        </w:rPr>
        <w:t xml:space="preserve"> is not defined in the FW Act, the Explanatory Memorandum to the </w:t>
      </w:r>
      <w:r w:rsidRPr="00C61A86">
        <w:rPr>
          <w:rFonts w:ascii="Arial" w:hAnsi="Arial" w:cs="Arial"/>
          <w:i/>
        </w:rPr>
        <w:t>Fair Work Bill 2009</w:t>
      </w:r>
      <w:r w:rsidRPr="00C61A86">
        <w:rPr>
          <w:rFonts w:ascii="Arial" w:hAnsi="Arial" w:cs="Arial"/>
        </w:rPr>
        <w:t xml:space="preserve"> contains at paragraph 1370, three illustrative examples of complaints or inquiries. All three of the examples provided are directly related to the complainant</w:t>
      </w:r>
      <w:r w:rsidR="009F1CF2">
        <w:rPr>
          <w:rFonts w:ascii="Arial" w:hAnsi="Arial" w:cs="Arial"/>
        </w:rPr>
        <w:t>’</w:t>
      </w:r>
      <w:r w:rsidRPr="00C61A86">
        <w:rPr>
          <w:rFonts w:ascii="Arial" w:hAnsi="Arial" w:cs="Arial"/>
        </w:rPr>
        <w:t xml:space="preserve">s own employment. </w:t>
      </w:r>
    </w:p>
    <w:p w:rsidR="000215B7" w:rsidRPr="00033B02" w:rsidRDefault="000215B7" w:rsidP="00057A8C">
      <w:pPr>
        <w:numPr>
          <w:ilvl w:val="0"/>
          <w:numId w:val="46"/>
        </w:numPr>
        <w:ind w:left="426" w:hanging="426"/>
        <w:rPr>
          <w:rFonts w:ascii="Arial" w:hAnsi="Arial" w:cs="Arial"/>
          <w:b/>
          <w:bCs/>
          <w:i/>
          <w:color w:val="C0504D"/>
          <w:sz w:val="24"/>
          <w:szCs w:val="24"/>
        </w:rPr>
      </w:pPr>
      <w:r w:rsidRPr="00033B02">
        <w:rPr>
          <w:rFonts w:ascii="Arial" w:hAnsi="Arial" w:cs="Arial"/>
          <w:b/>
          <w:bCs/>
          <w:i/>
          <w:color w:val="C0504D"/>
          <w:sz w:val="24"/>
          <w:szCs w:val="24"/>
        </w:rPr>
        <w:t xml:space="preserve">Clarity surrounding the meaning of </w:t>
      </w:r>
      <w:r w:rsidR="00033B02">
        <w:rPr>
          <w:rFonts w:ascii="Arial" w:hAnsi="Arial" w:cs="Arial"/>
          <w:b/>
          <w:bCs/>
          <w:i/>
          <w:color w:val="C0504D"/>
          <w:sz w:val="24"/>
          <w:szCs w:val="24"/>
        </w:rPr>
        <w:t>‘</w:t>
      </w:r>
      <w:r w:rsidRPr="00033B02">
        <w:rPr>
          <w:rFonts w:ascii="Arial" w:hAnsi="Arial" w:cs="Arial"/>
          <w:b/>
          <w:bCs/>
          <w:i/>
          <w:color w:val="C0504D"/>
          <w:sz w:val="24"/>
          <w:szCs w:val="24"/>
        </w:rPr>
        <w:t>is able to</w:t>
      </w:r>
      <w:r w:rsidR="00033B02">
        <w:rPr>
          <w:rFonts w:ascii="Arial" w:hAnsi="Arial" w:cs="Arial"/>
          <w:b/>
          <w:bCs/>
          <w:i/>
          <w:color w:val="C0504D"/>
          <w:sz w:val="24"/>
          <w:szCs w:val="24"/>
        </w:rPr>
        <w:t>’</w:t>
      </w:r>
    </w:p>
    <w:p w:rsidR="000215B7" w:rsidRDefault="000215B7" w:rsidP="000215B7">
      <w:pPr>
        <w:rPr>
          <w:rFonts w:ascii="Arial" w:hAnsi="Arial" w:cs="Arial"/>
        </w:rPr>
      </w:pPr>
      <w:r>
        <w:rPr>
          <w:rFonts w:ascii="Arial" w:hAnsi="Arial" w:cs="Arial"/>
        </w:rPr>
        <w:t xml:space="preserve">There appears to be some uncertainty about the meaning of </w:t>
      </w:r>
      <w:r w:rsidRPr="003A001E">
        <w:rPr>
          <w:rFonts w:ascii="Arial" w:hAnsi="Arial" w:cs="Arial"/>
          <w:i/>
        </w:rPr>
        <w:t>‘is able to’</w:t>
      </w:r>
      <w:r>
        <w:rPr>
          <w:rFonts w:ascii="Arial" w:hAnsi="Arial" w:cs="Arial"/>
        </w:rPr>
        <w:t xml:space="preserve"> withi</w:t>
      </w:r>
      <w:r w:rsidR="00F13AF0">
        <w:rPr>
          <w:rFonts w:ascii="Arial" w:hAnsi="Arial" w:cs="Arial"/>
        </w:rPr>
        <w:t xml:space="preserve">n s 341(1)(c)(ii) of the FW Act which </w:t>
      </w:r>
      <w:r>
        <w:rPr>
          <w:rFonts w:ascii="Arial" w:hAnsi="Arial" w:cs="Arial"/>
        </w:rPr>
        <w:t xml:space="preserve">CCER believes needs to be resolved to improve clarity. It is unclear whether the phrase </w:t>
      </w:r>
      <w:r w:rsidR="008F0681">
        <w:rPr>
          <w:rFonts w:ascii="Arial" w:hAnsi="Arial" w:cs="Arial"/>
        </w:rPr>
        <w:t>‘</w:t>
      </w:r>
      <w:r w:rsidRPr="003A001E">
        <w:rPr>
          <w:rFonts w:ascii="Arial" w:hAnsi="Arial" w:cs="Arial"/>
          <w:i/>
        </w:rPr>
        <w:t>is able to</w:t>
      </w:r>
      <w:r w:rsidR="008F0681">
        <w:rPr>
          <w:rFonts w:ascii="Arial" w:hAnsi="Arial" w:cs="Arial"/>
          <w:i/>
        </w:rPr>
        <w:t>’</w:t>
      </w:r>
      <w:r>
        <w:rPr>
          <w:rFonts w:ascii="Arial" w:hAnsi="Arial" w:cs="Arial"/>
        </w:rPr>
        <w:t xml:space="preserve"> means there are circumstances in which an employee is not able to make a protected complaint or inquiry. Do established workplace policies or procedures play a role in defining a complaint an employee is able to make? If a complaint must be genuine in order to be protected, perhaps this would answer the question, as a vexatious complaint would not be the type of complaint an employee is able to make for the purposes of the FW Act. </w:t>
      </w:r>
    </w:p>
    <w:p w:rsidR="000215B7" w:rsidRPr="00FF39F2" w:rsidRDefault="000215B7" w:rsidP="000215B7">
      <w:pPr>
        <w:rPr>
          <w:rFonts w:ascii="Arial" w:hAnsi="Arial" w:cs="Arial"/>
        </w:rPr>
      </w:pPr>
      <w:r>
        <w:rPr>
          <w:rFonts w:ascii="Arial" w:hAnsi="Arial" w:cs="Arial"/>
        </w:rPr>
        <w:t xml:space="preserve">CCER </w:t>
      </w:r>
      <w:r w:rsidR="00F13AF0">
        <w:rPr>
          <w:rFonts w:ascii="Arial" w:hAnsi="Arial" w:cs="Arial"/>
        </w:rPr>
        <w:t>believes</w:t>
      </w:r>
      <w:r>
        <w:rPr>
          <w:rFonts w:ascii="Arial" w:hAnsi="Arial" w:cs="Arial"/>
        </w:rPr>
        <w:t xml:space="preserve"> that exploration and resolution of these questions would improve the clarity and effective</w:t>
      </w:r>
      <w:r w:rsidR="00F13AF0">
        <w:rPr>
          <w:rFonts w:ascii="Arial" w:hAnsi="Arial" w:cs="Arial"/>
        </w:rPr>
        <w:t>ness of the general protections provisions.</w:t>
      </w:r>
    </w:p>
    <w:p w:rsidR="000215B7" w:rsidRPr="00033B02" w:rsidRDefault="000215B7" w:rsidP="00057A8C">
      <w:pPr>
        <w:numPr>
          <w:ilvl w:val="0"/>
          <w:numId w:val="46"/>
        </w:numPr>
        <w:ind w:left="426" w:hanging="426"/>
        <w:rPr>
          <w:rFonts w:ascii="Arial" w:hAnsi="Arial" w:cs="Arial"/>
          <w:b/>
          <w:bCs/>
          <w:i/>
          <w:color w:val="C0504D"/>
          <w:sz w:val="24"/>
          <w:szCs w:val="24"/>
        </w:rPr>
      </w:pPr>
      <w:r w:rsidRPr="00033B02">
        <w:rPr>
          <w:rFonts w:ascii="Arial" w:hAnsi="Arial" w:cs="Arial"/>
          <w:b/>
          <w:bCs/>
          <w:i/>
          <w:color w:val="C0504D"/>
          <w:sz w:val="24"/>
          <w:szCs w:val="24"/>
        </w:rPr>
        <w:t xml:space="preserve">Whether </w:t>
      </w:r>
      <w:r w:rsidR="00033B02">
        <w:rPr>
          <w:rFonts w:ascii="Arial" w:hAnsi="Arial" w:cs="Arial"/>
          <w:b/>
          <w:bCs/>
          <w:i/>
          <w:color w:val="C0504D"/>
          <w:sz w:val="24"/>
          <w:szCs w:val="24"/>
        </w:rPr>
        <w:t>‘</w:t>
      </w:r>
      <w:r w:rsidRPr="00033B02">
        <w:rPr>
          <w:rFonts w:ascii="Arial" w:hAnsi="Arial" w:cs="Arial"/>
          <w:b/>
          <w:bCs/>
          <w:i/>
          <w:color w:val="C0504D"/>
          <w:sz w:val="24"/>
          <w:szCs w:val="24"/>
        </w:rPr>
        <w:t>complaint or inquiry</w:t>
      </w:r>
      <w:r w:rsidR="00033B02">
        <w:rPr>
          <w:rFonts w:ascii="Arial" w:hAnsi="Arial" w:cs="Arial"/>
          <w:b/>
          <w:bCs/>
          <w:i/>
          <w:color w:val="C0504D"/>
          <w:sz w:val="24"/>
          <w:szCs w:val="24"/>
        </w:rPr>
        <w:t>’</w:t>
      </w:r>
      <w:r w:rsidRPr="00033B02">
        <w:rPr>
          <w:rFonts w:ascii="Arial" w:hAnsi="Arial" w:cs="Arial"/>
          <w:b/>
          <w:bCs/>
          <w:i/>
          <w:color w:val="C0504D"/>
          <w:sz w:val="24"/>
          <w:szCs w:val="24"/>
        </w:rPr>
        <w:t xml:space="preserve"> is one right or two?</w:t>
      </w:r>
    </w:p>
    <w:p w:rsidR="000215B7" w:rsidRDefault="000215B7" w:rsidP="000215B7">
      <w:pPr>
        <w:rPr>
          <w:rFonts w:ascii="Arial" w:hAnsi="Arial" w:cs="Arial"/>
        </w:rPr>
      </w:pPr>
      <w:r w:rsidRPr="000442BF">
        <w:rPr>
          <w:rFonts w:ascii="Arial" w:hAnsi="Arial" w:cs="Arial"/>
        </w:rPr>
        <w:t xml:space="preserve">A final area in which </w:t>
      </w:r>
      <w:r>
        <w:rPr>
          <w:rFonts w:ascii="Arial" w:hAnsi="Arial" w:cs="Arial"/>
        </w:rPr>
        <w:t xml:space="preserve">further </w:t>
      </w:r>
      <w:r w:rsidRPr="000442BF">
        <w:rPr>
          <w:rFonts w:ascii="Arial" w:hAnsi="Arial" w:cs="Arial"/>
        </w:rPr>
        <w:t>clarification is required to improve awareness of the general protections</w:t>
      </w:r>
      <w:r w:rsidR="00F13AF0">
        <w:rPr>
          <w:rFonts w:ascii="Arial" w:hAnsi="Arial" w:cs="Arial"/>
        </w:rPr>
        <w:t xml:space="preserve"> provisions</w:t>
      </w:r>
      <w:r w:rsidRPr="000442BF">
        <w:rPr>
          <w:rFonts w:ascii="Arial" w:hAnsi="Arial" w:cs="Arial"/>
        </w:rPr>
        <w:t xml:space="preserve">, is whether </w:t>
      </w:r>
      <w:r>
        <w:rPr>
          <w:rFonts w:ascii="Arial" w:hAnsi="Arial" w:cs="Arial"/>
        </w:rPr>
        <w:t xml:space="preserve">a </w:t>
      </w:r>
      <w:r w:rsidRPr="000442BF">
        <w:rPr>
          <w:rFonts w:ascii="Arial" w:hAnsi="Arial" w:cs="Arial"/>
          <w:i/>
        </w:rPr>
        <w:t>‘complaint or inquiry’</w:t>
      </w:r>
      <w:r>
        <w:rPr>
          <w:rFonts w:ascii="Arial" w:hAnsi="Arial" w:cs="Arial"/>
        </w:rPr>
        <w:t xml:space="preserve"> is a single workplace right, as held in </w:t>
      </w:r>
      <w:r w:rsidRPr="00C57FC5">
        <w:rPr>
          <w:rFonts w:ascii="Arial" w:hAnsi="Arial" w:cs="Arial"/>
          <w:i/>
        </w:rPr>
        <w:t>Harrison v In Control Pty Ltd</w:t>
      </w:r>
      <w:r w:rsidR="00446A47">
        <w:rPr>
          <w:rStyle w:val="FootnoteReference"/>
          <w:rFonts w:ascii="Arial" w:hAnsi="Arial" w:cs="Arial"/>
          <w:i/>
        </w:rPr>
        <w:footnoteReference w:id="88"/>
      </w:r>
      <w:r>
        <w:rPr>
          <w:rFonts w:ascii="Arial" w:hAnsi="Arial" w:cs="Arial"/>
        </w:rPr>
        <w:t xml:space="preserve">, or two different workplace rights with distinct meanings. </w:t>
      </w:r>
    </w:p>
    <w:p w:rsidR="000215B7" w:rsidRDefault="000215B7" w:rsidP="000215B7">
      <w:pPr>
        <w:rPr>
          <w:rFonts w:ascii="Arial" w:hAnsi="Arial" w:cs="Arial"/>
        </w:rPr>
      </w:pPr>
      <w:r>
        <w:rPr>
          <w:rFonts w:ascii="Arial" w:hAnsi="Arial" w:cs="Arial"/>
        </w:rPr>
        <w:t xml:space="preserve">In </w:t>
      </w:r>
      <w:r w:rsidRPr="00C57FC5">
        <w:rPr>
          <w:rFonts w:ascii="Arial" w:hAnsi="Arial" w:cs="Arial"/>
          <w:i/>
        </w:rPr>
        <w:t>Bartolo</w:t>
      </w:r>
      <w:r>
        <w:rPr>
          <w:rFonts w:ascii="Arial" w:hAnsi="Arial" w:cs="Arial"/>
        </w:rPr>
        <w:t>, Whelan J rejected the applicant’s contention that an email sent to an external provider seeking information about their capacity to conduct an IT investigation into an inapprop</w:t>
      </w:r>
      <w:r w:rsidR="00F13AF0">
        <w:rPr>
          <w:rFonts w:ascii="Arial" w:hAnsi="Arial" w:cs="Arial"/>
        </w:rPr>
        <w:t>riate email about the applicant</w:t>
      </w:r>
      <w:r>
        <w:rPr>
          <w:rFonts w:ascii="Arial" w:hAnsi="Arial" w:cs="Arial"/>
        </w:rPr>
        <w:t xml:space="preserve"> was a </w:t>
      </w:r>
      <w:r w:rsidR="008F0681">
        <w:rPr>
          <w:rFonts w:ascii="Arial" w:hAnsi="Arial" w:cs="Arial"/>
        </w:rPr>
        <w:t>‘</w:t>
      </w:r>
      <w:r w:rsidRPr="008F0681">
        <w:rPr>
          <w:rFonts w:ascii="Arial" w:hAnsi="Arial" w:cs="Arial"/>
          <w:i/>
        </w:rPr>
        <w:t>complaint</w:t>
      </w:r>
      <w:r w:rsidR="008F0681">
        <w:rPr>
          <w:rFonts w:ascii="Arial" w:hAnsi="Arial" w:cs="Arial"/>
        </w:rPr>
        <w:t>’</w:t>
      </w:r>
      <w:r>
        <w:rPr>
          <w:rFonts w:ascii="Arial" w:hAnsi="Arial" w:cs="Arial"/>
        </w:rPr>
        <w:t xml:space="preserve"> for the purposes of s 341(1)(c)(ii) of the FW Act. However, the court inferred that the applicant may have exercised a right to </w:t>
      </w:r>
      <w:r>
        <w:rPr>
          <w:rFonts w:ascii="Arial" w:hAnsi="Arial" w:cs="Arial"/>
        </w:rPr>
        <w:lastRenderedPageBreak/>
        <w:t xml:space="preserve">make an </w:t>
      </w:r>
      <w:r w:rsidR="004745C5">
        <w:rPr>
          <w:rFonts w:ascii="Arial" w:hAnsi="Arial" w:cs="Arial"/>
        </w:rPr>
        <w:t>‘</w:t>
      </w:r>
      <w:r w:rsidRPr="004745C5">
        <w:rPr>
          <w:rFonts w:ascii="Arial" w:hAnsi="Arial" w:cs="Arial"/>
          <w:i/>
        </w:rPr>
        <w:t>inquiry</w:t>
      </w:r>
      <w:r w:rsidR="004745C5">
        <w:rPr>
          <w:rFonts w:ascii="Arial" w:hAnsi="Arial" w:cs="Arial"/>
          <w:i/>
        </w:rPr>
        <w:t>’</w:t>
      </w:r>
      <w:r w:rsidR="00F13AF0">
        <w:rPr>
          <w:rFonts w:ascii="Arial" w:hAnsi="Arial" w:cs="Arial"/>
        </w:rPr>
        <w:t xml:space="preserve"> in relation to his employment:</w:t>
      </w:r>
      <w:r>
        <w:rPr>
          <w:rFonts w:ascii="Arial" w:hAnsi="Arial" w:cs="Arial"/>
        </w:rPr>
        <w:t xml:space="preserve"> </w:t>
      </w:r>
      <w:r w:rsidR="004745C5">
        <w:rPr>
          <w:rFonts w:ascii="Arial" w:hAnsi="Arial" w:cs="Arial"/>
        </w:rPr>
        <w:t>‘</w:t>
      </w:r>
      <w:r>
        <w:rPr>
          <w:rFonts w:ascii="Arial" w:hAnsi="Arial" w:cs="Arial"/>
          <w:i/>
        </w:rPr>
        <w:t>A</w:t>
      </w:r>
      <w:r w:rsidRPr="00AE343E">
        <w:rPr>
          <w:rFonts w:ascii="Arial" w:hAnsi="Arial" w:cs="Arial"/>
          <w:i/>
        </w:rPr>
        <w:t xml:space="preserve">t most, it may </w:t>
      </w:r>
      <w:r>
        <w:rPr>
          <w:rFonts w:ascii="Arial" w:hAnsi="Arial" w:cs="Arial"/>
          <w:i/>
        </w:rPr>
        <w:t>be said that the Applicant contacted STOPline to ‘inquire’ about their capacity to conduct an IT investigation’</w:t>
      </w:r>
      <w:r w:rsidR="00446A47">
        <w:rPr>
          <w:rStyle w:val="FootnoteReference"/>
          <w:rFonts w:ascii="Arial" w:hAnsi="Arial" w:cs="Arial"/>
          <w:i/>
        </w:rPr>
        <w:footnoteReference w:id="89"/>
      </w:r>
      <w:r>
        <w:rPr>
          <w:rFonts w:ascii="Arial" w:hAnsi="Arial" w:cs="Arial"/>
        </w:rPr>
        <w:t>.</w:t>
      </w:r>
    </w:p>
    <w:p w:rsidR="000215B7" w:rsidRDefault="000215B7" w:rsidP="000215B7">
      <w:pPr>
        <w:rPr>
          <w:rFonts w:ascii="Arial" w:hAnsi="Arial" w:cs="Arial"/>
        </w:rPr>
      </w:pPr>
      <w:r>
        <w:rPr>
          <w:rFonts w:ascii="Arial" w:hAnsi="Arial" w:cs="Arial"/>
        </w:rPr>
        <w:t xml:space="preserve">Another case where it was considered that an </w:t>
      </w:r>
      <w:r w:rsidR="00177D00">
        <w:rPr>
          <w:rFonts w:ascii="Arial" w:hAnsi="Arial" w:cs="Arial"/>
        </w:rPr>
        <w:t>‘</w:t>
      </w:r>
      <w:r w:rsidRPr="00987E6A">
        <w:rPr>
          <w:rFonts w:ascii="Arial" w:hAnsi="Arial" w:cs="Arial"/>
          <w:i/>
        </w:rPr>
        <w:t>inquiry</w:t>
      </w:r>
      <w:r w:rsidR="00177D00">
        <w:rPr>
          <w:rFonts w:ascii="Arial" w:hAnsi="Arial" w:cs="Arial"/>
          <w:i/>
        </w:rPr>
        <w:t>’</w:t>
      </w:r>
      <w:r>
        <w:rPr>
          <w:rFonts w:ascii="Arial" w:hAnsi="Arial" w:cs="Arial"/>
        </w:rPr>
        <w:t xml:space="preserve"> may be a distinct workplace right from a </w:t>
      </w:r>
      <w:r w:rsidR="00177D00">
        <w:rPr>
          <w:rFonts w:ascii="Arial" w:hAnsi="Arial" w:cs="Arial"/>
          <w:i/>
        </w:rPr>
        <w:t>‘</w:t>
      </w:r>
      <w:r w:rsidRPr="00987E6A">
        <w:rPr>
          <w:rFonts w:ascii="Arial" w:hAnsi="Arial" w:cs="Arial"/>
          <w:i/>
        </w:rPr>
        <w:t>complaint</w:t>
      </w:r>
      <w:r w:rsidR="00177D00">
        <w:rPr>
          <w:rFonts w:ascii="Arial" w:hAnsi="Arial" w:cs="Arial"/>
          <w:i/>
        </w:rPr>
        <w:t>’</w:t>
      </w:r>
      <w:r>
        <w:rPr>
          <w:rFonts w:ascii="Arial" w:hAnsi="Arial" w:cs="Arial"/>
        </w:rPr>
        <w:t xml:space="preserve"> was in </w:t>
      </w:r>
      <w:r w:rsidRPr="00AE343E">
        <w:rPr>
          <w:rFonts w:ascii="Arial" w:hAnsi="Arial" w:cs="Arial"/>
          <w:i/>
        </w:rPr>
        <w:t>Murrihy</w:t>
      </w:r>
      <w:r w:rsidR="004779C2">
        <w:rPr>
          <w:rFonts w:ascii="Arial" w:hAnsi="Arial" w:cs="Arial"/>
          <w:i/>
        </w:rPr>
        <w:t xml:space="preserve"> v Betezy.com.au Pty Ltd</w:t>
      </w:r>
      <w:r w:rsidR="004779C2">
        <w:rPr>
          <w:rStyle w:val="FootnoteReference"/>
          <w:rFonts w:ascii="Arial" w:hAnsi="Arial" w:cs="Arial"/>
          <w:i/>
        </w:rPr>
        <w:footnoteReference w:id="90"/>
      </w:r>
      <w:r>
        <w:rPr>
          <w:rFonts w:ascii="Arial" w:hAnsi="Arial" w:cs="Arial"/>
        </w:rPr>
        <w:t>. Jessup J held that correspondence between an employee and</w:t>
      </w:r>
      <w:r w:rsidRPr="00CF528C">
        <w:rPr>
          <w:rFonts w:ascii="Arial" w:hAnsi="Arial" w:cs="Arial"/>
        </w:rPr>
        <w:t xml:space="preserve"> </w:t>
      </w:r>
      <w:r>
        <w:rPr>
          <w:rFonts w:ascii="Arial" w:hAnsi="Arial" w:cs="Arial"/>
        </w:rPr>
        <w:t xml:space="preserve">her solicitor constituted an </w:t>
      </w:r>
      <w:r w:rsidR="00177D00">
        <w:rPr>
          <w:rFonts w:ascii="Arial" w:hAnsi="Arial" w:cs="Arial"/>
        </w:rPr>
        <w:t>‘</w:t>
      </w:r>
      <w:r w:rsidRPr="00CF528C">
        <w:rPr>
          <w:rFonts w:ascii="Arial" w:hAnsi="Arial" w:cs="Arial"/>
          <w:i/>
        </w:rPr>
        <w:t>inquiry</w:t>
      </w:r>
      <w:r w:rsidR="00177D00">
        <w:rPr>
          <w:rFonts w:ascii="Arial" w:hAnsi="Arial" w:cs="Arial"/>
          <w:i/>
        </w:rPr>
        <w:t>’</w:t>
      </w:r>
      <w:r>
        <w:rPr>
          <w:rFonts w:ascii="Arial" w:hAnsi="Arial" w:cs="Arial"/>
        </w:rPr>
        <w:t xml:space="preserve">, rather than a </w:t>
      </w:r>
      <w:r w:rsidR="00177D00">
        <w:rPr>
          <w:rFonts w:ascii="Arial" w:hAnsi="Arial" w:cs="Arial"/>
        </w:rPr>
        <w:t>‘</w:t>
      </w:r>
      <w:r w:rsidRPr="00CF528C">
        <w:rPr>
          <w:rFonts w:ascii="Arial" w:hAnsi="Arial" w:cs="Arial"/>
          <w:i/>
        </w:rPr>
        <w:t>complaint</w:t>
      </w:r>
      <w:r w:rsidR="00177D00">
        <w:rPr>
          <w:rFonts w:ascii="Arial" w:hAnsi="Arial" w:cs="Arial"/>
          <w:i/>
        </w:rPr>
        <w:t>’</w:t>
      </w:r>
      <w:r>
        <w:rPr>
          <w:rFonts w:ascii="Arial" w:hAnsi="Arial" w:cs="Arial"/>
        </w:rPr>
        <w:t>:</w:t>
      </w:r>
    </w:p>
    <w:p w:rsidR="000215B7" w:rsidRPr="00CF528C" w:rsidRDefault="000215B7" w:rsidP="000215B7">
      <w:pPr>
        <w:ind w:left="720"/>
        <w:rPr>
          <w:rFonts w:ascii="Arial" w:hAnsi="Arial" w:cs="Arial"/>
          <w:sz w:val="20"/>
          <w:szCs w:val="20"/>
        </w:rPr>
      </w:pPr>
      <w:r>
        <w:rPr>
          <w:rFonts w:ascii="Arial" w:hAnsi="Arial" w:cs="Arial"/>
          <w:i/>
          <w:sz w:val="20"/>
          <w:szCs w:val="20"/>
        </w:rPr>
        <w:t>‘</w:t>
      </w:r>
      <w:r w:rsidRPr="00CF528C">
        <w:rPr>
          <w:rFonts w:ascii="Arial" w:hAnsi="Arial" w:cs="Arial"/>
          <w:i/>
          <w:sz w:val="20"/>
          <w:szCs w:val="20"/>
        </w:rPr>
        <w:t>Further, to regard the seeking of legal advice as an “inquiry” within the meaning of para (c) is, in my view, a natural reading of the provision. I take the view, therefore, that the applicant’s proposal, conveyed to Mr Kay on 20 September 2011, that she would seek legal advice was a proposal by her to make an inquiry in relation to her employment within the meaning of s 341(1)(c)(ii) of the FW Act</w:t>
      </w:r>
      <w:r>
        <w:rPr>
          <w:rFonts w:ascii="Arial" w:hAnsi="Arial" w:cs="Arial"/>
          <w:i/>
          <w:sz w:val="20"/>
          <w:szCs w:val="20"/>
        </w:rPr>
        <w:t>’</w:t>
      </w:r>
      <w:r w:rsidR="004779C2">
        <w:rPr>
          <w:rFonts w:ascii="Arial" w:hAnsi="Arial" w:cs="Arial"/>
          <w:i/>
          <w:sz w:val="20"/>
          <w:szCs w:val="20"/>
        </w:rPr>
        <w:t>.</w:t>
      </w:r>
      <w:r w:rsidR="004779C2">
        <w:rPr>
          <w:rStyle w:val="FootnoteReference"/>
          <w:rFonts w:ascii="Arial" w:hAnsi="Arial" w:cs="Arial"/>
          <w:i/>
          <w:sz w:val="20"/>
          <w:szCs w:val="20"/>
        </w:rPr>
        <w:footnoteReference w:id="91"/>
      </w:r>
    </w:p>
    <w:p w:rsidR="000215B7" w:rsidRDefault="000215B7" w:rsidP="000215B7">
      <w:pPr>
        <w:rPr>
          <w:rFonts w:ascii="Arial" w:hAnsi="Arial" w:cs="Arial"/>
        </w:rPr>
      </w:pPr>
      <w:r>
        <w:rPr>
          <w:rFonts w:ascii="Arial" w:hAnsi="Arial" w:cs="Arial"/>
        </w:rPr>
        <w:t>CCER</w:t>
      </w:r>
      <w:r w:rsidR="002E2328">
        <w:rPr>
          <w:rFonts w:ascii="Arial" w:hAnsi="Arial" w:cs="Arial"/>
        </w:rPr>
        <w:t xml:space="preserve"> believes it would be of assistance if the divergent </w:t>
      </w:r>
      <w:r>
        <w:rPr>
          <w:rFonts w:ascii="Arial" w:hAnsi="Arial" w:cs="Arial"/>
        </w:rPr>
        <w:t xml:space="preserve">case law on this point </w:t>
      </w:r>
      <w:r w:rsidR="002E2328">
        <w:rPr>
          <w:rFonts w:ascii="Arial" w:hAnsi="Arial" w:cs="Arial"/>
        </w:rPr>
        <w:t xml:space="preserve">was clarified </w:t>
      </w:r>
      <w:r>
        <w:rPr>
          <w:rFonts w:ascii="Arial" w:hAnsi="Arial" w:cs="Arial"/>
        </w:rPr>
        <w:t xml:space="preserve">to enable a better understanding of the general protections </w:t>
      </w:r>
      <w:r w:rsidR="002E2328">
        <w:rPr>
          <w:rFonts w:ascii="Arial" w:hAnsi="Arial" w:cs="Arial"/>
        </w:rPr>
        <w:t xml:space="preserve">provisions </w:t>
      </w:r>
      <w:r>
        <w:rPr>
          <w:rFonts w:ascii="Arial" w:hAnsi="Arial" w:cs="Arial"/>
        </w:rPr>
        <w:t xml:space="preserve">and of the </w:t>
      </w:r>
      <w:r w:rsidR="00053C99">
        <w:rPr>
          <w:rFonts w:ascii="Arial" w:hAnsi="Arial" w:cs="Arial"/>
        </w:rPr>
        <w:t xml:space="preserve">rights and </w:t>
      </w:r>
      <w:r>
        <w:rPr>
          <w:rFonts w:ascii="Arial" w:hAnsi="Arial" w:cs="Arial"/>
        </w:rPr>
        <w:t>obligations of all parties under them.</w:t>
      </w:r>
    </w:p>
    <w:p w:rsidR="000215B7" w:rsidRPr="00033B02" w:rsidRDefault="000215B7" w:rsidP="000215B7">
      <w:pPr>
        <w:rPr>
          <w:rFonts w:ascii="Arial" w:hAnsi="Arial" w:cs="Arial"/>
          <w:b/>
          <w:bCs/>
          <w:i/>
          <w:color w:val="C0504D"/>
          <w:sz w:val="24"/>
          <w:szCs w:val="24"/>
        </w:rPr>
      </w:pPr>
      <w:r w:rsidRPr="00033B02">
        <w:rPr>
          <w:rFonts w:ascii="Arial" w:hAnsi="Arial" w:cs="Arial"/>
          <w:b/>
          <w:bCs/>
          <w:i/>
          <w:color w:val="C0504D"/>
          <w:sz w:val="24"/>
          <w:szCs w:val="24"/>
        </w:rPr>
        <w:t>Proposed amendments to the FW Act</w:t>
      </w:r>
    </w:p>
    <w:p w:rsidR="000215B7" w:rsidRDefault="000215B7" w:rsidP="000215B7">
      <w:pPr>
        <w:rPr>
          <w:rFonts w:ascii="Arial" w:hAnsi="Arial" w:cs="Arial"/>
        </w:rPr>
      </w:pPr>
      <w:r>
        <w:rPr>
          <w:rFonts w:ascii="Arial" w:hAnsi="Arial" w:cs="Arial"/>
        </w:rPr>
        <w:t>CCER proposes that the complaint or inquiry right within the general protections of the FW Act be amended to provide greater clarity. CCER would support amendments to ss 341(1)(c)(ii) of the FW Act</w:t>
      </w:r>
      <w:r w:rsidR="00362382">
        <w:rPr>
          <w:rFonts w:ascii="Arial" w:hAnsi="Arial" w:cs="Arial"/>
        </w:rPr>
        <w:t xml:space="preserve"> which are consistent with the approach of Dodds-Streeton J at paragraph [29] </w:t>
      </w:r>
      <w:r>
        <w:rPr>
          <w:rFonts w:ascii="Arial" w:hAnsi="Arial" w:cs="Arial"/>
        </w:rPr>
        <w:t>of the judgment</w:t>
      </w:r>
      <w:r w:rsidR="00362382">
        <w:rPr>
          <w:rFonts w:ascii="Arial" w:hAnsi="Arial" w:cs="Arial"/>
        </w:rPr>
        <w:t xml:space="preserve"> in </w:t>
      </w:r>
      <w:r w:rsidR="00362382" w:rsidRPr="00362382">
        <w:rPr>
          <w:rFonts w:ascii="Arial" w:hAnsi="Arial" w:cs="Arial"/>
          <w:i/>
        </w:rPr>
        <w:t>Shea</w:t>
      </w:r>
      <w:r>
        <w:rPr>
          <w:rFonts w:ascii="Arial" w:hAnsi="Arial" w:cs="Arial"/>
        </w:rPr>
        <w:t xml:space="preserve">, </w:t>
      </w:r>
      <w:r w:rsidR="00F334E1">
        <w:rPr>
          <w:rFonts w:ascii="Arial" w:hAnsi="Arial" w:cs="Arial"/>
        </w:rPr>
        <w:t xml:space="preserve">in which her Honour held </w:t>
      </w:r>
      <w:r>
        <w:rPr>
          <w:rFonts w:ascii="Arial" w:hAnsi="Arial" w:cs="Arial"/>
        </w:rPr>
        <w:t>as follows:</w:t>
      </w:r>
    </w:p>
    <w:p w:rsidR="000215B7" w:rsidRPr="00930216" w:rsidRDefault="000215B7" w:rsidP="000215B7">
      <w:pPr>
        <w:pStyle w:val="NormalWeb"/>
        <w:ind w:left="720"/>
        <w:rPr>
          <w:rFonts w:ascii="Arial" w:hAnsi="Arial" w:cs="Arial"/>
          <w:i/>
          <w:sz w:val="20"/>
          <w:szCs w:val="20"/>
        </w:rPr>
      </w:pPr>
      <w:r w:rsidRPr="00930216">
        <w:rPr>
          <w:rFonts w:ascii="Arial" w:hAnsi="Arial" w:cs="Arial"/>
          <w:i/>
          <w:sz w:val="20"/>
          <w:szCs w:val="20"/>
        </w:rPr>
        <w:t>(a) a complaint is a communication which, whether expressly or implicitly, as a matter of substance, irrespective of the words used, conveys a grievance, a finding of fault or accusation;</w:t>
      </w:r>
    </w:p>
    <w:p w:rsidR="000215B7" w:rsidRPr="00930216" w:rsidRDefault="000215B7" w:rsidP="000215B7">
      <w:pPr>
        <w:pStyle w:val="NormalWeb"/>
        <w:ind w:left="720"/>
        <w:rPr>
          <w:rFonts w:ascii="Arial" w:hAnsi="Arial" w:cs="Arial"/>
          <w:i/>
          <w:sz w:val="20"/>
          <w:szCs w:val="20"/>
        </w:rPr>
      </w:pPr>
      <w:r w:rsidRPr="00930216">
        <w:rPr>
          <w:rFonts w:ascii="Arial" w:hAnsi="Arial" w:cs="Arial"/>
          <w:i/>
          <w:sz w:val="20"/>
          <w:szCs w:val="20"/>
        </w:rPr>
        <w:t>(b) the grievance, finding of fault or accusation must be genuinely held or considered valid by the complainant;</w:t>
      </w:r>
    </w:p>
    <w:p w:rsidR="000215B7" w:rsidRPr="00930216" w:rsidRDefault="000215B7" w:rsidP="000215B7">
      <w:pPr>
        <w:pStyle w:val="NormalWeb"/>
        <w:ind w:left="720"/>
        <w:rPr>
          <w:rFonts w:ascii="Arial" w:hAnsi="Arial" w:cs="Arial"/>
          <w:i/>
          <w:sz w:val="20"/>
          <w:szCs w:val="20"/>
        </w:rPr>
      </w:pPr>
      <w:r w:rsidRPr="00930216">
        <w:rPr>
          <w:rFonts w:ascii="Arial" w:hAnsi="Arial" w:cs="Arial"/>
          <w:i/>
          <w:sz w:val="20"/>
          <w:szCs w:val="20"/>
        </w:rPr>
        <w:t>(c) the grievance, finding of fault or accusation need not be substantiated, proved or ultimately established, but the exercise of the workplace right constituted by the making of the complaint must be in good faith and for a proper purpose;</w:t>
      </w:r>
    </w:p>
    <w:p w:rsidR="000215B7" w:rsidRPr="00930216" w:rsidRDefault="000215B7" w:rsidP="000215B7">
      <w:pPr>
        <w:pStyle w:val="NormalWeb"/>
        <w:ind w:left="720"/>
        <w:rPr>
          <w:rFonts w:ascii="Arial" w:hAnsi="Arial" w:cs="Arial"/>
          <w:i/>
          <w:sz w:val="20"/>
          <w:szCs w:val="20"/>
        </w:rPr>
      </w:pPr>
      <w:r w:rsidRPr="00930216">
        <w:rPr>
          <w:rFonts w:ascii="Arial" w:hAnsi="Arial" w:cs="Arial"/>
          <w:i/>
          <w:sz w:val="20"/>
          <w:szCs w:val="20"/>
        </w:rPr>
        <w:t xml:space="preserve">(d) the proper purpose of making a complaint is giving notification of the grievance, accusation or finding of fault so that it may be, at least, received and, where appropriate, investigated or redressed. If a grievance or accusation is communicated in order to achieve some extraneous purpose unrelated to its notification, investigation or redress, it is not a complaint made in good faith for a proper purpose and is not within the ambit of </w:t>
      </w:r>
      <w:hyperlink r:id="rId28" w:history="1">
        <w:r w:rsidRPr="00930216">
          <w:rPr>
            <w:rStyle w:val="Hyperlink"/>
            <w:rFonts w:ascii="Arial" w:hAnsi="Arial" w:cs="Arial"/>
            <w:i/>
            <w:color w:val="000000"/>
            <w:sz w:val="20"/>
            <w:szCs w:val="20"/>
          </w:rPr>
          <w:t>s 341(1)(c)(ii)</w:t>
        </w:r>
      </w:hyperlink>
      <w:r w:rsidRPr="00930216">
        <w:rPr>
          <w:rFonts w:ascii="Arial" w:hAnsi="Arial" w:cs="Arial"/>
          <w:i/>
          <w:sz w:val="20"/>
          <w:szCs w:val="20"/>
        </w:rPr>
        <w:t>;</w:t>
      </w:r>
    </w:p>
    <w:p w:rsidR="000215B7" w:rsidRPr="00930216" w:rsidRDefault="000215B7" w:rsidP="000215B7">
      <w:pPr>
        <w:pStyle w:val="NormalWeb"/>
        <w:ind w:left="720"/>
        <w:rPr>
          <w:rFonts w:ascii="Arial" w:hAnsi="Arial" w:cs="Arial"/>
          <w:i/>
          <w:sz w:val="20"/>
          <w:szCs w:val="20"/>
        </w:rPr>
      </w:pPr>
      <w:r w:rsidRPr="00930216">
        <w:rPr>
          <w:rFonts w:ascii="Arial" w:hAnsi="Arial" w:cs="Arial"/>
          <w:i/>
          <w:sz w:val="20"/>
          <w:szCs w:val="20"/>
        </w:rPr>
        <w:t>(e) a complaint may be made not only to an external authority or party with the power to enforce or require compliance or redress, but may be made to persons including an employer, or to an investigator appointed by the employer;</w:t>
      </w:r>
    </w:p>
    <w:p w:rsidR="000215B7" w:rsidRPr="004779C2" w:rsidRDefault="000215B7" w:rsidP="004779C2">
      <w:pPr>
        <w:pStyle w:val="NormalWeb"/>
        <w:ind w:left="720"/>
        <w:rPr>
          <w:rFonts w:ascii="Arial" w:hAnsi="Arial" w:cs="Arial"/>
          <w:i/>
          <w:sz w:val="20"/>
          <w:szCs w:val="20"/>
        </w:rPr>
      </w:pPr>
      <w:r w:rsidRPr="00930216">
        <w:rPr>
          <w:rFonts w:ascii="Arial" w:hAnsi="Arial" w:cs="Arial"/>
          <w:i/>
          <w:sz w:val="20"/>
          <w:szCs w:val="20"/>
        </w:rPr>
        <w:t xml:space="preserve">(g) a complaint is limited to a grievance, finding of fault or accusation that satisfies the criteria in </w:t>
      </w:r>
      <w:hyperlink r:id="rId29" w:history="1">
        <w:r w:rsidRPr="00930216">
          <w:rPr>
            <w:rStyle w:val="Hyperlink"/>
            <w:rFonts w:ascii="Arial" w:hAnsi="Arial" w:cs="Arial"/>
            <w:i/>
            <w:color w:val="000000"/>
            <w:sz w:val="20"/>
            <w:szCs w:val="20"/>
          </w:rPr>
          <w:t>s 341(1)(c)(ii)</w:t>
        </w:r>
      </w:hyperlink>
      <w:r w:rsidRPr="00930216">
        <w:rPr>
          <w:rFonts w:ascii="Arial" w:hAnsi="Arial" w:cs="Arial"/>
          <w:i/>
          <w:sz w:val="20"/>
          <w:szCs w:val="20"/>
        </w:rPr>
        <w:t xml:space="preserve"> and does not extend to other grievances merely because they are communicated contemporaneously or in association with the complaint. Nor does a complaint comprehend contemporaneous or associated conduct which is beyond what is reasonable for the communication of the grievance or accusation.</w:t>
      </w:r>
    </w:p>
    <w:sectPr w:rsidR="000215B7" w:rsidRPr="004779C2" w:rsidSect="00603278">
      <w:headerReference w:type="default" r:id="rId30"/>
      <w:footerReference w:type="default" r:id="rId31"/>
      <w:pgSz w:w="11906" w:h="16838"/>
      <w:pgMar w:top="1418"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2A" w:rsidRDefault="00F47E2A" w:rsidP="00371F4F">
      <w:pPr>
        <w:spacing w:after="0" w:line="240" w:lineRule="auto"/>
      </w:pPr>
      <w:r>
        <w:separator/>
      </w:r>
    </w:p>
  </w:endnote>
  <w:endnote w:type="continuationSeparator" w:id="0">
    <w:p w:rsidR="00F47E2A" w:rsidRDefault="00F47E2A" w:rsidP="0037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D5" w:rsidRDefault="000D1AD5">
    <w:pPr>
      <w:pStyle w:val="Footer"/>
      <w:pBdr>
        <w:top w:val="single" w:sz="4" w:space="1" w:color="D9D9D9"/>
      </w:pBdr>
      <w:jc w:val="right"/>
    </w:pPr>
    <w:r>
      <w:fldChar w:fldCharType="begin"/>
    </w:r>
    <w:r>
      <w:instrText xml:space="preserve"> PAGE   \* MERGEFORMAT </w:instrText>
    </w:r>
    <w:r>
      <w:fldChar w:fldCharType="separate"/>
    </w:r>
    <w:r w:rsidR="00BE6B86">
      <w:rPr>
        <w:noProof/>
      </w:rPr>
      <w:t>1</w:t>
    </w:r>
    <w:r>
      <w:fldChar w:fldCharType="end"/>
    </w:r>
    <w:r>
      <w:t xml:space="preserve"> | </w:t>
    </w:r>
    <w:r>
      <w:rPr>
        <w:color w:val="7F7F7F"/>
        <w:spacing w:val="60"/>
      </w:rPr>
      <w:t>Page</w:t>
    </w:r>
  </w:p>
  <w:p w:rsidR="000D1AD5" w:rsidRDefault="000D1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2A" w:rsidRDefault="00F47E2A" w:rsidP="00371F4F">
      <w:pPr>
        <w:spacing w:after="0" w:line="240" w:lineRule="auto"/>
      </w:pPr>
      <w:r>
        <w:separator/>
      </w:r>
    </w:p>
  </w:footnote>
  <w:footnote w:type="continuationSeparator" w:id="0">
    <w:p w:rsidR="00F47E2A" w:rsidRDefault="00F47E2A" w:rsidP="00371F4F">
      <w:pPr>
        <w:spacing w:after="0" w:line="240" w:lineRule="auto"/>
      </w:pPr>
      <w:r>
        <w:continuationSeparator/>
      </w:r>
    </w:p>
  </w:footnote>
  <w:footnote w:id="1">
    <w:p w:rsidR="000D1AD5" w:rsidRPr="00076DAD" w:rsidRDefault="000D1AD5" w:rsidP="00566DD1">
      <w:pPr>
        <w:pStyle w:val="FootnoteText"/>
        <w:rPr>
          <w:rFonts w:ascii="Arial" w:hAnsi="Arial" w:cs="Arial"/>
          <w:i/>
          <w:sz w:val="18"/>
          <w:szCs w:val="18"/>
        </w:rPr>
      </w:pPr>
      <w:r w:rsidRPr="00076DAD">
        <w:rPr>
          <w:rStyle w:val="FootnoteReference"/>
          <w:rFonts w:ascii="Arial" w:hAnsi="Arial" w:cs="Arial"/>
          <w:sz w:val="18"/>
          <w:szCs w:val="18"/>
        </w:rPr>
        <w:footnoteRef/>
      </w:r>
      <w:r w:rsidRPr="00076DAD">
        <w:rPr>
          <w:rFonts w:ascii="Arial" w:hAnsi="Arial" w:cs="Arial"/>
          <w:sz w:val="18"/>
          <w:szCs w:val="18"/>
        </w:rPr>
        <w:t xml:space="preserve"> [2005] Australian Catholic Bishops Conference, </w:t>
      </w:r>
      <w:r w:rsidRPr="00076DAD">
        <w:rPr>
          <w:rFonts w:ascii="Arial" w:hAnsi="Arial" w:cs="Arial"/>
          <w:i/>
          <w:sz w:val="18"/>
          <w:szCs w:val="18"/>
        </w:rPr>
        <w:t>The Bishops’ Statement of 25 November 2005</w:t>
      </w:r>
    </w:p>
  </w:footnote>
  <w:footnote w:id="2">
    <w:p w:rsidR="000D1AD5" w:rsidRPr="00D55BA3" w:rsidRDefault="000D1AD5">
      <w:pPr>
        <w:pStyle w:val="FootnoteText"/>
        <w:rPr>
          <w:rFonts w:ascii="Arial" w:hAnsi="Arial" w:cs="Arial"/>
          <w:i/>
          <w:sz w:val="18"/>
          <w:szCs w:val="18"/>
        </w:rPr>
      </w:pPr>
      <w:r w:rsidRPr="00D55BA3">
        <w:rPr>
          <w:rStyle w:val="FootnoteReference"/>
          <w:rFonts w:ascii="Arial" w:hAnsi="Arial" w:cs="Arial"/>
          <w:sz w:val="18"/>
          <w:szCs w:val="18"/>
        </w:rPr>
        <w:footnoteRef/>
      </w:r>
      <w:r w:rsidRPr="00D55BA3">
        <w:rPr>
          <w:rFonts w:ascii="Arial" w:hAnsi="Arial" w:cs="Arial"/>
          <w:sz w:val="18"/>
          <w:szCs w:val="18"/>
        </w:rPr>
        <w:t xml:space="preserve"> [2007] ACCER </w:t>
      </w:r>
      <w:r w:rsidRPr="00D55BA3">
        <w:rPr>
          <w:rFonts w:ascii="Arial" w:hAnsi="Arial" w:cs="Arial"/>
          <w:i/>
          <w:sz w:val="18"/>
          <w:szCs w:val="18"/>
        </w:rPr>
        <w:t>Workplace Relations: A Catholic Perspective</w:t>
      </w:r>
    </w:p>
  </w:footnote>
  <w:footnote w:id="3">
    <w:p w:rsidR="000D1AD5" w:rsidRPr="00BB4D8C" w:rsidRDefault="000D1AD5" w:rsidP="001B2C6F">
      <w:pPr>
        <w:pStyle w:val="FootnoteText"/>
        <w:rPr>
          <w:rFonts w:ascii="Arial" w:hAnsi="Arial" w:cs="Arial"/>
          <w:i/>
          <w:sz w:val="18"/>
          <w:szCs w:val="18"/>
        </w:rPr>
      </w:pPr>
      <w:r w:rsidRPr="00BB4D8C">
        <w:rPr>
          <w:rStyle w:val="FootnoteReference"/>
          <w:rFonts w:ascii="Arial" w:hAnsi="Arial" w:cs="Arial"/>
          <w:sz w:val="18"/>
          <w:szCs w:val="18"/>
        </w:rPr>
        <w:footnoteRef/>
      </w:r>
      <w:r w:rsidRPr="00BB4D8C">
        <w:rPr>
          <w:rFonts w:ascii="Arial" w:hAnsi="Arial" w:cs="Arial"/>
          <w:sz w:val="18"/>
          <w:szCs w:val="18"/>
        </w:rPr>
        <w:t xml:space="preserve"> [2013] ACCER </w:t>
      </w:r>
      <w:r w:rsidRPr="00BB4D8C">
        <w:rPr>
          <w:rFonts w:ascii="Arial" w:hAnsi="Arial" w:cs="Arial"/>
          <w:i/>
          <w:sz w:val="18"/>
          <w:szCs w:val="18"/>
        </w:rPr>
        <w:t>Submission to Fair Work Commission Annual Wage Review 2013-2014</w:t>
      </w:r>
    </w:p>
  </w:footnote>
  <w:footnote w:id="4">
    <w:p w:rsidR="000D1AD5" w:rsidRPr="008471C3" w:rsidRDefault="000D1AD5">
      <w:pPr>
        <w:pStyle w:val="FootnoteText"/>
        <w:rPr>
          <w:rFonts w:ascii="Arial" w:hAnsi="Arial" w:cs="Arial"/>
          <w:sz w:val="18"/>
          <w:szCs w:val="18"/>
        </w:rPr>
      </w:pPr>
      <w:r w:rsidRPr="008471C3">
        <w:rPr>
          <w:rStyle w:val="FootnoteReference"/>
          <w:rFonts w:ascii="Arial" w:hAnsi="Arial" w:cs="Arial"/>
          <w:sz w:val="18"/>
          <w:szCs w:val="18"/>
        </w:rPr>
        <w:footnoteRef/>
      </w:r>
      <w:r w:rsidRPr="008471C3">
        <w:rPr>
          <w:rFonts w:ascii="Arial" w:hAnsi="Arial" w:cs="Arial"/>
          <w:sz w:val="18"/>
          <w:szCs w:val="18"/>
        </w:rPr>
        <w:t xml:space="preserve"> [2014] ABS, </w:t>
      </w:r>
      <w:r w:rsidRPr="008471C3">
        <w:rPr>
          <w:rFonts w:ascii="Arial" w:hAnsi="Arial" w:cs="Arial"/>
          <w:bCs/>
          <w:i/>
          <w:color w:val="000000"/>
          <w:sz w:val="18"/>
          <w:szCs w:val="18"/>
          <w:shd w:val="clear" w:color="auto" w:fill="FFFFFF"/>
        </w:rPr>
        <w:t>Employee Earnings and Hours</w:t>
      </w:r>
      <w:r w:rsidRPr="008471C3">
        <w:rPr>
          <w:rFonts w:ascii="Arial" w:hAnsi="Arial" w:cs="Arial"/>
          <w:bCs/>
          <w:color w:val="000000"/>
          <w:sz w:val="18"/>
          <w:szCs w:val="18"/>
          <w:shd w:val="clear" w:color="auto" w:fill="FFFFFF"/>
        </w:rPr>
        <w:t xml:space="preserve">, </w:t>
      </w:r>
      <w:r w:rsidRPr="008471C3">
        <w:rPr>
          <w:rFonts w:ascii="Arial" w:hAnsi="Arial" w:cs="Arial"/>
          <w:bCs/>
          <w:i/>
          <w:color w:val="000000"/>
          <w:sz w:val="18"/>
          <w:szCs w:val="18"/>
          <w:shd w:val="clear" w:color="auto" w:fill="FFFFFF"/>
        </w:rPr>
        <w:t xml:space="preserve">Australia, May 2014 </w:t>
      </w:r>
      <w:r>
        <w:rPr>
          <w:rFonts w:ascii="Arial" w:hAnsi="Arial" w:cs="Arial"/>
          <w:bCs/>
          <w:i/>
          <w:color w:val="000000"/>
          <w:sz w:val="18"/>
          <w:szCs w:val="18"/>
          <w:shd w:val="clear" w:color="auto" w:fill="FFFFFF"/>
        </w:rPr>
        <w:t xml:space="preserve">, </w:t>
      </w:r>
      <w:r w:rsidRPr="008471C3">
        <w:rPr>
          <w:rFonts w:ascii="Arial" w:hAnsi="Arial" w:cs="Arial"/>
          <w:bCs/>
          <w:color w:val="000000"/>
          <w:sz w:val="18"/>
          <w:szCs w:val="18"/>
          <w:shd w:val="clear" w:color="auto" w:fill="FFFFFF"/>
        </w:rPr>
        <w:t>6306.0</w:t>
      </w:r>
    </w:p>
  </w:footnote>
  <w:footnote w:id="5">
    <w:p w:rsidR="000D1AD5" w:rsidRPr="004F58F8" w:rsidRDefault="000D1AD5">
      <w:pPr>
        <w:pStyle w:val="FootnoteText"/>
        <w:rPr>
          <w:rFonts w:ascii="Arial" w:hAnsi="Arial" w:cs="Arial"/>
          <w:sz w:val="18"/>
          <w:szCs w:val="18"/>
        </w:rPr>
      </w:pPr>
      <w:r w:rsidRPr="004F58F8">
        <w:rPr>
          <w:rStyle w:val="FootnoteReference"/>
          <w:rFonts w:ascii="Arial" w:hAnsi="Arial" w:cs="Arial"/>
          <w:sz w:val="18"/>
          <w:szCs w:val="18"/>
        </w:rPr>
        <w:footnoteRef/>
      </w:r>
      <w:r w:rsidRPr="004F58F8">
        <w:rPr>
          <w:rFonts w:ascii="Arial" w:hAnsi="Arial" w:cs="Arial"/>
          <w:sz w:val="18"/>
          <w:szCs w:val="18"/>
        </w:rPr>
        <w:t xml:space="preserve"> [2014] ACCER, </w:t>
      </w:r>
      <w:r>
        <w:rPr>
          <w:rFonts w:ascii="Arial" w:hAnsi="Arial" w:cs="Arial"/>
          <w:sz w:val="18"/>
          <w:szCs w:val="18"/>
        </w:rPr>
        <w:t>A</w:t>
      </w:r>
      <w:r w:rsidRPr="004F58F8">
        <w:rPr>
          <w:rFonts w:ascii="Arial" w:hAnsi="Arial" w:cs="Arial"/>
          <w:i/>
          <w:sz w:val="18"/>
          <w:szCs w:val="18"/>
        </w:rPr>
        <w:t>fter a century the minimum wage system abandons families</w:t>
      </w:r>
      <w:r w:rsidRPr="004F58F8">
        <w:rPr>
          <w:rFonts w:ascii="Arial" w:hAnsi="Arial" w:cs="Arial"/>
          <w:sz w:val="18"/>
          <w:szCs w:val="18"/>
        </w:rPr>
        <w:t>, Briefing Paper</w:t>
      </w:r>
    </w:p>
  </w:footnote>
  <w:footnote w:id="6">
    <w:p w:rsidR="000D1AD5" w:rsidRPr="008471C3" w:rsidRDefault="000D1AD5">
      <w:pPr>
        <w:pStyle w:val="FootnoteText"/>
        <w:rPr>
          <w:rFonts w:ascii="Arial" w:hAnsi="Arial" w:cs="Arial"/>
          <w:sz w:val="18"/>
          <w:szCs w:val="18"/>
        </w:rPr>
      </w:pPr>
      <w:r w:rsidRPr="008471C3">
        <w:rPr>
          <w:rStyle w:val="FootnoteReference"/>
          <w:rFonts w:ascii="Arial" w:hAnsi="Arial" w:cs="Arial"/>
          <w:sz w:val="18"/>
          <w:szCs w:val="18"/>
        </w:rPr>
        <w:footnoteRef/>
      </w:r>
      <w:r w:rsidRPr="008471C3">
        <w:rPr>
          <w:rFonts w:ascii="Arial" w:hAnsi="Arial" w:cs="Arial"/>
          <w:sz w:val="18"/>
          <w:szCs w:val="18"/>
        </w:rPr>
        <w:t xml:space="preserve"> [2014] ACCER</w:t>
      </w:r>
      <w:r>
        <w:rPr>
          <w:rFonts w:ascii="Arial" w:hAnsi="Arial" w:cs="Arial"/>
          <w:sz w:val="18"/>
          <w:szCs w:val="18"/>
        </w:rPr>
        <w:t xml:space="preserve">  </w:t>
      </w:r>
      <w:r w:rsidRPr="00116503">
        <w:rPr>
          <w:rFonts w:ascii="Arial" w:hAnsi="Arial" w:cs="Arial"/>
          <w:i/>
          <w:sz w:val="18"/>
          <w:szCs w:val="18"/>
        </w:rPr>
        <w:t>After a century the minimum wage system abandons families</w:t>
      </w:r>
      <w:r>
        <w:rPr>
          <w:rFonts w:ascii="Arial" w:hAnsi="Arial" w:cs="Arial"/>
          <w:sz w:val="18"/>
          <w:szCs w:val="18"/>
        </w:rPr>
        <w:t xml:space="preserve"> , Briefing Paper (pp11-13)</w:t>
      </w:r>
    </w:p>
  </w:footnote>
  <w:footnote w:id="7">
    <w:p w:rsidR="000D1AD5" w:rsidRPr="00981187" w:rsidRDefault="000D1AD5" w:rsidP="00387A28">
      <w:pPr>
        <w:spacing w:after="0" w:line="240" w:lineRule="auto"/>
        <w:rPr>
          <w:rFonts w:ascii="Arial" w:hAnsi="Arial" w:cs="Arial"/>
          <w:sz w:val="18"/>
          <w:szCs w:val="18"/>
        </w:rPr>
      </w:pPr>
      <w:r w:rsidRPr="00981187">
        <w:rPr>
          <w:rStyle w:val="FootnoteReference"/>
          <w:rFonts w:ascii="Arial" w:hAnsi="Arial" w:cs="Arial"/>
          <w:sz w:val="18"/>
          <w:szCs w:val="18"/>
        </w:rPr>
        <w:footnoteRef/>
      </w:r>
      <w:r w:rsidRPr="00981187">
        <w:rPr>
          <w:rFonts w:ascii="Arial" w:hAnsi="Arial" w:cs="Arial"/>
          <w:sz w:val="18"/>
          <w:szCs w:val="18"/>
        </w:rPr>
        <w:t xml:space="preserve"> [2014] ACCER </w:t>
      </w:r>
      <w:r w:rsidRPr="00981187">
        <w:rPr>
          <w:rFonts w:ascii="Arial" w:hAnsi="Arial" w:cs="Arial"/>
          <w:i/>
          <w:sz w:val="18"/>
          <w:szCs w:val="18"/>
        </w:rPr>
        <w:t xml:space="preserve">Working Australia, 2014: wages, families and poverty </w:t>
      </w:r>
    </w:p>
  </w:footnote>
  <w:footnote w:id="8">
    <w:p w:rsidR="000D1AD5" w:rsidRPr="00981187" w:rsidRDefault="000D1AD5" w:rsidP="00387A28">
      <w:pPr>
        <w:pStyle w:val="FootnoteText"/>
        <w:rPr>
          <w:rFonts w:ascii="Arial" w:hAnsi="Arial" w:cs="Arial"/>
          <w:sz w:val="18"/>
          <w:szCs w:val="18"/>
        </w:rPr>
      </w:pPr>
      <w:r w:rsidRPr="00981187">
        <w:rPr>
          <w:rStyle w:val="FootnoteReference"/>
          <w:rFonts w:ascii="Arial" w:hAnsi="Arial" w:cs="Arial"/>
          <w:sz w:val="18"/>
          <w:szCs w:val="18"/>
        </w:rPr>
        <w:footnoteRef/>
      </w:r>
      <w:r w:rsidRPr="00981187">
        <w:rPr>
          <w:rFonts w:ascii="Arial" w:hAnsi="Arial" w:cs="Arial"/>
          <w:sz w:val="18"/>
          <w:szCs w:val="18"/>
        </w:rPr>
        <w:t xml:space="preserve"> [2014] Lawrence B, </w:t>
      </w:r>
      <w:r w:rsidRPr="00981187">
        <w:rPr>
          <w:rFonts w:ascii="Arial" w:hAnsi="Arial" w:cs="Arial"/>
          <w:i/>
          <w:sz w:val="18"/>
          <w:szCs w:val="18"/>
        </w:rPr>
        <w:t>Wage justice and the challenge of globalisation :a Catholic perspective</w:t>
      </w:r>
      <w:r w:rsidRPr="00981187">
        <w:rPr>
          <w:rFonts w:ascii="Arial" w:hAnsi="Arial" w:cs="Arial"/>
          <w:sz w:val="18"/>
          <w:szCs w:val="18"/>
        </w:rPr>
        <w:t xml:space="preserve">, </w:t>
      </w:r>
      <w:r w:rsidRPr="00981187">
        <w:rPr>
          <w:rFonts w:ascii="Arial" w:hAnsi="Arial" w:cs="Arial"/>
          <w:i/>
          <w:sz w:val="18"/>
          <w:szCs w:val="18"/>
        </w:rPr>
        <w:t>Gesher</w:t>
      </w:r>
      <w:r w:rsidRPr="00981187">
        <w:rPr>
          <w:rFonts w:ascii="Arial" w:hAnsi="Arial" w:cs="Arial"/>
          <w:sz w:val="18"/>
          <w:szCs w:val="18"/>
        </w:rPr>
        <w:t xml:space="preserve"> journal, The Council of Christians and Jews Victoria Inc</w:t>
      </w:r>
    </w:p>
  </w:footnote>
  <w:footnote w:id="9">
    <w:p w:rsidR="000D1AD5" w:rsidRPr="00981187" w:rsidRDefault="000D1AD5">
      <w:pPr>
        <w:pStyle w:val="FootnoteText"/>
        <w:rPr>
          <w:rFonts w:ascii="Arial" w:hAnsi="Arial" w:cs="Arial"/>
          <w:sz w:val="18"/>
          <w:szCs w:val="18"/>
        </w:rPr>
      </w:pPr>
      <w:r w:rsidRPr="00981187">
        <w:rPr>
          <w:rStyle w:val="FootnoteReference"/>
          <w:rFonts w:ascii="Arial" w:hAnsi="Arial" w:cs="Arial"/>
          <w:sz w:val="18"/>
          <w:szCs w:val="18"/>
        </w:rPr>
        <w:footnoteRef/>
      </w:r>
      <w:r w:rsidRPr="00981187">
        <w:rPr>
          <w:rFonts w:ascii="Arial" w:hAnsi="Arial" w:cs="Arial"/>
          <w:sz w:val="18"/>
          <w:szCs w:val="18"/>
        </w:rPr>
        <w:t xml:space="preserve"> [2014 ACCER </w:t>
      </w:r>
      <w:r w:rsidRPr="00116503">
        <w:rPr>
          <w:rFonts w:ascii="Arial" w:hAnsi="Arial" w:cs="Arial"/>
          <w:i/>
          <w:sz w:val="18"/>
          <w:szCs w:val="18"/>
        </w:rPr>
        <w:t>After a century the minimum wage system abandons families</w:t>
      </w:r>
      <w:r>
        <w:rPr>
          <w:rFonts w:ascii="Arial" w:hAnsi="Arial" w:cs="Arial"/>
          <w:sz w:val="18"/>
          <w:szCs w:val="18"/>
        </w:rPr>
        <w:t xml:space="preserve"> , Briefing Paper (p 51)</w:t>
      </w:r>
    </w:p>
  </w:footnote>
  <w:footnote w:id="10">
    <w:p w:rsidR="000D1AD5" w:rsidRPr="00981187" w:rsidRDefault="000D1AD5">
      <w:pPr>
        <w:pStyle w:val="FootnoteText"/>
        <w:rPr>
          <w:rFonts w:ascii="Arial" w:hAnsi="Arial" w:cs="Arial"/>
          <w:sz w:val="18"/>
          <w:szCs w:val="18"/>
        </w:rPr>
      </w:pPr>
      <w:r w:rsidRPr="00981187">
        <w:rPr>
          <w:rStyle w:val="FootnoteReference"/>
          <w:rFonts w:ascii="Arial" w:hAnsi="Arial" w:cs="Arial"/>
          <w:sz w:val="18"/>
          <w:szCs w:val="18"/>
        </w:rPr>
        <w:footnoteRef/>
      </w:r>
      <w:r w:rsidRPr="00981187">
        <w:rPr>
          <w:rFonts w:ascii="Arial" w:hAnsi="Arial" w:cs="Arial"/>
          <w:sz w:val="18"/>
          <w:szCs w:val="18"/>
        </w:rPr>
        <w:t xml:space="preserve"> [2012] Australian Council of Social Services, </w:t>
      </w:r>
      <w:r w:rsidRPr="00981187">
        <w:rPr>
          <w:rFonts w:ascii="Arial" w:hAnsi="Arial" w:cs="Arial"/>
          <w:i/>
          <w:sz w:val="18"/>
          <w:szCs w:val="18"/>
        </w:rPr>
        <w:t xml:space="preserve">Poverty in Australia </w:t>
      </w:r>
      <w:r w:rsidRPr="00981187">
        <w:rPr>
          <w:rFonts w:ascii="Arial" w:hAnsi="Arial" w:cs="Arial"/>
          <w:sz w:val="18"/>
          <w:szCs w:val="18"/>
        </w:rPr>
        <w:t>ACOSS Paper 194</w:t>
      </w:r>
      <w:r w:rsidR="00414E85">
        <w:rPr>
          <w:rFonts w:ascii="Arial" w:hAnsi="Arial" w:cs="Arial"/>
          <w:sz w:val="18"/>
          <w:szCs w:val="18"/>
        </w:rPr>
        <w:t xml:space="preserve"> [</w:t>
      </w:r>
      <w:r w:rsidRPr="00981187">
        <w:rPr>
          <w:rFonts w:ascii="Arial" w:hAnsi="Arial" w:cs="Arial"/>
          <w:sz w:val="18"/>
          <w:szCs w:val="18"/>
        </w:rPr>
        <w:t>page 24</w:t>
      </w:r>
      <w:r w:rsidR="00414E85">
        <w:rPr>
          <w:rFonts w:ascii="Arial" w:hAnsi="Arial" w:cs="Arial"/>
          <w:sz w:val="18"/>
          <w:szCs w:val="18"/>
        </w:rPr>
        <w:t>]</w:t>
      </w:r>
    </w:p>
  </w:footnote>
  <w:footnote w:id="11">
    <w:p w:rsidR="000D1AD5" w:rsidRPr="00981187" w:rsidRDefault="000D1AD5" w:rsidP="00387A28">
      <w:pPr>
        <w:spacing w:after="0" w:line="240" w:lineRule="auto"/>
        <w:rPr>
          <w:rFonts w:ascii="Arial" w:hAnsi="Arial" w:cs="Arial"/>
          <w:sz w:val="18"/>
          <w:szCs w:val="18"/>
        </w:rPr>
      </w:pPr>
      <w:r w:rsidRPr="00981187">
        <w:rPr>
          <w:rStyle w:val="FootnoteReference"/>
          <w:rFonts w:ascii="Arial" w:hAnsi="Arial" w:cs="Arial"/>
          <w:sz w:val="18"/>
          <w:szCs w:val="18"/>
        </w:rPr>
        <w:footnoteRef/>
      </w:r>
      <w:r w:rsidRPr="00981187">
        <w:rPr>
          <w:rFonts w:ascii="Arial" w:hAnsi="Arial" w:cs="Arial"/>
          <w:sz w:val="18"/>
          <w:szCs w:val="18"/>
        </w:rPr>
        <w:t xml:space="preserve"> [2013] FWCFB 4000 </w:t>
      </w:r>
      <w:r w:rsidRPr="00981187">
        <w:rPr>
          <w:rFonts w:ascii="Arial" w:hAnsi="Arial" w:cs="Arial"/>
          <w:i/>
          <w:iCs/>
          <w:sz w:val="18"/>
          <w:szCs w:val="18"/>
        </w:rPr>
        <w:t>Annual Wage Review 2012-13</w:t>
      </w:r>
      <w:r w:rsidRPr="00981187">
        <w:rPr>
          <w:rFonts w:ascii="Arial" w:hAnsi="Arial" w:cs="Arial"/>
          <w:sz w:val="18"/>
          <w:szCs w:val="18"/>
        </w:rPr>
        <w:t>, paragraph [408]</w:t>
      </w:r>
    </w:p>
  </w:footnote>
  <w:footnote w:id="12">
    <w:p w:rsidR="000D1AD5" w:rsidRPr="00AF7EC1" w:rsidRDefault="000D1AD5" w:rsidP="00387A28">
      <w:pPr>
        <w:spacing w:after="0" w:line="240" w:lineRule="auto"/>
        <w:rPr>
          <w:rFonts w:ascii="Arial" w:hAnsi="Arial" w:cs="Arial"/>
          <w:sz w:val="18"/>
          <w:szCs w:val="18"/>
        </w:rPr>
      </w:pPr>
      <w:r w:rsidRPr="00AF7EC1">
        <w:rPr>
          <w:rStyle w:val="FootnoteReference"/>
          <w:rFonts w:ascii="Arial" w:hAnsi="Arial" w:cs="Arial"/>
          <w:sz w:val="18"/>
          <w:szCs w:val="18"/>
        </w:rPr>
        <w:footnoteRef/>
      </w:r>
      <w:r w:rsidRPr="00AF7EC1">
        <w:rPr>
          <w:rFonts w:ascii="Arial" w:hAnsi="Arial" w:cs="Arial"/>
          <w:sz w:val="18"/>
          <w:szCs w:val="18"/>
        </w:rPr>
        <w:t xml:space="preserve"> [2014] FWCFB 3500</w:t>
      </w:r>
      <w:r>
        <w:rPr>
          <w:rFonts w:ascii="Arial" w:hAnsi="Arial" w:cs="Arial"/>
          <w:sz w:val="18"/>
          <w:szCs w:val="18"/>
        </w:rPr>
        <w:t xml:space="preserve"> </w:t>
      </w:r>
      <w:r w:rsidRPr="00AF7EC1">
        <w:rPr>
          <w:rFonts w:ascii="Arial" w:hAnsi="Arial" w:cs="Arial"/>
          <w:sz w:val="18"/>
          <w:szCs w:val="18"/>
        </w:rPr>
        <w:t xml:space="preserve"> </w:t>
      </w:r>
      <w:r w:rsidRPr="00A53997">
        <w:rPr>
          <w:rFonts w:ascii="Arial" w:hAnsi="Arial" w:cs="Arial"/>
          <w:i/>
          <w:sz w:val="18"/>
          <w:szCs w:val="18"/>
        </w:rPr>
        <w:t>Annual Wage Review 2013-14</w:t>
      </w:r>
      <w:r w:rsidRPr="00AF7EC1">
        <w:rPr>
          <w:rFonts w:ascii="Arial" w:hAnsi="Arial" w:cs="Arial"/>
          <w:sz w:val="18"/>
          <w:szCs w:val="18"/>
        </w:rPr>
        <w:t>, paragraphs [38], [365] and [373]</w:t>
      </w:r>
    </w:p>
  </w:footnote>
  <w:footnote w:id="13">
    <w:p w:rsidR="000D1AD5" w:rsidRPr="00B431F2" w:rsidRDefault="000D1AD5" w:rsidP="00387A28">
      <w:pPr>
        <w:pStyle w:val="FootnoteText"/>
        <w:rPr>
          <w:rFonts w:ascii="Arial" w:hAnsi="Arial" w:cs="Arial"/>
          <w:sz w:val="18"/>
          <w:szCs w:val="18"/>
        </w:rPr>
      </w:pPr>
      <w:r w:rsidRPr="00B431F2">
        <w:rPr>
          <w:rStyle w:val="FootnoteReference"/>
          <w:rFonts w:ascii="Arial" w:hAnsi="Arial" w:cs="Arial"/>
          <w:sz w:val="18"/>
          <w:szCs w:val="18"/>
        </w:rPr>
        <w:footnoteRef/>
      </w:r>
      <w:r w:rsidRPr="00B431F2">
        <w:rPr>
          <w:rFonts w:ascii="Arial" w:hAnsi="Arial" w:cs="Arial"/>
          <w:sz w:val="18"/>
          <w:szCs w:val="18"/>
        </w:rPr>
        <w:t xml:space="preserve"> [2014] ACCER </w:t>
      </w:r>
      <w:r w:rsidRPr="00B431F2">
        <w:rPr>
          <w:rFonts w:ascii="Arial" w:hAnsi="Arial" w:cs="Arial"/>
          <w:i/>
          <w:sz w:val="18"/>
          <w:szCs w:val="18"/>
        </w:rPr>
        <w:t>After a century the minimum wage system abandons families</w:t>
      </w:r>
    </w:p>
  </w:footnote>
  <w:footnote w:id="14">
    <w:p w:rsidR="000D1AD5" w:rsidRPr="009811FB" w:rsidRDefault="000D1AD5">
      <w:pPr>
        <w:pStyle w:val="FootnoteText"/>
        <w:rPr>
          <w:rFonts w:ascii="Arial" w:hAnsi="Arial" w:cs="Arial"/>
          <w:sz w:val="18"/>
          <w:szCs w:val="18"/>
        </w:rPr>
      </w:pPr>
      <w:r w:rsidRPr="009811FB">
        <w:rPr>
          <w:rStyle w:val="FootnoteReference"/>
          <w:rFonts w:ascii="Arial" w:hAnsi="Arial" w:cs="Arial"/>
          <w:sz w:val="18"/>
          <w:szCs w:val="18"/>
        </w:rPr>
        <w:footnoteRef/>
      </w:r>
      <w:r w:rsidRPr="009811FB">
        <w:rPr>
          <w:rFonts w:ascii="Arial" w:hAnsi="Arial" w:cs="Arial"/>
          <w:sz w:val="18"/>
          <w:szCs w:val="18"/>
        </w:rPr>
        <w:t xml:space="preserve"> [1993] Australian Bishops’ Committee for Industrial Affairs, </w:t>
      </w:r>
      <w:r w:rsidRPr="009811FB">
        <w:rPr>
          <w:rFonts w:ascii="Arial" w:hAnsi="Arial" w:cs="Arial"/>
          <w:i/>
          <w:sz w:val="18"/>
          <w:szCs w:val="18"/>
        </w:rPr>
        <w:t>Industrial Relations – The Guiding Principles (</w:t>
      </w:r>
      <w:r w:rsidRPr="009811FB">
        <w:rPr>
          <w:rFonts w:ascii="Arial" w:hAnsi="Arial" w:cs="Arial"/>
          <w:sz w:val="18"/>
          <w:szCs w:val="18"/>
        </w:rPr>
        <w:t>p 2)</w:t>
      </w:r>
    </w:p>
  </w:footnote>
  <w:footnote w:id="15">
    <w:p w:rsidR="000D1AD5" w:rsidRPr="00291ADF" w:rsidRDefault="000D1AD5">
      <w:pPr>
        <w:pStyle w:val="FootnoteText"/>
        <w:rPr>
          <w:rFonts w:ascii="Arial" w:hAnsi="Arial" w:cs="Arial"/>
          <w:sz w:val="18"/>
          <w:szCs w:val="18"/>
        </w:rPr>
      </w:pPr>
      <w:r w:rsidRPr="00291ADF">
        <w:rPr>
          <w:rStyle w:val="FootnoteReference"/>
          <w:rFonts w:ascii="Arial" w:hAnsi="Arial" w:cs="Arial"/>
          <w:sz w:val="18"/>
          <w:szCs w:val="18"/>
        </w:rPr>
        <w:footnoteRef/>
      </w:r>
      <w:r w:rsidRPr="00291ADF">
        <w:rPr>
          <w:rFonts w:ascii="Arial" w:hAnsi="Arial" w:cs="Arial"/>
          <w:sz w:val="18"/>
          <w:szCs w:val="18"/>
        </w:rPr>
        <w:t xml:space="preserve"> [2014] </w:t>
      </w:r>
      <w:r>
        <w:rPr>
          <w:rFonts w:ascii="Arial" w:hAnsi="Arial" w:cs="Arial"/>
          <w:sz w:val="18"/>
          <w:szCs w:val="18"/>
        </w:rPr>
        <w:t xml:space="preserve">Lawrence, B </w:t>
      </w:r>
      <w:r w:rsidRPr="00291ADF">
        <w:rPr>
          <w:rFonts w:ascii="Arial" w:hAnsi="Arial" w:cs="Arial"/>
          <w:i/>
          <w:sz w:val="18"/>
          <w:szCs w:val="18"/>
        </w:rPr>
        <w:t>Working Australia 2014: wages, family and poverty</w:t>
      </w:r>
      <w:r w:rsidRPr="00291ADF">
        <w:rPr>
          <w:rFonts w:ascii="Arial" w:hAnsi="Arial" w:cs="Arial"/>
          <w:sz w:val="18"/>
          <w:szCs w:val="18"/>
        </w:rPr>
        <w:t xml:space="preserve"> </w:t>
      </w:r>
      <w:r>
        <w:rPr>
          <w:rFonts w:ascii="Arial" w:hAnsi="Arial" w:cs="Arial"/>
          <w:sz w:val="18"/>
          <w:szCs w:val="18"/>
        </w:rPr>
        <w:t xml:space="preserve">ACCER </w:t>
      </w:r>
      <w:r w:rsidRPr="00291ADF">
        <w:rPr>
          <w:rFonts w:ascii="Arial" w:hAnsi="Arial" w:cs="Arial"/>
          <w:sz w:val="18"/>
          <w:szCs w:val="18"/>
        </w:rPr>
        <w:t>(p44)</w:t>
      </w:r>
    </w:p>
  </w:footnote>
  <w:footnote w:id="16">
    <w:p w:rsidR="000D1AD5" w:rsidRPr="009B2EC2" w:rsidRDefault="000D1AD5">
      <w:pPr>
        <w:pStyle w:val="FootnoteText"/>
        <w:rPr>
          <w:rFonts w:ascii="Arial" w:hAnsi="Arial" w:cs="Arial"/>
          <w:sz w:val="18"/>
          <w:szCs w:val="18"/>
        </w:rPr>
      </w:pPr>
      <w:r w:rsidRPr="009B2EC2">
        <w:rPr>
          <w:rStyle w:val="FootnoteReference"/>
          <w:rFonts w:ascii="Arial" w:hAnsi="Arial" w:cs="Arial"/>
          <w:sz w:val="18"/>
          <w:szCs w:val="18"/>
        </w:rPr>
        <w:footnoteRef/>
      </w:r>
      <w:r w:rsidRPr="009B2EC2">
        <w:rPr>
          <w:rFonts w:ascii="Arial" w:hAnsi="Arial" w:cs="Arial"/>
          <w:sz w:val="18"/>
          <w:szCs w:val="18"/>
        </w:rPr>
        <w:t xml:space="preserve"> [2015] AWRS</w:t>
      </w:r>
      <w:r w:rsidRPr="00703242">
        <w:rPr>
          <w:rFonts w:ascii="Arial" w:hAnsi="Arial" w:cs="Arial"/>
          <w:i/>
          <w:sz w:val="18"/>
          <w:szCs w:val="18"/>
        </w:rPr>
        <w:t>, First Findings Report</w:t>
      </w:r>
      <w:r>
        <w:rPr>
          <w:rFonts w:ascii="Arial" w:hAnsi="Arial" w:cs="Arial"/>
          <w:sz w:val="18"/>
          <w:szCs w:val="18"/>
        </w:rPr>
        <w:t xml:space="preserve"> , Fair Work Commission </w:t>
      </w:r>
    </w:p>
  </w:footnote>
  <w:footnote w:id="17">
    <w:p w:rsidR="000D1AD5" w:rsidRPr="004C57B0" w:rsidRDefault="000D1AD5" w:rsidP="00FA5205">
      <w:pPr>
        <w:pStyle w:val="FootnoteText"/>
        <w:rPr>
          <w:rFonts w:ascii="Arial" w:hAnsi="Arial" w:cs="Arial"/>
          <w:sz w:val="18"/>
          <w:szCs w:val="18"/>
        </w:rPr>
      </w:pPr>
      <w:r w:rsidRPr="004C57B0">
        <w:rPr>
          <w:rStyle w:val="FootnoteReference"/>
          <w:rFonts w:ascii="Arial" w:hAnsi="Arial" w:cs="Arial"/>
          <w:sz w:val="18"/>
          <w:szCs w:val="18"/>
        </w:rPr>
        <w:footnoteRef/>
      </w:r>
      <w:r w:rsidRPr="004C57B0">
        <w:rPr>
          <w:rFonts w:ascii="Arial" w:hAnsi="Arial" w:cs="Arial"/>
          <w:sz w:val="18"/>
          <w:szCs w:val="18"/>
        </w:rPr>
        <w:t xml:space="preserve"> [2012] ABS, </w:t>
      </w:r>
      <w:r w:rsidRPr="004C57B0">
        <w:rPr>
          <w:rFonts w:ascii="Arial" w:hAnsi="Arial" w:cs="Arial"/>
          <w:i/>
          <w:sz w:val="18"/>
          <w:szCs w:val="18"/>
        </w:rPr>
        <w:t xml:space="preserve">Employee </w:t>
      </w:r>
      <w:r>
        <w:rPr>
          <w:rFonts w:ascii="Arial" w:hAnsi="Arial" w:cs="Arial"/>
          <w:i/>
          <w:sz w:val="18"/>
          <w:szCs w:val="18"/>
        </w:rPr>
        <w:t>E</w:t>
      </w:r>
      <w:r w:rsidRPr="004C57B0">
        <w:rPr>
          <w:rFonts w:ascii="Arial" w:hAnsi="Arial" w:cs="Arial"/>
          <w:i/>
          <w:sz w:val="18"/>
          <w:szCs w:val="18"/>
        </w:rPr>
        <w:t>arnings and</w:t>
      </w:r>
      <w:r>
        <w:rPr>
          <w:rFonts w:ascii="Arial" w:hAnsi="Arial" w:cs="Arial"/>
          <w:i/>
          <w:sz w:val="18"/>
          <w:szCs w:val="18"/>
        </w:rPr>
        <w:t xml:space="preserve"> H</w:t>
      </w:r>
      <w:r w:rsidRPr="004C57B0">
        <w:rPr>
          <w:rFonts w:ascii="Arial" w:hAnsi="Arial" w:cs="Arial"/>
          <w:i/>
          <w:sz w:val="18"/>
          <w:szCs w:val="18"/>
        </w:rPr>
        <w:t xml:space="preserve">ours, </w:t>
      </w:r>
      <w:r>
        <w:rPr>
          <w:rFonts w:ascii="Arial" w:hAnsi="Arial" w:cs="Arial"/>
          <w:i/>
          <w:sz w:val="18"/>
          <w:szCs w:val="18"/>
        </w:rPr>
        <w:t xml:space="preserve">Australia, </w:t>
      </w:r>
      <w:r w:rsidRPr="004C57B0">
        <w:rPr>
          <w:rFonts w:ascii="Arial" w:hAnsi="Arial" w:cs="Arial"/>
          <w:i/>
          <w:sz w:val="18"/>
          <w:szCs w:val="18"/>
        </w:rPr>
        <w:t xml:space="preserve"> May 2012</w:t>
      </w:r>
      <w:r w:rsidRPr="004C57B0">
        <w:rPr>
          <w:rFonts w:ascii="Arial" w:hAnsi="Arial" w:cs="Arial"/>
          <w:sz w:val="18"/>
          <w:szCs w:val="18"/>
        </w:rPr>
        <w:t xml:space="preserve"> Catalogue no. 6306.0</w:t>
      </w:r>
    </w:p>
  </w:footnote>
  <w:footnote w:id="18">
    <w:p w:rsidR="000D1AD5" w:rsidRPr="0066590A" w:rsidRDefault="000D1AD5" w:rsidP="00FA5205">
      <w:pPr>
        <w:pStyle w:val="FootnoteText"/>
        <w:rPr>
          <w:rFonts w:ascii="Arial" w:hAnsi="Arial" w:cs="Arial"/>
          <w:sz w:val="18"/>
          <w:szCs w:val="18"/>
        </w:rPr>
      </w:pPr>
      <w:r w:rsidRPr="0066590A">
        <w:rPr>
          <w:rStyle w:val="FootnoteReference"/>
          <w:rFonts w:ascii="Arial" w:hAnsi="Arial" w:cs="Arial"/>
          <w:sz w:val="18"/>
          <w:szCs w:val="18"/>
        </w:rPr>
        <w:footnoteRef/>
      </w:r>
      <w:r w:rsidRPr="0066590A">
        <w:rPr>
          <w:rFonts w:ascii="Arial" w:hAnsi="Arial" w:cs="Arial"/>
          <w:sz w:val="18"/>
          <w:szCs w:val="18"/>
        </w:rPr>
        <w:t xml:space="preserve"> [2013] Workplace Research Centre, USYD  Business School , </w:t>
      </w:r>
      <w:r w:rsidRPr="0066590A">
        <w:rPr>
          <w:rFonts w:ascii="Arial" w:hAnsi="Arial" w:cs="Arial"/>
          <w:i/>
          <w:sz w:val="18"/>
          <w:szCs w:val="18"/>
        </w:rPr>
        <w:t xml:space="preserve">Award Reliance, </w:t>
      </w:r>
      <w:r w:rsidRPr="0066590A">
        <w:rPr>
          <w:rFonts w:ascii="Arial" w:hAnsi="Arial" w:cs="Arial"/>
          <w:sz w:val="18"/>
          <w:szCs w:val="18"/>
        </w:rPr>
        <w:t>Commissioned by FWC</w:t>
      </w:r>
    </w:p>
  </w:footnote>
  <w:footnote w:id="19">
    <w:p w:rsidR="000D1AD5" w:rsidRPr="0066590A" w:rsidRDefault="000D1AD5">
      <w:pPr>
        <w:pStyle w:val="FootnoteText"/>
        <w:rPr>
          <w:rFonts w:ascii="Arial" w:hAnsi="Arial" w:cs="Arial"/>
          <w:sz w:val="18"/>
          <w:szCs w:val="18"/>
        </w:rPr>
      </w:pPr>
      <w:r w:rsidRPr="0066590A">
        <w:rPr>
          <w:rStyle w:val="FootnoteReference"/>
          <w:rFonts w:ascii="Arial" w:hAnsi="Arial" w:cs="Arial"/>
          <w:sz w:val="18"/>
          <w:szCs w:val="18"/>
        </w:rPr>
        <w:footnoteRef/>
      </w:r>
      <w:r w:rsidRPr="0066590A">
        <w:rPr>
          <w:rFonts w:ascii="Arial" w:hAnsi="Arial" w:cs="Arial"/>
          <w:sz w:val="18"/>
          <w:szCs w:val="18"/>
        </w:rPr>
        <w:t xml:space="preserve"> [2013] Workplace Research Centre, USYD  Business School, </w:t>
      </w:r>
      <w:r w:rsidRPr="0066590A">
        <w:rPr>
          <w:rFonts w:ascii="Arial" w:hAnsi="Arial" w:cs="Arial"/>
          <w:i/>
          <w:sz w:val="18"/>
          <w:szCs w:val="18"/>
        </w:rPr>
        <w:t>Minimum wages and their role in the process and incentive</w:t>
      </w:r>
      <w:r>
        <w:rPr>
          <w:rFonts w:ascii="Arial" w:hAnsi="Arial" w:cs="Arial"/>
          <w:i/>
          <w:sz w:val="18"/>
          <w:szCs w:val="18"/>
        </w:rPr>
        <w:t xml:space="preserve">s to </w:t>
      </w:r>
      <w:r w:rsidRPr="0066590A">
        <w:rPr>
          <w:rFonts w:ascii="Arial" w:hAnsi="Arial" w:cs="Arial"/>
          <w:i/>
          <w:sz w:val="18"/>
          <w:szCs w:val="18"/>
        </w:rPr>
        <w:t>bargain</w:t>
      </w:r>
      <w:r w:rsidRPr="0066590A">
        <w:rPr>
          <w:rFonts w:ascii="Arial" w:hAnsi="Arial" w:cs="Arial"/>
          <w:sz w:val="18"/>
          <w:szCs w:val="18"/>
        </w:rPr>
        <w:t xml:space="preserve"> </w:t>
      </w:r>
      <w:r>
        <w:rPr>
          <w:rFonts w:ascii="Arial" w:hAnsi="Arial" w:cs="Arial"/>
          <w:sz w:val="18"/>
          <w:szCs w:val="18"/>
        </w:rPr>
        <w:t xml:space="preserve">, </w:t>
      </w:r>
      <w:r w:rsidRPr="0066590A">
        <w:rPr>
          <w:rFonts w:ascii="Arial" w:hAnsi="Arial" w:cs="Arial"/>
          <w:sz w:val="18"/>
          <w:szCs w:val="18"/>
        </w:rPr>
        <w:t>Commissioned by FWC</w:t>
      </w:r>
    </w:p>
  </w:footnote>
  <w:footnote w:id="20">
    <w:p w:rsidR="000D1AD5" w:rsidRPr="0066590A" w:rsidRDefault="000D1AD5" w:rsidP="00C85F4E">
      <w:pPr>
        <w:spacing w:after="0" w:line="240" w:lineRule="auto"/>
        <w:rPr>
          <w:rFonts w:ascii="Arial" w:hAnsi="Arial" w:cs="Arial"/>
          <w:sz w:val="18"/>
          <w:szCs w:val="18"/>
        </w:rPr>
      </w:pPr>
      <w:r w:rsidRPr="0066590A">
        <w:rPr>
          <w:rStyle w:val="FootnoteReference"/>
          <w:rFonts w:ascii="Arial" w:hAnsi="Arial" w:cs="Arial"/>
          <w:sz w:val="18"/>
          <w:szCs w:val="18"/>
        </w:rPr>
        <w:footnoteRef/>
      </w:r>
      <w:r w:rsidRPr="0066590A">
        <w:rPr>
          <w:rFonts w:ascii="Arial" w:hAnsi="Arial" w:cs="Arial"/>
          <w:sz w:val="18"/>
          <w:szCs w:val="18"/>
        </w:rPr>
        <w:t xml:space="preserve"> </w:t>
      </w:r>
      <w:r w:rsidRPr="0066590A">
        <w:rPr>
          <w:rFonts w:ascii="Arial" w:hAnsi="Arial" w:cs="Arial"/>
          <w:sz w:val="18"/>
          <w:szCs w:val="18"/>
          <w:shd w:val="clear" w:color="auto" w:fill="FFFFFF"/>
        </w:rPr>
        <w:t xml:space="preserve">[2015] Fair Work Commission , </w:t>
      </w:r>
      <w:r w:rsidRPr="0066590A">
        <w:rPr>
          <w:rFonts w:ascii="Arial" w:hAnsi="Arial" w:cs="Arial"/>
          <w:i/>
          <w:sz w:val="18"/>
          <w:szCs w:val="18"/>
          <w:shd w:val="clear" w:color="auto" w:fill="FFFFFF"/>
        </w:rPr>
        <w:t>Australian Workplace Relations Study</w:t>
      </w:r>
      <w:r w:rsidRPr="0066590A">
        <w:rPr>
          <w:rFonts w:ascii="Arial" w:hAnsi="Arial" w:cs="Arial"/>
          <w:sz w:val="18"/>
          <w:szCs w:val="18"/>
          <w:shd w:val="clear" w:color="auto" w:fill="FFFFFF"/>
        </w:rPr>
        <w:t xml:space="preserve"> (AWRS) </w:t>
      </w:r>
    </w:p>
  </w:footnote>
  <w:footnote w:id="21">
    <w:p w:rsidR="000D1AD5" w:rsidRPr="00004757" w:rsidRDefault="000D1AD5">
      <w:pPr>
        <w:pStyle w:val="FootnoteText"/>
        <w:rPr>
          <w:rFonts w:ascii="Arial" w:hAnsi="Arial" w:cs="Arial"/>
          <w:i/>
          <w:sz w:val="18"/>
          <w:szCs w:val="18"/>
        </w:rPr>
      </w:pPr>
      <w:r w:rsidRPr="00004757">
        <w:rPr>
          <w:rStyle w:val="FootnoteReference"/>
          <w:rFonts w:ascii="Arial" w:hAnsi="Arial" w:cs="Arial"/>
          <w:sz w:val="18"/>
          <w:szCs w:val="18"/>
        </w:rPr>
        <w:footnoteRef/>
      </w:r>
      <w:r w:rsidRPr="00004757">
        <w:rPr>
          <w:rFonts w:ascii="Arial" w:hAnsi="Arial" w:cs="Arial"/>
          <w:sz w:val="18"/>
          <w:szCs w:val="18"/>
        </w:rPr>
        <w:t xml:space="preserve"> </w:t>
      </w:r>
      <w:r>
        <w:rPr>
          <w:rFonts w:ascii="Arial" w:hAnsi="Arial" w:cs="Arial"/>
          <w:sz w:val="18"/>
          <w:szCs w:val="18"/>
        </w:rPr>
        <w:t xml:space="preserve">[2015] </w:t>
      </w:r>
      <w:r w:rsidRPr="00004757">
        <w:rPr>
          <w:rFonts w:ascii="Arial" w:hAnsi="Arial" w:cs="Arial"/>
          <w:sz w:val="18"/>
          <w:szCs w:val="18"/>
        </w:rPr>
        <w:t xml:space="preserve">Productivity Commission Issues Paper 2 </w:t>
      </w:r>
      <w:r w:rsidRPr="00004757">
        <w:rPr>
          <w:rFonts w:ascii="Arial" w:hAnsi="Arial" w:cs="Arial"/>
          <w:i/>
          <w:sz w:val="18"/>
          <w:szCs w:val="18"/>
        </w:rPr>
        <w:t>Workplace Relations Framework: Safety Nets</w:t>
      </w:r>
      <w:r w:rsidR="004C5362">
        <w:rPr>
          <w:rFonts w:ascii="Arial" w:hAnsi="Arial" w:cs="Arial"/>
          <w:i/>
          <w:sz w:val="18"/>
          <w:szCs w:val="18"/>
        </w:rPr>
        <w:t xml:space="preserve"> </w:t>
      </w:r>
      <w:r w:rsidRPr="00004757">
        <w:rPr>
          <w:rFonts w:ascii="Arial" w:hAnsi="Arial" w:cs="Arial"/>
          <w:sz w:val="18"/>
          <w:szCs w:val="18"/>
        </w:rPr>
        <w:t xml:space="preserve"> </w:t>
      </w:r>
      <w:r w:rsidR="004C5362">
        <w:rPr>
          <w:rFonts w:ascii="Arial" w:hAnsi="Arial" w:cs="Arial"/>
          <w:sz w:val="18"/>
          <w:szCs w:val="18"/>
        </w:rPr>
        <w:t>[</w:t>
      </w:r>
      <w:r w:rsidRPr="00004757">
        <w:rPr>
          <w:rFonts w:ascii="Arial" w:hAnsi="Arial" w:cs="Arial"/>
          <w:sz w:val="18"/>
          <w:szCs w:val="18"/>
        </w:rPr>
        <w:t>page 14</w:t>
      </w:r>
      <w:r w:rsidR="004C5362">
        <w:rPr>
          <w:rFonts w:ascii="Arial" w:hAnsi="Arial" w:cs="Arial"/>
          <w:sz w:val="18"/>
          <w:szCs w:val="18"/>
        </w:rPr>
        <w:t>]</w:t>
      </w:r>
    </w:p>
  </w:footnote>
  <w:footnote w:id="22">
    <w:p w:rsidR="000D1AD5" w:rsidRPr="004C5362" w:rsidRDefault="000D1AD5" w:rsidP="00867438">
      <w:pPr>
        <w:pStyle w:val="FootnoteText"/>
        <w:rPr>
          <w:rFonts w:ascii="Arial" w:hAnsi="Arial" w:cs="Arial"/>
          <w:sz w:val="18"/>
          <w:szCs w:val="18"/>
        </w:rPr>
      </w:pPr>
      <w:r w:rsidRPr="008C638D">
        <w:rPr>
          <w:rStyle w:val="FootnoteReference"/>
          <w:rFonts w:ascii="Arial" w:hAnsi="Arial" w:cs="Arial"/>
          <w:sz w:val="18"/>
          <w:szCs w:val="18"/>
        </w:rPr>
        <w:footnoteRef/>
      </w:r>
      <w:r w:rsidRPr="008C638D">
        <w:rPr>
          <w:rFonts w:ascii="Arial" w:hAnsi="Arial" w:cs="Arial"/>
          <w:sz w:val="18"/>
          <w:szCs w:val="18"/>
        </w:rPr>
        <w:t xml:space="preserve"> [2013] FWCFB 1635 </w:t>
      </w:r>
      <w:r w:rsidRPr="008C638D">
        <w:rPr>
          <w:rFonts w:ascii="Arial" w:hAnsi="Arial" w:cs="Arial"/>
          <w:i/>
          <w:sz w:val="18"/>
          <w:szCs w:val="18"/>
        </w:rPr>
        <w:t>Transitional Review Penalty Rates Decision</w:t>
      </w:r>
      <w:r w:rsidR="004C5362">
        <w:rPr>
          <w:rFonts w:ascii="Arial" w:hAnsi="Arial" w:cs="Arial"/>
          <w:i/>
          <w:sz w:val="18"/>
          <w:szCs w:val="18"/>
        </w:rPr>
        <w:t xml:space="preserve"> </w:t>
      </w:r>
      <w:r w:rsidR="004C5362" w:rsidRPr="004C5362">
        <w:rPr>
          <w:rFonts w:ascii="Arial" w:hAnsi="Arial" w:cs="Arial"/>
          <w:sz w:val="18"/>
          <w:szCs w:val="18"/>
        </w:rPr>
        <w:t>[</w:t>
      </w:r>
      <w:r w:rsidRPr="004C5362">
        <w:rPr>
          <w:rFonts w:ascii="Arial" w:hAnsi="Arial" w:cs="Arial"/>
          <w:sz w:val="18"/>
          <w:szCs w:val="18"/>
        </w:rPr>
        <w:t>para 234</w:t>
      </w:r>
      <w:r w:rsidR="004C5362" w:rsidRPr="004C5362">
        <w:rPr>
          <w:rFonts w:ascii="Arial" w:hAnsi="Arial" w:cs="Arial"/>
          <w:sz w:val="18"/>
          <w:szCs w:val="18"/>
        </w:rPr>
        <w:t>]</w:t>
      </w:r>
    </w:p>
  </w:footnote>
  <w:footnote w:id="23">
    <w:p w:rsidR="000D1AD5" w:rsidRPr="00194DF7" w:rsidRDefault="000D1AD5" w:rsidP="009814DB">
      <w:pPr>
        <w:spacing w:after="0" w:line="240" w:lineRule="auto"/>
        <w:rPr>
          <w:rFonts w:ascii="Arial" w:hAnsi="Arial" w:cs="Arial"/>
          <w:sz w:val="18"/>
          <w:szCs w:val="18"/>
        </w:rPr>
      </w:pPr>
      <w:r w:rsidRPr="00194DF7">
        <w:rPr>
          <w:rStyle w:val="FootnoteReference"/>
          <w:rFonts w:ascii="Arial" w:hAnsi="Arial" w:cs="Arial"/>
          <w:sz w:val="18"/>
          <w:szCs w:val="18"/>
        </w:rPr>
        <w:footnoteRef/>
      </w:r>
      <w:r w:rsidRPr="00194DF7">
        <w:rPr>
          <w:rFonts w:ascii="Arial" w:hAnsi="Arial" w:cs="Arial"/>
          <w:sz w:val="18"/>
          <w:szCs w:val="18"/>
        </w:rPr>
        <w:t xml:space="preserve"> [2012] Department of Education, Employment and Workplace Relations Submission, </w:t>
      </w:r>
      <w:r w:rsidRPr="00194DF7">
        <w:rPr>
          <w:rFonts w:ascii="Arial" w:hAnsi="Arial" w:cs="Arial"/>
          <w:i/>
          <w:sz w:val="18"/>
          <w:szCs w:val="18"/>
        </w:rPr>
        <w:t>Senate Standing Committee on Education, Employment and Workplace Relations Inquiry into Fair Work Amendment (Small Business –Penalty Rates Exemption) Bill 2012</w:t>
      </w:r>
      <w:r w:rsidR="002655D2">
        <w:rPr>
          <w:rFonts w:ascii="Arial" w:hAnsi="Arial" w:cs="Arial"/>
          <w:i/>
          <w:sz w:val="18"/>
          <w:szCs w:val="18"/>
        </w:rPr>
        <w:t xml:space="preserve"> </w:t>
      </w:r>
      <w:r w:rsidR="002655D2" w:rsidRPr="002655D2">
        <w:rPr>
          <w:rFonts w:ascii="Arial" w:hAnsi="Arial" w:cs="Arial"/>
          <w:sz w:val="18"/>
          <w:szCs w:val="18"/>
        </w:rPr>
        <w:t>[</w:t>
      </w:r>
      <w:r w:rsidRPr="002655D2">
        <w:rPr>
          <w:rFonts w:ascii="Arial" w:hAnsi="Arial" w:cs="Arial"/>
          <w:sz w:val="18"/>
          <w:szCs w:val="18"/>
        </w:rPr>
        <w:t>p</w:t>
      </w:r>
      <w:r w:rsidRPr="00194DF7">
        <w:rPr>
          <w:rFonts w:ascii="Arial" w:hAnsi="Arial" w:cs="Arial"/>
          <w:sz w:val="18"/>
          <w:szCs w:val="18"/>
        </w:rPr>
        <w:t>age 11</w:t>
      </w:r>
      <w:r w:rsidR="002655D2">
        <w:rPr>
          <w:rFonts w:ascii="Arial" w:hAnsi="Arial" w:cs="Arial"/>
          <w:sz w:val="18"/>
          <w:szCs w:val="18"/>
        </w:rPr>
        <w:t>]</w:t>
      </w:r>
    </w:p>
  </w:footnote>
  <w:footnote w:id="24">
    <w:p w:rsidR="000D1AD5" w:rsidRPr="002655D2" w:rsidRDefault="000D1AD5" w:rsidP="00076BDB">
      <w:pPr>
        <w:spacing w:after="0" w:line="240" w:lineRule="auto"/>
        <w:rPr>
          <w:rFonts w:ascii="Arial" w:hAnsi="Arial" w:cs="Arial"/>
          <w:sz w:val="18"/>
          <w:szCs w:val="18"/>
        </w:rPr>
      </w:pPr>
      <w:r w:rsidRPr="00194DF7">
        <w:rPr>
          <w:rStyle w:val="FootnoteReference"/>
          <w:rFonts w:ascii="Arial" w:hAnsi="Arial" w:cs="Arial"/>
          <w:sz w:val="18"/>
          <w:szCs w:val="18"/>
        </w:rPr>
        <w:footnoteRef/>
      </w:r>
      <w:r w:rsidRPr="00194DF7">
        <w:rPr>
          <w:rFonts w:ascii="Arial" w:hAnsi="Arial" w:cs="Arial"/>
          <w:sz w:val="18"/>
          <w:szCs w:val="18"/>
        </w:rPr>
        <w:t xml:space="preserve"> [2012] ACCER submission</w:t>
      </w:r>
      <w:r w:rsidRPr="00194DF7">
        <w:rPr>
          <w:rFonts w:ascii="Arial" w:hAnsi="Arial" w:cs="Arial"/>
          <w:i/>
          <w:sz w:val="18"/>
          <w:szCs w:val="18"/>
        </w:rPr>
        <w:t xml:space="preserve"> Senate Standing Committee on Education, Employment and Workplace Relations Inquiry into Fair Work Amendment (Small Business –Penalty Rates Exemption) Bill 2012</w:t>
      </w:r>
      <w:r w:rsidR="002655D2">
        <w:rPr>
          <w:rFonts w:ascii="Arial" w:hAnsi="Arial" w:cs="Arial"/>
          <w:i/>
          <w:sz w:val="18"/>
          <w:szCs w:val="18"/>
        </w:rPr>
        <w:t xml:space="preserve"> </w:t>
      </w:r>
      <w:r w:rsidR="002655D2" w:rsidRPr="002655D2">
        <w:rPr>
          <w:rFonts w:ascii="Arial" w:hAnsi="Arial" w:cs="Arial"/>
          <w:sz w:val="18"/>
          <w:szCs w:val="18"/>
        </w:rPr>
        <w:t>[</w:t>
      </w:r>
      <w:r w:rsidRPr="002655D2">
        <w:rPr>
          <w:rFonts w:ascii="Arial" w:hAnsi="Arial" w:cs="Arial"/>
          <w:sz w:val="18"/>
          <w:szCs w:val="18"/>
        </w:rPr>
        <w:t>page 15</w:t>
      </w:r>
      <w:r w:rsidR="002655D2" w:rsidRPr="002655D2">
        <w:rPr>
          <w:rFonts w:ascii="Arial" w:hAnsi="Arial" w:cs="Arial"/>
          <w:sz w:val="18"/>
          <w:szCs w:val="18"/>
        </w:rPr>
        <w:t>]</w:t>
      </w:r>
    </w:p>
  </w:footnote>
  <w:footnote w:id="25">
    <w:p w:rsidR="000D1AD5" w:rsidRPr="006B77F4" w:rsidRDefault="000D1AD5" w:rsidP="00A52F45">
      <w:pPr>
        <w:pStyle w:val="FootnoteText"/>
        <w:rPr>
          <w:rFonts w:ascii="Arial" w:hAnsi="Arial" w:cs="Arial"/>
          <w:sz w:val="18"/>
          <w:szCs w:val="18"/>
        </w:rPr>
      </w:pPr>
      <w:r w:rsidRPr="003273DA">
        <w:rPr>
          <w:rStyle w:val="FootnoteReference"/>
          <w:rFonts w:ascii="Arial" w:hAnsi="Arial" w:cs="Arial"/>
          <w:sz w:val="18"/>
          <w:szCs w:val="18"/>
        </w:rPr>
        <w:footnoteRef/>
      </w:r>
      <w:r w:rsidRPr="003273DA">
        <w:rPr>
          <w:rFonts w:ascii="Arial" w:hAnsi="Arial" w:cs="Arial"/>
          <w:sz w:val="18"/>
          <w:szCs w:val="18"/>
        </w:rPr>
        <w:t xml:space="preserve"> [2014] Daly T, </w:t>
      </w:r>
      <w:r w:rsidRPr="003273DA">
        <w:rPr>
          <w:rFonts w:ascii="Arial" w:hAnsi="Arial" w:cs="Arial"/>
          <w:i/>
          <w:sz w:val="18"/>
          <w:szCs w:val="18"/>
        </w:rPr>
        <w:t>Evenings, nights and weekends: w</w:t>
      </w:r>
      <w:r>
        <w:rPr>
          <w:rFonts w:ascii="Arial" w:hAnsi="Arial" w:cs="Arial"/>
          <w:i/>
          <w:sz w:val="18"/>
          <w:szCs w:val="18"/>
        </w:rPr>
        <w:t xml:space="preserve">orking </w:t>
      </w:r>
      <w:r w:rsidRPr="003273DA">
        <w:rPr>
          <w:rFonts w:ascii="Arial" w:hAnsi="Arial" w:cs="Arial"/>
          <w:i/>
          <w:sz w:val="18"/>
          <w:szCs w:val="18"/>
        </w:rPr>
        <w:t xml:space="preserve">unsocial hours and penalty rates </w:t>
      </w:r>
      <w:r w:rsidRPr="006B77F4">
        <w:rPr>
          <w:rFonts w:ascii="Arial" w:hAnsi="Arial" w:cs="Arial"/>
          <w:sz w:val="18"/>
          <w:szCs w:val="18"/>
        </w:rPr>
        <w:t xml:space="preserve">Centre for Work + Life University of </w:t>
      </w:r>
      <w:r>
        <w:rPr>
          <w:rFonts w:ascii="Arial" w:hAnsi="Arial" w:cs="Arial"/>
          <w:sz w:val="18"/>
          <w:szCs w:val="18"/>
        </w:rPr>
        <w:t>S</w:t>
      </w:r>
      <w:r w:rsidRPr="006B77F4">
        <w:rPr>
          <w:rFonts w:ascii="Arial" w:hAnsi="Arial" w:cs="Arial"/>
          <w:sz w:val="18"/>
          <w:szCs w:val="18"/>
        </w:rPr>
        <w:t>outh Australia</w:t>
      </w:r>
    </w:p>
  </w:footnote>
  <w:footnote w:id="26">
    <w:p w:rsidR="000D1AD5" w:rsidRPr="000C57A7" w:rsidRDefault="000D1AD5" w:rsidP="00740EF5">
      <w:pPr>
        <w:spacing w:after="0" w:line="240" w:lineRule="auto"/>
        <w:rPr>
          <w:sz w:val="18"/>
          <w:szCs w:val="18"/>
        </w:rPr>
      </w:pPr>
      <w:r w:rsidRPr="000C57A7">
        <w:rPr>
          <w:rStyle w:val="FootnoteReference"/>
          <w:rFonts w:ascii="Arial" w:hAnsi="Arial" w:cs="Arial"/>
          <w:sz w:val="18"/>
          <w:szCs w:val="18"/>
        </w:rPr>
        <w:footnoteRef/>
      </w:r>
      <w:r w:rsidRPr="000C57A7">
        <w:rPr>
          <w:rFonts w:ascii="Arial" w:hAnsi="Arial" w:cs="Arial"/>
          <w:sz w:val="18"/>
          <w:szCs w:val="18"/>
        </w:rPr>
        <w:t xml:space="preserve"> </w:t>
      </w:r>
      <w:r>
        <w:rPr>
          <w:rFonts w:ascii="Arial" w:hAnsi="Arial" w:cs="Arial"/>
          <w:sz w:val="18"/>
          <w:szCs w:val="18"/>
        </w:rPr>
        <w:t xml:space="preserve"> </w:t>
      </w:r>
      <w:r w:rsidRPr="000C57A7">
        <w:rPr>
          <w:rFonts w:ascii="Arial" w:hAnsi="Arial" w:cs="Arial"/>
          <w:sz w:val="18"/>
          <w:szCs w:val="18"/>
        </w:rPr>
        <w:t xml:space="preserve">[2012] </w:t>
      </w:r>
      <w:r w:rsidRPr="000C57A7">
        <w:rPr>
          <w:rFonts w:ascii="Arial" w:hAnsi="Arial" w:cs="Arial"/>
          <w:sz w:val="18"/>
          <w:szCs w:val="18"/>
          <w:shd w:val="clear" w:color="auto" w:fill="FFFFFF"/>
        </w:rPr>
        <w:t xml:space="preserve">Australian Bureau of Statistics </w:t>
      </w:r>
      <w:r w:rsidRPr="000C57A7">
        <w:rPr>
          <w:rFonts w:ascii="Arial" w:hAnsi="Arial" w:cs="Arial"/>
          <w:bCs/>
          <w:color w:val="000000"/>
          <w:sz w:val="18"/>
          <w:szCs w:val="18"/>
          <w:shd w:val="clear" w:color="auto" w:fill="FFFFFF"/>
        </w:rPr>
        <w:t xml:space="preserve">6342.0 - </w:t>
      </w:r>
      <w:r w:rsidRPr="000C57A7">
        <w:rPr>
          <w:rFonts w:ascii="Arial" w:hAnsi="Arial" w:cs="Arial"/>
          <w:bCs/>
          <w:i/>
          <w:color w:val="000000"/>
          <w:sz w:val="18"/>
          <w:szCs w:val="18"/>
          <w:shd w:val="clear" w:color="auto" w:fill="FFFFFF"/>
        </w:rPr>
        <w:t>Working Time Arrangements, Australia</w:t>
      </w:r>
      <w:r w:rsidRPr="000C57A7">
        <w:rPr>
          <w:rFonts w:ascii="Arial" w:hAnsi="Arial" w:cs="Arial"/>
          <w:bCs/>
          <w:color w:val="000000"/>
          <w:sz w:val="18"/>
          <w:szCs w:val="18"/>
          <w:shd w:val="clear" w:color="auto" w:fill="FFFFFF"/>
        </w:rPr>
        <w:t xml:space="preserve">, November </w:t>
      </w:r>
    </w:p>
  </w:footnote>
  <w:footnote w:id="27">
    <w:p w:rsidR="000D1AD5" w:rsidRPr="000C57A7" w:rsidRDefault="000D1AD5" w:rsidP="00D63CB4">
      <w:pPr>
        <w:spacing w:after="0" w:line="240" w:lineRule="auto"/>
        <w:rPr>
          <w:rFonts w:ascii="Arial" w:hAnsi="Arial" w:cs="Arial"/>
          <w:sz w:val="18"/>
          <w:szCs w:val="18"/>
        </w:rPr>
      </w:pPr>
      <w:r w:rsidRPr="000C57A7">
        <w:rPr>
          <w:rStyle w:val="FootnoteReference"/>
          <w:rFonts w:ascii="Arial" w:hAnsi="Arial" w:cs="Arial"/>
          <w:sz w:val="18"/>
          <w:szCs w:val="18"/>
        </w:rPr>
        <w:footnoteRef/>
      </w:r>
      <w:r w:rsidRPr="000C57A7">
        <w:rPr>
          <w:rFonts w:ascii="Arial" w:hAnsi="Arial" w:cs="Arial"/>
          <w:sz w:val="18"/>
          <w:szCs w:val="18"/>
        </w:rPr>
        <w:t xml:space="preserve"> </w:t>
      </w:r>
      <w:r>
        <w:rPr>
          <w:rFonts w:ascii="Arial" w:hAnsi="Arial" w:cs="Arial"/>
          <w:sz w:val="18"/>
          <w:szCs w:val="18"/>
        </w:rPr>
        <w:t xml:space="preserve"> [2011] </w:t>
      </w:r>
      <w:r w:rsidRPr="000C57A7">
        <w:rPr>
          <w:rFonts w:ascii="Arial" w:hAnsi="Arial" w:cs="Arial"/>
          <w:sz w:val="18"/>
          <w:szCs w:val="18"/>
        </w:rPr>
        <w:t>Martin, J. E., Wittmer, J. L.-S., &amp; Lelchook, A. M</w:t>
      </w:r>
      <w:r>
        <w:rPr>
          <w:rFonts w:ascii="Arial" w:hAnsi="Arial" w:cs="Arial"/>
          <w:sz w:val="18"/>
          <w:szCs w:val="18"/>
        </w:rPr>
        <w:t xml:space="preserve">, </w:t>
      </w:r>
      <w:r w:rsidRPr="000C57A7">
        <w:rPr>
          <w:rFonts w:ascii="Arial" w:hAnsi="Arial" w:cs="Arial"/>
          <w:i/>
          <w:sz w:val="18"/>
          <w:szCs w:val="18"/>
        </w:rPr>
        <w:t xml:space="preserve">Attitudes towards days worked where Sundays are scheduled. </w:t>
      </w:r>
      <w:r w:rsidRPr="000C57A7">
        <w:rPr>
          <w:rFonts w:ascii="Arial" w:hAnsi="Arial" w:cs="Arial"/>
          <w:sz w:val="18"/>
          <w:szCs w:val="18"/>
        </w:rPr>
        <w:t>Human Relations</w:t>
      </w:r>
      <w:r w:rsidR="002655D2">
        <w:rPr>
          <w:rFonts w:ascii="Arial" w:hAnsi="Arial" w:cs="Arial"/>
          <w:sz w:val="18"/>
          <w:szCs w:val="18"/>
        </w:rPr>
        <w:t xml:space="preserve"> [pp</w:t>
      </w:r>
      <w:r w:rsidRPr="000C57A7">
        <w:rPr>
          <w:rFonts w:ascii="Arial" w:hAnsi="Arial" w:cs="Arial"/>
          <w:sz w:val="18"/>
          <w:szCs w:val="18"/>
        </w:rPr>
        <w:t xml:space="preserve"> 64, 901–926</w:t>
      </w:r>
      <w:r w:rsidR="002655D2">
        <w:rPr>
          <w:rFonts w:ascii="Arial" w:hAnsi="Arial" w:cs="Arial"/>
          <w:sz w:val="18"/>
          <w:szCs w:val="18"/>
        </w:rPr>
        <w:t>]</w:t>
      </w:r>
    </w:p>
  </w:footnote>
  <w:footnote w:id="28">
    <w:p w:rsidR="000D1AD5" w:rsidRPr="000C57A7" w:rsidRDefault="000D1AD5" w:rsidP="00C57E67">
      <w:pPr>
        <w:spacing w:after="0" w:line="240" w:lineRule="auto"/>
        <w:rPr>
          <w:rFonts w:ascii="Arial" w:hAnsi="Arial" w:cs="Arial"/>
          <w:sz w:val="18"/>
          <w:szCs w:val="18"/>
        </w:rPr>
      </w:pPr>
      <w:r w:rsidRPr="000C57A7">
        <w:rPr>
          <w:rStyle w:val="FootnoteReference"/>
          <w:rFonts w:ascii="Arial" w:hAnsi="Arial" w:cs="Arial"/>
          <w:sz w:val="18"/>
          <w:szCs w:val="18"/>
        </w:rPr>
        <w:footnoteRef/>
      </w:r>
      <w:r w:rsidRPr="000C57A7">
        <w:rPr>
          <w:rFonts w:ascii="Arial" w:hAnsi="Arial" w:cs="Arial"/>
          <w:sz w:val="18"/>
          <w:szCs w:val="18"/>
        </w:rPr>
        <w:t xml:space="preserve"> </w:t>
      </w:r>
      <w:r>
        <w:rPr>
          <w:rFonts w:ascii="Arial" w:hAnsi="Arial" w:cs="Arial"/>
          <w:sz w:val="18"/>
          <w:szCs w:val="18"/>
        </w:rPr>
        <w:t>[2007] Shepanski, P., &amp; Diamond, M.</w:t>
      </w:r>
      <w:r w:rsidRPr="000C57A7">
        <w:rPr>
          <w:rFonts w:ascii="Arial" w:hAnsi="Arial" w:cs="Arial"/>
          <w:sz w:val="18"/>
          <w:szCs w:val="18"/>
        </w:rPr>
        <w:t xml:space="preserve"> </w:t>
      </w:r>
      <w:r w:rsidRPr="000C57A7">
        <w:rPr>
          <w:rFonts w:ascii="Arial" w:hAnsi="Arial" w:cs="Arial"/>
          <w:i/>
          <w:sz w:val="18"/>
          <w:szCs w:val="18"/>
        </w:rPr>
        <w:t>An unexpected tragedy: Evidence for the connection between working patterns and family breakdown in Australia</w:t>
      </w:r>
      <w:r w:rsidRPr="000C57A7">
        <w:rPr>
          <w:rFonts w:ascii="Arial" w:hAnsi="Arial" w:cs="Arial"/>
          <w:sz w:val="18"/>
          <w:szCs w:val="18"/>
        </w:rPr>
        <w:t xml:space="preserve"> Sydney: Relationships Forum Australia</w:t>
      </w:r>
    </w:p>
  </w:footnote>
  <w:footnote w:id="29">
    <w:p w:rsidR="000D1AD5" w:rsidRPr="000C57A7" w:rsidRDefault="000D1AD5" w:rsidP="00C57E67">
      <w:pPr>
        <w:pStyle w:val="FootnoteText"/>
        <w:rPr>
          <w:rFonts w:ascii="Arial" w:hAnsi="Arial" w:cs="Arial"/>
          <w:sz w:val="18"/>
          <w:szCs w:val="18"/>
        </w:rPr>
      </w:pPr>
      <w:r w:rsidRPr="000C57A7">
        <w:rPr>
          <w:rStyle w:val="FootnoteReference"/>
          <w:rFonts w:ascii="Arial" w:hAnsi="Arial" w:cs="Arial"/>
          <w:sz w:val="18"/>
          <w:szCs w:val="18"/>
        </w:rPr>
        <w:footnoteRef/>
      </w:r>
      <w:r w:rsidRPr="000C57A7">
        <w:rPr>
          <w:rFonts w:ascii="Arial" w:hAnsi="Arial" w:cs="Arial"/>
          <w:sz w:val="18"/>
          <w:szCs w:val="18"/>
        </w:rPr>
        <w:t xml:space="preserve"> </w:t>
      </w:r>
      <w:r>
        <w:rPr>
          <w:rFonts w:ascii="Arial" w:hAnsi="Arial" w:cs="Arial"/>
          <w:sz w:val="18"/>
          <w:szCs w:val="18"/>
        </w:rPr>
        <w:t xml:space="preserve">[2005] </w:t>
      </w:r>
      <w:r w:rsidRPr="000C57A7">
        <w:rPr>
          <w:rFonts w:ascii="Arial" w:hAnsi="Arial" w:cs="Arial"/>
          <w:sz w:val="18"/>
          <w:szCs w:val="18"/>
        </w:rPr>
        <w:t>Bittman, M</w:t>
      </w:r>
      <w:r>
        <w:rPr>
          <w:rFonts w:ascii="Arial" w:hAnsi="Arial" w:cs="Arial"/>
          <w:sz w:val="18"/>
          <w:szCs w:val="18"/>
        </w:rPr>
        <w:t>,</w:t>
      </w:r>
      <w:r w:rsidRPr="000C57A7">
        <w:rPr>
          <w:rFonts w:ascii="Arial" w:hAnsi="Arial" w:cs="Arial"/>
          <w:i/>
          <w:sz w:val="18"/>
          <w:szCs w:val="18"/>
        </w:rPr>
        <w:t xml:space="preserve"> Sunday working and family time</w:t>
      </w:r>
      <w:r w:rsidRPr="000C57A7">
        <w:rPr>
          <w:rFonts w:ascii="Arial" w:hAnsi="Arial" w:cs="Arial"/>
          <w:sz w:val="18"/>
          <w:szCs w:val="18"/>
        </w:rPr>
        <w:t xml:space="preserve"> Labour &amp; Industry</w:t>
      </w:r>
      <w:r w:rsidR="002655D2">
        <w:rPr>
          <w:rFonts w:ascii="Arial" w:hAnsi="Arial" w:cs="Arial"/>
          <w:sz w:val="18"/>
          <w:szCs w:val="18"/>
        </w:rPr>
        <w:t xml:space="preserve"> [pp</w:t>
      </w:r>
      <w:r w:rsidRPr="000C57A7">
        <w:rPr>
          <w:rFonts w:ascii="Arial" w:hAnsi="Arial" w:cs="Arial"/>
          <w:sz w:val="18"/>
          <w:szCs w:val="18"/>
        </w:rPr>
        <w:t>16, 59–83</w:t>
      </w:r>
      <w:r w:rsidR="002655D2">
        <w:rPr>
          <w:rFonts w:ascii="Arial" w:hAnsi="Arial" w:cs="Arial"/>
          <w:sz w:val="18"/>
          <w:szCs w:val="18"/>
        </w:rPr>
        <w:t>]</w:t>
      </w:r>
    </w:p>
  </w:footnote>
  <w:footnote w:id="30">
    <w:p w:rsidR="000D1AD5" w:rsidRPr="00850F17" w:rsidRDefault="000D1AD5" w:rsidP="00850F17">
      <w:pPr>
        <w:spacing w:after="0" w:line="240" w:lineRule="auto"/>
        <w:rPr>
          <w:rFonts w:ascii="Arial" w:hAnsi="Arial" w:cs="Arial"/>
          <w:sz w:val="18"/>
          <w:szCs w:val="18"/>
        </w:rPr>
      </w:pPr>
      <w:r w:rsidRPr="00850F17">
        <w:rPr>
          <w:rStyle w:val="FootnoteReference"/>
          <w:rFonts w:ascii="Arial" w:hAnsi="Arial" w:cs="Arial"/>
          <w:sz w:val="18"/>
          <w:szCs w:val="18"/>
        </w:rPr>
        <w:footnoteRef/>
      </w:r>
      <w:r w:rsidRPr="00850F17">
        <w:rPr>
          <w:rFonts w:ascii="Arial" w:hAnsi="Arial" w:cs="Arial"/>
          <w:sz w:val="18"/>
          <w:szCs w:val="18"/>
        </w:rPr>
        <w:t xml:space="preserve"> [2014] Craig, L </w:t>
      </w:r>
      <w:r w:rsidRPr="00850F17">
        <w:rPr>
          <w:rFonts w:ascii="Arial" w:hAnsi="Arial" w:cs="Arial"/>
          <w:i/>
          <w:sz w:val="18"/>
          <w:szCs w:val="18"/>
        </w:rPr>
        <w:t>Weekend Work and Leisure Time With Family and Friends: Who Misses Out?</w:t>
      </w:r>
      <w:r w:rsidRPr="00850F17">
        <w:rPr>
          <w:rFonts w:ascii="Arial" w:hAnsi="Arial" w:cs="Arial"/>
          <w:sz w:val="18"/>
          <w:szCs w:val="18"/>
        </w:rPr>
        <w:t xml:space="preserve"> University of New South Wales, Social Policy Research Centre, Journal of Marriage and Family </w:t>
      </w:r>
    </w:p>
  </w:footnote>
  <w:footnote w:id="31">
    <w:p w:rsidR="000D1AD5" w:rsidRDefault="000D1AD5" w:rsidP="000C4F5A">
      <w:pPr>
        <w:pStyle w:val="FootnoteText"/>
      </w:pPr>
      <w:r w:rsidRPr="00B220BB">
        <w:rPr>
          <w:rStyle w:val="FootnoteReference"/>
          <w:rFonts w:ascii="Arial" w:hAnsi="Arial" w:cs="Arial"/>
          <w:sz w:val="18"/>
          <w:szCs w:val="18"/>
        </w:rPr>
        <w:footnoteRef/>
      </w:r>
      <w:r w:rsidRPr="00B220BB">
        <w:rPr>
          <w:rFonts w:ascii="Arial" w:hAnsi="Arial" w:cs="Arial"/>
          <w:sz w:val="18"/>
          <w:szCs w:val="18"/>
        </w:rPr>
        <w:t xml:space="preserve"> [2014] FWBFB 1996 </w:t>
      </w:r>
      <w:r w:rsidRPr="003D475F">
        <w:rPr>
          <w:rFonts w:ascii="Arial" w:hAnsi="Arial" w:cs="Arial"/>
          <w:i/>
          <w:sz w:val="18"/>
          <w:szCs w:val="18"/>
        </w:rPr>
        <w:t>Restaurant Industry Award - Appeal against decision</w:t>
      </w:r>
      <w:r w:rsidRPr="00B220BB">
        <w:rPr>
          <w:rFonts w:ascii="Arial" w:hAnsi="Arial" w:cs="Arial"/>
          <w:sz w:val="18"/>
          <w:szCs w:val="18"/>
        </w:rPr>
        <w:t xml:space="preserve"> [2013] FWC 7840</w:t>
      </w:r>
      <w:r>
        <w:rPr>
          <w:rFonts w:ascii="Arial" w:hAnsi="Arial" w:cs="Arial"/>
          <w:sz w:val="18"/>
          <w:szCs w:val="18"/>
        </w:rPr>
        <w:t xml:space="preserve">, </w:t>
      </w:r>
      <w:r w:rsidRPr="00B220BB">
        <w:rPr>
          <w:rFonts w:ascii="Arial" w:hAnsi="Arial" w:cs="Arial"/>
          <w:sz w:val="18"/>
          <w:szCs w:val="18"/>
        </w:rPr>
        <w:t>para 1</w:t>
      </w:r>
      <w:r>
        <w:rPr>
          <w:rFonts w:ascii="Arial" w:hAnsi="Arial" w:cs="Arial"/>
          <w:sz w:val="18"/>
          <w:szCs w:val="18"/>
        </w:rPr>
        <w:t>54</w:t>
      </w:r>
    </w:p>
  </w:footnote>
  <w:footnote w:id="32">
    <w:p w:rsidR="000D1AD5" w:rsidRPr="00B92BC2" w:rsidRDefault="000D1AD5" w:rsidP="004D371A">
      <w:pPr>
        <w:spacing w:after="0" w:line="240" w:lineRule="auto"/>
        <w:rPr>
          <w:rFonts w:ascii="Arial" w:hAnsi="Arial" w:cs="Arial"/>
          <w:sz w:val="18"/>
          <w:szCs w:val="18"/>
        </w:rPr>
      </w:pPr>
      <w:r w:rsidRPr="00B92BC2">
        <w:rPr>
          <w:rStyle w:val="FootnoteReference"/>
          <w:rFonts w:ascii="Arial" w:hAnsi="Arial" w:cs="Arial"/>
          <w:sz w:val="18"/>
          <w:szCs w:val="18"/>
        </w:rPr>
        <w:footnoteRef/>
      </w:r>
      <w:r w:rsidRPr="00B92BC2">
        <w:rPr>
          <w:rFonts w:ascii="Arial" w:hAnsi="Arial" w:cs="Arial"/>
          <w:sz w:val="18"/>
          <w:szCs w:val="18"/>
        </w:rPr>
        <w:t xml:space="preserve"> [2012] Australian Catholic Bishops Conference </w:t>
      </w:r>
      <w:r w:rsidRPr="00B92BC2">
        <w:rPr>
          <w:rFonts w:ascii="Arial" w:hAnsi="Arial" w:cs="Arial"/>
          <w:i/>
          <w:sz w:val="18"/>
          <w:szCs w:val="18"/>
        </w:rPr>
        <w:t xml:space="preserve">Social Justice Statement 2012 – 2013: The Gift of Family in Difficult Times, </w:t>
      </w:r>
      <w:r w:rsidRPr="00B92BC2">
        <w:rPr>
          <w:rFonts w:ascii="Arial" w:hAnsi="Arial" w:cs="Arial"/>
          <w:sz w:val="18"/>
          <w:szCs w:val="18"/>
        </w:rPr>
        <w:t>page 4</w:t>
      </w:r>
    </w:p>
  </w:footnote>
  <w:footnote w:id="33">
    <w:p w:rsidR="000D1AD5" w:rsidRPr="00533DD3" w:rsidRDefault="000D1AD5" w:rsidP="009F40C4">
      <w:pPr>
        <w:pStyle w:val="FootnoteText"/>
        <w:rPr>
          <w:rFonts w:ascii="Arial" w:hAnsi="Arial" w:cs="Arial"/>
          <w:sz w:val="18"/>
          <w:szCs w:val="18"/>
        </w:rPr>
      </w:pPr>
      <w:r w:rsidRPr="00533DD3">
        <w:rPr>
          <w:rStyle w:val="FootnoteReference"/>
          <w:rFonts w:ascii="Arial" w:hAnsi="Arial" w:cs="Arial"/>
          <w:sz w:val="18"/>
          <w:szCs w:val="18"/>
        </w:rPr>
        <w:footnoteRef/>
      </w:r>
      <w:r w:rsidRPr="00533DD3">
        <w:rPr>
          <w:rFonts w:ascii="Arial" w:hAnsi="Arial" w:cs="Arial"/>
          <w:sz w:val="18"/>
          <w:szCs w:val="18"/>
        </w:rPr>
        <w:t xml:space="preserve"> </w:t>
      </w:r>
      <w:r>
        <w:rPr>
          <w:rFonts w:ascii="Arial" w:hAnsi="Arial" w:cs="Arial"/>
          <w:sz w:val="18"/>
          <w:szCs w:val="18"/>
        </w:rPr>
        <w:t>[</w:t>
      </w:r>
      <w:r w:rsidRPr="00533DD3">
        <w:rPr>
          <w:rFonts w:ascii="Arial" w:hAnsi="Arial" w:cs="Arial"/>
          <w:sz w:val="18"/>
          <w:szCs w:val="18"/>
        </w:rPr>
        <w:t>2013</w:t>
      </w:r>
      <w:r>
        <w:rPr>
          <w:rFonts w:ascii="Arial" w:hAnsi="Arial" w:cs="Arial"/>
          <w:sz w:val="18"/>
          <w:szCs w:val="18"/>
        </w:rPr>
        <w:t>]</w:t>
      </w:r>
      <w:r w:rsidRPr="00533DD3">
        <w:rPr>
          <w:rFonts w:ascii="Arial" w:hAnsi="Arial" w:cs="Arial"/>
          <w:sz w:val="18"/>
          <w:szCs w:val="18"/>
        </w:rPr>
        <w:t xml:space="preserve">, Fair Work Amendment Bill </w:t>
      </w:r>
      <w:r w:rsidRPr="00533DD3">
        <w:rPr>
          <w:rFonts w:ascii="Arial" w:hAnsi="Arial" w:cs="Arial"/>
          <w:i/>
          <w:sz w:val="18"/>
          <w:szCs w:val="18"/>
        </w:rPr>
        <w:t>Revised Explanatory Memorandum</w:t>
      </w:r>
      <w:r w:rsidRPr="00533DD3">
        <w:rPr>
          <w:rFonts w:ascii="Arial" w:hAnsi="Arial" w:cs="Arial"/>
          <w:sz w:val="18"/>
          <w:szCs w:val="18"/>
        </w:rPr>
        <w:t xml:space="preserve">  </w:t>
      </w:r>
    </w:p>
  </w:footnote>
  <w:footnote w:id="34">
    <w:p w:rsidR="000D1AD5" w:rsidRPr="00AD235C" w:rsidRDefault="000D1AD5" w:rsidP="008E6052">
      <w:pPr>
        <w:spacing w:after="0" w:line="240" w:lineRule="auto"/>
        <w:rPr>
          <w:rFonts w:ascii="Arial" w:hAnsi="Arial" w:cs="Arial"/>
          <w:sz w:val="18"/>
          <w:szCs w:val="18"/>
        </w:rPr>
      </w:pPr>
      <w:r w:rsidRPr="00AD235C">
        <w:rPr>
          <w:rStyle w:val="FootnoteReference"/>
          <w:rFonts w:ascii="Arial" w:hAnsi="Arial" w:cs="Arial"/>
          <w:sz w:val="18"/>
          <w:szCs w:val="18"/>
        </w:rPr>
        <w:footnoteRef/>
      </w:r>
      <w:r w:rsidRPr="00AD235C">
        <w:rPr>
          <w:rFonts w:ascii="Arial" w:hAnsi="Arial" w:cs="Arial"/>
          <w:sz w:val="18"/>
          <w:szCs w:val="18"/>
        </w:rPr>
        <w:t xml:space="preserve"> [2012] ACCER submission</w:t>
      </w:r>
      <w:r w:rsidRPr="00AD235C">
        <w:rPr>
          <w:rFonts w:ascii="Arial" w:hAnsi="Arial" w:cs="Arial"/>
          <w:i/>
          <w:sz w:val="18"/>
          <w:szCs w:val="18"/>
        </w:rPr>
        <w:t xml:space="preserve"> Senate Standing Committee on Education, Employment and Workplace Relations Inquiry into Fair Work Amendment (Small Business –Penalty Rates Exemption) Bill 2012</w:t>
      </w:r>
      <w:r w:rsidRPr="00AD235C">
        <w:rPr>
          <w:rFonts w:ascii="Arial" w:hAnsi="Arial" w:cs="Arial"/>
          <w:sz w:val="18"/>
          <w:szCs w:val="18"/>
        </w:rPr>
        <w:t>, page 8</w:t>
      </w:r>
    </w:p>
  </w:footnote>
  <w:footnote w:id="35">
    <w:p w:rsidR="000D1AD5" w:rsidRPr="00194DF7" w:rsidRDefault="000D1AD5">
      <w:pPr>
        <w:pStyle w:val="FootnoteText"/>
        <w:rPr>
          <w:rFonts w:ascii="Arial" w:hAnsi="Arial" w:cs="Arial"/>
          <w:sz w:val="18"/>
          <w:szCs w:val="18"/>
        </w:rPr>
      </w:pPr>
      <w:r w:rsidRPr="00194DF7">
        <w:rPr>
          <w:rStyle w:val="FootnoteReference"/>
          <w:rFonts w:ascii="Arial" w:hAnsi="Arial" w:cs="Arial"/>
          <w:sz w:val="18"/>
          <w:szCs w:val="18"/>
        </w:rPr>
        <w:footnoteRef/>
      </w:r>
      <w:r w:rsidRPr="00194DF7">
        <w:rPr>
          <w:rFonts w:ascii="Arial" w:hAnsi="Arial" w:cs="Arial"/>
          <w:sz w:val="18"/>
          <w:szCs w:val="18"/>
        </w:rPr>
        <w:t xml:space="preserve"> [2014] FWBFB 1996 </w:t>
      </w:r>
      <w:r w:rsidRPr="00194DF7">
        <w:rPr>
          <w:rFonts w:ascii="Arial" w:hAnsi="Arial" w:cs="Arial"/>
          <w:i/>
          <w:sz w:val="18"/>
          <w:szCs w:val="18"/>
        </w:rPr>
        <w:t>Restaurant Industry Award  – Appeal against decision [</w:t>
      </w:r>
      <w:r w:rsidRPr="00194DF7">
        <w:rPr>
          <w:rFonts w:ascii="Arial" w:hAnsi="Arial" w:cs="Arial"/>
          <w:sz w:val="18"/>
          <w:szCs w:val="18"/>
        </w:rPr>
        <w:t>2013] FWC 7840</w:t>
      </w:r>
    </w:p>
  </w:footnote>
  <w:footnote w:id="36">
    <w:p w:rsidR="000D1AD5" w:rsidRPr="009A0F74" w:rsidRDefault="000D1AD5">
      <w:pPr>
        <w:pStyle w:val="FootnoteText"/>
        <w:rPr>
          <w:rFonts w:ascii="Arial" w:hAnsi="Arial" w:cs="Arial"/>
          <w:sz w:val="18"/>
          <w:szCs w:val="18"/>
        </w:rPr>
      </w:pPr>
      <w:r w:rsidRPr="009A0F74">
        <w:rPr>
          <w:rStyle w:val="FootnoteReference"/>
          <w:rFonts w:ascii="Arial" w:hAnsi="Arial" w:cs="Arial"/>
          <w:sz w:val="18"/>
          <w:szCs w:val="18"/>
        </w:rPr>
        <w:footnoteRef/>
      </w:r>
      <w:r w:rsidRPr="009A0F74">
        <w:rPr>
          <w:rFonts w:ascii="Arial" w:hAnsi="Arial" w:cs="Arial"/>
          <w:sz w:val="18"/>
          <w:szCs w:val="18"/>
        </w:rPr>
        <w:t xml:space="preserve"> [2014] FWC 9175 </w:t>
      </w:r>
      <w:r w:rsidRPr="00D25928">
        <w:rPr>
          <w:rFonts w:ascii="Arial" w:hAnsi="Arial" w:cs="Arial"/>
          <w:i/>
          <w:sz w:val="18"/>
          <w:szCs w:val="18"/>
        </w:rPr>
        <w:t>Statement – 4 yearly review of modern awards – Penalty rates</w:t>
      </w:r>
      <w:r w:rsidRPr="009A0F74">
        <w:rPr>
          <w:rFonts w:ascii="Arial" w:hAnsi="Arial" w:cs="Arial"/>
          <w:sz w:val="18"/>
          <w:szCs w:val="18"/>
        </w:rPr>
        <w:t xml:space="preserve"> (17 December 2014) </w:t>
      </w:r>
    </w:p>
  </w:footnote>
  <w:footnote w:id="37">
    <w:p w:rsidR="00765A41" w:rsidRDefault="00765A41">
      <w:pPr>
        <w:pStyle w:val="FootnoteText"/>
      </w:pPr>
      <w:r>
        <w:rPr>
          <w:rStyle w:val="FootnoteReference"/>
        </w:rPr>
        <w:footnoteRef/>
      </w:r>
      <w:r>
        <w:t xml:space="preserve"> </w:t>
      </w:r>
      <w:r w:rsidRPr="00765A41">
        <w:rPr>
          <w:rFonts w:ascii="Arial" w:hAnsi="Arial" w:cs="Arial"/>
          <w:sz w:val="18"/>
          <w:szCs w:val="18"/>
        </w:rPr>
        <w:t>[2014] FWCFB 2042 at [29]</w:t>
      </w:r>
    </w:p>
  </w:footnote>
  <w:footnote w:id="38">
    <w:p w:rsidR="00E76BE7" w:rsidRDefault="00E76BE7">
      <w:pPr>
        <w:pStyle w:val="FootnoteText"/>
      </w:pPr>
      <w:r>
        <w:rPr>
          <w:rStyle w:val="FootnoteReference"/>
        </w:rPr>
        <w:footnoteRef/>
      </w:r>
      <w:r>
        <w:t xml:space="preserve"> </w:t>
      </w:r>
      <w:r w:rsidRPr="006D3596">
        <w:rPr>
          <w:rFonts w:ascii="Arial" w:hAnsi="Arial" w:cs="Arial"/>
          <w:sz w:val="18"/>
          <w:szCs w:val="18"/>
        </w:rPr>
        <w:t>[2013] FWC 8686</w:t>
      </w:r>
    </w:p>
  </w:footnote>
  <w:footnote w:id="39">
    <w:p w:rsidR="006D3596" w:rsidRDefault="006D3596">
      <w:pPr>
        <w:pStyle w:val="FootnoteText"/>
      </w:pPr>
      <w:r>
        <w:rPr>
          <w:rStyle w:val="FootnoteReference"/>
        </w:rPr>
        <w:footnoteRef/>
      </w:r>
      <w:r>
        <w:t xml:space="preserve"> </w:t>
      </w:r>
      <w:r w:rsidRPr="006D3596">
        <w:rPr>
          <w:rFonts w:ascii="Arial" w:hAnsi="Arial" w:cs="Arial"/>
          <w:i/>
          <w:sz w:val="18"/>
          <w:szCs w:val="18"/>
        </w:rPr>
        <w:t>Catholic Commission for Employment Relations through its Executive Director Anthony Farley</w:t>
      </w:r>
      <w:r w:rsidRPr="006D3596">
        <w:rPr>
          <w:rFonts w:ascii="Arial" w:hAnsi="Arial" w:cs="Arial"/>
          <w:sz w:val="18"/>
          <w:szCs w:val="18"/>
        </w:rPr>
        <w:t xml:space="preserve"> [2013] FWC 8686</w:t>
      </w:r>
      <w:r>
        <w:rPr>
          <w:rFonts w:ascii="Arial" w:hAnsi="Arial" w:cs="Arial"/>
          <w:sz w:val="18"/>
          <w:szCs w:val="18"/>
        </w:rPr>
        <w:t xml:space="preserve"> at [72]-[74] and [83].</w:t>
      </w:r>
    </w:p>
  </w:footnote>
  <w:footnote w:id="40">
    <w:p w:rsidR="00EF0E01" w:rsidRDefault="00EF0E01">
      <w:pPr>
        <w:pStyle w:val="FootnoteText"/>
      </w:pPr>
      <w:r>
        <w:rPr>
          <w:rStyle w:val="FootnoteReference"/>
        </w:rPr>
        <w:footnoteRef/>
      </w:r>
      <w:r>
        <w:t xml:space="preserve"> </w:t>
      </w:r>
      <w:r w:rsidRPr="00EF0E01">
        <w:rPr>
          <w:rFonts w:ascii="Arial" w:hAnsi="Arial" w:cs="Arial"/>
          <w:sz w:val="18"/>
          <w:szCs w:val="18"/>
        </w:rPr>
        <w:t>Ibid at [85].</w:t>
      </w:r>
    </w:p>
  </w:footnote>
  <w:footnote w:id="41">
    <w:p w:rsidR="00ED4BA9" w:rsidRDefault="00ED4BA9">
      <w:pPr>
        <w:pStyle w:val="FootnoteText"/>
      </w:pPr>
      <w:r>
        <w:rPr>
          <w:rStyle w:val="FootnoteReference"/>
        </w:rPr>
        <w:footnoteRef/>
      </w:r>
      <w:r>
        <w:t xml:space="preserve"> </w:t>
      </w:r>
      <w:r w:rsidRPr="00ED4BA9">
        <w:rPr>
          <w:rFonts w:ascii="Arial" w:hAnsi="Arial" w:cs="Arial"/>
          <w:sz w:val="18"/>
          <w:szCs w:val="18"/>
        </w:rPr>
        <w:t>[2014] FWC 7077</w:t>
      </w:r>
      <w:r>
        <w:rPr>
          <w:rFonts w:ascii="Arial" w:hAnsi="Arial" w:cs="Arial"/>
          <w:sz w:val="18"/>
          <w:szCs w:val="18"/>
        </w:rPr>
        <w:t>.</w:t>
      </w:r>
    </w:p>
  </w:footnote>
  <w:footnote w:id="42">
    <w:p w:rsidR="000F1058" w:rsidRDefault="000F1058">
      <w:pPr>
        <w:pStyle w:val="FootnoteText"/>
      </w:pPr>
      <w:r>
        <w:rPr>
          <w:rStyle w:val="FootnoteReference"/>
        </w:rPr>
        <w:footnoteRef/>
      </w:r>
      <w:r>
        <w:t xml:space="preserve"> </w:t>
      </w:r>
      <w:r w:rsidRPr="000F1058">
        <w:rPr>
          <w:rFonts w:ascii="Arial" w:hAnsi="Arial" w:cs="Arial"/>
          <w:sz w:val="18"/>
          <w:szCs w:val="18"/>
        </w:rPr>
        <w:t>[2014] FWC 9374</w:t>
      </w:r>
      <w:r>
        <w:rPr>
          <w:rFonts w:ascii="Arial" w:hAnsi="Arial" w:cs="Arial"/>
          <w:sz w:val="18"/>
          <w:szCs w:val="18"/>
        </w:rPr>
        <w:t>.</w:t>
      </w:r>
    </w:p>
  </w:footnote>
  <w:footnote w:id="43">
    <w:p w:rsidR="000F1058" w:rsidRDefault="000F1058">
      <w:pPr>
        <w:pStyle w:val="FootnoteText"/>
      </w:pPr>
      <w:r>
        <w:rPr>
          <w:rStyle w:val="FootnoteReference"/>
        </w:rPr>
        <w:footnoteRef/>
      </w:r>
      <w:r>
        <w:t xml:space="preserve"> </w:t>
      </w:r>
      <w:r w:rsidRPr="000F1058">
        <w:rPr>
          <w:rFonts w:ascii="Arial" w:hAnsi="Arial" w:cs="Arial"/>
          <w:i/>
          <w:sz w:val="18"/>
          <w:szCs w:val="18"/>
        </w:rPr>
        <w:t>Diamond Dell Pty Ltd ATF the</w:t>
      </w:r>
      <w:r w:rsidRPr="000F1058">
        <w:rPr>
          <w:rFonts w:ascii="Arial" w:hAnsi="Arial" w:cs="Arial"/>
          <w:sz w:val="18"/>
          <w:szCs w:val="18"/>
        </w:rPr>
        <w:t xml:space="preserve"> </w:t>
      </w:r>
      <w:r w:rsidRPr="000F1058">
        <w:rPr>
          <w:rFonts w:ascii="Arial" w:hAnsi="Arial" w:cs="Arial"/>
          <w:i/>
          <w:sz w:val="18"/>
          <w:szCs w:val="18"/>
        </w:rPr>
        <w:t>Kez’s Kitchen Trust</w:t>
      </w:r>
      <w:r>
        <w:rPr>
          <w:rFonts w:ascii="Arial" w:hAnsi="Arial" w:cs="Arial"/>
          <w:i/>
          <w:sz w:val="18"/>
          <w:szCs w:val="18"/>
        </w:rPr>
        <w:t xml:space="preserve"> </w:t>
      </w:r>
      <w:r w:rsidRPr="000F1058">
        <w:rPr>
          <w:rFonts w:ascii="Arial" w:hAnsi="Arial" w:cs="Arial"/>
          <w:sz w:val="18"/>
          <w:szCs w:val="18"/>
        </w:rPr>
        <w:t>[2014] FWC 9374</w:t>
      </w:r>
      <w:r>
        <w:rPr>
          <w:rFonts w:ascii="Arial" w:hAnsi="Arial" w:cs="Arial"/>
          <w:sz w:val="18"/>
          <w:szCs w:val="18"/>
        </w:rPr>
        <w:t xml:space="preserve"> at </w:t>
      </w:r>
      <w:r w:rsidR="003B0A3D">
        <w:rPr>
          <w:rFonts w:ascii="Arial" w:hAnsi="Arial" w:cs="Arial"/>
          <w:sz w:val="18"/>
          <w:szCs w:val="18"/>
        </w:rPr>
        <w:t>4.</w:t>
      </w:r>
    </w:p>
  </w:footnote>
  <w:footnote w:id="44">
    <w:p w:rsidR="000D1AD5" w:rsidRPr="009469A5" w:rsidRDefault="000D1AD5" w:rsidP="00784473">
      <w:pPr>
        <w:pStyle w:val="FootnoteText"/>
        <w:rPr>
          <w:rFonts w:ascii="Arial" w:hAnsi="Arial" w:cs="Arial"/>
          <w:sz w:val="18"/>
          <w:szCs w:val="18"/>
        </w:rPr>
      </w:pPr>
      <w:r w:rsidRPr="009469A5">
        <w:rPr>
          <w:rStyle w:val="FootnoteReference"/>
          <w:rFonts w:ascii="Arial" w:hAnsi="Arial" w:cs="Arial"/>
          <w:sz w:val="18"/>
          <w:szCs w:val="18"/>
        </w:rPr>
        <w:footnoteRef/>
      </w:r>
      <w:r w:rsidRPr="009469A5">
        <w:rPr>
          <w:rFonts w:ascii="Arial" w:hAnsi="Arial" w:cs="Arial"/>
          <w:sz w:val="18"/>
          <w:szCs w:val="18"/>
        </w:rPr>
        <w:t xml:space="preserve"> [2015] http://www.herbertsmithfreehills.com/insights/legal-briefings/looking-forward-key-workplace-relations-issues-in-2015</w:t>
      </w:r>
    </w:p>
  </w:footnote>
  <w:footnote w:id="45">
    <w:p w:rsidR="000D1AD5" w:rsidRPr="004D110D" w:rsidRDefault="000D1AD5" w:rsidP="00784473">
      <w:pPr>
        <w:pStyle w:val="FootnoteText"/>
        <w:rPr>
          <w:rFonts w:ascii="Arial" w:hAnsi="Arial" w:cs="Arial"/>
          <w:sz w:val="18"/>
          <w:szCs w:val="18"/>
        </w:rPr>
      </w:pPr>
      <w:r w:rsidRPr="004D110D">
        <w:rPr>
          <w:rStyle w:val="FootnoteReference"/>
          <w:rFonts w:ascii="Arial" w:hAnsi="Arial" w:cs="Arial"/>
          <w:sz w:val="18"/>
          <w:szCs w:val="18"/>
        </w:rPr>
        <w:footnoteRef/>
      </w:r>
      <w:r w:rsidRPr="004D110D">
        <w:rPr>
          <w:rFonts w:ascii="Arial" w:hAnsi="Arial" w:cs="Arial"/>
          <w:sz w:val="18"/>
          <w:szCs w:val="18"/>
        </w:rPr>
        <w:t xml:space="preserve"> [201</w:t>
      </w:r>
      <w:r w:rsidR="00732076">
        <w:rPr>
          <w:rFonts w:ascii="Arial" w:hAnsi="Arial" w:cs="Arial"/>
          <w:sz w:val="18"/>
          <w:szCs w:val="18"/>
        </w:rPr>
        <w:t>5</w:t>
      </w:r>
      <w:r w:rsidRPr="004D110D">
        <w:rPr>
          <w:rFonts w:ascii="Arial" w:hAnsi="Arial" w:cs="Arial"/>
          <w:sz w:val="18"/>
          <w:szCs w:val="18"/>
        </w:rPr>
        <w:t xml:space="preserve">] </w:t>
      </w:r>
      <w:r>
        <w:rPr>
          <w:rFonts w:ascii="Arial" w:hAnsi="Arial" w:cs="Arial"/>
          <w:sz w:val="18"/>
          <w:szCs w:val="18"/>
        </w:rPr>
        <w:t xml:space="preserve">Kelly, J </w:t>
      </w:r>
      <w:r w:rsidRPr="004D110D">
        <w:rPr>
          <w:rFonts w:ascii="Arial" w:hAnsi="Arial" w:cs="Arial"/>
          <w:i/>
          <w:sz w:val="18"/>
          <w:szCs w:val="18"/>
        </w:rPr>
        <w:t>Bullying umpire sits idle</w:t>
      </w:r>
      <w:r w:rsidRPr="004D110D">
        <w:rPr>
          <w:rFonts w:ascii="Arial" w:hAnsi="Arial" w:cs="Arial"/>
          <w:sz w:val="18"/>
          <w:szCs w:val="18"/>
        </w:rPr>
        <w:t xml:space="preserve">, </w:t>
      </w:r>
      <w:r>
        <w:rPr>
          <w:rFonts w:ascii="Arial" w:hAnsi="Arial" w:cs="Arial"/>
          <w:sz w:val="18"/>
          <w:szCs w:val="18"/>
        </w:rPr>
        <w:t xml:space="preserve"> T</w:t>
      </w:r>
      <w:r w:rsidRPr="004D110D">
        <w:rPr>
          <w:rFonts w:ascii="Arial" w:hAnsi="Arial" w:cs="Arial"/>
          <w:sz w:val="18"/>
          <w:szCs w:val="18"/>
        </w:rPr>
        <w:t>he Australian</w:t>
      </w:r>
      <w:r>
        <w:rPr>
          <w:rFonts w:ascii="Arial" w:hAnsi="Arial" w:cs="Arial"/>
          <w:sz w:val="18"/>
          <w:szCs w:val="18"/>
        </w:rPr>
        <w:t>,</w:t>
      </w:r>
      <w:r w:rsidRPr="004D110D">
        <w:rPr>
          <w:rFonts w:ascii="Arial" w:hAnsi="Arial" w:cs="Arial"/>
          <w:sz w:val="18"/>
          <w:szCs w:val="18"/>
        </w:rPr>
        <w:t xml:space="preserve"> 25 February</w:t>
      </w:r>
      <w:r>
        <w:rPr>
          <w:rFonts w:ascii="Arial" w:hAnsi="Arial" w:cs="Arial"/>
          <w:sz w:val="18"/>
          <w:szCs w:val="18"/>
        </w:rPr>
        <w:t xml:space="preserve"> 201</w:t>
      </w:r>
      <w:r w:rsidR="00732076">
        <w:rPr>
          <w:rFonts w:ascii="Arial" w:hAnsi="Arial" w:cs="Arial"/>
          <w:sz w:val="18"/>
          <w:szCs w:val="18"/>
        </w:rPr>
        <w:t>5</w:t>
      </w:r>
    </w:p>
  </w:footnote>
  <w:footnote w:id="46">
    <w:p w:rsidR="000D1AD5" w:rsidRPr="00AA626F" w:rsidRDefault="000D1AD5" w:rsidP="00784473">
      <w:pPr>
        <w:rPr>
          <w:rFonts w:ascii="Arial" w:hAnsi="Arial" w:cs="Arial"/>
          <w:sz w:val="18"/>
          <w:szCs w:val="18"/>
        </w:rPr>
      </w:pPr>
      <w:r w:rsidRPr="00AA626F">
        <w:rPr>
          <w:rStyle w:val="FootnoteReference"/>
          <w:rFonts w:ascii="Arial" w:hAnsi="Arial" w:cs="Arial"/>
          <w:sz w:val="18"/>
          <w:szCs w:val="18"/>
        </w:rPr>
        <w:footnoteRef/>
      </w:r>
      <w:r w:rsidRPr="00AA626F">
        <w:rPr>
          <w:rFonts w:ascii="Arial" w:hAnsi="Arial" w:cs="Arial"/>
          <w:sz w:val="18"/>
          <w:szCs w:val="18"/>
        </w:rPr>
        <w:t xml:space="preserve"> [2012] MacDermott </w:t>
      </w:r>
      <w:r>
        <w:rPr>
          <w:rFonts w:ascii="Arial" w:hAnsi="Arial" w:cs="Arial"/>
          <w:sz w:val="18"/>
          <w:szCs w:val="18"/>
        </w:rPr>
        <w:t xml:space="preserve">T </w:t>
      </w:r>
      <w:r w:rsidRPr="00AA626F">
        <w:rPr>
          <w:rFonts w:ascii="Arial" w:hAnsi="Arial" w:cs="Arial"/>
          <w:sz w:val="18"/>
          <w:szCs w:val="18"/>
        </w:rPr>
        <w:t xml:space="preserve">&amp; Riley J, </w:t>
      </w:r>
      <w:r w:rsidRPr="00AA626F">
        <w:rPr>
          <w:rFonts w:ascii="Arial" w:hAnsi="Arial" w:cs="Arial"/>
          <w:i/>
          <w:sz w:val="18"/>
          <w:szCs w:val="18"/>
        </w:rPr>
        <w:t>ADR and industrial tribunals: innovations and challenges in resolving individual workplace grievances</w:t>
      </w:r>
      <w:r>
        <w:rPr>
          <w:rFonts w:ascii="Arial" w:hAnsi="Arial" w:cs="Arial"/>
          <w:i/>
          <w:sz w:val="18"/>
          <w:szCs w:val="18"/>
        </w:rPr>
        <w:t xml:space="preserve">, </w:t>
      </w:r>
      <w:r>
        <w:rPr>
          <w:rFonts w:ascii="Arial" w:hAnsi="Arial" w:cs="Arial"/>
          <w:sz w:val="18"/>
          <w:szCs w:val="18"/>
        </w:rPr>
        <w:t xml:space="preserve">Monash </w:t>
      </w:r>
      <w:r w:rsidR="00EC4C4D">
        <w:rPr>
          <w:rFonts w:ascii="Arial" w:hAnsi="Arial" w:cs="Arial"/>
          <w:sz w:val="18"/>
          <w:szCs w:val="18"/>
        </w:rPr>
        <w:t>U</w:t>
      </w:r>
      <w:r>
        <w:rPr>
          <w:rFonts w:ascii="Arial" w:hAnsi="Arial" w:cs="Arial"/>
          <w:sz w:val="18"/>
          <w:szCs w:val="18"/>
        </w:rPr>
        <w:t xml:space="preserve">niversity Law Review </w:t>
      </w:r>
      <w:r w:rsidR="00732076">
        <w:rPr>
          <w:rFonts w:ascii="Arial" w:hAnsi="Arial" w:cs="Arial"/>
          <w:sz w:val="18"/>
          <w:szCs w:val="18"/>
        </w:rPr>
        <w:t>[</w:t>
      </w:r>
      <w:r>
        <w:rPr>
          <w:rFonts w:ascii="Arial" w:hAnsi="Arial" w:cs="Arial"/>
          <w:sz w:val="18"/>
          <w:szCs w:val="18"/>
        </w:rPr>
        <w:t>Vol 38, no 2</w:t>
      </w:r>
      <w:r w:rsidR="00732076">
        <w:rPr>
          <w:rFonts w:ascii="Arial" w:hAnsi="Arial" w:cs="Arial"/>
          <w:sz w:val="18"/>
          <w:szCs w:val="18"/>
        </w:rPr>
        <w:t>]</w:t>
      </w:r>
    </w:p>
    <w:p w:rsidR="000D1AD5" w:rsidRPr="00AA626F" w:rsidRDefault="000D1AD5" w:rsidP="00784473">
      <w:pPr>
        <w:pStyle w:val="FootnoteText"/>
        <w:rPr>
          <w:rFonts w:ascii="Arial" w:hAnsi="Arial" w:cs="Arial"/>
          <w:sz w:val="18"/>
          <w:szCs w:val="18"/>
        </w:rPr>
      </w:pPr>
    </w:p>
  </w:footnote>
  <w:footnote w:id="47">
    <w:p w:rsidR="000D1AD5" w:rsidRPr="0043116E" w:rsidRDefault="000D1AD5" w:rsidP="00784473">
      <w:pPr>
        <w:pStyle w:val="FootnoteText"/>
        <w:rPr>
          <w:rFonts w:ascii="Arial" w:hAnsi="Arial" w:cs="Arial"/>
          <w:sz w:val="18"/>
          <w:szCs w:val="18"/>
        </w:rPr>
      </w:pPr>
      <w:r w:rsidRPr="0043116E">
        <w:rPr>
          <w:rStyle w:val="FootnoteReference"/>
          <w:rFonts w:ascii="Arial" w:hAnsi="Arial" w:cs="Arial"/>
          <w:sz w:val="18"/>
          <w:szCs w:val="18"/>
        </w:rPr>
        <w:footnoteRef/>
      </w:r>
      <w:r w:rsidRPr="0043116E">
        <w:rPr>
          <w:rFonts w:ascii="Arial" w:hAnsi="Arial" w:cs="Arial"/>
          <w:sz w:val="18"/>
          <w:szCs w:val="18"/>
        </w:rPr>
        <w:t xml:space="preserve"> [2014] Fair Work Commission, </w:t>
      </w:r>
      <w:r w:rsidRPr="0043116E">
        <w:rPr>
          <w:rFonts w:ascii="Arial" w:hAnsi="Arial" w:cs="Arial"/>
          <w:i/>
          <w:sz w:val="18"/>
          <w:szCs w:val="18"/>
        </w:rPr>
        <w:t>Delivering Public Value,  A</w:t>
      </w:r>
      <w:r w:rsidRPr="0043116E">
        <w:rPr>
          <w:rFonts w:ascii="Arial" w:hAnsi="Arial" w:cs="Arial"/>
          <w:sz w:val="18"/>
          <w:szCs w:val="18"/>
        </w:rPr>
        <w:t xml:space="preserve">nnual Report  2013 – 14 </w:t>
      </w:r>
    </w:p>
  </w:footnote>
  <w:footnote w:id="48">
    <w:p w:rsidR="000D1AD5" w:rsidRPr="0043116E" w:rsidRDefault="000D1AD5" w:rsidP="00784473">
      <w:pPr>
        <w:pStyle w:val="FootnoteText"/>
        <w:rPr>
          <w:rFonts w:ascii="Arial" w:hAnsi="Arial" w:cs="Arial"/>
          <w:sz w:val="18"/>
          <w:szCs w:val="18"/>
        </w:rPr>
      </w:pPr>
      <w:r w:rsidRPr="0043116E">
        <w:rPr>
          <w:rStyle w:val="FootnoteReference"/>
          <w:rFonts w:ascii="Arial" w:hAnsi="Arial" w:cs="Arial"/>
          <w:sz w:val="18"/>
          <w:szCs w:val="18"/>
        </w:rPr>
        <w:footnoteRef/>
      </w:r>
      <w:r w:rsidRPr="0043116E">
        <w:rPr>
          <w:rFonts w:ascii="Arial" w:hAnsi="Arial" w:cs="Arial"/>
          <w:sz w:val="18"/>
          <w:szCs w:val="18"/>
        </w:rPr>
        <w:t xml:space="preserve"> Ibid [pp72-3]</w:t>
      </w:r>
    </w:p>
  </w:footnote>
  <w:footnote w:id="49">
    <w:p w:rsidR="000D1AD5" w:rsidRPr="00F434A6" w:rsidRDefault="000D1AD5" w:rsidP="00784473">
      <w:pPr>
        <w:pStyle w:val="FootnoteText"/>
        <w:rPr>
          <w:rFonts w:ascii="Arial" w:hAnsi="Arial" w:cs="Arial"/>
          <w:sz w:val="18"/>
          <w:szCs w:val="18"/>
        </w:rPr>
      </w:pPr>
      <w:r w:rsidRPr="00F434A6">
        <w:rPr>
          <w:rStyle w:val="FootnoteReference"/>
          <w:rFonts w:ascii="Arial" w:hAnsi="Arial" w:cs="Arial"/>
          <w:sz w:val="18"/>
          <w:szCs w:val="18"/>
        </w:rPr>
        <w:footnoteRef/>
      </w:r>
      <w:r w:rsidRPr="00F434A6">
        <w:rPr>
          <w:rFonts w:ascii="Arial" w:hAnsi="Arial" w:cs="Arial"/>
          <w:sz w:val="18"/>
          <w:szCs w:val="18"/>
        </w:rPr>
        <w:t xml:space="preserve"> [2013] Revised Explanatory Memorandum, </w:t>
      </w:r>
      <w:r w:rsidRPr="00D5081E">
        <w:rPr>
          <w:rFonts w:ascii="Arial" w:hAnsi="Arial" w:cs="Arial"/>
          <w:i/>
          <w:sz w:val="18"/>
          <w:szCs w:val="18"/>
        </w:rPr>
        <w:t>Fair Work Amendment Bill</w:t>
      </w:r>
      <w:r w:rsidRPr="00F434A6">
        <w:rPr>
          <w:rFonts w:ascii="Arial" w:hAnsi="Arial" w:cs="Arial"/>
          <w:sz w:val="18"/>
          <w:szCs w:val="18"/>
        </w:rPr>
        <w:t xml:space="preserve"> [117]</w:t>
      </w:r>
    </w:p>
  </w:footnote>
  <w:footnote w:id="50">
    <w:p w:rsidR="00060F52" w:rsidRPr="00060F52" w:rsidRDefault="00060F52">
      <w:pPr>
        <w:pStyle w:val="FootnoteText"/>
        <w:rPr>
          <w:rFonts w:ascii="Arial" w:hAnsi="Arial" w:cs="Arial"/>
          <w:sz w:val="18"/>
          <w:szCs w:val="18"/>
        </w:rPr>
      </w:pPr>
      <w:r w:rsidRPr="00060F52">
        <w:rPr>
          <w:rStyle w:val="FootnoteReference"/>
          <w:rFonts w:ascii="Arial" w:hAnsi="Arial" w:cs="Arial"/>
          <w:sz w:val="18"/>
          <w:szCs w:val="18"/>
        </w:rPr>
        <w:footnoteRef/>
      </w:r>
      <w:r w:rsidRPr="00060F52">
        <w:rPr>
          <w:rFonts w:ascii="Arial" w:hAnsi="Arial" w:cs="Arial"/>
          <w:sz w:val="18"/>
          <w:szCs w:val="18"/>
        </w:rPr>
        <w:t xml:space="preserve"> [2014] Fair Work Commission, </w:t>
      </w:r>
      <w:r w:rsidRPr="00060F52">
        <w:rPr>
          <w:rFonts w:ascii="Arial" w:hAnsi="Arial" w:cs="Arial"/>
          <w:i/>
          <w:sz w:val="18"/>
          <w:szCs w:val="18"/>
        </w:rPr>
        <w:t>Delivering Public Value,  A</w:t>
      </w:r>
      <w:r w:rsidRPr="00060F52">
        <w:rPr>
          <w:rFonts w:ascii="Arial" w:hAnsi="Arial" w:cs="Arial"/>
          <w:sz w:val="18"/>
          <w:szCs w:val="18"/>
        </w:rPr>
        <w:t>nnual Report  2013 – 14 [p37]</w:t>
      </w:r>
    </w:p>
  </w:footnote>
  <w:footnote w:id="51">
    <w:p w:rsidR="000D1AD5" w:rsidRPr="00713011" w:rsidRDefault="000D1AD5" w:rsidP="00784473">
      <w:pPr>
        <w:pStyle w:val="FootnoteText"/>
        <w:rPr>
          <w:rFonts w:ascii="Arial" w:hAnsi="Arial" w:cs="Arial"/>
          <w:sz w:val="18"/>
          <w:szCs w:val="18"/>
        </w:rPr>
      </w:pPr>
      <w:r w:rsidRPr="00713011">
        <w:rPr>
          <w:rStyle w:val="FootnoteReference"/>
          <w:rFonts w:ascii="Arial" w:hAnsi="Arial" w:cs="Arial"/>
          <w:sz w:val="18"/>
          <w:szCs w:val="18"/>
        </w:rPr>
        <w:footnoteRef/>
      </w:r>
      <w:r w:rsidRPr="00713011">
        <w:rPr>
          <w:rFonts w:ascii="Arial" w:hAnsi="Arial" w:cs="Arial"/>
          <w:sz w:val="18"/>
          <w:szCs w:val="18"/>
        </w:rPr>
        <w:t xml:space="preserve"> [2015] FWC 562</w:t>
      </w:r>
      <w:r>
        <w:rPr>
          <w:rFonts w:ascii="Arial" w:hAnsi="Arial" w:cs="Arial"/>
          <w:sz w:val="18"/>
          <w:szCs w:val="18"/>
        </w:rPr>
        <w:t xml:space="preserve">  P.K. (AB2014/1415)</w:t>
      </w:r>
    </w:p>
  </w:footnote>
  <w:footnote w:id="52">
    <w:p w:rsidR="000D1AD5" w:rsidRPr="00B202D5" w:rsidRDefault="000D1AD5" w:rsidP="00784473">
      <w:pPr>
        <w:pStyle w:val="FootnoteText"/>
        <w:rPr>
          <w:rFonts w:ascii="Arial" w:hAnsi="Arial" w:cs="Arial"/>
          <w:sz w:val="18"/>
          <w:szCs w:val="18"/>
        </w:rPr>
      </w:pPr>
      <w:r w:rsidRPr="00B202D5">
        <w:rPr>
          <w:rStyle w:val="FootnoteReference"/>
          <w:rFonts w:ascii="Arial" w:hAnsi="Arial" w:cs="Arial"/>
          <w:sz w:val="18"/>
          <w:szCs w:val="18"/>
        </w:rPr>
        <w:footnoteRef/>
      </w:r>
      <w:r w:rsidRPr="00B202D5">
        <w:rPr>
          <w:rFonts w:ascii="Arial" w:hAnsi="Arial" w:cs="Arial"/>
          <w:sz w:val="18"/>
          <w:szCs w:val="18"/>
        </w:rPr>
        <w:t xml:space="preserve"> [2009] Levine S</w:t>
      </w:r>
      <w:r w:rsidRPr="00B202D5">
        <w:rPr>
          <w:rFonts w:ascii="Arial" w:hAnsi="Arial" w:cs="Arial"/>
          <w:i/>
          <w:sz w:val="18"/>
          <w:szCs w:val="18"/>
        </w:rPr>
        <w:t>, Getting to Resolution, Turning conflict into Collaboration</w:t>
      </w:r>
      <w:r w:rsidRPr="00B202D5">
        <w:rPr>
          <w:rFonts w:ascii="Arial" w:hAnsi="Arial" w:cs="Arial"/>
          <w:sz w:val="18"/>
          <w:szCs w:val="18"/>
        </w:rPr>
        <w:t xml:space="preserve"> [pp66-67]</w:t>
      </w:r>
    </w:p>
  </w:footnote>
  <w:footnote w:id="53">
    <w:p w:rsidR="000D1AD5" w:rsidRPr="00DC08FA" w:rsidRDefault="000D1AD5" w:rsidP="00784473">
      <w:pPr>
        <w:pStyle w:val="FootnoteText"/>
        <w:rPr>
          <w:rFonts w:ascii="Arial" w:hAnsi="Arial" w:cs="Arial"/>
          <w:sz w:val="18"/>
          <w:szCs w:val="18"/>
        </w:rPr>
      </w:pPr>
      <w:r w:rsidRPr="00DC08FA">
        <w:rPr>
          <w:rStyle w:val="FootnoteReference"/>
          <w:rFonts w:ascii="Arial" w:hAnsi="Arial" w:cs="Arial"/>
          <w:sz w:val="18"/>
          <w:szCs w:val="18"/>
        </w:rPr>
        <w:footnoteRef/>
      </w:r>
      <w:r w:rsidRPr="00DC08FA">
        <w:rPr>
          <w:rFonts w:ascii="Arial" w:hAnsi="Arial" w:cs="Arial"/>
          <w:sz w:val="18"/>
          <w:szCs w:val="18"/>
        </w:rPr>
        <w:t xml:space="preserve"> [2009] McLay L, </w:t>
      </w:r>
      <w:r w:rsidRPr="00DC08FA">
        <w:rPr>
          <w:rFonts w:ascii="Arial" w:hAnsi="Arial" w:cs="Arial"/>
          <w:i/>
          <w:sz w:val="18"/>
          <w:szCs w:val="18"/>
        </w:rPr>
        <w:t xml:space="preserve">Workplace bullying: To mediate or not? </w:t>
      </w:r>
      <w:r w:rsidRPr="00DC08FA">
        <w:rPr>
          <w:rFonts w:ascii="Arial" w:hAnsi="Arial" w:cs="Arial"/>
          <w:sz w:val="18"/>
          <w:szCs w:val="18"/>
        </w:rPr>
        <w:t>ADR Bulletin Vol 11, No 1, Article 1</w:t>
      </w:r>
    </w:p>
  </w:footnote>
  <w:footnote w:id="54">
    <w:p w:rsidR="000D1AD5" w:rsidRPr="00DC08FA" w:rsidRDefault="000D1AD5" w:rsidP="00784473">
      <w:pPr>
        <w:pStyle w:val="Heading2"/>
        <w:shd w:val="clear" w:color="auto" w:fill="FFFFFF"/>
        <w:spacing w:before="0" w:line="240" w:lineRule="auto"/>
        <w:rPr>
          <w:rFonts w:ascii="Arial" w:hAnsi="Arial" w:cs="Arial"/>
          <w:i/>
          <w:sz w:val="18"/>
          <w:szCs w:val="18"/>
        </w:rPr>
      </w:pPr>
      <w:r w:rsidRPr="00D268F7">
        <w:rPr>
          <w:rStyle w:val="FootnoteReference"/>
          <w:rFonts w:ascii="Arial" w:eastAsia="Calibri" w:hAnsi="Arial" w:cs="Arial"/>
          <w:b w:val="0"/>
          <w:bCs w:val="0"/>
          <w:color w:val="262626"/>
          <w:sz w:val="22"/>
          <w:szCs w:val="22"/>
        </w:rPr>
        <w:footnoteRef/>
      </w:r>
      <w:r w:rsidRPr="00D268F7">
        <w:rPr>
          <w:rStyle w:val="FootnoteReference"/>
          <w:rFonts w:eastAsia="Calibri"/>
          <w:b w:val="0"/>
          <w:bCs w:val="0"/>
          <w:color w:val="262626"/>
          <w:sz w:val="22"/>
          <w:szCs w:val="22"/>
        </w:rPr>
        <w:t xml:space="preserve"> </w:t>
      </w:r>
      <w:r w:rsidRPr="00DC08FA">
        <w:rPr>
          <w:rFonts w:ascii="Arial" w:hAnsi="Arial" w:cs="Arial"/>
          <w:b w:val="0"/>
          <w:color w:val="auto"/>
          <w:sz w:val="18"/>
          <w:szCs w:val="18"/>
        </w:rPr>
        <w:t xml:space="preserve">[2013] Jenkins M, </w:t>
      </w:r>
      <w:r w:rsidRPr="00DC08FA">
        <w:rPr>
          <w:rFonts w:ascii="Arial" w:hAnsi="Arial" w:cs="Arial"/>
          <w:b w:val="0"/>
          <w:bCs w:val="0"/>
          <w:i/>
          <w:color w:val="auto"/>
          <w:sz w:val="18"/>
          <w:szCs w:val="18"/>
        </w:rPr>
        <w:t>Preventing and Managing Workplace Bullying and Harassment: A Risk Management Approach</w:t>
      </w:r>
    </w:p>
  </w:footnote>
  <w:footnote w:id="55">
    <w:p w:rsidR="000D1AD5" w:rsidRPr="00F50438" w:rsidRDefault="000D1AD5" w:rsidP="00784473">
      <w:pPr>
        <w:pStyle w:val="FootnoteText"/>
        <w:rPr>
          <w:rFonts w:ascii="Arial" w:hAnsi="Arial" w:cs="Arial"/>
          <w:sz w:val="18"/>
          <w:szCs w:val="18"/>
        </w:rPr>
      </w:pPr>
      <w:r w:rsidRPr="00DC08FA">
        <w:rPr>
          <w:rStyle w:val="FootnoteReference"/>
          <w:rFonts w:ascii="Arial" w:hAnsi="Arial" w:cs="Arial"/>
          <w:sz w:val="18"/>
          <w:szCs w:val="18"/>
        </w:rPr>
        <w:footnoteRef/>
      </w:r>
      <w:r w:rsidRPr="00DC08FA">
        <w:rPr>
          <w:rFonts w:ascii="Arial" w:hAnsi="Arial" w:cs="Arial"/>
          <w:sz w:val="18"/>
          <w:szCs w:val="18"/>
        </w:rPr>
        <w:t xml:space="preserve"> [2014] Commissioner AL Cribb</w:t>
      </w:r>
      <w:r w:rsidRPr="00DC08FA">
        <w:rPr>
          <w:rFonts w:ascii="Arial" w:hAnsi="Arial" w:cs="Arial"/>
          <w:i/>
          <w:sz w:val="18"/>
          <w:szCs w:val="18"/>
        </w:rPr>
        <w:t xml:space="preserve">, To mediate or not? The Fair Work Commission’s new anti-bullying jurisdiction </w:t>
      </w:r>
      <w:hyperlink r:id="rId1" w:history="1">
        <w:r w:rsidRPr="00DC08FA">
          <w:rPr>
            <w:rStyle w:val="Hyperlink"/>
            <w:rFonts w:ascii="Arial" w:hAnsi="Arial" w:cs="Arial"/>
            <w:sz w:val="18"/>
            <w:szCs w:val="18"/>
          </w:rPr>
          <w:t>http://www.slideshare.net/NationalMediationConference/tuesday-the-verandah-12201240commissioner-anna-lee-cribb</w:t>
        </w:r>
      </w:hyperlink>
    </w:p>
  </w:footnote>
  <w:footnote w:id="56">
    <w:p w:rsidR="000D1AD5" w:rsidRPr="00A63554" w:rsidRDefault="000D1AD5" w:rsidP="00784473">
      <w:pPr>
        <w:pStyle w:val="FootnoteText"/>
        <w:rPr>
          <w:rFonts w:ascii="Arial" w:hAnsi="Arial" w:cs="Arial"/>
          <w:sz w:val="18"/>
          <w:szCs w:val="18"/>
        </w:rPr>
      </w:pPr>
      <w:r w:rsidRPr="00A63554">
        <w:rPr>
          <w:rStyle w:val="FootnoteReference"/>
          <w:rFonts w:ascii="Arial" w:hAnsi="Arial" w:cs="Arial"/>
          <w:sz w:val="18"/>
          <w:szCs w:val="18"/>
        </w:rPr>
        <w:footnoteRef/>
      </w:r>
      <w:r w:rsidRPr="00A63554">
        <w:rPr>
          <w:rFonts w:ascii="Arial" w:hAnsi="Arial" w:cs="Arial"/>
          <w:sz w:val="18"/>
          <w:szCs w:val="18"/>
        </w:rPr>
        <w:t xml:space="preserve"> Proactive Resolutions </w:t>
      </w:r>
      <w:hyperlink r:id="rId2" w:history="1">
        <w:r w:rsidRPr="00A63554">
          <w:rPr>
            <w:rStyle w:val="Hyperlink"/>
            <w:rFonts w:ascii="Arial" w:hAnsi="Arial" w:cs="Arial"/>
            <w:sz w:val="18"/>
            <w:szCs w:val="18"/>
          </w:rPr>
          <w:t>http://proactive-resolutions.com/products/reconcile-differences/</w:t>
        </w:r>
      </w:hyperlink>
    </w:p>
  </w:footnote>
  <w:footnote w:id="57">
    <w:p w:rsidR="00A63554" w:rsidRPr="00A63554" w:rsidRDefault="000D1AD5" w:rsidP="00784473">
      <w:pPr>
        <w:pStyle w:val="FootnoteText"/>
        <w:rPr>
          <w:rFonts w:ascii="Arial" w:hAnsi="Arial" w:cs="Arial"/>
          <w:sz w:val="18"/>
          <w:szCs w:val="18"/>
        </w:rPr>
      </w:pPr>
      <w:r w:rsidRPr="00A63554">
        <w:rPr>
          <w:rStyle w:val="FootnoteReference"/>
          <w:rFonts w:ascii="Arial" w:hAnsi="Arial" w:cs="Arial"/>
          <w:sz w:val="18"/>
          <w:szCs w:val="18"/>
        </w:rPr>
        <w:footnoteRef/>
      </w:r>
      <w:r w:rsidRPr="00A63554">
        <w:rPr>
          <w:rFonts w:ascii="Arial" w:hAnsi="Arial" w:cs="Arial"/>
          <w:sz w:val="18"/>
          <w:szCs w:val="18"/>
        </w:rPr>
        <w:t xml:space="preserve"> WorkCover NSW </w:t>
      </w:r>
      <w:hyperlink r:id="rId3" w:history="1">
        <w:r w:rsidR="00A63554" w:rsidRPr="00A63554">
          <w:rPr>
            <w:rStyle w:val="Hyperlink"/>
            <w:rFonts w:ascii="Arial" w:hAnsi="Arial" w:cs="Arial"/>
            <w:sz w:val="18"/>
            <w:szCs w:val="18"/>
          </w:rPr>
          <w:t>http://www.workcover.nsw.gov.au/health-and-safety/safety-topics-a-z/bullying/workplace-bullying-response-service-standards</w:t>
        </w:r>
      </w:hyperlink>
    </w:p>
  </w:footnote>
  <w:footnote w:id="58">
    <w:p w:rsidR="000D1AD5" w:rsidRPr="00A63554" w:rsidRDefault="000D1AD5" w:rsidP="00E318D5">
      <w:pPr>
        <w:spacing w:after="0" w:line="240" w:lineRule="auto"/>
        <w:rPr>
          <w:rFonts w:ascii="Arial" w:hAnsi="Arial" w:cs="Arial"/>
          <w:sz w:val="18"/>
          <w:szCs w:val="18"/>
        </w:rPr>
      </w:pPr>
      <w:r w:rsidRPr="00A63554">
        <w:rPr>
          <w:rStyle w:val="FootnoteReference"/>
          <w:rFonts w:ascii="Arial" w:hAnsi="Arial" w:cs="Arial"/>
          <w:sz w:val="18"/>
          <w:szCs w:val="18"/>
        </w:rPr>
        <w:footnoteRef/>
      </w:r>
      <w:r w:rsidRPr="00A63554">
        <w:rPr>
          <w:rFonts w:ascii="Arial" w:hAnsi="Arial" w:cs="Arial"/>
          <w:sz w:val="18"/>
          <w:szCs w:val="18"/>
        </w:rPr>
        <w:t xml:space="preserve"> [2013], Fair Work Amendment Bill </w:t>
      </w:r>
      <w:r w:rsidRPr="00A63554">
        <w:rPr>
          <w:rFonts w:ascii="Arial" w:hAnsi="Arial" w:cs="Arial"/>
          <w:i/>
          <w:sz w:val="18"/>
          <w:szCs w:val="18"/>
        </w:rPr>
        <w:t>Revised Explanatory Memorandum</w:t>
      </w:r>
      <w:r w:rsidRPr="00A63554">
        <w:rPr>
          <w:rFonts w:ascii="Arial" w:hAnsi="Arial" w:cs="Arial"/>
          <w:sz w:val="18"/>
          <w:szCs w:val="18"/>
        </w:rPr>
        <w:t xml:space="preserve">  [92]</w:t>
      </w:r>
    </w:p>
  </w:footnote>
  <w:footnote w:id="59">
    <w:p w:rsidR="000D1AD5" w:rsidRPr="00330D8B" w:rsidRDefault="000D1AD5" w:rsidP="00E318D5">
      <w:pPr>
        <w:pStyle w:val="FootnoteText"/>
        <w:rPr>
          <w:rFonts w:ascii="Arial" w:hAnsi="Arial" w:cs="Arial"/>
          <w:sz w:val="18"/>
          <w:szCs w:val="18"/>
        </w:rPr>
      </w:pPr>
      <w:r w:rsidRPr="00330D8B">
        <w:rPr>
          <w:rStyle w:val="FootnoteReference"/>
          <w:rFonts w:ascii="Arial" w:hAnsi="Arial" w:cs="Arial"/>
          <w:sz w:val="18"/>
          <w:szCs w:val="18"/>
        </w:rPr>
        <w:footnoteRef/>
      </w:r>
      <w:r w:rsidRPr="00330D8B">
        <w:rPr>
          <w:rFonts w:ascii="Arial" w:hAnsi="Arial" w:cs="Arial"/>
          <w:sz w:val="18"/>
          <w:szCs w:val="18"/>
        </w:rPr>
        <w:t xml:space="preserve"> [2012] Sourdin, T, </w:t>
      </w:r>
      <w:r w:rsidRPr="00330D8B">
        <w:rPr>
          <w:rFonts w:ascii="Arial" w:hAnsi="Arial" w:cs="Arial"/>
          <w:i/>
          <w:sz w:val="18"/>
          <w:szCs w:val="18"/>
        </w:rPr>
        <w:t>Exploring Civil Pre-action Requirements</w:t>
      </w:r>
      <w:r w:rsidRPr="00330D8B">
        <w:rPr>
          <w:rFonts w:ascii="Arial" w:hAnsi="Arial" w:cs="Arial"/>
          <w:sz w:val="18"/>
          <w:szCs w:val="18"/>
        </w:rPr>
        <w:t xml:space="preserve"> , </w:t>
      </w:r>
      <w:r w:rsidRPr="00330D8B">
        <w:rPr>
          <w:rFonts w:ascii="Arial" w:hAnsi="Arial" w:cs="Arial"/>
          <w:i/>
          <w:sz w:val="18"/>
          <w:szCs w:val="18"/>
        </w:rPr>
        <w:t xml:space="preserve">Resolving Disputes Outside Courts, </w:t>
      </w:r>
      <w:r w:rsidRPr="00330D8B">
        <w:rPr>
          <w:rFonts w:ascii="Arial" w:hAnsi="Arial" w:cs="Arial"/>
          <w:sz w:val="18"/>
          <w:szCs w:val="18"/>
        </w:rPr>
        <w:t xml:space="preserve">Monash University </w:t>
      </w:r>
    </w:p>
  </w:footnote>
  <w:footnote w:id="60">
    <w:p w:rsidR="000D1AD5" w:rsidRPr="00330D8B" w:rsidRDefault="000D1AD5" w:rsidP="00E318D5">
      <w:pPr>
        <w:spacing w:after="0" w:line="240" w:lineRule="auto"/>
        <w:rPr>
          <w:rFonts w:ascii="Arial" w:hAnsi="Arial" w:cs="Arial"/>
          <w:sz w:val="18"/>
          <w:szCs w:val="18"/>
        </w:rPr>
      </w:pPr>
      <w:r w:rsidRPr="00330D8B">
        <w:rPr>
          <w:rStyle w:val="FootnoteReference"/>
          <w:rFonts w:ascii="Arial" w:hAnsi="Arial" w:cs="Arial"/>
          <w:sz w:val="18"/>
          <w:szCs w:val="18"/>
        </w:rPr>
        <w:footnoteRef/>
      </w:r>
      <w:r w:rsidRPr="00330D8B">
        <w:rPr>
          <w:rFonts w:ascii="Arial" w:hAnsi="Arial" w:cs="Arial"/>
          <w:sz w:val="18"/>
          <w:szCs w:val="18"/>
        </w:rPr>
        <w:t xml:space="preserve"> Family Law Courts Australia </w:t>
      </w:r>
      <w:hyperlink r:id="rId4" w:history="1">
        <w:r w:rsidRPr="00330D8B">
          <w:rPr>
            <w:rStyle w:val="Hyperlink"/>
            <w:rFonts w:ascii="Arial" w:hAnsi="Arial" w:cs="Arial"/>
            <w:sz w:val="18"/>
            <w:szCs w:val="18"/>
          </w:rPr>
          <w:t>http://www.familylawcourts.gov.au/wps/wcm/connect/FLC/Home/Publications/Family+Law+Courts+publications/Compulsory+Family+Dispute+Resolution</w:t>
        </w:r>
      </w:hyperlink>
    </w:p>
    <w:p w:rsidR="000D1AD5" w:rsidRDefault="000D1AD5" w:rsidP="00C86993">
      <w:pPr>
        <w:pStyle w:val="FootnoteText"/>
      </w:pPr>
    </w:p>
  </w:footnote>
  <w:footnote w:id="61">
    <w:p w:rsidR="000D1AD5" w:rsidRPr="00D871F5" w:rsidRDefault="000D1AD5" w:rsidP="00C86993">
      <w:pPr>
        <w:spacing w:after="0" w:line="240" w:lineRule="auto"/>
        <w:rPr>
          <w:rFonts w:ascii="Arial" w:hAnsi="Arial" w:cs="Arial"/>
          <w:b/>
          <w:bCs/>
          <w:i/>
          <w:sz w:val="18"/>
          <w:szCs w:val="18"/>
        </w:rPr>
      </w:pPr>
      <w:r w:rsidRPr="00D871F5">
        <w:rPr>
          <w:rStyle w:val="FootnoteReference"/>
          <w:rFonts w:ascii="Arial" w:hAnsi="Arial" w:cs="Arial"/>
          <w:sz w:val="18"/>
          <w:szCs w:val="18"/>
        </w:rPr>
        <w:footnoteRef/>
      </w:r>
      <w:r w:rsidRPr="00D871F5">
        <w:rPr>
          <w:rFonts w:ascii="Arial" w:hAnsi="Arial" w:cs="Arial"/>
          <w:sz w:val="18"/>
          <w:szCs w:val="18"/>
        </w:rPr>
        <w:t xml:space="preserve"> </w:t>
      </w:r>
      <w:r>
        <w:rPr>
          <w:rFonts w:ascii="Arial" w:hAnsi="Arial" w:cs="Arial"/>
          <w:sz w:val="18"/>
          <w:szCs w:val="18"/>
        </w:rPr>
        <w:t>[2</w:t>
      </w:r>
      <w:r w:rsidRPr="00D871F5">
        <w:rPr>
          <w:rFonts w:ascii="Arial" w:hAnsi="Arial" w:cs="Arial"/>
          <w:sz w:val="18"/>
          <w:szCs w:val="18"/>
        </w:rPr>
        <w:t>014</w:t>
      </w:r>
      <w:r>
        <w:rPr>
          <w:rFonts w:ascii="Arial" w:hAnsi="Arial" w:cs="Arial"/>
          <w:sz w:val="18"/>
          <w:szCs w:val="18"/>
        </w:rPr>
        <w:t xml:space="preserve">] Productivity Commission, </w:t>
      </w:r>
      <w:r>
        <w:rPr>
          <w:rFonts w:ascii="Arial" w:hAnsi="Arial" w:cs="Arial"/>
          <w:i/>
          <w:sz w:val="18"/>
          <w:szCs w:val="18"/>
        </w:rPr>
        <w:t>Access to Justice Arrangements</w:t>
      </w:r>
    </w:p>
    <w:p w:rsidR="000D1AD5" w:rsidRDefault="000D1AD5" w:rsidP="00C86993">
      <w:pPr>
        <w:pStyle w:val="FootnoteText"/>
      </w:pPr>
    </w:p>
  </w:footnote>
  <w:footnote w:id="62">
    <w:p w:rsidR="00F10B96" w:rsidRDefault="00F10B96">
      <w:pPr>
        <w:pStyle w:val="FootnoteText"/>
      </w:pPr>
      <w:r>
        <w:rPr>
          <w:rStyle w:val="FootnoteReference"/>
        </w:rPr>
        <w:footnoteRef/>
      </w:r>
      <w:r>
        <w:t xml:space="preserve"> </w:t>
      </w:r>
      <w:r w:rsidRPr="0014674D">
        <w:rPr>
          <w:rFonts w:ascii="Arial" w:hAnsi="Arial" w:cs="Arial"/>
          <w:sz w:val="18"/>
          <w:szCs w:val="18"/>
        </w:rPr>
        <w:t>Fair Work Commission</w:t>
      </w:r>
      <w:r w:rsidR="0014674D">
        <w:rPr>
          <w:rFonts w:ascii="Arial" w:hAnsi="Arial" w:cs="Arial"/>
          <w:sz w:val="18"/>
          <w:szCs w:val="18"/>
        </w:rPr>
        <w:t xml:space="preserve">, </w:t>
      </w:r>
      <w:r w:rsidRPr="00F10B96">
        <w:rPr>
          <w:rFonts w:ascii="Arial" w:hAnsi="Arial" w:cs="Arial"/>
          <w:i/>
          <w:sz w:val="18"/>
          <w:szCs w:val="18"/>
        </w:rPr>
        <w:t xml:space="preserve">Annual Report 2013-14, </w:t>
      </w:r>
      <w:r w:rsidRPr="00F10B96">
        <w:rPr>
          <w:rFonts w:ascii="Arial" w:hAnsi="Arial" w:cs="Arial"/>
          <w:sz w:val="18"/>
          <w:szCs w:val="18"/>
        </w:rPr>
        <w:t>pp 39.</w:t>
      </w:r>
    </w:p>
  </w:footnote>
  <w:footnote w:id="63">
    <w:p w:rsidR="00F10B96" w:rsidRDefault="00F10B96">
      <w:pPr>
        <w:pStyle w:val="FootnoteText"/>
      </w:pPr>
      <w:r>
        <w:rPr>
          <w:rStyle w:val="FootnoteReference"/>
        </w:rPr>
        <w:footnoteRef/>
      </w:r>
      <w:r>
        <w:t xml:space="preserve"> </w:t>
      </w:r>
      <w:r w:rsidRPr="00F10B96">
        <w:rPr>
          <w:rFonts w:ascii="Arial" w:hAnsi="Arial" w:cs="Arial"/>
          <w:sz w:val="18"/>
          <w:szCs w:val="18"/>
        </w:rPr>
        <w:t>Ibid at pp 42.</w:t>
      </w:r>
    </w:p>
  </w:footnote>
  <w:footnote w:id="64">
    <w:p w:rsidR="00BE55B9" w:rsidRPr="00BE55B9" w:rsidRDefault="00BE55B9">
      <w:pPr>
        <w:pStyle w:val="FootnoteText"/>
      </w:pPr>
      <w:r>
        <w:rPr>
          <w:rStyle w:val="FootnoteReference"/>
        </w:rPr>
        <w:footnoteRef/>
      </w:r>
      <w:r>
        <w:t xml:space="preserve"> </w:t>
      </w:r>
      <w:r w:rsidRPr="00BE55B9">
        <w:rPr>
          <w:rFonts w:ascii="Arial" w:hAnsi="Arial" w:cs="Arial"/>
          <w:sz w:val="18"/>
          <w:szCs w:val="18"/>
        </w:rPr>
        <w:t>Australian Industrial Relations Commis</w:t>
      </w:r>
      <w:r w:rsidR="0014674D">
        <w:rPr>
          <w:rFonts w:ascii="Arial" w:hAnsi="Arial" w:cs="Arial"/>
          <w:sz w:val="18"/>
          <w:szCs w:val="18"/>
        </w:rPr>
        <w:t>sion,</w:t>
      </w:r>
      <w:r w:rsidRPr="00BE55B9">
        <w:rPr>
          <w:rFonts w:ascii="Arial" w:hAnsi="Arial" w:cs="Arial"/>
          <w:sz w:val="18"/>
          <w:szCs w:val="18"/>
        </w:rPr>
        <w:t xml:space="preserve"> </w:t>
      </w:r>
      <w:r w:rsidRPr="00BE55B9">
        <w:rPr>
          <w:rFonts w:ascii="Arial" w:hAnsi="Arial" w:cs="Arial"/>
          <w:i/>
          <w:sz w:val="18"/>
          <w:szCs w:val="18"/>
        </w:rPr>
        <w:t>2007-08 Annual Report</w:t>
      </w:r>
      <w:r>
        <w:rPr>
          <w:rFonts w:ascii="Arial" w:hAnsi="Arial" w:cs="Arial"/>
          <w:i/>
          <w:sz w:val="18"/>
          <w:szCs w:val="18"/>
        </w:rPr>
        <w:t xml:space="preserve">, </w:t>
      </w:r>
      <w:r>
        <w:rPr>
          <w:rFonts w:ascii="Arial" w:hAnsi="Arial" w:cs="Arial"/>
          <w:sz w:val="18"/>
          <w:szCs w:val="18"/>
        </w:rPr>
        <w:t>pp 10.</w:t>
      </w:r>
    </w:p>
  </w:footnote>
  <w:footnote w:id="65">
    <w:p w:rsidR="006A3032" w:rsidRDefault="006A3032">
      <w:pPr>
        <w:pStyle w:val="FootnoteText"/>
      </w:pPr>
      <w:r>
        <w:rPr>
          <w:rStyle w:val="FootnoteReference"/>
        </w:rPr>
        <w:footnoteRef/>
      </w:r>
      <w:r>
        <w:t xml:space="preserve"> </w:t>
      </w:r>
      <w:r w:rsidRPr="0014674D">
        <w:rPr>
          <w:rFonts w:ascii="Arial" w:hAnsi="Arial" w:cs="Arial"/>
          <w:sz w:val="18"/>
          <w:szCs w:val="18"/>
        </w:rPr>
        <w:t>Fair Work Commission</w:t>
      </w:r>
      <w:r>
        <w:rPr>
          <w:rFonts w:ascii="Arial" w:hAnsi="Arial" w:cs="Arial"/>
          <w:sz w:val="18"/>
          <w:szCs w:val="18"/>
        </w:rPr>
        <w:t xml:space="preserve">, </w:t>
      </w:r>
      <w:r w:rsidRPr="00F10B96">
        <w:rPr>
          <w:rFonts w:ascii="Arial" w:hAnsi="Arial" w:cs="Arial"/>
          <w:i/>
          <w:sz w:val="18"/>
          <w:szCs w:val="18"/>
        </w:rPr>
        <w:t xml:space="preserve">Annual Report 2013-14, </w:t>
      </w:r>
      <w:r w:rsidRPr="006A3032">
        <w:rPr>
          <w:rFonts w:ascii="Arial" w:hAnsi="Arial" w:cs="Arial"/>
          <w:sz w:val="18"/>
          <w:szCs w:val="18"/>
        </w:rPr>
        <w:t>pp 40.</w:t>
      </w:r>
    </w:p>
  </w:footnote>
  <w:footnote w:id="66">
    <w:p w:rsidR="00FD58D2" w:rsidRDefault="00FD58D2">
      <w:pPr>
        <w:pStyle w:val="FootnoteText"/>
      </w:pPr>
      <w:r>
        <w:rPr>
          <w:rStyle w:val="FootnoteReference"/>
        </w:rPr>
        <w:footnoteRef/>
      </w:r>
      <w:r>
        <w:t xml:space="preserve"> </w:t>
      </w:r>
      <w:r w:rsidRPr="00FD58D2">
        <w:rPr>
          <w:rFonts w:ascii="Arial" w:hAnsi="Arial" w:cs="Arial"/>
          <w:sz w:val="18"/>
          <w:szCs w:val="18"/>
        </w:rPr>
        <w:t>[2015] FCCA 345.</w:t>
      </w:r>
    </w:p>
  </w:footnote>
  <w:footnote w:id="67">
    <w:p w:rsidR="00FD58D2" w:rsidRDefault="00FD58D2">
      <w:pPr>
        <w:pStyle w:val="FootnoteText"/>
      </w:pPr>
      <w:r>
        <w:rPr>
          <w:rStyle w:val="FootnoteReference"/>
        </w:rPr>
        <w:footnoteRef/>
      </w:r>
      <w:r>
        <w:t xml:space="preserve"> </w:t>
      </w:r>
      <w:r w:rsidRPr="00FD58D2">
        <w:rPr>
          <w:rFonts w:ascii="Arial" w:hAnsi="Arial" w:cs="Arial"/>
          <w:sz w:val="18"/>
          <w:szCs w:val="18"/>
        </w:rPr>
        <w:t>Ibid at [104].</w:t>
      </w:r>
    </w:p>
  </w:footnote>
  <w:footnote w:id="68">
    <w:p w:rsidR="00F75667" w:rsidRDefault="00F75667">
      <w:pPr>
        <w:pStyle w:val="FootnoteText"/>
      </w:pPr>
      <w:r>
        <w:rPr>
          <w:rStyle w:val="FootnoteReference"/>
        </w:rPr>
        <w:footnoteRef/>
      </w:r>
      <w:r>
        <w:t xml:space="preserve"> </w:t>
      </w:r>
      <w:r w:rsidRPr="00F75667">
        <w:rPr>
          <w:rFonts w:ascii="Arial" w:hAnsi="Arial" w:cs="Arial"/>
          <w:sz w:val="18"/>
          <w:szCs w:val="18"/>
        </w:rPr>
        <w:t>[2014] FCCA 2464.</w:t>
      </w:r>
    </w:p>
  </w:footnote>
  <w:footnote w:id="69">
    <w:p w:rsidR="00F75667" w:rsidRDefault="00F75667">
      <w:pPr>
        <w:pStyle w:val="FootnoteText"/>
      </w:pPr>
      <w:r>
        <w:rPr>
          <w:rStyle w:val="FootnoteReference"/>
        </w:rPr>
        <w:footnoteRef/>
      </w:r>
      <w:r>
        <w:t xml:space="preserve"> </w:t>
      </w:r>
      <w:r w:rsidRPr="00F75667">
        <w:rPr>
          <w:rFonts w:ascii="Arial" w:hAnsi="Arial" w:cs="Arial"/>
          <w:sz w:val="18"/>
          <w:szCs w:val="18"/>
        </w:rPr>
        <w:t>Ibid at [61].</w:t>
      </w:r>
    </w:p>
  </w:footnote>
  <w:footnote w:id="70">
    <w:p w:rsidR="00D25372" w:rsidRDefault="00D25372">
      <w:pPr>
        <w:pStyle w:val="FootnoteText"/>
      </w:pPr>
      <w:r>
        <w:rPr>
          <w:rStyle w:val="FootnoteReference"/>
        </w:rPr>
        <w:footnoteRef/>
      </w:r>
      <w:r>
        <w:t xml:space="preserve"> </w:t>
      </w:r>
      <w:r w:rsidRPr="00D25372">
        <w:rPr>
          <w:rFonts w:ascii="Arial" w:hAnsi="Arial" w:cs="Arial"/>
          <w:sz w:val="18"/>
          <w:szCs w:val="18"/>
        </w:rPr>
        <w:t>[2014] FCA 271.</w:t>
      </w:r>
    </w:p>
  </w:footnote>
  <w:footnote w:id="71">
    <w:p w:rsidR="000A350A" w:rsidRPr="000A350A" w:rsidRDefault="000A350A">
      <w:pPr>
        <w:pStyle w:val="FootnoteText"/>
        <w:rPr>
          <w:rFonts w:ascii="Arial" w:hAnsi="Arial" w:cs="Arial"/>
          <w:sz w:val="18"/>
          <w:szCs w:val="18"/>
        </w:rPr>
      </w:pPr>
      <w:r w:rsidRPr="000A350A">
        <w:rPr>
          <w:rStyle w:val="FootnoteReference"/>
          <w:rFonts w:ascii="Arial" w:hAnsi="Arial" w:cs="Arial"/>
          <w:sz w:val="18"/>
          <w:szCs w:val="18"/>
        </w:rPr>
        <w:footnoteRef/>
      </w:r>
      <w:r w:rsidRPr="000A350A">
        <w:rPr>
          <w:rFonts w:ascii="Arial" w:hAnsi="Arial" w:cs="Arial"/>
          <w:sz w:val="18"/>
          <w:szCs w:val="18"/>
        </w:rPr>
        <w:t xml:space="preserve"> [2014] FCAFC 167.</w:t>
      </w:r>
    </w:p>
  </w:footnote>
  <w:footnote w:id="72">
    <w:p w:rsidR="000A350A" w:rsidRPr="000A350A" w:rsidRDefault="000A350A">
      <w:pPr>
        <w:pStyle w:val="FootnoteText"/>
        <w:rPr>
          <w:rFonts w:ascii="Arial" w:hAnsi="Arial" w:cs="Arial"/>
          <w:sz w:val="18"/>
          <w:szCs w:val="18"/>
        </w:rPr>
      </w:pPr>
      <w:r>
        <w:rPr>
          <w:rStyle w:val="FootnoteReference"/>
        </w:rPr>
        <w:footnoteRef/>
      </w:r>
      <w:r>
        <w:t xml:space="preserve"> </w:t>
      </w:r>
      <w:r w:rsidRPr="000A350A">
        <w:rPr>
          <w:rFonts w:ascii="Arial" w:hAnsi="Arial" w:cs="Arial"/>
          <w:sz w:val="18"/>
          <w:szCs w:val="18"/>
        </w:rPr>
        <w:t>Ibid at [13].</w:t>
      </w:r>
    </w:p>
  </w:footnote>
  <w:footnote w:id="73">
    <w:p w:rsidR="000A350A" w:rsidRDefault="000A350A">
      <w:pPr>
        <w:pStyle w:val="FootnoteText"/>
      </w:pPr>
      <w:r>
        <w:rPr>
          <w:rStyle w:val="FootnoteReference"/>
        </w:rPr>
        <w:footnoteRef/>
      </w:r>
      <w:r>
        <w:t xml:space="preserve"> </w:t>
      </w:r>
      <w:r w:rsidRPr="000A350A">
        <w:rPr>
          <w:rFonts w:ascii="Arial" w:hAnsi="Arial" w:cs="Arial"/>
          <w:sz w:val="18"/>
          <w:szCs w:val="18"/>
        </w:rPr>
        <w:t>Ibid at [15].</w:t>
      </w:r>
    </w:p>
  </w:footnote>
  <w:footnote w:id="74">
    <w:p w:rsidR="00065A77" w:rsidRDefault="00065A77">
      <w:pPr>
        <w:pStyle w:val="FootnoteText"/>
      </w:pPr>
      <w:r>
        <w:rPr>
          <w:rStyle w:val="FootnoteReference"/>
        </w:rPr>
        <w:footnoteRef/>
      </w:r>
      <w:r>
        <w:t xml:space="preserve"> </w:t>
      </w:r>
      <w:r w:rsidRPr="00065A77">
        <w:rPr>
          <w:rFonts w:ascii="Arial" w:hAnsi="Arial" w:cs="Arial"/>
          <w:i/>
          <w:sz w:val="18"/>
          <w:szCs w:val="18"/>
        </w:rPr>
        <w:t>Shea v TRUenergy Services Pty Ltd (No 6</w:t>
      </w:r>
      <w:r w:rsidRPr="00065A77">
        <w:rPr>
          <w:rFonts w:ascii="Arial" w:hAnsi="Arial" w:cs="Arial"/>
          <w:i/>
        </w:rPr>
        <w:t>)</w:t>
      </w:r>
      <w:r>
        <w:rPr>
          <w:rFonts w:ascii="Arial" w:hAnsi="Arial" w:cs="Arial"/>
          <w:i/>
        </w:rPr>
        <w:t xml:space="preserve"> </w:t>
      </w:r>
      <w:r w:rsidR="00EE11AA" w:rsidRPr="00D25372">
        <w:rPr>
          <w:rFonts w:ascii="Arial" w:hAnsi="Arial" w:cs="Arial"/>
          <w:sz w:val="18"/>
          <w:szCs w:val="18"/>
        </w:rPr>
        <w:t>[2014] FCA 271</w:t>
      </w:r>
      <w:r w:rsidR="00EE11AA">
        <w:rPr>
          <w:rFonts w:ascii="Arial" w:hAnsi="Arial" w:cs="Arial"/>
          <w:sz w:val="18"/>
          <w:szCs w:val="18"/>
        </w:rPr>
        <w:t xml:space="preserve"> </w:t>
      </w:r>
      <w:r w:rsidRPr="00065A77">
        <w:rPr>
          <w:rFonts w:ascii="Arial" w:hAnsi="Arial" w:cs="Arial"/>
          <w:sz w:val="18"/>
          <w:szCs w:val="18"/>
        </w:rPr>
        <w:t>at [29].</w:t>
      </w:r>
    </w:p>
  </w:footnote>
  <w:footnote w:id="75">
    <w:p w:rsidR="0017628D" w:rsidRDefault="0017628D">
      <w:pPr>
        <w:pStyle w:val="FootnoteText"/>
      </w:pPr>
      <w:r>
        <w:rPr>
          <w:rStyle w:val="FootnoteReference"/>
        </w:rPr>
        <w:footnoteRef/>
      </w:r>
      <w:r>
        <w:t xml:space="preserve"> </w:t>
      </w:r>
      <w:r w:rsidRPr="0017628D">
        <w:rPr>
          <w:rFonts w:ascii="Arial" w:hAnsi="Arial" w:cs="Arial"/>
          <w:sz w:val="18"/>
          <w:szCs w:val="18"/>
        </w:rPr>
        <w:t>Ibid at [622]-[624].</w:t>
      </w:r>
    </w:p>
  </w:footnote>
  <w:footnote w:id="76">
    <w:p w:rsidR="0017628D" w:rsidRPr="0017628D" w:rsidRDefault="0017628D">
      <w:pPr>
        <w:pStyle w:val="FootnoteText"/>
        <w:rPr>
          <w:rFonts w:ascii="Arial" w:hAnsi="Arial" w:cs="Arial"/>
          <w:sz w:val="18"/>
          <w:szCs w:val="18"/>
        </w:rPr>
      </w:pPr>
      <w:r w:rsidRPr="0017628D">
        <w:rPr>
          <w:rStyle w:val="FootnoteReference"/>
          <w:rFonts w:ascii="Arial" w:hAnsi="Arial" w:cs="Arial"/>
          <w:sz w:val="18"/>
          <w:szCs w:val="18"/>
        </w:rPr>
        <w:footnoteRef/>
      </w:r>
      <w:r w:rsidRPr="0017628D">
        <w:rPr>
          <w:rFonts w:ascii="Arial" w:hAnsi="Arial" w:cs="Arial"/>
          <w:sz w:val="18"/>
          <w:szCs w:val="18"/>
        </w:rPr>
        <w:t xml:space="preserve"> Ibid at [627].</w:t>
      </w:r>
    </w:p>
  </w:footnote>
  <w:footnote w:id="77">
    <w:p w:rsidR="00EE11AA" w:rsidRDefault="00EE11AA">
      <w:pPr>
        <w:pStyle w:val="FootnoteText"/>
      </w:pPr>
      <w:r>
        <w:rPr>
          <w:rStyle w:val="FootnoteReference"/>
        </w:rPr>
        <w:footnoteRef/>
      </w:r>
      <w:r>
        <w:t xml:space="preserve"> </w:t>
      </w:r>
      <w:r w:rsidRPr="00EE11AA">
        <w:rPr>
          <w:rFonts w:ascii="Arial" w:hAnsi="Arial" w:cs="Arial"/>
          <w:i/>
          <w:sz w:val="18"/>
          <w:szCs w:val="18"/>
        </w:rPr>
        <w:t xml:space="preserve">Shea v TRUenergy Services Pty Ltd (No 6) </w:t>
      </w:r>
      <w:r w:rsidRPr="00EE11AA">
        <w:rPr>
          <w:rFonts w:ascii="Arial" w:hAnsi="Arial" w:cs="Arial"/>
          <w:sz w:val="18"/>
          <w:szCs w:val="18"/>
        </w:rPr>
        <w:t xml:space="preserve">[2014] FCA 271 </w:t>
      </w:r>
      <w:r w:rsidRPr="00EE11AA">
        <w:rPr>
          <w:rFonts w:ascii="Arial" w:hAnsi="Arial" w:cs="Arial"/>
          <w:color w:val="000000"/>
          <w:sz w:val="18"/>
          <w:szCs w:val="18"/>
        </w:rPr>
        <w:t>at [29].</w:t>
      </w:r>
    </w:p>
  </w:footnote>
  <w:footnote w:id="78">
    <w:p w:rsidR="00EE11AA" w:rsidRDefault="00EE11AA">
      <w:pPr>
        <w:pStyle w:val="FootnoteText"/>
      </w:pPr>
      <w:r>
        <w:rPr>
          <w:rStyle w:val="FootnoteReference"/>
        </w:rPr>
        <w:footnoteRef/>
      </w:r>
      <w:r>
        <w:t xml:space="preserve"> </w:t>
      </w:r>
      <w:r w:rsidRPr="00EE11AA">
        <w:rPr>
          <w:rFonts w:ascii="Arial" w:hAnsi="Arial" w:cs="Arial"/>
          <w:sz w:val="18"/>
          <w:szCs w:val="18"/>
        </w:rPr>
        <w:t>Ibid at [627].</w:t>
      </w:r>
    </w:p>
  </w:footnote>
  <w:footnote w:id="79">
    <w:p w:rsidR="00EE11AA" w:rsidRDefault="00EE11AA">
      <w:pPr>
        <w:pStyle w:val="FootnoteText"/>
      </w:pPr>
      <w:r>
        <w:rPr>
          <w:rStyle w:val="FootnoteReference"/>
        </w:rPr>
        <w:footnoteRef/>
      </w:r>
      <w:r>
        <w:t xml:space="preserve"> </w:t>
      </w:r>
      <w:r w:rsidRPr="00EE11AA">
        <w:rPr>
          <w:rFonts w:ascii="Arial" w:hAnsi="Arial" w:cs="Arial"/>
          <w:color w:val="000000"/>
          <w:sz w:val="18"/>
          <w:szCs w:val="18"/>
        </w:rPr>
        <w:t>[2011] FWAFB 975.</w:t>
      </w:r>
    </w:p>
  </w:footnote>
  <w:footnote w:id="80">
    <w:p w:rsidR="00EE11AA" w:rsidRDefault="00EE11AA">
      <w:pPr>
        <w:pStyle w:val="FootnoteText"/>
      </w:pPr>
      <w:r>
        <w:rPr>
          <w:rStyle w:val="FootnoteReference"/>
        </w:rPr>
        <w:footnoteRef/>
      </w:r>
      <w:r>
        <w:t xml:space="preserve"> </w:t>
      </w:r>
      <w:r w:rsidRPr="00EE11AA">
        <w:rPr>
          <w:rFonts w:ascii="Arial" w:hAnsi="Arial" w:cs="Arial"/>
          <w:sz w:val="18"/>
          <w:szCs w:val="18"/>
        </w:rPr>
        <w:t>Ibid at [49].</w:t>
      </w:r>
    </w:p>
  </w:footnote>
  <w:footnote w:id="81">
    <w:p w:rsidR="00AD3202" w:rsidRDefault="00AD3202">
      <w:pPr>
        <w:pStyle w:val="FootnoteText"/>
      </w:pPr>
      <w:r>
        <w:rPr>
          <w:rStyle w:val="FootnoteReference"/>
        </w:rPr>
        <w:footnoteRef/>
      </w:r>
      <w:r>
        <w:t xml:space="preserve"> </w:t>
      </w:r>
      <w:r w:rsidRPr="00AD3202">
        <w:rPr>
          <w:rFonts w:ascii="Arial" w:hAnsi="Arial" w:cs="Arial"/>
          <w:sz w:val="18"/>
          <w:szCs w:val="18"/>
        </w:rPr>
        <w:t>[2014] FCA 456.</w:t>
      </w:r>
    </w:p>
  </w:footnote>
  <w:footnote w:id="82">
    <w:p w:rsidR="00AD3202" w:rsidRDefault="00AD3202">
      <w:pPr>
        <w:pStyle w:val="FootnoteText"/>
      </w:pPr>
      <w:r>
        <w:rPr>
          <w:rStyle w:val="FootnoteReference"/>
        </w:rPr>
        <w:footnoteRef/>
      </w:r>
      <w:r w:rsidRPr="00AD3202">
        <w:rPr>
          <w:sz w:val="18"/>
          <w:szCs w:val="18"/>
        </w:rPr>
        <w:t xml:space="preserve"> </w:t>
      </w:r>
      <w:r w:rsidRPr="00AD3202">
        <w:rPr>
          <w:rFonts w:ascii="Arial" w:hAnsi="Arial" w:cs="Arial"/>
          <w:sz w:val="18"/>
          <w:szCs w:val="18"/>
        </w:rPr>
        <w:t>[2014] FCCA 613.</w:t>
      </w:r>
    </w:p>
  </w:footnote>
  <w:footnote w:id="83">
    <w:p w:rsidR="00AD3202" w:rsidRDefault="00AD3202">
      <w:pPr>
        <w:pStyle w:val="FootnoteText"/>
      </w:pPr>
      <w:r>
        <w:rPr>
          <w:rStyle w:val="FootnoteReference"/>
        </w:rPr>
        <w:footnoteRef/>
      </w:r>
      <w:r>
        <w:t xml:space="preserve"> </w:t>
      </w:r>
      <w:r w:rsidRPr="00AD3202">
        <w:rPr>
          <w:rFonts w:ascii="Arial" w:hAnsi="Arial" w:cs="Arial"/>
          <w:sz w:val="18"/>
          <w:szCs w:val="18"/>
        </w:rPr>
        <w:t>Ibid at [55].</w:t>
      </w:r>
    </w:p>
  </w:footnote>
  <w:footnote w:id="84">
    <w:p w:rsidR="00AD3202" w:rsidRDefault="00AD3202">
      <w:pPr>
        <w:pStyle w:val="FootnoteText"/>
      </w:pPr>
      <w:r>
        <w:rPr>
          <w:rStyle w:val="FootnoteReference"/>
        </w:rPr>
        <w:footnoteRef/>
      </w:r>
      <w:r>
        <w:t xml:space="preserve"> </w:t>
      </w:r>
      <w:r w:rsidRPr="00AD3202">
        <w:rPr>
          <w:rFonts w:ascii="Arial" w:hAnsi="Arial" w:cs="Arial"/>
          <w:i/>
          <w:sz w:val="18"/>
          <w:szCs w:val="18"/>
        </w:rPr>
        <w:t>Walsh v Greater Metropolitan Cemeteries Trust (No 2)</w:t>
      </w:r>
      <w:r w:rsidRPr="00AD3202">
        <w:rPr>
          <w:rFonts w:ascii="Arial" w:hAnsi="Arial" w:cs="Arial"/>
          <w:sz w:val="18"/>
          <w:szCs w:val="18"/>
        </w:rPr>
        <w:t xml:space="preserve"> [2014] FCA 456 at [44].</w:t>
      </w:r>
    </w:p>
  </w:footnote>
  <w:footnote w:id="85">
    <w:p w:rsidR="00D30808" w:rsidRDefault="00D30808">
      <w:pPr>
        <w:pStyle w:val="FootnoteText"/>
      </w:pPr>
      <w:r>
        <w:rPr>
          <w:rStyle w:val="FootnoteReference"/>
        </w:rPr>
        <w:footnoteRef/>
      </w:r>
      <w:r>
        <w:t xml:space="preserve"> </w:t>
      </w:r>
      <w:r w:rsidRPr="00D30808">
        <w:rPr>
          <w:rFonts w:ascii="Arial" w:hAnsi="Arial" w:cs="Arial"/>
          <w:i/>
          <w:sz w:val="18"/>
          <w:szCs w:val="18"/>
        </w:rPr>
        <w:t xml:space="preserve">Evans v Trilab Pty Ltd </w:t>
      </w:r>
      <w:r w:rsidRPr="00D30808">
        <w:rPr>
          <w:rFonts w:ascii="Arial" w:hAnsi="Arial" w:cs="Arial"/>
          <w:sz w:val="18"/>
          <w:szCs w:val="18"/>
        </w:rPr>
        <w:t>[2014] FCCA 2464</w:t>
      </w:r>
      <w:r>
        <w:rPr>
          <w:rFonts w:ascii="Arial" w:hAnsi="Arial" w:cs="Arial"/>
          <w:i/>
          <w:sz w:val="18"/>
          <w:szCs w:val="18"/>
        </w:rPr>
        <w:t xml:space="preserve"> </w:t>
      </w:r>
      <w:r w:rsidRPr="00D30808">
        <w:rPr>
          <w:rFonts w:ascii="Arial" w:hAnsi="Arial" w:cs="Arial"/>
          <w:sz w:val="18"/>
          <w:szCs w:val="18"/>
        </w:rPr>
        <w:t>at [59].</w:t>
      </w:r>
    </w:p>
  </w:footnote>
  <w:footnote w:id="86">
    <w:p w:rsidR="001C6F65" w:rsidRDefault="001C6F65">
      <w:pPr>
        <w:pStyle w:val="FootnoteText"/>
      </w:pPr>
      <w:r>
        <w:rPr>
          <w:rStyle w:val="FootnoteReference"/>
        </w:rPr>
        <w:footnoteRef/>
      </w:r>
      <w:r>
        <w:t xml:space="preserve"> </w:t>
      </w:r>
      <w:r>
        <w:rPr>
          <w:rFonts w:ascii="Arial" w:hAnsi="Arial" w:cs="Arial"/>
          <w:sz w:val="18"/>
          <w:szCs w:val="18"/>
        </w:rPr>
        <w:t>[2012] FCA 697</w:t>
      </w:r>
    </w:p>
  </w:footnote>
  <w:footnote w:id="87">
    <w:p w:rsidR="001C6F65" w:rsidRDefault="001C6F65">
      <w:pPr>
        <w:pStyle w:val="FootnoteText"/>
      </w:pPr>
      <w:r>
        <w:rPr>
          <w:rStyle w:val="FootnoteReference"/>
        </w:rPr>
        <w:footnoteRef/>
      </w:r>
      <w:r>
        <w:t xml:space="preserve"> </w:t>
      </w:r>
      <w:r w:rsidRPr="001C6F65">
        <w:rPr>
          <w:rFonts w:ascii="Arial" w:hAnsi="Arial" w:cs="Arial"/>
          <w:sz w:val="18"/>
          <w:szCs w:val="18"/>
        </w:rPr>
        <w:t>Ibid at [64].</w:t>
      </w:r>
    </w:p>
  </w:footnote>
  <w:footnote w:id="88">
    <w:p w:rsidR="00446A47" w:rsidRDefault="00446A47">
      <w:pPr>
        <w:pStyle w:val="FootnoteText"/>
      </w:pPr>
      <w:r>
        <w:rPr>
          <w:rStyle w:val="FootnoteReference"/>
        </w:rPr>
        <w:footnoteRef/>
      </w:r>
      <w:r>
        <w:t xml:space="preserve"> </w:t>
      </w:r>
      <w:r w:rsidRPr="00446A47">
        <w:rPr>
          <w:rFonts w:ascii="Arial" w:hAnsi="Arial" w:cs="Arial"/>
          <w:sz w:val="18"/>
          <w:szCs w:val="18"/>
        </w:rPr>
        <w:t>[2013] FMCA 149</w:t>
      </w:r>
      <w:r>
        <w:rPr>
          <w:rFonts w:ascii="Arial" w:hAnsi="Arial" w:cs="Arial"/>
          <w:sz w:val="18"/>
          <w:szCs w:val="18"/>
        </w:rPr>
        <w:t xml:space="preserve">; cited in </w:t>
      </w:r>
      <w:r w:rsidRPr="00446A47">
        <w:rPr>
          <w:rFonts w:ascii="Arial" w:hAnsi="Arial" w:cs="Arial"/>
          <w:i/>
          <w:sz w:val="18"/>
          <w:szCs w:val="18"/>
        </w:rPr>
        <w:t>Evans v Trilab Pty Ltd</w:t>
      </w:r>
      <w:r>
        <w:rPr>
          <w:rFonts w:ascii="Arial" w:hAnsi="Arial" w:cs="Arial"/>
          <w:sz w:val="18"/>
          <w:szCs w:val="18"/>
        </w:rPr>
        <w:t xml:space="preserve"> [2014] FCCA 2464 at [17].</w:t>
      </w:r>
    </w:p>
  </w:footnote>
  <w:footnote w:id="89">
    <w:p w:rsidR="00446A47" w:rsidRPr="00446A47" w:rsidRDefault="00446A47">
      <w:pPr>
        <w:pStyle w:val="FootnoteText"/>
        <w:rPr>
          <w:rFonts w:ascii="Arial" w:hAnsi="Arial" w:cs="Arial"/>
          <w:sz w:val="18"/>
          <w:szCs w:val="18"/>
        </w:rPr>
      </w:pPr>
      <w:r>
        <w:rPr>
          <w:rStyle w:val="FootnoteReference"/>
        </w:rPr>
        <w:footnoteRef/>
      </w:r>
      <w:r>
        <w:t xml:space="preserve"> </w:t>
      </w:r>
      <w:r w:rsidRPr="00446A47">
        <w:rPr>
          <w:rFonts w:ascii="Arial" w:hAnsi="Arial" w:cs="Arial"/>
          <w:i/>
          <w:sz w:val="18"/>
          <w:szCs w:val="18"/>
        </w:rPr>
        <w:t xml:space="preserve">Bartolo v Doutta Galla Aged Services Ltd (No. 2) </w:t>
      </w:r>
      <w:r w:rsidRPr="00446A47">
        <w:rPr>
          <w:rFonts w:ascii="Arial" w:hAnsi="Arial" w:cs="Arial"/>
          <w:sz w:val="18"/>
          <w:szCs w:val="18"/>
        </w:rPr>
        <w:t>[2015] FCCA 345 at [111]-[112].</w:t>
      </w:r>
    </w:p>
  </w:footnote>
  <w:footnote w:id="90">
    <w:p w:rsidR="004779C2" w:rsidRDefault="004779C2">
      <w:pPr>
        <w:pStyle w:val="FootnoteText"/>
      </w:pPr>
      <w:r>
        <w:rPr>
          <w:rStyle w:val="FootnoteReference"/>
        </w:rPr>
        <w:footnoteRef/>
      </w:r>
      <w:r>
        <w:t xml:space="preserve"> </w:t>
      </w:r>
      <w:r w:rsidRPr="004779C2">
        <w:rPr>
          <w:rFonts w:ascii="Arial" w:hAnsi="Arial" w:cs="Arial"/>
          <w:sz w:val="18"/>
          <w:szCs w:val="18"/>
        </w:rPr>
        <w:t>[2013] FCA 908.</w:t>
      </w:r>
    </w:p>
  </w:footnote>
  <w:footnote w:id="91">
    <w:p w:rsidR="004779C2" w:rsidRDefault="004779C2">
      <w:pPr>
        <w:pStyle w:val="FootnoteText"/>
      </w:pPr>
      <w:r>
        <w:rPr>
          <w:rStyle w:val="FootnoteReference"/>
        </w:rPr>
        <w:footnoteRef/>
      </w:r>
      <w:r>
        <w:t xml:space="preserve"> </w:t>
      </w:r>
      <w:r w:rsidRPr="004779C2">
        <w:rPr>
          <w:rFonts w:ascii="Arial" w:hAnsi="Arial" w:cs="Arial"/>
          <w:sz w:val="18"/>
          <w:szCs w:val="18"/>
        </w:rPr>
        <w:t>Ibid at [143].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D5" w:rsidRDefault="000D1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20A"/>
    <w:multiLevelType w:val="hybridMultilevel"/>
    <w:tmpl w:val="D5B6212C"/>
    <w:lvl w:ilvl="0" w:tplc="F2A8D87C">
      <w:start w:val="1"/>
      <w:numFmt w:val="bullet"/>
      <w:lvlText w:val=""/>
      <w:lvlJc w:val="left"/>
      <w:pPr>
        <w:tabs>
          <w:tab w:val="num" w:pos="720"/>
        </w:tabs>
        <w:ind w:left="720" w:hanging="360"/>
      </w:pPr>
      <w:rPr>
        <w:rFonts w:ascii="Wingdings" w:hAnsi="Wingdings" w:hint="default"/>
      </w:rPr>
    </w:lvl>
    <w:lvl w:ilvl="1" w:tplc="CE2273BA">
      <w:start w:val="1"/>
      <w:numFmt w:val="bullet"/>
      <w:lvlText w:val=""/>
      <w:lvlJc w:val="left"/>
      <w:pPr>
        <w:tabs>
          <w:tab w:val="num" w:pos="1440"/>
        </w:tabs>
        <w:ind w:left="1440" w:hanging="360"/>
      </w:pPr>
      <w:rPr>
        <w:rFonts w:ascii="Wingdings" w:hAnsi="Wingdings" w:hint="default"/>
      </w:rPr>
    </w:lvl>
    <w:lvl w:ilvl="2" w:tplc="460242D2" w:tentative="1">
      <w:start w:val="1"/>
      <w:numFmt w:val="bullet"/>
      <w:lvlText w:val=""/>
      <w:lvlJc w:val="left"/>
      <w:pPr>
        <w:tabs>
          <w:tab w:val="num" w:pos="2160"/>
        </w:tabs>
        <w:ind w:left="2160" w:hanging="360"/>
      </w:pPr>
      <w:rPr>
        <w:rFonts w:ascii="Wingdings" w:hAnsi="Wingdings" w:hint="default"/>
      </w:rPr>
    </w:lvl>
    <w:lvl w:ilvl="3" w:tplc="BF4AFEC0" w:tentative="1">
      <w:start w:val="1"/>
      <w:numFmt w:val="bullet"/>
      <w:lvlText w:val=""/>
      <w:lvlJc w:val="left"/>
      <w:pPr>
        <w:tabs>
          <w:tab w:val="num" w:pos="2880"/>
        </w:tabs>
        <w:ind w:left="2880" w:hanging="360"/>
      </w:pPr>
      <w:rPr>
        <w:rFonts w:ascii="Wingdings" w:hAnsi="Wingdings" w:hint="default"/>
      </w:rPr>
    </w:lvl>
    <w:lvl w:ilvl="4" w:tplc="CDC0C01A" w:tentative="1">
      <w:start w:val="1"/>
      <w:numFmt w:val="bullet"/>
      <w:lvlText w:val=""/>
      <w:lvlJc w:val="left"/>
      <w:pPr>
        <w:tabs>
          <w:tab w:val="num" w:pos="3600"/>
        </w:tabs>
        <w:ind w:left="3600" w:hanging="360"/>
      </w:pPr>
      <w:rPr>
        <w:rFonts w:ascii="Wingdings" w:hAnsi="Wingdings" w:hint="default"/>
      </w:rPr>
    </w:lvl>
    <w:lvl w:ilvl="5" w:tplc="33940562" w:tentative="1">
      <w:start w:val="1"/>
      <w:numFmt w:val="bullet"/>
      <w:lvlText w:val=""/>
      <w:lvlJc w:val="left"/>
      <w:pPr>
        <w:tabs>
          <w:tab w:val="num" w:pos="4320"/>
        </w:tabs>
        <w:ind w:left="4320" w:hanging="360"/>
      </w:pPr>
      <w:rPr>
        <w:rFonts w:ascii="Wingdings" w:hAnsi="Wingdings" w:hint="default"/>
      </w:rPr>
    </w:lvl>
    <w:lvl w:ilvl="6" w:tplc="E6BA2A42" w:tentative="1">
      <w:start w:val="1"/>
      <w:numFmt w:val="bullet"/>
      <w:lvlText w:val=""/>
      <w:lvlJc w:val="left"/>
      <w:pPr>
        <w:tabs>
          <w:tab w:val="num" w:pos="5040"/>
        </w:tabs>
        <w:ind w:left="5040" w:hanging="360"/>
      </w:pPr>
      <w:rPr>
        <w:rFonts w:ascii="Wingdings" w:hAnsi="Wingdings" w:hint="default"/>
      </w:rPr>
    </w:lvl>
    <w:lvl w:ilvl="7" w:tplc="96EC444A" w:tentative="1">
      <w:start w:val="1"/>
      <w:numFmt w:val="bullet"/>
      <w:lvlText w:val=""/>
      <w:lvlJc w:val="left"/>
      <w:pPr>
        <w:tabs>
          <w:tab w:val="num" w:pos="5760"/>
        </w:tabs>
        <w:ind w:left="5760" w:hanging="360"/>
      </w:pPr>
      <w:rPr>
        <w:rFonts w:ascii="Wingdings" w:hAnsi="Wingdings" w:hint="default"/>
      </w:rPr>
    </w:lvl>
    <w:lvl w:ilvl="8" w:tplc="29BA4E90" w:tentative="1">
      <w:start w:val="1"/>
      <w:numFmt w:val="bullet"/>
      <w:lvlText w:val=""/>
      <w:lvlJc w:val="left"/>
      <w:pPr>
        <w:tabs>
          <w:tab w:val="num" w:pos="6480"/>
        </w:tabs>
        <w:ind w:left="6480" w:hanging="360"/>
      </w:pPr>
      <w:rPr>
        <w:rFonts w:ascii="Wingdings" w:hAnsi="Wingdings" w:hint="default"/>
      </w:rPr>
    </w:lvl>
  </w:abstractNum>
  <w:abstractNum w:abstractNumId="1">
    <w:nsid w:val="01A13752"/>
    <w:multiLevelType w:val="hybridMultilevel"/>
    <w:tmpl w:val="0396DA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163C7B"/>
    <w:multiLevelType w:val="hybridMultilevel"/>
    <w:tmpl w:val="8C46F622"/>
    <w:lvl w:ilvl="0" w:tplc="D3EA302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AE43A3"/>
    <w:multiLevelType w:val="hybridMultilevel"/>
    <w:tmpl w:val="2F1CCADC"/>
    <w:lvl w:ilvl="0" w:tplc="C0AC29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E8406F2"/>
    <w:multiLevelType w:val="hybridMultilevel"/>
    <w:tmpl w:val="52225D34"/>
    <w:lvl w:ilvl="0" w:tplc="172A022E">
      <w:start w:val="1"/>
      <w:numFmt w:val="bullet"/>
      <w:lvlText w:val=""/>
      <w:lvlJc w:val="left"/>
      <w:pPr>
        <w:tabs>
          <w:tab w:val="num" w:pos="720"/>
        </w:tabs>
        <w:ind w:left="720" w:hanging="360"/>
      </w:pPr>
      <w:rPr>
        <w:rFonts w:ascii="Wingdings" w:hAnsi="Wingdings" w:hint="default"/>
      </w:rPr>
    </w:lvl>
    <w:lvl w:ilvl="1" w:tplc="185851E0" w:tentative="1">
      <w:start w:val="1"/>
      <w:numFmt w:val="bullet"/>
      <w:lvlText w:val=""/>
      <w:lvlJc w:val="left"/>
      <w:pPr>
        <w:tabs>
          <w:tab w:val="num" w:pos="1440"/>
        </w:tabs>
        <w:ind w:left="1440" w:hanging="360"/>
      </w:pPr>
      <w:rPr>
        <w:rFonts w:ascii="Wingdings" w:hAnsi="Wingdings" w:hint="default"/>
      </w:rPr>
    </w:lvl>
    <w:lvl w:ilvl="2" w:tplc="90105720">
      <w:start w:val="1"/>
      <w:numFmt w:val="bullet"/>
      <w:lvlText w:val=""/>
      <w:lvlJc w:val="left"/>
      <w:pPr>
        <w:tabs>
          <w:tab w:val="num" w:pos="2160"/>
        </w:tabs>
        <w:ind w:left="2160" w:hanging="360"/>
      </w:pPr>
      <w:rPr>
        <w:rFonts w:ascii="Wingdings" w:hAnsi="Wingdings" w:hint="default"/>
      </w:rPr>
    </w:lvl>
    <w:lvl w:ilvl="3" w:tplc="D0282918" w:tentative="1">
      <w:start w:val="1"/>
      <w:numFmt w:val="bullet"/>
      <w:lvlText w:val=""/>
      <w:lvlJc w:val="left"/>
      <w:pPr>
        <w:tabs>
          <w:tab w:val="num" w:pos="2880"/>
        </w:tabs>
        <w:ind w:left="2880" w:hanging="360"/>
      </w:pPr>
      <w:rPr>
        <w:rFonts w:ascii="Wingdings" w:hAnsi="Wingdings" w:hint="default"/>
      </w:rPr>
    </w:lvl>
    <w:lvl w:ilvl="4" w:tplc="C70EDBE0" w:tentative="1">
      <w:start w:val="1"/>
      <w:numFmt w:val="bullet"/>
      <w:lvlText w:val=""/>
      <w:lvlJc w:val="left"/>
      <w:pPr>
        <w:tabs>
          <w:tab w:val="num" w:pos="3600"/>
        </w:tabs>
        <w:ind w:left="3600" w:hanging="360"/>
      </w:pPr>
      <w:rPr>
        <w:rFonts w:ascii="Wingdings" w:hAnsi="Wingdings" w:hint="default"/>
      </w:rPr>
    </w:lvl>
    <w:lvl w:ilvl="5" w:tplc="D1F43396" w:tentative="1">
      <w:start w:val="1"/>
      <w:numFmt w:val="bullet"/>
      <w:lvlText w:val=""/>
      <w:lvlJc w:val="left"/>
      <w:pPr>
        <w:tabs>
          <w:tab w:val="num" w:pos="4320"/>
        </w:tabs>
        <w:ind w:left="4320" w:hanging="360"/>
      </w:pPr>
      <w:rPr>
        <w:rFonts w:ascii="Wingdings" w:hAnsi="Wingdings" w:hint="default"/>
      </w:rPr>
    </w:lvl>
    <w:lvl w:ilvl="6" w:tplc="84CE641E" w:tentative="1">
      <w:start w:val="1"/>
      <w:numFmt w:val="bullet"/>
      <w:lvlText w:val=""/>
      <w:lvlJc w:val="left"/>
      <w:pPr>
        <w:tabs>
          <w:tab w:val="num" w:pos="5040"/>
        </w:tabs>
        <w:ind w:left="5040" w:hanging="360"/>
      </w:pPr>
      <w:rPr>
        <w:rFonts w:ascii="Wingdings" w:hAnsi="Wingdings" w:hint="default"/>
      </w:rPr>
    </w:lvl>
    <w:lvl w:ilvl="7" w:tplc="3CC8294C" w:tentative="1">
      <w:start w:val="1"/>
      <w:numFmt w:val="bullet"/>
      <w:lvlText w:val=""/>
      <w:lvlJc w:val="left"/>
      <w:pPr>
        <w:tabs>
          <w:tab w:val="num" w:pos="5760"/>
        </w:tabs>
        <w:ind w:left="5760" w:hanging="360"/>
      </w:pPr>
      <w:rPr>
        <w:rFonts w:ascii="Wingdings" w:hAnsi="Wingdings" w:hint="default"/>
      </w:rPr>
    </w:lvl>
    <w:lvl w:ilvl="8" w:tplc="A8704D5E" w:tentative="1">
      <w:start w:val="1"/>
      <w:numFmt w:val="bullet"/>
      <w:lvlText w:val=""/>
      <w:lvlJc w:val="left"/>
      <w:pPr>
        <w:tabs>
          <w:tab w:val="num" w:pos="6480"/>
        </w:tabs>
        <w:ind w:left="6480" w:hanging="360"/>
      </w:pPr>
      <w:rPr>
        <w:rFonts w:ascii="Wingdings" w:hAnsi="Wingdings" w:hint="default"/>
      </w:rPr>
    </w:lvl>
  </w:abstractNum>
  <w:abstractNum w:abstractNumId="5">
    <w:nsid w:val="117733B4"/>
    <w:multiLevelType w:val="hybridMultilevel"/>
    <w:tmpl w:val="82D213D8"/>
    <w:lvl w:ilvl="0" w:tplc="C546BECC">
      <w:start w:val="1"/>
      <w:numFmt w:val="bullet"/>
      <w:lvlText w:val=""/>
      <w:lvlJc w:val="left"/>
      <w:pPr>
        <w:tabs>
          <w:tab w:val="num" w:pos="720"/>
        </w:tabs>
        <w:ind w:left="720" w:hanging="360"/>
      </w:pPr>
      <w:rPr>
        <w:rFonts w:ascii="Wingdings" w:hAnsi="Wingdings" w:hint="default"/>
      </w:rPr>
    </w:lvl>
    <w:lvl w:ilvl="1" w:tplc="46DA719C" w:tentative="1">
      <w:start w:val="1"/>
      <w:numFmt w:val="bullet"/>
      <w:lvlText w:val=""/>
      <w:lvlJc w:val="left"/>
      <w:pPr>
        <w:tabs>
          <w:tab w:val="num" w:pos="1440"/>
        </w:tabs>
        <w:ind w:left="1440" w:hanging="360"/>
      </w:pPr>
      <w:rPr>
        <w:rFonts w:ascii="Wingdings" w:hAnsi="Wingdings" w:hint="default"/>
      </w:rPr>
    </w:lvl>
    <w:lvl w:ilvl="2" w:tplc="CBC268C4">
      <w:start w:val="1"/>
      <w:numFmt w:val="bullet"/>
      <w:lvlText w:val=""/>
      <w:lvlJc w:val="left"/>
      <w:pPr>
        <w:tabs>
          <w:tab w:val="num" w:pos="2160"/>
        </w:tabs>
        <w:ind w:left="2160" w:hanging="360"/>
      </w:pPr>
      <w:rPr>
        <w:rFonts w:ascii="Wingdings" w:hAnsi="Wingdings" w:hint="default"/>
      </w:rPr>
    </w:lvl>
    <w:lvl w:ilvl="3" w:tplc="AC8292EC" w:tentative="1">
      <w:start w:val="1"/>
      <w:numFmt w:val="bullet"/>
      <w:lvlText w:val=""/>
      <w:lvlJc w:val="left"/>
      <w:pPr>
        <w:tabs>
          <w:tab w:val="num" w:pos="2880"/>
        </w:tabs>
        <w:ind w:left="2880" w:hanging="360"/>
      </w:pPr>
      <w:rPr>
        <w:rFonts w:ascii="Wingdings" w:hAnsi="Wingdings" w:hint="default"/>
      </w:rPr>
    </w:lvl>
    <w:lvl w:ilvl="4" w:tplc="F8E29380" w:tentative="1">
      <w:start w:val="1"/>
      <w:numFmt w:val="bullet"/>
      <w:lvlText w:val=""/>
      <w:lvlJc w:val="left"/>
      <w:pPr>
        <w:tabs>
          <w:tab w:val="num" w:pos="3600"/>
        </w:tabs>
        <w:ind w:left="3600" w:hanging="360"/>
      </w:pPr>
      <w:rPr>
        <w:rFonts w:ascii="Wingdings" w:hAnsi="Wingdings" w:hint="default"/>
      </w:rPr>
    </w:lvl>
    <w:lvl w:ilvl="5" w:tplc="2E8ACC42" w:tentative="1">
      <w:start w:val="1"/>
      <w:numFmt w:val="bullet"/>
      <w:lvlText w:val=""/>
      <w:lvlJc w:val="left"/>
      <w:pPr>
        <w:tabs>
          <w:tab w:val="num" w:pos="4320"/>
        </w:tabs>
        <w:ind w:left="4320" w:hanging="360"/>
      </w:pPr>
      <w:rPr>
        <w:rFonts w:ascii="Wingdings" w:hAnsi="Wingdings" w:hint="default"/>
      </w:rPr>
    </w:lvl>
    <w:lvl w:ilvl="6" w:tplc="8178814A" w:tentative="1">
      <w:start w:val="1"/>
      <w:numFmt w:val="bullet"/>
      <w:lvlText w:val=""/>
      <w:lvlJc w:val="left"/>
      <w:pPr>
        <w:tabs>
          <w:tab w:val="num" w:pos="5040"/>
        </w:tabs>
        <w:ind w:left="5040" w:hanging="360"/>
      </w:pPr>
      <w:rPr>
        <w:rFonts w:ascii="Wingdings" w:hAnsi="Wingdings" w:hint="default"/>
      </w:rPr>
    </w:lvl>
    <w:lvl w:ilvl="7" w:tplc="97B213BA" w:tentative="1">
      <w:start w:val="1"/>
      <w:numFmt w:val="bullet"/>
      <w:lvlText w:val=""/>
      <w:lvlJc w:val="left"/>
      <w:pPr>
        <w:tabs>
          <w:tab w:val="num" w:pos="5760"/>
        </w:tabs>
        <w:ind w:left="5760" w:hanging="360"/>
      </w:pPr>
      <w:rPr>
        <w:rFonts w:ascii="Wingdings" w:hAnsi="Wingdings" w:hint="default"/>
      </w:rPr>
    </w:lvl>
    <w:lvl w:ilvl="8" w:tplc="25184F52" w:tentative="1">
      <w:start w:val="1"/>
      <w:numFmt w:val="bullet"/>
      <w:lvlText w:val=""/>
      <w:lvlJc w:val="left"/>
      <w:pPr>
        <w:tabs>
          <w:tab w:val="num" w:pos="6480"/>
        </w:tabs>
        <w:ind w:left="6480" w:hanging="360"/>
      </w:pPr>
      <w:rPr>
        <w:rFonts w:ascii="Wingdings" w:hAnsi="Wingdings" w:hint="default"/>
      </w:rPr>
    </w:lvl>
  </w:abstractNum>
  <w:abstractNum w:abstractNumId="6">
    <w:nsid w:val="163651CC"/>
    <w:multiLevelType w:val="hybridMultilevel"/>
    <w:tmpl w:val="7A1C1A4A"/>
    <w:lvl w:ilvl="0" w:tplc="EFD426D8">
      <w:start w:val="1"/>
      <w:numFmt w:val="bullet"/>
      <w:lvlText w:val=""/>
      <w:lvlJc w:val="left"/>
      <w:pPr>
        <w:tabs>
          <w:tab w:val="num" w:pos="720"/>
        </w:tabs>
        <w:ind w:left="720" w:hanging="360"/>
      </w:pPr>
      <w:rPr>
        <w:rFonts w:ascii="Wingdings" w:hAnsi="Wingdings" w:hint="default"/>
      </w:rPr>
    </w:lvl>
    <w:lvl w:ilvl="1" w:tplc="AB008D14" w:tentative="1">
      <w:start w:val="1"/>
      <w:numFmt w:val="bullet"/>
      <w:lvlText w:val=""/>
      <w:lvlJc w:val="left"/>
      <w:pPr>
        <w:tabs>
          <w:tab w:val="num" w:pos="1440"/>
        </w:tabs>
        <w:ind w:left="1440" w:hanging="360"/>
      </w:pPr>
      <w:rPr>
        <w:rFonts w:ascii="Wingdings" w:hAnsi="Wingdings" w:hint="default"/>
      </w:rPr>
    </w:lvl>
    <w:lvl w:ilvl="2" w:tplc="A04E6E9E">
      <w:start w:val="1"/>
      <w:numFmt w:val="bullet"/>
      <w:lvlText w:val=""/>
      <w:lvlJc w:val="left"/>
      <w:pPr>
        <w:tabs>
          <w:tab w:val="num" w:pos="2160"/>
        </w:tabs>
        <w:ind w:left="2160" w:hanging="360"/>
      </w:pPr>
      <w:rPr>
        <w:rFonts w:ascii="Wingdings" w:hAnsi="Wingdings" w:hint="default"/>
      </w:rPr>
    </w:lvl>
    <w:lvl w:ilvl="3" w:tplc="FC92F3CA" w:tentative="1">
      <w:start w:val="1"/>
      <w:numFmt w:val="bullet"/>
      <w:lvlText w:val=""/>
      <w:lvlJc w:val="left"/>
      <w:pPr>
        <w:tabs>
          <w:tab w:val="num" w:pos="2880"/>
        </w:tabs>
        <w:ind w:left="2880" w:hanging="360"/>
      </w:pPr>
      <w:rPr>
        <w:rFonts w:ascii="Wingdings" w:hAnsi="Wingdings" w:hint="default"/>
      </w:rPr>
    </w:lvl>
    <w:lvl w:ilvl="4" w:tplc="26A4E720" w:tentative="1">
      <w:start w:val="1"/>
      <w:numFmt w:val="bullet"/>
      <w:lvlText w:val=""/>
      <w:lvlJc w:val="left"/>
      <w:pPr>
        <w:tabs>
          <w:tab w:val="num" w:pos="3600"/>
        </w:tabs>
        <w:ind w:left="3600" w:hanging="360"/>
      </w:pPr>
      <w:rPr>
        <w:rFonts w:ascii="Wingdings" w:hAnsi="Wingdings" w:hint="default"/>
      </w:rPr>
    </w:lvl>
    <w:lvl w:ilvl="5" w:tplc="64DCBCA2" w:tentative="1">
      <w:start w:val="1"/>
      <w:numFmt w:val="bullet"/>
      <w:lvlText w:val=""/>
      <w:lvlJc w:val="left"/>
      <w:pPr>
        <w:tabs>
          <w:tab w:val="num" w:pos="4320"/>
        </w:tabs>
        <w:ind w:left="4320" w:hanging="360"/>
      </w:pPr>
      <w:rPr>
        <w:rFonts w:ascii="Wingdings" w:hAnsi="Wingdings" w:hint="default"/>
      </w:rPr>
    </w:lvl>
    <w:lvl w:ilvl="6" w:tplc="058E8E90" w:tentative="1">
      <w:start w:val="1"/>
      <w:numFmt w:val="bullet"/>
      <w:lvlText w:val=""/>
      <w:lvlJc w:val="left"/>
      <w:pPr>
        <w:tabs>
          <w:tab w:val="num" w:pos="5040"/>
        </w:tabs>
        <w:ind w:left="5040" w:hanging="360"/>
      </w:pPr>
      <w:rPr>
        <w:rFonts w:ascii="Wingdings" w:hAnsi="Wingdings" w:hint="default"/>
      </w:rPr>
    </w:lvl>
    <w:lvl w:ilvl="7" w:tplc="C0B45F6C" w:tentative="1">
      <w:start w:val="1"/>
      <w:numFmt w:val="bullet"/>
      <w:lvlText w:val=""/>
      <w:lvlJc w:val="left"/>
      <w:pPr>
        <w:tabs>
          <w:tab w:val="num" w:pos="5760"/>
        </w:tabs>
        <w:ind w:left="5760" w:hanging="360"/>
      </w:pPr>
      <w:rPr>
        <w:rFonts w:ascii="Wingdings" w:hAnsi="Wingdings" w:hint="default"/>
      </w:rPr>
    </w:lvl>
    <w:lvl w:ilvl="8" w:tplc="1B8C1336" w:tentative="1">
      <w:start w:val="1"/>
      <w:numFmt w:val="bullet"/>
      <w:lvlText w:val=""/>
      <w:lvlJc w:val="left"/>
      <w:pPr>
        <w:tabs>
          <w:tab w:val="num" w:pos="6480"/>
        </w:tabs>
        <w:ind w:left="6480" w:hanging="360"/>
      </w:pPr>
      <w:rPr>
        <w:rFonts w:ascii="Wingdings" w:hAnsi="Wingdings" w:hint="default"/>
      </w:rPr>
    </w:lvl>
  </w:abstractNum>
  <w:abstractNum w:abstractNumId="7">
    <w:nsid w:val="188F6CE5"/>
    <w:multiLevelType w:val="hybridMultilevel"/>
    <w:tmpl w:val="DB003AA8"/>
    <w:lvl w:ilvl="0" w:tplc="C28AB056">
      <w:start w:val="1"/>
      <w:numFmt w:val="bullet"/>
      <w:lvlText w:val=""/>
      <w:lvlJc w:val="left"/>
      <w:pPr>
        <w:tabs>
          <w:tab w:val="num" w:pos="720"/>
        </w:tabs>
        <w:ind w:left="720" w:hanging="360"/>
      </w:pPr>
      <w:rPr>
        <w:rFonts w:ascii="Wingdings" w:hAnsi="Wingdings" w:hint="default"/>
      </w:rPr>
    </w:lvl>
    <w:lvl w:ilvl="1" w:tplc="713C9A58" w:tentative="1">
      <w:start w:val="1"/>
      <w:numFmt w:val="bullet"/>
      <w:lvlText w:val=""/>
      <w:lvlJc w:val="left"/>
      <w:pPr>
        <w:tabs>
          <w:tab w:val="num" w:pos="1440"/>
        </w:tabs>
        <w:ind w:left="1440" w:hanging="360"/>
      </w:pPr>
      <w:rPr>
        <w:rFonts w:ascii="Wingdings" w:hAnsi="Wingdings" w:hint="default"/>
      </w:rPr>
    </w:lvl>
    <w:lvl w:ilvl="2" w:tplc="96969AD8">
      <w:start w:val="1"/>
      <w:numFmt w:val="bullet"/>
      <w:lvlText w:val=""/>
      <w:lvlJc w:val="left"/>
      <w:pPr>
        <w:tabs>
          <w:tab w:val="num" w:pos="2160"/>
        </w:tabs>
        <w:ind w:left="2160" w:hanging="360"/>
      </w:pPr>
      <w:rPr>
        <w:rFonts w:ascii="Wingdings" w:hAnsi="Wingdings" w:hint="default"/>
      </w:rPr>
    </w:lvl>
    <w:lvl w:ilvl="3" w:tplc="D44AB86C" w:tentative="1">
      <w:start w:val="1"/>
      <w:numFmt w:val="bullet"/>
      <w:lvlText w:val=""/>
      <w:lvlJc w:val="left"/>
      <w:pPr>
        <w:tabs>
          <w:tab w:val="num" w:pos="2880"/>
        </w:tabs>
        <w:ind w:left="2880" w:hanging="360"/>
      </w:pPr>
      <w:rPr>
        <w:rFonts w:ascii="Wingdings" w:hAnsi="Wingdings" w:hint="default"/>
      </w:rPr>
    </w:lvl>
    <w:lvl w:ilvl="4" w:tplc="908842AA" w:tentative="1">
      <w:start w:val="1"/>
      <w:numFmt w:val="bullet"/>
      <w:lvlText w:val=""/>
      <w:lvlJc w:val="left"/>
      <w:pPr>
        <w:tabs>
          <w:tab w:val="num" w:pos="3600"/>
        </w:tabs>
        <w:ind w:left="3600" w:hanging="360"/>
      </w:pPr>
      <w:rPr>
        <w:rFonts w:ascii="Wingdings" w:hAnsi="Wingdings" w:hint="default"/>
      </w:rPr>
    </w:lvl>
    <w:lvl w:ilvl="5" w:tplc="050255AC" w:tentative="1">
      <w:start w:val="1"/>
      <w:numFmt w:val="bullet"/>
      <w:lvlText w:val=""/>
      <w:lvlJc w:val="left"/>
      <w:pPr>
        <w:tabs>
          <w:tab w:val="num" w:pos="4320"/>
        </w:tabs>
        <w:ind w:left="4320" w:hanging="360"/>
      </w:pPr>
      <w:rPr>
        <w:rFonts w:ascii="Wingdings" w:hAnsi="Wingdings" w:hint="default"/>
      </w:rPr>
    </w:lvl>
    <w:lvl w:ilvl="6" w:tplc="2166BF78" w:tentative="1">
      <w:start w:val="1"/>
      <w:numFmt w:val="bullet"/>
      <w:lvlText w:val=""/>
      <w:lvlJc w:val="left"/>
      <w:pPr>
        <w:tabs>
          <w:tab w:val="num" w:pos="5040"/>
        </w:tabs>
        <w:ind w:left="5040" w:hanging="360"/>
      </w:pPr>
      <w:rPr>
        <w:rFonts w:ascii="Wingdings" w:hAnsi="Wingdings" w:hint="default"/>
      </w:rPr>
    </w:lvl>
    <w:lvl w:ilvl="7" w:tplc="D1FEAAEA" w:tentative="1">
      <w:start w:val="1"/>
      <w:numFmt w:val="bullet"/>
      <w:lvlText w:val=""/>
      <w:lvlJc w:val="left"/>
      <w:pPr>
        <w:tabs>
          <w:tab w:val="num" w:pos="5760"/>
        </w:tabs>
        <w:ind w:left="5760" w:hanging="360"/>
      </w:pPr>
      <w:rPr>
        <w:rFonts w:ascii="Wingdings" w:hAnsi="Wingdings" w:hint="default"/>
      </w:rPr>
    </w:lvl>
    <w:lvl w:ilvl="8" w:tplc="4D58A214" w:tentative="1">
      <w:start w:val="1"/>
      <w:numFmt w:val="bullet"/>
      <w:lvlText w:val=""/>
      <w:lvlJc w:val="left"/>
      <w:pPr>
        <w:tabs>
          <w:tab w:val="num" w:pos="6480"/>
        </w:tabs>
        <w:ind w:left="6480" w:hanging="360"/>
      </w:pPr>
      <w:rPr>
        <w:rFonts w:ascii="Wingdings" w:hAnsi="Wingdings" w:hint="default"/>
      </w:rPr>
    </w:lvl>
  </w:abstractNum>
  <w:abstractNum w:abstractNumId="8">
    <w:nsid w:val="20D551FC"/>
    <w:multiLevelType w:val="hybridMultilevel"/>
    <w:tmpl w:val="F2E4D71A"/>
    <w:lvl w:ilvl="0" w:tplc="87BA785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3C1EBF"/>
    <w:multiLevelType w:val="hybridMultilevel"/>
    <w:tmpl w:val="55BA357C"/>
    <w:lvl w:ilvl="0" w:tplc="50AE84F2">
      <w:start w:val="1"/>
      <w:numFmt w:val="bullet"/>
      <w:lvlText w:val=""/>
      <w:lvlJc w:val="left"/>
      <w:pPr>
        <w:tabs>
          <w:tab w:val="num" w:pos="720"/>
        </w:tabs>
        <w:ind w:left="720" w:hanging="360"/>
      </w:pPr>
      <w:rPr>
        <w:rFonts w:ascii="Wingdings" w:hAnsi="Wingdings" w:hint="default"/>
      </w:rPr>
    </w:lvl>
    <w:lvl w:ilvl="1" w:tplc="D3B08174" w:tentative="1">
      <w:start w:val="1"/>
      <w:numFmt w:val="bullet"/>
      <w:lvlText w:val=""/>
      <w:lvlJc w:val="left"/>
      <w:pPr>
        <w:tabs>
          <w:tab w:val="num" w:pos="1440"/>
        </w:tabs>
        <w:ind w:left="1440" w:hanging="360"/>
      </w:pPr>
      <w:rPr>
        <w:rFonts w:ascii="Wingdings" w:hAnsi="Wingdings" w:hint="default"/>
      </w:rPr>
    </w:lvl>
    <w:lvl w:ilvl="2" w:tplc="B61E4EB2">
      <w:start w:val="1"/>
      <w:numFmt w:val="bullet"/>
      <w:lvlText w:val=""/>
      <w:lvlJc w:val="left"/>
      <w:pPr>
        <w:tabs>
          <w:tab w:val="num" w:pos="2160"/>
        </w:tabs>
        <w:ind w:left="2160" w:hanging="360"/>
      </w:pPr>
      <w:rPr>
        <w:rFonts w:ascii="Wingdings" w:hAnsi="Wingdings" w:hint="default"/>
      </w:rPr>
    </w:lvl>
    <w:lvl w:ilvl="3" w:tplc="75607EE4" w:tentative="1">
      <w:start w:val="1"/>
      <w:numFmt w:val="bullet"/>
      <w:lvlText w:val=""/>
      <w:lvlJc w:val="left"/>
      <w:pPr>
        <w:tabs>
          <w:tab w:val="num" w:pos="2880"/>
        </w:tabs>
        <w:ind w:left="2880" w:hanging="360"/>
      </w:pPr>
      <w:rPr>
        <w:rFonts w:ascii="Wingdings" w:hAnsi="Wingdings" w:hint="default"/>
      </w:rPr>
    </w:lvl>
    <w:lvl w:ilvl="4" w:tplc="95DC96D2" w:tentative="1">
      <w:start w:val="1"/>
      <w:numFmt w:val="bullet"/>
      <w:lvlText w:val=""/>
      <w:lvlJc w:val="left"/>
      <w:pPr>
        <w:tabs>
          <w:tab w:val="num" w:pos="3600"/>
        </w:tabs>
        <w:ind w:left="3600" w:hanging="360"/>
      </w:pPr>
      <w:rPr>
        <w:rFonts w:ascii="Wingdings" w:hAnsi="Wingdings" w:hint="default"/>
      </w:rPr>
    </w:lvl>
    <w:lvl w:ilvl="5" w:tplc="63424934" w:tentative="1">
      <w:start w:val="1"/>
      <w:numFmt w:val="bullet"/>
      <w:lvlText w:val=""/>
      <w:lvlJc w:val="left"/>
      <w:pPr>
        <w:tabs>
          <w:tab w:val="num" w:pos="4320"/>
        </w:tabs>
        <w:ind w:left="4320" w:hanging="360"/>
      </w:pPr>
      <w:rPr>
        <w:rFonts w:ascii="Wingdings" w:hAnsi="Wingdings" w:hint="default"/>
      </w:rPr>
    </w:lvl>
    <w:lvl w:ilvl="6" w:tplc="B0F6578A" w:tentative="1">
      <w:start w:val="1"/>
      <w:numFmt w:val="bullet"/>
      <w:lvlText w:val=""/>
      <w:lvlJc w:val="left"/>
      <w:pPr>
        <w:tabs>
          <w:tab w:val="num" w:pos="5040"/>
        </w:tabs>
        <w:ind w:left="5040" w:hanging="360"/>
      </w:pPr>
      <w:rPr>
        <w:rFonts w:ascii="Wingdings" w:hAnsi="Wingdings" w:hint="default"/>
      </w:rPr>
    </w:lvl>
    <w:lvl w:ilvl="7" w:tplc="9BCC79C4" w:tentative="1">
      <w:start w:val="1"/>
      <w:numFmt w:val="bullet"/>
      <w:lvlText w:val=""/>
      <w:lvlJc w:val="left"/>
      <w:pPr>
        <w:tabs>
          <w:tab w:val="num" w:pos="5760"/>
        </w:tabs>
        <w:ind w:left="5760" w:hanging="360"/>
      </w:pPr>
      <w:rPr>
        <w:rFonts w:ascii="Wingdings" w:hAnsi="Wingdings" w:hint="default"/>
      </w:rPr>
    </w:lvl>
    <w:lvl w:ilvl="8" w:tplc="B31CA9E0" w:tentative="1">
      <w:start w:val="1"/>
      <w:numFmt w:val="bullet"/>
      <w:lvlText w:val=""/>
      <w:lvlJc w:val="left"/>
      <w:pPr>
        <w:tabs>
          <w:tab w:val="num" w:pos="6480"/>
        </w:tabs>
        <w:ind w:left="6480" w:hanging="360"/>
      </w:pPr>
      <w:rPr>
        <w:rFonts w:ascii="Wingdings" w:hAnsi="Wingdings" w:hint="default"/>
      </w:rPr>
    </w:lvl>
  </w:abstractNum>
  <w:abstractNum w:abstractNumId="10">
    <w:nsid w:val="28A50951"/>
    <w:multiLevelType w:val="multilevel"/>
    <w:tmpl w:val="5322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BC36D5"/>
    <w:multiLevelType w:val="hybridMultilevel"/>
    <w:tmpl w:val="B5CCC668"/>
    <w:lvl w:ilvl="0" w:tplc="1684306E">
      <w:start w:val="1"/>
      <w:numFmt w:val="bullet"/>
      <w:lvlText w:val=""/>
      <w:lvlJc w:val="left"/>
      <w:pPr>
        <w:tabs>
          <w:tab w:val="num" w:pos="720"/>
        </w:tabs>
        <w:ind w:left="720" w:hanging="360"/>
      </w:pPr>
      <w:rPr>
        <w:rFonts w:ascii="Wingdings" w:hAnsi="Wingdings" w:hint="default"/>
      </w:rPr>
    </w:lvl>
    <w:lvl w:ilvl="1" w:tplc="39B41516">
      <w:start w:val="1"/>
      <w:numFmt w:val="bullet"/>
      <w:lvlText w:val=""/>
      <w:lvlJc w:val="left"/>
      <w:pPr>
        <w:tabs>
          <w:tab w:val="num" w:pos="1440"/>
        </w:tabs>
        <w:ind w:left="1440" w:hanging="360"/>
      </w:pPr>
      <w:rPr>
        <w:rFonts w:ascii="Wingdings" w:hAnsi="Wingdings" w:hint="default"/>
      </w:rPr>
    </w:lvl>
    <w:lvl w:ilvl="2" w:tplc="42620D34" w:tentative="1">
      <w:start w:val="1"/>
      <w:numFmt w:val="bullet"/>
      <w:lvlText w:val=""/>
      <w:lvlJc w:val="left"/>
      <w:pPr>
        <w:tabs>
          <w:tab w:val="num" w:pos="2160"/>
        </w:tabs>
        <w:ind w:left="2160" w:hanging="360"/>
      </w:pPr>
      <w:rPr>
        <w:rFonts w:ascii="Wingdings" w:hAnsi="Wingdings" w:hint="default"/>
      </w:rPr>
    </w:lvl>
    <w:lvl w:ilvl="3" w:tplc="DEA88CCC" w:tentative="1">
      <w:start w:val="1"/>
      <w:numFmt w:val="bullet"/>
      <w:lvlText w:val=""/>
      <w:lvlJc w:val="left"/>
      <w:pPr>
        <w:tabs>
          <w:tab w:val="num" w:pos="2880"/>
        </w:tabs>
        <w:ind w:left="2880" w:hanging="360"/>
      </w:pPr>
      <w:rPr>
        <w:rFonts w:ascii="Wingdings" w:hAnsi="Wingdings" w:hint="default"/>
      </w:rPr>
    </w:lvl>
    <w:lvl w:ilvl="4" w:tplc="E1F6157C" w:tentative="1">
      <w:start w:val="1"/>
      <w:numFmt w:val="bullet"/>
      <w:lvlText w:val=""/>
      <w:lvlJc w:val="left"/>
      <w:pPr>
        <w:tabs>
          <w:tab w:val="num" w:pos="3600"/>
        </w:tabs>
        <w:ind w:left="3600" w:hanging="360"/>
      </w:pPr>
      <w:rPr>
        <w:rFonts w:ascii="Wingdings" w:hAnsi="Wingdings" w:hint="default"/>
      </w:rPr>
    </w:lvl>
    <w:lvl w:ilvl="5" w:tplc="A9000890" w:tentative="1">
      <w:start w:val="1"/>
      <w:numFmt w:val="bullet"/>
      <w:lvlText w:val=""/>
      <w:lvlJc w:val="left"/>
      <w:pPr>
        <w:tabs>
          <w:tab w:val="num" w:pos="4320"/>
        </w:tabs>
        <w:ind w:left="4320" w:hanging="360"/>
      </w:pPr>
      <w:rPr>
        <w:rFonts w:ascii="Wingdings" w:hAnsi="Wingdings" w:hint="default"/>
      </w:rPr>
    </w:lvl>
    <w:lvl w:ilvl="6" w:tplc="F560FE8E" w:tentative="1">
      <w:start w:val="1"/>
      <w:numFmt w:val="bullet"/>
      <w:lvlText w:val=""/>
      <w:lvlJc w:val="left"/>
      <w:pPr>
        <w:tabs>
          <w:tab w:val="num" w:pos="5040"/>
        </w:tabs>
        <w:ind w:left="5040" w:hanging="360"/>
      </w:pPr>
      <w:rPr>
        <w:rFonts w:ascii="Wingdings" w:hAnsi="Wingdings" w:hint="default"/>
      </w:rPr>
    </w:lvl>
    <w:lvl w:ilvl="7" w:tplc="17A67BCA" w:tentative="1">
      <w:start w:val="1"/>
      <w:numFmt w:val="bullet"/>
      <w:lvlText w:val=""/>
      <w:lvlJc w:val="left"/>
      <w:pPr>
        <w:tabs>
          <w:tab w:val="num" w:pos="5760"/>
        </w:tabs>
        <w:ind w:left="5760" w:hanging="360"/>
      </w:pPr>
      <w:rPr>
        <w:rFonts w:ascii="Wingdings" w:hAnsi="Wingdings" w:hint="default"/>
      </w:rPr>
    </w:lvl>
    <w:lvl w:ilvl="8" w:tplc="7F78BC82" w:tentative="1">
      <w:start w:val="1"/>
      <w:numFmt w:val="bullet"/>
      <w:lvlText w:val=""/>
      <w:lvlJc w:val="left"/>
      <w:pPr>
        <w:tabs>
          <w:tab w:val="num" w:pos="6480"/>
        </w:tabs>
        <w:ind w:left="6480" w:hanging="360"/>
      </w:pPr>
      <w:rPr>
        <w:rFonts w:ascii="Wingdings" w:hAnsi="Wingdings" w:hint="default"/>
      </w:rPr>
    </w:lvl>
  </w:abstractNum>
  <w:abstractNum w:abstractNumId="12">
    <w:nsid w:val="2E4A7A3B"/>
    <w:multiLevelType w:val="hybridMultilevel"/>
    <w:tmpl w:val="F80C6B2A"/>
    <w:lvl w:ilvl="0" w:tplc="97B69760">
      <w:start w:val="1"/>
      <w:numFmt w:val="bullet"/>
      <w:lvlText w:val=""/>
      <w:lvlJc w:val="left"/>
      <w:pPr>
        <w:tabs>
          <w:tab w:val="num" w:pos="720"/>
        </w:tabs>
        <w:ind w:left="720" w:hanging="360"/>
      </w:pPr>
      <w:rPr>
        <w:rFonts w:ascii="Wingdings" w:hAnsi="Wingdings" w:hint="default"/>
      </w:rPr>
    </w:lvl>
    <w:lvl w:ilvl="1" w:tplc="C02266C2">
      <w:start w:val="1"/>
      <w:numFmt w:val="bullet"/>
      <w:lvlText w:val=""/>
      <w:lvlJc w:val="left"/>
      <w:pPr>
        <w:tabs>
          <w:tab w:val="num" w:pos="1440"/>
        </w:tabs>
        <w:ind w:left="1440" w:hanging="360"/>
      </w:pPr>
      <w:rPr>
        <w:rFonts w:ascii="Wingdings" w:hAnsi="Wingdings" w:hint="default"/>
      </w:rPr>
    </w:lvl>
    <w:lvl w:ilvl="2" w:tplc="99A01620" w:tentative="1">
      <w:start w:val="1"/>
      <w:numFmt w:val="bullet"/>
      <w:lvlText w:val=""/>
      <w:lvlJc w:val="left"/>
      <w:pPr>
        <w:tabs>
          <w:tab w:val="num" w:pos="2160"/>
        </w:tabs>
        <w:ind w:left="2160" w:hanging="360"/>
      </w:pPr>
      <w:rPr>
        <w:rFonts w:ascii="Wingdings" w:hAnsi="Wingdings" w:hint="default"/>
      </w:rPr>
    </w:lvl>
    <w:lvl w:ilvl="3" w:tplc="16D448A4">
      <w:start w:val="2861"/>
      <w:numFmt w:val="bullet"/>
      <w:lvlText w:val=""/>
      <w:lvlJc w:val="left"/>
      <w:pPr>
        <w:tabs>
          <w:tab w:val="num" w:pos="2880"/>
        </w:tabs>
        <w:ind w:left="2880" w:hanging="360"/>
      </w:pPr>
      <w:rPr>
        <w:rFonts w:ascii="Wingdings" w:hAnsi="Wingdings" w:hint="default"/>
      </w:rPr>
    </w:lvl>
    <w:lvl w:ilvl="4" w:tplc="2F7E5FE2" w:tentative="1">
      <w:start w:val="1"/>
      <w:numFmt w:val="bullet"/>
      <w:lvlText w:val=""/>
      <w:lvlJc w:val="left"/>
      <w:pPr>
        <w:tabs>
          <w:tab w:val="num" w:pos="3600"/>
        </w:tabs>
        <w:ind w:left="3600" w:hanging="360"/>
      </w:pPr>
      <w:rPr>
        <w:rFonts w:ascii="Wingdings" w:hAnsi="Wingdings" w:hint="default"/>
      </w:rPr>
    </w:lvl>
    <w:lvl w:ilvl="5" w:tplc="D80E32A4" w:tentative="1">
      <w:start w:val="1"/>
      <w:numFmt w:val="bullet"/>
      <w:lvlText w:val=""/>
      <w:lvlJc w:val="left"/>
      <w:pPr>
        <w:tabs>
          <w:tab w:val="num" w:pos="4320"/>
        </w:tabs>
        <w:ind w:left="4320" w:hanging="360"/>
      </w:pPr>
      <w:rPr>
        <w:rFonts w:ascii="Wingdings" w:hAnsi="Wingdings" w:hint="default"/>
      </w:rPr>
    </w:lvl>
    <w:lvl w:ilvl="6" w:tplc="3D369CA0" w:tentative="1">
      <w:start w:val="1"/>
      <w:numFmt w:val="bullet"/>
      <w:lvlText w:val=""/>
      <w:lvlJc w:val="left"/>
      <w:pPr>
        <w:tabs>
          <w:tab w:val="num" w:pos="5040"/>
        </w:tabs>
        <w:ind w:left="5040" w:hanging="360"/>
      </w:pPr>
      <w:rPr>
        <w:rFonts w:ascii="Wingdings" w:hAnsi="Wingdings" w:hint="default"/>
      </w:rPr>
    </w:lvl>
    <w:lvl w:ilvl="7" w:tplc="1154210C" w:tentative="1">
      <w:start w:val="1"/>
      <w:numFmt w:val="bullet"/>
      <w:lvlText w:val=""/>
      <w:lvlJc w:val="left"/>
      <w:pPr>
        <w:tabs>
          <w:tab w:val="num" w:pos="5760"/>
        </w:tabs>
        <w:ind w:left="5760" w:hanging="360"/>
      </w:pPr>
      <w:rPr>
        <w:rFonts w:ascii="Wingdings" w:hAnsi="Wingdings" w:hint="default"/>
      </w:rPr>
    </w:lvl>
    <w:lvl w:ilvl="8" w:tplc="43683E94" w:tentative="1">
      <w:start w:val="1"/>
      <w:numFmt w:val="bullet"/>
      <w:lvlText w:val=""/>
      <w:lvlJc w:val="left"/>
      <w:pPr>
        <w:tabs>
          <w:tab w:val="num" w:pos="6480"/>
        </w:tabs>
        <w:ind w:left="6480" w:hanging="360"/>
      </w:pPr>
      <w:rPr>
        <w:rFonts w:ascii="Wingdings" w:hAnsi="Wingdings" w:hint="default"/>
      </w:rPr>
    </w:lvl>
  </w:abstractNum>
  <w:abstractNum w:abstractNumId="13">
    <w:nsid w:val="311D5AB7"/>
    <w:multiLevelType w:val="hybridMultilevel"/>
    <w:tmpl w:val="CB8E97EE"/>
    <w:lvl w:ilvl="0" w:tplc="35427F96">
      <w:start w:val="1"/>
      <w:numFmt w:val="bullet"/>
      <w:lvlText w:val=""/>
      <w:lvlJc w:val="left"/>
      <w:pPr>
        <w:tabs>
          <w:tab w:val="num" w:pos="720"/>
        </w:tabs>
        <w:ind w:left="720" w:hanging="360"/>
      </w:pPr>
      <w:rPr>
        <w:rFonts w:ascii="Wingdings" w:hAnsi="Wingdings" w:hint="default"/>
      </w:rPr>
    </w:lvl>
    <w:lvl w:ilvl="1" w:tplc="270666BA" w:tentative="1">
      <w:start w:val="1"/>
      <w:numFmt w:val="bullet"/>
      <w:lvlText w:val=""/>
      <w:lvlJc w:val="left"/>
      <w:pPr>
        <w:tabs>
          <w:tab w:val="num" w:pos="1440"/>
        </w:tabs>
        <w:ind w:left="1440" w:hanging="360"/>
      </w:pPr>
      <w:rPr>
        <w:rFonts w:ascii="Wingdings" w:hAnsi="Wingdings" w:hint="default"/>
      </w:rPr>
    </w:lvl>
    <w:lvl w:ilvl="2" w:tplc="66E852BC">
      <w:start w:val="1"/>
      <w:numFmt w:val="bullet"/>
      <w:lvlText w:val=""/>
      <w:lvlJc w:val="left"/>
      <w:pPr>
        <w:tabs>
          <w:tab w:val="num" w:pos="2160"/>
        </w:tabs>
        <w:ind w:left="2160" w:hanging="360"/>
      </w:pPr>
      <w:rPr>
        <w:rFonts w:ascii="Wingdings" w:hAnsi="Wingdings" w:hint="default"/>
      </w:rPr>
    </w:lvl>
    <w:lvl w:ilvl="3" w:tplc="5E3A55A0" w:tentative="1">
      <w:start w:val="1"/>
      <w:numFmt w:val="bullet"/>
      <w:lvlText w:val=""/>
      <w:lvlJc w:val="left"/>
      <w:pPr>
        <w:tabs>
          <w:tab w:val="num" w:pos="2880"/>
        </w:tabs>
        <w:ind w:left="2880" w:hanging="360"/>
      </w:pPr>
      <w:rPr>
        <w:rFonts w:ascii="Wingdings" w:hAnsi="Wingdings" w:hint="default"/>
      </w:rPr>
    </w:lvl>
    <w:lvl w:ilvl="4" w:tplc="5ADC0C34" w:tentative="1">
      <w:start w:val="1"/>
      <w:numFmt w:val="bullet"/>
      <w:lvlText w:val=""/>
      <w:lvlJc w:val="left"/>
      <w:pPr>
        <w:tabs>
          <w:tab w:val="num" w:pos="3600"/>
        </w:tabs>
        <w:ind w:left="3600" w:hanging="360"/>
      </w:pPr>
      <w:rPr>
        <w:rFonts w:ascii="Wingdings" w:hAnsi="Wingdings" w:hint="default"/>
      </w:rPr>
    </w:lvl>
    <w:lvl w:ilvl="5" w:tplc="6F42B5D4" w:tentative="1">
      <w:start w:val="1"/>
      <w:numFmt w:val="bullet"/>
      <w:lvlText w:val=""/>
      <w:lvlJc w:val="left"/>
      <w:pPr>
        <w:tabs>
          <w:tab w:val="num" w:pos="4320"/>
        </w:tabs>
        <w:ind w:left="4320" w:hanging="360"/>
      </w:pPr>
      <w:rPr>
        <w:rFonts w:ascii="Wingdings" w:hAnsi="Wingdings" w:hint="default"/>
      </w:rPr>
    </w:lvl>
    <w:lvl w:ilvl="6" w:tplc="2D36D4C4" w:tentative="1">
      <w:start w:val="1"/>
      <w:numFmt w:val="bullet"/>
      <w:lvlText w:val=""/>
      <w:lvlJc w:val="left"/>
      <w:pPr>
        <w:tabs>
          <w:tab w:val="num" w:pos="5040"/>
        </w:tabs>
        <w:ind w:left="5040" w:hanging="360"/>
      </w:pPr>
      <w:rPr>
        <w:rFonts w:ascii="Wingdings" w:hAnsi="Wingdings" w:hint="default"/>
      </w:rPr>
    </w:lvl>
    <w:lvl w:ilvl="7" w:tplc="1B3E701C" w:tentative="1">
      <w:start w:val="1"/>
      <w:numFmt w:val="bullet"/>
      <w:lvlText w:val=""/>
      <w:lvlJc w:val="left"/>
      <w:pPr>
        <w:tabs>
          <w:tab w:val="num" w:pos="5760"/>
        </w:tabs>
        <w:ind w:left="5760" w:hanging="360"/>
      </w:pPr>
      <w:rPr>
        <w:rFonts w:ascii="Wingdings" w:hAnsi="Wingdings" w:hint="default"/>
      </w:rPr>
    </w:lvl>
    <w:lvl w:ilvl="8" w:tplc="3EDCDEB2" w:tentative="1">
      <w:start w:val="1"/>
      <w:numFmt w:val="bullet"/>
      <w:lvlText w:val=""/>
      <w:lvlJc w:val="left"/>
      <w:pPr>
        <w:tabs>
          <w:tab w:val="num" w:pos="6480"/>
        </w:tabs>
        <w:ind w:left="6480" w:hanging="360"/>
      </w:pPr>
      <w:rPr>
        <w:rFonts w:ascii="Wingdings" w:hAnsi="Wingdings" w:hint="default"/>
      </w:rPr>
    </w:lvl>
  </w:abstractNum>
  <w:abstractNum w:abstractNumId="14">
    <w:nsid w:val="31AF5527"/>
    <w:multiLevelType w:val="hybridMultilevel"/>
    <w:tmpl w:val="E1F4CDC0"/>
    <w:lvl w:ilvl="0" w:tplc="C50C031E">
      <w:start w:val="1"/>
      <w:numFmt w:val="bullet"/>
      <w:lvlText w:val=""/>
      <w:lvlJc w:val="left"/>
      <w:pPr>
        <w:tabs>
          <w:tab w:val="num" w:pos="720"/>
        </w:tabs>
        <w:ind w:left="720" w:hanging="360"/>
      </w:pPr>
      <w:rPr>
        <w:rFonts w:ascii="Wingdings" w:hAnsi="Wingdings" w:hint="default"/>
      </w:rPr>
    </w:lvl>
    <w:lvl w:ilvl="1" w:tplc="DFE0333E" w:tentative="1">
      <w:start w:val="1"/>
      <w:numFmt w:val="bullet"/>
      <w:lvlText w:val=""/>
      <w:lvlJc w:val="left"/>
      <w:pPr>
        <w:tabs>
          <w:tab w:val="num" w:pos="1440"/>
        </w:tabs>
        <w:ind w:left="1440" w:hanging="360"/>
      </w:pPr>
      <w:rPr>
        <w:rFonts w:ascii="Wingdings" w:hAnsi="Wingdings" w:hint="default"/>
      </w:rPr>
    </w:lvl>
    <w:lvl w:ilvl="2" w:tplc="33A832A4">
      <w:start w:val="1"/>
      <w:numFmt w:val="bullet"/>
      <w:lvlText w:val=""/>
      <w:lvlJc w:val="left"/>
      <w:pPr>
        <w:tabs>
          <w:tab w:val="num" w:pos="2160"/>
        </w:tabs>
        <w:ind w:left="2160" w:hanging="360"/>
      </w:pPr>
      <w:rPr>
        <w:rFonts w:ascii="Wingdings" w:hAnsi="Wingdings" w:hint="default"/>
      </w:rPr>
    </w:lvl>
    <w:lvl w:ilvl="3" w:tplc="4218DCDC" w:tentative="1">
      <w:start w:val="1"/>
      <w:numFmt w:val="bullet"/>
      <w:lvlText w:val=""/>
      <w:lvlJc w:val="left"/>
      <w:pPr>
        <w:tabs>
          <w:tab w:val="num" w:pos="2880"/>
        </w:tabs>
        <w:ind w:left="2880" w:hanging="360"/>
      </w:pPr>
      <w:rPr>
        <w:rFonts w:ascii="Wingdings" w:hAnsi="Wingdings" w:hint="default"/>
      </w:rPr>
    </w:lvl>
    <w:lvl w:ilvl="4" w:tplc="A7B69082" w:tentative="1">
      <w:start w:val="1"/>
      <w:numFmt w:val="bullet"/>
      <w:lvlText w:val=""/>
      <w:lvlJc w:val="left"/>
      <w:pPr>
        <w:tabs>
          <w:tab w:val="num" w:pos="3600"/>
        </w:tabs>
        <w:ind w:left="3600" w:hanging="360"/>
      </w:pPr>
      <w:rPr>
        <w:rFonts w:ascii="Wingdings" w:hAnsi="Wingdings" w:hint="default"/>
      </w:rPr>
    </w:lvl>
    <w:lvl w:ilvl="5" w:tplc="420AE2FE" w:tentative="1">
      <w:start w:val="1"/>
      <w:numFmt w:val="bullet"/>
      <w:lvlText w:val=""/>
      <w:lvlJc w:val="left"/>
      <w:pPr>
        <w:tabs>
          <w:tab w:val="num" w:pos="4320"/>
        </w:tabs>
        <w:ind w:left="4320" w:hanging="360"/>
      </w:pPr>
      <w:rPr>
        <w:rFonts w:ascii="Wingdings" w:hAnsi="Wingdings" w:hint="default"/>
      </w:rPr>
    </w:lvl>
    <w:lvl w:ilvl="6" w:tplc="CCF69C02" w:tentative="1">
      <w:start w:val="1"/>
      <w:numFmt w:val="bullet"/>
      <w:lvlText w:val=""/>
      <w:lvlJc w:val="left"/>
      <w:pPr>
        <w:tabs>
          <w:tab w:val="num" w:pos="5040"/>
        </w:tabs>
        <w:ind w:left="5040" w:hanging="360"/>
      </w:pPr>
      <w:rPr>
        <w:rFonts w:ascii="Wingdings" w:hAnsi="Wingdings" w:hint="default"/>
      </w:rPr>
    </w:lvl>
    <w:lvl w:ilvl="7" w:tplc="63984E4C" w:tentative="1">
      <w:start w:val="1"/>
      <w:numFmt w:val="bullet"/>
      <w:lvlText w:val=""/>
      <w:lvlJc w:val="left"/>
      <w:pPr>
        <w:tabs>
          <w:tab w:val="num" w:pos="5760"/>
        </w:tabs>
        <w:ind w:left="5760" w:hanging="360"/>
      </w:pPr>
      <w:rPr>
        <w:rFonts w:ascii="Wingdings" w:hAnsi="Wingdings" w:hint="default"/>
      </w:rPr>
    </w:lvl>
    <w:lvl w:ilvl="8" w:tplc="3042B9DA" w:tentative="1">
      <w:start w:val="1"/>
      <w:numFmt w:val="bullet"/>
      <w:lvlText w:val=""/>
      <w:lvlJc w:val="left"/>
      <w:pPr>
        <w:tabs>
          <w:tab w:val="num" w:pos="6480"/>
        </w:tabs>
        <w:ind w:left="6480" w:hanging="360"/>
      </w:pPr>
      <w:rPr>
        <w:rFonts w:ascii="Wingdings" w:hAnsi="Wingdings" w:hint="default"/>
      </w:rPr>
    </w:lvl>
  </w:abstractNum>
  <w:abstractNum w:abstractNumId="15">
    <w:nsid w:val="37E3356A"/>
    <w:multiLevelType w:val="hybridMultilevel"/>
    <w:tmpl w:val="9DFA1942"/>
    <w:lvl w:ilvl="0" w:tplc="5C7C7EF2">
      <w:start w:val="1"/>
      <w:numFmt w:val="bullet"/>
      <w:lvlText w:val=""/>
      <w:lvlJc w:val="left"/>
      <w:pPr>
        <w:tabs>
          <w:tab w:val="num" w:pos="720"/>
        </w:tabs>
        <w:ind w:left="720" w:hanging="360"/>
      </w:pPr>
      <w:rPr>
        <w:rFonts w:ascii="Wingdings" w:hAnsi="Wingdings" w:hint="default"/>
      </w:rPr>
    </w:lvl>
    <w:lvl w:ilvl="1" w:tplc="8DB855C8">
      <w:start w:val="1"/>
      <w:numFmt w:val="bullet"/>
      <w:lvlText w:val=""/>
      <w:lvlJc w:val="left"/>
      <w:pPr>
        <w:tabs>
          <w:tab w:val="num" w:pos="1440"/>
        </w:tabs>
        <w:ind w:left="1440" w:hanging="360"/>
      </w:pPr>
      <w:rPr>
        <w:rFonts w:ascii="Wingdings" w:hAnsi="Wingdings" w:hint="default"/>
      </w:rPr>
    </w:lvl>
    <w:lvl w:ilvl="2" w:tplc="6DEC6398" w:tentative="1">
      <w:start w:val="1"/>
      <w:numFmt w:val="bullet"/>
      <w:lvlText w:val=""/>
      <w:lvlJc w:val="left"/>
      <w:pPr>
        <w:tabs>
          <w:tab w:val="num" w:pos="2160"/>
        </w:tabs>
        <w:ind w:left="2160" w:hanging="360"/>
      </w:pPr>
      <w:rPr>
        <w:rFonts w:ascii="Wingdings" w:hAnsi="Wingdings" w:hint="default"/>
      </w:rPr>
    </w:lvl>
    <w:lvl w:ilvl="3" w:tplc="3DEC0FC2" w:tentative="1">
      <w:start w:val="1"/>
      <w:numFmt w:val="bullet"/>
      <w:lvlText w:val=""/>
      <w:lvlJc w:val="left"/>
      <w:pPr>
        <w:tabs>
          <w:tab w:val="num" w:pos="2880"/>
        </w:tabs>
        <w:ind w:left="2880" w:hanging="360"/>
      </w:pPr>
      <w:rPr>
        <w:rFonts w:ascii="Wingdings" w:hAnsi="Wingdings" w:hint="default"/>
      </w:rPr>
    </w:lvl>
    <w:lvl w:ilvl="4" w:tplc="0048381C" w:tentative="1">
      <w:start w:val="1"/>
      <w:numFmt w:val="bullet"/>
      <w:lvlText w:val=""/>
      <w:lvlJc w:val="left"/>
      <w:pPr>
        <w:tabs>
          <w:tab w:val="num" w:pos="3600"/>
        </w:tabs>
        <w:ind w:left="3600" w:hanging="360"/>
      </w:pPr>
      <w:rPr>
        <w:rFonts w:ascii="Wingdings" w:hAnsi="Wingdings" w:hint="default"/>
      </w:rPr>
    </w:lvl>
    <w:lvl w:ilvl="5" w:tplc="E3109E20" w:tentative="1">
      <w:start w:val="1"/>
      <w:numFmt w:val="bullet"/>
      <w:lvlText w:val=""/>
      <w:lvlJc w:val="left"/>
      <w:pPr>
        <w:tabs>
          <w:tab w:val="num" w:pos="4320"/>
        </w:tabs>
        <w:ind w:left="4320" w:hanging="360"/>
      </w:pPr>
      <w:rPr>
        <w:rFonts w:ascii="Wingdings" w:hAnsi="Wingdings" w:hint="default"/>
      </w:rPr>
    </w:lvl>
    <w:lvl w:ilvl="6" w:tplc="AF167E58" w:tentative="1">
      <w:start w:val="1"/>
      <w:numFmt w:val="bullet"/>
      <w:lvlText w:val=""/>
      <w:lvlJc w:val="left"/>
      <w:pPr>
        <w:tabs>
          <w:tab w:val="num" w:pos="5040"/>
        </w:tabs>
        <w:ind w:left="5040" w:hanging="360"/>
      </w:pPr>
      <w:rPr>
        <w:rFonts w:ascii="Wingdings" w:hAnsi="Wingdings" w:hint="default"/>
      </w:rPr>
    </w:lvl>
    <w:lvl w:ilvl="7" w:tplc="7916BBDC" w:tentative="1">
      <w:start w:val="1"/>
      <w:numFmt w:val="bullet"/>
      <w:lvlText w:val=""/>
      <w:lvlJc w:val="left"/>
      <w:pPr>
        <w:tabs>
          <w:tab w:val="num" w:pos="5760"/>
        </w:tabs>
        <w:ind w:left="5760" w:hanging="360"/>
      </w:pPr>
      <w:rPr>
        <w:rFonts w:ascii="Wingdings" w:hAnsi="Wingdings" w:hint="default"/>
      </w:rPr>
    </w:lvl>
    <w:lvl w:ilvl="8" w:tplc="6636B274" w:tentative="1">
      <w:start w:val="1"/>
      <w:numFmt w:val="bullet"/>
      <w:lvlText w:val=""/>
      <w:lvlJc w:val="left"/>
      <w:pPr>
        <w:tabs>
          <w:tab w:val="num" w:pos="6480"/>
        </w:tabs>
        <w:ind w:left="6480" w:hanging="360"/>
      </w:pPr>
      <w:rPr>
        <w:rFonts w:ascii="Wingdings" w:hAnsi="Wingdings" w:hint="default"/>
      </w:rPr>
    </w:lvl>
  </w:abstractNum>
  <w:abstractNum w:abstractNumId="16">
    <w:nsid w:val="39A360EF"/>
    <w:multiLevelType w:val="multilevel"/>
    <w:tmpl w:val="15DC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D67B7"/>
    <w:multiLevelType w:val="hybridMultilevel"/>
    <w:tmpl w:val="A412E8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CE3F63"/>
    <w:multiLevelType w:val="hybridMultilevel"/>
    <w:tmpl w:val="F00ECC58"/>
    <w:lvl w:ilvl="0" w:tplc="C92089EC">
      <w:start w:val="1"/>
      <w:numFmt w:val="bullet"/>
      <w:lvlText w:val=""/>
      <w:lvlJc w:val="left"/>
      <w:pPr>
        <w:tabs>
          <w:tab w:val="num" w:pos="720"/>
        </w:tabs>
        <w:ind w:left="720" w:hanging="360"/>
      </w:pPr>
      <w:rPr>
        <w:rFonts w:ascii="Wingdings" w:hAnsi="Wingdings" w:hint="default"/>
      </w:rPr>
    </w:lvl>
    <w:lvl w:ilvl="1" w:tplc="B78276A6" w:tentative="1">
      <w:start w:val="1"/>
      <w:numFmt w:val="bullet"/>
      <w:lvlText w:val=""/>
      <w:lvlJc w:val="left"/>
      <w:pPr>
        <w:tabs>
          <w:tab w:val="num" w:pos="1440"/>
        </w:tabs>
        <w:ind w:left="1440" w:hanging="360"/>
      </w:pPr>
      <w:rPr>
        <w:rFonts w:ascii="Wingdings" w:hAnsi="Wingdings" w:hint="default"/>
      </w:rPr>
    </w:lvl>
    <w:lvl w:ilvl="2" w:tplc="20E0BB66">
      <w:start w:val="1"/>
      <w:numFmt w:val="bullet"/>
      <w:lvlText w:val=""/>
      <w:lvlJc w:val="left"/>
      <w:pPr>
        <w:tabs>
          <w:tab w:val="num" w:pos="2160"/>
        </w:tabs>
        <w:ind w:left="2160" w:hanging="360"/>
      </w:pPr>
      <w:rPr>
        <w:rFonts w:ascii="Wingdings" w:hAnsi="Wingdings" w:hint="default"/>
      </w:rPr>
    </w:lvl>
    <w:lvl w:ilvl="3" w:tplc="D674B620" w:tentative="1">
      <w:start w:val="1"/>
      <w:numFmt w:val="bullet"/>
      <w:lvlText w:val=""/>
      <w:lvlJc w:val="left"/>
      <w:pPr>
        <w:tabs>
          <w:tab w:val="num" w:pos="2880"/>
        </w:tabs>
        <w:ind w:left="2880" w:hanging="360"/>
      </w:pPr>
      <w:rPr>
        <w:rFonts w:ascii="Wingdings" w:hAnsi="Wingdings" w:hint="default"/>
      </w:rPr>
    </w:lvl>
    <w:lvl w:ilvl="4" w:tplc="795C3446" w:tentative="1">
      <w:start w:val="1"/>
      <w:numFmt w:val="bullet"/>
      <w:lvlText w:val=""/>
      <w:lvlJc w:val="left"/>
      <w:pPr>
        <w:tabs>
          <w:tab w:val="num" w:pos="3600"/>
        </w:tabs>
        <w:ind w:left="3600" w:hanging="360"/>
      </w:pPr>
      <w:rPr>
        <w:rFonts w:ascii="Wingdings" w:hAnsi="Wingdings" w:hint="default"/>
      </w:rPr>
    </w:lvl>
    <w:lvl w:ilvl="5" w:tplc="B130043C" w:tentative="1">
      <w:start w:val="1"/>
      <w:numFmt w:val="bullet"/>
      <w:lvlText w:val=""/>
      <w:lvlJc w:val="left"/>
      <w:pPr>
        <w:tabs>
          <w:tab w:val="num" w:pos="4320"/>
        </w:tabs>
        <w:ind w:left="4320" w:hanging="360"/>
      </w:pPr>
      <w:rPr>
        <w:rFonts w:ascii="Wingdings" w:hAnsi="Wingdings" w:hint="default"/>
      </w:rPr>
    </w:lvl>
    <w:lvl w:ilvl="6" w:tplc="ED0C6C52" w:tentative="1">
      <w:start w:val="1"/>
      <w:numFmt w:val="bullet"/>
      <w:lvlText w:val=""/>
      <w:lvlJc w:val="left"/>
      <w:pPr>
        <w:tabs>
          <w:tab w:val="num" w:pos="5040"/>
        </w:tabs>
        <w:ind w:left="5040" w:hanging="360"/>
      </w:pPr>
      <w:rPr>
        <w:rFonts w:ascii="Wingdings" w:hAnsi="Wingdings" w:hint="default"/>
      </w:rPr>
    </w:lvl>
    <w:lvl w:ilvl="7" w:tplc="0952EDE6" w:tentative="1">
      <w:start w:val="1"/>
      <w:numFmt w:val="bullet"/>
      <w:lvlText w:val=""/>
      <w:lvlJc w:val="left"/>
      <w:pPr>
        <w:tabs>
          <w:tab w:val="num" w:pos="5760"/>
        </w:tabs>
        <w:ind w:left="5760" w:hanging="360"/>
      </w:pPr>
      <w:rPr>
        <w:rFonts w:ascii="Wingdings" w:hAnsi="Wingdings" w:hint="default"/>
      </w:rPr>
    </w:lvl>
    <w:lvl w:ilvl="8" w:tplc="4174801E" w:tentative="1">
      <w:start w:val="1"/>
      <w:numFmt w:val="bullet"/>
      <w:lvlText w:val=""/>
      <w:lvlJc w:val="left"/>
      <w:pPr>
        <w:tabs>
          <w:tab w:val="num" w:pos="6480"/>
        </w:tabs>
        <w:ind w:left="6480" w:hanging="360"/>
      </w:pPr>
      <w:rPr>
        <w:rFonts w:ascii="Wingdings" w:hAnsi="Wingdings" w:hint="default"/>
      </w:rPr>
    </w:lvl>
  </w:abstractNum>
  <w:abstractNum w:abstractNumId="19">
    <w:nsid w:val="42FE4BE8"/>
    <w:multiLevelType w:val="hybridMultilevel"/>
    <w:tmpl w:val="7BD4F9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432F6B"/>
    <w:multiLevelType w:val="multilevel"/>
    <w:tmpl w:val="9E14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8D137C"/>
    <w:multiLevelType w:val="hybridMultilevel"/>
    <w:tmpl w:val="6CE8A0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6723FF9"/>
    <w:multiLevelType w:val="hybridMultilevel"/>
    <w:tmpl w:val="E9B2D85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79D0DF1"/>
    <w:multiLevelType w:val="hybridMultilevel"/>
    <w:tmpl w:val="F4445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5F5589"/>
    <w:multiLevelType w:val="hybridMultilevel"/>
    <w:tmpl w:val="741CF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D22C5A"/>
    <w:multiLevelType w:val="multilevel"/>
    <w:tmpl w:val="5EAE9346"/>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DC7FBF"/>
    <w:multiLevelType w:val="hybridMultilevel"/>
    <w:tmpl w:val="CED45160"/>
    <w:lvl w:ilvl="0" w:tplc="04BABF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5649038C"/>
    <w:multiLevelType w:val="hybridMultilevel"/>
    <w:tmpl w:val="C750E876"/>
    <w:lvl w:ilvl="0" w:tplc="FE882DF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FEC33D2"/>
    <w:multiLevelType w:val="hybridMultilevel"/>
    <w:tmpl w:val="866EB60E"/>
    <w:lvl w:ilvl="0" w:tplc="CC30CC0E">
      <w:start w:val="1"/>
      <w:numFmt w:val="bullet"/>
      <w:lvlText w:val=""/>
      <w:lvlJc w:val="left"/>
      <w:pPr>
        <w:tabs>
          <w:tab w:val="num" w:pos="720"/>
        </w:tabs>
        <w:ind w:left="720" w:hanging="360"/>
      </w:pPr>
      <w:rPr>
        <w:rFonts w:ascii="Wingdings" w:hAnsi="Wingdings" w:hint="default"/>
      </w:rPr>
    </w:lvl>
    <w:lvl w:ilvl="1" w:tplc="B82AC806" w:tentative="1">
      <w:start w:val="1"/>
      <w:numFmt w:val="bullet"/>
      <w:lvlText w:val=""/>
      <w:lvlJc w:val="left"/>
      <w:pPr>
        <w:tabs>
          <w:tab w:val="num" w:pos="1440"/>
        </w:tabs>
        <w:ind w:left="1440" w:hanging="360"/>
      </w:pPr>
      <w:rPr>
        <w:rFonts w:ascii="Wingdings" w:hAnsi="Wingdings" w:hint="default"/>
      </w:rPr>
    </w:lvl>
    <w:lvl w:ilvl="2" w:tplc="4BCC47B4">
      <w:start w:val="1"/>
      <w:numFmt w:val="bullet"/>
      <w:lvlText w:val=""/>
      <w:lvlJc w:val="left"/>
      <w:pPr>
        <w:tabs>
          <w:tab w:val="num" w:pos="2160"/>
        </w:tabs>
        <w:ind w:left="2160" w:hanging="360"/>
      </w:pPr>
      <w:rPr>
        <w:rFonts w:ascii="Wingdings" w:hAnsi="Wingdings" w:hint="default"/>
      </w:rPr>
    </w:lvl>
    <w:lvl w:ilvl="3" w:tplc="2E10A72C" w:tentative="1">
      <w:start w:val="1"/>
      <w:numFmt w:val="bullet"/>
      <w:lvlText w:val=""/>
      <w:lvlJc w:val="left"/>
      <w:pPr>
        <w:tabs>
          <w:tab w:val="num" w:pos="2880"/>
        </w:tabs>
        <w:ind w:left="2880" w:hanging="360"/>
      </w:pPr>
      <w:rPr>
        <w:rFonts w:ascii="Wingdings" w:hAnsi="Wingdings" w:hint="default"/>
      </w:rPr>
    </w:lvl>
    <w:lvl w:ilvl="4" w:tplc="B486FAA2" w:tentative="1">
      <w:start w:val="1"/>
      <w:numFmt w:val="bullet"/>
      <w:lvlText w:val=""/>
      <w:lvlJc w:val="left"/>
      <w:pPr>
        <w:tabs>
          <w:tab w:val="num" w:pos="3600"/>
        </w:tabs>
        <w:ind w:left="3600" w:hanging="360"/>
      </w:pPr>
      <w:rPr>
        <w:rFonts w:ascii="Wingdings" w:hAnsi="Wingdings" w:hint="default"/>
      </w:rPr>
    </w:lvl>
    <w:lvl w:ilvl="5" w:tplc="CE3A21C2" w:tentative="1">
      <w:start w:val="1"/>
      <w:numFmt w:val="bullet"/>
      <w:lvlText w:val=""/>
      <w:lvlJc w:val="left"/>
      <w:pPr>
        <w:tabs>
          <w:tab w:val="num" w:pos="4320"/>
        </w:tabs>
        <w:ind w:left="4320" w:hanging="360"/>
      </w:pPr>
      <w:rPr>
        <w:rFonts w:ascii="Wingdings" w:hAnsi="Wingdings" w:hint="default"/>
      </w:rPr>
    </w:lvl>
    <w:lvl w:ilvl="6" w:tplc="9502D4A4" w:tentative="1">
      <w:start w:val="1"/>
      <w:numFmt w:val="bullet"/>
      <w:lvlText w:val=""/>
      <w:lvlJc w:val="left"/>
      <w:pPr>
        <w:tabs>
          <w:tab w:val="num" w:pos="5040"/>
        </w:tabs>
        <w:ind w:left="5040" w:hanging="360"/>
      </w:pPr>
      <w:rPr>
        <w:rFonts w:ascii="Wingdings" w:hAnsi="Wingdings" w:hint="default"/>
      </w:rPr>
    </w:lvl>
    <w:lvl w:ilvl="7" w:tplc="163435AA" w:tentative="1">
      <w:start w:val="1"/>
      <w:numFmt w:val="bullet"/>
      <w:lvlText w:val=""/>
      <w:lvlJc w:val="left"/>
      <w:pPr>
        <w:tabs>
          <w:tab w:val="num" w:pos="5760"/>
        </w:tabs>
        <w:ind w:left="5760" w:hanging="360"/>
      </w:pPr>
      <w:rPr>
        <w:rFonts w:ascii="Wingdings" w:hAnsi="Wingdings" w:hint="default"/>
      </w:rPr>
    </w:lvl>
    <w:lvl w:ilvl="8" w:tplc="0B344D16" w:tentative="1">
      <w:start w:val="1"/>
      <w:numFmt w:val="bullet"/>
      <w:lvlText w:val=""/>
      <w:lvlJc w:val="left"/>
      <w:pPr>
        <w:tabs>
          <w:tab w:val="num" w:pos="6480"/>
        </w:tabs>
        <w:ind w:left="6480" w:hanging="360"/>
      </w:pPr>
      <w:rPr>
        <w:rFonts w:ascii="Wingdings" w:hAnsi="Wingdings" w:hint="default"/>
      </w:rPr>
    </w:lvl>
  </w:abstractNum>
  <w:abstractNum w:abstractNumId="29">
    <w:nsid w:val="60CF294E"/>
    <w:multiLevelType w:val="hybridMultilevel"/>
    <w:tmpl w:val="E0F4A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F71DF5"/>
    <w:multiLevelType w:val="hybridMultilevel"/>
    <w:tmpl w:val="115A0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191956"/>
    <w:multiLevelType w:val="hybridMultilevel"/>
    <w:tmpl w:val="4E66EF12"/>
    <w:lvl w:ilvl="0" w:tplc="07081D78">
      <w:start w:val="1"/>
      <w:numFmt w:val="bullet"/>
      <w:lvlText w:val=""/>
      <w:lvlJc w:val="left"/>
      <w:pPr>
        <w:tabs>
          <w:tab w:val="num" w:pos="720"/>
        </w:tabs>
        <w:ind w:left="720" w:hanging="360"/>
      </w:pPr>
      <w:rPr>
        <w:rFonts w:ascii="Wingdings" w:hAnsi="Wingdings" w:hint="default"/>
      </w:rPr>
    </w:lvl>
    <w:lvl w:ilvl="1" w:tplc="CA1043B8" w:tentative="1">
      <w:start w:val="1"/>
      <w:numFmt w:val="bullet"/>
      <w:lvlText w:val=""/>
      <w:lvlJc w:val="left"/>
      <w:pPr>
        <w:tabs>
          <w:tab w:val="num" w:pos="1440"/>
        </w:tabs>
        <w:ind w:left="1440" w:hanging="360"/>
      </w:pPr>
      <w:rPr>
        <w:rFonts w:ascii="Wingdings" w:hAnsi="Wingdings" w:hint="default"/>
      </w:rPr>
    </w:lvl>
    <w:lvl w:ilvl="2" w:tplc="76FE7B90">
      <w:start w:val="1"/>
      <w:numFmt w:val="bullet"/>
      <w:lvlText w:val=""/>
      <w:lvlJc w:val="left"/>
      <w:pPr>
        <w:tabs>
          <w:tab w:val="num" w:pos="2160"/>
        </w:tabs>
        <w:ind w:left="2160" w:hanging="360"/>
      </w:pPr>
      <w:rPr>
        <w:rFonts w:ascii="Wingdings" w:hAnsi="Wingdings" w:hint="default"/>
      </w:rPr>
    </w:lvl>
    <w:lvl w:ilvl="3" w:tplc="9EC094E0" w:tentative="1">
      <w:start w:val="1"/>
      <w:numFmt w:val="bullet"/>
      <w:lvlText w:val=""/>
      <w:lvlJc w:val="left"/>
      <w:pPr>
        <w:tabs>
          <w:tab w:val="num" w:pos="2880"/>
        </w:tabs>
        <w:ind w:left="2880" w:hanging="360"/>
      </w:pPr>
      <w:rPr>
        <w:rFonts w:ascii="Wingdings" w:hAnsi="Wingdings" w:hint="default"/>
      </w:rPr>
    </w:lvl>
    <w:lvl w:ilvl="4" w:tplc="03088F32" w:tentative="1">
      <w:start w:val="1"/>
      <w:numFmt w:val="bullet"/>
      <w:lvlText w:val=""/>
      <w:lvlJc w:val="left"/>
      <w:pPr>
        <w:tabs>
          <w:tab w:val="num" w:pos="3600"/>
        </w:tabs>
        <w:ind w:left="3600" w:hanging="360"/>
      </w:pPr>
      <w:rPr>
        <w:rFonts w:ascii="Wingdings" w:hAnsi="Wingdings" w:hint="default"/>
      </w:rPr>
    </w:lvl>
    <w:lvl w:ilvl="5" w:tplc="E004A2B8" w:tentative="1">
      <w:start w:val="1"/>
      <w:numFmt w:val="bullet"/>
      <w:lvlText w:val=""/>
      <w:lvlJc w:val="left"/>
      <w:pPr>
        <w:tabs>
          <w:tab w:val="num" w:pos="4320"/>
        </w:tabs>
        <w:ind w:left="4320" w:hanging="360"/>
      </w:pPr>
      <w:rPr>
        <w:rFonts w:ascii="Wingdings" w:hAnsi="Wingdings" w:hint="default"/>
      </w:rPr>
    </w:lvl>
    <w:lvl w:ilvl="6" w:tplc="1AC65F38" w:tentative="1">
      <w:start w:val="1"/>
      <w:numFmt w:val="bullet"/>
      <w:lvlText w:val=""/>
      <w:lvlJc w:val="left"/>
      <w:pPr>
        <w:tabs>
          <w:tab w:val="num" w:pos="5040"/>
        </w:tabs>
        <w:ind w:left="5040" w:hanging="360"/>
      </w:pPr>
      <w:rPr>
        <w:rFonts w:ascii="Wingdings" w:hAnsi="Wingdings" w:hint="default"/>
      </w:rPr>
    </w:lvl>
    <w:lvl w:ilvl="7" w:tplc="6D9C6DDA" w:tentative="1">
      <w:start w:val="1"/>
      <w:numFmt w:val="bullet"/>
      <w:lvlText w:val=""/>
      <w:lvlJc w:val="left"/>
      <w:pPr>
        <w:tabs>
          <w:tab w:val="num" w:pos="5760"/>
        </w:tabs>
        <w:ind w:left="5760" w:hanging="360"/>
      </w:pPr>
      <w:rPr>
        <w:rFonts w:ascii="Wingdings" w:hAnsi="Wingdings" w:hint="default"/>
      </w:rPr>
    </w:lvl>
    <w:lvl w:ilvl="8" w:tplc="A2D43A2C" w:tentative="1">
      <w:start w:val="1"/>
      <w:numFmt w:val="bullet"/>
      <w:lvlText w:val=""/>
      <w:lvlJc w:val="left"/>
      <w:pPr>
        <w:tabs>
          <w:tab w:val="num" w:pos="6480"/>
        </w:tabs>
        <w:ind w:left="6480" w:hanging="360"/>
      </w:pPr>
      <w:rPr>
        <w:rFonts w:ascii="Wingdings" w:hAnsi="Wingdings" w:hint="default"/>
      </w:rPr>
    </w:lvl>
  </w:abstractNum>
  <w:abstractNum w:abstractNumId="32">
    <w:nsid w:val="65263CD1"/>
    <w:multiLevelType w:val="hybridMultilevel"/>
    <w:tmpl w:val="D0D4FF08"/>
    <w:lvl w:ilvl="0" w:tplc="6D4A4292">
      <w:start w:val="1"/>
      <w:numFmt w:val="bullet"/>
      <w:lvlText w:val=""/>
      <w:lvlJc w:val="left"/>
      <w:pPr>
        <w:tabs>
          <w:tab w:val="num" w:pos="720"/>
        </w:tabs>
        <w:ind w:left="720" w:hanging="360"/>
      </w:pPr>
      <w:rPr>
        <w:rFonts w:ascii="Wingdings" w:hAnsi="Wingdings" w:hint="default"/>
      </w:rPr>
    </w:lvl>
    <w:lvl w:ilvl="1" w:tplc="58FE9C6C" w:tentative="1">
      <w:start w:val="1"/>
      <w:numFmt w:val="bullet"/>
      <w:lvlText w:val=""/>
      <w:lvlJc w:val="left"/>
      <w:pPr>
        <w:tabs>
          <w:tab w:val="num" w:pos="1440"/>
        </w:tabs>
        <w:ind w:left="1440" w:hanging="360"/>
      </w:pPr>
      <w:rPr>
        <w:rFonts w:ascii="Wingdings" w:hAnsi="Wingdings" w:hint="default"/>
      </w:rPr>
    </w:lvl>
    <w:lvl w:ilvl="2" w:tplc="690A1C94">
      <w:start w:val="1"/>
      <w:numFmt w:val="bullet"/>
      <w:lvlText w:val=""/>
      <w:lvlJc w:val="left"/>
      <w:pPr>
        <w:tabs>
          <w:tab w:val="num" w:pos="2160"/>
        </w:tabs>
        <w:ind w:left="2160" w:hanging="360"/>
      </w:pPr>
      <w:rPr>
        <w:rFonts w:ascii="Wingdings" w:hAnsi="Wingdings" w:hint="default"/>
      </w:rPr>
    </w:lvl>
    <w:lvl w:ilvl="3" w:tplc="B4EEBE94" w:tentative="1">
      <w:start w:val="1"/>
      <w:numFmt w:val="bullet"/>
      <w:lvlText w:val=""/>
      <w:lvlJc w:val="left"/>
      <w:pPr>
        <w:tabs>
          <w:tab w:val="num" w:pos="2880"/>
        </w:tabs>
        <w:ind w:left="2880" w:hanging="360"/>
      </w:pPr>
      <w:rPr>
        <w:rFonts w:ascii="Wingdings" w:hAnsi="Wingdings" w:hint="default"/>
      </w:rPr>
    </w:lvl>
    <w:lvl w:ilvl="4" w:tplc="ACB4E622" w:tentative="1">
      <w:start w:val="1"/>
      <w:numFmt w:val="bullet"/>
      <w:lvlText w:val=""/>
      <w:lvlJc w:val="left"/>
      <w:pPr>
        <w:tabs>
          <w:tab w:val="num" w:pos="3600"/>
        </w:tabs>
        <w:ind w:left="3600" w:hanging="360"/>
      </w:pPr>
      <w:rPr>
        <w:rFonts w:ascii="Wingdings" w:hAnsi="Wingdings" w:hint="default"/>
      </w:rPr>
    </w:lvl>
    <w:lvl w:ilvl="5" w:tplc="3E8C0A38" w:tentative="1">
      <w:start w:val="1"/>
      <w:numFmt w:val="bullet"/>
      <w:lvlText w:val=""/>
      <w:lvlJc w:val="left"/>
      <w:pPr>
        <w:tabs>
          <w:tab w:val="num" w:pos="4320"/>
        </w:tabs>
        <w:ind w:left="4320" w:hanging="360"/>
      </w:pPr>
      <w:rPr>
        <w:rFonts w:ascii="Wingdings" w:hAnsi="Wingdings" w:hint="default"/>
      </w:rPr>
    </w:lvl>
    <w:lvl w:ilvl="6" w:tplc="77626248" w:tentative="1">
      <w:start w:val="1"/>
      <w:numFmt w:val="bullet"/>
      <w:lvlText w:val=""/>
      <w:lvlJc w:val="left"/>
      <w:pPr>
        <w:tabs>
          <w:tab w:val="num" w:pos="5040"/>
        </w:tabs>
        <w:ind w:left="5040" w:hanging="360"/>
      </w:pPr>
      <w:rPr>
        <w:rFonts w:ascii="Wingdings" w:hAnsi="Wingdings" w:hint="default"/>
      </w:rPr>
    </w:lvl>
    <w:lvl w:ilvl="7" w:tplc="0220E3BC" w:tentative="1">
      <w:start w:val="1"/>
      <w:numFmt w:val="bullet"/>
      <w:lvlText w:val=""/>
      <w:lvlJc w:val="left"/>
      <w:pPr>
        <w:tabs>
          <w:tab w:val="num" w:pos="5760"/>
        </w:tabs>
        <w:ind w:left="5760" w:hanging="360"/>
      </w:pPr>
      <w:rPr>
        <w:rFonts w:ascii="Wingdings" w:hAnsi="Wingdings" w:hint="default"/>
      </w:rPr>
    </w:lvl>
    <w:lvl w:ilvl="8" w:tplc="4AF06E28" w:tentative="1">
      <w:start w:val="1"/>
      <w:numFmt w:val="bullet"/>
      <w:lvlText w:val=""/>
      <w:lvlJc w:val="left"/>
      <w:pPr>
        <w:tabs>
          <w:tab w:val="num" w:pos="6480"/>
        </w:tabs>
        <w:ind w:left="6480" w:hanging="360"/>
      </w:pPr>
      <w:rPr>
        <w:rFonts w:ascii="Wingdings" w:hAnsi="Wingdings" w:hint="default"/>
      </w:rPr>
    </w:lvl>
  </w:abstractNum>
  <w:abstractNum w:abstractNumId="33">
    <w:nsid w:val="69BF0ED4"/>
    <w:multiLevelType w:val="hybridMultilevel"/>
    <w:tmpl w:val="3CC0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AFA51C9"/>
    <w:multiLevelType w:val="hybridMultilevel"/>
    <w:tmpl w:val="84A66E04"/>
    <w:lvl w:ilvl="0" w:tplc="2D545C52">
      <w:start w:val="1"/>
      <w:numFmt w:val="bullet"/>
      <w:lvlText w:val=""/>
      <w:lvlJc w:val="left"/>
      <w:pPr>
        <w:tabs>
          <w:tab w:val="num" w:pos="720"/>
        </w:tabs>
        <w:ind w:left="720" w:hanging="360"/>
      </w:pPr>
      <w:rPr>
        <w:rFonts w:ascii="Wingdings" w:hAnsi="Wingdings" w:hint="default"/>
      </w:rPr>
    </w:lvl>
    <w:lvl w:ilvl="1" w:tplc="37901B0E" w:tentative="1">
      <w:start w:val="1"/>
      <w:numFmt w:val="bullet"/>
      <w:lvlText w:val=""/>
      <w:lvlJc w:val="left"/>
      <w:pPr>
        <w:tabs>
          <w:tab w:val="num" w:pos="1440"/>
        </w:tabs>
        <w:ind w:left="1440" w:hanging="360"/>
      </w:pPr>
      <w:rPr>
        <w:rFonts w:ascii="Wingdings" w:hAnsi="Wingdings" w:hint="default"/>
      </w:rPr>
    </w:lvl>
    <w:lvl w:ilvl="2" w:tplc="40601ACE">
      <w:start w:val="1"/>
      <w:numFmt w:val="bullet"/>
      <w:lvlText w:val=""/>
      <w:lvlJc w:val="left"/>
      <w:pPr>
        <w:tabs>
          <w:tab w:val="num" w:pos="2160"/>
        </w:tabs>
        <w:ind w:left="2160" w:hanging="360"/>
      </w:pPr>
      <w:rPr>
        <w:rFonts w:ascii="Wingdings" w:hAnsi="Wingdings" w:hint="default"/>
      </w:rPr>
    </w:lvl>
    <w:lvl w:ilvl="3" w:tplc="BAD4F372" w:tentative="1">
      <w:start w:val="1"/>
      <w:numFmt w:val="bullet"/>
      <w:lvlText w:val=""/>
      <w:lvlJc w:val="left"/>
      <w:pPr>
        <w:tabs>
          <w:tab w:val="num" w:pos="2880"/>
        </w:tabs>
        <w:ind w:left="2880" w:hanging="360"/>
      </w:pPr>
      <w:rPr>
        <w:rFonts w:ascii="Wingdings" w:hAnsi="Wingdings" w:hint="default"/>
      </w:rPr>
    </w:lvl>
    <w:lvl w:ilvl="4" w:tplc="0596BFEE" w:tentative="1">
      <w:start w:val="1"/>
      <w:numFmt w:val="bullet"/>
      <w:lvlText w:val=""/>
      <w:lvlJc w:val="left"/>
      <w:pPr>
        <w:tabs>
          <w:tab w:val="num" w:pos="3600"/>
        </w:tabs>
        <w:ind w:left="3600" w:hanging="360"/>
      </w:pPr>
      <w:rPr>
        <w:rFonts w:ascii="Wingdings" w:hAnsi="Wingdings" w:hint="default"/>
      </w:rPr>
    </w:lvl>
    <w:lvl w:ilvl="5" w:tplc="92425418" w:tentative="1">
      <w:start w:val="1"/>
      <w:numFmt w:val="bullet"/>
      <w:lvlText w:val=""/>
      <w:lvlJc w:val="left"/>
      <w:pPr>
        <w:tabs>
          <w:tab w:val="num" w:pos="4320"/>
        </w:tabs>
        <w:ind w:left="4320" w:hanging="360"/>
      </w:pPr>
      <w:rPr>
        <w:rFonts w:ascii="Wingdings" w:hAnsi="Wingdings" w:hint="default"/>
      </w:rPr>
    </w:lvl>
    <w:lvl w:ilvl="6" w:tplc="8FF0782E" w:tentative="1">
      <w:start w:val="1"/>
      <w:numFmt w:val="bullet"/>
      <w:lvlText w:val=""/>
      <w:lvlJc w:val="left"/>
      <w:pPr>
        <w:tabs>
          <w:tab w:val="num" w:pos="5040"/>
        </w:tabs>
        <w:ind w:left="5040" w:hanging="360"/>
      </w:pPr>
      <w:rPr>
        <w:rFonts w:ascii="Wingdings" w:hAnsi="Wingdings" w:hint="default"/>
      </w:rPr>
    </w:lvl>
    <w:lvl w:ilvl="7" w:tplc="0CE64444" w:tentative="1">
      <w:start w:val="1"/>
      <w:numFmt w:val="bullet"/>
      <w:lvlText w:val=""/>
      <w:lvlJc w:val="left"/>
      <w:pPr>
        <w:tabs>
          <w:tab w:val="num" w:pos="5760"/>
        </w:tabs>
        <w:ind w:left="5760" w:hanging="360"/>
      </w:pPr>
      <w:rPr>
        <w:rFonts w:ascii="Wingdings" w:hAnsi="Wingdings" w:hint="default"/>
      </w:rPr>
    </w:lvl>
    <w:lvl w:ilvl="8" w:tplc="48401F70" w:tentative="1">
      <w:start w:val="1"/>
      <w:numFmt w:val="bullet"/>
      <w:lvlText w:val=""/>
      <w:lvlJc w:val="left"/>
      <w:pPr>
        <w:tabs>
          <w:tab w:val="num" w:pos="6480"/>
        </w:tabs>
        <w:ind w:left="6480" w:hanging="360"/>
      </w:pPr>
      <w:rPr>
        <w:rFonts w:ascii="Wingdings" w:hAnsi="Wingdings" w:hint="default"/>
      </w:rPr>
    </w:lvl>
  </w:abstractNum>
  <w:abstractNum w:abstractNumId="35">
    <w:nsid w:val="6B045269"/>
    <w:multiLevelType w:val="hybridMultilevel"/>
    <w:tmpl w:val="76A2A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EAB56A2"/>
    <w:multiLevelType w:val="hybridMultilevel"/>
    <w:tmpl w:val="6A746C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45F240C"/>
    <w:multiLevelType w:val="hybridMultilevel"/>
    <w:tmpl w:val="388849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A0F6887"/>
    <w:multiLevelType w:val="hybridMultilevel"/>
    <w:tmpl w:val="A2566236"/>
    <w:lvl w:ilvl="0" w:tplc="1FBA75B2">
      <w:start w:val="1"/>
      <w:numFmt w:val="bullet"/>
      <w:lvlText w:val=""/>
      <w:lvlJc w:val="left"/>
      <w:pPr>
        <w:tabs>
          <w:tab w:val="num" w:pos="720"/>
        </w:tabs>
        <w:ind w:left="720" w:hanging="360"/>
      </w:pPr>
      <w:rPr>
        <w:rFonts w:ascii="Wingdings" w:hAnsi="Wingdings" w:hint="default"/>
      </w:rPr>
    </w:lvl>
    <w:lvl w:ilvl="1" w:tplc="B4466C3C">
      <w:start w:val="1"/>
      <w:numFmt w:val="bullet"/>
      <w:lvlText w:val=""/>
      <w:lvlJc w:val="left"/>
      <w:pPr>
        <w:tabs>
          <w:tab w:val="num" w:pos="1440"/>
        </w:tabs>
        <w:ind w:left="1440" w:hanging="360"/>
      </w:pPr>
      <w:rPr>
        <w:rFonts w:ascii="Wingdings" w:hAnsi="Wingdings" w:hint="default"/>
      </w:rPr>
    </w:lvl>
    <w:lvl w:ilvl="2" w:tplc="AF3C1920" w:tentative="1">
      <w:start w:val="1"/>
      <w:numFmt w:val="bullet"/>
      <w:lvlText w:val=""/>
      <w:lvlJc w:val="left"/>
      <w:pPr>
        <w:tabs>
          <w:tab w:val="num" w:pos="2160"/>
        </w:tabs>
        <w:ind w:left="2160" w:hanging="360"/>
      </w:pPr>
      <w:rPr>
        <w:rFonts w:ascii="Wingdings" w:hAnsi="Wingdings" w:hint="default"/>
      </w:rPr>
    </w:lvl>
    <w:lvl w:ilvl="3" w:tplc="330A7648" w:tentative="1">
      <w:start w:val="1"/>
      <w:numFmt w:val="bullet"/>
      <w:lvlText w:val=""/>
      <w:lvlJc w:val="left"/>
      <w:pPr>
        <w:tabs>
          <w:tab w:val="num" w:pos="2880"/>
        </w:tabs>
        <w:ind w:left="2880" w:hanging="360"/>
      </w:pPr>
      <w:rPr>
        <w:rFonts w:ascii="Wingdings" w:hAnsi="Wingdings" w:hint="default"/>
      </w:rPr>
    </w:lvl>
    <w:lvl w:ilvl="4" w:tplc="42DAF1CC" w:tentative="1">
      <w:start w:val="1"/>
      <w:numFmt w:val="bullet"/>
      <w:lvlText w:val=""/>
      <w:lvlJc w:val="left"/>
      <w:pPr>
        <w:tabs>
          <w:tab w:val="num" w:pos="3600"/>
        </w:tabs>
        <w:ind w:left="3600" w:hanging="360"/>
      </w:pPr>
      <w:rPr>
        <w:rFonts w:ascii="Wingdings" w:hAnsi="Wingdings" w:hint="default"/>
      </w:rPr>
    </w:lvl>
    <w:lvl w:ilvl="5" w:tplc="EA1AA57A" w:tentative="1">
      <w:start w:val="1"/>
      <w:numFmt w:val="bullet"/>
      <w:lvlText w:val=""/>
      <w:lvlJc w:val="left"/>
      <w:pPr>
        <w:tabs>
          <w:tab w:val="num" w:pos="4320"/>
        </w:tabs>
        <w:ind w:left="4320" w:hanging="360"/>
      </w:pPr>
      <w:rPr>
        <w:rFonts w:ascii="Wingdings" w:hAnsi="Wingdings" w:hint="default"/>
      </w:rPr>
    </w:lvl>
    <w:lvl w:ilvl="6" w:tplc="BEF091CA" w:tentative="1">
      <w:start w:val="1"/>
      <w:numFmt w:val="bullet"/>
      <w:lvlText w:val=""/>
      <w:lvlJc w:val="left"/>
      <w:pPr>
        <w:tabs>
          <w:tab w:val="num" w:pos="5040"/>
        </w:tabs>
        <w:ind w:left="5040" w:hanging="360"/>
      </w:pPr>
      <w:rPr>
        <w:rFonts w:ascii="Wingdings" w:hAnsi="Wingdings" w:hint="default"/>
      </w:rPr>
    </w:lvl>
    <w:lvl w:ilvl="7" w:tplc="665E9070" w:tentative="1">
      <w:start w:val="1"/>
      <w:numFmt w:val="bullet"/>
      <w:lvlText w:val=""/>
      <w:lvlJc w:val="left"/>
      <w:pPr>
        <w:tabs>
          <w:tab w:val="num" w:pos="5760"/>
        </w:tabs>
        <w:ind w:left="5760" w:hanging="360"/>
      </w:pPr>
      <w:rPr>
        <w:rFonts w:ascii="Wingdings" w:hAnsi="Wingdings" w:hint="default"/>
      </w:rPr>
    </w:lvl>
    <w:lvl w:ilvl="8" w:tplc="9E2EDCBE" w:tentative="1">
      <w:start w:val="1"/>
      <w:numFmt w:val="bullet"/>
      <w:lvlText w:val=""/>
      <w:lvlJc w:val="left"/>
      <w:pPr>
        <w:tabs>
          <w:tab w:val="num" w:pos="6480"/>
        </w:tabs>
        <w:ind w:left="6480" w:hanging="360"/>
      </w:pPr>
      <w:rPr>
        <w:rFonts w:ascii="Wingdings" w:hAnsi="Wingdings" w:hint="default"/>
      </w:rPr>
    </w:lvl>
  </w:abstractNum>
  <w:abstractNum w:abstractNumId="39">
    <w:nsid w:val="7CDA7EAF"/>
    <w:multiLevelType w:val="hybridMultilevel"/>
    <w:tmpl w:val="7972A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D737887"/>
    <w:multiLevelType w:val="hybridMultilevel"/>
    <w:tmpl w:val="04B04C3C"/>
    <w:lvl w:ilvl="0" w:tplc="3EDE22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DE2917"/>
    <w:multiLevelType w:val="hybridMultilevel"/>
    <w:tmpl w:val="0C6CD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30"/>
  </w:num>
  <w:num w:numId="4">
    <w:abstractNumId w:val="31"/>
  </w:num>
  <w:num w:numId="5">
    <w:abstractNumId w:val="22"/>
  </w:num>
  <w:num w:numId="6">
    <w:abstractNumId w:val="5"/>
  </w:num>
  <w:num w:numId="7">
    <w:abstractNumId w:val="32"/>
  </w:num>
  <w:num w:numId="8">
    <w:abstractNumId w:val="14"/>
  </w:num>
  <w:num w:numId="9">
    <w:abstractNumId w:val="28"/>
  </w:num>
  <w:num w:numId="10">
    <w:abstractNumId w:val="34"/>
  </w:num>
  <w:num w:numId="11">
    <w:abstractNumId w:val="7"/>
  </w:num>
  <w:num w:numId="12">
    <w:abstractNumId w:val="12"/>
  </w:num>
  <w:num w:numId="13">
    <w:abstractNumId w:val="18"/>
  </w:num>
  <w:num w:numId="14">
    <w:abstractNumId w:val="6"/>
  </w:num>
  <w:num w:numId="15">
    <w:abstractNumId w:val="11"/>
  </w:num>
  <w:num w:numId="16">
    <w:abstractNumId w:val="4"/>
  </w:num>
  <w:num w:numId="17">
    <w:abstractNumId w:val="9"/>
  </w:num>
  <w:num w:numId="18">
    <w:abstractNumId w:val="15"/>
  </w:num>
  <w:num w:numId="19">
    <w:abstractNumId w:val="35"/>
  </w:num>
  <w:num w:numId="20">
    <w:abstractNumId w:val="13"/>
  </w:num>
  <w:num w:numId="21">
    <w:abstractNumId w:val="0"/>
  </w:num>
  <w:num w:numId="22">
    <w:abstractNumId w:val="38"/>
  </w:num>
  <w:num w:numId="23">
    <w:abstractNumId w:val="23"/>
  </w:num>
  <w:num w:numId="24">
    <w:abstractNumId w:val="26"/>
  </w:num>
  <w:num w:numId="25">
    <w:abstractNumId w:val="8"/>
  </w:num>
  <w:num w:numId="26">
    <w:abstractNumId w:val="36"/>
  </w:num>
  <w:num w:numId="27">
    <w:abstractNumId w:val="29"/>
  </w:num>
  <w:num w:numId="28">
    <w:abstractNumId w:val="40"/>
  </w:num>
  <w:num w:numId="29">
    <w:abstractNumId w:val="41"/>
  </w:num>
  <w:num w:numId="30">
    <w:abstractNumId w:val="27"/>
  </w:num>
  <w:num w:numId="31">
    <w:abstractNumId w:val="19"/>
  </w:num>
  <w:num w:numId="32">
    <w:abstractNumId w:val="37"/>
  </w:num>
  <w:num w:numId="33">
    <w:abstractNumId w:val="24"/>
  </w:num>
  <w:num w:numId="34">
    <w:abstractNumId w:val="1"/>
  </w:num>
  <w:num w:numId="35">
    <w:abstractNumId w:val="21"/>
  </w:num>
  <w:num w:numId="36">
    <w:abstractNumId w:val="3"/>
  </w:num>
  <w:num w:numId="37">
    <w:abstractNumId w:val="25"/>
    <w:lvlOverride w:ilvl="0">
      <w:startOverride w:val="13"/>
    </w:lvlOverride>
  </w:num>
  <w:num w:numId="38">
    <w:abstractNumId w:val="10"/>
    <w:lvlOverride w:ilvl="0">
      <w:startOverride w:val="620"/>
    </w:lvlOverride>
  </w:num>
  <w:num w:numId="39">
    <w:abstractNumId w:val="10"/>
    <w:lvlOverride w:ilvl="0">
      <w:startOverride w:val="621"/>
    </w:lvlOverride>
  </w:num>
  <w:num w:numId="40">
    <w:abstractNumId w:val="10"/>
    <w:lvlOverride w:ilvl="0">
      <w:startOverride w:val="622"/>
    </w:lvlOverride>
  </w:num>
  <w:num w:numId="41">
    <w:abstractNumId w:val="10"/>
    <w:lvlOverride w:ilvl="0">
      <w:startOverride w:val="623"/>
    </w:lvlOverride>
  </w:num>
  <w:num w:numId="42">
    <w:abstractNumId w:val="16"/>
    <w:lvlOverride w:ilvl="0">
      <w:startOverride w:val="12"/>
    </w:lvlOverride>
  </w:num>
  <w:num w:numId="43">
    <w:abstractNumId w:val="20"/>
    <w:lvlOverride w:ilvl="0">
      <w:startOverride w:val="41"/>
    </w:lvlOverride>
  </w:num>
  <w:num w:numId="44">
    <w:abstractNumId w:val="20"/>
    <w:lvlOverride w:ilvl="0">
      <w:startOverride w:val="42"/>
    </w:lvlOverride>
  </w:num>
  <w:num w:numId="45">
    <w:abstractNumId w:val="39"/>
  </w:num>
  <w:num w:numId="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TrackMoves/>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166"/>
    <w:rsid w:val="00002987"/>
    <w:rsid w:val="00003F12"/>
    <w:rsid w:val="00004757"/>
    <w:rsid w:val="000063A8"/>
    <w:rsid w:val="00007CE6"/>
    <w:rsid w:val="0001040E"/>
    <w:rsid w:val="000119FA"/>
    <w:rsid w:val="000127C2"/>
    <w:rsid w:val="0001293B"/>
    <w:rsid w:val="000139D3"/>
    <w:rsid w:val="00014FA3"/>
    <w:rsid w:val="00015E9A"/>
    <w:rsid w:val="00017BEB"/>
    <w:rsid w:val="000215B7"/>
    <w:rsid w:val="0002199A"/>
    <w:rsid w:val="00025427"/>
    <w:rsid w:val="000264FF"/>
    <w:rsid w:val="000267B2"/>
    <w:rsid w:val="00030680"/>
    <w:rsid w:val="00031472"/>
    <w:rsid w:val="00031C9D"/>
    <w:rsid w:val="00032A47"/>
    <w:rsid w:val="0003327D"/>
    <w:rsid w:val="00033B02"/>
    <w:rsid w:val="000348DD"/>
    <w:rsid w:val="0003557C"/>
    <w:rsid w:val="0003583C"/>
    <w:rsid w:val="000360D5"/>
    <w:rsid w:val="000366C6"/>
    <w:rsid w:val="000379C4"/>
    <w:rsid w:val="00040DB5"/>
    <w:rsid w:val="00041F32"/>
    <w:rsid w:val="00042298"/>
    <w:rsid w:val="0004375D"/>
    <w:rsid w:val="00044A6C"/>
    <w:rsid w:val="00045609"/>
    <w:rsid w:val="00046532"/>
    <w:rsid w:val="0004658B"/>
    <w:rsid w:val="0004714A"/>
    <w:rsid w:val="00047E2B"/>
    <w:rsid w:val="0005191A"/>
    <w:rsid w:val="00051DFC"/>
    <w:rsid w:val="000520ED"/>
    <w:rsid w:val="00052880"/>
    <w:rsid w:val="00053C99"/>
    <w:rsid w:val="000552A5"/>
    <w:rsid w:val="00055C18"/>
    <w:rsid w:val="00057A8C"/>
    <w:rsid w:val="00060207"/>
    <w:rsid w:val="000607EA"/>
    <w:rsid w:val="00060F52"/>
    <w:rsid w:val="00060FFC"/>
    <w:rsid w:val="000615E4"/>
    <w:rsid w:val="00061ADE"/>
    <w:rsid w:val="00065A77"/>
    <w:rsid w:val="00066833"/>
    <w:rsid w:val="0006700C"/>
    <w:rsid w:val="000674A1"/>
    <w:rsid w:val="000674BB"/>
    <w:rsid w:val="000678A0"/>
    <w:rsid w:val="000702F8"/>
    <w:rsid w:val="00071C38"/>
    <w:rsid w:val="000722B1"/>
    <w:rsid w:val="00072C96"/>
    <w:rsid w:val="00074456"/>
    <w:rsid w:val="0007508A"/>
    <w:rsid w:val="00076BDB"/>
    <w:rsid w:val="00076DAD"/>
    <w:rsid w:val="00080049"/>
    <w:rsid w:val="000812E9"/>
    <w:rsid w:val="00081AD1"/>
    <w:rsid w:val="0008312A"/>
    <w:rsid w:val="000850E9"/>
    <w:rsid w:val="00085388"/>
    <w:rsid w:val="000859FC"/>
    <w:rsid w:val="00085C69"/>
    <w:rsid w:val="0008652D"/>
    <w:rsid w:val="00086B0F"/>
    <w:rsid w:val="00086D0F"/>
    <w:rsid w:val="0009093D"/>
    <w:rsid w:val="0009121D"/>
    <w:rsid w:val="00092C72"/>
    <w:rsid w:val="00092EBF"/>
    <w:rsid w:val="00094029"/>
    <w:rsid w:val="00095BB4"/>
    <w:rsid w:val="00096B47"/>
    <w:rsid w:val="000A0A14"/>
    <w:rsid w:val="000A1EBB"/>
    <w:rsid w:val="000A260F"/>
    <w:rsid w:val="000A32A6"/>
    <w:rsid w:val="000A34FD"/>
    <w:rsid w:val="000A350A"/>
    <w:rsid w:val="000A35BB"/>
    <w:rsid w:val="000A3608"/>
    <w:rsid w:val="000A3864"/>
    <w:rsid w:val="000A4790"/>
    <w:rsid w:val="000A5AB4"/>
    <w:rsid w:val="000A67F0"/>
    <w:rsid w:val="000A6C6C"/>
    <w:rsid w:val="000B0F04"/>
    <w:rsid w:val="000B15F4"/>
    <w:rsid w:val="000B20A2"/>
    <w:rsid w:val="000B27E7"/>
    <w:rsid w:val="000B4E64"/>
    <w:rsid w:val="000B539E"/>
    <w:rsid w:val="000B5967"/>
    <w:rsid w:val="000C37D9"/>
    <w:rsid w:val="000C39F2"/>
    <w:rsid w:val="000C3D2C"/>
    <w:rsid w:val="000C4F5A"/>
    <w:rsid w:val="000C5272"/>
    <w:rsid w:val="000C57A7"/>
    <w:rsid w:val="000C6743"/>
    <w:rsid w:val="000C7EEB"/>
    <w:rsid w:val="000D0347"/>
    <w:rsid w:val="000D0369"/>
    <w:rsid w:val="000D1AD5"/>
    <w:rsid w:val="000D3766"/>
    <w:rsid w:val="000D4FA7"/>
    <w:rsid w:val="000D639B"/>
    <w:rsid w:val="000D7F9E"/>
    <w:rsid w:val="000E2511"/>
    <w:rsid w:val="000E3C83"/>
    <w:rsid w:val="000E63AC"/>
    <w:rsid w:val="000E6465"/>
    <w:rsid w:val="000E6E56"/>
    <w:rsid w:val="000E7C72"/>
    <w:rsid w:val="000F0B9E"/>
    <w:rsid w:val="000F0EDF"/>
    <w:rsid w:val="000F1058"/>
    <w:rsid w:val="000F1F8A"/>
    <w:rsid w:val="000F343D"/>
    <w:rsid w:val="000F3F8E"/>
    <w:rsid w:val="000F503A"/>
    <w:rsid w:val="000F514F"/>
    <w:rsid w:val="000F5502"/>
    <w:rsid w:val="000F6B68"/>
    <w:rsid w:val="000F6DBA"/>
    <w:rsid w:val="00100429"/>
    <w:rsid w:val="001024A5"/>
    <w:rsid w:val="00104443"/>
    <w:rsid w:val="00105164"/>
    <w:rsid w:val="001059D4"/>
    <w:rsid w:val="00105A2D"/>
    <w:rsid w:val="001060A1"/>
    <w:rsid w:val="001069B7"/>
    <w:rsid w:val="001104D8"/>
    <w:rsid w:val="001105FC"/>
    <w:rsid w:val="0011285F"/>
    <w:rsid w:val="00112A98"/>
    <w:rsid w:val="001134C8"/>
    <w:rsid w:val="001139AE"/>
    <w:rsid w:val="001153A3"/>
    <w:rsid w:val="00115A9A"/>
    <w:rsid w:val="00116503"/>
    <w:rsid w:val="00117BD2"/>
    <w:rsid w:val="00120733"/>
    <w:rsid w:val="001208BC"/>
    <w:rsid w:val="00120993"/>
    <w:rsid w:val="00121766"/>
    <w:rsid w:val="001227E8"/>
    <w:rsid w:val="00122D64"/>
    <w:rsid w:val="00123E92"/>
    <w:rsid w:val="00126D39"/>
    <w:rsid w:val="001270BB"/>
    <w:rsid w:val="0013026E"/>
    <w:rsid w:val="0013153E"/>
    <w:rsid w:val="00131667"/>
    <w:rsid w:val="00132203"/>
    <w:rsid w:val="00132746"/>
    <w:rsid w:val="001350A7"/>
    <w:rsid w:val="00135128"/>
    <w:rsid w:val="00135642"/>
    <w:rsid w:val="001364DF"/>
    <w:rsid w:val="001367A5"/>
    <w:rsid w:val="0013690E"/>
    <w:rsid w:val="00136B6E"/>
    <w:rsid w:val="00137C56"/>
    <w:rsid w:val="001417C9"/>
    <w:rsid w:val="00142818"/>
    <w:rsid w:val="001431BA"/>
    <w:rsid w:val="00143477"/>
    <w:rsid w:val="001434CD"/>
    <w:rsid w:val="0014674D"/>
    <w:rsid w:val="00146B10"/>
    <w:rsid w:val="00150CB0"/>
    <w:rsid w:val="0015113F"/>
    <w:rsid w:val="00151C39"/>
    <w:rsid w:val="00151EF1"/>
    <w:rsid w:val="001537C7"/>
    <w:rsid w:val="001563C6"/>
    <w:rsid w:val="00156AF4"/>
    <w:rsid w:val="001600D5"/>
    <w:rsid w:val="001615F1"/>
    <w:rsid w:val="00161C3B"/>
    <w:rsid w:val="0016209D"/>
    <w:rsid w:val="00163315"/>
    <w:rsid w:val="00163A88"/>
    <w:rsid w:val="00164325"/>
    <w:rsid w:val="00164DBB"/>
    <w:rsid w:val="00165279"/>
    <w:rsid w:val="0016603A"/>
    <w:rsid w:val="001730B9"/>
    <w:rsid w:val="00173376"/>
    <w:rsid w:val="00175CEC"/>
    <w:rsid w:val="0017628D"/>
    <w:rsid w:val="00176C40"/>
    <w:rsid w:val="001772E4"/>
    <w:rsid w:val="00177C64"/>
    <w:rsid w:val="00177D00"/>
    <w:rsid w:val="00180356"/>
    <w:rsid w:val="001869A1"/>
    <w:rsid w:val="0019112F"/>
    <w:rsid w:val="001915BA"/>
    <w:rsid w:val="00192758"/>
    <w:rsid w:val="00192DCC"/>
    <w:rsid w:val="0019361F"/>
    <w:rsid w:val="001946A1"/>
    <w:rsid w:val="00194DF7"/>
    <w:rsid w:val="001957F3"/>
    <w:rsid w:val="0019695A"/>
    <w:rsid w:val="0019771F"/>
    <w:rsid w:val="001A08AF"/>
    <w:rsid w:val="001A137D"/>
    <w:rsid w:val="001A1B12"/>
    <w:rsid w:val="001A325F"/>
    <w:rsid w:val="001A4153"/>
    <w:rsid w:val="001A4819"/>
    <w:rsid w:val="001A588F"/>
    <w:rsid w:val="001A6C68"/>
    <w:rsid w:val="001A7762"/>
    <w:rsid w:val="001B2716"/>
    <w:rsid w:val="001B2AF8"/>
    <w:rsid w:val="001B2C6F"/>
    <w:rsid w:val="001B3408"/>
    <w:rsid w:val="001B3C3D"/>
    <w:rsid w:val="001B46B3"/>
    <w:rsid w:val="001B4FE1"/>
    <w:rsid w:val="001B69DA"/>
    <w:rsid w:val="001B6C59"/>
    <w:rsid w:val="001C0177"/>
    <w:rsid w:val="001C1082"/>
    <w:rsid w:val="001C39B4"/>
    <w:rsid w:val="001C49FC"/>
    <w:rsid w:val="001C5105"/>
    <w:rsid w:val="001C6F65"/>
    <w:rsid w:val="001C7EC6"/>
    <w:rsid w:val="001D1ABA"/>
    <w:rsid w:val="001D22B6"/>
    <w:rsid w:val="001D3484"/>
    <w:rsid w:val="001D4072"/>
    <w:rsid w:val="001D4E27"/>
    <w:rsid w:val="001D56AF"/>
    <w:rsid w:val="001D6E39"/>
    <w:rsid w:val="001D7BF1"/>
    <w:rsid w:val="001D7F85"/>
    <w:rsid w:val="001E03EC"/>
    <w:rsid w:val="001E08E2"/>
    <w:rsid w:val="001E4D39"/>
    <w:rsid w:val="001E5C9F"/>
    <w:rsid w:val="001E7306"/>
    <w:rsid w:val="001F0F2F"/>
    <w:rsid w:val="001F28B1"/>
    <w:rsid w:val="001F2AF3"/>
    <w:rsid w:val="001F2BFA"/>
    <w:rsid w:val="001F2F15"/>
    <w:rsid w:val="001F30B7"/>
    <w:rsid w:val="001F3BCA"/>
    <w:rsid w:val="001F3FC5"/>
    <w:rsid w:val="001F63B6"/>
    <w:rsid w:val="001F6683"/>
    <w:rsid w:val="001F6D1B"/>
    <w:rsid w:val="001F7195"/>
    <w:rsid w:val="001F764D"/>
    <w:rsid w:val="00200301"/>
    <w:rsid w:val="00200FE8"/>
    <w:rsid w:val="00201A23"/>
    <w:rsid w:val="002038D9"/>
    <w:rsid w:val="00206202"/>
    <w:rsid w:val="00206A27"/>
    <w:rsid w:val="0021064F"/>
    <w:rsid w:val="002129C1"/>
    <w:rsid w:val="002136A5"/>
    <w:rsid w:val="00214279"/>
    <w:rsid w:val="00214F76"/>
    <w:rsid w:val="00215357"/>
    <w:rsid w:val="00215ECE"/>
    <w:rsid w:val="00216113"/>
    <w:rsid w:val="00216748"/>
    <w:rsid w:val="00217407"/>
    <w:rsid w:val="00217B8F"/>
    <w:rsid w:val="00217C92"/>
    <w:rsid w:val="00221439"/>
    <w:rsid w:val="00222151"/>
    <w:rsid w:val="00222A5D"/>
    <w:rsid w:val="00222B05"/>
    <w:rsid w:val="002237FB"/>
    <w:rsid w:val="00224908"/>
    <w:rsid w:val="00225CF1"/>
    <w:rsid w:val="00226522"/>
    <w:rsid w:val="002267F7"/>
    <w:rsid w:val="00226DA8"/>
    <w:rsid w:val="00227190"/>
    <w:rsid w:val="00227BA5"/>
    <w:rsid w:val="00227E40"/>
    <w:rsid w:val="002329DE"/>
    <w:rsid w:val="0023411B"/>
    <w:rsid w:val="00234741"/>
    <w:rsid w:val="0023557D"/>
    <w:rsid w:val="00236CE2"/>
    <w:rsid w:val="00237C75"/>
    <w:rsid w:val="00237D16"/>
    <w:rsid w:val="002404EE"/>
    <w:rsid w:val="00240638"/>
    <w:rsid w:val="00240E16"/>
    <w:rsid w:val="0024173D"/>
    <w:rsid w:val="00241A11"/>
    <w:rsid w:val="00241DED"/>
    <w:rsid w:val="00242331"/>
    <w:rsid w:val="00242444"/>
    <w:rsid w:val="00242D5B"/>
    <w:rsid w:val="0024392C"/>
    <w:rsid w:val="00244669"/>
    <w:rsid w:val="00244D35"/>
    <w:rsid w:val="00244E86"/>
    <w:rsid w:val="00245FB2"/>
    <w:rsid w:val="00246322"/>
    <w:rsid w:val="002468BF"/>
    <w:rsid w:val="00250BFE"/>
    <w:rsid w:val="00251955"/>
    <w:rsid w:val="00251D79"/>
    <w:rsid w:val="00253140"/>
    <w:rsid w:val="00254194"/>
    <w:rsid w:val="0025443A"/>
    <w:rsid w:val="00255B74"/>
    <w:rsid w:val="00256FEA"/>
    <w:rsid w:val="00257926"/>
    <w:rsid w:val="00260410"/>
    <w:rsid w:val="00260ADA"/>
    <w:rsid w:val="00261065"/>
    <w:rsid w:val="00262382"/>
    <w:rsid w:val="002625E6"/>
    <w:rsid w:val="00262832"/>
    <w:rsid w:val="00263AAA"/>
    <w:rsid w:val="00264398"/>
    <w:rsid w:val="002655D2"/>
    <w:rsid w:val="00265CD9"/>
    <w:rsid w:val="00266D1B"/>
    <w:rsid w:val="0026711B"/>
    <w:rsid w:val="00267FC7"/>
    <w:rsid w:val="00270166"/>
    <w:rsid w:val="0027038C"/>
    <w:rsid w:val="00270D8D"/>
    <w:rsid w:val="00272219"/>
    <w:rsid w:val="00273DCF"/>
    <w:rsid w:val="0027450E"/>
    <w:rsid w:val="002747CE"/>
    <w:rsid w:val="00274D0B"/>
    <w:rsid w:val="00274F0D"/>
    <w:rsid w:val="002768D8"/>
    <w:rsid w:val="00276E6A"/>
    <w:rsid w:val="002772CE"/>
    <w:rsid w:val="00277832"/>
    <w:rsid w:val="00277CFC"/>
    <w:rsid w:val="002800A5"/>
    <w:rsid w:val="00282BEB"/>
    <w:rsid w:val="00284CC9"/>
    <w:rsid w:val="00287718"/>
    <w:rsid w:val="00287D56"/>
    <w:rsid w:val="00287E91"/>
    <w:rsid w:val="0029005A"/>
    <w:rsid w:val="00291ADF"/>
    <w:rsid w:val="002958E7"/>
    <w:rsid w:val="002964EF"/>
    <w:rsid w:val="002A4C28"/>
    <w:rsid w:val="002A551E"/>
    <w:rsid w:val="002B03EA"/>
    <w:rsid w:val="002B05FF"/>
    <w:rsid w:val="002B1678"/>
    <w:rsid w:val="002B22B7"/>
    <w:rsid w:val="002B3098"/>
    <w:rsid w:val="002B3B3F"/>
    <w:rsid w:val="002B46A0"/>
    <w:rsid w:val="002B557E"/>
    <w:rsid w:val="002B5732"/>
    <w:rsid w:val="002B6FEF"/>
    <w:rsid w:val="002C1CED"/>
    <w:rsid w:val="002C2635"/>
    <w:rsid w:val="002C28FE"/>
    <w:rsid w:val="002C2B5F"/>
    <w:rsid w:val="002C440F"/>
    <w:rsid w:val="002C53B1"/>
    <w:rsid w:val="002C7801"/>
    <w:rsid w:val="002C7E9D"/>
    <w:rsid w:val="002D2E2C"/>
    <w:rsid w:val="002D469B"/>
    <w:rsid w:val="002D50CB"/>
    <w:rsid w:val="002D6AD7"/>
    <w:rsid w:val="002E1A69"/>
    <w:rsid w:val="002E2328"/>
    <w:rsid w:val="002E28EA"/>
    <w:rsid w:val="002E3A79"/>
    <w:rsid w:val="002E41C5"/>
    <w:rsid w:val="002E4965"/>
    <w:rsid w:val="002E4BAF"/>
    <w:rsid w:val="002E4D0B"/>
    <w:rsid w:val="002E4D66"/>
    <w:rsid w:val="002E5CB1"/>
    <w:rsid w:val="002E6947"/>
    <w:rsid w:val="002E6B16"/>
    <w:rsid w:val="002F004D"/>
    <w:rsid w:val="002F1499"/>
    <w:rsid w:val="002F1EB2"/>
    <w:rsid w:val="002F2C0E"/>
    <w:rsid w:val="002F366A"/>
    <w:rsid w:val="002F39F2"/>
    <w:rsid w:val="002F5A35"/>
    <w:rsid w:val="002F5EA5"/>
    <w:rsid w:val="002F6EB0"/>
    <w:rsid w:val="002F7DD5"/>
    <w:rsid w:val="002F7E30"/>
    <w:rsid w:val="0030154E"/>
    <w:rsid w:val="00302FA5"/>
    <w:rsid w:val="00303555"/>
    <w:rsid w:val="00303B14"/>
    <w:rsid w:val="00303B26"/>
    <w:rsid w:val="003042B7"/>
    <w:rsid w:val="003050AB"/>
    <w:rsid w:val="00305260"/>
    <w:rsid w:val="00306FEC"/>
    <w:rsid w:val="0030760B"/>
    <w:rsid w:val="003109EF"/>
    <w:rsid w:val="00312401"/>
    <w:rsid w:val="00313F16"/>
    <w:rsid w:val="00316B86"/>
    <w:rsid w:val="00317CB9"/>
    <w:rsid w:val="003206A9"/>
    <w:rsid w:val="003219B7"/>
    <w:rsid w:val="0032250D"/>
    <w:rsid w:val="00324892"/>
    <w:rsid w:val="00324A98"/>
    <w:rsid w:val="00324C0E"/>
    <w:rsid w:val="00324DDF"/>
    <w:rsid w:val="00326EB4"/>
    <w:rsid w:val="003273DA"/>
    <w:rsid w:val="00330126"/>
    <w:rsid w:val="0033031D"/>
    <w:rsid w:val="00330D8B"/>
    <w:rsid w:val="003314D9"/>
    <w:rsid w:val="0033176C"/>
    <w:rsid w:val="00331873"/>
    <w:rsid w:val="00331A6F"/>
    <w:rsid w:val="0033240B"/>
    <w:rsid w:val="003334F9"/>
    <w:rsid w:val="00333792"/>
    <w:rsid w:val="003346B5"/>
    <w:rsid w:val="00334785"/>
    <w:rsid w:val="00336DA9"/>
    <w:rsid w:val="00337079"/>
    <w:rsid w:val="00337361"/>
    <w:rsid w:val="0033772B"/>
    <w:rsid w:val="00344D5E"/>
    <w:rsid w:val="00345EC6"/>
    <w:rsid w:val="00347F64"/>
    <w:rsid w:val="00351CA4"/>
    <w:rsid w:val="00354AE3"/>
    <w:rsid w:val="003573DE"/>
    <w:rsid w:val="00362382"/>
    <w:rsid w:val="00363243"/>
    <w:rsid w:val="0036327E"/>
    <w:rsid w:val="00363445"/>
    <w:rsid w:val="00364FD4"/>
    <w:rsid w:val="00365579"/>
    <w:rsid w:val="00366E18"/>
    <w:rsid w:val="00371F4F"/>
    <w:rsid w:val="00372A95"/>
    <w:rsid w:val="0037325D"/>
    <w:rsid w:val="003750D6"/>
    <w:rsid w:val="00376032"/>
    <w:rsid w:val="00376F87"/>
    <w:rsid w:val="0037706B"/>
    <w:rsid w:val="003771B2"/>
    <w:rsid w:val="0037744E"/>
    <w:rsid w:val="00377E32"/>
    <w:rsid w:val="00381582"/>
    <w:rsid w:val="00381B0E"/>
    <w:rsid w:val="00382BEB"/>
    <w:rsid w:val="003839CA"/>
    <w:rsid w:val="00383A9D"/>
    <w:rsid w:val="00385964"/>
    <w:rsid w:val="00386101"/>
    <w:rsid w:val="00387A28"/>
    <w:rsid w:val="00387FB0"/>
    <w:rsid w:val="003916E1"/>
    <w:rsid w:val="003922D0"/>
    <w:rsid w:val="0039232C"/>
    <w:rsid w:val="0039344E"/>
    <w:rsid w:val="00394D9C"/>
    <w:rsid w:val="00395B78"/>
    <w:rsid w:val="00395F1E"/>
    <w:rsid w:val="00396EA1"/>
    <w:rsid w:val="003A03C6"/>
    <w:rsid w:val="003A0402"/>
    <w:rsid w:val="003A13BD"/>
    <w:rsid w:val="003A232D"/>
    <w:rsid w:val="003A235E"/>
    <w:rsid w:val="003A2B01"/>
    <w:rsid w:val="003A2C98"/>
    <w:rsid w:val="003A33CE"/>
    <w:rsid w:val="003A3974"/>
    <w:rsid w:val="003A5782"/>
    <w:rsid w:val="003A5A5A"/>
    <w:rsid w:val="003A616C"/>
    <w:rsid w:val="003A66AB"/>
    <w:rsid w:val="003B006F"/>
    <w:rsid w:val="003B0328"/>
    <w:rsid w:val="003B0A3D"/>
    <w:rsid w:val="003B0D6B"/>
    <w:rsid w:val="003B1C67"/>
    <w:rsid w:val="003B2FCC"/>
    <w:rsid w:val="003B48F2"/>
    <w:rsid w:val="003B5A13"/>
    <w:rsid w:val="003B7215"/>
    <w:rsid w:val="003B7DAC"/>
    <w:rsid w:val="003C1686"/>
    <w:rsid w:val="003C16F3"/>
    <w:rsid w:val="003C2DD1"/>
    <w:rsid w:val="003C2F4C"/>
    <w:rsid w:val="003C3BD0"/>
    <w:rsid w:val="003C3CA3"/>
    <w:rsid w:val="003C69E5"/>
    <w:rsid w:val="003C7D23"/>
    <w:rsid w:val="003D32AD"/>
    <w:rsid w:val="003D39EC"/>
    <w:rsid w:val="003D3EB1"/>
    <w:rsid w:val="003D401F"/>
    <w:rsid w:val="003D475F"/>
    <w:rsid w:val="003D4D5B"/>
    <w:rsid w:val="003E004D"/>
    <w:rsid w:val="003E10F3"/>
    <w:rsid w:val="003E2017"/>
    <w:rsid w:val="003E3545"/>
    <w:rsid w:val="003E3F3D"/>
    <w:rsid w:val="003E55F5"/>
    <w:rsid w:val="003E6AFC"/>
    <w:rsid w:val="003F09AF"/>
    <w:rsid w:val="003F3052"/>
    <w:rsid w:val="003F5BEB"/>
    <w:rsid w:val="003F7DD4"/>
    <w:rsid w:val="00402B41"/>
    <w:rsid w:val="00403494"/>
    <w:rsid w:val="00405DD7"/>
    <w:rsid w:val="00406F4D"/>
    <w:rsid w:val="00407E28"/>
    <w:rsid w:val="0041036C"/>
    <w:rsid w:val="004114E5"/>
    <w:rsid w:val="0041384D"/>
    <w:rsid w:val="004138FD"/>
    <w:rsid w:val="00413C14"/>
    <w:rsid w:val="0041459F"/>
    <w:rsid w:val="0041471D"/>
    <w:rsid w:val="00414E85"/>
    <w:rsid w:val="004154B5"/>
    <w:rsid w:val="00415BEE"/>
    <w:rsid w:val="00416DF8"/>
    <w:rsid w:val="00417401"/>
    <w:rsid w:val="0042021E"/>
    <w:rsid w:val="00420814"/>
    <w:rsid w:val="00422646"/>
    <w:rsid w:val="00425E0E"/>
    <w:rsid w:val="004307D5"/>
    <w:rsid w:val="00434A0C"/>
    <w:rsid w:val="00434B85"/>
    <w:rsid w:val="00434FA3"/>
    <w:rsid w:val="00436C92"/>
    <w:rsid w:val="00441A34"/>
    <w:rsid w:val="00441EB5"/>
    <w:rsid w:val="00442214"/>
    <w:rsid w:val="004424DE"/>
    <w:rsid w:val="00446474"/>
    <w:rsid w:val="00446A47"/>
    <w:rsid w:val="00446D09"/>
    <w:rsid w:val="00446F65"/>
    <w:rsid w:val="00447395"/>
    <w:rsid w:val="00447B2E"/>
    <w:rsid w:val="004508FF"/>
    <w:rsid w:val="00450C20"/>
    <w:rsid w:val="0045156C"/>
    <w:rsid w:val="00451D07"/>
    <w:rsid w:val="00451E55"/>
    <w:rsid w:val="00454310"/>
    <w:rsid w:val="00454387"/>
    <w:rsid w:val="004557B2"/>
    <w:rsid w:val="00455FB0"/>
    <w:rsid w:val="004570D4"/>
    <w:rsid w:val="00457682"/>
    <w:rsid w:val="0046024E"/>
    <w:rsid w:val="0046096B"/>
    <w:rsid w:val="00460DEA"/>
    <w:rsid w:val="00461504"/>
    <w:rsid w:val="00462CA8"/>
    <w:rsid w:val="00463692"/>
    <w:rsid w:val="00464054"/>
    <w:rsid w:val="00465DF7"/>
    <w:rsid w:val="00467325"/>
    <w:rsid w:val="00467D73"/>
    <w:rsid w:val="00470A65"/>
    <w:rsid w:val="00473084"/>
    <w:rsid w:val="0047437C"/>
    <w:rsid w:val="004745C5"/>
    <w:rsid w:val="00474BC2"/>
    <w:rsid w:val="00474E19"/>
    <w:rsid w:val="00475CE8"/>
    <w:rsid w:val="004767C0"/>
    <w:rsid w:val="00476905"/>
    <w:rsid w:val="004772BC"/>
    <w:rsid w:val="00477929"/>
    <w:rsid w:val="004779C2"/>
    <w:rsid w:val="00480DB3"/>
    <w:rsid w:val="00483395"/>
    <w:rsid w:val="004835E8"/>
    <w:rsid w:val="00484071"/>
    <w:rsid w:val="00485747"/>
    <w:rsid w:val="00485868"/>
    <w:rsid w:val="00485F6A"/>
    <w:rsid w:val="00485F85"/>
    <w:rsid w:val="004867D8"/>
    <w:rsid w:val="00486863"/>
    <w:rsid w:val="00486AA9"/>
    <w:rsid w:val="00487FDD"/>
    <w:rsid w:val="00487FFE"/>
    <w:rsid w:val="004951F1"/>
    <w:rsid w:val="004A0C0E"/>
    <w:rsid w:val="004A2914"/>
    <w:rsid w:val="004A32C0"/>
    <w:rsid w:val="004A32F1"/>
    <w:rsid w:val="004A375A"/>
    <w:rsid w:val="004A3E7B"/>
    <w:rsid w:val="004A498A"/>
    <w:rsid w:val="004A50D4"/>
    <w:rsid w:val="004A52D0"/>
    <w:rsid w:val="004A5BAD"/>
    <w:rsid w:val="004A5DD7"/>
    <w:rsid w:val="004B034A"/>
    <w:rsid w:val="004B1780"/>
    <w:rsid w:val="004B1992"/>
    <w:rsid w:val="004B279B"/>
    <w:rsid w:val="004B27E5"/>
    <w:rsid w:val="004B3AB7"/>
    <w:rsid w:val="004B4077"/>
    <w:rsid w:val="004B47C5"/>
    <w:rsid w:val="004B5490"/>
    <w:rsid w:val="004B5E5C"/>
    <w:rsid w:val="004B609C"/>
    <w:rsid w:val="004B712D"/>
    <w:rsid w:val="004B717D"/>
    <w:rsid w:val="004B753C"/>
    <w:rsid w:val="004B7D19"/>
    <w:rsid w:val="004C124B"/>
    <w:rsid w:val="004C19FB"/>
    <w:rsid w:val="004C2081"/>
    <w:rsid w:val="004C2EDF"/>
    <w:rsid w:val="004C3B35"/>
    <w:rsid w:val="004C5362"/>
    <w:rsid w:val="004C57B0"/>
    <w:rsid w:val="004C5984"/>
    <w:rsid w:val="004C646F"/>
    <w:rsid w:val="004C64A2"/>
    <w:rsid w:val="004C65AD"/>
    <w:rsid w:val="004C6732"/>
    <w:rsid w:val="004C6D1E"/>
    <w:rsid w:val="004D0377"/>
    <w:rsid w:val="004D05FB"/>
    <w:rsid w:val="004D1089"/>
    <w:rsid w:val="004D18D9"/>
    <w:rsid w:val="004D19A0"/>
    <w:rsid w:val="004D371A"/>
    <w:rsid w:val="004D42D9"/>
    <w:rsid w:val="004D4863"/>
    <w:rsid w:val="004D55CC"/>
    <w:rsid w:val="004E52D3"/>
    <w:rsid w:val="004E5559"/>
    <w:rsid w:val="004E6F6A"/>
    <w:rsid w:val="004E77A6"/>
    <w:rsid w:val="004E7C58"/>
    <w:rsid w:val="004F0716"/>
    <w:rsid w:val="004F1A14"/>
    <w:rsid w:val="004F1CD3"/>
    <w:rsid w:val="004F2A7E"/>
    <w:rsid w:val="004F2DD8"/>
    <w:rsid w:val="004F302B"/>
    <w:rsid w:val="004F4DE6"/>
    <w:rsid w:val="004F4F93"/>
    <w:rsid w:val="004F5098"/>
    <w:rsid w:val="004F58F8"/>
    <w:rsid w:val="004F5FB1"/>
    <w:rsid w:val="004F68F3"/>
    <w:rsid w:val="004F6A1D"/>
    <w:rsid w:val="00500C5F"/>
    <w:rsid w:val="00500D13"/>
    <w:rsid w:val="00500F4D"/>
    <w:rsid w:val="0050127A"/>
    <w:rsid w:val="0050288B"/>
    <w:rsid w:val="00502F2D"/>
    <w:rsid w:val="00504792"/>
    <w:rsid w:val="00505766"/>
    <w:rsid w:val="005076A4"/>
    <w:rsid w:val="005104FA"/>
    <w:rsid w:val="0051050E"/>
    <w:rsid w:val="00510D8B"/>
    <w:rsid w:val="00510EC3"/>
    <w:rsid w:val="0051168F"/>
    <w:rsid w:val="0051171B"/>
    <w:rsid w:val="00512250"/>
    <w:rsid w:val="00512FA6"/>
    <w:rsid w:val="00514640"/>
    <w:rsid w:val="00516275"/>
    <w:rsid w:val="0052148F"/>
    <w:rsid w:val="005242E7"/>
    <w:rsid w:val="0052565F"/>
    <w:rsid w:val="00526C70"/>
    <w:rsid w:val="00527E00"/>
    <w:rsid w:val="00531C3E"/>
    <w:rsid w:val="00531ED1"/>
    <w:rsid w:val="00532FBC"/>
    <w:rsid w:val="0053346C"/>
    <w:rsid w:val="00533AD1"/>
    <w:rsid w:val="00533D63"/>
    <w:rsid w:val="00533DD3"/>
    <w:rsid w:val="005358ED"/>
    <w:rsid w:val="0053753E"/>
    <w:rsid w:val="005407A2"/>
    <w:rsid w:val="00540950"/>
    <w:rsid w:val="005411A7"/>
    <w:rsid w:val="0054171C"/>
    <w:rsid w:val="0054242C"/>
    <w:rsid w:val="00544F67"/>
    <w:rsid w:val="00546171"/>
    <w:rsid w:val="005462EF"/>
    <w:rsid w:val="0055004A"/>
    <w:rsid w:val="005509B0"/>
    <w:rsid w:val="00551DB1"/>
    <w:rsid w:val="00554EBF"/>
    <w:rsid w:val="005559C4"/>
    <w:rsid w:val="005561DD"/>
    <w:rsid w:val="0056019A"/>
    <w:rsid w:val="00561EAE"/>
    <w:rsid w:val="00564622"/>
    <w:rsid w:val="00565CC0"/>
    <w:rsid w:val="00565EBF"/>
    <w:rsid w:val="00566A30"/>
    <w:rsid w:val="00566D7D"/>
    <w:rsid w:val="00566DD1"/>
    <w:rsid w:val="00566EF2"/>
    <w:rsid w:val="00567C0B"/>
    <w:rsid w:val="005704C5"/>
    <w:rsid w:val="005726C3"/>
    <w:rsid w:val="00573E8C"/>
    <w:rsid w:val="005746FF"/>
    <w:rsid w:val="0058035B"/>
    <w:rsid w:val="005820FD"/>
    <w:rsid w:val="00582607"/>
    <w:rsid w:val="005866AF"/>
    <w:rsid w:val="005873A0"/>
    <w:rsid w:val="005908A2"/>
    <w:rsid w:val="005934EA"/>
    <w:rsid w:val="00596272"/>
    <w:rsid w:val="005963A7"/>
    <w:rsid w:val="00596645"/>
    <w:rsid w:val="0059677F"/>
    <w:rsid w:val="005A036C"/>
    <w:rsid w:val="005A2682"/>
    <w:rsid w:val="005A2E2F"/>
    <w:rsid w:val="005A2FD4"/>
    <w:rsid w:val="005A3419"/>
    <w:rsid w:val="005A3EAA"/>
    <w:rsid w:val="005A3F2F"/>
    <w:rsid w:val="005A4B96"/>
    <w:rsid w:val="005A4F4E"/>
    <w:rsid w:val="005A59FA"/>
    <w:rsid w:val="005A6475"/>
    <w:rsid w:val="005A73BF"/>
    <w:rsid w:val="005B01F3"/>
    <w:rsid w:val="005B03E8"/>
    <w:rsid w:val="005B1797"/>
    <w:rsid w:val="005B1EFE"/>
    <w:rsid w:val="005B39C5"/>
    <w:rsid w:val="005B5332"/>
    <w:rsid w:val="005B5B84"/>
    <w:rsid w:val="005B5DCE"/>
    <w:rsid w:val="005B5F30"/>
    <w:rsid w:val="005B60CC"/>
    <w:rsid w:val="005B7D3A"/>
    <w:rsid w:val="005C0329"/>
    <w:rsid w:val="005C5A8B"/>
    <w:rsid w:val="005C65D1"/>
    <w:rsid w:val="005C67D1"/>
    <w:rsid w:val="005C7801"/>
    <w:rsid w:val="005C7C92"/>
    <w:rsid w:val="005D059C"/>
    <w:rsid w:val="005D1218"/>
    <w:rsid w:val="005D1778"/>
    <w:rsid w:val="005D3D71"/>
    <w:rsid w:val="005D406E"/>
    <w:rsid w:val="005D463C"/>
    <w:rsid w:val="005D6968"/>
    <w:rsid w:val="005D7F92"/>
    <w:rsid w:val="005E2713"/>
    <w:rsid w:val="005E491B"/>
    <w:rsid w:val="005E7539"/>
    <w:rsid w:val="005F07AE"/>
    <w:rsid w:val="005F0B42"/>
    <w:rsid w:val="005F0F07"/>
    <w:rsid w:val="005F37D3"/>
    <w:rsid w:val="005F4030"/>
    <w:rsid w:val="005F481F"/>
    <w:rsid w:val="005F5396"/>
    <w:rsid w:val="005F7767"/>
    <w:rsid w:val="00600EED"/>
    <w:rsid w:val="00601048"/>
    <w:rsid w:val="006010A0"/>
    <w:rsid w:val="00603278"/>
    <w:rsid w:val="00603B8F"/>
    <w:rsid w:val="0060633B"/>
    <w:rsid w:val="00611565"/>
    <w:rsid w:val="0061173F"/>
    <w:rsid w:val="00612521"/>
    <w:rsid w:val="00612D0A"/>
    <w:rsid w:val="00612EDE"/>
    <w:rsid w:val="00615852"/>
    <w:rsid w:val="00615888"/>
    <w:rsid w:val="006166FC"/>
    <w:rsid w:val="006176B2"/>
    <w:rsid w:val="00620D64"/>
    <w:rsid w:val="00621F2C"/>
    <w:rsid w:val="0062211F"/>
    <w:rsid w:val="00622E42"/>
    <w:rsid w:val="006278CC"/>
    <w:rsid w:val="00630AD8"/>
    <w:rsid w:val="00630B85"/>
    <w:rsid w:val="006315EF"/>
    <w:rsid w:val="00632CCE"/>
    <w:rsid w:val="00633CE9"/>
    <w:rsid w:val="00633EBC"/>
    <w:rsid w:val="006343F3"/>
    <w:rsid w:val="0063451C"/>
    <w:rsid w:val="0063471D"/>
    <w:rsid w:val="006355E3"/>
    <w:rsid w:val="006356DF"/>
    <w:rsid w:val="00635864"/>
    <w:rsid w:val="006407B7"/>
    <w:rsid w:val="00643AA0"/>
    <w:rsid w:val="00644539"/>
    <w:rsid w:val="006452F6"/>
    <w:rsid w:val="00645C9D"/>
    <w:rsid w:val="00646412"/>
    <w:rsid w:val="00650420"/>
    <w:rsid w:val="00651CC0"/>
    <w:rsid w:val="006529F1"/>
    <w:rsid w:val="006536EB"/>
    <w:rsid w:val="00654DE7"/>
    <w:rsid w:val="00655624"/>
    <w:rsid w:val="00655648"/>
    <w:rsid w:val="006558BF"/>
    <w:rsid w:val="006571A4"/>
    <w:rsid w:val="00662938"/>
    <w:rsid w:val="0066482F"/>
    <w:rsid w:val="00664B08"/>
    <w:rsid w:val="00664C38"/>
    <w:rsid w:val="00664F5B"/>
    <w:rsid w:val="00665279"/>
    <w:rsid w:val="0066590A"/>
    <w:rsid w:val="00665995"/>
    <w:rsid w:val="00666269"/>
    <w:rsid w:val="0066665C"/>
    <w:rsid w:val="006666AB"/>
    <w:rsid w:val="006671D1"/>
    <w:rsid w:val="00671B5C"/>
    <w:rsid w:val="00671E84"/>
    <w:rsid w:val="006731D6"/>
    <w:rsid w:val="00673938"/>
    <w:rsid w:val="00673B9A"/>
    <w:rsid w:val="00674BCC"/>
    <w:rsid w:val="00674CA1"/>
    <w:rsid w:val="006758E2"/>
    <w:rsid w:val="00676DBC"/>
    <w:rsid w:val="00681D76"/>
    <w:rsid w:val="00682B50"/>
    <w:rsid w:val="00683C99"/>
    <w:rsid w:val="00684267"/>
    <w:rsid w:val="0068457A"/>
    <w:rsid w:val="00690C75"/>
    <w:rsid w:val="00690D79"/>
    <w:rsid w:val="006919EA"/>
    <w:rsid w:val="00691CC8"/>
    <w:rsid w:val="006931A6"/>
    <w:rsid w:val="00693C23"/>
    <w:rsid w:val="00694473"/>
    <w:rsid w:val="00694EA7"/>
    <w:rsid w:val="00695E0E"/>
    <w:rsid w:val="00696AC0"/>
    <w:rsid w:val="00697A85"/>
    <w:rsid w:val="006A105B"/>
    <w:rsid w:val="006A23B3"/>
    <w:rsid w:val="006A2A5D"/>
    <w:rsid w:val="006A3032"/>
    <w:rsid w:val="006A5CD8"/>
    <w:rsid w:val="006A6714"/>
    <w:rsid w:val="006A71B8"/>
    <w:rsid w:val="006A75B1"/>
    <w:rsid w:val="006B06CB"/>
    <w:rsid w:val="006B0A8C"/>
    <w:rsid w:val="006B0F71"/>
    <w:rsid w:val="006B1CBA"/>
    <w:rsid w:val="006B49DC"/>
    <w:rsid w:val="006B524C"/>
    <w:rsid w:val="006B52AD"/>
    <w:rsid w:val="006B6849"/>
    <w:rsid w:val="006B7601"/>
    <w:rsid w:val="006B77F4"/>
    <w:rsid w:val="006C2476"/>
    <w:rsid w:val="006C293E"/>
    <w:rsid w:val="006C57B9"/>
    <w:rsid w:val="006C7E17"/>
    <w:rsid w:val="006D0153"/>
    <w:rsid w:val="006D17C9"/>
    <w:rsid w:val="006D1D72"/>
    <w:rsid w:val="006D3421"/>
    <w:rsid w:val="006D3596"/>
    <w:rsid w:val="006D5107"/>
    <w:rsid w:val="006D6B87"/>
    <w:rsid w:val="006D6F79"/>
    <w:rsid w:val="006D7210"/>
    <w:rsid w:val="006D73F0"/>
    <w:rsid w:val="006E0279"/>
    <w:rsid w:val="006E1541"/>
    <w:rsid w:val="006E2403"/>
    <w:rsid w:val="006E3E8C"/>
    <w:rsid w:val="006E6384"/>
    <w:rsid w:val="006E679C"/>
    <w:rsid w:val="006E69DB"/>
    <w:rsid w:val="006E6D48"/>
    <w:rsid w:val="006E7247"/>
    <w:rsid w:val="006F0B70"/>
    <w:rsid w:val="006F0D6A"/>
    <w:rsid w:val="006F1F25"/>
    <w:rsid w:val="006F3F42"/>
    <w:rsid w:val="006F4A50"/>
    <w:rsid w:val="006F6A15"/>
    <w:rsid w:val="006F6C8B"/>
    <w:rsid w:val="006F7345"/>
    <w:rsid w:val="007006D1"/>
    <w:rsid w:val="00702CC7"/>
    <w:rsid w:val="00703242"/>
    <w:rsid w:val="0070343E"/>
    <w:rsid w:val="00703715"/>
    <w:rsid w:val="007038E5"/>
    <w:rsid w:val="00705741"/>
    <w:rsid w:val="007067D2"/>
    <w:rsid w:val="00707038"/>
    <w:rsid w:val="007072A1"/>
    <w:rsid w:val="007075AC"/>
    <w:rsid w:val="00710B94"/>
    <w:rsid w:val="0071242B"/>
    <w:rsid w:val="00712718"/>
    <w:rsid w:val="00713AE6"/>
    <w:rsid w:val="00714E49"/>
    <w:rsid w:val="007152F6"/>
    <w:rsid w:val="00715ECD"/>
    <w:rsid w:val="007164BC"/>
    <w:rsid w:val="007212A7"/>
    <w:rsid w:val="007216E1"/>
    <w:rsid w:val="00721801"/>
    <w:rsid w:val="00722BDB"/>
    <w:rsid w:val="00723276"/>
    <w:rsid w:val="007239A1"/>
    <w:rsid w:val="00723C24"/>
    <w:rsid w:val="00724169"/>
    <w:rsid w:val="00725019"/>
    <w:rsid w:val="00726398"/>
    <w:rsid w:val="007269BB"/>
    <w:rsid w:val="0073110A"/>
    <w:rsid w:val="00732076"/>
    <w:rsid w:val="00734A0D"/>
    <w:rsid w:val="00734C72"/>
    <w:rsid w:val="0073587D"/>
    <w:rsid w:val="00735E9D"/>
    <w:rsid w:val="007360D7"/>
    <w:rsid w:val="00736D94"/>
    <w:rsid w:val="00736F8C"/>
    <w:rsid w:val="007400EA"/>
    <w:rsid w:val="00740EF5"/>
    <w:rsid w:val="00740F62"/>
    <w:rsid w:val="007410FA"/>
    <w:rsid w:val="00741449"/>
    <w:rsid w:val="007428F9"/>
    <w:rsid w:val="0074354C"/>
    <w:rsid w:val="0074412E"/>
    <w:rsid w:val="00744C39"/>
    <w:rsid w:val="00750746"/>
    <w:rsid w:val="007509DC"/>
    <w:rsid w:val="0075144C"/>
    <w:rsid w:val="00751867"/>
    <w:rsid w:val="00752C79"/>
    <w:rsid w:val="00752D3D"/>
    <w:rsid w:val="00753ABE"/>
    <w:rsid w:val="00754E83"/>
    <w:rsid w:val="00755F42"/>
    <w:rsid w:val="007560E7"/>
    <w:rsid w:val="0075610E"/>
    <w:rsid w:val="007561E3"/>
    <w:rsid w:val="00757EA5"/>
    <w:rsid w:val="0076087F"/>
    <w:rsid w:val="00761F46"/>
    <w:rsid w:val="00763F1D"/>
    <w:rsid w:val="007658BC"/>
    <w:rsid w:val="007658F9"/>
    <w:rsid w:val="00765A41"/>
    <w:rsid w:val="00765B5D"/>
    <w:rsid w:val="00766ED1"/>
    <w:rsid w:val="00770A2B"/>
    <w:rsid w:val="0077105D"/>
    <w:rsid w:val="007712E0"/>
    <w:rsid w:val="007717BB"/>
    <w:rsid w:val="00772A8F"/>
    <w:rsid w:val="00777CEA"/>
    <w:rsid w:val="00777FD6"/>
    <w:rsid w:val="00780FF4"/>
    <w:rsid w:val="00782595"/>
    <w:rsid w:val="00782738"/>
    <w:rsid w:val="00784473"/>
    <w:rsid w:val="00785115"/>
    <w:rsid w:val="00786730"/>
    <w:rsid w:val="00787B91"/>
    <w:rsid w:val="00790ACF"/>
    <w:rsid w:val="00790C6B"/>
    <w:rsid w:val="00792E76"/>
    <w:rsid w:val="00795C47"/>
    <w:rsid w:val="00796FED"/>
    <w:rsid w:val="00797236"/>
    <w:rsid w:val="007978F9"/>
    <w:rsid w:val="0079791C"/>
    <w:rsid w:val="00797F02"/>
    <w:rsid w:val="007A02C2"/>
    <w:rsid w:val="007A1B47"/>
    <w:rsid w:val="007A2146"/>
    <w:rsid w:val="007A3552"/>
    <w:rsid w:val="007A37E6"/>
    <w:rsid w:val="007A3DB7"/>
    <w:rsid w:val="007A5092"/>
    <w:rsid w:val="007B0DA5"/>
    <w:rsid w:val="007B18C0"/>
    <w:rsid w:val="007B2C07"/>
    <w:rsid w:val="007B49AE"/>
    <w:rsid w:val="007B6063"/>
    <w:rsid w:val="007B67C5"/>
    <w:rsid w:val="007B68E5"/>
    <w:rsid w:val="007B6A35"/>
    <w:rsid w:val="007B6FD9"/>
    <w:rsid w:val="007B73CE"/>
    <w:rsid w:val="007C14C9"/>
    <w:rsid w:val="007C1C53"/>
    <w:rsid w:val="007C4EFB"/>
    <w:rsid w:val="007C4F20"/>
    <w:rsid w:val="007C5ED2"/>
    <w:rsid w:val="007C6835"/>
    <w:rsid w:val="007D07B4"/>
    <w:rsid w:val="007D0E7F"/>
    <w:rsid w:val="007D178D"/>
    <w:rsid w:val="007D1E09"/>
    <w:rsid w:val="007D2C68"/>
    <w:rsid w:val="007D4C99"/>
    <w:rsid w:val="007D50E7"/>
    <w:rsid w:val="007D521F"/>
    <w:rsid w:val="007E0654"/>
    <w:rsid w:val="007E1E05"/>
    <w:rsid w:val="007E26F7"/>
    <w:rsid w:val="007E4A64"/>
    <w:rsid w:val="007E631D"/>
    <w:rsid w:val="007F2490"/>
    <w:rsid w:val="007F2E0E"/>
    <w:rsid w:val="007F490D"/>
    <w:rsid w:val="007F4C30"/>
    <w:rsid w:val="007F78A3"/>
    <w:rsid w:val="00800085"/>
    <w:rsid w:val="0080215D"/>
    <w:rsid w:val="00802B0F"/>
    <w:rsid w:val="00803060"/>
    <w:rsid w:val="0080308B"/>
    <w:rsid w:val="00803120"/>
    <w:rsid w:val="00803B46"/>
    <w:rsid w:val="00804E19"/>
    <w:rsid w:val="00805102"/>
    <w:rsid w:val="008057B9"/>
    <w:rsid w:val="00811969"/>
    <w:rsid w:val="0081279F"/>
    <w:rsid w:val="008158EC"/>
    <w:rsid w:val="008164D8"/>
    <w:rsid w:val="00821225"/>
    <w:rsid w:val="00823C23"/>
    <w:rsid w:val="0082403A"/>
    <w:rsid w:val="008240BC"/>
    <w:rsid w:val="00825B2A"/>
    <w:rsid w:val="00826A5E"/>
    <w:rsid w:val="00830062"/>
    <w:rsid w:val="00831EF4"/>
    <w:rsid w:val="0083516D"/>
    <w:rsid w:val="00835AB2"/>
    <w:rsid w:val="00840FFE"/>
    <w:rsid w:val="00841104"/>
    <w:rsid w:val="0084137C"/>
    <w:rsid w:val="00842C4F"/>
    <w:rsid w:val="00842EC7"/>
    <w:rsid w:val="008438F8"/>
    <w:rsid w:val="00843A4B"/>
    <w:rsid w:val="00844D9C"/>
    <w:rsid w:val="008452B2"/>
    <w:rsid w:val="008471C3"/>
    <w:rsid w:val="00847BF1"/>
    <w:rsid w:val="00850F17"/>
    <w:rsid w:val="00851632"/>
    <w:rsid w:val="0085379F"/>
    <w:rsid w:val="00853CB6"/>
    <w:rsid w:val="00855061"/>
    <w:rsid w:val="0085703B"/>
    <w:rsid w:val="00861A6B"/>
    <w:rsid w:val="008639B7"/>
    <w:rsid w:val="00864792"/>
    <w:rsid w:val="00864B76"/>
    <w:rsid w:val="00864BCF"/>
    <w:rsid w:val="008658D0"/>
    <w:rsid w:val="008661FA"/>
    <w:rsid w:val="00867438"/>
    <w:rsid w:val="00867AAC"/>
    <w:rsid w:val="00871158"/>
    <w:rsid w:val="00873FAB"/>
    <w:rsid w:val="008744E0"/>
    <w:rsid w:val="00874B3B"/>
    <w:rsid w:val="00875426"/>
    <w:rsid w:val="00875D8A"/>
    <w:rsid w:val="0087600D"/>
    <w:rsid w:val="008768C5"/>
    <w:rsid w:val="008773A5"/>
    <w:rsid w:val="00880425"/>
    <w:rsid w:val="00881231"/>
    <w:rsid w:val="008827D7"/>
    <w:rsid w:val="00882B91"/>
    <w:rsid w:val="00883063"/>
    <w:rsid w:val="00883377"/>
    <w:rsid w:val="0088338A"/>
    <w:rsid w:val="00885AC8"/>
    <w:rsid w:val="0088636F"/>
    <w:rsid w:val="008868AA"/>
    <w:rsid w:val="00886AB5"/>
    <w:rsid w:val="00886CFC"/>
    <w:rsid w:val="00887942"/>
    <w:rsid w:val="00887F0A"/>
    <w:rsid w:val="00890C47"/>
    <w:rsid w:val="00890DA7"/>
    <w:rsid w:val="00890FDC"/>
    <w:rsid w:val="00892949"/>
    <w:rsid w:val="00892CC9"/>
    <w:rsid w:val="0089398B"/>
    <w:rsid w:val="00894134"/>
    <w:rsid w:val="00894D42"/>
    <w:rsid w:val="0089555E"/>
    <w:rsid w:val="008969E6"/>
    <w:rsid w:val="00897F2E"/>
    <w:rsid w:val="008A1E88"/>
    <w:rsid w:val="008A2509"/>
    <w:rsid w:val="008A352A"/>
    <w:rsid w:val="008A35D0"/>
    <w:rsid w:val="008A5788"/>
    <w:rsid w:val="008A729F"/>
    <w:rsid w:val="008A751B"/>
    <w:rsid w:val="008B0966"/>
    <w:rsid w:val="008B19BE"/>
    <w:rsid w:val="008B320C"/>
    <w:rsid w:val="008B359F"/>
    <w:rsid w:val="008B3C5B"/>
    <w:rsid w:val="008B3E7D"/>
    <w:rsid w:val="008B49A8"/>
    <w:rsid w:val="008B5FA5"/>
    <w:rsid w:val="008B6492"/>
    <w:rsid w:val="008B65D1"/>
    <w:rsid w:val="008B6803"/>
    <w:rsid w:val="008C1167"/>
    <w:rsid w:val="008C23C1"/>
    <w:rsid w:val="008C2977"/>
    <w:rsid w:val="008C4EFE"/>
    <w:rsid w:val="008C638D"/>
    <w:rsid w:val="008C6EAF"/>
    <w:rsid w:val="008C7E1A"/>
    <w:rsid w:val="008D0664"/>
    <w:rsid w:val="008D10E4"/>
    <w:rsid w:val="008D2621"/>
    <w:rsid w:val="008D2676"/>
    <w:rsid w:val="008D2B91"/>
    <w:rsid w:val="008D3092"/>
    <w:rsid w:val="008D3784"/>
    <w:rsid w:val="008E0008"/>
    <w:rsid w:val="008E1EE3"/>
    <w:rsid w:val="008E2746"/>
    <w:rsid w:val="008E3230"/>
    <w:rsid w:val="008E363E"/>
    <w:rsid w:val="008E3E13"/>
    <w:rsid w:val="008E46E8"/>
    <w:rsid w:val="008E48C8"/>
    <w:rsid w:val="008E5916"/>
    <w:rsid w:val="008E6052"/>
    <w:rsid w:val="008E6368"/>
    <w:rsid w:val="008E7FE4"/>
    <w:rsid w:val="008F0681"/>
    <w:rsid w:val="008F1282"/>
    <w:rsid w:val="008F41BC"/>
    <w:rsid w:val="008F6F93"/>
    <w:rsid w:val="008F7025"/>
    <w:rsid w:val="00904860"/>
    <w:rsid w:val="00904D98"/>
    <w:rsid w:val="009061D6"/>
    <w:rsid w:val="009063FD"/>
    <w:rsid w:val="00907F93"/>
    <w:rsid w:val="0091096B"/>
    <w:rsid w:val="00912895"/>
    <w:rsid w:val="0091387C"/>
    <w:rsid w:val="0091426B"/>
    <w:rsid w:val="00916776"/>
    <w:rsid w:val="009174D1"/>
    <w:rsid w:val="00920316"/>
    <w:rsid w:val="009219D4"/>
    <w:rsid w:val="00923007"/>
    <w:rsid w:val="00925E19"/>
    <w:rsid w:val="00926569"/>
    <w:rsid w:val="00926FBD"/>
    <w:rsid w:val="00927A9C"/>
    <w:rsid w:val="009314F0"/>
    <w:rsid w:val="009320A0"/>
    <w:rsid w:val="00932930"/>
    <w:rsid w:val="00933E48"/>
    <w:rsid w:val="00935CFC"/>
    <w:rsid w:val="00936248"/>
    <w:rsid w:val="00940152"/>
    <w:rsid w:val="00941C52"/>
    <w:rsid w:val="00942512"/>
    <w:rsid w:val="00942662"/>
    <w:rsid w:val="009434AD"/>
    <w:rsid w:val="009434B1"/>
    <w:rsid w:val="00943C93"/>
    <w:rsid w:val="0094506C"/>
    <w:rsid w:val="00945E87"/>
    <w:rsid w:val="00946240"/>
    <w:rsid w:val="00947B82"/>
    <w:rsid w:val="009508C7"/>
    <w:rsid w:val="009509A1"/>
    <w:rsid w:val="00950C22"/>
    <w:rsid w:val="00951751"/>
    <w:rsid w:val="00953950"/>
    <w:rsid w:val="0095536D"/>
    <w:rsid w:val="009558A6"/>
    <w:rsid w:val="009561A9"/>
    <w:rsid w:val="00956550"/>
    <w:rsid w:val="00956DEC"/>
    <w:rsid w:val="00957A94"/>
    <w:rsid w:val="00957E0A"/>
    <w:rsid w:val="009655F4"/>
    <w:rsid w:val="00965CA9"/>
    <w:rsid w:val="00966227"/>
    <w:rsid w:val="00966C88"/>
    <w:rsid w:val="00967ADA"/>
    <w:rsid w:val="00967F46"/>
    <w:rsid w:val="00971569"/>
    <w:rsid w:val="00971B4A"/>
    <w:rsid w:val="009721F0"/>
    <w:rsid w:val="00972402"/>
    <w:rsid w:val="00972E92"/>
    <w:rsid w:val="00973A9B"/>
    <w:rsid w:val="00973DBE"/>
    <w:rsid w:val="009747A5"/>
    <w:rsid w:val="00974A0C"/>
    <w:rsid w:val="00974A34"/>
    <w:rsid w:val="0097627A"/>
    <w:rsid w:val="00976A56"/>
    <w:rsid w:val="00977B8D"/>
    <w:rsid w:val="00981187"/>
    <w:rsid w:val="009811FB"/>
    <w:rsid w:val="009814DB"/>
    <w:rsid w:val="00981960"/>
    <w:rsid w:val="00983732"/>
    <w:rsid w:val="00983FB4"/>
    <w:rsid w:val="0098594B"/>
    <w:rsid w:val="00985DB2"/>
    <w:rsid w:val="00987E75"/>
    <w:rsid w:val="00992DA6"/>
    <w:rsid w:val="00992EB6"/>
    <w:rsid w:val="00993352"/>
    <w:rsid w:val="00994390"/>
    <w:rsid w:val="00995145"/>
    <w:rsid w:val="0099525B"/>
    <w:rsid w:val="00997C03"/>
    <w:rsid w:val="00997EE3"/>
    <w:rsid w:val="009A0F74"/>
    <w:rsid w:val="009A2A16"/>
    <w:rsid w:val="009A346C"/>
    <w:rsid w:val="009A39E0"/>
    <w:rsid w:val="009A4525"/>
    <w:rsid w:val="009A4F2A"/>
    <w:rsid w:val="009A5D31"/>
    <w:rsid w:val="009A61C2"/>
    <w:rsid w:val="009A6B07"/>
    <w:rsid w:val="009A6BE5"/>
    <w:rsid w:val="009A7BCA"/>
    <w:rsid w:val="009B2B5A"/>
    <w:rsid w:val="009B2DAF"/>
    <w:rsid w:val="009B2EC2"/>
    <w:rsid w:val="009B349A"/>
    <w:rsid w:val="009B455A"/>
    <w:rsid w:val="009B46AE"/>
    <w:rsid w:val="009B482E"/>
    <w:rsid w:val="009B505B"/>
    <w:rsid w:val="009B6A8A"/>
    <w:rsid w:val="009C015D"/>
    <w:rsid w:val="009C09C6"/>
    <w:rsid w:val="009C0D4C"/>
    <w:rsid w:val="009C13B4"/>
    <w:rsid w:val="009C15DC"/>
    <w:rsid w:val="009C199C"/>
    <w:rsid w:val="009C2C7D"/>
    <w:rsid w:val="009C5B8A"/>
    <w:rsid w:val="009C5C96"/>
    <w:rsid w:val="009C5F99"/>
    <w:rsid w:val="009D05ED"/>
    <w:rsid w:val="009D1142"/>
    <w:rsid w:val="009D1A13"/>
    <w:rsid w:val="009D3AD8"/>
    <w:rsid w:val="009D3B48"/>
    <w:rsid w:val="009D4DD9"/>
    <w:rsid w:val="009D51E9"/>
    <w:rsid w:val="009E0C11"/>
    <w:rsid w:val="009E26B9"/>
    <w:rsid w:val="009E36AA"/>
    <w:rsid w:val="009E3F6E"/>
    <w:rsid w:val="009E49B9"/>
    <w:rsid w:val="009E5874"/>
    <w:rsid w:val="009E61FF"/>
    <w:rsid w:val="009E6569"/>
    <w:rsid w:val="009F039A"/>
    <w:rsid w:val="009F1CF2"/>
    <w:rsid w:val="009F3336"/>
    <w:rsid w:val="009F35F6"/>
    <w:rsid w:val="009F4096"/>
    <w:rsid w:val="009F40C4"/>
    <w:rsid w:val="009F4FCF"/>
    <w:rsid w:val="009F5F2A"/>
    <w:rsid w:val="009F6D4B"/>
    <w:rsid w:val="009F7D91"/>
    <w:rsid w:val="00A00302"/>
    <w:rsid w:val="00A02B84"/>
    <w:rsid w:val="00A05C26"/>
    <w:rsid w:val="00A06192"/>
    <w:rsid w:val="00A07566"/>
    <w:rsid w:val="00A07D0A"/>
    <w:rsid w:val="00A11C4E"/>
    <w:rsid w:val="00A11F54"/>
    <w:rsid w:val="00A138BD"/>
    <w:rsid w:val="00A1537D"/>
    <w:rsid w:val="00A15E0D"/>
    <w:rsid w:val="00A16244"/>
    <w:rsid w:val="00A16D36"/>
    <w:rsid w:val="00A205E6"/>
    <w:rsid w:val="00A20EC7"/>
    <w:rsid w:val="00A2240E"/>
    <w:rsid w:val="00A23E7D"/>
    <w:rsid w:val="00A24234"/>
    <w:rsid w:val="00A278FE"/>
    <w:rsid w:val="00A27CA4"/>
    <w:rsid w:val="00A32226"/>
    <w:rsid w:val="00A32BC6"/>
    <w:rsid w:val="00A3459F"/>
    <w:rsid w:val="00A35BFE"/>
    <w:rsid w:val="00A37034"/>
    <w:rsid w:val="00A41159"/>
    <w:rsid w:val="00A412CE"/>
    <w:rsid w:val="00A422A9"/>
    <w:rsid w:val="00A429CC"/>
    <w:rsid w:val="00A4479A"/>
    <w:rsid w:val="00A44922"/>
    <w:rsid w:val="00A44ABD"/>
    <w:rsid w:val="00A45915"/>
    <w:rsid w:val="00A46209"/>
    <w:rsid w:val="00A4640F"/>
    <w:rsid w:val="00A50C5A"/>
    <w:rsid w:val="00A52F45"/>
    <w:rsid w:val="00A5375D"/>
    <w:rsid w:val="00A53997"/>
    <w:rsid w:val="00A543A0"/>
    <w:rsid w:val="00A55499"/>
    <w:rsid w:val="00A554F8"/>
    <w:rsid w:val="00A57D58"/>
    <w:rsid w:val="00A6036F"/>
    <w:rsid w:val="00A61848"/>
    <w:rsid w:val="00A61B32"/>
    <w:rsid w:val="00A63554"/>
    <w:rsid w:val="00A63F3E"/>
    <w:rsid w:val="00A64BCE"/>
    <w:rsid w:val="00A65171"/>
    <w:rsid w:val="00A657CA"/>
    <w:rsid w:val="00A66026"/>
    <w:rsid w:val="00A66D6F"/>
    <w:rsid w:val="00A70E33"/>
    <w:rsid w:val="00A70E40"/>
    <w:rsid w:val="00A72407"/>
    <w:rsid w:val="00A72C0B"/>
    <w:rsid w:val="00A73A3E"/>
    <w:rsid w:val="00A743DA"/>
    <w:rsid w:val="00A80155"/>
    <w:rsid w:val="00A80D90"/>
    <w:rsid w:val="00A813A8"/>
    <w:rsid w:val="00A81890"/>
    <w:rsid w:val="00A82713"/>
    <w:rsid w:val="00A86AEE"/>
    <w:rsid w:val="00A86BF3"/>
    <w:rsid w:val="00A86EB4"/>
    <w:rsid w:val="00A874BE"/>
    <w:rsid w:val="00A916FF"/>
    <w:rsid w:val="00A92F3D"/>
    <w:rsid w:val="00A934A8"/>
    <w:rsid w:val="00A94106"/>
    <w:rsid w:val="00AA16E0"/>
    <w:rsid w:val="00AA2451"/>
    <w:rsid w:val="00AA3F0A"/>
    <w:rsid w:val="00AA4C10"/>
    <w:rsid w:val="00AA5BC3"/>
    <w:rsid w:val="00AA7181"/>
    <w:rsid w:val="00AA7F8D"/>
    <w:rsid w:val="00AB1326"/>
    <w:rsid w:val="00AB293A"/>
    <w:rsid w:val="00AB4A72"/>
    <w:rsid w:val="00AB574F"/>
    <w:rsid w:val="00AB73B7"/>
    <w:rsid w:val="00AB77F4"/>
    <w:rsid w:val="00AB7CD7"/>
    <w:rsid w:val="00AC1300"/>
    <w:rsid w:val="00AC1F35"/>
    <w:rsid w:val="00AC2494"/>
    <w:rsid w:val="00AC587E"/>
    <w:rsid w:val="00AC59EC"/>
    <w:rsid w:val="00AC5BBF"/>
    <w:rsid w:val="00AC5C60"/>
    <w:rsid w:val="00AC78A5"/>
    <w:rsid w:val="00AD1865"/>
    <w:rsid w:val="00AD201D"/>
    <w:rsid w:val="00AD22CB"/>
    <w:rsid w:val="00AD235C"/>
    <w:rsid w:val="00AD3202"/>
    <w:rsid w:val="00AD357B"/>
    <w:rsid w:val="00AD3C62"/>
    <w:rsid w:val="00AD3CE8"/>
    <w:rsid w:val="00AD4CEE"/>
    <w:rsid w:val="00AD5DC6"/>
    <w:rsid w:val="00AE03F5"/>
    <w:rsid w:val="00AE0C03"/>
    <w:rsid w:val="00AE155E"/>
    <w:rsid w:val="00AE48B6"/>
    <w:rsid w:val="00AE4E4C"/>
    <w:rsid w:val="00AE545B"/>
    <w:rsid w:val="00AE6193"/>
    <w:rsid w:val="00AE7327"/>
    <w:rsid w:val="00AE7397"/>
    <w:rsid w:val="00AF11DC"/>
    <w:rsid w:val="00AF1EDF"/>
    <w:rsid w:val="00AF36B3"/>
    <w:rsid w:val="00AF401A"/>
    <w:rsid w:val="00AF471D"/>
    <w:rsid w:val="00AF5419"/>
    <w:rsid w:val="00AF7AD2"/>
    <w:rsid w:val="00AF7EC1"/>
    <w:rsid w:val="00B005DA"/>
    <w:rsid w:val="00B01750"/>
    <w:rsid w:val="00B044B5"/>
    <w:rsid w:val="00B047F8"/>
    <w:rsid w:val="00B062BC"/>
    <w:rsid w:val="00B06329"/>
    <w:rsid w:val="00B0679A"/>
    <w:rsid w:val="00B1066A"/>
    <w:rsid w:val="00B10692"/>
    <w:rsid w:val="00B12977"/>
    <w:rsid w:val="00B13AFA"/>
    <w:rsid w:val="00B14111"/>
    <w:rsid w:val="00B165F8"/>
    <w:rsid w:val="00B16F1A"/>
    <w:rsid w:val="00B173E0"/>
    <w:rsid w:val="00B176D8"/>
    <w:rsid w:val="00B1772F"/>
    <w:rsid w:val="00B2040B"/>
    <w:rsid w:val="00B20814"/>
    <w:rsid w:val="00B220BB"/>
    <w:rsid w:val="00B245B0"/>
    <w:rsid w:val="00B247F1"/>
    <w:rsid w:val="00B25F0C"/>
    <w:rsid w:val="00B26379"/>
    <w:rsid w:val="00B303F6"/>
    <w:rsid w:val="00B306D2"/>
    <w:rsid w:val="00B31D3B"/>
    <w:rsid w:val="00B327ED"/>
    <w:rsid w:val="00B346B6"/>
    <w:rsid w:val="00B34FB1"/>
    <w:rsid w:val="00B3781D"/>
    <w:rsid w:val="00B4071C"/>
    <w:rsid w:val="00B4072F"/>
    <w:rsid w:val="00B4117F"/>
    <w:rsid w:val="00B4152C"/>
    <w:rsid w:val="00B427C5"/>
    <w:rsid w:val="00B42A7B"/>
    <w:rsid w:val="00B42D63"/>
    <w:rsid w:val="00B431F2"/>
    <w:rsid w:val="00B43421"/>
    <w:rsid w:val="00B435C1"/>
    <w:rsid w:val="00B43CB8"/>
    <w:rsid w:val="00B500F0"/>
    <w:rsid w:val="00B50F0F"/>
    <w:rsid w:val="00B5138C"/>
    <w:rsid w:val="00B5557B"/>
    <w:rsid w:val="00B568EE"/>
    <w:rsid w:val="00B576F3"/>
    <w:rsid w:val="00B57C19"/>
    <w:rsid w:val="00B6121B"/>
    <w:rsid w:val="00B61807"/>
    <w:rsid w:val="00B61C8D"/>
    <w:rsid w:val="00B63D54"/>
    <w:rsid w:val="00B63E3C"/>
    <w:rsid w:val="00B6450A"/>
    <w:rsid w:val="00B66912"/>
    <w:rsid w:val="00B70DF2"/>
    <w:rsid w:val="00B713D9"/>
    <w:rsid w:val="00B71513"/>
    <w:rsid w:val="00B71FCA"/>
    <w:rsid w:val="00B72B87"/>
    <w:rsid w:val="00B737FC"/>
    <w:rsid w:val="00B76987"/>
    <w:rsid w:val="00B80B56"/>
    <w:rsid w:val="00B819AF"/>
    <w:rsid w:val="00B81B34"/>
    <w:rsid w:val="00B82109"/>
    <w:rsid w:val="00B82C0B"/>
    <w:rsid w:val="00B82C4E"/>
    <w:rsid w:val="00B838E9"/>
    <w:rsid w:val="00B8407B"/>
    <w:rsid w:val="00B844E8"/>
    <w:rsid w:val="00B848D3"/>
    <w:rsid w:val="00B85388"/>
    <w:rsid w:val="00B867C5"/>
    <w:rsid w:val="00B9192A"/>
    <w:rsid w:val="00B92324"/>
    <w:rsid w:val="00B92BC2"/>
    <w:rsid w:val="00B93DAD"/>
    <w:rsid w:val="00B9669D"/>
    <w:rsid w:val="00B96EF1"/>
    <w:rsid w:val="00B97158"/>
    <w:rsid w:val="00B97DED"/>
    <w:rsid w:val="00BA07A2"/>
    <w:rsid w:val="00BA4BBD"/>
    <w:rsid w:val="00BA52E6"/>
    <w:rsid w:val="00BA64C2"/>
    <w:rsid w:val="00BA6A3C"/>
    <w:rsid w:val="00BA6CE1"/>
    <w:rsid w:val="00BB245F"/>
    <w:rsid w:val="00BB31C4"/>
    <w:rsid w:val="00BB39BE"/>
    <w:rsid w:val="00BB3DAA"/>
    <w:rsid w:val="00BB4231"/>
    <w:rsid w:val="00BB4D8C"/>
    <w:rsid w:val="00BB53AF"/>
    <w:rsid w:val="00BB5B7B"/>
    <w:rsid w:val="00BB665A"/>
    <w:rsid w:val="00BB6E2A"/>
    <w:rsid w:val="00BB6EC9"/>
    <w:rsid w:val="00BB744F"/>
    <w:rsid w:val="00BB7615"/>
    <w:rsid w:val="00BB793E"/>
    <w:rsid w:val="00BB7B0A"/>
    <w:rsid w:val="00BC0326"/>
    <w:rsid w:val="00BC0806"/>
    <w:rsid w:val="00BC1FE4"/>
    <w:rsid w:val="00BC4D6B"/>
    <w:rsid w:val="00BC6A2E"/>
    <w:rsid w:val="00BC7D71"/>
    <w:rsid w:val="00BD1CCE"/>
    <w:rsid w:val="00BD341B"/>
    <w:rsid w:val="00BD346F"/>
    <w:rsid w:val="00BD386B"/>
    <w:rsid w:val="00BD456E"/>
    <w:rsid w:val="00BD4997"/>
    <w:rsid w:val="00BD5B43"/>
    <w:rsid w:val="00BD5FB0"/>
    <w:rsid w:val="00BD687B"/>
    <w:rsid w:val="00BD7BC3"/>
    <w:rsid w:val="00BD7DE1"/>
    <w:rsid w:val="00BE0924"/>
    <w:rsid w:val="00BE0B00"/>
    <w:rsid w:val="00BE0CA7"/>
    <w:rsid w:val="00BE0D7D"/>
    <w:rsid w:val="00BE205D"/>
    <w:rsid w:val="00BE2061"/>
    <w:rsid w:val="00BE2B35"/>
    <w:rsid w:val="00BE559D"/>
    <w:rsid w:val="00BE55B9"/>
    <w:rsid w:val="00BE561F"/>
    <w:rsid w:val="00BE6334"/>
    <w:rsid w:val="00BE6B86"/>
    <w:rsid w:val="00BE762A"/>
    <w:rsid w:val="00BE7C51"/>
    <w:rsid w:val="00BF0155"/>
    <w:rsid w:val="00BF1707"/>
    <w:rsid w:val="00BF1FC7"/>
    <w:rsid w:val="00BF4727"/>
    <w:rsid w:val="00BF4BB5"/>
    <w:rsid w:val="00BF644F"/>
    <w:rsid w:val="00BF664E"/>
    <w:rsid w:val="00BF7323"/>
    <w:rsid w:val="00C02E5A"/>
    <w:rsid w:val="00C031E6"/>
    <w:rsid w:val="00C036E9"/>
    <w:rsid w:val="00C062A4"/>
    <w:rsid w:val="00C078A6"/>
    <w:rsid w:val="00C10938"/>
    <w:rsid w:val="00C10FC4"/>
    <w:rsid w:val="00C11F90"/>
    <w:rsid w:val="00C12552"/>
    <w:rsid w:val="00C1260D"/>
    <w:rsid w:val="00C1359D"/>
    <w:rsid w:val="00C14234"/>
    <w:rsid w:val="00C1508D"/>
    <w:rsid w:val="00C1709B"/>
    <w:rsid w:val="00C17FEE"/>
    <w:rsid w:val="00C21869"/>
    <w:rsid w:val="00C21D8E"/>
    <w:rsid w:val="00C220B3"/>
    <w:rsid w:val="00C22168"/>
    <w:rsid w:val="00C22225"/>
    <w:rsid w:val="00C243A0"/>
    <w:rsid w:val="00C2490F"/>
    <w:rsid w:val="00C256B1"/>
    <w:rsid w:val="00C27FE0"/>
    <w:rsid w:val="00C32DA5"/>
    <w:rsid w:val="00C36216"/>
    <w:rsid w:val="00C368EE"/>
    <w:rsid w:val="00C37FD4"/>
    <w:rsid w:val="00C4081A"/>
    <w:rsid w:val="00C40A2E"/>
    <w:rsid w:val="00C41036"/>
    <w:rsid w:val="00C42B79"/>
    <w:rsid w:val="00C43A16"/>
    <w:rsid w:val="00C447CF"/>
    <w:rsid w:val="00C44FE0"/>
    <w:rsid w:val="00C466FA"/>
    <w:rsid w:val="00C510E9"/>
    <w:rsid w:val="00C512DE"/>
    <w:rsid w:val="00C51ED2"/>
    <w:rsid w:val="00C52F97"/>
    <w:rsid w:val="00C53814"/>
    <w:rsid w:val="00C543B8"/>
    <w:rsid w:val="00C563CF"/>
    <w:rsid w:val="00C57E67"/>
    <w:rsid w:val="00C609C5"/>
    <w:rsid w:val="00C61752"/>
    <w:rsid w:val="00C61A3C"/>
    <w:rsid w:val="00C61A86"/>
    <w:rsid w:val="00C628E9"/>
    <w:rsid w:val="00C6578C"/>
    <w:rsid w:val="00C65960"/>
    <w:rsid w:val="00C65A67"/>
    <w:rsid w:val="00C6602F"/>
    <w:rsid w:val="00C67DF2"/>
    <w:rsid w:val="00C67F1C"/>
    <w:rsid w:val="00C70647"/>
    <w:rsid w:val="00C71132"/>
    <w:rsid w:val="00C71AF9"/>
    <w:rsid w:val="00C72824"/>
    <w:rsid w:val="00C739E8"/>
    <w:rsid w:val="00C74AA0"/>
    <w:rsid w:val="00C74ADE"/>
    <w:rsid w:val="00C74DB5"/>
    <w:rsid w:val="00C74F8D"/>
    <w:rsid w:val="00C753B6"/>
    <w:rsid w:val="00C754FF"/>
    <w:rsid w:val="00C80F7B"/>
    <w:rsid w:val="00C81BD7"/>
    <w:rsid w:val="00C825C1"/>
    <w:rsid w:val="00C84F69"/>
    <w:rsid w:val="00C84FB4"/>
    <w:rsid w:val="00C85F4E"/>
    <w:rsid w:val="00C86710"/>
    <w:rsid w:val="00C86993"/>
    <w:rsid w:val="00C87457"/>
    <w:rsid w:val="00C87BDB"/>
    <w:rsid w:val="00C90040"/>
    <w:rsid w:val="00C907AD"/>
    <w:rsid w:val="00C94B02"/>
    <w:rsid w:val="00C96470"/>
    <w:rsid w:val="00CA0020"/>
    <w:rsid w:val="00CA0548"/>
    <w:rsid w:val="00CA209D"/>
    <w:rsid w:val="00CA4012"/>
    <w:rsid w:val="00CA4F50"/>
    <w:rsid w:val="00CA54B8"/>
    <w:rsid w:val="00CA5DB3"/>
    <w:rsid w:val="00CA6044"/>
    <w:rsid w:val="00CA6532"/>
    <w:rsid w:val="00CA7733"/>
    <w:rsid w:val="00CB10F1"/>
    <w:rsid w:val="00CB194C"/>
    <w:rsid w:val="00CB1FF8"/>
    <w:rsid w:val="00CB3071"/>
    <w:rsid w:val="00CB3284"/>
    <w:rsid w:val="00CB40FC"/>
    <w:rsid w:val="00CB4740"/>
    <w:rsid w:val="00CB4FA7"/>
    <w:rsid w:val="00CB56FB"/>
    <w:rsid w:val="00CB598B"/>
    <w:rsid w:val="00CB7E34"/>
    <w:rsid w:val="00CC21F2"/>
    <w:rsid w:val="00CC562B"/>
    <w:rsid w:val="00CC5800"/>
    <w:rsid w:val="00CD01A9"/>
    <w:rsid w:val="00CD0F1F"/>
    <w:rsid w:val="00CD14D5"/>
    <w:rsid w:val="00CD1773"/>
    <w:rsid w:val="00CD2201"/>
    <w:rsid w:val="00CD3EFB"/>
    <w:rsid w:val="00CD4DBF"/>
    <w:rsid w:val="00CD5601"/>
    <w:rsid w:val="00CD7A84"/>
    <w:rsid w:val="00CE014C"/>
    <w:rsid w:val="00CE20CC"/>
    <w:rsid w:val="00CE2D1E"/>
    <w:rsid w:val="00CE3EDF"/>
    <w:rsid w:val="00CE4F07"/>
    <w:rsid w:val="00CE552F"/>
    <w:rsid w:val="00CE673D"/>
    <w:rsid w:val="00CF0160"/>
    <w:rsid w:val="00CF17E1"/>
    <w:rsid w:val="00CF1823"/>
    <w:rsid w:val="00CF1848"/>
    <w:rsid w:val="00CF1E27"/>
    <w:rsid w:val="00CF2F70"/>
    <w:rsid w:val="00CF3500"/>
    <w:rsid w:val="00CF4FA9"/>
    <w:rsid w:val="00CF599E"/>
    <w:rsid w:val="00CF5D47"/>
    <w:rsid w:val="00CF6643"/>
    <w:rsid w:val="00CF6A07"/>
    <w:rsid w:val="00CF6CD3"/>
    <w:rsid w:val="00CF77EB"/>
    <w:rsid w:val="00D01A48"/>
    <w:rsid w:val="00D02339"/>
    <w:rsid w:val="00D043CB"/>
    <w:rsid w:val="00D05142"/>
    <w:rsid w:val="00D06A29"/>
    <w:rsid w:val="00D077AD"/>
    <w:rsid w:val="00D13B54"/>
    <w:rsid w:val="00D13F5E"/>
    <w:rsid w:val="00D162E3"/>
    <w:rsid w:val="00D164F0"/>
    <w:rsid w:val="00D16B91"/>
    <w:rsid w:val="00D17130"/>
    <w:rsid w:val="00D17870"/>
    <w:rsid w:val="00D17BCC"/>
    <w:rsid w:val="00D20DBB"/>
    <w:rsid w:val="00D20E42"/>
    <w:rsid w:val="00D20FD6"/>
    <w:rsid w:val="00D2111C"/>
    <w:rsid w:val="00D22ECB"/>
    <w:rsid w:val="00D2354A"/>
    <w:rsid w:val="00D24AED"/>
    <w:rsid w:val="00D25372"/>
    <w:rsid w:val="00D25928"/>
    <w:rsid w:val="00D268F7"/>
    <w:rsid w:val="00D26E2C"/>
    <w:rsid w:val="00D27380"/>
    <w:rsid w:val="00D2795B"/>
    <w:rsid w:val="00D27DC3"/>
    <w:rsid w:val="00D30508"/>
    <w:rsid w:val="00D3062E"/>
    <w:rsid w:val="00D30808"/>
    <w:rsid w:val="00D30A2B"/>
    <w:rsid w:val="00D317BD"/>
    <w:rsid w:val="00D320E2"/>
    <w:rsid w:val="00D33346"/>
    <w:rsid w:val="00D33EB4"/>
    <w:rsid w:val="00D345F4"/>
    <w:rsid w:val="00D35E54"/>
    <w:rsid w:val="00D371FB"/>
    <w:rsid w:val="00D37FB8"/>
    <w:rsid w:val="00D4065B"/>
    <w:rsid w:val="00D413F2"/>
    <w:rsid w:val="00D42693"/>
    <w:rsid w:val="00D43AF8"/>
    <w:rsid w:val="00D4432B"/>
    <w:rsid w:val="00D4447B"/>
    <w:rsid w:val="00D448EB"/>
    <w:rsid w:val="00D5081E"/>
    <w:rsid w:val="00D51952"/>
    <w:rsid w:val="00D524AB"/>
    <w:rsid w:val="00D527CB"/>
    <w:rsid w:val="00D53823"/>
    <w:rsid w:val="00D53ABF"/>
    <w:rsid w:val="00D541D5"/>
    <w:rsid w:val="00D54BF7"/>
    <w:rsid w:val="00D54E53"/>
    <w:rsid w:val="00D55BA3"/>
    <w:rsid w:val="00D576FD"/>
    <w:rsid w:val="00D60207"/>
    <w:rsid w:val="00D61531"/>
    <w:rsid w:val="00D61BCE"/>
    <w:rsid w:val="00D63B8C"/>
    <w:rsid w:val="00D63CB4"/>
    <w:rsid w:val="00D64450"/>
    <w:rsid w:val="00D72B72"/>
    <w:rsid w:val="00D737E8"/>
    <w:rsid w:val="00D73B8D"/>
    <w:rsid w:val="00D7563B"/>
    <w:rsid w:val="00D762E2"/>
    <w:rsid w:val="00D77E6F"/>
    <w:rsid w:val="00D83EFD"/>
    <w:rsid w:val="00D84FC8"/>
    <w:rsid w:val="00D850A4"/>
    <w:rsid w:val="00D86095"/>
    <w:rsid w:val="00D862E0"/>
    <w:rsid w:val="00D871F5"/>
    <w:rsid w:val="00D87AAF"/>
    <w:rsid w:val="00D90109"/>
    <w:rsid w:val="00D906BA"/>
    <w:rsid w:val="00D91F05"/>
    <w:rsid w:val="00D93F23"/>
    <w:rsid w:val="00D95AFB"/>
    <w:rsid w:val="00D95C46"/>
    <w:rsid w:val="00D964B8"/>
    <w:rsid w:val="00D96857"/>
    <w:rsid w:val="00DA13AC"/>
    <w:rsid w:val="00DA2426"/>
    <w:rsid w:val="00DA242A"/>
    <w:rsid w:val="00DA25B6"/>
    <w:rsid w:val="00DA3622"/>
    <w:rsid w:val="00DA4998"/>
    <w:rsid w:val="00DA724A"/>
    <w:rsid w:val="00DA73E9"/>
    <w:rsid w:val="00DA79D6"/>
    <w:rsid w:val="00DB0105"/>
    <w:rsid w:val="00DB29A1"/>
    <w:rsid w:val="00DB2F82"/>
    <w:rsid w:val="00DB4CF2"/>
    <w:rsid w:val="00DB59E7"/>
    <w:rsid w:val="00DB66BB"/>
    <w:rsid w:val="00DB7254"/>
    <w:rsid w:val="00DB7B11"/>
    <w:rsid w:val="00DC0060"/>
    <w:rsid w:val="00DC04CD"/>
    <w:rsid w:val="00DC0876"/>
    <w:rsid w:val="00DC08FA"/>
    <w:rsid w:val="00DC0CF9"/>
    <w:rsid w:val="00DC1CB8"/>
    <w:rsid w:val="00DC321C"/>
    <w:rsid w:val="00DC332E"/>
    <w:rsid w:val="00DC4123"/>
    <w:rsid w:val="00DC4353"/>
    <w:rsid w:val="00DC56B4"/>
    <w:rsid w:val="00DC64B2"/>
    <w:rsid w:val="00DC6CCF"/>
    <w:rsid w:val="00DC6DE9"/>
    <w:rsid w:val="00DD14BD"/>
    <w:rsid w:val="00DD1519"/>
    <w:rsid w:val="00DD3074"/>
    <w:rsid w:val="00DD3E5E"/>
    <w:rsid w:val="00DD3E9E"/>
    <w:rsid w:val="00DD41ED"/>
    <w:rsid w:val="00DD48BE"/>
    <w:rsid w:val="00DD61E9"/>
    <w:rsid w:val="00DD6274"/>
    <w:rsid w:val="00DD6382"/>
    <w:rsid w:val="00DD699B"/>
    <w:rsid w:val="00DE05F2"/>
    <w:rsid w:val="00DE0E30"/>
    <w:rsid w:val="00DE2A7B"/>
    <w:rsid w:val="00DE5143"/>
    <w:rsid w:val="00DE6113"/>
    <w:rsid w:val="00DE67DF"/>
    <w:rsid w:val="00DE7084"/>
    <w:rsid w:val="00DE7307"/>
    <w:rsid w:val="00DE73EA"/>
    <w:rsid w:val="00DF09A8"/>
    <w:rsid w:val="00DF0B3A"/>
    <w:rsid w:val="00DF112E"/>
    <w:rsid w:val="00DF4298"/>
    <w:rsid w:val="00DF61E9"/>
    <w:rsid w:val="00DF6263"/>
    <w:rsid w:val="00E00D80"/>
    <w:rsid w:val="00E01083"/>
    <w:rsid w:val="00E020E3"/>
    <w:rsid w:val="00E022C2"/>
    <w:rsid w:val="00E026D2"/>
    <w:rsid w:val="00E02C0A"/>
    <w:rsid w:val="00E05678"/>
    <w:rsid w:val="00E058AE"/>
    <w:rsid w:val="00E058ED"/>
    <w:rsid w:val="00E069DA"/>
    <w:rsid w:val="00E10854"/>
    <w:rsid w:val="00E11F86"/>
    <w:rsid w:val="00E12C07"/>
    <w:rsid w:val="00E12FB3"/>
    <w:rsid w:val="00E14229"/>
    <w:rsid w:val="00E156F6"/>
    <w:rsid w:val="00E1611E"/>
    <w:rsid w:val="00E17109"/>
    <w:rsid w:val="00E20936"/>
    <w:rsid w:val="00E20EC8"/>
    <w:rsid w:val="00E22868"/>
    <w:rsid w:val="00E24A27"/>
    <w:rsid w:val="00E25661"/>
    <w:rsid w:val="00E25EED"/>
    <w:rsid w:val="00E262F3"/>
    <w:rsid w:val="00E27259"/>
    <w:rsid w:val="00E27480"/>
    <w:rsid w:val="00E318D5"/>
    <w:rsid w:val="00E33117"/>
    <w:rsid w:val="00E33632"/>
    <w:rsid w:val="00E35214"/>
    <w:rsid w:val="00E3670F"/>
    <w:rsid w:val="00E375D8"/>
    <w:rsid w:val="00E401C4"/>
    <w:rsid w:val="00E42058"/>
    <w:rsid w:val="00E43043"/>
    <w:rsid w:val="00E4433F"/>
    <w:rsid w:val="00E47A57"/>
    <w:rsid w:val="00E50C10"/>
    <w:rsid w:val="00E5393A"/>
    <w:rsid w:val="00E5647F"/>
    <w:rsid w:val="00E565D9"/>
    <w:rsid w:val="00E60440"/>
    <w:rsid w:val="00E62D51"/>
    <w:rsid w:val="00E63072"/>
    <w:rsid w:val="00E63B1F"/>
    <w:rsid w:val="00E644E5"/>
    <w:rsid w:val="00E649FE"/>
    <w:rsid w:val="00E64F4F"/>
    <w:rsid w:val="00E65CAB"/>
    <w:rsid w:val="00E6600E"/>
    <w:rsid w:val="00E675AB"/>
    <w:rsid w:val="00E676AB"/>
    <w:rsid w:val="00E704C5"/>
    <w:rsid w:val="00E72BC0"/>
    <w:rsid w:val="00E73AF8"/>
    <w:rsid w:val="00E73D2F"/>
    <w:rsid w:val="00E741D5"/>
    <w:rsid w:val="00E743E9"/>
    <w:rsid w:val="00E74E8D"/>
    <w:rsid w:val="00E7605E"/>
    <w:rsid w:val="00E760F5"/>
    <w:rsid w:val="00E76358"/>
    <w:rsid w:val="00E766C7"/>
    <w:rsid w:val="00E76BE7"/>
    <w:rsid w:val="00E76F97"/>
    <w:rsid w:val="00E80250"/>
    <w:rsid w:val="00E822BA"/>
    <w:rsid w:val="00E82600"/>
    <w:rsid w:val="00E83781"/>
    <w:rsid w:val="00E83E5D"/>
    <w:rsid w:val="00E83FAD"/>
    <w:rsid w:val="00E849B9"/>
    <w:rsid w:val="00E85F98"/>
    <w:rsid w:val="00E8659A"/>
    <w:rsid w:val="00E86C88"/>
    <w:rsid w:val="00E87874"/>
    <w:rsid w:val="00E90225"/>
    <w:rsid w:val="00E90D23"/>
    <w:rsid w:val="00E929D2"/>
    <w:rsid w:val="00E92BCF"/>
    <w:rsid w:val="00E939BC"/>
    <w:rsid w:val="00EA0635"/>
    <w:rsid w:val="00EA10DE"/>
    <w:rsid w:val="00EA21EE"/>
    <w:rsid w:val="00EA30ED"/>
    <w:rsid w:val="00EA4084"/>
    <w:rsid w:val="00EA5079"/>
    <w:rsid w:val="00EA5B36"/>
    <w:rsid w:val="00EA63E9"/>
    <w:rsid w:val="00EB0B65"/>
    <w:rsid w:val="00EB0BF5"/>
    <w:rsid w:val="00EB1140"/>
    <w:rsid w:val="00EB337E"/>
    <w:rsid w:val="00EB35D6"/>
    <w:rsid w:val="00EB4987"/>
    <w:rsid w:val="00EB5129"/>
    <w:rsid w:val="00EC039B"/>
    <w:rsid w:val="00EC4C4D"/>
    <w:rsid w:val="00EC633B"/>
    <w:rsid w:val="00EC7B56"/>
    <w:rsid w:val="00EC7DD8"/>
    <w:rsid w:val="00ED0558"/>
    <w:rsid w:val="00ED0D56"/>
    <w:rsid w:val="00ED1BC5"/>
    <w:rsid w:val="00ED1C1F"/>
    <w:rsid w:val="00ED2954"/>
    <w:rsid w:val="00ED2BB4"/>
    <w:rsid w:val="00ED4654"/>
    <w:rsid w:val="00ED4BA9"/>
    <w:rsid w:val="00ED5E3C"/>
    <w:rsid w:val="00ED697E"/>
    <w:rsid w:val="00EE11AA"/>
    <w:rsid w:val="00EE15A5"/>
    <w:rsid w:val="00EE21F2"/>
    <w:rsid w:val="00EE2FFB"/>
    <w:rsid w:val="00EE5588"/>
    <w:rsid w:val="00EF0051"/>
    <w:rsid w:val="00EF0E01"/>
    <w:rsid w:val="00EF3138"/>
    <w:rsid w:val="00EF4497"/>
    <w:rsid w:val="00EF4669"/>
    <w:rsid w:val="00EF4950"/>
    <w:rsid w:val="00EF4BBD"/>
    <w:rsid w:val="00EF4D68"/>
    <w:rsid w:val="00EF6B95"/>
    <w:rsid w:val="00EF79F3"/>
    <w:rsid w:val="00F000A6"/>
    <w:rsid w:val="00F0028B"/>
    <w:rsid w:val="00F04912"/>
    <w:rsid w:val="00F06137"/>
    <w:rsid w:val="00F0613A"/>
    <w:rsid w:val="00F0666A"/>
    <w:rsid w:val="00F0706D"/>
    <w:rsid w:val="00F074C1"/>
    <w:rsid w:val="00F1031B"/>
    <w:rsid w:val="00F103AD"/>
    <w:rsid w:val="00F10B96"/>
    <w:rsid w:val="00F118A1"/>
    <w:rsid w:val="00F11F16"/>
    <w:rsid w:val="00F13AF0"/>
    <w:rsid w:val="00F13B14"/>
    <w:rsid w:val="00F14B95"/>
    <w:rsid w:val="00F17E09"/>
    <w:rsid w:val="00F17F2B"/>
    <w:rsid w:val="00F213CE"/>
    <w:rsid w:val="00F2193E"/>
    <w:rsid w:val="00F21D0E"/>
    <w:rsid w:val="00F229E6"/>
    <w:rsid w:val="00F23100"/>
    <w:rsid w:val="00F25856"/>
    <w:rsid w:val="00F260C7"/>
    <w:rsid w:val="00F2750D"/>
    <w:rsid w:val="00F30279"/>
    <w:rsid w:val="00F334E1"/>
    <w:rsid w:val="00F35899"/>
    <w:rsid w:val="00F36B6D"/>
    <w:rsid w:val="00F375CA"/>
    <w:rsid w:val="00F41F50"/>
    <w:rsid w:val="00F435B6"/>
    <w:rsid w:val="00F45F44"/>
    <w:rsid w:val="00F46028"/>
    <w:rsid w:val="00F46B99"/>
    <w:rsid w:val="00F477CE"/>
    <w:rsid w:val="00F47D8B"/>
    <w:rsid w:val="00F47E2A"/>
    <w:rsid w:val="00F5055E"/>
    <w:rsid w:val="00F51365"/>
    <w:rsid w:val="00F52509"/>
    <w:rsid w:val="00F5277F"/>
    <w:rsid w:val="00F60338"/>
    <w:rsid w:val="00F6497D"/>
    <w:rsid w:val="00F670EB"/>
    <w:rsid w:val="00F67C96"/>
    <w:rsid w:val="00F67F27"/>
    <w:rsid w:val="00F7040F"/>
    <w:rsid w:val="00F72BAC"/>
    <w:rsid w:val="00F72C8E"/>
    <w:rsid w:val="00F72CF5"/>
    <w:rsid w:val="00F731CE"/>
    <w:rsid w:val="00F7501D"/>
    <w:rsid w:val="00F750E3"/>
    <w:rsid w:val="00F75667"/>
    <w:rsid w:val="00F7799D"/>
    <w:rsid w:val="00F77C67"/>
    <w:rsid w:val="00F8018B"/>
    <w:rsid w:val="00F80517"/>
    <w:rsid w:val="00F815EE"/>
    <w:rsid w:val="00F825F8"/>
    <w:rsid w:val="00F82625"/>
    <w:rsid w:val="00F8272D"/>
    <w:rsid w:val="00F836B3"/>
    <w:rsid w:val="00F83755"/>
    <w:rsid w:val="00F85FAE"/>
    <w:rsid w:val="00F86134"/>
    <w:rsid w:val="00F86FAF"/>
    <w:rsid w:val="00F8705F"/>
    <w:rsid w:val="00F87770"/>
    <w:rsid w:val="00F920A3"/>
    <w:rsid w:val="00F925C1"/>
    <w:rsid w:val="00F929E7"/>
    <w:rsid w:val="00F93BAF"/>
    <w:rsid w:val="00F95004"/>
    <w:rsid w:val="00F9534A"/>
    <w:rsid w:val="00F95F80"/>
    <w:rsid w:val="00F963A9"/>
    <w:rsid w:val="00F96C80"/>
    <w:rsid w:val="00FA158B"/>
    <w:rsid w:val="00FA25F4"/>
    <w:rsid w:val="00FA31A5"/>
    <w:rsid w:val="00FA5205"/>
    <w:rsid w:val="00FA5C4F"/>
    <w:rsid w:val="00FB1185"/>
    <w:rsid w:val="00FB16AE"/>
    <w:rsid w:val="00FB17E7"/>
    <w:rsid w:val="00FB180A"/>
    <w:rsid w:val="00FB1975"/>
    <w:rsid w:val="00FB2371"/>
    <w:rsid w:val="00FB2AC1"/>
    <w:rsid w:val="00FB4399"/>
    <w:rsid w:val="00FB4447"/>
    <w:rsid w:val="00FB664D"/>
    <w:rsid w:val="00FB67BC"/>
    <w:rsid w:val="00FB6D06"/>
    <w:rsid w:val="00FB7503"/>
    <w:rsid w:val="00FB7648"/>
    <w:rsid w:val="00FC0553"/>
    <w:rsid w:val="00FC2809"/>
    <w:rsid w:val="00FC449A"/>
    <w:rsid w:val="00FC4B70"/>
    <w:rsid w:val="00FD04B8"/>
    <w:rsid w:val="00FD188E"/>
    <w:rsid w:val="00FD2C67"/>
    <w:rsid w:val="00FD4E24"/>
    <w:rsid w:val="00FD5046"/>
    <w:rsid w:val="00FD5086"/>
    <w:rsid w:val="00FD5347"/>
    <w:rsid w:val="00FD562A"/>
    <w:rsid w:val="00FD58D2"/>
    <w:rsid w:val="00FD7C3D"/>
    <w:rsid w:val="00FE032C"/>
    <w:rsid w:val="00FE121D"/>
    <w:rsid w:val="00FE1849"/>
    <w:rsid w:val="00FE2D83"/>
    <w:rsid w:val="00FE2ED8"/>
    <w:rsid w:val="00FE43F6"/>
    <w:rsid w:val="00FE4FF9"/>
    <w:rsid w:val="00FE5453"/>
    <w:rsid w:val="00FE651B"/>
    <w:rsid w:val="00FF106E"/>
    <w:rsid w:val="00FF3A94"/>
    <w:rsid w:val="00FF4896"/>
    <w:rsid w:val="00FF4AF5"/>
    <w:rsid w:val="00FF4BF7"/>
    <w:rsid w:val="00FF53A2"/>
    <w:rsid w:val="00FF5C73"/>
    <w:rsid w:val="00FF5D1D"/>
    <w:rsid w:val="00FF6022"/>
    <w:rsid w:val="00FF6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E9"/>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784473"/>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link w:val="Heading4Char"/>
    <w:uiPriority w:val="9"/>
    <w:qFormat/>
    <w:rsid w:val="00784473"/>
    <w:pPr>
      <w:spacing w:before="100" w:beforeAutospacing="1" w:after="100" w:afterAutospacing="1" w:line="240" w:lineRule="auto"/>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66"/>
    <w:pPr>
      <w:ind w:left="720"/>
      <w:contextualSpacing/>
    </w:pPr>
  </w:style>
  <w:style w:type="table" w:styleId="TableGrid">
    <w:name w:val="Table Grid"/>
    <w:basedOn w:val="TableNormal"/>
    <w:uiPriority w:val="59"/>
    <w:rsid w:val="00D96857"/>
    <w:pPr>
      <w:ind w:left="1469" w:right="14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63B1F"/>
    <w:pPr>
      <w:contextualSpacing/>
    </w:pPr>
    <w:rPr>
      <w:rFonts w:ascii="Times New Roman" w:eastAsia="Times New Roman" w:hAnsi="Times New Roman"/>
      <w:color w:val="000000"/>
      <w:sz w:val="24"/>
      <w:szCs w:val="22"/>
    </w:rPr>
  </w:style>
  <w:style w:type="paragraph" w:styleId="FootnoteText">
    <w:name w:val="footnote text"/>
    <w:basedOn w:val="Normal"/>
    <w:link w:val="FootnoteTextChar"/>
    <w:uiPriority w:val="99"/>
    <w:unhideWhenUsed/>
    <w:rsid w:val="003D39EC"/>
    <w:pPr>
      <w:spacing w:after="0" w:line="240" w:lineRule="auto"/>
    </w:pPr>
    <w:rPr>
      <w:sz w:val="20"/>
      <w:szCs w:val="20"/>
    </w:rPr>
  </w:style>
  <w:style w:type="character" w:customStyle="1" w:styleId="FootnoteTextChar">
    <w:name w:val="Footnote Text Char"/>
    <w:basedOn w:val="DefaultParagraphFont"/>
    <w:link w:val="FootnoteText"/>
    <w:uiPriority w:val="99"/>
    <w:rsid w:val="003D39EC"/>
    <w:rPr>
      <w:sz w:val="20"/>
      <w:szCs w:val="20"/>
    </w:rPr>
  </w:style>
  <w:style w:type="character" w:styleId="FootnoteReference">
    <w:name w:val="footnote reference"/>
    <w:basedOn w:val="DefaultParagraphFont"/>
    <w:uiPriority w:val="99"/>
    <w:semiHidden/>
    <w:unhideWhenUsed/>
    <w:rsid w:val="003D39EC"/>
    <w:rPr>
      <w:vertAlign w:val="superscript"/>
    </w:rPr>
  </w:style>
  <w:style w:type="paragraph" w:styleId="BalloonText">
    <w:name w:val="Balloon Text"/>
    <w:basedOn w:val="Normal"/>
    <w:link w:val="BalloonTextChar"/>
    <w:uiPriority w:val="99"/>
    <w:semiHidden/>
    <w:unhideWhenUsed/>
    <w:rsid w:val="00F5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509"/>
    <w:rPr>
      <w:rFonts w:ascii="Tahoma" w:hAnsi="Tahoma" w:cs="Tahoma"/>
      <w:sz w:val="16"/>
      <w:szCs w:val="16"/>
    </w:rPr>
  </w:style>
  <w:style w:type="paragraph" w:styleId="NormalWeb">
    <w:name w:val="Normal (Web)"/>
    <w:basedOn w:val="Normal"/>
    <w:uiPriority w:val="99"/>
    <w:unhideWhenUsed/>
    <w:rsid w:val="00DD6274"/>
    <w:pPr>
      <w:spacing w:before="100" w:beforeAutospacing="1" w:after="100" w:afterAutospacing="1" w:line="240" w:lineRule="auto"/>
    </w:pPr>
    <w:rPr>
      <w:rFonts w:ascii="Times New Roman" w:hAnsi="Times New Roman"/>
      <w:sz w:val="24"/>
      <w:szCs w:val="24"/>
      <w:lang w:eastAsia="en-AU"/>
    </w:rPr>
  </w:style>
  <w:style w:type="character" w:styleId="Hyperlink">
    <w:name w:val="Hyperlink"/>
    <w:basedOn w:val="DefaultParagraphFont"/>
    <w:uiPriority w:val="99"/>
    <w:unhideWhenUsed/>
    <w:rsid w:val="00DD6274"/>
    <w:rPr>
      <w:color w:val="0000FF"/>
      <w:u w:val="single"/>
    </w:rPr>
  </w:style>
  <w:style w:type="paragraph" w:styleId="Header">
    <w:name w:val="header"/>
    <w:basedOn w:val="Normal"/>
    <w:link w:val="HeaderChar"/>
    <w:uiPriority w:val="99"/>
    <w:semiHidden/>
    <w:unhideWhenUsed/>
    <w:rsid w:val="005417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171C"/>
  </w:style>
  <w:style w:type="paragraph" w:styleId="Footer">
    <w:name w:val="footer"/>
    <w:basedOn w:val="Normal"/>
    <w:link w:val="FooterChar"/>
    <w:uiPriority w:val="99"/>
    <w:unhideWhenUsed/>
    <w:rsid w:val="0054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71C"/>
  </w:style>
  <w:style w:type="character" w:styleId="CommentReference">
    <w:name w:val="annotation reference"/>
    <w:basedOn w:val="DefaultParagraphFont"/>
    <w:uiPriority w:val="99"/>
    <w:semiHidden/>
    <w:unhideWhenUsed/>
    <w:rsid w:val="000D4FA7"/>
    <w:rPr>
      <w:sz w:val="16"/>
      <w:szCs w:val="16"/>
    </w:rPr>
  </w:style>
  <w:style w:type="paragraph" w:styleId="CommentText">
    <w:name w:val="annotation text"/>
    <w:basedOn w:val="Normal"/>
    <w:link w:val="CommentTextChar"/>
    <w:uiPriority w:val="99"/>
    <w:semiHidden/>
    <w:unhideWhenUsed/>
    <w:rsid w:val="000D4FA7"/>
    <w:pPr>
      <w:spacing w:line="240" w:lineRule="auto"/>
    </w:pPr>
    <w:rPr>
      <w:sz w:val="20"/>
      <w:szCs w:val="20"/>
    </w:rPr>
  </w:style>
  <w:style w:type="character" w:customStyle="1" w:styleId="CommentTextChar">
    <w:name w:val="Comment Text Char"/>
    <w:basedOn w:val="DefaultParagraphFont"/>
    <w:link w:val="CommentText"/>
    <w:uiPriority w:val="99"/>
    <w:semiHidden/>
    <w:rsid w:val="000D4FA7"/>
    <w:rPr>
      <w:sz w:val="20"/>
      <w:szCs w:val="20"/>
    </w:rPr>
  </w:style>
  <w:style w:type="paragraph" w:styleId="CommentSubject">
    <w:name w:val="annotation subject"/>
    <w:basedOn w:val="CommentText"/>
    <w:next w:val="CommentText"/>
    <w:link w:val="CommentSubjectChar"/>
    <w:uiPriority w:val="99"/>
    <w:semiHidden/>
    <w:unhideWhenUsed/>
    <w:rsid w:val="000D4FA7"/>
    <w:rPr>
      <w:b/>
      <w:bCs/>
    </w:rPr>
  </w:style>
  <w:style w:type="character" w:customStyle="1" w:styleId="CommentSubjectChar">
    <w:name w:val="Comment Subject Char"/>
    <w:basedOn w:val="CommentTextChar"/>
    <w:link w:val="CommentSubject"/>
    <w:uiPriority w:val="99"/>
    <w:semiHidden/>
    <w:rsid w:val="000D4FA7"/>
    <w:rPr>
      <w:b/>
      <w:bCs/>
      <w:sz w:val="20"/>
      <w:szCs w:val="20"/>
    </w:rPr>
  </w:style>
  <w:style w:type="character" w:customStyle="1" w:styleId="apple-converted-space">
    <w:name w:val="apple-converted-space"/>
    <w:basedOn w:val="DefaultParagraphFont"/>
    <w:rsid w:val="00A92F3D"/>
  </w:style>
  <w:style w:type="character" w:styleId="Strong">
    <w:name w:val="Strong"/>
    <w:basedOn w:val="DefaultParagraphFont"/>
    <w:uiPriority w:val="22"/>
    <w:qFormat/>
    <w:rsid w:val="00B9192A"/>
    <w:rPr>
      <w:b/>
      <w:bCs/>
    </w:rPr>
  </w:style>
  <w:style w:type="character" w:styleId="Emphasis">
    <w:name w:val="Emphasis"/>
    <w:basedOn w:val="DefaultParagraphFont"/>
    <w:uiPriority w:val="20"/>
    <w:qFormat/>
    <w:rsid w:val="00B01750"/>
    <w:rPr>
      <w:i/>
      <w:iCs/>
    </w:rPr>
  </w:style>
  <w:style w:type="paragraph" w:customStyle="1" w:styleId="paragraph">
    <w:name w:val="paragraph"/>
    <w:aliases w:val="a,indent(a)"/>
    <w:basedOn w:val="Normal"/>
    <w:link w:val="paragraphChar"/>
    <w:rsid w:val="00D63B8C"/>
    <w:pPr>
      <w:tabs>
        <w:tab w:val="right" w:pos="1531"/>
      </w:tabs>
      <w:spacing w:before="40" w:after="0" w:line="240" w:lineRule="auto"/>
      <w:ind w:left="1644" w:hanging="1644"/>
    </w:pPr>
    <w:rPr>
      <w:rFonts w:ascii="Times New Roman" w:eastAsia="Times New Roman" w:hAnsi="Times New Roman"/>
      <w:szCs w:val="20"/>
      <w:lang w:eastAsia="en-AU"/>
    </w:rPr>
  </w:style>
  <w:style w:type="paragraph" w:customStyle="1" w:styleId="paragraphsub">
    <w:name w:val="paragraph(sub)"/>
    <w:aliases w:val="aa"/>
    <w:basedOn w:val="Normal"/>
    <w:rsid w:val="00D63B8C"/>
    <w:pPr>
      <w:tabs>
        <w:tab w:val="right" w:pos="1985"/>
      </w:tabs>
      <w:spacing w:before="40" w:after="0" w:line="240" w:lineRule="auto"/>
      <w:ind w:left="2098" w:hanging="2098"/>
    </w:pPr>
    <w:rPr>
      <w:rFonts w:ascii="Times New Roman" w:eastAsia="Times New Roman" w:hAnsi="Times New Roman"/>
      <w:szCs w:val="20"/>
      <w:lang w:eastAsia="en-AU"/>
    </w:rPr>
  </w:style>
  <w:style w:type="character" w:customStyle="1" w:styleId="paragraphChar">
    <w:name w:val="paragraph Char"/>
    <w:aliases w:val="a Char"/>
    <w:basedOn w:val="DefaultParagraphFont"/>
    <w:link w:val="paragraph"/>
    <w:rsid w:val="00D63B8C"/>
    <w:rPr>
      <w:rFonts w:ascii="Times New Roman" w:eastAsia="Times New Roman" w:hAnsi="Times New Roman" w:cs="Times New Roman"/>
      <w:szCs w:val="20"/>
      <w:lang w:eastAsia="en-AU"/>
    </w:rPr>
  </w:style>
  <w:style w:type="paragraph" w:customStyle="1" w:styleId="Default">
    <w:name w:val="Default"/>
    <w:rsid w:val="00FB4399"/>
    <w:pPr>
      <w:autoSpaceDE w:val="0"/>
      <w:autoSpaceDN w:val="0"/>
      <w:adjustRightInd w:val="0"/>
    </w:pPr>
    <w:rPr>
      <w:rFonts w:ascii="Times New Roman" w:hAnsi="Times New Roman"/>
      <w:color w:val="000000"/>
      <w:sz w:val="24"/>
      <w:szCs w:val="24"/>
      <w:lang w:eastAsia="en-US"/>
    </w:rPr>
  </w:style>
  <w:style w:type="paragraph" w:customStyle="1" w:styleId="InformationRequest">
    <w:name w:val="Information Request"/>
    <w:basedOn w:val="Normal"/>
    <w:next w:val="BodyText"/>
    <w:rsid w:val="00A5375D"/>
    <w:pPr>
      <w:keepLines/>
      <w:spacing w:before="120" w:after="0" w:line="280" w:lineRule="atLeast"/>
      <w:jc w:val="both"/>
    </w:pPr>
    <w:rPr>
      <w:rFonts w:ascii="Arial" w:eastAsia="Times New Roman" w:hAnsi="Arial"/>
      <w:i/>
      <w:szCs w:val="20"/>
      <w:lang w:eastAsia="en-AU"/>
    </w:rPr>
  </w:style>
  <w:style w:type="paragraph" w:styleId="BodyText">
    <w:name w:val="Body Text"/>
    <w:basedOn w:val="Normal"/>
    <w:link w:val="BodyTextChar"/>
    <w:uiPriority w:val="99"/>
    <w:semiHidden/>
    <w:unhideWhenUsed/>
    <w:rsid w:val="00A5375D"/>
    <w:pPr>
      <w:spacing w:after="120" w:line="240" w:lineRule="auto"/>
    </w:pPr>
    <w:rPr>
      <w:rFonts w:cs="Calibri"/>
      <w:lang w:eastAsia="en-AU"/>
    </w:rPr>
  </w:style>
  <w:style w:type="character" w:customStyle="1" w:styleId="BodyTextChar">
    <w:name w:val="Body Text Char"/>
    <w:basedOn w:val="DefaultParagraphFont"/>
    <w:link w:val="BodyText"/>
    <w:uiPriority w:val="99"/>
    <w:semiHidden/>
    <w:rsid w:val="00A5375D"/>
    <w:rPr>
      <w:rFonts w:ascii="Calibri" w:hAnsi="Calibri" w:cs="Calibri"/>
      <w:lang w:eastAsia="en-AU"/>
    </w:rPr>
  </w:style>
  <w:style w:type="character" w:customStyle="1" w:styleId="A4">
    <w:name w:val="A4"/>
    <w:uiPriority w:val="99"/>
    <w:rsid w:val="00C72824"/>
    <w:rPr>
      <w:rFonts w:ascii="Gotham Bold" w:hAnsi="Gotham Bold" w:cs="Gotham Bold"/>
      <w:color w:val="81BD40"/>
      <w:sz w:val="20"/>
      <w:szCs w:val="20"/>
    </w:rPr>
  </w:style>
  <w:style w:type="paragraph" w:customStyle="1" w:styleId="ga-layer">
    <w:name w:val="ga-layer"/>
    <w:basedOn w:val="Normal"/>
    <w:rsid w:val="0016209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ighlight">
    <w:name w:val="highlight"/>
    <w:basedOn w:val="DefaultParagraphFont"/>
    <w:rsid w:val="00BA07A2"/>
  </w:style>
  <w:style w:type="paragraph" w:customStyle="1" w:styleId="subsectionhead">
    <w:name w:val="subsectionhead"/>
    <w:basedOn w:val="Normal"/>
    <w:rsid w:val="00A73A3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A73A3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2Char">
    <w:name w:val="Heading 2 Char"/>
    <w:basedOn w:val="DefaultParagraphFont"/>
    <w:link w:val="Heading2"/>
    <w:uiPriority w:val="9"/>
    <w:rsid w:val="00784473"/>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784473"/>
    <w:rPr>
      <w:rFonts w:ascii="Times New Roman" w:eastAsia="Times New Roman" w:hAnsi="Times New Roman" w:cs="Times New Roman"/>
      <w:b/>
      <w:bCs/>
      <w:sz w:val="24"/>
      <w:szCs w:val="24"/>
      <w:lang w:eastAsia="en-AU"/>
    </w:rPr>
  </w:style>
  <w:style w:type="paragraph" w:customStyle="1" w:styleId="Level2Heading">
    <w:name w:val="Level 2 Heading"/>
    <w:basedOn w:val="Normal"/>
    <w:uiPriority w:val="99"/>
    <w:rsid w:val="00784473"/>
    <w:pPr>
      <w:widowControl w:val="0"/>
      <w:suppressAutoHyphens/>
      <w:autoSpaceDE w:val="0"/>
      <w:autoSpaceDN w:val="0"/>
      <w:adjustRightInd w:val="0"/>
      <w:spacing w:before="283" w:after="113" w:line="288" w:lineRule="auto"/>
      <w:textAlignment w:val="center"/>
    </w:pPr>
    <w:rPr>
      <w:rFonts w:ascii="HelveticaNeue" w:eastAsia="Times New Roman" w:hAnsi="HelveticaNeue" w:cs="HelveticaNeue"/>
      <w:color w:val="123E6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517">
      <w:bodyDiv w:val="1"/>
      <w:marLeft w:val="0"/>
      <w:marRight w:val="0"/>
      <w:marTop w:val="0"/>
      <w:marBottom w:val="0"/>
      <w:divBdr>
        <w:top w:val="none" w:sz="0" w:space="0" w:color="auto"/>
        <w:left w:val="none" w:sz="0" w:space="0" w:color="auto"/>
        <w:bottom w:val="none" w:sz="0" w:space="0" w:color="auto"/>
        <w:right w:val="none" w:sz="0" w:space="0" w:color="auto"/>
      </w:divBdr>
      <w:divsChild>
        <w:div w:id="25062649">
          <w:marLeft w:val="1483"/>
          <w:marRight w:val="0"/>
          <w:marTop w:val="0"/>
          <w:marBottom w:val="240"/>
          <w:divBdr>
            <w:top w:val="none" w:sz="0" w:space="0" w:color="auto"/>
            <w:left w:val="none" w:sz="0" w:space="0" w:color="auto"/>
            <w:bottom w:val="none" w:sz="0" w:space="0" w:color="auto"/>
            <w:right w:val="none" w:sz="0" w:space="0" w:color="auto"/>
          </w:divBdr>
        </w:div>
        <w:div w:id="727536749">
          <w:marLeft w:val="1483"/>
          <w:marRight w:val="0"/>
          <w:marTop w:val="0"/>
          <w:marBottom w:val="240"/>
          <w:divBdr>
            <w:top w:val="none" w:sz="0" w:space="0" w:color="auto"/>
            <w:left w:val="none" w:sz="0" w:space="0" w:color="auto"/>
            <w:bottom w:val="none" w:sz="0" w:space="0" w:color="auto"/>
            <w:right w:val="none" w:sz="0" w:space="0" w:color="auto"/>
          </w:divBdr>
        </w:div>
        <w:div w:id="860821245">
          <w:marLeft w:val="1483"/>
          <w:marRight w:val="0"/>
          <w:marTop w:val="0"/>
          <w:marBottom w:val="240"/>
          <w:divBdr>
            <w:top w:val="none" w:sz="0" w:space="0" w:color="auto"/>
            <w:left w:val="none" w:sz="0" w:space="0" w:color="auto"/>
            <w:bottom w:val="none" w:sz="0" w:space="0" w:color="auto"/>
            <w:right w:val="none" w:sz="0" w:space="0" w:color="auto"/>
          </w:divBdr>
        </w:div>
      </w:divsChild>
    </w:div>
    <w:div w:id="32392440">
      <w:bodyDiv w:val="1"/>
      <w:marLeft w:val="0"/>
      <w:marRight w:val="0"/>
      <w:marTop w:val="0"/>
      <w:marBottom w:val="0"/>
      <w:divBdr>
        <w:top w:val="none" w:sz="0" w:space="0" w:color="auto"/>
        <w:left w:val="none" w:sz="0" w:space="0" w:color="auto"/>
        <w:bottom w:val="none" w:sz="0" w:space="0" w:color="auto"/>
        <w:right w:val="none" w:sz="0" w:space="0" w:color="auto"/>
      </w:divBdr>
    </w:div>
    <w:div w:id="42103867">
      <w:bodyDiv w:val="1"/>
      <w:marLeft w:val="0"/>
      <w:marRight w:val="0"/>
      <w:marTop w:val="0"/>
      <w:marBottom w:val="0"/>
      <w:divBdr>
        <w:top w:val="none" w:sz="0" w:space="0" w:color="auto"/>
        <w:left w:val="none" w:sz="0" w:space="0" w:color="auto"/>
        <w:bottom w:val="none" w:sz="0" w:space="0" w:color="auto"/>
        <w:right w:val="none" w:sz="0" w:space="0" w:color="auto"/>
      </w:divBdr>
      <w:divsChild>
        <w:div w:id="1454902870">
          <w:marLeft w:val="2117"/>
          <w:marRight w:val="0"/>
          <w:marTop w:val="0"/>
          <w:marBottom w:val="240"/>
          <w:divBdr>
            <w:top w:val="none" w:sz="0" w:space="0" w:color="auto"/>
            <w:left w:val="none" w:sz="0" w:space="0" w:color="auto"/>
            <w:bottom w:val="none" w:sz="0" w:space="0" w:color="auto"/>
            <w:right w:val="none" w:sz="0" w:space="0" w:color="auto"/>
          </w:divBdr>
        </w:div>
      </w:divsChild>
    </w:div>
    <w:div w:id="49888584">
      <w:bodyDiv w:val="1"/>
      <w:marLeft w:val="0"/>
      <w:marRight w:val="0"/>
      <w:marTop w:val="0"/>
      <w:marBottom w:val="0"/>
      <w:divBdr>
        <w:top w:val="none" w:sz="0" w:space="0" w:color="auto"/>
        <w:left w:val="none" w:sz="0" w:space="0" w:color="auto"/>
        <w:bottom w:val="none" w:sz="0" w:space="0" w:color="auto"/>
        <w:right w:val="none" w:sz="0" w:space="0" w:color="auto"/>
      </w:divBdr>
    </w:div>
    <w:div w:id="69356467">
      <w:bodyDiv w:val="1"/>
      <w:marLeft w:val="0"/>
      <w:marRight w:val="0"/>
      <w:marTop w:val="0"/>
      <w:marBottom w:val="0"/>
      <w:divBdr>
        <w:top w:val="none" w:sz="0" w:space="0" w:color="auto"/>
        <w:left w:val="none" w:sz="0" w:space="0" w:color="auto"/>
        <w:bottom w:val="none" w:sz="0" w:space="0" w:color="auto"/>
        <w:right w:val="none" w:sz="0" w:space="0" w:color="auto"/>
      </w:divBdr>
    </w:div>
    <w:div w:id="90399237">
      <w:bodyDiv w:val="1"/>
      <w:marLeft w:val="0"/>
      <w:marRight w:val="0"/>
      <w:marTop w:val="0"/>
      <w:marBottom w:val="0"/>
      <w:divBdr>
        <w:top w:val="none" w:sz="0" w:space="0" w:color="auto"/>
        <w:left w:val="none" w:sz="0" w:space="0" w:color="auto"/>
        <w:bottom w:val="none" w:sz="0" w:space="0" w:color="auto"/>
        <w:right w:val="none" w:sz="0" w:space="0" w:color="auto"/>
      </w:divBdr>
    </w:div>
    <w:div w:id="208956247">
      <w:bodyDiv w:val="1"/>
      <w:marLeft w:val="0"/>
      <w:marRight w:val="0"/>
      <w:marTop w:val="0"/>
      <w:marBottom w:val="0"/>
      <w:divBdr>
        <w:top w:val="none" w:sz="0" w:space="0" w:color="auto"/>
        <w:left w:val="none" w:sz="0" w:space="0" w:color="auto"/>
        <w:bottom w:val="none" w:sz="0" w:space="0" w:color="auto"/>
        <w:right w:val="none" w:sz="0" w:space="0" w:color="auto"/>
      </w:divBdr>
      <w:divsChild>
        <w:div w:id="1932161226">
          <w:marLeft w:val="1166"/>
          <w:marRight w:val="0"/>
          <w:marTop w:val="0"/>
          <w:marBottom w:val="240"/>
          <w:divBdr>
            <w:top w:val="none" w:sz="0" w:space="0" w:color="auto"/>
            <w:left w:val="none" w:sz="0" w:space="0" w:color="auto"/>
            <w:bottom w:val="none" w:sz="0" w:space="0" w:color="auto"/>
            <w:right w:val="none" w:sz="0" w:space="0" w:color="auto"/>
          </w:divBdr>
        </w:div>
      </w:divsChild>
    </w:div>
    <w:div w:id="264272417">
      <w:bodyDiv w:val="1"/>
      <w:marLeft w:val="0"/>
      <w:marRight w:val="0"/>
      <w:marTop w:val="0"/>
      <w:marBottom w:val="0"/>
      <w:divBdr>
        <w:top w:val="none" w:sz="0" w:space="0" w:color="auto"/>
        <w:left w:val="none" w:sz="0" w:space="0" w:color="auto"/>
        <w:bottom w:val="none" w:sz="0" w:space="0" w:color="auto"/>
        <w:right w:val="none" w:sz="0" w:space="0" w:color="auto"/>
      </w:divBdr>
      <w:divsChild>
        <w:div w:id="1231580867">
          <w:marLeft w:val="2117"/>
          <w:marRight w:val="0"/>
          <w:marTop w:val="0"/>
          <w:marBottom w:val="240"/>
          <w:divBdr>
            <w:top w:val="none" w:sz="0" w:space="0" w:color="auto"/>
            <w:left w:val="none" w:sz="0" w:space="0" w:color="auto"/>
            <w:bottom w:val="none" w:sz="0" w:space="0" w:color="auto"/>
            <w:right w:val="none" w:sz="0" w:space="0" w:color="auto"/>
          </w:divBdr>
        </w:div>
        <w:div w:id="1250164893">
          <w:marLeft w:val="1483"/>
          <w:marRight w:val="0"/>
          <w:marTop w:val="0"/>
          <w:marBottom w:val="240"/>
          <w:divBdr>
            <w:top w:val="none" w:sz="0" w:space="0" w:color="auto"/>
            <w:left w:val="none" w:sz="0" w:space="0" w:color="auto"/>
            <w:bottom w:val="none" w:sz="0" w:space="0" w:color="auto"/>
            <w:right w:val="none" w:sz="0" w:space="0" w:color="auto"/>
          </w:divBdr>
        </w:div>
        <w:div w:id="2121604340">
          <w:marLeft w:val="1483"/>
          <w:marRight w:val="0"/>
          <w:marTop w:val="0"/>
          <w:marBottom w:val="240"/>
          <w:divBdr>
            <w:top w:val="none" w:sz="0" w:space="0" w:color="auto"/>
            <w:left w:val="none" w:sz="0" w:space="0" w:color="auto"/>
            <w:bottom w:val="none" w:sz="0" w:space="0" w:color="auto"/>
            <w:right w:val="none" w:sz="0" w:space="0" w:color="auto"/>
          </w:divBdr>
        </w:div>
      </w:divsChild>
    </w:div>
    <w:div w:id="277958667">
      <w:bodyDiv w:val="1"/>
      <w:marLeft w:val="0"/>
      <w:marRight w:val="0"/>
      <w:marTop w:val="0"/>
      <w:marBottom w:val="0"/>
      <w:divBdr>
        <w:top w:val="none" w:sz="0" w:space="0" w:color="auto"/>
        <w:left w:val="none" w:sz="0" w:space="0" w:color="auto"/>
        <w:bottom w:val="none" w:sz="0" w:space="0" w:color="auto"/>
        <w:right w:val="none" w:sz="0" w:space="0" w:color="auto"/>
      </w:divBdr>
    </w:div>
    <w:div w:id="365375387">
      <w:bodyDiv w:val="1"/>
      <w:marLeft w:val="0"/>
      <w:marRight w:val="0"/>
      <w:marTop w:val="0"/>
      <w:marBottom w:val="0"/>
      <w:divBdr>
        <w:top w:val="none" w:sz="0" w:space="0" w:color="auto"/>
        <w:left w:val="none" w:sz="0" w:space="0" w:color="auto"/>
        <w:bottom w:val="none" w:sz="0" w:space="0" w:color="auto"/>
        <w:right w:val="none" w:sz="0" w:space="0" w:color="auto"/>
      </w:divBdr>
    </w:div>
    <w:div w:id="370114511">
      <w:bodyDiv w:val="1"/>
      <w:marLeft w:val="0"/>
      <w:marRight w:val="0"/>
      <w:marTop w:val="0"/>
      <w:marBottom w:val="0"/>
      <w:divBdr>
        <w:top w:val="none" w:sz="0" w:space="0" w:color="auto"/>
        <w:left w:val="none" w:sz="0" w:space="0" w:color="auto"/>
        <w:bottom w:val="none" w:sz="0" w:space="0" w:color="auto"/>
        <w:right w:val="none" w:sz="0" w:space="0" w:color="auto"/>
      </w:divBdr>
      <w:divsChild>
        <w:div w:id="335158896">
          <w:marLeft w:val="806"/>
          <w:marRight w:val="0"/>
          <w:marTop w:val="115"/>
          <w:marBottom w:val="0"/>
          <w:divBdr>
            <w:top w:val="none" w:sz="0" w:space="0" w:color="auto"/>
            <w:left w:val="none" w:sz="0" w:space="0" w:color="auto"/>
            <w:bottom w:val="none" w:sz="0" w:space="0" w:color="auto"/>
            <w:right w:val="none" w:sz="0" w:space="0" w:color="auto"/>
          </w:divBdr>
        </w:div>
        <w:div w:id="902301957">
          <w:marLeft w:val="1483"/>
          <w:marRight w:val="0"/>
          <w:marTop w:val="96"/>
          <w:marBottom w:val="0"/>
          <w:divBdr>
            <w:top w:val="none" w:sz="0" w:space="0" w:color="auto"/>
            <w:left w:val="none" w:sz="0" w:space="0" w:color="auto"/>
            <w:bottom w:val="none" w:sz="0" w:space="0" w:color="auto"/>
            <w:right w:val="none" w:sz="0" w:space="0" w:color="auto"/>
          </w:divBdr>
        </w:div>
      </w:divsChild>
    </w:div>
    <w:div w:id="395512031">
      <w:bodyDiv w:val="1"/>
      <w:marLeft w:val="0"/>
      <w:marRight w:val="0"/>
      <w:marTop w:val="0"/>
      <w:marBottom w:val="0"/>
      <w:divBdr>
        <w:top w:val="none" w:sz="0" w:space="0" w:color="auto"/>
        <w:left w:val="none" w:sz="0" w:space="0" w:color="auto"/>
        <w:bottom w:val="none" w:sz="0" w:space="0" w:color="auto"/>
        <w:right w:val="none" w:sz="0" w:space="0" w:color="auto"/>
      </w:divBdr>
    </w:div>
    <w:div w:id="423964385">
      <w:bodyDiv w:val="1"/>
      <w:marLeft w:val="0"/>
      <w:marRight w:val="0"/>
      <w:marTop w:val="0"/>
      <w:marBottom w:val="0"/>
      <w:divBdr>
        <w:top w:val="none" w:sz="0" w:space="0" w:color="auto"/>
        <w:left w:val="none" w:sz="0" w:space="0" w:color="auto"/>
        <w:bottom w:val="none" w:sz="0" w:space="0" w:color="auto"/>
        <w:right w:val="none" w:sz="0" w:space="0" w:color="auto"/>
      </w:divBdr>
      <w:divsChild>
        <w:div w:id="783617132">
          <w:marLeft w:val="1440"/>
          <w:marRight w:val="0"/>
          <w:marTop w:val="0"/>
          <w:marBottom w:val="240"/>
          <w:divBdr>
            <w:top w:val="none" w:sz="0" w:space="0" w:color="auto"/>
            <w:left w:val="none" w:sz="0" w:space="0" w:color="auto"/>
            <w:bottom w:val="none" w:sz="0" w:space="0" w:color="auto"/>
            <w:right w:val="none" w:sz="0" w:space="0" w:color="auto"/>
          </w:divBdr>
        </w:div>
      </w:divsChild>
    </w:div>
    <w:div w:id="475420388">
      <w:bodyDiv w:val="1"/>
      <w:marLeft w:val="0"/>
      <w:marRight w:val="0"/>
      <w:marTop w:val="0"/>
      <w:marBottom w:val="0"/>
      <w:divBdr>
        <w:top w:val="none" w:sz="0" w:space="0" w:color="auto"/>
        <w:left w:val="none" w:sz="0" w:space="0" w:color="auto"/>
        <w:bottom w:val="none" w:sz="0" w:space="0" w:color="auto"/>
        <w:right w:val="none" w:sz="0" w:space="0" w:color="auto"/>
      </w:divBdr>
    </w:div>
    <w:div w:id="489568149">
      <w:bodyDiv w:val="1"/>
      <w:marLeft w:val="0"/>
      <w:marRight w:val="0"/>
      <w:marTop w:val="0"/>
      <w:marBottom w:val="0"/>
      <w:divBdr>
        <w:top w:val="none" w:sz="0" w:space="0" w:color="auto"/>
        <w:left w:val="none" w:sz="0" w:space="0" w:color="auto"/>
        <w:bottom w:val="none" w:sz="0" w:space="0" w:color="auto"/>
        <w:right w:val="none" w:sz="0" w:space="0" w:color="auto"/>
      </w:divBdr>
    </w:div>
    <w:div w:id="515114214">
      <w:bodyDiv w:val="1"/>
      <w:marLeft w:val="0"/>
      <w:marRight w:val="0"/>
      <w:marTop w:val="0"/>
      <w:marBottom w:val="0"/>
      <w:divBdr>
        <w:top w:val="none" w:sz="0" w:space="0" w:color="auto"/>
        <w:left w:val="none" w:sz="0" w:space="0" w:color="auto"/>
        <w:bottom w:val="none" w:sz="0" w:space="0" w:color="auto"/>
        <w:right w:val="none" w:sz="0" w:space="0" w:color="auto"/>
      </w:divBdr>
    </w:div>
    <w:div w:id="531647108">
      <w:bodyDiv w:val="1"/>
      <w:marLeft w:val="0"/>
      <w:marRight w:val="0"/>
      <w:marTop w:val="0"/>
      <w:marBottom w:val="0"/>
      <w:divBdr>
        <w:top w:val="none" w:sz="0" w:space="0" w:color="auto"/>
        <w:left w:val="none" w:sz="0" w:space="0" w:color="auto"/>
        <w:bottom w:val="none" w:sz="0" w:space="0" w:color="auto"/>
        <w:right w:val="none" w:sz="0" w:space="0" w:color="auto"/>
      </w:divBdr>
    </w:div>
    <w:div w:id="557980350">
      <w:bodyDiv w:val="1"/>
      <w:marLeft w:val="0"/>
      <w:marRight w:val="0"/>
      <w:marTop w:val="0"/>
      <w:marBottom w:val="0"/>
      <w:divBdr>
        <w:top w:val="none" w:sz="0" w:space="0" w:color="auto"/>
        <w:left w:val="none" w:sz="0" w:space="0" w:color="auto"/>
        <w:bottom w:val="none" w:sz="0" w:space="0" w:color="auto"/>
        <w:right w:val="none" w:sz="0" w:space="0" w:color="auto"/>
      </w:divBdr>
      <w:divsChild>
        <w:div w:id="62874651">
          <w:marLeft w:val="2117"/>
          <w:marRight w:val="0"/>
          <w:marTop w:val="0"/>
          <w:marBottom w:val="240"/>
          <w:divBdr>
            <w:top w:val="none" w:sz="0" w:space="0" w:color="auto"/>
            <w:left w:val="none" w:sz="0" w:space="0" w:color="auto"/>
            <w:bottom w:val="none" w:sz="0" w:space="0" w:color="auto"/>
            <w:right w:val="none" w:sz="0" w:space="0" w:color="auto"/>
          </w:divBdr>
        </w:div>
        <w:div w:id="350688837">
          <w:marLeft w:val="2117"/>
          <w:marRight w:val="0"/>
          <w:marTop w:val="0"/>
          <w:marBottom w:val="240"/>
          <w:divBdr>
            <w:top w:val="none" w:sz="0" w:space="0" w:color="auto"/>
            <w:left w:val="none" w:sz="0" w:space="0" w:color="auto"/>
            <w:bottom w:val="none" w:sz="0" w:space="0" w:color="auto"/>
            <w:right w:val="none" w:sz="0" w:space="0" w:color="auto"/>
          </w:divBdr>
        </w:div>
        <w:div w:id="1642225814">
          <w:marLeft w:val="1483"/>
          <w:marRight w:val="0"/>
          <w:marTop w:val="0"/>
          <w:marBottom w:val="240"/>
          <w:divBdr>
            <w:top w:val="none" w:sz="0" w:space="0" w:color="auto"/>
            <w:left w:val="none" w:sz="0" w:space="0" w:color="auto"/>
            <w:bottom w:val="none" w:sz="0" w:space="0" w:color="auto"/>
            <w:right w:val="none" w:sz="0" w:space="0" w:color="auto"/>
          </w:divBdr>
        </w:div>
        <w:div w:id="1648513334">
          <w:marLeft w:val="2117"/>
          <w:marRight w:val="0"/>
          <w:marTop w:val="0"/>
          <w:marBottom w:val="240"/>
          <w:divBdr>
            <w:top w:val="none" w:sz="0" w:space="0" w:color="auto"/>
            <w:left w:val="none" w:sz="0" w:space="0" w:color="auto"/>
            <w:bottom w:val="none" w:sz="0" w:space="0" w:color="auto"/>
            <w:right w:val="none" w:sz="0" w:space="0" w:color="auto"/>
          </w:divBdr>
        </w:div>
      </w:divsChild>
    </w:div>
    <w:div w:id="626814793">
      <w:bodyDiv w:val="1"/>
      <w:marLeft w:val="0"/>
      <w:marRight w:val="0"/>
      <w:marTop w:val="0"/>
      <w:marBottom w:val="0"/>
      <w:divBdr>
        <w:top w:val="none" w:sz="0" w:space="0" w:color="auto"/>
        <w:left w:val="none" w:sz="0" w:space="0" w:color="auto"/>
        <w:bottom w:val="none" w:sz="0" w:space="0" w:color="auto"/>
        <w:right w:val="none" w:sz="0" w:space="0" w:color="auto"/>
      </w:divBdr>
      <w:divsChild>
        <w:div w:id="1167748411">
          <w:marLeft w:val="2117"/>
          <w:marRight w:val="0"/>
          <w:marTop w:val="0"/>
          <w:marBottom w:val="240"/>
          <w:divBdr>
            <w:top w:val="none" w:sz="0" w:space="0" w:color="auto"/>
            <w:left w:val="none" w:sz="0" w:space="0" w:color="auto"/>
            <w:bottom w:val="none" w:sz="0" w:space="0" w:color="auto"/>
            <w:right w:val="none" w:sz="0" w:space="0" w:color="auto"/>
          </w:divBdr>
        </w:div>
      </w:divsChild>
    </w:div>
    <w:div w:id="633951228">
      <w:bodyDiv w:val="1"/>
      <w:marLeft w:val="0"/>
      <w:marRight w:val="0"/>
      <w:marTop w:val="0"/>
      <w:marBottom w:val="0"/>
      <w:divBdr>
        <w:top w:val="none" w:sz="0" w:space="0" w:color="auto"/>
        <w:left w:val="none" w:sz="0" w:space="0" w:color="auto"/>
        <w:bottom w:val="none" w:sz="0" w:space="0" w:color="auto"/>
        <w:right w:val="none" w:sz="0" w:space="0" w:color="auto"/>
      </w:divBdr>
      <w:divsChild>
        <w:div w:id="1158379914">
          <w:marLeft w:val="806"/>
          <w:marRight w:val="0"/>
          <w:marTop w:val="115"/>
          <w:marBottom w:val="0"/>
          <w:divBdr>
            <w:top w:val="none" w:sz="0" w:space="0" w:color="auto"/>
            <w:left w:val="none" w:sz="0" w:space="0" w:color="auto"/>
            <w:bottom w:val="none" w:sz="0" w:space="0" w:color="auto"/>
            <w:right w:val="none" w:sz="0" w:space="0" w:color="auto"/>
          </w:divBdr>
        </w:div>
        <w:div w:id="1199393836">
          <w:marLeft w:val="806"/>
          <w:marRight w:val="0"/>
          <w:marTop w:val="115"/>
          <w:marBottom w:val="0"/>
          <w:divBdr>
            <w:top w:val="none" w:sz="0" w:space="0" w:color="auto"/>
            <w:left w:val="none" w:sz="0" w:space="0" w:color="auto"/>
            <w:bottom w:val="none" w:sz="0" w:space="0" w:color="auto"/>
            <w:right w:val="none" w:sz="0" w:space="0" w:color="auto"/>
          </w:divBdr>
        </w:div>
        <w:div w:id="1401715164">
          <w:marLeft w:val="806"/>
          <w:marRight w:val="0"/>
          <w:marTop w:val="115"/>
          <w:marBottom w:val="0"/>
          <w:divBdr>
            <w:top w:val="none" w:sz="0" w:space="0" w:color="auto"/>
            <w:left w:val="none" w:sz="0" w:space="0" w:color="auto"/>
            <w:bottom w:val="none" w:sz="0" w:space="0" w:color="auto"/>
            <w:right w:val="none" w:sz="0" w:space="0" w:color="auto"/>
          </w:divBdr>
        </w:div>
      </w:divsChild>
    </w:div>
    <w:div w:id="647439974">
      <w:bodyDiv w:val="1"/>
      <w:marLeft w:val="0"/>
      <w:marRight w:val="0"/>
      <w:marTop w:val="0"/>
      <w:marBottom w:val="0"/>
      <w:divBdr>
        <w:top w:val="none" w:sz="0" w:space="0" w:color="auto"/>
        <w:left w:val="none" w:sz="0" w:space="0" w:color="auto"/>
        <w:bottom w:val="none" w:sz="0" w:space="0" w:color="auto"/>
        <w:right w:val="none" w:sz="0" w:space="0" w:color="auto"/>
      </w:divBdr>
    </w:div>
    <w:div w:id="664162584">
      <w:bodyDiv w:val="1"/>
      <w:marLeft w:val="0"/>
      <w:marRight w:val="0"/>
      <w:marTop w:val="0"/>
      <w:marBottom w:val="0"/>
      <w:divBdr>
        <w:top w:val="none" w:sz="0" w:space="0" w:color="auto"/>
        <w:left w:val="none" w:sz="0" w:space="0" w:color="auto"/>
        <w:bottom w:val="none" w:sz="0" w:space="0" w:color="auto"/>
        <w:right w:val="none" w:sz="0" w:space="0" w:color="auto"/>
      </w:divBdr>
    </w:div>
    <w:div w:id="689140884">
      <w:bodyDiv w:val="1"/>
      <w:marLeft w:val="0"/>
      <w:marRight w:val="0"/>
      <w:marTop w:val="0"/>
      <w:marBottom w:val="0"/>
      <w:divBdr>
        <w:top w:val="none" w:sz="0" w:space="0" w:color="auto"/>
        <w:left w:val="none" w:sz="0" w:space="0" w:color="auto"/>
        <w:bottom w:val="none" w:sz="0" w:space="0" w:color="auto"/>
        <w:right w:val="none" w:sz="0" w:space="0" w:color="auto"/>
      </w:divBdr>
    </w:div>
    <w:div w:id="736127767">
      <w:bodyDiv w:val="1"/>
      <w:marLeft w:val="0"/>
      <w:marRight w:val="0"/>
      <w:marTop w:val="0"/>
      <w:marBottom w:val="0"/>
      <w:divBdr>
        <w:top w:val="none" w:sz="0" w:space="0" w:color="auto"/>
        <w:left w:val="none" w:sz="0" w:space="0" w:color="auto"/>
        <w:bottom w:val="none" w:sz="0" w:space="0" w:color="auto"/>
        <w:right w:val="none" w:sz="0" w:space="0" w:color="auto"/>
      </w:divBdr>
      <w:divsChild>
        <w:div w:id="917208049">
          <w:marLeft w:val="1440"/>
          <w:marRight w:val="0"/>
          <w:marTop w:val="0"/>
          <w:marBottom w:val="240"/>
          <w:divBdr>
            <w:top w:val="none" w:sz="0" w:space="0" w:color="auto"/>
            <w:left w:val="none" w:sz="0" w:space="0" w:color="auto"/>
            <w:bottom w:val="none" w:sz="0" w:space="0" w:color="auto"/>
            <w:right w:val="none" w:sz="0" w:space="0" w:color="auto"/>
          </w:divBdr>
        </w:div>
        <w:div w:id="942959291">
          <w:marLeft w:val="1440"/>
          <w:marRight w:val="0"/>
          <w:marTop w:val="0"/>
          <w:marBottom w:val="240"/>
          <w:divBdr>
            <w:top w:val="none" w:sz="0" w:space="0" w:color="auto"/>
            <w:left w:val="none" w:sz="0" w:space="0" w:color="auto"/>
            <w:bottom w:val="none" w:sz="0" w:space="0" w:color="auto"/>
            <w:right w:val="none" w:sz="0" w:space="0" w:color="auto"/>
          </w:divBdr>
        </w:div>
        <w:div w:id="1751779425">
          <w:marLeft w:val="1440"/>
          <w:marRight w:val="0"/>
          <w:marTop w:val="0"/>
          <w:marBottom w:val="240"/>
          <w:divBdr>
            <w:top w:val="none" w:sz="0" w:space="0" w:color="auto"/>
            <w:left w:val="none" w:sz="0" w:space="0" w:color="auto"/>
            <w:bottom w:val="none" w:sz="0" w:space="0" w:color="auto"/>
            <w:right w:val="none" w:sz="0" w:space="0" w:color="auto"/>
          </w:divBdr>
        </w:div>
        <w:div w:id="2015454233">
          <w:marLeft w:val="1440"/>
          <w:marRight w:val="0"/>
          <w:marTop w:val="0"/>
          <w:marBottom w:val="240"/>
          <w:divBdr>
            <w:top w:val="none" w:sz="0" w:space="0" w:color="auto"/>
            <w:left w:val="none" w:sz="0" w:space="0" w:color="auto"/>
            <w:bottom w:val="none" w:sz="0" w:space="0" w:color="auto"/>
            <w:right w:val="none" w:sz="0" w:space="0" w:color="auto"/>
          </w:divBdr>
        </w:div>
      </w:divsChild>
    </w:div>
    <w:div w:id="747581789">
      <w:bodyDiv w:val="1"/>
      <w:marLeft w:val="0"/>
      <w:marRight w:val="0"/>
      <w:marTop w:val="0"/>
      <w:marBottom w:val="0"/>
      <w:divBdr>
        <w:top w:val="none" w:sz="0" w:space="0" w:color="auto"/>
        <w:left w:val="none" w:sz="0" w:space="0" w:color="auto"/>
        <w:bottom w:val="none" w:sz="0" w:space="0" w:color="auto"/>
        <w:right w:val="none" w:sz="0" w:space="0" w:color="auto"/>
      </w:divBdr>
    </w:div>
    <w:div w:id="750396181">
      <w:bodyDiv w:val="1"/>
      <w:marLeft w:val="0"/>
      <w:marRight w:val="0"/>
      <w:marTop w:val="0"/>
      <w:marBottom w:val="0"/>
      <w:divBdr>
        <w:top w:val="none" w:sz="0" w:space="0" w:color="auto"/>
        <w:left w:val="none" w:sz="0" w:space="0" w:color="auto"/>
        <w:bottom w:val="none" w:sz="0" w:space="0" w:color="auto"/>
        <w:right w:val="none" w:sz="0" w:space="0" w:color="auto"/>
      </w:divBdr>
    </w:div>
    <w:div w:id="784736236">
      <w:bodyDiv w:val="1"/>
      <w:marLeft w:val="0"/>
      <w:marRight w:val="0"/>
      <w:marTop w:val="0"/>
      <w:marBottom w:val="0"/>
      <w:divBdr>
        <w:top w:val="none" w:sz="0" w:space="0" w:color="auto"/>
        <w:left w:val="none" w:sz="0" w:space="0" w:color="auto"/>
        <w:bottom w:val="none" w:sz="0" w:space="0" w:color="auto"/>
        <w:right w:val="none" w:sz="0" w:space="0" w:color="auto"/>
      </w:divBdr>
    </w:div>
    <w:div w:id="834536542">
      <w:bodyDiv w:val="1"/>
      <w:marLeft w:val="0"/>
      <w:marRight w:val="0"/>
      <w:marTop w:val="0"/>
      <w:marBottom w:val="0"/>
      <w:divBdr>
        <w:top w:val="none" w:sz="0" w:space="0" w:color="auto"/>
        <w:left w:val="none" w:sz="0" w:space="0" w:color="auto"/>
        <w:bottom w:val="none" w:sz="0" w:space="0" w:color="auto"/>
        <w:right w:val="none" w:sz="0" w:space="0" w:color="auto"/>
      </w:divBdr>
      <w:divsChild>
        <w:div w:id="1223368387">
          <w:marLeft w:val="1440"/>
          <w:marRight w:val="0"/>
          <w:marTop w:val="0"/>
          <w:marBottom w:val="240"/>
          <w:divBdr>
            <w:top w:val="none" w:sz="0" w:space="0" w:color="auto"/>
            <w:left w:val="none" w:sz="0" w:space="0" w:color="auto"/>
            <w:bottom w:val="none" w:sz="0" w:space="0" w:color="auto"/>
            <w:right w:val="none" w:sz="0" w:space="0" w:color="auto"/>
          </w:divBdr>
        </w:div>
      </w:divsChild>
    </w:div>
    <w:div w:id="839394949">
      <w:bodyDiv w:val="1"/>
      <w:marLeft w:val="0"/>
      <w:marRight w:val="0"/>
      <w:marTop w:val="0"/>
      <w:marBottom w:val="0"/>
      <w:divBdr>
        <w:top w:val="none" w:sz="0" w:space="0" w:color="auto"/>
        <w:left w:val="none" w:sz="0" w:space="0" w:color="auto"/>
        <w:bottom w:val="none" w:sz="0" w:space="0" w:color="auto"/>
        <w:right w:val="none" w:sz="0" w:space="0" w:color="auto"/>
      </w:divBdr>
    </w:div>
    <w:div w:id="845368172">
      <w:bodyDiv w:val="1"/>
      <w:marLeft w:val="0"/>
      <w:marRight w:val="0"/>
      <w:marTop w:val="0"/>
      <w:marBottom w:val="0"/>
      <w:divBdr>
        <w:top w:val="none" w:sz="0" w:space="0" w:color="auto"/>
        <w:left w:val="none" w:sz="0" w:space="0" w:color="auto"/>
        <w:bottom w:val="none" w:sz="0" w:space="0" w:color="auto"/>
        <w:right w:val="none" w:sz="0" w:space="0" w:color="auto"/>
      </w:divBdr>
      <w:divsChild>
        <w:div w:id="1466393918">
          <w:marLeft w:val="1483"/>
          <w:marRight w:val="0"/>
          <w:marTop w:val="96"/>
          <w:marBottom w:val="0"/>
          <w:divBdr>
            <w:top w:val="none" w:sz="0" w:space="0" w:color="auto"/>
            <w:left w:val="none" w:sz="0" w:space="0" w:color="auto"/>
            <w:bottom w:val="none" w:sz="0" w:space="0" w:color="auto"/>
            <w:right w:val="none" w:sz="0" w:space="0" w:color="auto"/>
          </w:divBdr>
        </w:div>
        <w:div w:id="1964076142">
          <w:marLeft w:val="1483"/>
          <w:marRight w:val="0"/>
          <w:marTop w:val="96"/>
          <w:marBottom w:val="0"/>
          <w:divBdr>
            <w:top w:val="none" w:sz="0" w:space="0" w:color="auto"/>
            <w:left w:val="none" w:sz="0" w:space="0" w:color="auto"/>
            <w:bottom w:val="none" w:sz="0" w:space="0" w:color="auto"/>
            <w:right w:val="none" w:sz="0" w:space="0" w:color="auto"/>
          </w:divBdr>
        </w:div>
        <w:div w:id="2124955051">
          <w:marLeft w:val="547"/>
          <w:marRight w:val="0"/>
          <w:marTop w:val="115"/>
          <w:marBottom w:val="0"/>
          <w:divBdr>
            <w:top w:val="none" w:sz="0" w:space="0" w:color="auto"/>
            <w:left w:val="none" w:sz="0" w:space="0" w:color="auto"/>
            <w:bottom w:val="none" w:sz="0" w:space="0" w:color="auto"/>
            <w:right w:val="none" w:sz="0" w:space="0" w:color="auto"/>
          </w:divBdr>
        </w:div>
      </w:divsChild>
    </w:div>
    <w:div w:id="1002317594">
      <w:bodyDiv w:val="1"/>
      <w:marLeft w:val="0"/>
      <w:marRight w:val="0"/>
      <w:marTop w:val="0"/>
      <w:marBottom w:val="0"/>
      <w:divBdr>
        <w:top w:val="none" w:sz="0" w:space="0" w:color="auto"/>
        <w:left w:val="none" w:sz="0" w:space="0" w:color="auto"/>
        <w:bottom w:val="none" w:sz="0" w:space="0" w:color="auto"/>
        <w:right w:val="none" w:sz="0" w:space="0" w:color="auto"/>
      </w:divBdr>
      <w:divsChild>
        <w:div w:id="180469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17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577295">
      <w:bodyDiv w:val="1"/>
      <w:marLeft w:val="0"/>
      <w:marRight w:val="0"/>
      <w:marTop w:val="0"/>
      <w:marBottom w:val="0"/>
      <w:divBdr>
        <w:top w:val="none" w:sz="0" w:space="0" w:color="auto"/>
        <w:left w:val="none" w:sz="0" w:space="0" w:color="auto"/>
        <w:bottom w:val="none" w:sz="0" w:space="0" w:color="auto"/>
        <w:right w:val="none" w:sz="0" w:space="0" w:color="auto"/>
      </w:divBdr>
    </w:div>
    <w:div w:id="1211697164">
      <w:bodyDiv w:val="1"/>
      <w:marLeft w:val="0"/>
      <w:marRight w:val="0"/>
      <w:marTop w:val="0"/>
      <w:marBottom w:val="0"/>
      <w:divBdr>
        <w:top w:val="none" w:sz="0" w:space="0" w:color="auto"/>
        <w:left w:val="none" w:sz="0" w:space="0" w:color="auto"/>
        <w:bottom w:val="none" w:sz="0" w:space="0" w:color="auto"/>
        <w:right w:val="none" w:sz="0" w:space="0" w:color="auto"/>
      </w:divBdr>
    </w:div>
    <w:div w:id="1218590431">
      <w:bodyDiv w:val="1"/>
      <w:marLeft w:val="0"/>
      <w:marRight w:val="0"/>
      <w:marTop w:val="0"/>
      <w:marBottom w:val="0"/>
      <w:divBdr>
        <w:top w:val="none" w:sz="0" w:space="0" w:color="auto"/>
        <w:left w:val="none" w:sz="0" w:space="0" w:color="auto"/>
        <w:bottom w:val="none" w:sz="0" w:space="0" w:color="auto"/>
        <w:right w:val="none" w:sz="0" w:space="0" w:color="auto"/>
      </w:divBdr>
      <w:divsChild>
        <w:div w:id="2009212189">
          <w:marLeft w:val="0"/>
          <w:marRight w:val="0"/>
          <w:marTop w:val="0"/>
          <w:marBottom w:val="0"/>
          <w:divBdr>
            <w:top w:val="none" w:sz="0" w:space="0" w:color="auto"/>
            <w:left w:val="none" w:sz="0" w:space="0" w:color="auto"/>
            <w:bottom w:val="none" w:sz="0" w:space="0" w:color="auto"/>
            <w:right w:val="none" w:sz="0" w:space="0" w:color="auto"/>
          </w:divBdr>
        </w:div>
      </w:divsChild>
    </w:div>
    <w:div w:id="1241133367">
      <w:bodyDiv w:val="1"/>
      <w:marLeft w:val="0"/>
      <w:marRight w:val="0"/>
      <w:marTop w:val="0"/>
      <w:marBottom w:val="0"/>
      <w:divBdr>
        <w:top w:val="none" w:sz="0" w:space="0" w:color="auto"/>
        <w:left w:val="none" w:sz="0" w:space="0" w:color="auto"/>
        <w:bottom w:val="none" w:sz="0" w:space="0" w:color="auto"/>
        <w:right w:val="none" w:sz="0" w:space="0" w:color="auto"/>
      </w:divBdr>
    </w:div>
    <w:div w:id="1464929934">
      <w:bodyDiv w:val="1"/>
      <w:marLeft w:val="0"/>
      <w:marRight w:val="0"/>
      <w:marTop w:val="0"/>
      <w:marBottom w:val="0"/>
      <w:divBdr>
        <w:top w:val="none" w:sz="0" w:space="0" w:color="auto"/>
        <w:left w:val="none" w:sz="0" w:space="0" w:color="auto"/>
        <w:bottom w:val="none" w:sz="0" w:space="0" w:color="auto"/>
        <w:right w:val="none" w:sz="0" w:space="0" w:color="auto"/>
      </w:divBdr>
    </w:div>
    <w:div w:id="1474247624">
      <w:bodyDiv w:val="1"/>
      <w:marLeft w:val="0"/>
      <w:marRight w:val="0"/>
      <w:marTop w:val="0"/>
      <w:marBottom w:val="0"/>
      <w:divBdr>
        <w:top w:val="none" w:sz="0" w:space="0" w:color="auto"/>
        <w:left w:val="none" w:sz="0" w:space="0" w:color="auto"/>
        <w:bottom w:val="none" w:sz="0" w:space="0" w:color="auto"/>
        <w:right w:val="none" w:sz="0" w:space="0" w:color="auto"/>
      </w:divBdr>
      <w:divsChild>
        <w:div w:id="637496226">
          <w:marLeft w:val="1166"/>
          <w:marRight w:val="0"/>
          <w:marTop w:val="0"/>
          <w:marBottom w:val="240"/>
          <w:divBdr>
            <w:top w:val="none" w:sz="0" w:space="0" w:color="auto"/>
            <w:left w:val="none" w:sz="0" w:space="0" w:color="auto"/>
            <w:bottom w:val="none" w:sz="0" w:space="0" w:color="auto"/>
            <w:right w:val="none" w:sz="0" w:space="0" w:color="auto"/>
          </w:divBdr>
        </w:div>
      </w:divsChild>
    </w:div>
    <w:div w:id="1490367709">
      <w:bodyDiv w:val="1"/>
      <w:marLeft w:val="0"/>
      <w:marRight w:val="0"/>
      <w:marTop w:val="0"/>
      <w:marBottom w:val="0"/>
      <w:divBdr>
        <w:top w:val="none" w:sz="0" w:space="0" w:color="auto"/>
        <w:left w:val="none" w:sz="0" w:space="0" w:color="auto"/>
        <w:bottom w:val="none" w:sz="0" w:space="0" w:color="auto"/>
        <w:right w:val="none" w:sz="0" w:space="0" w:color="auto"/>
      </w:divBdr>
    </w:div>
    <w:div w:id="1497724745">
      <w:bodyDiv w:val="1"/>
      <w:marLeft w:val="0"/>
      <w:marRight w:val="0"/>
      <w:marTop w:val="0"/>
      <w:marBottom w:val="0"/>
      <w:divBdr>
        <w:top w:val="none" w:sz="0" w:space="0" w:color="auto"/>
        <w:left w:val="none" w:sz="0" w:space="0" w:color="auto"/>
        <w:bottom w:val="none" w:sz="0" w:space="0" w:color="auto"/>
        <w:right w:val="none" w:sz="0" w:space="0" w:color="auto"/>
      </w:divBdr>
      <w:divsChild>
        <w:div w:id="1228417600">
          <w:marLeft w:val="1483"/>
          <w:marRight w:val="0"/>
          <w:marTop w:val="0"/>
          <w:marBottom w:val="240"/>
          <w:divBdr>
            <w:top w:val="none" w:sz="0" w:space="0" w:color="auto"/>
            <w:left w:val="none" w:sz="0" w:space="0" w:color="auto"/>
            <w:bottom w:val="none" w:sz="0" w:space="0" w:color="auto"/>
            <w:right w:val="none" w:sz="0" w:space="0" w:color="auto"/>
          </w:divBdr>
        </w:div>
        <w:div w:id="1593858824">
          <w:marLeft w:val="2117"/>
          <w:marRight w:val="0"/>
          <w:marTop w:val="0"/>
          <w:marBottom w:val="240"/>
          <w:divBdr>
            <w:top w:val="none" w:sz="0" w:space="0" w:color="auto"/>
            <w:left w:val="none" w:sz="0" w:space="0" w:color="auto"/>
            <w:bottom w:val="none" w:sz="0" w:space="0" w:color="auto"/>
            <w:right w:val="none" w:sz="0" w:space="0" w:color="auto"/>
          </w:divBdr>
        </w:div>
        <w:div w:id="1764569821">
          <w:marLeft w:val="2117"/>
          <w:marRight w:val="0"/>
          <w:marTop w:val="0"/>
          <w:marBottom w:val="240"/>
          <w:divBdr>
            <w:top w:val="none" w:sz="0" w:space="0" w:color="auto"/>
            <w:left w:val="none" w:sz="0" w:space="0" w:color="auto"/>
            <w:bottom w:val="none" w:sz="0" w:space="0" w:color="auto"/>
            <w:right w:val="none" w:sz="0" w:space="0" w:color="auto"/>
          </w:divBdr>
        </w:div>
        <w:div w:id="1864592467">
          <w:marLeft w:val="2117"/>
          <w:marRight w:val="0"/>
          <w:marTop w:val="0"/>
          <w:marBottom w:val="240"/>
          <w:divBdr>
            <w:top w:val="none" w:sz="0" w:space="0" w:color="auto"/>
            <w:left w:val="none" w:sz="0" w:space="0" w:color="auto"/>
            <w:bottom w:val="none" w:sz="0" w:space="0" w:color="auto"/>
            <w:right w:val="none" w:sz="0" w:space="0" w:color="auto"/>
          </w:divBdr>
        </w:div>
      </w:divsChild>
    </w:div>
    <w:div w:id="1516504905">
      <w:bodyDiv w:val="1"/>
      <w:marLeft w:val="0"/>
      <w:marRight w:val="0"/>
      <w:marTop w:val="0"/>
      <w:marBottom w:val="0"/>
      <w:divBdr>
        <w:top w:val="none" w:sz="0" w:space="0" w:color="auto"/>
        <w:left w:val="none" w:sz="0" w:space="0" w:color="auto"/>
        <w:bottom w:val="none" w:sz="0" w:space="0" w:color="auto"/>
        <w:right w:val="none" w:sz="0" w:space="0" w:color="auto"/>
      </w:divBdr>
      <w:divsChild>
        <w:div w:id="696731889">
          <w:marLeft w:val="1166"/>
          <w:marRight w:val="0"/>
          <w:marTop w:val="0"/>
          <w:marBottom w:val="240"/>
          <w:divBdr>
            <w:top w:val="none" w:sz="0" w:space="0" w:color="auto"/>
            <w:left w:val="none" w:sz="0" w:space="0" w:color="auto"/>
            <w:bottom w:val="none" w:sz="0" w:space="0" w:color="auto"/>
            <w:right w:val="none" w:sz="0" w:space="0" w:color="auto"/>
          </w:divBdr>
        </w:div>
      </w:divsChild>
    </w:div>
    <w:div w:id="1527789257">
      <w:bodyDiv w:val="1"/>
      <w:marLeft w:val="0"/>
      <w:marRight w:val="0"/>
      <w:marTop w:val="0"/>
      <w:marBottom w:val="0"/>
      <w:divBdr>
        <w:top w:val="none" w:sz="0" w:space="0" w:color="auto"/>
        <w:left w:val="none" w:sz="0" w:space="0" w:color="auto"/>
        <w:bottom w:val="none" w:sz="0" w:space="0" w:color="auto"/>
        <w:right w:val="none" w:sz="0" w:space="0" w:color="auto"/>
      </w:divBdr>
      <w:divsChild>
        <w:div w:id="159129101">
          <w:marLeft w:val="1483"/>
          <w:marRight w:val="0"/>
          <w:marTop w:val="96"/>
          <w:marBottom w:val="0"/>
          <w:divBdr>
            <w:top w:val="none" w:sz="0" w:space="0" w:color="auto"/>
            <w:left w:val="none" w:sz="0" w:space="0" w:color="auto"/>
            <w:bottom w:val="none" w:sz="0" w:space="0" w:color="auto"/>
            <w:right w:val="none" w:sz="0" w:space="0" w:color="auto"/>
          </w:divBdr>
        </w:div>
        <w:div w:id="442380902">
          <w:marLeft w:val="1483"/>
          <w:marRight w:val="0"/>
          <w:marTop w:val="96"/>
          <w:marBottom w:val="0"/>
          <w:divBdr>
            <w:top w:val="none" w:sz="0" w:space="0" w:color="auto"/>
            <w:left w:val="none" w:sz="0" w:space="0" w:color="auto"/>
            <w:bottom w:val="none" w:sz="0" w:space="0" w:color="auto"/>
            <w:right w:val="none" w:sz="0" w:space="0" w:color="auto"/>
          </w:divBdr>
        </w:div>
        <w:div w:id="525868415">
          <w:marLeft w:val="1483"/>
          <w:marRight w:val="0"/>
          <w:marTop w:val="96"/>
          <w:marBottom w:val="0"/>
          <w:divBdr>
            <w:top w:val="none" w:sz="0" w:space="0" w:color="auto"/>
            <w:left w:val="none" w:sz="0" w:space="0" w:color="auto"/>
            <w:bottom w:val="none" w:sz="0" w:space="0" w:color="auto"/>
            <w:right w:val="none" w:sz="0" w:space="0" w:color="auto"/>
          </w:divBdr>
        </w:div>
        <w:div w:id="740373811">
          <w:marLeft w:val="850"/>
          <w:marRight w:val="0"/>
          <w:marTop w:val="115"/>
          <w:marBottom w:val="0"/>
          <w:divBdr>
            <w:top w:val="none" w:sz="0" w:space="0" w:color="auto"/>
            <w:left w:val="none" w:sz="0" w:space="0" w:color="auto"/>
            <w:bottom w:val="none" w:sz="0" w:space="0" w:color="auto"/>
            <w:right w:val="none" w:sz="0" w:space="0" w:color="auto"/>
          </w:divBdr>
        </w:div>
        <w:div w:id="1486048209">
          <w:marLeft w:val="1483"/>
          <w:marRight w:val="0"/>
          <w:marTop w:val="96"/>
          <w:marBottom w:val="0"/>
          <w:divBdr>
            <w:top w:val="none" w:sz="0" w:space="0" w:color="auto"/>
            <w:left w:val="none" w:sz="0" w:space="0" w:color="auto"/>
            <w:bottom w:val="none" w:sz="0" w:space="0" w:color="auto"/>
            <w:right w:val="none" w:sz="0" w:space="0" w:color="auto"/>
          </w:divBdr>
        </w:div>
        <w:div w:id="2010601145">
          <w:marLeft w:val="1483"/>
          <w:marRight w:val="0"/>
          <w:marTop w:val="96"/>
          <w:marBottom w:val="0"/>
          <w:divBdr>
            <w:top w:val="none" w:sz="0" w:space="0" w:color="auto"/>
            <w:left w:val="none" w:sz="0" w:space="0" w:color="auto"/>
            <w:bottom w:val="none" w:sz="0" w:space="0" w:color="auto"/>
            <w:right w:val="none" w:sz="0" w:space="0" w:color="auto"/>
          </w:divBdr>
        </w:div>
        <w:div w:id="2116170194">
          <w:marLeft w:val="1483"/>
          <w:marRight w:val="0"/>
          <w:marTop w:val="96"/>
          <w:marBottom w:val="0"/>
          <w:divBdr>
            <w:top w:val="none" w:sz="0" w:space="0" w:color="auto"/>
            <w:left w:val="none" w:sz="0" w:space="0" w:color="auto"/>
            <w:bottom w:val="none" w:sz="0" w:space="0" w:color="auto"/>
            <w:right w:val="none" w:sz="0" w:space="0" w:color="auto"/>
          </w:divBdr>
        </w:div>
      </w:divsChild>
    </w:div>
    <w:div w:id="1532767075">
      <w:bodyDiv w:val="1"/>
      <w:marLeft w:val="0"/>
      <w:marRight w:val="0"/>
      <w:marTop w:val="0"/>
      <w:marBottom w:val="0"/>
      <w:divBdr>
        <w:top w:val="none" w:sz="0" w:space="0" w:color="auto"/>
        <w:left w:val="none" w:sz="0" w:space="0" w:color="auto"/>
        <w:bottom w:val="none" w:sz="0" w:space="0" w:color="auto"/>
        <w:right w:val="none" w:sz="0" w:space="0" w:color="auto"/>
      </w:divBdr>
    </w:div>
    <w:div w:id="1558272832">
      <w:bodyDiv w:val="1"/>
      <w:marLeft w:val="0"/>
      <w:marRight w:val="0"/>
      <w:marTop w:val="0"/>
      <w:marBottom w:val="0"/>
      <w:divBdr>
        <w:top w:val="none" w:sz="0" w:space="0" w:color="auto"/>
        <w:left w:val="none" w:sz="0" w:space="0" w:color="auto"/>
        <w:bottom w:val="none" w:sz="0" w:space="0" w:color="auto"/>
        <w:right w:val="none" w:sz="0" w:space="0" w:color="auto"/>
      </w:divBdr>
    </w:div>
    <w:div w:id="1563639738">
      <w:bodyDiv w:val="1"/>
      <w:marLeft w:val="0"/>
      <w:marRight w:val="0"/>
      <w:marTop w:val="0"/>
      <w:marBottom w:val="0"/>
      <w:divBdr>
        <w:top w:val="none" w:sz="0" w:space="0" w:color="auto"/>
        <w:left w:val="none" w:sz="0" w:space="0" w:color="auto"/>
        <w:bottom w:val="none" w:sz="0" w:space="0" w:color="auto"/>
        <w:right w:val="none" w:sz="0" w:space="0" w:color="auto"/>
      </w:divBdr>
    </w:div>
    <w:div w:id="1639993041">
      <w:bodyDiv w:val="1"/>
      <w:marLeft w:val="0"/>
      <w:marRight w:val="0"/>
      <w:marTop w:val="0"/>
      <w:marBottom w:val="0"/>
      <w:divBdr>
        <w:top w:val="none" w:sz="0" w:space="0" w:color="auto"/>
        <w:left w:val="none" w:sz="0" w:space="0" w:color="auto"/>
        <w:bottom w:val="none" w:sz="0" w:space="0" w:color="auto"/>
        <w:right w:val="none" w:sz="0" w:space="0" w:color="auto"/>
      </w:divBdr>
      <w:divsChild>
        <w:div w:id="684357356">
          <w:marLeft w:val="2074"/>
          <w:marRight w:val="0"/>
          <w:marTop w:val="0"/>
          <w:marBottom w:val="240"/>
          <w:divBdr>
            <w:top w:val="none" w:sz="0" w:space="0" w:color="auto"/>
            <w:left w:val="none" w:sz="0" w:space="0" w:color="auto"/>
            <w:bottom w:val="none" w:sz="0" w:space="0" w:color="auto"/>
            <w:right w:val="none" w:sz="0" w:space="0" w:color="auto"/>
          </w:divBdr>
        </w:div>
        <w:div w:id="1234004979">
          <w:marLeft w:val="2074"/>
          <w:marRight w:val="0"/>
          <w:marTop w:val="0"/>
          <w:marBottom w:val="240"/>
          <w:divBdr>
            <w:top w:val="none" w:sz="0" w:space="0" w:color="auto"/>
            <w:left w:val="none" w:sz="0" w:space="0" w:color="auto"/>
            <w:bottom w:val="none" w:sz="0" w:space="0" w:color="auto"/>
            <w:right w:val="none" w:sz="0" w:space="0" w:color="auto"/>
          </w:divBdr>
        </w:div>
        <w:div w:id="1846749018">
          <w:marLeft w:val="2074"/>
          <w:marRight w:val="0"/>
          <w:marTop w:val="0"/>
          <w:marBottom w:val="240"/>
          <w:divBdr>
            <w:top w:val="none" w:sz="0" w:space="0" w:color="auto"/>
            <w:left w:val="none" w:sz="0" w:space="0" w:color="auto"/>
            <w:bottom w:val="none" w:sz="0" w:space="0" w:color="auto"/>
            <w:right w:val="none" w:sz="0" w:space="0" w:color="auto"/>
          </w:divBdr>
        </w:div>
        <w:div w:id="2010713877">
          <w:marLeft w:val="2074"/>
          <w:marRight w:val="0"/>
          <w:marTop w:val="0"/>
          <w:marBottom w:val="240"/>
          <w:divBdr>
            <w:top w:val="none" w:sz="0" w:space="0" w:color="auto"/>
            <w:left w:val="none" w:sz="0" w:space="0" w:color="auto"/>
            <w:bottom w:val="none" w:sz="0" w:space="0" w:color="auto"/>
            <w:right w:val="none" w:sz="0" w:space="0" w:color="auto"/>
          </w:divBdr>
        </w:div>
      </w:divsChild>
    </w:div>
    <w:div w:id="1654675716">
      <w:bodyDiv w:val="1"/>
      <w:marLeft w:val="0"/>
      <w:marRight w:val="0"/>
      <w:marTop w:val="0"/>
      <w:marBottom w:val="0"/>
      <w:divBdr>
        <w:top w:val="none" w:sz="0" w:space="0" w:color="auto"/>
        <w:left w:val="none" w:sz="0" w:space="0" w:color="auto"/>
        <w:bottom w:val="none" w:sz="0" w:space="0" w:color="auto"/>
        <w:right w:val="none" w:sz="0" w:space="0" w:color="auto"/>
      </w:divBdr>
    </w:div>
    <w:div w:id="1657487867">
      <w:bodyDiv w:val="1"/>
      <w:marLeft w:val="0"/>
      <w:marRight w:val="0"/>
      <w:marTop w:val="0"/>
      <w:marBottom w:val="0"/>
      <w:divBdr>
        <w:top w:val="none" w:sz="0" w:space="0" w:color="auto"/>
        <w:left w:val="none" w:sz="0" w:space="0" w:color="auto"/>
        <w:bottom w:val="none" w:sz="0" w:space="0" w:color="auto"/>
        <w:right w:val="none" w:sz="0" w:space="0" w:color="auto"/>
      </w:divBdr>
    </w:div>
    <w:div w:id="1662729953">
      <w:bodyDiv w:val="1"/>
      <w:marLeft w:val="0"/>
      <w:marRight w:val="0"/>
      <w:marTop w:val="0"/>
      <w:marBottom w:val="0"/>
      <w:divBdr>
        <w:top w:val="none" w:sz="0" w:space="0" w:color="auto"/>
        <w:left w:val="none" w:sz="0" w:space="0" w:color="auto"/>
        <w:bottom w:val="none" w:sz="0" w:space="0" w:color="auto"/>
        <w:right w:val="none" w:sz="0" w:space="0" w:color="auto"/>
      </w:divBdr>
      <w:divsChild>
        <w:div w:id="553542362">
          <w:marLeft w:val="2117"/>
          <w:marRight w:val="0"/>
          <w:marTop w:val="0"/>
          <w:marBottom w:val="240"/>
          <w:divBdr>
            <w:top w:val="none" w:sz="0" w:space="0" w:color="auto"/>
            <w:left w:val="none" w:sz="0" w:space="0" w:color="auto"/>
            <w:bottom w:val="none" w:sz="0" w:space="0" w:color="auto"/>
            <w:right w:val="none" w:sz="0" w:space="0" w:color="auto"/>
          </w:divBdr>
        </w:div>
        <w:div w:id="663162744">
          <w:marLeft w:val="1483"/>
          <w:marRight w:val="0"/>
          <w:marTop w:val="0"/>
          <w:marBottom w:val="240"/>
          <w:divBdr>
            <w:top w:val="none" w:sz="0" w:space="0" w:color="auto"/>
            <w:left w:val="none" w:sz="0" w:space="0" w:color="auto"/>
            <w:bottom w:val="none" w:sz="0" w:space="0" w:color="auto"/>
            <w:right w:val="none" w:sz="0" w:space="0" w:color="auto"/>
          </w:divBdr>
        </w:div>
        <w:div w:id="1714621910">
          <w:marLeft w:val="2117"/>
          <w:marRight w:val="0"/>
          <w:marTop w:val="0"/>
          <w:marBottom w:val="240"/>
          <w:divBdr>
            <w:top w:val="none" w:sz="0" w:space="0" w:color="auto"/>
            <w:left w:val="none" w:sz="0" w:space="0" w:color="auto"/>
            <w:bottom w:val="none" w:sz="0" w:space="0" w:color="auto"/>
            <w:right w:val="none" w:sz="0" w:space="0" w:color="auto"/>
          </w:divBdr>
        </w:div>
        <w:div w:id="2138795086">
          <w:marLeft w:val="2117"/>
          <w:marRight w:val="0"/>
          <w:marTop w:val="0"/>
          <w:marBottom w:val="240"/>
          <w:divBdr>
            <w:top w:val="none" w:sz="0" w:space="0" w:color="auto"/>
            <w:left w:val="none" w:sz="0" w:space="0" w:color="auto"/>
            <w:bottom w:val="none" w:sz="0" w:space="0" w:color="auto"/>
            <w:right w:val="none" w:sz="0" w:space="0" w:color="auto"/>
          </w:divBdr>
        </w:div>
      </w:divsChild>
    </w:div>
    <w:div w:id="1786735379">
      <w:bodyDiv w:val="1"/>
      <w:marLeft w:val="0"/>
      <w:marRight w:val="0"/>
      <w:marTop w:val="0"/>
      <w:marBottom w:val="0"/>
      <w:divBdr>
        <w:top w:val="none" w:sz="0" w:space="0" w:color="auto"/>
        <w:left w:val="none" w:sz="0" w:space="0" w:color="auto"/>
        <w:bottom w:val="none" w:sz="0" w:space="0" w:color="auto"/>
        <w:right w:val="none" w:sz="0" w:space="0" w:color="auto"/>
      </w:divBdr>
      <w:divsChild>
        <w:div w:id="327053813">
          <w:marLeft w:val="0"/>
          <w:marRight w:val="0"/>
          <w:marTop w:val="0"/>
          <w:marBottom w:val="0"/>
          <w:divBdr>
            <w:top w:val="none" w:sz="0" w:space="0" w:color="auto"/>
            <w:left w:val="none" w:sz="0" w:space="0" w:color="auto"/>
            <w:bottom w:val="none" w:sz="0" w:space="0" w:color="auto"/>
            <w:right w:val="none" w:sz="0" w:space="0" w:color="auto"/>
          </w:divBdr>
          <w:divsChild>
            <w:div w:id="1620452105">
              <w:marLeft w:val="86"/>
              <w:marRight w:val="86"/>
              <w:marTop w:val="0"/>
              <w:marBottom w:val="0"/>
              <w:divBdr>
                <w:top w:val="none" w:sz="0" w:space="0" w:color="auto"/>
                <w:left w:val="none" w:sz="0" w:space="0" w:color="auto"/>
                <w:bottom w:val="none" w:sz="0" w:space="0" w:color="auto"/>
                <w:right w:val="none" w:sz="0" w:space="0" w:color="auto"/>
              </w:divBdr>
              <w:divsChild>
                <w:div w:id="10619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2071">
      <w:bodyDiv w:val="1"/>
      <w:marLeft w:val="0"/>
      <w:marRight w:val="0"/>
      <w:marTop w:val="0"/>
      <w:marBottom w:val="0"/>
      <w:divBdr>
        <w:top w:val="none" w:sz="0" w:space="0" w:color="auto"/>
        <w:left w:val="none" w:sz="0" w:space="0" w:color="auto"/>
        <w:bottom w:val="none" w:sz="0" w:space="0" w:color="auto"/>
        <w:right w:val="none" w:sz="0" w:space="0" w:color="auto"/>
      </w:divBdr>
      <w:divsChild>
        <w:div w:id="1294673058">
          <w:marLeft w:val="2117"/>
          <w:marRight w:val="0"/>
          <w:marTop w:val="0"/>
          <w:marBottom w:val="240"/>
          <w:divBdr>
            <w:top w:val="none" w:sz="0" w:space="0" w:color="auto"/>
            <w:left w:val="none" w:sz="0" w:space="0" w:color="auto"/>
            <w:bottom w:val="none" w:sz="0" w:space="0" w:color="auto"/>
            <w:right w:val="none" w:sz="0" w:space="0" w:color="auto"/>
          </w:divBdr>
        </w:div>
      </w:divsChild>
    </w:div>
    <w:div w:id="1883394403">
      <w:bodyDiv w:val="1"/>
      <w:marLeft w:val="0"/>
      <w:marRight w:val="0"/>
      <w:marTop w:val="0"/>
      <w:marBottom w:val="0"/>
      <w:divBdr>
        <w:top w:val="none" w:sz="0" w:space="0" w:color="auto"/>
        <w:left w:val="none" w:sz="0" w:space="0" w:color="auto"/>
        <w:bottom w:val="none" w:sz="0" w:space="0" w:color="auto"/>
        <w:right w:val="none" w:sz="0" w:space="0" w:color="auto"/>
      </w:divBdr>
      <w:divsChild>
        <w:div w:id="886575737">
          <w:marLeft w:val="1483"/>
          <w:marRight w:val="0"/>
          <w:marTop w:val="0"/>
          <w:marBottom w:val="240"/>
          <w:divBdr>
            <w:top w:val="none" w:sz="0" w:space="0" w:color="auto"/>
            <w:left w:val="none" w:sz="0" w:space="0" w:color="auto"/>
            <w:bottom w:val="none" w:sz="0" w:space="0" w:color="auto"/>
            <w:right w:val="none" w:sz="0" w:space="0" w:color="auto"/>
          </w:divBdr>
        </w:div>
        <w:div w:id="933438302">
          <w:marLeft w:val="2117"/>
          <w:marRight w:val="0"/>
          <w:marTop w:val="0"/>
          <w:marBottom w:val="240"/>
          <w:divBdr>
            <w:top w:val="none" w:sz="0" w:space="0" w:color="auto"/>
            <w:left w:val="none" w:sz="0" w:space="0" w:color="auto"/>
            <w:bottom w:val="none" w:sz="0" w:space="0" w:color="auto"/>
            <w:right w:val="none" w:sz="0" w:space="0" w:color="auto"/>
          </w:divBdr>
        </w:div>
      </w:divsChild>
    </w:div>
    <w:div w:id="1927106649">
      <w:bodyDiv w:val="1"/>
      <w:marLeft w:val="0"/>
      <w:marRight w:val="0"/>
      <w:marTop w:val="0"/>
      <w:marBottom w:val="0"/>
      <w:divBdr>
        <w:top w:val="none" w:sz="0" w:space="0" w:color="auto"/>
        <w:left w:val="none" w:sz="0" w:space="0" w:color="auto"/>
        <w:bottom w:val="none" w:sz="0" w:space="0" w:color="auto"/>
        <w:right w:val="none" w:sz="0" w:space="0" w:color="auto"/>
      </w:divBdr>
      <w:divsChild>
        <w:div w:id="1367951748">
          <w:marLeft w:val="1440"/>
          <w:marRight w:val="0"/>
          <w:marTop w:val="0"/>
          <w:marBottom w:val="240"/>
          <w:divBdr>
            <w:top w:val="none" w:sz="0" w:space="0" w:color="auto"/>
            <w:left w:val="none" w:sz="0" w:space="0" w:color="auto"/>
            <w:bottom w:val="none" w:sz="0" w:space="0" w:color="auto"/>
            <w:right w:val="none" w:sz="0" w:space="0" w:color="auto"/>
          </w:divBdr>
        </w:div>
      </w:divsChild>
    </w:div>
    <w:div w:id="1957370694">
      <w:bodyDiv w:val="1"/>
      <w:marLeft w:val="0"/>
      <w:marRight w:val="0"/>
      <w:marTop w:val="0"/>
      <w:marBottom w:val="0"/>
      <w:divBdr>
        <w:top w:val="none" w:sz="0" w:space="0" w:color="auto"/>
        <w:left w:val="none" w:sz="0" w:space="0" w:color="auto"/>
        <w:bottom w:val="none" w:sz="0" w:space="0" w:color="auto"/>
        <w:right w:val="none" w:sz="0" w:space="0" w:color="auto"/>
      </w:divBdr>
      <w:divsChild>
        <w:div w:id="129253061">
          <w:marLeft w:val="2794"/>
          <w:marRight w:val="0"/>
          <w:marTop w:val="0"/>
          <w:marBottom w:val="240"/>
          <w:divBdr>
            <w:top w:val="none" w:sz="0" w:space="0" w:color="auto"/>
            <w:left w:val="none" w:sz="0" w:space="0" w:color="auto"/>
            <w:bottom w:val="none" w:sz="0" w:space="0" w:color="auto"/>
            <w:right w:val="none" w:sz="0" w:space="0" w:color="auto"/>
          </w:divBdr>
        </w:div>
        <w:div w:id="141654536">
          <w:marLeft w:val="1440"/>
          <w:marRight w:val="0"/>
          <w:marTop w:val="0"/>
          <w:marBottom w:val="240"/>
          <w:divBdr>
            <w:top w:val="none" w:sz="0" w:space="0" w:color="auto"/>
            <w:left w:val="none" w:sz="0" w:space="0" w:color="auto"/>
            <w:bottom w:val="none" w:sz="0" w:space="0" w:color="auto"/>
            <w:right w:val="none" w:sz="0" w:space="0" w:color="auto"/>
          </w:divBdr>
        </w:div>
        <w:div w:id="609748151">
          <w:marLeft w:val="2794"/>
          <w:marRight w:val="0"/>
          <w:marTop w:val="0"/>
          <w:marBottom w:val="240"/>
          <w:divBdr>
            <w:top w:val="none" w:sz="0" w:space="0" w:color="auto"/>
            <w:left w:val="none" w:sz="0" w:space="0" w:color="auto"/>
            <w:bottom w:val="none" w:sz="0" w:space="0" w:color="auto"/>
            <w:right w:val="none" w:sz="0" w:space="0" w:color="auto"/>
          </w:divBdr>
        </w:div>
        <w:div w:id="1105927436">
          <w:marLeft w:val="2794"/>
          <w:marRight w:val="0"/>
          <w:marTop w:val="0"/>
          <w:marBottom w:val="240"/>
          <w:divBdr>
            <w:top w:val="none" w:sz="0" w:space="0" w:color="auto"/>
            <w:left w:val="none" w:sz="0" w:space="0" w:color="auto"/>
            <w:bottom w:val="none" w:sz="0" w:space="0" w:color="auto"/>
            <w:right w:val="none" w:sz="0" w:space="0" w:color="auto"/>
          </w:divBdr>
        </w:div>
        <w:div w:id="1286544740">
          <w:marLeft w:val="2794"/>
          <w:marRight w:val="0"/>
          <w:marTop w:val="0"/>
          <w:marBottom w:val="240"/>
          <w:divBdr>
            <w:top w:val="none" w:sz="0" w:space="0" w:color="auto"/>
            <w:left w:val="none" w:sz="0" w:space="0" w:color="auto"/>
            <w:bottom w:val="none" w:sz="0" w:space="0" w:color="auto"/>
            <w:right w:val="none" w:sz="0" w:space="0" w:color="auto"/>
          </w:divBdr>
        </w:div>
        <w:div w:id="1729642893">
          <w:marLeft w:val="2794"/>
          <w:marRight w:val="0"/>
          <w:marTop w:val="0"/>
          <w:marBottom w:val="240"/>
          <w:divBdr>
            <w:top w:val="none" w:sz="0" w:space="0" w:color="auto"/>
            <w:left w:val="none" w:sz="0" w:space="0" w:color="auto"/>
            <w:bottom w:val="none" w:sz="0" w:space="0" w:color="auto"/>
            <w:right w:val="none" w:sz="0" w:space="0" w:color="auto"/>
          </w:divBdr>
        </w:div>
      </w:divsChild>
    </w:div>
    <w:div w:id="2047947058">
      <w:bodyDiv w:val="1"/>
      <w:marLeft w:val="0"/>
      <w:marRight w:val="0"/>
      <w:marTop w:val="0"/>
      <w:marBottom w:val="0"/>
      <w:divBdr>
        <w:top w:val="none" w:sz="0" w:space="0" w:color="auto"/>
        <w:left w:val="none" w:sz="0" w:space="0" w:color="auto"/>
        <w:bottom w:val="none" w:sz="0" w:space="0" w:color="auto"/>
        <w:right w:val="none" w:sz="0" w:space="0" w:color="auto"/>
      </w:divBdr>
      <w:divsChild>
        <w:div w:id="173955474">
          <w:marLeft w:val="1483"/>
          <w:marRight w:val="0"/>
          <w:marTop w:val="96"/>
          <w:marBottom w:val="0"/>
          <w:divBdr>
            <w:top w:val="none" w:sz="0" w:space="0" w:color="auto"/>
            <w:left w:val="none" w:sz="0" w:space="0" w:color="auto"/>
            <w:bottom w:val="none" w:sz="0" w:space="0" w:color="auto"/>
            <w:right w:val="none" w:sz="0" w:space="0" w:color="auto"/>
          </w:divBdr>
        </w:div>
        <w:div w:id="192231900">
          <w:marLeft w:val="806"/>
          <w:marRight w:val="0"/>
          <w:marTop w:val="115"/>
          <w:marBottom w:val="0"/>
          <w:divBdr>
            <w:top w:val="none" w:sz="0" w:space="0" w:color="auto"/>
            <w:left w:val="none" w:sz="0" w:space="0" w:color="auto"/>
            <w:bottom w:val="none" w:sz="0" w:space="0" w:color="auto"/>
            <w:right w:val="none" w:sz="0" w:space="0" w:color="auto"/>
          </w:divBdr>
        </w:div>
        <w:div w:id="783353553">
          <w:marLeft w:val="806"/>
          <w:marRight w:val="0"/>
          <w:marTop w:val="115"/>
          <w:marBottom w:val="0"/>
          <w:divBdr>
            <w:top w:val="none" w:sz="0" w:space="0" w:color="auto"/>
            <w:left w:val="none" w:sz="0" w:space="0" w:color="auto"/>
            <w:bottom w:val="none" w:sz="0" w:space="0" w:color="auto"/>
            <w:right w:val="none" w:sz="0" w:space="0" w:color="auto"/>
          </w:divBdr>
        </w:div>
        <w:div w:id="1204904066">
          <w:marLeft w:val="1483"/>
          <w:marRight w:val="0"/>
          <w:marTop w:val="96"/>
          <w:marBottom w:val="0"/>
          <w:divBdr>
            <w:top w:val="none" w:sz="0" w:space="0" w:color="auto"/>
            <w:left w:val="none" w:sz="0" w:space="0" w:color="auto"/>
            <w:bottom w:val="none" w:sz="0" w:space="0" w:color="auto"/>
            <w:right w:val="none" w:sz="0" w:space="0" w:color="auto"/>
          </w:divBdr>
        </w:div>
        <w:div w:id="1347563833">
          <w:marLeft w:val="1483"/>
          <w:marRight w:val="0"/>
          <w:marTop w:val="96"/>
          <w:marBottom w:val="0"/>
          <w:divBdr>
            <w:top w:val="none" w:sz="0" w:space="0" w:color="auto"/>
            <w:left w:val="none" w:sz="0" w:space="0" w:color="auto"/>
            <w:bottom w:val="none" w:sz="0" w:space="0" w:color="auto"/>
            <w:right w:val="none" w:sz="0" w:space="0" w:color="auto"/>
          </w:divBdr>
        </w:div>
        <w:div w:id="2050254498">
          <w:marLeft w:val="1483"/>
          <w:marRight w:val="0"/>
          <w:marTop w:val="96"/>
          <w:marBottom w:val="0"/>
          <w:divBdr>
            <w:top w:val="none" w:sz="0" w:space="0" w:color="auto"/>
            <w:left w:val="none" w:sz="0" w:space="0" w:color="auto"/>
            <w:bottom w:val="none" w:sz="0" w:space="0" w:color="auto"/>
            <w:right w:val="none" w:sz="0" w:space="0" w:color="auto"/>
          </w:divBdr>
        </w:div>
      </w:divsChild>
    </w:div>
    <w:div w:id="210098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stlii.edu.au/au/legis/cth/consol_act/fwa2009114/s340.html" TargetMode="External"/><Relationship Id="rId18" Type="http://schemas.openxmlformats.org/officeDocument/2006/relationships/hyperlink" Target="http://www.austlii.edu.au/au/cases/cth/FCA/2010/399.html" TargetMode="External"/><Relationship Id="rId26" Type="http://schemas.openxmlformats.org/officeDocument/2006/relationships/hyperlink" Target="http://www.austlii.edu.au/au/cases/cth/FCA/2014/271.html" TargetMode="External"/><Relationship Id="rId3" Type="http://schemas.openxmlformats.org/officeDocument/2006/relationships/styles" Target="styles.xml"/><Relationship Id="rId21" Type="http://schemas.openxmlformats.org/officeDocument/2006/relationships/hyperlink" Target="http://www.austlii.edu.au/au/legis/cth/consol_act/fwa2009114/s341.html" TargetMode="External"/><Relationship Id="rId7" Type="http://schemas.openxmlformats.org/officeDocument/2006/relationships/footnotes" Target="footnotes.xml"/><Relationship Id="rId12" Type="http://schemas.openxmlformats.org/officeDocument/2006/relationships/hyperlink" Target="http://www.austlii.edu.au/au/legis/cth/consol_act/fwa2009114/s174.html" TargetMode="External"/><Relationship Id="rId17" Type="http://schemas.openxmlformats.org/officeDocument/2006/relationships/hyperlink" Target="http://www.austlii.edu.au/cgi-bin/LawCite?cit=%282010%29%20186%20FCR%2022?stem=0&amp;synonyms=0&amp;query=shea" TargetMode="External"/><Relationship Id="rId25" Type="http://schemas.openxmlformats.org/officeDocument/2006/relationships/hyperlink" Target="http://www.austlii.edu.au/au/cases/cth/FCA/2014/271.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stlii.edu.au/au/cases/cth/FCA/2010/399.html" TargetMode="External"/><Relationship Id="rId20" Type="http://schemas.openxmlformats.org/officeDocument/2006/relationships/hyperlink" Target="http://www.austlii.edu.au/au/legis/cth/consol_act/fwa2009114/s340.html" TargetMode="External"/><Relationship Id="rId29" Type="http://schemas.openxmlformats.org/officeDocument/2006/relationships/hyperlink" Target="http://www.austlii.edu.au/au/legis/cth/repealed_act/wra1996220/s34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stlii.edu.au/au/legis/cth/consol_act/fwa2009114/" TargetMode="External"/><Relationship Id="rId24" Type="http://schemas.openxmlformats.org/officeDocument/2006/relationships/hyperlink" Target="http://www.austlii.edu.au/au/cases/cth/FCA/2012/697.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ustlii.edu.au/au/legis/cth/consol_act/fwa2009114/" TargetMode="External"/><Relationship Id="rId23" Type="http://schemas.openxmlformats.org/officeDocument/2006/relationships/hyperlink" Target="http://www.austlii.edu.au/au/cases/cth/FCA/2012/697.html" TargetMode="External"/><Relationship Id="rId28" Type="http://schemas.openxmlformats.org/officeDocument/2006/relationships/hyperlink" Target="http://www.austlii.edu.au/au/legis/cth/repealed_act/wra1996220/s341.html" TargetMode="External"/><Relationship Id="rId10" Type="http://schemas.openxmlformats.org/officeDocument/2006/relationships/hyperlink" Target="http://www.austlii.edu.au/au/legis/cth/consol_act/fwa2009114/s586.html" TargetMode="External"/><Relationship Id="rId19" Type="http://schemas.openxmlformats.org/officeDocument/2006/relationships/hyperlink" Target="http://www.austlii.edu.au/au/legis/cth/consol_act/fwa2009114/"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ustlii.edu.au/au/legis/cth/consol_act/fwa2009114/s341.html" TargetMode="External"/><Relationship Id="rId22" Type="http://schemas.openxmlformats.org/officeDocument/2006/relationships/hyperlink" Target="http://www.austlii.edu.au/au/cases/cth/FCA/2012/697.html" TargetMode="External"/><Relationship Id="rId27" Type="http://schemas.openxmlformats.org/officeDocument/2006/relationships/hyperlink" Target="http://www.austlii.edu.au/au/cases/cth/FCA/2014/2.html"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orkcover.nsw.gov.au/health-and-safety/safety-topics-a-z/bullying/workplace-bullying-response-service-standards" TargetMode="External"/><Relationship Id="rId2" Type="http://schemas.openxmlformats.org/officeDocument/2006/relationships/hyperlink" Target="http://proactive-resolutions.com/products/reconcile-differences/" TargetMode="External"/><Relationship Id="rId1" Type="http://schemas.openxmlformats.org/officeDocument/2006/relationships/hyperlink" Target="http://www.slideshare.net/NationalMediationConference/tuesday-the-verandah-12201240commissioner-anna-lee-cribb" TargetMode="External"/><Relationship Id="rId4" Type="http://schemas.openxmlformats.org/officeDocument/2006/relationships/hyperlink" Target="http://www.familylawcourts.gov.au/wps/wcm/connect/FLC/Home/Publications/Family+Law+Courts+publications/Compulsory+Family+Dispute+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E2412-6A5C-410F-B910-006B7084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18630</Words>
  <Characters>106197</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124578</CharactersWithSpaces>
  <SharedDoc>false</SharedDoc>
  <HLinks>
    <vt:vector size="144" baseType="variant">
      <vt:variant>
        <vt:i4>7864321</vt:i4>
      </vt:variant>
      <vt:variant>
        <vt:i4>57</vt:i4>
      </vt:variant>
      <vt:variant>
        <vt:i4>0</vt:i4>
      </vt:variant>
      <vt:variant>
        <vt:i4>5</vt:i4>
      </vt:variant>
      <vt:variant>
        <vt:lpwstr>http://www.austlii.edu.au/au/legis/cth/repealed_act/wra1996220/s341.html</vt:lpwstr>
      </vt:variant>
      <vt:variant>
        <vt:lpwstr/>
      </vt:variant>
      <vt:variant>
        <vt:i4>7864321</vt:i4>
      </vt:variant>
      <vt:variant>
        <vt:i4>54</vt:i4>
      </vt:variant>
      <vt:variant>
        <vt:i4>0</vt:i4>
      </vt:variant>
      <vt:variant>
        <vt:i4>5</vt:i4>
      </vt:variant>
      <vt:variant>
        <vt:lpwstr>http://www.austlii.edu.au/au/legis/cth/repealed_act/wra1996220/s341.html</vt:lpwstr>
      </vt:variant>
      <vt:variant>
        <vt:lpwstr/>
      </vt:variant>
      <vt:variant>
        <vt:i4>6422632</vt:i4>
      </vt:variant>
      <vt:variant>
        <vt:i4>51</vt:i4>
      </vt:variant>
      <vt:variant>
        <vt:i4>0</vt:i4>
      </vt:variant>
      <vt:variant>
        <vt:i4>5</vt:i4>
      </vt:variant>
      <vt:variant>
        <vt:lpwstr>http://www.austlii.edu.au/au/cases/cth/FCA/2014/2.html</vt:lpwstr>
      </vt:variant>
      <vt:variant>
        <vt:lpwstr/>
      </vt:variant>
      <vt:variant>
        <vt:i4>6684781</vt:i4>
      </vt:variant>
      <vt:variant>
        <vt:i4>48</vt:i4>
      </vt:variant>
      <vt:variant>
        <vt:i4>0</vt:i4>
      </vt:variant>
      <vt:variant>
        <vt:i4>5</vt:i4>
      </vt:variant>
      <vt:variant>
        <vt:lpwstr>http://www.austlii.edu.au/au/cases/cth/FCA/2014/271.html</vt:lpwstr>
      </vt:variant>
      <vt:variant>
        <vt:lpwstr>para631</vt:lpwstr>
      </vt:variant>
      <vt:variant>
        <vt:i4>5570649</vt:i4>
      </vt:variant>
      <vt:variant>
        <vt:i4>45</vt:i4>
      </vt:variant>
      <vt:variant>
        <vt:i4>0</vt:i4>
      </vt:variant>
      <vt:variant>
        <vt:i4>5</vt:i4>
      </vt:variant>
      <vt:variant>
        <vt:lpwstr>http://www.austlii.edu.au/au/cases/cth/FCA/2014/271.html</vt:lpwstr>
      </vt:variant>
      <vt:variant>
        <vt:lpwstr/>
      </vt:variant>
      <vt:variant>
        <vt:i4>7274601</vt:i4>
      </vt:variant>
      <vt:variant>
        <vt:i4>42</vt:i4>
      </vt:variant>
      <vt:variant>
        <vt:i4>0</vt:i4>
      </vt:variant>
      <vt:variant>
        <vt:i4>5</vt:i4>
      </vt:variant>
      <vt:variant>
        <vt:lpwstr>http://www.austlii.edu.au/au/cases/cth/FCA/2012/697.html</vt:lpwstr>
      </vt:variant>
      <vt:variant>
        <vt:lpwstr>para64</vt:lpwstr>
      </vt:variant>
      <vt:variant>
        <vt:i4>6946921</vt:i4>
      </vt:variant>
      <vt:variant>
        <vt:i4>39</vt:i4>
      </vt:variant>
      <vt:variant>
        <vt:i4>0</vt:i4>
      </vt:variant>
      <vt:variant>
        <vt:i4>5</vt:i4>
      </vt:variant>
      <vt:variant>
        <vt:lpwstr>http://www.austlii.edu.au/au/cases/cth/FCA/2012/697.html</vt:lpwstr>
      </vt:variant>
      <vt:variant>
        <vt:lpwstr>para61</vt:lpwstr>
      </vt:variant>
      <vt:variant>
        <vt:i4>5963869</vt:i4>
      </vt:variant>
      <vt:variant>
        <vt:i4>36</vt:i4>
      </vt:variant>
      <vt:variant>
        <vt:i4>0</vt:i4>
      </vt:variant>
      <vt:variant>
        <vt:i4>5</vt:i4>
      </vt:variant>
      <vt:variant>
        <vt:lpwstr>http://www.austlii.edu.au/au/cases/cth/FCA/2012/697.html</vt:lpwstr>
      </vt:variant>
      <vt:variant>
        <vt:lpwstr/>
      </vt:variant>
      <vt:variant>
        <vt:i4>1310829</vt:i4>
      </vt:variant>
      <vt:variant>
        <vt:i4>33</vt:i4>
      </vt:variant>
      <vt:variant>
        <vt:i4>0</vt:i4>
      </vt:variant>
      <vt:variant>
        <vt:i4>5</vt:i4>
      </vt:variant>
      <vt:variant>
        <vt:lpwstr>http://www.austlii.edu.au/au/legis/cth/consol_act/fwa2009114/s341.html</vt:lpwstr>
      </vt:variant>
      <vt:variant>
        <vt:lpwstr/>
      </vt:variant>
      <vt:variant>
        <vt:i4>1310828</vt:i4>
      </vt:variant>
      <vt:variant>
        <vt:i4>30</vt:i4>
      </vt:variant>
      <vt:variant>
        <vt:i4>0</vt:i4>
      </vt:variant>
      <vt:variant>
        <vt:i4>5</vt:i4>
      </vt:variant>
      <vt:variant>
        <vt:lpwstr>http://www.austlii.edu.au/au/legis/cth/consol_act/fwa2009114/s340.html</vt:lpwstr>
      </vt:variant>
      <vt:variant>
        <vt:lpwstr/>
      </vt:variant>
      <vt:variant>
        <vt:i4>6619205</vt:i4>
      </vt:variant>
      <vt:variant>
        <vt:i4>27</vt:i4>
      </vt:variant>
      <vt:variant>
        <vt:i4>0</vt:i4>
      </vt:variant>
      <vt:variant>
        <vt:i4>5</vt:i4>
      </vt:variant>
      <vt:variant>
        <vt:lpwstr>http://www.austlii.edu.au/au/legis/cth/consol_act/fwa2009114/</vt:lpwstr>
      </vt:variant>
      <vt:variant>
        <vt:lpwstr/>
      </vt:variant>
      <vt:variant>
        <vt:i4>7209059</vt:i4>
      </vt:variant>
      <vt:variant>
        <vt:i4>24</vt:i4>
      </vt:variant>
      <vt:variant>
        <vt:i4>0</vt:i4>
      </vt:variant>
      <vt:variant>
        <vt:i4>5</vt:i4>
      </vt:variant>
      <vt:variant>
        <vt:lpwstr>http://www.austlii.edu.au/au/cases/cth/FCA/2010/399.html</vt:lpwstr>
      </vt:variant>
      <vt:variant>
        <vt:lpwstr>para55</vt:lpwstr>
      </vt:variant>
      <vt:variant>
        <vt:i4>7143462</vt:i4>
      </vt:variant>
      <vt:variant>
        <vt:i4>21</vt:i4>
      </vt:variant>
      <vt:variant>
        <vt:i4>0</vt:i4>
      </vt:variant>
      <vt:variant>
        <vt:i4>5</vt:i4>
      </vt:variant>
      <vt:variant>
        <vt:lpwstr>http://www.austlii.edu.au/cgi-bin/LawCite?cit=%282010%29%20186%20FCR%2022?stem=0&amp;synonyms=0&amp;query=shea</vt:lpwstr>
      </vt:variant>
      <vt:variant>
        <vt:lpwstr/>
      </vt:variant>
      <vt:variant>
        <vt:i4>5963860</vt:i4>
      </vt:variant>
      <vt:variant>
        <vt:i4>18</vt:i4>
      </vt:variant>
      <vt:variant>
        <vt:i4>0</vt:i4>
      </vt:variant>
      <vt:variant>
        <vt:i4>5</vt:i4>
      </vt:variant>
      <vt:variant>
        <vt:lpwstr>http://www.austlii.edu.au/au/cases/cth/FCA/2010/399.html</vt:lpwstr>
      </vt:variant>
      <vt:variant>
        <vt:lpwstr/>
      </vt:variant>
      <vt:variant>
        <vt:i4>6619205</vt:i4>
      </vt:variant>
      <vt:variant>
        <vt:i4>15</vt:i4>
      </vt:variant>
      <vt:variant>
        <vt:i4>0</vt:i4>
      </vt:variant>
      <vt:variant>
        <vt:i4>5</vt:i4>
      </vt:variant>
      <vt:variant>
        <vt:lpwstr>http://www.austlii.edu.au/au/legis/cth/consol_act/fwa2009114/</vt:lpwstr>
      </vt:variant>
      <vt:variant>
        <vt:lpwstr/>
      </vt:variant>
      <vt:variant>
        <vt:i4>1310829</vt:i4>
      </vt:variant>
      <vt:variant>
        <vt:i4>12</vt:i4>
      </vt:variant>
      <vt:variant>
        <vt:i4>0</vt:i4>
      </vt:variant>
      <vt:variant>
        <vt:i4>5</vt:i4>
      </vt:variant>
      <vt:variant>
        <vt:lpwstr>http://www.austlii.edu.au/au/legis/cth/consol_act/fwa2009114/s341.html</vt:lpwstr>
      </vt:variant>
      <vt:variant>
        <vt:lpwstr/>
      </vt:variant>
      <vt:variant>
        <vt:i4>1310828</vt:i4>
      </vt:variant>
      <vt:variant>
        <vt:i4>9</vt:i4>
      </vt:variant>
      <vt:variant>
        <vt:i4>0</vt:i4>
      </vt:variant>
      <vt:variant>
        <vt:i4>5</vt:i4>
      </vt:variant>
      <vt:variant>
        <vt:lpwstr>http://www.austlii.edu.au/au/legis/cth/consol_act/fwa2009114/s340.html</vt:lpwstr>
      </vt:variant>
      <vt:variant>
        <vt:lpwstr/>
      </vt:variant>
      <vt:variant>
        <vt:i4>1507434</vt:i4>
      </vt:variant>
      <vt:variant>
        <vt:i4>6</vt:i4>
      </vt:variant>
      <vt:variant>
        <vt:i4>0</vt:i4>
      </vt:variant>
      <vt:variant>
        <vt:i4>5</vt:i4>
      </vt:variant>
      <vt:variant>
        <vt:lpwstr>http://www.austlii.edu.au/au/legis/cth/consol_act/fwa2009114/s174.html</vt:lpwstr>
      </vt:variant>
      <vt:variant>
        <vt:lpwstr/>
      </vt:variant>
      <vt:variant>
        <vt:i4>6619205</vt:i4>
      </vt:variant>
      <vt:variant>
        <vt:i4>3</vt:i4>
      </vt:variant>
      <vt:variant>
        <vt:i4>0</vt:i4>
      </vt:variant>
      <vt:variant>
        <vt:i4>5</vt:i4>
      </vt:variant>
      <vt:variant>
        <vt:lpwstr>http://www.austlii.edu.au/au/legis/cth/consol_act/fwa2009114/</vt:lpwstr>
      </vt:variant>
      <vt:variant>
        <vt:lpwstr/>
      </vt:variant>
      <vt:variant>
        <vt:i4>1572972</vt:i4>
      </vt:variant>
      <vt:variant>
        <vt:i4>0</vt:i4>
      </vt:variant>
      <vt:variant>
        <vt:i4>0</vt:i4>
      </vt:variant>
      <vt:variant>
        <vt:i4>5</vt:i4>
      </vt:variant>
      <vt:variant>
        <vt:lpwstr>http://www.austlii.edu.au/au/legis/cth/consol_act/fwa2009114/s586.html</vt:lpwstr>
      </vt:variant>
      <vt:variant>
        <vt:lpwstr/>
      </vt:variant>
      <vt:variant>
        <vt:i4>2293796</vt:i4>
      </vt:variant>
      <vt:variant>
        <vt:i4>9</vt:i4>
      </vt:variant>
      <vt:variant>
        <vt:i4>0</vt:i4>
      </vt:variant>
      <vt:variant>
        <vt:i4>5</vt:i4>
      </vt:variant>
      <vt:variant>
        <vt:lpwstr>http://www.familylawcourts.gov.au/wps/wcm/connect/FLC/Home/Publications/Family+Law+Courts+publications/Compulsory+Family+Dispute+Resolution</vt:lpwstr>
      </vt:variant>
      <vt:variant>
        <vt:lpwstr/>
      </vt:variant>
      <vt:variant>
        <vt:i4>2490400</vt:i4>
      </vt:variant>
      <vt:variant>
        <vt:i4>6</vt:i4>
      </vt:variant>
      <vt:variant>
        <vt:i4>0</vt:i4>
      </vt:variant>
      <vt:variant>
        <vt:i4>5</vt:i4>
      </vt:variant>
      <vt:variant>
        <vt:lpwstr>http://www.workcover.nsw.gov.au/health-and-safety/safety-topics-a-z/bullying/workplace-bullying-response-service-standards</vt:lpwstr>
      </vt:variant>
      <vt:variant>
        <vt:lpwstr/>
      </vt:variant>
      <vt:variant>
        <vt:i4>1048644</vt:i4>
      </vt:variant>
      <vt:variant>
        <vt:i4>3</vt:i4>
      </vt:variant>
      <vt:variant>
        <vt:i4>0</vt:i4>
      </vt:variant>
      <vt:variant>
        <vt:i4>5</vt:i4>
      </vt:variant>
      <vt:variant>
        <vt:lpwstr>http://proactive-resolutions.com/products/reconcile-differences/</vt:lpwstr>
      </vt:variant>
      <vt:variant>
        <vt:lpwstr/>
      </vt:variant>
      <vt:variant>
        <vt:i4>2752635</vt:i4>
      </vt:variant>
      <vt:variant>
        <vt:i4>0</vt:i4>
      </vt:variant>
      <vt:variant>
        <vt:i4>0</vt:i4>
      </vt:variant>
      <vt:variant>
        <vt:i4>5</vt:i4>
      </vt:variant>
      <vt:variant>
        <vt:lpwstr>http://www.slideshare.net/NationalMediationConference/tuesday-the-verandah-12201240commissioner-anna-lee-cribb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99 - Catholic Commission for Employment Relations - Workplace Relations Framework public inquiry</dc:title>
  <dc:creator>Catholic Commission for Employment Relations</dc:creator>
  <cp:lastModifiedBy>Productivity Commission</cp:lastModifiedBy>
  <cp:revision>3</cp:revision>
  <cp:lastPrinted>2015-03-13T00:00:00Z</cp:lastPrinted>
  <dcterms:created xsi:type="dcterms:W3CDTF">2015-03-22T05:33:00Z</dcterms:created>
  <dcterms:modified xsi:type="dcterms:W3CDTF">2015-03-23T02:38:00Z</dcterms:modified>
</cp:coreProperties>
</file>