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DB4EA" w14:textId="77777777" w:rsidR="00886D96" w:rsidRPr="00EB0CBE" w:rsidRDefault="00886D96" w:rsidP="00403B5E">
      <w:pPr>
        <w:spacing w:after="0"/>
        <w:rPr>
          <w:rFonts w:ascii="Garamond" w:hAnsi="Garamond" w:cs="Tahoma"/>
        </w:rPr>
      </w:pPr>
      <w:bookmarkStart w:id="0" w:name="_GoBack"/>
      <w:bookmarkEnd w:id="0"/>
    </w:p>
    <w:p w14:paraId="29823F6A" w14:textId="77777777" w:rsidR="00FB58A1" w:rsidRPr="00EB0CBE" w:rsidRDefault="00FB58A1">
      <w:pPr>
        <w:rPr>
          <w:rFonts w:ascii="Garamond" w:hAnsi="Garamond"/>
        </w:rPr>
        <w:sectPr w:rsidR="00FB58A1" w:rsidRPr="00EB0CBE" w:rsidSect="00705002">
          <w:headerReference w:type="default" r:id="rId9"/>
          <w:footerReference w:type="default" r:id="rId10"/>
          <w:pgSz w:w="11906" w:h="16838" w:code="9"/>
          <w:pgMar w:top="1440" w:right="1440" w:bottom="1440" w:left="1440" w:header="0" w:footer="227" w:gutter="0"/>
          <w:cols w:space="708"/>
          <w:docGrid w:linePitch="360"/>
        </w:sectPr>
      </w:pPr>
    </w:p>
    <w:p w14:paraId="04C78726" w14:textId="77777777" w:rsidR="000D6D8D" w:rsidRDefault="000D6D8D" w:rsidP="00403B5E">
      <w:pPr>
        <w:pStyle w:val="BodyText"/>
        <w:ind w:left="-284" w:right="-330"/>
        <w:jc w:val="center"/>
        <w:rPr>
          <w:rFonts w:ascii="Garamond" w:hAnsi="Garamond"/>
          <w:i w:val="0"/>
          <w:sz w:val="28"/>
          <w:szCs w:val="28"/>
        </w:rPr>
      </w:pPr>
      <w:r>
        <w:rPr>
          <w:rFonts w:ascii="Garamond" w:hAnsi="Garamond"/>
          <w:i w:val="0"/>
          <w:sz w:val="28"/>
          <w:szCs w:val="28"/>
        </w:rPr>
        <w:lastRenderedPageBreak/>
        <w:t>Productivity Commission Issues Paper</w:t>
      </w:r>
    </w:p>
    <w:p w14:paraId="759874C6" w14:textId="77777777" w:rsidR="00403B5E" w:rsidRPr="00EB0CBE" w:rsidRDefault="000D6D8D" w:rsidP="00403B5E">
      <w:pPr>
        <w:pStyle w:val="BodyText"/>
        <w:ind w:left="-284" w:right="-330"/>
        <w:jc w:val="center"/>
        <w:rPr>
          <w:rFonts w:ascii="Garamond" w:hAnsi="Garamond" w:cstheme="minorHAnsi"/>
          <w:bCs w:val="0"/>
          <w:i w:val="0"/>
          <w:sz w:val="28"/>
          <w:szCs w:val="28"/>
        </w:rPr>
      </w:pPr>
      <w:r w:rsidRPr="000D6D8D">
        <w:rPr>
          <w:rFonts w:ascii="Garamond" w:hAnsi="Garamond"/>
          <w:sz w:val="28"/>
          <w:szCs w:val="28"/>
        </w:rPr>
        <w:t>Barriers to Services Exports</w:t>
      </w:r>
      <w:r w:rsidR="00403B5E" w:rsidRPr="00EB0CBE">
        <w:rPr>
          <w:rFonts w:ascii="Garamond" w:hAnsi="Garamond"/>
          <w:b w:val="0"/>
          <w:sz w:val="28"/>
          <w:szCs w:val="28"/>
        </w:rPr>
        <w:br/>
      </w:r>
      <w:r w:rsidR="00403B5E" w:rsidRPr="00EB0CBE">
        <w:rPr>
          <w:rFonts w:ascii="Garamond" w:hAnsi="Garamond"/>
          <w:b w:val="0"/>
          <w:sz w:val="28"/>
          <w:szCs w:val="28"/>
        </w:rPr>
        <w:br/>
      </w:r>
      <w:r w:rsidR="00403B5E" w:rsidRPr="00EB0CBE">
        <w:rPr>
          <w:rFonts w:ascii="Garamond" w:hAnsi="Garamond" w:cstheme="minorHAnsi"/>
          <w:bCs w:val="0"/>
          <w:i w:val="0"/>
          <w:sz w:val="28"/>
          <w:szCs w:val="28"/>
        </w:rPr>
        <w:t>Submission by</w:t>
      </w:r>
    </w:p>
    <w:p w14:paraId="74C4C411" w14:textId="77777777" w:rsidR="00403B5E" w:rsidRPr="00EB0CBE" w:rsidRDefault="00403B5E" w:rsidP="00403B5E">
      <w:pPr>
        <w:pStyle w:val="BodyText"/>
        <w:ind w:left="-284" w:right="-330"/>
        <w:jc w:val="center"/>
        <w:rPr>
          <w:rFonts w:ascii="Garamond" w:hAnsi="Garamond" w:cstheme="minorHAnsi"/>
          <w:bCs w:val="0"/>
          <w:i w:val="0"/>
          <w:sz w:val="28"/>
          <w:szCs w:val="28"/>
        </w:rPr>
      </w:pPr>
      <w:r w:rsidRPr="00EB0CBE">
        <w:rPr>
          <w:rFonts w:ascii="Garamond" w:hAnsi="Garamond" w:cstheme="minorHAnsi"/>
          <w:bCs w:val="0"/>
          <w:i w:val="0"/>
          <w:sz w:val="28"/>
          <w:szCs w:val="28"/>
        </w:rPr>
        <w:t>The Independent Schools Council of Australia (ISCA)</w:t>
      </w:r>
    </w:p>
    <w:p w14:paraId="3BA2AEFF" w14:textId="77777777" w:rsidR="007F12C2" w:rsidRPr="00EB0CBE" w:rsidRDefault="007F12C2" w:rsidP="00EA7856">
      <w:pPr>
        <w:pStyle w:val="BodyText"/>
        <w:ind w:right="-330"/>
        <w:rPr>
          <w:rFonts w:ascii="Garamond" w:hAnsi="Garamond" w:cstheme="minorHAnsi"/>
          <w:bCs w:val="0"/>
          <w:i w:val="0"/>
          <w:sz w:val="28"/>
          <w:szCs w:val="28"/>
        </w:rPr>
      </w:pPr>
      <w:bookmarkStart w:id="1" w:name="_Toc290379317"/>
      <w:bookmarkStart w:id="2" w:name="_Toc388446062"/>
    </w:p>
    <w:p w14:paraId="6B2038FD" w14:textId="77777777" w:rsidR="0054326C" w:rsidRPr="00EB0CBE" w:rsidRDefault="0054326C" w:rsidP="00EA7856">
      <w:pPr>
        <w:pStyle w:val="Heading1"/>
        <w:rPr>
          <w:rFonts w:ascii="Garamond" w:hAnsi="Garamond"/>
          <w:b/>
          <w:color w:val="auto"/>
          <w:sz w:val="28"/>
          <w:szCs w:val="28"/>
        </w:rPr>
      </w:pPr>
      <w:bookmarkStart w:id="3" w:name="_Toc388447203"/>
      <w:r w:rsidRPr="00EB0CBE">
        <w:rPr>
          <w:rFonts w:ascii="Garamond" w:hAnsi="Garamond"/>
          <w:b/>
          <w:color w:val="auto"/>
          <w:sz w:val="28"/>
          <w:szCs w:val="28"/>
        </w:rPr>
        <w:t>Introduction</w:t>
      </w:r>
      <w:bookmarkEnd w:id="1"/>
      <w:r w:rsidRPr="00EB0CBE">
        <w:rPr>
          <w:rFonts w:ascii="Garamond" w:hAnsi="Garamond"/>
          <w:b/>
          <w:color w:val="auto"/>
          <w:sz w:val="28"/>
          <w:szCs w:val="28"/>
        </w:rPr>
        <w:t>: About ISCA</w:t>
      </w:r>
      <w:bookmarkEnd w:id="2"/>
      <w:bookmarkEnd w:id="3"/>
    </w:p>
    <w:p w14:paraId="4E371F45" w14:textId="643FDFD0" w:rsidR="0054326C" w:rsidRPr="007B4061" w:rsidRDefault="0054326C" w:rsidP="00EA7856">
      <w:pPr>
        <w:ind w:right="-330"/>
        <w:rPr>
          <w:rFonts w:asciiTheme="minorHAnsi" w:hAnsiTheme="minorHAnsi"/>
          <w:b/>
          <w:bCs/>
          <w:i/>
          <w:sz w:val="21"/>
          <w:szCs w:val="21"/>
        </w:rPr>
      </w:pPr>
      <w:bookmarkStart w:id="4" w:name="OLE_LINK1"/>
      <w:bookmarkStart w:id="5" w:name="OLE_LINK2"/>
      <w:r w:rsidRPr="007B4061">
        <w:rPr>
          <w:rFonts w:asciiTheme="minorHAnsi" w:hAnsiTheme="minorHAnsi"/>
          <w:i/>
          <w:sz w:val="21"/>
          <w:szCs w:val="21"/>
        </w:rPr>
        <w:t xml:space="preserve">The Independent Schools Council of Australia (ISCA) is the peak national body covering the </w:t>
      </w:r>
      <w:r w:rsidR="00A53A0E">
        <w:rPr>
          <w:rFonts w:asciiTheme="minorHAnsi" w:hAnsiTheme="minorHAnsi"/>
          <w:i/>
          <w:sz w:val="21"/>
          <w:szCs w:val="21"/>
        </w:rPr>
        <w:t>Independent</w:t>
      </w:r>
      <w:r w:rsidRPr="007B4061">
        <w:rPr>
          <w:rFonts w:asciiTheme="minorHAnsi" w:hAnsiTheme="minorHAnsi"/>
          <w:i/>
          <w:sz w:val="21"/>
          <w:szCs w:val="21"/>
        </w:rPr>
        <w:t xml:space="preserve"> schools sector.  It comprises the eight State and Territory Associations of Independent Schools.  Through these Associations, ISCA repr</w:t>
      </w:r>
      <w:r w:rsidR="00210E02" w:rsidRPr="007B4061">
        <w:rPr>
          <w:rFonts w:asciiTheme="minorHAnsi" w:hAnsiTheme="minorHAnsi"/>
          <w:i/>
          <w:sz w:val="21"/>
          <w:szCs w:val="21"/>
        </w:rPr>
        <w:t xml:space="preserve">esents a sector with </w:t>
      </w:r>
      <w:r w:rsidR="006A7126" w:rsidRPr="007B4061">
        <w:rPr>
          <w:rFonts w:asciiTheme="minorHAnsi" w:hAnsiTheme="minorHAnsi"/>
          <w:i/>
          <w:sz w:val="21"/>
          <w:szCs w:val="21"/>
        </w:rPr>
        <w:t xml:space="preserve">nearly </w:t>
      </w:r>
      <w:r w:rsidR="00210E02" w:rsidRPr="007B4061">
        <w:rPr>
          <w:rFonts w:asciiTheme="minorHAnsi" w:hAnsiTheme="minorHAnsi"/>
          <w:i/>
          <w:sz w:val="21"/>
          <w:szCs w:val="21"/>
        </w:rPr>
        <w:t>1,080 schools and 56</w:t>
      </w:r>
      <w:r w:rsidR="006A7126" w:rsidRPr="007B4061">
        <w:rPr>
          <w:rFonts w:asciiTheme="minorHAnsi" w:hAnsiTheme="minorHAnsi"/>
          <w:i/>
          <w:sz w:val="21"/>
          <w:szCs w:val="21"/>
        </w:rPr>
        <w:t>7</w:t>
      </w:r>
      <w:r w:rsidRPr="007B4061">
        <w:rPr>
          <w:rFonts w:asciiTheme="minorHAnsi" w:hAnsiTheme="minorHAnsi"/>
          <w:i/>
          <w:sz w:val="21"/>
          <w:szCs w:val="21"/>
        </w:rPr>
        <w:t>,000 students, accounting for nearly 16 per cent of Australian school enrolments.</w:t>
      </w:r>
    </w:p>
    <w:p w14:paraId="33B7807F" w14:textId="43CBF021" w:rsidR="0054326C" w:rsidRPr="007B4061" w:rsidRDefault="0054326C" w:rsidP="00EA7856">
      <w:pPr>
        <w:ind w:right="-330"/>
        <w:rPr>
          <w:rFonts w:asciiTheme="minorHAnsi" w:hAnsiTheme="minorHAnsi"/>
          <w:i/>
          <w:iCs/>
          <w:sz w:val="21"/>
          <w:szCs w:val="21"/>
        </w:rPr>
      </w:pPr>
      <w:r w:rsidRPr="007B4061">
        <w:rPr>
          <w:rFonts w:asciiTheme="minorHAnsi" w:hAnsiTheme="minorHAnsi"/>
          <w:i/>
          <w:iCs/>
          <w:sz w:val="21"/>
          <w:szCs w:val="21"/>
        </w:rPr>
        <w:t xml:space="preserve">Independent schools are a diverse group of non-government schools serving a range of different communities.  Many </w:t>
      </w:r>
      <w:r w:rsidR="00A53A0E">
        <w:rPr>
          <w:rFonts w:asciiTheme="minorHAnsi" w:hAnsiTheme="minorHAnsi"/>
          <w:i/>
          <w:iCs/>
          <w:sz w:val="21"/>
          <w:szCs w:val="21"/>
        </w:rPr>
        <w:t>Independent</w:t>
      </w:r>
      <w:r w:rsidRPr="007B4061">
        <w:rPr>
          <w:rFonts w:asciiTheme="minorHAnsi" w:hAnsiTheme="minorHAnsi"/>
          <w:i/>
          <w:iCs/>
          <w:sz w:val="21"/>
          <w:szCs w:val="21"/>
        </w:rPr>
        <w:t xml:space="preserve"> schools provide a religious or values-based education.  Others promote a particular educational philosophy or interpretation of mainstream education.  Independent schools include:</w:t>
      </w:r>
    </w:p>
    <w:p w14:paraId="21C9473A"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Schools affiliated with larger and smaller Christian denominations for example, Anglican, Catholic, Greek Orthodox, Lutheran, Uniting Church, Seventh Day Adventist and Presbyterian schools</w:t>
      </w:r>
    </w:p>
    <w:p w14:paraId="41BE53A9"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Non-denominational Christian schools</w:t>
      </w:r>
    </w:p>
    <w:p w14:paraId="3D9C6132"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Islamic schools</w:t>
      </w:r>
    </w:p>
    <w:p w14:paraId="33499D19"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Jewish schools</w:t>
      </w:r>
    </w:p>
    <w:p w14:paraId="2A1C8B12"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Montessori schools</w:t>
      </w:r>
    </w:p>
    <w:p w14:paraId="240FF3DA"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Rudolf Steiner schools</w:t>
      </w:r>
    </w:p>
    <w:p w14:paraId="130AC286"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Schools constituted under specific Acts of Parliament, such as grammar schools in some states</w:t>
      </w:r>
    </w:p>
    <w:p w14:paraId="1ED5375E"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Community schools</w:t>
      </w:r>
    </w:p>
    <w:p w14:paraId="74B9DCD3"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Indigenous community schools</w:t>
      </w:r>
    </w:p>
    <w:p w14:paraId="19597607"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 xml:space="preserve">Schools that specialise in meeting the needs of students with disabilities </w:t>
      </w:r>
    </w:p>
    <w:p w14:paraId="1811A943" w14:textId="77777777" w:rsidR="0054326C" w:rsidRPr="007B4061" w:rsidRDefault="0054326C" w:rsidP="00403B5E">
      <w:pPr>
        <w:pStyle w:val="ListParagraph"/>
        <w:numPr>
          <w:ilvl w:val="0"/>
          <w:numId w:val="15"/>
        </w:numPr>
        <w:ind w:left="284" w:right="-330" w:hanging="284"/>
        <w:rPr>
          <w:rFonts w:asciiTheme="minorHAnsi" w:hAnsiTheme="minorHAnsi"/>
          <w:i/>
          <w:iCs/>
          <w:sz w:val="21"/>
          <w:szCs w:val="21"/>
        </w:rPr>
      </w:pPr>
      <w:r w:rsidRPr="007B4061">
        <w:rPr>
          <w:rFonts w:asciiTheme="minorHAnsi" w:hAnsiTheme="minorHAnsi"/>
          <w:i/>
          <w:iCs/>
          <w:sz w:val="21"/>
          <w:szCs w:val="21"/>
        </w:rPr>
        <w:t>Schools that cater for students at severe educational risk due to a range of social/emotional/behavioural and other risk factors.</w:t>
      </w:r>
    </w:p>
    <w:p w14:paraId="78972416" w14:textId="31C3AB36" w:rsidR="007F12C2" w:rsidRPr="007B4061" w:rsidRDefault="0054326C" w:rsidP="00EA7856">
      <w:pPr>
        <w:ind w:right="-330"/>
        <w:rPr>
          <w:rFonts w:asciiTheme="minorHAnsi" w:hAnsiTheme="minorHAnsi"/>
          <w:i/>
          <w:iCs/>
          <w:sz w:val="21"/>
          <w:szCs w:val="21"/>
        </w:rPr>
      </w:pPr>
      <w:r w:rsidRPr="007B4061">
        <w:rPr>
          <w:rFonts w:asciiTheme="minorHAnsi" w:hAnsiTheme="minorHAnsi"/>
          <w:i/>
          <w:iCs/>
          <w:sz w:val="21"/>
          <w:szCs w:val="21"/>
        </w:rPr>
        <w:t xml:space="preserve">Independent schools are not-for-profit institutions founded by religious or other groups in the community and are registered with the relevant state or territory education authority.  Most </w:t>
      </w:r>
      <w:r w:rsidR="00A53A0E">
        <w:rPr>
          <w:rFonts w:asciiTheme="minorHAnsi" w:hAnsiTheme="minorHAnsi"/>
          <w:i/>
          <w:iCs/>
          <w:sz w:val="21"/>
          <w:szCs w:val="21"/>
        </w:rPr>
        <w:t>Independent</w:t>
      </w:r>
      <w:r w:rsidRPr="007B4061">
        <w:rPr>
          <w:rFonts w:asciiTheme="minorHAnsi" w:hAnsiTheme="minorHAnsi"/>
          <w:i/>
          <w:iCs/>
          <w:sz w:val="21"/>
          <w:szCs w:val="21"/>
        </w:rPr>
        <w:t xml:space="preserve"> schools are set up and governed </w:t>
      </w:r>
      <w:r w:rsidR="00A53A0E">
        <w:rPr>
          <w:rFonts w:asciiTheme="minorHAnsi" w:hAnsiTheme="minorHAnsi"/>
          <w:i/>
          <w:iCs/>
          <w:sz w:val="21"/>
          <w:szCs w:val="21"/>
        </w:rPr>
        <w:t>independent</w:t>
      </w:r>
      <w:r w:rsidRPr="007B4061">
        <w:rPr>
          <w:rFonts w:asciiTheme="minorHAnsi" w:hAnsiTheme="minorHAnsi"/>
          <w:i/>
          <w:iCs/>
          <w:sz w:val="21"/>
          <w:szCs w:val="21"/>
        </w:rPr>
        <w:t xml:space="preserve">ly on an individual school basis. However, some </w:t>
      </w:r>
      <w:r w:rsidR="00A53A0E">
        <w:rPr>
          <w:rFonts w:asciiTheme="minorHAnsi" w:hAnsiTheme="minorHAnsi"/>
          <w:i/>
          <w:iCs/>
          <w:sz w:val="21"/>
          <w:szCs w:val="21"/>
        </w:rPr>
        <w:t>Independent</w:t>
      </w:r>
      <w:r w:rsidRPr="007B4061">
        <w:rPr>
          <w:rFonts w:asciiTheme="minorHAnsi" w:hAnsiTheme="minorHAnsi"/>
          <w:i/>
          <w:iCs/>
          <w:sz w:val="21"/>
          <w:szCs w:val="21"/>
        </w:rPr>
        <w:t xml:space="preserve"> schools with common aims and educational philosophies are governed and administered as systems, for example the Lutheran systems.  Systemic schools account for 1</w:t>
      </w:r>
      <w:r w:rsidR="000B13B0" w:rsidRPr="007B4061">
        <w:rPr>
          <w:rFonts w:asciiTheme="minorHAnsi" w:hAnsiTheme="minorHAnsi"/>
          <w:i/>
          <w:iCs/>
          <w:sz w:val="21"/>
          <w:szCs w:val="21"/>
        </w:rPr>
        <w:t>8</w:t>
      </w:r>
      <w:r w:rsidRPr="007B4061">
        <w:rPr>
          <w:rFonts w:asciiTheme="minorHAnsi" w:hAnsiTheme="minorHAnsi"/>
          <w:i/>
          <w:iCs/>
          <w:sz w:val="21"/>
          <w:szCs w:val="21"/>
        </w:rPr>
        <w:t xml:space="preserve"> per cent of schools in the </w:t>
      </w:r>
      <w:r w:rsidR="00A53A0E">
        <w:rPr>
          <w:rFonts w:asciiTheme="minorHAnsi" w:hAnsiTheme="minorHAnsi"/>
          <w:i/>
          <w:iCs/>
          <w:sz w:val="21"/>
          <w:szCs w:val="21"/>
        </w:rPr>
        <w:t>Independent</w:t>
      </w:r>
      <w:r w:rsidRPr="007B4061">
        <w:rPr>
          <w:rFonts w:asciiTheme="minorHAnsi" w:hAnsiTheme="minorHAnsi"/>
          <w:i/>
          <w:iCs/>
          <w:sz w:val="21"/>
          <w:szCs w:val="21"/>
        </w:rPr>
        <w:t xml:space="preserve"> sector.</w:t>
      </w:r>
      <w:bookmarkEnd w:id="4"/>
      <w:bookmarkEnd w:id="5"/>
      <w:r w:rsidRPr="007B4061">
        <w:rPr>
          <w:rFonts w:asciiTheme="minorHAnsi" w:hAnsiTheme="minorHAnsi"/>
          <w:i/>
          <w:iCs/>
          <w:sz w:val="21"/>
          <w:szCs w:val="21"/>
        </w:rPr>
        <w:t xml:space="preserve"> Independent Catholic schools are a significant part of the sector, accounting for </w:t>
      </w:r>
      <w:r w:rsidR="00C722F8" w:rsidRPr="007B4061">
        <w:rPr>
          <w:rFonts w:asciiTheme="minorHAnsi" w:hAnsiTheme="minorHAnsi"/>
          <w:i/>
          <w:iCs/>
          <w:sz w:val="21"/>
          <w:szCs w:val="21"/>
        </w:rPr>
        <w:t>8</w:t>
      </w:r>
      <w:r w:rsidRPr="007B4061">
        <w:rPr>
          <w:rFonts w:asciiTheme="minorHAnsi" w:hAnsiTheme="minorHAnsi"/>
          <w:i/>
          <w:iCs/>
          <w:sz w:val="21"/>
          <w:szCs w:val="21"/>
        </w:rPr>
        <w:t xml:space="preserve"> per cent of the </w:t>
      </w:r>
      <w:r w:rsidR="00A53A0E">
        <w:rPr>
          <w:rFonts w:asciiTheme="minorHAnsi" w:hAnsiTheme="minorHAnsi"/>
          <w:i/>
          <w:iCs/>
          <w:sz w:val="21"/>
          <w:szCs w:val="21"/>
        </w:rPr>
        <w:t>Independent</w:t>
      </w:r>
      <w:r w:rsidR="006F3032" w:rsidRPr="007B4061">
        <w:rPr>
          <w:rFonts w:asciiTheme="minorHAnsi" w:hAnsiTheme="minorHAnsi"/>
          <w:i/>
          <w:iCs/>
          <w:sz w:val="21"/>
          <w:szCs w:val="21"/>
        </w:rPr>
        <w:t xml:space="preserve"> sector’s enrolments.</w:t>
      </w:r>
    </w:p>
    <w:p w14:paraId="59505B66" w14:textId="77777777" w:rsidR="00E02361" w:rsidRDefault="00E02361" w:rsidP="00D1417E">
      <w:pPr>
        <w:pStyle w:val="Heading1"/>
        <w:rPr>
          <w:rFonts w:ascii="Garamond" w:hAnsi="Garamond"/>
          <w:b/>
          <w:color w:val="auto"/>
          <w:sz w:val="28"/>
          <w:szCs w:val="28"/>
        </w:rPr>
      </w:pPr>
      <w:bookmarkStart w:id="6" w:name="_Toc396381370"/>
      <w:bookmarkStart w:id="7" w:name="_Toc401236882"/>
      <w:bookmarkStart w:id="8" w:name="_Toc388446064"/>
      <w:r>
        <w:rPr>
          <w:rFonts w:ascii="Garamond" w:hAnsi="Garamond"/>
          <w:b/>
          <w:color w:val="auto"/>
          <w:sz w:val="28"/>
          <w:szCs w:val="28"/>
        </w:rPr>
        <w:lastRenderedPageBreak/>
        <w:t>Overview</w:t>
      </w:r>
    </w:p>
    <w:p w14:paraId="7ACF382F" w14:textId="77777777" w:rsidR="00E02361" w:rsidRPr="00212B48" w:rsidRDefault="00E02361" w:rsidP="00E02361">
      <w:pPr>
        <w:rPr>
          <w:sz w:val="23"/>
          <w:szCs w:val="23"/>
        </w:rPr>
      </w:pPr>
      <w:r w:rsidRPr="00212B48">
        <w:rPr>
          <w:sz w:val="23"/>
          <w:szCs w:val="23"/>
        </w:rPr>
        <w:t xml:space="preserve">ISCA welcomes the opportunity to make a submission to the Productivity Commission regarding the Issues Paper – </w:t>
      </w:r>
      <w:r w:rsidRPr="00212B48">
        <w:rPr>
          <w:i/>
          <w:sz w:val="23"/>
          <w:szCs w:val="23"/>
        </w:rPr>
        <w:t>Barriers to Services Exports</w:t>
      </w:r>
      <w:r w:rsidRPr="00212B48">
        <w:rPr>
          <w:sz w:val="23"/>
          <w:szCs w:val="23"/>
        </w:rPr>
        <w:t xml:space="preserve">. </w:t>
      </w:r>
      <w:r w:rsidR="00705AF2" w:rsidRPr="00212B48">
        <w:rPr>
          <w:sz w:val="23"/>
          <w:szCs w:val="23"/>
        </w:rPr>
        <w:t xml:space="preserve">There is significant activity being undertaken in this arena currently. </w:t>
      </w:r>
      <w:r w:rsidRPr="00212B48">
        <w:rPr>
          <w:sz w:val="23"/>
          <w:szCs w:val="23"/>
        </w:rPr>
        <w:t xml:space="preserve">At this point in time </w:t>
      </w:r>
    </w:p>
    <w:p w14:paraId="7AAB64FF" w14:textId="77777777" w:rsidR="00E02361" w:rsidRPr="00212B48" w:rsidRDefault="00E02361" w:rsidP="00705AF2">
      <w:pPr>
        <w:pStyle w:val="ListParagraph"/>
        <w:numPr>
          <w:ilvl w:val="0"/>
          <w:numId w:val="35"/>
        </w:numPr>
        <w:rPr>
          <w:sz w:val="23"/>
          <w:szCs w:val="23"/>
        </w:rPr>
      </w:pPr>
      <w:r w:rsidRPr="00212B48">
        <w:rPr>
          <w:sz w:val="23"/>
          <w:szCs w:val="23"/>
        </w:rPr>
        <w:t>the Commonwealth Department of Education and Training is reviewing the ESOS Act and associated regulatory framework</w:t>
      </w:r>
      <w:r w:rsidR="00705AF2" w:rsidRPr="00212B48">
        <w:rPr>
          <w:sz w:val="23"/>
          <w:szCs w:val="23"/>
        </w:rPr>
        <w:t>,</w:t>
      </w:r>
    </w:p>
    <w:p w14:paraId="1C4E89A5" w14:textId="77777777" w:rsidR="00E02361" w:rsidRPr="00212B48" w:rsidRDefault="00E02361" w:rsidP="00705AF2">
      <w:pPr>
        <w:pStyle w:val="ListParagraph"/>
        <w:numPr>
          <w:ilvl w:val="0"/>
          <w:numId w:val="35"/>
        </w:numPr>
        <w:rPr>
          <w:sz w:val="23"/>
          <w:szCs w:val="23"/>
        </w:rPr>
      </w:pPr>
      <w:r w:rsidRPr="00212B48">
        <w:rPr>
          <w:sz w:val="23"/>
          <w:szCs w:val="23"/>
        </w:rPr>
        <w:t>the Commonwealth Department of Immigration and Border Protection has undertaken a review of Streamlined visa Processing</w:t>
      </w:r>
      <w:r w:rsidR="00705AF2" w:rsidRPr="00212B48">
        <w:rPr>
          <w:sz w:val="23"/>
          <w:szCs w:val="23"/>
        </w:rPr>
        <w:t>,</w:t>
      </w:r>
    </w:p>
    <w:p w14:paraId="0C032DED" w14:textId="0838C3D8" w:rsidR="00E02361" w:rsidRPr="00212B48" w:rsidRDefault="00E02361" w:rsidP="00705AF2">
      <w:pPr>
        <w:pStyle w:val="ListParagraph"/>
        <w:numPr>
          <w:ilvl w:val="0"/>
          <w:numId w:val="35"/>
        </w:numPr>
        <w:rPr>
          <w:sz w:val="23"/>
          <w:szCs w:val="23"/>
        </w:rPr>
      </w:pPr>
      <w:r w:rsidRPr="00212B48">
        <w:rPr>
          <w:sz w:val="23"/>
          <w:szCs w:val="23"/>
        </w:rPr>
        <w:t>the</w:t>
      </w:r>
      <w:r w:rsidR="00705AF2" w:rsidRPr="00212B48">
        <w:rPr>
          <w:sz w:val="23"/>
          <w:szCs w:val="23"/>
        </w:rPr>
        <w:t xml:space="preserve"> Draft National Strategy for International Education has been launched by Minister Pyne with consultations </w:t>
      </w:r>
      <w:r w:rsidR="00876F09" w:rsidRPr="00212B48">
        <w:rPr>
          <w:sz w:val="23"/>
          <w:szCs w:val="23"/>
        </w:rPr>
        <w:t xml:space="preserve">beginning </w:t>
      </w:r>
      <w:r w:rsidR="00705AF2" w:rsidRPr="00212B48">
        <w:rPr>
          <w:sz w:val="23"/>
          <w:szCs w:val="23"/>
        </w:rPr>
        <w:t>shortly, and</w:t>
      </w:r>
    </w:p>
    <w:p w14:paraId="71058C4D" w14:textId="7CDB682F" w:rsidR="00705AF2" w:rsidRPr="00212B48" w:rsidRDefault="00705AF2" w:rsidP="00705AF2">
      <w:pPr>
        <w:pStyle w:val="ListParagraph"/>
        <w:numPr>
          <w:ilvl w:val="0"/>
          <w:numId w:val="35"/>
        </w:numPr>
        <w:rPr>
          <w:sz w:val="23"/>
          <w:szCs w:val="23"/>
        </w:rPr>
      </w:pPr>
      <w:r w:rsidRPr="00212B48">
        <w:rPr>
          <w:sz w:val="23"/>
          <w:szCs w:val="23"/>
        </w:rPr>
        <w:t xml:space="preserve">Austrade has commenced work on the AIE 2025 initiative, </w:t>
      </w:r>
      <w:r w:rsidR="00876F09" w:rsidRPr="00212B48">
        <w:rPr>
          <w:sz w:val="23"/>
          <w:szCs w:val="23"/>
        </w:rPr>
        <w:t xml:space="preserve">with the intention of significantly expanding </w:t>
      </w:r>
      <w:r w:rsidRPr="00212B48">
        <w:rPr>
          <w:sz w:val="23"/>
          <w:szCs w:val="23"/>
        </w:rPr>
        <w:t>Australia’s engagement in international education, both on and off-shore.</w:t>
      </w:r>
    </w:p>
    <w:p w14:paraId="7CE45071" w14:textId="77777777" w:rsidR="00705AF2" w:rsidRPr="00212B48" w:rsidRDefault="00705AF2" w:rsidP="00705AF2">
      <w:pPr>
        <w:rPr>
          <w:sz w:val="23"/>
          <w:szCs w:val="23"/>
        </w:rPr>
      </w:pPr>
      <w:r w:rsidRPr="00212B48">
        <w:rPr>
          <w:sz w:val="23"/>
          <w:szCs w:val="23"/>
        </w:rPr>
        <w:t xml:space="preserve">It is imperative that any moves to grow the international education industry, both on and off-shore, are suitable, simple and implementable. The </w:t>
      </w:r>
      <w:r w:rsidR="00DF10E9" w:rsidRPr="00212B48">
        <w:rPr>
          <w:sz w:val="23"/>
          <w:szCs w:val="23"/>
        </w:rPr>
        <w:t>identification</w:t>
      </w:r>
      <w:r w:rsidRPr="00212B48">
        <w:rPr>
          <w:sz w:val="23"/>
          <w:szCs w:val="23"/>
        </w:rPr>
        <w:t xml:space="preserve"> of barriers, as this paper is intended to do, </w:t>
      </w:r>
      <w:r w:rsidR="00DF10E9" w:rsidRPr="00212B48">
        <w:rPr>
          <w:sz w:val="23"/>
          <w:szCs w:val="23"/>
        </w:rPr>
        <w:t>has great</w:t>
      </w:r>
      <w:r w:rsidRPr="00212B48">
        <w:rPr>
          <w:sz w:val="23"/>
          <w:szCs w:val="23"/>
        </w:rPr>
        <w:t xml:space="preserve"> potential to assist in this process and to accurately and effectively target any proposed actions by government.  </w:t>
      </w:r>
    </w:p>
    <w:p w14:paraId="5DEF0399" w14:textId="77777777" w:rsidR="00705AF2" w:rsidRPr="00212B48" w:rsidRDefault="00705AF2" w:rsidP="00705AF2">
      <w:pPr>
        <w:rPr>
          <w:sz w:val="23"/>
          <w:szCs w:val="23"/>
        </w:rPr>
      </w:pPr>
      <w:r w:rsidRPr="00212B48">
        <w:rPr>
          <w:sz w:val="23"/>
          <w:szCs w:val="23"/>
        </w:rPr>
        <w:t xml:space="preserve">In order to address to questions posed by the Issues Paper, this submission will </w:t>
      </w:r>
      <w:r w:rsidR="00DF10E9" w:rsidRPr="00212B48">
        <w:rPr>
          <w:sz w:val="23"/>
          <w:szCs w:val="23"/>
        </w:rPr>
        <w:t>contextualise</w:t>
      </w:r>
      <w:r w:rsidRPr="00212B48">
        <w:rPr>
          <w:sz w:val="23"/>
          <w:szCs w:val="23"/>
        </w:rPr>
        <w:t xml:space="preserve"> the place </w:t>
      </w:r>
      <w:r w:rsidR="00876F09" w:rsidRPr="00212B48">
        <w:rPr>
          <w:sz w:val="23"/>
          <w:szCs w:val="23"/>
        </w:rPr>
        <w:t xml:space="preserve">of </w:t>
      </w:r>
      <w:r w:rsidRPr="00212B48">
        <w:rPr>
          <w:sz w:val="23"/>
          <w:szCs w:val="23"/>
        </w:rPr>
        <w:t>non-government schools within the international education industry</w:t>
      </w:r>
      <w:r w:rsidR="00121AAB" w:rsidRPr="00212B48">
        <w:rPr>
          <w:rStyle w:val="FootnoteReference"/>
          <w:sz w:val="23"/>
          <w:szCs w:val="23"/>
        </w:rPr>
        <w:footnoteReference w:id="1"/>
      </w:r>
      <w:r w:rsidRPr="00212B48">
        <w:rPr>
          <w:sz w:val="23"/>
          <w:szCs w:val="23"/>
        </w:rPr>
        <w:t>. We will then examine each of the barriers identified as hindering the non-government s</w:t>
      </w:r>
      <w:r w:rsidR="002542EB" w:rsidRPr="00212B48">
        <w:rPr>
          <w:sz w:val="23"/>
          <w:szCs w:val="23"/>
        </w:rPr>
        <w:t>c</w:t>
      </w:r>
      <w:r w:rsidRPr="00212B48">
        <w:rPr>
          <w:sz w:val="23"/>
          <w:szCs w:val="23"/>
        </w:rPr>
        <w:t>hools sector’s efforts to increase provision of education services. As t</w:t>
      </w:r>
      <w:r w:rsidR="002542EB" w:rsidRPr="00212B48">
        <w:rPr>
          <w:sz w:val="23"/>
          <w:szCs w:val="23"/>
        </w:rPr>
        <w:t xml:space="preserve">he non-government school sector’s contribution to services exports is almost entirely through on-shore </w:t>
      </w:r>
      <w:r w:rsidR="00DF10E9" w:rsidRPr="00212B48">
        <w:rPr>
          <w:sz w:val="23"/>
          <w:szCs w:val="23"/>
        </w:rPr>
        <w:t>provision, this</w:t>
      </w:r>
      <w:r w:rsidR="002542EB" w:rsidRPr="00212B48">
        <w:rPr>
          <w:sz w:val="23"/>
          <w:szCs w:val="23"/>
        </w:rPr>
        <w:t xml:space="preserve"> will be our f</w:t>
      </w:r>
      <w:r w:rsidR="00DF10E9" w:rsidRPr="00212B48">
        <w:rPr>
          <w:sz w:val="23"/>
          <w:szCs w:val="23"/>
        </w:rPr>
        <w:t>ocus but we will also</w:t>
      </w:r>
      <w:r w:rsidR="002542EB" w:rsidRPr="00212B48">
        <w:rPr>
          <w:sz w:val="23"/>
          <w:szCs w:val="23"/>
        </w:rPr>
        <w:t xml:space="preserve"> provide some </w:t>
      </w:r>
      <w:r w:rsidR="00DF10E9" w:rsidRPr="00212B48">
        <w:rPr>
          <w:sz w:val="23"/>
          <w:szCs w:val="23"/>
        </w:rPr>
        <w:t>comments</w:t>
      </w:r>
      <w:r w:rsidR="002542EB" w:rsidRPr="00212B48">
        <w:rPr>
          <w:sz w:val="23"/>
          <w:szCs w:val="23"/>
        </w:rPr>
        <w:t xml:space="preserve"> regarding off-shore provision.</w:t>
      </w:r>
    </w:p>
    <w:p w14:paraId="3569EADC" w14:textId="77777777" w:rsidR="00705AF2" w:rsidRPr="00705AF2" w:rsidRDefault="006537EC" w:rsidP="00705AF2">
      <w:pPr>
        <w:pStyle w:val="Heading1"/>
        <w:rPr>
          <w:rFonts w:ascii="Garamond" w:hAnsi="Garamond"/>
          <w:b/>
          <w:color w:val="auto"/>
          <w:sz w:val="28"/>
          <w:szCs w:val="28"/>
        </w:rPr>
      </w:pPr>
      <w:r>
        <w:rPr>
          <w:rFonts w:ascii="Garamond" w:hAnsi="Garamond"/>
          <w:b/>
          <w:color w:val="auto"/>
          <w:sz w:val="28"/>
          <w:szCs w:val="28"/>
        </w:rPr>
        <w:t>Non-government schools</w:t>
      </w:r>
      <w:r w:rsidR="00705AF2" w:rsidRPr="00705AF2">
        <w:rPr>
          <w:rFonts w:ascii="Garamond" w:hAnsi="Garamond"/>
          <w:b/>
          <w:color w:val="auto"/>
          <w:sz w:val="28"/>
          <w:szCs w:val="28"/>
        </w:rPr>
        <w:t xml:space="preserve"> and international education</w:t>
      </w:r>
    </w:p>
    <w:p w14:paraId="04BDF72F" w14:textId="210E0CEF" w:rsidR="00D62711" w:rsidRPr="00226545" w:rsidRDefault="006537EC" w:rsidP="00226545">
      <w:pPr>
        <w:rPr>
          <w:sz w:val="23"/>
          <w:szCs w:val="23"/>
        </w:rPr>
      </w:pPr>
      <w:r w:rsidRPr="00226545">
        <w:rPr>
          <w:sz w:val="23"/>
          <w:szCs w:val="23"/>
        </w:rPr>
        <w:t xml:space="preserve">Approximately 30% of all overseas students enrolled in the schools sector in Australia attend </w:t>
      </w:r>
      <w:r w:rsidR="00A53A0E">
        <w:rPr>
          <w:sz w:val="23"/>
          <w:szCs w:val="23"/>
        </w:rPr>
        <w:t>Independent</w:t>
      </w:r>
      <w:r w:rsidRPr="00226545">
        <w:rPr>
          <w:sz w:val="23"/>
          <w:szCs w:val="23"/>
        </w:rPr>
        <w:t xml:space="preserve"> schools. In 2014 there were some 5,700 overseas students enrolled at close to 340 </w:t>
      </w:r>
      <w:r w:rsidR="00A53A0E">
        <w:rPr>
          <w:sz w:val="23"/>
          <w:szCs w:val="23"/>
        </w:rPr>
        <w:t>Independent</w:t>
      </w:r>
      <w:r w:rsidRPr="00226545">
        <w:rPr>
          <w:sz w:val="23"/>
          <w:szCs w:val="23"/>
        </w:rPr>
        <w:t xml:space="preserve"> schools. ISCA estimates between 30-40% of all CRICOS registered providers in Australia are </w:t>
      </w:r>
      <w:r w:rsidR="00A53A0E">
        <w:rPr>
          <w:sz w:val="23"/>
          <w:szCs w:val="23"/>
        </w:rPr>
        <w:t>Independent</w:t>
      </w:r>
      <w:r w:rsidRPr="00226545">
        <w:rPr>
          <w:sz w:val="23"/>
          <w:szCs w:val="23"/>
        </w:rPr>
        <w:t xml:space="preserve"> schools that are individually registered and individually responsible for meeting compliance requirements. </w:t>
      </w:r>
      <w:r w:rsidR="00D62711">
        <w:rPr>
          <w:sz w:val="23"/>
          <w:szCs w:val="23"/>
        </w:rPr>
        <w:t xml:space="preserve">Catholic </w:t>
      </w:r>
      <w:r w:rsidR="00A53A0E">
        <w:rPr>
          <w:sz w:val="23"/>
          <w:szCs w:val="23"/>
        </w:rPr>
        <w:t xml:space="preserve">systemic </w:t>
      </w:r>
      <w:r w:rsidR="00D62711">
        <w:rPr>
          <w:sz w:val="23"/>
          <w:szCs w:val="23"/>
        </w:rPr>
        <w:t>schools enrol a further 10% of overseas students giving the non-government sector 40% of the overal</w:t>
      </w:r>
      <w:r w:rsidR="00A53A0E">
        <w:rPr>
          <w:sz w:val="23"/>
          <w:szCs w:val="23"/>
        </w:rPr>
        <w:t>l school-level overseas student</w:t>
      </w:r>
      <w:r w:rsidR="00D62711">
        <w:rPr>
          <w:sz w:val="23"/>
          <w:szCs w:val="23"/>
        </w:rPr>
        <w:t xml:space="preserve"> enrolments. </w:t>
      </w:r>
      <w:r w:rsidRPr="00226545">
        <w:rPr>
          <w:sz w:val="23"/>
          <w:szCs w:val="23"/>
        </w:rPr>
        <w:t xml:space="preserve">Some schools also have ELICOS centres attached to their institutions which may also be separately registered on CRICOS. </w:t>
      </w:r>
    </w:p>
    <w:p w14:paraId="7F669584" w14:textId="77777777" w:rsidR="00226545" w:rsidRPr="00226545" w:rsidRDefault="006537EC" w:rsidP="00226545">
      <w:pPr>
        <w:rPr>
          <w:sz w:val="23"/>
          <w:szCs w:val="23"/>
        </w:rPr>
      </w:pPr>
      <w:r w:rsidRPr="00226545">
        <w:rPr>
          <w:sz w:val="23"/>
          <w:szCs w:val="23"/>
        </w:rPr>
        <w:t xml:space="preserve">By contrast, state departments of education (enrolling approximately 60% of overseas school students overall) hold single provider registrations covering any number of state schools enrolling overseas students within a state. </w:t>
      </w:r>
    </w:p>
    <w:p w14:paraId="1D82F55F" w14:textId="38E7BEC4" w:rsidR="006537EC" w:rsidRPr="00226545" w:rsidRDefault="006537EC" w:rsidP="00226545">
      <w:pPr>
        <w:rPr>
          <w:sz w:val="23"/>
          <w:szCs w:val="23"/>
        </w:rPr>
      </w:pPr>
      <w:r w:rsidRPr="00226545">
        <w:rPr>
          <w:sz w:val="23"/>
          <w:szCs w:val="23"/>
        </w:rPr>
        <w:lastRenderedPageBreak/>
        <w:t xml:space="preserve">Overseas student enrolments in </w:t>
      </w:r>
      <w:r w:rsidR="00A53A0E">
        <w:rPr>
          <w:sz w:val="23"/>
          <w:szCs w:val="23"/>
        </w:rPr>
        <w:t>Independent</w:t>
      </w:r>
      <w:r w:rsidRPr="00226545">
        <w:rPr>
          <w:sz w:val="23"/>
          <w:szCs w:val="23"/>
        </w:rPr>
        <w:t xml:space="preserve"> schools vary from 1 to close to 200 overseas students. The median number of overseas students at an </w:t>
      </w:r>
      <w:r w:rsidR="00A53A0E">
        <w:rPr>
          <w:sz w:val="23"/>
          <w:szCs w:val="23"/>
        </w:rPr>
        <w:t>Independent</w:t>
      </w:r>
      <w:r w:rsidRPr="00226545">
        <w:rPr>
          <w:sz w:val="23"/>
          <w:szCs w:val="23"/>
        </w:rPr>
        <w:t xml:space="preserve"> school is 7 students. </w:t>
      </w:r>
    </w:p>
    <w:p w14:paraId="440C0046" w14:textId="439CCB9C" w:rsidR="00226545" w:rsidRDefault="006537EC" w:rsidP="00226545">
      <w:pPr>
        <w:rPr>
          <w:sz w:val="23"/>
          <w:szCs w:val="23"/>
        </w:rPr>
      </w:pPr>
      <w:r w:rsidRPr="00226545">
        <w:rPr>
          <w:sz w:val="23"/>
          <w:szCs w:val="23"/>
        </w:rPr>
        <w:t xml:space="preserve">This profile differs quite substantially from other sectors. For the vast majority of </w:t>
      </w:r>
      <w:r w:rsidR="00A53A0E">
        <w:rPr>
          <w:sz w:val="23"/>
          <w:szCs w:val="23"/>
        </w:rPr>
        <w:t>Independent</w:t>
      </w:r>
      <w:r w:rsidRPr="00226545">
        <w:rPr>
          <w:sz w:val="23"/>
          <w:szCs w:val="23"/>
        </w:rPr>
        <w:t xml:space="preserve"> schools, overseas students do not determine the school’s sustainability. Rather, overseas students provide a much valued international element and diversity to school populations. </w:t>
      </w:r>
    </w:p>
    <w:p w14:paraId="1B735134" w14:textId="77777777" w:rsidR="006537EC" w:rsidRPr="00226545" w:rsidRDefault="006537EC" w:rsidP="00226545">
      <w:pPr>
        <w:rPr>
          <w:sz w:val="23"/>
          <w:szCs w:val="23"/>
        </w:rPr>
      </w:pPr>
      <w:r w:rsidRPr="00226545">
        <w:rPr>
          <w:sz w:val="23"/>
          <w:szCs w:val="23"/>
        </w:rPr>
        <w:t xml:space="preserve">Since 2008, declines in overseas student enrolments in the schools sector have been most significant in non-government schools. In 2013 enrolments in the government schools sector grew for the first time in 4 years and continue to recover. However non-government school sector enrolments </w:t>
      </w:r>
      <w:r w:rsidR="00DF10E9">
        <w:rPr>
          <w:sz w:val="23"/>
          <w:szCs w:val="23"/>
        </w:rPr>
        <w:t>were</w:t>
      </w:r>
      <w:r w:rsidRPr="00226545">
        <w:rPr>
          <w:sz w:val="23"/>
          <w:szCs w:val="23"/>
        </w:rPr>
        <w:t xml:space="preserve"> still declining in 2014. </w:t>
      </w:r>
    </w:p>
    <w:p w14:paraId="31FEEE37" w14:textId="77777777" w:rsidR="00705AF2" w:rsidRPr="007B4061" w:rsidRDefault="006537EC" w:rsidP="006537EC">
      <w:pPr>
        <w:rPr>
          <w:rFonts w:asciiTheme="minorHAnsi" w:eastAsia="Times New Roman" w:hAnsiTheme="minorHAnsi" w:cs="Garamond"/>
          <w:b/>
          <w:bCs/>
          <w:lang w:eastAsia="en-AU"/>
        </w:rPr>
      </w:pPr>
      <w:r w:rsidRPr="007B4061">
        <w:rPr>
          <w:rFonts w:asciiTheme="minorHAnsi" w:eastAsia="Times New Roman" w:hAnsiTheme="minorHAnsi" w:cs="Garamond"/>
          <w:b/>
          <w:bCs/>
          <w:lang w:eastAsia="en-AU"/>
        </w:rPr>
        <w:t>Change in overseas student enrolments in the schools sector 2006-07 to 2013-14</w:t>
      </w:r>
    </w:p>
    <w:p w14:paraId="1C0581E9" w14:textId="77777777" w:rsidR="006537EC" w:rsidRDefault="00F65C28" w:rsidP="006537EC">
      <w:pPr>
        <w:rPr>
          <w:rFonts w:ascii="Garamond" w:eastAsia="Times New Roman" w:hAnsi="Garamond" w:cs="Garamond"/>
          <w:b/>
          <w:bCs/>
          <w:sz w:val="23"/>
          <w:szCs w:val="23"/>
          <w:lang w:eastAsia="en-AU"/>
        </w:rPr>
      </w:pPr>
      <w:r>
        <w:rPr>
          <w:rFonts w:ascii="Garamond" w:hAnsi="Garamond" w:cs="Garamond"/>
          <w:noProof/>
          <w:sz w:val="24"/>
          <w:szCs w:val="24"/>
          <w:lang w:eastAsia="en-AU"/>
        </w:rPr>
        <mc:AlternateContent>
          <mc:Choice Requires="wps">
            <w:drawing>
              <wp:anchor distT="0" distB="0" distL="114300" distR="114300" simplePos="0" relativeHeight="251659264" behindDoc="0" locked="0" layoutInCell="1" allowOverlap="1" wp14:anchorId="57CA97EB" wp14:editId="1232E984">
                <wp:simplePos x="0" y="0"/>
                <wp:positionH relativeFrom="column">
                  <wp:posOffset>381000</wp:posOffset>
                </wp:positionH>
                <wp:positionV relativeFrom="paragraph">
                  <wp:posOffset>1416685</wp:posOffset>
                </wp:positionV>
                <wp:extent cx="4895850" cy="1647825"/>
                <wp:effectExtent l="0" t="0" r="0" b="9525"/>
                <wp:wrapNone/>
                <wp:docPr id="1" name="Rectangle 1"/>
                <wp:cNvGraphicFramePr/>
                <a:graphic xmlns:a="http://schemas.openxmlformats.org/drawingml/2006/main">
                  <a:graphicData uri="http://schemas.microsoft.com/office/word/2010/wordprocessingShape">
                    <wps:wsp>
                      <wps:cNvSpPr/>
                      <wps:spPr>
                        <a:xfrm>
                          <a:off x="0" y="0"/>
                          <a:ext cx="4895850" cy="1647825"/>
                        </a:xfrm>
                        <a:prstGeom prst="rect">
                          <a:avLst/>
                        </a:prstGeom>
                        <a:solidFill>
                          <a:schemeClr val="accent2">
                            <a:lumMod val="20000"/>
                            <a:lumOff val="80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08AF9B" id="Rectangle 1" o:spid="_x0000_s1026" style="position:absolute;margin-left:30pt;margin-top:111.55pt;width:385.5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" fillcolor="#f2dbdb [661]" stroked="f" strokeweight="2pt">
                <v:fill opacity="14392f"/>
              </v:rect>
            </w:pict>
          </mc:Fallback>
        </mc:AlternateContent>
      </w:r>
      <w:r w:rsidR="00FE0F9A">
        <w:rPr>
          <w:rFonts w:ascii="Garamond" w:hAnsi="Garamond" w:cs="Garamond"/>
          <w:noProof/>
          <w:sz w:val="24"/>
          <w:szCs w:val="24"/>
          <w:lang w:eastAsia="en-AU"/>
        </w:rPr>
        <w:drawing>
          <wp:inline distT="0" distB="0" distL="0" distR="0" wp14:anchorId="46353569" wp14:editId="024EC96D">
            <wp:extent cx="5410200" cy="3467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743" cy="3476001"/>
                    </a:xfrm>
                    <a:prstGeom prst="rect">
                      <a:avLst/>
                    </a:prstGeom>
                    <a:noFill/>
                  </pic:spPr>
                </pic:pic>
              </a:graphicData>
            </a:graphic>
          </wp:inline>
        </w:drawing>
      </w:r>
    </w:p>
    <w:p w14:paraId="1A557787" w14:textId="77777777" w:rsidR="006537EC" w:rsidRPr="00212B48" w:rsidRDefault="006537EC" w:rsidP="006537EC">
      <w:pPr>
        <w:rPr>
          <w:rFonts w:ascii="Garamond" w:eastAsia="Times New Roman" w:hAnsi="Garamond" w:cs="Garamond"/>
          <w:b/>
          <w:bCs/>
          <w:sz w:val="23"/>
          <w:szCs w:val="23"/>
          <w:lang w:eastAsia="en-AU"/>
        </w:rPr>
      </w:pPr>
      <w:r w:rsidRPr="00212B48">
        <w:rPr>
          <w:sz w:val="23"/>
          <w:szCs w:val="23"/>
        </w:rPr>
        <w:t xml:space="preserve">There </w:t>
      </w:r>
      <w:r w:rsidR="00D95528" w:rsidRPr="00212B48">
        <w:rPr>
          <w:sz w:val="23"/>
          <w:szCs w:val="23"/>
        </w:rPr>
        <w:t>were</w:t>
      </w:r>
      <w:r w:rsidRPr="00212B48">
        <w:rPr>
          <w:sz w:val="23"/>
          <w:szCs w:val="23"/>
        </w:rPr>
        <w:t xml:space="preserve"> a range of reasons for the decline in the schools sector. Schools were caught up in the adverse media coverage overseas which focused on the private VET sector some years ago, and other factors commonly reported as influencing the rapid decline of overseas school student enrolments have been the continuing strength of the Australian dollar, and the relative ease of being granted visas to study in competitor countries.</w:t>
      </w:r>
    </w:p>
    <w:p w14:paraId="5BD72C24" w14:textId="3AD2A440" w:rsidR="006537EC" w:rsidRPr="00212B48" w:rsidRDefault="00D95528" w:rsidP="006537EC">
      <w:pPr>
        <w:rPr>
          <w:sz w:val="23"/>
          <w:szCs w:val="23"/>
        </w:rPr>
      </w:pPr>
      <w:r w:rsidRPr="00212B48">
        <w:rPr>
          <w:sz w:val="23"/>
          <w:szCs w:val="23"/>
        </w:rPr>
        <w:t>As noted above, n</w:t>
      </w:r>
      <w:r w:rsidR="00BE3F9E" w:rsidRPr="00212B48">
        <w:rPr>
          <w:sz w:val="23"/>
          <w:szCs w:val="23"/>
        </w:rPr>
        <w:t>on-government schools have a significantly different overseas student enrolment profile to that of the other education sectors. We have large numbers of CRICOS registered providers with relatively small numbers of students in each school. The enrolment of overseas students is therefore not a question of financial viability. Rather it is one of choice. Our schools choose to engage in this arena for a variety of reasons, but always for the cultural and educational benefit</w:t>
      </w:r>
      <w:r w:rsidR="00F65C28" w:rsidRPr="00212B48">
        <w:rPr>
          <w:sz w:val="23"/>
          <w:szCs w:val="23"/>
        </w:rPr>
        <w:t>s</w:t>
      </w:r>
      <w:r w:rsidR="00BE3F9E" w:rsidRPr="00212B48">
        <w:rPr>
          <w:sz w:val="23"/>
          <w:szCs w:val="23"/>
        </w:rPr>
        <w:t xml:space="preserve"> </w:t>
      </w:r>
      <w:r w:rsidR="00F65C28" w:rsidRPr="00212B48">
        <w:rPr>
          <w:sz w:val="23"/>
          <w:szCs w:val="23"/>
        </w:rPr>
        <w:t>to</w:t>
      </w:r>
      <w:r w:rsidR="00BE3F9E" w:rsidRPr="00212B48">
        <w:rPr>
          <w:sz w:val="23"/>
          <w:szCs w:val="23"/>
        </w:rPr>
        <w:t xml:space="preserve"> the school community and its members.</w:t>
      </w:r>
    </w:p>
    <w:p w14:paraId="68C54076" w14:textId="3DF411AD" w:rsidR="00705AF2" w:rsidRPr="00212B48" w:rsidRDefault="00D95528" w:rsidP="00E02361">
      <w:pPr>
        <w:rPr>
          <w:sz w:val="23"/>
          <w:szCs w:val="23"/>
        </w:rPr>
      </w:pPr>
      <w:r w:rsidRPr="00212B48">
        <w:rPr>
          <w:sz w:val="23"/>
          <w:szCs w:val="23"/>
        </w:rPr>
        <w:lastRenderedPageBreak/>
        <w:t xml:space="preserve">However, school level enrolments of international students provide an important element of internationalisation for many schools and are a significant part of the cultural landscape of many schools. Further, they are a valuable pipeline for higher education institutions providing </w:t>
      </w:r>
      <w:r w:rsidR="00F65C28" w:rsidRPr="00212B48">
        <w:rPr>
          <w:sz w:val="23"/>
          <w:szCs w:val="23"/>
        </w:rPr>
        <w:t xml:space="preserve">tertiary applicants </w:t>
      </w:r>
      <w:r w:rsidRPr="00212B48">
        <w:rPr>
          <w:sz w:val="23"/>
          <w:szCs w:val="23"/>
        </w:rPr>
        <w:t>who already have years’ experience in the Australian education system and in living in Australia.</w:t>
      </w:r>
    </w:p>
    <w:p w14:paraId="7246D178" w14:textId="77777777" w:rsidR="000D6D8D" w:rsidRDefault="002542EB" w:rsidP="00D1417E">
      <w:pPr>
        <w:pStyle w:val="Heading1"/>
        <w:rPr>
          <w:rFonts w:ascii="Garamond" w:hAnsi="Garamond"/>
          <w:b/>
          <w:color w:val="auto"/>
          <w:sz w:val="28"/>
          <w:szCs w:val="28"/>
        </w:rPr>
      </w:pPr>
      <w:r>
        <w:rPr>
          <w:rFonts w:ascii="Garamond" w:hAnsi="Garamond"/>
          <w:b/>
          <w:color w:val="auto"/>
          <w:sz w:val="28"/>
          <w:szCs w:val="28"/>
        </w:rPr>
        <w:t xml:space="preserve">Domestic </w:t>
      </w:r>
      <w:r w:rsidR="00E02361">
        <w:rPr>
          <w:rFonts w:ascii="Garamond" w:hAnsi="Garamond"/>
          <w:b/>
          <w:color w:val="auto"/>
          <w:sz w:val="28"/>
          <w:szCs w:val="28"/>
        </w:rPr>
        <w:t>Barriers</w:t>
      </w:r>
    </w:p>
    <w:p w14:paraId="21DEEA4C" w14:textId="77777777" w:rsidR="00E02361" w:rsidRDefault="00E02361" w:rsidP="000D6D8D">
      <w:pPr>
        <w:pStyle w:val="Heading2"/>
      </w:pPr>
      <w:r>
        <w:t>Complex regulatory framework</w:t>
      </w:r>
    </w:p>
    <w:p w14:paraId="7FCF2944" w14:textId="25390441" w:rsidR="00FE0F9A" w:rsidRPr="00FE0F9A" w:rsidRDefault="00226545" w:rsidP="00FE0F9A">
      <w:pPr>
        <w:rPr>
          <w:sz w:val="23"/>
          <w:szCs w:val="23"/>
        </w:rPr>
      </w:pPr>
      <w:r w:rsidRPr="00FE0F9A">
        <w:rPr>
          <w:sz w:val="23"/>
          <w:szCs w:val="23"/>
        </w:rPr>
        <w:t>As noted above, the Commonwealth Department of Education and Training is currently reviewing the ESOS Act and associated regulatory framework.</w:t>
      </w:r>
      <w:r w:rsidR="00FE0F9A" w:rsidRPr="00FE0F9A">
        <w:rPr>
          <w:sz w:val="23"/>
          <w:szCs w:val="23"/>
        </w:rPr>
        <w:t xml:space="preserve"> Changes made to the ESOS Act and associated framework since the Baird Review in in 2010 have meant that the government and non-government schools sectors are no longer treated as having the same level of risk, resulting in additional fees and charges (which are not incurred by government schools) and an increase in administrative burden and reporting which individual </w:t>
      </w:r>
      <w:r w:rsidR="00A53A0E">
        <w:rPr>
          <w:sz w:val="23"/>
          <w:szCs w:val="23"/>
        </w:rPr>
        <w:t>Independent</w:t>
      </w:r>
      <w:r w:rsidR="00FE0F9A" w:rsidRPr="00FE0F9A">
        <w:rPr>
          <w:sz w:val="23"/>
          <w:szCs w:val="23"/>
        </w:rPr>
        <w:t xml:space="preserve"> schools are not able to </w:t>
      </w:r>
      <w:r w:rsidR="00F65C28">
        <w:rPr>
          <w:sz w:val="23"/>
          <w:szCs w:val="23"/>
        </w:rPr>
        <w:t xml:space="preserve">resource </w:t>
      </w:r>
      <w:r w:rsidR="00FE0F9A" w:rsidRPr="00FE0F9A">
        <w:rPr>
          <w:sz w:val="23"/>
          <w:szCs w:val="23"/>
        </w:rPr>
        <w:t>on a systemic level as the government sector is able to do.</w:t>
      </w:r>
    </w:p>
    <w:p w14:paraId="496F16BB" w14:textId="77777777" w:rsidR="00226545" w:rsidRPr="007B4061" w:rsidRDefault="00FE0F9A" w:rsidP="00226545">
      <w:pPr>
        <w:rPr>
          <w:sz w:val="23"/>
          <w:szCs w:val="23"/>
        </w:rPr>
      </w:pPr>
      <w:r>
        <w:rPr>
          <w:sz w:val="23"/>
          <w:szCs w:val="23"/>
        </w:rPr>
        <w:t>Further, The Department has yet to provide a compelling basis for the differential treatment between the two sectors of schooling, placing the non-government sector at a competitive disadvantage.</w:t>
      </w:r>
      <w:r w:rsidR="000E2268">
        <w:rPr>
          <w:sz w:val="23"/>
          <w:szCs w:val="23"/>
        </w:rPr>
        <w:t xml:space="preserve"> </w:t>
      </w:r>
    </w:p>
    <w:p w14:paraId="45C7D5AE" w14:textId="77777777" w:rsidR="00BE3F9E" w:rsidRDefault="00BE3F9E" w:rsidP="00226545">
      <w:pPr>
        <w:rPr>
          <w:sz w:val="23"/>
          <w:szCs w:val="23"/>
        </w:rPr>
      </w:pPr>
      <w:r>
        <w:rPr>
          <w:sz w:val="23"/>
          <w:szCs w:val="23"/>
        </w:rPr>
        <w:t xml:space="preserve">In ISCA’s first submission to the Review in May 2014, </w:t>
      </w:r>
      <w:r w:rsidR="00FE0F9A">
        <w:rPr>
          <w:sz w:val="23"/>
          <w:szCs w:val="23"/>
        </w:rPr>
        <w:t>ISCA</w:t>
      </w:r>
      <w:r>
        <w:rPr>
          <w:sz w:val="23"/>
          <w:szCs w:val="23"/>
        </w:rPr>
        <w:t xml:space="preserve"> noted </w:t>
      </w:r>
      <w:r w:rsidR="000B089A">
        <w:rPr>
          <w:sz w:val="23"/>
          <w:szCs w:val="23"/>
        </w:rPr>
        <w:t>that</w:t>
      </w:r>
    </w:p>
    <w:p w14:paraId="1E5D5492" w14:textId="77777777" w:rsidR="000B089A" w:rsidRPr="007B4061" w:rsidRDefault="000B089A" w:rsidP="00226545">
      <w:pPr>
        <w:rPr>
          <w:rFonts w:ascii="Garamond" w:hAnsi="Garamond"/>
          <w:sz w:val="24"/>
          <w:szCs w:val="24"/>
        </w:rPr>
      </w:pPr>
      <w:r w:rsidRPr="007B4061">
        <w:rPr>
          <w:rFonts w:ascii="Garamond" w:hAnsi="Garamond"/>
          <w:sz w:val="24"/>
          <w:szCs w:val="24"/>
        </w:rPr>
        <w:t>“</w:t>
      </w:r>
      <w:r w:rsidR="00D95528" w:rsidRPr="007B4061">
        <w:rPr>
          <w:rFonts w:ascii="Garamond" w:hAnsi="Garamond"/>
          <w:sz w:val="24"/>
          <w:szCs w:val="24"/>
        </w:rPr>
        <w:t>…</w:t>
      </w:r>
      <w:r w:rsidR="00BE3F9E" w:rsidRPr="007B4061">
        <w:rPr>
          <w:rFonts w:ascii="Garamond" w:hAnsi="Garamond"/>
          <w:sz w:val="24"/>
          <w:szCs w:val="24"/>
        </w:rPr>
        <w:t xml:space="preserve">it is quite clear that it is the view of schools that there is significant overlap between domestic regulation and the ESOS framework. There is also a strong view that it is not understood that schools’ primary role is in the education of children and for this reason, they are not only subject to a range of other important legislation relating to child protection but that they, more than any other sector, have experience in caring for the well-being of under-18 year old students. Schools believe that this should be acknowledged, rather </w:t>
      </w:r>
      <w:r w:rsidRPr="007B4061">
        <w:rPr>
          <w:rFonts w:ascii="Garamond" w:hAnsi="Garamond"/>
          <w:sz w:val="24"/>
          <w:szCs w:val="24"/>
        </w:rPr>
        <w:t>than be viewed as a ‘risk’.”</w:t>
      </w:r>
      <w:r w:rsidR="00D95528" w:rsidRPr="007B4061">
        <w:rPr>
          <w:rStyle w:val="FootnoteReference"/>
          <w:rFonts w:ascii="Garamond" w:hAnsi="Garamond"/>
          <w:sz w:val="24"/>
          <w:szCs w:val="24"/>
        </w:rPr>
        <w:footnoteReference w:id="2"/>
      </w:r>
    </w:p>
    <w:p w14:paraId="7D822F24" w14:textId="77777777" w:rsidR="00226545" w:rsidRPr="00212B48" w:rsidRDefault="00FE0F9A" w:rsidP="00226545">
      <w:pPr>
        <w:rPr>
          <w:sz w:val="23"/>
          <w:szCs w:val="23"/>
        </w:rPr>
      </w:pPr>
      <w:r w:rsidRPr="00212B48">
        <w:rPr>
          <w:sz w:val="23"/>
          <w:szCs w:val="23"/>
        </w:rPr>
        <w:t xml:space="preserve">ISCA believes that </w:t>
      </w:r>
      <w:r w:rsidR="000B089A" w:rsidRPr="00212B48">
        <w:rPr>
          <w:sz w:val="23"/>
          <w:szCs w:val="23"/>
        </w:rPr>
        <w:t xml:space="preserve">there </w:t>
      </w:r>
      <w:r w:rsidRPr="00212B48">
        <w:rPr>
          <w:sz w:val="23"/>
          <w:szCs w:val="23"/>
        </w:rPr>
        <w:t>would be</w:t>
      </w:r>
      <w:r w:rsidR="000B089A" w:rsidRPr="00212B48">
        <w:rPr>
          <w:sz w:val="23"/>
          <w:szCs w:val="23"/>
        </w:rPr>
        <w:t xml:space="preserve"> significant benefit in the </w:t>
      </w:r>
      <w:r w:rsidR="00226545" w:rsidRPr="00212B48">
        <w:rPr>
          <w:sz w:val="23"/>
          <w:szCs w:val="23"/>
        </w:rPr>
        <w:t xml:space="preserve">greater use of existing state and territory domestic registration and regulatory frameworks </w:t>
      </w:r>
      <w:r w:rsidRPr="00212B48">
        <w:rPr>
          <w:sz w:val="23"/>
          <w:szCs w:val="23"/>
        </w:rPr>
        <w:t xml:space="preserve">for quality assurance purposes </w:t>
      </w:r>
      <w:r w:rsidR="00226545" w:rsidRPr="00212B48">
        <w:rPr>
          <w:sz w:val="23"/>
          <w:szCs w:val="23"/>
        </w:rPr>
        <w:t xml:space="preserve">and focussing on ESOS-specific requirements to reduce unnecessary duplication for the schools sector. For example, in the schools sector, most of the requirements for the National Code Part D Standards 9-12 are met by internal school policies and procedures. </w:t>
      </w:r>
    </w:p>
    <w:p w14:paraId="62A02B7E" w14:textId="3B5B5171" w:rsidR="00F65C28" w:rsidRPr="00212B48" w:rsidRDefault="00FE0F9A" w:rsidP="00226545">
      <w:pPr>
        <w:rPr>
          <w:sz w:val="23"/>
          <w:szCs w:val="23"/>
        </w:rPr>
      </w:pPr>
      <w:r w:rsidRPr="00212B48">
        <w:rPr>
          <w:sz w:val="23"/>
          <w:szCs w:val="23"/>
        </w:rPr>
        <w:t>Also in</w:t>
      </w:r>
      <w:r w:rsidR="00226545" w:rsidRPr="00212B48">
        <w:rPr>
          <w:sz w:val="23"/>
          <w:szCs w:val="23"/>
        </w:rPr>
        <w:t xml:space="preserve"> ISCA’s submission </w:t>
      </w:r>
      <w:r w:rsidRPr="00212B48">
        <w:rPr>
          <w:sz w:val="23"/>
          <w:szCs w:val="23"/>
        </w:rPr>
        <w:t>to the review in May 2014, ISCA</w:t>
      </w:r>
      <w:r w:rsidR="00DF10E9" w:rsidRPr="00212B48">
        <w:rPr>
          <w:sz w:val="23"/>
          <w:szCs w:val="23"/>
        </w:rPr>
        <w:t xml:space="preserve"> noted</w:t>
      </w:r>
      <w:r w:rsidRPr="00212B48">
        <w:rPr>
          <w:sz w:val="23"/>
          <w:szCs w:val="23"/>
        </w:rPr>
        <w:t xml:space="preserve"> that feedback from the sector is </w:t>
      </w:r>
      <w:r w:rsidR="00226545" w:rsidRPr="00212B48">
        <w:rPr>
          <w:sz w:val="23"/>
          <w:szCs w:val="23"/>
        </w:rPr>
        <w:t>that the current level of administration and reporting required is acting as a disincentive for non-government school providers to continue to enrol overseas students</w:t>
      </w:r>
      <w:r w:rsidRPr="00212B48">
        <w:rPr>
          <w:sz w:val="23"/>
          <w:szCs w:val="23"/>
        </w:rPr>
        <w:t xml:space="preserve">. Some state and territory Associations of Independent Schools have reported </w:t>
      </w:r>
      <w:r w:rsidR="00226545" w:rsidRPr="00212B48">
        <w:rPr>
          <w:sz w:val="23"/>
          <w:szCs w:val="23"/>
        </w:rPr>
        <w:t xml:space="preserve">that </w:t>
      </w:r>
      <w:r w:rsidRPr="00212B48">
        <w:rPr>
          <w:sz w:val="23"/>
          <w:szCs w:val="23"/>
        </w:rPr>
        <w:t>they a</w:t>
      </w:r>
      <w:r w:rsidR="00226545" w:rsidRPr="00212B48">
        <w:rPr>
          <w:sz w:val="23"/>
          <w:szCs w:val="23"/>
        </w:rPr>
        <w:t>re aware of schools that have let CRICOS registration lapse as a consequence</w:t>
      </w:r>
      <w:r w:rsidR="00226545" w:rsidRPr="00212B48">
        <w:rPr>
          <w:sz w:val="23"/>
          <w:szCs w:val="23"/>
          <w:vertAlign w:val="superscript"/>
        </w:rPr>
        <w:footnoteReference w:id="3"/>
      </w:r>
      <w:r w:rsidRPr="00212B48">
        <w:rPr>
          <w:sz w:val="23"/>
          <w:szCs w:val="23"/>
        </w:rPr>
        <w:t>. B</w:t>
      </w:r>
      <w:r w:rsidR="00226545" w:rsidRPr="00212B48">
        <w:rPr>
          <w:sz w:val="23"/>
          <w:szCs w:val="23"/>
        </w:rPr>
        <w:t xml:space="preserve">ecause the profile of overseas students </w:t>
      </w:r>
      <w:r w:rsidR="00226545" w:rsidRPr="00212B48">
        <w:rPr>
          <w:sz w:val="23"/>
          <w:szCs w:val="23"/>
        </w:rPr>
        <w:lastRenderedPageBreak/>
        <w:t xml:space="preserve">in the non-government schools sector is </w:t>
      </w:r>
      <w:r w:rsidRPr="00212B48">
        <w:rPr>
          <w:sz w:val="23"/>
          <w:szCs w:val="23"/>
        </w:rPr>
        <w:t>very</w:t>
      </w:r>
      <w:r w:rsidR="00226545" w:rsidRPr="00212B48">
        <w:rPr>
          <w:sz w:val="23"/>
          <w:szCs w:val="23"/>
        </w:rPr>
        <w:t xml:space="preserve"> different to other sectors, with most schools enrolling relatively small numbers of overseas students, </w:t>
      </w:r>
      <w:r w:rsidRPr="00212B48">
        <w:rPr>
          <w:sz w:val="23"/>
          <w:szCs w:val="23"/>
        </w:rPr>
        <w:t>the current regulatory environment</w:t>
      </w:r>
      <w:r w:rsidR="00226545" w:rsidRPr="00212B48">
        <w:rPr>
          <w:sz w:val="23"/>
          <w:szCs w:val="23"/>
        </w:rPr>
        <w:t xml:space="preserve"> creates a disproportionate workload on schools with li</w:t>
      </w:r>
      <w:r w:rsidRPr="00212B48">
        <w:rPr>
          <w:sz w:val="23"/>
          <w:szCs w:val="23"/>
        </w:rPr>
        <w:t>mited administrative resources.</w:t>
      </w:r>
    </w:p>
    <w:p w14:paraId="73A57FE6" w14:textId="39502C60" w:rsidR="00E02361" w:rsidRPr="00212B48" w:rsidRDefault="00F65C28" w:rsidP="00262BBC">
      <w:pPr>
        <w:rPr>
          <w:sz w:val="23"/>
          <w:szCs w:val="23"/>
        </w:rPr>
      </w:pPr>
      <w:r w:rsidRPr="00212B48">
        <w:rPr>
          <w:sz w:val="23"/>
          <w:szCs w:val="23"/>
        </w:rPr>
        <w:t xml:space="preserve">ISCA is concerned that </w:t>
      </w:r>
      <w:r w:rsidR="00241B7E" w:rsidRPr="00212B48">
        <w:rPr>
          <w:sz w:val="23"/>
          <w:szCs w:val="23"/>
        </w:rPr>
        <w:t xml:space="preserve">after </w:t>
      </w:r>
      <w:r w:rsidRPr="00212B48">
        <w:rPr>
          <w:sz w:val="23"/>
          <w:szCs w:val="23"/>
        </w:rPr>
        <w:t>the</w:t>
      </w:r>
      <w:r w:rsidR="00241B7E" w:rsidRPr="00212B48">
        <w:rPr>
          <w:sz w:val="23"/>
          <w:szCs w:val="23"/>
        </w:rPr>
        <w:t xml:space="preserve"> CRICOS registration renewal process </w:t>
      </w:r>
      <w:r w:rsidRPr="00212B48">
        <w:rPr>
          <w:sz w:val="23"/>
          <w:szCs w:val="23"/>
        </w:rPr>
        <w:t xml:space="preserve">currently underway </w:t>
      </w:r>
      <w:r w:rsidR="00064B36" w:rsidRPr="00212B48">
        <w:rPr>
          <w:sz w:val="23"/>
          <w:szCs w:val="23"/>
        </w:rPr>
        <w:t xml:space="preserve">(i.e., </w:t>
      </w:r>
      <w:r w:rsidRPr="00212B48">
        <w:rPr>
          <w:sz w:val="23"/>
          <w:szCs w:val="23"/>
        </w:rPr>
        <w:t>for institutions that had to be re-registered by the end of 201</w:t>
      </w:r>
      <w:r w:rsidR="00241B7E" w:rsidRPr="00212B48">
        <w:rPr>
          <w:sz w:val="23"/>
          <w:szCs w:val="23"/>
        </w:rPr>
        <w:t>0</w:t>
      </w:r>
      <w:r w:rsidR="00064B36" w:rsidRPr="00212B48">
        <w:rPr>
          <w:sz w:val="23"/>
          <w:szCs w:val="23"/>
        </w:rPr>
        <w:t>)</w:t>
      </w:r>
      <w:r w:rsidR="00241B7E" w:rsidRPr="00212B48">
        <w:rPr>
          <w:sz w:val="23"/>
          <w:szCs w:val="23"/>
        </w:rPr>
        <w:t xml:space="preserve"> is completed, there will be significantly fewer CRICOS registered non-government </w:t>
      </w:r>
      <w:r w:rsidR="00064B36" w:rsidRPr="00212B48">
        <w:rPr>
          <w:sz w:val="23"/>
          <w:szCs w:val="23"/>
        </w:rPr>
        <w:t xml:space="preserve">schools as a consequence of the </w:t>
      </w:r>
      <w:r w:rsidR="00241B7E" w:rsidRPr="00212B48">
        <w:rPr>
          <w:sz w:val="23"/>
          <w:szCs w:val="23"/>
        </w:rPr>
        <w:t xml:space="preserve">onerous regulatory approach taken in the past five years. </w:t>
      </w:r>
      <w:r w:rsidR="00E02361" w:rsidRPr="00212B48">
        <w:rPr>
          <w:sz w:val="23"/>
          <w:szCs w:val="23"/>
        </w:rPr>
        <w:t>Increased operating costs for schools</w:t>
      </w:r>
    </w:p>
    <w:p w14:paraId="2F2884F4" w14:textId="77777777" w:rsidR="00FA422D" w:rsidRDefault="00FA422D" w:rsidP="00D95528">
      <w:pPr>
        <w:pStyle w:val="Heading3"/>
      </w:pPr>
      <w:r>
        <w:t>Annual Registration Charge (ARC) calculation methodology</w:t>
      </w:r>
    </w:p>
    <w:p w14:paraId="40815BC8" w14:textId="77777777" w:rsidR="000B089A" w:rsidRPr="00212B48" w:rsidRDefault="000B089A" w:rsidP="00FA422D">
      <w:pPr>
        <w:rPr>
          <w:sz w:val="23"/>
          <w:szCs w:val="23"/>
        </w:rPr>
      </w:pPr>
      <w:r w:rsidRPr="00212B48">
        <w:rPr>
          <w:sz w:val="23"/>
          <w:szCs w:val="23"/>
        </w:rPr>
        <w:t>The revision of the ARC methodology in 20</w:t>
      </w:r>
      <w:r w:rsidR="00D95528" w:rsidRPr="00212B48">
        <w:rPr>
          <w:sz w:val="23"/>
          <w:szCs w:val="23"/>
        </w:rPr>
        <w:t>11</w:t>
      </w:r>
      <w:r w:rsidRPr="00212B48">
        <w:rPr>
          <w:sz w:val="23"/>
          <w:szCs w:val="23"/>
        </w:rPr>
        <w:t xml:space="preserve"> which increased the flat rate component and decreased the per-student component disproportionately impacted on the non-government school sector while at the same time resulting in lower fees for institutions enrolling larger numbers of students.</w:t>
      </w:r>
      <w:r w:rsidR="002F1019" w:rsidRPr="00212B48">
        <w:rPr>
          <w:sz w:val="23"/>
          <w:szCs w:val="23"/>
        </w:rPr>
        <w:t xml:space="preserve"> For example, the government schools sector is now contributing a third less to overall ARC funds than pre-TPS, whilst the overall contribution of the non-government schools sector has doubled.  </w:t>
      </w:r>
    </w:p>
    <w:p w14:paraId="3DAAEB03" w14:textId="18810951" w:rsidR="00D95528" w:rsidRPr="00212B48" w:rsidRDefault="00D95528" w:rsidP="00D95528">
      <w:pPr>
        <w:rPr>
          <w:sz w:val="23"/>
          <w:szCs w:val="23"/>
        </w:rPr>
      </w:pPr>
      <w:r w:rsidRPr="00212B48">
        <w:rPr>
          <w:sz w:val="23"/>
          <w:szCs w:val="23"/>
        </w:rPr>
        <w:t xml:space="preserve">ISCA calculations show that in every scenario, schools with small numbers of overseas students have been financially disadvantaged. Schools with 13 or fewer overseas students are paying at least double what they were paying previously in annual registration charges. A non-government school with only one course registered would have to have at least 50 overseas students enrolled in a year to benefit from a reduction in the annual registration charge. Schools with fewer than 50 overseas students make up 87% of the total number of CRICOS registered </w:t>
      </w:r>
      <w:r w:rsidR="00A53A0E">
        <w:rPr>
          <w:sz w:val="23"/>
          <w:szCs w:val="23"/>
        </w:rPr>
        <w:t>Independent</w:t>
      </w:r>
      <w:r w:rsidRPr="00212B48">
        <w:rPr>
          <w:sz w:val="23"/>
          <w:szCs w:val="23"/>
        </w:rPr>
        <w:t xml:space="preserve"> schools. This increased cost to non-government schools is mostly attributable to the introduction of the much higher ‘flat fee’ of $1,300.</w:t>
      </w:r>
    </w:p>
    <w:p w14:paraId="6106A662" w14:textId="701327F1" w:rsidR="00376E5B" w:rsidRPr="00212B48" w:rsidRDefault="005E0F58" w:rsidP="00376E5B">
      <w:pPr>
        <w:rPr>
          <w:sz w:val="23"/>
          <w:szCs w:val="23"/>
        </w:rPr>
      </w:pPr>
      <w:r w:rsidRPr="00212B48">
        <w:rPr>
          <w:sz w:val="23"/>
          <w:szCs w:val="23"/>
        </w:rPr>
        <w:t xml:space="preserve">Using TPS figures for 2015 ARC </w:t>
      </w:r>
      <w:r w:rsidR="00376E5B" w:rsidRPr="00212B48">
        <w:rPr>
          <w:sz w:val="23"/>
          <w:szCs w:val="23"/>
        </w:rPr>
        <w:t xml:space="preserve">for the each sector, ISCA calculates that non-government schools are contributing 12% of </w:t>
      </w:r>
      <w:r w:rsidR="002F1019" w:rsidRPr="00212B48">
        <w:rPr>
          <w:sz w:val="23"/>
          <w:szCs w:val="23"/>
        </w:rPr>
        <w:t xml:space="preserve">the total </w:t>
      </w:r>
      <w:r w:rsidR="00376E5B" w:rsidRPr="00212B48">
        <w:rPr>
          <w:sz w:val="23"/>
          <w:szCs w:val="23"/>
        </w:rPr>
        <w:t xml:space="preserve">ARC income whilst enrolling 1% of international students. </w:t>
      </w:r>
      <w:r w:rsidRPr="00212B48">
        <w:rPr>
          <w:sz w:val="23"/>
          <w:szCs w:val="23"/>
        </w:rPr>
        <w:t>(</w:t>
      </w:r>
      <w:r w:rsidR="00376E5B" w:rsidRPr="00212B48">
        <w:rPr>
          <w:sz w:val="23"/>
          <w:szCs w:val="23"/>
        </w:rPr>
        <w:t>See Attachment 1.</w:t>
      </w:r>
      <w:r w:rsidRPr="00212B48">
        <w:rPr>
          <w:sz w:val="23"/>
          <w:szCs w:val="23"/>
        </w:rPr>
        <w:t>)</w:t>
      </w:r>
    </w:p>
    <w:p w14:paraId="7D37A4D4" w14:textId="51848131" w:rsidR="00376E5B" w:rsidRPr="00212B48" w:rsidRDefault="00376E5B" w:rsidP="00D95528">
      <w:pPr>
        <w:rPr>
          <w:sz w:val="23"/>
          <w:szCs w:val="23"/>
        </w:rPr>
      </w:pPr>
      <w:r w:rsidRPr="00212B48">
        <w:rPr>
          <w:sz w:val="23"/>
          <w:szCs w:val="23"/>
        </w:rPr>
        <w:t xml:space="preserve">With ARC income going to the commonwealth, and schools coming primarily under the jurisdiction of the state and territory regulatory designated authorities, it has never been satisfactorily explained how the </w:t>
      </w:r>
      <w:r w:rsidR="00262BBC" w:rsidRPr="00212B48">
        <w:rPr>
          <w:sz w:val="23"/>
          <w:szCs w:val="23"/>
        </w:rPr>
        <w:t xml:space="preserve">$2 million </w:t>
      </w:r>
      <w:r w:rsidRPr="00212B48">
        <w:rPr>
          <w:sz w:val="23"/>
          <w:szCs w:val="23"/>
        </w:rPr>
        <w:t xml:space="preserve">raised from the non-government schools sector by the ARC </w:t>
      </w:r>
      <w:r w:rsidR="002F1019" w:rsidRPr="00212B48">
        <w:rPr>
          <w:sz w:val="23"/>
          <w:szCs w:val="23"/>
        </w:rPr>
        <w:t xml:space="preserve">is being </w:t>
      </w:r>
      <w:r w:rsidRPr="00212B48">
        <w:rPr>
          <w:sz w:val="23"/>
          <w:szCs w:val="23"/>
        </w:rPr>
        <w:t xml:space="preserve">used </w:t>
      </w:r>
      <w:r w:rsidR="002F1019" w:rsidRPr="00212B48">
        <w:rPr>
          <w:sz w:val="23"/>
          <w:szCs w:val="23"/>
        </w:rPr>
        <w:t xml:space="preserve">by the ESOS regulator </w:t>
      </w:r>
      <w:r w:rsidRPr="00212B48">
        <w:rPr>
          <w:sz w:val="23"/>
          <w:szCs w:val="23"/>
        </w:rPr>
        <w:t xml:space="preserve">to enhance compliance in the sector. </w:t>
      </w:r>
    </w:p>
    <w:p w14:paraId="5ABB583E" w14:textId="77777777" w:rsidR="00FA422D" w:rsidRPr="00D95528" w:rsidRDefault="00FA422D" w:rsidP="00D95528">
      <w:pPr>
        <w:pStyle w:val="Heading3"/>
      </w:pPr>
      <w:r w:rsidRPr="00D95528">
        <w:t>Entry to Market Charge</w:t>
      </w:r>
    </w:p>
    <w:p w14:paraId="60352CD8" w14:textId="77777777" w:rsidR="00FA422D" w:rsidRPr="00212B48" w:rsidRDefault="00D95528" w:rsidP="00FA422D">
      <w:pPr>
        <w:rPr>
          <w:sz w:val="23"/>
          <w:szCs w:val="23"/>
        </w:rPr>
      </w:pPr>
      <w:r w:rsidRPr="00212B48">
        <w:rPr>
          <w:sz w:val="23"/>
          <w:szCs w:val="23"/>
        </w:rPr>
        <w:t>In addition to the</w:t>
      </w:r>
      <w:r w:rsidR="00FA422D" w:rsidRPr="00212B48">
        <w:rPr>
          <w:sz w:val="23"/>
          <w:szCs w:val="23"/>
        </w:rPr>
        <w:t xml:space="preserve"> rebasing of the ARC, the Department of Education and Training introduced a $15,000 Entry to Market charge for any provider, regardless of sector. This is a particular concern for the non-government school sector which is typified by</w:t>
      </w:r>
    </w:p>
    <w:p w14:paraId="73065101" w14:textId="77777777" w:rsidR="00FA422D" w:rsidRPr="00212B48" w:rsidRDefault="00FA422D" w:rsidP="007B4061">
      <w:pPr>
        <w:pStyle w:val="ListParagraph"/>
        <w:numPr>
          <w:ilvl w:val="0"/>
          <w:numId w:val="38"/>
        </w:numPr>
        <w:rPr>
          <w:sz w:val="23"/>
          <w:szCs w:val="23"/>
        </w:rPr>
      </w:pPr>
      <w:r w:rsidRPr="00212B48">
        <w:rPr>
          <w:sz w:val="23"/>
          <w:szCs w:val="23"/>
        </w:rPr>
        <w:t>Small cohorts of international students on-shore</w:t>
      </w:r>
    </w:p>
    <w:p w14:paraId="545E7AD7" w14:textId="77777777" w:rsidR="00FA422D" w:rsidRPr="00212B48" w:rsidRDefault="00FA422D" w:rsidP="007B4061">
      <w:pPr>
        <w:pStyle w:val="ListParagraph"/>
        <w:numPr>
          <w:ilvl w:val="0"/>
          <w:numId w:val="38"/>
        </w:numPr>
        <w:rPr>
          <w:sz w:val="23"/>
          <w:szCs w:val="23"/>
        </w:rPr>
      </w:pPr>
      <w:r w:rsidRPr="00212B48">
        <w:rPr>
          <w:sz w:val="23"/>
          <w:szCs w:val="23"/>
        </w:rPr>
        <w:t>Schools which have been in operation for many years, prior to obtaining CRICOS registration.</w:t>
      </w:r>
    </w:p>
    <w:p w14:paraId="479B5E1A" w14:textId="53C32DEC" w:rsidR="00FA422D" w:rsidRPr="00212B48" w:rsidRDefault="00FA422D" w:rsidP="00FA422D">
      <w:pPr>
        <w:rPr>
          <w:sz w:val="23"/>
          <w:szCs w:val="23"/>
        </w:rPr>
      </w:pPr>
      <w:r w:rsidRPr="00212B48">
        <w:rPr>
          <w:sz w:val="23"/>
          <w:szCs w:val="23"/>
        </w:rPr>
        <w:lastRenderedPageBreak/>
        <w:t xml:space="preserve">It is ISCA’s contention </w:t>
      </w:r>
      <w:r w:rsidR="00226545" w:rsidRPr="00212B48">
        <w:rPr>
          <w:sz w:val="23"/>
          <w:szCs w:val="23"/>
        </w:rPr>
        <w:t xml:space="preserve">that this charge not only acts as a disincentive for schools to become CRICOS registered, but also stops schools which may have once had </w:t>
      </w:r>
      <w:r w:rsidR="002D656F" w:rsidRPr="00212B48">
        <w:rPr>
          <w:sz w:val="23"/>
          <w:szCs w:val="23"/>
        </w:rPr>
        <w:t xml:space="preserve">CRICOS </w:t>
      </w:r>
      <w:r w:rsidR="00226545" w:rsidRPr="00212B48">
        <w:rPr>
          <w:sz w:val="23"/>
          <w:szCs w:val="23"/>
        </w:rPr>
        <w:t>registration, re-engaging in this area of activity.</w:t>
      </w:r>
    </w:p>
    <w:p w14:paraId="2E75D6AD" w14:textId="01C5A8C8" w:rsidR="000B089A" w:rsidRPr="00212B48" w:rsidRDefault="00226545" w:rsidP="00FA422D">
      <w:pPr>
        <w:rPr>
          <w:sz w:val="23"/>
          <w:szCs w:val="23"/>
        </w:rPr>
      </w:pPr>
      <w:r w:rsidRPr="00212B48">
        <w:rPr>
          <w:sz w:val="23"/>
          <w:szCs w:val="23"/>
        </w:rPr>
        <w:t>In our submission to the ESOS Review Discussion Paper in October 2014, ISCA supported the recommendation that providers</w:t>
      </w:r>
      <w:r w:rsidR="00FA422D" w:rsidRPr="00212B48">
        <w:rPr>
          <w:sz w:val="23"/>
          <w:szCs w:val="23"/>
        </w:rPr>
        <w:t xml:space="preserve"> with an appropriate history of education provision and CRICOS registration, and no adverse compliance record be exempt from the Entry to Market Charge. </w:t>
      </w:r>
    </w:p>
    <w:p w14:paraId="79B96C68" w14:textId="753431FA" w:rsidR="00FA422D" w:rsidRPr="00212B48" w:rsidRDefault="00226545" w:rsidP="00FA422D">
      <w:pPr>
        <w:rPr>
          <w:sz w:val="23"/>
          <w:szCs w:val="23"/>
        </w:rPr>
      </w:pPr>
      <w:r w:rsidRPr="00212B48">
        <w:rPr>
          <w:sz w:val="23"/>
          <w:szCs w:val="23"/>
        </w:rPr>
        <w:t xml:space="preserve">However, we also regard </w:t>
      </w:r>
      <w:r w:rsidR="000B089A" w:rsidRPr="00212B48">
        <w:rPr>
          <w:sz w:val="23"/>
          <w:szCs w:val="23"/>
        </w:rPr>
        <w:t xml:space="preserve">this charge </w:t>
      </w:r>
      <w:r w:rsidRPr="00212B48">
        <w:rPr>
          <w:sz w:val="23"/>
          <w:szCs w:val="23"/>
        </w:rPr>
        <w:t xml:space="preserve">as inappropriate for institutions which may be seeking to enrol </w:t>
      </w:r>
      <w:r w:rsidR="002D656F" w:rsidRPr="00212B48">
        <w:rPr>
          <w:sz w:val="23"/>
          <w:szCs w:val="23"/>
        </w:rPr>
        <w:t xml:space="preserve">only </w:t>
      </w:r>
      <w:r w:rsidRPr="00212B48">
        <w:rPr>
          <w:sz w:val="23"/>
          <w:szCs w:val="23"/>
        </w:rPr>
        <w:t>very small numbers of overseas students at any one time.</w:t>
      </w:r>
      <w:r w:rsidR="000B089A" w:rsidRPr="00212B48">
        <w:rPr>
          <w:sz w:val="23"/>
          <w:szCs w:val="23"/>
        </w:rPr>
        <w:t xml:space="preserve"> It also ignores that fact that in the non-government schools sector, schools generally become CRICOS registered once they have been in operation </w:t>
      </w:r>
      <w:r w:rsidR="002D656F" w:rsidRPr="00212B48">
        <w:rPr>
          <w:sz w:val="23"/>
          <w:szCs w:val="23"/>
        </w:rPr>
        <w:t xml:space="preserve">and </w:t>
      </w:r>
      <w:r w:rsidR="000B089A" w:rsidRPr="00212B48">
        <w:rPr>
          <w:sz w:val="23"/>
          <w:szCs w:val="23"/>
        </w:rPr>
        <w:t>enrolling domestic students</w:t>
      </w:r>
      <w:r w:rsidR="002D656F" w:rsidRPr="00212B48">
        <w:rPr>
          <w:sz w:val="23"/>
          <w:szCs w:val="23"/>
        </w:rPr>
        <w:t xml:space="preserve"> for some time</w:t>
      </w:r>
      <w:r w:rsidR="000B089A" w:rsidRPr="00212B48">
        <w:rPr>
          <w:sz w:val="23"/>
          <w:szCs w:val="23"/>
        </w:rPr>
        <w:t>.</w:t>
      </w:r>
    </w:p>
    <w:p w14:paraId="5980CF82" w14:textId="4CB631B5" w:rsidR="00226545" w:rsidRPr="00212B48" w:rsidRDefault="00226545" w:rsidP="00FA422D">
      <w:pPr>
        <w:rPr>
          <w:sz w:val="23"/>
          <w:szCs w:val="23"/>
        </w:rPr>
      </w:pPr>
      <w:r w:rsidRPr="00212B48">
        <w:rPr>
          <w:sz w:val="23"/>
          <w:szCs w:val="23"/>
        </w:rPr>
        <w:t xml:space="preserve">The flat rate does </w:t>
      </w:r>
      <w:r w:rsidR="00EC4591">
        <w:rPr>
          <w:sz w:val="23"/>
          <w:szCs w:val="23"/>
        </w:rPr>
        <w:t xml:space="preserve">not </w:t>
      </w:r>
      <w:r w:rsidRPr="00212B48">
        <w:rPr>
          <w:sz w:val="23"/>
          <w:szCs w:val="23"/>
        </w:rPr>
        <w:t>recognise or allow for the diversity of provider that exists within the industry.</w:t>
      </w:r>
    </w:p>
    <w:p w14:paraId="3DA5A6A3" w14:textId="77777777" w:rsidR="00FA422D" w:rsidRDefault="007B4061" w:rsidP="007B4061">
      <w:pPr>
        <w:pStyle w:val="Heading3"/>
      </w:pPr>
      <w:r>
        <w:t>Tuition Protection Scheme Levy</w:t>
      </w:r>
    </w:p>
    <w:p w14:paraId="16F69116" w14:textId="5F26914C" w:rsidR="00FA422D" w:rsidRPr="00212B48" w:rsidRDefault="00FA422D" w:rsidP="00FA422D">
      <w:pPr>
        <w:rPr>
          <w:sz w:val="23"/>
          <w:szCs w:val="23"/>
        </w:rPr>
      </w:pPr>
      <w:r w:rsidRPr="00212B48">
        <w:rPr>
          <w:sz w:val="23"/>
          <w:szCs w:val="23"/>
        </w:rPr>
        <w:t xml:space="preserve">Recent calculations undertaken by the TPS secretariat which </w:t>
      </w:r>
      <w:r w:rsidR="002D656F" w:rsidRPr="00212B48">
        <w:rPr>
          <w:sz w:val="23"/>
          <w:szCs w:val="23"/>
        </w:rPr>
        <w:t xml:space="preserve">were </w:t>
      </w:r>
      <w:r w:rsidRPr="00212B48">
        <w:rPr>
          <w:sz w:val="23"/>
          <w:szCs w:val="23"/>
        </w:rPr>
        <w:t xml:space="preserve">presented publicly as part of the 2015 Provider Information Sessions show that of all the sectors, following the rebasing of the ARC and the introduction of the TPS, the non-government school sector is the </w:t>
      </w:r>
      <w:r w:rsidRPr="00212B48">
        <w:rPr>
          <w:b/>
          <w:sz w:val="23"/>
          <w:szCs w:val="23"/>
        </w:rPr>
        <w:t>only</w:t>
      </w:r>
      <w:r w:rsidRPr="00212B48">
        <w:rPr>
          <w:sz w:val="23"/>
          <w:szCs w:val="23"/>
        </w:rPr>
        <w:t xml:space="preserve"> sector which is paying </w:t>
      </w:r>
      <w:r w:rsidRPr="00212B48">
        <w:rPr>
          <w:b/>
          <w:sz w:val="23"/>
          <w:szCs w:val="23"/>
        </w:rPr>
        <w:t xml:space="preserve">more </w:t>
      </w:r>
      <w:r w:rsidRPr="00212B48">
        <w:rPr>
          <w:sz w:val="23"/>
          <w:szCs w:val="23"/>
        </w:rPr>
        <w:t xml:space="preserve">in fees and charges merely to provide education service to overseas students on-shore. </w:t>
      </w:r>
      <w:r w:rsidR="00CE2E2D" w:rsidRPr="00212B48">
        <w:rPr>
          <w:sz w:val="23"/>
          <w:szCs w:val="23"/>
        </w:rPr>
        <w:t xml:space="preserve">Using the TPS current calculations of combined ARC and TPS charges for 2015 for each sector, and YTD PRISMS Enrolment data for 2014, </w:t>
      </w:r>
      <w:r w:rsidR="00376E5B" w:rsidRPr="00212B48">
        <w:rPr>
          <w:sz w:val="23"/>
          <w:szCs w:val="23"/>
        </w:rPr>
        <w:t xml:space="preserve">ISCA calculates </w:t>
      </w:r>
      <w:r w:rsidR="00CE2E2D" w:rsidRPr="00212B48">
        <w:rPr>
          <w:sz w:val="23"/>
          <w:szCs w:val="23"/>
        </w:rPr>
        <w:t xml:space="preserve">that non-government schools are contributing 10% of the total </w:t>
      </w:r>
      <w:r w:rsidR="002F1CF4" w:rsidRPr="00212B48">
        <w:rPr>
          <w:sz w:val="23"/>
          <w:szCs w:val="23"/>
        </w:rPr>
        <w:t>amount levied on industry for ARC and TPS charges, whilst enrolling 1% of international students.</w:t>
      </w:r>
      <w:r w:rsidR="00C26FB6" w:rsidRPr="00212B48">
        <w:rPr>
          <w:sz w:val="23"/>
          <w:szCs w:val="23"/>
        </w:rPr>
        <w:t xml:space="preserve"> (</w:t>
      </w:r>
      <w:r w:rsidR="000B089A" w:rsidRPr="00212B48">
        <w:rPr>
          <w:sz w:val="23"/>
          <w:szCs w:val="23"/>
        </w:rPr>
        <w:t xml:space="preserve">See Attachment </w:t>
      </w:r>
      <w:r w:rsidRPr="00212B48">
        <w:rPr>
          <w:sz w:val="23"/>
          <w:szCs w:val="23"/>
        </w:rPr>
        <w:t>1</w:t>
      </w:r>
      <w:r w:rsidR="00C26FB6" w:rsidRPr="00212B48">
        <w:rPr>
          <w:sz w:val="23"/>
          <w:szCs w:val="23"/>
        </w:rPr>
        <w:t xml:space="preserve">). </w:t>
      </w:r>
      <w:r w:rsidR="00CE2E2D" w:rsidRPr="00212B48">
        <w:rPr>
          <w:sz w:val="23"/>
          <w:szCs w:val="23"/>
        </w:rPr>
        <w:t>This is despite a low risk profile, particularly in comparison to some other sectors.</w:t>
      </w:r>
      <w:r w:rsidR="002F1CF4" w:rsidRPr="00212B48">
        <w:rPr>
          <w:sz w:val="23"/>
          <w:szCs w:val="23"/>
        </w:rPr>
        <w:t xml:space="preserve"> How can this not be a barrier to export of servi</w:t>
      </w:r>
      <w:r w:rsidR="00C4005F" w:rsidRPr="00212B48">
        <w:rPr>
          <w:sz w:val="23"/>
          <w:szCs w:val="23"/>
        </w:rPr>
        <w:t>c</w:t>
      </w:r>
      <w:r w:rsidR="002F1CF4" w:rsidRPr="00212B48">
        <w:rPr>
          <w:sz w:val="23"/>
          <w:szCs w:val="23"/>
        </w:rPr>
        <w:t>es?</w:t>
      </w:r>
    </w:p>
    <w:p w14:paraId="0C28B29E" w14:textId="77777777" w:rsidR="005E0F58" w:rsidRPr="00212B48" w:rsidRDefault="00FA422D" w:rsidP="00FA422D">
      <w:pPr>
        <w:rPr>
          <w:sz w:val="23"/>
          <w:szCs w:val="23"/>
        </w:rPr>
      </w:pPr>
      <w:r w:rsidRPr="00212B48">
        <w:rPr>
          <w:sz w:val="23"/>
          <w:szCs w:val="23"/>
        </w:rPr>
        <w:t>It is ISCA’s view that given the sector’s previous exemption from the financial requirements of the ESOS Act</w:t>
      </w:r>
      <w:r w:rsidR="003D2AEA" w:rsidRPr="00212B48">
        <w:rPr>
          <w:rStyle w:val="FootnoteReference"/>
          <w:sz w:val="23"/>
          <w:szCs w:val="23"/>
        </w:rPr>
        <w:footnoteReference w:id="4"/>
      </w:r>
      <w:r w:rsidRPr="00212B48">
        <w:rPr>
          <w:sz w:val="23"/>
          <w:szCs w:val="23"/>
        </w:rPr>
        <w:t xml:space="preserve">, and the sector’s overall good risk ratings, that the non-government schools sector should </w:t>
      </w:r>
      <w:r w:rsidR="00376E5B" w:rsidRPr="00212B48">
        <w:rPr>
          <w:sz w:val="23"/>
          <w:szCs w:val="23"/>
        </w:rPr>
        <w:t xml:space="preserve">at least </w:t>
      </w:r>
      <w:r w:rsidRPr="00212B48">
        <w:rPr>
          <w:sz w:val="23"/>
          <w:szCs w:val="23"/>
        </w:rPr>
        <w:t>be treated in the same way as the government schools sector i</w:t>
      </w:r>
      <w:r w:rsidR="000B089A" w:rsidRPr="00212B48">
        <w:rPr>
          <w:sz w:val="23"/>
          <w:szCs w:val="23"/>
        </w:rPr>
        <w:t>.</w:t>
      </w:r>
      <w:r w:rsidRPr="00212B48">
        <w:rPr>
          <w:sz w:val="23"/>
          <w:szCs w:val="23"/>
        </w:rPr>
        <w:t>e</w:t>
      </w:r>
      <w:r w:rsidR="000B089A" w:rsidRPr="00212B48">
        <w:rPr>
          <w:sz w:val="23"/>
          <w:szCs w:val="23"/>
        </w:rPr>
        <w:t>.</w:t>
      </w:r>
      <w:r w:rsidRPr="00212B48">
        <w:rPr>
          <w:sz w:val="23"/>
          <w:szCs w:val="23"/>
        </w:rPr>
        <w:t xml:space="preserve"> exempt from paying the risk component of the TPS levy.</w:t>
      </w:r>
      <w:r w:rsidR="00376E5B" w:rsidRPr="00212B48">
        <w:rPr>
          <w:sz w:val="23"/>
          <w:szCs w:val="23"/>
        </w:rPr>
        <w:t xml:space="preserve">  </w:t>
      </w:r>
    </w:p>
    <w:p w14:paraId="1058FEAA" w14:textId="77777777" w:rsidR="000B089A" w:rsidRPr="00212B48" w:rsidRDefault="005E0F58" w:rsidP="00FA422D">
      <w:pPr>
        <w:rPr>
          <w:sz w:val="23"/>
          <w:szCs w:val="23"/>
        </w:rPr>
      </w:pPr>
      <w:r w:rsidRPr="00212B48">
        <w:rPr>
          <w:sz w:val="23"/>
          <w:szCs w:val="23"/>
        </w:rPr>
        <w:t xml:space="preserve">Overall, the </w:t>
      </w:r>
      <w:r w:rsidR="00376E5B" w:rsidRPr="00212B48">
        <w:rPr>
          <w:sz w:val="23"/>
          <w:szCs w:val="23"/>
        </w:rPr>
        <w:t xml:space="preserve">disproportionate </w:t>
      </w:r>
      <w:r w:rsidRPr="00212B48">
        <w:rPr>
          <w:sz w:val="23"/>
          <w:szCs w:val="23"/>
        </w:rPr>
        <w:t xml:space="preserve">combined </w:t>
      </w:r>
      <w:r w:rsidR="00376E5B" w:rsidRPr="00212B48">
        <w:rPr>
          <w:sz w:val="23"/>
          <w:szCs w:val="23"/>
        </w:rPr>
        <w:t xml:space="preserve">impost of </w:t>
      </w:r>
      <w:r w:rsidR="001E3142" w:rsidRPr="00212B48">
        <w:rPr>
          <w:sz w:val="23"/>
          <w:szCs w:val="23"/>
        </w:rPr>
        <w:t xml:space="preserve">the </w:t>
      </w:r>
      <w:r w:rsidR="00376E5B" w:rsidRPr="00212B48">
        <w:rPr>
          <w:sz w:val="23"/>
          <w:szCs w:val="23"/>
        </w:rPr>
        <w:t xml:space="preserve">ARC </w:t>
      </w:r>
      <w:r w:rsidRPr="00212B48">
        <w:rPr>
          <w:sz w:val="23"/>
          <w:szCs w:val="23"/>
        </w:rPr>
        <w:t xml:space="preserve">and TPS </w:t>
      </w:r>
      <w:r w:rsidR="00376E5B" w:rsidRPr="00212B48">
        <w:rPr>
          <w:sz w:val="23"/>
          <w:szCs w:val="23"/>
        </w:rPr>
        <w:t>on the sector should be reduced to a more equitable level.</w:t>
      </w:r>
    </w:p>
    <w:p w14:paraId="412E7A21" w14:textId="77777777" w:rsidR="000D6D8D" w:rsidRDefault="000D6D8D" w:rsidP="000D6D8D">
      <w:pPr>
        <w:pStyle w:val="Heading2"/>
      </w:pPr>
      <w:r>
        <w:t>Visa arrangements</w:t>
      </w:r>
    </w:p>
    <w:p w14:paraId="2F100A92" w14:textId="77777777" w:rsidR="00E02361" w:rsidRDefault="00E02361" w:rsidP="00E02361">
      <w:pPr>
        <w:pStyle w:val="Heading3"/>
      </w:pPr>
      <w:r>
        <w:t>Streamlined visa processing (SVP)</w:t>
      </w:r>
    </w:p>
    <w:p w14:paraId="157260ED" w14:textId="77777777" w:rsidR="006537EC" w:rsidRPr="00212B48" w:rsidRDefault="000B089A" w:rsidP="006537EC">
      <w:pPr>
        <w:rPr>
          <w:sz w:val="23"/>
          <w:szCs w:val="23"/>
        </w:rPr>
      </w:pPr>
      <w:r w:rsidRPr="00212B48">
        <w:rPr>
          <w:sz w:val="23"/>
          <w:szCs w:val="23"/>
        </w:rPr>
        <w:t xml:space="preserve">In ISCA’s response to the </w:t>
      </w:r>
      <w:r w:rsidR="006537EC" w:rsidRPr="00212B48">
        <w:rPr>
          <w:sz w:val="23"/>
          <w:szCs w:val="23"/>
        </w:rPr>
        <w:t xml:space="preserve">DIBP Discussion Paper </w:t>
      </w:r>
      <w:r w:rsidR="006537EC" w:rsidRPr="00212B48">
        <w:rPr>
          <w:i/>
          <w:sz w:val="23"/>
          <w:szCs w:val="23"/>
        </w:rPr>
        <w:t>Future Directions for Streamlined Visa Processing</w:t>
      </w:r>
      <w:r w:rsidRPr="00212B48">
        <w:rPr>
          <w:sz w:val="23"/>
          <w:szCs w:val="23"/>
        </w:rPr>
        <w:t xml:space="preserve">, </w:t>
      </w:r>
      <w:r w:rsidR="00DF10E9" w:rsidRPr="00212B48">
        <w:rPr>
          <w:sz w:val="23"/>
          <w:szCs w:val="23"/>
        </w:rPr>
        <w:t>it</w:t>
      </w:r>
      <w:r w:rsidRPr="00212B48">
        <w:rPr>
          <w:sz w:val="23"/>
          <w:szCs w:val="23"/>
        </w:rPr>
        <w:t xml:space="preserve"> was noted that</w:t>
      </w:r>
    </w:p>
    <w:p w14:paraId="5FFD2E6D" w14:textId="77777777" w:rsidR="006537EC" w:rsidRPr="007B4061" w:rsidRDefault="006537EC" w:rsidP="006537EC">
      <w:pPr>
        <w:autoSpaceDE w:val="0"/>
        <w:autoSpaceDN w:val="0"/>
        <w:adjustRightInd w:val="0"/>
        <w:spacing w:after="0" w:line="240" w:lineRule="auto"/>
        <w:rPr>
          <w:rFonts w:ascii="Garamond" w:eastAsia="Times New Roman" w:hAnsi="Garamond" w:cs="Garamond"/>
          <w:color w:val="000000"/>
          <w:sz w:val="24"/>
          <w:szCs w:val="24"/>
          <w:lang w:eastAsia="en-AU"/>
        </w:rPr>
      </w:pPr>
      <w:r w:rsidRPr="007B4061">
        <w:rPr>
          <w:rFonts w:ascii="Garamond" w:eastAsia="Times New Roman" w:hAnsi="Garamond" w:cs="Garamond"/>
          <w:color w:val="000000"/>
          <w:sz w:val="24"/>
          <w:szCs w:val="24"/>
          <w:lang w:eastAsia="en-AU"/>
        </w:rPr>
        <w:lastRenderedPageBreak/>
        <w:t>“</w:t>
      </w:r>
      <w:r w:rsidR="007B4061">
        <w:rPr>
          <w:rFonts w:ascii="Garamond" w:eastAsia="Times New Roman" w:hAnsi="Garamond" w:cs="Garamond"/>
          <w:color w:val="000000"/>
          <w:sz w:val="24"/>
          <w:szCs w:val="24"/>
          <w:lang w:eastAsia="en-AU"/>
        </w:rPr>
        <w:t>…</w:t>
      </w:r>
      <w:r w:rsidRPr="007B4061">
        <w:rPr>
          <w:rFonts w:ascii="Garamond" w:eastAsia="Times New Roman" w:hAnsi="Garamond" w:cs="Garamond"/>
          <w:color w:val="000000"/>
          <w:sz w:val="24"/>
          <w:szCs w:val="24"/>
          <w:lang w:eastAsia="en-AU"/>
        </w:rPr>
        <w:t xml:space="preserve">the SVP model is quite narrowly focused and is entirely unsuitable for roll-out across all providers and sectors. Indeed, the threshold requirements are such that most schools would never be eligible to participate, whether or not they had the resources to do so. </w:t>
      </w:r>
    </w:p>
    <w:p w14:paraId="0EEAECA2" w14:textId="77777777" w:rsidR="00054CA0" w:rsidRPr="007B4061" w:rsidRDefault="00054CA0" w:rsidP="006537EC">
      <w:pPr>
        <w:autoSpaceDE w:val="0"/>
        <w:autoSpaceDN w:val="0"/>
        <w:adjustRightInd w:val="0"/>
        <w:spacing w:after="0" w:line="240" w:lineRule="auto"/>
        <w:rPr>
          <w:rFonts w:ascii="Garamond" w:eastAsia="Times New Roman" w:hAnsi="Garamond" w:cs="Garamond"/>
          <w:color w:val="000000"/>
          <w:sz w:val="24"/>
          <w:szCs w:val="24"/>
          <w:lang w:eastAsia="en-AU"/>
        </w:rPr>
      </w:pPr>
    </w:p>
    <w:p w14:paraId="6584BEF1" w14:textId="77777777" w:rsidR="006537EC" w:rsidRPr="007B4061" w:rsidRDefault="006537EC" w:rsidP="006537EC">
      <w:pPr>
        <w:rPr>
          <w:rFonts w:ascii="Garamond" w:eastAsia="Times New Roman" w:hAnsi="Garamond" w:cs="Garamond"/>
          <w:color w:val="000000"/>
          <w:sz w:val="24"/>
          <w:szCs w:val="24"/>
          <w:lang w:eastAsia="en-AU"/>
        </w:rPr>
      </w:pPr>
      <w:r w:rsidRPr="007B4061">
        <w:rPr>
          <w:rFonts w:ascii="Garamond" w:eastAsia="Times New Roman" w:hAnsi="Garamond" w:cs="Garamond"/>
          <w:color w:val="000000"/>
          <w:sz w:val="24"/>
          <w:szCs w:val="24"/>
          <w:lang w:eastAsia="en-AU"/>
        </w:rPr>
        <w:t>Despite the best intentions, by differentiating between providers and sectors in this way, DIBP has created an ‘un-level playing field’ in the international education industry. This comes at a time when many non-government schools are struggling to maintain their involvement in international education and ISCA is concerned that the unique role of overseas students in the non-government schools sector is in danger of disappearing altogether.”</w:t>
      </w:r>
      <w:r w:rsidR="007B4061" w:rsidRPr="007B4061">
        <w:rPr>
          <w:rStyle w:val="FootnoteReference"/>
          <w:rFonts w:ascii="Garamond" w:eastAsia="Times New Roman" w:hAnsi="Garamond" w:cs="Garamond"/>
          <w:color w:val="000000"/>
          <w:sz w:val="24"/>
          <w:szCs w:val="24"/>
          <w:lang w:eastAsia="en-AU"/>
        </w:rPr>
        <w:footnoteReference w:id="5"/>
      </w:r>
    </w:p>
    <w:p w14:paraId="309E1751" w14:textId="77777777" w:rsidR="006537EC" w:rsidRPr="00212B48" w:rsidRDefault="006537EC" w:rsidP="006537EC">
      <w:pPr>
        <w:rPr>
          <w:sz w:val="23"/>
          <w:szCs w:val="23"/>
        </w:rPr>
      </w:pPr>
      <w:r w:rsidRPr="00212B48">
        <w:rPr>
          <w:sz w:val="23"/>
          <w:szCs w:val="23"/>
        </w:rPr>
        <w:t xml:space="preserve">While ISCA does not regard SVP as suitable for the schools sector, </w:t>
      </w:r>
      <w:r w:rsidR="000B089A" w:rsidRPr="00212B48">
        <w:rPr>
          <w:sz w:val="23"/>
          <w:szCs w:val="23"/>
        </w:rPr>
        <w:t xml:space="preserve">it is our view that </w:t>
      </w:r>
      <w:r w:rsidRPr="00212B48">
        <w:rPr>
          <w:sz w:val="23"/>
          <w:szCs w:val="23"/>
        </w:rPr>
        <w:t>some form of streamlined visa processing should be made available to all providers and sectors</w:t>
      </w:r>
      <w:r w:rsidR="007B4061" w:rsidRPr="00212B48">
        <w:rPr>
          <w:sz w:val="23"/>
          <w:szCs w:val="23"/>
        </w:rPr>
        <w:t>. This will</w:t>
      </w:r>
      <w:r w:rsidRPr="00212B48">
        <w:rPr>
          <w:sz w:val="23"/>
          <w:szCs w:val="23"/>
        </w:rPr>
        <w:t xml:space="preserve"> encourage continued growth in what is one of Australia’s largest export industries and largest </w:t>
      </w:r>
      <w:r w:rsidR="005A061D" w:rsidRPr="00212B48">
        <w:rPr>
          <w:sz w:val="23"/>
          <w:szCs w:val="23"/>
        </w:rPr>
        <w:t xml:space="preserve">service industry.  </w:t>
      </w:r>
    </w:p>
    <w:p w14:paraId="3BF14A41" w14:textId="77777777" w:rsidR="005A061D" w:rsidRPr="00212B48" w:rsidRDefault="009A7710" w:rsidP="00184207">
      <w:pPr>
        <w:rPr>
          <w:sz w:val="23"/>
          <w:szCs w:val="23"/>
        </w:rPr>
      </w:pPr>
      <w:r w:rsidRPr="00212B48">
        <w:rPr>
          <w:sz w:val="23"/>
          <w:szCs w:val="23"/>
        </w:rPr>
        <w:t xml:space="preserve">ISCA </w:t>
      </w:r>
      <w:r w:rsidR="005E0F58" w:rsidRPr="00212B48">
        <w:rPr>
          <w:sz w:val="23"/>
          <w:szCs w:val="23"/>
        </w:rPr>
        <w:t>supports the Productivity Commission</w:t>
      </w:r>
      <w:r w:rsidR="005A061D" w:rsidRPr="00212B48">
        <w:rPr>
          <w:sz w:val="23"/>
          <w:szCs w:val="23"/>
        </w:rPr>
        <w:t>’</w:t>
      </w:r>
      <w:r w:rsidR="005E0F58" w:rsidRPr="00212B48">
        <w:rPr>
          <w:sz w:val="23"/>
          <w:szCs w:val="23"/>
        </w:rPr>
        <w:t xml:space="preserve">s </w:t>
      </w:r>
      <w:r w:rsidR="005A061D" w:rsidRPr="00212B48">
        <w:rPr>
          <w:sz w:val="23"/>
          <w:szCs w:val="23"/>
        </w:rPr>
        <w:t xml:space="preserve">IES report’s </w:t>
      </w:r>
      <w:r w:rsidR="005E0F58" w:rsidRPr="00212B48">
        <w:rPr>
          <w:sz w:val="23"/>
          <w:szCs w:val="23"/>
        </w:rPr>
        <w:t>recommendation</w:t>
      </w:r>
      <w:r w:rsidR="005A061D" w:rsidRPr="00212B48">
        <w:rPr>
          <w:sz w:val="23"/>
          <w:szCs w:val="23"/>
        </w:rPr>
        <w:t>s  to</w:t>
      </w:r>
      <w:r w:rsidR="005E0F58" w:rsidRPr="00212B48">
        <w:rPr>
          <w:sz w:val="23"/>
          <w:szCs w:val="23"/>
        </w:rPr>
        <w:t xml:space="preserve"> consider an “alternative” approach to </w:t>
      </w:r>
      <w:r w:rsidR="006C04CA" w:rsidRPr="00212B48">
        <w:rPr>
          <w:sz w:val="23"/>
          <w:szCs w:val="23"/>
        </w:rPr>
        <w:t>managing a student visa program</w:t>
      </w:r>
      <w:r w:rsidR="005E0F58" w:rsidRPr="00212B48">
        <w:rPr>
          <w:sz w:val="23"/>
          <w:szCs w:val="23"/>
        </w:rPr>
        <w:t xml:space="preserve"> that “would entail an integrated risk framework </w:t>
      </w:r>
      <w:r w:rsidR="005A061D" w:rsidRPr="00212B48">
        <w:rPr>
          <w:sz w:val="23"/>
          <w:szCs w:val="23"/>
        </w:rPr>
        <w:t xml:space="preserve">that incorporates education provider quality risk – the risk that a provider would not offer an international student a quality learning experience” with the DIBP proposal to combine “country of citizenship immigration risk with provider immigration risk”, </w:t>
      </w:r>
      <w:r w:rsidR="005A061D" w:rsidRPr="00212B48">
        <w:rPr>
          <w:rStyle w:val="FootnoteReference"/>
          <w:sz w:val="23"/>
          <w:szCs w:val="23"/>
        </w:rPr>
        <w:footnoteReference w:id="6"/>
      </w:r>
      <w:r w:rsidR="006C04CA" w:rsidRPr="00212B48">
        <w:rPr>
          <w:sz w:val="23"/>
          <w:szCs w:val="23"/>
        </w:rPr>
        <w:t xml:space="preserve"> as well as “enhanced coordination between the DIBP and the Department of Education and Training to ensure a consistent approach to IES policy form a whole-of-government perspective”. </w:t>
      </w:r>
      <w:r w:rsidR="006C04CA" w:rsidRPr="00212B48">
        <w:rPr>
          <w:rStyle w:val="FootnoteReference"/>
          <w:sz w:val="23"/>
          <w:szCs w:val="23"/>
        </w:rPr>
        <w:footnoteReference w:id="7"/>
      </w:r>
    </w:p>
    <w:p w14:paraId="32BA728F" w14:textId="77777777" w:rsidR="005A061D" w:rsidRPr="00212B48" w:rsidRDefault="005A061D" w:rsidP="00184207">
      <w:pPr>
        <w:rPr>
          <w:sz w:val="23"/>
          <w:szCs w:val="23"/>
        </w:rPr>
      </w:pPr>
      <w:r w:rsidRPr="00212B48">
        <w:rPr>
          <w:sz w:val="23"/>
          <w:szCs w:val="23"/>
        </w:rPr>
        <w:t xml:space="preserve">However, because the Productivity Commission chose to focus on institutions regulated by TEQSA and ASQA in its IES research report, not explicitly include the school sector in its research findings, ISCA would like to be re-assured that school sector peak bodies are included in consultations any changes to ESOS regulatory requirements or student visa changes </w:t>
      </w:r>
    </w:p>
    <w:p w14:paraId="33EF3B47" w14:textId="77777777" w:rsidR="00C26FB6" w:rsidRDefault="006C04CA" w:rsidP="00C26FB6">
      <w:r w:rsidRPr="00212B48">
        <w:rPr>
          <w:sz w:val="23"/>
          <w:szCs w:val="23"/>
        </w:rPr>
        <w:t xml:space="preserve">For example, ISCA would view the </w:t>
      </w:r>
      <w:r w:rsidR="009A7710" w:rsidRPr="00212B48">
        <w:rPr>
          <w:sz w:val="23"/>
          <w:szCs w:val="23"/>
        </w:rPr>
        <w:t>Productivity Commission’s proposal for “publicly available information on the comparative quality ranking of providers in order to assist domestic and international students to make informed decisions about provider choice”</w:t>
      </w:r>
      <w:r w:rsidR="009A7710" w:rsidRPr="00212B48">
        <w:rPr>
          <w:sz w:val="23"/>
          <w:szCs w:val="23"/>
          <w:vertAlign w:val="superscript"/>
        </w:rPr>
        <w:footnoteReference w:id="8"/>
      </w:r>
      <w:r w:rsidR="00170364" w:rsidRPr="00212B48">
        <w:rPr>
          <w:sz w:val="23"/>
          <w:szCs w:val="23"/>
        </w:rPr>
        <w:t xml:space="preserve"> </w:t>
      </w:r>
      <w:r w:rsidRPr="00212B48">
        <w:rPr>
          <w:sz w:val="23"/>
          <w:szCs w:val="23"/>
        </w:rPr>
        <w:t>with some concern if this meant</w:t>
      </w:r>
      <w:r w:rsidR="00170364" w:rsidRPr="00212B48">
        <w:rPr>
          <w:sz w:val="23"/>
          <w:szCs w:val="23"/>
        </w:rPr>
        <w:t xml:space="preserve"> providing more information </w:t>
      </w:r>
      <w:r w:rsidRPr="00212B48">
        <w:rPr>
          <w:sz w:val="23"/>
          <w:szCs w:val="23"/>
        </w:rPr>
        <w:t xml:space="preserve">on school sector outcomes </w:t>
      </w:r>
      <w:r w:rsidR="00170364" w:rsidRPr="00212B48">
        <w:rPr>
          <w:sz w:val="23"/>
          <w:szCs w:val="23"/>
        </w:rPr>
        <w:t xml:space="preserve">than is currently available on the </w:t>
      </w:r>
      <w:hyperlink r:id="rId12" w:history="1">
        <w:r w:rsidR="00170364" w:rsidRPr="00212B48">
          <w:rPr>
            <w:sz w:val="23"/>
            <w:szCs w:val="23"/>
          </w:rPr>
          <w:t>My School</w:t>
        </w:r>
      </w:hyperlink>
      <w:r w:rsidR="00170364" w:rsidRPr="00212B48">
        <w:rPr>
          <w:sz w:val="23"/>
          <w:szCs w:val="23"/>
        </w:rPr>
        <w:t xml:space="preserve"> website</w:t>
      </w:r>
      <w:r w:rsidRPr="00212B48">
        <w:rPr>
          <w:sz w:val="23"/>
          <w:szCs w:val="23"/>
        </w:rPr>
        <w:t xml:space="preserve"> and in school annual reports</w:t>
      </w:r>
      <w:r w:rsidR="00170364" w:rsidRPr="00212B48">
        <w:rPr>
          <w:sz w:val="23"/>
          <w:szCs w:val="23"/>
        </w:rPr>
        <w:t xml:space="preserve">. ISCA would </w:t>
      </w:r>
      <w:r w:rsidRPr="00212B48">
        <w:rPr>
          <w:sz w:val="23"/>
          <w:szCs w:val="23"/>
        </w:rPr>
        <w:t>argue</w:t>
      </w:r>
      <w:r w:rsidR="00170364" w:rsidRPr="00212B48">
        <w:rPr>
          <w:sz w:val="23"/>
          <w:szCs w:val="23"/>
        </w:rPr>
        <w:t xml:space="preserve"> that unlike providers regulated by TEQSA and ASQA, </w:t>
      </w:r>
      <w:r w:rsidRPr="00212B48">
        <w:rPr>
          <w:sz w:val="23"/>
          <w:szCs w:val="23"/>
        </w:rPr>
        <w:t xml:space="preserve">highly regulated domestic accreditation frameworks and </w:t>
      </w:r>
      <w:r w:rsidR="00170364" w:rsidRPr="00212B48">
        <w:rPr>
          <w:sz w:val="23"/>
          <w:szCs w:val="23"/>
        </w:rPr>
        <w:t xml:space="preserve">very detailed </w:t>
      </w:r>
      <w:r w:rsidRPr="00212B48">
        <w:rPr>
          <w:sz w:val="23"/>
          <w:szCs w:val="23"/>
        </w:rPr>
        <w:t>publically available sources of data for school providers, are already in place.</w:t>
      </w:r>
      <w:r>
        <w:t xml:space="preserve"> </w:t>
      </w:r>
    </w:p>
    <w:p w14:paraId="16267F04" w14:textId="7BC1D3C1" w:rsidR="00E02361" w:rsidRDefault="00E02361" w:rsidP="00C26FB6">
      <w:pPr>
        <w:pStyle w:val="Heading3"/>
      </w:pPr>
      <w:r>
        <w:lastRenderedPageBreak/>
        <w:t>Visa costs</w:t>
      </w:r>
    </w:p>
    <w:p w14:paraId="5DE36836" w14:textId="77777777" w:rsidR="006537EC" w:rsidRPr="00212B48" w:rsidRDefault="00226545" w:rsidP="00184207">
      <w:pPr>
        <w:rPr>
          <w:sz w:val="23"/>
          <w:szCs w:val="23"/>
        </w:rPr>
      </w:pPr>
      <w:r w:rsidRPr="00212B48">
        <w:rPr>
          <w:sz w:val="23"/>
          <w:szCs w:val="23"/>
        </w:rPr>
        <w:t xml:space="preserve">Australia’s </w:t>
      </w:r>
      <w:r w:rsidR="00731010" w:rsidRPr="00212B48">
        <w:rPr>
          <w:sz w:val="23"/>
          <w:szCs w:val="23"/>
        </w:rPr>
        <w:t xml:space="preserve">student </w:t>
      </w:r>
      <w:r w:rsidRPr="00212B48">
        <w:rPr>
          <w:sz w:val="23"/>
          <w:szCs w:val="23"/>
        </w:rPr>
        <w:t xml:space="preserve">visa costs continue to be higher than those of our main competitors </w:t>
      </w:r>
      <w:r w:rsidR="003D2AEA" w:rsidRPr="00212B48">
        <w:rPr>
          <w:sz w:val="23"/>
          <w:szCs w:val="23"/>
        </w:rPr>
        <w:t xml:space="preserve">such as Canada and the US, </w:t>
      </w:r>
      <w:r w:rsidRPr="00212B48">
        <w:rPr>
          <w:sz w:val="23"/>
          <w:szCs w:val="23"/>
        </w:rPr>
        <w:t xml:space="preserve">and are </w:t>
      </w:r>
      <w:r w:rsidR="00731010" w:rsidRPr="00212B48">
        <w:rPr>
          <w:sz w:val="23"/>
          <w:szCs w:val="23"/>
        </w:rPr>
        <w:t xml:space="preserve">widely regarded as </w:t>
      </w:r>
      <w:r w:rsidRPr="00212B48">
        <w:rPr>
          <w:sz w:val="23"/>
          <w:szCs w:val="23"/>
        </w:rPr>
        <w:t>un-competitive.</w:t>
      </w:r>
      <w:r w:rsidR="00731010" w:rsidRPr="00212B48">
        <w:rPr>
          <w:sz w:val="23"/>
          <w:szCs w:val="23"/>
        </w:rPr>
        <w:t xml:space="preserve"> Further, the sudden and unwarranted increase in the cost of the Subsequent Temporary Application Charge (STAC) in 2013, is seen by the industry as a revenue </w:t>
      </w:r>
      <w:r w:rsidR="00DF10E9" w:rsidRPr="00212B48">
        <w:rPr>
          <w:sz w:val="23"/>
          <w:szCs w:val="23"/>
        </w:rPr>
        <w:t>raising</w:t>
      </w:r>
      <w:r w:rsidR="00731010" w:rsidRPr="00212B48">
        <w:rPr>
          <w:sz w:val="23"/>
          <w:szCs w:val="23"/>
        </w:rPr>
        <w:t xml:space="preserve"> measure which acts as a disincentive to student</w:t>
      </w:r>
      <w:r w:rsidR="004A616C" w:rsidRPr="00212B48">
        <w:rPr>
          <w:sz w:val="23"/>
          <w:szCs w:val="23"/>
        </w:rPr>
        <w:t>s wishing</w:t>
      </w:r>
      <w:r w:rsidR="00731010" w:rsidRPr="00212B48">
        <w:rPr>
          <w:sz w:val="23"/>
          <w:szCs w:val="23"/>
        </w:rPr>
        <w:t xml:space="preserve"> to continue studying in </w:t>
      </w:r>
      <w:r w:rsidR="00DF10E9" w:rsidRPr="00212B48">
        <w:rPr>
          <w:sz w:val="23"/>
          <w:szCs w:val="23"/>
        </w:rPr>
        <w:t>Australia</w:t>
      </w:r>
      <w:r w:rsidR="00731010" w:rsidRPr="00212B48">
        <w:rPr>
          <w:sz w:val="23"/>
          <w:szCs w:val="23"/>
        </w:rPr>
        <w:t xml:space="preserve"> past a certain point. </w:t>
      </w:r>
    </w:p>
    <w:p w14:paraId="7821BC73" w14:textId="77777777" w:rsidR="003D2AEA" w:rsidRPr="00212B48" w:rsidRDefault="003D2AEA" w:rsidP="003D2AEA">
      <w:pPr>
        <w:rPr>
          <w:sz w:val="23"/>
          <w:szCs w:val="23"/>
        </w:rPr>
      </w:pPr>
      <w:r w:rsidRPr="00212B48">
        <w:rPr>
          <w:sz w:val="23"/>
          <w:szCs w:val="23"/>
        </w:rPr>
        <w:t>ISCA is concerned about the potential of the high cost of the STAC to discourage the lowest risk students from continuing or extending their studies in Australian institutions. As ISCA noted in our submission to the Joint Review of Border Fees, Charges and Taxes;</w:t>
      </w:r>
    </w:p>
    <w:p w14:paraId="41478A01" w14:textId="77777777" w:rsidR="003D2AEA" w:rsidRDefault="003D2AEA" w:rsidP="003D2AEA">
      <w:pPr>
        <w:autoSpaceDE w:val="0"/>
        <w:autoSpaceDN w:val="0"/>
        <w:adjustRightInd w:val="0"/>
        <w:spacing w:after="0" w:line="240" w:lineRule="auto"/>
        <w:rPr>
          <w:rFonts w:ascii="Garamond" w:eastAsia="Times New Roman" w:hAnsi="Garamond" w:cs="Garamond"/>
          <w:color w:val="000000"/>
          <w:sz w:val="24"/>
          <w:szCs w:val="24"/>
          <w:lang w:eastAsia="en-AU"/>
        </w:rPr>
      </w:pPr>
      <w:r>
        <w:rPr>
          <w:rFonts w:ascii="Garamond" w:eastAsia="Times New Roman" w:hAnsi="Garamond" w:cs="Garamond"/>
          <w:color w:val="000000"/>
          <w:sz w:val="24"/>
          <w:szCs w:val="24"/>
          <w:lang w:eastAsia="en-AU"/>
        </w:rPr>
        <w:t>“</w:t>
      </w:r>
      <w:r w:rsidRPr="003D2AEA">
        <w:rPr>
          <w:rFonts w:ascii="Garamond" w:eastAsia="Times New Roman" w:hAnsi="Garamond" w:cs="Garamond"/>
          <w:color w:val="000000"/>
          <w:sz w:val="24"/>
          <w:szCs w:val="24"/>
          <w:lang w:eastAsia="en-AU"/>
        </w:rPr>
        <w:t>As school courses (from K-12) can exceed the 5 year limit of a student visa, it is entirely possible very young students will need to apply for a visa extension in order to complete school level studies even within the one school.</w:t>
      </w:r>
    </w:p>
    <w:p w14:paraId="70861683" w14:textId="77777777" w:rsidR="003D2AEA" w:rsidRPr="003D2AEA" w:rsidRDefault="003D2AEA" w:rsidP="003D2AEA">
      <w:pPr>
        <w:autoSpaceDE w:val="0"/>
        <w:autoSpaceDN w:val="0"/>
        <w:adjustRightInd w:val="0"/>
        <w:spacing w:after="0" w:line="240" w:lineRule="auto"/>
        <w:rPr>
          <w:rFonts w:ascii="Garamond" w:eastAsia="Times New Roman" w:hAnsi="Garamond" w:cs="Garamond"/>
          <w:color w:val="000000"/>
          <w:sz w:val="24"/>
          <w:szCs w:val="24"/>
          <w:lang w:eastAsia="en-AU"/>
        </w:rPr>
      </w:pPr>
    </w:p>
    <w:p w14:paraId="631A8ABC" w14:textId="77777777" w:rsidR="003D2AEA" w:rsidRDefault="003D2AEA" w:rsidP="003D2AEA">
      <w:pPr>
        <w:autoSpaceDE w:val="0"/>
        <w:autoSpaceDN w:val="0"/>
        <w:adjustRightInd w:val="0"/>
        <w:spacing w:after="0" w:line="240" w:lineRule="auto"/>
        <w:rPr>
          <w:rFonts w:ascii="Garamond" w:eastAsia="Times New Roman" w:hAnsi="Garamond" w:cs="Garamond"/>
          <w:color w:val="000000"/>
          <w:sz w:val="24"/>
          <w:szCs w:val="24"/>
          <w:lang w:eastAsia="en-AU"/>
        </w:rPr>
      </w:pPr>
      <w:r w:rsidRPr="003D2AEA">
        <w:rPr>
          <w:rFonts w:ascii="Garamond" w:eastAsia="Times New Roman" w:hAnsi="Garamond" w:cs="Garamond"/>
          <w:color w:val="000000"/>
          <w:sz w:val="24"/>
          <w:szCs w:val="24"/>
          <w:lang w:eastAsia="en-AU"/>
        </w:rPr>
        <w:t>There is also the scenario of a student who has applied for their first or subsequent 571 subclass visa from onshore completing school sector studies then wishing to continue studies in Australia at a tertiary level. In this case, the student will need to apply for a further student visa from offshore if he/she wishes to avoid paying the STAC of AUD $700 (in addition to the visa charge of AUD $535) for their further studies. This seems an unreasonable penalty to apply to a genuine, low risk student who has already made a significant investment in an Australian school education, and who continues to choose Australia a</w:t>
      </w:r>
      <w:r>
        <w:rPr>
          <w:rFonts w:ascii="Garamond" w:eastAsia="Times New Roman" w:hAnsi="Garamond" w:cs="Garamond"/>
          <w:color w:val="000000"/>
          <w:sz w:val="24"/>
          <w:szCs w:val="24"/>
          <w:lang w:eastAsia="en-AU"/>
        </w:rPr>
        <w:t>s a quality study destination.</w:t>
      </w:r>
    </w:p>
    <w:p w14:paraId="0C4944E9" w14:textId="77777777" w:rsidR="003D2AEA" w:rsidRPr="003D2AEA" w:rsidRDefault="003D2AEA" w:rsidP="003D2AEA">
      <w:pPr>
        <w:autoSpaceDE w:val="0"/>
        <w:autoSpaceDN w:val="0"/>
        <w:adjustRightInd w:val="0"/>
        <w:spacing w:after="0" w:line="240" w:lineRule="auto"/>
        <w:rPr>
          <w:rFonts w:ascii="Garamond" w:eastAsia="Times New Roman" w:hAnsi="Garamond" w:cs="Garamond"/>
          <w:color w:val="000000"/>
          <w:sz w:val="24"/>
          <w:szCs w:val="24"/>
          <w:lang w:eastAsia="en-AU"/>
        </w:rPr>
      </w:pPr>
    </w:p>
    <w:p w14:paraId="71E566B9" w14:textId="77777777" w:rsidR="003D2AEA" w:rsidRDefault="003D2AEA" w:rsidP="003D2AEA">
      <w:pPr>
        <w:autoSpaceDE w:val="0"/>
        <w:autoSpaceDN w:val="0"/>
        <w:adjustRightInd w:val="0"/>
        <w:spacing w:after="0" w:line="240" w:lineRule="auto"/>
        <w:rPr>
          <w:rFonts w:ascii="Garamond" w:eastAsia="Times New Roman" w:hAnsi="Garamond" w:cs="Garamond"/>
          <w:color w:val="000000"/>
          <w:sz w:val="24"/>
          <w:szCs w:val="24"/>
          <w:lang w:eastAsia="en-AU"/>
        </w:rPr>
      </w:pPr>
      <w:r w:rsidRPr="003D2AEA">
        <w:rPr>
          <w:rFonts w:ascii="Garamond" w:eastAsia="Times New Roman" w:hAnsi="Garamond" w:cs="Garamond"/>
          <w:color w:val="000000"/>
          <w:sz w:val="24"/>
          <w:szCs w:val="24"/>
          <w:lang w:eastAsia="en-AU"/>
        </w:rPr>
        <w:t>It also seems counter-productive to penalise an application for further studies from such a student from onshore in this way, when 571 subclass visa holders who are over 18 years on completion of school sector studies are automatically granted a visa until 15 March of the following year – specifically in recognition of timelines associated with tertiary admissions applications and to facilitate processes for enrolment in further studies.</w:t>
      </w:r>
      <w:r>
        <w:rPr>
          <w:rFonts w:ascii="Garamond" w:eastAsia="Times New Roman" w:hAnsi="Garamond" w:cs="Garamond"/>
          <w:color w:val="000000"/>
          <w:sz w:val="24"/>
          <w:szCs w:val="24"/>
          <w:lang w:eastAsia="en-AU"/>
        </w:rPr>
        <w:t>”</w:t>
      </w:r>
    </w:p>
    <w:p w14:paraId="08A2BD5F" w14:textId="77777777" w:rsidR="003D2AEA" w:rsidRPr="003D2AEA" w:rsidRDefault="003D2AEA" w:rsidP="003D2AEA">
      <w:pPr>
        <w:autoSpaceDE w:val="0"/>
        <w:autoSpaceDN w:val="0"/>
        <w:adjustRightInd w:val="0"/>
        <w:spacing w:after="0" w:line="240" w:lineRule="auto"/>
        <w:rPr>
          <w:rFonts w:ascii="Garamond" w:eastAsia="Times New Roman" w:hAnsi="Garamond" w:cs="Garamond"/>
          <w:color w:val="000000"/>
          <w:sz w:val="24"/>
          <w:szCs w:val="24"/>
          <w:lang w:eastAsia="en-AU"/>
        </w:rPr>
      </w:pPr>
    </w:p>
    <w:p w14:paraId="6647AA38" w14:textId="73C0DA72" w:rsidR="006537EC" w:rsidRPr="00212B48" w:rsidRDefault="00080835" w:rsidP="006537EC">
      <w:pPr>
        <w:rPr>
          <w:sz w:val="23"/>
          <w:szCs w:val="23"/>
        </w:rPr>
      </w:pPr>
      <w:r>
        <w:rPr>
          <w:sz w:val="23"/>
          <w:szCs w:val="23"/>
        </w:rPr>
        <w:t xml:space="preserve">It is ISCA’s view that the </w:t>
      </w:r>
      <w:r w:rsidRPr="00212B48">
        <w:rPr>
          <w:sz w:val="23"/>
          <w:szCs w:val="23"/>
        </w:rPr>
        <w:t>“</w:t>
      </w:r>
      <w:r w:rsidR="006537EC" w:rsidRPr="00212B48">
        <w:rPr>
          <w:sz w:val="23"/>
          <w:szCs w:val="23"/>
        </w:rPr>
        <w:t>STAC should not apply to students completing a course of studies and seeking to enrol in higher level studies.</w:t>
      </w:r>
      <w:r w:rsidR="004A616C" w:rsidRPr="00212B48">
        <w:rPr>
          <w:sz w:val="23"/>
          <w:szCs w:val="23"/>
        </w:rPr>
        <w:t>”</w:t>
      </w:r>
      <w:r w:rsidR="004A616C" w:rsidRPr="00212B48">
        <w:rPr>
          <w:sz w:val="23"/>
          <w:szCs w:val="23"/>
          <w:vertAlign w:val="superscript"/>
        </w:rPr>
        <w:footnoteReference w:id="9"/>
      </w:r>
    </w:p>
    <w:p w14:paraId="665A15D6" w14:textId="77777777" w:rsidR="00796DED" w:rsidRPr="00C26FB6" w:rsidRDefault="00796DED" w:rsidP="00D62711">
      <w:pPr>
        <w:pStyle w:val="Heading3"/>
      </w:pPr>
      <w:r w:rsidRPr="00C26FB6">
        <w:t>Visa applications</w:t>
      </w:r>
    </w:p>
    <w:p w14:paraId="2904975F" w14:textId="77777777" w:rsidR="00796DED" w:rsidRPr="00212B48" w:rsidRDefault="00796DED">
      <w:pPr>
        <w:rPr>
          <w:sz w:val="23"/>
          <w:szCs w:val="23"/>
        </w:rPr>
      </w:pPr>
      <w:r w:rsidRPr="00212B48">
        <w:rPr>
          <w:sz w:val="23"/>
          <w:szCs w:val="23"/>
        </w:rPr>
        <w:t>ISCA has previously requested, via the Education Visa Consultative Committee (EVCC), that the DIBP review application processes for students under 18 years of age applying for a student visa to ensure there any barriers to applying online are minimised</w:t>
      </w:r>
      <w:r w:rsidR="009A7710" w:rsidRPr="00212B48">
        <w:rPr>
          <w:sz w:val="23"/>
          <w:szCs w:val="23"/>
        </w:rPr>
        <w:t xml:space="preserve">, i.e., that e-Visa arrangements for under 18s are as similar as possible to those for over 18s. </w:t>
      </w:r>
    </w:p>
    <w:p w14:paraId="302FEF2E" w14:textId="77777777" w:rsidR="000D6D8D" w:rsidRPr="00E02361" w:rsidRDefault="000D6D8D" w:rsidP="00E02361">
      <w:pPr>
        <w:pStyle w:val="Heading2"/>
      </w:pPr>
      <w:r w:rsidRPr="00E02361">
        <w:t>Export assistance schemes</w:t>
      </w:r>
    </w:p>
    <w:p w14:paraId="39F77F1E" w14:textId="78ED037F" w:rsidR="00E02361" w:rsidRPr="00212B48" w:rsidRDefault="00731010" w:rsidP="00E02361">
      <w:pPr>
        <w:rPr>
          <w:sz w:val="23"/>
          <w:szCs w:val="23"/>
        </w:rPr>
      </w:pPr>
      <w:r w:rsidRPr="00212B48">
        <w:rPr>
          <w:sz w:val="23"/>
          <w:szCs w:val="23"/>
        </w:rPr>
        <w:t xml:space="preserve">The majority of schools in the non-government school sector have a religious affiliation. </w:t>
      </w:r>
      <w:r w:rsidR="00EC4591">
        <w:rPr>
          <w:sz w:val="23"/>
          <w:szCs w:val="23"/>
        </w:rPr>
        <w:t>While many are incorporated entities, some are not. This has proven</w:t>
      </w:r>
      <w:r w:rsidRPr="00212B48">
        <w:rPr>
          <w:sz w:val="23"/>
          <w:szCs w:val="23"/>
        </w:rPr>
        <w:t xml:space="preserve"> to be an on-going barrier for these schools in terms of accessing </w:t>
      </w:r>
      <w:r w:rsidR="00D43906" w:rsidRPr="00212B48">
        <w:rPr>
          <w:sz w:val="23"/>
          <w:szCs w:val="23"/>
        </w:rPr>
        <w:t xml:space="preserve">Austrade </w:t>
      </w:r>
      <w:r w:rsidRPr="00212B48">
        <w:rPr>
          <w:sz w:val="23"/>
          <w:szCs w:val="23"/>
        </w:rPr>
        <w:t>E</w:t>
      </w:r>
      <w:r w:rsidR="00D43906" w:rsidRPr="00212B48">
        <w:rPr>
          <w:sz w:val="23"/>
          <w:szCs w:val="23"/>
        </w:rPr>
        <w:t xml:space="preserve">xport </w:t>
      </w:r>
      <w:r w:rsidRPr="00212B48">
        <w:rPr>
          <w:sz w:val="23"/>
          <w:szCs w:val="23"/>
        </w:rPr>
        <w:t>M</w:t>
      </w:r>
      <w:r w:rsidR="00D43906" w:rsidRPr="00212B48">
        <w:rPr>
          <w:sz w:val="23"/>
          <w:szCs w:val="23"/>
        </w:rPr>
        <w:t xml:space="preserve">arket </w:t>
      </w:r>
      <w:r w:rsidRPr="00212B48">
        <w:rPr>
          <w:sz w:val="23"/>
          <w:szCs w:val="23"/>
        </w:rPr>
        <w:t>D</w:t>
      </w:r>
      <w:r w:rsidR="00D43906" w:rsidRPr="00212B48">
        <w:rPr>
          <w:sz w:val="23"/>
          <w:szCs w:val="23"/>
        </w:rPr>
        <w:t xml:space="preserve">evelopment </w:t>
      </w:r>
      <w:r w:rsidRPr="00212B48">
        <w:rPr>
          <w:sz w:val="23"/>
          <w:szCs w:val="23"/>
        </w:rPr>
        <w:t>G</w:t>
      </w:r>
      <w:r w:rsidR="00D43906" w:rsidRPr="00212B48">
        <w:rPr>
          <w:sz w:val="23"/>
          <w:szCs w:val="23"/>
        </w:rPr>
        <w:t>rants (EMDG)</w:t>
      </w:r>
      <w:r w:rsidRPr="00212B48">
        <w:rPr>
          <w:sz w:val="23"/>
          <w:szCs w:val="23"/>
        </w:rPr>
        <w:t xml:space="preserve">. </w:t>
      </w:r>
    </w:p>
    <w:p w14:paraId="01342C7B" w14:textId="123386F6" w:rsidR="00D43906" w:rsidRPr="00EC4591" w:rsidRDefault="00D43906" w:rsidP="00EC4591">
      <w:pPr>
        <w:rPr>
          <w:sz w:val="23"/>
          <w:szCs w:val="23"/>
        </w:rPr>
      </w:pPr>
      <w:r w:rsidRPr="00212B48">
        <w:rPr>
          <w:sz w:val="23"/>
          <w:szCs w:val="23"/>
        </w:rPr>
        <w:t xml:space="preserve">The most recent advice ISCA has received from Austrade stated that the reasons for ineligibility for these schools </w:t>
      </w:r>
      <w:r w:rsidR="00121AAB" w:rsidRPr="00212B48">
        <w:rPr>
          <w:sz w:val="23"/>
          <w:szCs w:val="23"/>
        </w:rPr>
        <w:t>is that they are</w:t>
      </w:r>
      <w:r w:rsidR="00EC4591">
        <w:rPr>
          <w:sz w:val="23"/>
          <w:szCs w:val="23"/>
        </w:rPr>
        <w:t xml:space="preserve"> ‘u</w:t>
      </w:r>
      <w:r w:rsidRPr="00EC4591">
        <w:rPr>
          <w:sz w:val="23"/>
          <w:szCs w:val="23"/>
        </w:rPr>
        <w:t xml:space="preserve">nable to satisfy Section 6 of the EMDG Act as they are not </w:t>
      </w:r>
      <w:r w:rsidRPr="00EC4591">
        <w:rPr>
          <w:sz w:val="23"/>
          <w:szCs w:val="23"/>
        </w:rPr>
        <w:lastRenderedPageBreak/>
        <w:t>incorporated entities. They are rolled up into the archdioceses corporation, and therefore not the principal and also unable to meet Section 37 of the EMDG Act</w:t>
      </w:r>
      <w:r w:rsidR="00EC4591">
        <w:rPr>
          <w:sz w:val="23"/>
          <w:szCs w:val="23"/>
        </w:rPr>
        <w:t>’.</w:t>
      </w:r>
    </w:p>
    <w:p w14:paraId="6092E90A" w14:textId="020210B8" w:rsidR="00F07A28" w:rsidRPr="00212B48" w:rsidRDefault="00121AAB" w:rsidP="00E02361">
      <w:pPr>
        <w:rPr>
          <w:sz w:val="23"/>
          <w:szCs w:val="23"/>
        </w:rPr>
      </w:pPr>
      <w:r w:rsidRPr="00212B48">
        <w:rPr>
          <w:sz w:val="23"/>
          <w:szCs w:val="23"/>
        </w:rPr>
        <w:t xml:space="preserve">This means that a large number of non-government schools are ineligible for EMDG grants which are an important source of funding for institutions </w:t>
      </w:r>
      <w:r w:rsidR="00796DED" w:rsidRPr="00212B48">
        <w:rPr>
          <w:sz w:val="23"/>
          <w:szCs w:val="23"/>
        </w:rPr>
        <w:t xml:space="preserve">in other sectors that might be </w:t>
      </w:r>
      <w:r w:rsidRPr="00212B48">
        <w:rPr>
          <w:sz w:val="23"/>
          <w:szCs w:val="23"/>
        </w:rPr>
        <w:t xml:space="preserve">seeking to </w:t>
      </w:r>
      <w:r w:rsidR="00796DED" w:rsidRPr="00212B48">
        <w:rPr>
          <w:sz w:val="23"/>
          <w:szCs w:val="23"/>
        </w:rPr>
        <w:t xml:space="preserve">expand </w:t>
      </w:r>
      <w:r w:rsidRPr="00212B48">
        <w:rPr>
          <w:sz w:val="23"/>
          <w:szCs w:val="23"/>
        </w:rPr>
        <w:t>their offerings.</w:t>
      </w:r>
    </w:p>
    <w:p w14:paraId="7F030104" w14:textId="77777777" w:rsidR="00F60F46" w:rsidRPr="00212B48" w:rsidRDefault="002C1091" w:rsidP="00E02361">
      <w:pPr>
        <w:rPr>
          <w:sz w:val="23"/>
          <w:szCs w:val="23"/>
        </w:rPr>
      </w:pPr>
      <w:r w:rsidRPr="00212B48">
        <w:rPr>
          <w:sz w:val="23"/>
          <w:szCs w:val="23"/>
        </w:rPr>
        <w:t xml:space="preserve">With regard to other possible export assistance schemes, ISCA would like to support the Productivity Commission’s suggestion  “There may also be merit in taking a coordinated approach to international student outreach and marketing — particularly for institutions where scale is an issue — such as through peak organisations and informal partnerships.” </w:t>
      </w:r>
      <w:r w:rsidR="002B7619" w:rsidRPr="00212B48">
        <w:rPr>
          <w:rStyle w:val="FootnoteReference"/>
          <w:sz w:val="23"/>
          <w:szCs w:val="23"/>
        </w:rPr>
        <w:footnoteReference w:id="10"/>
      </w:r>
    </w:p>
    <w:p w14:paraId="314AF53C" w14:textId="77777777" w:rsidR="002C1091" w:rsidRPr="00212B48" w:rsidRDefault="002C1091" w:rsidP="00E02361">
      <w:pPr>
        <w:rPr>
          <w:sz w:val="23"/>
          <w:szCs w:val="23"/>
        </w:rPr>
      </w:pPr>
      <w:r w:rsidRPr="00212B48">
        <w:rPr>
          <w:sz w:val="23"/>
          <w:szCs w:val="23"/>
        </w:rPr>
        <w:t>As most non-government schools are individually responsible for their own student marketing and recruitment activities, ISCA would welcome a greater range of options for marketing assistance that could be accessed by non-government schools.</w:t>
      </w:r>
    </w:p>
    <w:p w14:paraId="23AEBF2A" w14:textId="77777777" w:rsidR="00FE0F9A" w:rsidRDefault="00FE0F9A" w:rsidP="002542EB">
      <w:pPr>
        <w:pStyle w:val="Heading1"/>
        <w:rPr>
          <w:rFonts w:ascii="Garamond" w:hAnsi="Garamond"/>
          <w:b/>
          <w:color w:val="auto"/>
          <w:sz w:val="28"/>
          <w:szCs w:val="28"/>
        </w:rPr>
      </w:pPr>
      <w:r>
        <w:rPr>
          <w:rFonts w:ascii="Garamond" w:hAnsi="Garamond"/>
          <w:b/>
          <w:color w:val="auto"/>
          <w:sz w:val="28"/>
          <w:szCs w:val="28"/>
        </w:rPr>
        <w:t>Investment Barriers</w:t>
      </w:r>
    </w:p>
    <w:p w14:paraId="01E862DD" w14:textId="77777777" w:rsidR="00FE0F9A" w:rsidRPr="00212B48" w:rsidRDefault="00FE0F9A" w:rsidP="00FE0F9A">
      <w:pPr>
        <w:rPr>
          <w:sz w:val="23"/>
          <w:szCs w:val="23"/>
        </w:rPr>
      </w:pPr>
      <w:r w:rsidRPr="00212B48">
        <w:rPr>
          <w:sz w:val="23"/>
          <w:szCs w:val="23"/>
        </w:rPr>
        <w:t xml:space="preserve">ISCA would just like to note that while we are aware of the constraints on the provision of student accommodation facing the industry as a whole, in the non-government schools sector, most students are either living with parents or suitable relatives, or in homestay or boarding school accommodation arranged by the school. </w:t>
      </w:r>
    </w:p>
    <w:p w14:paraId="4B255907" w14:textId="77777777" w:rsidR="002542EB" w:rsidRPr="002542EB" w:rsidRDefault="002542EB" w:rsidP="002542EB">
      <w:pPr>
        <w:pStyle w:val="Heading1"/>
        <w:rPr>
          <w:rFonts w:ascii="Garamond" w:hAnsi="Garamond"/>
          <w:b/>
          <w:color w:val="auto"/>
          <w:sz w:val="28"/>
          <w:szCs w:val="28"/>
        </w:rPr>
      </w:pPr>
      <w:r w:rsidRPr="002542EB">
        <w:rPr>
          <w:rFonts w:ascii="Garamond" w:hAnsi="Garamond"/>
          <w:b/>
          <w:color w:val="auto"/>
          <w:sz w:val="28"/>
          <w:szCs w:val="28"/>
        </w:rPr>
        <w:t>Other Barriers</w:t>
      </w:r>
    </w:p>
    <w:p w14:paraId="72D549D8" w14:textId="054F78EF" w:rsidR="002542EB" w:rsidRPr="00212B48" w:rsidRDefault="00272E37" w:rsidP="00E02361">
      <w:pPr>
        <w:rPr>
          <w:sz w:val="23"/>
          <w:szCs w:val="23"/>
        </w:rPr>
      </w:pPr>
      <w:r w:rsidRPr="00212B48">
        <w:rPr>
          <w:sz w:val="23"/>
          <w:szCs w:val="23"/>
        </w:rPr>
        <w:t>There is currently not a large amount of off-shore provision of international education in the non-government schools sector</w:t>
      </w:r>
      <w:r w:rsidR="00796DED" w:rsidRPr="00212B48">
        <w:rPr>
          <w:sz w:val="23"/>
          <w:szCs w:val="23"/>
        </w:rPr>
        <w:t xml:space="preserve">, partly because of issues related </w:t>
      </w:r>
      <w:r w:rsidRPr="00212B48">
        <w:rPr>
          <w:sz w:val="23"/>
          <w:szCs w:val="23"/>
        </w:rPr>
        <w:t>to licensing of curriculum</w:t>
      </w:r>
      <w:r w:rsidR="00796DED" w:rsidRPr="00212B48">
        <w:rPr>
          <w:sz w:val="23"/>
          <w:szCs w:val="23"/>
        </w:rPr>
        <w:t>.</w:t>
      </w:r>
      <w:r w:rsidRPr="00212B48">
        <w:rPr>
          <w:sz w:val="23"/>
          <w:szCs w:val="23"/>
        </w:rPr>
        <w:t xml:space="preserve"> </w:t>
      </w:r>
      <w:r w:rsidR="00796DED" w:rsidRPr="00212B48">
        <w:rPr>
          <w:sz w:val="23"/>
          <w:szCs w:val="23"/>
        </w:rPr>
        <w:t>A</w:t>
      </w:r>
      <w:r w:rsidRPr="00212B48">
        <w:rPr>
          <w:sz w:val="23"/>
          <w:szCs w:val="23"/>
        </w:rPr>
        <w:t xml:space="preserve">t the secondary level particularly, licensing of curriculum is not an option available to non-government schools as they do not hold the copyright for the curriculum. This is generally held by the Board of Studies or equivalent body in each state or territory. </w:t>
      </w:r>
    </w:p>
    <w:p w14:paraId="7B7ECE50" w14:textId="77777777" w:rsidR="00272E37" w:rsidRPr="00212B48" w:rsidRDefault="00272E37" w:rsidP="00E02361">
      <w:pPr>
        <w:rPr>
          <w:sz w:val="23"/>
          <w:szCs w:val="23"/>
        </w:rPr>
      </w:pPr>
      <w:r w:rsidRPr="00212B48">
        <w:rPr>
          <w:sz w:val="23"/>
          <w:szCs w:val="23"/>
        </w:rPr>
        <w:t>On</w:t>
      </w:r>
      <w:r w:rsidR="009D50B3" w:rsidRPr="00212B48">
        <w:rPr>
          <w:sz w:val="23"/>
          <w:szCs w:val="23"/>
        </w:rPr>
        <w:t>e</w:t>
      </w:r>
      <w:r w:rsidRPr="00212B48">
        <w:rPr>
          <w:sz w:val="23"/>
          <w:szCs w:val="23"/>
        </w:rPr>
        <w:t xml:space="preserve"> of the major elements of Austrade’s AIE 2025 Strategy is to significantly increase the quantum and type of off-shore provision of international education however, how this would best be suited to non-government schools will be an evolving discussion.</w:t>
      </w:r>
    </w:p>
    <w:p w14:paraId="4ABDD42A" w14:textId="77777777" w:rsidR="006C04CA" w:rsidRPr="00C26FB6" w:rsidRDefault="00411429" w:rsidP="00D62711">
      <w:pPr>
        <w:pStyle w:val="Heading1"/>
        <w:rPr>
          <w:rFonts w:ascii="Garamond" w:hAnsi="Garamond"/>
          <w:b/>
          <w:color w:val="auto"/>
          <w:sz w:val="28"/>
          <w:szCs w:val="28"/>
        </w:rPr>
      </w:pPr>
      <w:r w:rsidRPr="00C26FB6">
        <w:rPr>
          <w:rFonts w:ascii="Garamond" w:hAnsi="Garamond"/>
          <w:b/>
          <w:color w:val="auto"/>
          <w:sz w:val="28"/>
          <w:szCs w:val="28"/>
        </w:rPr>
        <w:t>What’s at risk?</w:t>
      </w:r>
    </w:p>
    <w:p w14:paraId="6F8127E5" w14:textId="77777777" w:rsidR="00411429" w:rsidRPr="00212B48" w:rsidRDefault="00411429">
      <w:pPr>
        <w:rPr>
          <w:sz w:val="23"/>
          <w:szCs w:val="23"/>
        </w:rPr>
      </w:pPr>
      <w:r w:rsidRPr="00212B48">
        <w:rPr>
          <w:sz w:val="23"/>
          <w:szCs w:val="23"/>
        </w:rPr>
        <w:t xml:space="preserve">If the kinds of barriers identified in this and numerous other submissions of this kind made by ISCA over the last five years are not addressed, reduced or removed, the risk is non-government schools will stop enrolling international students on student visas. While this will not make a huge difference to Australia’s bottom line, it will have a large impact on school communities, diversity in schools, </w:t>
      </w:r>
      <w:r w:rsidR="00F60F46" w:rsidRPr="00212B48">
        <w:rPr>
          <w:sz w:val="23"/>
          <w:szCs w:val="23"/>
        </w:rPr>
        <w:t xml:space="preserve">the lives of international students who successfully complete school level </w:t>
      </w:r>
      <w:r w:rsidR="00F60F46" w:rsidRPr="00212B48">
        <w:rPr>
          <w:sz w:val="23"/>
          <w:szCs w:val="23"/>
        </w:rPr>
        <w:lastRenderedPageBreak/>
        <w:t xml:space="preserve">studies in Australia </w:t>
      </w:r>
      <w:r w:rsidRPr="00212B48">
        <w:rPr>
          <w:sz w:val="23"/>
          <w:szCs w:val="23"/>
        </w:rPr>
        <w:t>and the contribution non-government schools can make as a study pathway to other sectors.</w:t>
      </w:r>
    </w:p>
    <w:p w14:paraId="48E477D3" w14:textId="77777777" w:rsidR="00F60F46" w:rsidRPr="00212B48" w:rsidRDefault="00411429">
      <w:pPr>
        <w:rPr>
          <w:sz w:val="23"/>
          <w:szCs w:val="23"/>
        </w:rPr>
      </w:pPr>
      <w:r w:rsidRPr="00212B48">
        <w:rPr>
          <w:sz w:val="23"/>
          <w:szCs w:val="23"/>
        </w:rPr>
        <w:t xml:space="preserve">Non-government schools do a great job of educating young people. They are low risk providers. </w:t>
      </w:r>
      <w:r w:rsidR="00F60F46" w:rsidRPr="00212B48">
        <w:rPr>
          <w:sz w:val="23"/>
          <w:szCs w:val="23"/>
        </w:rPr>
        <w:t>A large number of them enrol relative small numbers of international students (compared with other sectors), and as a sector, they are often neglected in what has been until now a “one-size fits all” approach.</w:t>
      </w:r>
    </w:p>
    <w:p w14:paraId="7FD5A866" w14:textId="5E69CD0A" w:rsidR="00342519" w:rsidRPr="00212B48" w:rsidRDefault="00F60F46">
      <w:pPr>
        <w:rPr>
          <w:sz w:val="23"/>
          <w:szCs w:val="23"/>
        </w:rPr>
      </w:pPr>
      <w:r w:rsidRPr="00212B48">
        <w:rPr>
          <w:sz w:val="23"/>
          <w:szCs w:val="23"/>
        </w:rPr>
        <w:t xml:space="preserve">Non-government schools </w:t>
      </w:r>
      <w:r w:rsidR="00411429" w:rsidRPr="00212B48">
        <w:rPr>
          <w:sz w:val="23"/>
          <w:szCs w:val="23"/>
        </w:rPr>
        <w:t xml:space="preserve">carry a very large regulatory burden – in most cases individually. </w:t>
      </w:r>
      <w:r w:rsidRPr="00212B48">
        <w:rPr>
          <w:sz w:val="23"/>
          <w:szCs w:val="23"/>
        </w:rPr>
        <w:t xml:space="preserve">It is in everyone’s interests </w:t>
      </w:r>
      <w:r w:rsidR="00411429" w:rsidRPr="00212B48">
        <w:rPr>
          <w:sz w:val="23"/>
          <w:szCs w:val="23"/>
        </w:rPr>
        <w:t xml:space="preserve">to free up the resources of these schools to do </w:t>
      </w:r>
      <w:r w:rsidR="00C26FB6" w:rsidRPr="00212B48">
        <w:rPr>
          <w:sz w:val="23"/>
          <w:szCs w:val="23"/>
        </w:rPr>
        <w:t>what they do best</w:t>
      </w:r>
      <w:r w:rsidR="00411429" w:rsidRPr="00212B48">
        <w:rPr>
          <w:sz w:val="23"/>
          <w:szCs w:val="23"/>
        </w:rPr>
        <w:t xml:space="preserve"> - deliver high quality education services to </w:t>
      </w:r>
      <w:r w:rsidR="00411429" w:rsidRPr="00212B48">
        <w:rPr>
          <w:b/>
          <w:sz w:val="23"/>
          <w:szCs w:val="23"/>
        </w:rPr>
        <w:t>all</w:t>
      </w:r>
      <w:r w:rsidR="00411429" w:rsidRPr="00212B48">
        <w:rPr>
          <w:sz w:val="23"/>
          <w:szCs w:val="23"/>
        </w:rPr>
        <w:t xml:space="preserve"> students, regardless of their country of origin - rather than exhaust resources on compliance and red tape</w:t>
      </w:r>
      <w:r w:rsidRPr="00212B48">
        <w:rPr>
          <w:sz w:val="23"/>
          <w:szCs w:val="23"/>
        </w:rPr>
        <w:t>, and make it too hard for them to recruit</w:t>
      </w:r>
      <w:r w:rsidR="002B7619" w:rsidRPr="00212B48">
        <w:rPr>
          <w:sz w:val="23"/>
          <w:szCs w:val="23"/>
        </w:rPr>
        <w:t xml:space="preserve"> students and participate in this “industry”.</w:t>
      </w:r>
    </w:p>
    <w:p w14:paraId="42AA4D96" w14:textId="17C49BD4" w:rsidR="00411429" w:rsidRPr="00212B48" w:rsidRDefault="00411429">
      <w:pPr>
        <w:rPr>
          <w:sz w:val="23"/>
          <w:szCs w:val="23"/>
        </w:rPr>
      </w:pPr>
      <w:r w:rsidRPr="00212B48">
        <w:rPr>
          <w:sz w:val="23"/>
          <w:szCs w:val="23"/>
        </w:rPr>
        <w:t xml:space="preserve">The focus of a good regulatory regime should be on </w:t>
      </w:r>
      <w:r w:rsidR="00F60F46" w:rsidRPr="00212B48">
        <w:rPr>
          <w:sz w:val="23"/>
          <w:szCs w:val="23"/>
        </w:rPr>
        <w:t xml:space="preserve">providing high quality </w:t>
      </w:r>
      <w:r w:rsidRPr="00212B48">
        <w:rPr>
          <w:sz w:val="23"/>
          <w:szCs w:val="23"/>
        </w:rPr>
        <w:t xml:space="preserve">student experiences, </w:t>
      </w:r>
      <w:r w:rsidR="00F60F46" w:rsidRPr="00212B48">
        <w:rPr>
          <w:sz w:val="23"/>
          <w:szCs w:val="23"/>
        </w:rPr>
        <w:t xml:space="preserve">learning outcomes, and </w:t>
      </w:r>
      <w:r w:rsidRPr="00212B48">
        <w:rPr>
          <w:sz w:val="23"/>
          <w:szCs w:val="23"/>
        </w:rPr>
        <w:t>welfare and</w:t>
      </w:r>
      <w:r w:rsidR="00F60F46" w:rsidRPr="00212B48">
        <w:rPr>
          <w:sz w:val="23"/>
          <w:szCs w:val="23"/>
        </w:rPr>
        <w:t xml:space="preserve"> pastoral care programs, </w:t>
      </w:r>
      <w:r w:rsidRPr="00212B48">
        <w:rPr>
          <w:sz w:val="23"/>
          <w:szCs w:val="23"/>
        </w:rPr>
        <w:t xml:space="preserve">rather </w:t>
      </w:r>
      <w:r w:rsidR="00F60F46" w:rsidRPr="00212B48">
        <w:rPr>
          <w:sz w:val="23"/>
          <w:szCs w:val="23"/>
        </w:rPr>
        <w:t xml:space="preserve">than </w:t>
      </w:r>
      <w:r w:rsidR="002B7619" w:rsidRPr="00212B48">
        <w:rPr>
          <w:sz w:val="23"/>
          <w:szCs w:val="23"/>
        </w:rPr>
        <w:t xml:space="preserve">creating an environment where </w:t>
      </w:r>
      <w:r w:rsidR="00F60F46" w:rsidRPr="00212B48">
        <w:rPr>
          <w:sz w:val="23"/>
          <w:szCs w:val="23"/>
        </w:rPr>
        <w:t xml:space="preserve">school staff live in fear of failure of having </w:t>
      </w:r>
      <w:r w:rsidRPr="00212B48">
        <w:rPr>
          <w:sz w:val="23"/>
          <w:szCs w:val="23"/>
        </w:rPr>
        <w:t xml:space="preserve">every box in every administrative checklist ticked, </w:t>
      </w:r>
      <w:r w:rsidR="00F60F46" w:rsidRPr="00212B48">
        <w:rPr>
          <w:sz w:val="23"/>
          <w:szCs w:val="23"/>
        </w:rPr>
        <w:t xml:space="preserve">and </w:t>
      </w:r>
      <w:r w:rsidR="005453CE" w:rsidRPr="00212B48">
        <w:rPr>
          <w:sz w:val="23"/>
          <w:szCs w:val="23"/>
        </w:rPr>
        <w:t>every administrative deadline met</w:t>
      </w:r>
      <w:r w:rsidR="00C26FB6" w:rsidRPr="00212B48">
        <w:rPr>
          <w:sz w:val="23"/>
          <w:szCs w:val="23"/>
        </w:rPr>
        <w:t>.</w:t>
      </w:r>
    </w:p>
    <w:p w14:paraId="1A6F4923" w14:textId="77777777" w:rsidR="00342519" w:rsidRPr="00212B48" w:rsidRDefault="00342519">
      <w:pPr>
        <w:rPr>
          <w:sz w:val="23"/>
          <w:szCs w:val="23"/>
        </w:rPr>
      </w:pPr>
      <w:r w:rsidRPr="00212B48">
        <w:rPr>
          <w:sz w:val="23"/>
          <w:szCs w:val="23"/>
        </w:rPr>
        <w:t xml:space="preserve">ISCA is hopeful that the myriad international education reviews being undertaken will at some point deliver relief to non-government schools from regulatory </w:t>
      </w:r>
      <w:r w:rsidR="002B7619" w:rsidRPr="00212B48">
        <w:rPr>
          <w:sz w:val="23"/>
          <w:szCs w:val="23"/>
        </w:rPr>
        <w:t xml:space="preserve">overload </w:t>
      </w:r>
      <w:r w:rsidRPr="00212B48">
        <w:rPr>
          <w:sz w:val="23"/>
          <w:szCs w:val="23"/>
        </w:rPr>
        <w:t>and allow them to be active participants in the next iteration of international education services in Australia.</w:t>
      </w:r>
    </w:p>
    <w:bookmarkEnd w:id="6"/>
    <w:bookmarkEnd w:id="7"/>
    <w:p w14:paraId="3A558ECB" w14:textId="77777777" w:rsidR="00EB0CBE" w:rsidRDefault="00EB0CBE" w:rsidP="00EA7856"/>
    <w:p w14:paraId="7F53DBBB" w14:textId="77777777" w:rsidR="00272E37" w:rsidRDefault="00272E37" w:rsidP="00EA7856"/>
    <w:p w14:paraId="4F219AE8" w14:textId="77777777" w:rsidR="00272E37" w:rsidRPr="00272E37" w:rsidRDefault="00272E37" w:rsidP="00EA7856"/>
    <w:p w14:paraId="619855EF" w14:textId="506D5951" w:rsidR="00123638" w:rsidRPr="00212B48" w:rsidRDefault="00EB0CBE" w:rsidP="00EA7856">
      <w:r w:rsidRPr="00272E37">
        <w:t>Independent Schools Council of Australia</w:t>
      </w:r>
      <w:r w:rsidRPr="00272E37">
        <w:br/>
      </w:r>
      <w:bookmarkEnd w:id="8"/>
      <w:r w:rsidR="00272E37">
        <w:t>25</w:t>
      </w:r>
      <w:r w:rsidR="00FA422D" w:rsidRPr="00272E37">
        <w:t xml:space="preserve"> May 2015</w:t>
      </w:r>
    </w:p>
    <w:p w14:paraId="2C259CE6" w14:textId="77777777" w:rsidR="00123638" w:rsidRDefault="00123638">
      <w:pPr>
        <w:spacing w:after="0" w:line="240" w:lineRule="auto"/>
        <w:rPr>
          <w:rFonts w:ascii="Garamond" w:hAnsi="Garamond"/>
          <w:sz w:val="24"/>
          <w:szCs w:val="24"/>
        </w:rPr>
      </w:pPr>
      <w:r>
        <w:rPr>
          <w:rFonts w:ascii="Garamond" w:hAnsi="Garamond"/>
          <w:sz w:val="24"/>
          <w:szCs w:val="24"/>
        </w:rPr>
        <w:br w:type="page"/>
      </w:r>
    </w:p>
    <w:p w14:paraId="3A00ECAF" w14:textId="77777777" w:rsidR="00376E5B" w:rsidRPr="00212B48" w:rsidRDefault="00123638" w:rsidP="00212B48">
      <w:pPr>
        <w:spacing w:after="0"/>
        <w:rPr>
          <w:rFonts w:asciiTheme="minorHAnsi" w:hAnsiTheme="minorHAnsi"/>
          <w:b/>
          <w:sz w:val="23"/>
          <w:szCs w:val="23"/>
        </w:rPr>
      </w:pPr>
      <w:r w:rsidRPr="00212B48">
        <w:rPr>
          <w:rFonts w:asciiTheme="minorHAnsi" w:hAnsiTheme="minorHAnsi"/>
          <w:b/>
          <w:sz w:val="23"/>
          <w:szCs w:val="23"/>
        </w:rPr>
        <w:lastRenderedPageBreak/>
        <w:t xml:space="preserve">Attachment 1. </w:t>
      </w:r>
    </w:p>
    <w:p w14:paraId="5084DA34" w14:textId="15DCB661" w:rsidR="00376E5B" w:rsidRPr="00212B48" w:rsidRDefault="00123638" w:rsidP="00D62711">
      <w:pPr>
        <w:pStyle w:val="ListParagraph"/>
        <w:numPr>
          <w:ilvl w:val="0"/>
          <w:numId w:val="39"/>
        </w:numPr>
        <w:rPr>
          <w:rFonts w:asciiTheme="minorHAnsi" w:hAnsiTheme="minorHAnsi"/>
          <w:sz w:val="23"/>
          <w:szCs w:val="23"/>
        </w:rPr>
      </w:pPr>
      <w:r w:rsidRPr="00212B48">
        <w:rPr>
          <w:rFonts w:asciiTheme="minorHAnsi" w:hAnsiTheme="minorHAnsi"/>
          <w:sz w:val="23"/>
          <w:szCs w:val="23"/>
        </w:rPr>
        <w:t xml:space="preserve">Extract from </w:t>
      </w:r>
      <w:r w:rsidRPr="00212B48">
        <w:rPr>
          <w:rFonts w:asciiTheme="minorHAnsi" w:hAnsiTheme="minorHAnsi"/>
          <w:i/>
          <w:sz w:val="23"/>
          <w:szCs w:val="23"/>
        </w:rPr>
        <w:t>TPS Levy 2015 – Information Sessions Presentation</w:t>
      </w:r>
      <w:r w:rsidRPr="00212B48">
        <w:rPr>
          <w:rFonts w:asciiTheme="minorHAnsi" w:hAnsiTheme="minorHAnsi"/>
          <w:sz w:val="23"/>
          <w:szCs w:val="23"/>
        </w:rPr>
        <w:t xml:space="preserve"> (available at </w:t>
      </w:r>
      <w:hyperlink r:id="rId13" w:anchor="article-809c423d-57e1-49f7-a1d7-4786937a64c6" w:history="1">
        <w:r w:rsidRPr="00212B48">
          <w:rPr>
            <w:rStyle w:val="Hyperlink"/>
            <w:rFonts w:asciiTheme="minorHAnsi" w:hAnsiTheme="minorHAnsi"/>
            <w:sz w:val="23"/>
            <w:szCs w:val="23"/>
          </w:rPr>
          <w:t>https://tps.gov.au/StaticContent/Get/News#article-809c423d-57e1-49f7-a1d7-4786937a64c6</w:t>
        </w:r>
      </w:hyperlink>
      <w:r w:rsidRPr="00212B48">
        <w:rPr>
          <w:rFonts w:asciiTheme="minorHAnsi" w:hAnsiTheme="minorHAnsi"/>
          <w:sz w:val="23"/>
          <w:szCs w:val="23"/>
        </w:rPr>
        <w:t>)</w:t>
      </w:r>
    </w:p>
    <w:p w14:paraId="13B3D48F" w14:textId="441E2052" w:rsidR="00376E5B" w:rsidRPr="00212B48" w:rsidRDefault="00376E5B" w:rsidP="00D62711">
      <w:pPr>
        <w:pStyle w:val="ListParagraph"/>
        <w:numPr>
          <w:ilvl w:val="0"/>
          <w:numId w:val="39"/>
        </w:numPr>
        <w:rPr>
          <w:rFonts w:asciiTheme="minorHAnsi" w:hAnsiTheme="minorHAnsi"/>
          <w:sz w:val="23"/>
          <w:szCs w:val="23"/>
        </w:rPr>
      </w:pPr>
      <w:r w:rsidRPr="00212B48">
        <w:rPr>
          <w:rFonts w:asciiTheme="minorHAnsi" w:hAnsiTheme="minorHAnsi"/>
          <w:sz w:val="23"/>
          <w:szCs w:val="23"/>
        </w:rPr>
        <w:t>Table 1: % share of ARC + TPS contributions and ARC only by sector</w:t>
      </w:r>
    </w:p>
    <w:p w14:paraId="721B35DE" w14:textId="4B47AE3D" w:rsidR="007B4061" w:rsidRPr="00212B48" w:rsidRDefault="00376E5B" w:rsidP="00EA7856">
      <w:pPr>
        <w:pStyle w:val="ListParagraph"/>
        <w:numPr>
          <w:ilvl w:val="0"/>
          <w:numId w:val="39"/>
        </w:numPr>
        <w:rPr>
          <w:rFonts w:asciiTheme="minorHAnsi" w:hAnsiTheme="minorHAnsi"/>
          <w:sz w:val="23"/>
          <w:szCs w:val="23"/>
        </w:rPr>
      </w:pPr>
      <w:r w:rsidRPr="00212B48">
        <w:rPr>
          <w:rFonts w:asciiTheme="minorHAnsi" w:hAnsiTheme="minorHAnsi"/>
          <w:sz w:val="23"/>
          <w:szCs w:val="23"/>
        </w:rPr>
        <w:t>Figure 1</w:t>
      </w:r>
      <w:r w:rsidR="00C26FB6" w:rsidRPr="00212B48">
        <w:rPr>
          <w:rFonts w:asciiTheme="minorHAnsi" w:hAnsiTheme="minorHAnsi"/>
          <w:sz w:val="23"/>
          <w:szCs w:val="23"/>
        </w:rPr>
        <w:t>:</w:t>
      </w:r>
      <w:r w:rsidRPr="00212B48">
        <w:rPr>
          <w:rFonts w:asciiTheme="minorHAnsi" w:hAnsiTheme="minorHAnsi"/>
          <w:sz w:val="23"/>
          <w:szCs w:val="23"/>
        </w:rPr>
        <w:t xml:space="preserve"> Sector YTD Enrolments 2014</w:t>
      </w:r>
    </w:p>
    <w:p w14:paraId="18EE6F60" w14:textId="3CEE2938" w:rsidR="00123638" w:rsidRDefault="00F0568B" w:rsidP="00EA7856">
      <w:pPr>
        <w:rPr>
          <w:rFonts w:ascii="Garamond" w:hAnsi="Garamond"/>
          <w:sz w:val="24"/>
          <w:szCs w:val="24"/>
        </w:rPr>
      </w:pPr>
      <w:r>
        <w:rPr>
          <w:rFonts w:ascii="Garamond" w:hAnsi="Garamond"/>
          <w:noProof/>
          <w:sz w:val="24"/>
          <w:szCs w:val="24"/>
          <w:lang w:eastAsia="en-AU"/>
        </w:rPr>
        <w:drawing>
          <wp:inline distT="0" distB="0" distL="0" distR="0" wp14:anchorId="17B01480" wp14:editId="203B7FF7">
            <wp:extent cx="5685712" cy="3705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blic unis.jpg"/>
                    <pic:cNvPicPr/>
                  </pic:nvPicPr>
                  <pic:blipFill>
                    <a:blip r:embed="rId14">
                      <a:extLst>
                        <a:ext uri="{28A0092B-C50C-407E-A947-70E740481C1C}">
                          <a14:useLocalDpi xmlns:a14="http://schemas.microsoft.com/office/drawing/2010/main" val="0"/>
                        </a:ext>
                      </a:extLst>
                    </a:blip>
                    <a:stretch>
                      <a:fillRect/>
                    </a:stretch>
                  </pic:blipFill>
                  <pic:spPr>
                    <a:xfrm>
                      <a:off x="0" y="0"/>
                      <a:ext cx="5699642" cy="3714303"/>
                    </a:xfrm>
                    <a:prstGeom prst="rect">
                      <a:avLst/>
                    </a:prstGeom>
                  </pic:spPr>
                </pic:pic>
              </a:graphicData>
            </a:graphic>
          </wp:inline>
        </w:drawing>
      </w:r>
    </w:p>
    <w:p w14:paraId="0E3374BE" w14:textId="5F8FF31E" w:rsidR="00123638" w:rsidRDefault="00262BBC" w:rsidP="00EA7856">
      <w:pPr>
        <w:rPr>
          <w:rFonts w:ascii="Garamond" w:hAnsi="Garamond"/>
          <w:sz w:val="24"/>
          <w:szCs w:val="24"/>
        </w:rPr>
      </w:pPr>
      <w:r>
        <w:rPr>
          <w:rFonts w:ascii="Garamond" w:hAnsi="Garamond"/>
          <w:noProof/>
          <w:sz w:val="24"/>
          <w:szCs w:val="24"/>
          <w:lang w:eastAsia="en-AU"/>
        </w:rPr>
        <w:drawing>
          <wp:inline distT="0" distB="0" distL="0" distR="0" wp14:anchorId="306EC042" wp14:editId="4C2E44BB">
            <wp:extent cx="5474278" cy="3743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vate VET.jpg"/>
                    <pic:cNvPicPr/>
                  </pic:nvPicPr>
                  <pic:blipFill>
                    <a:blip r:embed="rId15">
                      <a:extLst>
                        <a:ext uri="{28A0092B-C50C-407E-A947-70E740481C1C}">
                          <a14:useLocalDpi xmlns:a14="http://schemas.microsoft.com/office/drawing/2010/main" val="0"/>
                        </a:ext>
                      </a:extLst>
                    </a:blip>
                    <a:stretch>
                      <a:fillRect/>
                    </a:stretch>
                  </pic:blipFill>
                  <pic:spPr>
                    <a:xfrm>
                      <a:off x="0" y="0"/>
                      <a:ext cx="5480377" cy="3747495"/>
                    </a:xfrm>
                    <a:prstGeom prst="rect">
                      <a:avLst/>
                    </a:prstGeom>
                  </pic:spPr>
                </pic:pic>
              </a:graphicData>
            </a:graphic>
          </wp:inline>
        </w:drawing>
      </w:r>
    </w:p>
    <w:p w14:paraId="67125FB5" w14:textId="77777777" w:rsidR="00123638" w:rsidRDefault="00123638" w:rsidP="00EA7856">
      <w:pPr>
        <w:rPr>
          <w:rFonts w:ascii="Garamond" w:hAnsi="Garamond"/>
          <w:sz w:val="24"/>
          <w:szCs w:val="24"/>
        </w:rPr>
      </w:pPr>
      <w:r>
        <w:rPr>
          <w:rFonts w:ascii="Garamond" w:hAnsi="Garamond"/>
          <w:noProof/>
          <w:sz w:val="24"/>
          <w:szCs w:val="24"/>
          <w:lang w:eastAsia="en-AU"/>
        </w:rPr>
        <w:lastRenderedPageBreak/>
        <w:drawing>
          <wp:inline distT="0" distB="0" distL="0" distR="0" wp14:anchorId="0FA5BAAC" wp14:editId="63F71925">
            <wp:extent cx="5731510" cy="3966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vt school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966210"/>
                    </a:xfrm>
                    <a:prstGeom prst="rect">
                      <a:avLst/>
                    </a:prstGeom>
                  </pic:spPr>
                </pic:pic>
              </a:graphicData>
            </a:graphic>
          </wp:inline>
        </w:drawing>
      </w:r>
    </w:p>
    <w:p w14:paraId="260F8F81" w14:textId="77777777" w:rsidR="009633C9" w:rsidRDefault="009633C9" w:rsidP="00EA7856">
      <w:pPr>
        <w:rPr>
          <w:rFonts w:ascii="Garamond" w:hAnsi="Garamond"/>
          <w:sz w:val="24"/>
          <w:szCs w:val="24"/>
        </w:rPr>
      </w:pPr>
    </w:p>
    <w:p w14:paraId="46EE95EB" w14:textId="77777777" w:rsidR="00123638" w:rsidRDefault="00123638" w:rsidP="00EA7856">
      <w:pPr>
        <w:rPr>
          <w:rFonts w:ascii="Garamond" w:hAnsi="Garamond"/>
          <w:sz w:val="24"/>
          <w:szCs w:val="24"/>
        </w:rPr>
      </w:pPr>
      <w:r>
        <w:rPr>
          <w:rFonts w:ascii="Garamond" w:hAnsi="Garamond"/>
          <w:noProof/>
          <w:sz w:val="24"/>
          <w:szCs w:val="24"/>
          <w:lang w:eastAsia="en-AU"/>
        </w:rPr>
        <w:drawing>
          <wp:inline distT="0" distB="0" distL="0" distR="0" wp14:anchorId="198C9748" wp14:editId="41945BC7">
            <wp:extent cx="5731510" cy="3955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n-govt schools.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955415"/>
                    </a:xfrm>
                    <a:prstGeom prst="rect">
                      <a:avLst/>
                    </a:prstGeom>
                  </pic:spPr>
                </pic:pic>
              </a:graphicData>
            </a:graphic>
          </wp:inline>
        </w:drawing>
      </w:r>
    </w:p>
    <w:p w14:paraId="49FA392E" w14:textId="77777777" w:rsidR="00E46ED3" w:rsidRDefault="00E46ED3" w:rsidP="00EA7856">
      <w:pPr>
        <w:rPr>
          <w:rFonts w:ascii="Garamond" w:hAnsi="Garamond"/>
          <w:sz w:val="24"/>
          <w:szCs w:val="24"/>
        </w:rPr>
      </w:pPr>
    </w:p>
    <w:p w14:paraId="36364F1B" w14:textId="77777777" w:rsidR="00E46ED3" w:rsidRPr="00212B48" w:rsidRDefault="00E27498" w:rsidP="00D62711">
      <w:pPr>
        <w:tabs>
          <w:tab w:val="left" w:pos="1215"/>
        </w:tabs>
        <w:rPr>
          <w:rFonts w:asciiTheme="minorHAnsi" w:hAnsiTheme="minorHAnsi"/>
          <w:b/>
          <w:sz w:val="23"/>
          <w:szCs w:val="23"/>
        </w:rPr>
      </w:pPr>
      <w:r w:rsidRPr="00212B48">
        <w:rPr>
          <w:rFonts w:asciiTheme="minorHAnsi" w:hAnsiTheme="minorHAnsi"/>
          <w:b/>
          <w:sz w:val="23"/>
          <w:szCs w:val="23"/>
        </w:rPr>
        <w:lastRenderedPageBreak/>
        <w:t xml:space="preserve">Table 1: % share of ARC + TPS contributions </w:t>
      </w:r>
      <w:r w:rsidR="002F1CF4" w:rsidRPr="00212B48">
        <w:rPr>
          <w:rFonts w:asciiTheme="minorHAnsi" w:hAnsiTheme="minorHAnsi"/>
          <w:b/>
          <w:sz w:val="23"/>
          <w:szCs w:val="23"/>
        </w:rPr>
        <w:t xml:space="preserve">and ARC only </w:t>
      </w:r>
      <w:r w:rsidRPr="00212B48">
        <w:rPr>
          <w:rFonts w:asciiTheme="minorHAnsi" w:hAnsiTheme="minorHAnsi"/>
          <w:b/>
          <w:sz w:val="23"/>
          <w:szCs w:val="23"/>
        </w:rPr>
        <w:t>by sector</w:t>
      </w:r>
    </w:p>
    <w:tbl>
      <w:tblPr>
        <w:tblW w:w="9680" w:type="dxa"/>
        <w:tblInd w:w="-10" w:type="dxa"/>
        <w:tblLook w:val="04A0" w:firstRow="1" w:lastRow="0" w:firstColumn="1" w:lastColumn="0" w:noHBand="0" w:noVBand="1"/>
      </w:tblPr>
      <w:tblGrid>
        <w:gridCol w:w="2127"/>
        <w:gridCol w:w="2976"/>
        <w:gridCol w:w="1134"/>
        <w:gridCol w:w="2268"/>
        <w:gridCol w:w="1175"/>
      </w:tblGrid>
      <w:tr w:rsidR="009633C9" w:rsidRPr="009633C9" w14:paraId="0691CE36" w14:textId="77777777" w:rsidTr="009633C9">
        <w:trPr>
          <w:trHeight w:val="330"/>
        </w:trPr>
        <w:tc>
          <w:tcPr>
            <w:tcW w:w="2127" w:type="dxa"/>
            <w:tcBorders>
              <w:top w:val="single" w:sz="8" w:space="0" w:color="auto"/>
              <w:left w:val="single" w:sz="8" w:space="0" w:color="auto"/>
              <w:bottom w:val="single" w:sz="8" w:space="0" w:color="auto"/>
              <w:right w:val="single" w:sz="8" w:space="0" w:color="auto"/>
            </w:tcBorders>
            <w:shd w:val="clear" w:color="000000" w:fill="FFD5D5"/>
            <w:noWrap/>
            <w:vAlign w:val="center"/>
            <w:hideMark/>
          </w:tcPr>
          <w:p w14:paraId="478DCE09" w14:textId="77777777" w:rsidR="009633C9" w:rsidRPr="009633C9" w:rsidRDefault="009633C9" w:rsidP="009633C9">
            <w:pPr>
              <w:spacing w:after="0" w:line="240" w:lineRule="auto"/>
              <w:rPr>
                <w:rFonts w:eastAsia="Times New Roman"/>
                <w:b/>
                <w:bCs/>
                <w:color w:val="000000"/>
                <w:lang w:eastAsia="en-AU"/>
              </w:rPr>
            </w:pPr>
            <w:r w:rsidRPr="009633C9">
              <w:rPr>
                <w:rFonts w:eastAsia="Times New Roman"/>
                <w:b/>
                <w:bCs/>
                <w:color w:val="000000"/>
                <w:lang w:eastAsia="en-AU"/>
              </w:rPr>
              <w:t>SECTOR</w:t>
            </w:r>
          </w:p>
        </w:tc>
        <w:tc>
          <w:tcPr>
            <w:tcW w:w="2976" w:type="dxa"/>
            <w:tcBorders>
              <w:top w:val="single" w:sz="8" w:space="0" w:color="auto"/>
              <w:left w:val="nil"/>
              <w:bottom w:val="single" w:sz="8" w:space="0" w:color="auto"/>
              <w:right w:val="single" w:sz="8" w:space="0" w:color="auto"/>
            </w:tcBorders>
            <w:shd w:val="clear" w:color="000000" w:fill="FFD5D5"/>
            <w:noWrap/>
            <w:vAlign w:val="center"/>
            <w:hideMark/>
          </w:tcPr>
          <w:p w14:paraId="2626122D" w14:textId="1A6C2267" w:rsidR="009633C9" w:rsidRPr="009633C9" w:rsidRDefault="009633C9" w:rsidP="009633C9">
            <w:pPr>
              <w:spacing w:after="0" w:line="240" w:lineRule="auto"/>
              <w:rPr>
                <w:rFonts w:eastAsia="Times New Roman"/>
                <w:b/>
                <w:bCs/>
                <w:color w:val="000000"/>
                <w:lang w:eastAsia="en-AU"/>
              </w:rPr>
            </w:pPr>
            <w:r w:rsidRPr="009633C9">
              <w:rPr>
                <w:rFonts w:eastAsia="Times New Roman"/>
                <w:b/>
                <w:bCs/>
                <w:color w:val="000000"/>
                <w:lang w:eastAsia="en-AU"/>
              </w:rPr>
              <w:t xml:space="preserve">ARC+ TPS calculation 2015 </w:t>
            </w:r>
          </w:p>
        </w:tc>
        <w:tc>
          <w:tcPr>
            <w:tcW w:w="1134" w:type="dxa"/>
            <w:tcBorders>
              <w:top w:val="single" w:sz="8" w:space="0" w:color="auto"/>
              <w:left w:val="nil"/>
              <w:bottom w:val="single" w:sz="8" w:space="0" w:color="auto"/>
              <w:right w:val="single" w:sz="8" w:space="0" w:color="auto"/>
            </w:tcBorders>
            <w:shd w:val="clear" w:color="000000" w:fill="FFD5D5"/>
            <w:noWrap/>
            <w:vAlign w:val="center"/>
            <w:hideMark/>
          </w:tcPr>
          <w:p w14:paraId="1D941933" w14:textId="77777777" w:rsidR="009633C9" w:rsidRPr="009633C9" w:rsidRDefault="009633C9" w:rsidP="009633C9">
            <w:pPr>
              <w:spacing w:after="0" w:line="240" w:lineRule="auto"/>
              <w:rPr>
                <w:rFonts w:eastAsia="Times New Roman"/>
                <w:b/>
                <w:bCs/>
                <w:color w:val="000000"/>
                <w:lang w:eastAsia="en-AU"/>
              </w:rPr>
            </w:pPr>
            <w:r w:rsidRPr="009633C9">
              <w:rPr>
                <w:rFonts w:eastAsia="Times New Roman"/>
                <w:b/>
                <w:bCs/>
                <w:color w:val="000000"/>
                <w:lang w:eastAsia="en-AU"/>
              </w:rPr>
              <w:t>% share</w:t>
            </w:r>
          </w:p>
        </w:tc>
        <w:tc>
          <w:tcPr>
            <w:tcW w:w="2268" w:type="dxa"/>
            <w:tcBorders>
              <w:top w:val="single" w:sz="8" w:space="0" w:color="auto"/>
              <w:left w:val="nil"/>
              <w:bottom w:val="single" w:sz="8" w:space="0" w:color="auto"/>
              <w:right w:val="single" w:sz="8" w:space="0" w:color="auto"/>
            </w:tcBorders>
            <w:shd w:val="clear" w:color="000000" w:fill="FFD5D5"/>
            <w:noWrap/>
            <w:vAlign w:val="center"/>
            <w:hideMark/>
          </w:tcPr>
          <w:p w14:paraId="55976CA1" w14:textId="77777777" w:rsidR="009633C9" w:rsidRPr="009633C9" w:rsidRDefault="009633C9" w:rsidP="009633C9">
            <w:pPr>
              <w:spacing w:after="0" w:line="240" w:lineRule="auto"/>
              <w:rPr>
                <w:rFonts w:eastAsia="Times New Roman"/>
                <w:b/>
                <w:bCs/>
                <w:color w:val="000000"/>
                <w:lang w:eastAsia="en-AU"/>
              </w:rPr>
            </w:pPr>
            <w:r w:rsidRPr="009633C9">
              <w:rPr>
                <w:rFonts w:eastAsia="Times New Roman"/>
                <w:b/>
                <w:bCs/>
                <w:color w:val="000000"/>
                <w:lang w:eastAsia="en-AU"/>
              </w:rPr>
              <w:t>ARC calculation 2015</w:t>
            </w:r>
          </w:p>
        </w:tc>
        <w:tc>
          <w:tcPr>
            <w:tcW w:w="1175" w:type="dxa"/>
            <w:tcBorders>
              <w:top w:val="single" w:sz="8" w:space="0" w:color="auto"/>
              <w:left w:val="nil"/>
              <w:bottom w:val="single" w:sz="8" w:space="0" w:color="auto"/>
              <w:right w:val="single" w:sz="8" w:space="0" w:color="auto"/>
            </w:tcBorders>
            <w:shd w:val="clear" w:color="000000" w:fill="FFD5D5"/>
            <w:noWrap/>
            <w:vAlign w:val="center"/>
            <w:hideMark/>
          </w:tcPr>
          <w:p w14:paraId="2D2F31AF" w14:textId="77777777" w:rsidR="009633C9" w:rsidRPr="009633C9" w:rsidRDefault="009633C9" w:rsidP="009633C9">
            <w:pPr>
              <w:spacing w:after="0" w:line="240" w:lineRule="auto"/>
              <w:rPr>
                <w:rFonts w:eastAsia="Times New Roman"/>
                <w:b/>
                <w:bCs/>
                <w:color w:val="000000"/>
                <w:lang w:eastAsia="en-AU"/>
              </w:rPr>
            </w:pPr>
            <w:r w:rsidRPr="009633C9">
              <w:rPr>
                <w:rFonts w:eastAsia="Times New Roman"/>
                <w:b/>
                <w:bCs/>
                <w:color w:val="000000"/>
                <w:lang w:eastAsia="en-AU"/>
              </w:rPr>
              <w:t>% share</w:t>
            </w:r>
          </w:p>
        </w:tc>
      </w:tr>
      <w:tr w:rsidR="009633C9" w:rsidRPr="009633C9" w14:paraId="10C7AD11"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22A0939C" w14:textId="77777777"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Non-</w:t>
            </w:r>
            <w:proofErr w:type="spellStart"/>
            <w:r w:rsidRPr="009633C9">
              <w:rPr>
                <w:rFonts w:eastAsia="Times New Roman"/>
                <w:color w:val="000000"/>
                <w:lang w:eastAsia="en-AU"/>
              </w:rPr>
              <w:t>Govt</w:t>
            </w:r>
            <w:proofErr w:type="spellEnd"/>
            <w:r w:rsidRPr="009633C9">
              <w:rPr>
                <w:rFonts w:eastAsia="Times New Roman"/>
                <w:color w:val="000000"/>
                <w:lang w:eastAsia="en-AU"/>
              </w:rPr>
              <w:t xml:space="preserve"> Schools</w:t>
            </w:r>
          </w:p>
        </w:tc>
        <w:tc>
          <w:tcPr>
            <w:tcW w:w="2976" w:type="dxa"/>
            <w:tcBorders>
              <w:top w:val="nil"/>
              <w:left w:val="nil"/>
              <w:bottom w:val="single" w:sz="8" w:space="0" w:color="auto"/>
              <w:right w:val="single" w:sz="8" w:space="0" w:color="auto"/>
            </w:tcBorders>
            <w:shd w:val="clear" w:color="auto" w:fill="auto"/>
            <w:noWrap/>
            <w:vAlign w:val="center"/>
            <w:hideMark/>
          </w:tcPr>
          <w:p w14:paraId="054B7EAC"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$3,469,657.98</w:t>
            </w:r>
          </w:p>
        </w:tc>
        <w:tc>
          <w:tcPr>
            <w:tcW w:w="1134" w:type="dxa"/>
            <w:tcBorders>
              <w:top w:val="nil"/>
              <w:left w:val="nil"/>
              <w:bottom w:val="single" w:sz="8" w:space="0" w:color="auto"/>
              <w:right w:val="single" w:sz="8" w:space="0" w:color="auto"/>
            </w:tcBorders>
            <w:shd w:val="clear" w:color="auto" w:fill="auto"/>
            <w:noWrap/>
            <w:vAlign w:val="center"/>
            <w:hideMark/>
          </w:tcPr>
          <w:p w14:paraId="3C474C66"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10%</w:t>
            </w:r>
          </w:p>
        </w:tc>
        <w:tc>
          <w:tcPr>
            <w:tcW w:w="2268" w:type="dxa"/>
            <w:tcBorders>
              <w:top w:val="nil"/>
              <w:left w:val="nil"/>
              <w:bottom w:val="single" w:sz="8" w:space="0" w:color="auto"/>
              <w:right w:val="single" w:sz="8" w:space="0" w:color="auto"/>
            </w:tcBorders>
            <w:shd w:val="clear" w:color="auto" w:fill="auto"/>
            <w:noWrap/>
            <w:vAlign w:val="center"/>
            <w:hideMark/>
          </w:tcPr>
          <w:p w14:paraId="164ABC93"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$2,094,607.50</w:t>
            </w:r>
          </w:p>
        </w:tc>
        <w:tc>
          <w:tcPr>
            <w:tcW w:w="1175" w:type="dxa"/>
            <w:tcBorders>
              <w:top w:val="nil"/>
              <w:left w:val="nil"/>
              <w:bottom w:val="single" w:sz="8" w:space="0" w:color="auto"/>
              <w:right w:val="single" w:sz="8" w:space="0" w:color="auto"/>
            </w:tcBorders>
            <w:shd w:val="clear" w:color="auto" w:fill="auto"/>
            <w:noWrap/>
            <w:vAlign w:val="center"/>
            <w:hideMark/>
          </w:tcPr>
          <w:p w14:paraId="4C310CDF"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12%</w:t>
            </w:r>
          </w:p>
        </w:tc>
      </w:tr>
      <w:tr w:rsidR="009633C9" w:rsidRPr="009633C9" w14:paraId="297B36B6"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574727C9" w14:textId="77777777" w:rsidR="009633C9" w:rsidRPr="009633C9" w:rsidRDefault="009633C9" w:rsidP="009633C9">
            <w:pPr>
              <w:spacing w:after="0" w:line="240" w:lineRule="auto"/>
              <w:rPr>
                <w:rFonts w:eastAsia="Times New Roman"/>
                <w:color w:val="000000"/>
                <w:lang w:eastAsia="en-AU"/>
              </w:rPr>
            </w:pPr>
            <w:proofErr w:type="spellStart"/>
            <w:r w:rsidRPr="009633C9">
              <w:rPr>
                <w:rFonts w:eastAsia="Times New Roman"/>
                <w:color w:val="000000"/>
                <w:lang w:eastAsia="en-AU"/>
              </w:rPr>
              <w:t>Govt</w:t>
            </w:r>
            <w:proofErr w:type="spellEnd"/>
            <w:r w:rsidRPr="009633C9">
              <w:rPr>
                <w:rFonts w:eastAsia="Times New Roman"/>
                <w:color w:val="000000"/>
                <w:lang w:eastAsia="en-AU"/>
              </w:rPr>
              <w:t xml:space="preserve"> Schools</w:t>
            </w:r>
          </w:p>
        </w:tc>
        <w:tc>
          <w:tcPr>
            <w:tcW w:w="2976" w:type="dxa"/>
            <w:tcBorders>
              <w:top w:val="nil"/>
              <w:left w:val="nil"/>
              <w:bottom w:val="single" w:sz="8" w:space="0" w:color="auto"/>
              <w:right w:val="single" w:sz="8" w:space="0" w:color="auto"/>
            </w:tcBorders>
            <w:shd w:val="clear" w:color="auto" w:fill="auto"/>
            <w:noWrap/>
            <w:vAlign w:val="center"/>
            <w:hideMark/>
          </w:tcPr>
          <w:p w14:paraId="5FCE3637"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$495,027.75</w:t>
            </w:r>
          </w:p>
        </w:tc>
        <w:tc>
          <w:tcPr>
            <w:tcW w:w="1134" w:type="dxa"/>
            <w:tcBorders>
              <w:top w:val="nil"/>
              <w:left w:val="nil"/>
              <w:bottom w:val="single" w:sz="8" w:space="0" w:color="auto"/>
              <w:right w:val="single" w:sz="8" w:space="0" w:color="auto"/>
            </w:tcBorders>
            <w:shd w:val="clear" w:color="auto" w:fill="auto"/>
            <w:noWrap/>
            <w:vAlign w:val="center"/>
            <w:hideMark/>
          </w:tcPr>
          <w:p w14:paraId="0502C0EA"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w:t>
            </w:r>
          </w:p>
        </w:tc>
        <w:tc>
          <w:tcPr>
            <w:tcW w:w="2268" w:type="dxa"/>
            <w:tcBorders>
              <w:top w:val="nil"/>
              <w:left w:val="nil"/>
              <w:bottom w:val="single" w:sz="8" w:space="0" w:color="auto"/>
              <w:right w:val="single" w:sz="8" w:space="0" w:color="auto"/>
            </w:tcBorders>
            <w:shd w:val="clear" w:color="auto" w:fill="auto"/>
            <w:noWrap/>
            <w:vAlign w:val="center"/>
            <w:hideMark/>
          </w:tcPr>
          <w:p w14:paraId="55AF77D2"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$301,957.50</w:t>
            </w:r>
          </w:p>
        </w:tc>
        <w:tc>
          <w:tcPr>
            <w:tcW w:w="1175" w:type="dxa"/>
            <w:tcBorders>
              <w:top w:val="nil"/>
              <w:left w:val="nil"/>
              <w:bottom w:val="single" w:sz="8" w:space="0" w:color="auto"/>
              <w:right w:val="single" w:sz="8" w:space="0" w:color="auto"/>
            </w:tcBorders>
            <w:shd w:val="clear" w:color="auto" w:fill="auto"/>
            <w:noWrap/>
            <w:vAlign w:val="center"/>
            <w:hideMark/>
          </w:tcPr>
          <w:p w14:paraId="47949093"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2%</w:t>
            </w:r>
          </w:p>
        </w:tc>
      </w:tr>
      <w:tr w:rsidR="009633C9" w:rsidRPr="009633C9" w14:paraId="6D96A2FB"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76EEBFC0" w14:textId="4192FC77"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Private</w:t>
            </w:r>
            <w:r>
              <w:rPr>
                <w:rFonts w:eastAsia="Times New Roman"/>
                <w:color w:val="000000"/>
                <w:lang w:eastAsia="en-AU"/>
              </w:rPr>
              <w:t xml:space="preserve"> </w:t>
            </w:r>
            <w:r w:rsidRPr="009633C9">
              <w:rPr>
                <w:rFonts w:eastAsia="Times New Roman"/>
                <w:color w:val="000000"/>
                <w:lang w:eastAsia="en-AU"/>
              </w:rPr>
              <w:t>-</w:t>
            </w:r>
            <w:r>
              <w:rPr>
                <w:rFonts w:eastAsia="Times New Roman"/>
                <w:color w:val="000000"/>
                <w:lang w:eastAsia="en-AU"/>
              </w:rPr>
              <w:t xml:space="preserve"> </w:t>
            </w:r>
            <w:r w:rsidRPr="009633C9">
              <w:rPr>
                <w:rFonts w:eastAsia="Times New Roman"/>
                <w:color w:val="000000"/>
                <w:lang w:eastAsia="en-AU"/>
              </w:rPr>
              <w:t>VET</w:t>
            </w:r>
          </w:p>
        </w:tc>
        <w:tc>
          <w:tcPr>
            <w:tcW w:w="2976" w:type="dxa"/>
            <w:tcBorders>
              <w:top w:val="nil"/>
              <w:left w:val="nil"/>
              <w:bottom w:val="single" w:sz="8" w:space="0" w:color="auto"/>
              <w:right w:val="single" w:sz="8" w:space="0" w:color="auto"/>
            </w:tcBorders>
            <w:shd w:val="clear" w:color="auto" w:fill="auto"/>
            <w:noWrap/>
            <w:vAlign w:val="center"/>
            <w:hideMark/>
          </w:tcPr>
          <w:p w14:paraId="403F2E92"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$10,684,327.53</w:t>
            </w:r>
          </w:p>
        </w:tc>
        <w:tc>
          <w:tcPr>
            <w:tcW w:w="1134" w:type="dxa"/>
            <w:tcBorders>
              <w:top w:val="nil"/>
              <w:left w:val="nil"/>
              <w:bottom w:val="single" w:sz="8" w:space="0" w:color="auto"/>
              <w:right w:val="single" w:sz="8" w:space="0" w:color="auto"/>
            </w:tcBorders>
            <w:shd w:val="clear" w:color="auto" w:fill="auto"/>
            <w:noWrap/>
            <w:vAlign w:val="center"/>
            <w:hideMark/>
          </w:tcPr>
          <w:p w14:paraId="52EA80C3"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32%</w:t>
            </w:r>
          </w:p>
        </w:tc>
        <w:tc>
          <w:tcPr>
            <w:tcW w:w="2268" w:type="dxa"/>
            <w:tcBorders>
              <w:top w:val="nil"/>
              <w:left w:val="nil"/>
              <w:bottom w:val="single" w:sz="8" w:space="0" w:color="auto"/>
              <w:right w:val="single" w:sz="8" w:space="0" w:color="auto"/>
            </w:tcBorders>
            <w:shd w:val="clear" w:color="auto" w:fill="auto"/>
            <w:noWrap/>
            <w:vAlign w:val="center"/>
            <w:hideMark/>
          </w:tcPr>
          <w:p w14:paraId="095A9DFF"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$5,424,135.00</w:t>
            </w:r>
          </w:p>
        </w:tc>
        <w:tc>
          <w:tcPr>
            <w:tcW w:w="1175" w:type="dxa"/>
            <w:tcBorders>
              <w:top w:val="nil"/>
              <w:left w:val="nil"/>
              <w:bottom w:val="single" w:sz="8" w:space="0" w:color="auto"/>
              <w:right w:val="single" w:sz="8" w:space="0" w:color="auto"/>
            </w:tcBorders>
            <w:shd w:val="clear" w:color="auto" w:fill="auto"/>
            <w:noWrap/>
            <w:vAlign w:val="center"/>
            <w:hideMark/>
          </w:tcPr>
          <w:p w14:paraId="746BFB5A"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31%</w:t>
            </w:r>
          </w:p>
        </w:tc>
      </w:tr>
      <w:tr w:rsidR="009633C9" w:rsidRPr="009633C9" w14:paraId="31AE36B2"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6F7579E" w14:textId="77777777"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ELICOS</w:t>
            </w:r>
          </w:p>
        </w:tc>
        <w:tc>
          <w:tcPr>
            <w:tcW w:w="2976" w:type="dxa"/>
            <w:tcBorders>
              <w:top w:val="nil"/>
              <w:left w:val="nil"/>
              <w:bottom w:val="single" w:sz="8" w:space="0" w:color="auto"/>
              <w:right w:val="single" w:sz="8" w:space="0" w:color="auto"/>
            </w:tcBorders>
            <w:shd w:val="clear" w:color="auto" w:fill="auto"/>
            <w:noWrap/>
            <w:vAlign w:val="center"/>
            <w:hideMark/>
          </w:tcPr>
          <w:p w14:paraId="19E9198C"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$3,248,198.49</w:t>
            </w:r>
          </w:p>
        </w:tc>
        <w:tc>
          <w:tcPr>
            <w:tcW w:w="1134" w:type="dxa"/>
            <w:tcBorders>
              <w:top w:val="nil"/>
              <w:left w:val="nil"/>
              <w:bottom w:val="single" w:sz="8" w:space="0" w:color="auto"/>
              <w:right w:val="single" w:sz="8" w:space="0" w:color="auto"/>
            </w:tcBorders>
            <w:shd w:val="clear" w:color="auto" w:fill="auto"/>
            <w:noWrap/>
            <w:vAlign w:val="center"/>
            <w:hideMark/>
          </w:tcPr>
          <w:p w14:paraId="1E85DED6"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10%</w:t>
            </w:r>
          </w:p>
        </w:tc>
        <w:tc>
          <w:tcPr>
            <w:tcW w:w="2268" w:type="dxa"/>
            <w:tcBorders>
              <w:top w:val="nil"/>
              <w:left w:val="nil"/>
              <w:bottom w:val="single" w:sz="8" w:space="0" w:color="auto"/>
              <w:right w:val="single" w:sz="8" w:space="0" w:color="auto"/>
            </w:tcBorders>
            <w:shd w:val="clear" w:color="auto" w:fill="auto"/>
            <w:noWrap/>
            <w:vAlign w:val="center"/>
            <w:hideMark/>
          </w:tcPr>
          <w:p w14:paraId="10C27C74"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$1,168,990.00</w:t>
            </w:r>
          </w:p>
        </w:tc>
        <w:tc>
          <w:tcPr>
            <w:tcW w:w="1175" w:type="dxa"/>
            <w:tcBorders>
              <w:top w:val="nil"/>
              <w:left w:val="nil"/>
              <w:bottom w:val="single" w:sz="8" w:space="0" w:color="auto"/>
              <w:right w:val="single" w:sz="8" w:space="0" w:color="auto"/>
            </w:tcBorders>
            <w:shd w:val="clear" w:color="auto" w:fill="auto"/>
            <w:noWrap/>
            <w:vAlign w:val="center"/>
            <w:hideMark/>
          </w:tcPr>
          <w:p w14:paraId="102D3746"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7%</w:t>
            </w:r>
          </w:p>
        </w:tc>
      </w:tr>
      <w:tr w:rsidR="009633C9" w:rsidRPr="009633C9" w14:paraId="74B5E824"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3752256" w14:textId="77777777"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TAFE</w:t>
            </w:r>
          </w:p>
        </w:tc>
        <w:tc>
          <w:tcPr>
            <w:tcW w:w="2976" w:type="dxa"/>
            <w:tcBorders>
              <w:top w:val="nil"/>
              <w:left w:val="nil"/>
              <w:bottom w:val="single" w:sz="8" w:space="0" w:color="auto"/>
              <w:right w:val="single" w:sz="8" w:space="0" w:color="auto"/>
            </w:tcBorders>
            <w:shd w:val="clear" w:color="auto" w:fill="auto"/>
            <w:noWrap/>
            <w:vAlign w:val="center"/>
            <w:hideMark/>
          </w:tcPr>
          <w:p w14:paraId="3FB2DE49"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$894,560.75</w:t>
            </w:r>
          </w:p>
        </w:tc>
        <w:tc>
          <w:tcPr>
            <w:tcW w:w="1134" w:type="dxa"/>
            <w:tcBorders>
              <w:top w:val="nil"/>
              <w:left w:val="nil"/>
              <w:bottom w:val="single" w:sz="8" w:space="0" w:color="auto"/>
              <w:right w:val="single" w:sz="8" w:space="0" w:color="auto"/>
            </w:tcBorders>
            <w:shd w:val="clear" w:color="auto" w:fill="auto"/>
            <w:noWrap/>
            <w:vAlign w:val="center"/>
            <w:hideMark/>
          </w:tcPr>
          <w:p w14:paraId="4C067454"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w:t>
            </w:r>
          </w:p>
        </w:tc>
        <w:tc>
          <w:tcPr>
            <w:tcW w:w="2268" w:type="dxa"/>
            <w:tcBorders>
              <w:top w:val="nil"/>
              <w:left w:val="nil"/>
              <w:bottom w:val="single" w:sz="8" w:space="0" w:color="auto"/>
              <w:right w:val="single" w:sz="8" w:space="0" w:color="auto"/>
            </w:tcBorders>
            <w:shd w:val="clear" w:color="auto" w:fill="auto"/>
            <w:noWrap/>
            <w:vAlign w:val="center"/>
            <w:hideMark/>
          </w:tcPr>
          <w:p w14:paraId="2EA9A43E"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$552,047.50</w:t>
            </w:r>
          </w:p>
        </w:tc>
        <w:tc>
          <w:tcPr>
            <w:tcW w:w="1175" w:type="dxa"/>
            <w:tcBorders>
              <w:top w:val="nil"/>
              <w:left w:val="nil"/>
              <w:bottom w:val="single" w:sz="8" w:space="0" w:color="auto"/>
              <w:right w:val="single" w:sz="8" w:space="0" w:color="auto"/>
            </w:tcBorders>
            <w:shd w:val="clear" w:color="auto" w:fill="auto"/>
            <w:noWrap/>
            <w:vAlign w:val="center"/>
            <w:hideMark/>
          </w:tcPr>
          <w:p w14:paraId="3D0E9D50"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w:t>
            </w:r>
          </w:p>
        </w:tc>
      </w:tr>
      <w:tr w:rsidR="009633C9" w:rsidRPr="009633C9" w14:paraId="40ABF4D1"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0197A45E" w14:textId="6C637B50"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Private</w:t>
            </w:r>
            <w:r>
              <w:rPr>
                <w:rFonts w:eastAsia="Times New Roman"/>
                <w:color w:val="000000"/>
                <w:lang w:eastAsia="en-AU"/>
              </w:rPr>
              <w:t xml:space="preserve"> </w:t>
            </w:r>
            <w:r w:rsidRPr="009633C9">
              <w:rPr>
                <w:rFonts w:eastAsia="Times New Roman"/>
                <w:color w:val="000000"/>
                <w:lang w:eastAsia="en-AU"/>
              </w:rPr>
              <w:t>-</w:t>
            </w:r>
            <w:r>
              <w:rPr>
                <w:rFonts w:eastAsia="Times New Roman"/>
                <w:color w:val="000000"/>
                <w:lang w:eastAsia="en-AU"/>
              </w:rPr>
              <w:t xml:space="preserve"> </w:t>
            </w:r>
            <w:r w:rsidRPr="009633C9">
              <w:rPr>
                <w:rFonts w:eastAsia="Times New Roman"/>
                <w:color w:val="000000"/>
                <w:lang w:eastAsia="en-AU"/>
              </w:rPr>
              <w:t>Higher Education</w:t>
            </w:r>
          </w:p>
        </w:tc>
        <w:tc>
          <w:tcPr>
            <w:tcW w:w="2976" w:type="dxa"/>
            <w:tcBorders>
              <w:top w:val="nil"/>
              <w:left w:val="nil"/>
              <w:bottom w:val="single" w:sz="8" w:space="0" w:color="auto"/>
              <w:right w:val="single" w:sz="8" w:space="0" w:color="auto"/>
            </w:tcBorders>
            <w:shd w:val="clear" w:color="auto" w:fill="auto"/>
            <w:noWrap/>
            <w:vAlign w:val="center"/>
            <w:hideMark/>
          </w:tcPr>
          <w:p w14:paraId="31896438"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$4,336,578.67</w:t>
            </w:r>
          </w:p>
        </w:tc>
        <w:tc>
          <w:tcPr>
            <w:tcW w:w="1134" w:type="dxa"/>
            <w:tcBorders>
              <w:top w:val="nil"/>
              <w:left w:val="nil"/>
              <w:bottom w:val="single" w:sz="8" w:space="0" w:color="auto"/>
              <w:right w:val="single" w:sz="8" w:space="0" w:color="auto"/>
            </w:tcBorders>
            <w:shd w:val="clear" w:color="auto" w:fill="auto"/>
            <w:noWrap/>
            <w:vAlign w:val="center"/>
            <w:hideMark/>
          </w:tcPr>
          <w:p w14:paraId="7ED6896A"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13%</w:t>
            </w:r>
          </w:p>
        </w:tc>
        <w:tc>
          <w:tcPr>
            <w:tcW w:w="2268" w:type="dxa"/>
            <w:tcBorders>
              <w:top w:val="nil"/>
              <w:left w:val="nil"/>
              <w:bottom w:val="single" w:sz="8" w:space="0" w:color="auto"/>
              <w:right w:val="single" w:sz="8" w:space="0" w:color="auto"/>
            </w:tcBorders>
            <w:shd w:val="clear" w:color="auto" w:fill="auto"/>
            <w:noWrap/>
            <w:vAlign w:val="center"/>
            <w:hideMark/>
          </w:tcPr>
          <w:p w14:paraId="0762A162"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$1,510,631.00</w:t>
            </w:r>
          </w:p>
        </w:tc>
        <w:tc>
          <w:tcPr>
            <w:tcW w:w="1175" w:type="dxa"/>
            <w:tcBorders>
              <w:top w:val="nil"/>
              <w:left w:val="nil"/>
              <w:bottom w:val="single" w:sz="8" w:space="0" w:color="auto"/>
              <w:right w:val="single" w:sz="8" w:space="0" w:color="auto"/>
            </w:tcBorders>
            <w:shd w:val="clear" w:color="auto" w:fill="auto"/>
            <w:noWrap/>
            <w:vAlign w:val="center"/>
            <w:hideMark/>
          </w:tcPr>
          <w:p w14:paraId="6DD5DDD4"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9%</w:t>
            </w:r>
          </w:p>
        </w:tc>
      </w:tr>
      <w:tr w:rsidR="009633C9" w:rsidRPr="009633C9" w14:paraId="4ECB775B"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1FDBD7DC" w14:textId="3F7EA6A5"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Public -</w:t>
            </w:r>
            <w:r>
              <w:rPr>
                <w:rFonts w:eastAsia="Times New Roman"/>
                <w:color w:val="000000"/>
                <w:lang w:eastAsia="en-AU"/>
              </w:rPr>
              <w:t xml:space="preserve"> </w:t>
            </w:r>
            <w:r w:rsidRPr="009633C9">
              <w:rPr>
                <w:rFonts w:eastAsia="Times New Roman"/>
                <w:color w:val="000000"/>
                <w:lang w:eastAsia="en-AU"/>
              </w:rPr>
              <w:t>Higher Education</w:t>
            </w:r>
          </w:p>
        </w:tc>
        <w:tc>
          <w:tcPr>
            <w:tcW w:w="2976" w:type="dxa"/>
            <w:tcBorders>
              <w:top w:val="nil"/>
              <w:left w:val="nil"/>
              <w:bottom w:val="single" w:sz="8" w:space="0" w:color="auto"/>
              <w:right w:val="single" w:sz="8" w:space="0" w:color="auto"/>
            </w:tcBorders>
            <w:shd w:val="clear" w:color="auto" w:fill="auto"/>
            <w:noWrap/>
            <w:vAlign w:val="center"/>
            <w:hideMark/>
          </w:tcPr>
          <w:p w14:paraId="4FF4D5E8"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$10,413,283.25</w:t>
            </w:r>
          </w:p>
        </w:tc>
        <w:tc>
          <w:tcPr>
            <w:tcW w:w="1134" w:type="dxa"/>
            <w:tcBorders>
              <w:top w:val="nil"/>
              <w:left w:val="nil"/>
              <w:bottom w:val="single" w:sz="8" w:space="0" w:color="auto"/>
              <w:right w:val="single" w:sz="8" w:space="0" w:color="auto"/>
            </w:tcBorders>
            <w:shd w:val="clear" w:color="auto" w:fill="auto"/>
            <w:noWrap/>
            <w:vAlign w:val="center"/>
            <w:hideMark/>
          </w:tcPr>
          <w:p w14:paraId="7EBF0DF4"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31%</w:t>
            </w:r>
          </w:p>
        </w:tc>
        <w:tc>
          <w:tcPr>
            <w:tcW w:w="2268" w:type="dxa"/>
            <w:tcBorders>
              <w:top w:val="nil"/>
              <w:left w:val="nil"/>
              <w:bottom w:val="single" w:sz="8" w:space="0" w:color="auto"/>
              <w:right w:val="single" w:sz="8" w:space="0" w:color="auto"/>
            </w:tcBorders>
            <w:shd w:val="clear" w:color="auto" w:fill="auto"/>
            <w:noWrap/>
            <w:vAlign w:val="center"/>
            <w:hideMark/>
          </w:tcPr>
          <w:p w14:paraId="02874055"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$6,188,972.50</w:t>
            </w:r>
          </w:p>
        </w:tc>
        <w:tc>
          <w:tcPr>
            <w:tcW w:w="1175" w:type="dxa"/>
            <w:tcBorders>
              <w:top w:val="nil"/>
              <w:left w:val="nil"/>
              <w:bottom w:val="single" w:sz="8" w:space="0" w:color="auto"/>
              <w:right w:val="single" w:sz="8" w:space="0" w:color="auto"/>
            </w:tcBorders>
            <w:shd w:val="clear" w:color="auto" w:fill="auto"/>
            <w:noWrap/>
            <w:vAlign w:val="center"/>
            <w:hideMark/>
          </w:tcPr>
          <w:p w14:paraId="19BBA591"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36%</w:t>
            </w:r>
          </w:p>
        </w:tc>
      </w:tr>
      <w:tr w:rsidR="009633C9" w:rsidRPr="009633C9" w14:paraId="3F64C12A" w14:textId="77777777" w:rsidTr="009633C9">
        <w:trPr>
          <w:trHeight w:val="330"/>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6EAEBA11" w14:textId="77777777" w:rsidR="009633C9" w:rsidRPr="009633C9" w:rsidRDefault="009633C9" w:rsidP="009633C9">
            <w:pPr>
              <w:spacing w:after="0" w:line="240" w:lineRule="auto"/>
              <w:rPr>
                <w:rFonts w:eastAsia="Times New Roman"/>
                <w:color w:val="000000"/>
                <w:lang w:eastAsia="en-AU"/>
              </w:rPr>
            </w:pPr>
            <w:r w:rsidRPr="009633C9">
              <w:rPr>
                <w:rFonts w:eastAsia="Times New Roman"/>
                <w:color w:val="000000"/>
                <w:lang w:eastAsia="en-AU"/>
              </w:rPr>
              <w:t>TOTAL</w:t>
            </w:r>
          </w:p>
        </w:tc>
        <w:tc>
          <w:tcPr>
            <w:tcW w:w="2976" w:type="dxa"/>
            <w:tcBorders>
              <w:top w:val="nil"/>
              <w:left w:val="nil"/>
              <w:bottom w:val="single" w:sz="8" w:space="0" w:color="auto"/>
              <w:right w:val="single" w:sz="8" w:space="0" w:color="auto"/>
            </w:tcBorders>
            <w:shd w:val="clear" w:color="auto" w:fill="auto"/>
            <w:noWrap/>
            <w:vAlign w:val="center"/>
            <w:hideMark/>
          </w:tcPr>
          <w:p w14:paraId="4025207A"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$33,541,634.42</w:t>
            </w:r>
          </w:p>
        </w:tc>
        <w:tc>
          <w:tcPr>
            <w:tcW w:w="1134" w:type="dxa"/>
            <w:tcBorders>
              <w:top w:val="nil"/>
              <w:left w:val="nil"/>
              <w:bottom w:val="single" w:sz="8" w:space="0" w:color="auto"/>
              <w:right w:val="single" w:sz="8" w:space="0" w:color="auto"/>
            </w:tcBorders>
            <w:shd w:val="clear" w:color="auto" w:fill="auto"/>
            <w:noWrap/>
            <w:vAlign w:val="center"/>
            <w:hideMark/>
          </w:tcPr>
          <w:p w14:paraId="6B5BBD5D"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100%</w:t>
            </w:r>
          </w:p>
        </w:tc>
        <w:tc>
          <w:tcPr>
            <w:tcW w:w="2268" w:type="dxa"/>
            <w:tcBorders>
              <w:top w:val="nil"/>
              <w:left w:val="nil"/>
              <w:bottom w:val="single" w:sz="8" w:space="0" w:color="auto"/>
              <w:right w:val="single" w:sz="8" w:space="0" w:color="auto"/>
            </w:tcBorders>
            <w:shd w:val="clear" w:color="auto" w:fill="auto"/>
            <w:noWrap/>
            <w:vAlign w:val="center"/>
            <w:hideMark/>
          </w:tcPr>
          <w:p w14:paraId="397C78D8"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$17,241,341.00</w:t>
            </w:r>
          </w:p>
        </w:tc>
        <w:tc>
          <w:tcPr>
            <w:tcW w:w="1175" w:type="dxa"/>
            <w:tcBorders>
              <w:top w:val="nil"/>
              <w:left w:val="nil"/>
              <w:bottom w:val="single" w:sz="8" w:space="0" w:color="auto"/>
              <w:right w:val="single" w:sz="8" w:space="0" w:color="auto"/>
            </w:tcBorders>
            <w:shd w:val="clear" w:color="auto" w:fill="auto"/>
            <w:noWrap/>
            <w:vAlign w:val="center"/>
            <w:hideMark/>
          </w:tcPr>
          <w:p w14:paraId="7734CB36" w14:textId="77777777" w:rsidR="009633C9" w:rsidRPr="009633C9" w:rsidRDefault="009633C9" w:rsidP="009633C9">
            <w:pPr>
              <w:spacing w:after="0" w:line="240" w:lineRule="auto"/>
              <w:jc w:val="right"/>
              <w:rPr>
                <w:rFonts w:eastAsia="Times New Roman"/>
                <w:color w:val="000000"/>
                <w:lang w:eastAsia="en-AU"/>
              </w:rPr>
            </w:pPr>
            <w:r w:rsidRPr="009633C9">
              <w:rPr>
                <w:rFonts w:eastAsia="Times New Roman"/>
                <w:color w:val="000000"/>
                <w:lang w:eastAsia="en-AU"/>
              </w:rPr>
              <w:t>100%</w:t>
            </w:r>
          </w:p>
        </w:tc>
      </w:tr>
    </w:tbl>
    <w:p w14:paraId="5C858983" w14:textId="13C0B3C6" w:rsidR="00E27498" w:rsidRDefault="00E27498" w:rsidP="00D62711">
      <w:pPr>
        <w:tabs>
          <w:tab w:val="left" w:pos="1215"/>
        </w:tabs>
        <w:rPr>
          <w:rFonts w:ascii="Garamond" w:hAnsi="Garamond"/>
          <w:sz w:val="24"/>
          <w:szCs w:val="24"/>
        </w:rPr>
      </w:pPr>
    </w:p>
    <w:p w14:paraId="49352D91" w14:textId="13D29CDB" w:rsidR="009633C9" w:rsidRPr="00212B48" w:rsidRDefault="00262BBC" w:rsidP="00EA7856">
      <w:pPr>
        <w:rPr>
          <w:rFonts w:asciiTheme="minorHAnsi" w:hAnsiTheme="minorHAnsi"/>
          <w:sz w:val="23"/>
          <w:szCs w:val="23"/>
        </w:rPr>
      </w:pPr>
      <w:r w:rsidRPr="00212B48">
        <w:rPr>
          <w:rFonts w:asciiTheme="minorHAnsi" w:hAnsiTheme="minorHAnsi"/>
          <w:sz w:val="23"/>
          <w:szCs w:val="23"/>
        </w:rPr>
        <w:t xml:space="preserve">Source: </w:t>
      </w:r>
      <w:r w:rsidR="009633C9" w:rsidRPr="00212B48">
        <w:rPr>
          <w:rFonts w:asciiTheme="minorHAnsi" w:hAnsiTheme="minorHAnsi"/>
          <w:sz w:val="23"/>
          <w:szCs w:val="23"/>
        </w:rPr>
        <w:t xml:space="preserve">2015 data from </w:t>
      </w:r>
      <w:r w:rsidRPr="00212B48">
        <w:rPr>
          <w:rFonts w:asciiTheme="minorHAnsi" w:hAnsiTheme="minorHAnsi"/>
          <w:sz w:val="23"/>
          <w:szCs w:val="23"/>
        </w:rPr>
        <w:t>TPS tables</w:t>
      </w:r>
      <w:r w:rsidR="009633C9" w:rsidRPr="00212B48">
        <w:rPr>
          <w:rFonts w:asciiTheme="minorHAnsi" w:hAnsiTheme="minorHAnsi"/>
          <w:sz w:val="23"/>
          <w:szCs w:val="23"/>
        </w:rPr>
        <w:t xml:space="preserve"> (above)</w:t>
      </w:r>
    </w:p>
    <w:p w14:paraId="6CFBC67A" w14:textId="2D469CC7" w:rsidR="00262BBC" w:rsidRPr="00212B48" w:rsidRDefault="00E46ED3" w:rsidP="00212B48">
      <w:pPr>
        <w:tabs>
          <w:tab w:val="left" w:pos="1215"/>
        </w:tabs>
        <w:rPr>
          <w:rFonts w:asciiTheme="minorHAnsi" w:hAnsiTheme="minorHAnsi"/>
          <w:b/>
          <w:sz w:val="23"/>
          <w:szCs w:val="23"/>
        </w:rPr>
      </w:pPr>
      <w:r w:rsidRPr="00212B48">
        <w:rPr>
          <w:rFonts w:asciiTheme="minorHAnsi" w:hAnsiTheme="minorHAnsi"/>
          <w:b/>
          <w:sz w:val="23"/>
          <w:szCs w:val="23"/>
        </w:rPr>
        <w:t>Figure 1</w:t>
      </w:r>
      <w:r w:rsidR="00262BBC" w:rsidRPr="00212B48">
        <w:rPr>
          <w:rFonts w:asciiTheme="minorHAnsi" w:hAnsiTheme="minorHAnsi"/>
          <w:b/>
          <w:sz w:val="23"/>
          <w:szCs w:val="23"/>
        </w:rPr>
        <w:t>:</w:t>
      </w:r>
      <w:r w:rsidRPr="00212B48">
        <w:rPr>
          <w:rFonts w:asciiTheme="minorHAnsi" w:hAnsiTheme="minorHAnsi"/>
          <w:b/>
          <w:sz w:val="23"/>
          <w:szCs w:val="23"/>
        </w:rPr>
        <w:t xml:space="preserve"> Sector YTD Enrolments 2014 </w:t>
      </w:r>
    </w:p>
    <w:p w14:paraId="454232D9" w14:textId="11FA201F" w:rsidR="00E46ED3" w:rsidRPr="00262BBC" w:rsidRDefault="00E46ED3" w:rsidP="00262BBC">
      <w:pPr>
        <w:pStyle w:val="ListParagraph"/>
        <w:numPr>
          <w:ilvl w:val="0"/>
          <w:numId w:val="40"/>
        </w:numPr>
        <w:rPr>
          <w:rFonts w:asciiTheme="minorHAnsi" w:hAnsiTheme="minorHAnsi"/>
        </w:rPr>
      </w:pPr>
      <w:r w:rsidRPr="00262BBC">
        <w:rPr>
          <w:rFonts w:asciiTheme="minorHAnsi" w:hAnsiTheme="minorHAnsi"/>
        </w:rPr>
        <w:t>Total YTD Enrolments 589,860</w:t>
      </w:r>
    </w:p>
    <w:p w14:paraId="17A5774A" w14:textId="07DF2CA2" w:rsidR="00E46ED3" w:rsidRPr="00262BBC" w:rsidRDefault="00E46ED3" w:rsidP="00262BBC">
      <w:pPr>
        <w:pStyle w:val="ListParagraph"/>
        <w:numPr>
          <w:ilvl w:val="0"/>
          <w:numId w:val="40"/>
        </w:numPr>
        <w:rPr>
          <w:rFonts w:asciiTheme="minorHAnsi" w:hAnsiTheme="minorHAnsi"/>
        </w:rPr>
      </w:pPr>
      <w:r w:rsidRPr="00262BBC">
        <w:rPr>
          <w:rFonts w:asciiTheme="minorHAnsi" w:hAnsiTheme="minorHAnsi"/>
        </w:rPr>
        <w:t>Non-Government Schools Enrolments 6,796 (1%)</w:t>
      </w:r>
    </w:p>
    <w:p w14:paraId="41DE1E29" w14:textId="7D20FE81" w:rsidR="00E46ED3" w:rsidRDefault="00262BBC" w:rsidP="00EA7856">
      <w:pPr>
        <w:rPr>
          <w:rFonts w:ascii="Garamond" w:hAnsi="Garamond"/>
          <w:sz w:val="24"/>
          <w:szCs w:val="24"/>
        </w:rPr>
      </w:pPr>
      <w:r>
        <w:rPr>
          <w:rFonts w:ascii="Garamond" w:hAnsi="Garamond"/>
          <w:noProof/>
          <w:sz w:val="24"/>
          <w:szCs w:val="24"/>
          <w:lang w:eastAsia="en-AU"/>
        </w:rPr>
        <w:drawing>
          <wp:inline distT="0" distB="0" distL="0" distR="0" wp14:anchorId="75D0A8B3" wp14:editId="689295D3">
            <wp:extent cx="5731510" cy="39458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 sectors.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945890"/>
                    </a:xfrm>
                    <a:prstGeom prst="rect">
                      <a:avLst/>
                    </a:prstGeom>
                  </pic:spPr>
                </pic:pic>
              </a:graphicData>
            </a:graphic>
          </wp:inline>
        </w:drawing>
      </w:r>
    </w:p>
    <w:p w14:paraId="0137E14A" w14:textId="2BFD47AC" w:rsidR="00E46ED3" w:rsidRPr="00212B48" w:rsidRDefault="00262BBC" w:rsidP="00EA7856">
      <w:pPr>
        <w:rPr>
          <w:rFonts w:asciiTheme="minorHAnsi" w:hAnsiTheme="minorHAnsi"/>
          <w:sz w:val="23"/>
          <w:szCs w:val="23"/>
        </w:rPr>
      </w:pPr>
      <w:r w:rsidRPr="00212B48">
        <w:rPr>
          <w:rFonts w:asciiTheme="minorHAnsi" w:hAnsiTheme="minorHAnsi"/>
          <w:sz w:val="23"/>
          <w:szCs w:val="23"/>
        </w:rPr>
        <w:t>Source: Department of Education and Training PRISMS data</w:t>
      </w:r>
    </w:p>
    <w:sectPr w:rsidR="00E46ED3" w:rsidRPr="00212B48" w:rsidSect="005B29F8">
      <w:headerReference w:type="default" r:id="rId19"/>
      <w:footerReference w:type="default" r:id="rId20"/>
      <w:type w:val="continuous"/>
      <w:pgSz w:w="11906" w:h="16838" w:code="9"/>
      <w:pgMar w:top="1440" w:right="1440" w:bottom="1276" w:left="1440" w:header="709"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D1F7A" w14:textId="77777777" w:rsidR="00BA341E" w:rsidRDefault="00BA341E">
      <w:r>
        <w:separator/>
      </w:r>
    </w:p>
  </w:endnote>
  <w:endnote w:type="continuationSeparator" w:id="0">
    <w:p w14:paraId="4BDDAA8F" w14:textId="77777777" w:rsidR="00BA341E" w:rsidRDefault="00BA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F566D" w14:textId="77777777" w:rsidR="000B089A" w:rsidRDefault="000B089A" w:rsidP="00682666">
    <w:pPr>
      <w:pStyle w:val="Footer"/>
      <w:tabs>
        <w:tab w:val="clear" w:pos="4153"/>
        <w:tab w:val="clear" w:pos="8306"/>
      </w:tabs>
      <w:ind w:left="-1276"/>
    </w:pPr>
    <w:r>
      <w:rPr>
        <w:noProof/>
        <w:lang w:eastAsia="en-AU"/>
      </w:rPr>
      <w:drawing>
        <wp:inline distT="0" distB="0" distL="0" distR="0" wp14:anchorId="0E6089BE" wp14:editId="2891056F">
          <wp:extent cx="7315200" cy="1054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315200" cy="10541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0394"/>
      <w:docPartObj>
        <w:docPartGallery w:val="Page Numbers (Bottom of Page)"/>
        <w:docPartUnique/>
      </w:docPartObj>
    </w:sdtPr>
    <w:sdtEndPr>
      <w:rPr>
        <w:rFonts w:asciiTheme="minorHAnsi" w:hAnsiTheme="minorHAnsi"/>
      </w:rPr>
    </w:sdtEndPr>
    <w:sdtContent>
      <w:p w14:paraId="1F3C536F" w14:textId="77777777" w:rsidR="000B089A" w:rsidRPr="001F4888" w:rsidRDefault="000B089A">
        <w:pPr>
          <w:pStyle w:val="Footer"/>
          <w:jc w:val="right"/>
          <w:rPr>
            <w:rFonts w:asciiTheme="minorHAnsi" w:hAnsiTheme="minorHAnsi"/>
          </w:rPr>
        </w:pPr>
        <w:r w:rsidRPr="001F4888">
          <w:rPr>
            <w:rFonts w:asciiTheme="minorHAnsi" w:hAnsiTheme="minorHAnsi"/>
          </w:rPr>
          <w:fldChar w:fldCharType="begin"/>
        </w:r>
        <w:r w:rsidRPr="001F4888">
          <w:rPr>
            <w:rFonts w:asciiTheme="minorHAnsi" w:hAnsiTheme="minorHAnsi"/>
          </w:rPr>
          <w:instrText xml:space="preserve"> PAGE   \* MERGEFORMAT </w:instrText>
        </w:r>
        <w:r w:rsidRPr="001F4888">
          <w:rPr>
            <w:rFonts w:asciiTheme="minorHAnsi" w:hAnsiTheme="minorHAnsi"/>
          </w:rPr>
          <w:fldChar w:fldCharType="separate"/>
        </w:r>
        <w:r w:rsidR="00954EBA">
          <w:rPr>
            <w:rFonts w:asciiTheme="minorHAnsi" w:hAnsiTheme="minorHAnsi"/>
            <w:noProof/>
          </w:rPr>
          <w:t>13</w:t>
        </w:r>
        <w:r w:rsidRPr="001F4888">
          <w:rPr>
            <w:rFonts w:asciiTheme="minorHAnsi" w:hAnsiTheme="minorHAnsi"/>
            <w:noProof/>
          </w:rPr>
          <w:fldChar w:fldCharType="end"/>
        </w:r>
      </w:p>
    </w:sdtContent>
  </w:sdt>
  <w:p w14:paraId="68599A78" w14:textId="77777777" w:rsidR="000B089A" w:rsidRDefault="000B089A">
    <w:pPr>
      <w:pStyle w:val="Footer"/>
      <w:tabs>
        <w:tab w:val="clear" w:pos="4153"/>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9B190" w14:textId="77777777" w:rsidR="00BA341E" w:rsidRDefault="00BA341E">
      <w:r>
        <w:separator/>
      </w:r>
    </w:p>
  </w:footnote>
  <w:footnote w:type="continuationSeparator" w:id="0">
    <w:p w14:paraId="293BE567" w14:textId="77777777" w:rsidR="00BA341E" w:rsidRDefault="00BA341E">
      <w:r>
        <w:continuationSeparator/>
      </w:r>
    </w:p>
  </w:footnote>
  <w:footnote w:id="1">
    <w:p w14:paraId="5E8A2AC5" w14:textId="77777777" w:rsidR="00121AAB" w:rsidRDefault="00121AAB">
      <w:pPr>
        <w:pStyle w:val="FootnoteText"/>
      </w:pPr>
      <w:r>
        <w:rPr>
          <w:rStyle w:val="FootnoteReference"/>
        </w:rPr>
        <w:footnoteRef/>
      </w:r>
      <w:r>
        <w:t xml:space="preserve"> On matters of international education, ISCA also represents the National Catholic Education Commission, thus representing the views of the whole non-government school sector.</w:t>
      </w:r>
    </w:p>
  </w:footnote>
  <w:footnote w:id="2">
    <w:p w14:paraId="7597B14A" w14:textId="77777777" w:rsidR="00D95528" w:rsidRPr="007B4061" w:rsidRDefault="00D95528" w:rsidP="007B4061">
      <w:pPr>
        <w:pStyle w:val="FootnoteText"/>
      </w:pPr>
      <w:r w:rsidRPr="007B4061">
        <w:rPr>
          <w:rStyle w:val="FootnoteReference"/>
        </w:rPr>
        <w:footnoteRef/>
      </w:r>
      <w:r w:rsidRPr="007B4061">
        <w:t xml:space="preserve"> ISCA Submission </w:t>
      </w:r>
      <w:hyperlink r:id="rId1" w:history="1">
        <w:r w:rsidRPr="007B4061">
          <w:rPr>
            <w:rStyle w:val="Hyperlink"/>
            <w:i/>
          </w:rPr>
          <w:t>Review of the Education Services for Overseas Students (ESOS) Framework</w:t>
        </w:r>
      </w:hyperlink>
      <w:r w:rsidRPr="007B4061">
        <w:t xml:space="preserve"> (May 2014) p.8</w:t>
      </w:r>
    </w:p>
  </w:footnote>
  <w:footnote w:id="3">
    <w:p w14:paraId="57794909" w14:textId="77777777" w:rsidR="000B089A" w:rsidRPr="007B4061" w:rsidRDefault="000B089A" w:rsidP="007B4061">
      <w:pPr>
        <w:pStyle w:val="FootnoteText"/>
      </w:pPr>
      <w:r w:rsidRPr="007B4061">
        <w:rPr>
          <w:rStyle w:val="FootnoteReference"/>
        </w:rPr>
        <w:footnoteRef/>
      </w:r>
      <w:r w:rsidRPr="007B4061">
        <w:t xml:space="preserve"> ISCA Submission </w:t>
      </w:r>
      <w:hyperlink r:id="rId2" w:history="1">
        <w:r w:rsidRPr="007B4061">
          <w:rPr>
            <w:rStyle w:val="Hyperlink"/>
            <w:i/>
          </w:rPr>
          <w:t>Review of the Education Services for Overseas Students (ESOS) Framework</w:t>
        </w:r>
      </w:hyperlink>
      <w:r w:rsidRPr="007B4061">
        <w:t xml:space="preserve"> (May 2014) p.10</w:t>
      </w:r>
    </w:p>
  </w:footnote>
  <w:footnote w:id="4">
    <w:p w14:paraId="62F3C080" w14:textId="77777777" w:rsidR="003D2AEA" w:rsidRDefault="003D2AEA">
      <w:pPr>
        <w:pStyle w:val="FootnoteText"/>
      </w:pPr>
      <w:r>
        <w:rPr>
          <w:rStyle w:val="FootnoteReference"/>
        </w:rPr>
        <w:footnoteRef/>
      </w:r>
      <w:r>
        <w:t xml:space="preserve"> The exemption was only in place for non-government schools in receipt of Commonwealth general recurrent grants</w:t>
      </w:r>
    </w:p>
  </w:footnote>
  <w:footnote w:id="5">
    <w:p w14:paraId="3C2CCD5C" w14:textId="77777777" w:rsidR="007B4061" w:rsidRPr="007B4061" w:rsidRDefault="007B4061" w:rsidP="007B4061">
      <w:pPr>
        <w:pStyle w:val="FootnoteText"/>
      </w:pPr>
      <w:r w:rsidRPr="007B4061">
        <w:rPr>
          <w:rStyle w:val="FootnoteReference"/>
        </w:rPr>
        <w:footnoteRef/>
      </w:r>
      <w:r w:rsidRPr="007B4061">
        <w:t xml:space="preserve"> ISCA Submission </w:t>
      </w:r>
      <w:hyperlink r:id="rId3" w:history="1">
        <w:r w:rsidRPr="007B4061">
          <w:rPr>
            <w:rStyle w:val="Hyperlink"/>
          </w:rPr>
          <w:t>Future Directions for Streamlined Visa Processing</w:t>
        </w:r>
      </w:hyperlink>
      <w:r w:rsidRPr="007B4061">
        <w:t xml:space="preserve"> </w:t>
      </w:r>
      <w:r>
        <w:t>(</w:t>
      </w:r>
      <w:r w:rsidRPr="007B4061">
        <w:t>December 2014</w:t>
      </w:r>
      <w:r>
        <w:t>)</w:t>
      </w:r>
      <w:r w:rsidRPr="007B4061">
        <w:t xml:space="preserve"> p</w:t>
      </w:r>
      <w:r>
        <w:t>.</w:t>
      </w:r>
      <w:r w:rsidRPr="007B4061">
        <w:t>7</w:t>
      </w:r>
    </w:p>
  </w:footnote>
  <w:footnote w:id="6">
    <w:p w14:paraId="1DCF1A9D" w14:textId="77777777" w:rsidR="005A061D" w:rsidRDefault="005A061D">
      <w:pPr>
        <w:pStyle w:val="FootnoteText"/>
      </w:pPr>
      <w:r>
        <w:rPr>
          <w:rStyle w:val="FootnoteReference"/>
        </w:rPr>
        <w:footnoteRef/>
      </w:r>
      <w:r>
        <w:t xml:space="preserve"> Productivity Commission Research paper International Education Services April 2015 p.130</w:t>
      </w:r>
    </w:p>
    <w:p w14:paraId="2D3CCADC" w14:textId="77777777" w:rsidR="005A061D" w:rsidRDefault="005A061D">
      <w:pPr>
        <w:pStyle w:val="FootnoteText"/>
      </w:pPr>
      <w:r>
        <w:t>(</w:t>
      </w:r>
      <w:r w:rsidRPr="00170364">
        <w:t>http://www.pc.gov.au/research/completed/international-education/international-education.pdf</w:t>
      </w:r>
      <w:r>
        <w:t>)</w:t>
      </w:r>
    </w:p>
  </w:footnote>
  <w:footnote w:id="7">
    <w:p w14:paraId="103F1AE3" w14:textId="77777777" w:rsidR="006C04CA" w:rsidRDefault="006C04CA" w:rsidP="006C04CA">
      <w:pPr>
        <w:pStyle w:val="FootnoteText"/>
      </w:pPr>
      <w:r>
        <w:rPr>
          <w:rStyle w:val="FootnoteReference"/>
        </w:rPr>
        <w:footnoteRef/>
      </w:r>
      <w:r>
        <w:t xml:space="preserve"> Productivity Commission Research paper International Education Services April 2015 p.125</w:t>
      </w:r>
    </w:p>
    <w:p w14:paraId="5FF73C72" w14:textId="77777777" w:rsidR="006C04CA" w:rsidRDefault="006C04CA" w:rsidP="006C04CA">
      <w:pPr>
        <w:pStyle w:val="FootnoteText"/>
      </w:pPr>
      <w:r>
        <w:t>(</w:t>
      </w:r>
      <w:r w:rsidRPr="00170364">
        <w:t>http://www.pc.gov.au/research/completed/international-education/international-education.pdf</w:t>
      </w:r>
      <w:r>
        <w:t>)</w:t>
      </w:r>
    </w:p>
  </w:footnote>
  <w:footnote w:id="8">
    <w:p w14:paraId="2AD6D448" w14:textId="77777777" w:rsidR="009A7710" w:rsidRDefault="009A7710">
      <w:pPr>
        <w:pStyle w:val="FootnoteText"/>
      </w:pPr>
      <w:r>
        <w:rPr>
          <w:rStyle w:val="FootnoteReference"/>
        </w:rPr>
        <w:footnoteRef/>
      </w:r>
      <w:r>
        <w:t xml:space="preserve"> </w:t>
      </w:r>
      <w:r w:rsidR="00170364">
        <w:t>Productivity Commission Research paper International Education Services April 2015 p.2 (</w:t>
      </w:r>
      <w:r w:rsidR="00170364" w:rsidRPr="00170364">
        <w:t>http://www.pc.gov.au/research/completed/international-education/international-education.pdf</w:t>
      </w:r>
      <w:r w:rsidR="00170364">
        <w:t>)</w:t>
      </w:r>
    </w:p>
  </w:footnote>
  <w:footnote w:id="9">
    <w:p w14:paraId="0E9A9318" w14:textId="77777777" w:rsidR="004A616C" w:rsidRDefault="004A616C">
      <w:pPr>
        <w:pStyle w:val="FootnoteText"/>
      </w:pPr>
      <w:r>
        <w:rPr>
          <w:rStyle w:val="FootnoteReference"/>
        </w:rPr>
        <w:footnoteRef/>
      </w:r>
      <w:r>
        <w:t xml:space="preserve"> </w:t>
      </w:r>
      <w:r w:rsidRPr="007B4061">
        <w:t xml:space="preserve">ISCA Submission </w:t>
      </w:r>
      <w:hyperlink r:id="rId4" w:history="1">
        <w:r w:rsidRPr="007B4061">
          <w:rPr>
            <w:rStyle w:val="Hyperlink"/>
          </w:rPr>
          <w:t>Future Directions for Streamlined Visa Processing</w:t>
        </w:r>
      </w:hyperlink>
      <w:r w:rsidRPr="007B4061">
        <w:t xml:space="preserve"> </w:t>
      </w:r>
      <w:r>
        <w:t>(</w:t>
      </w:r>
      <w:r w:rsidRPr="007B4061">
        <w:t>December 2014</w:t>
      </w:r>
      <w:r>
        <w:t>)</w:t>
      </w:r>
      <w:r w:rsidRPr="007B4061">
        <w:t xml:space="preserve"> p</w:t>
      </w:r>
      <w:r>
        <w:t>.11</w:t>
      </w:r>
    </w:p>
  </w:footnote>
  <w:footnote w:id="10">
    <w:p w14:paraId="5B09B764" w14:textId="77777777" w:rsidR="002B7619" w:rsidRDefault="002B7619" w:rsidP="002B7619">
      <w:pPr>
        <w:pStyle w:val="FootnoteText"/>
      </w:pPr>
      <w:r>
        <w:rPr>
          <w:rStyle w:val="FootnoteReference"/>
        </w:rPr>
        <w:footnoteRef/>
      </w:r>
      <w:r>
        <w:t xml:space="preserve"> Productivity Commission Research paper International Education Services April 2015 p.147</w:t>
      </w:r>
    </w:p>
    <w:p w14:paraId="1ECD4F99" w14:textId="77777777" w:rsidR="002B7619" w:rsidRDefault="002B7619" w:rsidP="002B7619">
      <w:pPr>
        <w:pStyle w:val="FootnoteText"/>
      </w:pPr>
      <w:r>
        <w:t>(</w:t>
      </w:r>
      <w:r w:rsidRPr="00170364">
        <w:t>http://www.pc.gov.au/research/completed/international-education/international-education.pdf</w:t>
      </w:r>
      <w:r>
        <w:t>)</w:t>
      </w:r>
    </w:p>
    <w:p w14:paraId="45735302" w14:textId="77777777" w:rsidR="002B7619" w:rsidRDefault="002B761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8F45F" w14:textId="77777777" w:rsidR="000B089A" w:rsidRDefault="000B089A">
    <w:pPr>
      <w:pStyle w:val="Header"/>
      <w:jc w:val="right"/>
    </w:pPr>
    <w:r>
      <w:rPr>
        <w:b/>
        <w:bCs/>
        <w:noProof/>
        <w:lang w:eastAsia="en-AU"/>
      </w:rPr>
      <w:drawing>
        <wp:inline distT="0" distB="0" distL="0" distR="0" wp14:anchorId="5C6FE3E6" wp14:editId="4B86D32F">
          <wp:extent cx="1689100" cy="18415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89100" cy="1841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93A99" w14:textId="77777777" w:rsidR="000B089A" w:rsidRDefault="000B089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A38"/>
    <w:multiLevelType w:val="hybridMultilevel"/>
    <w:tmpl w:val="87183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2814F2"/>
    <w:multiLevelType w:val="hybridMultilevel"/>
    <w:tmpl w:val="7ABE6206"/>
    <w:lvl w:ilvl="0" w:tplc="81808CD2">
      <w:start w:val="1"/>
      <w:numFmt w:val="bullet"/>
      <w:lvlText w:val=""/>
      <w:lvlJc w:val="left"/>
      <w:pPr>
        <w:tabs>
          <w:tab w:val="num" w:pos="680"/>
        </w:tabs>
        <w:ind w:left="68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B0307"/>
    <w:multiLevelType w:val="hybridMultilevel"/>
    <w:tmpl w:val="A1082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842B46"/>
    <w:multiLevelType w:val="hybridMultilevel"/>
    <w:tmpl w:val="9B8A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A24D90"/>
    <w:multiLevelType w:val="hybridMultilevel"/>
    <w:tmpl w:val="A68E2312"/>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977095"/>
    <w:multiLevelType w:val="multilevel"/>
    <w:tmpl w:val="760C3152"/>
    <w:lvl w:ilvl="0">
      <w:start w:val="1"/>
      <w:numFmt w:val="decimal"/>
      <w:lvlText w:val="%1."/>
      <w:lvlJc w:val="left"/>
      <w:pPr>
        <w:ind w:left="360" w:hanging="360"/>
      </w:pPr>
      <w:rPr>
        <w:color w:val="auto"/>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CE30BFA"/>
    <w:multiLevelType w:val="hybridMultilevel"/>
    <w:tmpl w:val="53F8B8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E674407"/>
    <w:multiLevelType w:val="hybridMultilevel"/>
    <w:tmpl w:val="E70C6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9B7349"/>
    <w:multiLevelType w:val="hybridMultilevel"/>
    <w:tmpl w:val="1DB8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B945FC"/>
    <w:multiLevelType w:val="multilevel"/>
    <w:tmpl w:val="0AE09A50"/>
    <w:lvl w:ilvl="0">
      <w:start w:val="1"/>
      <w:numFmt w:val="decimal"/>
      <w:lvlText w:val="%1)"/>
      <w:lvlJc w:val="left"/>
      <w:pPr>
        <w:ind w:left="360" w:hanging="360"/>
      </w:pPr>
      <w:rPr>
        <w:color w:val="auto"/>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3044653"/>
    <w:multiLevelType w:val="hybridMultilevel"/>
    <w:tmpl w:val="65A4C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AE56D8D"/>
    <w:multiLevelType w:val="hybridMultilevel"/>
    <w:tmpl w:val="0FC6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BA5C77"/>
    <w:multiLevelType w:val="multilevel"/>
    <w:tmpl w:val="21C631C8"/>
    <w:lvl w:ilvl="0">
      <w:start w:val="1"/>
      <w:numFmt w:val="decimal"/>
      <w:pStyle w:val="ListNumber"/>
      <w:lvlText w:val="%1"/>
      <w:lvlJc w:val="left"/>
      <w:pPr>
        <w:ind w:left="360" w:hanging="360"/>
      </w:pPr>
      <w:rPr>
        <w:rFonts w:hint="default"/>
        <w:b/>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25072994"/>
    <w:multiLevelType w:val="hybridMultilevel"/>
    <w:tmpl w:val="B5422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880E61"/>
    <w:multiLevelType w:val="hybridMultilevel"/>
    <w:tmpl w:val="351A6F9A"/>
    <w:lvl w:ilvl="0" w:tplc="ED489DF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1F00330"/>
    <w:multiLevelType w:val="hybridMultilevel"/>
    <w:tmpl w:val="087E3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A75569"/>
    <w:multiLevelType w:val="hybridMultilevel"/>
    <w:tmpl w:val="C7BE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8E5CA8"/>
    <w:multiLevelType w:val="hybridMultilevel"/>
    <w:tmpl w:val="ABF0CB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4A714B"/>
    <w:multiLevelType w:val="hybridMultilevel"/>
    <w:tmpl w:val="12AC8D38"/>
    <w:lvl w:ilvl="0" w:tplc="11DEF1AA">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07F0285"/>
    <w:multiLevelType w:val="multilevel"/>
    <w:tmpl w:val="C860882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nsid w:val="44F2469C"/>
    <w:multiLevelType w:val="multilevel"/>
    <w:tmpl w:val="ED624934"/>
    <w:lvl w:ilvl="0">
      <w:start w:val="1"/>
      <w:numFmt w:val="decimal"/>
      <w:lvlText w:val="%1)"/>
      <w:lvlJc w:val="left"/>
      <w:pPr>
        <w:ind w:left="360" w:hanging="360"/>
      </w:pPr>
      <w:rPr>
        <w:color w:val="auto"/>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D027BF0"/>
    <w:multiLevelType w:val="hybridMultilevel"/>
    <w:tmpl w:val="CEBED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660BB0"/>
    <w:multiLevelType w:val="hybridMultilevel"/>
    <w:tmpl w:val="0306452A"/>
    <w:lvl w:ilvl="0" w:tplc="EBB2ADC6">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55957FFA"/>
    <w:multiLevelType w:val="hybridMultilevel"/>
    <w:tmpl w:val="D1FEB8C6"/>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5">
    <w:nsid w:val="59E44C23"/>
    <w:multiLevelType w:val="hybridMultilevel"/>
    <w:tmpl w:val="27008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9F619C"/>
    <w:multiLevelType w:val="hybridMultilevel"/>
    <w:tmpl w:val="3AAAD942"/>
    <w:lvl w:ilvl="0" w:tplc="569C2F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6F13AC"/>
    <w:multiLevelType w:val="hybridMultilevel"/>
    <w:tmpl w:val="D98ED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D757D4F"/>
    <w:multiLevelType w:val="hybridMultilevel"/>
    <w:tmpl w:val="09EE3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BA4E37"/>
    <w:multiLevelType w:val="hybridMultilevel"/>
    <w:tmpl w:val="C26C4C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AE14C26"/>
    <w:multiLevelType w:val="hybridMultilevel"/>
    <w:tmpl w:val="2A32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20"/>
  </w:num>
  <w:num w:numId="4">
    <w:abstractNumId w:val="9"/>
  </w:num>
  <w:num w:numId="5">
    <w:abstractNumId w:val="5"/>
  </w:num>
  <w:num w:numId="6">
    <w:abstractNumId w:val="24"/>
  </w:num>
  <w:num w:numId="7">
    <w:abstractNumId w:val="2"/>
  </w:num>
  <w:num w:numId="8">
    <w:abstractNumId w:val="14"/>
  </w:num>
  <w:num w:numId="9">
    <w:abstractNumId w:val="17"/>
  </w:num>
  <w:num w:numId="10">
    <w:abstractNumId w:val="0"/>
  </w:num>
  <w:num w:numId="11">
    <w:abstractNumId w:val="25"/>
  </w:num>
  <w:num w:numId="12">
    <w:abstractNumId w:val="8"/>
  </w:num>
  <w:num w:numId="13">
    <w:abstractNumId w:val="10"/>
  </w:num>
  <w:num w:numId="14">
    <w:abstractNumId w:val="15"/>
  </w:num>
  <w:num w:numId="15">
    <w:abstractNumId w:val="3"/>
  </w:num>
  <w:num w:numId="16">
    <w:abstractNumId w:val="6"/>
  </w:num>
  <w:num w:numId="17">
    <w:abstractNumId w:val="7"/>
  </w:num>
  <w:num w:numId="18">
    <w:abstractNumId w:val="28"/>
  </w:num>
  <w:num w:numId="19">
    <w:abstractNumId w:val="12"/>
  </w:num>
  <w:num w:numId="20">
    <w:abstractNumId w:val="23"/>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26"/>
  </w:num>
  <w:num w:numId="29">
    <w:abstractNumId w:val="11"/>
  </w:num>
  <w:num w:numId="30">
    <w:abstractNumId w:val="12"/>
  </w:num>
  <w:num w:numId="31">
    <w:abstractNumId w:val="12"/>
  </w:num>
  <w:num w:numId="32">
    <w:abstractNumId w:val="18"/>
  </w:num>
  <w:num w:numId="33">
    <w:abstractNumId w:val="4"/>
  </w:num>
  <w:num w:numId="34">
    <w:abstractNumId w:val="19"/>
  </w:num>
  <w:num w:numId="35">
    <w:abstractNumId w:val="16"/>
  </w:num>
  <w:num w:numId="36">
    <w:abstractNumId w:val="30"/>
  </w:num>
  <w:num w:numId="37">
    <w:abstractNumId w:val="27"/>
  </w:num>
  <w:num w:numId="38">
    <w:abstractNumId w:val="21"/>
  </w:num>
  <w:num w:numId="39">
    <w:abstractNumId w:val="2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E86F400-E7B1-418D-A7FC-26B3BE011D0C}"/>
    <w:docVar w:name="dgnword-eventsink" w:val="79957312"/>
  </w:docVars>
  <w:rsids>
    <w:rsidRoot w:val="00705002"/>
    <w:rsid w:val="00000A4A"/>
    <w:rsid w:val="00014E6D"/>
    <w:rsid w:val="00015625"/>
    <w:rsid w:val="00021981"/>
    <w:rsid w:val="00026E08"/>
    <w:rsid w:val="00027A2D"/>
    <w:rsid w:val="0003220F"/>
    <w:rsid w:val="00036756"/>
    <w:rsid w:val="000420A6"/>
    <w:rsid w:val="00054CA0"/>
    <w:rsid w:val="000634AE"/>
    <w:rsid w:val="00063DA2"/>
    <w:rsid w:val="00064B36"/>
    <w:rsid w:val="00070820"/>
    <w:rsid w:val="0007517D"/>
    <w:rsid w:val="00080835"/>
    <w:rsid w:val="000932F2"/>
    <w:rsid w:val="000A1BEC"/>
    <w:rsid w:val="000B089A"/>
    <w:rsid w:val="000B13B0"/>
    <w:rsid w:val="000B58A2"/>
    <w:rsid w:val="000C761A"/>
    <w:rsid w:val="000D6D8D"/>
    <w:rsid w:val="000E2268"/>
    <w:rsid w:val="000F18CB"/>
    <w:rsid w:val="000F2447"/>
    <w:rsid w:val="000F35DB"/>
    <w:rsid w:val="000F70F9"/>
    <w:rsid w:val="00117321"/>
    <w:rsid w:val="00121AAB"/>
    <w:rsid w:val="001225B9"/>
    <w:rsid w:val="00123638"/>
    <w:rsid w:val="0013178D"/>
    <w:rsid w:val="00132BA0"/>
    <w:rsid w:val="0013327A"/>
    <w:rsid w:val="001558CE"/>
    <w:rsid w:val="00160E99"/>
    <w:rsid w:val="00170364"/>
    <w:rsid w:val="00177627"/>
    <w:rsid w:val="00184207"/>
    <w:rsid w:val="0019466A"/>
    <w:rsid w:val="001B26DD"/>
    <w:rsid w:val="001D6E15"/>
    <w:rsid w:val="001E3142"/>
    <w:rsid w:val="001F4052"/>
    <w:rsid w:val="001F4888"/>
    <w:rsid w:val="00207177"/>
    <w:rsid w:val="00210E02"/>
    <w:rsid w:val="00212B48"/>
    <w:rsid w:val="00226545"/>
    <w:rsid w:val="00241B7E"/>
    <w:rsid w:val="002463E4"/>
    <w:rsid w:val="00250A0C"/>
    <w:rsid w:val="00253524"/>
    <w:rsid w:val="002542EB"/>
    <w:rsid w:val="00262528"/>
    <w:rsid w:val="00262BBC"/>
    <w:rsid w:val="00272E37"/>
    <w:rsid w:val="00282183"/>
    <w:rsid w:val="00295EEA"/>
    <w:rsid w:val="002B5EB9"/>
    <w:rsid w:val="002B7619"/>
    <w:rsid w:val="002C1091"/>
    <w:rsid w:val="002D656F"/>
    <w:rsid w:val="002E082E"/>
    <w:rsid w:val="002E36FF"/>
    <w:rsid w:val="002F1019"/>
    <w:rsid w:val="002F1CF4"/>
    <w:rsid w:val="00300337"/>
    <w:rsid w:val="00301C31"/>
    <w:rsid w:val="00304F36"/>
    <w:rsid w:val="003103E2"/>
    <w:rsid w:val="00333D0D"/>
    <w:rsid w:val="00342519"/>
    <w:rsid w:val="00350F61"/>
    <w:rsid w:val="00366154"/>
    <w:rsid w:val="00376E5B"/>
    <w:rsid w:val="00377C51"/>
    <w:rsid w:val="00392BF3"/>
    <w:rsid w:val="003A3538"/>
    <w:rsid w:val="003B2A49"/>
    <w:rsid w:val="003B51F7"/>
    <w:rsid w:val="003B643E"/>
    <w:rsid w:val="003B7EDF"/>
    <w:rsid w:val="003D2AEA"/>
    <w:rsid w:val="003E361C"/>
    <w:rsid w:val="003E7904"/>
    <w:rsid w:val="00403B5E"/>
    <w:rsid w:val="00411429"/>
    <w:rsid w:val="0041178C"/>
    <w:rsid w:val="00432E77"/>
    <w:rsid w:val="00441C30"/>
    <w:rsid w:val="004433D9"/>
    <w:rsid w:val="00454CBE"/>
    <w:rsid w:val="0047626F"/>
    <w:rsid w:val="0048220A"/>
    <w:rsid w:val="004A616C"/>
    <w:rsid w:val="004C0AA1"/>
    <w:rsid w:val="004D15E8"/>
    <w:rsid w:val="004D30FF"/>
    <w:rsid w:val="004E33D7"/>
    <w:rsid w:val="004E4326"/>
    <w:rsid w:val="004E4BE1"/>
    <w:rsid w:val="00500842"/>
    <w:rsid w:val="00503EF6"/>
    <w:rsid w:val="00504B79"/>
    <w:rsid w:val="005118E4"/>
    <w:rsid w:val="00532A5B"/>
    <w:rsid w:val="005358B0"/>
    <w:rsid w:val="0054326C"/>
    <w:rsid w:val="005453CE"/>
    <w:rsid w:val="00551FE9"/>
    <w:rsid w:val="005534E4"/>
    <w:rsid w:val="00564BDA"/>
    <w:rsid w:val="00576968"/>
    <w:rsid w:val="005807AA"/>
    <w:rsid w:val="005A061D"/>
    <w:rsid w:val="005B29F8"/>
    <w:rsid w:val="005B768B"/>
    <w:rsid w:val="005C6D4D"/>
    <w:rsid w:val="005E0F58"/>
    <w:rsid w:val="005F6A6E"/>
    <w:rsid w:val="0060157E"/>
    <w:rsid w:val="006537EC"/>
    <w:rsid w:val="00672797"/>
    <w:rsid w:val="00682666"/>
    <w:rsid w:val="00682D94"/>
    <w:rsid w:val="0068464A"/>
    <w:rsid w:val="00687F9E"/>
    <w:rsid w:val="006923B9"/>
    <w:rsid w:val="00696A3A"/>
    <w:rsid w:val="006A7126"/>
    <w:rsid w:val="006C04CA"/>
    <w:rsid w:val="006D1C96"/>
    <w:rsid w:val="006E68B5"/>
    <w:rsid w:val="006E7CF8"/>
    <w:rsid w:val="006F3032"/>
    <w:rsid w:val="00705002"/>
    <w:rsid w:val="00705AF2"/>
    <w:rsid w:val="00705F8C"/>
    <w:rsid w:val="00731010"/>
    <w:rsid w:val="00737F42"/>
    <w:rsid w:val="00782A33"/>
    <w:rsid w:val="007946C6"/>
    <w:rsid w:val="00796DED"/>
    <w:rsid w:val="007B4061"/>
    <w:rsid w:val="007B44FA"/>
    <w:rsid w:val="007C2DA1"/>
    <w:rsid w:val="007C525E"/>
    <w:rsid w:val="007D1BDC"/>
    <w:rsid w:val="007D63E8"/>
    <w:rsid w:val="007F12C2"/>
    <w:rsid w:val="00847C00"/>
    <w:rsid w:val="0085009C"/>
    <w:rsid w:val="00873A74"/>
    <w:rsid w:val="00876F09"/>
    <w:rsid w:val="00877465"/>
    <w:rsid w:val="00886D96"/>
    <w:rsid w:val="008B2A10"/>
    <w:rsid w:val="008C3317"/>
    <w:rsid w:val="008D1691"/>
    <w:rsid w:val="008D28D6"/>
    <w:rsid w:val="008E1125"/>
    <w:rsid w:val="008E2064"/>
    <w:rsid w:val="008F0DCF"/>
    <w:rsid w:val="008F270A"/>
    <w:rsid w:val="00901D47"/>
    <w:rsid w:val="009065BE"/>
    <w:rsid w:val="0091592B"/>
    <w:rsid w:val="0091779F"/>
    <w:rsid w:val="00954EBA"/>
    <w:rsid w:val="00961D41"/>
    <w:rsid w:val="009633C9"/>
    <w:rsid w:val="00995372"/>
    <w:rsid w:val="00996253"/>
    <w:rsid w:val="009A7710"/>
    <w:rsid w:val="009C62DE"/>
    <w:rsid w:val="009D50B3"/>
    <w:rsid w:val="009E3B6C"/>
    <w:rsid w:val="009F307F"/>
    <w:rsid w:val="00A00863"/>
    <w:rsid w:val="00A107B9"/>
    <w:rsid w:val="00A125A9"/>
    <w:rsid w:val="00A13B5E"/>
    <w:rsid w:val="00A53A0E"/>
    <w:rsid w:val="00A53B55"/>
    <w:rsid w:val="00AA28C9"/>
    <w:rsid w:val="00AB73E6"/>
    <w:rsid w:val="00AC1E22"/>
    <w:rsid w:val="00B209B3"/>
    <w:rsid w:val="00B27159"/>
    <w:rsid w:val="00B314FA"/>
    <w:rsid w:val="00B456DF"/>
    <w:rsid w:val="00B47265"/>
    <w:rsid w:val="00B5062C"/>
    <w:rsid w:val="00B50E22"/>
    <w:rsid w:val="00B52DA7"/>
    <w:rsid w:val="00B6056A"/>
    <w:rsid w:val="00B719C9"/>
    <w:rsid w:val="00B75CDB"/>
    <w:rsid w:val="00B9456F"/>
    <w:rsid w:val="00BA341E"/>
    <w:rsid w:val="00BA5693"/>
    <w:rsid w:val="00BE3F9E"/>
    <w:rsid w:val="00BE6E5D"/>
    <w:rsid w:val="00C02D6D"/>
    <w:rsid w:val="00C1097C"/>
    <w:rsid w:val="00C12F3A"/>
    <w:rsid w:val="00C16341"/>
    <w:rsid w:val="00C26FB6"/>
    <w:rsid w:val="00C37C48"/>
    <w:rsid w:val="00C4005F"/>
    <w:rsid w:val="00C42766"/>
    <w:rsid w:val="00C66686"/>
    <w:rsid w:val="00C722F8"/>
    <w:rsid w:val="00C906CB"/>
    <w:rsid w:val="00C924CD"/>
    <w:rsid w:val="00CC2D7A"/>
    <w:rsid w:val="00CD426D"/>
    <w:rsid w:val="00CE2E2D"/>
    <w:rsid w:val="00D05AEE"/>
    <w:rsid w:val="00D068C9"/>
    <w:rsid w:val="00D0752A"/>
    <w:rsid w:val="00D1417E"/>
    <w:rsid w:val="00D16EB5"/>
    <w:rsid w:val="00D43906"/>
    <w:rsid w:val="00D5311F"/>
    <w:rsid w:val="00D62711"/>
    <w:rsid w:val="00D87134"/>
    <w:rsid w:val="00D95528"/>
    <w:rsid w:val="00DB6C6F"/>
    <w:rsid w:val="00DC0736"/>
    <w:rsid w:val="00DC7DDD"/>
    <w:rsid w:val="00DD0FF9"/>
    <w:rsid w:val="00DD21C9"/>
    <w:rsid w:val="00DE2B62"/>
    <w:rsid w:val="00DE6FC9"/>
    <w:rsid w:val="00DE7A4E"/>
    <w:rsid w:val="00DF10E9"/>
    <w:rsid w:val="00DF5727"/>
    <w:rsid w:val="00E02361"/>
    <w:rsid w:val="00E14F94"/>
    <w:rsid w:val="00E157AD"/>
    <w:rsid w:val="00E27498"/>
    <w:rsid w:val="00E46ED3"/>
    <w:rsid w:val="00E51DB4"/>
    <w:rsid w:val="00E66B48"/>
    <w:rsid w:val="00E71E23"/>
    <w:rsid w:val="00E90B60"/>
    <w:rsid w:val="00E92F5B"/>
    <w:rsid w:val="00EA7856"/>
    <w:rsid w:val="00EB0CBE"/>
    <w:rsid w:val="00EC28C9"/>
    <w:rsid w:val="00EC4591"/>
    <w:rsid w:val="00ED4243"/>
    <w:rsid w:val="00F0568B"/>
    <w:rsid w:val="00F07A28"/>
    <w:rsid w:val="00F2712C"/>
    <w:rsid w:val="00F273A4"/>
    <w:rsid w:val="00F44318"/>
    <w:rsid w:val="00F509A4"/>
    <w:rsid w:val="00F60F46"/>
    <w:rsid w:val="00F65C28"/>
    <w:rsid w:val="00F743CA"/>
    <w:rsid w:val="00FA1303"/>
    <w:rsid w:val="00FA422D"/>
    <w:rsid w:val="00FB58A1"/>
    <w:rsid w:val="00FC4BAE"/>
    <w:rsid w:val="00FC714E"/>
    <w:rsid w:val="00FD6EDD"/>
    <w:rsid w:val="00FE0F9A"/>
    <w:rsid w:val="00FE5F58"/>
    <w:rsid w:val="00FF1477"/>
    <w:rsid w:val="00FF4A5D"/>
    <w:rsid w:val="00FF7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94A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Number" w:semiHidden="0" w:uiPriority="99" w:unhideWhenUsed="0"/>
    <w:lsdException w:name="List 4" w:semiHidden="0" w:unhideWhenUsed="0"/>
    <w:lsdException w:name="List 5" w:semiHidden="0" w:unhideWhenUsed="0"/>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F42"/>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AC1E22"/>
    <w:pPr>
      <w:keepNext/>
      <w:spacing w:after="240"/>
      <w:outlineLvl w:val="0"/>
    </w:pPr>
    <w:rPr>
      <w:rFonts w:ascii="Calibri Light" w:eastAsia="Times New Roman" w:hAnsi="Calibri Light"/>
      <w:bCs/>
      <w:color w:val="365F91" w:themeColor="accent1" w:themeShade="BF"/>
      <w:kern w:val="32"/>
      <w:sz w:val="32"/>
      <w:szCs w:val="32"/>
    </w:rPr>
  </w:style>
  <w:style w:type="paragraph" w:styleId="Heading2">
    <w:name w:val="heading 2"/>
    <w:basedOn w:val="Normal"/>
    <w:next w:val="Normal"/>
    <w:link w:val="Heading2Char"/>
    <w:autoRedefine/>
    <w:uiPriority w:val="9"/>
    <w:unhideWhenUsed/>
    <w:qFormat/>
    <w:rsid w:val="00576968"/>
    <w:pPr>
      <w:keepNext/>
      <w:keepLines/>
      <w:spacing w:before="120" w:after="120" w:line="259" w:lineRule="auto"/>
      <w:outlineLvl w:val="1"/>
    </w:pPr>
    <w:rPr>
      <w:rFonts w:ascii="Garamond" w:eastAsiaTheme="majorEastAsia" w:hAnsi="Garamond" w:cstheme="majorBidi"/>
      <w:b/>
      <w:color w:val="365F91" w:themeColor="accent1" w:themeShade="BF"/>
      <w:sz w:val="26"/>
      <w:szCs w:val="26"/>
    </w:rPr>
  </w:style>
  <w:style w:type="paragraph" w:styleId="Heading3">
    <w:name w:val="heading 3"/>
    <w:basedOn w:val="Normal"/>
    <w:next w:val="Normal"/>
    <w:link w:val="Heading3Char"/>
    <w:autoRedefine/>
    <w:uiPriority w:val="9"/>
    <w:unhideWhenUsed/>
    <w:qFormat/>
    <w:rsid w:val="007F12C2"/>
    <w:pPr>
      <w:keepNext/>
      <w:keepLines/>
      <w:spacing w:before="120" w:after="120" w:line="259" w:lineRule="auto"/>
      <w:outlineLvl w:val="2"/>
    </w:pPr>
    <w:rPr>
      <w:rFonts w:asciiTheme="majorHAnsi" w:eastAsiaTheme="majorEastAsia" w:hAnsiTheme="majorHAnsi" w:cstheme="majorBidi"/>
      <w:i/>
      <w:color w:val="243F60" w:themeColor="accent1" w:themeShade="7F"/>
      <w:sz w:val="24"/>
      <w:szCs w:val="24"/>
    </w:rPr>
  </w:style>
  <w:style w:type="paragraph" w:styleId="Heading4">
    <w:name w:val="heading 4"/>
    <w:basedOn w:val="Normal"/>
    <w:next w:val="Normal"/>
    <w:link w:val="Heading4Char"/>
    <w:semiHidden/>
    <w:unhideWhenUsed/>
    <w:qFormat/>
    <w:rsid w:val="00D141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qFormat/>
    <w:rsid w:val="00D05AEE"/>
    <w:pPr>
      <w:keepNext/>
      <w:outlineLvl w:val="5"/>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05AEE"/>
    <w:pPr>
      <w:tabs>
        <w:tab w:val="center" w:pos="4153"/>
        <w:tab w:val="right" w:pos="8306"/>
      </w:tabs>
    </w:pPr>
  </w:style>
  <w:style w:type="paragraph" w:styleId="Footer">
    <w:name w:val="footer"/>
    <w:basedOn w:val="Normal"/>
    <w:link w:val="FooterChar"/>
    <w:uiPriority w:val="99"/>
    <w:rsid w:val="00D05AEE"/>
    <w:pPr>
      <w:tabs>
        <w:tab w:val="center" w:pos="4153"/>
        <w:tab w:val="right" w:pos="8306"/>
      </w:tabs>
    </w:pPr>
  </w:style>
  <w:style w:type="character" w:customStyle="1" w:styleId="Heading1Char">
    <w:name w:val="Heading 1 Char"/>
    <w:basedOn w:val="DefaultParagraphFont"/>
    <w:link w:val="Heading1"/>
    <w:rsid w:val="00AC1E22"/>
    <w:rPr>
      <w:rFonts w:ascii="Calibri Light" w:hAnsi="Calibri Light"/>
      <w:bCs/>
      <w:color w:val="365F91" w:themeColor="accent1" w:themeShade="BF"/>
      <w:kern w:val="32"/>
      <w:sz w:val="32"/>
      <w:szCs w:val="32"/>
      <w:lang w:eastAsia="en-US"/>
    </w:rPr>
  </w:style>
  <w:style w:type="paragraph" w:styleId="ListParagraph">
    <w:name w:val="List Paragraph"/>
    <w:basedOn w:val="Normal"/>
    <w:uiPriority w:val="34"/>
    <w:qFormat/>
    <w:rsid w:val="0054326C"/>
    <w:pPr>
      <w:ind w:left="720"/>
      <w:contextualSpacing/>
    </w:pPr>
  </w:style>
  <w:style w:type="paragraph" w:styleId="FootnoteText">
    <w:name w:val="footnote text"/>
    <w:basedOn w:val="Normal"/>
    <w:link w:val="FootnoteTextChar"/>
    <w:autoRedefine/>
    <w:rsid w:val="007B4061"/>
    <w:pPr>
      <w:spacing w:after="0" w:line="240" w:lineRule="auto"/>
    </w:pPr>
    <w:rPr>
      <w:rFonts w:asciiTheme="minorHAnsi" w:eastAsia="Times New Roman" w:hAnsiTheme="minorHAnsi"/>
      <w:iCs/>
    </w:rPr>
  </w:style>
  <w:style w:type="character" w:customStyle="1" w:styleId="FootnoteTextChar">
    <w:name w:val="Footnote Text Char"/>
    <w:basedOn w:val="DefaultParagraphFont"/>
    <w:link w:val="FootnoteText"/>
    <w:rsid w:val="007B4061"/>
    <w:rPr>
      <w:rFonts w:asciiTheme="minorHAnsi" w:hAnsiTheme="minorHAnsi"/>
      <w:iCs/>
      <w:sz w:val="22"/>
      <w:szCs w:val="22"/>
      <w:lang w:eastAsia="en-US"/>
    </w:rPr>
  </w:style>
  <w:style w:type="character" w:styleId="FootnoteReference">
    <w:name w:val="footnote reference"/>
    <w:basedOn w:val="DefaultParagraphFont"/>
    <w:rsid w:val="0054326C"/>
    <w:rPr>
      <w:vertAlign w:val="superscript"/>
    </w:rPr>
  </w:style>
  <w:style w:type="paragraph" w:styleId="BodyText">
    <w:name w:val="Body Text"/>
    <w:basedOn w:val="Normal"/>
    <w:link w:val="BodyTextChar"/>
    <w:rsid w:val="0054326C"/>
    <w:pPr>
      <w:spacing w:after="0" w:line="240" w:lineRule="auto"/>
      <w:jc w:val="both"/>
    </w:pPr>
    <w:rPr>
      <w:rFonts w:ascii="Times New Roman" w:eastAsia="Times New Roman" w:hAnsi="Times New Roman"/>
      <w:b/>
      <w:bCs/>
      <w:i/>
      <w:iCs/>
      <w:sz w:val="24"/>
      <w:szCs w:val="24"/>
    </w:rPr>
  </w:style>
  <w:style w:type="character" w:customStyle="1" w:styleId="BodyTextChar">
    <w:name w:val="Body Text Char"/>
    <w:basedOn w:val="DefaultParagraphFont"/>
    <w:link w:val="BodyText"/>
    <w:rsid w:val="0054326C"/>
    <w:rPr>
      <w:b/>
      <w:bCs/>
      <w:i/>
      <w:iCs/>
      <w:sz w:val="24"/>
      <w:szCs w:val="24"/>
      <w:lang w:eastAsia="en-US"/>
    </w:rPr>
  </w:style>
  <w:style w:type="character" w:styleId="Hyperlink">
    <w:name w:val="Hyperlink"/>
    <w:basedOn w:val="DefaultParagraphFont"/>
    <w:uiPriority w:val="99"/>
    <w:unhideWhenUsed/>
    <w:rsid w:val="0054326C"/>
    <w:rPr>
      <w:color w:val="0000FF" w:themeColor="hyperlink"/>
      <w:u w:val="single"/>
    </w:rPr>
  </w:style>
  <w:style w:type="paragraph" w:customStyle="1" w:styleId="Default">
    <w:name w:val="Default"/>
    <w:rsid w:val="0054326C"/>
    <w:pPr>
      <w:autoSpaceDE w:val="0"/>
      <w:autoSpaceDN w:val="0"/>
      <w:adjustRightInd w:val="0"/>
    </w:pPr>
    <w:rPr>
      <w:rFonts w:ascii="Garamond" w:eastAsiaTheme="minorHAnsi" w:hAnsi="Garamond" w:cs="Garamond"/>
      <w:color w:val="000000"/>
      <w:sz w:val="24"/>
      <w:szCs w:val="24"/>
      <w:lang w:eastAsia="en-US"/>
    </w:rPr>
  </w:style>
  <w:style w:type="paragraph" w:customStyle="1" w:styleId="shorttp1">
    <w:name w:val="shorttp1"/>
    <w:basedOn w:val="Normal"/>
    <w:rsid w:val="0054326C"/>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54326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05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05002"/>
    <w:rPr>
      <w:rFonts w:ascii="Tahoma" w:eastAsia="Calibri" w:hAnsi="Tahoma" w:cs="Tahoma"/>
      <w:sz w:val="16"/>
      <w:szCs w:val="16"/>
      <w:lang w:eastAsia="en-US"/>
    </w:rPr>
  </w:style>
  <w:style w:type="character" w:customStyle="1" w:styleId="FooterChar">
    <w:name w:val="Footer Char"/>
    <w:basedOn w:val="DefaultParagraphFont"/>
    <w:link w:val="Footer"/>
    <w:uiPriority w:val="99"/>
    <w:rsid w:val="00705002"/>
    <w:rPr>
      <w:rFonts w:ascii="Calibri" w:eastAsia="Calibri" w:hAnsi="Calibri"/>
      <w:sz w:val="22"/>
      <w:szCs w:val="22"/>
      <w:lang w:eastAsia="en-US"/>
    </w:rPr>
  </w:style>
  <w:style w:type="character" w:styleId="CommentReference">
    <w:name w:val="annotation reference"/>
    <w:basedOn w:val="DefaultParagraphFont"/>
    <w:semiHidden/>
    <w:unhideWhenUsed/>
    <w:rsid w:val="00C66686"/>
    <w:rPr>
      <w:sz w:val="16"/>
      <w:szCs w:val="16"/>
    </w:rPr>
  </w:style>
  <w:style w:type="paragraph" w:styleId="CommentText">
    <w:name w:val="annotation text"/>
    <w:basedOn w:val="Normal"/>
    <w:link w:val="CommentTextChar"/>
    <w:semiHidden/>
    <w:unhideWhenUsed/>
    <w:rsid w:val="00C66686"/>
    <w:pPr>
      <w:spacing w:line="240" w:lineRule="auto"/>
    </w:pPr>
    <w:rPr>
      <w:sz w:val="20"/>
      <w:szCs w:val="20"/>
    </w:rPr>
  </w:style>
  <w:style w:type="character" w:customStyle="1" w:styleId="CommentTextChar">
    <w:name w:val="Comment Text Char"/>
    <w:basedOn w:val="DefaultParagraphFont"/>
    <w:link w:val="CommentText"/>
    <w:semiHidden/>
    <w:rsid w:val="00C66686"/>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C66686"/>
    <w:rPr>
      <w:b/>
      <w:bCs/>
    </w:rPr>
  </w:style>
  <w:style w:type="character" w:customStyle="1" w:styleId="CommentSubjectChar">
    <w:name w:val="Comment Subject Char"/>
    <w:basedOn w:val="CommentTextChar"/>
    <w:link w:val="CommentSubject"/>
    <w:semiHidden/>
    <w:rsid w:val="00C66686"/>
    <w:rPr>
      <w:rFonts w:ascii="Calibri" w:eastAsia="Calibri" w:hAnsi="Calibri"/>
      <w:b/>
      <w:bCs/>
      <w:lang w:eastAsia="en-US"/>
    </w:rPr>
  </w:style>
  <w:style w:type="character" w:customStyle="1" w:styleId="Heading2Char">
    <w:name w:val="Heading 2 Char"/>
    <w:basedOn w:val="DefaultParagraphFont"/>
    <w:link w:val="Heading2"/>
    <w:uiPriority w:val="9"/>
    <w:rsid w:val="00576968"/>
    <w:rPr>
      <w:rFonts w:ascii="Garamond" w:eastAsiaTheme="majorEastAsia" w:hAnsi="Garamond" w:cstheme="majorBidi"/>
      <w:b/>
      <w:color w:val="365F91" w:themeColor="accent1" w:themeShade="BF"/>
      <w:sz w:val="26"/>
      <w:szCs w:val="26"/>
      <w:lang w:eastAsia="en-US"/>
    </w:rPr>
  </w:style>
  <w:style w:type="character" w:customStyle="1" w:styleId="Heading3Char">
    <w:name w:val="Heading 3 Char"/>
    <w:basedOn w:val="DefaultParagraphFont"/>
    <w:link w:val="Heading3"/>
    <w:uiPriority w:val="9"/>
    <w:rsid w:val="007F12C2"/>
    <w:rPr>
      <w:rFonts w:asciiTheme="majorHAnsi" w:eastAsiaTheme="majorEastAsia" w:hAnsiTheme="majorHAnsi" w:cstheme="majorBidi"/>
      <w:i/>
      <w:color w:val="243F60" w:themeColor="accent1" w:themeShade="7F"/>
      <w:sz w:val="24"/>
      <w:szCs w:val="24"/>
      <w:lang w:eastAsia="en-US"/>
    </w:rPr>
  </w:style>
  <w:style w:type="paragraph" w:styleId="TOCHeading">
    <w:name w:val="TOC Heading"/>
    <w:basedOn w:val="Heading1"/>
    <w:next w:val="Normal"/>
    <w:uiPriority w:val="39"/>
    <w:unhideWhenUsed/>
    <w:qFormat/>
    <w:rsid w:val="000634AE"/>
    <w:pPr>
      <w:keepLines/>
      <w:spacing w:before="240" w:after="0" w:line="259" w:lineRule="auto"/>
      <w:outlineLvl w:val="9"/>
    </w:pPr>
    <w:rPr>
      <w:rFonts w:asciiTheme="majorHAnsi" w:eastAsiaTheme="majorEastAsia" w:hAnsiTheme="majorHAnsi" w:cstheme="majorBidi"/>
      <w:b/>
      <w:bCs w:val="0"/>
      <w:kern w:val="0"/>
      <w:lang w:val="en-US"/>
    </w:rPr>
  </w:style>
  <w:style w:type="paragraph" w:styleId="TOC1">
    <w:name w:val="toc 1"/>
    <w:basedOn w:val="Normal"/>
    <w:next w:val="Normal"/>
    <w:autoRedefine/>
    <w:uiPriority w:val="39"/>
    <w:unhideWhenUsed/>
    <w:rsid w:val="000634AE"/>
    <w:pPr>
      <w:spacing w:after="100"/>
    </w:pPr>
  </w:style>
  <w:style w:type="paragraph" w:styleId="TOC2">
    <w:name w:val="toc 2"/>
    <w:basedOn w:val="Normal"/>
    <w:next w:val="Normal"/>
    <w:autoRedefine/>
    <w:uiPriority w:val="39"/>
    <w:unhideWhenUsed/>
    <w:rsid w:val="000634AE"/>
    <w:pPr>
      <w:spacing w:after="100"/>
      <w:ind w:left="220"/>
    </w:pPr>
  </w:style>
  <w:style w:type="paragraph" w:styleId="TOC3">
    <w:name w:val="toc 3"/>
    <w:basedOn w:val="Normal"/>
    <w:next w:val="Normal"/>
    <w:autoRedefine/>
    <w:uiPriority w:val="39"/>
    <w:unhideWhenUsed/>
    <w:rsid w:val="000634AE"/>
    <w:pPr>
      <w:spacing w:after="100"/>
      <w:ind w:left="440"/>
    </w:pPr>
  </w:style>
  <w:style w:type="character" w:customStyle="1" w:styleId="Heading4Char">
    <w:name w:val="Heading 4 Char"/>
    <w:basedOn w:val="DefaultParagraphFont"/>
    <w:link w:val="Heading4"/>
    <w:semiHidden/>
    <w:rsid w:val="00D1417E"/>
    <w:rPr>
      <w:rFonts w:asciiTheme="majorHAnsi" w:eastAsiaTheme="majorEastAsia" w:hAnsiTheme="majorHAnsi" w:cstheme="majorBidi"/>
      <w:i/>
      <w:iCs/>
      <w:color w:val="365F91" w:themeColor="accent1" w:themeShade="BF"/>
      <w:sz w:val="22"/>
      <w:szCs w:val="22"/>
      <w:lang w:eastAsia="en-US"/>
    </w:rPr>
  </w:style>
  <w:style w:type="paragraph" w:styleId="ListNumber">
    <w:name w:val="List Number"/>
    <w:basedOn w:val="Normal"/>
    <w:uiPriority w:val="99"/>
    <w:unhideWhenUsed/>
    <w:rsid w:val="00D1417E"/>
    <w:pPr>
      <w:numPr>
        <w:numId w:val="19"/>
      </w:numPr>
      <w:spacing w:after="120"/>
      <w:contextualSpacing/>
    </w:pPr>
    <w:rPr>
      <w:rFonts w:asciiTheme="minorHAnsi" w:eastAsiaTheme="minorEastAsia" w:hAnsiTheme="minorHAnsi" w:cstheme="minorBidi"/>
    </w:rPr>
  </w:style>
  <w:style w:type="paragraph" w:styleId="ListNumber2">
    <w:name w:val="List Number 2"/>
    <w:basedOn w:val="Normal"/>
    <w:uiPriority w:val="99"/>
    <w:unhideWhenUsed/>
    <w:rsid w:val="00D1417E"/>
    <w:pPr>
      <w:numPr>
        <w:ilvl w:val="1"/>
        <w:numId w:val="19"/>
      </w:numPr>
      <w:tabs>
        <w:tab w:val="left" w:pos="1134"/>
      </w:tabs>
      <w:spacing w:after="120"/>
      <w:ind w:left="936" w:hanging="567"/>
      <w:contextualSpacing/>
    </w:pPr>
    <w:rPr>
      <w:rFonts w:asciiTheme="minorHAnsi" w:eastAsiaTheme="minorEastAsia" w:hAnsiTheme="minorHAnsi" w:cstheme="minorBidi"/>
    </w:rPr>
  </w:style>
  <w:style w:type="paragraph" w:styleId="ListNumber3">
    <w:name w:val="List Number 3"/>
    <w:basedOn w:val="Normal"/>
    <w:uiPriority w:val="99"/>
    <w:unhideWhenUsed/>
    <w:rsid w:val="00D1417E"/>
    <w:pPr>
      <w:numPr>
        <w:ilvl w:val="2"/>
        <w:numId w:val="19"/>
      </w:numPr>
      <w:spacing w:after="120"/>
      <w:ind w:left="1701" w:hanging="765"/>
      <w:contextualSpacing/>
    </w:pPr>
    <w:rPr>
      <w:rFonts w:asciiTheme="minorHAnsi" w:eastAsiaTheme="minorEastAsia" w:hAnsiTheme="minorHAnsi" w:cstheme="minorBidi"/>
    </w:rPr>
  </w:style>
  <w:style w:type="paragraph" w:styleId="ListNumber4">
    <w:name w:val="List Number 4"/>
    <w:basedOn w:val="Normal"/>
    <w:uiPriority w:val="99"/>
    <w:unhideWhenUsed/>
    <w:rsid w:val="00D1417E"/>
    <w:pPr>
      <w:numPr>
        <w:ilvl w:val="3"/>
        <w:numId w:val="19"/>
      </w:numPr>
      <w:spacing w:after="120"/>
      <w:ind w:left="2637" w:hanging="936"/>
      <w:contextualSpacing/>
    </w:pPr>
    <w:rPr>
      <w:rFonts w:asciiTheme="minorHAnsi" w:eastAsiaTheme="minorEastAsia" w:hAnsiTheme="minorHAnsi" w:cstheme="minorBidi"/>
    </w:rPr>
  </w:style>
  <w:style w:type="paragraph" w:styleId="ListBullet">
    <w:name w:val="List Bullet"/>
    <w:basedOn w:val="Normal"/>
    <w:uiPriority w:val="99"/>
    <w:unhideWhenUsed/>
    <w:rsid w:val="00D1417E"/>
    <w:pPr>
      <w:numPr>
        <w:numId w:val="20"/>
      </w:numPr>
      <w:spacing w:after="120"/>
      <w:ind w:left="369" w:hanging="369"/>
      <w:contextualSpacing/>
    </w:pPr>
    <w:rPr>
      <w:rFonts w:asciiTheme="minorHAnsi" w:eastAsiaTheme="minorEastAsia" w:hAnsiTheme="minorHAnsi" w:cstheme="minorBidi"/>
    </w:rPr>
  </w:style>
  <w:style w:type="paragraph" w:styleId="ListBullet2">
    <w:name w:val="List Bullet 2"/>
    <w:basedOn w:val="Normal"/>
    <w:uiPriority w:val="99"/>
    <w:unhideWhenUsed/>
    <w:rsid w:val="00D1417E"/>
    <w:pPr>
      <w:numPr>
        <w:ilvl w:val="1"/>
        <w:numId w:val="20"/>
      </w:numPr>
      <w:spacing w:after="120"/>
      <w:ind w:left="766" w:hanging="369"/>
      <w:contextualSpacing/>
    </w:pPr>
    <w:rPr>
      <w:rFonts w:asciiTheme="minorHAnsi" w:eastAsiaTheme="minorEastAsia" w:hAnsiTheme="minorHAnsi" w:cstheme="minorBidi"/>
    </w:rPr>
  </w:style>
  <w:style w:type="paragraph" w:styleId="ListBullet3">
    <w:name w:val="List Bullet 3"/>
    <w:basedOn w:val="Normal"/>
    <w:uiPriority w:val="99"/>
    <w:unhideWhenUsed/>
    <w:rsid w:val="00D1417E"/>
    <w:pPr>
      <w:numPr>
        <w:ilvl w:val="2"/>
        <w:numId w:val="20"/>
      </w:numPr>
      <w:spacing w:after="120"/>
      <w:ind w:left="1163" w:hanging="369"/>
      <w:contextualSpacing/>
    </w:pPr>
    <w:rPr>
      <w:rFonts w:asciiTheme="minorHAnsi" w:eastAsiaTheme="minorEastAsia" w:hAnsiTheme="minorHAnsi" w:cstheme="minorBidi"/>
    </w:rPr>
  </w:style>
  <w:style w:type="paragraph" w:styleId="ListBullet4">
    <w:name w:val="List Bullet 4"/>
    <w:basedOn w:val="Normal"/>
    <w:uiPriority w:val="99"/>
    <w:unhideWhenUsed/>
    <w:rsid w:val="00D1417E"/>
    <w:pPr>
      <w:numPr>
        <w:ilvl w:val="3"/>
        <w:numId w:val="20"/>
      </w:numPr>
      <w:spacing w:after="120"/>
      <w:ind w:left="1503" w:hanging="369"/>
      <w:contextualSpacing/>
    </w:pPr>
    <w:rPr>
      <w:rFonts w:asciiTheme="minorHAnsi" w:eastAsiaTheme="minorEastAsia" w:hAnsiTheme="minorHAnsi" w:cstheme="minorBidi"/>
    </w:rPr>
  </w:style>
  <w:style w:type="paragraph" w:customStyle="1" w:styleId="Source">
    <w:name w:val="Source"/>
    <w:basedOn w:val="Normal"/>
    <w:qFormat/>
    <w:rsid w:val="00D1417E"/>
    <w:pPr>
      <w:spacing w:before="120"/>
    </w:pPr>
    <w:rPr>
      <w:rFonts w:asciiTheme="minorHAnsi" w:eastAsiaTheme="minorEastAsia" w:hAnsiTheme="minorHAnsi" w:cstheme="minorHAnsi"/>
      <w:b/>
      <w:sz w:val="20"/>
      <w:szCs w:val="20"/>
    </w:rPr>
  </w:style>
  <w:style w:type="paragraph" w:styleId="NormalWeb">
    <w:name w:val="Normal (Web)"/>
    <w:basedOn w:val="Normal"/>
    <w:uiPriority w:val="99"/>
    <w:unhideWhenUsed/>
    <w:rsid w:val="00D1417E"/>
    <w:pPr>
      <w:spacing w:before="240" w:after="240" w:line="240" w:lineRule="auto"/>
    </w:pPr>
    <w:rPr>
      <w:rFonts w:ascii="Times New Roman" w:eastAsia="Times New Roman" w:hAnsi="Times New Roman"/>
      <w:sz w:val="24"/>
      <w:szCs w:val="24"/>
      <w:lang w:eastAsia="en-AU"/>
    </w:rPr>
  </w:style>
  <w:style w:type="paragraph" w:styleId="Title">
    <w:name w:val="Title"/>
    <w:basedOn w:val="Normal"/>
    <w:next w:val="Normal"/>
    <w:link w:val="TitleChar"/>
    <w:qFormat/>
    <w:rsid w:val="00EA78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7856"/>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semiHidden/>
    <w:unhideWhenUsed/>
    <w:rsid w:val="00DF5727"/>
    <w:rPr>
      <w:color w:val="800080" w:themeColor="followedHyperlink"/>
      <w:u w:val="single"/>
    </w:rPr>
  </w:style>
  <w:style w:type="table" w:styleId="LightShading-Accent1">
    <w:name w:val="Light Shading Accent 1"/>
    <w:basedOn w:val="TableNormal"/>
    <w:uiPriority w:val="60"/>
    <w:rsid w:val="00E2749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uiPriority="99"/>
    <w:lsdException w:name="List Number" w:semiHidden="0" w:uiPriority="99" w:unhideWhenUsed="0"/>
    <w:lsdException w:name="List 4" w:semiHidden="0" w:unhideWhenUsed="0"/>
    <w:lsdException w:name="List 5" w:semiHidden="0" w:unhideWhenUsed="0"/>
    <w:lsdException w:name="List Bullet 2" w:uiPriority="99"/>
    <w:lsdException w:name="List Bullet 3" w:uiPriority="99"/>
    <w:lsdException w:name="List Bullet 4" w:uiPriority="99"/>
    <w:lsdException w:name="List Number 2" w:uiPriority="99"/>
    <w:lsdException w:name="List Number 3" w:uiPriority="99"/>
    <w:lsdException w:name="List Number 4"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F42"/>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AC1E22"/>
    <w:pPr>
      <w:keepNext/>
      <w:spacing w:after="240"/>
      <w:outlineLvl w:val="0"/>
    </w:pPr>
    <w:rPr>
      <w:rFonts w:ascii="Calibri Light" w:eastAsia="Times New Roman" w:hAnsi="Calibri Light"/>
      <w:bCs/>
      <w:color w:val="365F91" w:themeColor="accent1" w:themeShade="BF"/>
      <w:kern w:val="32"/>
      <w:sz w:val="32"/>
      <w:szCs w:val="32"/>
    </w:rPr>
  </w:style>
  <w:style w:type="paragraph" w:styleId="Heading2">
    <w:name w:val="heading 2"/>
    <w:basedOn w:val="Normal"/>
    <w:next w:val="Normal"/>
    <w:link w:val="Heading2Char"/>
    <w:autoRedefine/>
    <w:uiPriority w:val="9"/>
    <w:unhideWhenUsed/>
    <w:qFormat/>
    <w:rsid w:val="00576968"/>
    <w:pPr>
      <w:keepNext/>
      <w:keepLines/>
      <w:spacing w:before="120" w:after="120" w:line="259" w:lineRule="auto"/>
      <w:outlineLvl w:val="1"/>
    </w:pPr>
    <w:rPr>
      <w:rFonts w:ascii="Garamond" w:eastAsiaTheme="majorEastAsia" w:hAnsi="Garamond" w:cstheme="majorBidi"/>
      <w:b/>
      <w:color w:val="365F91" w:themeColor="accent1" w:themeShade="BF"/>
      <w:sz w:val="26"/>
      <w:szCs w:val="26"/>
    </w:rPr>
  </w:style>
  <w:style w:type="paragraph" w:styleId="Heading3">
    <w:name w:val="heading 3"/>
    <w:basedOn w:val="Normal"/>
    <w:next w:val="Normal"/>
    <w:link w:val="Heading3Char"/>
    <w:autoRedefine/>
    <w:uiPriority w:val="9"/>
    <w:unhideWhenUsed/>
    <w:qFormat/>
    <w:rsid w:val="007F12C2"/>
    <w:pPr>
      <w:keepNext/>
      <w:keepLines/>
      <w:spacing w:before="120" w:after="120" w:line="259" w:lineRule="auto"/>
      <w:outlineLvl w:val="2"/>
    </w:pPr>
    <w:rPr>
      <w:rFonts w:asciiTheme="majorHAnsi" w:eastAsiaTheme="majorEastAsia" w:hAnsiTheme="majorHAnsi" w:cstheme="majorBidi"/>
      <w:i/>
      <w:color w:val="243F60" w:themeColor="accent1" w:themeShade="7F"/>
      <w:sz w:val="24"/>
      <w:szCs w:val="24"/>
    </w:rPr>
  </w:style>
  <w:style w:type="paragraph" w:styleId="Heading4">
    <w:name w:val="heading 4"/>
    <w:basedOn w:val="Normal"/>
    <w:next w:val="Normal"/>
    <w:link w:val="Heading4Char"/>
    <w:semiHidden/>
    <w:unhideWhenUsed/>
    <w:qFormat/>
    <w:rsid w:val="00D141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qFormat/>
    <w:rsid w:val="00D05AEE"/>
    <w:pPr>
      <w:keepNext/>
      <w:outlineLvl w:val="5"/>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05AEE"/>
    <w:pPr>
      <w:tabs>
        <w:tab w:val="center" w:pos="4153"/>
        <w:tab w:val="right" w:pos="8306"/>
      </w:tabs>
    </w:pPr>
  </w:style>
  <w:style w:type="paragraph" w:styleId="Footer">
    <w:name w:val="footer"/>
    <w:basedOn w:val="Normal"/>
    <w:link w:val="FooterChar"/>
    <w:uiPriority w:val="99"/>
    <w:rsid w:val="00D05AEE"/>
    <w:pPr>
      <w:tabs>
        <w:tab w:val="center" w:pos="4153"/>
        <w:tab w:val="right" w:pos="8306"/>
      </w:tabs>
    </w:pPr>
  </w:style>
  <w:style w:type="character" w:customStyle="1" w:styleId="Heading1Char">
    <w:name w:val="Heading 1 Char"/>
    <w:basedOn w:val="DefaultParagraphFont"/>
    <w:link w:val="Heading1"/>
    <w:rsid w:val="00AC1E22"/>
    <w:rPr>
      <w:rFonts w:ascii="Calibri Light" w:hAnsi="Calibri Light"/>
      <w:bCs/>
      <w:color w:val="365F91" w:themeColor="accent1" w:themeShade="BF"/>
      <w:kern w:val="32"/>
      <w:sz w:val="32"/>
      <w:szCs w:val="32"/>
      <w:lang w:eastAsia="en-US"/>
    </w:rPr>
  </w:style>
  <w:style w:type="paragraph" w:styleId="ListParagraph">
    <w:name w:val="List Paragraph"/>
    <w:basedOn w:val="Normal"/>
    <w:uiPriority w:val="34"/>
    <w:qFormat/>
    <w:rsid w:val="0054326C"/>
    <w:pPr>
      <w:ind w:left="720"/>
      <w:contextualSpacing/>
    </w:pPr>
  </w:style>
  <w:style w:type="paragraph" w:styleId="FootnoteText">
    <w:name w:val="footnote text"/>
    <w:basedOn w:val="Normal"/>
    <w:link w:val="FootnoteTextChar"/>
    <w:autoRedefine/>
    <w:rsid w:val="007B4061"/>
    <w:pPr>
      <w:spacing w:after="0" w:line="240" w:lineRule="auto"/>
    </w:pPr>
    <w:rPr>
      <w:rFonts w:asciiTheme="minorHAnsi" w:eastAsia="Times New Roman" w:hAnsiTheme="minorHAnsi"/>
      <w:iCs/>
    </w:rPr>
  </w:style>
  <w:style w:type="character" w:customStyle="1" w:styleId="FootnoteTextChar">
    <w:name w:val="Footnote Text Char"/>
    <w:basedOn w:val="DefaultParagraphFont"/>
    <w:link w:val="FootnoteText"/>
    <w:rsid w:val="007B4061"/>
    <w:rPr>
      <w:rFonts w:asciiTheme="minorHAnsi" w:hAnsiTheme="minorHAnsi"/>
      <w:iCs/>
      <w:sz w:val="22"/>
      <w:szCs w:val="22"/>
      <w:lang w:eastAsia="en-US"/>
    </w:rPr>
  </w:style>
  <w:style w:type="character" w:styleId="FootnoteReference">
    <w:name w:val="footnote reference"/>
    <w:basedOn w:val="DefaultParagraphFont"/>
    <w:rsid w:val="0054326C"/>
    <w:rPr>
      <w:vertAlign w:val="superscript"/>
    </w:rPr>
  </w:style>
  <w:style w:type="paragraph" w:styleId="BodyText">
    <w:name w:val="Body Text"/>
    <w:basedOn w:val="Normal"/>
    <w:link w:val="BodyTextChar"/>
    <w:rsid w:val="0054326C"/>
    <w:pPr>
      <w:spacing w:after="0" w:line="240" w:lineRule="auto"/>
      <w:jc w:val="both"/>
    </w:pPr>
    <w:rPr>
      <w:rFonts w:ascii="Times New Roman" w:eastAsia="Times New Roman" w:hAnsi="Times New Roman"/>
      <w:b/>
      <w:bCs/>
      <w:i/>
      <w:iCs/>
      <w:sz w:val="24"/>
      <w:szCs w:val="24"/>
    </w:rPr>
  </w:style>
  <w:style w:type="character" w:customStyle="1" w:styleId="BodyTextChar">
    <w:name w:val="Body Text Char"/>
    <w:basedOn w:val="DefaultParagraphFont"/>
    <w:link w:val="BodyText"/>
    <w:rsid w:val="0054326C"/>
    <w:rPr>
      <w:b/>
      <w:bCs/>
      <w:i/>
      <w:iCs/>
      <w:sz w:val="24"/>
      <w:szCs w:val="24"/>
      <w:lang w:eastAsia="en-US"/>
    </w:rPr>
  </w:style>
  <w:style w:type="character" w:styleId="Hyperlink">
    <w:name w:val="Hyperlink"/>
    <w:basedOn w:val="DefaultParagraphFont"/>
    <w:uiPriority w:val="99"/>
    <w:unhideWhenUsed/>
    <w:rsid w:val="0054326C"/>
    <w:rPr>
      <w:color w:val="0000FF" w:themeColor="hyperlink"/>
      <w:u w:val="single"/>
    </w:rPr>
  </w:style>
  <w:style w:type="paragraph" w:customStyle="1" w:styleId="Default">
    <w:name w:val="Default"/>
    <w:rsid w:val="0054326C"/>
    <w:pPr>
      <w:autoSpaceDE w:val="0"/>
      <w:autoSpaceDN w:val="0"/>
      <w:adjustRightInd w:val="0"/>
    </w:pPr>
    <w:rPr>
      <w:rFonts w:ascii="Garamond" w:eastAsiaTheme="minorHAnsi" w:hAnsi="Garamond" w:cs="Garamond"/>
      <w:color w:val="000000"/>
      <w:sz w:val="24"/>
      <w:szCs w:val="24"/>
      <w:lang w:eastAsia="en-US"/>
    </w:rPr>
  </w:style>
  <w:style w:type="paragraph" w:customStyle="1" w:styleId="shorttp1">
    <w:name w:val="shorttp1"/>
    <w:basedOn w:val="Normal"/>
    <w:rsid w:val="0054326C"/>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54326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05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05002"/>
    <w:rPr>
      <w:rFonts w:ascii="Tahoma" w:eastAsia="Calibri" w:hAnsi="Tahoma" w:cs="Tahoma"/>
      <w:sz w:val="16"/>
      <w:szCs w:val="16"/>
      <w:lang w:eastAsia="en-US"/>
    </w:rPr>
  </w:style>
  <w:style w:type="character" w:customStyle="1" w:styleId="FooterChar">
    <w:name w:val="Footer Char"/>
    <w:basedOn w:val="DefaultParagraphFont"/>
    <w:link w:val="Footer"/>
    <w:uiPriority w:val="99"/>
    <w:rsid w:val="00705002"/>
    <w:rPr>
      <w:rFonts w:ascii="Calibri" w:eastAsia="Calibri" w:hAnsi="Calibri"/>
      <w:sz w:val="22"/>
      <w:szCs w:val="22"/>
      <w:lang w:eastAsia="en-US"/>
    </w:rPr>
  </w:style>
  <w:style w:type="character" w:styleId="CommentReference">
    <w:name w:val="annotation reference"/>
    <w:basedOn w:val="DefaultParagraphFont"/>
    <w:semiHidden/>
    <w:unhideWhenUsed/>
    <w:rsid w:val="00C66686"/>
    <w:rPr>
      <w:sz w:val="16"/>
      <w:szCs w:val="16"/>
    </w:rPr>
  </w:style>
  <w:style w:type="paragraph" w:styleId="CommentText">
    <w:name w:val="annotation text"/>
    <w:basedOn w:val="Normal"/>
    <w:link w:val="CommentTextChar"/>
    <w:semiHidden/>
    <w:unhideWhenUsed/>
    <w:rsid w:val="00C66686"/>
    <w:pPr>
      <w:spacing w:line="240" w:lineRule="auto"/>
    </w:pPr>
    <w:rPr>
      <w:sz w:val="20"/>
      <w:szCs w:val="20"/>
    </w:rPr>
  </w:style>
  <w:style w:type="character" w:customStyle="1" w:styleId="CommentTextChar">
    <w:name w:val="Comment Text Char"/>
    <w:basedOn w:val="DefaultParagraphFont"/>
    <w:link w:val="CommentText"/>
    <w:semiHidden/>
    <w:rsid w:val="00C66686"/>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C66686"/>
    <w:rPr>
      <w:b/>
      <w:bCs/>
    </w:rPr>
  </w:style>
  <w:style w:type="character" w:customStyle="1" w:styleId="CommentSubjectChar">
    <w:name w:val="Comment Subject Char"/>
    <w:basedOn w:val="CommentTextChar"/>
    <w:link w:val="CommentSubject"/>
    <w:semiHidden/>
    <w:rsid w:val="00C66686"/>
    <w:rPr>
      <w:rFonts w:ascii="Calibri" w:eastAsia="Calibri" w:hAnsi="Calibri"/>
      <w:b/>
      <w:bCs/>
      <w:lang w:eastAsia="en-US"/>
    </w:rPr>
  </w:style>
  <w:style w:type="character" w:customStyle="1" w:styleId="Heading2Char">
    <w:name w:val="Heading 2 Char"/>
    <w:basedOn w:val="DefaultParagraphFont"/>
    <w:link w:val="Heading2"/>
    <w:uiPriority w:val="9"/>
    <w:rsid w:val="00576968"/>
    <w:rPr>
      <w:rFonts w:ascii="Garamond" w:eastAsiaTheme="majorEastAsia" w:hAnsi="Garamond" w:cstheme="majorBidi"/>
      <w:b/>
      <w:color w:val="365F91" w:themeColor="accent1" w:themeShade="BF"/>
      <w:sz w:val="26"/>
      <w:szCs w:val="26"/>
      <w:lang w:eastAsia="en-US"/>
    </w:rPr>
  </w:style>
  <w:style w:type="character" w:customStyle="1" w:styleId="Heading3Char">
    <w:name w:val="Heading 3 Char"/>
    <w:basedOn w:val="DefaultParagraphFont"/>
    <w:link w:val="Heading3"/>
    <w:uiPriority w:val="9"/>
    <w:rsid w:val="007F12C2"/>
    <w:rPr>
      <w:rFonts w:asciiTheme="majorHAnsi" w:eastAsiaTheme="majorEastAsia" w:hAnsiTheme="majorHAnsi" w:cstheme="majorBidi"/>
      <w:i/>
      <w:color w:val="243F60" w:themeColor="accent1" w:themeShade="7F"/>
      <w:sz w:val="24"/>
      <w:szCs w:val="24"/>
      <w:lang w:eastAsia="en-US"/>
    </w:rPr>
  </w:style>
  <w:style w:type="paragraph" w:styleId="TOCHeading">
    <w:name w:val="TOC Heading"/>
    <w:basedOn w:val="Heading1"/>
    <w:next w:val="Normal"/>
    <w:uiPriority w:val="39"/>
    <w:unhideWhenUsed/>
    <w:qFormat/>
    <w:rsid w:val="000634AE"/>
    <w:pPr>
      <w:keepLines/>
      <w:spacing w:before="240" w:after="0" w:line="259" w:lineRule="auto"/>
      <w:outlineLvl w:val="9"/>
    </w:pPr>
    <w:rPr>
      <w:rFonts w:asciiTheme="majorHAnsi" w:eastAsiaTheme="majorEastAsia" w:hAnsiTheme="majorHAnsi" w:cstheme="majorBidi"/>
      <w:b/>
      <w:bCs w:val="0"/>
      <w:kern w:val="0"/>
      <w:lang w:val="en-US"/>
    </w:rPr>
  </w:style>
  <w:style w:type="paragraph" w:styleId="TOC1">
    <w:name w:val="toc 1"/>
    <w:basedOn w:val="Normal"/>
    <w:next w:val="Normal"/>
    <w:autoRedefine/>
    <w:uiPriority w:val="39"/>
    <w:unhideWhenUsed/>
    <w:rsid w:val="000634AE"/>
    <w:pPr>
      <w:spacing w:after="100"/>
    </w:pPr>
  </w:style>
  <w:style w:type="paragraph" w:styleId="TOC2">
    <w:name w:val="toc 2"/>
    <w:basedOn w:val="Normal"/>
    <w:next w:val="Normal"/>
    <w:autoRedefine/>
    <w:uiPriority w:val="39"/>
    <w:unhideWhenUsed/>
    <w:rsid w:val="000634AE"/>
    <w:pPr>
      <w:spacing w:after="100"/>
      <w:ind w:left="220"/>
    </w:pPr>
  </w:style>
  <w:style w:type="paragraph" w:styleId="TOC3">
    <w:name w:val="toc 3"/>
    <w:basedOn w:val="Normal"/>
    <w:next w:val="Normal"/>
    <w:autoRedefine/>
    <w:uiPriority w:val="39"/>
    <w:unhideWhenUsed/>
    <w:rsid w:val="000634AE"/>
    <w:pPr>
      <w:spacing w:after="100"/>
      <w:ind w:left="440"/>
    </w:pPr>
  </w:style>
  <w:style w:type="character" w:customStyle="1" w:styleId="Heading4Char">
    <w:name w:val="Heading 4 Char"/>
    <w:basedOn w:val="DefaultParagraphFont"/>
    <w:link w:val="Heading4"/>
    <w:semiHidden/>
    <w:rsid w:val="00D1417E"/>
    <w:rPr>
      <w:rFonts w:asciiTheme="majorHAnsi" w:eastAsiaTheme="majorEastAsia" w:hAnsiTheme="majorHAnsi" w:cstheme="majorBidi"/>
      <w:i/>
      <w:iCs/>
      <w:color w:val="365F91" w:themeColor="accent1" w:themeShade="BF"/>
      <w:sz w:val="22"/>
      <w:szCs w:val="22"/>
      <w:lang w:eastAsia="en-US"/>
    </w:rPr>
  </w:style>
  <w:style w:type="paragraph" w:styleId="ListNumber">
    <w:name w:val="List Number"/>
    <w:basedOn w:val="Normal"/>
    <w:uiPriority w:val="99"/>
    <w:unhideWhenUsed/>
    <w:rsid w:val="00D1417E"/>
    <w:pPr>
      <w:numPr>
        <w:numId w:val="19"/>
      </w:numPr>
      <w:spacing w:after="120"/>
      <w:contextualSpacing/>
    </w:pPr>
    <w:rPr>
      <w:rFonts w:asciiTheme="minorHAnsi" w:eastAsiaTheme="minorEastAsia" w:hAnsiTheme="minorHAnsi" w:cstheme="minorBidi"/>
    </w:rPr>
  </w:style>
  <w:style w:type="paragraph" w:styleId="ListNumber2">
    <w:name w:val="List Number 2"/>
    <w:basedOn w:val="Normal"/>
    <w:uiPriority w:val="99"/>
    <w:unhideWhenUsed/>
    <w:rsid w:val="00D1417E"/>
    <w:pPr>
      <w:numPr>
        <w:ilvl w:val="1"/>
        <w:numId w:val="19"/>
      </w:numPr>
      <w:tabs>
        <w:tab w:val="left" w:pos="1134"/>
      </w:tabs>
      <w:spacing w:after="120"/>
      <w:ind w:left="936" w:hanging="567"/>
      <w:contextualSpacing/>
    </w:pPr>
    <w:rPr>
      <w:rFonts w:asciiTheme="minorHAnsi" w:eastAsiaTheme="minorEastAsia" w:hAnsiTheme="minorHAnsi" w:cstheme="minorBidi"/>
    </w:rPr>
  </w:style>
  <w:style w:type="paragraph" w:styleId="ListNumber3">
    <w:name w:val="List Number 3"/>
    <w:basedOn w:val="Normal"/>
    <w:uiPriority w:val="99"/>
    <w:unhideWhenUsed/>
    <w:rsid w:val="00D1417E"/>
    <w:pPr>
      <w:numPr>
        <w:ilvl w:val="2"/>
        <w:numId w:val="19"/>
      </w:numPr>
      <w:spacing w:after="120"/>
      <w:ind w:left="1701" w:hanging="765"/>
      <w:contextualSpacing/>
    </w:pPr>
    <w:rPr>
      <w:rFonts w:asciiTheme="minorHAnsi" w:eastAsiaTheme="minorEastAsia" w:hAnsiTheme="minorHAnsi" w:cstheme="minorBidi"/>
    </w:rPr>
  </w:style>
  <w:style w:type="paragraph" w:styleId="ListNumber4">
    <w:name w:val="List Number 4"/>
    <w:basedOn w:val="Normal"/>
    <w:uiPriority w:val="99"/>
    <w:unhideWhenUsed/>
    <w:rsid w:val="00D1417E"/>
    <w:pPr>
      <w:numPr>
        <w:ilvl w:val="3"/>
        <w:numId w:val="19"/>
      </w:numPr>
      <w:spacing w:after="120"/>
      <w:ind w:left="2637" w:hanging="936"/>
      <w:contextualSpacing/>
    </w:pPr>
    <w:rPr>
      <w:rFonts w:asciiTheme="minorHAnsi" w:eastAsiaTheme="minorEastAsia" w:hAnsiTheme="minorHAnsi" w:cstheme="minorBidi"/>
    </w:rPr>
  </w:style>
  <w:style w:type="paragraph" w:styleId="ListBullet">
    <w:name w:val="List Bullet"/>
    <w:basedOn w:val="Normal"/>
    <w:uiPriority w:val="99"/>
    <w:unhideWhenUsed/>
    <w:rsid w:val="00D1417E"/>
    <w:pPr>
      <w:numPr>
        <w:numId w:val="20"/>
      </w:numPr>
      <w:spacing w:after="120"/>
      <w:ind w:left="369" w:hanging="369"/>
      <w:contextualSpacing/>
    </w:pPr>
    <w:rPr>
      <w:rFonts w:asciiTheme="minorHAnsi" w:eastAsiaTheme="minorEastAsia" w:hAnsiTheme="minorHAnsi" w:cstheme="minorBidi"/>
    </w:rPr>
  </w:style>
  <w:style w:type="paragraph" w:styleId="ListBullet2">
    <w:name w:val="List Bullet 2"/>
    <w:basedOn w:val="Normal"/>
    <w:uiPriority w:val="99"/>
    <w:unhideWhenUsed/>
    <w:rsid w:val="00D1417E"/>
    <w:pPr>
      <w:numPr>
        <w:ilvl w:val="1"/>
        <w:numId w:val="20"/>
      </w:numPr>
      <w:spacing w:after="120"/>
      <w:ind w:left="766" w:hanging="369"/>
      <w:contextualSpacing/>
    </w:pPr>
    <w:rPr>
      <w:rFonts w:asciiTheme="minorHAnsi" w:eastAsiaTheme="minorEastAsia" w:hAnsiTheme="minorHAnsi" w:cstheme="minorBidi"/>
    </w:rPr>
  </w:style>
  <w:style w:type="paragraph" w:styleId="ListBullet3">
    <w:name w:val="List Bullet 3"/>
    <w:basedOn w:val="Normal"/>
    <w:uiPriority w:val="99"/>
    <w:unhideWhenUsed/>
    <w:rsid w:val="00D1417E"/>
    <w:pPr>
      <w:numPr>
        <w:ilvl w:val="2"/>
        <w:numId w:val="20"/>
      </w:numPr>
      <w:spacing w:after="120"/>
      <w:ind w:left="1163" w:hanging="369"/>
      <w:contextualSpacing/>
    </w:pPr>
    <w:rPr>
      <w:rFonts w:asciiTheme="minorHAnsi" w:eastAsiaTheme="minorEastAsia" w:hAnsiTheme="minorHAnsi" w:cstheme="minorBidi"/>
    </w:rPr>
  </w:style>
  <w:style w:type="paragraph" w:styleId="ListBullet4">
    <w:name w:val="List Bullet 4"/>
    <w:basedOn w:val="Normal"/>
    <w:uiPriority w:val="99"/>
    <w:unhideWhenUsed/>
    <w:rsid w:val="00D1417E"/>
    <w:pPr>
      <w:numPr>
        <w:ilvl w:val="3"/>
        <w:numId w:val="20"/>
      </w:numPr>
      <w:spacing w:after="120"/>
      <w:ind w:left="1503" w:hanging="369"/>
      <w:contextualSpacing/>
    </w:pPr>
    <w:rPr>
      <w:rFonts w:asciiTheme="minorHAnsi" w:eastAsiaTheme="minorEastAsia" w:hAnsiTheme="minorHAnsi" w:cstheme="minorBidi"/>
    </w:rPr>
  </w:style>
  <w:style w:type="paragraph" w:customStyle="1" w:styleId="Source">
    <w:name w:val="Source"/>
    <w:basedOn w:val="Normal"/>
    <w:qFormat/>
    <w:rsid w:val="00D1417E"/>
    <w:pPr>
      <w:spacing w:before="120"/>
    </w:pPr>
    <w:rPr>
      <w:rFonts w:asciiTheme="minorHAnsi" w:eastAsiaTheme="minorEastAsia" w:hAnsiTheme="minorHAnsi" w:cstheme="minorHAnsi"/>
      <w:b/>
      <w:sz w:val="20"/>
      <w:szCs w:val="20"/>
    </w:rPr>
  </w:style>
  <w:style w:type="paragraph" w:styleId="NormalWeb">
    <w:name w:val="Normal (Web)"/>
    <w:basedOn w:val="Normal"/>
    <w:uiPriority w:val="99"/>
    <w:unhideWhenUsed/>
    <w:rsid w:val="00D1417E"/>
    <w:pPr>
      <w:spacing w:before="240" w:after="240" w:line="240" w:lineRule="auto"/>
    </w:pPr>
    <w:rPr>
      <w:rFonts w:ascii="Times New Roman" w:eastAsia="Times New Roman" w:hAnsi="Times New Roman"/>
      <w:sz w:val="24"/>
      <w:szCs w:val="24"/>
      <w:lang w:eastAsia="en-AU"/>
    </w:rPr>
  </w:style>
  <w:style w:type="paragraph" w:styleId="Title">
    <w:name w:val="Title"/>
    <w:basedOn w:val="Normal"/>
    <w:next w:val="Normal"/>
    <w:link w:val="TitleChar"/>
    <w:qFormat/>
    <w:rsid w:val="00EA78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7856"/>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semiHidden/>
    <w:unhideWhenUsed/>
    <w:rsid w:val="00DF5727"/>
    <w:rPr>
      <w:color w:val="800080" w:themeColor="followedHyperlink"/>
      <w:u w:val="single"/>
    </w:rPr>
  </w:style>
  <w:style w:type="table" w:styleId="LightShading-Accent1">
    <w:name w:val="Light Shading Accent 1"/>
    <w:basedOn w:val="TableNormal"/>
    <w:uiPriority w:val="60"/>
    <w:rsid w:val="00E2749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332747">
      <w:bodyDiv w:val="1"/>
      <w:marLeft w:val="0"/>
      <w:marRight w:val="0"/>
      <w:marTop w:val="0"/>
      <w:marBottom w:val="0"/>
      <w:divBdr>
        <w:top w:val="none" w:sz="0" w:space="0" w:color="auto"/>
        <w:left w:val="none" w:sz="0" w:space="0" w:color="auto"/>
        <w:bottom w:val="none" w:sz="0" w:space="0" w:color="auto"/>
        <w:right w:val="none" w:sz="0" w:space="0" w:color="auto"/>
      </w:divBdr>
    </w:div>
    <w:div w:id="270670542">
      <w:bodyDiv w:val="1"/>
      <w:marLeft w:val="0"/>
      <w:marRight w:val="0"/>
      <w:marTop w:val="0"/>
      <w:marBottom w:val="0"/>
      <w:divBdr>
        <w:top w:val="none" w:sz="0" w:space="0" w:color="auto"/>
        <w:left w:val="none" w:sz="0" w:space="0" w:color="auto"/>
        <w:bottom w:val="none" w:sz="0" w:space="0" w:color="auto"/>
        <w:right w:val="none" w:sz="0" w:space="0" w:color="auto"/>
      </w:divBdr>
      <w:divsChild>
        <w:div w:id="997264956">
          <w:marLeft w:val="0"/>
          <w:marRight w:val="0"/>
          <w:marTop w:val="0"/>
          <w:marBottom w:val="0"/>
          <w:divBdr>
            <w:top w:val="none" w:sz="0" w:space="0" w:color="auto"/>
            <w:left w:val="none" w:sz="0" w:space="0" w:color="auto"/>
            <w:bottom w:val="none" w:sz="0" w:space="0" w:color="auto"/>
            <w:right w:val="none" w:sz="0" w:space="0" w:color="auto"/>
          </w:divBdr>
          <w:divsChild>
            <w:div w:id="1645230689">
              <w:marLeft w:val="0"/>
              <w:marRight w:val="0"/>
              <w:marTop w:val="0"/>
              <w:marBottom w:val="0"/>
              <w:divBdr>
                <w:top w:val="none" w:sz="0" w:space="0" w:color="auto"/>
                <w:left w:val="none" w:sz="0" w:space="0" w:color="auto"/>
                <w:bottom w:val="none" w:sz="0" w:space="0" w:color="auto"/>
                <w:right w:val="none" w:sz="0" w:space="0" w:color="auto"/>
              </w:divBdr>
              <w:divsChild>
                <w:div w:id="569194953">
                  <w:marLeft w:val="0"/>
                  <w:marRight w:val="0"/>
                  <w:marTop w:val="0"/>
                  <w:marBottom w:val="0"/>
                  <w:divBdr>
                    <w:top w:val="none" w:sz="0" w:space="0" w:color="auto"/>
                    <w:left w:val="none" w:sz="0" w:space="0" w:color="auto"/>
                    <w:bottom w:val="none" w:sz="0" w:space="0" w:color="auto"/>
                    <w:right w:val="none" w:sz="0" w:space="0" w:color="auto"/>
                  </w:divBdr>
                  <w:divsChild>
                    <w:div w:id="1165509204">
                      <w:marLeft w:val="0"/>
                      <w:marRight w:val="0"/>
                      <w:marTop w:val="0"/>
                      <w:marBottom w:val="0"/>
                      <w:divBdr>
                        <w:top w:val="none" w:sz="0" w:space="0" w:color="auto"/>
                        <w:left w:val="none" w:sz="0" w:space="0" w:color="auto"/>
                        <w:bottom w:val="none" w:sz="0" w:space="0" w:color="auto"/>
                        <w:right w:val="none" w:sz="0" w:space="0" w:color="auto"/>
                      </w:divBdr>
                      <w:divsChild>
                        <w:div w:id="1735884480">
                          <w:marLeft w:val="0"/>
                          <w:marRight w:val="0"/>
                          <w:marTop w:val="0"/>
                          <w:marBottom w:val="0"/>
                          <w:divBdr>
                            <w:top w:val="none" w:sz="0" w:space="0" w:color="auto"/>
                            <w:left w:val="none" w:sz="0" w:space="0" w:color="auto"/>
                            <w:bottom w:val="none" w:sz="0" w:space="0" w:color="auto"/>
                            <w:right w:val="none" w:sz="0" w:space="0" w:color="auto"/>
                          </w:divBdr>
                          <w:divsChild>
                            <w:div w:id="1564370994">
                              <w:marLeft w:val="0"/>
                              <w:marRight w:val="0"/>
                              <w:marTop w:val="0"/>
                              <w:marBottom w:val="0"/>
                              <w:divBdr>
                                <w:top w:val="none" w:sz="0" w:space="0" w:color="auto"/>
                                <w:left w:val="none" w:sz="0" w:space="0" w:color="auto"/>
                                <w:bottom w:val="none" w:sz="0" w:space="0" w:color="auto"/>
                                <w:right w:val="none" w:sz="0" w:space="0" w:color="auto"/>
                              </w:divBdr>
                              <w:divsChild>
                                <w:div w:id="844050851">
                                  <w:marLeft w:val="0"/>
                                  <w:marRight w:val="0"/>
                                  <w:marTop w:val="0"/>
                                  <w:marBottom w:val="0"/>
                                  <w:divBdr>
                                    <w:top w:val="none" w:sz="0" w:space="0" w:color="auto"/>
                                    <w:left w:val="none" w:sz="0" w:space="0" w:color="auto"/>
                                    <w:bottom w:val="none" w:sz="0" w:space="0" w:color="auto"/>
                                    <w:right w:val="none" w:sz="0" w:space="0" w:color="auto"/>
                                  </w:divBdr>
                                  <w:divsChild>
                                    <w:div w:id="1347247432">
                                      <w:marLeft w:val="0"/>
                                      <w:marRight w:val="0"/>
                                      <w:marTop w:val="0"/>
                                      <w:marBottom w:val="0"/>
                                      <w:divBdr>
                                        <w:top w:val="none" w:sz="0" w:space="0" w:color="auto"/>
                                        <w:left w:val="none" w:sz="0" w:space="0" w:color="auto"/>
                                        <w:bottom w:val="none" w:sz="0" w:space="0" w:color="auto"/>
                                        <w:right w:val="none" w:sz="0" w:space="0" w:color="auto"/>
                                      </w:divBdr>
                                      <w:divsChild>
                                        <w:div w:id="544176218">
                                          <w:marLeft w:val="0"/>
                                          <w:marRight w:val="0"/>
                                          <w:marTop w:val="0"/>
                                          <w:marBottom w:val="0"/>
                                          <w:divBdr>
                                            <w:top w:val="none" w:sz="0" w:space="0" w:color="auto"/>
                                            <w:left w:val="none" w:sz="0" w:space="0" w:color="auto"/>
                                            <w:bottom w:val="none" w:sz="0" w:space="0" w:color="auto"/>
                                            <w:right w:val="none" w:sz="0" w:space="0" w:color="auto"/>
                                          </w:divBdr>
                                          <w:divsChild>
                                            <w:div w:id="138427504">
                                              <w:marLeft w:val="0"/>
                                              <w:marRight w:val="0"/>
                                              <w:marTop w:val="0"/>
                                              <w:marBottom w:val="0"/>
                                              <w:divBdr>
                                                <w:top w:val="none" w:sz="0" w:space="0" w:color="auto"/>
                                                <w:left w:val="none" w:sz="0" w:space="0" w:color="auto"/>
                                                <w:bottom w:val="none" w:sz="0" w:space="0" w:color="auto"/>
                                                <w:right w:val="none" w:sz="0" w:space="0" w:color="auto"/>
                                              </w:divBdr>
                                              <w:divsChild>
                                                <w:div w:id="1584147162">
                                                  <w:marLeft w:val="0"/>
                                                  <w:marRight w:val="0"/>
                                                  <w:marTop w:val="0"/>
                                                  <w:marBottom w:val="0"/>
                                                  <w:divBdr>
                                                    <w:top w:val="none" w:sz="0" w:space="0" w:color="auto"/>
                                                    <w:left w:val="none" w:sz="0" w:space="0" w:color="auto"/>
                                                    <w:bottom w:val="none" w:sz="0" w:space="0" w:color="auto"/>
                                                    <w:right w:val="none" w:sz="0" w:space="0" w:color="auto"/>
                                                  </w:divBdr>
                                                  <w:divsChild>
                                                    <w:div w:id="1127165991">
                                                      <w:marLeft w:val="0"/>
                                                      <w:marRight w:val="0"/>
                                                      <w:marTop w:val="0"/>
                                                      <w:marBottom w:val="0"/>
                                                      <w:divBdr>
                                                        <w:top w:val="none" w:sz="0" w:space="0" w:color="auto"/>
                                                        <w:left w:val="none" w:sz="0" w:space="0" w:color="auto"/>
                                                        <w:bottom w:val="none" w:sz="0" w:space="0" w:color="auto"/>
                                                        <w:right w:val="none" w:sz="0" w:space="0" w:color="auto"/>
                                                      </w:divBdr>
                                                      <w:divsChild>
                                                        <w:div w:id="558828350">
                                                          <w:marLeft w:val="0"/>
                                                          <w:marRight w:val="0"/>
                                                          <w:marTop w:val="0"/>
                                                          <w:marBottom w:val="0"/>
                                                          <w:divBdr>
                                                            <w:top w:val="none" w:sz="0" w:space="0" w:color="auto"/>
                                                            <w:left w:val="none" w:sz="0" w:space="0" w:color="auto"/>
                                                            <w:bottom w:val="none" w:sz="0" w:space="0" w:color="auto"/>
                                                            <w:right w:val="none" w:sz="0" w:space="0" w:color="auto"/>
                                                          </w:divBdr>
                                                          <w:divsChild>
                                                            <w:div w:id="2112624599">
                                                              <w:marLeft w:val="0"/>
                                                              <w:marRight w:val="125"/>
                                                              <w:marTop w:val="0"/>
                                                              <w:marBottom w:val="125"/>
                                                              <w:divBdr>
                                                                <w:top w:val="none" w:sz="0" w:space="0" w:color="auto"/>
                                                                <w:left w:val="none" w:sz="0" w:space="0" w:color="auto"/>
                                                                <w:bottom w:val="none" w:sz="0" w:space="0" w:color="auto"/>
                                                                <w:right w:val="none" w:sz="0" w:space="0" w:color="auto"/>
                                                              </w:divBdr>
                                                              <w:divsChild>
                                                                <w:div w:id="1751074884">
                                                                  <w:marLeft w:val="0"/>
                                                                  <w:marRight w:val="0"/>
                                                                  <w:marTop w:val="0"/>
                                                                  <w:marBottom w:val="0"/>
                                                                  <w:divBdr>
                                                                    <w:top w:val="none" w:sz="0" w:space="0" w:color="auto"/>
                                                                    <w:left w:val="none" w:sz="0" w:space="0" w:color="auto"/>
                                                                    <w:bottom w:val="none" w:sz="0" w:space="0" w:color="auto"/>
                                                                    <w:right w:val="none" w:sz="0" w:space="0" w:color="auto"/>
                                                                  </w:divBdr>
                                                                  <w:divsChild>
                                                                    <w:div w:id="1145970142">
                                                                      <w:marLeft w:val="0"/>
                                                                      <w:marRight w:val="0"/>
                                                                      <w:marTop w:val="0"/>
                                                                      <w:marBottom w:val="0"/>
                                                                      <w:divBdr>
                                                                        <w:top w:val="none" w:sz="0" w:space="0" w:color="auto"/>
                                                                        <w:left w:val="none" w:sz="0" w:space="0" w:color="auto"/>
                                                                        <w:bottom w:val="none" w:sz="0" w:space="0" w:color="auto"/>
                                                                        <w:right w:val="none" w:sz="0" w:space="0" w:color="auto"/>
                                                                      </w:divBdr>
                                                                      <w:divsChild>
                                                                        <w:div w:id="978995787">
                                                                          <w:marLeft w:val="0"/>
                                                                          <w:marRight w:val="0"/>
                                                                          <w:marTop w:val="0"/>
                                                                          <w:marBottom w:val="0"/>
                                                                          <w:divBdr>
                                                                            <w:top w:val="none" w:sz="0" w:space="0" w:color="auto"/>
                                                                            <w:left w:val="none" w:sz="0" w:space="0" w:color="auto"/>
                                                                            <w:bottom w:val="none" w:sz="0" w:space="0" w:color="auto"/>
                                                                            <w:right w:val="none" w:sz="0" w:space="0" w:color="auto"/>
                                                                          </w:divBdr>
                                                                          <w:divsChild>
                                                                            <w:div w:id="1301884059">
                                                                              <w:marLeft w:val="0"/>
                                                                              <w:marRight w:val="0"/>
                                                                              <w:marTop w:val="0"/>
                                                                              <w:marBottom w:val="0"/>
                                                                              <w:divBdr>
                                                                                <w:top w:val="none" w:sz="0" w:space="0" w:color="auto"/>
                                                                                <w:left w:val="none" w:sz="0" w:space="0" w:color="auto"/>
                                                                                <w:bottom w:val="none" w:sz="0" w:space="0" w:color="auto"/>
                                                                                <w:right w:val="none" w:sz="0" w:space="0" w:color="auto"/>
                                                                              </w:divBdr>
                                                                              <w:divsChild>
                                                                                <w:div w:id="1786734935">
                                                                                  <w:marLeft w:val="0"/>
                                                                                  <w:marRight w:val="0"/>
                                                                                  <w:marTop w:val="0"/>
                                                                                  <w:marBottom w:val="0"/>
                                                                                  <w:divBdr>
                                                                                    <w:top w:val="none" w:sz="0" w:space="0" w:color="auto"/>
                                                                                    <w:left w:val="none" w:sz="0" w:space="0" w:color="auto"/>
                                                                                    <w:bottom w:val="none" w:sz="0" w:space="0" w:color="auto"/>
                                                                                    <w:right w:val="none" w:sz="0" w:space="0" w:color="auto"/>
                                                                                  </w:divBdr>
                                                                                  <w:divsChild>
                                                                                    <w:div w:id="2036926564">
                                                                                      <w:marLeft w:val="0"/>
                                                                                      <w:marRight w:val="0"/>
                                                                                      <w:marTop w:val="0"/>
                                                                                      <w:marBottom w:val="0"/>
                                                                                      <w:divBdr>
                                                                                        <w:top w:val="none" w:sz="0" w:space="0" w:color="auto"/>
                                                                                        <w:left w:val="none" w:sz="0" w:space="0" w:color="auto"/>
                                                                                        <w:bottom w:val="none" w:sz="0" w:space="0" w:color="auto"/>
                                                                                        <w:right w:val="none" w:sz="0" w:space="0" w:color="auto"/>
                                                                                      </w:divBdr>
                                                                                    </w:div>
                                                                                    <w:div w:id="1554003081">
                                                                                      <w:marLeft w:val="720"/>
                                                                                      <w:marRight w:val="0"/>
                                                                                      <w:marTop w:val="0"/>
                                                                                      <w:marBottom w:val="0"/>
                                                                                      <w:divBdr>
                                                                                        <w:top w:val="none" w:sz="0" w:space="0" w:color="auto"/>
                                                                                        <w:left w:val="none" w:sz="0" w:space="0" w:color="auto"/>
                                                                                        <w:bottom w:val="none" w:sz="0" w:space="0" w:color="auto"/>
                                                                                        <w:right w:val="none" w:sz="0" w:space="0" w:color="auto"/>
                                                                                      </w:divBdr>
                                                                                    </w:div>
                                                                                    <w:div w:id="208969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44478">
      <w:bodyDiv w:val="1"/>
      <w:marLeft w:val="0"/>
      <w:marRight w:val="0"/>
      <w:marTop w:val="0"/>
      <w:marBottom w:val="0"/>
      <w:divBdr>
        <w:top w:val="none" w:sz="0" w:space="0" w:color="auto"/>
        <w:left w:val="none" w:sz="0" w:space="0" w:color="auto"/>
        <w:bottom w:val="none" w:sz="0" w:space="0" w:color="auto"/>
        <w:right w:val="none" w:sz="0" w:space="0" w:color="auto"/>
      </w:divBdr>
      <w:divsChild>
        <w:div w:id="1713531358">
          <w:marLeft w:val="0"/>
          <w:marRight w:val="0"/>
          <w:marTop w:val="0"/>
          <w:marBottom w:val="0"/>
          <w:divBdr>
            <w:top w:val="none" w:sz="0" w:space="0" w:color="auto"/>
            <w:left w:val="none" w:sz="0" w:space="0" w:color="auto"/>
            <w:bottom w:val="none" w:sz="0" w:space="0" w:color="auto"/>
            <w:right w:val="none" w:sz="0" w:space="0" w:color="auto"/>
          </w:divBdr>
          <w:divsChild>
            <w:div w:id="2039355903">
              <w:marLeft w:val="0"/>
              <w:marRight w:val="0"/>
              <w:marTop w:val="0"/>
              <w:marBottom w:val="0"/>
              <w:divBdr>
                <w:top w:val="none" w:sz="0" w:space="0" w:color="auto"/>
                <w:left w:val="none" w:sz="0" w:space="0" w:color="auto"/>
                <w:bottom w:val="none" w:sz="0" w:space="0" w:color="auto"/>
                <w:right w:val="none" w:sz="0" w:space="0" w:color="auto"/>
              </w:divBdr>
              <w:divsChild>
                <w:div w:id="2113233883">
                  <w:marLeft w:val="0"/>
                  <w:marRight w:val="0"/>
                  <w:marTop w:val="0"/>
                  <w:marBottom w:val="0"/>
                  <w:divBdr>
                    <w:top w:val="none" w:sz="0" w:space="0" w:color="auto"/>
                    <w:left w:val="none" w:sz="0" w:space="0" w:color="auto"/>
                    <w:bottom w:val="none" w:sz="0" w:space="0" w:color="auto"/>
                    <w:right w:val="none" w:sz="0" w:space="0" w:color="auto"/>
                  </w:divBdr>
                  <w:divsChild>
                    <w:div w:id="1961646603">
                      <w:marLeft w:val="0"/>
                      <w:marRight w:val="0"/>
                      <w:marTop w:val="0"/>
                      <w:marBottom w:val="0"/>
                      <w:divBdr>
                        <w:top w:val="none" w:sz="0" w:space="0" w:color="auto"/>
                        <w:left w:val="none" w:sz="0" w:space="0" w:color="auto"/>
                        <w:bottom w:val="none" w:sz="0" w:space="0" w:color="auto"/>
                        <w:right w:val="none" w:sz="0" w:space="0" w:color="auto"/>
                      </w:divBdr>
                      <w:divsChild>
                        <w:div w:id="778795156">
                          <w:marLeft w:val="0"/>
                          <w:marRight w:val="0"/>
                          <w:marTop w:val="0"/>
                          <w:marBottom w:val="0"/>
                          <w:divBdr>
                            <w:top w:val="none" w:sz="0" w:space="0" w:color="auto"/>
                            <w:left w:val="none" w:sz="0" w:space="0" w:color="auto"/>
                            <w:bottom w:val="none" w:sz="0" w:space="0" w:color="auto"/>
                            <w:right w:val="none" w:sz="0" w:space="0" w:color="auto"/>
                          </w:divBdr>
                          <w:divsChild>
                            <w:div w:id="1451777278">
                              <w:marLeft w:val="0"/>
                              <w:marRight w:val="0"/>
                              <w:marTop w:val="0"/>
                              <w:marBottom w:val="0"/>
                              <w:divBdr>
                                <w:top w:val="none" w:sz="0" w:space="0" w:color="auto"/>
                                <w:left w:val="none" w:sz="0" w:space="0" w:color="auto"/>
                                <w:bottom w:val="none" w:sz="0" w:space="0" w:color="auto"/>
                                <w:right w:val="none" w:sz="0" w:space="0" w:color="auto"/>
                              </w:divBdr>
                              <w:divsChild>
                                <w:div w:id="285895786">
                                  <w:marLeft w:val="0"/>
                                  <w:marRight w:val="0"/>
                                  <w:marTop w:val="0"/>
                                  <w:marBottom w:val="0"/>
                                  <w:divBdr>
                                    <w:top w:val="none" w:sz="0" w:space="0" w:color="auto"/>
                                    <w:left w:val="none" w:sz="0" w:space="0" w:color="auto"/>
                                    <w:bottom w:val="none" w:sz="0" w:space="0" w:color="auto"/>
                                    <w:right w:val="none" w:sz="0" w:space="0" w:color="auto"/>
                                  </w:divBdr>
                                  <w:divsChild>
                                    <w:div w:id="1932736660">
                                      <w:marLeft w:val="0"/>
                                      <w:marRight w:val="0"/>
                                      <w:marTop w:val="0"/>
                                      <w:marBottom w:val="0"/>
                                      <w:divBdr>
                                        <w:top w:val="none" w:sz="0" w:space="0" w:color="auto"/>
                                        <w:left w:val="none" w:sz="0" w:space="0" w:color="auto"/>
                                        <w:bottom w:val="none" w:sz="0" w:space="0" w:color="auto"/>
                                        <w:right w:val="none" w:sz="0" w:space="0" w:color="auto"/>
                                      </w:divBdr>
                                      <w:divsChild>
                                        <w:div w:id="1324891246">
                                          <w:marLeft w:val="0"/>
                                          <w:marRight w:val="0"/>
                                          <w:marTop w:val="0"/>
                                          <w:marBottom w:val="0"/>
                                          <w:divBdr>
                                            <w:top w:val="none" w:sz="0" w:space="0" w:color="auto"/>
                                            <w:left w:val="none" w:sz="0" w:space="0" w:color="auto"/>
                                            <w:bottom w:val="none" w:sz="0" w:space="0" w:color="auto"/>
                                            <w:right w:val="none" w:sz="0" w:space="0" w:color="auto"/>
                                          </w:divBdr>
                                          <w:divsChild>
                                            <w:div w:id="1929386204">
                                              <w:marLeft w:val="0"/>
                                              <w:marRight w:val="0"/>
                                              <w:marTop w:val="0"/>
                                              <w:marBottom w:val="0"/>
                                              <w:divBdr>
                                                <w:top w:val="none" w:sz="0" w:space="0" w:color="auto"/>
                                                <w:left w:val="none" w:sz="0" w:space="0" w:color="auto"/>
                                                <w:bottom w:val="none" w:sz="0" w:space="0" w:color="auto"/>
                                                <w:right w:val="none" w:sz="0" w:space="0" w:color="auto"/>
                                              </w:divBdr>
                                              <w:divsChild>
                                                <w:div w:id="1633748488">
                                                  <w:marLeft w:val="0"/>
                                                  <w:marRight w:val="0"/>
                                                  <w:marTop w:val="0"/>
                                                  <w:marBottom w:val="0"/>
                                                  <w:divBdr>
                                                    <w:top w:val="none" w:sz="0" w:space="0" w:color="auto"/>
                                                    <w:left w:val="none" w:sz="0" w:space="0" w:color="auto"/>
                                                    <w:bottom w:val="none" w:sz="0" w:space="0" w:color="auto"/>
                                                    <w:right w:val="none" w:sz="0" w:space="0" w:color="auto"/>
                                                  </w:divBdr>
                                                  <w:divsChild>
                                                    <w:div w:id="1353721010">
                                                      <w:marLeft w:val="0"/>
                                                      <w:marRight w:val="0"/>
                                                      <w:marTop w:val="0"/>
                                                      <w:marBottom w:val="0"/>
                                                      <w:divBdr>
                                                        <w:top w:val="none" w:sz="0" w:space="0" w:color="auto"/>
                                                        <w:left w:val="none" w:sz="0" w:space="0" w:color="auto"/>
                                                        <w:bottom w:val="none" w:sz="0" w:space="0" w:color="auto"/>
                                                        <w:right w:val="none" w:sz="0" w:space="0" w:color="auto"/>
                                                      </w:divBdr>
                                                      <w:divsChild>
                                                        <w:div w:id="1345789532">
                                                          <w:marLeft w:val="0"/>
                                                          <w:marRight w:val="0"/>
                                                          <w:marTop w:val="0"/>
                                                          <w:marBottom w:val="0"/>
                                                          <w:divBdr>
                                                            <w:top w:val="none" w:sz="0" w:space="0" w:color="auto"/>
                                                            <w:left w:val="none" w:sz="0" w:space="0" w:color="auto"/>
                                                            <w:bottom w:val="none" w:sz="0" w:space="0" w:color="auto"/>
                                                            <w:right w:val="none" w:sz="0" w:space="0" w:color="auto"/>
                                                          </w:divBdr>
                                                          <w:divsChild>
                                                            <w:div w:id="1598632852">
                                                              <w:marLeft w:val="0"/>
                                                              <w:marRight w:val="125"/>
                                                              <w:marTop w:val="0"/>
                                                              <w:marBottom w:val="125"/>
                                                              <w:divBdr>
                                                                <w:top w:val="none" w:sz="0" w:space="0" w:color="auto"/>
                                                                <w:left w:val="none" w:sz="0" w:space="0" w:color="auto"/>
                                                                <w:bottom w:val="none" w:sz="0" w:space="0" w:color="auto"/>
                                                                <w:right w:val="none" w:sz="0" w:space="0" w:color="auto"/>
                                                              </w:divBdr>
                                                              <w:divsChild>
                                                                <w:div w:id="1388265796">
                                                                  <w:marLeft w:val="0"/>
                                                                  <w:marRight w:val="0"/>
                                                                  <w:marTop w:val="0"/>
                                                                  <w:marBottom w:val="0"/>
                                                                  <w:divBdr>
                                                                    <w:top w:val="none" w:sz="0" w:space="0" w:color="auto"/>
                                                                    <w:left w:val="none" w:sz="0" w:space="0" w:color="auto"/>
                                                                    <w:bottom w:val="none" w:sz="0" w:space="0" w:color="auto"/>
                                                                    <w:right w:val="none" w:sz="0" w:space="0" w:color="auto"/>
                                                                  </w:divBdr>
                                                                  <w:divsChild>
                                                                    <w:div w:id="1972856815">
                                                                      <w:marLeft w:val="0"/>
                                                                      <w:marRight w:val="0"/>
                                                                      <w:marTop w:val="0"/>
                                                                      <w:marBottom w:val="0"/>
                                                                      <w:divBdr>
                                                                        <w:top w:val="none" w:sz="0" w:space="0" w:color="auto"/>
                                                                        <w:left w:val="none" w:sz="0" w:space="0" w:color="auto"/>
                                                                        <w:bottom w:val="none" w:sz="0" w:space="0" w:color="auto"/>
                                                                        <w:right w:val="none" w:sz="0" w:space="0" w:color="auto"/>
                                                                      </w:divBdr>
                                                                      <w:divsChild>
                                                                        <w:div w:id="2101486447">
                                                                          <w:marLeft w:val="0"/>
                                                                          <w:marRight w:val="0"/>
                                                                          <w:marTop w:val="0"/>
                                                                          <w:marBottom w:val="0"/>
                                                                          <w:divBdr>
                                                                            <w:top w:val="none" w:sz="0" w:space="0" w:color="auto"/>
                                                                            <w:left w:val="none" w:sz="0" w:space="0" w:color="auto"/>
                                                                            <w:bottom w:val="none" w:sz="0" w:space="0" w:color="auto"/>
                                                                            <w:right w:val="none" w:sz="0" w:space="0" w:color="auto"/>
                                                                          </w:divBdr>
                                                                          <w:divsChild>
                                                                            <w:div w:id="1757509036">
                                                                              <w:marLeft w:val="0"/>
                                                                              <w:marRight w:val="0"/>
                                                                              <w:marTop w:val="0"/>
                                                                              <w:marBottom w:val="0"/>
                                                                              <w:divBdr>
                                                                                <w:top w:val="none" w:sz="0" w:space="0" w:color="auto"/>
                                                                                <w:left w:val="none" w:sz="0" w:space="0" w:color="auto"/>
                                                                                <w:bottom w:val="none" w:sz="0" w:space="0" w:color="auto"/>
                                                                                <w:right w:val="none" w:sz="0" w:space="0" w:color="auto"/>
                                                                              </w:divBdr>
                                                                              <w:divsChild>
                                                                                <w:div w:id="2056155967">
                                                                                  <w:marLeft w:val="0"/>
                                                                                  <w:marRight w:val="0"/>
                                                                                  <w:marTop w:val="0"/>
                                                                                  <w:marBottom w:val="0"/>
                                                                                  <w:divBdr>
                                                                                    <w:top w:val="none" w:sz="0" w:space="0" w:color="auto"/>
                                                                                    <w:left w:val="none" w:sz="0" w:space="0" w:color="auto"/>
                                                                                    <w:bottom w:val="none" w:sz="0" w:space="0" w:color="auto"/>
                                                                                    <w:right w:val="none" w:sz="0" w:space="0" w:color="auto"/>
                                                                                  </w:divBdr>
                                                                                  <w:divsChild>
                                                                                    <w:div w:id="1081214566">
                                                                                      <w:marLeft w:val="0"/>
                                                                                      <w:marRight w:val="0"/>
                                                                                      <w:marTop w:val="0"/>
                                                                                      <w:marBottom w:val="0"/>
                                                                                      <w:divBdr>
                                                                                        <w:top w:val="none" w:sz="0" w:space="0" w:color="auto"/>
                                                                                        <w:left w:val="none" w:sz="0" w:space="0" w:color="auto"/>
                                                                                        <w:bottom w:val="none" w:sz="0" w:space="0" w:color="auto"/>
                                                                                        <w:right w:val="none" w:sz="0" w:space="0" w:color="auto"/>
                                                                                      </w:divBdr>
                                                                                    </w:div>
                                                                                    <w:div w:id="1888955256">
                                                                                      <w:marLeft w:val="720"/>
                                                                                      <w:marRight w:val="0"/>
                                                                                      <w:marTop w:val="0"/>
                                                                                      <w:marBottom w:val="0"/>
                                                                                      <w:divBdr>
                                                                                        <w:top w:val="none" w:sz="0" w:space="0" w:color="auto"/>
                                                                                        <w:left w:val="none" w:sz="0" w:space="0" w:color="auto"/>
                                                                                        <w:bottom w:val="none" w:sz="0" w:space="0" w:color="auto"/>
                                                                                        <w:right w:val="none" w:sz="0" w:space="0" w:color="auto"/>
                                                                                      </w:divBdr>
                                                                                    </w:div>
                                                                                    <w:div w:id="52541203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298800">
      <w:bodyDiv w:val="1"/>
      <w:marLeft w:val="0"/>
      <w:marRight w:val="0"/>
      <w:marTop w:val="0"/>
      <w:marBottom w:val="0"/>
      <w:divBdr>
        <w:top w:val="none" w:sz="0" w:space="0" w:color="auto"/>
        <w:left w:val="none" w:sz="0" w:space="0" w:color="auto"/>
        <w:bottom w:val="none" w:sz="0" w:space="0" w:color="auto"/>
        <w:right w:val="none" w:sz="0" w:space="0" w:color="auto"/>
      </w:divBdr>
    </w:div>
    <w:div w:id="555774923">
      <w:bodyDiv w:val="1"/>
      <w:marLeft w:val="0"/>
      <w:marRight w:val="0"/>
      <w:marTop w:val="0"/>
      <w:marBottom w:val="0"/>
      <w:divBdr>
        <w:top w:val="none" w:sz="0" w:space="0" w:color="auto"/>
        <w:left w:val="none" w:sz="0" w:space="0" w:color="auto"/>
        <w:bottom w:val="none" w:sz="0" w:space="0" w:color="auto"/>
        <w:right w:val="none" w:sz="0" w:space="0" w:color="auto"/>
      </w:divBdr>
    </w:div>
    <w:div w:id="635529414">
      <w:bodyDiv w:val="1"/>
      <w:marLeft w:val="0"/>
      <w:marRight w:val="0"/>
      <w:marTop w:val="0"/>
      <w:marBottom w:val="0"/>
      <w:divBdr>
        <w:top w:val="none" w:sz="0" w:space="0" w:color="auto"/>
        <w:left w:val="none" w:sz="0" w:space="0" w:color="auto"/>
        <w:bottom w:val="none" w:sz="0" w:space="0" w:color="auto"/>
        <w:right w:val="none" w:sz="0" w:space="0" w:color="auto"/>
      </w:divBdr>
    </w:div>
    <w:div w:id="653224559">
      <w:bodyDiv w:val="1"/>
      <w:marLeft w:val="0"/>
      <w:marRight w:val="0"/>
      <w:marTop w:val="0"/>
      <w:marBottom w:val="0"/>
      <w:divBdr>
        <w:top w:val="none" w:sz="0" w:space="0" w:color="auto"/>
        <w:left w:val="none" w:sz="0" w:space="0" w:color="auto"/>
        <w:bottom w:val="none" w:sz="0" w:space="0" w:color="auto"/>
        <w:right w:val="none" w:sz="0" w:space="0" w:color="auto"/>
      </w:divBdr>
    </w:div>
    <w:div w:id="198334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ps.gov.au/StaticContent/Get/News"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yschool.edu.au/"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isca.edu.au/wp-content/uploads/2011/07/2014-12-19-Future-Directions-SVP.pdf" TargetMode="External"/><Relationship Id="rId2" Type="http://schemas.openxmlformats.org/officeDocument/2006/relationships/hyperlink" Target="http://isca.edu.au/wp-content/uploads/2011/07/2014-05-22-ISCA-ESOS-Review-submission.pdf" TargetMode="External"/><Relationship Id="rId1" Type="http://schemas.openxmlformats.org/officeDocument/2006/relationships/hyperlink" Target="http://isca.edu.au/wp-content/uploads/2011/07/2014-05-22-ISCA-ESOS-Review-submission.pdf" TargetMode="External"/><Relationship Id="rId4" Type="http://schemas.openxmlformats.org/officeDocument/2006/relationships/hyperlink" Target="http://isca.edu.au/wp-content/uploads/2011/07/2014-12-19-Future-Directions-SV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E8E47-15A4-4E39-A6A9-883704BB4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3855</Words>
  <Characters>21846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Submission 24 - Independent Schools Council of Australia - Services Exports - Commissioned study</vt:lpstr>
    </vt:vector>
  </TitlesOfParts>
  <Company>Independent Schools Council of Australia</Company>
  <LinksUpToDate>false</LinksUpToDate>
  <CharactersWithSpaces>25650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24 - Independent Schools Council of Australia - Services Exports - Commissioned study</dc:title>
  <dc:creator>Independent Schools Council of Australia</dc:creator>
  <cp:lastModifiedBy>Mark Pimperl</cp:lastModifiedBy>
  <cp:revision>8</cp:revision>
  <cp:lastPrinted>2015-05-25T02:56:00Z</cp:lastPrinted>
  <dcterms:created xsi:type="dcterms:W3CDTF">2015-05-25T02:47:00Z</dcterms:created>
  <dcterms:modified xsi:type="dcterms:W3CDTF">2015-05-27T03:01:00Z</dcterms:modified>
</cp:coreProperties>
</file>