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9D4D5" w14:textId="77777777" w:rsidR="00BA1125" w:rsidRDefault="00BA1125" w:rsidP="00BA1125">
      <w:pPr>
        <w:spacing w:after="0" w:line="240" w:lineRule="auto"/>
        <w:jc w:val="center"/>
        <w:rPr>
          <w:rFonts w:ascii="Times New Roman" w:hAnsi="Times New Roman" w:cs="Times New Roman"/>
          <w:b/>
          <w:sz w:val="24"/>
          <w:szCs w:val="24"/>
        </w:rPr>
      </w:pPr>
      <w:bookmarkStart w:id="0" w:name="_GoBack"/>
      <w:bookmarkEnd w:id="0"/>
    </w:p>
    <w:p w14:paraId="0B76E71E" w14:textId="77777777" w:rsidR="00BA1125" w:rsidRPr="00092662" w:rsidRDefault="00BA1125" w:rsidP="00BA1125">
      <w:pPr>
        <w:spacing w:after="0" w:line="240" w:lineRule="auto"/>
        <w:jc w:val="center"/>
        <w:rPr>
          <w:rFonts w:ascii="Times New Roman" w:hAnsi="Times New Roman" w:cs="Times New Roman"/>
          <w:b/>
          <w:sz w:val="24"/>
          <w:szCs w:val="24"/>
        </w:rPr>
      </w:pPr>
      <w:r w:rsidRPr="00092662">
        <w:rPr>
          <w:rFonts w:ascii="Times New Roman" w:hAnsi="Times New Roman" w:cs="Times New Roman"/>
          <w:b/>
          <w:sz w:val="24"/>
          <w:szCs w:val="24"/>
        </w:rPr>
        <w:t>A Critique of the Government’s Proposal to Monetise Immigration Visas</w:t>
      </w:r>
    </w:p>
    <w:p w14:paraId="6B8D276A" w14:textId="77777777" w:rsidR="00BA1125" w:rsidRDefault="00BA1125" w:rsidP="00BA1125">
      <w:pPr>
        <w:spacing w:after="0" w:line="240" w:lineRule="auto"/>
        <w:rPr>
          <w:rFonts w:ascii="Times New Roman" w:hAnsi="Times New Roman" w:cs="Times New Roman"/>
          <w:b/>
          <w:sz w:val="24"/>
          <w:szCs w:val="24"/>
        </w:rPr>
      </w:pPr>
    </w:p>
    <w:p w14:paraId="212DEC38" w14:textId="77777777" w:rsidR="00BA1125" w:rsidRPr="00A34815" w:rsidRDefault="00BA1125" w:rsidP="00BA11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Joanna Howe</w:t>
      </w:r>
      <w:r>
        <w:rPr>
          <w:rStyle w:val="FootnoteReference"/>
          <w:rFonts w:ascii="Times New Roman" w:hAnsi="Times New Roman" w:cs="Times New Roman"/>
          <w:b/>
          <w:sz w:val="24"/>
          <w:szCs w:val="24"/>
        </w:rPr>
        <w:footnoteReference w:customMarkFollows="1" w:id="1"/>
        <w:t>*</w:t>
      </w:r>
    </w:p>
    <w:p w14:paraId="79CBEA98" w14:textId="77777777" w:rsidR="00BA1125" w:rsidRPr="00A34815" w:rsidRDefault="00BA1125" w:rsidP="00BA1125">
      <w:pPr>
        <w:spacing w:after="0" w:line="240" w:lineRule="auto"/>
        <w:jc w:val="center"/>
        <w:rPr>
          <w:rFonts w:ascii="Times New Roman" w:hAnsi="Times New Roman" w:cs="Times New Roman"/>
          <w:sz w:val="24"/>
          <w:szCs w:val="24"/>
        </w:rPr>
      </w:pPr>
    </w:p>
    <w:p w14:paraId="1EF3C9A6" w14:textId="77777777" w:rsidR="00BA1125" w:rsidRDefault="00BA1125" w:rsidP="00BA1125">
      <w:pPr>
        <w:spacing w:after="0" w:line="240" w:lineRule="auto"/>
        <w:jc w:val="both"/>
        <w:rPr>
          <w:rFonts w:ascii="Times New Roman" w:hAnsi="Times New Roman" w:cs="Times New Roman"/>
          <w:b/>
          <w:sz w:val="24"/>
          <w:szCs w:val="24"/>
        </w:rPr>
      </w:pPr>
      <w:r w:rsidRPr="00A34815">
        <w:rPr>
          <w:rFonts w:ascii="Times New Roman" w:hAnsi="Times New Roman" w:cs="Times New Roman"/>
          <w:b/>
          <w:sz w:val="24"/>
          <w:szCs w:val="24"/>
        </w:rPr>
        <w:t>Introduction</w:t>
      </w:r>
    </w:p>
    <w:p w14:paraId="098BA5AC" w14:textId="77777777" w:rsidR="00BA1125" w:rsidRPr="00A34815" w:rsidRDefault="00BA1125" w:rsidP="00BA1125">
      <w:pPr>
        <w:spacing w:after="0" w:line="240" w:lineRule="auto"/>
        <w:jc w:val="both"/>
        <w:rPr>
          <w:rFonts w:ascii="Times New Roman" w:hAnsi="Times New Roman" w:cs="Times New Roman"/>
          <w:b/>
          <w:sz w:val="24"/>
          <w:szCs w:val="24"/>
        </w:rPr>
      </w:pPr>
    </w:p>
    <w:p w14:paraId="4D5F6C15"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In the past two decades there ha</w:t>
      </w:r>
      <w:r>
        <w:rPr>
          <w:rFonts w:ascii="Times New Roman" w:hAnsi="Times New Roman" w:cs="Times New Roman"/>
          <w:sz w:val="24"/>
          <w:szCs w:val="24"/>
        </w:rPr>
        <w:t>ve</w:t>
      </w:r>
      <w:r w:rsidRPr="00A34815">
        <w:rPr>
          <w:rFonts w:ascii="Times New Roman" w:hAnsi="Times New Roman" w:cs="Times New Roman"/>
          <w:sz w:val="24"/>
          <w:szCs w:val="24"/>
        </w:rPr>
        <w:t xml:space="preserve"> been a number of seismic shifts in Australia’s immigration policy.</w:t>
      </w:r>
      <w:r>
        <w:rPr>
          <w:rFonts w:ascii="Times New Roman" w:hAnsi="Times New Roman" w:cs="Times New Roman"/>
          <w:sz w:val="24"/>
          <w:szCs w:val="24"/>
        </w:rPr>
        <w:t xml:space="preserve"> Firstly, it has been rebalanced in terms of encouraging skills-based immigration rather than family reunion.</w:t>
      </w:r>
      <w:r w:rsidRPr="00A3481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w:t>
      </w:r>
      <w:r w:rsidRPr="0075492A">
        <w:rPr>
          <w:rFonts w:ascii="Times New Roman" w:hAnsi="Times New Roman" w:cs="Times New Roman"/>
          <w:sz w:val="24"/>
          <w:szCs w:val="24"/>
        </w:rPr>
        <w:t>his focus on economic migration is reinforced</w:t>
      </w:r>
      <w:r>
        <w:rPr>
          <w:rFonts w:ascii="Times New Roman" w:hAnsi="Times New Roman" w:cs="Times New Roman"/>
          <w:sz w:val="24"/>
          <w:szCs w:val="24"/>
        </w:rPr>
        <w:t xml:space="preserve"> by a second, even more significant phenomenon:</w:t>
      </w:r>
      <w:r w:rsidRPr="0075492A">
        <w:rPr>
          <w:rFonts w:ascii="Times New Roman" w:hAnsi="Times New Roman" w:cs="Times New Roman"/>
          <w:sz w:val="24"/>
          <w:szCs w:val="24"/>
        </w:rPr>
        <w:t xml:space="preserve"> the </w:t>
      </w:r>
      <w:r>
        <w:rPr>
          <w:rFonts w:ascii="Times New Roman" w:hAnsi="Times New Roman" w:cs="Times New Roman"/>
          <w:sz w:val="24"/>
          <w:szCs w:val="24"/>
        </w:rPr>
        <w:t>prioritisation of temporary labour migration over permanent migration.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has largely occurred through the </w:t>
      </w:r>
      <w:r w:rsidRPr="0075492A">
        <w:rPr>
          <w:rFonts w:ascii="Times New Roman" w:hAnsi="Times New Roman" w:cs="Times New Roman"/>
          <w:sz w:val="24"/>
          <w:szCs w:val="24"/>
        </w:rPr>
        <w:t>rapid growth of Australia’s temporary labour migration program</w:t>
      </w:r>
      <w:r>
        <w:rPr>
          <w:rFonts w:ascii="Times New Roman" w:hAnsi="Times New Roman" w:cs="Times New Roman"/>
          <w:sz w:val="24"/>
          <w:szCs w:val="24"/>
        </w:rPr>
        <w:t>me</w:t>
      </w:r>
      <w:r w:rsidRPr="0075492A">
        <w:rPr>
          <w:rFonts w:ascii="Times New Roman" w:hAnsi="Times New Roman" w:cs="Times New Roman"/>
          <w:sz w:val="24"/>
          <w:szCs w:val="24"/>
        </w:rPr>
        <w:t xml:space="preserve">, the </w:t>
      </w:r>
      <w:r>
        <w:rPr>
          <w:rFonts w:ascii="Times New Roman" w:hAnsi="Times New Roman" w:cs="Times New Roman"/>
          <w:sz w:val="24"/>
          <w:szCs w:val="24"/>
        </w:rPr>
        <w:t xml:space="preserve">subclass </w:t>
      </w:r>
      <w:r w:rsidRPr="0075492A">
        <w:rPr>
          <w:rFonts w:ascii="Times New Roman" w:hAnsi="Times New Roman" w:cs="Times New Roman"/>
          <w:sz w:val="24"/>
          <w:szCs w:val="24"/>
        </w:rPr>
        <w:t>457 visa.</w:t>
      </w:r>
      <w:r>
        <w:rPr>
          <w:rStyle w:val="FootnoteReference"/>
          <w:rFonts w:ascii="Times New Roman" w:hAnsi="Times New Roman" w:cs="Times New Roman"/>
          <w:sz w:val="24"/>
          <w:szCs w:val="24"/>
        </w:rPr>
        <w:footnoteReference w:id="4"/>
      </w:r>
      <w:r w:rsidRPr="0075492A">
        <w:rPr>
          <w:rFonts w:ascii="Times New Roman" w:hAnsi="Times New Roman" w:cs="Times New Roman"/>
          <w:sz w:val="24"/>
          <w:szCs w:val="24"/>
        </w:rPr>
        <w:t xml:space="preserve"> When temporary visas for the employment of highly skilled workers in Australia were first introduced in 1996 they were a significant policy innovation. Until that time in Australia, all visas for economic and family migration entitled visa holders to permanent residence. The understanding was that migrants were permanent additions and contributors to the Australian community. The introduction of temporary labour migration visas reflects a change in national culture in response to </w:t>
      </w:r>
      <w:r>
        <w:rPr>
          <w:rFonts w:ascii="Times New Roman" w:hAnsi="Times New Roman" w:cs="Times New Roman"/>
          <w:sz w:val="24"/>
          <w:szCs w:val="24"/>
        </w:rPr>
        <w:t>shiftin</w:t>
      </w:r>
      <w:r w:rsidRPr="0075492A">
        <w:rPr>
          <w:rFonts w:ascii="Times New Roman" w:hAnsi="Times New Roman" w:cs="Times New Roman"/>
          <w:sz w:val="24"/>
          <w:szCs w:val="24"/>
        </w:rPr>
        <w:t xml:space="preserve">g international realities, most notably the increased movement of people around the world for economic purposes. </w:t>
      </w:r>
      <w:r>
        <w:rPr>
          <w:rFonts w:ascii="Times New Roman" w:hAnsi="Times New Roman" w:cs="Times New Roman"/>
          <w:sz w:val="24"/>
          <w:szCs w:val="24"/>
        </w:rPr>
        <w:t xml:space="preserve">Thirdly, another highly significant development has been the burgeoning popularity of </w:t>
      </w:r>
      <w:r w:rsidRPr="006F42B4">
        <w:rPr>
          <w:rFonts w:ascii="Times New Roman" w:hAnsi="Times New Roman" w:cs="Times New Roman"/>
          <w:sz w:val="24"/>
          <w:szCs w:val="24"/>
        </w:rPr>
        <w:t>other temporary visa subclasses, namely international students and working holiday makers.</w:t>
      </w:r>
      <w:r>
        <w:rPr>
          <w:rFonts w:ascii="Times New Roman" w:hAnsi="Times New Roman" w:cs="Times New Roman"/>
          <w:sz w:val="24"/>
          <w:szCs w:val="24"/>
        </w:rPr>
        <w:t xml:space="preserve"> This</w:t>
      </w:r>
      <w:r w:rsidRPr="006F42B4">
        <w:rPr>
          <w:rFonts w:ascii="Times New Roman" w:hAnsi="Times New Roman" w:cs="Times New Roman"/>
          <w:sz w:val="24"/>
          <w:szCs w:val="24"/>
        </w:rPr>
        <w:t xml:space="preserve"> has been supplemented by various extensions of these traditional visa schemes, for e</w:t>
      </w:r>
      <w:r>
        <w:rPr>
          <w:rFonts w:ascii="Times New Roman" w:hAnsi="Times New Roman" w:cs="Times New Roman"/>
          <w:sz w:val="24"/>
          <w:szCs w:val="24"/>
        </w:rPr>
        <w:t>xample through graduate student visas, and the one-</w:t>
      </w:r>
      <w:r w:rsidRPr="006F42B4">
        <w:rPr>
          <w:rFonts w:ascii="Times New Roman" w:hAnsi="Times New Roman" w:cs="Times New Roman"/>
          <w:sz w:val="24"/>
          <w:szCs w:val="24"/>
        </w:rPr>
        <w:t>year extension on the</w:t>
      </w:r>
      <w:r>
        <w:rPr>
          <w:rFonts w:ascii="Times New Roman" w:hAnsi="Times New Roman" w:cs="Times New Roman"/>
          <w:sz w:val="24"/>
          <w:szCs w:val="24"/>
        </w:rPr>
        <w:t xml:space="preserve"> working holiday maker visa </w:t>
      </w:r>
      <w:r w:rsidRPr="006F42B4">
        <w:rPr>
          <w:rFonts w:ascii="Times New Roman" w:hAnsi="Times New Roman" w:cs="Times New Roman"/>
          <w:sz w:val="24"/>
          <w:szCs w:val="24"/>
        </w:rPr>
        <w:t>based on a three month work-stint in a regional location. Increasingly, temporary migrants on these visas are doing a substantial amount of low skilled work</w:t>
      </w:r>
      <w:r>
        <w:rPr>
          <w:rFonts w:ascii="Times New Roman" w:hAnsi="Times New Roman" w:cs="Times New Roman"/>
          <w:sz w:val="24"/>
          <w:szCs w:val="24"/>
        </w:rPr>
        <w:t xml:space="preserve"> in the economy,</w:t>
      </w:r>
      <w:r w:rsidRPr="00A34815">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although Australia’s official entry pathway for low-skilled, seasonal work has not been widely embraced by employers.</w:t>
      </w:r>
      <w:r w:rsidRPr="006F42B4">
        <w:rPr>
          <w:rFonts w:ascii="Times New Roman" w:hAnsi="Times New Roman" w:cs="Times New Roman"/>
          <w:sz w:val="24"/>
          <w:szCs w:val="24"/>
        </w:rPr>
        <w:t xml:space="preserve"> </w:t>
      </w:r>
      <w:r>
        <w:rPr>
          <w:rFonts w:ascii="Times New Roman" w:hAnsi="Times New Roman" w:cs="Times New Roman"/>
          <w:sz w:val="24"/>
          <w:szCs w:val="24"/>
        </w:rPr>
        <w:t>On top of these tectonic changes, it seems</w:t>
      </w:r>
      <w:r w:rsidRPr="00A34815">
        <w:rPr>
          <w:rFonts w:ascii="Times New Roman" w:hAnsi="Times New Roman" w:cs="Times New Roman"/>
          <w:sz w:val="24"/>
          <w:szCs w:val="24"/>
        </w:rPr>
        <w:t xml:space="preserve"> the Government is</w:t>
      </w:r>
      <w:r>
        <w:rPr>
          <w:rFonts w:ascii="Times New Roman" w:hAnsi="Times New Roman" w:cs="Times New Roman"/>
          <w:sz w:val="24"/>
          <w:szCs w:val="24"/>
        </w:rPr>
        <w:t xml:space="preserve"> now</w:t>
      </w:r>
      <w:r w:rsidRPr="00A34815">
        <w:rPr>
          <w:rFonts w:ascii="Times New Roman" w:hAnsi="Times New Roman" w:cs="Times New Roman"/>
          <w:sz w:val="24"/>
          <w:szCs w:val="24"/>
        </w:rPr>
        <w:t xml:space="preserve"> considering another </w:t>
      </w:r>
      <w:r>
        <w:rPr>
          <w:rFonts w:ascii="Times New Roman" w:hAnsi="Times New Roman" w:cs="Times New Roman"/>
          <w:sz w:val="24"/>
          <w:szCs w:val="24"/>
        </w:rPr>
        <w:t>reform</w:t>
      </w:r>
      <w:r w:rsidRPr="00A34815">
        <w:rPr>
          <w:rFonts w:ascii="Times New Roman" w:hAnsi="Times New Roman" w:cs="Times New Roman"/>
          <w:sz w:val="24"/>
          <w:szCs w:val="24"/>
        </w:rPr>
        <w:t xml:space="preserve">: to monetise immigration visas by using a market-based fee system to determine the composition of Australia’s migrant intake. This proposal has the potential to transform Australia’s approach to immigration far beyond the significant reforms that have taken place since the mid 1990s. </w:t>
      </w:r>
    </w:p>
    <w:p w14:paraId="60C24F19" w14:textId="77777777" w:rsidR="00BA1125" w:rsidRDefault="00BA1125" w:rsidP="00BA1125">
      <w:pPr>
        <w:spacing w:after="0" w:line="240" w:lineRule="auto"/>
        <w:jc w:val="both"/>
        <w:rPr>
          <w:rFonts w:ascii="Times New Roman" w:hAnsi="Times New Roman" w:cs="Times New Roman"/>
          <w:sz w:val="24"/>
          <w:szCs w:val="24"/>
        </w:rPr>
      </w:pPr>
    </w:p>
    <w:p w14:paraId="19615A63" w14:textId="77777777" w:rsidR="00BA1125" w:rsidRPr="00D019F7"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 I will explain in this submission, at a fundamental level, the proposal to monetise immigration visas is intrinsically unfair, incapable of determining the most desirable migrant cohort for Australia and would structure the temporary migrant worker programme in such a way that creates the conditions whereby exploitative work practices can proliferate. It is a proposal that is superficially attractive for its simplicity but in practice would create more problems than it solves. Whilst</w:t>
      </w:r>
      <w:r w:rsidRPr="00D019F7">
        <w:rPr>
          <w:rFonts w:ascii="Times New Roman" w:hAnsi="Times New Roman" w:cs="Times New Roman"/>
          <w:sz w:val="24"/>
          <w:szCs w:val="24"/>
        </w:rPr>
        <w:t xml:space="preserve"> a skills-based labour immigration system like Australia, brings with it certain difficulties in defining skills and ascertaining which skills </w:t>
      </w:r>
      <w:r>
        <w:rPr>
          <w:rFonts w:ascii="Times New Roman" w:hAnsi="Times New Roman" w:cs="Times New Roman"/>
          <w:sz w:val="24"/>
          <w:szCs w:val="24"/>
        </w:rPr>
        <w:t>are in need by local employers,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Pr="00D019F7">
        <w:rPr>
          <w:rFonts w:ascii="Times New Roman" w:hAnsi="Times New Roman" w:cs="Times New Roman"/>
          <w:sz w:val="24"/>
          <w:szCs w:val="24"/>
        </w:rPr>
        <w:t>these difficulties can b</w:t>
      </w:r>
      <w:r>
        <w:rPr>
          <w:rFonts w:ascii="Times New Roman" w:hAnsi="Times New Roman" w:cs="Times New Roman"/>
          <w:sz w:val="24"/>
          <w:szCs w:val="24"/>
        </w:rPr>
        <w:t>e overcome, albeit imperfectly.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In contrast, monetising immigration visas</w:t>
      </w:r>
      <w:r w:rsidRPr="00D019F7">
        <w:rPr>
          <w:rFonts w:ascii="Times New Roman" w:hAnsi="Times New Roman" w:cs="Times New Roman"/>
          <w:sz w:val="24"/>
          <w:szCs w:val="24"/>
        </w:rPr>
        <w:t xml:space="preserve"> will bring with it other </w:t>
      </w:r>
      <w:r>
        <w:rPr>
          <w:rFonts w:ascii="Times New Roman" w:hAnsi="Times New Roman" w:cs="Times New Roman"/>
          <w:sz w:val="24"/>
          <w:szCs w:val="24"/>
        </w:rPr>
        <w:t>challenges</w:t>
      </w:r>
      <w:r w:rsidRPr="00D019F7">
        <w:rPr>
          <w:rFonts w:ascii="Times New Roman" w:hAnsi="Times New Roman" w:cs="Times New Roman"/>
          <w:sz w:val="24"/>
          <w:szCs w:val="24"/>
        </w:rPr>
        <w:t xml:space="preserve">, many of them of a </w:t>
      </w:r>
      <w:r>
        <w:rPr>
          <w:rFonts w:ascii="Times New Roman" w:hAnsi="Times New Roman" w:cs="Times New Roman"/>
          <w:sz w:val="24"/>
          <w:szCs w:val="24"/>
        </w:rPr>
        <w:t xml:space="preserve">far </w:t>
      </w:r>
      <w:r w:rsidRPr="00D019F7">
        <w:rPr>
          <w:rFonts w:ascii="Times New Roman" w:hAnsi="Times New Roman" w:cs="Times New Roman"/>
          <w:sz w:val="24"/>
          <w:szCs w:val="24"/>
        </w:rPr>
        <w:t xml:space="preserve">more </w:t>
      </w:r>
      <w:r>
        <w:rPr>
          <w:rFonts w:ascii="Times New Roman" w:hAnsi="Times New Roman" w:cs="Times New Roman"/>
          <w:sz w:val="24"/>
          <w:szCs w:val="24"/>
        </w:rPr>
        <w:t>intractable</w:t>
      </w:r>
      <w:r w:rsidRPr="00D019F7">
        <w:rPr>
          <w:rFonts w:ascii="Times New Roman" w:hAnsi="Times New Roman" w:cs="Times New Roman"/>
          <w:sz w:val="24"/>
          <w:szCs w:val="24"/>
        </w:rPr>
        <w:t xml:space="preserve"> nature.</w:t>
      </w:r>
    </w:p>
    <w:p w14:paraId="46D53572" w14:textId="77777777" w:rsidR="00BA1125" w:rsidRPr="00A34815" w:rsidRDefault="00BA1125" w:rsidP="00BA1125">
      <w:pPr>
        <w:spacing w:after="0" w:line="240" w:lineRule="auto"/>
        <w:jc w:val="both"/>
        <w:rPr>
          <w:rFonts w:ascii="Times New Roman" w:hAnsi="Times New Roman" w:cs="Times New Roman"/>
          <w:sz w:val="24"/>
          <w:szCs w:val="24"/>
        </w:rPr>
      </w:pPr>
    </w:p>
    <w:p w14:paraId="7C703A11" w14:textId="77777777" w:rsidR="00BA1125" w:rsidRPr="00A34815" w:rsidRDefault="00BA1125" w:rsidP="00BA1125">
      <w:pPr>
        <w:spacing w:after="0" w:line="240" w:lineRule="auto"/>
        <w:jc w:val="both"/>
        <w:rPr>
          <w:rFonts w:ascii="Times New Roman" w:hAnsi="Times New Roman" w:cs="Times New Roman"/>
          <w:b/>
          <w:sz w:val="24"/>
          <w:szCs w:val="24"/>
        </w:rPr>
      </w:pPr>
      <w:r w:rsidRPr="00A34815">
        <w:rPr>
          <w:rFonts w:ascii="Times New Roman" w:hAnsi="Times New Roman" w:cs="Times New Roman"/>
          <w:b/>
          <w:sz w:val="24"/>
          <w:szCs w:val="24"/>
        </w:rPr>
        <w:t xml:space="preserve">Background </w:t>
      </w:r>
    </w:p>
    <w:p w14:paraId="78708E57" w14:textId="77777777" w:rsidR="00BA1125" w:rsidRPr="00A34815" w:rsidRDefault="00BA1125" w:rsidP="00BA1125">
      <w:pPr>
        <w:spacing w:after="0" w:line="240" w:lineRule="auto"/>
        <w:jc w:val="both"/>
        <w:rPr>
          <w:rFonts w:ascii="Times New Roman" w:hAnsi="Times New Roman" w:cs="Times New Roman"/>
          <w:b/>
          <w:sz w:val="24"/>
          <w:szCs w:val="24"/>
        </w:rPr>
      </w:pPr>
    </w:p>
    <w:p w14:paraId="11119CAA"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The terms of reference for th</w:t>
      </w:r>
      <w:r>
        <w:rPr>
          <w:rFonts w:ascii="Times New Roman" w:hAnsi="Times New Roman" w:cs="Times New Roman"/>
          <w:sz w:val="24"/>
          <w:szCs w:val="24"/>
        </w:rPr>
        <w:t>is</w:t>
      </w:r>
      <w:r w:rsidRPr="00A34815">
        <w:rPr>
          <w:rFonts w:ascii="Times New Roman" w:hAnsi="Times New Roman" w:cs="Times New Roman"/>
          <w:sz w:val="24"/>
          <w:szCs w:val="24"/>
        </w:rPr>
        <w:t xml:space="preserve"> inquiry require the</w:t>
      </w:r>
      <w:r>
        <w:rPr>
          <w:rFonts w:ascii="Times New Roman" w:hAnsi="Times New Roman" w:cs="Times New Roman"/>
          <w:sz w:val="24"/>
          <w:szCs w:val="24"/>
        </w:rPr>
        <w:t xml:space="preserve"> Productivity</w:t>
      </w:r>
      <w:r w:rsidRPr="00A34815">
        <w:rPr>
          <w:rFonts w:ascii="Times New Roman" w:hAnsi="Times New Roman" w:cs="Times New Roman"/>
          <w:sz w:val="24"/>
          <w:szCs w:val="24"/>
        </w:rPr>
        <w:t xml:space="preserve"> Commission to specifically consider a scenario where fees are the primary determinant of entry to Australia. But the Commission’s remit is also more broadly based, as it is concerned with ‘an examination of the scope to use alternative methods for determining intakes – including through payment – and the effects these would have.’ Although the use of fees as the primary lever was taken from a paper by economist Gary Becker in 2011 where it was conceived as being for the purposes of permanent migration,</w:t>
      </w:r>
      <w:r w:rsidRPr="00A34815">
        <w:rPr>
          <w:rStyle w:val="FootnoteReference"/>
          <w:rFonts w:ascii="Times New Roman" w:hAnsi="Times New Roman" w:cs="Times New Roman"/>
          <w:sz w:val="24"/>
          <w:szCs w:val="24"/>
        </w:rPr>
        <w:footnoteReference w:id="8"/>
      </w:r>
      <w:r w:rsidRPr="00A34815">
        <w:rPr>
          <w:rFonts w:ascii="Times New Roman" w:hAnsi="Times New Roman" w:cs="Times New Roman"/>
          <w:sz w:val="24"/>
          <w:szCs w:val="24"/>
        </w:rPr>
        <w:t xml:space="preserve"> the Productivity Commission’s terms of reference explicitly include consideration of the lever’s applicability to Australia’s temporary migration program and the relationship between Australia’s permanent and temporary programs. Most importantly, the examination of these issues is to take place within an overarching context designed to serve the national interest through improving national income, living standards, reducing the administrative burden on the immigration department and meeting Australia’s international obligations. Absent from these objectives are the specific needs relating to the wellbeing of migrants, the needs of employers or the concerns of local workers – the balancing of the latter two being the current principal mission of Australia’s permanent and temporary labour migration programmes.</w:t>
      </w:r>
    </w:p>
    <w:p w14:paraId="6BB3DF60" w14:textId="77777777" w:rsidR="00BA1125" w:rsidRPr="00A34815" w:rsidRDefault="00BA1125" w:rsidP="00BA1125">
      <w:pPr>
        <w:spacing w:after="0" w:line="240" w:lineRule="auto"/>
        <w:jc w:val="both"/>
        <w:rPr>
          <w:rFonts w:ascii="Times New Roman" w:hAnsi="Times New Roman" w:cs="Times New Roman"/>
          <w:sz w:val="24"/>
          <w:szCs w:val="24"/>
        </w:rPr>
      </w:pPr>
    </w:p>
    <w:p w14:paraId="6E8D59DD" w14:textId="77777777" w:rsidR="00BA1125" w:rsidRPr="00A34815" w:rsidRDefault="00BA1125" w:rsidP="00BA1125">
      <w:pPr>
        <w:spacing w:after="0" w:line="240" w:lineRule="auto"/>
        <w:jc w:val="both"/>
        <w:rPr>
          <w:rFonts w:ascii="Times New Roman" w:hAnsi="Times New Roman" w:cs="Times New Roman"/>
          <w:b/>
          <w:i/>
          <w:sz w:val="24"/>
          <w:szCs w:val="24"/>
        </w:rPr>
      </w:pPr>
      <w:r w:rsidRPr="00A34815">
        <w:rPr>
          <w:rFonts w:ascii="Times New Roman" w:hAnsi="Times New Roman" w:cs="Times New Roman"/>
          <w:b/>
          <w:i/>
          <w:sz w:val="24"/>
          <w:szCs w:val="24"/>
        </w:rPr>
        <w:t>Proposal One: Charging a fee for migrants with capacity to pay upfront</w:t>
      </w:r>
    </w:p>
    <w:p w14:paraId="3FBD5405" w14:textId="77777777" w:rsidR="00BA1125" w:rsidRPr="00A34815" w:rsidRDefault="00BA1125" w:rsidP="00BA1125">
      <w:pPr>
        <w:spacing w:after="0" w:line="240" w:lineRule="auto"/>
        <w:jc w:val="both"/>
        <w:rPr>
          <w:rFonts w:ascii="Times New Roman" w:hAnsi="Times New Roman" w:cs="Times New Roman"/>
          <w:b/>
          <w:i/>
          <w:sz w:val="24"/>
          <w:szCs w:val="24"/>
        </w:rPr>
      </w:pPr>
    </w:p>
    <w:p w14:paraId="5D4D0A79"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 xml:space="preserve">The basic premise of a fee-based immigration model is that it relies upon a price mechanism to match supply and demand. Becker’s proposal </w:t>
      </w:r>
      <w:r>
        <w:rPr>
          <w:rFonts w:ascii="Times New Roman" w:hAnsi="Times New Roman" w:cs="Times New Roman"/>
          <w:sz w:val="24"/>
          <w:szCs w:val="24"/>
        </w:rPr>
        <w:t xml:space="preserve">proposes </w:t>
      </w:r>
      <w:r w:rsidRPr="00A34815">
        <w:rPr>
          <w:rFonts w:ascii="Times New Roman" w:hAnsi="Times New Roman" w:cs="Times New Roman"/>
          <w:sz w:val="24"/>
          <w:szCs w:val="24"/>
        </w:rPr>
        <w:t xml:space="preserve">that economic principles could be used to allocate visas, either by selling the right to migrate at a price that called forth a desired number of migrants, or by auctioning immigrant visas. This is made possible because more people want to immigrate to destination countries like Australia than the amount of places available for immigration. Market-based economics suggests that the interaction of these two – demand by destination countries and supply by origin countries, will produce a price for immigration. The proposal is aimed to reduce the role of government and immigration bureaucracies in determining the quantity and composition of immigrants by </w:t>
      </w:r>
      <w:r w:rsidRPr="00A34815">
        <w:rPr>
          <w:rFonts w:ascii="Times New Roman" w:hAnsi="Times New Roman" w:cs="Times New Roman"/>
          <w:sz w:val="24"/>
          <w:szCs w:val="24"/>
        </w:rPr>
        <w:lastRenderedPageBreak/>
        <w:t>greater reliance on the market mechanism. Becker suggests this would create a substantial potential revenue stream, encourage the migration of economically active individuals motivated by a desire to recoup their investment in immigration and an incentive for individuals to preference legal immigration rather than illegal immigration and thus undermine people smuggling businesses.</w:t>
      </w:r>
      <w:r w:rsidRPr="00A34815">
        <w:rPr>
          <w:rStyle w:val="FootnoteReference"/>
          <w:rFonts w:ascii="Times New Roman" w:hAnsi="Times New Roman" w:cs="Times New Roman"/>
          <w:sz w:val="24"/>
          <w:szCs w:val="24"/>
        </w:rPr>
        <w:footnoteReference w:id="9"/>
      </w:r>
    </w:p>
    <w:p w14:paraId="6F97A8CF" w14:textId="77777777" w:rsidR="00BA1125" w:rsidRPr="00A34815" w:rsidRDefault="00BA1125" w:rsidP="00BA1125">
      <w:pPr>
        <w:spacing w:after="0" w:line="240" w:lineRule="auto"/>
        <w:jc w:val="both"/>
        <w:rPr>
          <w:rFonts w:ascii="Times New Roman" w:hAnsi="Times New Roman" w:cs="Times New Roman"/>
          <w:sz w:val="24"/>
          <w:szCs w:val="24"/>
        </w:rPr>
      </w:pPr>
    </w:p>
    <w:p w14:paraId="2833F9C6"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Building on Becker’s basic pr</w:t>
      </w:r>
      <w:r>
        <w:rPr>
          <w:rFonts w:ascii="Times New Roman" w:hAnsi="Times New Roman" w:cs="Times New Roman"/>
          <w:sz w:val="24"/>
          <w:szCs w:val="24"/>
        </w:rPr>
        <w:t>emise</w:t>
      </w:r>
      <w:r w:rsidRPr="00A34815">
        <w:rPr>
          <w:rFonts w:ascii="Times New Roman" w:hAnsi="Times New Roman" w:cs="Times New Roman"/>
          <w:sz w:val="24"/>
          <w:szCs w:val="24"/>
        </w:rPr>
        <w:t>, the Productivity Commission’s Issues Paper canvases that entry fees be varied according to the visa category and could incorporate qualitative requirements.</w:t>
      </w:r>
      <w:r w:rsidRPr="00A34815">
        <w:rPr>
          <w:rStyle w:val="FootnoteReference"/>
          <w:rFonts w:ascii="Times New Roman" w:hAnsi="Times New Roman" w:cs="Times New Roman"/>
          <w:sz w:val="24"/>
          <w:szCs w:val="24"/>
        </w:rPr>
        <w:footnoteReference w:id="10"/>
      </w:r>
      <w:r w:rsidRPr="00A34815">
        <w:rPr>
          <w:rFonts w:ascii="Times New Roman" w:hAnsi="Times New Roman" w:cs="Times New Roman"/>
          <w:sz w:val="24"/>
          <w:szCs w:val="24"/>
        </w:rPr>
        <w:t xml:space="preserve">  This would mean that potential immigrants would not only have to pay an entry charge but also meet selection criteria based upon other indicators. These are not identified in the Issues Paper but are likely to include factors such as age, occupation, skill set, net wealth and English language ability. To some extent, such a system already exists in that each of Australia’s temporary and permanent visa subclasses rely upon a combination of fees and selection criteria relating to the personal attributes of applicants. However, the central </w:t>
      </w:r>
      <w:r>
        <w:rPr>
          <w:rFonts w:ascii="Times New Roman" w:hAnsi="Times New Roman" w:cs="Times New Roman"/>
          <w:sz w:val="24"/>
          <w:szCs w:val="24"/>
        </w:rPr>
        <w:t>proposal</w:t>
      </w:r>
      <w:r w:rsidRPr="00A34815">
        <w:rPr>
          <w:rFonts w:ascii="Times New Roman" w:hAnsi="Times New Roman" w:cs="Times New Roman"/>
          <w:sz w:val="24"/>
          <w:szCs w:val="24"/>
        </w:rPr>
        <w:t xml:space="preserve"> </w:t>
      </w:r>
      <w:r>
        <w:rPr>
          <w:rFonts w:ascii="Times New Roman" w:hAnsi="Times New Roman" w:cs="Times New Roman"/>
          <w:sz w:val="24"/>
          <w:szCs w:val="24"/>
        </w:rPr>
        <w:t>in</w:t>
      </w:r>
      <w:r w:rsidRPr="00A34815">
        <w:rPr>
          <w:rFonts w:ascii="Times New Roman" w:hAnsi="Times New Roman" w:cs="Times New Roman"/>
          <w:sz w:val="24"/>
          <w:szCs w:val="24"/>
        </w:rPr>
        <w:t xml:space="preserve"> the Issues Paper is that these fees would be increased to the point in which they become prohibitive for certain prospective immigrants so that only those that could afford to pay </w:t>
      </w:r>
      <w:r w:rsidRPr="00A34815">
        <w:rPr>
          <w:rFonts w:ascii="Times New Roman" w:hAnsi="Times New Roman" w:cs="Times New Roman"/>
          <w:i/>
          <w:sz w:val="24"/>
          <w:szCs w:val="24"/>
        </w:rPr>
        <w:t>and</w:t>
      </w:r>
      <w:r w:rsidRPr="00A34815">
        <w:rPr>
          <w:rFonts w:ascii="Times New Roman" w:hAnsi="Times New Roman" w:cs="Times New Roman"/>
          <w:sz w:val="24"/>
          <w:szCs w:val="24"/>
        </w:rPr>
        <w:t xml:space="preserve"> meet the qualitative requirements would be eligible for immigration. Becker suggests that the amount </w:t>
      </w:r>
      <w:r>
        <w:rPr>
          <w:rFonts w:ascii="Times New Roman" w:hAnsi="Times New Roman" w:cs="Times New Roman"/>
          <w:sz w:val="24"/>
          <w:szCs w:val="24"/>
        </w:rPr>
        <w:t xml:space="preserve">for an entry fee </w:t>
      </w:r>
      <w:r w:rsidRPr="00A34815">
        <w:rPr>
          <w:rFonts w:ascii="Times New Roman" w:hAnsi="Times New Roman" w:cs="Times New Roman"/>
          <w:sz w:val="24"/>
          <w:szCs w:val="24"/>
        </w:rPr>
        <w:t>might be in the region of US$50,000.</w:t>
      </w:r>
    </w:p>
    <w:p w14:paraId="6D01DC0C" w14:textId="77777777" w:rsidR="00BA1125" w:rsidRPr="00A34815" w:rsidRDefault="00BA1125" w:rsidP="00BA1125">
      <w:pPr>
        <w:spacing w:after="0" w:line="240" w:lineRule="auto"/>
        <w:jc w:val="both"/>
        <w:rPr>
          <w:rFonts w:ascii="Times New Roman" w:hAnsi="Times New Roman" w:cs="Times New Roman"/>
          <w:sz w:val="24"/>
          <w:szCs w:val="24"/>
        </w:rPr>
      </w:pPr>
    </w:p>
    <w:p w14:paraId="7B639E42"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Having outlined the proposal itself and its rationale, I now turn to its merits. Prioritising immigrants’ capacity to pay an entry charge over their skills or occupational profile will have implications on employers seeking to recruit overseas workers to meet domestic skill shortages. It would fundamentally change the orientation of Australia’s temporary migrant worker program, the 457 visa, as this was conceived as a means of giving Australian employers access to highly skilled workers in a competitive global market.</w:t>
      </w:r>
      <w:r w:rsidRPr="00A34815">
        <w:rPr>
          <w:rStyle w:val="FootnoteReference"/>
          <w:rFonts w:ascii="Times New Roman" w:hAnsi="Times New Roman" w:cs="Times New Roman"/>
          <w:sz w:val="24"/>
          <w:szCs w:val="24"/>
        </w:rPr>
        <w:footnoteReference w:id="11"/>
      </w:r>
      <w:r w:rsidRPr="00A34815">
        <w:rPr>
          <w:rFonts w:ascii="Times New Roman" w:hAnsi="Times New Roman" w:cs="Times New Roman"/>
          <w:sz w:val="24"/>
          <w:szCs w:val="24"/>
        </w:rPr>
        <w:t xml:space="preserve"> At its inception the 457 visa programme was underpinned by employer-demand because it was believed that employers would have to make themselves attractive in order to recruit internationally, otherwise highly skilled migrant workers would go elsewhere. Even the name of the Roach Report which provided the blueprint for the 457 visa, suggests that giving Australia access to highly skilled workers in the global market place was seen as critical: ‘Committee of Inquiry into the Temporary Entry of Business People and Highly Skilled Specialists’. Although the 457 visa programme already incorporates fees as part of the sponsorship nomination process, the proposal envisaged by the Productivity Commission is that these fees would play a more significant role in sifting between applicants for immigration. This may mean that an employer’s preferred candidate would be less likely to receive a visa because of a lack of capacity to pay the entry charge than another individual able to meet the qualitative selection criteria and to </w:t>
      </w:r>
      <w:r>
        <w:rPr>
          <w:rFonts w:ascii="Times New Roman" w:hAnsi="Times New Roman" w:cs="Times New Roman"/>
          <w:sz w:val="24"/>
          <w:szCs w:val="24"/>
        </w:rPr>
        <w:t>pay</w:t>
      </w:r>
      <w:r w:rsidRPr="00A34815">
        <w:rPr>
          <w:rFonts w:ascii="Times New Roman" w:hAnsi="Times New Roman" w:cs="Times New Roman"/>
          <w:sz w:val="24"/>
          <w:szCs w:val="24"/>
        </w:rPr>
        <w:t xml:space="preserve"> the entry charge. Charging higher fees so that they become somewhat determinative of migrant intake under the 457 visa programme</w:t>
      </w:r>
      <w:r>
        <w:rPr>
          <w:rFonts w:ascii="Times New Roman" w:hAnsi="Times New Roman" w:cs="Times New Roman"/>
          <w:sz w:val="24"/>
          <w:szCs w:val="24"/>
        </w:rPr>
        <w:t xml:space="preserve"> potentially</w:t>
      </w:r>
      <w:r w:rsidRPr="00A34815">
        <w:rPr>
          <w:rFonts w:ascii="Times New Roman" w:hAnsi="Times New Roman" w:cs="Times New Roman"/>
          <w:sz w:val="24"/>
          <w:szCs w:val="24"/>
        </w:rPr>
        <w:t xml:space="preserve"> </w:t>
      </w:r>
      <w:r>
        <w:rPr>
          <w:rFonts w:ascii="Times New Roman" w:hAnsi="Times New Roman" w:cs="Times New Roman"/>
          <w:sz w:val="24"/>
          <w:szCs w:val="24"/>
        </w:rPr>
        <w:t>constrains</w:t>
      </w:r>
      <w:r w:rsidRPr="00A34815">
        <w:rPr>
          <w:rFonts w:ascii="Times New Roman" w:hAnsi="Times New Roman" w:cs="Times New Roman"/>
          <w:sz w:val="24"/>
          <w:szCs w:val="24"/>
        </w:rPr>
        <w:t xml:space="preserve"> the employer-d</w:t>
      </w:r>
      <w:r>
        <w:rPr>
          <w:rFonts w:ascii="Times New Roman" w:hAnsi="Times New Roman" w:cs="Times New Roman"/>
          <w:sz w:val="24"/>
          <w:szCs w:val="24"/>
        </w:rPr>
        <w:t>riven</w:t>
      </w:r>
      <w:r w:rsidRPr="00A34815">
        <w:rPr>
          <w:rFonts w:ascii="Times New Roman" w:hAnsi="Times New Roman" w:cs="Times New Roman"/>
          <w:sz w:val="24"/>
          <w:szCs w:val="24"/>
        </w:rPr>
        <w:t xml:space="preserve"> nature of the 457 visa and</w:t>
      </w:r>
      <w:r>
        <w:rPr>
          <w:rFonts w:ascii="Times New Roman" w:hAnsi="Times New Roman" w:cs="Times New Roman"/>
          <w:sz w:val="24"/>
          <w:szCs w:val="24"/>
        </w:rPr>
        <w:t xml:space="preserve"> may</w:t>
      </w:r>
      <w:r w:rsidRPr="00A34815">
        <w:rPr>
          <w:rFonts w:ascii="Times New Roman" w:hAnsi="Times New Roman" w:cs="Times New Roman"/>
          <w:sz w:val="24"/>
          <w:szCs w:val="24"/>
        </w:rPr>
        <w:t xml:space="preserve"> limit the ability of the scheme to meet employer demand in areas where skill shortages exist.</w:t>
      </w:r>
      <w:r w:rsidRPr="00A34815">
        <w:rPr>
          <w:rStyle w:val="FootnoteReference"/>
          <w:rFonts w:ascii="Times New Roman" w:hAnsi="Times New Roman" w:cs="Times New Roman"/>
          <w:sz w:val="24"/>
          <w:szCs w:val="24"/>
        </w:rPr>
        <w:footnoteReference w:id="12"/>
      </w:r>
    </w:p>
    <w:p w14:paraId="37BB4B61" w14:textId="77777777" w:rsidR="00BA1125" w:rsidRPr="00A34815" w:rsidRDefault="00BA1125" w:rsidP="00BA1125">
      <w:pPr>
        <w:spacing w:after="0" w:line="240" w:lineRule="auto"/>
        <w:jc w:val="both"/>
        <w:rPr>
          <w:rFonts w:ascii="Times New Roman" w:hAnsi="Times New Roman" w:cs="Times New Roman"/>
          <w:sz w:val="24"/>
          <w:szCs w:val="24"/>
        </w:rPr>
      </w:pPr>
    </w:p>
    <w:p w14:paraId="27479664" w14:textId="77777777" w:rsidR="00BA1125" w:rsidRPr="00A34815" w:rsidRDefault="00BA1125" w:rsidP="00BA1125">
      <w:pPr>
        <w:pStyle w:val="NormalWeb"/>
        <w:spacing w:before="0" w:beforeAutospacing="0" w:after="0" w:afterAutospacing="0"/>
        <w:jc w:val="both"/>
        <w:rPr>
          <w:rFonts w:ascii="Times New Roman" w:hAnsi="Times New Roman"/>
          <w:sz w:val="24"/>
          <w:szCs w:val="24"/>
        </w:rPr>
      </w:pPr>
      <w:r w:rsidRPr="00A34815">
        <w:rPr>
          <w:rFonts w:ascii="Times New Roman" w:hAnsi="Times New Roman"/>
          <w:sz w:val="24"/>
          <w:szCs w:val="24"/>
        </w:rPr>
        <w:lastRenderedPageBreak/>
        <w:t xml:space="preserve">Also at issue is whether a flat price is the best lever to attract the most desirable immigrant cohort. What is ‘desirable’ is dependent on what the Australian government wants to achieve from the immigration system. With its current anchorage in delivering economic outcomes, it is uncertain whether using entry charges will optimise national wealth in the long term, despite the short-term revenue raising aspect of the proposal. This is because a flat price will not necessarily attract the most talented, driven, skilled or educated individuals likely to achieve the best labour market outcomes. </w:t>
      </w:r>
      <w:r w:rsidRPr="00A34815">
        <w:rPr>
          <w:rFonts w:ascii="Times New Roman" w:hAnsi="Times New Roman"/>
          <w:color w:val="0E0E0E"/>
          <w:sz w:val="24"/>
          <w:szCs w:val="24"/>
        </w:rPr>
        <w:t>Cully’s study of the labour market absorption effect of employer-sponsored migrant workers finds these workers are more likely to be employed in skilled jobs and earning more than migrant workers entering Australia through a pathway other than employer-sponsorship.</w:t>
      </w:r>
      <w:r w:rsidRPr="00A34815">
        <w:rPr>
          <w:rStyle w:val="FootnoteReference"/>
          <w:rFonts w:ascii="Times New Roman" w:hAnsi="Times New Roman"/>
          <w:color w:val="0E0E0E"/>
          <w:sz w:val="24"/>
          <w:szCs w:val="24"/>
        </w:rPr>
        <w:footnoteReference w:id="13"/>
      </w:r>
      <w:r w:rsidRPr="00A34815">
        <w:rPr>
          <w:rFonts w:ascii="Times New Roman" w:hAnsi="Times New Roman"/>
          <w:color w:val="0E0E0E"/>
          <w:sz w:val="24"/>
          <w:szCs w:val="24"/>
        </w:rPr>
        <w:t xml:space="preserve"> Cully concludes that his study ‘provides support for the shift more than a decade ago towards embracing demand-driven migration’.</w:t>
      </w:r>
      <w:r w:rsidRPr="00A34815">
        <w:rPr>
          <w:rStyle w:val="FootnoteReference"/>
          <w:rFonts w:ascii="Times New Roman" w:hAnsi="Times New Roman"/>
          <w:color w:val="0E0E0E"/>
          <w:sz w:val="24"/>
          <w:szCs w:val="24"/>
        </w:rPr>
        <w:footnoteReference w:id="14"/>
      </w:r>
      <w:r w:rsidRPr="00A34815">
        <w:rPr>
          <w:rFonts w:ascii="Times New Roman" w:hAnsi="Times New Roman"/>
          <w:color w:val="0E0E0E"/>
          <w:sz w:val="24"/>
          <w:szCs w:val="24"/>
        </w:rPr>
        <w:t xml:space="preserve"> Further, </w:t>
      </w:r>
      <w:r w:rsidRPr="00A34815">
        <w:rPr>
          <w:rFonts w:ascii="Times New Roman" w:hAnsi="Times New Roman"/>
          <w:sz w:val="24"/>
          <w:szCs w:val="24"/>
        </w:rPr>
        <w:t>as stated by Diane Doyle, a member of the UK’s Migration Advisory Committee, ‘one of the obvious objections to using the price mechanism to select immigrants is that many will not be able to afford to pay upfront, but might nevertheless be valuable members of the host workforce.’</w:t>
      </w:r>
      <w:r w:rsidRPr="00A34815">
        <w:rPr>
          <w:rStyle w:val="FootnoteReference"/>
          <w:rFonts w:ascii="Times New Roman" w:hAnsi="Times New Roman"/>
          <w:sz w:val="24"/>
          <w:szCs w:val="24"/>
        </w:rPr>
        <w:footnoteReference w:id="15"/>
      </w:r>
      <w:r w:rsidRPr="00A34815">
        <w:rPr>
          <w:rFonts w:ascii="Times New Roman" w:hAnsi="Times New Roman"/>
          <w:sz w:val="24"/>
          <w:szCs w:val="24"/>
        </w:rPr>
        <w:t xml:space="preserve"> Nonetheless, Becker suggests that only those individuals who calculate they will be able to recoup their investment in paying the entry charge will apply for immigration under a fee-based model. In his view, this would ensure destination countries receive the most attractive immigrants. But prospective immigrants have myriad motivations for seeking to move to another country, for example, personal safety, more opportunities for offspring, greater civil liberties, climate, the welfare state, free or subsidised education and healthcare. Monetising immigration visas will not automatically attract the most productive individuals or those with the skill set and work experience that Australia needs. It is also a blind measure that obscures the impact of ‘purchasing power parity’, which is an economic technique used to determine the relative values of different currencies. Unless the entry charge accounts for differences in exchange rates, it will be virtually impossible for highly talented individuals in some countries to immigrate to Australia, but relatively easy for less worthy individuals from other countries with a better purchasing power parity.</w:t>
      </w:r>
    </w:p>
    <w:p w14:paraId="00613F1E" w14:textId="77777777" w:rsidR="00BA1125" w:rsidRPr="00A34815" w:rsidRDefault="00BA1125" w:rsidP="00BA1125">
      <w:pPr>
        <w:spacing w:after="0" w:line="240" w:lineRule="auto"/>
        <w:jc w:val="both"/>
        <w:rPr>
          <w:rFonts w:ascii="Times New Roman" w:hAnsi="Times New Roman" w:cs="Times New Roman"/>
          <w:sz w:val="24"/>
          <w:szCs w:val="24"/>
        </w:rPr>
      </w:pPr>
    </w:p>
    <w:p w14:paraId="2DBF0BA3"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 xml:space="preserve">A critique of the fee-based immigration model can also be made on fairness grounds as it prioritises </w:t>
      </w:r>
      <w:r>
        <w:rPr>
          <w:rFonts w:ascii="Times New Roman" w:hAnsi="Times New Roman" w:cs="Times New Roman"/>
          <w:sz w:val="24"/>
          <w:szCs w:val="24"/>
        </w:rPr>
        <w:t xml:space="preserve">rich </w:t>
      </w:r>
      <w:r w:rsidRPr="00A34815">
        <w:rPr>
          <w:rFonts w:ascii="Times New Roman" w:hAnsi="Times New Roman" w:cs="Times New Roman"/>
          <w:sz w:val="24"/>
          <w:szCs w:val="24"/>
        </w:rPr>
        <w:t>migrants over those that would have the best labour market outcomes</w:t>
      </w:r>
      <w:r>
        <w:rPr>
          <w:rFonts w:ascii="Times New Roman" w:hAnsi="Times New Roman" w:cs="Times New Roman"/>
          <w:sz w:val="24"/>
          <w:szCs w:val="24"/>
        </w:rPr>
        <w:t xml:space="preserve"> but might not be able to pay the entry fee</w:t>
      </w:r>
      <w:r w:rsidRPr="00A34815">
        <w:rPr>
          <w:rFonts w:ascii="Times New Roman" w:hAnsi="Times New Roman" w:cs="Times New Roman"/>
          <w:sz w:val="24"/>
          <w:szCs w:val="24"/>
        </w:rPr>
        <w:t xml:space="preserve">. Monetising immigration visas would have significant normative implications for </w:t>
      </w:r>
      <w:r>
        <w:rPr>
          <w:rFonts w:ascii="Times New Roman" w:hAnsi="Times New Roman" w:cs="Times New Roman"/>
          <w:sz w:val="24"/>
          <w:szCs w:val="24"/>
        </w:rPr>
        <w:t xml:space="preserve">Australia’s approach to labour market regulation </w:t>
      </w:r>
      <w:r w:rsidRPr="00A34815">
        <w:rPr>
          <w:rFonts w:ascii="Times New Roman" w:hAnsi="Times New Roman" w:cs="Times New Roman"/>
          <w:sz w:val="24"/>
          <w:szCs w:val="24"/>
        </w:rPr>
        <w:t>by undermining its role in facilitating and achieving fair outcomes. Renowned historian, Professor Stuart Macintyre notes that the emphasis of the Australian Constitution’s framers and the Conciliation and Arbitration Court’s early members was on egalitarianism and ‘shaping the political economy according to the national ethos of the fair go’.</w:t>
      </w:r>
      <w:r w:rsidRPr="00A34815">
        <w:rPr>
          <w:rStyle w:val="FootnoteReference"/>
          <w:rFonts w:ascii="Times New Roman" w:hAnsi="Times New Roman" w:cs="Times New Roman"/>
          <w:sz w:val="24"/>
          <w:szCs w:val="24"/>
        </w:rPr>
        <w:footnoteReference w:id="16"/>
      </w:r>
      <w:r w:rsidRPr="00A34815">
        <w:rPr>
          <w:rFonts w:ascii="Times New Roman" w:hAnsi="Times New Roman" w:cs="Times New Roman"/>
          <w:sz w:val="24"/>
          <w:szCs w:val="24"/>
        </w:rPr>
        <w:t xml:space="preserve">  While seemingly a colloquialism, the ‘fair go’ became deeply embedded in Australia’s labour laws and jurisprudence. According to Professor Joellen Riley:</w:t>
      </w:r>
    </w:p>
    <w:p w14:paraId="152E265D" w14:textId="77777777" w:rsidR="00BA1125" w:rsidRPr="00A34815" w:rsidRDefault="00BA1125" w:rsidP="00BA1125">
      <w:pPr>
        <w:autoSpaceDE w:val="0"/>
        <w:autoSpaceDN w:val="0"/>
        <w:adjustRightInd w:val="0"/>
        <w:spacing w:after="0" w:line="240" w:lineRule="auto"/>
        <w:jc w:val="both"/>
        <w:rPr>
          <w:rFonts w:ascii="Times New Roman" w:hAnsi="Times New Roman" w:cs="Times New Roman"/>
          <w:sz w:val="24"/>
          <w:szCs w:val="24"/>
        </w:rPr>
      </w:pPr>
    </w:p>
    <w:p w14:paraId="26827DDA" w14:textId="77777777" w:rsidR="00BA1125" w:rsidRPr="00A34815" w:rsidRDefault="00BA1125" w:rsidP="00BA1125">
      <w:pPr>
        <w:autoSpaceDE w:val="0"/>
        <w:autoSpaceDN w:val="0"/>
        <w:adjustRightInd w:val="0"/>
        <w:spacing w:after="0" w:line="240" w:lineRule="auto"/>
        <w:ind w:left="1440"/>
        <w:jc w:val="both"/>
        <w:rPr>
          <w:rFonts w:ascii="Times New Roman" w:hAnsi="Times New Roman" w:cs="Times New Roman"/>
          <w:sz w:val="24"/>
          <w:szCs w:val="24"/>
        </w:rPr>
      </w:pPr>
      <w:r w:rsidRPr="00A34815">
        <w:rPr>
          <w:rFonts w:ascii="Times New Roman" w:hAnsi="Times New Roman" w:cs="Times New Roman"/>
          <w:sz w:val="24"/>
          <w:szCs w:val="24"/>
        </w:rPr>
        <w:t xml:space="preserve">The ‘fair go’ is an idiomatic expression of the Australian commitment to an egalitarian democracy which respects the autonomy and dignity of its citizenry. Those who engage workers and those who work are all working citizens, and </w:t>
      </w:r>
      <w:r w:rsidRPr="00A34815">
        <w:rPr>
          <w:rFonts w:ascii="Times New Roman" w:hAnsi="Times New Roman" w:cs="Times New Roman"/>
          <w:sz w:val="24"/>
          <w:szCs w:val="24"/>
        </w:rPr>
        <w:lastRenderedPageBreak/>
        <w:t>as such they are entitled to equal respect and consideration in the determination of matters affecting their working lives.</w:t>
      </w:r>
      <w:r w:rsidRPr="00A34815">
        <w:rPr>
          <w:rStyle w:val="FootnoteReference"/>
          <w:rFonts w:ascii="Times New Roman" w:hAnsi="Times New Roman" w:cs="Times New Roman"/>
          <w:sz w:val="24"/>
          <w:szCs w:val="24"/>
        </w:rPr>
        <w:footnoteReference w:id="17"/>
      </w:r>
    </w:p>
    <w:p w14:paraId="7722D348" w14:textId="77777777" w:rsidR="00BA1125" w:rsidRPr="00A34815" w:rsidRDefault="00BA1125" w:rsidP="00BA1125">
      <w:pPr>
        <w:autoSpaceDE w:val="0"/>
        <w:autoSpaceDN w:val="0"/>
        <w:adjustRightInd w:val="0"/>
        <w:spacing w:after="0" w:line="240" w:lineRule="auto"/>
        <w:ind w:left="1440"/>
        <w:jc w:val="both"/>
        <w:rPr>
          <w:rFonts w:ascii="Times New Roman" w:hAnsi="Times New Roman" w:cs="Times New Roman"/>
          <w:sz w:val="24"/>
          <w:szCs w:val="24"/>
        </w:rPr>
      </w:pPr>
    </w:p>
    <w:p w14:paraId="0E106F1D" w14:textId="77777777" w:rsidR="00BA1125" w:rsidRPr="00A34815" w:rsidRDefault="00BA1125" w:rsidP="00BA1125">
      <w:pPr>
        <w:autoSpaceDE w:val="0"/>
        <w:autoSpaceDN w:val="0"/>
        <w:adjustRightInd w:val="0"/>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 xml:space="preserve">This notion of the ‘fair go’ has been developed </w:t>
      </w:r>
      <w:r>
        <w:rPr>
          <w:rFonts w:ascii="Times New Roman" w:hAnsi="Times New Roman" w:cs="Times New Roman"/>
          <w:sz w:val="24"/>
          <w:szCs w:val="24"/>
        </w:rPr>
        <w:t>over time</w:t>
      </w:r>
      <w:r w:rsidRPr="00A34815">
        <w:rPr>
          <w:rFonts w:ascii="Times New Roman" w:hAnsi="Times New Roman" w:cs="Times New Roman"/>
          <w:sz w:val="24"/>
          <w:szCs w:val="24"/>
        </w:rPr>
        <w:t>.</w:t>
      </w:r>
      <w:r>
        <w:rPr>
          <w:rFonts w:ascii="Times New Roman" w:hAnsi="Times New Roman" w:cs="Times New Roman"/>
          <w:sz w:val="24"/>
          <w:szCs w:val="24"/>
        </w:rPr>
        <w:t xml:space="preserve"> For example,</w:t>
      </w:r>
      <w:r w:rsidRPr="00A34815">
        <w:rPr>
          <w:rFonts w:ascii="Times New Roman" w:hAnsi="Times New Roman" w:cs="Times New Roman"/>
          <w:sz w:val="24"/>
          <w:szCs w:val="24"/>
        </w:rPr>
        <w:t xml:space="preserve"> </w:t>
      </w:r>
      <w:r>
        <w:rPr>
          <w:rFonts w:ascii="Times New Roman" w:hAnsi="Times New Roman" w:cs="Times New Roman"/>
          <w:sz w:val="24"/>
          <w:szCs w:val="24"/>
        </w:rPr>
        <w:t>i</w:t>
      </w:r>
      <w:r w:rsidRPr="00A34815">
        <w:rPr>
          <w:rFonts w:ascii="Times New Roman" w:hAnsi="Times New Roman" w:cs="Times New Roman"/>
          <w:sz w:val="24"/>
          <w:szCs w:val="24"/>
        </w:rPr>
        <w:t xml:space="preserve">n the decision of </w:t>
      </w:r>
      <w:r w:rsidRPr="00A34815">
        <w:rPr>
          <w:rFonts w:ascii="Times New Roman" w:hAnsi="Times New Roman" w:cs="Times New Roman"/>
          <w:i/>
          <w:iCs/>
          <w:sz w:val="24"/>
          <w:szCs w:val="24"/>
        </w:rPr>
        <w:t>FEDA v Robe</w:t>
      </w:r>
      <w:r w:rsidRPr="00A34815">
        <w:rPr>
          <w:rFonts w:ascii="Times New Roman" w:hAnsi="Times New Roman" w:cs="Times New Roman"/>
          <w:sz w:val="24"/>
          <w:szCs w:val="24"/>
        </w:rPr>
        <w:t xml:space="preserve"> </w:t>
      </w:r>
      <w:r w:rsidRPr="00A34815">
        <w:rPr>
          <w:rFonts w:ascii="Times New Roman" w:hAnsi="Times New Roman" w:cs="Times New Roman"/>
          <w:i/>
          <w:iCs/>
          <w:sz w:val="24"/>
          <w:szCs w:val="24"/>
        </w:rPr>
        <w:t xml:space="preserve">River Iron Association </w:t>
      </w:r>
      <w:r w:rsidRPr="00A34815">
        <w:rPr>
          <w:rFonts w:ascii="Times New Roman" w:hAnsi="Times New Roman" w:cs="Times New Roman"/>
          <w:sz w:val="24"/>
          <w:szCs w:val="24"/>
        </w:rPr>
        <w:t>the Commission explained it in the following terms, ‘managerial prerogative is not a sword that can be wielded in wanton disregard of the industrial consequences nor is it a shield to hide behind. An employer has a responsibility to manage fairly.</w:t>
      </w:r>
      <w:r w:rsidRPr="00A34815">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Pr="00A34815">
        <w:rPr>
          <w:rFonts w:ascii="Times New Roman" w:hAnsi="Times New Roman" w:cs="Times New Roman"/>
          <w:sz w:val="24"/>
          <w:szCs w:val="24"/>
        </w:rPr>
        <w:t>Despite the tectonic changes that have occurred in Australia’s labour laws since the demise of conciliation and arbitration in the mid 1990s, the uniquely Australian concept of the ‘fair go’ still endures and has even made it into federal legislation governing unfair dismissal,</w:t>
      </w:r>
      <w:r w:rsidRPr="00A34815">
        <w:rPr>
          <w:rStyle w:val="FootnoteReference"/>
          <w:rFonts w:ascii="Times New Roman" w:hAnsi="Times New Roman" w:cs="Times New Roman"/>
          <w:sz w:val="24"/>
          <w:szCs w:val="24"/>
        </w:rPr>
        <w:footnoteReference w:id="19"/>
      </w:r>
      <w:r w:rsidRPr="00A34815">
        <w:rPr>
          <w:rFonts w:ascii="Times New Roman" w:hAnsi="Times New Roman" w:cs="Times New Roman"/>
          <w:sz w:val="24"/>
          <w:szCs w:val="24"/>
        </w:rPr>
        <w:t xml:space="preserve"> and into the name of the federal labour law statute,</w:t>
      </w:r>
      <w:r w:rsidRPr="00A34815">
        <w:rPr>
          <w:rStyle w:val="FootnoteReference"/>
          <w:rFonts w:ascii="Times New Roman" w:hAnsi="Times New Roman" w:cs="Times New Roman"/>
          <w:sz w:val="24"/>
          <w:szCs w:val="24"/>
        </w:rPr>
        <w:footnoteReference w:id="20"/>
      </w:r>
      <w:r w:rsidRPr="00A34815">
        <w:rPr>
          <w:rFonts w:ascii="Times New Roman" w:hAnsi="Times New Roman" w:cs="Times New Roman"/>
          <w:sz w:val="24"/>
          <w:szCs w:val="24"/>
        </w:rPr>
        <w:t xml:space="preserve"> and the institution charged with resolving disputes between employers and employees.</w:t>
      </w:r>
      <w:r w:rsidRPr="00A34815">
        <w:rPr>
          <w:rStyle w:val="FootnoteReference"/>
          <w:rFonts w:ascii="Times New Roman" w:hAnsi="Times New Roman" w:cs="Times New Roman"/>
          <w:sz w:val="24"/>
          <w:szCs w:val="24"/>
        </w:rPr>
        <w:footnoteReference w:id="21"/>
      </w:r>
      <w:r w:rsidRPr="00A34815">
        <w:rPr>
          <w:rFonts w:ascii="Times New Roman" w:hAnsi="Times New Roman" w:cs="Times New Roman"/>
          <w:sz w:val="24"/>
          <w:szCs w:val="24"/>
        </w:rPr>
        <w:t xml:space="preserve">  In a recent speech, the President of the NSW Industrial Relations Commission observed that the ‘notion of a fair go is a profound one, firmly rooted in the Australian psyche’.</w:t>
      </w:r>
      <w:r w:rsidRPr="00A34815">
        <w:rPr>
          <w:rStyle w:val="FootnoteReference"/>
          <w:rFonts w:ascii="Times New Roman" w:hAnsi="Times New Roman" w:cs="Times New Roman"/>
          <w:sz w:val="24"/>
          <w:szCs w:val="24"/>
        </w:rPr>
        <w:footnoteReference w:id="22"/>
      </w:r>
      <w:r w:rsidRPr="00A34815">
        <w:rPr>
          <w:rFonts w:ascii="Times New Roman" w:hAnsi="Times New Roman" w:cs="Times New Roman"/>
          <w:sz w:val="24"/>
          <w:szCs w:val="24"/>
        </w:rPr>
        <w:t xml:space="preserve"> If immigration visas are monetised, this value of </w:t>
      </w:r>
      <w:r>
        <w:rPr>
          <w:rFonts w:ascii="Times New Roman" w:hAnsi="Times New Roman" w:cs="Times New Roman"/>
          <w:sz w:val="24"/>
          <w:szCs w:val="24"/>
        </w:rPr>
        <w:t xml:space="preserve">fairness </w:t>
      </w:r>
      <w:r w:rsidRPr="00A34815">
        <w:rPr>
          <w:rFonts w:ascii="Times New Roman" w:hAnsi="Times New Roman" w:cs="Times New Roman"/>
          <w:sz w:val="24"/>
          <w:szCs w:val="24"/>
        </w:rPr>
        <w:t xml:space="preserve">is undermined as being from a poor background or from a country </w:t>
      </w:r>
      <w:r>
        <w:rPr>
          <w:rFonts w:ascii="Times New Roman" w:hAnsi="Times New Roman" w:cs="Times New Roman"/>
          <w:sz w:val="24"/>
          <w:szCs w:val="24"/>
        </w:rPr>
        <w:t xml:space="preserve">with a low-valued currency </w:t>
      </w:r>
      <w:r w:rsidRPr="00A34815">
        <w:rPr>
          <w:rFonts w:ascii="Times New Roman" w:hAnsi="Times New Roman" w:cs="Times New Roman"/>
          <w:sz w:val="24"/>
          <w:szCs w:val="24"/>
        </w:rPr>
        <w:t>disadvantages migrant workers without the capacity to pay the entry charge. This is profoundly unfair as it limits the opportunities for migrant workers who would otherwise have access to the Australian labour market but for their limited capacity to pay. In her commentary on Becker’s proposal, Diane Coyle suggests there is a ‘deeper reason why Professor Becker’s proposal is not immediately attractive’ because ‘there is a dimension of fairness, an ethical dimension, to the issue of immigration which is not addressed by the purely economic arguments’.</w:t>
      </w:r>
      <w:r w:rsidRPr="00A34815">
        <w:rPr>
          <w:rStyle w:val="FootnoteReference"/>
          <w:rFonts w:ascii="Times New Roman" w:hAnsi="Times New Roman" w:cs="Times New Roman"/>
          <w:sz w:val="24"/>
          <w:szCs w:val="24"/>
        </w:rPr>
        <w:footnoteReference w:id="23"/>
      </w:r>
    </w:p>
    <w:p w14:paraId="27836C0D" w14:textId="77777777" w:rsidR="00BA1125" w:rsidRPr="00F804F2" w:rsidRDefault="00BA1125" w:rsidP="00BA1125">
      <w:pPr>
        <w:spacing w:after="0" w:line="240" w:lineRule="auto"/>
        <w:jc w:val="both"/>
        <w:rPr>
          <w:rFonts w:ascii="Times New Roman" w:hAnsi="Times New Roman" w:cs="Times New Roman"/>
          <w:i/>
          <w:sz w:val="24"/>
          <w:szCs w:val="24"/>
        </w:rPr>
      </w:pPr>
    </w:p>
    <w:p w14:paraId="77D4F142" w14:textId="77777777" w:rsidR="00BA1125" w:rsidRDefault="00BA1125" w:rsidP="00BA1125">
      <w:pPr>
        <w:spacing w:after="0" w:line="240" w:lineRule="auto"/>
        <w:jc w:val="both"/>
        <w:rPr>
          <w:rFonts w:ascii="Times New Roman" w:hAnsi="Times New Roman" w:cs="Times New Roman"/>
          <w:sz w:val="24"/>
          <w:szCs w:val="24"/>
        </w:rPr>
      </w:pPr>
      <w:r w:rsidRPr="00BD2CEB">
        <w:rPr>
          <w:rFonts w:ascii="Times New Roman" w:hAnsi="Times New Roman" w:cs="Times New Roman"/>
          <w:sz w:val="24"/>
          <w:szCs w:val="24"/>
        </w:rPr>
        <w:t>A further normative consideration is whether it is fair to ‘sell’ citizenship. Assuming that monetising immigration visas applies not just to selling labour market opportunities, but perhaps a more valuable ‘good’ of being able to permanently</w:t>
      </w:r>
      <w:r>
        <w:rPr>
          <w:rFonts w:ascii="Times New Roman" w:hAnsi="Times New Roman" w:cs="Times New Roman"/>
          <w:sz w:val="24"/>
          <w:szCs w:val="24"/>
        </w:rPr>
        <w:t xml:space="preserve"> reside and belong as an Australian citizen, raises the question as to whether citizenship should be commodified in this way. Citizenship recognises the particular ties that an individual has to a state and it involves both rights and responsibilities. For example, in Australia, citizenship accords access to social security, health care, public education for primary and secondary schooling, government loans for tertiary education, grants to access the housing market and so on. The benefits of citizenship are immense. The corresponding responsibilities include the right to vote and to pay taxes, amongst other things. It is unfair that an individual would have a better claim to citizenship because of his or her capacity to pay, rather than because of merit. Under the current system, citizenship is accorded via birth, family connection or because an immigrant has worked in an occupation desired by Australia and is therefore eligible to apply for, or be sponsored for, permanent residency. Each of these factors produces a sense of belonging to Australia either through relationships, social ties or work. Merely paying an entry fee is a far less appropriate mechanism for determining citizenship as money alone cannot determine an </w:t>
      </w:r>
      <w:r>
        <w:rPr>
          <w:rFonts w:ascii="Times New Roman" w:hAnsi="Times New Roman" w:cs="Times New Roman"/>
          <w:sz w:val="24"/>
          <w:szCs w:val="24"/>
        </w:rPr>
        <w:lastRenderedPageBreak/>
        <w:t>applicant’s commitment and/or suitability to becoming Australian. This can be distinguished from the current system whereby two visa types, namely the significant investor visa or high net worth individual visa, permit the entry of migrants who can effectively ‘buy’ their way into Australia through being asset-rich. The rationale for these visa subclasses is that the significant financial resources of these individuals will produce a substantial revenue stream and greater investment in the Australian economy, thereby increasing national wealth and labour market opportunities for local workers.</w:t>
      </w:r>
    </w:p>
    <w:p w14:paraId="3F385634" w14:textId="77777777" w:rsidR="00BA1125" w:rsidRPr="00F804F2" w:rsidRDefault="00BA1125" w:rsidP="00BA1125">
      <w:pPr>
        <w:spacing w:after="0" w:line="240" w:lineRule="auto"/>
        <w:jc w:val="both"/>
        <w:rPr>
          <w:rFonts w:ascii="Times New Roman" w:hAnsi="Times New Roman" w:cs="Times New Roman"/>
          <w:sz w:val="24"/>
          <w:szCs w:val="24"/>
        </w:rPr>
      </w:pPr>
    </w:p>
    <w:p w14:paraId="6F4FF203" w14:textId="77777777" w:rsidR="00BA1125" w:rsidRPr="00A34815" w:rsidRDefault="00BA1125" w:rsidP="00BA1125">
      <w:pPr>
        <w:spacing w:after="0" w:line="240" w:lineRule="auto"/>
        <w:jc w:val="both"/>
        <w:rPr>
          <w:rFonts w:ascii="Times New Roman" w:hAnsi="Times New Roman" w:cs="Times New Roman"/>
          <w:b/>
          <w:i/>
          <w:sz w:val="24"/>
          <w:szCs w:val="24"/>
        </w:rPr>
      </w:pPr>
      <w:r w:rsidRPr="00A34815">
        <w:rPr>
          <w:rFonts w:ascii="Times New Roman" w:hAnsi="Times New Roman" w:cs="Times New Roman"/>
          <w:b/>
          <w:i/>
          <w:sz w:val="24"/>
          <w:szCs w:val="24"/>
        </w:rPr>
        <w:t>Proposal T</w:t>
      </w:r>
      <w:r>
        <w:rPr>
          <w:rFonts w:ascii="Times New Roman" w:hAnsi="Times New Roman" w:cs="Times New Roman"/>
          <w:b/>
          <w:i/>
          <w:sz w:val="24"/>
          <w:szCs w:val="24"/>
        </w:rPr>
        <w:t>wo</w:t>
      </w:r>
      <w:r w:rsidRPr="00A34815">
        <w:rPr>
          <w:rFonts w:ascii="Times New Roman" w:hAnsi="Times New Roman" w:cs="Times New Roman"/>
          <w:b/>
          <w:i/>
          <w:sz w:val="24"/>
          <w:szCs w:val="24"/>
        </w:rPr>
        <w:t>: Providing an employer-loan for migrants with no capacity to pay upfront</w:t>
      </w:r>
    </w:p>
    <w:p w14:paraId="69045739" w14:textId="77777777" w:rsidR="00BA1125" w:rsidRPr="00A34815" w:rsidRDefault="00BA1125" w:rsidP="00BA1125">
      <w:pPr>
        <w:spacing w:after="0" w:line="240" w:lineRule="auto"/>
        <w:jc w:val="both"/>
        <w:rPr>
          <w:rFonts w:ascii="Times New Roman" w:hAnsi="Times New Roman" w:cs="Times New Roman"/>
          <w:b/>
          <w:i/>
          <w:sz w:val="24"/>
          <w:szCs w:val="24"/>
        </w:rPr>
      </w:pPr>
    </w:p>
    <w:p w14:paraId="6693028B" w14:textId="77777777" w:rsidR="00BA1125" w:rsidRPr="00A34815" w:rsidRDefault="00BA1125" w:rsidP="00BA1125">
      <w:pPr>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Both Becker’s proposal and the Productivity Commission’s Issues Paper canvas the possibility of a fee-based immigration model where parties other than the immigrant can pay the entry charge, for example labour hire firms or prospective employers.</w:t>
      </w:r>
      <w:r w:rsidRPr="00A34815">
        <w:rPr>
          <w:rStyle w:val="FootnoteReference"/>
          <w:rFonts w:ascii="Times New Roman" w:hAnsi="Times New Roman" w:cs="Times New Roman"/>
          <w:sz w:val="24"/>
          <w:szCs w:val="24"/>
        </w:rPr>
        <w:footnoteReference w:id="24"/>
      </w:r>
      <w:r w:rsidRPr="00A34815">
        <w:rPr>
          <w:rFonts w:ascii="Times New Roman" w:hAnsi="Times New Roman" w:cs="Times New Roman"/>
          <w:sz w:val="24"/>
          <w:szCs w:val="24"/>
        </w:rPr>
        <w:t xml:space="preserve"> For a limited number of highly skilled migrants who had the benefit of being desired by </w:t>
      </w:r>
      <w:r>
        <w:rPr>
          <w:rFonts w:ascii="Times New Roman" w:hAnsi="Times New Roman" w:cs="Times New Roman"/>
          <w:sz w:val="24"/>
          <w:szCs w:val="24"/>
        </w:rPr>
        <w:t>multiple</w:t>
      </w:r>
      <w:r w:rsidRPr="00A34815">
        <w:rPr>
          <w:rFonts w:ascii="Times New Roman" w:hAnsi="Times New Roman" w:cs="Times New Roman"/>
          <w:sz w:val="24"/>
          <w:szCs w:val="24"/>
        </w:rPr>
        <w:t xml:space="preserve"> employers, this might amount to something tantamount to a ‘signing on bonus’ </w:t>
      </w:r>
      <w:r>
        <w:rPr>
          <w:rFonts w:ascii="Times New Roman" w:hAnsi="Times New Roman" w:cs="Times New Roman"/>
          <w:sz w:val="24"/>
          <w:szCs w:val="24"/>
        </w:rPr>
        <w:t>by</w:t>
      </w:r>
      <w:r w:rsidRPr="00A34815">
        <w:rPr>
          <w:rFonts w:ascii="Times New Roman" w:hAnsi="Times New Roman" w:cs="Times New Roman"/>
          <w:sz w:val="24"/>
          <w:szCs w:val="24"/>
        </w:rPr>
        <w:t xml:space="preserve"> incentivis</w:t>
      </w:r>
      <w:r>
        <w:rPr>
          <w:rFonts w:ascii="Times New Roman" w:hAnsi="Times New Roman" w:cs="Times New Roman"/>
          <w:sz w:val="24"/>
          <w:szCs w:val="24"/>
        </w:rPr>
        <w:t>ing</w:t>
      </w:r>
      <w:r w:rsidRPr="00A34815">
        <w:rPr>
          <w:rFonts w:ascii="Times New Roman" w:hAnsi="Times New Roman" w:cs="Times New Roman"/>
          <w:sz w:val="24"/>
          <w:szCs w:val="24"/>
        </w:rPr>
        <w:t xml:space="preserve"> them into </w:t>
      </w:r>
      <w:r>
        <w:rPr>
          <w:rFonts w:ascii="Times New Roman" w:hAnsi="Times New Roman" w:cs="Times New Roman"/>
          <w:sz w:val="24"/>
          <w:szCs w:val="24"/>
        </w:rPr>
        <w:t>accepting</w:t>
      </w:r>
      <w:r w:rsidRPr="00A34815">
        <w:rPr>
          <w:rFonts w:ascii="Times New Roman" w:hAnsi="Times New Roman" w:cs="Times New Roman"/>
          <w:sz w:val="24"/>
          <w:szCs w:val="24"/>
        </w:rPr>
        <w:t xml:space="preserve"> </w:t>
      </w:r>
      <w:r>
        <w:rPr>
          <w:rFonts w:ascii="Times New Roman" w:hAnsi="Times New Roman" w:cs="Times New Roman"/>
          <w:sz w:val="24"/>
          <w:szCs w:val="24"/>
        </w:rPr>
        <w:t>an</w:t>
      </w:r>
      <w:r w:rsidRPr="00A34815">
        <w:rPr>
          <w:rFonts w:ascii="Times New Roman" w:hAnsi="Times New Roman" w:cs="Times New Roman"/>
          <w:sz w:val="24"/>
          <w:szCs w:val="24"/>
        </w:rPr>
        <w:t xml:space="preserve"> offer of employment by a prospective Australian employer. Nonetheless, for the vast majority of temporary and permanent migrants, it is hard to envisage a situation where an employer would not expect the debt to be paid back over time via deductions from an employee’s wages. Such an arrangement renders an employer as an immigrant-worker’s </w:t>
      </w:r>
      <w:r>
        <w:rPr>
          <w:rFonts w:ascii="Times New Roman" w:hAnsi="Times New Roman" w:cs="Times New Roman"/>
          <w:sz w:val="24"/>
          <w:szCs w:val="24"/>
        </w:rPr>
        <w:t>employer</w:t>
      </w:r>
      <w:r w:rsidRPr="00A34815">
        <w:rPr>
          <w:rFonts w:ascii="Times New Roman" w:hAnsi="Times New Roman" w:cs="Times New Roman"/>
          <w:sz w:val="24"/>
          <w:szCs w:val="24"/>
        </w:rPr>
        <w:t xml:space="preserve">, migration sponsor and debt-collector. From a labour law perspective, </w:t>
      </w:r>
      <w:r>
        <w:rPr>
          <w:rFonts w:ascii="Times New Roman" w:hAnsi="Times New Roman" w:cs="Times New Roman"/>
          <w:color w:val="0E0E0E"/>
          <w:sz w:val="24"/>
          <w:szCs w:val="24"/>
        </w:rPr>
        <w:t>cognisant of</w:t>
      </w:r>
      <w:r w:rsidRPr="00A34815">
        <w:rPr>
          <w:rFonts w:ascii="Times New Roman" w:hAnsi="Times New Roman" w:cs="Times New Roman"/>
          <w:color w:val="0E0E0E"/>
          <w:sz w:val="24"/>
          <w:szCs w:val="24"/>
        </w:rPr>
        <w:t xml:space="preserve"> Freedland and Kountouris’s normative conception of labour law’s ‘worker-protective’ mission,</w:t>
      </w:r>
      <w:r w:rsidRPr="00A34815">
        <w:rPr>
          <w:rStyle w:val="FootnoteReference"/>
          <w:rFonts w:ascii="Times New Roman" w:hAnsi="Times New Roman" w:cs="Times New Roman"/>
          <w:color w:val="0E0E0E"/>
          <w:sz w:val="24"/>
          <w:szCs w:val="24"/>
        </w:rPr>
        <w:footnoteReference w:id="25"/>
      </w:r>
      <w:r w:rsidRPr="00A34815">
        <w:rPr>
          <w:rFonts w:ascii="Times New Roman" w:hAnsi="Times New Roman" w:cs="Times New Roman"/>
          <w:sz w:val="24"/>
          <w:szCs w:val="24"/>
        </w:rPr>
        <w:t xml:space="preserve"> this latter scenario is deeply troubling.</w:t>
      </w:r>
    </w:p>
    <w:p w14:paraId="30D56A5C" w14:textId="77777777" w:rsidR="00BA1125" w:rsidRPr="00A34815" w:rsidRDefault="00BA1125" w:rsidP="00BA1125">
      <w:pPr>
        <w:spacing w:after="0" w:line="240" w:lineRule="auto"/>
        <w:jc w:val="both"/>
        <w:rPr>
          <w:rFonts w:ascii="Times New Roman" w:hAnsi="Times New Roman" w:cs="Times New Roman"/>
          <w:sz w:val="24"/>
          <w:szCs w:val="24"/>
        </w:rPr>
      </w:pPr>
    </w:p>
    <w:p w14:paraId="065E196D" w14:textId="77777777" w:rsidR="00BA1125" w:rsidRPr="00513BB1" w:rsidRDefault="00BA1125" w:rsidP="00BA1125">
      <w:pPr>
        <w:spacing w:after="0" w:line="240" w:lineRule="auto"/>
        <w:jc w:val="both"/>
      </w:pPr>
      <w:r w:rsidRPr="00A34815">
        <w:rPr>
          <w:rFonts w:ascii="Times New Roman" w:hAnsi="Times New Roman" w:cs="Times New Roman"/>
          <w:sz w:val="24"/>
          <w:szCs w:val="24"/>
        </w:rPr>
        <w:t xml:space="preserve">At a fundamental level, this situation could establish the conditions for </w:t>
      </w:r>
      <w:r>
        <w:rPr>
          <w:rFonts w:ascii="Times New Roman" w:hAnsi="Times New Roman" w:cs="Times New Roman"/>
          <w:sz w:val="24"/>
          <w:szCs w:val="24"/>
        </w:rPr>
        <w:t>unfree labour</w:t>
      </w:r>
      <w:r w:rsidRPr="00A34815">
        <w:rPr>
          <w:rFonts w:ascii="Times New Roman" w:hAnsi="Times New Roman" w:cs="Times New Roman"/>
          <w:sz w:val="24"/>
          <w:szCs w:val="24"/>
        </w:rPr>
        <w:t xml:space="preserve"> by creating additional dependence on the employer.</w:t>
      </w:r>
      <w:r>
        <w:rPr>
          <w:rFonts w:ascii="Times New Roman" w:hAnsi="Times New Roman" w:cs="Times New Roman"/>
          <w:sz w:val="24"/>
          <w:szCs w:val="24"/>
        </w:rPr>
        <w:t xml:space="preserve"> Distinct from terms such as ‘slavery’, ‘forced labour’ and ‘servitude’, each of which refer to specific legal concepts ‘embodying distinctive institutional forms of work relation’,</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‘unfree labour’ refers to a broader phenomenon whereby the structural features of labour migration programs create the conditions for exploitation to occur. Professor Judy Fudge says that </w:t>
      </w:r>
      <w:r>
        <w:t>‘w</w:t>
      </w:r>
      <w:r w:rsidRPr="00896A70">
        <w:t>hat is needed is a vocabulary that enables us to see the different and related processes at work in creating modalities and degrees of unfreedom</w:t>
      </w:r>
      <w:r>
        <w:t>’</w:t>
      </w:r>
      <w:r w:rsidRPr="00896A70">
        <w:t>.</w:t>
      </w:r>
      <w:r>
        <w:t xml:space="preserve"> </w:t>
      </w:r>
      <w:r>
        <w:rPr>
          <w:rFonts w:ascii="Times New Roman" w:hAnsi="Times New Roman" w:cs="Times New Roman"/>
          <w:sz w:val="24"/>
          <w:szCs w:val="24"/>
        </w:rPr>
        <w:t>Relying on this analytical concept of ‘unfree labour’, we can see that monetising immigration visas may encourage and even facilitate exploitative practices by employees. A</w:t>
      </w:r>
      <w:r w:rsidRPr="00A34815">
        <w:rPr>
          <w:rFonts w:ascii="Times New Roman" w:hAnsi="Times New Roman" w:cs="Times New Roman"/>
          <w:sz w:val="24"/>
          <w:szCs w:val="24"/>
        </w:rPr>
        <w:t>n entry charge model for temporary migrant workers mean</w:t>
      </w:r>
      <w:r>
        <w:rPr>
          <w:rFonts w:ascii="Times New Roman" w:hAnsi="Times New Roman" w:cs="Times New Roman"/>
          <w:sz w:val="24"/>
          <w:szCs w:val="24"/>
        </w:rPr>
        <w:t>s</w:t>
      </w:r>
      <w:r w:rsidRPr="00A34815">
        <w:rPr>
          <w:rFonts w:ascii="Times New Roman" w:hAnsi="Times New Roman" w:cs="Times New Roman"/>
          <w:sz w:val="24"/>
          <w:szCs w:val="24"/>
        </w:rPr>
        <w:t xml:space="preserve"> that a migrant worker </w:t>
      </w:r>
      <w:r>
        <w:rPr>
          <w:rFonts w:ascii="Times New Roman" w:hAnsi="Times New Roman" w:cs="Times New Roman"/>
          <w:sz w:val="24"/>
          <w:szCs w:val="24"/>
        </w:rPr>
        <w:t>is</w:t>
      </w:r>
      <w:r w:rsidRPr="00A34815">
        <w:rPr>
          <w:rFonts w:ascii="Times New Roman" w:hAnsi="Times New Roman" w:cs="Times New Roman"/>
          <w:sz w:val="24"/>
          <w:szCs w:val="24"/>
        </w:rPr>
        <w:t xml:space="preserve"> dependent</w:t>
      </w:r>
      <w:r>
        <w:rPr>
          <w:rFonts w:ascii="Times New Roman" w:hAnsi="Times New Roman" w:cs="Times New Roman"/>
          <w:sz w:val="24"/>
          <w:szCs w:val="24"/>
        </w:rPr>
        <w:t xml:space="preserve"> upon or ‘tied’</w:t>
      </w:r>
      <w:r w:rsidRPr="00A34815">
        <w:rPr>
          <w:rFonts w:ascii="Times New Roman" w:hAnsi="Times New Roman" w:cs="Times New Roman"/>
          <w:sz w:val="24"/>
          <w:szCs w:val="24"/>
        </w:rPr>
        <w:t xml:space="preserve"> </w:t>
      </w:r>
      <w:r>
        <w:rPr>
          <w:rFonts w:ascii="Times New Roman" w:hAnsi="Times New Roman" w:cs="Times New Roman"/>
          <w:sz w:val="24"/>
          <w:szCs w:val="24"/>
        </w:rPr>
        <w:t>to her</w:t>
      </w:r>
      <w:r w:rsidRPr="00A34815">
        <w:rPr>
          <w:rFonts w:ascii="Times New Roman" w:hAnsi="Times New Roman" w:cs="Times New Roman"/>
          <w:sz w:val="24"/>
          <w:szCs w:val="24"/>
        </w:rPr>
        <w:t xml:space="preserve"> employer for her migration status as well as for the economic means to service the debt.</w:t>
      </w:r>
      <w:r>
        <w:rPr>
          <w:rStyle w:val="FootnoteReference"/>
          <w:rFonts w:ascii="Times New Roman" w:hAnsi="Times New Roman" w:cs="Times New Roman"/>
          <w:sz w:val="24"/>
          <w:szCs w:val="24"/>
        </w:rPr>
        <w:footnoteReference w:id="27"/>
      </w:r>
      <w:r w:rsidRPr="00A34815">
        <w:rPr>
          <w:rFonts w:ascii="Times New Roman" w:hAnsi="Times New Roman" w:cs="Times New Roman"/>
          <w:sz w:val="24"/>
          <w:szCs w:val="24"/>
        </w:rPr>
        <w:t xml:space="preserve"> Such an employee would be in a highly precarious situation as the withdrawal of support from the employer-sponsor-debtor may mean cancellation of the visa and</w:t>
      </w:r>
      <w:r>
        <w:rPr>
          <w:rFonts w:ascii="Times New Roman" w:hAnsi="Times New Roman" w:cs="Times New Roman"/>
          <w:sz w:val="24"/>
          <w:szCs w:val="24"/>
        </w:rPr>
        <w:t>/or</w:t>
      </w:r>
      <w:r w:rsidRPr="00A34815">
        <w:rPr>
          <w:rFonts w:ascii="Times New Roman" w:hAnsi="Times New Roman" w:cs="Times New Roman"/>
          <w:sz w:val="24"/>
          <w:szCs w:val="24"/>
        </w:rPr>
        <w:t xml:space="preserve"> being forced to repay a substantial debt without the capacity to </w:t>
      </w:r>
      <w:r>
        <w:rPr>
          <w:rFonts w:ascii="Times New Roman" w:hAnsi="Times New Roman" w:cs="Times New Roman"/>
          <w:sz w:val="24"/>
          <w:szCs w:val="24"/>
        </w:rPr>
        <w:t>earn the income required to fund the repayments</w:t>
      </w:r>
      <w:r w:rsidRPr="00A34815">
        <w:rPr>
          <w:rFonts w:ascii="Times New Roman" w:hAnsi="Times New Roman" w:cs="Times New Roman"/>
          <w:sz w:val="24"/>
          <w:szCs w:val="24"/>
        </w:rPr>
        <w:t>. This threat, actual or perceived, may induce a temporary migrant worker to accept any degree of substandard working conditions. Even without the added pressure of debt-repayment, most temporary migrant work is regarded as inherently precarious,</w:t>
      </w:r>
      <w:r w:rsidRPr="00A34815">
        <w:rPr>
          <w:rStyle w:val="FootnoteReference"/>
          <w:rFonts w:ascii="Times New Roman" w:hAnsi="Times New Roman" w:cs="Times New Roman"/>
          <w:sz w:val="24"/>
          <w:szCs w:val="24"/>
        </w:rPr>
        <w:footnoteReference w:id="28"/>
      </w:r>
      <w:r w:rsidRPr="00A34815">
        <w:rPr>
          <w:rFonts w:ascii="Times New Roman" w:hAnsi="Times New Roman" w:cs="Times New Roman"/>
          <w:sz w:val="24"/>
          <w:szCs w:val="24"/>
        </w:rPr>
        <w:t xml:space="preserve"> and most employment relationships are </w:t>
      </w:r>
      <w:r w:rsidRPr="00A34815">
        <w:rPr>
          <w:rFonts w:ascii="Times New Roman" w:hAnsi="Times New Roman" w:cs="Times New Roman"/>
          <w:sz w:val="24"/>
          <w:szCs w:val="24"/>
        </w:rPr>
        <w:lastRenderedPageBreak/>
        <w:t>considered inherently unequal.</w:t>
      </w:r>
      <w:r w:rsidRPr="00A34815">
        <w:rPr>
          <w:rStyle w:val="FootnoteReference"/>
          <w:rFonts w:ascii="Times New Roman" w:hAnsi="Times New Roman" w:cs="Times New Roman"/>
          <w:sz w:val="24"/>
          <w:szCs w:val="24"/>
        </w:rPr>
        <w:footnoteReference w:id="29"/>
      </w:r>
      <w:r w:rsidRPr="00A34815">
        <w:rPr>
          <w:rFonts w:ascii="Times New Roman" w:hAnsi="Times New Roman" w:cs="Times New Roman"/>
          <w:sz w:val="24"/>
          <w:szCs w:val="24"/>
        </w:rPr>
        <w:t xml:space="preserve">  For example, an Australian employer that employed a number of tradesmen on 457 visas, was found at first instance to be guilty of exploitation and manipulating the vulnerable position of these workers who ‘would sign anything’ because they were ‘frightened of being sent back’.</w:t>
      </w:r>
      <w:r w:rsidRPr="00A34815">
        <w:rPr>
          <w:rStyle w:val="FootnoteReference"/>
          <w:rFonts w:ascii="Times New Roman" w:hAnsi="Times New Roman" w:cs="Times New Roman"/>
          <w:sz w:val="24"/>
          <w:szCs w:val="24"/>
        </w:rPr>
        <w:footnoteReference w:id="30"/>
      </w:r>
      <w:r w:rsidRPr="00A34815">
        <w:rPr>
          <w:rFonts w:ascii="Times New Roman" w:hAnsi="Times New Roman" w:cs="Times New Roman"/>
          <w:sz w:val="24"/>
          <w:szCs w:val="24"/>
        </w:rPr>
        <w:t xml:space="preserve"> In this case, the Federal Magistrate was unequivocal in his articulation of the vulnerable position of some workers on 457 visas:</w:t>
      </w:r>
    </w:p>
    <w:p w14:paraId="63022171" w14:textId="77777777" w:rsidR="00BA1125" w:rsidRDefault="00BA1125" w:rsidP="00BA1125">
      <w:pPr>
        <w:widowControl w:val="0"/>
        <w:autoSpaceDE w:val="0"/>
        <w:autoSpaceDN w:val="0"/>
        <w:adjustRightInd w:val="0"/>
        <w:spacing w:after="0" w:line="240" w:lineRule="auto"/>
        <w:ind w:left="1440"/>
        <w:jc w:val="both"/>
        <w:rPr>
          <w:rFonts w:ascii="Times New Roman" w:hAnsi="Times New Roman" w:cs="Times New Roman"/>
          <w:sz w:val="24"/>
          <w:szCs w:val="24"/>
        </w:rPr>
      </w:pPr>
    </w:p>
    <w:p w14:paraId="63C9EAC1" w14:textId="77777777" w:rsidR="00BA1125" w:rsidRPr="00A34815" w:rsidRDefault="00BA1125" w:rsidP="00BA1125">
      <w:pPr>
        <w:widowControl w:val="0"/>
        <w:autoSpaceDE w:val="0"/>
        <w:autoSpaceDN w:val="0"/>
        <w:adjustRightInd w:val="0"/>
        <w:spacing w:after="0" w:line="240" w:lineRule="auto"/>
        <w:ind w:left="1440"/>
        <w:jc w:val="both"/>
        <w:rPr>
          <w:rFonts w:ascii="Times New Roman" w:hAnsi="Times New Roman" w:cs="Times New Roman"/>
          <w:sz w:val="24"/>
          <w:szCs w:val="24"/>
        </w:rPr>
      </w:pPr>
      <w:r w:rsidRPr="00A34815">
        <w:rPr>
          <w:rFonts w:ascii="Times New Roman" w:hAnsi="Times New Roman" w:cs="Times New Roman"/>
          <w:sz w:val="24"/>
          <w:szCs w:val="24"/>
        </w:rPr>
        <w:t>The court has no difficulty in concluding that this was a vulnerable set of employees, that the respondent, through its principal officer, Mr Hanssen had knowledge of that, and that he exploited his perception of these employees as being malleable to the wishes of the respondent.</w:t>
      </w:r>
      <w:r w:rsidRPr="00A34815">
        <w:rPr>
          <w:rStyle w:val="FootnoteReference"/>
          <w:rFonts w:ascii="Times New Roman" w:hAnsi="Times New Roman" w:cs="Times New Roman"/>
          <w:sz w:val="24"/>
          <w:szCs w:val="24"/>
        </w:rPr>
        <w:footnoteReference w:id="31"/>
      </w:r>
    </w:p>
    <w:p w14:paraId="543FCDDF"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p>
    <w:p w14:paraId="2EC9C319"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r w:rsidRPr="00A34815">
        <w:rPr>
          <w:rFonts w:ascii="Times New Roman" w:hAnsi="Times New Roman" w:cs="Times New Roman"/>
          <w:sz w:val="24"/>
          <w:szCs w:val="24"/>
        </w:rPr>
        <w:t xml:space="preserve">A </w:t>
      </w:r>
      <w:r>
        <w:rPr>
          <w:rFonts w:ascii="Times New Roman" w:hAnsi="Times New Roman" w:cs="Times New Roman"/>
          <w:sz w:val="24"/>
          <w:szCs w:val="24"/>
        </w:rPr>
        <w:t xml:space="preserve">more </w:t>
      </w:r>
      <w:r w:rsidRPr="00A34815">
        <w:rPr>
          <w:rFonts w:ascii="Times New Roman" w:hAnsi="Times New Roman" w:cs="Times New Roman"/>
          <w:sz w:val="24"/>
          <w:szCs w:val="24"/>
        </w:rPr>
        <w:t>recent example involving an Indian chef who was forced to work twelve hours per day, seven days per week and was virtually unpaid, saw the court question the integrity of the 457 visa programme as a mechanism for meeting skill shortages.’</w:t>
      </w:r>
      <w:r w:rsidRPr="00A34815">
        <w:rPr>
          <w:rStyle w:val="FootnoteReference"/>
          <w:rFonts w:ascii="Times New Roman" w:hAnsi="Times New Roman" w:cs="Times New Roman"/>
          <w:sz w:val="24"/>
          <w:szCs w:val="24"/>
        </w:rPr>
        <w:footnoteReference w:id="32"/>
      </w:r>
      <w:r w:rsidRPr="00A34815">
        <w:rPr>
          <w:rFonts w:ascii="Times New Roman" w:hAnsi="Times New Roman" w:cs="Times New Roman"/>
          <w:sz w:val="24"/>
          <w:szCs w:val="24"/>
        </w:rPr>
        <w:t xml:space="preserve"> Although both these cases are at the extreme end of exploitation of the 457 visa programme, this highlights the particular vulnerability of many temporary migrant worker because of </w:t>
      </w:r>
      <w:r w:rsidR="00EE7AA9">
        <w:rPr>
          <w:rFonts w:ascii="Times New Roman" w:hAnsi="Times New Roman" w:cs="Times New Roman"/>
          <w:sz w:val="24"/>
          <w:szCs w:val="24"/>
        </w:rPr>
        <w:t>the binary role of employer/</w:t>
      </w:r>
      <w:r w:rsidRPr="00A34815">
        <w:rPr>
          <w:rFonts w:ascii="Times New Roman" w:hAnsi="Times New Roman" w:cs="Times New Roman"/>
          <w:sz w:val="24"/>
          <w:szCs w:val="24"/>
        </w:rPr>
        <w:t>sponsor. The propo</w:t>
      </w:r>
      <w:r>
        <w:rPr>
          <w:rFonts w:ascii="Times New Roman" w:hAnsi="Times New Roman" w:cs="Times New Roman"/>
          <w:sz w:val="24"/>
          <w:szCs w:val="24"/>
        </w:rPr>
        <w:t>sal to add an additional role of employer-as-</w:t>
      </w:r>
      <w:r w:rsidRPr="00A34815">
        <w:rPr>
          <w:rFonts w:ascii="Times New Roman" w:hAnsi="Times New Roman" w:cs="Times New Roman"/>
          <w:sz w:val="24"/>
          <w:szCs w:val="24"/>
        </w:rPr>
        <w:t xml:space="preserve">debt-collector would only intensify the precarious position of </w:t>
      </w:r>
      <w:r>
        <w:rPr>
          <w:rFonts w:ascii="Times New Roman" w:hAnsi="Times New Roman" w:cs="Times New Roman"/>
          <w:sz w:val="24"/>
          <w:szCs w:val="24"/>
        </w:rPr>
        <w:t xml:space="preserve">many </w:t>
      </w:r>
      <w:r w:rsidRPr="00A34815">
        <w:rPr>
          <w:rFonts w:ascii="Times New Roman" w:hAnsi="Times New Roman" w:cs="Times New Roman"/>
          <w:sz w:val="24"/>
          <w:szCs w:val="24"/>
        </w:rPr>
        <w:t xml:space="preserve">temporary migrant workers. The situation is slightly different for permanent entrants in that their immigration status would not be contingent upon their employer’s continuing sponsorship of their visa. Nonetheless, a migrant worker entering under the permanent stream would still be highly susceptible to exploitation because of the presence of a large financial debt. This would mean the worker would be less likely to voice concerns in the workplace or to seek employment elsewhere because of the need to service the debt. </w:t>
      </w:r>
    </w:p>
    <w:p w14:paraId="0D4E5CD1"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p>
    <w:p w14:paraId="124B8363"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Becker’s proposal that a migrant worker be </w:t>
      </w:r>
      <w:r w:rsidRPr="00D64C5F">
        <w:rPr>
          <w:rFonts w:ascii="Times New Roman" w:hAnsi="Times New Roman" w:cs="Times New Roman"/>
          <w:i/>
          <w:sz w:val="24"/>
          <w:szCs w:val="24"/>
        </w:rPr>
        <w:t>contractually</w:t>
      </w:r>
      <w:r>
        <w:rPr>
          <w:rFonts w:ascii="Times New Roman" w:hAnsi="Times New Roman" w:cs="Times New Roman"/>
          <w:sz w:val="24"/>
          <w:szCs w:val="24"/>
        </w:rPr>
        <w:t xml:space="preserve"> tied to an employer until the loan is paid off is even more concerning. He suggests:</w:t>
      </w:r>
    </w:p>
    <w:p w14:paraId="75FC2F0C"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p>
    <w:p w14:paraId="66A5E781" w14:textId="77777777" w:rsidR="00BA1125" w:rsidRDefault="00BA1125" w:rsidP="00BA1125">
      <w:pPr>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Although the immigrants would have to be the ones indirectly paying the fees for immigration, they might finance their loans by making contracts with companies that pay the fee directly for them. In return, an immigrant could commit to working for the company for a certain number of years. If an immigrant decides to move to another company, he would have to repay the loan at that time (or have the new company repay the loan.)</w:t>
      </w:r>
      <w:r>
        <w:rPr>
          <w:rStyle w:val="FootnoteReference"/>
          <w:rFonts w:ascii="Times New Roman" w:hAnsi="Times New Roman" w:cs="Times New Roman"/>
          <w:sz w:val="24"/>
          <w:szCs w:val="24"/>
        </w:rPr>
        <w:footnoteReference w:id="33"/>
      </w:r>
    </w:p>
    <w:p w14:paraId="05AF1B5B"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p>
    <w:p w14:paraId="29B91D38" w14:textId="77777777" w:rsidR="00BA112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Becker’s argument is blind to the labour law realities present in this scenario. Such an immigrant would be beholden to the employer because of the contract preventing voluntary departure unless the debt is paid off. Becker’s suggestion that an immigrant would be able to convince a new company to repay the loan would only work for an employee with highly </w:t>
      </w:r>
      <w:r>
        <w:rPr>
          <w:rFonts w:ascii="Times New Roman" w:hAnsi="Times New Roman" w:cs="Times New Roman"/>
          <w:sz w:val="24"/>
          <w:szCs w:val="24"/>
        </w:rPr>
        <w:lastRenderedPageBreak/>
        <w:t>sought after skills or experience. The vast majority of migrant workers would not be able to rely on this market-based protection. Instead, the migrant worker by virtue of her contract and her financial debt would effectively become ‘owned’ by the employer, in a situation, that in some circumstances, could amount to forced labour.</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This would also have negative implications for the job opportunities of the local labour force as some employers would prefer to rely on migrant labour because of the extra control which could be exerted over an employee with a contract preventing her departure and a financial debt to be repaid.  </w:t>
      </w:r>
    </w:p>
    <w:p w14:paraId="3DA2B8CC" w14:textId="77777777" w:rsidR="00BA1125" w:rsidRPr="00A34815" w:rsidRDefault="00BA1125" w:rsidP="00BA1125">
      <w:pPr>
        <w:widowControl w:val="0"/>
        <w:autoSpaceDE w:val="0"/>
        <w:autoSpaceDN w:val="0"/>
        <w:adjustRightInd w:val="0"/>
        <w:spacing w:after="0" w:line="240" w:lineRule="auto"/>
        <w:jc w:val="both"/>
        <w:rPr>
          <w:rFonts w:ascii="Times New Roman" w:hAnsi="Times New Roman" w:cs="Times New Roman"/>
          <w:sz w:val="24"/>
          <w:szCs w:val="24"/>
        </w:rPr>
      </w:pPr>
    </w:p>
    <w:p w14:paraId="26984094" w14:textId="140D8B58" w:rsidR="00BA1125" w:rsidRPr="00A34815"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Additionally, t</w:t>
      </w:r>
      <w:r w:rsidRPr="00A34815">
        <w:rPr>
          <w:rFonts w:ascii="Times New Roman" w:hAnsi="Times New Roman" w:cs="Times New Roman"/>
          <w:sz w:val="24"/>
          <w:szCs w:val="24"/>
        </w:rPr>
        <w:t>he proposal that an employer can loan the entry fee to a prospective migrant seems fairly susceptible to abuse by unscrupulous employers. This would enable an employer to recruit a migrant worker for a</w:t>
      </w:r>
      <w:r>
        <w:rPr>
          <w:rFonts w:ascii="Times New Roman" w:hAnsi="Times New Roman" w:cs="Times New Roman"/>
          <w:sz w:val="24"/>
          <w:szCs w:val="24"/>
        </w:rPr>
        <w:t xml:space="preserve"> </w:t>
      </w:r>
      <w:r w:rsidRPr="00A34815">
        <w:rPr>
          <w:rFonts w:ascii="Times New Roman" w:hAnsi="Times New Roman" w:cs="Times New Roman"/>
          <w:sz w:val="24"/>
          <w:szCs w:val="24"/>
        </w:rPr>
        <w:t xml:space="preserve">reason unrelated to her skill set or work experience as the employer’s goal might be to create a compliant workforce with favourable behavioural traits, to deunionise its local workforce or to </w:t>
      </w:r>
      <w:r>
        <w:rPr>
          <w:rFonts w:ascii="Times New Roman" w:hAnsi="Times New Roman" w:cs="Times New Roman"/>
          <w:sz w:val="24"/>
          <w:szCs w:val="24"/>
        </w:rPr>
        <w:t xml:space="preserve">illegally </w:t>
      </w:r>
      <w:r w:rsidRPr="00A34815">
        <w:rPr>
          <w:rFonts w:ascii="Times New Roman" w:hAnsi="Times New Roman" w:cs="Times New Roman"/>
          <w:sz w:val="24"/>
          <w:szCs w:val="24"/>
        </w:rPr>
        <w:t>undercut local wages and conditions gambling on the limited enforcement capabilities of authoritie</w:t>
      </w:r>
      <w:r>
        <w:rPr>
          <w:rFonts w:ascii="Times New Roman" w:hAnsi="Times New Roman" w:cs="Times New Roman"/>
          <w:sz w:val="24"/>
          <w:szCs w:val="24"/>
        </w:rPr>
        <w:t>s and the unlikelihood of a migrant worker voicing a compliant</w:t>
      </w:r>
      <w:r w:rsidRPr="00A34815">
        <w:rPr>
          <w:rFonts w:ascii="Times New Roman" w:hAnsi="Times New Roman" w:cs="Times New Roman"/>
          <w:sz w:val="24"/>
          <w:szCs w:val="24"/>
        </w:rPr>
        <w:t>. Such a system would also be open to abuse by labour hire companies, a type of employer well known in the scholarly literature for its tendency to create exploitative work arrangements,</w:t>
      </w:r>
      <w:r w:rsidRPr="00A34815">
        <w:rPr>
          <w:rStyle w:val="FootnoteReference"/>
          <w:rFonts w:ascii="Times New Roman" w:hAnsi="Times New Roman" w:cs="Times New Roman"/>
          <w:sz w:val="24"/>
          <w:szCs w:val="24"/>
        </w:rPr>
        <w:t xml:space="preserve"> </w:t>
      </w:r>
      <w:r w:rsidRPr="00A34815">
        <w:rPr>
          <w:rFonts w:ascii="Times New Roman" w:hAnsi="Times New Roman" w:cs="Times New Roman"/>
          <w:sz w:val="24"/>
          <w:szCs w:val="24"/>
        </w:rPr>
        <w:t xml:space="preserve">and whose presence in the </w:t>
      </w:r>
      <w:r>
        <w:rPr>
          <w:rFonts w:ascii="Times New Roman" w:hAnsi="Times New Roman" w:cs="Times New Roman"/>
          <w:sz w:val="24"/>
          <w:szCs w:val="24"/>
        </w:rPr>
        <w:t xml:space="preserve">Australian </w:t>
      </w:r>
      <w:r w:rsidRPr="00A34815">
        <w:rPr>
          <w:rFonts w:ascii="Times New Roman" w:hAnsi="Times New Roman" w:cs="Times New Roman"/>
          <w:sz w:val="24"/>
          <w:szCs w:val="24"/>
        </w:rPr>
        <w:t xml:space="preserve">temporary migration sphere has led to a significant expose by an investigative television programme, </w:t>
      </w:r>
      <w:r w:rsidRPr="00A34815">
        <w:rPr>
          <w:rFonts w:ascii="Times New Roman" w:hAnsi="Times New Roman" w:cs="Times New Roman"/>
          <w:i/>
          <w:sz w:val="24"/>
          <w:szCs w:val="24"/>
        </w:rPr>
        <w:t>Four Corners,</w:t>
      </w:r>
      <w:r w:rsidRPr="00A34815">
        <w:rPr>
          <w:rStyle w:val="FootnoteReference"/>
          <w:rFonts w:ascii="Times New Roman" w:hAnsi="Times New Roman" w:cs="Times New Roman"/>
          <w:sz w:val="24"/>
          <w:szCs w:val="24"/>
        </w:rPr>
        <w:t xml:space="preserve"> </w:t>
      </w:r>
      <w:r w:rsidRPr="00A34815">
        <w:rPr>
          <w:rStyle w:val="FootnoteReference"/>
          <w:rFonts w:ascii="Times New Roman" w:hAnsi="Times New Roman" w:cs="Times New Roman"/>
          <w:sz w:val="24"/>
          <w:szCs w:val="24"/>
        </w:rPr>
        <w:footnoteReference w:id="35"/>
      </w:r>
      <w:r w:rsidRPr="00A34815">
        <w:rPr>
          <w:rFonts w:ascii="Times New Roman" w:hAnsi="Times New Roman" w:cs="Times New Roman"/>
          <w:i/>
          <w:sz w:val="24"/>
          <w:szCs w:val="24"/>
        </w:rPr>
        <w:t xml:space="preserve"> </w:t>
      </w:r>
      <w:r w:rsidRPr="00A34815">
        <w:rPr>
          <w:rFonts w:ascii="Times New Roman" w:hAnsi="Times New Roman" w:cs="Times New Roman"/>
          <w:sz w:val="24"/>
          <w:szCs w:val="24"/>
        </w:rPr>
        <w:t>and the establishment of</w:t>
      </w:r>
      <w:r>
        <w:rPr>
          <w:rFonts w:ascii="Times New Roman" w:hAnsi="Times New Roman" w:cs="Times New Roman"/>
          <w:sz w:val="24"/>
          <w:szCs w:val="24"/>
        </w:rPr>
        <w:t xml:space="preserve"> two state government inquiries and</w:t>
      </w:r>
      <w:r w:rsidRPr="00A34815">
        <w:rPr>
          <w:rFonts w:ascii="Times New Roman" w:hAnsi="Times New Roman" w:cs="Times New Roman"/>
          <w:sz w:val="24"/>
          <w:szCs w:val="24"/>
        </w:rPr>
        <w:t xml:space="preserve"> a special national taskforce to address the specific concerns arising from the use of labour hire companies to employ migrant workers.</w:t>
      </w:r>
    </w:p>
    <w:p w14:paraId="39F238C5" w14:textId="77777777" w:rsidR="00BA1125"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78B097" w14:textId="77777777" w:rsidR="00BA1125" w:rsidRPr="00A34815" w:rsidRDefault="00BA1125" w:rsidP="00BA112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Proposal Three</w:t>
      </w:r>
      <w:r w:rsidRPr="00A34815">
        <w:rPr>
          <w:rFonts w:ascii="Times New Roman" w:hAnsi="Times New Roman" w:cs="Times New Roman"/>
          <w:b/>
          <w:i/>
          <w:sz w:val="24"/>
          <w:szCs w:val="24"/>
        </w:rPr>
        <w:t>: Providing a government loan for migrants with no capacity to pay upfront</w:t>
      </w:r>
    </w:p>
    <w:p w14:paraId="5D1B4E38" w14:textId="77777777" w:rsidR="00BA1125" w:rsidRDefault="00BA1125" w:rsidP="00BA1125">
      <w:pPr>
        <w:spacing w:after="0" w:line="240" w:lineRule="auto"/>
        <w:jc w:val="both"/>
        <w:rPr>
          <w:rFonts w:ascii="Times New Roman" w:hAnsi="Times New Roman" w:cs="Times New Roman"/>
          <w:sz w:val="24"/>
          <w:szCs w:val="24"/>
        </w:rPr>
      </w:pPr>
    </w:p>
    <w:p w14:paraId="7B94B17A" w14:textId="77777777" w:rsidR="00BA1125"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Becker and the Productivity Commission posit that a government loan scheme could enable prospective migrants from poor backgrounds or countries to pay the entry fee and gain temporary or permanent residency in Australia. They compare this to the use of a student loan scheme which gives all students access to tertiary education, irrespective of their capacity to pay for it at the time. Known in Australia as the ‘Higher Education Loan Program’, this scheme requires loans to be paid back once an individual’s income reaches a certain level. The proposal of a government loan scheme for immigration has an advantage over an employer-loan scheme because it means that the employer is no longer the debtor for the migrant worker. Becker also touts it as being egalitarian: ‘immigration loans would enable poorer immigrants to invest in human capital in the form of moving to a country that offers them more opportunities.’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p>
    <w:p w14:paraId="12698E2F" w14:textId="77777777" w:rsidR="00BA1125" w:rsidRDefault="00BA1125" w:rsidP="00BA1125">
      <w:pPr>
        <w:spacing w:after="0" w:line="240" w:lineRule="auto"/>
        <w:jc w:val="both"/>
        <w:rPr>
          <w:rFonts w:ascii="Times New Roman" w:hAnsi="Times New Roman" w:cs="Times New Roman"/>
          <w:sz w:val="24"/>
          <w:szCs w:val="24"/>
        </w:rPr>
      </w:pPr>
    </w:p>
    <w:p w14:paraId="76805419" w14:textId="77777777" w:rsidR="00BA1125"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Becker’s optimism, it is doubtful whether an immigration loan scheme would realise its egalitarian objective. Instead, it is more likely to become a challenging and significant debt for a migrant worker to repay. Even assuming the debt is interest-free or set at a low interest rate to match inflation, it still creates a significant financial burden on a migrant </w:t>
      </w:r>
      <w:r>
        <w:rPr>
          <w:rFonts w:ascii="Times New Roman" w:hAnsi="Times New Roman" w:cs="Times New Roman"/>
          <w:sz w:val="24"/>
          <w:szCs w:val="24"/>
        </w:rPr>
        <w:lastRenderedPageBreak/>
        <w:t xml:space="preserve">worker. This would provide a relatively easy means for an unscrupulous employer to exploit as it means a migrant worker is less likely to see employment elsewhere or to do anything to jeopardise her present employment because of the pressing need to make loan repayments. </w:t>
      </w:r>
    </w:p>
    <w:p w14:paraId="342737AC" w14:textId="77777777" w:rsidR="00BA1125" w:rsidRDefault="00BA1125" w:rsidP="00BA1125">
      <w:pPr>
        <w:spacing w:after="0" w:line="240" w:lineRule="auto"/>
        <w:jc w:val="both"/>
        <w:rPr>
          <w:rFonts w:ascii="Times New Roman" w:hAnsi="Times New Roman" w:cs="Times New Roman"/>
          <w:sz w:val="24"/>
          <w:szCs w:val="24"/>
        </w:rPr>
      </w:pPr>
    </w:p>
    <w:p w14:paraId="5F8F8D3C" w14:textId="77777777" w:rsidR="00BA1125" w:rsidRDefault="00BA1125" w:rsidP="00BA1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more fundamental problem, also exists with the immigration loan idea: paying for tertiary education is different to paying for immigration. The normative basis for a student loan scheme is that it enables those who would not be able to pay fees upfront to access tertiary education. This then increases the earning potential of these individuals and once they are in a secure job, there is an onus to pay back the loan. In this way, a student loan scheme operates as an equalising force by increasing the earning potential of students from poorer backgrounds. In contrast, whilst an immigration loan scheme might give migrant workers access to the Australian labour market, this does not, in and of itself, improve their earning potential. Whilst it is true that performing the same occupation in Australia and India might accrue higher wages and better conditions in the former because of Australia’s relatively high minimum wage and strong labour market protections, permanent migrant workers still have to support themselves in Australia where the cost of living is likely to be higher. Unlike student loans which are usually paid back in greater degree as a student’s earning potential is realised, it is likely the immigration loan would have to be deducted from wages as soon as a job was procured. This has the potential to create a permanent underclass of migrant workers because of the financial imperative that they repay their debt from their earnings. It would entrench inequality between migrant workers and local workers as the former would be required to service a debt but not be remunerated any higher to compensate for this additional burden. This can be contrasted to a student loan scheme whereby most employees have a student loan debt and are on a similar footing.</w:t>
      </w:r>
    </w:p>
    <w:p w14:paraId="212A2924" w14:textId="77777777" w:rsidR="00BA1125" w:rsidRPr="00D019F7" w:rsidRDefault="00BA1125" w:rsidP="00BA1125">
      <w:pPr>
        <w:spacing w:after="0" w:line="240" w:lineRule="auto"/>
        <w:jc w:val="both"/>
        <w:rPr>
          <w:rFonts w:ascii="Times New Roman" w:hAnsi="Times New Roman" w:cs="Times New Roman"/>
          <w:sz w:val="24"/>
          <w:szCs w:val="24"/>
        </w:rPr>
      </w:pPr>
    </w:p>
    <w:p w14:paraId="69790498" w14:textId="77777777" w:rsidR="0027013D" w:rsidRDefault="0027013D"/>
    <w:sectPr w:rsidR="0027013D" w:rsidSect="00BA1125">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8AAC" w14:textId="77777777" w:rsidR="00225EB4" w:rsidRDefault="00225EB4" w:rsidP="00BA1125">
      <w:pPr>
        <w:spacing w:after="0" w:line="240" w:lineRule="auto"/>
      </w:pPr>
      <w:r>
        <w:separator/>
      </w:r>
    </w:p>
  </w:endnote>
  <w:endnote w:type="continuationSeparator" w:id="0">
    <w:p w14:paraId="6BDD4AD3" w14:textId="77777777" w:rsidR="00225EB4" w:rsidRDefault="00225EB4" w:rsidP="00BA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DE897" w14:textId="77777777" w:rsidR="00225EB4" w:rsidRDefault="00225EB4" w:rsidP="00BA1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0B0B5" w14:textId="77777777" w:rsidR="00225EB4" w:rsidRDefault="00225EB4" w:rsidP="00BA11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8F05" w14:textId="77777777" w:rsidR="00225EB4" w:rsidRDefault="00225EB4" w:rsidP="00BA1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2BE3">
      <w:rPr>
        <w:rStyle w:val="PageNumber"/>
        <w:noProof/>
      </w:rPr>
      <w:t>2</w:t>
    </w:r>
    <w:r>
      <w:rPr>
        <w:rStyle w:val="PageNumber"/>
      </w:rPr>
      <w:fldChar w:fldCharType="end"/>
    </w:r>
  </w:p>
  <w:p w14:paraId="6FDCA83A" w14:textId="77777777" w:rsidR="00225EB4" w:rsidRDefault="00225EB4" w:rsidP="00BA11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23619" w14:textId="77777777" w:rsidR="00225EB4" w:rsidRDefault="00225EB4" w:rsidP="00BA1125">
      <w:pPr>
        <w:spacing w:after="0" w:line="240" w:lineRule="auto"/>
      </w:pPr>
      <w:r>
        <w:separator/>
      </w:r>
    </w:p>
  </w:footnote>
  <w:footnote w:type="continuationSeparator" w:id="0">
    <w:p w14:paraId="45B0926F" w14:textId="77777777" w:rsidR="00225EB4" w:rsidRDefault="00225EB4" w:rsidP="00BA1125">
      <w:pPr>
        <w:spacing w:after="0" w:line="240" w:lineRule="auto"/>
      </w:pPr>
      <w:r>
        <w:continuationSeparator/>
      </w:r>
    </w:p>
  </w:footnote>
  <w:footnote w:id="1">
    <w:p w14:paraId="5F904550"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t>*</w:t>
      </w:r>
      <w:r w:rsidRPr="00EE7AA9">
        <w:rPr>
          <w:rFonts w:ascii="Times New Roman" w:hAnsi="Times New Roman" w:cs="Times New Roman"/>
        </w:rPr>
        <w:t xml:space="preserve"> </w:t>
      </w:r>
      <w:r w:rsidRPr="00EE7AA9">
        <w:rPr>
          <w:rFonts w:ascii="Times New Roman" w:hAnsi="Times New Roman" w:cs="Times New Roman"/>
          <w:lang w:val="en-US"/>
        </w:rPr>
        <w:t>Dr Joanna Howe, Senior Lecturer in Law, University of Adelaide.</w:t>
      </w:r>
    </w:p>
  </w:footnote>
  <w:footnote w:id="2">
    <w:p w14:paraId="3CC0074C" w14:textId="77777777" w:rsidR="00225EB4" w:rsidRPr="00EE7AA9" w:rsidRDefault="00225EB4" w:rsidP="004E1BBB">
      <w:pPr>
        <w:pStyle w:val="FootnoteText"/>
        <w:spacing w:before="120" w:after="120"/>
        <w:jc w:val="both"/>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Australia also has an increasingly narrow definition of ‘family’ limiting it to parents, children and partners. The US, for example, extends family reunion to brothers and sisters, and even to aunts and uncles. For the importance of family reunion for migrant workers’ wellbeing and productivity, see: Ruben Rumbaut, ‘Ties that bind: immigration and immigrant families in the United States’ in Booth, Couter and Landale (ed) </w:t>
      </w:r>
      <w:r w:rsidRPr="00EE7AA9">
        <w:rPr>
          <w:rFonts w:ascii="Times New Roman" w:hAnsi="Times New Roman" w:cs="Times New Roman"/>
          <w:i/>
        </w:rPr>
        <w:t xml:space="preserve">Immigration and the Family </w:t>
      </w:r>
      <w:r w:rsidRPr="00EE7AA9">
        <w:rPr>
          <w:rFonts w:ascii="Times New Roman" w:hAnsi="Times New Roman" w:cs="Times New Roman"/>
        </w:rPr>
        <w:t>(1997).</w:t>
      </w:r>
    </w:p>
  </w:footnote>
  <w:footnote w:id="3">
    <w:p w14:paraId="2DE4C467" w14:textId="77777777" w:rsidR="00225EB4" w:rsidRPr="00EE7AA9" w:rsidRDefault="00225EB4" w:rsidP="004E1BBB">
      <w:pPr>
        <w:widowControl w:val="0"/>
        <w:tabs>
          <w:tab w:val="left" w:pos="220"/>
          <w:tab w:val="left" w:pos="720"/>
        </w:tabs>
        <w:autoSpaceDE w:val="0"/>
        <w:autoSpaceDN w:val="0"/>
        <w:adjustRightInd w:val="0"/>
        <w:spacing w:before="120" w:after="120" w:line="240" w:lineRule="auto"/>
        <w:rPr>
          <w:rFonts w:ascii="Times New Roman" w:hAnsi="Times New Roman" w:cs="Times New Roman"/>
          <w:sz w:val="20"/>
          <w:szCs w:val="20"/>
          <w:lang w:val="en-US"/>
        </w:rPr>
      </w:pPr>
      <w:r w:rsidRPr="00EE7AA9">
        <w:rPr>
          <w:rStyle w:val="FootnoteReference"/>
          <w:rFonts w:ascii="Times New Roman" w:hAnsi="Times New Roman" w:cs="Times New Roman"/>
          <w:sz w:val="20"/>
          <w:szCs w:val="20"/>
        </w:rPr>
        <w:footnoteRef/>
      </w:r>
      <w:r w:rsidRPr="00EE7AA9">
        <w:rPr>
          <w:rFonts w:ascii="Times New Roman" w:hAnsi="Times New Roman" w:cs="Times New Roman"/>
          <w:sz w:val="20"/>
          <w:szCs w:val="20"/>
        </w:rPr>
        <w:t xml:space="preserve"> </w:t>
      </w:r>
      <w:r w:rsidRPr="00EE7AA9">
        <w:rPr>
          <w:rFonts w:ascii="Times New Roman" w:hAnsi="Times New Roman" w:cs="Times New Roman"/>
          <w:sz w:val="20"/>
          <w:szCs w:val="20"/>
          <w:lang w:val="en-US"/>
        </w:rPr>
        <w:t xml:space="preserve">M Crock, ‘Contract or Compact: Skilled Migration and the Dictates of Politics and Ideology’ (2001–2002) 16 </w:t>
      </w:r>
      <w:r w:rsidRPr="00EE7AA9">
        <w:rPr>
          <w:rFonts w:ascii="Times New Roman" w:hAnsi="Times New Roman" w:cs="Times New Roman"/>
          <w:i/>
          <w:sz w:val="20"/>
          <w:szCs w:val="20"/>
          <w:lang w:val="en-US"/>
        </w:rPr>
        <w:t>Georgetown Immigration Law Journal</w:t>
      </w:r>
      <w:r w:rsidRPr="00EE7AA9">
        <w:rPr>
          <w:rFonts w:ascii="Times New Roman" w:hAnsi="Times New Roman" w:cs="Times New Roman"/>
          <w:sz w:val="20"/>
          <w:szCs w:val="20"/>
          <w:lang w:val="en-US"/>
        </w:rPr>
        <w:t xml:space="preserve"> 133.  </w:t>
      </w:r>
    </w:p>
  </w:footnote>
  <w:footnote w:id="4">
    <w:p w14:paraId="3C4F7C6F"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EE7AA9">
        <w:rPr>
          <w:rFonts w:ascii="Times New Roman" w:hAnsi="Times New Roman" w:cs="Times New Roman"/>
          <w:lang w:val="en-US"/>
        </w:rPr>
        <w:t xml:space="preserve">For previous analyses of the 457 visa, see </w:t>
      </w:r>
      <w:r w:rsidRPr="00EE7AA9">
        <w:rPr>
          <w:rFonts w:ascii="Times New Roman" w:hAnsi="Times New Roman" w:cs="Times New Roman"/>
        </w:rPr>
        <w:t xml:space="preserve">J Tham and I Campbell, </w:t>
      </w:r>
      <w:r w:rsidRPr="00EE7AA9">
        <w:rPr>
          <w:rFonts w:ascii="Times New Roman" w:hAnsi="Times New Roman" w:cs="Times New Roman"/>
          <w:i/>
        </w:rPr>
        <w:t xml:space="preserve">Temporary Migrant Labour in Australia: The 457 Visa Scheme and Challenges for Labour Regulation, </w:t>
      </w:r>
      <w:r w:rsidRPr="00EE7AA9">
        <w:rPr>
          <w:rFonts w:ascii="Times New Roman" w:hAnsi="Times New Roman" w:cs="Times New Roman"/>
        </w:rPr>
        <w:t xml:space="preserve">(Working Paper No 50, Centre for Employment and Labour Relations Law, University of Melbourne, March 2011); J Howe 'The Migration Amendment (Worker Protection) Act 2008: Long Overdue Reform, But Have Migrant Workers Been Sold Short?' (2010) 24 </w:t>
      </w:r>
      <w:r w:rsidRPr="00EE7AA9">
        <w:rPr>
          <w:rFonts w:ascii="Times New Roman" w:hAnsi="Times New Roman" w:cs="Times New Roman"/>
          <w:i/>
          <w:iCs/>
        </w:rPr>
        <w:t xml:space="preserve">Australian Journal of Labour Law </w:t>
      </w:r>
      <w:r w:rsidRPr="00EE7AA9">
        <w:rPr>
          <w:rFonts w:ascii="Times New Roman" w:hAnsi="Times New Roman" w:cs="Times New Roman"/>
          <w:iCs/>
        </w:rPr>
        <w:t>13</w:t>
      </w:r>
      <w:r w:rsidRPr="00EE7AA9">
        <w:rPr>
          <w:rFonts w:ascii="Times New Roman" w:hAnsi="Times New Roman" w:cs="Times New Roman"/>
          <w:i/>
          <w:iCs/>
        </w:rPr>
        <w:t>.</w:t>
      </w:r>
    </w:p>
  </w:footnote>
  <w:footnote w:id="5">
    <w:p w14:paraId="50658012" w14:textId="77777777" w:rsidR="00225EB4" w:rsidRPr="00EE7AA9" w:rsidRDefault="00225EB4" w:rsidP="004E1BBB">
      <w:pPr>
        <w:pStyle w:val="FootnoteText"/>
        <w:spacing w:before="120" w:after="120"/>
        <w:jc w:val="both"/>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B Birrell and E Healy, </w:t>
      </w:r>
      <w:r w:rsidRPr="00EE7AA9">
        <w:rPr>
          <w:rFonts w:ascii="Times New Roman" w:hAnsi="Times New Roman" w:cs="Times New Roman"/>
          <w:i/>
        </w:rPr>
        <w:t xml:space="preserve">Immigration Overshoot, </w:t>
      </w:r>
      <w:r w:rsidRPr="00EE7AA9">
        <w:rPr>
          <w:rFonts w:ascii="Times New Roman" w:hAnsi="Times New Roman" w:cs="Times New Roman"/>
        </w:rPr>
        <w:t xml:space="preserve">CPUR Research Report, Centre for Population and Urban Research, November 2012, 33-35; See also </w:t>
      </w:r>
      <w:r w:rsidRPr="00EE7AA9">
        <w:rPr>
          <w:rFonts w:ascii="Times New Roman" w:hAnsi="Times New Roman" w:cs="Times New Roman"/>
          <w:lang w:val="en-US" w:eastAsia="en-US"/>
        </w:rPr>
        <w:t xml:space="preserve">Joanna Howe (with A Reilly) (2015-forthcoming) 'Meeting Australia's Labour Needs - The Case for a Low Skill Work Visa' 43(2) </w:t>
      </w:r>
      <w:r w:rsidRPr="00EE7AA9">
        <w:rPr>
          <w:rFonts w:ascii="Times New Roman" w:hAnsi="Times New Roman" w:cs="Times New Roman"/>
          <w:i/>
          <w:lang w:val="en-US" w:eastAsia="en-US"/>
        </w:rPr>
        <w:t>Federal Law Review</w:t>
      </w:r>
      <w:r w:rsidRPr="00EE7AA9">
        <w:rPr>
          <w:rFonts w:ascii="Times New Roman" w:hAnsi="Times New Roman" w:cs="Times New Roman"/>
          <w:lang w:val="en-US" w:eastAsia="en-US"/>
        </w:rPr>
        <w:t>.</w:t>
      </w:r>
    </w:p>
  </w:footnote>
  <w:footnote w:id="6">
    <w:p w14:paraId="60EF12E5" w14:textId="77777777" w:rsidR="00225EB4" w:rsidRPr="00AC6BE0" w:rsidRDefault="00225EB4" w:rsidP="004E1BBB">
      <w:pPr>
        <w:widowControl w:val="0"/>
        <w:tabs>
          <w:tab w:val="left" w:pos="0"/>
          <w:tab w:val="left" w:pos="220"/>
        </w:tabs>
        <w:autoSpaceDE w:val="0"/>
        <w:autoSpaceDN w:val="0"/>
        <w:adjustRightInd w:val="0"/>
        <w:spacing w:before="120" w:after="120" w:line="240" w:lineRule="auto"/>
        <w:rPr>
          <w:rFonts w:ascii="Times New Roman" w:hAnsi="Times New Roman" w:cs="Times New Roman"/>
          <w:sz w:val="20"/>
          <w:szCs w:val="20"/>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6E1D26">
        <w:rPr>
          <w:rFonts w:ascii="Times New Roman" w:hAnsi="Times New Roman" w:cs="Times New Roman"/>
          <w:sz w:val="20"/>
          <w:szCs w:val="20"/>
        </w:rPr>
        <w:t>Joanna Howe ‘Is the Net Cast Too Wide? An Assessment of Whether the Regulatory Design of the 45</w:t>
      </w:r>
      <w:r>
        <w:rPr>
          <w:rFonts w:ascii="Times New Roman" w:hAnsi="Times New Roman" w:cs="Times New Roman"/>
          <w:sz w:val="20"/>
          <w:szCs w:val="20"/>
        </w:rPr>
        <w:t xml:space="preserve">7 Visa </w:t>
      </w:r>
      <w:r w:rsidRPr="006E1D26">
        <w:rPr>
          <w:rFonts w:ascii="Times New Roman" w:hAnsi="Times New Roman" w:cs="Times New Roman"/>
          <w:sz w:val="20"/>
          <w:szCs w:val="20"/>
        </w:rPr>
        <w:t xml:space="preserve">Meets Australia’s Skill Needs’ (2013) 41 </w:t>
      </w:r>
      <w:r w:rsidRPr="006E1D26">
        <w:rPr>
          <w:rFonts w:ascii="Times New Roman" w:hAnsi="Times New Roman" w:cs="Times New Roman"/>
          <w:i/>
          <w:iCs/>
          <w:sz w:val="20"/>
          <w:szCs w:val="20"/>
        </w:rPr>
        <w:t xml:space="preserve">F L Rev </w:t>
      </w:r>
      <w:r w:rsidRPr="006E1D26">
        <w:rPr>
          <w:rFonts w:ascii="Times New Roman" w:hAnsi="Times New Roman" w:cs="Times New Roman"/>
          <w:sz w:val="20"/>
          <w:szCs w:val="20"/>
        </w:rPr>
        <w:t xml:space="preserve">443. </w:t>
      </w:r>
    </w:p>
  </w:footnote>
  <w:footnote w:id="7">
    <w:p w14:paraId="4EB4CBA8"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EE7AA9">
        <w:rPr>
          <w:rFonts w:ascii="Times New Roman" w:hAnsi="Times New Roman" w:cs="Times New Roman"/>
          <w:lang w:val="en-US"/>
        </w:rPr>
        <w:t xml:space="preserve">See for example, </w:t>
      </w:r>
      <w:r w:rsidRPr="006E1D26">
        <w:rPr>
          <w:rFonts w:ascii="Times New Roman" w:hAnsi="Times New Roman" w:cs="Times New Roman"/>
        </w:rPr>
        <w:t xml:space="preserve">Martin Ruhs, ‘Immigration and Labour Market Protectionism: Protecting Local Workers’ Preferential Access to the Local Labour Market’ in </w:t>
      </w:r>
      <w:r w:rsidRPr="006E1D26">
        <w:rPr>
          <w:rFonts w:ascii="Times New Roman" w:hAnsi="Times New Roman" w:cs="Times New Roman"/>
          <w:i/>
        </w:rPr>
        <w:t xml:space="preserve">Migrants at Work, </w:t>
      </w:r>
      <w:r w:rsidRPr="006E1D26">
        <w:rPr>
          <w:rFonts w:ascii="Times New Roman" w:hAnsi="Times New Roman" w:cs="Times New Roman"/>
        </w:rPr>
        <w:t>Cathryn Costello and Mark Freedland (eds)</w:t>
      </w:r>
      <w:r w:rsidRPr="006E1D26">
        <w:rPr>
          <w:rFonts w:ascii="Times New Roman" w:hAnsi="Times New Roman" w:cs="Times New Roman"/>
          <w:i/>
        </w:rPr>
        <w:t xml:space="preserve"> </w:t>
      </w:r>
      <w:r>
        <w:rPr>
          <w:rFonts w:ascii="Times New Roman" w:hAnsi="Times New Roman" w:cs="Times New Roman"/>
        </w:rPr>
        <w:t xml:space="preserve">(OUP, 2014) 70; </w:t>
      </w:r>
      <w:r w:rsidRPr="006E1D26">
        <w:rPr>
          <w:rFonts w:ascii="Times New Roman" w:hAnsi="Times New Roman" w:cs="Times New Roman"/>
        </w:rPr>
        <w:t xml:space="preserve">J Howe, ‘Does Australia need an expert commission to assist with managing its labour migration program?’ (2014) 27 </w:t>
      </w:r>
      <w:r w:rsidRPr="006E1D26">
        <w:rPr>
          <w:rFonts w:ascii="Times New Roman" w:hAnsi="Times New Roman" w:cs="Times New Roman"/>
          <w:i/>
        </w:rPr>
        <w:t>Australian Journal of Labour Law.</w:t>
      </w:r>
    </w:p>
  </w:footnote>
  <w:footnote w:id="8">
    <w:p w14:paraId="08F5DE86" w14:textId="77777777" w:rsidR="00225EB4" w:rsidRPr="00EE7AA9" w:rsidRDefault="00225EB4" w:rsidP="004E1BBB">
      <w:pPr>
        <w:pStyle w:val="FootnoteText"/>
        <w:spacing w:before="120" w:after="120"/>
        <w:jc w:val="both"/>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Gary Becker (2011) ‘The Challenge of Immigration: a Radical Solution’, Occasional Paper for the Institute of Economic Rights (UK).</w:t>
      </w:r>
    </w:p>
  </w:footnote>
  <w:footnote w:id="9">
    <w:p w14:paraId="5B668322"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Becker (2011).</w:t>
      </w:r>
    </w:p>
  </w:footnote>
  <w:footnote w:id="10">
    <w:p w14:paraId="06C1A1FF"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Productivity Commission, Issues Paper, p 29.</w:t>
      </w:r>
    </w:p>
  </w:footnote>
  <w:footnote w:id="11">
    <w:p w14:paraId="4D7063AA" w14:textId="77777777" w:rsidR="00225EB4" w:rsidRPr="00EE7AA9" w:rsidRDefault="00225EB4" w:rsidP="004E1BBB">
      <w:pPr>
        <w:pStyle w:val="FootnoteText"/>
        <w:spacing w:before="120" w:after="120"/>
        <w:ind w:left="709" w:hanging="709"/>
        <w:rPr>
          <w:rFonts w:ascii="Times New Roman" w:hAnsi="Times New Roman" w:cs="Times New Roman"/>
        </w:rPr>
      </w:pPr>
      <w:r w:rsidRPr="00EE7AA9">
        <w:rPr>
          <w:rStyle w:val="FootnoteReference"/>
          <w:rFonts w:ascii="Times New Roman" w:hAnsi="Times New Roman" w:cs="Times New Roman"/>
        </w:rPr>
        <w:footnoteRef/>
      </w:r>
      <w:r>
        <w:rPr>
          <w:rFonts w:ascii="Times New Roman" w:hAnsi="Times New Roman" w:cs="Times New Roman"/>
        </w:rPr>
        <w:t xml:space="preserve"> </w:t>
      </w:r>
      <w:r w:rsidRPr="00EE7AA9">
        <w:rPr>
          <w:rFonts w:ascii="Times New Roman" w:hAnsi="Times New Roman" w:cs="Times New Roman"/>
        </w:rPr>
        <w:t xml:space="preserve">For example, see: L Cerna, </w:t>
      </w:r>
      <w:r w:rsidRPr="00EE7AA9">
        <w:rPr>
          <w:rFonts w:ascii="Times New Roman" w:hAnsi="Times New Roman" w:cs="Times New Roman"/>
          <w:i/>
        </w:rPr>
        <w:t xml:space="preserve">Selecting the Best and the Brightest </w:t>
      </w:r>
      <w:r w:rsidRPr="00EE7AA9">
        <w:rPr>
          <w:rFonts w:ascii="Times New Roman" w:hAnsi="Times New Roman" w:cs="Times New Roman"/>
        </w:rPr>
        <w:t>(Migration Observatory 2011).</w:t>
      </w:r>
    </w:p>
  </w:footnote>
  <w:footnote w:id="12">
    <w:p w14:paraId="6BAC5B27"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Although I have chosen to focus on employer-sponsorship under the 457 visa programme, these points about the limitations of a fee-based immigration model can be made about the employer-nomination scheme in Australia permanent migration programme.</w:t>
      </w:r>
    </w:p>
  </w:footnote>
  <w:footnote w:id="13">
    <w:p w14:paraId="4E31E4AC" w14:textId="77777777" w:rsidR="00225EB4" w:rsidRPr="00AC6BE0" w:rsidRDefault="00225EB4" w:rsidP="004E1BBB">
      <w:pPr>
        <w:spacing w:before="120" w:after="120" w:line="240" w:lineRule="auto"/>
        <w:rPr>
          <w:rFonts w:ascii="Times New Roman" w:hAnsi="Times New Roman" w:cs="Times New Roman"/>
          <w:sz w:val="20"/>
          <w:szCs w:val="20"/>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8A6616">
        <w:rPr>
          <w:rFonts w:ascii="Times New Roman" w:hAnsi="Times New Roman" w:cs="Times New Roman"/>
          <w:sz w:val="20"/>
          <w:szCs w:val="20"/>
        </w:rPr>
        <w:t>Mark Cully, ‘Skilled migration selection policies: recent Australian reforms’</w:t>
      </w:r>
      <w:r>
        <w:rPr>
          <w:rFonts w:ascii="Times New Roman" w:hAnsi="Times New Roman" w:cs="Times New Roman"/>
          <w:sz w:val="20"/>
          <w:szCs w:val="20"/>
        </w:rPr>
        <w:t>, Department of Immigration and Citizenship: &lt;</w:t>
      </w:r>
      <w:r w:rsidRPr="00AC6BE0">
        <w:rPr>
          <w:rFonts w:ascii="Times New Roman" w:hAnsi="Times New Roman" w:cs="Times New Roman"/>
          <w:sz w:val="20"/>
          <w:szCs w:val="20"/>
        </w:rPr>
        <w:t>http://www.immi.gov.au/media/publications/research/_pdf/skilled-migration-policies.pdf</w:t>
      </w:r>
      <w:r>
        <w:rPr>
          <w:rFonts w:ascii="Times New Roman" w:hAnsi="Times New Roman" w:cs="Times New Roman"/>
          <w:sz w:val="20"/>
          <w:szCs w:val="20"/>
        </w:rPr>
        <w:t>&gt;.</w:t>
      </w:r>
    </w:p>
  </w:footnote>
  <w:footnote w:id="14">
    <w:p w14:paraId="6B1E7DE9"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Ibid.</w:t>
      </w:r>
    </w:p>
  </w:footnote>
  <w:footnote w:id="15">
    <w:p w14:paraId="0BD15546"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Pr>
          <w:rFonts w:ascii="Times New Roman" w:hAnsi="Times New Roman" w:cs="Times New Roman"/>
        </w:rPr>
        <w:t xml:space="preserve"> Becker (2011) 58.</w:t>
      </w:r>
    </w:p>
  </w:footnote>
  <w:footnote w:id="16">
    <w:p w14:paraId="233D32EB" w14:textId="7637A2B1" w:rsidR="00225EB4" w:rsidRPr="004E1BBB" w:rsidRDefault="00225EB4" w:rsidP="004E1BBB">
      <w:pPr>
        <w:autoSpaceDE w:val="0"/>
        <w:autoSpaceDN w:val="0"/>
        <w:adjustRightInd w:val="0"/>
        <w:spacing w:before="120" w:after="120" w:line="240" w:lineRule="auto"/>
        <w:rPr>
          <w:rFonts w:ascii="Times New Roman" w:hAnsi="Times New Roman" w:cs="Times New Roman"/>
          <w:i/>
          <w:iCs/>
          <w:sz w:val="20"/>
          <w:szCs w:val="20"/>
        </w:rPr>
      </w:pPr>
      <w:r w:rsidRPr="004E1BBB">
        <w:rPr>
          <w:rStyle w:val="FootnoteReference"/>
          <w:rFonts w:ascii="Times New Roman" w:hAnsi="Times New Roman" w:cs="Times New Roman"/>
          <w:sz w:val="20"/>
          <w:szCs w:val="20"/>
        </w:rPr>
        <w:footnoteRef/>
      </w:r>
      <w:r w:rsidRPr="004E1BBB">
        <w:rPr>
          <w:rFonts w:ascii="Times New Roman" w:hAnsi="Times New Roman" w:cs="Times New Roman"/>
          <w:sz w:val="20"/>
          <w:szCs w:val="20"/>
        </w:rPr>
        <w:t xml:space="preserve"> Stuart Macintyre, ‘Arbitration’ in Graeme Davison, John Hirst and Stuart Macintyre (eds), </w:t>
      </w:r>
      <w:r w:rsidRPr="004E1BBB">
        <w:rPr>
          <w:rFonts w:ascii="Times New Roman" w:hAnsi="Times New Roman" w:cs="Times New Roman"/>
          <w:i/>
          <w:iCs/>
          <w:sz w:val="20"/>
          <w:szCs w:val="20"/>
        </w:rPr>
        <w:t>The</w:t>
      </w:r>
      <w:r w:rsidR="004E1BBB" w:rsidRPr="004E1BBB">
        <w:rPr>
          <w:rFonts w:ascii="Times New Roman" w:hAnsi="Times New Roman" w:cs="Times New Roman"/>
          <w:i/>
          <w:iCs/>
          <w:sz w:val="20"/>
          <w:szCs w:val="20"/>
        </w:rPr>
        <w:t xml:space="preserve"> </w:t>
      </w:r>
      <w:r w:rsidRPr="004E1BBB">
        <w:rPr>
          <w:rFonts w:ascii="Times New Roman" w:hAnsi="Times New Roman" w:cs="Times New Roman"/>
          <w:i/>
          <w:iCs/>
          <w:sz w:val="20"/>
          <w:szCs w:val="20"/>
        </w:rPr>
        <w:t xml:space="preserve">Oxford Companion to Australian History </w:t>
      </w:r>
      <w:r w:rsidRPr="004E1BBB">
        <w:rPr>
          <w:rFonts w:ascii="Times New Roman" w:hAnsi="Times New Roman" w:cs="Times New Roman"/>
          <w:sz w:val="20"/>
          <w:szCs w:val="20"/>
        </w:rPr>
        <w:t>(OUP, 2001) 31.</w:t>
      </w:r>
    </w:p>
  </w:footnote>
  <w:footnote w:id="17">
    <w:p w14:paraId="43246E04" w14:textId="7061B603" w:rsidR="00225EB4" w:rsidRPr="004E1BBB" w:rsidRDefault="00225EB4" w:rsidP="004E1BBB">
      <w:pPr>
        <w:autoSpaceDE w:val="0"/>
        <w:autoSpaceDN w:val="0"/>
        <w:adjustRightInd w:val="0"/>
        <w:spacing w:before="120" w:after="120" w:line="240" w:lineRule="auto"/>
        <w:rPr>
          <w:rFonts w:ascii="Times New Roman" w:hAnsi="Times New Roman" w:cs="Times New Roman"/>
          <w:i/>
          <w:iCs/>
          <w:sz w:val="20"/>
          <w:szCs w:val="20"/>
        </w:rPr>
      </w:pPr>
      <w:r w:rsidRPr="00EE7AA9">
        <w:rPr>
          <w:rStyle w:val="FootnoteReference"/>
          <w:rFonts w:ascii="Times New Roman" w:hAnsi="Times New Roman" w:cs="Times New Roman"/>
          <w:sz w:val="20"/>
          <w:szCs w:val="20"/>
        </w:rPr>
        <w:footnoteRef/>
      </w:r>
      <w:r w:rsidRPr="00EE7AA9">
        <w:rPr>
          <w:rFonts w:ascii="Times New Roman" w:hAnsi="Times New Roman" w:cs="Times New Roman"/>
          <w:sz w:val="20"/>
          <w:szCs w:val="20"/>
        </w:rPr>
        <w:t xml:space="preserve"> Joellen </w:t>
      </w:r>
      <w:r w:rsidRPr="004E1BBB">
        <w:rPr>
          <w:rFonts w:ascii="Times New Roman" w:hAnsi="Times New Roman" w:cs="Times New Roman"/>
          <w:sz w:val="20"/>
          <w:szCs w:val="20"/>
        </w:rPr>
        <w:t xml:space="preserve">Riley, ‘Good Faith Performance’ in Mordy Bromberg and Mark Irving (eds), </w:t>
      </w:r>
      <w:r w:rsidRPr="004E1BBB">
        <w:rPr>
          <w:rFonts w:ascii="Times New Roman" w:hAnsi="Times New Roman" w:cs="Times New Roman"/>
          <w:i/>
          <w:iCs/>
          <w:sz w:val="20"/>
          <w:szCs w:val="20"/>
        </w:rPr>
        <w:t>The Australian</w:t>
      </w:r>
      <w:r w:rsidR="004E1BBB" w:rsidRPr="004E1BBB">
        <w:rPr>
          <w:rFonts w:ascii="Times New Roman" w:hAnsi="Times New Roman" w:cs="Times New Roman"/>
          <w:i/>
          <w:iCs/>
          <w:sz w:val="20"/>
          <w:szCs w:val="20"/>
        </w:rPr>
        <w:t xml:space="preserve"> </w:t>
      </w:r>
      <w:r w:rsidRPr="004E1BBB">
        <w:rPr>
          <w:rFonts w:ascii="Times New Roman" w:hAnsi="Times New Roman" w:cs="Times New Roman"/>
          <w:i/>
          <w:iCs/>
          <w:sz w:val="20"/>
          <w:szCs w:val="20"/>
        </w:rPr>
        <w:t xml:space="preserve">Charter of Employment Rights </w:t>
      </w:r>
      <w:r w:rsidRPr="004E1BBB">
        <w:rPr>
          <w:rFonts w:ascii="Times New Roman" w:hAnsi="Times New Roman" w:cs="Times New Roman"/>
          <w:sz w:val="20"/>
          <w:szCs w:val="20"/>
        </w:rPr>
        <w:t>(Hardie Grant Books, 2007) 13.</w:t>
      </w:r>
    </w:p>
  </w:footnote>
  <w:footnote w:id="18">
    <w:p w14:paraId="679D6ACA"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EE7AA9">
        <w:rPr>
          <w:rFonts w:ascii="Times New Roman" w:hAnsi="Times New Roman" w:cs="Times New Roman"/>
          <w:i/>
          <w:iCs/>
        </w:rPr>
        <w:t xml:space="preserve">FEDA v Robe River Iron Association </w:t>
      </w:r>
      <w:r w:rsidRPr="00EE7AA9">
        <w:rPr>
          <w:rFonts w:ascii="Times New Roman" w:hAnsi="Times New Roman" w:cs="Times New Roman"/>
        </w:rPr>
        <w:t>(1987) AILR 131.</w:t>
      </w:r>
    </w:p>
  </w:footnote>
  <w:footnote w:id="19">
    <w:p w14:paraId="1D16B155" w14:textId="3FB0A1B0" w:rsidR="00225EB4" w:rsidRPr="004E1BBB" w:rsidRDefault="00225EB4" w:rsidP="004E1BBB">
      <w:pPr>
        <w:autoSpaceDE w:val="0"/>
        <w:autoSpaceDN w:val="0"/>
        <w:adjustRightInd w:val="0"/>
        <w:spacing w:before="120" w:after="120" w:line="240" w:lineRule="auto"/>
        <w:rPr>
          <w:rFonts w:ascii="Times New Roman" w:hAnsi="Times New Roman" w:cs="Times New Roman"/>
          <w:b/>
          <w:sz w:val="20"/>
          <w:szCs w:val="20"/>
        </w:rPr>
      </w:pPr>
      <w:r w:rsidRPr="00EE7AA9">
        <w:rPr>
          <w:rStyle w:val="FootnoteReference"/>
          <w:rFonts w:ascii="Times New Roman" w:hAnsi="Times New Roman" w:cs="Times New Roman"/>
          <w:sz w:val="20"/>
          <w:szCs w:val="20"/>
        </w:rPr>
        <w:footnoteRef/>
      </w:r>
      <w:r w:rsidRPr="00EE7AA9">
        <w:rPr>
          <w:rFonts w:ascii="Times New Roman" w:hAnsi="Times New Roman" w:cs="Times New Roman"/>
          <w:sz w:val="20"/>
          <w:szCs w:val="20"/>
        </w:rPr>
        <w:t xml:space="preserve"> </w:t>
      </w:r>
      <w:r w:rsidRPr="004E1BBB">
        <w:rPr>
          <w:rFonts w:ascii="Times New Roman" w:hAnsi="Times New Roman" w:cs="Times New Roman"/>
          <w:i/>
          <w:sz w:val="20"/>
          <w:szCs w:val="20"/>
        </w:rPr>
        <w:t>Workplace Relations Act 1996</w:t>
      </w:r>
      <w:r w:rsidRPr="00EE7AA9">
        <w:rPr>
          <w:rFonts w:ascii="Times New Roman" w:hAnsi="Times New Roman" w:cs="Times New Roman"/>
          <w:sz w:val="20"/>
          <w:szCs w:val="20"/>
        </w:rPr>
        <w:t xml:space="preserve"> (Cth) s 170CA(2</w:t>
      </w:r>
      <w:r w:rsidR="004E1BBB">
        <w:rPr>
          <w:rFonts w:ascii="Times New Roman" w:hAnsi="Times New Roman" w:cs="Times New Roman"/>
          <w:sz w:val="20"/>
          <w:szCs w:val="20"/>
        </w:rPr>
        <w:t xml:space="preserve">); </w:t>
      </w:r>
      <w:r w:rsidR="004E1BBB">
        <w:rPr>
          <w:rFonts w:ascii="Times New Roman" w:hAnsi="Times New Roman" w:cs="Times New Roman"/>
          <w:i/>
          <w:sz w:val="20"/>
          <w:szCs w:val="20"/>
        </w:rPr>
        <w:t xml:space="preserve">Fair Work Act 2009 </w:t>
      </w:r>
      <w:r w:rsidR="004E1BBB">
        <w:rPr>
          <w:rFonts w:ascii="Times New Roman" w:hAnsi="Times New Roman" w:cs="Times New Roman"/>
          <w:sz w:val="20"/>
          <w:szCs w:val="20"/>
        </w:rPr>
        <w:t>(Cth) s 381.</w:t>
      </w:r>
    </w:p>
  </w:footnote>
  <w:footnote w:id="20">
    <w:p w14:paraId="0A9DDD94" w14:textId="77777777" w:rsidR="00225EB4" w:rsidRPr="00AC6BE0"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 xml:space="preserve"> The </w:t>
      </w:r>
      <w:r>
        <w:rPr>
          <w:rFonts w:ascii="Times New Roman" w:hAnsi="Times New Roman" w:cs="Times New Roman"/>
          <w:i/>
        </w:rPr>
        <w:t xml:space="preserve">Fair Work Act 2009 </w:t>
      </w:r>
      <w:r>
        <w:rPr>
          <w:rFonts w:ascii="Times New Roman" w:hAnsi="Times New Roman" w:cs="Times New Roman"/>
        </w:rPr>
        <w:t>(Cth).</w:t>
      </w:r>
    </w:p>
  </w:footnote>
  <w:footnote w:id="21">
    <w:p w14:paraId="654A261E"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The Fair Work Commission.</w:t>
      </w:r>
    </w:p>
  </w:footnote>
  <w:footnote w:id="22">
    <w:p w14:paraId="68A5454E" w14:textId="77777777" w:rsidR="00225EB4" w:rsidRPr="00EE7AA9" w:rsidRDefault="00225EB4" w:rsidP="004E1BBB">
      <w:pPr>
        <w:autoSpaceDE w:val="0"/>
        <w:autoSpaceDN w:val="0"/>
        <w:adjustRightInd w:val="0"/>
        <w:spacing w:before="120" w:after="120" w:line="240" w:lineRule="auto"/>
        <w:rPr>
          <w:rFonts w:ascii="Times New Roman" w:hAnsi="Times New Roman" w:cs="Times New Roman"/>
          <w:sz w:val="20"/>
          <w:szCs w:val="20"/>
        </w:rPr>
      </w:pPr>
      <w:r w:rsidRPr="00EE7AA9">
        <w:rPr>
          <w:rStyle w:val="FootnoteReference"/>
          <w:rFonts w:ascii="Times New Roman" w:hAnsi="Times New Roman" w:cs="Times New Roman"/>
          <w:sz w:val="20"/>
          <w:szCs w:val="20"/>
        </w:rPr>
        <w:footnoteRef/>
      </w:r>
      <w:r w:rsidRPr="00EE7AA9">
        <w:rPr>
          <w:rFonts w:ascii="Times New Roman" w:hAnsi="Times New Roman" w:cs="Times New Roman"/>
          <w:sz w:val="20"/>
          <w:szCs w:val="20"/>
        </w:rPr>
        <w:t xml:space="preserve"> Justice Boland, </w:t>
      </w:r>
      <w:r w:rsidRPr="00EE7AA9">
        <w:rPr>
          <w:rFonts w:ascii="Times New Roman" w:hAnsi="Times New Roman" w:cs="Times New Roman"/>
          <w:i/>
          <w:iCs/>
          <w:sz w:val="20"/>
          <w:szCs w:val="20"/>
        </w:rPr>
        <w:t xml:space="preserve">In Defence of Industrial Tribunals </w:t>
      </w:r>
      <w:r w:rsidRPr="00EE7AA9">
        <w:rPr>
          <w:rFonts w:ascii="Times New Roman" w:hAnsi="Times New Roman" w:cs="Times New Roman"/>
          <w:sz w:val="20"/>
          <w:szCs w:val="20"/>
        </w:rPr>
        <w:t>(Paper presented to the National Conference of the Industrial Relations Society of Australia, May 2010).</w:t>
      </w:r>
    </w:p>
  </w:footnote>
  <w:footnote w:id="23">
    <w:p w14:paraId="2760BD92" w14:textId="7777777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Pr>
          <w:rFonts w:ascii="Times New Roman" w:hAnsi="Times New Roman" w:cs="Times New Roman"/>
        </w:rPr>
        <w:t>Becker (2011)</w:t>
      </w:r>
      <w:r w:rsidRPr="00EE7AA9">
        <w:rPr>
          <w:rFonts w:ascii="Times New Roman" w:hAnsi="Times New Roman" w:cs="Times New Roman"/>
        </w:rPr>
        <w:t xml:space="preserve"> 59.</w:t>
      </w:r>
    </w:p>
  </w:footnote>
  <w:footnote w:id="24">
    <w:p w14:paraId="455543A9"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EE7AA9">
        <w:rPr>
          <w:rFonts w:ascii="Times New Roman" w:hAnsi="Times New Roman" w:cs="Times New Roman"/>
          <w:lang w:val="en-US"/>
        </w:rPr>
        <w:t>P</w:t>
      </w:r>
      <w:r>
        <w:rPr>
          <w:rFonts w:ascii="Times New Roman" w:hAnsi="Times New Roman" w:cs="Times New Roman"/>
          <w:lang w:val="en-US"/>
        </w:rPr>
        <w:t xml:space="preserve">roductivity </w:t>
      </w:r>
      <w:r w:rsidRPr="00EE7AA9">
        <w:rPr>
          <w:rFonts w:ascii="Times New Roman" w:hAnsi="Times New Roman" w:cs="Times New Roman"/>
          <w:lang w:val="en-US"/>
        </w:rPr>
        <w:t>C</w:t>
      </w:r>
      <w:r>
        <w:rPr>
          <w:rFonts w:ascii="Times New Roman" w:hAnsi="Times New Roman" w:cs="Times New Roman"/>
          <w:lang w:val="en-US"/>
        </w:rPr>
        <w:t xml:space="preserve">ommission, Issues Paper, </w:t>
      </w:r>
      <w:r w:rsidRPr="00EE7AA9">
        <w:rPr>
          <w:rFonts w:ascii="Times New Roman" w:hAnsi="Times New Roman" w:cs="Times New Roman"/>
          <w:lang w:val="en-US"/>
        </w:rPr>
        <w:t>31.</w:t>
      </w:r>
    </w:p>
  </w:footnote>
  <w:footnote w:id="25">
    <w:p w14:paraId="73117804" w14:textId="77777777" w:rsidR="00225EB4" w:rsidRPr="00EE7AA9" w:rsidRDefault="00225EB4" w:rsidP="004E1BBB">
      <w:pPr>
        <w:widowControl w:val="0"/>
        <w:autoSpaceDE w:val="0"/>
        <w:autoSpaceDN w:val="0"/>
        <w:adjustRightInd w:val="0"/>
        <w:spacing w:before="120" w:after="120" w:line="240" w:lineRule="auto"/>
        <w:ind w:left="709" w:hanging="709"/>
        <w:rPr>
          <w:rFonts w:ascii="Times New Roman" w:hAnsi="Times New Roman" w:cs="Times New Roman"/>
          <w:sz w:val="20"/>
          <w:szCs w:val="20"/>
        </w:rPr>
      </w:pPr>
      <w:r w:rsidRPr="00EE7AA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E7AA9">
        <w:rPr>
          <w:rFonts w:ascii="Times New Roman" w:hAnsi="Times New Roman" w:cs="Times New Roman"/>
          <w:sz w:val="20"/>
          <w:szCs w:val="20"/>
        </w:rPr>
        <w:t xml:space="preserve">M Freedland and N Kountouris, </w:t>
      </w:r>
      <w:r w:rsidRPr="00EE7AA9">
        <w:rPr>
          <w:rFonts w:ascii="Times New Roman" w:hAnsi="Times New Roman" w:cs="Times New Roman"/>
          <w:i/>
          <w:iCs/>
          <w:sz w:val="20"/>
          <w:szCs w:val="20"/>
        </w:rPr>
        <w:t xml:space="preserve">The Legal Construction of Personal Work Relations </w:t>
      </w:r>
      <w:r w:rsidRPr="00EE7AA9">
        <w:rPr>
          <w:rFonts w:ascii="Times New Roman" w:hAnsi="Times New Roman" w:cs="Times New Roman"/>
          <w:sz w:val="20"/>
          <w:szCs w:val="20"/>
        </w:rPr>
        <w:t>(OUP: 2011) 372.</w:t>
      </w:r>
    </w:p>
  </w:footnote>
  <w:footnote w:id="26">
    <w:p w14:paraId="0036388E"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6E1D26">
        <w:rPr>
          <w:rFonts w:ascii="Times New Roman" w:hAnsi="Times New Roman" w:cs="Times New Roman"/>
        </w:rPr>
        <w:t xml:space="preserve">Cathryn Costello ‘Migrants and Forced Labour: A Labour Law Response’ in Alan Bogg and others (eds), </w:t>
      </w:r>
      <w:r w:rsidRPr="006E1D26">
        <w:rPr>
          <w:rFonts w:ascii="Times New Roman" w:hAnsi="Times New Roman" w:cs="Times New Roman"/>
          <w:i/>
        </w:rPr>
        <w:t>The Autonomy of Labour Law</w:t>
      </w:r>
      <w:r w:rsidRPr="006E1D26">
        <w:rPr>
          <w:rFonts w:ascii="Times New Roman" w:hAnsi="Times New Roman" w:cs="Times New Roman"/>
        </w:rPr>
        <w:t xml:space="preserve"> (Bloomsbury 2015) 211.</w:t>
      </w:r>
    </w:p>
  </w:footnote>
  <w:footnote w:id="27">
    <w:p w14:paraId="3B243FE1" w14:textId="77777777"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Costello identifies the presence of ‘a tie’ that requires a migrant worker to remain in a particular job to retain immigration status as one of the conditions allowing for the domination of migrant workers.</w:t>
      </w:r>
    </w:p>
  </w:footnote>
  <w:footnote w:id="28">
    <w:p w14:paraId="78B37F97" w14:textId="1B1474EE" w:rsidR="00225EB4" w:rsidRPr="004E1BBB" w:rsidRDefault="00225EB4" w:rsidP="004E1BBB">
      <w:pPr>
        <w:pStyle w:val="FootnoteText"/>
        <w:spacing w:before="120" w:after="120"/>
        <w:rPr>
          <w:rFonts w:ascii="Times New Roman" w:hAnsi="Times New Roman" w:cs="Times New Roman"/>
          <w:lang w:val="en-US"/>
        </w:rPr>
      </w:pPr>
      <w:r w:rsidRPr="004E1BBB">
        <w:rPr>
          <w:rStyle w:val="FootnoteReference"/>
          <w:rFonts w:ascii="Times New Roman" w:hAnsi="Times New Roman" w:cs="Times New Roman"/>
        </w:rPr>
        <w:footnoteRef/>
      </w:r>
      <w:r w:rsidRPr="004E1BBB">
        <w:rPr>
          <w:rFonts w:ascii="Times New Roman" w:hAnsi="Times New Roman" w:cs="Times New Roman"/>
        </w:rPr>
        <w:t xml:space="preserve"> </w:t>
      </w:r>
      <w:r w:rsidR="004E1BBB">
        <w:rPr>
          <w:rFonts w:ascii="Times New Roman" w:hAnsi="Times New Roman" w:cs="Times New Roman"/>
        </w:rPr>
        <w:t xml:space="preserve">For example, see: </w:t>
      </w:r>
      <w:r w:rsidR="004E1BBB" w:rsidRPr="004E1BBB">
        <w:rPr>
          <w:rFonts w:ascii="Times New Roman" w:hAnsi="Times New Roman" w:cs="Times New Roman"/>
          <w:lang w:val="en-US"/>
        </w:rPr>
        <w:t xml:space="preserve">Laurie Berg, </w:t>
      </w:r>
      <w:r w:rsidR="004E1BBB" w:rsidRPr="004E1BBB">
        <w:rPr>
          <w:rFonts w:ascii="Times New Roman" w:hAnsi="Times New Roman" w:cs="Times New Roman"/>
          <w:i/>
          <w:iCs/>
          <w:color w:val="1A1A1A"/>
          <w:lang w:val="en-US" w:eastAsia="en-US"/>
        </w:rPr>
        <w:t>Migrant Rights at Work: Law's precariousness at the intersection of migration and labour</w:t>
      </w:r>
      <w:r w:rsidR="004E1BBB">
        <w:rPr>
          <w:rFonts w:ascii="Times New Roman" w:hAnsi="Times New Roman" w:cs="Times New Roman"/>
          <w:color w:val="1A1A1A"/>
          <w:lang w:val="en-US" w:eastAsia="en-US"/>
        </w:rPr>
        <w:t xml:space="preserve"> (</w:t>
      </w:r>
      <w:r w:rsidR="004E1BBB" w:rsidRPr="004E1BBB">
        <w:rPr>
          <w:rFonts w:ascii="Times New Roman" w:hAnsi="Times New Roman" w:cs="Times New Roman"/>
          <w:color w:val="1A1A1A"/>
          <w:lang w:val="en-US" w:eastAsia="en-US"/>
        </w:rPr>
        <w:t xml:space="preserve">Routledge, </w:t>
      </w:r>
      <w:r w:rsidR="004E1BBB">
        <w:rPr>
          <w:rFonts w:ascii="Times New Roman" w:hAnsi="Times New Roman" w:cs="Times New Roman"/>
          <w:color w:val="1A1A1A"/>
          <w:lang w:val="en-US" w:eastAsia="en-US"/>
        </w:rPr>
        <w:t>2015)</w:t>
      </w:r>
      <w:r w:rsidR="004E1BBB" w:rsidRPr="004E1BBB">
        <w:rPr>
          <w:rFonts w:ascii="Times New Roman" w:hAnsi="Times New Roman" w:cs="Times New Roman"/>
          <w:color w:val="1A1A1A"/>
          <w:lang w:val="en-US" w:eastAsia="en-US"/>
        </w:rPr>
        <w:t>.</w:t>
      </w:r>
      <w:r w:rsidRPr="004E1BBB">
        <w:rPr>
          <w:rFonts w:ascii="Times New Roman" w:hAnsi="Times New Roman" w:cs="Times New Roman"/>
          <w:lang w:val="en-US"/>
        </w:rPr>
        <w:t xml:space="preserve"> </w:t>
      </w:r>
    </w:p>
  </w:footnote>
  <w:footnote w:id="29">
    <w:p w14:paraId="1932BED1" w14:textId="00E4C2AD" w:rsidR="00225EB4" w:rsidRPr="00EE7AA9" w:rsidRDefault="00225EB4" w:rsidP="004E1BBB">
      <w:pPr>
        <w:pStyle w:val="FootnoteText"/>
        <w:spacing w:before="120" w:after="120"/>
        <w:rPr>
          <w:rFonts w:ascii="Times New Roman" w:hAnsi="Times New Roman" w:cs="Times New Roman"/>
        </w:rPr>
      </w:pPr>
      <w:r w:rsidRPr="004E1BBB">
        <w:rPr>
          <w:rStyle w:val="FootnoteReference"/>
          <w:rFonts w:ascii="Times New Roman" w:hAnsi="Times New Roman" w:cs="Times New Roman"/>
        </w:rPr>
        <w:footnoteRef/>
      </w:r>
      <w:r w:rsidRPr="004E1BBB">
        <w:rPr>
          <w:rFonts w:ascii="Times New Roman" w:hAnsi="Times New Roman" w:cs="Times New Roman"/>
        </w:rPr>
        <w:t xml:space="preserve"> </w:t>
      </w:r>
      <w:r w:rsidR="004E1BBB" w:rsidRPr="004E1BBB">
        <w:rPr>
          <w:rFonts w:ascii="Times New Roman" w:hAnsi="Times New Roman" w:cs="Times New Roman"/>
        </w:rPr>
        <w:t xml:space="preserve">For example, see: M Freedland and N Kountouris, </w:t>
      </w:r>
      <w:r w:rsidR="004E1BBB" w:rsidRPr="004E1BBB">
        <w:rPr>
          <w:rFonts w:ascii="Times New Roman" w:hAnsi="Times New Roman" w:cs="Times New Roman"/>
          <w:i/>
          <w:iCs/>
        </w:rPr>
        <w:t xml:space="preserve">The Legal Construction of Personal Work Relations </w:t>
      </w:r>
      <w:r w:rsidR="004E1BBB" w:rsidRPr="004E1BBB">
        <w:rPr>
          <w:rFonts w:ascii="Times New Roman" w:hAnsi="Times New Roman" w:cs="Times New Roman"/>
        </w:rPr>
        <w:t>(OUP: 2011).</w:t>
      </w:r>
    </w:p>
  </w:footnote>
  <w:footnote w:id="30">
    <w:p w14:paraId="4ACF0E40" w14:textId="0A8C3EC0" w:rsidR="00225EB4" w:rsidRPr="00EE7AA9" w:rsidRDefault="00225EB4" w:rsidP="004E1BBB">
      <w:pPr>
        <w:widowControl w:val="0"/>
        <w:tabs>
          <w:tab w:val="left" w:pos="-142"/>
          <w:tab w:val="left" w:pos="220"/>
        </w:tabs>
        <w:autoSpaceDE w:val="0"/>
        <w:autoSpaceDN w:val="0"/>
        <w:adjustRightInd w:val="0"/>
        <w:spacing w:before="120" w:after="120" w:line="240" w:lineRule="auto"/>
        <w:rPr>
          <w:rFonts w:ascii="Times New Roman" w:hAnsi="Times New Roman" w:cs="Times New Roman"/>
          <w:sz w:val="20"/>
          <w:szCs w:val="20"/>
        </w:rPr>
      </w:pPr>
      <w:r w:rsidRPr="00EE7AA9">
        <w:rPr>
          <w:rStyle w:val="FootnoteReference"/>
          <w:rFonts w:ascii="Times New Roman" w:hAnsi="Times New Roman" w:cs="Times New Roman"/>
          <w:sz w:val="20"/>
          <w:szCs w:val="20"/>
        </w:rPr>
        <w:footnoteRef/>
      </w:r>
      <w:r w:rsidR="004E1BBB">
        <w:rPr>
          <w:rFonts w:ascii="Times New Roman" w:hAnsi="Times New Roman" w:cs="Times New Roman"/>
          <w:sz w:val="20"/>
          <w:szCs w:val="20"/>
        </w:rPr>
        <w:t xml:space="preserve"> </w:t>
      </w:r>
      <w:r w:rsidR="004E1BBB">
        <w:rPr>
          <w:rFonts w:ascii="Times New Roman" w:hAnsi="Times New Roman" w:cs="Times New Roman"/>
          <w:sz w:val="20"/>
          <w:szCs w:val="20"/>
        </w:rPr>
        <w:tab/>
      </w:r>
      <w:r w:rsidRPr="00EE7AA9">
        <w:rPr>
          <w:rFonts w:ascii="Times New Roman" w:hAnsi="Times New Roman" w:cs="Times New Roman"/>
          <w:sz w:val="20"/>
          <w:szCs w:val="20"/>
        </w:rPr>
        <w:t xml:space="preserve">Jones v Hanssen Pty Ltd [2008] FMCA 291; BC200801596 at [8]–[9]. This case was later  appealed and the Federal Court reduced the penalty imposed on the employer because the Federal Magistrate placed too much emphasis on the vulnerable position of the 457 visa holders, rather than articulating the actual detriment suffered by them: Hanssen Pty Ltd v Jones (2009) 179 IR 57; [2009] FCA 192; BC200901181. </w:t>
      </w:r>
    </w:p>
  </w:footnote>
  <w:footnote w:id="31">
    <w:p w14:paraId="04627B2E" w14:textId="6FD9B337" w:rsidR="00225EB4" w:rsidRPr="00EE7AA9" w:rsidRDefault="00225EB4" w:rsidP="004E1BBB">
      <w:pPr>
        <w:pStyle w:val="FootnoteText"/>
        <w:spacing w:before="120" w:after="120"/>
        <w:rPr>
          <w:rFonts w:ascii="Times New Roman" w:hAnsi="Times New Roman" w:cs="Times New Roman"/>
        </w:rPr>
      </w:pPr>
      <w:r w:rsidRPr="00EE7AA9">
        <w:rPr>
          <w:rStyle w:val="FootnoteReference"/>
          <w:rFonts w:ascii="Times New Roman" w:hAnsi="Times New Roman" w:cs="Times New Roman"/>
        </w:rPr>
        <w:footnoteRef/>
      </w:r>
      <w:r w:rsidR="004E1BBB">
        <w:rPr>
          <w:rFonts w:ascii="Times New Roman" w:hAnsi="Times New Roman" w:cs="Times New Roman"/>
        </w:rPr>
        <w:t xml:space="preserve"> </w:t>
      </w:r>
      <w:r w:rsidRPr="00EE7AA9">
        <w:rPr>
          <w:rFonts w:ascii="Times New Roman" w:hAnsi="Times New Roman" w:cs="Times New Roman"/>
        </w:rPr>
        <w:t>Jones v Hanssen Pty Ltd [2008] FMCA 291; BC200801596.</w:t>
      </w:r>
    </w:p>
  </w:footnote>
  <w:footnote w:id="32">
    <w:p w14:paraId="511C4397" w14:textId="2D737785" w:rsidR="00225EB4" w:rsidRPr="00EE7AA9" w:rsidRDefault="00225EB4" w:rsidP="004E1BBB">
      <w:pPr>
        <w:pStyle w:val="FootnoteText"/>
        <w:spacing w:before="120" w:after="120"/>
        <w:ind w:left="709" w:hanging="709"/>
        <w:rPr>
          <w:rFonts w:ascii="Times New Roman" w:hAnsi="Times New Roman" w:cs="Times New Roman"/>
        </w:rPr>
      </w:pPr>
      <w:r w:rsidRPr="00EE7AA9">
        <w:rPr>
          <w:rStyle w:val="FootnoteReference"/>
          <w:rFonts w:ascii="Times New Roman" w:hAnsi="Times New Roman" w:cs="Times New Roman"/>
        </w:rPr>
        <w:footnoteRef/>
      </w:r>
      <w:r w:rsidR="004E1BBB">
        <w:rPr>
          <w:rFonts w:ascii="Times New Roman" w:hAnsi="Times New Roman" w:cs="Times New Roman"/>
        </w:rPr>
        <w:t xml:space="preserve"> </w:t>
      </w:r>
      <w:r w:rsidRPr="00EE7AA9">
        <w:rPr>
          <w:rFonts w:ascii="Times New Roman" w:hAnsi="Times New Roman" w:cs="Times New Roman"/>
        </w:rPr>
        <w:t>RAM v D&amp;D Indian Fine Foods Pty Ltd &amp; Anor [2015] FCCA 389, 187.</w:t>
      </w:r>
    </w:p>
  </w:footnote>
  <w:footnote w:id="33">
    <w:p w14:paraId="4459D451" w14:textId="41BCF718"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00F10D18">
        <w:rPr>
          <w:rFonts w:ascii="Times New Roman" w:hAnsi="Times New Roman" w:cs="Times New Roman"/>
          <w:lang w:val="en-US"/>
        </w:rPr>
        <w:t>Becker (2011) 31</w:t>
      </w:r>
      <w:r w:rsidRPr="00EE7AA9">
        <w:rPr>
          <w:rFonts w:ascii="Times New Roman" w:hAnsi="Times New Roman" w:cs="Times New Roman"/>
          <w:lang w:val="en-US"/>
        </w:rPr>
        <w:t>.</w:t>
      </w:r>
    </w:p>
  </w:footnote>
  <w:footnote w:id="34">
    <w:p w14:paraId="453306CF" w14:textId="1B340A9E"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4E1BBB">
        <w:rPr>
          <w:rFonts w:ascii="Times New Roman" w:hAnsi="Times New Roman" w:cs="Times New Roman"/>
          <w:lang w:val="en-US"/>
        </w:rPr>
        <w:t xml:space="preserve">An example of another temporary migrant worker program which scholars have labeled as creating the potential for forced labour to occur is Canada’s domestic migrant workers program which previously required that domestic workers be sponsored by, and reside in the same house as, their employer. Although this scheme was initially praised by the ILO for giving these workers rights to permanent residency after two years, Canadian scholars have observed how many domestic workers became ‘live-in’ slaves because of the structural features of this visa programme. See, for example, </w:t>
      </w:r>
      <w:r w:rsidR="004E1BBB" w:rsidRPr="004E1BBB">
        <w:rPr>
          <w:rFonts w:ascii="Times New Roman" w:eastAsiaTheme="minorHAnsi" w:hAnsi="Times New Roman" w:cs="Times New Roman"/>
        </w:rPr>
        <w:t xml:space="preserve">Bakan, Abigail B.  and Daiva  Stasiulis. 2012.  ‘The Political Economy of Migrant Live-in Caregivers: A Case of Unfree Labour’ in Patti Lenard and Christine  Straehle, eds,, </w:t>
      </w:r>
      <w:r w:rsidR="004E1BBB" w:rsidRPr="004E1BBB">
        <w:rPr>
          <w:rFonts w:ascii="Times New Roman" w:eastAsiaTheme="minorHAnsi" w:hAnsi="Times New Roman" w:cs="Times New Roman"/>
          <w:i/>
        </w:rPr>
        <w:t>Legislated Inequality: Temporary Labour Migration in Canada</w:t>
      </w:r>
      <w:r w:rsidR="004E1BBB">
        <w:rPr>
          <w:rFonts w:ascii="Times New Roman" w:eastAsiaTheme="minorHAnsi" w:hAnsi="Times New Roman" w:cs="Times New Roman"/>
        </w:rPr>
        <w:t xml:space="preserve"> (M</w:t>
      </w:r>
      <w:r w:rsidR="004E1BBB" w:rsidRPr="004E1BBB">
        <w:rPr>
          <w:rFonts w:ascii="Times New Roman" w:eastAsiaTheme="minorHAnsi" w:hAnsi="Times New Roman" w:cs="Times New Roman"/>
        </w:rPr>
        <w:t>cGill-Qu</w:t>
      </w:r>
      <w:r w:rsidR="004E1BBB">
        <w:rPr>
          <w:rFonts w:ascii="Times New Roman" w:eastAsiaTheme="minorHAnsi" w:hAnsi="Times New Roman" w:cs="Times New Roman"/>
        </w:rPr>
        <w:t>eens University Press).</w:t>
      </w:r>
    </w:p>
  </w:footnote>
  <w:footnote w:id="35">
    <w:p w14:paraId="384490EF" w14:textId="1B1902BD"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004E1BBB">
        <w:rPr>
          <w:rFonts w:ascii="Times New Roman" w:hAnsi="Times New Roman" w:cs="Times New Roman"/>
        </w:rPr>
        <w:t>Four Corners, ABC, ‘Slaving away: The Dirty Secrets Behind Australia’s Fast Food’, 4 May 2015.</w:t>
      </w:r>
    </w:p>
  </w:footnote>
  <w:footnote w:id="36">
    <w:p w14:paraId="704F27C6" w14:textId="03A96AAA" w:rsidR="00225EB4" w:rsidRPr="00EE7AA9" w:rsidRDefault="00225EB4" w:rsidP="004E1BBB">
      <w:pPr>
        <w:pStyle w:val="FootnoteText"/>
        <w:spacing w:before="120" w:after="120"/>
        <w:rPr>
          <w:rFonts w:ascii="Times New Roman" w:hAnsi="Times New Roman" w:cs="Times New Roman"/>
          <w:lang w:val="en-US"/>
        </w:rPr>
      </w:pPr>
      <w:r w:rsidRPr="00EE7AA9">
        <w:rPr>
          <w:rStyle w:val="FootnoteReference"/>
          <w:rFonts w:ascii="Times New Roman" w:hAnsi="Times New Roman" w:cs="Times New Roman"/>
        </w:rPr>
        <w:footnoteRef/>
      </w:r>
      <w:r w:rsidRPr="00EE7AA9">
        <w:rPr>
          <w:rFonts w:ascii="Times New Roman" w:hAnsi="Times New Roman" w:cs="Times New Roman"/>
        </w:rPr>
        <w:t xml:space="preserve"> </w:t>
      </w:r>
      <w:r w:rsidRPr="00EE7AA9">
        <w:rPr>
          <w:rFonts w:ascii="Times New Roman" w:hAnsi="Times New Roman" w:cs="Times New Roman"/>
          <w:lang w:val="en-US"/>
        </w:rPr>
        <w:t xml:space="preserve">Becker </w:t>
      </w:r>
      <w:r w:rsidR="00F10D18">
        <w:rPr>
          <w:rFonts w:ascii="Times New Roman" w:hAnsi="Times New Roman" w:cs="Times New Roman"/>
          <w:lang w:val="en-US"/>
        </w:rPr>
        <w:t>(</w:t>
      </w:r>
      <w:r w:rsidRPr="00EE7AA9">
        <w:rPr>
          <w:rFonts w:ascii="Times New Roman" w:hAnsi="Times New Roman" w:cs="Times New Roman"/>
          <w:lang w:val="en-US"/>
        </w:rPr>
        <w:t>2011</w:t>
      </w:r>
      <w:r w:rsidR="00F10D18">
        <w:rPr>
          <w:rFonts w:ascii="Times New Roman" w:hAnsi="Times New Roman" w:cs="Times New Roman"/>
          <w:lang w:val="en-US"/>
        </w:rPr>
        <w:t>)</w:t>
      </w:r>
      <w:r w:rsidRPr="00EE7AA9">
        <w:rPr>
          <w:rFonts w:ascii="Times New Roman" w:hAnsi="Times New Roman" w:cs="Times New Roman"/>
          <w:lang w:val="en-US"/>
        </w:rPr>
        <w:t xml:space="preserve">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87C6" w14:textId="77777777" w:rsidR="00225EB4" w:rsidRPr="005E131B" w:rsidRDefault="00225EB4" w:rsidP="00BA1125">
    <w:pPr>
      <w:pStyle w:val="Header"/>
      <w:ind w:left="2160"/>
      <w:rPr>
        <w:rFonts w:ascii="Times New Roman" w:hAnsi="Times New Roman" w:cs="Times New Roman"/>
        <w:i/>
        <w:sz w:val="20"/>
        <w:szCs w:val="20"/>
      </w:rPr>
    </w:pPr>
    <w:r w:rsidRPr="005E131B">
      <w:rPr>
        <w:rFonts w:ascii="Times New Roman" w:hAnsi="Times New Roman" w:cs="Times New Roman"/>
        <w:i/>
        <w:sz w:val="20"/>
        <w:szCs w:val="20"/>
      </w:rPr>
      <w:tab/>
    </w:r>
    <w:r w:rsidRPr="005E131B">
      <w:rPr>
        <w:rFonts w:ascii="Times New Roman" w:hAnsi="Times New Roman" w:cs="Times New Roman"/>
        <w:i/>
        <w:sz w:val="20"/>
        <w:szCs w:val="20"/>
      </w:rPr>
      <w:tab/>
      <w:t xml:space="preserve">Submission to the Productivity Commission </w:t>
    </w:r>
    <w:r w:rsidRPr="005E131B">
      <w:rPr>
        <w:rFonts w:ascii="Times New Roman" w:hAnsi="Times New Roman" w:cs="Times New Roman"/>
        <w:i/>
        <w:sz w:val="20"/>
        <w:szCs w:val="20"/>
      </w:rPr>
      <w:tab/>
    </w:r>
    <w:r w:rsidRPr="005E131B">
      <w:rPr>
        <w:rFonts w:ascii="Times New Roman" w:hAnsi="Times New Roman" w:cs="Times New Roman"/>
        <w:i/>
        <w:sz w:val="20"/>
        <w:szCs w:val="20"/>
      </w:rPr>
      <w:tab/>
      <w:t xml:space="preserve">        12 June 2015</w:t>
    </w:r>
    <w:r w:rsidRPr="005E131B">
      <w:rPr>
        <w:rFonts w:ascii="Times New Roman" w:hAnsi="Times New Roman" w:cs="Times New Roman"/>
        <w:i/>
        <w:sz w:val="20"/>
        <w:szCs w:val="20"/>
      </w:rPr>
      <w:tab/>
    </w:r>
    <w:r w:rsidRPr="005E131B">
      <w:rPr>
        <w:rFonts w:ascii="Times New Roman" w:hAnsi="Times New Roman" w:cs="Times New Roman"/>
        <w:i/>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5"/>
    <w:rsid w:val="00030E4C"/>
    <w:rsid w:val="00225EB4"/>
    <w:rsid w:val="0027013D"/>
    <w:rsid w:val="004E1BBB"/>
    <w:rsid w:val="009F2BE3"/>
    <w:rsid w:val="00AC6BE0"/>
    <w:rsid w:val="00BA1125"/>
    <w:rsid w:val="00D475EC"/>
    <w:rsid w:val="00EE7AA9"/>
    <w:rsid w:val="00F10D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2EB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2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
    <w:basedOn w:val="Normal"/>
    <w:link w:val="FootnoteTextChar"/>
    <w:unhideWhenUsed/>
    <w:qFormat/>
    <w:rsid w:val="00BA1125"/>
    <w:pPr>
      <w:spacing w:after="0" w:line="240" w:lineRule="auto"/>
    </w:pPr>
    <w:rPr>
      <w:sz w:val="20"/>
      <w:szCs w:val="20"/>
    </w:rPr>
  </w:style>
  <w:style w:type="character" w:customStyle="1" w:styleId="FootnoteTextChar">
    <w:name w:val="Footnote Text Char"/>
    <w:aliases w:val="ft Char"/>
    <w:basedOn w:val="DefaultParagraphFont"/>
    <w:link w:val="FootnoteText"/>
    <w:rsid w:val="00BA1125"/>
    <w:rPr>
      <w:sz w:val="20"/>
      <w:szCs w:val="20"/>
      <w:lang w:eastAsia="zh-CN"/>
    </w:rPr>
  </w:style>
  <w:style w:type="character" w:styleId="FootnoteReference">
    <w:name w:val="footnote reference"/>
    <w:aliases w:val="footnote ref,Footnotes refss,Footnote,16 Point,Superscript 6 Point"/>
    <w:basedOn w:val="DefaultParagraphFont"/>
    <w:uiPriority w:val="99"/>
    <w:unhideWhenUsed/>
    <w:rsid w:val="00BA1125"/>
    <w:rPr>
      <w:vertAlign w:val="superscript"/>
    </w:rPr>
  </w:style>
  <w:style w:type="paragraph" w:styleId="NormalWeb">
    <w:name w:val="Normal (Web)"/>
    <w:basedOn w:val="Normal"/>
    <w:uiPriority w:val="99"/>
    <w:unhideWhenUsed/>
    <w:rsid w:val="00BA1125"/>
    <w:pPr>
      <w:spacing w:before="100" w:beforeAutospacing="1" w:after="100" w:afterAutospacing="1" w:line="240" w:lineRule="auto"/>
    </w:pPr>
    <w:rPr>
      <w:rFonts w:ascii="Times" w:hAnsi="Times" w:cs="Times New Roman"/>
      <w:sz w:val="20"/>
      <w:szCs w:val="20"/>
      <w:lang w:eastAsia="en-US"/>
    </w:rPr>
  </w:style>
  <w:style w:type="paragraph" w:styleId="Header">
    <w:name w:val="header"/>
    <w:basedOn w:val="Normal"/>
    <w:link w:val="HeaderChar"/>
    <w:uiPriority w:val="99"/>
    <w:unhideWhenUsed/>
    <w:rsid w:val="00BA11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1125"/>
    <w:rPr>
      <w:sz w:val="22"/>
      <w:szCs w:val="22"/>
      <w:lang w:eastAsia="zh-CN"/>
    </w:rPr>
  </w:style>
  <w:style w:type="paragraph" w:styleId="Footer">
    <w:name w:val="footer"/>
    <w:basedOn w:val="Normal"/>
    <w:link w:val="FooterChar"/>
    <w:uiPriority w:val="99"/>
    <w:unhideWhenUsed/>
    <w:rsid w:val="00BA11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1125"/>
    <w:rPr>
      <w:sz w:val="22"/>
      <w:szCs w:val="22"/>
      <w:lang w:eastAsia="zh-CN"/>
    </w:rPr>
  </w:style>
  <w:style w:type="character" w:styleId="PageNumber">
    <w:name w:val="page number"/>
    <w:basedOn w:val="DefaultParagraphFont"/>
    <w:uiPriority w:val="99"/>
    <w:semiHidden/>
    <w:unhideWhenUsed/>
    <w:rsid w:val="00BA1125"/>
  </w:style>
  <w:style w:type="character" w:styleId="Hyperlink">
    <w:name w:val="Hyperlink"/>
    <w:basedOn w:val="DefaultParagraphFont"/>
    <w:uiPriority w:val="99"/>
    <w:unhideWhenUsed/>
    <w:rsid w:val="00AC6B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2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
    <w:basedOn w:val="Normal"/>
    <w:link w:val="FootnoteTextChar"/>
    <w:unhideWhenUsed/>
    <w:qFormat/>
    <w:rsid w:val="00BA1125"/>
    <w:pPr>
      <w:spacing w:after="0" w:line="240" w:lineRule="auto"/>
    </w:pPr>
    <w:rPr>
      <w:sz w:val="20"/>
      <w:szCs w:val="20"/>
    </w:rPr>
  </w:style>
  <w:style w:type="character" w:customStyle="1" w:styleId="FootnoteTextChar">
    <w:name w:val="Footnote Text Char"/>
    <w:aliases w:val="ft Char"/>
    <w:basedOn w:val="DefaultParagraphFont"/>
    <w:link w:val="FootnoteText"/>
    <w:rsid w:val="00BA1125"/>
    <w:rPr>
      <w:sz w:val="20"/>
      <w:szCs w:val="20"/>
      <w:lang w:eastAsia="zh-CN"/>
    </w:rPr>
  </w:style>
  <w:style w:type="character" w:styleId="FootnoteReference">
    <w:name w:val="footnote reference"/>
    <w:aliases w:val="footnote ref,Footnotes refss,Footnote,16 Point,Superscript 6 Point"/>
    <w:basedOn w:val="DefaultParagraphFont"/>
    <w:uiPriority w:val="99"/>
    <w:unhideWhenUsed/>
    <w:rsid w:val="00BA1125"/>
    <w:rPr>
      <w:vertAlign w:val="superscript"/>
    </w:rPr>
  </w:style>
  <w:style w:type="paragraph" w:styleId="NormalWeb">
    <w:name w:val="Normal (Web)"/>
    <w:basedOn w:val="Normal"/>
    <w:uiPriority w:val="99"/>
    <w:unhideWhenUsed/>
    <w:rsid w:val="00BA1125"/>
    <w:pPr>
      <w:spacing w:before="100" w:beforeAutospacing="1" w:after="100" w:afterAutospacing="1" w:line="240" w:lineRule="auto"/>
    </w:pPr>
    <w:rPr>
      <w:rFonts w:ascii="Times" w:hAnsi="Times" w:cs="Times New Roman"/>
      <w:sz w:val="20"/>
      <w:szCs w:val="20"/>
      <w:lang w:eastAsia="en-US"/>
    </w:rPr>
  </w:style>
  <w:style w:type="paragraph" w:styleId="Header">
    <w:name w:val="header"/>
    <w:basedOn w:val="Normal"/>
    <w:link w:val="HeaderChar"/>
    <w:uiPriority w:val="99"/>
    <w:unhideWhenUsed/>
    <w:rsid w:val="00BA11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1125"/>
    <w:rPr>
      <w:sz w:val="22"/>
      <w:szCs w:val="22"/>
      <w:lang w:eastAsia="zh-CN"/>
    </w:rPr>
  </w:style>
  <w:style w:type="paragraph" w:styleId="Footer">
    <w:name w:val="footer"/>
    <w:basedOn w:val="Normal"/>
    <w:link w:val="FooterChar"/>
    <w:uiPriority w:val="99"/>
    <w:unhideWhenUsed/>
    <w:rsid w:val="00BA11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1125"/>
    <w:rPr>
      <w:sz w:val="22"/>
      <w:szCs w:val="22"/>
      <w:lang w:eastAsia="zh-CN"/>
    </w:rPr>
  </w:style>
  <w:style w:type="character" w:styleId="PageNumber">
    <w:name w:val="page number"/>
    <w:basedOn w:val="DefaultParagraphFont"/>
    <w:uiPriority w:val="99"/>
    <w:semiHidden/>
    <w:unhideWhenUsed/>
    <w:rsid w:val="00BA1125"/>
  </w:style>
  <w:style w:type="character" w:styleId="Hyperlink">
    <w:name w:val="Hyperlink"/>
    <w:basedOn w:val="DefaultParagraphFont"/>
    <w:uiPriority w:val="99"/>
    <w:unhideWhenUsed/>
    <w:rsid w:val="00AC6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349B6-5662-453A-89DE-69D0C97F1016}">
  <ds:schemaRefs>
    <ds:schemaRef ds:uri="http://schemas.microsoft.com/office/2006/metadata/customXsn"/>
  </ds:schemaRefs>
</ds:datastoreItem>
</file>

<file path=customXml/itemProps2.xml><?xml version="1.0" encoding="utf-8"?>
<ds:datastoreItem xmlns:ds="http://schemas.openxmlformats.org/officeDocument/2006/customXml" ds:itemID="{EF5F3064-B828-4777-82C3-DD0691485C3B}">
  <ds:schemaRefs>
    <ds:schemaRef ds:uri="http://schemas.microsoft.com/sharepoint/events"/>
  </ds:schemaRefs>
</ds:datastoreItem>
</file>

<file path=customXml/itemProps3.xml><?xml version="1.0" encoding="utf-8"?>
<ds:datastoreItem xmlns:ds="http://schemas.openxmlformats.org/officeDocument/2006/customXml" ds:itemID="{84CB1063-7B6A-41C9-BCCD-69F9031C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376D1-0D06-4703-9640-AC378CDA962C}">
  <ds:schemaRefs>
    <ds:schemaRef ds:uri="http://purl.org/dc/elements/1.1/"/>
    <ds:schemaRef ds:uri="http://purl.org/dc/dcmitype/"/>
    <ds:schemaRef ds:uri="http://purl.org/dc/terms/"/>
    <ds:schemaRef ds:uri="379f305f-0eae-4f49-a597-ac36ed55be4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3D0B55B-DF4D-47C6-B5E0-F8865B91E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4075</Words>
  <Characters>22781</Characters>
  <Application>Microsoft Office Word</Application>
  <DocSecurity>0</DocSecurity>
  <Lines>438</Lines>
  <Paragraphs>107</Paragraphs>
  <ScaleCrop>false</ScaleCrop>
  <HeadingPairs>
    <vt:vector size="2" baseType="variant">
      <vt:variant>
        <vt:lpstr>Title</vt:lpstr>
      </vt:variant>
      <vt:variant>
        <vt:i4>1</vt:i4>
      </vt:variant>
    </vt:vector>
  </HeadingPairs>
  <TitlesOfParts>
    <vt:vector size="1" baseType="lpstr">
      <vt:lpstr>Submission 32 - Dr Joanna Howe - Migrant Intake into Australia - Public inquiry</vt:lpstr>
    </vt:vector>
  </TitlesOfParts>
  <Company/>
  <LinksUpToDate>false</LinksUpToDate>
  <CharactersWithSpaces>26749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Dr Joanna Howe - Migrant Intake into Australia - Public inquiry</dc:title>
  <dc:creator>Dr Joanna Howe</dc:creator>
  <cp:lastModifiedBy>Mark Pimperl</cp:lastModifiedBy>
  <cp:revision>3</cp:revision>
  <dcterms:created xsi:type="dcterms:W3CDTF">2015-06-15T00:36:00Z</dcterms:created>
  <dcterms:modified xsi:type="dcterms:W3CDTF">2015-06-15T04:27:00Z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{c32e4d5a-d77a-42d3-8001-097f67e2afb1}</vt:lpwstr>
  </property>
  <property fmtid="{D5CDD505-2E9C-101B-9397-08002B2CF9AE}" pid="7" name="RecordPoint_ActiveItemWebId">
    <vt:lpwstr>{1255bf9b-13bc-4d3b-b9db-113cc2ac867f}</vt:lpwstr>
  </property>
</Properties>
</file>