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9615E" w14:textId="77777777" w:rsidR="00836EDE" w:rsidRPr="003D0EB0" w:rsidRDefault="0084148C" w:rsidP="00836EDE">
      <w:pPr>
        <w:pStyle w:val="ABLIndent"/>
        <w:jc w:val="right"/>
        <w:rPr>
          <w:b/>
          <w:sz w:val="30"/>
          <w:szCs w:val="30"/>
        </w:rPr>
      </w:pPr>
      <w:bookmarkStart w:id="0" w:name="_GoBack"/>
      <w:bookmarkEnd w:id="0"/>
      <w:r>
        <w:rPr>
          <w:b/>
          <w:sz w:val="30"/>
          <w:szCs w:val="30"/>
        </w:rPr>
        <w:t xml:space="preserve">Preliminary </w:t>
      </w:r>
      <w:r w:rsidR="00836EDE">
        <w:rPr>
          <w:b/>
          <w:sz w:val="30"/>
          <w:szCs w:val="30"/>
        </w:rPr>
        <w:t xml:space="preserve">Submission from Arnold Bloch Leibler </w:t>
      </w:r>
    </w:p>
    <w:p w14:paraId="034918FD" w14:textId="77777777" w:rsidR="00836EDE" w:rsidRPr="006109F8" w:rsidRDefault="00836EDE" w:rsidP="00836EDE">
      <w:pPr>
        <w:pStyle w:val="ABLIndent"/>
        <w:jc w:val="right"/>
        <w:rPr>
          <w:b/>
          <w:sz w:val="24"/>
          <w:szCs w:val="24"/>
        </w:rPr>
      </w:pPr>
      <w:proofErr w:type="gramStart"/>
      <w:r w:rsidRPr="006109F8">
        <w:rPr>
          <w:b/>
          <w:sz w:val="24"/>
          <w:szCs w:val="24"/>
        </w:rPr>
        <w:t>to</w:t>
      </w:r>
      <w:proofErr w:type="gramEnd"/>
      <w:r w:rsidRPr="006109F8">
        <w:rPr>
          <w:b/>
          <w:sz w:val="24"/>
          <w:szCs w:val="24"/>
        </w:rPr>
        <w:t xml:space="preserve"> the </w:t>
      </w:r>
      <w:r w:rsidR="00EF7B4B">
        <w:rPr>
          <w:b/>
          <w:sz w:val="24"/>
          <w:szCs w:val="24"/>
        </w:rPr>
        <w:t>Productivity</w:t>
      </w:r>
      <w:r>
        <w:rPr>
          <w:b/>
          <w:sz w:val="24"/>
          <w:szCs w:val="24"/>
        </w:rPr>
        <w:t xml:space="preserve"> </w:t>
      </w:r>
      <w:r w:rsidR="00BA150E">
        <w:rPr>
          <w:b/>
          <w:sz w:val="24"/>
          <w:szCs w:val="24"/>
        </w:rPr>
        <w:t>Commission</w:t>
      </w:r>
      <w:r w:rsidRPr="006109F8">
        <w:rPr>
          <w:b/>
          <w:sz w:val="24"/>
          <w:szCs w:val="24"/>
        </w:rPr>
        <w:t xml:space="preserve"> </w:t>
      </w:r>
    </w:p>
    <w:p w14:paraId="2650511E" w14:textId="77777777" w:rsidR="00836EDE" w:rsidRDefault="00836EDE" w:rsidP="00836EDE">
      <w:pPr>
        <w:pStyle w:val="ABLIndent"/>
        <w:jc w:val="right"/>
        <w:rPr>
          <w:b/>
          <w:sz w:val="30"/>
          <w:szCs w:val="30"/>
        </w:rPr>
      </w:pPr>
    </w:p>
    <w:p w14:paraId="7244B002" w14:textId="77777777" w:rsidR="00836EDE" w:rsidRDefault="00836EDE" w:rsidP="00836EDE">
      <w:pPr>
        <w:pStyle w:val="ABLIndent"/>
        <w:jc w:val="right"/>
        <w:rPr>
          <w:b/>
          <w:sz w:val="30"/>
          <w:szCs w:val="30"/>
        </w:rPr>
      </w:pPr>
    </w:p>
    <w:p w14:paraId="502131D7" w14:textId="77777777" w:rsidR="00836EDE" w:rsidRDefault="008E1B56" w:rsidP="00836EDE">
      <w:pPr>
        <w:pStyle w:val="ABLIndent"/>
        <w:jc w:val="right"/>
        <w:rPr>
          <w:b/>
          <w:sz w:val="30"/>
          <w:szCs w:val="30"/>
        </w:rPr>
      </w:pPr>
      <w:r>
        <w:rPr>
          <w:b/>
          <w:sz w:val="30"/>
          <w:szCs w:val="30"/>
        </w:rPr>
        <w:t>Inquiry into Business Set-up, Transfer and Closure</w:t>
      </w:r>
    </w:p>
    <w:p w14:paraId="2481DB5A" w14:textId="77777777" w:rsidR="00836EDE" w:rsidRDefault="00836EDE" w:rsidP="00836EDE">
      <w:pPr>
        <w:pStyle w:val="ABLIndent"/>
        <w:jc w:val="right"/>
        <w:rPr>
          <w:b/>
          <w:sz w:val="30"/>
          <w:szCs w:val="30"/>
        </w:rPr>
      </w:pPr>
    </w:p>
    <w:p w14:paraId="24C8C1CC" w14:textId="77777777" w:rsidR="00836EDE" w:rsidRDefault="00836EDE" w:rsidP="00836EDE">
      <w:pPr>
        <w:pStyle w:val="ABLIndent"/>
        <w:jc w:val="right"/>
        <w:rPr>
          <w:b/>
          <w:sz w:val="30"/>
          <w:szCs w:val="30"/>
        </w:rPr>
      </w:pPr>
    </w:p>
    <w:p w14:paraId="44BF6821" w14:textId="77777777" w:rsidR="00836EDE" w:rsidRDefault="00836EDE" w:rsidP="00836EDE">
      <w:pPr>
        <w:pStyle w:val="ABLIndent"/>
        <w:jc w:val="right"/>
        <w:rPr>
          <w:b/>
          <w:sz w:val="30"/>
          <w:szCs w:val="30"/>
        </w:rPr>
      </w:pPr>
    </w:p>
    <w:p w14:paraId="7E0A9C97" w14:textId="77777777" w:rsidR="00836EDE" w:rsidRDefault="00836EDE" w:rsidP="00836EDE">
      <w:pPr>
        <w:pStyle w:val="ABLNormal"/>
        <w:jc w:val="right"/>
        <w:rPr>
          <w:sz w:val="22"/>
        </w:rPr>
      </w:pPr>
    </w:p>
    <w:p w14:paraId="78264E8E" w14:textId="77777777" w:rsidR="00836EDE" w:rsidRDefault="00836EDE" w:rsidP="00836EDE">
      <w:pPr>
        <w:pStyle w:val="ABLNormal"/>
        <w:jc w:val="right"/>
        <w:rPr>
          <w:sz w:val="22"/>
        </w:rPr>
      </w:pPr>
    </w:p>
    <w:p w14:paraId="70A0879B" w14:textId="77777777" w:rsidR="00836EDE" w:rsidRDefault="00836EDE" w:rsidP="00836EDE">
      <w:pPr>
        <w:pStyle w:val="ABLNormal"/>
        <w:jc w:val="right"/>
        <w:rPr>
          <w:sz w:val="22"/>
        </w:rPr>
      </w:pPr>
    </w:p>
    <w:p w14:paraId="597F4669" w14:textId="77777777" w:rsidR="00836EDE" w:rsidRPr="006109F8" w:rsidRDefault="00836EDE" w:rsidP="00836EDE">
      <w:pPr>
        <w:pStyle w:val="ABLNormal"/>
        <w:jc w:val="right"/>
        <w:rPr>
          <w:b/>
          <w:sz w:val="22"/>
        </w:rPr>
      </w:pPr>
      <w:r>
        <w:rPr>
          <w:b/>
          <w:sz w:val="22"/>
        </w:rPr>
        <w:t>February 2015</w:t>
      </w:r>
    </w:p>
    <w:p w14:paraId="02BD02CA" w14:textId="77777777" w:rsidR="00836EDE" w:rsidRDefault="00836EDE" w:rsidP="00836EDE">
      <w:pPr>
        <w:pStyle w:val="ABLNormal"/>
        <w:jc w:val="right"/>
        <w:rPr>
          <w:sz w:val="22"/>
        </w:rPr>
      </w:pPr>
    </w:p>
    <w:p w14:paraId="2820AE4A" w14:textId="77777777" w:rsidR="00836EDE" w:rsidRDefault="00836EDE" w:rsidP="00836EDE">
      <w:pPr>
        <w:pStyle w:val="ABLNormal"/>
        <w:jc w:val="right"/>
        <w:rPr>
          <w:sz w:val="22"/>
        </w:rPr>
      </w:pPr>
    </w:p>
    <w:p w14:paraId="08CB1B7D" w14:textId="77777777" w:rsidR="00836EDE" w:rsidRDefault="00836EDE" w:rsidP="00836EDE">
      <w:pPr>
        <w:pStyle w:val="ABLNormal"/>
        <w:jc w:val="right"/>
        <w:rPr>
          <w:sz w:val="22"/>
        </w:rPr>
      </w:pPr>
    </w:p>
    <w:p w14:paraId="72EA4347" w14:textId="77777777" w:rsidR="00836EDE" w:rsidRDefault="00836EDE" w:rsidP="00836EDE">
      <w:pPr>
        <w:pStyle w:val="ABLNormal"/>
        <w:jc w:val="right"/>
        <w:rPr>
          <w:sz w:val="22"/>
        </w:rPr>
      </w:pPr>
    </w:p>
    <w:p w14:paraId="2023F5D4" w14:textId="77777777" w:rsidR="00836EDE" w:rsidRDefault="00836EDE" w:rsidP="00836EDE">
      <w:pPr>
        <w:pStyle w:val="ABLNormal"/>
        <w:jc w:val="right"/>
        <w:rPr>
          <w:sz w:val="22"/>
        </w:rPr>
      </w:pPr>
    </w:p>
    <w:p w14:paraId="1E9A833C" w14:textId="77777777" w:rsidR="00836EDE" w:rsidRDefault="00836EDE" w:rsidP="00836EDE">
      <w:pPr>
        <w:pStyle w:val="ABLNormal"/>
        <w:jc w:val="right"/>
        <w:rPr>
          <w:sz w:val="22"/>
        </w:rPr>
      </w:pPr>
    </w:p>
    <w:p w14:paraId="28A957A2" w14:textId="77777777" w:rsidR="00836EDE" w:rsidRDefault="00836EDE" w:rsidP="00836EDE">
      <w:pPr>
        <w:pStyle w:val="ABLNormal"/>
        <w:jc w:val="right"/>
        <w:rPr>
          <w:sz w:val="22"/>
        </w:rPr>
      </w:pPr>
    </w:p>
    <w:p w14:paraId="0393BC98" w14:textId="77777777" w:rsidR="00836EDE" w:rsidRDefault="00836EDE" w:rsidP="00836EDE">
      <w:pPr>
        <w:pStyle w:val="ABLNormal"/>
        <w:jc w:val="right"/>
        <w:rPr>
          <w:sz w:val="22"/>
        </w:rPr>
      </w:pPr>
    </w:p>
    <w:p w14:paraId="55B6C56B" w14:textId="77777777" w:rsidR="00836EDE" w:rsidRDefault="00836EDE" w:rsidP="00836EDE">
      <w:pPr>
        <w:pStyle w:val="ABLNormal"/>
        <w:jc w:val="right"/>
        <w:rPr>
          <w:sz w:val="22"/>
        </w:rPr>
      </w:pPr>
    </w:p>
    <w:p w14:paraId="5FC08E88" w14:textId="77777777" w:rsidR="00836EDE" w:rsidRDefault="00836EDE" w:rsidP="00836EDE">
      <w:pPr>
        <w:pStyle w:val="ABLNormal"/>
        <w:jc w:val="right"/>
        <w:rPr>
          <w:sz w:val="22"/>
        </w:rPr>
      </w:pPr>
    </w:p>
    <w:p w14:paraId="7928F07D" w14:textId="77777777" w:rsidR="00836EDE" w:rsidRDefault="00836EDE" w:rsidP="00836EDE">
      <w:pPr>
        <w:pStyle w:val="ABLNormal"/>
        <w:jc w:val="right"/>
        <w:rPr>
          <w:sz w:val="22"/>
        </w:rPr>
      </w:pPr>
    </w:p>
    <w:p w14:paraId="329ED9A1" w14:textId="77777777" w:rsidR="00836EDE" w:rsidRDefault="00836EDE" w:rsidP="00836EDE">
      <w:pPr>
        <w:pStyle w:val="ABLNormal"/>
        <w:jc w:val="right"/>
        <w:rPr>
          <w:sz w:val="22"/>
        </w:rPr>
      </w:pPr>
    </w:p>
    <w:p w14:paraId="130FD6D3" w14:textId="77777777" w:rsidR="00836EDE" w:rsidRDefault="00836EDE" w:rsidP="00A34E16">
      <w:pPr>
        <w:pStyle w:val="ABLNormal"/>
        <w:jc w:val="center"/>
        <w:rPr>
          <w:sz w:val="22"/>
        </w:rPr>
      </w:pPr>
    </w:p>
    <w:p w14:paraId="61B10E41" w14:textId="77777777" w:rsidR="00836EDE" w:rsidRDefault="00836EDE" w:rsidP="00836EDE">
      <w:pPr>
        <w:pStyle w:val="ABLNormal"/>
        <w:jc w:val="right"/>
        <w:rPr>
          <w:sz w:val="22"/>
        </w:rPr>
      </w:pPr>
    </w:p>
    <w:p w14:paraId="607CB6E4" w14:textId="77777777" w:rsidR="00836EDE" w:rsidRDefault="00836EDE" w:rsidP="00836EDE">
      <w:pPr>
        <w:pStyle w:val="ABLNormal"/>
        <w:jc w:val="right"/>
        <w:rPr>
          <w:sz w:val="22"/>
        </w:rPr>
      </w:pPr>
    </w:p>
    <w:p w14:paraId="2B813C85" w14:textId="77777777" w:rsidR="00836EDE" w:rsidRDefault="00836EDE" w:rsidP="00836EDE">
      <w:pPr>
        <w:pStyle w:val="ABLNormal"/>
        <w:jc w:val="right"/>
        <w:rPr>
          <w:sz w:val="22"/>
        </w:rPr>
      </w:pPr>
    </w:p>
    <w:p w14:paraId="17FB7F2E" w14:textId="77777777" w:rsidR="00836EDE" w:rsidRDefault="00836EDE" w:rsidP="00836EDE">
      <w:pPr>
        <w:pStyle w:val="ABLNormal"/>
        <w:jc w:val="right"/>
        <w:rPr>
          <w:sz w:val="22"/>
        </w:rPr>
      </w:pPr>
    </w:p>
    <w:p w14:paraId="264AB86B" w14:textId="77777777" w:rsidR="00836EDE" w:rsidRDefault="00836EDE" w:rsidP="00836EDE">
      <w:pPr>
        <w:pStyle w:val="ABLNormal"/>
        <w:jc w:val="right"/>
        <w:rPr>
          <w:sz w:val="22"/>
        </w:rPr>
      </w:pPr>
    </w:p>
    <w:p w14:paraId="1B9196E6" w14:textId="77777777" w:rsidR="00836EDE" w:rsidRDefault="00836EDE" w:rsidP="00836EDE">
      <w:pPr>
        <w:pStyle w:val="ABLNormal"/>
        <w:jc w:val="right"/>
        <w:rPr>
          <w:sz w:val="22"/>
        </w:rPr>
      </w:pPr>
    </w:p>
    <w:p w14:paraId="3B56A79B" w14:textId="77777777" w:rsidR="00836EDE" w:rsidRDefault="00836EDE" w:rsidP="00836EDE">
      <w:pPr>
        <w:pStyle w:val="ABLNormal"/>
        <w:jc w:val="right"/>
        <w:rPr>
          <w:sz w:val="22"/>
        </w:rPr>
      </w:pPr>
    </w:p>
    <w:p w14:paraId="0668CC0A" w14:textId="77777777" w:rsidR="00836EDE" w:rsidRDefault="00836EDE" w:rsidP="00836EDE">
      <w:pPr>
        <w:pStyle w:val="ABLNormal"/>
        <w:jc w:val="right"/>
        <w:rPr>
          <w:sz w:val="22"/>
        </w:rPr>
      </w:pPr>
    </w:p>
    <w:p w14:paraId="7D68503B" w14:textId="77777777" w:rsidR="00836EDE" w:rsidRDefault="00836EDE" w:rsidP="00836EDE">
      <w:pPr>
        <w:pStyle w:val="ABLNormal"/>
        <w:jc w:val="right"/>
        <w:rPr>
          <w:sz w:val="22"/>
        </w:rPr>
      </w:pPr>
    </w:p>
    <w:p w14:paraId="25DAD4E8" w14:textId="77777777" w:rsidR="00836EDE" w:rsidRDefault="00836EDE" w:rsidP="00836EDE">
      <w:pPr>
        <w:pStyle w:val="ABLNormal"/>
        <w:jc w:val="right"/>
        <w:rPr>
          <w:sz w:val="22"/>
        </w:rPr>
      </w:pPr>
    </w:p>
    <w:p w14:paraId="57268A4B" w14:textId="77777777" w:rsidR="00836EDE" w:rsidRDefault="00836EDE" w:rsidP="00836EDE">
      <w:pPr>
        <w:pStyle w:val="ABLNormal"/>
        <w:jc w:val="right"/>
        <w:rPr>
          <w:sz w:val="22"/>
        </w:rPr>
      </w:pPr>
    </w:p>
    <w:p w14:paraId="7C943A0E" w14:textId="77777777" w:rsidR="00836EDE" w:rsidRDefault="00836EDE" w:rsidP="00836EDE">
      <w:pPr>
        <w:pStyle w:val="ABLNormal"/>
        <w:jc w:val="right"/>
        <w:rPr>
          <w:sz w:val="22"/>
        </w:rPr>
      </w:pPr>
    </w:p>
    <w:p w14:paraId="5D8430FB" w14:textId="77777777" w:rsidR="00836EDE" w:rsidRDefault="00836EDE" w:rsidP="00836EDE">
      <w:pPr>
        <w:pStyle w:val="ABLNormal"/>
        <w:jc w:val="right"/>
        <w:rPr>
          <w:sz w:val="22"/>
        </w:rPr>
      </w:pPr>
    </w:p>
    <w:p w14:paraId="3357FDCD" w14:textId="77777777" w:rsidR="00836EDE" w:rsidRDefault="00836EDE" w:rsidP="00836EDE">
      <w:pPr>
        <w:pStyle w:val="ABLNormal"/>
        <w:jc w:val="right"/>
        <w:rPr>
          <w:sz w:val="22"/>
        </w:rPr>
      </w:pPr>
    </w:p>
    <w:p w14:paraId="51B07B89" w14:textId="77777777" w:rsidR="00836EDE" w:rsidRDefault="00836EDE" w:rsidP="00836EDE">
      <w:pPr>
        <w:pStyle w:val="ABLNormal"/>
        <w:jc w:val="right"/>
        <w:rPr>
          <w:sz w:val="22"/>
        </w:rPr>
      </w:pPr>
    </w:p>
    <w:p w14:paraId="7A801D58" w14:textId="77777777" w:rsidR="00836EDE" w:rsidRDefault="00836EDE" w:rsidP="00836EDE">
      <w:pPr>
        <w:pStyle w:val="ABLNormal"/>
        <w:jc w:val="right"/>
        <w:rPr>
          <w:sz w:val="22"/>
        </w:rPr>
      </w:pPr>
    </w:p>
    <w:p w14:paraId="1FF2AC5C" w14:textId="77777777" w:rsidR="00836EDE" w:rsidRDefault="00836EDE" w:rsidP="00836EDE">
      <w:pPr>
        <w:pStyle w:val="ABLNormal"/>
        <w:jc w:val="right"/>
        <w:rPr>
          <w:sz w:val="22"/>
        </w:rPr>
      </w:pPr>
    </w:p>
    <w:p w14:paraId="3BCB14C6" w14:textId="77777777" w:rsidR="00836EDE" w:rsidRDefault="00836EDE" w:rsidP="00836EDE">
      <w:pPr>
        <w:pStyle w:val="ABLNormal"/>
        <w:jc w:val="right"/>
        <w:rPr>
          <w:sz w:val="22"/>
        </w:rPr>
      </w:pPr>
    </w:p>
    <w:p w14:paraId="78E8B11D" w14:textId="77777777" w:rsidR="00836EDE" w:rsidRDefault="00836EDE" w:rsidP="00836EDE">
      <w:pPr>
        <w:pStyle w:val="ABLNormal"/>
        <w:jc w:val="right"/>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494"/>
        <w:gridCol w:w="5494"/>
      </w:tblGrid>
      <w:tr w:rsidR="00836EDE" w14:paraId="46CDB109" w14:textId="77777777" w:rsidTr="006F3FBA">
        <w:tc>
          <w:tcPr>
            <w:tcW w:w="5494" w:type="dxa"/>
          </w:tcPr>
          <w:p w14:paraId="11DFA6CA" w14:textId="77777777" w:rsidR="00836EDE" w:rsidRDefault="00836EDE" w:rsidP="006F3FBA">
            <w:pPr>
              <w:pStyle w:val="ABLNormal"/>
              <w:jc w:val="left"/>
              <w:rPr>
                <w:sz w:val="22"/>
              </w:rPr>
            </w:pPr>
          </w:p>
        </w:tc>
        <w:tc>
          <w:tcPr>
            <w:tcW w:w="5494" w:type="dxa"/>
          </w:tcPr>
          <w:p w14:paraId="4C0E5399" w14:textId="77777777" w:rsidR="00836EDE" w:rsidRDefault="00836EDE" w:rsidP="006F3FBA">
            <w:pPr>
              <w:pStyle w:val="ABLNormal"/>
              <w:jc w:val="right"/>
              <w:rPr>
                <w:sz w:val="18"/>
              </w:rPr>
            </w:pPr>
          </w:p>
          <w:p w14:paraId="5CA9E19B" w14:textId="77777777" w:rsidR="00836EDE" w:rsidRDefault="00836EDE" w:rsidP="006F3FBA">
            <w:pPr>
              <w:pStyle w:val="ABLNormal"/>
              <w:jc w:val="right"/>
              <w:rPr>
                <w:sz w:val="18"/>
              </w:rPr>
            </w:pPr>
          </w:p>
          <w:p w14:paraId="7C40ED05" w14:textId="77777777" w:rsidR="00836EDE" w:rsidRDefault="00836EDE" w:rsidP="006F3FBA">
            <w:pPr>
              <w:pStyle w:val="ABLNormal"/>
              <w:jc w:val="right"/>
              <w:rPr>
                <w:sz w:val="18"/>
              </w:rPr>
            </w:pPr>
          </w:p>
          <w:p w14:paraId="61D1C05E" w14:textId="77777777" w:rsidR="00836EDE" w:rsidRDefault="00836EDE" w:rsidP="006F3FBA">
            <w:pPr>
              <w:pStyle w:val="ABLNormal"/>
              <w:jc w:val="right"/>
              <w:rPr>
                <w:sz w:val="22"/>
              </w:rPr>
            </w:pPr>
            <w:r>
              <w:rPr>
                <w:noProof/>
                <w:sz w:val="18"/>
                <w:lang w:eastAsia="en-AU"/>
              </w:rPr>
              <w:drawing>
                <wp:inline distT="0" distB="0" distL="0" distR="0" wp14:anchorId="0810D4D5" wp14:editId="08C19239">
                  <wp:extent cx="3000375" cy="790575"/>
                  <wp:effectExtent l="0" t="0" r="9525" b="9525"/>
                  <wp:docPr id="1" name="Picture 1" descr="ABL combined pms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L combined pms70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0375" cy="790575"/>
                          </a:xfrm>
                          <a:prstGeom prst="rect">
                            <a:avLst/>
                          </a:prstGeom>
                          <a:noFill/>
                          <a:ln>
                            <a:noFill/>
                          </a:ln>
                        </pic:spPr>
                      </pic:pic>
                    </a:graphicData>
                  </a:graphic>
                </wp:inline>
              </w:drawing>
            </w:r>
          </w:p>
        </w:tc>
      </w:tr>
    </w:tbl>
    <w:p w14:paraId="5C0D8CC5" w14:textId="77777777" w:rsidR="00836EDE" w:rsidRDefault="00836EDE" w:rsidP="00836EDE">
      <w:pPr>
        <w:pStyle w:val="ABLNormal"/>
        <w:jc w:val="right"/>
        <w:sectPr w:rsidR="00836EDE" w:rsidSect="002C5D8B">
          <w:headerReference w:type="even" r:id="rId16"/>
          <w:headerReference w:type="default" r:id="rId17"/>
          <w:footerReference w:type="even" r:id="rId18"/>
          <w:footerReference w:type="default" r:id="rId19"/>
          <w:headerReference w:type="first" r:id="rId20"/>
          <w:footerReference w:type="first" r:id="rId21"/>
          <w:pgSz w:w="11906" w:h="16838" w:code="9"/>
          <w:pgMar w:top="567" w:right="567" w:bottom="567" w:left="567" w:header="567" w:footer="567" w:gutter="0"/>
          <w:paperSrc w:first="260" w:other="260"/>
          <w:cols w:space="708"/>
          <w:docGrid w:linePitch="360"/>
        </w:sectPr>
      </w:pPr>
      <w:r>
        <w:rPr>
          <w:sz w:val="18"/>
        </w:rPr>
        <w:fldChar w:fldCharType="begin"/>
      </w:r>
      <w:r>
        <w:rPr>
          <w:sz w:val="18"/>
        </w:rPr>
        <w:instrText xml:space="preserve"> ADVANCE \y765 </w:instrText>
      </w:r>
      <w:r>
        <w:rPr>
          <w:sz w:val="18"/>
        </w:rPr>
        <w:fldChar w:fldCharType="end"/>
      </w:r>
      <w:r>
        <w:t xml:space="preserve"> </w:t>
      </w:r>
    </w:p>
    <w:p w14:paraId="0EDE4DFE" w14:textId="77777777" w:rsidR="008976BD" w:rsidRDefault="008976BD" w:rsidP="008976BD">
      <w:pPr>
        <w:pStyle w:val="ABLLevel1"/>
        <w:spacing w:line="360" w:lineRule="auto"/>
      </w:pPr>
      <w:r>
        <w:lastRenderedPageBreak/>
        <w:t>Introduction</w:t>
      </w:r>
    </w:p>
    <w:p w14:paraId="0162B662" w14:textId="77777777" w:rsidR="008976BD" w:rsidRPr="00956885" w:rsidRDefault="008976BD" w:rsidP="008976BD">
      <w:pPr>
        <w:pStyle w:val="ABLLevel2noheading"/>
        <w:spacing w:line="360" w:lineRule="auto"/>
        <w:rPr>
          <w:sz w:val="22"/>
          <w:szCs w:val="22"/>
        </w:rPr>
      </w:pPr>
      <w:r w:rsidRPr="001269C8">
        <w:rPr>
          <w:sz w:val="22"/>
          <w:lang w:val="en-US"/>
        </w:rPr>
        <w:t xml:space="preserve">This submission has been prepared by </w:t>
      </w:r>
      <w:r>
        <w:rPr>
          <w:sz w:val="22"/>
          <w:lang w:val="en-US"/>
        </w:rPr>
        <w:t xml:space="preserve">Arnold Bloch Leibler in relation to the Productivity Commission’s public inquiry into ‘Business Set-up, Transfer and Closure’ and is based on oral submissions made by Leon </w:t>
      </w:r>
      <w:proofErr w:type="spellStart"/>
      <w:r>
        <w:rPr>
          <w:sz w:val="22"/>
          <w:lang w:val="en-US"/>
        </w:rPr>
        <w:t>Zwier</w:t>
      </w:r>
      <w:proofErr w:type="spellEnd"/>
      <w:r>
        <w:rPr>
          <w:sz w:val="22"/>
          <w:lang w:val="en-US"/>
        </w:rPr>
        <w:t xml:space="preserve"> to the Commission at its round table discussion in Sydney on Monday 9 February 201</w:t>
      </w:r>
      <w:r w:rsidR="009C2E94">
        <w:rPr>
          <w:sz w:val="22"/>
          <w:lang w:val="en-US"/>
        </w:rPr>
        <w:t>5</w:t>
      </w:r>
      <w:r>
        <w:rPr>
          <w:sz w:val="22"/>
          <w:lang w:val="en-US"/>
        </w:rPr>
        <w:t>.</w:t>
      </w:r>
      <w:r w:rsidRPr="00956885">
        <w:rPr>
          <w:sz w:val="22"/>
          <w:lang w:val="en-US"/>
        </w:rPr>
        <w:t xml:space="preserve"> </w:t>
      </w:r>
    </w:p>
    <w:p w14:paraId="42FB8E6A" w14:textId="77777777" w:rsidR="008976BD" w:rsidRPr="00674A99" w:rsidRDefault="008976BD" w:rsidP="008976BD">
      <w:pPr>
        <w:pStyle w:val="ABLLevel2noheading"/>
        <w:spacing w:line="360" w:lineRule="auto"/>
        <w:rPr>
          <w:sz w:val="22"/>
          <w:szCs w:val="22"/>
        </w:rPr>
      </w:pPr>
      <w:r w:rsidRPr="00956885">
        <w:rPr>
          <w:sz w:val="22"/>
          <w:lang w:val="en-US"/>
        </w:rPr>
        <w:t xml:space="preserve">We welcome the opportunity to make this </w:t>
      </w:r>
      <w:r>
        <w:rPr>
          <w:sz w:val="22"/>
          <w:lang w:val="en-US"/>
        </w:rPr>
        <w:t xml:space="preserve">written </w:t>
      </w:r>
      <w:r w:rsidRPr="00956885">
        <w:rPr>
          <w:sz w:val="22"/>
          <w:lang w:val="en-US"/>
        </w:rPr>
        <w:t>submission in response to the Issues Paper of December 2014.</w:t>
      </w:r>
      <w:r>
        <w:rPr>
          <w:rStyle w:val="FootnoteReference"/>
          <w:sz w:val="22"/>
          <w:lang w:val="en-US"/>
        </w:rPr>
        <w:footnoteReference w:id="1"/>
      </w:r>
      <w:r w:rsidRPr="00956885">
        <w:rPr>
          <w:sz w:val="22"/>
          <w:lang w:val="en-US"/>
        </w:rPr>
        <w:t xml:space="preserve"> </w:t>
      </w:r>
    </w:p>
    <w:p w14:paraId="479356EB" w14:textId="77777777" w:rsidR="008976BD" w:rsidRPr="00956885" w:rsidRDefault="008976BD" w:rsidP="008976BD">
      <w:pPr>
        <w:pStyle w:val="ABLLevel2noheading"/>
        <w:spacing w:line="360" w:lineRule="auto"/>
        <w:rPr>
          <w:sz w:val="22"/>
          <w:szCs w:val="22"/>
        </w:rPr>
      </w:pPr>
      <w:r>
        <w:rPr>
          <w:sz w:val="22"/>
          <w:lang w:val="en-US"/>
        </w:rPr>
        <w:t>Our submission is directed to business closure (or avoiding closure through restructuring in, or outside of,</w:t>
      </w:r>
      <w:r w:rsidRPr="00674A99">
        <w:rPr>
          <w:sz w:val="22"/>
          <w:lang w:val="en-US"/>
        </w:rPr>
        <w:t xml:space="preserve"> </w:t>
      </w:r>
      <w:r>
        <w:rPr>
          <w:sz w:val="22"/>
          <w:lang w:val="en-US"/>
        </w:rPr>
        <w:t>an insolvency administration, by the Company and its advisers.  This submission is generally borne out of our experience in larger corporate solvent and insolvent reconstructions over the last 20 years including Brash 1994</w:t>
      </w:r>
      <w:proofErr w:type="gramStart"/>
      <w:r>
        <w:rPr>
          <w:sz w:val="22"/>
          <w:lang w:val="en-US"/>
        </w:rPr>
        <w:t>+ ,</w:t>
      </w:r>
      <w:proofErr w:type="gramEnd"/>
      <w:r>
        <w:rPr>
          <w:sz w:val="22"/>
          <w:lang w:val="en-US"/>
        </w:rPr>
        <w:t xml:space="preserve"> Ansett 2001+, Newmont </w:t>
      </w:r>
      <w:proofErr w:type="spellStart"/>
      <w:r>
        <w:rPr>
          <w:sz w:val="22"/>
          <w:lang w:val="en-US"/>
        </w:rPr>
        <w:t>Yandal</w:t>
      </w:r>
      <w:proofErr w:type="spellEnd"/>
      <w:r>
        <w:rPr>
          <w:sz w:val="22"/>
          <w:lang w:val="en-US"/>
        </w:rPr>
        <w:t xml:space="preserve"> 2003+,  Nine Entertainment 2012-2013, </w:t>
      </w:r>
      <w:proofErr w:type="spellStart"/>
      <w:r>
        <w:rPr>
          <w:sz w:val="22"/>
          <w:lang w:val="en-US"/>
        </w:rPr>
        <w:t>Alinta</w:t>
      </w:r>
      <w:proofErr w:type="spellEnd"/>
      <w:r>
        <w:rPr>
          <w:sz w:val="22"/>
          <w:lang w:val="en-US"/>
        </w:rPr>
        <w:t xml:space="preserve"> 2010 -2011, Centro 2007-2011, </w:t>
      </w:r>
      <w:proofErr w:type="spellStart"/>
      <w:r>
        <w:rPr>
          <w:sz w:val="22"/>
          <w:lang w:val="en-US"/>
        </w:rPr>
        <w:t>Timbercorp</w:t>
      </w:r>
      <w:proofErr w:type="spellEnd"/>
      <w:r>
        <w:rPr>
          <w:sz w:val="22"/>
          <w:lang w:val="en-US"/>
        </w:rPr>
        <w:t xml:space="preserve"> 2010-current, </w:t>
      </w:r>
      <w:proofErr w:type="spellStart"/>
      <w:r>
        <w:rPr>
          <w:sz w:val="22"/>
          <w:lang w:val="en-US"/>
        </w:rPr>
        <w:t>One.Tel</w:t>
      </w:r>
      <w:proofErr w:type="spellEnd"/>
      <w:r>
        <w:rPr>
          <w:sz w:val="22"/>
          <w:lang w:val="en-US"/>
        </w:rPr>
        <w:t xml:space="preserve"> 2014, </w:t>
      </w:r>
      <w:proofErr w:type="spellStart"/>
      <w:r>
        <w:rPr>
          <w:sz w:val="22"/>
          <w:lang w:val="en-US"/>
        </w:rPr>
        <w:t>Gunns</w:t>
      </w:r>
      <w:proofErr w:type="spellEnd"/>
      <w:r>
        <w:rPr>
          <w:sz w:val="22"/>
          <w:lang w:val="en-US"/>
        </w:rPr>
        <w:t xml:space="preserve"> 2012 - current and others not in the public domain. </w:t>
      </w:r>
    </w:p>
    <w:p w14:paraId="7A7A5593" w14:textId="77777777" w:rsidR="008976BD" w:rsidRPr="00956885" w:rsidRDefault="008976BD" w:rsidP="008976BD">
      <w:pPr>
        <w:pStyle w:val="ABLLevel1"/>
        <w:spacing w:line="360" w:lineRule="auto"/>
      </w:pPr>
      <w:r w:rsidRPr="00956885">
        <w:t xml:space="preserve">Summary </w:t>
      </w:r>
    </w:p>
    <w:p w14:paraId="4231F14C" w14:textId="77777777" w:rsidR="008976BD" w:rsidRPr="00956885" w:rsidRDefault="008976BD" w:rsidP="008976BD">
      <w:pPr>
        <w:pStyle w:val="ABLLevel2noheading"/>
        <w:spacing w:line="360" w:lineRule="auto"/>
        <w:rPr>
          <w:sz w:val="22"/>
          <w:szCs w:val="22"/>
        </w:rPr>
      </w:pPr>
      <w:r w:rsidRPr="00956885">
        <w:rPr>
          <w:sz w:val="22"/>
          <w:szCs w:val="22"/>
        </w:rPr>
        <w:t xml:space="preserve">This submission contains specific recommendations directed at improving </w:t>
      </w:r>
      <w:r>
        <w:rPr>
          <w:sz w:val="22"/>
          <w:szCs w:val="22"/>
        </w:rPr>
        <w:t xml:space="preserve">the existing statutory frameworks to facilitate successful corporate reorganisation and </w:t>
      </w:r>
      <w:r w:rsidRPr="00956885">
        <w:rPr>
          <w:sz w:val="22"/>
          <w:szCs w:val="22"/>
        </w:rPr>
        <w:t xml:space="preserve">insolvency arrangements. </w:t>
      </w:r>
      <w:r>
        <w:rPr>
          <w:sz w:val="22"/>
          <w:szCs w:val="22"/>
        </w:rPr>
        <w:t>Improved insolvency arrangements provide the necessary counterfactual to enable a negotiated outcome that may circumvent corporate failure.</w:t>
      </w:r>
      <w:r w:rsidRPr="00956885">
        <w:rPr>
          <w:sz w:val="22"/>
          <w:szCs w:val="22"/>
        </w:rPr>
        <w:t xml:space="preserve"> </w:t>
      </w:r>
    </w:p>
    <w:p w14:paraId="1102C50F" w14:textId="77777777" w:rsidR="008976BD" w:rsidRPr="004C5F2A" w:rsidRDefault="008976BD" w:rsidP="008976BD">
      <w:pPr>
        <w:pStyle w:val="ABLLevel2noheading"/>
        <w:spacing w:line="360" w:lineRule="auto"/>
        <w:rPr>
          <w:sz w:val="22"/>
          <w:szCs w:val="22"/>
        </w:rPr>
      </w:pPr>
      <w:r w:rsidRPr="004C5F2A">
        <w:rPr>
          <w:sz w:val="22"/>
          <w:szCs w:val="22"/>
        </w:rPr>
        <w:t>It is recommended that reforms are implemented to:</w:t>
      </w:r>
    </w:p>
    <w:p w14:paraId="324E78C3" w14:textId="77777777" w:rsidR="008976BD" w:rsidRDefault="008976BD" w:rsidP="008976BD">
      <w:pPr>
        <w:pStyle w:val="ABLMinA1"/>
        <w:spacing w:line="360" w:lineRule="auto"/>
        <w:jc w:val="both"/>
        <w:rPr>
          <w:sz w:val="22"/>
          <w:szCs w:val="22"/>
        </w:rPr>
      </w:pPr>
      <w:r>
        <w:rPr>
          <w:sz w:val="22"/>
          <w:szCs w:val="22"/>
        </w:rPr>
        <w:t>F</w:t>
      </w:r>
      <w:r w:rsidRPr="004C5F2A">
        <w:rPr>
          <w:sz w:val="22"/>
          <w:szCs w:val="22"/>
        </w:rPr>
        <w:t xml:space="preserve">oster a culture of </w:t>
      </w:r>
      <w:r w:rsidRPr="004C5F2A">
        <w:rPr>
          <w:b/>
          <w:sz w:val="22"/>
          <w:szCs w:val="22"/>
        </w:rPr>
        <w:t>rehabilitation</w:t>
      </w:r>
      <w:r w:rsidRPr="004C5F2A">
        <w:rPr>
          <w:sz w:val="22"/>
          <w:szCs w:val="22"/>
        </w:rPr>
        <w:t xml:space="preserve"> through the re-orienting of voluntary administration as a reconstruction process rather than an </w:t>
      </w:r>
      <w:r>
        <w:rPr>
          <w:sz w:val="22"/>
          <w:szCs w:val="22"/>
        </w:rPr>
        <w:t xml:space="preserve">as </w:t>
      </w:r>
      <w:r w:rsidRPr="004C5F2A">
        <w:rPr>
          <w:sz w:val="22"/>
          <w:szCs w:val="22"/>
        </w:rPr>
        <w:t xml:space="preserve">insolvency process. </w:t>
      </w:r>
      <w:r>
        <w:rPr>
          <w:sz w:val="22"/>
          <w:szCs w:val="22"/>
        </w:rPr>
        <w:t xml:space="preserve"> This requires a “re-branding” of voluntary administration because it currently connotes corporate failure.  It also requires amendment to the objects of the Part and an Explanatory Memorandum that sets out that the underlying purpose of the newly branded part is the rehabilitation of distressed companies. </w:t>
      </w:r>
    </w:p>
    <w:p w14:paraId="077BA00B" w14:textId="77777777" w:rsidR="008976BD" w:rsidRPr="004C5F2A" w:rsidRDefault="008976BD" w:rsidP="008976BD">
      <w:pPr>
        <w:pStyle w:val="ABLMinA1"/>
        <w:spacing w:line="360" w:lineRule="auto"/>
        <w:jc w:val="both"/>
        <w:rPr>
          <w:sz w:val="22"/>
          <w:szCs w:val="22"/>
        </w:rPr>
      </w:pPr>
      <w:r w:rsidRPr="004C5F2A">
        <w:rPr>
          <w:sz w:val="22"/>
          <w:szCs w:val="22"/>
        </w:rPr>
        <w:t>We advocate the following specific reforms</w:t>
      </w:r>
      <w:r>
        <w:rPr>
          <w:sz w:val="22"/>
          <w:szCs w:val="22"/>
        </w:rPr>
        <w:t xml:space="preserve"> to voluntary administration to enhance the prospect of success of a reconstruction</w:t>
      </w:r>
      <w:r w:rsidRPr="004C5F2A">
        <w:rPr>
          <w:sz w:val="22"/>
          <w:szCs w:val="22"/>
        </w:rPr>
        <w:t>:</w:t>
      </w:r>
    </w:p>
    <w:p w14:paraId="2CB77940" w14:textId="77777777" w:rsidR="008976BD" w:rsidRPr="00C719A1" w:rsidRDefault="008976BD" w:rsidP="008976BD">
      <w:pPr>
        <w:pStyle w:val="ABLMinA2"/>
        <w:spacing w:line="360" w:lineRule="auto"/>
        <w:jc w:val="both"/>
        <w:rPr>
          <w:sz w:val="22"/>
          <w:szCs w:val="22"/>
        </w:rPr>
      </w:pPr>
      <w:r w:rsidRPr="004C5F2A">
        <w:rPr>
          <w:sz w:val="22"/>
          <w:szCs w:val="22"/>
        </w:rPr>
        <w:lastRenderedPageBreak/>
        <w:t xml:space="preserve">provide a moratorium on the enforceability of </w:t>
      </w:r>
      <w:r>
        <w:rPr>
          <w:sz w:val="22"/>
          <w:szCs w:val="22"/>
        </w:rPr>
        <w:t>“</w:t>
      </w:r>
      <w:r w:rsidRPr="00C719A1">
        <w:rPr>
          <w:sz w:val="22"/>
          <w:szCs w:val="22"/>
        </w:rPr>
        <w:t>ipso facto</w:t>
      </w:r>
      <w:r>
        <w:rPr>
          <w:sz w:val="22"/>
          <w:szCs w:val="22"/>
        </w:rPr>
        <w:t>”</w:t>
      </w:r>
      <w:r w:rsidRPr="00C719A1">
        <w:rPr>
          <w:sz w:val="22"/>
          <w:szCs w:val="22"/>
        </w:rPr>
        <w:t xml:space="preserve"> clauses during administration;  </w:t>
      </w:r>
    </w:p>
    <w:p w14:paraId="15B34905" w14:textId="77777777" w:rsidR="008976BD" w:rsidRPr="00C719A1" w:rsidRDefault="008976BD" w:rsidP="008976BD">
      <w:pPr>
        <w:pStyle w:val="ABLMinA2"/>
        <w:spacing w:line="360" w:lineRule="auto"/>
        <w:jc w:val="both"/>
        <w:rPr>
          <w:sz w:val="22"/>
          <w:szCs w:val="22"/>
        </w:rPr>
      </w:pPr>
      <w:r w:rsidRPr="00C719A1">
        <w:rPr>
          <w:sz w:val="22"/>
          <w:szCs w:val="22"/>
        </w:rPr>
        <w:t xml:space="preserve">extend the </w:t>
      </w:r>
      <w:r>
        <w:rPr>
          <w:sz w:val="22"/>
          <w:szCs w:val="22"/>
        </w:rPr>
        <w:t xml:space="preserve">liquidator’s </w:t>
      </w:r>
      <w:r w:rsidRPr="00C719A1">
        <w:rPr>
          <w:sz w:val="22"/>
          <w:szCs w:val="22"/>
        </w:rPr>
        <w:t>power to disclaim onerous property to voluntary administrators</w:t>
      </w:r>
      <w:r>
        <w:rPr>
          <w:sz w:val="22"/>
          <w:szCs w:val="22"/>
        </w:rPr>
        <w:t xml:space="preserve"> and scheme administrators on precisely the same terms</w:t>
      </w:r>
      <w:r w:rsidRPr="00C719A1">
        <w:rPr>
          <w:sz w:val="22"/>
          <w:szCs w:val="22"/>
        </w:rPr>
        <w:t xml:space="preserve">; </w:t>
      </w:r>
    </w:p>
    <w:p w14:paraId="1A050435" w14:textId="77777777" w:rsidR="008976BD" w:rsidRPr="00C719A1" w:rsidRDefault="008976BD" w:rsidP="008976BD">
      <w:pPr>
        <w:pStyle w:val="ABLMinA2"/>
        <w:spacing w:line="360" w:lineRule="auto"/>
        <w:jc w:val="both"/>
        <w:rPr>
          <w:sz w:val="22"/>
          <w:szCs w:val="22"/>
        </w:rPr>
      </w:pPr>
      <w:r w:rsidRPr="00C719A1">
        <w:rPr>
          <w:sz w:val="22"/>
          <w:szCs w:val="22"/>
        </w:rPr>
        <w:t xml:space="preserve">amend the statutory objects of voluntary administration to expressly state that it is a rehabilitative regime; </w:t>
      </w:r>
    </w:p>
    <w:p w14:paraId="4D7F325B" w14:textId="77777777" w:rsidR="008976BD" w:rsidRDefault="008976BD" w:rsidP="008976BD">
      <w:pPr>
        <w:pStyle w:val="ABLMinA2"/>
        <w:spacing w:line="360" w:lineRule="auto"/>
        <w:jc w:val="both"/>
        <w:rPr>
          <w:sz w:val="22"/>
          <w:szCs w:val="22"/>
        </w:rPr>
      </w:pPr>
      <w:r w:rsidRPr="00C719A1">
        <w:rPr>
          <w:sz w:val="22"/>
          <w:szCs w:val="22"/>
        </w:rPr>
        <w:t xml:space="preserve">confine directors’ statutory power to appoint an administrator to circumstances where the company </w:t>
      </w:r>
      <w:r>
        <w:rPr>
          <w:sz w:val="22"/>
          <w:szCs w:val="22"/>
        </w:rPr>
        <w:t xml:space="preserve">may </w:t>
      </w:r>
      <w:r w:rsidRPr="00C719A1">
        <w:rPr>
          <w:sz w:val="22"/>
          <w:szCs w:val="22"/>
        </w:rPr>
        <w:t>become insolvent at some future time</w:t>
      </w:r>
      <w:r>
        <w:rPr>
          <w:sz w:val="22"/>
          <w:szCs w:val="22"/>
        </w:rPr>
        <w:t xml:space="preserve"> and expressly prohibit directors from appointing administrators when the company is hopelessly insolvent, or for any other purposes</w:t>
      </w:r>
      <w:r w:rsidRPr="00C719A1">
        <w:rPr>
          <w:sz w:val="22"/>
          <w:szCs w:val="22"/>
        </w:rPr>
        <w:t>;</w:t>
      </w:r>
    </w:p>
    <w:p w14:paraId="23BBA361" w14:textId="77777777" w:rsidR="008976BD" w:rsidRDefault="008976BD" w:rsidP="008976BD">
      <w:pPr>
        <w:pStyle w:val="ABLMinA2"/>
        <w:spacing w:line="360" w:lineRule="auto"/>
        <w:jc w:val="both"/>
        <w:rPr>
          <w:sz w:val="22"/>
          <w:szCs w:val="22"/>
        </w:rPr>
      </w:pPr>
      <w:r w:rsidRPr="00C719A1">
        <w:rPr>
          <w:sz w:val="22"/>
          <w:szCs w:val="22"/>
        </w:rPr>
        <w:t xml:space="preserve"> </w:t>
      </w:r>
      <w:proofErr w:type="gramStart"/>
      <w:r>
        <w:rPr>
          <w:sz w:val="22"/>
          <w:szCs w:val="22"/>
        </w:rPr>
        <w:t>require</w:t>
      </w:r>
      <w:proofErr w:type="gramEnd"/>
      <w:r>
        <w:rPr>
          <w:sz w:val="22"/>
          <w:szCs w:val="22"/>
        </w:rPr>
        <w:t xml:space="preserve"> the voluntary administrators to be satisfied that there is an underlying viable business worthwhile preserving as a </w:t>
      </w:r>
      <w:proofErr w:type="spellStart"/>
      <w:r>
        <w:rPr>
          <w:sz w:val="22"/>
          <w:szCs w:val="22"/>
        </w:rPr>
        <w:t>pre-condition</w:t>
      </w:r>
      <w:proofErr w:type="spellEnd"/>
      <w:r>
        <w:rPr>
          <w:sz w:val="22"/>
          <w:szCs w:val="22"/>
        </w:rPr>
        <w:t xml:space="preserve"> to recommending a plan of re-organisation (currently Deed of Company Arrangement).</w:t>
      </w:r>
      <w:r w:rsidRPr="00C719A1">
        <w:rPr>
          <w:sz w:val="22"/>
          <w:szCs w:val="22"/>
        </w:rPr>
        <w:t xml:space="preserve"> </w:t>
      </w:r>
    </w:p>
    <w:p w14:paraId="70777D4D" w14:textId="77777777" w:rsidR="008976BD" w:rsidRPr="00C719A1" w:rsidRDefault="008976BD" w:rsidP="008976BD">
      <w:pPr>
        <w:pStyle w:val="ABLMinA2"/>
        <w:spacing w:line="360" w:lineRule="auto"/>
        <w:jc w:val="both"/>
        <w:rPr>
          <w:sz w:val="22"/>
          <w:szCs w:val="22"/>
        </w:rPr>
      </w:pPr>
      <w:proofErr w:type="gramStart"/>
      <w:r>
        <w:rPr>
          <w:sz w:val="22"/>
          <w:szCs w:val="22"/>
        </w:rPr>
        <w:t>if</w:t>
      </w:r>
      <w:proofErr w:type="gramEnd"/>
      <w:r>
        <w:rPr>
          <w:sz w:val="22"/>
          <w:szCs w:val="22"/>
        </w:rPr>
        <w:t xml:space="preserve"> directors appoint an administrator to a company that is hopelessly insolvent, require the voluntary administrator to immediately place such companies in liquidation. </w:t>
      </w:r>
    </w:p>
    <w:p w14:paraId="330EF49A" w14:textId="77777777" w:rsidR="008976BD" w:rsidRPr="00DE3429" w:rsidRDefault="008976BD" w:rsidP="008976BD">
      <w:pPr>
        <w:pStyle w:val="ABLMinA2"/>
        <w:spacing w:line="360" w:lineRule="auto"/>
        <w:jc w:val="both"/>
        <w:rPr>
          <w:sz w:val="22"/>
          <w:szCs w:val="22"/>
        </w:rPr>
      </w:pPr>
      <w:proofErr w:type="gramStart"/>
      <w:r w:rsidRPr="00DE3429">
        <w:rPr>
          <w:sz w:val="22"/>
          <w:szCs w:val="22"/>
        </w:rPr>
        <w:t>prohibit</w:t>
      </w:r>
      <w:proofErr w:type="gramEnd"/>
      <w:r w:rsidRPr="00DE3429">
        <w:rPr>
          <w:sz w:val="22"/>
          <w:szCs w:val="22"/>
        </w:rPr>
        <w:t xml:space="preserve"> the </w:t>
      </w:r>
      <w:r>
        <w:rPr>
          <w:sz w:val="22"/>
          <w:szCs w:val="22"/>
        </w:rPr>
        <w:t>“</w:t>
      </w:r>
      <w:r w:rsidRPr="00DE3429">
        <w:rPr>
          <w:sz w:val="22"/>
          <w:szCs w:val="22"/>
        </w:rPr>
        <w:t>Decision Period</w:t>
      </w:r>
      <w:r>
        <w:rPr>
          <w:sz w:val="22"/>
          <w:szCs w:val="22"/>
        </w:rPr>
        <w:t>”</w:t>
      </w:r>
      <w:r w:rsidRPr="00DE3429">
        <w:rPr>
          <w:sz w:val="22"/>
          <w:szCs w:val="22"/>
        </w:rPr>
        <w:t xml:space="preserve"> from being extended by agreement between the </w:t>
      </w:r>
      <w:r>
        <w:rPr>
          <w:sz w:val="22"/>
          <w:szCs w:val="22"/>
        </w:rPr>
        <w:t>secured f</w:t>
      </w:r>
      <w:r w:rsidRPr="00DE3429">
        <w:rPr>
          <w:sz w:val="22"/>
          <w:szCs w:val="22"/>
        </w:rPr>
        <w:t xml:space="preserve">inancier and the </w:t>
      </w:r>
      <w:r>
        <w:rPr>
          <w:sz w:val="22"/>
          <w:szCs w:val="22"/>
        </w:rPr>
        <w:t>v</w:t>
      </w:r>
      <w:r w:rsidRPr="00DE3429">
        <w:rPr>
          <w:sz w:val="22"/>
          <w:szCs w:val="22"/>
        </w:rPr>
        <w:t xml:space="preserve">oluntary </w:t>
      </w:r>
      <w:r>
        <w:rPr>
          <w:sz w:val="22"/>
          <w:szCs w:val="22"/>
        </w:rPr>
        <w:t>a</w:t>
      </w:r>
      <w:r w:rsidRPr="00DE3429">
        <w:rPr>
          <w:sz w:val="22"/>
          <w:szCs w:val="22"/>
        </w:rPr>
        <w:t>dministrator</w:t>
      </w:r>
      <w:r>
        <w:rPr>
          <w:sz w:val="22"/>
          <w:szCs w:val="22"/>
        </w:rPr>
        <w:t>.</w:t>
      </w:r>
      <w:r w:rsidRPr="00DE3429">
        <w:rPr>
          <w:sz w:val="22"/>
          <w:szCs w:val="22"/>
        </w:rPr>
        <w:t xml:space="preserve"> </w:t>
      </w:r>
    </w:p>
    <w:p w14:paraId="5FCA7490" w14:textId="77777777" w:rsidR="008976BD" w:rsidRPr="004C5F2A" w:rsidRDefault="008976BD" w:rsidP="008976BD">
      <w:pPr>
        <w:pStyle w:val="ABLMinA1"/>
        <w:spacing w:line="360" w:lineRule="auto"/>
        <w:jc w:val="both"/>
        <w:rPr>
          <w:sz w:val="22"/>
          <w:szCs w:val="22"/>
        </w:rPr>
      </w:pPr>
      <w:r>
        <w:rPr>
          <w:sz w:val="22"/>
          <w:szCs w:val="22"/>
        </w:rPr>
        <w:t>E</w:t>
      </w:r>
      <w:r w:rsidRPr="004C5F2A">
        <w:rPr>
          <w:sz w:val="22"/>
          <w:szCs w:val="22"/>
        </w:rPr>
        <w:t xml:space="preserve">stablish a specialised, </w:t>
      </w:r>
      <w:r w:rsidRPr="004C5F2A">
        <w:rPr>
          <w:b/>
          <w:sz w:val="22"/>
          <w:szCs w:val="22"/>
        </w:rPr>
        <w:t>expert panel</w:t>
      </w:r>
      <w:r w:rsidRPr="004C5F2A">
        <w:rPr>
          <w:sz w:val="22"/>
          <w:szCs w:val="22"/>
        </w:rPr>
        <w:t xml:space="preserve"> </w:t>
      </w:r>
      <w:r>
        <w:rPr>
          <w:sz w:val="22"/>
          <w:szCs w:val="22"/>
        </w:rPr>
        <w:t xml:space="preserve">(made up of lawyers, insolvency practitioners, and industry experts) </w:t>
      </w:r>
      <w:r w:rsidRPr="004C5F2A">
        <w:rPr>
          <w:sz w:val="22"/>
          <w:szCs w:val="22"/>
        </w:rPr>
        <w:t xml:space="preserve">to </w:t>
      </w:r>
      <w:r>
        <w:rPr>
          <w:sz w:val="22"/>
          <w:szCs w:val="22"/>
        </w:rPr>
        <w:t xml:space="preserve">assist in </w:t>
      </w:r>
      <w:r w:rsidRPr="004C5F2A">
        <w:rPr>
          <w:sz w:val="22"/>
          <w:szCs w:val="22"/>
        </w:rPr>
        <w:t>speed</w:t>
      </w:r>
      <w:r>
        <w:rPr>
          <w:sz w:val="22"/>
          <w:szCs w:val="22"/>
        </w:rPr>
        <w:t xml:space="preserve">ing </w:t>
      </w:r>
      <w:r w:rsidRPr="004C5F2A">
        <w:rPr>
          <w:sz w:val="22"/>
          <w:szCs w:val="22"/>
        </w:rPr>
        <w:t xml:space="preserve">up </w:t>
      </w:r>
      <w:r>
        <w:rPr>
          <w:sz w:val="22"/>
          <w:szCs w:val="22"/>
        </w:rPr>
        <w:t xml:space="preserve">the resolution of commercial issues in reconstruction and insolvency scenarios </w:t>
      </w:r>
      <w:r w:rsidRPr="004C5F2A">
        <w:rPr>
          <w:sz w:val="22"/>
          <w:szCs w:val="22"/>
        </w:rPr>
        <w:t>and reduc</w:t>
      </w:r>
      <w:r>
        <w:rPr>
          <w:sz w:val="22"/>
          <w:szCs w:val="22"/>
        </w:rPr>
        <w:t>ing</w:t>
      </w:r>
      <w:r w:rsidRPr="004C5F2A">
        <w:rPr>
          <w:sz w:val="22"/>
          <w:szCs w:val="22"/>
        </w:rPr>
        <w:t xml:space="preserve"> the costs of the administration of justice in insolvency matters</w:t>
      </w:r>
      <w:r>
        <w:rPr>
          <w:sz w:val="22"/>
          <w:szCs w:val="22"/>
        </w:rPr>
        <w:t xml:space="preserve">. The expert panel could also consider referred legal disputes from the Courts. </w:t>
      </w:r>
    </w:p>
    <w:p w14:paraId="74E69020" w14:textId="77777777" w:rsidR="008976BD" w:rsidRPr="001905DF" w:rsidRDefault="008976BD" w:rsidP="008976BD">
      <w:pPr>
        <w:pStyle w:val="ABLMinA1"/>
        <w:spacing w:line="360" w:lineRule="auto"/>
        <w:rPr>
          <w:sz w:val="22"/>
          <w:szCs w:val="22"/>
        </w:rPr>
      </w:pPr>
      <w:r>
        <w:rPr>
          <w:sz w:val="22"/>
          <w:szCs w:val="22"/>
        </w:rPr>
        <w:t xml:space="preserve">Introduce a statutory moratorium on creditor enforcement action in relation to schemes of arrangement; </w:t>
      </w:r>
      <w:r w:rsidRPr="004C5F2A">
        <w:rPr>
          <w:sz w:val="22"/>
          <w:szCs w:val="22"/>
        </w:rPr>
        <w:t xml:space="preserve">and </w:t>
      </w:r>
    </w:p>
    <w:p w14:paraId="4C341755" w14:textId="77777777" w:rsidR="008976BD" w:rsidRPr="001845ED" w:rsidRDefault="008976BD" w:rsidP="008976BD">
      <w:pPr>
        <w:pStyle w:val="ABLMinA1"/>
        <w:spacing w:line="360" w:lineRule="auto"/>
        <w:rPr>
          <w:sz w:val="22"/>
          <w:szCs w:val="22"/>
        </w:rPr>
      </w:pPr>
      <w:r>
        <w:rPr>
          <w:sz w:val="22"/>
          <w:szCs w:val="22"/>
        </w:rPr>
        <w:lastRenderedPageBreak/>
        <w:t>I</w:t>
      </w:r>
      <w:r w:rsidRPr="004C5F2A">
        <w:rPr>
          <w:sz w:val="22"/>
          <w:szCs w:val="22"/>
        </w:rPr>
        <w:t xml:space="preserve">mplement </w:t>
      </w:r>
      <w:r w:rsidRPr="004C5F2A">
        <w:rPr>
          <w:b/>
          <w:sz w:val="22"/>
          <w:szCs w:val="22"/>
        </w:rPr>
        <w:t xml:space="preserve">safe-harbour </w:t>
      </w:r>
      <w:r w:rsidRPr="004C5F2A">
        <w:rPr>
          <w:sz w:val="22"/>
          <w:szCs w:val="22"/>
        </w:rPr>
        <w:t>provisions for directors</w:t>
      </w:r>
      <w:r>
        <w:rPr>
          <w:sz w:val="22"/>
          <w:szCs w:val="22"/>
        </w:rPr>
        <w:t xml:space="preserve"> in the ‘twilight zone’ of solvency</w:t>
      </w:r>
      <w:r w:rsidRPr="004C5F2A">
        <w:rPr>
          <w:sz w:val="22"/>
          <w:szCs w:val="22"/>
        </w:rPr>
        <w:t>.</w:t>
      </w:r>
    </w:p>
    <w:p w14:paraId="056FED87" w14:textId="77777777" w:rsidR="008976BD" w:rsidRPr="002B6D4D" w:rsidRDefault="008976BD" w:rsidP="008976BD">
      <w:pPr>
        <w:pStyle w:val="ABLLevel1"/>
      </w:pPr>
      <w:r>
        <w:t>Proposed Reforms</w:t>
      </w:r>
      <w:r w:rsidRPr="002B6D4D">
        <w:t xml:space="preserve"> </w:t>
      </w:r>
    </w:p>
    <w:p w14:paraId="31F7F8C2" w14:textId="77777777" w:rsidR="008976BD" w:rsidRPr="002B6D4D" w:rsidRDefault="008976BD" w:rsidP="008976BD">
      <w:pPr>
        <w:pStyle w:val="ABLLevel2noheading"/>
        <w:spacing w:line="360" w:lineRule="auto"/>
        <w:rPr>
          <w:sz w:val="22"/>
          <w:szCs w:val="22"/>
        </w:rPr>
      </w:pPr>
      <w:r>
        <w:rPr>
          <w:sz w:val="22"/>
          <w:szCs w:val="22"/>
        </w:rPr>
        <w:t xml:space="preserve">Our submission addresses </w:t>
      </w:r>
      <w:r w:rsidRPr="008E1B56">
        <w:rPr>
          <w:sz w:val="22"/>
          <w:szCs w:val="22"/>
        </w:rPr>
        <w:t xml:space="preserve">four principal areas of </w:t>
      </w:r>
      <w:r>
        <w:rPr>
          <w:sz w:val="22"/>
          <w:szCs w:val="22"/>
        </w:rPr>
        <w:t xml:space="preserve">reform to the legislative structure regulating corporate business closure.  These areas of reform are intended to improve </w:t>
      </w:r>
      <w:r w:rsidRPr="008E1B56">
        <w:rPr>
          <w:sz w:val="22"/>
          <w:szCs w:val="22"/>
        </w:rPr>
        <w:t xml:space="preserve">the incentive structures </w:t>
      </w:r>
      <w:r>
        <w:rPr>
          <w:sz w:val="22"/>
          <w:szCs w:val="22"/>
        </w:rPr>
        <w:t xml:space="preserve">that encourage entrepreneurial activity and the efficient </w:t>
      </w:r>
      <w:r w:rsidRPr="008E1B56">
        <w:rPr>
          <w:sz w:val="22"/>
          <w:szCs w:val="22"/>
        </w:rPr>
        <w:t xml:space="preserve">functioning of </w:t>
      </w:r>
      <w:r>
        <w:rPr>
          <w:sz w:val="22"/>
          <w:szCs w:val="22"/>
        </w:rPr>
        <w:t xml:space="preserve">Australia’s </w:t>
      </w:r>
      <w:r w:rsidRPr="008E1B56">
        <w:rPr>
          <w:sz w:val="22"/>
          <w:szCs w:val="22"/>
        </w:rPr>
        <w:t>insolvency</w:t>
      </w:r>
      <w:r>
        <w:rPr>
          <w:sz w:val="22"/>
          <w:szCs w:val="22"/>
        </w:rPr>
        <w:t xml:space="preserve"> and reconstruction</w:t>
      </w:r>
      <w:r w:rsidRPr="008E1B56">
        <w:rPr>
          <w:sz w:val="22"/>
          <w:szCs w:val="22"/>
        </w:rPr>
        <w:t xml:space="preserve"> regimes. </w:t>
      </w:r>
    </w:p>
    <w:p w14:paraId="110F0478" w14:textId="77777777" w:rsidR="008976BD" w:rsidRPr="008E1B56" w:rsidRDefault="008976BD" w:rsidP="008976BD">
      <w:pPr>
        <w:pStyle w:val="ABLLevel2noheading"/>
        <w:numPr>
          <w:ilvl w:val="0"/>
          <w:numId w:val="0"/>
        </w:numPr>
        <w:spacing w:line="360" w:lineRule="auto"/>
        <w:rPr>
          <w:b/>
          <w:sz w:val="22"/>
          <w:szCs w:val="22"/>
        </w:rPr>
      </w:pPr>
      <w:r>
        <w:rPr>
          <w:b/>
          <w:sz w:val="22"/>
          <w:szCs w:val="22"/>
        </w:rPr>
        <w:t>A. Re-orienting Voluntary Administration towards rehabilitation</w:t>
      </w:r>
    </w:p>
    <w:p w14:paraId="082B28D8" w14:textId="77777777" w:rsidR="008976BD" w:rsidRDefault="008976BD" w:rsidP="008976BD">
      <w:pPr>
        <w:pStyle w:val="ABLLevel2noheading"/>
        <w:spacing w:line="360" w:lineRule="auto"/>
        <w:rPr>
          <w:sz w:val="22"/>
          <w:szCs w:val="22"/>
        </w:rPr>
      </w:pPr>
      <w:r>
        <w:rPr>
          <w:sz w:val="22"/>
          <w:szCs w:val="22"/>
        </w:rPr>
        <w:t>Australia’s</w:t>
      </w:r>
      <w:r w:rsidRPr="008E1B56">
        <w:rPr>
          <w:sz w:val="22"/>
          <w:szCs w:val="22"/>
        </w:rPr>
        <w:t xml:space="preserve"> insolvency regime is </w:t>
      </w:r>
      <w:r>
        <w:rPr>
          <w:sz w:val="22"/>
          <w:szCs w:val="22"/>
        </w:rPr>
        <w:t xml:space="preserve">viewed in the community as punitive. It is seen as </w:t>
      </w:r>
      <w:r w:rsidRPr="008E1B56">
        <w:rPr>
          <w:sz w:val="22"/>
          <w:szCs w:val="22"/>
        </w:rPr>
        <w:t>punish</w:t>
      </w:r>
      <w:r>
        <w:rPr>
          <w:sz w:val="22"/>
          <w:szCs w:val="22"/>
        </w:rPr>
        <w:t xml:space="preserve">ing </w:t>
      </w:r>
      <w:r w:rsidRPr="008E1B56">
        <w:rPr>
          <w:sz w:val="22"/>
          <w:szCs w:val="22"/>
        </w:rPr>
        <w:t>and stigmatis</w:t>
      </w:r>
      <w:r>
        <w:rPr>
          <w:sz w:val="22"/>
          <w:szCs w:val="22"/>
        </w:rPr>
        <w:t>ing</w:t>
      </w:r>
      <w:r w:rsidRPr="008E1B56">
        <w:rPr>
          <w:sz w:val="22"/>
          <w:szCs w:val="22"/>
        </w:rPr>
        <w:t xml:space="preserve"> corporate failure.</w:t>
      </w:r>
      <w:r>
        <w:rPr>
          <w:sz w:val="22"/>
          <w:szCs w:val="22"/>
        </w:rPr>
        <w:t xml:space="preserve">  This can be contrasted with the position in the United States in which corporate restructuring is seen as and is rehabilitative.</w:t>
      </w:r>
      <w:r>
        <w:rPr>
          <w:rStyle w:val="FootnoteReference"/>
          <w:sz w:val="22"/>
          <w:szCs w:val="22"/>
        </w:rPr>
        <w:footnoteReference w:id="2"/>
      </w:r>
      <w:r>
        <w:rPr>
          <w:sz w:val="22"/>
          <w:szCs w:val="22"/>
        </w:rPr>
        <w:t xml:space="preserve">  </w:t>
      </w:r>
    </w:p>
    <w:p w14:paraId="7ACA9140" w14:textId="77777777" w:rsidR="008976BD" w:rsidRPr="00D775B8" w:rsidRDefault="008976BD" w:rsidP="008976BD">
      <w:pPr>
        <w:pStyle w:val="ABLLevel2noheading"/>
        <w:numPr>
          <w:ilvl w:val="0"/>
          <w:numId w:val="0"/>
        </w:numPr>
        <w:spacing w:line="360" w:lineRule="auto"/>
        <w:rPr>
          <w:i/>
          <w:sz w:val="22"/>
          <w:szCs w:val="22"/>
        </w:rPr>
      </w:pPr>
      <w:r w:rsidRPr="00C94577">
        <w:rPr>
          <w:i/>
          <w:sz w:val="22"/>
          <w:szCs w:val="22"/>
        </w:rPr>
        <w:t>Rebranding voluntary administration</w:t>
      </w:r>
    </w:p>
    <w:p w14:paraId="48333996" w14:textId="77777777" w:rsidR="008976BD" w:rsidRPr="00907CD6" w:rsidRDefault="008976BD" w:rsidP="008976BD">
      <w:pPr>
        <w:pStyle w:val="ABLLevel2noheading"/>
        <w:spacing w:line="360" w:lineRule="auto"/>
        <w:rPr>
          <w:sz w:val="22"/>
          <w:szCs w:val="22"/>
        </w:rPr>
      </w:pPr>
      <w:r w:rsidRPr="008E1B56">
        <w:rPr>
          <w:sz w:val="22"/>
          <w:szCs w:val="22"/>
        </w:rPr>
        <w:t>Insolvency laws should be reframed to foster rehabilitation</w:t>
      </w:r>
      <w:r>
        <w:rPr>
          <w:sz w:val="22"/>
          <w:szCs w:val="22"/>
        </w:rPr>
        <w:t xml:space="preserve"> and thereby encourage entrepreneurial activity particularly in our changing economy.  </w:t>
      </w:r>
      <w:r w:rsidRPr="00907CD6">
        <w:rPr>
          <w:sz w:val="22"/>
          <w:szCs w:val="22"/>
        </w:rPr>
        <w:t>As the Commission identified in the Issues Paper,</w:t>
      </w:r>
      <w:r>
        <w:rPr>
          <w:rStyle w:val="FootnoteReference"/>
          <w:sz w:val="22"/>
          <w:szCs w:val="22"/>
        </w:rPr>
        <w:footnoteReference w:id="3"/>
      </w:r>
      <w:r w:rsidRPr="00907CD6">
        <w:rPr>
          <w:sz w:val="22"/>
          <w:szCs w:val="22"/>
        </w:rPr>
        <w:t xml:space="preserve"> an entrepreneurial culture is required</w:t>
      </w:r>
      <w:r>
        <w:rPr>
          <w:sz w:val="22"/>
          <w:szCs w:val="22"/>
        </w:rPr>
        <w:t xml:space="preserve"> to enhance the prospects of</w:t>
      </w:r>
      <w:r w:rsidRPr="00907CD6">
        <w:rPr>
          <w:sz w:val="22"/>
          <w:szCs w:val="22"/>
        </w:rPr>
        <w:t xml:space="preserve"> financial success</w:t>
      </w:r>
      <w:r>
        <w:rPr>
          <w:sz w:val="22"/>
          <w:szCs w:val="22"/>
        </w:rPr>
        <w:t>,</w:t>
      </w:r>
      <w:r w:rsidRPr="00907CD6">
        <w:rPr>
          <w:sz w:val="22"/>
          <w:szCs w:val="22"/>
        </w:rPr>
        <w:t xml:space="preserve"> yet also allow those who fail to attempt again.</w:t>
      </w:r>
      <w:r>
        <w:rPr>
          <w:sz w:val="22"/>
          <w:szCs w:val="22"/>
        </w:rPr>
        <w:t xml:space="preserve">  </w:t>
      </w:r>
    </w:p>
    <w:p w14:paraId="70351A90" w14:textId="77777777" w:rsidR="008976BD" w:rsidRPr="00E802EB" w:rsidRDefault="008976BD" w:rsidP="008976BD">
      <w:pPr>
        <w:pStyle w:val="ABLLevel2noheading"/>
        <w:spacing w:line="360" w:lineRule="auto"/>
        <w:rPr>
          <w:sz w:val="22"/>
          <w:szCs w:val="22"/>
        </w:rPr>
      </w:pPr>
      <w:r w:rsidRPr="007D2416">
        <w:rPr>
          <w:sz w:val="22"/>
          <w:szCs w:val="22"/>
        </w:rPr>
        <w:t xml:space="preserve">The lack of </w:t>
      </w:r>
      <w:r>
        <w:rPr>
          <w:sz w:val="22"/>
          <w:szCs w:val="22"/>
        </w:rPr>
        <w:t xml:space="preserve">a </w:t>
      </w:r>
      <w:r w:rsidRPr="007D2416">
        <w:rPr>
          <w:sz w:val="22"/>
          <w:szCs w:val="22"/>
        </w:rPr>
        <w:t>restructuring culture in Australia inhibits economic growth by discouraging start-ups and investment</w:t>
      </w:r>
      <w:r>
        <w:rPr>
          <w:sz w:val="22"/>
          <w:szCs w:val="22"/>
        </w:rPr>
        <w:t xml:space="preserve"> and inhibits the productive restructuring of companies in distress</w:t>
      </w:r>
      <w:r w:rsidRPr="007D2416">
        <w:rPr>
          <w:sz w:val="22"/>
          <w:szCs w:val="22"/>
        </w:rPr>
        <w:t>.  Furthermore,</w:t>
      </w:r>
      <w:r w:rsidRPr="00BB0A52">
        <w:rPr>
          <w:sz w:val="22"/>
          <w:szCs w:val="22"/>
        </w:rPr>
        <w:t xml:space="preserve"> those most capable </w:t>
      </w:r>
      <w:r>
        <w:rPr>
          <w:sz w:val="22"/>
          <w:szCs w:val="22"/>
        </w:rPr>
        <w:t xml:space="preserve">of taking on business risk </w:t>
      </w:r>
      <w:r w:rsidRPr="00BB0A52">
        <w:rPr>
          <w:sz w:val="22"/>
          <w:szCs w:val="22"/>
        </w:rPr>
        <w:t xml:space="preserve">are dissuaded from </w:t>
      </w:r>
      <w:r>
        <w:rPr>
          <w:sz w:val="22"/>
          <w:szCs w:val="22"/>
        </w:rPr>
        <w:t>doing so</w:t>
      </w:r>
      <w:r w:rsidRPr="00BB0A52">
        <w:rPr>
          <w:sz w:val="22"/>
          <w:szCs w:val="22"/>
        </w:rPr>
        <w:t xml:space="preserve"> for fear of </w:t>
      </w:r>
      <w:r>
        <w:rPr>
          <w:sz w:val="22"/>
          <w:szCs w:val="22"/>
        </w:rPr>
        <w:t xml:space="preserve">the legal consequences of </w:t>
      </w:r>
      <w:r w:rsidRPr="00BB0A52">
        <w:rPr>
          <w:sz w:val="22"/>
          <w:szCs w:val="22"/>
        </w:rPr>
        <w:t>failure and professional ruin.</w:t>
      </w:r>
      <w:r>
        <w:rPr>
          <w:sz w:val="22"/>
          <w:szCs w:val="22"/>
        </w:rPr>
        <w:t xml:space="preserve"> </w:t>
      </w:r>
      <w:r w:rsidRPr="00BB0A52">
        <w:rPr>
          <w:sz w:val="22"/>
          <w:szCs w:val="22"/>
        </w:rPr>
        <w:t xml:space="preserve"> Ultimately, the </w:t>
      </w:r>
      <w:r w:rsidRPr="00E802EB">
        <w:rPr>
          <w:sz w:val="22"/>
          <w:szCs w:val="22"/>
        </w:rPr>
        <w:t xml:space="preserve">correlation between corporate risk and reward is misunderstood </w:t>
      </w:r>
      <w:r>
        <w:rPr>
          <w:sz w:val="22"/>
          <w:szCs w:val="22"/>
        </w:rPr>
        <w:t xml:space="preserve">in the broader Australian community.  This misunderstanding has far reaching consequences </w:t>
      </w:r>
      <w:r w:rsidRPr="00E802EB">
        <w:rPr>
          <w:sz w:val="22"/>
          <w:szCs w:val="22"/>
        </w:rPr>
        <w:t xml:space="preserve">for the Australian economy.  </w:t>
      </w:r>
    </w:p>
    <w:p w14:paraId="4048F5CE" w14:textId="77777777" w:rsidR="008976BD" w:rsidRDefault="008976BD" w:rsidP="008976BD">
      <w:pPr>
        <w:pStyle w:val="ABLLevel2noheading"/>
        <w:spacing w:line="360" w:lineRule="auto"/>
        <w:rPr>
          <w:sz w:val="22"/>
          <w:szCs w:val="22"/>
        </w:rPr>
      </w:pPr>
      <w:r>
        <w:rPr>
          <w:sz w:val="22"/>
          <w:szCs w:val="22"/>
        </w:rPr>
        <w:t>In regard</w:t>
      </w:r>
      <w:r w:rsidRPr="00E802EB">
        <w:rPr>
          <w:sz w:val="22"/>
          <w:szCs w:val="22"/>
        </w:rPr>
        <w:t xml:space="preserve"> to voluntary administration, t</w:t>
      </w:r>
      <w:r>
        <w:rPr>
          <w:sz w:val="22"/>
          <w:szCs w:val="22"/>
        </w:rPr>
        <w:t>he stigma associated with an</w:t>
      </w:r>
      <w:r w:rsidRPr="00E802EB">
        <w:rPr>
          <w:sz w:val="22"/>
          <w:szCs w:val="22"/>
        </w:rPr>
        <w:t xml:space="preserve"> appointment</w:t>
      </w:r>
      <w:r>
        <w:rPr>
          <w:sz w:val="22"/>
          <w:szCs w:val="22"/>
        </w:rPr>
        <w:t xml:space="preserve"> and aspects of the current statutory regime</w:t>
      </w:r>
      <w:r w:rsidRPr="00E802EB">
        <w:rPr>
          <w:sz w:val="22"/>
          <w:szCs w:val="22"/>
        </w:rPr>
        <w:t xml:space="preserve"> will often </w:t>
      </w:r>
      <w:r>
        <w:rPr>
          <w:sz w:val="22"/>
          <w:szCs w:val="22"/>
        </w:rPr>
        <w:t>immediately</w:t>
      </w:r>
      <w:r w:rsidRPr="00E802EB">
        <w:rPr>
          <w:sz w:val="22"/>
          <w:szCs w:val="22"/>
        </w:rPr>
        <w:t xml:space="preserve"> harm the goodwill and value of the enterprise.</w:t>
      </w:r>
      <w:r>
        <w:rPr>
          <w:sz w:val="22"/>
          <w:szCs w:val="22"/>
        </w:rPr>
        <w:t xml:space="preserve">  This undermines the very purpose for which the voluntary administration regime was established, namely, to maximise the chances of the company, or as much as possible of its business, continuing in existence, or if this is </w:t>
      </w:r>
      <w:r>
        <w:rPr>
          <w:sz w:val="22"/>
          <w:szCs w:val="22"/>
        </w:rPr>
        <w:lastRenderedPageBreak/>
        <w:t>not possible, to produce a better return for creditors and members than would result from an immediate winding up of the company.</w:t>
      </w:r>
      <w:r>
        <w:rPr>
          <w:rStyle w:val="FootnoteReference"/>
          <w:sz w:val="22"/>
          <w:szCs w:val="22"/>
        </w:rPr>
        <w:footnoteReference w:id="4"/>
      </w:r>
      <w:r>
        <w:rPr>
          <w:sz w:val="22"/>
          <w:szCs w:val="22"/>
        </w:rPr>
        <w:t xml:space="preserve">  </w:t>
      </w:r>
    </w:p>
    <w:p w14:paraId="4A0AC477" w14:textId="77777777" w:rsidR="008976BD" w:rsidRDefault="008976BD" w:rsidP="008976BD">
      <w:pPr>
        <w:pStyle w:val="ABLLevel2noheading"/>
        <w:spacing w:line="360" w:lineRule="auto"/>
        <w:rPr>
          <w:sz w:val="22"/>
          <w:szCs w:val="22"/>
        </w:rPr>
      </w:pPr>
      <w:r>
        <w:rPr>
          <w:sz w:val="22"/>
          <w:szCs w:val="22"/>
        </w:rPr>
        <w:t>It has been suggested that this stigma results, in part, from the fact that for the board of directors to place the company into voluntary administration, it needs to resolve that “the company is insolvent, or is likely to become insolvent at some future time”.</w:t>
      </w:r>
      <w:r>
        <w:rPr>
          <w:rStyle w:val="FootnoteReference"/>
          <w:sz w:val="22"/>
          <w:szCs w:val="22"/>
        </w:rPr>
        <w:footnoteReference w:id="5"/>
      </w:r>
      <w:r>
        <w:rPr>
          <w:sz w:val="22"/>
          <w:szCs w:val="22"/>
        </w:rPr>
        <w:t xml:space="preserve">  In other words, the stigma arises because the voluntary administration regime is only capable of being used as a restructuring tool in circumstances in which the board has formed the view that the company is, or is about to become, insolvent.  The resulting delay in commencing the voluntary administration process undermines the prospects of a successful reconstruction of the company.  </w:t>
      </w:r>
    </w:p>
    <w:p w14:paraId="1A1FE0E6" w14:textId="77777777" w:rsidR="008976BD" w:rsidRDefault="008976BD" w:rsidP="008976BD">
      <w:pPr>
        <w:pStyle w:val="ABLLevel2noheading"/>
        <w:spacing w:line="360" w:lineRule="auto"/>
        <w:rPr>
          <w:sz w:val="22"/>
          <w:szCs w:val="22"/>
        </w:rPr>
      </w:pPr>
      <w:r>
        <w:rPr>
          <w:sz w:val="22"/>
          <w:szCs w:val="22"/>
        </w:rPr>
        <w:t>Consequently, voluntary administration is too often used as a de-facto liquidation procedure, or as a prelude to liquidation.  The relative ease with which voluntary administration can be commenced by way of a directors’ resolution (compared with a court order or special resolution by members required to commence a winding up), coupled with the risks of personal liability for directors for insolvent trading and the director penalty regime in the tax legislation,</w:t>
      </w:r>
      <w:r>
        <w:rPr>
          <w:rStyle w:val="FootnoteReference"/>
          <w:sz w:val="22"/>
          <w:szCs w:val="22"/>
        </w:rPr>
        <w:footnoteReference w:id="6"/>
      </w:r>
      <w:r>
        <w:rPr>
          <w:sz w:val="22"/>
          <w:szCs w:val="22"/>
        </w:rPr>
        <w:t xml:space="preserve"> have further encouraged the use of voluntary administration as a winding-up mechanism.  </w:t>
      </w:r>
    </w:p>
    <w:p w14:paraId="54039EF6" w14:textId="77777777" w:rsidR="008976BD" w:rsidRDefault="008976BD" w:rsidP="008976BD">
      <w:pPr>
        <w:pStyle w:val="ABLLevel2noheading"/>
        <w:spacing w:line="360" w:lineRule="auto"/>
        <w:rPr>
          <w:sz w:val="22"/>
          <w:szCs w:val="22"/>
        </w:rPr>
      </w:pPr>
      <w:r>
        <w:rPr>
          <w:sz w:val="22"/>
          <w:szCs w:val="22"/>
        </w:rPr>
        <w:t>When examining some of the problems with the current structure of Part 5.3A, the ease with which voluntary administration can be commenced by directors and concluded by creditors has also seen it being improperly used by unscrupulous directors who trade in and out of the same business (which is often not viable as a going concern) by moving between different company structures with the assistance of insolvency professionals. A prohibition on utilising voluntary administration when a company is hopelessly insolvent may help curtail these “Phoenix” company activities particularly if the onus is placed on insolvency practitioners to place insolvent companies into liquidation as soon as practicable.</w:t>
      </w:r>
    </w:p>
    <w:p w14:paraId="29F6212E" w14:textId="77777777" w:rsidR="008976BD" w:rsidRDefault="008976BD" w:rsidP="008976BD">
      <w:pPr>
        <w:pStyle w:val="ABLLevel2noheading"/>
        <w:spacing w:line="360" w:lineRule="auto"/>
        <w:rPr>
          <w:sz w:val="22"/>
          <w:szCs w:val="22"/>
        </w:rPr>
      </w:pPr>
      <w:r>
        <w:rPr>
          <w:sz w:val="22"/>
          <w:szCs w:val="22"/>
        </w:rPr>
        <w:t>Looking at this issue from the perspective of rehabilitation, where voluntary administrators are appointed to hopelessly insolvent companies, there is usually no available cash resources to enable a restructure plan to be developed and implemented.  Voluntary administration should not be used in such circumstances. It should only be used when the Voluntary Administrator is satisfied that there is an underlying viable business worthwhile preserving.</w:t>
      </w:r>
    </w:p>
    <w:p w14:paraId="6263A512" w14:textId="77777777" w:rsidR="008976BD" w:rsidRDefault="008976BD" w:rsidP="008976BD">
      <w:pPr>
        <w:pStyle w:val="ABLLevel2noheading"/>
        <w:spacing w:line="360" w:lineRule="auto"/>
        <w:rPr>
          <w:sz w:val="22"/>
          <w:szCs w:val="22"/>
        </w:rPr>
      </w:pPr>
      <w:r>
        <w:rPr>
          <w:sz w:val="22"/>
          <w:szCs w:val="22"/>
        </w:rPr>
        <w:lastRenderedPageBreak/>
        <w:t xml:space="preserve">The voluntary administration process should be re-characterised and rebranded as a </w:t>
      </w:r>
      <w:r w:rsidRPr="008456CB">
        <w:rPr>
          <w:b/>
          <w:sz w:val="22"/>
          <w:szCs w:val="22"/>
        </w:rPr>
        <w:t>reconstruction process</w:t>
      </w:r>
      <w:r w:rsidRPr="005F7A1E">
        <w:rPr>
          <w:sz w:val="22"/>
          <w:szCs w:val="22"/>
        </w:rPr>
        <w:t xml:space="preserve"> </w:t>
      </w:r>
      <w:r>
        <w:rPr>
          <w:sz w:val="22"/>
          <w:szCs w:val="22"/>
        </w:rPr>
        <w:t xml:space="preserve">to enable a company to achieve a compromise with its creditors, in the same manner as a scheme of arrangement.  This ‘rebranding’ would involve amending the objects of the voluntary administration regime and introducing reforms with an Explanatory Memorandum that clearly sets out the rehabilitative purpose of voluntary administration and the reforms in particular.  </w:t>
      </w:r>
    </w:p>
    <w:p w14:paraId="23C088B2" w14:textId="77777777" w:rsidR="008976BD" w:rsidRPr="00FF455E" w:rsidRDefault="008976BD" w:rsidP="008976BD">
      <w:pPr>
        <w:pStyle w:val="ABLLevel2noheading"/>
        <w:spacing w:line="360" w:lineRule="auto"/>
        <w:rPr>
          <w:b/>
          <w:sz w:val="22"/>
          <w:szCs w:val="22"/>
        </w:rPr>
      </w:pPr>
      <w:r>
        <w:rPr>
          <w:sz w:val="22"/>
          <w:szCs w:val="22"/>
        </w:rPr>
        <w:t xml:space="preserve">The objects of voluntary administration are currently defined in s 435A of the </w:t>
      </w:r>
      <w:r w:rsidRPr="00FF455E">
        <w:rPr>
          <w:i/>
          <w:sz w:val="22"/>
          <w:szCs w:val="22"/>
        </w:rPr>
        <w:t>Corporations Act</w:t>
      </w:r>
      <w:r>
        <w:rPr>
          <w:sz w:val="22"/>
          <w:szCs w:val="22"/>
        </w:rPr>
        <w:t xml:space="preserve"> as follows: </w:t>
      </w:r>
    </w:p>
    <w:p w14:paraId="2C48D062" w14:textId="77777777" w:rsidR="008976BD" w:rsidRPr="00F86347" w:rsidRDefault="008976BD" w:rsidP="008976BD">
      <w:pPr>
        <w:pStyle w:val="ABLLevel2noheading"/>
        <w:numPr>
          <w:ilvl w:val="0"/>
          <w:numId w:val="0"/>
        </w:numPr>
        <w:spacing w:line="360" w:lineRule="auto"/>
        <w:ind w:left="1440"/>
        <w:rPr>
          <w:i/>
          <w:sz w:val="22"/>
          <w:szCs w:val="22"/>
        </w:rPr>
      </w:pPr>
      <w:r w:rsidRPr="00F86347">
        <w:rPr>
          <w:i/>
          <w:sz w:val="22"/>
          <w:szCs w:val="22"/>
        </w:rPr>
        <w:t xml:space="preserve">The object of this Part is to provide for the business, property and affairs of an insolvent company to be administered in a way that: </w:t>
      </w:r>
    </w:p>
    <w:p w14:paraId="006F1087" w14:textId="77777777" w:rsidR="008976BD" w:rsidRPr="00F86347" w:rsidRDefault="008976BD" w:rsidP="008976BD">
      <w:pPr>
        <w:pStyle w:val="ABLLevel2noheading"/>
        <w:numPr>
          <w:ilvl w:val="0"/>
          <w:numId w:val="0"/>
        </w:numPr>
        <w:spacing w:line="360" w:lineRule="auto"/>
        <w:ind w:left="2160" w:hanging="720"/>
        <w:rPr>
          <w:i/>
          <w:sz w:val="22"/>
          <w:szCs w:val="22"/>
        </w:rPr>
      </w:pPr>
      <w:r w:rsidRPr="00F86347">
        <w:rPr>
          <w:i/>
          <w:sz w:val="22"/>
          <w:szCs w:val="22"/>
        </w:rPr>
        <w:t>(a)</w:t>
      </w:r>
      <w:r w:rsidRPr="00F86347">
        <w:rPr>
          <w:i/>
          <w:sz w:val="22"/>
          <w:szCs w:val="22"/>
        </w:rPr>
        <w:tab/>
      </w:r>
      <w:proofErr w:type="gramStart"/>
      <w:r w:rsidRPr="00F86347">
        <w:rPr>
          <w:i/>
          <w:sz w:val="22"/>
          <w:szCs w:val="22"/>
        </w:rPr>
        <w:t>maximises</w:t>
      </w:r>
      <w:proofErr w:type="gramEnd"/>
      <w:r w:rsidRPr="00F86347">
        <w:rPr>
          <w:i/>
          <w:sz w:val="22"/>
          <w:szCs w:val="22"/>
        </w:rPr>
        <w:t xml:space="preserve"> the chances of the company, or as much as possible of its business, continuing in existence; or </w:t>
      </w:r>
    </w:p>
    <w:p w14:paraId="3FD9C51D" w14:textId="77777777" w:rsidR="008976BD" w:rsidRPr="00F86347" w:rsidRDefault="008976BD" w:rsidP="008976BD">
      <w:pPr>
        <w:pStyle w:val="ABLLevel2noheading"/>
        <w:numPr>
          <w:ilvl w:val="0"/>
          <w:numId w:val="0"/>
        </w:numPr>
        <w:spacing w:line="360" w:lineRule="auto"/>
        <w:ind w:left="2160" w:hanging="720"/>
        <w:rPr>
          <w:i/>
          <w:sz w:val="22"/>
          <w:szCs w:val="22"/>
        </w:rPr>
      </w:pPr>
      <w:r w:rsidRPr="00F86347">
        <w:rPr>
          <w:i/>
          <w:sz w:val="22"/>
          <w:szCs w:val="22"/>
        </w:rPr>
        <w:t>(b)</w:t>
      </w:r>
      <w:r w:rsidRPr="00F86347">
        <w:rPr>
          <w:i/>
          <w:sz w:val="22"/>
          <w:szCs w:val="22"/>
        </w:rPr>
        <w:tab/>
      </w:r>
      <w:proofErr w:type="gramStart"/>
      <w:r w:rsidRPr="00F86347">
        <w:rPr>
          <w:i/>
          <w:sz w:val="22"/>
          <w:szCs w:val="22"/>
        </w:rPr>
        <w:t>if</w:t>
      </w:r>
      <w:proofErr w:type="gramEnd"/>
      <w:r w:rsidRPr="00F86347">
        <w:rPr>
          <w:i/>
          <w:sz w:val="22"/>
          <w:szCs w:val="22"/>
        </w:rPr>
        <w:t xml:space="preserve"> it is not possible for the company or its business to continue in existence--results in a better return for the company's creditors and members than would result from an immediate winding up of the company.</w:t>
      </w:r>
    </w:p>
    <w:p w14:paraId="206BBA9C" w14:textId="77777777" w:rsidR="008976BD" w:rsidRPr="00F86347" w:rsidRDefault="008976BD" w:rsidP="008976BD">
      <w:pPr>
        <w:pStyle w:val="ABLLevel2noheading"/>
        <w:spacing w:line="360" w:lineRule="auto"/>
        <w:rPr>
          <w:b/>
          <w:sz w:val="22"/>
          <w:szCs w:val="22"/>
        </w:rPr>
      </w:pPr>
      <w:r>
        <w:rPr>
          <w:sz w:val="22"/>
          <w:szCs w:val="22"/>
        </w:rPr>
        <w:t xml:space="preserve">That formulation provides for the administration of an “insolvent” company.  We would advocate that the objects of the Part be adjusted to expressly articulate the rehabilitative purposes of the regime.  </w:t>
      </w:r>
    </w:p>
    <w:p w14:paraId="5FE2C624" w14:textId="77777777" w:rsidR="008976BD" w:rsidRPr="009E7EDD" w:rsidRDefault="008976BD" w:rsidP="008976BD">
      <w:pPr>
        <w:pStyle w:val="ABLLevel2noheading"/>
        <w:spacing w:line="360" w:lineRule="auto"/>
        <w:rPr>
          <w:b/>
          <w:sz w:val="22"/>
          <w:szCs w:val="22"/>
        </w:rPr>
      </w:pPr>
      <w:r w:rsidRPr="009E7EDD">
        <w:rPr>
          <w:sz w:val="22"/>
          <w:szCs w:val="22"/>
        </w:rPr>
        <w:t xml:space="preserve">The amendments would include:  </w:t>
      </w:r>
    </w:p>
    <w:p w14:paraId="19D83A42" w14:textId="77777777" w:rsidR="008976BD" w:rsidRDefault="008976BD" w:rsidP="008976BD">
      <w:pPr>
        <w:pStyle w:val="ABLLevel3"/>
        <w:spacing w:line="360" w:lineRule="auto"/>
        <w:rPr>
          <w:sz w:val="22"/>
          <w:szCs w:val="22"/>
        </w:rPr>
      </w:pPr>
      <w:r>
        <w:rPr>
          <w:sz w:val="22"/>
          <w:szCs w:val="22"/>
        </w:rPr>
        <w:t>stating that the</w:t>
      </w:r>
      <w:r w:rsidRPr="009E7EDD">
        <w:rPr>
          <w:sz w:val="22"/>
          <w:szCs w:val="22"/>
        </w:rPr>
        <w:t xml:space="preserve"> Part provide</w:t>
      </w:r>
      <w:r>
        <w:rPr>
          <w:sz w:val="22"/>
          <w:szCs w:val="22"/>
        </w:rPr>
        <w:t>s</w:t>
      </w:r>
      <w:r w:rsidRPr="009E7EDD">
        <w:rPr>
          <w:sz w:val="22"/>
          <w:szCs w:val="22"/>
        </w:rPr>
        <w:t xml:space="preserve"> for the admi</w:t>
      </w:r>
      <w:r>
        <w:rPr>
          <w:sz w:val="22"/>
          <w:szCs w:val="22"/>
        </w:rPr>
        <w:t xml:space="preserve">nistration and reorganisation of companies that may become insolvent at some future time (rather than being applicable to an “insolvent” company); </w:t>
      </w:r>
    </w:p>
    <w:p w14:paraId="173FAE07" w14:textId="77777777" w:rsidR="008976BD" w:rsidRDefault="008976BD" w:rsidP="008976BD">
      <w:pPr>
        <w:pStyle w:val="ABLLevel3"/>
        <w:spacing w:line="360" w:lineRule="auto"/>
        <w:rPr>
          <w:sz w:val="22"/>
          <w:szCs w:val="22"/>
        </w:rPr>
      </w:pPr>
      <w:r>
        <w:rPr>
          <w:sz w:val="22"/>
          <w:szCs w:val="22"/>
        </w:rPr>
        <w:t>the inclusion of a purpose of maximising the chances of the company’s employees retaining their employment;</w:t>
      </w:r>
      <w:r>
        <w:rPr>
          <w:rStyle w:val="FootnoteReference"/>
          <w:sz w:val="22"/>
          <w:szCs w:val="22"/>
        </w:rPr>
        <w:footnoteReference w:id="7"/>
      </w:r>
      <w:r>
        <w:rPr>
          <w:sz w:val="22"/>
          <w:szCs w:val="22"/>
        </w:rPr>
        <w:t xml:space="preserve"> and</w:t>
      </w:r>
    </w:p>
    <w:p w14:paraId="0103F0EE" w14:textId="77777777" w:rsidR="008976BD" w:rsidRPr="00E43BC6" w:rsidRDefault="008976BD" w:rsidP="008976BD">
      <w:pPr>
        <w:pStyle w:val="ABLLevel3"/>
        <w:spacing w:line="360" w:lineRule="auto"/>
      </w:pPr>
      <w:proofErr w:type="gramStart"/>
      <w:r>
        <w:t>expressly</w:t>
      </w:r>
      <w:proofErr w:type="gramEnd"/>
      <w:r>
        <w:t xml:space="preserve"> </w:t>
      </w:r>
      <w:r w:rsidRPr="009E7EDD">
        <w:t xml:space="preserve">stating that the Part is not to be used </w:t>
      </w:r>
      <w:r>
        <w:t>as a mechanism to trigger the</w:t>
      </w:r>
      <w:r w:rsidRPr="009E7EDD">
        <w:t xml:space="preserve"> winding up of a company’s affairs</w:t>
      </w:r>
      <w:r>
        <w:t xml:space="preserve"> other than by a voluntary administrator improperly appointed</w:t>
      </w:r>
      <w:r w:rsidRPr="009E7EDD">
        <w:t>.</w:t>
      </w:r>
    </w:p>
    <w:p w14:paraId="0F3E7849" w14:textId="77777777" w:rsidR="008976BD" w:rsidRDefault="008976BD" w:rsidP="008976BD">
      <w:pPr>
        <w:pStyle w:val="ABLLevel2noheading"/>
        <w:spacing w:line="360" w:lineRule="auto"/>
        <w:rPr>
          <w:sz w:val="22"/>
          <w:szCs w:val="22"/>
        </w:rPr>
      </w:pPr>
      <w:r>
        <w:rPr>
          <w:sz w:val="22"/>
          <w:szCs w:val="22"/>
        </w:rPr>
        <w:t xml:space="preserve">We also recommend below some specific reforms to Part 5.3A of the </w:t>
      </w:r>
      <w:r w:rsidRPr="004B7F4B">
        <w:rPr>
          <w:i/>
          <w:sz w:val="22"/>
          <w:szCs w:val="22"/>
        </w:rPr>
        <w:t>Corporations Act</w:t>
      </w:r>
      <w:r>
        <w:rPr>
          <w:sz w:val="22"/>
          <w:szCs w:val="22"/>
        </w:rPr>
        <w:t xml:space="preserve"> </w:t>
      </w:r>
      <w:r w:rsidRPr="004B7F4B">
        <w:rPr>
          <w:i/>
          <w:sz w:val="22"/>
          <w:szCs w:val="22"/>
        </w:rPr>
        <w:t>2001</w:t>
      </w:r>
      <w:r>
        <w:rPr>
          <w:sz w:val="22"/>
          <w:szCs w:val="22"/>
        </w:rPr>
        <w:t xml:space="preserve"> (</w:t>
      </w:r>
      <w:proofErr w:type="spellStart"/>
      <w:r>
        <w:rPr>
          <w:sz w:val="22"/>
          <w:szCs w:val="22"/>
        </w:rPr>
        <w:t>Cth</w:t>
      </w:r>
      <w:proofErr w:type="spellEnd"/>
      <w:r>
        <w:rPr>
          <w:sz w:val="22"/>
          <w:szCs w:val="22"/>
        </w:rPr>
        <w:t xml:space="preserve">) to promote a shift towards rehabilitation.  </w:t>
      </w:r>
    </w:p>
    <w:p w14:paraId="6A99473C" w14:textId="77777777" w:rsidR="008976BD" w:rsidRPr="004B7F4B" w:rsidRDefault="008976BD" w:rsidP="008976BD">
      <w:pPr>
        <w:pStyle w:val="ABLLevel2noheading"/>
        <w:numPr>
          <w:ilvl w:val="0"/>
          <w:numId w:val="0"/>
        </w:numPr>
        <w:spacing w:line="360" w:lineRule="auto"/>
        <w:rPr>
          <w:i/>
          <w:sz w:val="22"/>
          <w:szCs w:val="22"/>
        </w:rPr>
      </w:pPr>
      <w:r>
        <w:rPr>
          <w:i/>
          <w:sz w:val="22"/>
          <w:szCs w:val="22"/>
        </w:rPr>
        <w:lastRenderedPageBreak/>
        <w:t>Appointing Administrators</w:t>
      </w:r>
    </w:p>
    <w:p w14:paraId="154EAF6A" w14:textId="77777777" w:rsidR="008976BD" w:rsidRDefault="008976BD" w:rsidP="008976BD">
      <w:pPr>
        <w:pStyle w:val="ABLLevel2noheading"/>
        <w:spacing w:line="360" w:lineRule="auto"/>
        <w:rPr>
          <w:sz w:val="22"/>
          <w:szCs w:val="22"/>
        </w:rPr>
      </w:pPr>
      <w:r>
        <w:rPr>
          <w:sz w:val="22"/>
          <w:szCs w:val="22"/>
        </w:rPr>
        <w:t xml:space="preserve">We would advocate that </w:t>
      </w:r>
      <w:r w:rsidRPr="004B7F4B">
        <w:rPr>
          <w:sz w:val="22"/>
          <w:szCs w:val="22"/>
        </w:rPr>
        <w:t xml:space="preserve">section 436A of the </w:t>
      </w:r>
      <w:r w:rsidRPr="004B7F4B">
        <w:rPr>
          <w:i/>
          <w:sz w:val="22"/>
          <w:szCs w:val="22"/>
        </w:rPr>
        <w:t>Corporations Act (</w:t>
      </w:r>
      <w:proofErr w:type="spellStart"/>
      <w:r w:rsidRPr="004B7F4B">
        <w:rPr>
          <w:i/>
          <w:sz w:val="22"/>
          <w:szCs w:val="22"/>
        </w:rPr>
        <w:t>Cth</w:t>
      </w:r>
      <w:proofErr w:type="spellEnd"/>
      <w:r w:rsidRPr="004B7F4B">
        <w:rPr>
          <w:i/>
          <w:sz w:val="22"/>
          <w:szCs w:val="22"/>
        </w:rPr>
        <w:t>) 2001</w:t>
      </w:r>
      <w:r w:rsidRPr="004B7F4B">
        <w:rPr>
          <w:sz w:val="22"/>
          <w:szCs w:val="22"/>
        </w:rPr>
        <w:t xml:space="preserve"> be amended so that it is available to a company whose board </w:t>
      </w:r>
      <w:r>
        <w:rPr>
          <w:sz w:val="22"/>
          <w:szCs w:val="22"/>
        </w:rPr>
        <w:t xml:space="preserve">forms the view </w:t>
      </w:r>
      <w:r w:rsidRPr="004B7F4B">
        <w:rPr>
          <w:sz w:val="22"/>
          <w:szCs w:val="22"/>
        </w:rPr>
        <w:t>that the company may become insolvent at some future time</w:t>
      </w:r>
      <w:r>
        <w:rPr>
          <w:sz w:val="22"/>
          <w:szCs w:val="22"/>
        </w:rPr>
        <w:t xml:space="preserve"> or expressed differently is in the “twilight of solvency” but not insolvent</w:t>
      </w:r>
      <w:r w:rsidRPr="004B7F4B">
        <w:rPr>
          <w:sz w:val="22"/>
          <w:szCs w:val="22"/>
        </w:rPr>
        <w:t xml:space="preserve"> </w:t>
      </w:r>
      <w:r>
        <w:rPr>
          <w:sz w:val="22"/>
          <w:szCs w:val="22"/>
        </w:rPr>
        <w:t>(rather than</w:t>
      </w:r>
      <w:r w:rsidRPr="004B7F4B">
        <w:rPr>
          <w:sz w:val="22"/>
          <w:szCs w:val="22"/>
        </w:rPr>
        <w:t xml:space="preserve"> necessarily</w:t>
      </w:r>
      <w:r>
        <w:rPr>
          <w:sz w:val="22"/>
          <w:szCs w:val="22"/>
        </w:rPr>
        <w:t xml:space="preserve"> being</w:t>
      </w:r>
      <w:r w:rsidRPr="004B7F4B">
        <w:rPr>
          <w:sz w:val="22"/>
          <w:szCs w:val="22"/>
        </w:rPr>
        <w:t xml:space="preserve"> insolvent</w:t>
      </w:r>
      <w:r>
        <w:rPr>
          <w:sz w:val="22"/>
          <w:szCs w:val="22"/>
        </w:rPr>
        <w:t xml:space="preserve"> at that time,</w:t>
      </w:r>
      <w:r w:rsidRPr="004B7F4B">
        <w:rPr>
          <w:sz w:val="22"/>
          <w:szCs w:val="22"/>
        </w:rPr>
        <w:t xml:space="preserve"> or imminently about to become insolvent</w:t>
      </w:r>
      <w:r>
        <w:rPr>
          <w:sz w:val="22"/>
          <w:szCs w:val="22"/>
        </w:rPr>
        <w:t xml:space="preserve">).  </w:t>
      </w:r>
    </w:p>
    <w:p w14:paraId="06AC32E1" w14:textId="77777777" w:rsidR="008976BD" w:rsidRPr="004B7F4B" w:rsidRDefault="008976BD" w:rsidP="008976BD">
      <w:pPr>
        <w:pStyle w:val="ABLLevel2noheading"/>
        <w:spacing w:line="360" w:lineRule="auto"/>
        <w:rPr>
          <w:sz w:val="22"/>
          <w:szCs w:val="22"/>
        </w:rPr>
      </w:pPr>
      <w:r>
        <w:rPr>
          <w:sz w:val="22"/>
          <w:szCs w:val="22"/>
        </w:rPr>
        <w:t>The amendment would also</w:t>
      </w:r>
      <w:r w:rsidRPr="00426231">
        <w:rPr>
          <w:sz w:val="22"/>
          <w:szCs w:val="22"/>
        </w:rPr>
        <w:t xml:space="preserve"> </w:t>
      </w:r>
      <w:r>
        <w:rPr>
          <w:sz w:val="22"/>
          <w:szCs w:val="22"/>
        </w:rPr>
        <w:t xml:space="preserve">expressly prohibit directors from appointing administrators when the company is hopelessly insolvent, or for other collateral purposes. </w:t>
      </w:r>
    </w:p>
    <w:p w14:paraId="17288C27" w14:textId="77777777" w:rsidR="008976BD" w:rsidRPr="008006E5" w:rsidRDefault="008976BD" w:rsidP="008976BD">
      <w:pPr>
        <w:pStyle w:val="ABLLevel2noheading"/>
        <w:spacing w:line="360" w:lineRule="auto"/>
        <w:rPr>
          <w:b/>
          <w:sz w:val="22"/>
          <w:szCs w:val="22"/>
        </w:rPr>
      </w:pPr>
      <w:r>
        <w:rPr>
          <w:sz w:val="22"/>
          <w:szCs w:val="22"/>
        </w:rPr>
        <w:t xml:space="preserve">It is in this regard we note that almost all of the recent large reconstructions in Australia were undertaken by means of a scheme of arrangement (debt and/or equity).  We would suggest that this was the case in order to avoid the stigma and loss of value associated with voluntary administration.  In our experience, in all of these instances, a process utilising a voluntary administration or another insolvency process was developed as a backup in order to enable a similar commercial outcome to be achieved if the scheme had failed.  These cases indicate that whilst voluntary administration is clearly designed to enable corporate reconstruction, the process is not being utilised.  </w:t>
      </w:r>
    </w:p>
    <w:p w14:paraId="0995604E" w14:textId="77777777" w:rsidR="008976BD" w:rsidRPr="008006E5" w:rsidRDefault="008976BD" w:rsidP="008976BD">
      <w:pPr>
        <w:pStyle w:val="ABLLevel2noheading"/>
        <w:spacing w:line="360" w:lineRule="auto"/>
        <w:rPr>
          <w:sz w:val="22"/>
          <w:szCs w:val="22"/>
        </w:rPr>
      </w:pPr>
      <w:r>
        <w:rPr>
          <w:sz w:val="22"/>
          <w:szCs w:val="22"/>
        </w:rPr>
        <w:t xml:space="preserve">To reinforce voluntary administration as rehabilitative rather than a precursor to liquidation, we also advocate that administrators be under a duty to place a company into liquidation immediately where it transpires that the company is hopelessly insolvent, or that the Part is being used for an improper purpose.  This would deter directors from misusing voluntary administration for collateral purposes such as ‘phoenix’ schemes or to facilitate oppressive acquisitions of shareholdings in shareholder disputes.  </w:t>
      </w:r>
    </w:p>
    <w:p w14:paraId="429C434A" w14:textId="77777777" w:rsidR="008976BD" w:rsidRPr="008006E5" w:rsidRDefault="008976BD" w:rsidP="008976BD">
      <w:pPr>
        <w:pStyle w:val="ABLLevel2noheading"/>
        <w:spacing w:line="360" w:lineRule="auto"/>
        <w:rPr>
          <w:sz w:val="22"/>
          <w:szCs w:val="22"/>
        </w:rPr>
      </w:pPr>
      <w:r>
        <w:rPr>
          <w:sz w:val="22"/>
          <w:szCs w:val="22"/>
        </w:rPr>
        <w:t>And,</w:t>
      </w:r>
      <w:r w:rsidRPr="008006E5">
        <w:rPr>
          <w:sz w:val="22"/>
          <w:szCs w:val="22"/>
        </w:rPr>
        <w:t xml:space="preserve"> </w:t>
      </w:r>
      <w:r>
        <w:rPr>
          <w:sz w:val="22"/>
          <w:szCs w:val="22"/>
        </w:rPr>
        <w:t xml:space="preserve">by requiring an administrator to immediately liquidate hopelessly insolvent companies, </w:t>
      </w:r>
      <w:r w:rsidRPr="008006E5">
        <w:rPr>
          <w:sz w:val="22"/>
          <w:szCs w:val="22"/>
        </w:rPr>
        <w:t>efficienc</w:t>
      </w:r>
      <w:r>
        <w:rPr>
          <w:sz w:val="22"/>
          <w:szCs w:val="22"/>
        </w:rPr>
        <w:t>ies would be introduced</w:t>
      </w:r>
      <w:r w:rsidRPr="008006E5">
        <w:rPr>
          <w:sz w:val="22"/>
          <w:szCs w:val="22"/>
        </w:rPr>
        <w:t xml:space="preserve"> into the corporate insolvency regime by avoiding the often substantial costs of: </w:t>
      </w:r>
    </w:p>
    <w:p w14:paraId="7FCE3523" w14:textId="77777777" w:rsidR="008976BD" w:rsidRPr="008006E5" w:rsidRDefault="008976BD" w:rsidP="008976BD">
      <w:pPr>
        <w:pStyle w:val="ABLLevel3"/>
        <w:rPr>
          <w:sz w:val="22"/>
          <w:szCs w:val="22"/>
        </w:rPr>
      </w:pPr>
      <w:r w:rsidRPr="008006E5">
        <w:rPr>
          <w:sz w:val="22"/>
          <w:szCs w:val="22"/>
        </w:rPr>
        <w:t xml:space="preserve">the preparation of the </w:t>
      </w:r>
      <w:r>
        <w:rPr>
          <w:sz w:val="22"/>
          <w:szCs w:val="22"/>
        </w:rPr>
        <w:t>a</w:t>
      </w:r>
      <w:r w:rsidRPr="008006E5">
        <w:rPr>
          <w:sz w:val="22"/>
          <w:szCs w:val="22"/>
        </w:rPr>
        <w:t xml:space="preserve">dministrators’ report to creditors; and  </w:t>
      </w:r>
    </w:p>
    <w:p w14:paraId="24D975F4" w14:textId="77777777" w:rsidR="008976BD" w:rsidRPr="008006E5" w:rsidRDefault="008976BD" w:rsidP="008976BD">
      <w:pPr>
        <w:pStyle w:val="ABLLevel3"/>
        <w:rPr>
          <w:sz w:val="22"/>
          <w:szCs w:val="22"/>
        </w:rPr>
      </w:pPr>
      <w:r w:rsidRPr="008006E5">
        <w:rPr>
          <w:sz w:val="22"/>
          <w:szCs w:val="22"/>
        </w:rPr>
        <w:t xml:space="preserve">the convening and holding of the second meeting of creditors; </w:t>
      </w:r>
    </w:p>
    <w:p w14:paraId="458EDD3E" w14:textId="77777777" w:rsidR="008976BD" w:rsidRPr="008006E5" w:rsidRDefault="008976BD" w:rsidP="008976BD">
      <w:pPr>
        <w:pStyle w:val="ABLLevel3"/>
        <w:numPr>
          <w:ilvl w:val="0"/>
          <w:numId w:val="0"/>
        </w:numPr>
        <w:ind w:left="720"/>
        <w:rPr>
          <w:sz w:val="22"/>
          <w:szCs w:val="22"/>
        </w:rPr>
      </w:pPr>
      <w:proofErr w:type="gramStart"/>
      <w:r w:rsidRPr="008006E5">
        <w:rPr>
          <w:sz w:val="22"/>
          <w:szCs w:val="22"/>
        </w:rPr>
        <w:t>required</w:t>
      </w:r>
      <w:proofErr w:type="gramEnd"/>
      <w:r w:rsidRPr="008006E5">
        <w:rPr>
          <w:sz w:val="22"/>
          <w:szCs w:val="22"/>
        </w:rPr>
        <w:t xml:space="preserve"> by s 439A of the </w:t>
      </w:r>
      <w:r w:rsidRPr="008006E5">
        <w:rPr>
          <w:i/>
          <w:sz w:val="22"/>
          <w:szCs w:val="22"/>
        </w:rPr>
        <w:t>Corporations Act</w:t>
      </w:r>
      <w:r w:rsidRPr="008006E5">
        <w:rPr>
          <w:sz w:val="22"/>
          <w:szCs w:val="22"/>
        </w:rPr>
        <w:t xml:space="preserve">. </w:t>
      </w:r>
    </w:p>
    <w:p w14:paraId="14CA77EE" w14:textId="77777777" w:rsidR="00A34E16" w:rsidRDefault="00A34E16">
      <w:pPr>
        <w:spacing w:after="200" w:line="276" w:lineRule="auto"/>
        <w:jc w:val="left"/>
        <w:rPr>
          <w:rFonts w:cs="Arial"/>
          <w:i/>
          <w:sz w:val="22"/>
          <w:szCs w:val="22"/>
        </w:rPr>
      </w:pPr>
      <w:r>
        <w:rPr>
          <w:i/>
          <w:sz w:val="22"/>
          <w:szCs w:val="22"/>
        </w:rPr>
        <w:br w:type="page"/>
      </w:r>
    </w:p>
    <w:p w14:paraId="3667A839" w14:textId="77777777" w:rsidR="00A34E16" w:rsidRDefault="00A34E16" w:rsidP="00A34E16">
      <w:pPr>
        <w:pStyle w:val="ABLLevel2noheading"/>
        <w:numPr>
          <w:ilvl w:val="0"/>
          <w:numId w:val="0"/>
        </w:numPr>
        <w:spacing w:before="240" w:line="360" w:lineRule="auto"/>
        <w:rPr>
          <w:i/>
          <w:sz w:val="22"/>
          <w:szCs w:val="22"/>
        </w:rPr>
      </w:pPr>
    </w:p>
    <w:p w14:paraId="41AD667A" w14:textId="77777777" w:rsidR="008976BD" w:rsidRPr="008006E5" w:rsidRDefault="008976BD" w:rsidP="00A34E16">
      <w:pPr>
        <w:pStyle w:val="ABLLevel2noheading"/>
        <w:numPr>
          <w:ilvl w:val="0"/>
          <w:numId w:val="0"/>
        </w:numPr>
        <w:spacing w:before="240" w:line="360" w:lineRule="auto"/>
        <w:rPr>
          <w:i/>
          <w:sz w:val="22"/>
          <w:szCs w:val="22"/>
        </w:rPr>
      </w:pPr>
      <w:r w:rsidRPr="008006E5">
        <w:rPr>
          <w:i/>
          <w:sz w:val="22"/>
          <w:szCs w:val="22"/>
        </w:rPr>
        <w:t>Ipso Facto Clauses</w:t>
      </w:r>
    </w:p>
    <w:p w14:paraId="34413302" w14:textId="77777777" w:rsidR="008976BD" w:rsidRPr="006F4B75" w:rsidRDefault="008976BD" w:rsidP="008976BD">
      <w:pPr>
        <w:pStyle w:val="ABLLevel2noheading"/>
        <w:spacing w:line="360" w:lineRule="auto"/>
        <w:rPr>
          <w:b/>
          <w:sz w:val="22"/>
          <w:szCs w:val="22"/>
        </w:rPr>
      </w:pPr>
      <w:r>
        <w:rPr>
          <w:sz w:val="22"/>
          <w:szCs w:val="22"/>
        </w:rPr>
        <w:t>Many commercial contracts contain provisions that allow a party to terminate the contract if an insolvency event occurs with respect to the other party.  These provisions are commonly referred to as “i</w:t>
      </w:r>
      <w:r w:rsidRPr="00BB0A52">
        <w:rPr>
          <w:sz w:val="22"/>
          <w:szCs w:val="22"/>
        </w:rPr>
        <w:t>pso facto</w:t>
      </w:r>
      <w:r>
        <w:rPr>
          <w:sz w:val="22"/>
          <w:szCs w:val="22"/>
        </w:rPr>
        <w:t>”</w:t>
      </w:r>
      <w:r w:rsidRPr="00BB0A52">
        <w:rPr>
          <w:sz w:val="22"/>
          <w:szCs w:val="22"/>
        </w:rPr>
        <w:t xml:space="preserve"> clauses</w:t>
      </w:r>
      <w:r>
        <w:rPr>
          <w:sz w:val="22"/>
          <w:szCs w:val="22"/>
        </w:rPr>
        <w:t xml:space="preserve"> because the simple act of an insolvency appointment triggers the right for the other party to terminate the contract.  </w:t>
      </w:r>
      <w:r w:rsidRPr="009B1400">
        <w:rPr>
          <w:sz w:val="22"/>
          <w:szCs w:val="22"/>
        </w:rPr>
        <w:t xml:space="preserve">Chapter 11 of the US Bankruptcy Code, applying both to natural persons and </w:t>
      </w:r>
      <w:r w:rsidRPr="0008599E">
        <w:rPr>
          <w:sz w:val="22"/>
          <w:szCs w:val="22"/>
        </w:rPr>
        <w:t>corporations, generally bars the enforcement of ipso facto</w:t>
      </w:r>
      <w:r>
        <w:rPr>
          <w:sz w:val="22"/>
          <w:szCs w:val="22"/>
        </w:rPr>
        <w:t xml:space="preserve"> clauses in executory contracts </w:t>
      </w:r>
      <w:r w:rsidRPr="006F4B75">
        <w:rPr>
          <w:sz w:val="22"/>
          <w:szCs w:val="22"/>
        </w:rPr>
        <w:t xml:space="preserve">(“ipso facto protection”).  </w:t>
      </w:r>
    </w:p>
    <w:p w14:paraId="444EA1A7" w14:textId="77777777" w:rsidR="008976BD" w:rsidRPr="006F4B75" w:rsidRDefault="008976BD" w:rsidP="008976BD">
      <w:pPr>
        <w:pStyle w:val="ABLLevel2noheading"/>
        <w:spacing w:line="360" w:lineRule="auto"/>
        <w:rPr>
          <w:b/>
          <w:sz w:val="22"/>
          <w:szCs w:val="22"/>
        </w:rPr>
      </w:pPr>
      <w:r w:rsidRPr="006F4B75">
        <w:rPr>
          <w:sz w:val="22"/>
          <w:szCs w:val="22"/>
        </w:rPr>
        <w:t>Ipso facto protection is not afforded in Australia</w:t>
      </w:r>
      <w:r>
        <w:rPr>
          <w:sz w:val="22"/>
          <w:szCs w:val="22"/>
        </w:rPr>
        <w:t xml:space="preserve"> under the </w:t>
      </w:r>
      <w:r w:rsidRPr="008D15C3">
        <w:rPr>
          <w:i/>
          <w:sz w:val="22"/>
          <w:szCs w:val="22"/>
        </w:rPr>
        <w:t>Corporations Act</w:t>
      </w:r>
      <w:r>
        <w:rPr>
          <w:sz w:val="22"/>
          <w:szCs w:val="22"/>
        </w:rPr>
        <w:t xml:space="preserve"> (</w:t>
      </w:r>
      <w:r w:rsidR="008D15C3">
        <w:rPr>
          <w:sz w:val="22"/>
          <w:szCs w:val="22"/>
        </w:rPr>
        <w:t>t</w:t>
      </w:r>
      <w:r>
        <w:rPr>
          <w:sz w:val="22"/>
          <w:szCs w:val="22"/>
        </w:rPr>
        <w:t>he position is different in bankruptcy, which is illogical)</w:t>
      </w:r>
      <w:r w:rsidR="008D15C3">
        <w:rPr>
          <w:sz w:val="22"/>
          <w:szCs w:val="22"/>
        </w:rPr>
        <w:t>.</w:t>
      </w:r>
      <w:r w:rsidRPr="006F4B75">
        <w:rPr>
          <w:sz w:val="22"/>
          <w:szCs w:val="22"/>
        </w:rPr>
        <w:t xml:space="preserve">  The ability of counterparties to terminate contracts with </w:t>
      </w:r>
      <w:r>
        <w:rPr>
          <w:sz w:val="22"/>
          <w:szCs w:val="22"/>
        </w:rPr>
        <w:t>a</w:t>
      </w:r>
      <w:r w:rsidRPr="006F4B75">
        <w:rPr>
          <w:sz w:val="22"/>
          <w:szCs w:val="22"/>
        </w:rPr>
        <w:t xml:space="preserve"> company </w:t>
      </w:r>
      <w:r>
        <w:rPr>
          <w:sz w:val="22"/>
          <w:szCs w:val="22"/>
        </w:rPr>
        <w:t xml:space="preserve">in external administration </w:t>
      </w:r>
      <w:r w:rsidRPr="006F4B75">
        <w:rPr>
          <w:sz w:val="22"/>
          <w:szCs w:val="22"/>
        </w:rPr>
        <w:t xml:space="preserve">significantly undermines restructuring efforts.  This is because </w:t>
      </w:r>
      <w:r>
        <w:rPr>
          <w:sz w:val="22"/>
          <w:szCs w:val="22"/>
        </w:rPr>
        <w:t xml:space="preserve">on </w:t>
      </w:r>
      <w:r w:rsidRPr="006F4B75">
        <w:rPr>
          <w:sz w:val="22"/>
          <w:szCs w:val="22"/>
        </w:rPr>
        <w:t xml:space="preserve">the </w:t>
      </w:r>
      <w:r>
        <w:rPr>
          <w:sz w:val="22"/>
          <w:szCs w:val="22"/>
        </w:rPr>
        <w:t xml:space="preserve">commencement of </w:t>
      </w:r>
      <w:r w:rsidRPr="006F4B75">
        <w:rPr>
          <w:sz w:val="22"/>
          <w:szCs w:val="22"/>
        </w:rPr>
        <w:t xml:space="preserve">an insolvency process, such as voluntary administration, </w:t>
      </w:r>
      <w:r>
        <w:rPr>
          <w:sz w:val="22"/>
          <w:szCs w:val="22"/>
        </w:rPr>
        <w:t>the company risks losing</w:t>
      </w:r>
      <w:r w:rsidRPr="006F4B75">
        <w:rPr>
          <w:sz w:val="22"/>
          <w:szCs w:val="22"/>
        </w:rPr>
        <w:t xml:space="preserve"> (or have to renegotiate) a number of its </w:t>
      </w:r>
      <w:r>
        <w:rPr>
          <w:sz w:val="22"/>
          <w:szCs w:val="22"/>
        </w:rPr>
        <w:t xml:space="preserve">key </w:t>
      </w:r>
      <w:r w:rsidRPr="006F4B75">
        <w:rPr>
          <w:sz w:val="22"/>
          <w:szCs w:val="22"/>
        </w:rPr>
        <w:t xml:space="preserve">commercial contracts.  The loss or renegotiation of contracts may significantly affect </w:t>
      </w:r>
      <w:r>
        <w:rPr>
          <w:sz w:val="22"/>
          <w:szCs w:val="22"/>
        </w:rPr>
        <w:t xml:space="preserve">its viability and ability to continue as a going concern as well as its </w:t>
      </w:r>
      <w:r w:rsidRPr="006F4B75">
        <w:rPr>
          <w:sz w:val="22"/>
          <w:szCs w:val="22"/>
        </w:rPr>
        <w:t xml:space="preserve">ability to pay its creditors.  </w:t>
      </w:r>
    </w:p>
    <w:p w14:paraId="179C59EA" w14:textId="77777777" w:rsidR="008976BD" w:rsidRPr="009B1400" w:rsidRDefault="008976BD" w:rsidP="008976BD">
      <w:pPr>
        <w:pStyle w:val="ABLLevel2noheading"/>
        <w:spacing w:line="360" w:lineRule="auto"/>
        <w:rPr>
          <w:sz w:val="22"/>
          <w:szCs w:val="22"/>
        </w:rPr>
      </w:pPr>
      <w:r w:rsidRPr="00BB0A52">
        <w:rPr>
          <w:sz w:val="22"/>
          <w:szCs w:val="22"/>
        </w:rPr>
        <w:t xml:space="preserve">It is submitted that ipso facto </w:t>
      </w:r>
      <w:r>
        <w:rPr>
          <w:sz w:val="22"/>
          <w:szCs w:val="22"/>
        </w:rPr>
        <w:t xml:space="preserve">protection should be afforded in order </w:t>
      </w:r>
      <w:r w:rsidRPr="00BB0A52">
        <w:rPr>
          <w:sz w:val="22"/>
          <w:szCs w:val="22"/>
        </w:rPr>
        <w:t xml:space="preserve">to remove the impediment that </w:t>
      </w:r>
      <w:r>
        <w:rPr>
          <w:sz w:val="22"/>
          <w:szCs w:val="22"/>
        </w:rPr>
        <w:t xml:space="preserve">ipso facto clauses </w:t>
      </w:r>
      <w:r w:rsidRPr="00BB0A52">
        <w:rPr>
          <w:sz w:val="22"/>
          <w:szCs w:val="22"/>
        </w:rPr>
        <w:t>present to restructuring efforts.</w:t>
      </w:r>
      <w:r>
        <w:rPr>
          <w:sz w:val="22"/>
          <w:szCs w:val="22"/>
        </w:rPr>
        <w:t xml:space="preserve"> </w:t>
      </w:r>
      <w:r w:rsidRPr="00BB0A52">
        <w:rPr>
          <w:sz w:val="22"/>
          <w:szCs w:val="22"/>
        </w:rPr>
        <w:t xml:space="preserve"> This </w:t>
      </w:r>
      <w:r>
        <w:rPr>
          <w:sz w:val="22"/>
          <w:szCs w:val="22"/>
        </w:rPr>
        <w:t xml:space="preserve">would </w:t>
      </w:r>
      <w:r w:rsidRPr="00BB0A52">
        <w:rPr>
          <w:sz w:val="22"/>
          <w:szCs w:val="22"/>
        </w:rPr>
        <w:t xml:space="preserve">involve </w:t>
      </w:r>
      <w:r>
        <w:rPr>
          <w:sz w:val="22"/>
          <w:szCs w:val="22"/>
        </w:rPr>
        <w:t xml:space="preserve">creating </w:t>
      </w:r>
      <w:r w:rsidRPr="00BB0A52">
        <w:rPr>
          <w:sz w:val="22"/>
          <w:szCs w:val="22"/>
        </w:rPr>
        <w:t>a moratorium on the trig</w:t>
      </w:r>
      <w:r>
        <w:rPr>
          <w:sz w:val="22"/>
          <w:szCs w:val="22"/>
        </w:rPr>
        <w:t>gering of ipso facto clauses in contracts generally</w:t>
      </w:r>
      <w:r w:rsidRPr="00BB0A52">
        <w:rPr>
          <w:sz w:val="22"/>
          <w:szCs w:val="22"/>
        </w:rPr>
        <w:t xml:space="preserve">.  </w:t>
      </w:r>
      <w:r>
        <w:rPr>
          <w:sz w:val="22"/>
          <w:szCs w:val="22"/>
        </w:rPr>
        <w:t>A moratorium of this kind is already reflected in Australian bankruptcy law,</w:t>
      </w:r>
      <w:r>
        <w:rPr>
          <w:rStyle w:val="FootnoteReference"/>
          <w:sz w:val="22"/>
          <w:szCs w:val="22"/>
        </w:rPr>
        <w:footnoteReference w:id="8"/>
      </w:r>
      <w:r>
        <w:rPr>
          <w:sz w:val="22"/>
          <w:szCs w:val="22"/>
        </w:rPr>
        <w:t xml:space="preserve"> which recognises the benefit of allowing a trustee or bankrupt </w:t>
      </w:r>
      <w:r w:rsidRPr="009B1400">
        <w:rPr>
          <w:sz w:val="22"/>
          <w:szCs w:val="22"/>
        </w:rPr>
        <w:t xml:space="preserve">person the opportunity to operate free from </w:t>
      </w:r>
      <w:r>
        <w:rPr>
          <w:sz w:val="22"/>
          <w:szCs w:val="22"/>
        </w:rPr>
        <w:t xml:space="preserve">impediments of this kind </w:t>
      </w:r>
      <w:r w:rsidRPr="009B1400">
        <w:rPr>
          <w:sz w:val="22"/>
          <w:szCs w:val="22"/>
        </w:rPr>
        <w:t xml:space="preserve">to the advantage of creditors.  </w:t>
      </w:r>
    </w:p>
    <w:p w14:paraId="64321C1B" w14:textId="77777777" w:rsidR="008976BD" w:rsidRPr="008006E5" w:rsidRDefault="008976BD" w:rsidP="008976BD">
      <w:pPr>
        <w:pStyle w:val="ABLLevel2noheading"/>
        <w:numPr>
          <w:ilvl w:val="0"/>
          <w:numId w:val="0"/>
        </w:numPr>
        <w:spacing w:line="360" w:lineRule="auto"/>
        <w:rPr>
          <w:i/>
          <w:sz w:val="22"/>
          <w:szCs w:val="22"/>
        </w:rPr>
      </w:pPr>
      <w:r>
        <w:rPr>
          <w:i/>
          <w:sz w:val="22"/>
          <w:szCs w:val="22"/>
        </w:rPr>
        <w:t>Disclaimer power</w:t>
      </w:r>
    </w:p>
    <w:p w14:paraId="716D1731" w14:textId="77777777" w:rsidR="008976BD" w:rsidRPr="00950958" w:rsidRDefault="008976BD" w:rsidP="008976BD">
      <w:pPr>
        <w:pStyle w:val="ABLLevel2noheading"/>
        <w:spacing w:line="360" w:lineRule="auto"/>
        <w:rPr>
          <w:b/>
          <w:sz w:val="22"/>
          <w:szCs w:val="22"/>
        </w:rPr>
      </w:pPr>
      <w:r>
        <w:rPr>
          <w:sz w:val="22"/>
          <w:szCs w:val="22"/>
        </w:rPr>
        <w:t xml:space="preserve">Liquidators have a power to disclaim onerous property under Part 5.6, Division 7A of the </w:t>
      </w:r>
      <w:r w:rsidRPr="008A6B69">
        <w:rPr>
          <w:i/>
          <w:sz w:val="22"/>
          <w:szCs w:val="22"/>
        </w:rPr>
        <w:t>Corporations Act</w:t>
      </w:r>
      <w:r>
        <w:rPr>
          <w:sz w:val="22"/>
          <w:szCs w:val="22"/>
        </w:rPr>
        <w:t>.  The purpose of the disclaimer power is “…</w:t>
      </w:r>
      <w:r w:rsidRPr="00FF455E">
        <w:rPr>
          <w:i/>
          <w:sz w:val="22"/>
          <w:szCs w:val="22"/>
        </w:rPr>
        <w:t>to rid the company of burdensome financial obligations which might otherwise continue to the detriment of those interested in the administration</w:t>
      </w:r>
      <w:r>
        <w:rPr>
          <w:sz w:val="22"/>
          <w:szCs w:val="22"/>
        </w:rPr>
        <w:t>…”</w:t>
      </w:r>
      <w:r>
        <w:rPr>
          <w:rStyle w:val="FootnoteReference"/>
          <w:sz w:val="22"/>
          <w:szCs w:val="22"/>
        </w:rPr>
        <w:footnoteReference w:id="9"/>
      </w:r>
    </w:p>
    <w:p w14:paraId="011F9569" w14:textId="77777777" w:rsidR="008976BD" w:rsidRPr="008A6B69" w:rsidRDefault="008976BD" w:rsidP="008976BD">
      <w:pPr>
        <w:pStyle w:val="ABLLevel2noheading"/>
        <w:spacing w:line="360" w:lineRule="auto"/>
        <w:rPr>
          <w:b/>
          <w:sz w:val="22"/>
          <w:szCs w:val="22"/>
        </w:rPr>
      </w:pPr>
      <w:r>
        <w:rPr>
          <w:sz w:val="22"/>
          <w:szCs w:val="22"/>
        </w:rPr>
        <w:t xml:space="preserve">Disclaimer is not presently available to voluntary administrators or scheme administrators.  Given the scope of the disclaimer power to be used to restructure a </w:t>
      </w:r>
      <w:r>
        <w:rPr>
          <w:sz w:val="22"/>
          <w:szCs w:val="22"/>
        </w:rPr>
        <w:lastRenderedPageBreak/>
        <w:t xml:space="preserve">distressed company’s </w:t>
      </w:r>
      <w:proofErr w:type="spellStart"/>
      <w:r>
        <w:rPr>
          <w:sz w:val="22"/>
          <w:szCs w:val="22"/>
        </w:rPr>
        <w:t>contractual</w:t>
      </w:r>
      <w:proofErr w:type="spellEnd"/>
      <w:r>
        <w:rPr>
          <w:sz w:val="22"/>
          <w:szCs w:val="22"/>
        </w:rPr>
        <w:t xml:space="preserve"> or other liabilities, there is no good reason in principle to confine the power to a liquidator. Scheme Administrators derive their powers from the Court’s order approving the scheme. The Court will therefore supervise the grant of the power.  Voluntary Administrators powers derive from the Corporations Act and they and Deed Administrators should have the same powers as liquidators expressly granted to them (</w:t>
      </w:r>
      <w:r w:rsidR="008D15C3">
        <w:rPr>
          <w:sz w:val="22"/>
          <w:szCs w:val="22"/>
        </w:rPr>
        <w:t>t</w:t>
      </w:r>
      <w:r>
        <w:rPr>
          <w:sz w:val="22"/>
          <w:szCs w:val="22"/>
        </w:rPr>
        <w:t xml:space="preserve">he Deed Administrators powers derive from the Deed).  </w:t>
      </w:r>
    </w:p>
    <w:p w14:paraId="33B3921F" w14:textId="77777777" w:rsidR="008976BD" w:rsidRPr="00FD3AB6" w:rsidRDefault="008976BD" w:rsidP="008976BD">
      <w:pPr>
        <w:pStyle w:val="ABLLevel2noheading"/>
        <w:spacing w:line="360" w:lineRule="auto"/>
        <w:rPr>
          <w:b/>
          <w:sz w:val="22"/>
          <w:szCs w:val="22"/>
        </w:rPr>
      </w:pPr>
      <w:r>
        <w:rPr>
          <w:sz w:val="22"/>
          <w:szCs w:val="22"/>
        </w:rPr>
        <w:t xml:space="preserve">In our opinion the disclaimer power could be used by administrators or scheme administrators to facilitate the successful reorganisation of distressed companies and should be available to them and not just to liquidators.  </w:t>
      </w:r>
    </w:p>
    <w:p w14:paraId="0AF972DA" w14:textId="77777777" w:rsidR="008976BD" w:rsidRPr="00F4566F" w:rsidRDefault="008976BD" w:rsidP="008976BD">
      <w:pPr>
        <w:pStyle w:val="ABLLevel2noheading"/>
        <w:numPr>
          <w:ilvl w:val="0"/>
          <w:numId w:val="0"/>
        </w:numPr>
        <w:spacing w:line="360" w:lineRule="auto"/>
        <w:ind w:left="720" w:hanging="720"/>
        <w:rPr>
          <w:i/>
          <w:sz w:val="22"/>
          <w:szCs w:val="22"/>
        </w:rPr>
      </w:pPr>
      <w:r>
        <w:rPr>
          <w:i/>
          <w:sz w:val="22"/>
          <w:szCs w:val="22"/>
        </w:rPr>
        <w:t>Extensions to t</w:t>
      </w:r>
      <w:r w:rsidRPr="00F4566F">
        <w:rPr>
          <w:i/>
          <w:sz w:val="22"/>
          <w:szCs w:val="22"/>
        </w:rPr>
        <w:t>he “Decision Period”</w:t>
      </w:r>
    </w:p>
    <w:p w14:paraId="1EB7CE08" w14:textId="77777777" w:rsidR="008976BD" w:rsidRDefault="008976BD" w:rsidP="008976BD">
      <w:pPr>
        <w:pStyle w:val="ABLLevel2noheading"/>
        <w:spacing w:line="360" w:lineRule="auto"/>
        <w:rPr>
          <w:sz w:val="22"/>
          <w:szCs w:val="22"/>
        </w:rPr>
      </w:pPr>
      <w:r>
        <w:rPr>
          <w:sz w:val="22"/>
          <w:szCs w:val="22"/>
        </w:rPr>
        <w:t>The moratorium in voluntary administration is subject to a substantial secured creditor</w:t>
      </w:r>
      <w:r>
        <w:rPr>
          <w:rStyle w:val="FootnoteReference"/>
          <w:sz w:val="22"/>
          <w:szCs w:val="22"/>
        </w:rPr>
        <w:footnoteReference w:id="10"/>
      </w:r>
      <w:r>
        <w:rPr>
          <w:sz w:val="22"/>
          <w:szCs w:val="22"/>
        </w:rPr>
        <w:t xml:space="preserve"> enforcing their security (including by the appointment of a receiver) during a limited period of 13 business days from the appointment (known as the “Decision Period”).  </w:t>
      </w:r>
    </w:p>
    <w:p w14:paraId="0C67C6EA" w14:textId="77777777" w:rsidR="008976BD" w:rsidRDefault="008976BD" w:rsidP="008976BD">
      <w:pPr>
        <w:pStyle w:val="ABLLevel2noheading"/>
        <w:spacing w:line="360" w:lineRule="auto"/>
        <w:rPr>
          <w:sz w:val="22"/>
          <w:szCs w:val="22"/>
        </w:rPr>
      </w:pPr>
      <w:r>
        <w:rPr>
          <w:sz w:val="22"/>
          <w:szCs w:val="22"/>
        </w:rPr>
        <w:t xml:space="preserve">Where a substantial secured creditor enforces the security, the opportunity for the company to be successfully rehabilitated through the voluntary administration process is invariably lost because the receiver’s primary focus is on realising the pledged assets for the benefit of the secured creditor rather than restructuring the company for the benefit of all stakeholders. </w:t>
      </w:r>
    </w:p>
    <w:p w14:paraId="0446AB1B" w14:textId="77777777" w:rsidR="008976BD" w:rsidRDefault="008976BD" w:rsidP="008976BD">
      <w:pPr>
        <w:pStyle w:val="ABLLevel2noheading"/>
        <w:spacing w:line="360" w:lineRule="auto"/>
        <w:rPr>
          <w:sz w:val="22"/>
          <w:szCs w:val="22"/>
        </w:rPr>
      </w:pPr>
      <w:r>
        <w:rPr>
          <w:sz w:val="22"/>
          <w:szCs w:val="22"/>
        </w:rPr>
        <w:t xml:space="preserve">Further, the very appointment of an administrator may trigger receivership and thereby undermine the rehabilitative purposes of voluntary administration.   </w:t>
      </w:r>
    </w:p>
    <w:p w14:paraId="261EED76" w14:textId="77777777" w:rsidR="008976BD" w:rsidRDefault="008976BD" w:rsidP="008976BD">
      <w:pPr>
        <w:pStyle w:val="ABLLevel2noheading"/>
        <w:spacing w:line="360" w:lineRule="auto"/>
        <w:rPr>
          <w:sz w:val="22"/>
          <w:szCs w:val="22"/>
        </w:rPr>
      </w:pPr>
      <w:r>
        <w:rPr>
          <w:sz w:val="22"/>
          <w:szCs w:val="22"/>
        </w:rPr>
        <w:t xml:space="preserve">Under the current statutory regime, secured creditors and administrators often extend the “Decision Period” by agreement so that the secured creditor retains the ability to appoint a receiver ‘over the top’ of the administrator at any time during the administration. By doing so the secured creditors exercise a </w:t>
      </w:r>
      <w:proofErr w:type="spellStart"/>
      <w:r>
        <w:rPr>
          <w:sz w:val="22"/>
          <w:szCs w:val="22"/>
        </w:rPr>
        <w:t>defacto</w:t>
      </w:r>
      <w:proofErr w:type="spellEnd"/>
      <w:r>
        <w:rPr>
          <w:sz w:val="22"/>
          <w:szCs w:val="22"/>
        </w:rPr>
        <w:t xml:space="preserve"> negative control over the administration. That is if it does not approve of the conduct of the Administrators it will appoint a Receiver over the company.  This can inhibit the ability of the administrator to pursue the rehabilitation purposes of Part 5.3A and convert the administration into a </w:t>
      </w:r>
      <w:r w:rsidRPr="006E2C0D">
        <w:rPr>
          <w:i/>
          <w:sz w:val="22"/>
          <w:szCs w:val="22"/>
        </w:rPr>
        <w:t>de facto</w:t>
      </w:r>
      <w:r>
        <w:rPr>
          <w:sz w:val="22"/>
          <w:szCs w:val="22"/>
        </w:rPr>
        <w:t xml:space="preserve"> receivership.  </w:t>
      </w:r>
    </w:p>
    <w:p w14:paraId="0B887E02" w14:textId="77777777" w:rsidR="008976BD" w:rsidRPr="0098614A" w:rsidRDefault="008976BD" w:rsidP="008976BD">
      <w:pPr>
        <w:pStyle w:val="ABLLevel2noheading"/>
        <w:spacing w:line="360" w:lineRule="auto"/>
        <w:rPr>
          <w:sz w:val="22"/>
          <w:szCs w:val="22"/>
        </w:rPr>
      </w:pPr>
      <w:r>
        <w:rPr>
          <w:sz w:val="22"/>
          <w:szCs w:val="22"/>
        </w:rPr>
        <w:lastRenderedPageBreak/>
        <w:t xml:space="preserve">We would therefore advocate an amendment being made to the voluntary administration provisions that prohibits extensions of the “Decision Period” by private agreement with the administrator.  Extensions would only be permitted where approved by either the Court or a specialist panel. The secured Creditors are conscious of adverse mainstream and other media and are often initially disinclined to appoint Receivers. By making the Court </w:t>
      </w:r>
      <w:proofErr w:type="gramStart"/>
      <w:r>
        <w:rPr>
          <w:sz w:val="22"/>
          <w:szCs w:val="22"/>
        </w:rPr>
        <w:t>supervise</w:t>
      </w:r>
      <w:proofErr w:type="gramEnd"/>
      <w:r>
        <w:rPr>
          <w:sz w:val="22"/>
          <w:szCs w:val="22"/>
        </w:rPr>
        <w:t xml:space="preserve"> extensions it will create a more even playing field for the negotiations between the secured Creditors and the Administrators. </w:t>
      </w:r>
    </w:p>
    <w:p w14:paraId="0E56BC0E" w14:textId="77777777" w:rsidR="008976BD" w:rsidRPr="009E7EDD" w:rsidRDefault="008976BD" w:rsidP="008976BD">
      <w:pPr>
        <w:pStyle w:val="ABLNormal"/>
        <w:spacing w:line="360" w:lineRule="auto"/>
        <w:rPr>
          <w:b/>
          <w:sz w:val="22"/>
          <w:szCs w:val="22"/>
        </w:rPr>
      </w:pPr>
      <w:r>
        <w:rPr>
          <w:b/>
          <w:sz w:val="22"/>
          <w:szCs w:val="22"/>
        </w:rPr>
        <w:t xml:space="preserve">B. </w:t>
      </w:r>
      <w:r w:rsidRPr="009E7EDD">
        <w:rPr>
          <w:b/>
          <w:sz w:val="22"/>
          <w:szCs w:val="22"/>
        </w:rPr>
        <w:t xml:space="preserve">Specialist Panel: The administration of justice in the insolvency context </w:t>
      </w:r>
    </w:p>
    <w:p w14:paraId="30790C16" w14:textId="77777777" w:rsidR="008976BD" w:rsidRDefault="008976BD" w:rsidP="008976BD">
      <w:pPr>
        <w:pStyle w:val="ABLLevel2noheading"/>
        <w:spacing w:line="360" w:lineRule="auto"/>
        <w:rPr>
          <w:sz w:val="22"/>
          <w:szCs w:val="22"/>
        </w:rPr>
      </w:pPr>
      <w:r w:rsidRPr="009E7EDD">
        <w:rPr>
          <w:sz w:val="22"/>
          <w:szCs w:val="22"/>
        </w:rPr>
        <w:t>The administration</w:t>
      </w:r>
      <w:r>
        <w:rPr>
          <w:sz w:val="22"/>
          <w:szCs w:val="22"/>
        </w:rPr>
        <w:t xml:space="preserve"> of justice in insolvency matters would, in our opinion, </w:t>
      </w:r>
      <w:proofErr w:type="gramStart"/>
      <w:r>
        <w:rPr>
          <w:sz w:val="22"/>
          <w:szCs w:val="22"/>
        </w:rPr>
        <w:t>be</w:t>
      </w:r>
      <w:proofErr w:type="gramEnd"/>
      <w:r>
        <w:rPr>
          <w:sz w:val="22"/>
          <w:szCs w:val="22"/>
        </w:rPr>
        <w:t xml:space="preserve"> assisted by the increased involvement of specialised judges in the Superior Courts who hold an expertise in insolvency. But this is unlikely to occur. </w:t>
      </w:r>
    </w:p>
    <w:p w14:paraId="2ED18385" w14:textId="77777777" w:rsidR="008976BD" w:rsidRPr="007B474F" w:rsidRDefault="008976BD" w:rsidP="008976BD">
      <w:pPr>
        <w:pStyle w:val="ABLLevel2noheading"/>
        <w:spacing w:line="360" w:lineRule="auto"/>
        <w:rPr>
          <w:sz w:val="22"/>
          <w:szCs w:val="22"/>
        </w:rPr>
      </w:pPr>
      <w:r>
        <w:rPr>
          <w:sz w:val="22"/>
          <w:szCs w:val="22"/>
        </w:rPr>
        <w:t xml:space="preserve">It is submitted that a reconstruction </w:t>
      </w:r>
      <w:r w:rsidR="008D15C3">
        <w:rPr>
          <w:sz w:val="22"/>
          <w:szCs w:val="22"/>
        </w:rPr>
        <w:t>panel</w:t>
      </w:r>
      <w:r>
        <w:rPr>
          <w:sz w:val="22"/>
          <w:szCs w:val="22"/>
        </w:rPr>
        <w:t xml:space="preserve">, similar to the Takeovers Panel, would assist in delivering outcomes to affected parties (and in particular would allow creditors a greater role in the process) without incurring the level of costs that are associated with a full court process. </w:t>
      </w:r>
    </w:p>
    <w:p w14:paraId="36AF4724" w14:textId="77777777" w:rsidR="008976BD" w:rsidRPr="00CA6D5B" w:rsidRDefault="008976BD" w:rsidP="008976BD">
      <w:pPr>
        <w:pStyle w:val="ABLLevel2noheading"/>
        <w:spacing w:line="360" w:lineRule="auto"/>
        <w:rPr>
          <w:sz w:val="22"/>
          <w:szCs w:val="22"/>
        </w:rPr>
      </w:pPr>
      <w:r>
        <w:rPr>
          <w:sz w:val="22"/>
          <w:szCs w:val="22"/>
        </w:rPr>
        <w:t xml:space="preserve">A reconstruction panel </w:t>
      </w:r>
      <w:r w:rsidRPr="00907CD6">
        <w:rPr>
          <w:sz w:val="22"/>
          <w:szCs w:val="22"/>
        </w:rPr>
        <w:t xml:space="preserve">would address the concerns raised by the Commission in the Issues </w:t>
      </w:r>
      <w:r w:rsidRPr="00BB0A52">
        <w:rPr>
          <w:sz w:val="22"/>
          <w:szCs w:val="22"/>
        </w:rPr>
        <w:t>Paper regarding the costs associated with formal court processes,</w:t>
      </w:r>
      <w:r w:rsidRPr="00BB0A52">
        <w:rPr>
          <w:rStyle w:val="FootnoteReference"/>
          <w:sz w:val="22"/>
          <w:szCs w:val="22"/>
        </w:rPr>
        <w:footnoteReference w:id="11"/>
      </w:r>
      <w:r w:rsidRPr="00BB0A52">
        <w:rPr>
          <w:sz w:val="22"/>
          <w:szCs w:val="22"/>
        </w:rPr>
        <w:t xml:space="preserve"> as well as the evolving role for tribunals identified in the Commission’s Access to Justice Arrangements Inquiry Report.</w:t>
      </w:r>
      <w:r w:rsidRPr="00BB0A52">
        <w:rPr>
          <w:rStyle w:val="FootnoteReference"/>
          <w:sz w:val="22"/>
          <w:szCs w:val="22"/>
        </w:rPr>
        <w:footnoteReference w:id="12"/>
      </w:r>
      <w:r>
        <w:rPr>
          <w:sz w:val="22"/>
          <w:szCs w:val="22"/>
        </w:rPr>
        <w:t xml:space="preserve">  </w:t>
      </w:r>
      <w:r w:rsidRPr="00CA6D5B">
        <w:rPr>
          <w:sz w:val="22"/>
          <w:szCs w:val="22"/>
        </w:rPr>
        <w:t xml:space="preserve">Along with </w:t>
      </w:r>
      <w:r>
        <w:rPr>
          <w:sz w:val="22"/>
          <w:szCs w:val="22"/>
        </w:rPr>
        <w:t>a reduction in cost</w:t>
      </w:r>
      <w:r w:rsidRPr="00CA6D5B">
        <w:rPr>
          <w:sz w:val="22"/>
          <w:szCs w:val="22"/>
        </w:rPr>
        <w:t xml:space="preserve">, an expert </w:t>
      </w:r>
      <w:r>
        <w:rPr>
          <w:sz w:val="22"/>
          <w:szCs w:val="22"/>
        </w:rPr>
        <w:t xml:space="preserve">panel </w:t>
      </w:r>
      <w:r w:rsidRPr="00CA6D5B">
        <w:rPr>
          <w:sz w:val="22"/>
          <w:szCs w:val="22"/>
        </w:rPr>
        <w:t xml:space="preserve">would </w:t>
      </w:r>
      <w:r>
        <w:rPr>
          <w:sz w:val="22"/>
          <w:szCs w:val="22"/>
        </w:rPr>
        <w:t xml:space="preserve">assist parties to </w:t>
      </w:r>
      <w:r w:rsidRPr="00CA6D5B">
        <w:rPr>
          <w:sz w:val="22"/>
          <w:szCs w:val="22"/>
        </w:rPr>
        <w:t xml:space="preserve">reach commercially sound and pragmatic outcomes, </w:t>
      </w:r>
      <w:r>
        <w:rPr>
          <w:sz w:val="22"/>
          <w:szCs w:val="22"/>
        </w:rPr>
        <w:t xml:space="preserve">as the members of the panel would be persons of relevant experience, such as insolvency practitioners, investment bankers, corporate advisors and lawyers practising in the field of insolvency.  As such, the panel members would have the capacity to </w:t>
      </w:r>
      <w:r w:rsidRPr="00CA6D5B">
        <w:rPr>
          <w:sz w:val="22"/>
          <w:szCs w:val="22"/>
        </w:rPr>
        <w:t xml:space="preserve">understand and </w:t>
      </w:r>
      <w:r>
        <w:rPr>
          <w:sz w:val="22"/>
          <w:szCs w:val="22"/>
        </w:rPr>
        <w:t xml:space="preserve">to </w:t>
      </w:r>
      <w:r w:rsidRPr="00CA6D5B">
        <w:rPr>
          <w:sz w:val="22"/>
          <w:szCs w:val="22"/>
        </w:rPr>
        <w:t>adequately balanc</w:t>
      </w:r>
      <w:r>
        <w:rPr>
          <w:sz w:val="22"/>
          <w:szCs w:val="22"/>
        </w:rPr>
        <w:t>e</w:t>
      </w:r>
      <w:r w:rsidRPr="00CA6D5B">
        <w:rPr>
          <w:sz w:val="22"/>
          <w:szCs w:val="22"/>
        </w:rPr>
        <w:t xml:space="preserve"> the interests of all stakeholders. </w:t>
      </w:r>
    </w:p>
    <w:p w14:paraId="7D490CA6" w14:textId="77777777" w:rsidR="008976BD" w:rsidRPr="005C4CDF" w:rsidRDefault="008976BD" w:rsidP="008976BD">
      <w:pPr>
        <w:pStyle w:val="ABLLevel2noheading"/>
        <w:spacing w:line="360" w:lineRule="auto"/>
        <w:rPr>
          <w:sz w:val="22"/>
          <w:szCs w:val="22"/>
        </w:rPr>
      </w:pPr>
      <w:r>
        <w:rPr>
          <w:sz w:val="22"/>
          <w:szCs w:val="22"/>
        </w:rPr>
        <w:t xml:space="preserve">In establishing such a panel, regard would need to be had to the issues under the Constitution which prevent an expert tribunal from exercising </w:t>
      </w:r>
      <w:r w:rsidRPr="005C4CDF">
        <w:rPr>
          <w:sz w:val="22"/>
          <w:szCs w:val="22"/>
        </w:rPr>
        <w:t>federal judicial power.</w:t>
      </w:r>
      <w:r>
        <w:rPr>
          <w:sz w:val="22"/>
          <w:szCs w:val="22"/>
        </w:rPr>
        <w:t xml:space="preserve"> </w:t>
      </w:r>
      <w:r w:rsidRPr="005C4CDF">
        <w:rPr>
          <w:sz w:val="22"/>
          <w:szCs w:val="22"/>
        </w:rPr>
        <w:t xml:space="preserve"> </w:t>
      </w:r>
      <w:r>
        <w:rPr>
          <w:sz w:val="22"/>
          <w:szCs w:val="22"/>
        </w:rPr>
        <w:t xml:space="preserve">These issues were addressed in the context of the Takeovers Panel in cases such as </w:t>
      </w:r>
      <w:r w:rsidRPr="005C4CDF">
        <w:rPr>
          <w:sz w:val="22"/>
          <w:szCs w:val="22"/>
        </w:rPr>
        <w:t xml:space="preserve">the High Court </w:t>
      </w:r>
      <w:r>
        <w:rPr>
          <w:sz w:val="22"/>
          <w:szCs w:val="22"/>
        </w:rPr>
        <w:t>decision</w:t>
      </w:r>
      <w:r w:rsidRPr="005C4CDF">
        <w:rPr>
          <w:sz w:val="22"/>
          <w:szCs w:val="22"/>
        </w:rPr>
        <w:t xml:space="preserve"> in </w:t>
      </w:r>
      <w:r w:rsidRPr="005C4CDF">
        <w:rPr>
          <w:i/>
          <w:sz w:val="22"/>
          <w:szCs w:val="22"/>
        </w:rPr>
        <w:t>Attorney-General (</w:t>
      </w:r>
      <w:proofErr w:type="spellStart"/>
      <w:r w:rsidRPr="005C4CDF">
        <w:rPr>
          <w:i/>
          <w:sz w:val="22"/>
          <w:szCs w:val="22"/>
        </w:rPr>
        <w:t>Cth</w:t>
      </w:r>
      <w:proofErr w:type="spellEnd"/>
      <w:r w:rsidRPr="005C4CDF">
        <w:rPr>
          <w:i/>
          <w:sz w:val="22"/>
          <w:szCs w:val="22"/>
        </w:rPr>
        <w:t xml:space="preserve">) v </w:t>
      </w:r>
      <w:proofErr w:type="spellStart"/>
      <w:r w:rsidRPr="005C4CDF">
        <w:rPr>
          <w:i/>
          <w:sz w:val="22"/>
          <w:szCs w:val="22"/>
        </w:rPr>
        <w:t>Alinta</w:t>
      </w:r>
      <w:proofErr w:type="spellEnd"/>
      <w:r w:rsidRPr="005C4CDF">
        <w:rPr>
          <w:i/>
          <w:sz w:val="22"/>
          <w:szCs w:val="22"/>
        </w:rPr>
        <w:t xml:space="preserve"> Ltd (2008)</w:t>
      </w:r>
      <w:r>
        <w:rPr>
          <w:i/>
          <w:sz w:val="22"/>
          <w:szCs w:val="22"/>
        </w:rPr>
        <w:t>.</w:t>
      </w:r>
      <w:r w:rsidRPr="005C4CDF">
        <w:rPr>
          <w:rStyle w:val="FootnoteReference"/>
          <w:i/>
          <w:sz w:val="22"/>
          <w:szCs w:val="22"/>
        </w:rPr>
        <w:footnoteReference w:id="13"/>
      </w:r>
      <w:r>
        <w:rPr>
          <w:i/>
          <w:sz w:val="22"/>
          <w:szCs w:val="22"/>
        </w:rPr>
        <w:t xml:space="preserve">  </w:t>
      </w:r>
      <w:r w:rsidRPr="00ED42A0">
        <w:rPr>
          <w:sz w:val="22"/>
          <w:szCs w:val="22"/>
        </w:rPr>
        <w:t xml:space="preserve">The </w:t>
      </w:r>
      <w:r>
        <w:rPr>
          <w:sz w:val="22"/>
          <w:szCs w:val="22"/>
        </w:rPr>
        <w:t xml:space="preserve">ambit of the reconstruction panel would therefore be restricted, like the </w:t>
      </w:r>
      <w:r w:rsidRPr="005C4CDF">
        <w:rPr>
          <w:sz w:val="22"/>
          <w:szCs w:val="22"/>
        </w:rPr>
        <w:t>Takeovers Panel</w:t>
      </w:r>
      <w:r>
        <w:rPr>
          <w:sz w:val="22"/>
          <w:szCs w:val="22"/>
        </w:rPr>
        <w:t xml:space="preserve"> so that it is</w:t>
      </w:r>
      <w:r w:rsidRPr="005C4CDF">
        <w:rPr>
          <w:sz w:val="22"/>
          <w:szCs w:val="22"/>
        </w:rPr>
        <w:t xml:space="preserve">: </w:t>
      </w:r>
    </w:p>
    <w:p w14:paraId="7677395B" w14:textId="77777777" w:rsidR="008976BD" w:rsidRPr="005C4CDF" w:rsidRDefault="008976BD" w:rsidP="008976BD">
      <w:pPr>
        <w:pStyle w:val="ABLLevel3"/>
        <w:spacing w:line="360" w:lineRule="auto"/>
        <w:rPr>
          <w:sz w:val="22"/>
          <w:szCs w:val="22"/>
        </w:rPr>
      </w:pPr>
      <w:r>
        <w:rPr>
          <w:sz w:val="22"/>
          <w:szCs w:val="22"/>
        </w:rPr>
        <w:lastRenderedPageBreak/>
        <w:t>seen to be</w:t>
      </w:r>
      <w:r w:rsidRPr="005C4CDF">
        <w:rPr>
          <w:sz w:val="22"/>
          <w:szCs w:val="22"/>
        </w:rPr>
        <w:t xml:space="preserve"> making decisions based on matters of general policy and expediency;</w:t>
      </w:r>
    </w:p>
    <w:p w14:paraId="56E05E67" w14:textId="77777777" w:rsidR="008976BD" w:rsidRPr="005C4CDF" w:rsidRDefault="008976BD" w:rsidP="008976BD">
      <w:pPr>
        <w:pStyle w:val="ABLLevel3"/>
        <w:spacing w:line="360" w:lineRule="auto"/>
        <w:rPr>
          <w:sz w:val="22"/>
          <w:szCs w:val="22"/>
        </w:rPr>
      </w:pPr>
      <w:r w:rsidRPr="005C4CDF">
        <w:rPr>
          <w:sz w:val="22"/>
          <w:szCs w:val="22"/>
        </w:rPr>
        <w:t>providing no absolute limitation on court proceedings;</w:t>
      </w:r>
    </w:p>
    <w:p w14:paraId="7892897B" w14:textId="77777777" w:rsidR="008976BD" w:rsidRPr="005C4CDF" w:rsidRDefault="008976BD" w:rsidP="008976BD">
      <w:pPr>
        <w:pStyle w:val="ABLLevel3"/>
        <w:spacing w:line="360" w:lineRule="auto"/>
        <w:rPr>
          <w:sz w:val="22"/>
          <w:szCs w:val="22"/>
        </w:rPr>
      </w:pPr>
      <w:r>
        <w:rPr>
          <w:sz w:val="22"/>
          <w:szCs w:val="22"/>
        </w:rPr>
        <w:t xml:space="preserve">utilising its powers to </w:t>
      </w:r>
      <w:r w:rsidRPr="005C4CDF">
        <w:rPr>
          <w:sz w:val="22"/>
          <w:szCs w:val="22"/>
        </w:rPr>
        <w:t>creat</w:t>
      </w:r>
      <w:r>
        <w:rPr>
          <w:sz w:val="22"/>
          <w:szCs w:val="22"/>
        </w:rPr>
        <w:t>e</w:t>
      </w:r>
      <w:r w:rsidRPr="005C4CDF">
        <w:rPr>
          <w:sz w:val="22"/>
          <w:szCs w:val="22"/>
        </w:rPr>
        <w:t xml:space="preserve"> new rights, even when considering whether a breach of the </w:t>
      </w:r>
      <w:r w:rsidRPr="001845ED">
        <w:rPr>
          <w:i/>
          <w:sz w:val="22"/>
          <w:szCs w:val="22"/>
        </w:rPr>
        <w:t>Corporations Act</w:t>
      </w:r>
      <w:r w:rsidRPr="005C4CDF">
        <w:rPr>
          <w:sz w:val="22"/>
          <w:szCs w:val="22"/>
        </w:rPr>
        <w:t xml:space="preserve"> has occurred; and</w:t>
      </w:r>
    </w:p>
    <w:p w14:paraId="28B11B63" w14:textId="77777777" w:rsidR="008976BD" w:rsidRPr="009B1400" w:rsidRDefault="008976BD" w:rsidP="008976BD">
      <w:pPr>
        <w:pStyle w:val="ABLLevel3"/>
        <w:spacing w:line="360" w:lineRule="auto"/>
        <w:rPr>
          <w:sz w:val="22"/>
          <w:szCs w:val="22"/>
        </w:rPr>
      </w:pPr>
      <w:proofErr w:type="gramStart"/>
      <w:r>
        <w:rPr>
          <w:sz w:val="22"/>
          <w:szCs w:val="22"/>
        </w:rPr>
        <w:t>not</w:t>
      </w:r>
      <w:proofErr w:type="gramEnd"/>
      <w:r>
        <w:rPr>
          <w:sz w:val="22"/>
          <w:szCs w:val="22"/>
        </w:rPr>
        <w:t xml:space="preserve"> </w:t>
      </w:r>
      <w:r w:rsidRPr="005C4CDF">
        <w:rPr>
          <w:sz w:val="22"/>
          <w:szCs w:val="22"/>
        </w:rPr>
        <w:t>a</w:t>
      </w:r>
      <w:r>
        <w:rPr>
          <w:sz w:val="22"/>
          <w:szCs w:val="22"/>
        </w:rPr>
        <w:t xml:space="preserve">ble </w:t>
      </w:r>
      <w:r w:rsidRPr="005C4CDF">
        <w:rPr>
          <w:sz w:val="22"/>
          <w:szCs w:val="22"/>
        </w:rPr>
        <w:t xml:space="preserve">to enforce its own orders. </w:t>
      </w:r>
    </w:p>
    <w:p w14:paraId="2D74676D" w14:textId="77777777" w:rsidR="008976BD" w:rsidRDefault="008976BD" w:rsidP="008976BD">
      <w:pPr>
        <w:pStyle w:val="ABLLevel2noheading"/>
        <w:spacing w:line="360" w:lineRule="auto"/>
        <w:rPr>
          <w:sz w:val="22"/>
          <w:szCs w:val="22"/>
        </w:rPr>
      </w:pPr>
      <w:r>
        <w:rPr>
          <w:sz w:val="22"/>
          <w:szCs w:val="22"/>
        </w:rPr>
        <w:t xml:space="preserve">In addressing these issues, a reconstruction panel could be vested with the power to make declarations with regard to transactions being undertaken or being proposed to be undertaken as part of an insolvency process in the same manner as the Takeovers Panel is able to make declarations of unacceptable circumstances in takeovers matters.  </w:t>
      </w:r>
    </w:p>
    <w:p w14:paraId="65B09EDB" w14:textId="77777777" w:rsidR="008976BD" w:rsidRDefault="008976BD" w:rsidP="008976BD">
      <w:pPr>
        <w:pStyle w:val="ABLLevel2noheading"/>
        <w:spacing w:line="360" w:lineRule="auto"/>
        <w:rPr>
          <w:sz w:val="22"/>
          <w:szCs w:val="22"/>
        </w:rPr>
      </w:pPr>
      <w:r>
        <w:rPr>
          <w:sz w:val="22"/>
          <w:szCs w:val="22"/>
        </w:rPr>
        <w:t>Matters could also be referred to the reconstruction Panel by the Courts.  Such a power to refer certain questions to expert referees already exists within the court rules.</w:t>
      </w:r>
      <w:r>
        <w:rPr>
          <w:rStyle w:val="FootnoteReference"/>
          <w:sz w:val="22"/>
          <w:szCs w:val="22"/>
        </w:rPr>
        <w:footnoteReference w:id="14"/>
      </w:r>
      <w:r>
        <w:rPr>
          <w:sz w:val="22"/>
          <w:szCs w:val="22"/>
        </w:rPr>
        <w:t xml:space="preserve">  For example, in Victoria the Supreme Court has the power to refer any question to a special referee to decide the question or to give the referee’s opinion with respect to it.  If the reconstruction Panel is established to operate in this way, then the reports of the reconstruction Panel would be returned to the Supreme Court for adoption.</w:t>
      </w:r>
      <w:r>
        <w:rPr>
          <w:rStyle w:val="FootnoteReference"/>
          <w:sz w:val="22"/>
          <w:szCs w:val="22"/>
        </w:rPr>
        <w:footnoteReference w:id="15"/>
      </w:r>
      <w:r>
        <w:rPr>
          <w:sz w:val="22"/>
          <w:szCs w:val="22"/>
        </w:rPr>
        <w:t xml:space="preserve">  This may assist in avoiding legal costs as the Panels processes would be less formal and far more open to speedy determinations based on written submissions.</w:t>
      </w:r>
    </w:p>
    <w:p w14:paraId="43CB24BB" w14:textId="77777777" w:rsidR="008976BD" w:rsidRPr="0098614A" w:rsidRDefault="008976BD" w:rsidP="008976BD">
      <w:pPr>
        <w:pStyle w:val="ABLLevel2noheading"/>
        <w:numPr>
          <w:ilvl w:val="0"/>
          <w:numId w:val="0"/>
        </w:numPr>
        <w:spacing w:line="360" w:lineRule="auto"/>
        <w:rPr>
          <w:b/>
          <w:sz w:val="22"/>
          <w:szCs w:val="22"/>
        </w:rPr>
      </w:pPr>
      <w:r>
        <w:rPr>
          <w:b/>
          <w:sz w:val="22"/>
          <w:szCs w:val="22"/>
        </w:rPr>
        <w:t xml:space="preserve">C. </w:t>
      </w:r>
      <w:r w:rsidRPr="0098614A">
        <w:rPr>
          <w:b/>
          <w:sz w:val="22"/>
          <w:szCs w:val="22"/>
        </w:rPr>
        <w:t>Moratorium for Schemes of Arrangement</w:t>
      </w:r>
    </w:p>
    <w:p w14:paraId="634CE65C" w14:textId="77777777" w:rsidR="008976BD" w:rsidRDefault="008976BD" w:rsidP="008976BD">
      <w:pPr>
        <w:pStyle w:val="ABLLevel2noheading"/>
        <w:spacing w:line="360" w:lineRule="auto"/>
        <w:rPr>
          <w:sz w:val="22"/>
          <w:szCs w:val="22"/>
        </w:rPr>
      </w:pPr>
      <w:r>
        <w:rPr>
          <w:sz w:val="22"/>
          <w:szCs w:val="22"/>
        </w:rPr>
        <w:t xml:space="preserve">In recent years, schemes of arrangement under Part 5.1 of the </w:t>
      </w:r>
      <w:r w:rsidRPr="001845ED">
        <w:rPr>
          <w:i/>
          <w:sz w:val="22"/>
          <w:szCs w:val="22"/>
        </w:rPr>
        <w:t>Corporations Act</w:t>
      </w:r>
      <w:r>
        <w:rPr>
          <w:sz w:val="22"/>
          <w:szCs w:val="22"/>
        </w:rPr>
        <w:t xml:space="preserve"> have been successfully utilised to facilitate large, complex corporate reconstructions of distressed enterprises including the Centro Group </w:t>
      </w:r>
      <w:proofErr w:type="spellStart"/>
      <w:r>
        <w:rPr>
          <w:sz w:val="22"/>
          <w:szCs w:val="22"/>
        </w:rPr>
        <w:t>Alinta</w:t>
      </w:r>
      <w:proofErr w:type="spellEnd"/>
      <w:r>
        <w:rPr>
          <w:sz w:val="22"/>
          <w:szCs w:val="22"/>
        </w:rPr>
        <w:t xml:space="preserve"> and Nine Entertainment.  As suggested above, this has been, at least in part, to avoid the stigma and loss of value associated with the voluntary administration regime.  </w:t>
      </w:r>
    </w:p>
    <w:p w14:paraId="182E3BC1" w14:textId="77777777" w:rsidR="008976BD" w:rsidRDefault="008976BD" w:rsidP="008976BD">
      <w:pPr>
        <w:pStyle w:val="ABLLevel2noheading"/>
        <w:spacing w:line="360" w:lineRule="auto"/>
        <w:rPr>
          <w:sz w:val="22"/>
          <w:szCs w:val="22"/>
        </w:rPr>
      </w:pPr>
      <w:r>
        <w:rPr>
          <w:sz w:val="22"/>
          <w:szCs w:val="22"/>
        </w:rPr>
        <w:t xml:space="preserve">There are, however, disincentives for distressed (but not insolvent) companies to undergo a scheme of arrangement because of the risk that creditors can enforce rights during the period in which the scheme is being propounded and implemented.  There is no statutory moratorium on creditor enforcement actions in respect of </w:t>
      </w:r>
      <w:r>
        <w:rPr>
          <w:sz w:val="22"/>
          <w:szCs w:val="22"/>
        </w:rPr>
        <w:lastRenderedPageBreak/>
        <w:t xml:space="preserve">schemes of arrangement until the compromise or arrangement becomes binding under s 411(4) of the </w:t>
      </w:r>
      <w:r w:rsidRPr="00A34606">
        <w:rPr>
          <w:i/>
          <w:sz w:val="22"/>
          <w:szCs w:val="22"/>
        </w:rPr>
        <w:t>Corporations Act</w:t>
      </w:r>
      <w:r>
        <w:rPr>
          <w:sz w:val="22"/>
          <w:szCs w:val="22"/>
        </w:rPr>
        <w:t xml:space="preserve">.  This allows creditors with readily enforceable rights to disrupt, or </w:t>
      </w:r>
      <w:proofErr w:type="gramStart"/>
      <w:r>
        <w:rPr>
          <w:sz w:val="22"/>
          <w:szCs w:val="22"/>
        </w:rPr>
        <w:t>undermine,</w:t>
      </w:r>
      <w:proofErr w:type="gramEnd"/>
      <w:r>
        <w:rPr>
          <w:sz w:val="22"/>
          <w:szCs w:val="22"/>
        </w:rPr>
        <w:t xml:space="preserve"> reconstruction attempts or extract disproportionate concessions. </w:t>
      </w:r>
    </w:p>
    <w:p w14:paraId="40B716E8" w14:textId="77777777" w:rsidR="008976BD" w:rsidRDefault="008976BD" w:rsidP="008976BD">
      <w:pPr>
        <w:pStyle w:val="ABLLevel2noheading"/>
        <w:spacing w:line="360" w:lineRule="auto"/>
        <w:rPr>
          <w:sz w:val="22"/>
          <w:szCs w:val="22"/>
        </w:rPr>
      </w:pPr>
      <w:r>
        <w:rPr>
          <w:sz w:val="22"/>
          <w:szCs w:val="22"/>
        </w:rPr>
        <w:t xml:space="preserve">In order enhance the utility of schemes as a means of reorganising distressed but not insolvent companies, we believe that a moratorium on creditor enforcement actions (subject to Court supervision) be introduced into s 411 of the </w:t>
      </w:r>
      <w:r w:rsidRPr="005F0AC9">
        <w:rPr>
          <w:i/>
          <w:sz w:val="22"/>
          <w:szCs w:val="22"/>
        </w:rPr>
        <w:t>Corporations Act</w:t>
      </w:r>
      <w:r>
        <w:rPr>
          <w:sz w:val="22"/>
          <w:szCs w:val="22"/>
        </w:rPr>
        <w:t xml:space="preserve">.   </w:t>
      </w:r>
    </w:p>
    <w:p w14:paraId="4AF69A2C" w14:textId="77777777" w:rsidR="008976BD" w:rsidRPr="0098614A" w:rsidRDefault="008976BD" w:rsidP="008976BD">
      <w:pPr>
        <w:pStyle w:val="ABLLevel2noheading"/>
        <w:spacing w:line="360" w:lineRule="auto"/>
        <w:rPr>
          <w:sz w:val="22"/>
          <w:szCs w:val="22"/>
        </w:rPr>
      </w:pPr>
      <w:r>
        <w:rPr>
          <w:sz w:val="22"/>
          <w:szCs w:val="22"/>
        </w:rPr>
        <w:t xml:space="preserve">The moratorium would take effect from the date that a compromise or arrangement is “proposed” by the filing of the court application for orders convening meetings of the company’s creditors and/or members in accordance with s 411(1) of the </w:t>
      </w:r>
      <w:r w:rsidRPr="001845ED">
        <w:rPr>
          <w:i/>
          <w:sz w:val="22"/>
          <w:szCs w:val="22"/>
        </w:rPr>
        <w:t>Corporations Act</w:t>
      </w:r>
      <w:r>
        <w:rPr>
          <w:sz w:val="22"/>
          <w:szCs w:val="22"/>
        </w:rPr>
        <w:t xml:space="preserve">.  Similar to the position in voluntary administration, the moratorium would be subject to abridgment by the Court or the consent of the company.  </w:t>
      </w:r>
    </w:p>
    <w:p w14:paraId="7185664B" w14:textId="77777777" w:rsidR="008976BD" w:rsidRPr="00CA6D5B" w:rsidRDefault="008976BD" w:rsidP="008976BD">
      <w:pPr>
        <w:pStyle w:val="ABLLevel2noheading"/>
        <w:numPr>
          <w:ilvl w:val="0"/>
          <w:numId w:val="0"/>
        </w:numPr>
        <w:spacing w:line="360" w:lineRule="auto"/>
        <w:rPr>
          <w:b/>
          <w:sz w:val="22"/>
          <w:szCs w:val="22"/>
        </w:rPr>
      </w:pPr>
      <w:r>
        <w:rPr>
          <w:b/>
          <w:sz w:val="22"/>
          <w:szCs w:val="22"/>
        </w:rPr>
        <w:t xml:space="preserve">D. Safe-harbour Provisions for Directors </w:t>
      </w:r>
    </w:p>
    <w:p w14:paraId="25B2430F" w14:textId="77777777" w:rsidR="008976BD" w:rsidRPr="00E802EB" w:rsidRDefault="008976BD" w:rsidP="008976BD">
      <w:pPr>
        <w:pStyle w:val="ABLLevel2noheading"/>
        <w:spacing w:line="360" w:lineRule="auto"/>
        <w:rPr>
          <w:b/>
          <w:sz w:val="22"/>
          <w:szCs w:val="22"/>
        </w:rPr>
      </w:pPr>
      <w:r>
        <w:rPr>
          <w:sz w:val="22"/>
          <w:szCs w:val="22"/>
        </w:rPr>
        <w:t xml:space="preserve">In the “twilight zone” of solvency (that is the uncertain </w:t>
      </w:r>
      <w:r w:rsidRPr="00E802EB">
        <w:rPr>
          <w:sz w:val="22"/>
          <w:szCs w:val="22"/>
        </w:rPr>
        <w:t>period when a company is at risk of insolvent trading</w:t>
      </w:r>
      <w:r>
        <w:rPr>
          <w:sz w:val="22"/>
          <w:szCs w:val="22"/>
        </w:rPr>
        <w:t xml:space="preserve"> as it attempts to extricate itself from difficult financial circumstances), directors are exposed to a fundamental conflict between their duty to act in the best interests of the company including its creditors and the personal liability that is imposed on directors if they allow the company to continue to trade at a time when it is insolvent.  U</w:t>
      </w:r>
      <w:r w:rsidRPr="00CA6D5B">
        <w:rPr>
          <w:sz w:val="22"/>
          <w:szCs w:val="22"/>
        </w:rPr>
        <w:t>nsurprisingly</w:t>
      </w:r>
      <w:r>
        <w:rPr>
          <w:sz w:val="22"/>
          <w:szCs w:val="22"/>
        </w:rPr>
        <w:t>, a board of directors or a director may opt to appoint</w:t>
      </w:r>
      <w:r w:rsidRPr="00CA6D5B">
        <w:rPr>
          <w:sz w:val="22"/>
          <w:szCs w:val="22"/>
        </w:rPr>
        <w:t xml:space="preserve"> administrators </w:t>
      </w:r>
      <w:r>
        <w:rPr>
          <w:sz w:val="22"/>
          <w:szCs w:val="22"/>
        </w:rPr>
        <w:t xml:space="preserve">in order to avoid the </w:t>
      </w:r>
      <w:r w:rsidRPr="00CA6D5B">
        <w:rPr>
          <w:sz w:val="22"/>
          <w:szCs w:val="22"/>
        </w:rPr>
        <w:t xml:space="preserve">risk </w:t>
      </w:r>
      <w:r>
        <w:rPr>
          <w:sz w:val="22"/>
          <w:szCs w:val="22"/>
        </w:rPr>
        <w:t xml:space="preserve">of </w:t>
      </w:r>
      <w:r w:rsidRPr="00CA6D5B">
        <w:rPr>
          <w:sz w:val="22"/>
          <w:szCs w:val="22"/>
        </w:rPr>
        <w:t xml:space="preserve">personal liability, </w:t>
      </w:r>
      <w:r w:rsidRPr="00E802EB">
        <w:rPr>
          <w:sz w:val="22"/>
          <w:szCs w:val="22"/>
        </w:rPr>
        <w:t xml:space="preserve">notwithstanding that it may not be in the best interests of the company </w:t>
      </w:r>
      <w:r>
        <w:rPr>
          <w:sz w:val="22"/>
          <w:szCs w:val="22"/>
        </w:rPr>
        <w:t xml:space="preserve">or its creditors </w:t>
      </w:r>
      <w:r w:rsidRPr="00E802EB">
        <w:rPr>
          <w:sz w:val="22"/>
          <w:szCs w:val="22"/>
        </w:rPr>
        <w:t xml:space="preserve">to do so.  </w:t>
      </w:r>
    </w:p>
    <w:p w14:paraId="42C35B02" w14:textId="77777777" w:rsidR="008976BD" w:rsidRPr="0092690C" w:rsidRDefault="008976BD" w:rsidP="008976BD">
      <w:pPr>
        <w:pStyle w:val="ABLLevel2noheading"/>
        <w:spacing w:line="360" w:lineRule="auto"/>
        <w:rPr>
          <w:sz w:val="22"/>
          <w:szCs w:val="22"/>
        </w:rPr>
      </w:pPr>
      <w:r w:rsidRPr="0092690C">
        <w:rPr>
          <w:sz w:val="22"/>
          <w:szCs w:val="22"/>
        </w:rPr>
        <w:t xml:space="preserve">In our submission, directors who wish to “stay the course” and facilitate the reorganisation of their company should be permitted to do so without the risk of personal liability. </w:t>
      </w:r>
      <w:r>
        <w:rPr>
          <w:sz w:val="22"/>
          <w:szCs w:val="22"/>
        </w:rPr>
        <w:t xml:space="preserve"> After all, i</w:t>
      </w:r>
      <w:r w:rsidRPr="0092690C">
        <w:rPr>
          <w:sz w:val="22"/>
          <w:szCs w:val="22"/>
        </w:rPr>
        <w:t xml:space="preserve">t is in the public interest to preserve good businesses for the benefit of all stakeholders including </w:t>
      </w:r>
      <w:r>
        <w:rPr>
          <w:sz w:val="22"/>
          <w:szCs w:val="22"/>
        </w:rPr>
        <w:t xml:space="preserve">employees, </w:t>
      </w:r>
      <w:r w:rsidRPr="0092690C">
        <w:rPr>
          <w:sz w:val="22"/>
          <w:szCs w:val="22"/>
        </w:rPr>
        <w:t xml:space="preserve">shareholders, creditors, suppliers, counterparties and customers.  Businesses should not be forced into a cumbersome, slow, expensive and value-diminishing process because the directors are fearful of their own position. </w:t>
      </w:r>
    </w:p>
    <w:p w14:paraId="5B873D48" w14:textId="77777777" w:rsidR="008976BD" w:rsidRPr="00CA6D5B" w:rsidRDefault="008976BD" w:rsidP="008976BD">
      <w:pPr>
        <w:pStyle w:val="ABLLevel2noheading"/>
        <w:spacing w:line="360" w:lineRule="auto"/>
        <w:rPr>
          <w:b/>
          <w:sz w:val="22"/>
          <w:szCs w:val="22"/>
        </w:rPr>
      </w:pPr>
      <w:r>
        <w:rPr>
          <w:sz w:val="22"/>
          <w:szCs w:val="22"/>
        </w:rPr>
        <w:t>P</w:t>
      </w:r>
      <w:r w:rsidRPr="00E802EB">
        <w:rPr>
          <w:sz w:val="22"/>
          <w:szCs w:val="22"/>
        </w:rPr>
        <w:t>rotection</w:t>
      </w:r>
      <w:r>
        <w:rPr>
          <w:sz w:val="22"/>
          <w:szCs w:val="22"/>
        </w:rPr>
        <w:t xml:space="preserve"> of this kind (sometimes called a </w:t>
      </w:r>
      <w:r w:rsidRPr="00E802EB">
        <w:rPr>
          <w:sz w:val="22"/>
          <w:szCs w:val="22"/>
        </w:rPr>
        <w:t>“safe-harbour”</w:t>
      </w:r>
      <w:r>
        <w:rPr>
          <w:sz w:val="22"/>
          <w:szCs w:val="22"/>
        </w:rPr>
        <w:t>)</w:t>
      </w:r>
      <w:r w:rsidRPr="00E802EB">
        <w:rPr>
          <w:sz w:val="22"/>
          <w:szCs w:val="22"/>
        </w:rPr>
        <w:t xml:space="preserve"> </w:t>
      </w:r>
      <w:r>
        <w:rPr>
          <w:sz w:val="22"/>
          <w:szCs w:val="22"/>
        </w:rPr>
        <w:t>is</w:t>
      </w:r>
      <w:r w:rsidRPr="00E802EB">
        <w:rPr>
          <w:sz w:val="22"/>
          <w:szCs w:val="22"/>
        </w:rPr>
        <w:t xml:space="preserve"> contemplated by the Commission in the Issues Paper.</w:t>
      </w:r>
      <w:r w:rsidRPr="00E802EB">
        <w:rPr>
          <w:rStyle w:val="FootnoteReference"/>
          <w:sz w:val="22"/>
          <w:szCs w:val="22"/>
        </w:rPr>
        <w:footnoteReference w:id="16"/>
      </w:r>
      <w:r w:rsidRPr="00E802EB">
        <w:rPr>
          <w:sz w:val="22"/>
          <w:szCs w:val="22"/>
        </w:rPr>
        <w:t xml:space="preserve">  The law should create a safe harbour for directors who trade in</w:t>
      </w:r>
      <w:r w:rsidRPr="00CA6D5B">
        <w:rPr>
          <w:sz w:val="22"/>
          <w:szCs w:val="22"/>
        </w:rPr>
        <w:t xml:space="preserve"> the twilight zone in good faith, who have no material interest in </w:t>
      </w:r>
      <w:r w:rsidRPr="00CA6D5B">
        <w:rPr>
          <w:sz w:val="22"/>
          <w:szCs w:val="22"/>
        </w:rPr>
        <w:lastRenderedPageBreak/>
        <w:t>the decisions they make and who have sought, obtained and relied on advice from reputable insolvency professionals.</w:t>
      </w:r>
      <w:r>
        <w:rPr>
          <w:sz w:val="22"/>
          <w:szCs w:val="22"/>
        </w:rPr>
        <w:t xml:space="preserve"> </w:t>
      </w:r>
      <w:r w:rsidRPr="00CA6D5B">
        <w:rPr>
          <w:sz w:val="22"/>
          <w:szCs w:val="22"/>
        </w:rPr>
        <w:t xml:space="preserve"> Such </w:t>
      </w:r>
      <w:r>
        <w:rPr>
          <w:sz w:val="22"/>
          <w:szCs w:val="22"/>
        </w:rPr>
        <w:t xml:space="preserve">a safe harbour </w:t>
      </w:r>
      <w:r w:rsidRPr="00CA6D5B">
        <w:rPr>
          <w:sz w:val="22"/>
          <w:szCs w:val="22"/>
        </w:rPr>
        <w:t>would</w:t>
      </w:r>
      <w:r>
        <w:rPr>
          <w:sz w:val="22"/>
          <w:szCs w:val="22"/>
        </w:rPr>
        <w:t>, in appropriate circumstances,</w:t>
      </w:r>
      <w:r w:rsidRPr="00CA6D5B">
        <w:rPr>
          <w:sz w:val="22"/>
          <w:szCs w:val="22"/>
        </w:rPr>
        <w:t xml:space="preserve"> </w:t>
      </w:r>
      <w:r>
        <w:rPr>
          <w:sz w:val="22"/>
          <w:szCs w:val="22"/>
        </w:rPr>
        <w:t xml:space="preserve">encourage </w:t>
      </w:r>
      <w:r w:rsidRPr="00CA6D5B">
        <w:rPr>
          <w:sz w:val="22"/>
          <w:szCs w:val="22"/>
        </w:rPr>
        <w:t>restructuring efforts for businesses facing financial difficulty</w:t>
      </w:r>
      <w:r>
        <w:rPr>
          <w:sz w:val="22"/>
          <w:szCs w:val="22"/>
        </w:rPr>
        <w:t>,</w:t>
      </w:r>
      <w:r w:rsidRPr="00CA6D5B">
        <w:rPr>
          <w:sz w:val="22"/>
          <w:szCs w:val="22"/>
        </w:rPr>
        <w:t xml:space="preserve"> without </w:t>
      </w:r>
      <w:r>
        <w:rPr>
          <w:sz w:val="22"/>
          <w:szCs w:val="22"/>
        </w:rPr>
        <w:t xml:space="preserve">the need for an </w:t>
      </w:r>
      <w:r w:rsidRPr="00CA6D5B">
        <w:rPr>
          <w:sz w:val="22"/>
          <w:szCs w:val="22"/>
        </w:rPr>
        <w:t>external administration process</w:t>
      </w:r>
      <w:r>
        <w:rPr>
          <w:sz w:val="22"/>
          <w:szCs w:val="22"/>
        </w:rPr>
        <w:t xml:space="preserve"> to be invoked</w:t>
      </w:r>
      <w:r w:rsidRPr="00CA6D5B">
        <w:rPr>
          <w:sz w:val="22"/>
          <w:szCs w:val="22"/>
        </w:rPr>
        <w:t xml:space="preserve">.  </w:t>
      </w:r>
    </w:p>
    <w:p w14:paraId="6E46E006" w14:textId="77777777" w:rsidR="008976BD" w:rsidRPr="00CA6D5B" w:rsidRDefault="008976BD" w:rsidP="008976BD">
      <w:pPr>
        <w:pStyle w:val="ABLLevel2noheading"/>
        <w:spacing w:line="360" w:lineRule="auto"/>
        <w:rPr>
          <w:sz w:val="22"/>
          <w:szCs w:val="22"/>
        </w:rPr>
      </w:pPr>
      <w:r w:rsidRPr="00CA6D5B">
        <w:rPr>
          <w:sz w:val="22"/>
          <w:szCs w:val="22"/>
        </w:rPr>
        <w:t>The Insolvency Practitioners Association suggested in 2007 that Australia adopt a further and wider defence for insolvent trading, namely a “financial judgment rule”.</w:t>
      </w:r>
      <w:r w:rsidRPr="00CA6D5B">
        <w:rPr>
          <w:rStyle w:val="FootnoteReference"/>
          <w:sz w:val="22"/>
          <w:szCs w:val="22"/>
        </w:rPr>
        <w:footnoteReference w:id="17"/>
      </w:r>
      <w:r>
        <w:rPr>
          <w:sz w:val="22"/>
          <w:szCs w:val="22"/>
        </w:rPr>
        <w:t xml:space="preserve">  If a “financial judgment rule” is to be adopted, we would propose that the </w:t>
      </w:r>
      <w:r w:rsidRPr="00CA6D5B">
        <w:rPr>
          <w:sz w:val="22"/>
          <w:szCs w:val="22"/>
        </w:rPr>
        <w:t xml:space="preserve">rule suggested by the IPA </w:t>
      </w:r>
      <w:r>
        <w:rPr>
          <w:sz w:val="22"/>
          <w:szCs w:val="22"/>
        </w:rPr>
        <w:t xml:space="preserve">should be modified.  The modified rule </w:t>
      </w:r>
      <w:r w:rsidRPr="00CA6D5B">
        <w:rPr>
          <w:sz w:val="22"/>
          <w:szCs w:val="22"/>
        </w:rPr>
        <w:t>would require:</w:t>
      </w:r>
    </w:p>
    <w:p w14:paraId="300D4376" w14:textId="77777777" w:rsidR="008976BD" w:rsidRPr="00CA6D5B" w:rsidRDefault="008976BD" w:rsidP="008976BD">
      <w:pPr>
        <w:pStyle w:val="ABLStandard3"/>
        <w:tabs>
          <w:tab w:val="clear" w:pos="1440"/>
          <w:tab w:val="num" w:pos="2295"/>
        </w:tabs>
        <w:spacing w:line="360" w:lineRule="auto"/>
        <w:ind w:left="2295"/>
        <w:rPr>
          <w:sz w:val="22"/>
          <w:szCs w:val="22"/>
        </w:rPr>
      </w:pPr>
      <w:r w:rsidRPr="00CA6D5B">
        <w:rPr>
          <w:sz w:val="22"/>
          <w:szCs w:val="22"/>
        </w:rPr>
        <w:t>that the judgment was made in good faith for a proper purpose;</w:t>
      </w:r>
    </w:p>
    <w:p w14:paraId="07E1D452" w14:textId="77777777" w:rsidR="008976BD" w:rsidRPr="00CA6D5B" w:rsidRDefault="008976BD" w:rsidP="008976BD">
      <w:pPr>
        <w:pStyle w:val="ABLStandard3"/>
        <w:tabs>
          <w:tab w:val="clear" w:pos="1440"/>
          <w:tab w:val="num" w:pos="2295"/>
        </w:tabs>
        <w:spacing w:line="360" w:lineRule="auto"/>
        <w:ind w:left="2295"/>
        <w:rPr>
          <w:sz w:val="22"/>
          <w:szCs w:val="22"/>
        </w:rPr>
      </w:pPr>
      <w:r w:rsidRPr="00CA6D5B">
        <w:rPr>
          <w:sz w:val="22"/>
          <w:szCs w:val="22"/>
        </w:rPr>
        <w:t xml:space="preserve">that the director considered the interests of creditors in making the decision; </w:t>
      </w:r>
    </w:p>
    <w:p w14:paraId="7D9B0814" w14:textId="77777777" w:rsidR="008976BD" w:rsidRPr="00CA6D5B" w:rsidRDefault="008976BD" w:rsidP="008976BD">
      <w:pPr>
        <w:pStyle w:val="ABLStandard3"/>
        <w:tabs>
          <w:tab w:val="clear" w:pos="1440"/>
          <w:tab w:val="num" w:pos="2295"/>
        </w:tabs>
        <w:spacing w:line="360" w:lineRule="auto"/>
        <w:ind w:left="2295"/>
        <w:rPr>
          <w:sz w:val="22"/>
          <w:szCs w:val="22"/>
        </w:rPr>
      </w:pPr>
      <w:r w:rsidRPr="00CA6D5B">
        <w:rPr>
          <w:sz w:val="22"/>
          <w:szCs w:val="22"/>
        </w:rPr>
        <w:t>that the director had informed themsel</w:t>
      </w:r>
      <w:r>
        <w:rPr>
          <w:sz w:val="22"/>
          <w:szCs w:val="22"/>
        </w:rPr>
        <w:t>ves</w:t>
      </w:r>
      <w:r w:rsidRPr="00CA6D5B">
        <w:rPr>
          <w:sz w:val="22"/>
          <w:szCs w:val="22"/>
        </w:rPr>
        <w:t xml:space="preserve"> about the subject matter of the judgment to the extent they reasonably believed appropriate; and</w:t>
      </w:r>
    </w:p>
    <w:p w14:paraId="3F91F39B" w14:textId="77777777" w:rsidR="008976BD" w:rsidRPr="00CA6D5B" w:rsidRDefault="008976BD" w:rsidP="008976BD">
      <w:pPr>
        <w:pStyle w:val="ABLStandard3"/>
        <w:tabs>
          <w:tab w:val="clear" w:pos="1440"/>
          <w:tab w:val="num" w:pos="2295"/>
        </w:tabs>
        <w:spacing w:line="360" w:lineRule="auto"/>
        <w:ind w:left="2295"/>
        <w:rPr>
          <w:sz w:val="22"/>
          <w:szCs w:val="22"/>
        </w:rPr>
      </w:pPr>
      <w:proofErr w:type="gramStart"/>
      <w:r w:rsidRPr="00CA6D5B">
        <w:rPr>
          <w:sz w:val="22"/>
          <w:szCs w:val="22"/>
        </w:rPr>
        <w:t>that</w:t>
      </w:r>
      <w:proofErr w:type="gramEnd"/>
      <w:r w:rsidRPr="00CA6D5B">
        <w:rPr>
          <w:sz w:val="22"/>
          <w:szCs w:val="22"/>
        </w:rPr>
        <w:t xml:space="preserve"> the director rationally believed that the decision was in the best interests of the corporation. </w:t>
      </w:r>
    </w:p>
    <w:p w14:paraId="5D3B6363" w14:textId="77777777" w:rsidR="008976BD" w:rsidRPr="00A5678A" w:rsidRDefault="008976BD" w:rsidP="008976BD">
      <w:pPr>
        <w:pStyle w:val="ABLLevel2noheading"/>
        <w:spacing w:line="360" w:lineRule="auto"/>
        <w:rPr>
          <w:sz w:val="22"/>
          <w:szCs w:val="22"/>
        </w:rPr>
      </w:pPr>
      <w:r w:rsidRPr="00A5678A">
        <w:rPr>
          <w:sz w:val="22"/>
          <w:szCs w:val="22"/>
        </w:rPr>
        <w:t xml:space="preserve">It is submitted that the </w:t>
      </w:r>
      <w:r>
        <w:rPr>
          <w:sz w:val="22"/>
          <w:szCs w:val="22"/>
        </w:rPr>
        <w:t xml:space="preserve">availability of a </w:t>
      </w:r>
      <w:r w:rsidRPr="00A5678A">
        <w:rPr>
          <w:sz w:val="22"/>
          <w:szCs w:val="22"/>
        </w:rPr>
        <w:t xml:space="preserve">safe-harbour </w:t>
      </w:r>
      <w:r>
        <w:rPr>
          <w:sz w:val="22"/>
          <w:szCs w:val="22"/>
        </w:rPr>
        <w:t xml:space="preserve">or a “financial judgment rule” be available to directors </w:t>
      </w:r>
      <w:r w:rsidRPr="00A5678A">
        <w:rPr>
          <w:sz w:val="22"/>
          <w:szCs w:val="22"/>
        </w:rPr>
        <w:t xml:space="preserve">to resolve the conflict created </w:t>
      </w:r>
      <w:r>
        <w:rPr>
          <w:sz w:val="22"/>
          <w:szCs w:val="22"/>
        </w:rPr>
        <w:t xml:space="preserve">for the directors </w:t>
      </w:r>
      <w:r w:rsidRPr="00A5678A">
        <w:rPr>
          <w:sz w:val="22"/>
          <w:szCs w:val="22"/>
        </w:rPr>
        <w:t>when the best interests of the company (and its economic creditors) dictate the pursuit of the restructure.</w:t>
      </w:r>
    </w:p>
    <w:p w14:paraId="4A60C440" w14:textId="77777777" w:rsidR="008976BD" w:rsidRPr="00BC3E1E" w:rsidRDefault="008976BD" w:rsidP="008976BD">
      <w:pPr>
        <w:pStyle w:val="ABLLevel1"/>
        <w:spacing w:line="360" w:lineRule="auto"/>
      </w:pPr>
      <w:r w:rsidRPr="00BC3E1E">
        <w:t xml:space="preserve">Conclusion </w:t>
      </w:r>
    </w:p>
    <w:p w14:paraId="7D55ABAE" w14:textId="77777777" w:rsidR="008976BD" w:rsidRPr="008D15C3" w:rsidRDefault="008976BD" w:rsidP="008D15C3">
      <w:pPr>
        <w:pStyle w:val="ABLLevel2noheading"/>
        <w:spacing w:line="360" w:lineRule="auto"/>
        <w:rPr>
          <w:sz w:val="22"/>
          <w:szCs w:val="22"/>
        </w:rPr>
      </w:pPr>
      <w:r w:rsidRPr="008D15C3">
        <w:rPr>
          <w:sz w:val="22"/>
          <w:szCs w:val="22"/>
        </w:rPr>
        <w:t xml:space="preserve">The Australian economy is going through massive change. </w:t>
      </w:r>
      <w:r w:rsidR="00A34E16" w:rsidRPr="008D15C3">
        <w:rPr>
          <w:sz w:val="22"/>
          <w:szCs w:val="22"/>
        </w:rPr>
        <w:t xml:space="preserve"> </w:t>
      </w:r>
      <w:r w:rsidRPr="008D15C3">
        <w:rPr>
          <w:sz w:val="22"/>
          <w:szCs w:val="22"/>
        </w:rPr>
        <w:t xml:space="preserve">Our population is </w:t>
      </w:r>
      <w:proofErr w:type="spellStart"/>
      <w:r w:rsidRPr="008D15C3">
        <w:rPr>
          <w:sz w:val="22"/>
          <w:szCs w:val="22"/>
        </w:rPr>
        <w:t>aging</w:t>
      </w:r>
      <w:proofErr w:type="spellEnd"/>
      <w:r w:rsidRPr="008D15C3">
        <w:rPr>
          <w:sz w:val="22"/>
          <w:szCs w:val="22"/>
        </w:rPr>
        <w:t xml:space="preserve">.  We must encourage entrepreneurial endeavours of a younger generation. </w:t>
      </w:r>
      <w:r w:rsidR="00A34E16" w:rsidRPr="008D15C3">
        <w:rPr>
          <w:sz w:val="22"/>
          <w:szCs w:val="22"/>
        </w:rPr>
        <w:t xml:space="preserve"> </w:t>
      </w:r>
      <w:r w:rsidR="008D15C3" w:rsidRPr="008D15C3">
        <w:rPr>
          <w:sz w:val="22"/>
          <w:szCs w:val="22"/>
        </w:rPr>
        <w:t xml:space="preserve">Manufacturing, </w:t>
      </w:r>
      <w:r w:rsidRPr="008D15C3">
        <w:rPr>
          <w:sz w:val="22"/>
          <w:szCs w:val="22"/>
        </w:rPr>
        <w:t xml:space="preserve">mining or farming is not their future. </w:t>
      </w:r>
      <w:r w:rsidR="008D15C3" w:rsidRPr="008D15C3">
        <w:rPr>
          <w:sz w:val="22"/>
          <w:szCs w:val="22"/>
        </w:rPr>
        <w:t xml:space="preserve"> </w:t>
      </w:r>
      <w:r w:rsidRPr="008D15C3">
        <w:rPr>
          <w:sz w:val="22"/>
          <w:szCs w:val="22"/>
        </w:rPr>
        <w:t>These industries and agriculture will not create jobs and wealth.</w:t>
      </w:r>
      <w:r w:rsidR="00A34E16" w:rsidRPr="008D15C3">
        <w:rPr>
          <w:sz w:val="22"/>
          <w:szCs w:val="22"/>
        </w:rPr>
        <w:t xml:space="preserve"> </w:t>
      </w:r>
      <w:r w:rsidRPr="008D15C3">
        <w:rPr>
          <w:sz w:val="22"/>
          <w:szCs w:val="22"/>
        </w:rPr>
        <w:t xml:space="preserve"> We need to encourage the development of ideas and their commercialisation. </w:t>
      </w:r>
      <w:r w:rsidR="00A34E16" w:rsidRPr="008D15C3">
        <w:rPr>
          <w:sz w:val="22"/>
          <w:szCs w:val="22"/>
        </w:rPr>
        <w:t xml:space="preserve"> </w:t>
      </w:r>
      <w:r w:rsidRPr="008D15C3">
        <w:rPr>
          <w:sz w:val="22"/>
          <w:szCs w:val="22"/>
        </w:rPr>
        <w:t xml:space="preserve">An important part of doing so is to demonstrate there are no adverse consequences of honest endeavour and honest failure.  The draconian consequences that may flow from </w:t>
      </w:r>
      <w:r w:rsidR="00A34E16" w:rsidRPr="008D15C3">
        <w:rPr>
          <w:sz w:val="22"/>
          <w:szCs w:val="22"/>
        </w:rPr>
        <w:t xml:space="preserve">corporate distress or failure </w:t>
      </w:r>
      <w:r w:rsidRPr="008D15C3">
        <w:rPr>
          <w:sz w:val="22"/>
          <w:szCs w:val="22"/>
        </w:rPr>
        <w:t xml:space="preserve">are a major imposition to the encouragement of this entrepreneurial culture that is necessary to create jobs and wealth.  Any insolvency system needs to recognise, balance and maximise the interests of companies, employees, shareholders, secured and unsecured creditors </w:t>
      </w:r>
      <w:r w:rsidRPr="008D15C3">
        <w:rPr>
          <w:sz w:val="22"/>
          <w:szCs w:val="22"/>
        </w:rPr>
        <w:lastRenderedPageBreak/>
        <w:t>and other key stakeholders.</w:t>
      </w:r>
      <w:r w:rsidR="00A34E16" w:rsidRPr="008D15C3">
        <w:rPr>
          <w:sz w:val="22"/>
          <w:szCs w:val="22"/>
        </w:rPr>
        <w:t xml:space="preserve"> </w:t>
      </w:r>
      <w:r w:rsidRPr="008D15C3">
        <w:rPr>
          <w:sz w:val="22"/>
          <w:szCs w:val="22"/>
        </w:rPr>
        <w:t xml:space="preserve"> It must also be capable of providing specific and general deterrence against dishonest conduct. </w:t>
      </w:r>
    </w:p>
    <w:p w14:paraId="5AA829A5" w14:textId="77777777" w:rsidR="008976BD" w:rsidRPr="00E802EB" w:rsidRDefault="008976BD" w:rsidP="008976BD">
      <w:pPr>
        <w:pStyle w:val="ABLStandard2"/>
        <w:spacing w:line="360" w:lineRule="auto"/>
        <w:rPr>
          <w:sz w:val="22"/>
          <w:szCs w:val="22"/>
        </w:rPr>
      </w:pPr>
      <w:r w:rsidRPr="00E802EB">
        <w:rPr>
          <w:sz w:val="22"/>
          <w:szCs w:val="22"/>
        </w:rPr>
        <w:t xml:space="preserve">The recommendations </w:t>
      </w:r>
      <w:r>
        <w:rPr>
          <w:sz w:val="22"/>
          <w:szCs w:val="22"/>
        </w:rPr>
        <w:t xml:space="preserve">outlined in this submission </w:t>
      </w:r>
      <w:r w:rsidRPr="00E802EB">
        <w:rPr>
          <w:sz w:val="22"/>
          <w:szCs w:val="22"/>
        </w:rPr>
        <w:t>seek to alleviate some of the key c</w:t>
      </w:r>
      <w:r>
        <w:rPr>
          <w:sz w:val="22"/>
          <w:szCs w:val="22"/>
        </w:rPr>
        <w:t>onstraints that Australia’s current insolvency processes pose to a successful corporate restructure.</w:t>
      </w:r>
    </w:p>
    <w:p w14:paraId="00528D51" w14:textId="77777777" w:rsidR="008976BD" w:rsidRDefault="008976BD" w:rsidP="008976BD">
      <w:pPr>
        <w:pStyle w:val="ABLNormal"/>
        <w:rPr>
          <w:b/>
          <w:sz w:val="22"/>
          <w:szCs w:val="22"/>
        </w:rPr>
      </w:pPr>
    </w:p>
    <w:p w14:paraId="7A03FEE4" w14:textId="77777777" w:rsidR="00A34E16" w:rsidRPr="008E1B56" w:rsidRDefault="00A34E16" w:rsidP="008976BD">
      <w:pPr>
        <w:pStyle w:val="ABLNormal"/>
        <w:rPr>
          <w:b/>
          <w:sz w:val="22"/>
          <w:szCs w:val="22"/>
        </w:rPr>
      </w:pPr>
    </w:p>
    <w:p w14:paraId="06565FF4" w14:textId="77777777" w:rsidR="008976BD" w:rsidRPr="008E1B56" w:rsidRDefault="008976BD" w:rsidP="008976BD">
      <w:pPr>
        <w:pStyle w:val="ABLNormal"/>
        <w:ind w:right="-24"/>
        <w:rPr>
          <w:b/>
          <w:bCs/>
          <w:sz w:val="22"/>
          <w:szCs w:val="22"/>
        </w:rPr>
      </w:pPr>
      <w:r w:rsidRPr="008E1B56">
        <w:rPr>
          <w:b/>
          <w:bCs/>
          <w:sz w:val="22"/>
          <w:szCs w:val="22"/>
        </w:rPr>
        <w:t>Arnold Bloch Leible</w:t>
      </w:r>
      <w:bookmarkStart w:id="2" w:name="Enc"/>
      <w:bookmarkStart w:id="3" w:name="End"/>
      <w:bookmarkEnd w:id="2"/>
      <w:bookmarkEnd w:id="3"/>
      <w:r w:rsidRPr="008E1B56">
        <w:rPr>
          <w:b/>
          <w:bCs/>
          <w:sz w:val="22"/>
          <w:szCs w:val="22"/>
        </w:rPr>
        <w:t>r</w:t>
      </w:r>
    </w:p>
    <w:p w14:paraId="3AABBD60" w14:textId="77777777" w:rsidR="008976BD" w:rsidRPr="008E1B56" w:rsidRDefault="008976BD" w:rsidP="008976BD">
      <w:pPr>
        <w:pStyle w:val="ABLLevel2noheading"/>
        <w:numPr>
          <w:ilvl w:val="0"/>
          <w:numId w:val="0"/>
        </w:numPr>
        <w:spacing w:line="360" w:lineRule="auto"/>
        <w:rPr>
          <w:sz w:val="22"/>
          <w:szCs w:val="22"/>
          <w:lang w:val="en-US"/>
        </w:rPr>
      </w:pPr>
      <w:r w:rsidRPr="008E1B56">
        <w:rPr>
          <w:sz w:val="22"/>
          <w:szCs w:val="22"/>
          <w:lang w:val="en-US"/>
        </w:rPr>
        <w:t xml:space="preserve">February 2015 </w:t>
      </w:r>
    </w:p>
    <w:p w14:paraId="698CEC61" w14:textId="77777777" w:rsidR="008976BD" w:rsidRDefault="008976BD" w:rsidP="008976BD">
      <w:pPr>
        <w:pStyle w:val="ABLNormal"/>
        <w:rPr>
          <w:b/>
        </w:rPr>
      </w:pPr>
    </w:p>
    <w:p w14:paraId="5E5543A4" w14:textId="77777777" w:rsidR="008976BD" w:rsidRDefault="008976BD" w:rsidP="008976BD">
      <w:pPr>
        <w:pStyle w:val="ABLNormal"/>
        <w:rPr>
          <w:b/>
        </w:rPr>
      </w:pPr>
    </w:p>
    <w:sectPr w:rsidR="008976BD" w:rsidSect="002C5D8B">
      <w:headerReference w:type="even" r:id="rId22"/>
      <w:headerReference w:type="default" r:id="rId23"/>
      <w:pgSz w:w="11906" w:h="16838" w:code="9"/>
      <w:pgMar w:top="1440" w:right="1440" w:bottom="1440" w:left="1440" w:header="709" w:footer="709" w:gutter="0"/>
      <w:paperSrc w:first="260" w:other="26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48899" w14:textId="77777777" w:rsidR="00FE3BAE" w:rsidRDefault="00FE3BAE">
      <w:r>
        <w:separator/>
      </w:r>
    </w:p>
  </w:endnote>
  <w:endnote w:type="continuationSeparator" w:id="0">
    <w:p w14:paraId="2A429356" w14:textId="77777777" w:rsidR="00FE3BAE" w:rsidRDefault="00FE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2967A" w14:textId="77777777" w:rsidR="003410B4" w:rsidRDefault="003410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DC5A3" w14:textId="77777777" w:rsidR="003410B4" w:rsidRDefault="003410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57EC8" w14:textId="77777777" w:rsidR="003410B4" w:rsidRDefault="00341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359F2" w14:textId="77777777" w:rsidR="00FE3BAE" w:rsidRDefault="00FE3BAE">
      <w:r>
        <w:separator/>
      </w:r>
    </w:p>
  </w:footnote>
  <w:footnote w:type="continuationSeparator" w:id="0">
    <w:p w14:paraId="6B83F4DC" w14:textId="77777777" w:rsidR="00FE3BAE" w:rsidRDefault="00FE3BAE">
      <w:r>
        <w:continuationSeparator/>
      </w:r>
    </w:p>
  </w:footnote>
  <w:footnote w:id="1">
    <w:p w14:paraId="291DDB76" w14:textId="77777777" w:rsidR="008976BD" w:rsidRDefault="008976BD" w:rsidP="008976BD">
      <w:pPr>
        <w:pStyle w:val="FootnoteText"/>
      </w:pPr>
      <w:r>
        <w:rPr>
          <w:rStyle w:val="FootnoteReference"/>
        </w:rPr>
        <w:footnoteRef/>
      </w:r>
      <w:r>
        <w:t xml:space="preserve"> Productivity Commission, </w:t>
      </w:r>
      <w:r>
        <w:rPr>
          <w:i/>
        </w:rPr>
        <w:t>Issues Paper</w:t>
      </w:r>
      <w:r>
        <w:t>, Inquiry into Business Set Up, Transfer and Closure, 19 December 2014.</w:t>
      </w:r>
    </w:p>
  </w:footnote>
  <w:footnote w:id="2">
    <w:p w14:paraId="79790B6A" w14:textId="77777777" w:rsidR="008976BD" w:rsidRDefault="008976BD" w:rsidP="008976BD">
      <w:pPr>
        <w:pStyle w:val="FootnoteText"/>
      </w:pPr>
      <w:r>
        <w:rPr>
          <w:rStyle w:val="FootnoteReference"/>
        </w:rPr>
        <w:footnoteRef/>
      </w:r>
      <w:r>
        <w:t xml:space="preserve"> See</w:t>
      </w:r>
      <w:r w:rsidRPr="0098614A">
        <w:t xml:space="preserve"> Colin Anderson &amp; David Morrison, </w:t>
      </w:r>
      <w:r w:rsidRPr="0098614A">
        <w:rPr>
          <w:i/>
        </w:rPr>
        <w:t>Crutchfield’s Corporate Voluntary Administration</w:t>
      </w:r>
      <w:r w:rsidRPr="0098614A">
        <w:t xml:space="preserve">, 3rd </w:t>
      </w:r>
      <w:proofErr w:type="spellStart"/>
      <w:proofErr w:type="gramStart"/>
      <w:r w:rsidRPr="0098614A">
        <w:t>ed</w:t>
      </w:r>
      <w:proofErr w:type="spellEnd"/>
      <w:proofErr w:type="gramEnd"/>
      <w:r w:rsidRPr="0098614A">
        <w:t>, 2003, p.350.</w:t>
      </w:r>
      <w:r>
        <w:t xml:space="preserve">  See also </w:t>
      </w:r>
      <w:r w:rsidRPr="0098614A">
        <w:rPr>
          <w:i/>
        </w:rPr>
        <w:t>Report of the Commission on the Bankruptcy Laws of the United States</w:t>
      </w:r>
      <w:r>
        <w:t xml:space="preserve"> published in The Business Lawyer, Vol. 29, No. 1 (November 1973), pp. 75-116 at 108ff.</w:t>
      </w:r>
    </w:p>
  </w:footnote>
  <w:footnote w:id="3">
    <w:p w14:paraId="33B7E1A3" w14:textId="77777777" w:rsidR="008976BD" w:rsidRDefault="008976BD" w:rsidP="008976BD">
      <w:pPr>
        <w:pStyle w:val="FootnoteText"/>
      </w:pPr>
      <w:r>
        <w:rPr>
          <w:rStyle w:val="FootnoteReference"/>
        </w:rPr>
        <w:footnoteRef/>
      </w:r>
      <w:r>
        <w:t xml:space="preserve"> </w:t>
      </w:r>
      <w:proofErr w:type="gramStart"/>
      <w:r>
        <w:t xml:space="preserve">Productivity Commission, </w:t>
      </w:r>
      <w:r>
        <w:rPr>
          <w:i/>
        </w:rPr>
        <w:t>Issues Paper</w:t>
      </w:r>
      <w:r>
        <w:t>, Inquiry into Business Set Up, Transfer and Closure, 19 December 2014, p 19.</w:t>
      </w:r>
      <w:proofErr w:type="gramEnd"/>
      <w:r>
        <w:t xml:space="preserve"> </w:t>
      </w:r>
    </w:p>
  </w:footnote>
  <w:footnote w:id="4">
    <w:p w14:paraId="3057F4EB" w14:textId="77777777" w:rsidR="008976BD" w:rsidRDefault="008976BD" w:rsidP="008976BD">
      <w:pPr>
        <w:pStyle w:val="FootnoteText"/>
      </w:pPr>
      <w:r>
        <w:rPr>
          <w:rStyle w:val="FootnoteReference"/>
        </w:rPr>
        <w:footnoteRef/>
      </w:r>
      <w:r>
        <w:t xml:space="preserve"> </w:t>
      </w:r>
      <w:proofErr w:type="gramStart"/>
      <w:r>
        <w:t xml:space="preserve">Section 435A </w:t>
      </w:r>
      <w:r w:rsidRPr="001845ED">
        <w:rPr>
          <w:i/>
        </w:rPr>
        <w:t>Corporations Act 2001</w:t>
      </w:r>
      <w:r>
        <w:rPr>
          <w:i/>
        </w:rPr>
        <w:t xml:space="preserve"> </w:t>
      </w:r>
      <w:r w:rsidRPr="001845ED">
        <w:t>(</w:t>
      </w:r>
      <w:proofErr w:type="spellStart"/>
      <w:r w:rsidRPr="001845ED">
        <w:t>Cth</w:t>
      </w:r>
      <w:proofErr w:type="spellEnd"/>
      <w:r w:rsidRPr="001845ED">
        <w:t>)</w:t>
      </w:r>
      <w:r>
        <w:t>.</w:t>
      </w:r>
      <w:proofErr w:type="gramEnd"/>
    </w:p>
  </w:footnote>
  <w:footnote w:id="5">
    <w:p w14:paraId="395BB8E2" w14:textId="77777777" w:rsidR="008976BD" w:rsidRDefault="008976BD" w:rsidP="008976BD">
      <w:pPr>
        <w:pStyle w:val="FootnoteText"/>
      </w:pPr>
      <w:r>
        <w:rPr>
          <w:rStyle w:val="FootnoteReference"/>
        </w:rPr>
        <w:footnoteRef/>
      </w:r>
      <w:r>
        <w:t xml:space="preserve"> </w:t>
      </w:r>
      <w:proofErr w:type="gramStart"/>
      <w:r>
        <w:t xml:space="preserve">Section 436A </w:t>
      </w:r>
      <w:r w:rsidRPr="001845ED">
        <w:rPr>
          <w:i/>
        </w:rPr>
        <w:t>Corporations Act 2001</w:t>
      </w:r>
      <w:r>
        <w:rPr>
          <w:i/>
        </w:rPr>
        <w:t xml:space="preserve"> </w:t>
      </w:r>
      <w:r w:rsidRPr="001845ED">
        <w:t>(</w:t>
      </w:r>
      <w:proofErr w:type="spellStart"/>
      <w:r w:rsidRPr="001845ED">
        <w:t>Cth</w:t>
      </w:r>
      <w:proofErr w:type="spellEnd"/>
      <w:r w:rsidRPr="001845ED">
        <w:t>)</w:t>
      </w:r>
      <w:r>
        <w:t>.</w:t>
      </w:r>
      <w:proofErr w:type="gramEnd"/>
    </w:p>
  </w:footnote>
  <w:footnote w:id="6">
    <w:p w14:paraId="0ED083F5" w14:textId="77777777" w:rsidR="008976BD" w:rsidRDefault="008976BD" w:rsidP="008976BD">
      <w:pPr>
        <w:pStyle w:val="FootnoteText"/>
      </w:pPr>
      <w:r>
        <w:rPr>
          <w:rStyle w:val="FootnoteReference"/>
        </w:rPr>
        <w:footnoteRef/>
      </w:r>
      <w:r>
        <w:t xml:space="preserve"> </w:t>
      </w:r>
      <w:proofErr w:type="gramStart"/>
      <w:r>
        <w:t xml:space="preserve">Division 269 </w:t>
      </w:r>
      <w:r w:rsidRPr="007B24F9">
        <w:rPr>
          <w:i/>
        </w:rPr>
        <w:t>Taxation Administration Act 1953</w:t>
      </w:r>
      <w:r>
        <w:t xml:space="preserve"> (</w:t>
      </w:r>
      <w:proofErr w:type="spellStart"/>
      <w:r>
        <w:t>Cth</w:t>
      </w:r>
      <w:proofErr w:type="spellEnd"/>
      <w:r>
        <w:t>).</w:t>
      </w:r>
      <w:proofErr w:type="gramEnd"/>
    </w:p>
  </w:footnote>
  <w:footnote w:id="7">
    <w:p w14:paraId="7062F6EA" w14:textId="77777777" w:rsidR="008976BD" w:rsidRDefault="008976BD" w:rsidP="008976BD">
      <w:pPr>
        <w:pStyle w:val="FootnoteText"/>
      </w:pPr>
      <w:r>
        <w:rPr>
          <w:rStyle w:val="FootnoteReference"/>
        </w:rPr>
        <w:footnoteRef/>
      </w:r>
      <w:r>
        <w:t xml:space="preserve"> Preservation of employment was identified as a purpose for rehabilitative insolvency regimes in the Harmer Report (see Australian Law Reform Commission, </w:t>
      </w:r>
      <w:r w:rsidRPr="00BD0B1C">
        <w:rPr>
          <w:i/>
        </w:rPr>
        <w:t>General Insolvency Inquiry</w:t>
      </w:r>
      <w:r>
        <w:t xml:space="preserve"> (Report No. 45, 1988), para 52.</w:t>
      </w:r>
    </w:p>
  </w:footnote>
  <w:footnote w:id="8">
    <w:p w14:paraId="1FA74F98" w14:textId="77777777" w:rsidR="008976BD" w:rsidRPr="005C4CDF" w:rsidRDefault="008976BD" w:rsidP="008976BD">
      <w:pPr>
        <w:pStyle w:val="FootnoteText"/>
      </w:pPr>
      <w:r>
        <w:rPr>
          <w:rStyle w:val="FootnoteReference"/>
        </w:rPr>
        <w:footnoteRef/>
      </w:r>
      <w:r>
        <w:t xml:space="preserve"> See </w:t>
      </w:r>
      <w:r>
        <w:rPr>
          <w:i/>
        </w:rPr>
        <w:t xml:space="preserve">Bankruptcy Act 1966 </w:t>
      </w:r>
      <w:r>
        <w:t>(</w:t>
      </w:r>
      <w:proofErr w:type="spellStart"/>
      <w:r>
        <w:t>Cth</w:t>
      </w:r>
      <w:proofErr w:type="spellEnd"/>
      <w:r>
        <w:t xml:space="preserve">) s 301. </w:t>
      </w:r>
    </w:p>
  </w:footnote>
  <w:footnote w:id="9">
    <w:p w14:paraId="70A532F0" w14:textId="77777777" w:rsidR="008976BD" w:rsidRDefault="008976BD" w:rsidP="008976BD">
      <w:pPr>
        <w:pStyle w:val="FootnoteText"/>
      </w:pPr>
      <w:r>
        <w:rPr>
          <w:rStyle w:val="FootnoteReference"/>
        </w:rPr>
        <w:footnoteRef/>
      </w:r>
      <w:r>
        <w:t xml:space="preserve"> See </w:t>
      </w:r>
      <w:r w:rsidRPr="00FF455E">
        <w:rPr>
          <w:i/>
        </w:rPr>
        <w:t>Re Middle Harbour Investments</w:t>
      </w:r>
      <w:r>
        <w:t xml:space="preserve"> </w:t>
      </w:r>
      <w:r w:rsidRPr="00FF455E">
        <w:t>[1977] 2 NSWLR 652 at 657</w:t>
      </w:r>
      <w:r>
        <w:t>.</w:t>
      </w:r>
    </w:p>
  </w:footnote>
  <w:footnote w:id="10">
    <w:p w14:paraId="0CA00E49" w14:textId="77777777" w:rsidR="008976BD" w:rsidRDefault="008976BD" w:rsidP="008976BD">
      <w:pPr>
        <w:pStyle w:val="FootnoteText"/>
      </w:pPr>
      <w:r>
        <w:rPr>
          <w:rStyle w:val="FootnoteReference"/>
        </w:rPr>
        <w:footnoteRef/>
      </w:r>
      <w:r>
        <w:t xml:space="preserve"> Only a secured creditor with security over the whole, or substantially the whole, of the property of the company under administration can enforce its security during administration (s 441A of the </w:t>
      </w:r>
      <w:r w:rsidRPr="00F4566F">
        <w:rPr>
          <w:i/>
        </w:rPr>
        <w:t>Corporations Act</w:t>
      </w:r>
      <w:r>
        <w:t>).</w:t>
      </w:r>
    </w:p>
  </w:footnote>
  <w:footnote w:id="11">
    <w:p w14:paraId="7350CBFA" w14:textId="77777777" w:rsidR="008976BD" w:rsidRDefault="008976BD" w:rsidP="008976BD">
      <w:pPr>
        <w:pStyle w:val="FootnoteText"/>
      </w:pPr>
      <w:r>
        <w:rPr>
          <w:rStyle w:val="FootnoteReference"/>
        </w:rPr>
        <w:footnoteRef/>
      </w:r>
      <w:r>
        <w:t xml:space="preserve"> Productivity Commission, </w:t>
      </w:r>
      <w:r>
        <w:rPr>
          <w:i/>
        </w:rPr>
        <w:t>Issues Paper</w:t>
      </w:r>
      <w:r>
        <w:t>, Inquiry into Business Set Up, Transfer and Closure, 19 December 2014, p 16-17.</w:t>
      </w:r>
    </w:p>
  </w:footnote>
  <w:footnote w:id="12">
    <w:p w14:paraId="7DAE1E44" w14:textId="77777777" w:rsidR="008976BD" w:rsidRPr="00907CD6" w:rsidRDefault="008976BD" w:rsidP="008976BD">
      <w:pPr>
        <w:pStyle w:val="FootnoteText"/>
      </w:pPr>
      <w:r>
        <w:rPr>
          <w:rStyle w:val="FootnoteReference"/>
        </w:rPr>
        <w:footnoteRef/>
      </w:r>
      <w:r>
        <w:t xml:space="preserve"> Productivity Commission, </w:t>
      </w:r>
      <w:r>
        <w:rPr>
          <w:i/>
        </w:rPr>
        <w:t xml:space="preserve">Inquiry Report, </w:t>
      </w:r>
      <w:r>
        <w:t xml:space="preserve">Access to Justice Arrangements, 5 September 2014. Chapter 10: Tribunals. </w:t>
      </w:r>
    </w:p>
  </w:footnote>
  <w:footnote w:id="13">
    <w:p w14:paraId="1BCC1EDA" w14:textId="77777777" w:rsidR="008976BD" w:rsidRDefault="008976BD" w:rsidP="008976BD">
      <w:pPr>
        <w:pStyle w:val="FootnoteText"/>
      </w:pPr>
      <w:r>
        <w:rPr>
          <w:rStyle w:val="FootnoteReference"/>
        </w:rPr>
        <w:footnoteRef/>
      </w:r>
      <w:r>
        <w:t xml:space="preserve"> </w:t>
      </w:r>
      <w:proofErr w:type="gramStart"/>
      <w:r>
        <w:t>242 ALR 1; 82 ALJR 382; 26 ACLC 1; [2008] HCA 2.</w:t>
      </w:r>
      <w:proofErr w:type="gramEnd"/>
      <w:r>
        <w:t xml:space="preserve"> </w:t>
      </w:r>
    </w:p>
  </w:footnote>
  <w:footnote w:id="14">
    <w:p w14:paraId="00C84653" w14:textId="77777777" w:rsidR="008976BD" w:rsidRDefault="008976BD" w:rsidP="008976BD">
      <w:r>
        <w:rPr>
          <w:rStyle w:val="FootnoteReference"/>
        </w:rPr>
        <w:footnoteRef/>
      </w:r>
      <w:r w:rsidRPr="00333FF1">
        <w:rPr>
          <w:i/>
          <w:iCs/>
          <w:sz w:val="18"/>
          <w:szCs w:val="18"/>
        </w:rPr>
        <w:t>Supreme Court (General Civil Procedure) Rules 2005</w:t>
      </w:r>
      <w:r w:rsidRPr="00333FF1">
        <w:rPr>
          <w:sz w:val="18"/>
          <w:szCs w:val="18"/>
        </w:rPr>
        <w:t xml:space="preserve"> (Vic) r 50.01</w:t>
      </w:r>
      <w:r>
        <w:rPr>
          <w:sz w:val="18"/>
          <w:szCs w:val="18"/>
        </w:rPr>
        <w:t>;</w:t>
      </w:r>
      <w:r w:rsidRPr="00333FF1">
        <w:rPr>
          <w:sz w:val="18"/>
          <w:szCs w:val="18"/>
        </w:rPr>
        <w:t xml:space="preserve"> </w:t>
      </w:r>
      <w:r w:rsidRPr="00333FF1">
        <w:rPr>
          <w:i/>
          <w:iCs/>
          <w:sz w:val="18"/>
          <w:szCs w:val="18"/>
        </w:rPr>
        <w:t xml:space="preserve">Federal Court of Australia Act </w:t>
      </w:r>
      <w:r w:rsidRPr="00333FF1">
        <w:rPr>
          <w:sz w:val="18"/>
          <w:szCs w:val="18"/>
        </w:rPr>
        <w:t>(</w:t>
      </w:r>
      <w:proofErr w:type="spellStart"/>
      <w:r w:rsidRPr="00333FF1">
        <w:rPr>
          <w:sz w:val="18"/>
          <w:szCs w:val="18"/>
        </w:rPr>
        <w:t>Cth</w:t>
      </w:r>
      <w:proofErr w:type="spellEnd"/>
      <w:r w:rsidRPr="00333FF1">
        <w:rPr>
          <w:sz w:val="18"/>
          <w:szCs w:val="18"/>
        </w:rPr>
        <w:t>)</w:t>
      </w:r>
      <w:r w:rsidRPr="00333FF1">
        <w:rPr>
          <w:i/>
          <w:iCs/>
          <w:sz w:val="18"/>
          <w:szCs w:val="18"/>
        </w:rPr>
        <w:t xml:space="preserve"> s 54A; Court Procedures Rules 2006</w:t>
      </w:r>
      <w:r w:rsidRPr="00333FF1">
        <w:rPr>
          <w:sz w:val="18"/>
          <w:szCs w:val="18"/>
        </w:rPr>
        <w:t xml:space="preserve"> (ACT) r 1531; </w:t>
      </w:r>
      <w:r w:rsidRPr="00333FF1">
        <w:rPr>
          <w:i/>
          <w:iCs/>
          <w:sz w:val="18"/>
          <w:szCs w:val="18"/>
        </w:rPr>
        <w:t>Uniform Civil Procedure Rules 2005</w:t>
      </w:r>
      <w:r w:rsidRPr="00333FF1">
        <w:rPr>
          <w:sz w:val="18"/>
          <w:szCs w:val="18"/>
        </w:rPr>
        <w:t xml:space="preserve"> (NSW) r 20.14; </w:t>
      </w:r>
      <w:r w:rsidRPr="00333FF1">
        <w:rPr>
          <w:i/>
          <w:iCs/>
          <w:sz w:val="18"/>
          <w:szCs w:val="18"/>
        </w:rPr>
        <w:t>Supreme Court Act 1979</w:t>
      </w:r>
      <w:r w:rsidRPr="00333FF1">
        <w:rPr>
          <w:sz w:val="18"/>
          <w:szCs w:val="18"/>
        </w:rPr>
        <w:t xml:space="preserve"> (NT) s 26; </w:t>
      </w:r>
      <w:r w:rsidRPr="00333FF1">
        <w:rPr>
          <w:i/>
          <w:iCs/>
          <w:sz w:val="18"/>
          <w:szCs w:val="18"/>
        </w:rPr>
        <w:t>Supreme Court Act 1995</w:t>
      </w:r>
      <w:r w:rsidRPr="00333FF1">
        <w:rPr>
          <w:sz w:val="18"/>
          <w:szCs w:val="18"/>
        </w:rPr>
        <w:t xml:space="preserve"> (Qld) s 255; </w:t>
      </w:r>
      <w:r w:rsidRPr="00333FF1">
        <w:rPr>
          <w:i/>
          <w:iCs/>
          <w:sz w:val="18"/>
          <w:szCs w:val="18"/>
        </w:rPr>
        <w:t>Uniform Civil Procedure Rules 1999</w:t>
      </w:r>
      <w:r w:rsidRPr="00333FF1">
        <w:rPr>
          <w:sz w:val="18"/>
          <w:szCs w:val="18"/>
        </w:rPr>
        <w:t xml:space="preserve"> (Qld) r 501; </w:t>
      </w:r>
      <w:r w:rsidRPr="00333FF1">
        <w:rPr>
          <w:i/>
          <w:iCs/>
          <w:sz w:val="18"/>
          <w:szCs w:val="18"/>
        </w:rPr>
        <w:t>Supreme Court Act 1935</w:t>
      </w:r>
      <w:r w:rsidRPr="00333FF1">
        <w:rPr>
          <w:sz w:val="18"/>
          <w:szCs w:val="18"/>
        </w:rPr>
        <w:t xml:space="preserve"> (SA) s 67; </w:t>
      </w:r>
      <w:r w:rsidRPr="00333FF1">
        <w:rPr>
          <w:i/>
          <w:iCs/>
          <w:sz w:val="18"/>
          <w:szCs w:val="18"/>
        </w:rPr>
        <w:t>Supreme Court Rules 2000</w:t>
      </w:r>
      <w:r w:rsidRPr="00333FF1">
        <w:rPr>
          <w:sz w:val="18"/>
          <w:szCs w:val="18"/>
        </w:rPr>
        <w:t xml:space="preserve"> (</w:t>
      </w:r>
      <w:proofErr w:type="spellStart"/>
      <w:r w:rsidRPr="00333FF1">
        <w:rPr>
          <w:sz w:val="18"/>
          <w:szCs w:val="18"/>
        </w:rPr>
        <w:t>Tas</w:t>
      </w:r>
      <w:proofErr w:type="spellEnd"/>
      <w:r w:rsidRPr="00333FF1">
        <w:rPr>
          <w:sz w:val="18"/>
          <w:szCs w:val="18"/>
        </w:rPr>
        <w:t>)</w:t>
      </w:r>
      <w:r w:rsidRPr="00333FF1">
        <w:rPr>
          <w:i/>
          <w:iCs/>
          <w:sz w:val="18"/>
          <w:szCs w:val="18"/>
        </w:rPr>
        <w:t xml:space="preserve"> </w:t>
      </w:r>
      <w:r w:rsidRPr="00333FF1">
        <w:rPr>
          <w:sz w:val="18"/>
          <w:szCs w:val="18"/>
        </w:rPr>
        <w:t xml:space="preserve">r 574; </w:t>
      </w:r>
      <w:r w:rsidRPr="00333FF1">
        <w:rPr>
          <w:i/>
          <w:iCs/>
          <w:sz w:val="18"/>
          <w:szCs w:val="18"/>
        </w:rPr>
        <w:t>Supreme Court Act 1935</w:t>
      </w:r>
      <w:r w:rsidRPr="00333FF1">
        <w:rPr>
          <w:sz w:val="18"/>
          <w:szCs w:val="18"/>
        </w:rPr>
        <w:t xml:space="preserve"> (WA) s 50.</w:t>
      </w:r>
    </w:p>
  </w:footnote>
  <w:footnote w:id="15">
    <w:p w14:paraId="1E3E8950" w14:textId="77777777" w:rsidR="008976BD" w:rsidRDefault="008976BD" w:rsidP="008976BD">
      <w:pPr>
        <w:pStyle w:val="FootnoteText"/>
      </w:pPr>
      <w:r>
        <w:rPr>
          <w:rStyle w:val="FootnoteReference"/>
        </w:rPr>
        <w:footnoteRef/>
      </w:r>
      <w:r>
        <w:t xml:space="preserve"> </w:t>
      </w:r>
      <w:r w:rsidRPr="00333FF1">
        <w:rPr>
          <w:i/>
        </w:rPr>
        <w:t>Supreme Court (General Civil Procedure) Rules 2005</w:t>
      </w:r>
      <w:r>
        <w:rPr>
          <w:i/>
        </w:rPr>
        <w:t xml:space="preserve"> </w:t>
      </w:r>
      <w:r w:rsidRPr="00333FF1">
        <w:t>r</w:t>
      </w:r>
      <w:r>
        <w:t xml:space="preserve"> 50.04,</w:t>
      </w:r>
    </w:p>
  </w:footnote>
  <w:footnote w:id="16">
    <w:p w14:paraId="60268D84" w14:textId="77777777" w:rsidR="008976BD" w:rsidRDefault="008976BD" w:rsidP="008976BD">
      <w:pPr>
        <w:pStyle w:val="FootnoteText"/>
      </w:pPr>
      <w:r>
        <w:rPr>
          <w:rStyle w:val="FootnoteReference"/>
        </w:rPr>
        <w:footnoteRef/>
      </w:r>
      <w:r>
        <w:t xml:space="preserve"> Productivity Commission, </w:t>
      </w:r>
      <w:r>
        <w:rPr>
          <w:i/>
        </w:rPr>
        <w:t>Issues Paper</w:t>
      </w:r>
      <w:r>
        <w:t xml:space="preserve">, Inquiry into Business Set Up, Transfer and Closure, 19 December 2014, p 16-17. </w:t>
      </w:r>
    </w:p>
  </w:footnote>
  <w:footnote w:id="17">
    <w:p w14:paraId="420FE2EC" w14:textId="77777777" w:rsidR="008976BD" w:rsidRDefault="008976BD" w:rsidP="008976BD">
      <w:pPr>
        <w:pStyle w:val="FootnoteText"/>
      </w:pPr>
      <w:r>
        <w:rPr>
          <w:rStyle w:val="FootnoteReference"/>
        </w:rPr>
        <w:footnoteRef/>
      </w:r>
      <w:r>
        <w:t xml:space="preserve"> </w:t>
      </w:r>
      <w:r>
        <w:rPr>
          <w:sz w:val="16"/>
        </w:rPr>
        <w:t xml:space="preserve">See IPA, </w:t>
      </w:r>
      <w:r>
        <w:rPr>
          <w:i/>
          <w:sz w:val="16"/>
        </w:rPr>
        <w:t xml:space="preserve">Submissions, Review of Sanctions in Corporate Law, </w:t>
      </w:r>
      <w:r>
        <w:rPr>
          <w:sz w:val="16"/>
        </w:rPr>
        <w:t>15 June 2007,</w:t>
      </w:r>
      <w:r w:rsidRPr="00280BB9">
        <w:rPr>
          <w:i/>
          <w:sz w:val="16"/>
        </w:rPr>
        <w:t xml:space="preserve"> 16 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B6770" w14:textId="77777777" w:rsidR="00836EDE" w:rsidRDefault="00836E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bookmarkStart w:id="1" w:name="Footer"/>
    <w:bookmarkEnd w:id="1"/>
  </w:p>
  <w:p w14:paraId="4A8C0B34" w14:textId="77777777" w:rsidR="00836EDE" w:rsidRDefault="00836E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A0443" w14:textId="77777777" w:rsidR="003410B4" w:rsidRDefault="003410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85AAC" w14:textId="77777777" w:rsidR="003410B4" w:rsidRDefault="003410B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C3F55" w14:textId="77777777" w:rsidR="001F11AC" w:rsidRDefault="00AE3CAD" w:rsidP="001F11AC">
    <w:pPr>
      <w:pStyle w:val="Header"/>
      <w:framePr w:wrap="around" w:vAnchor="text" w:hAnchor="margin" w:xAlign="center" w:y="1"/>
      <w:rPr>
        <w:rStyle w:val="PageNumber"/>
      </w:rPr>
    </w:pPr>
    <w:r>
      <w:rPr>
        <w:rStyle w:val="PageNumber"/>
      </w:rPr>
      <w:fldChar w:fldCharType="begin"/>
    </w:r>
    <w:r w:rsidR="001F11AC">
      <w:rPr>
        <w:rStyle w:val="PageNumber"/>
      </w:rPr>
      <w:instrText xml:space="preserve">PAGE  </w:instrText>
    </w:r>
    <w:r>
      <w:rPr>
        <w:rStyle w:val="PageNumber"/>
      </w:rPr>
      <w:fldChar w:fldCharType="end"/>
    </w:r>
  </w:p>
  <w:p w14:paraId="50F67213" w14:textId="77777777" w:rsidR="001F11AC" w:rsidRDefault="001F11A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0C57E" w14:textId="77777777" w:rsidR="001F11AC" w:rsidRDefault="00AE3CAD" w:rsidP="001F11AC">
    <w:pPr>
      <w:pStyle w:val="Header"/>
      <w:framePr w:wrap="around" w:vAnchor="text" w:hAnchor="margin" w:xAlign="center" w:y="1"/>
      <w:rPr>
        <w:rStyle w:val="PageNumber"/>
      </w:rPr>
    </w:pPr>
    <w:r>
      <w:rPr>
        <w:rStyle w:val="PageNumber"/>
      </w:rPr>
      <w:fldChar w:fldCharType="begin"/>
    </w:r>
    <w:r w:rsidR="001F11AC">
      <w:rPr>
        <w:rStyle w:val="PageNumber"/>
      </w:rPr>
      <w:instrText xml:space="preserve">PAGE  </w:instrText>
    </w:r>
    <w:r>
      <w:rPr>
        <w:rStyle w:val="PageNumber"/>
      </w:rPr>
      <w:fldChar w:fldCharType="separate"/>
    </w:r>
    <w:r w:rsidR="0008280C">
      <w:rPr>
        <w:rStyle w:val="PageNumber"/>
        <w:noProof/>
      </w:rPr>
      <w:t>14</w:t>
    </w:r>
    <w:r>
      <w:rPr>
        <w:rStyle w:val="PageNumber"/>
      </w:rPr>
      <w:fldChar w:fldCharType="end"/>
    </w:r>
  </w:p>
  <w:p w14:paraId="1C556784" w14:textId="77777777" w:rsidR="001F11AC" w:rsidRDefault="001F11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54BB"/>
    <w:multiLevelType w:val="multilevel"/>
    <w:tmpl w:val="6688D42E"/>
    <w:lvl w:ilvl="0">
      <w:start w:val="1"/>
      <w:numFmt w:val="decimal"/>
      <w:pStyle w:val="ABLLevel1"/>
      <w:lvlText w:val="%1"/>
      <w:lvlJc w:val="left"/>
      <w:pPr>
        <w:tabs>
          <w:tab w:val="num" w:pos="720"/>
        </w:tabs>
        <w:ind w:left="720" w:hanging="720"/>
      </w:pPr>
      <w:rPr>
        <w:rFonts w:hint="default"/>
        <w:u w:val="none"/>
      </w:rPr>
    </w:lvl>
    <w:lvl w:ilvl="1">
      <w:start w:val="1"/>
      <w:numFmt w:val="decimal"/>
      <w:pStyle w:val="ABLLevel2heading"/>
      <w:lvlText w:val="%1.%2"/>
      <w:lvlJc w:val="left"/>
      <w:pPr>
        <w:tabs>
          <w:tab w:val="num" w:pos="720"/>
        </w:tabs>
        <w:ind w:left="720" w:hanging="720"/>
      </w:pPr>
      <w:rPr>
        <w:rFonts w:hint="default"/>
        <w:b w:val="0"/>
        <w:u w:val="none"/>
      </w:rPr>
    </w:lvl>
    <w:lvl w:ilvl="2">
      <w:start w:val="1"/>
      <w:numFmt w:val="lowerLetter"/>
      <w:pStyle w:val="ABLLevel3"/>
      <w:lvlText w:val="(%3)"/>
      <w:lvlJc w:val="left"/>
      <w:pPr>
        <w:tabs>
          <w:tab w:val="num" w:pos="1440"/>
        </w:tabs>
        <w:ind w:left="1440" w:hanging="720"/>
      </w:pPr>
      <w:rPr>
        <w:rFonts w:hint="default"/>
        <w:u w:val="none"/>
      </w:rPr>
    </w:lvl>
    <w:lvl w:ilvl="3">
      <w:start w:val="1"/>
      <w:numFmt w:val="lowerRoman"/>
      <w:pStyle w:val="ABLLevel4"/>
      <w:lvlText w:val="(%4)"/>
      <w:lvlJc w:val="left"/>
      <w:pPr>
        <w:tabs>
          <w:tab w:val="num" w:pos="2160"/>
        </w:tabs>
        <w:ind w:left="2160" w:hanging="720"/>
      </w:pPr>
      <w:rPr>
        <w:rFonts w:hint="default"/>
        <w:u w:val="none"/>
      </w:rPr>
    </w:lvl>
    <w:lvl w:ilvl="4">
      <w:start w:val="1"/>
      <w:numFmt w:val="upperLetter"/>
      <w:pStyle w:val="ABLLevel5"/>
      <w:lvlText w:val="(%5)"/>
      <w:lvlJc w:val="left"/>
      <w:pPr>
        <w:tabs>
          <w:tab w:val="num" w:pos="2880"/>
        </w:tabs>
        <w:ind w:left="2880" w:hanging="720"/>
      </w:pPr>
      <w:rPr>
        <w:rFonts w:hint="default"/>
        <w:u w:val="none"/>
      </w:rPr>
    </w:lvl>
    <w:lvl w:ilvl="5">
      <w:start w:val="1"/>
      <w:numFmt w:val="decimal"/>
      <w:pStyle w:val="ABLLevel6"/>
      <w:lvlText w:val="(%6)"/>
      <w:lvlJc w:val="left"/>
      <w:pPr>
        <w:tabs>
          <w:tab w:val="num" w:pos="3600"/>
        </w:tabs>
        <w:ind w:left="3600" w:hanging="720"/>
      </w:pPr>
      <w:rPr>
        <w:rFonts w:hint="default"/>
        <w:u w:val="none"/>
      </w:rPr>
    </w:lvl>
    <w:lvl w:ilvl="6">
      <w:start w:val="1"/>
      <w:numFmt w:val="decimal"/>
      <w:lvlText w:val="%1.%2.%3.%4.%5.%6.%7"/>
      <w:lvlJc w:val="left"/>
      <w:pPr>
        <w:tabs>
          <w:tab w:val="num" w:pos="0"/>
        </w:tabs>
        <w:ind w:left="7905" w:hanging="720"/>
      </w:pPr>
      <w:rPr>
        <w:rFonts w:hint="default"/>
      </w:rPr>
    </w:lvl>
    <w:lvl w:ilvl="7">
      <w:start w:val="1"/>
      <w:numFmt w:val="decimal"/>
      <w:lvlText w:val="%1.%2.%3.%4.%5.%6.%7.%8"/>
      <w:lvlJc w:val="left"/>
      <w:pPr>
        <w:tabs>
          <w:tab w:val="num" w:pos="0"/>
        </w:tabs>
        <w:ind w:left="8625" w:hanging="720"/>
      </w:pPr>
      <w:rPr>
        <w:rFonts w:hint="default"/>
        <w:u w:val="none"/>
      </w:rPr>
    </w:lvl>
    <w:lvl w:ilvl="8">
      <w:start w:val="1"/>
      <w:numFmt w:val="decimal"/>
      <w:lvlText w:val="%1.%2.%3.%4.%5.%6.%7.%8.%9"/>
      <w:lvlJc w:val="left"/>
      <w:pPr>
        <w:tabs>
          <w:tab w:val="num" w:pos="0"/>
        </w:tabs>
        <w:ind w:left="9345" w:hanging="720"/>
      </w:pPr>
      <w:rPr>
        <w:rFonts w:hint="default"/>
        <w:u w:val="none"/>
      </w:rPr>
    </w:lvl>
  </w:abstractNum>
  <w:abstractNum w:abstractNumId="1">
    <w:nsid w:val="08C945E0"/>
    <w:multiLevelType w:val="multilevel"/>
    <w:tmpl w:val="92D0B4EE"/>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0"/>
        </w:tabs>
        <w:ind w:left="7905" w:hanging="720"/>
      </w:pPr>
      <w:rPr>
        <w:rFonts w:hint="default"/>
      </w:rPr>
    </w:lvl>
    <w:lvl w:ilvl="7">
      <w:start w:val="1"/>
      <w:numFmt w:val="decimal"/>
      <w:lvlText w:val="%1.%2.%3.%4.%5.%6.%7.%8"/>
      <w:lvlJc w:val="left"/>
      <w:pPr>
        <w:tabs>
          <w:tab w:val="num" w:pos="0"/>
        </w:tabs>
        <w:ind w:left="8625" w:hanging="720"/>
      </w:pPr>
      <w:rPr>
        <w:rFonts w:hint="default"/>
        <w:u w:val="none"/>
      </w:rPr>
    </w:lvl>
    <w:lvl w:ilvl="8">
      <w:start w:val="1"/>
      <w:numFmt w:val="decimal"/>
      <w:lvlText w:val="%1.%2.%3.%4.%5.%6.%7.%8.%9"/>
      <w:lvlJc w:val="left"/>
      <w:pPr>
        <w:tabs>
          <w:tab w:val="num" w:pos="0"/>
        </w:tabs>
        <w:ind w:left="9345" w:hanging="720"/>
      </w:pPr>
      <w:rPr>
        <w:rFonts w:hint="default"/>
        <w:u w:val="none"/>
      </w:rPr>
    </w:lvl>
  </w:abstractNum>
  <w:abstractNum w:abstractNumId="2">
    <w:nsid w:val="0AF21A83"/>
    <w:multiLevelType w:val="hybridMultilevel"/>
    <w:tmpl w:val="17AEC6E4"/>
    <w:lvl w:ilvl="0" w:tplc="6AFA9900">
      <w:start w:val="1"/>
      <w:numFmt w:val="decimal"/>
      <w:pStyle w:val="ABLSched1noheading"/>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E7136BD"/>
    <w:multiLevelType w:val="multilevel"/>
    <w:tmpl w:val="A0A67E90"/>
    <w:lvl w:ilvl="0">
      <w:start w:val="4"/>
      <w:numFmt w:val="decimal"/>
      <w:pStyle w:val="ABLStandard1"/>
      <w:lvlText w:val="%1"/>
      <w:lvlJc w:val="left"/>
      <w:pPr>
        <w:tabs>
          <w:tab w:val="num" w:pos="720"/>
        </w:tabs>
        <w:ind w:left="720" w:hanging="720"/>
      </w:pPr>
      <w:rPr>
        <w:rFonts w:hint="default"/>
      </w:rPr>
    </w:lvl>
    <w:lvl w:ilvl="1">
      <w:start w:val="1"/>
      <w:numFmt w:val="decimal"/>
      <w:pStyle w:val="ABLStandard2"/>
      <w:lvlText w:val="%1.%2"/>
      <w:lvlJc w:val="left"/>
      <w:pPr>
        <w:tabs>
          <w:tab w:val="num" w:pos="720"/>
        </w:tabs>
        <w:ind w:left="720" w:hanging="720"/>
      </w:pPr>
      <w:rPr>
        <w:rFonts w:hint="default"/>
      </w:rPr>
    </w:lvl>
    <w:lvl w:ilvl="2">
      <w:start w:val="1"/>
      <w:numFmt w:val="lowerLetter"/>
      <w:pStyle w:val="ABLStandard3"/>
      <w:lvlText w:val="(%3)"/>
      <w:lvlJc w:val="left"/>
      <w:pPr>
        <w:tabs>
          <w:tab w:val="num" w:pos="1440"/>
        </w:tabs>
        <w:ind w:left="1440" w:hanging="720"/>
      </w:pPr>
      <w:rPr>
        <w:rFonts w:hint="default"/>
      </w:rPr>
    </w:lvl>
    <w:lvl w:ilvl="3">
      <w:start w:val="1"/>
      <w:numFmt w:val="lowerRoman"/>
      <w:pStyle w:val="ABLStandard4"/>
      <w:lvlText w:val="(%4)"/>
      <w:lvlJc w:val="left"/>
      <w:pPr>
        <w:tabs>
          <w:tab w:val="num" w:pos="2160"/>
        </w:tabs>
        <w:ind w:left="2160" w:hanging="720"/>
      </w:pPr>
      <w:rPr>
        <w:rFonts w:hint="default"/>
      </w:rPr>
    </w:lvl>
    <w:lvl w:ilvl="4">
      <w:start w:val="1"/>
      <w:numFmt w:val="upperLetter"/>
      <w:pStyle w:val="ABLStandard5"/>
      <w:lvlText w:val="(%5)"/>
      <w:lvlJc w:val="left"/>
      <w:pPr>
        <w:tabs>
          <w:tab w:val="num" w:pos="2880"/>
        </w:tabs>
        <w:ind w:left="2880" w:hanging="720"/>
      </w:pPr>
      <w:rPr>
        <w:rFonts w:hint="default"/>
      </w:rPr>
    </w:lvl>
    <w:lvl w:ilvl="5">
      <w:start w:val="1"/>
      <w:numFmt w:val="decimal"/>
      <w:pStyle w:val="ABLStandard6"/>
      <w:lvlText w:val="(%6)"/>
      <w:lvlJc w:val="left"/>
      <w:pPr>
        <w:tabs>
          <w:tab w:val="num" w:pos="3600"/>
        </w:tabs>
        <w:ind w:left="360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93D64D0"/>
    <w:multiLevelType w:val="multilevel"/>
    <w:tmpl w:val="BFC20120"/>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0"/>
        </w:tabs>
        <w:ind w:left="7905" w:hanging="720"/>
      </w:pPr>
      <w:rPr>
        <w:rFonts w:hint="default"/>
      </w:rPr>
    </w:lvl>
    <w:lvl w:ilvl="7">
      <w:start w:val="1"/>
      <w:numFmt w:val="decimal"/>
      <w:lvlText w:val="%1.%2.%3.%4.%5.%6.%7.%8"/>
      <w:lvlJc w:val="left"/>
      <w:pPr>
        <w:tabs>
          <w:tab w:val="num" w:pos="0"/>
        </w:tabs>
        <w:ind w:left="8625" w:hanging="720"/>
      </w:pPr>
      <w:rPr>
        <w:rFonts w:hint="default"/>
        <w:u w:val="none"/>
      </w:rPr>
    </w:lvl>
    <w:lvl w:ilvl="8">
      <w:start w:val="1"/>
      <w:numFmt w:val="decimal"/>
      <w:lvlText w:val="%1.%2.%3.%4.%5.%6.%7.%8.%9"/>
      <w:lvlJc w:val="left"/>
      <w:pPr>
        <w:tabs>
          <w:tab w:val="num" w:pos="0"/>
        </w:tabs>
        <w:ind w:left="9345" w:hanging="720"/>
      </w:pPr>
      <w:rPr>
        <w:rFonts w:hint="default"/>
        <w:u w:val="none"/>
      </w:rPr>
    </w:lvl>
  </w:abstractNum>
  <w:abstractNum w:abstractNumId="5">
    <w:nsid w:val="1A765FFA"/>
    <w:multiLevelType w:val="multilevel"/>
    <w:tmpl w:val="2954FB66"/>
    <w:lvl w:ilvl="0">
      <w:start w:val="1"/>
      <w:numFmt w:val="none"/>
      <w:pStyle w:val="ABLDef1"/>
      <w:lvlText w:val="%1"/>
      <w:lvlJc w:val="left"/>
      <w:pPr>
        <w:tabs>
          <w:tab w:val="num" w:pos="720"/>
        </w:tabs>
        <w:ind w:left="720" w:hanging="720"/>
      </w:pPr>
      <w:rPr>
        <w:rFonts w:hint="default"/>
        <w:b/>
        <w:i w:val="0"/>
      </w:rPr>
    </w:lvl>
    <w:lvl w:ilvl="1">
      <w:start w:val="1"/>
      <w:numFmt w:val="lowerLetter"/>
      <w:pStyle w:val="ABLDef2"/>
      <w:lvlText w:val="(%1%2)"/>
      <w:lvlJc w:val="left"/>
      <w:pPr>
        <w:tabs>
          <w:tab w:val="num" w:pos="1440"/>
        </w:tabs>
        <w:ind w:left="1440" w:hanging="720"/>
      </w:pPr>
      <w:rPr>
        <w:rFonts w:hint="default"/>
        <w:b w:val="0"/>
        <w:i w:val="0"/>
      </w:rPr>
    </w:lvl>
    <w:lvl w:ilvl="2">
      <w:start w:val="1"/>
      <w:numFmt w:val="lowerRoman"/>
      <w:pStyle w:val="ABLDef3"/>
      <w:lvlText w:val="(%3)"/>
      <w:lvlJc w:val="left"/>
      <w:pPr>
        <w:tabs>
          <w:tab w:val="num" w:pos="2160"/>
        </w:tabs>
        <w:ind w:left="2160" w:hanging="720"/>
      </w:pPr>
      <w:rPr>
        <w:rFonts w:hint="default"/>
      </w:rPr>
    </w:lvl>
    <w:lvl w:ilvl="3">
      <w:start w:val="1"/>
      <w:numFmt w:val="upperLetter"/>
      <w:pStyle w:val="ABLDef4"/>
      <w:lvlText w:val="(%4)"/>
      <w:lvlJc w:val="left"/>
      <w:pPr>
        <w:tabs>
          <w:tab w:val="num" w:pos="2880"/>
        </w:tabs>
        <w:ind w:left="288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A3B59AE"/>
    <w:multiLevelType w:val="multilevel"/>
    <w:tmpl w:val="92D0B4EE"/>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0"/>
        </w:tabs>
        <w:ind w:left="7905" w:hanging="720"/>
      </w:pPr>
      <w:rPr>
        <w:rFonts w:hint="default"/>
      </w:rPr>
    </w:lvl>
    <w:lvl w:ilvl="7">
      <w:start w:val="1"/>
      <w:numFmt w:val="decimal"/>
      <w:lvlText w:val="%1.%2.%3.%4.%5.%6.%7.%8"/>
      <w:lvlJc w:val="left"/>
      <w:pPr>
        <w:tabs>
          <w:tab w:val="num" w:pos="0"/>
        </w:tabs>
        <w:ind w:left="8625" w:hanging="720"/>
      </w:pPr>
      <w:rPr>
        <w:rFonts w:hint="default"/>
        <w:u w:val="none"/>
      </w:rPr>
    </w:lvl>
    <w:lvl w:ilvl="8">
      <w:start w:val="1"/>
      <w:numFmt w:val="decimal"/>
      <w:lvlText w:val="%1.%2.%3.%4.%5.%6.%7.%8.%9"/>
      <w:lvlJc w:val="left"/>
      <w:pPr>
        <w:tabs>
          <w:tab w:val="num" w:pos="0"/>
        </w:tabs>
        <w:ind w:left="9345" w:hanging="720"/>
      </w:pPr>
      <w:rPr>
        <w:rFonts w:hint="default"/>
        <w:u w:val="none"/>
      </w:rPr>
    </w:lvl>
  </w:abstractNum>
  <w:abstractNum w:abstractNumId="7">
    <w:nsid w:val="2CAE389B"/>
    <w:multiLevelType w:val="multilevel"/>
    <w:tmpl w:val="92D0B4EE"/>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0"/>
        </w:tabs>
        <w:ind w:left="7905" w:hanging="720"/>
      </w:pPr>
      <w:rPr>
        <w:rFonts w:hint="default"/>
      </w:rPr>
    </w:lvl>
    <w:lvl w:ilvl="7">
      <w:start w:val="1"/>
      <w:numFmt w:val="decimal"/>
      <w:lvlText w:val="%1.%2.%3.%4.%5.%6.%7.%8"/>
      <w:lvlJc w:val="left"/>
      <w:pPr>
        <w:tabs>
          <w:tab w:val="num" w:pos="0"/>
        </w:tabs>
        <w:ind w:left="8625" w:hanging="720"/>
      </w:pPr>
      <w:rPr>
        <w:rFonts w:hint="default"/>
        <w:u w:val="none"/>
      </w:rPr>
    </w:lvl>
    <w:lvl w:ilvl="8">
      <w:start w:val="1"/>
      <w:numFmt w:val="decimal"/>
      <w:lvlText w:val="%1.%2.%3.%4.%5.%6.%7.%8.%9"/>
      <w:lvlJc w:val="left"/>
      <w:pPr>
        <w:tabs>
          <w:tab w:val="num" w:pos="0"/>
        </w:tabs>
        <w:ind w:left="9345" w:hanging="720"/>
      </w:pPr>
      <w:rPr>
        <w:rFonts w:hint="default"/>
        <w:u w:val="none"/>
      </w:rPr>
    </w:lvl>
  </w:abstractNum>
  <w:abstractNum w:abstractNumId="8">
    <w:nsid w:val="2CB846D8"/>
    <w:multiLevelType w:val="hybridMultilevel"/>
    <w:tmpl w:val="40C414D8"/>
    <w:lvl w:ilvl="0" w:tplc="FDDC97F6">
      <w:start w:val="1"/>
      <w:numFmt w:val="bullet"/>
      <w:pStyle w:val="MarketingBullet2"/>
      <w:lvlText w:val=""/>
      <w:lvlJc w:val="left"/>
      <w:pPr>
        <w:ind w:left="720" w:hanging="360"/>
      </w:pPr>
      <w:rPr>
        <w:rFonts w:ascii="Symbol" w:hAnsi="Symbol" w:hint="default"/>
        <w:color w:val="B32B2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526EBF"/>
    <w:multiLevelType w:val="multilevel"/>
    <w:tmpl w:val="92D0B4EE"/>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0"/>
        </w:tabs>
        <w:ind w:left="7905" w:hanging="720"/>
      </w:pPr>
      <w:rPr>
        <w:rFonts w:hint="default"/>
      </w:rPr>
    </w:lvl>
    <w:lvl w:ilvl="7">
      <w:start w:val="1"/>
      <w:numFmt w:val="decimal"/>
      <w:lvlText w:val="%1.%2.%3.%4.%5.%6.%7.%8"/>
      <w:lvlJc w:val="left"/>
      <w:pPr>
        <w:tabs>
          <w:tab w:val="num" w:pos="0"/>
        </w:tabs>
        <w:ind w:left="8625" w:hanging="720"/>
      </w:pPr>
      <w:rPr>
        <w:rFonts w:hint="default"/>
        <w:u w:val="none"/>
      </w:rPr>
    </w:lvl>
    <w:lvl w:ilvl="8">
      <w:start w:val="1"/>
      <w:numFmt w:val="decimal"/>
      <w:lvlText w:val="%1.%2.%3.%4.%5.%6.%7.%8.%9"/>
      <w:lvlJc w:val="left"/>
      <w:pPr>
        <w:tabs>
          <w:tab w:val="num" w:pos="0"/>
        </w:tabs>
        <w:ind w:left="9345" w:hanging="720"/>
      </w:pPr>
      <w:rPr>
        <w:rFonts w:hint="default"/>
        <w:u w:val="none"/>
      </w:rPr>
    </w:lvl>
  </w:abstractNum>
  <w:abstractNum w:abstractNumId="10">
    <w:nsid w:val="2E855649"/>
    <w:multiLevelType w:val="multilevel"/>
    <w:tmpl w:val="9D1E13B2"/>
    <w:lvl w:ilvl="0">
      <w:start w:val="1"/>
      <w:numFmt w:val="lowerRoman"/>
      <w:pStyle w:val="ABLMinB1"/>
      <w:lvlText w:val="(%1)"/>
      <w:lvlJc w:val="left"/>
      <w:pPr>
        <w:tabs>
          <w:tab w:val="num" w:pos="720"/>
        </w:tabs>
        <w:ind w:left="720" w:hanging="720"/>
      </w:pPr>
      <w:rPr>
        <w:rFonts w:hint="default"/>
      </w:rPr>
    </w:lvl>
    <w:lvl w:ilvl="1">
      <w:start w:val="1"/>
      <w:numFmt w:val="upperLetter"/>
      <w:pStyle w:val="ABLMinB2"/>
      <w:lvlText w:val="(%2)"/>
      <w:lvlJc w:val="left"/>
      <w:pPr>
        <w:tabs>
          <w:tab w:val="num" w:pos="1440"/>
        </w:tabs>
        <w:ind w:left="1440" w:hanging="720"/>
      </w:pPr>
      <w:rPr>
        <w:rFonts w:hint="default"/>
      </w:rPr>
    </w:lvl>
    <w:lvl w:ilvl="2">
      <w:start w:val="1"/>
      <w:numFmt w:val="decimal"/>
      <w:pStyle w:val="ABLMinB3"/>
      <w:lvlText w:val="(%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09C7BEC"/>
    <w:multiLevelType w:val="multilevel"/>
    <w:tmpl w:val="921A84D6"/>
    <w:lvl w:ilvl="0">
      <w:start w:val="1"/>
      <w:numFmt w:val="lowerLetter"/>
      <w:pStyle w:val="ABLMinA1"/>
      <w:lvlText w:val="(%1)"/>
      <w:lvlJc w:val="left"/>
      <w:pPr>
        <w:tabs>
          <w:tab w:val="num" w:pos="2160"/>
        </w:tabs>
        <w:ind w:left="2160" w:hanging="720"/>
      </w:pPr>
      <w:rPr>
        <w:rFonts w:hint="default"/>
      </w:rPr>
    </w:lvl>
    <w:lvl w:ilvl="1">
      <w:start w:val="1"/>
      <w:numFmt w:val="lowerRoman"/>
      <w:pStyle w:val="ABLMinA2"/>
      <w:lvlText w:val="(%2)"/>
      <w:lvlJc w:val="left"/>
      <w:pPr>
        <w:tabs>
          <w:tab w:val="num" w:pos="2880"/>
        </w:tabs>
        <w:ind w:left="2880" w:hanging="720"/>
      </w:pPr>
      <w:rPr>
        <w:rFonts w:hint="default"/>
      </w:rPr>
    </w:lvl>
    <w:lvl w:ilvl="2">
      <w:start w:val="1"/>
      <w:numFmt w:val="upperLetter"/>
      <w:pStyle w:val="ABLMinA3"/>
      <w:lvlText w:val="(%3)"/>
      <w:lvlJc w:val="left"/>
      <w:pPr>
        <w:tabs>
          <w:tab w:val="num" w:pos="3600"/>
        </w:tabs>
        <w:ind w:left="3600" w:hanging="720"/>
      </w:pPr>
      <w:rPr>
        <w:rFonts w:hint="default"/>
      </w:rPr>
    </w:lvl>
    <w:lvl w:ilvl="3">
      <w:start w:val="1"/>
      <w:numFmt w:val="decimal"/>
      <w:pStyle w:val="ABLMinA4"/>
      <w:lvlText w:val="(%4)"/>
      <w:lvlJc w:val="left"/>
      <w:pPr>
        <w:tabs>
          <w:tab w:val="num" w:pos="4320"/>
        </w:tabs>
        <w:ind w:left="4320" w:hanging="72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68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760"/>
        </w:tabs>
        <w:ind w:left="5400" w:hanging="360"/>
      </w:pPr>
      <w:rPr>
        <w:rFonts w:hint="default"/>
      </w:rPr>
    </w:lvl>
  </w:abstractNum>
  <w:abstractNum w:abstractNumId="12">
    <w:nsid w:val="365F2325"/>
    <w:multiLevelType w:val="hybridMultilevel"/>
    <w:tmpl w:val="9BA6AC46"/>
    <w:lvl w:ilvl="0" w:tplc="53EC0DCC">
      <w:start w:val="1"/>
      <w:numFmt w:val="bullet"/>
      <w:pStyle w:val="MarketingBullet3"/>
      <w:lvlText w:val=""/>
      <w:lvlJc w:val="left"/>
      <w:pPr>
        <w:ind w:left="1074" w:hanging="360"/>
      </w:pPr>
      <w:rPr>
        <w:rFonts w:ascii="Wingdings" w:hAnsi="Wingdings" w:hint="default"/>
        <w:color w:val="B32B2E"/>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3">
    <w:nsid w:val="40DD201D"/>
    <w:multiLevelType w:val="multilevel"/>
    <w:tmpl w:val="BCFA6588"/>
    <w:lvl w:ilvl="0">
      <w:start w:val="1"/>
      <w:numFmt w:val="upperLetter"/>
      <w:pStyle w:val="ABLBack1"/>
      <w:lvlText w:val="%1"/>
      <w:lvlJc w:val="left"/>
      <w:pPr>
        <w:tabs>
          <w:tab w:val="num" w:pos="720"/>
        </w:tabs>
        <w:ind w:left="720" w:hanging="720"/>
      </w:pPr>
      <w:rPr>
        <w:rFonts w:hint="default"/>
        <w:b w:val="0"/>
        <w:i w:val="0"/>
      </w:rPr>
    </w:lvl>
    <w:lvl w:ilvl="1">
      <w:start w:val="1"/>
      <w:numFmt w:val="lowerLetter"/>
      <w:pStyle w:val="ABLBack2"/>
      <w:lvlText w:val="(%2)"/>
      <w:lvlJc w:val="left"/>
      <w:pPr>
        <w:tabs>
          <w:tab w:val="num" w:pos="1440"/>
        </w:tabs>
        <w:ind w:left="1440" w:hanging="720"/>
      </w:pPr>
      <w:rPr>
        <w:rFonts w:hint="default"/>
        <w:b w:val="0"/>
        <w:i w:val="0"/>
      </w:rPr>
    </w:lvl>
    <w:lvl w:ilvl="2">
      <w:start w:val="1"/>
      <w:numFmt w:val="lowerRoman"/>
      <w:pStyle w:val="ABLBack3"/>
      <w:lvlText w:val="(%3)"/>
      <w:lvlJc w:val="left"/>
      <w:pPr>
        <w:tabs>
          <w:tab w:val="num" w:pos="2160"/>
        </w:tabs>
        <w:ind w:left="216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36243D0"/>
    <w:multiLevelType w:val="hybridMultilevel"/>
    <w:tmpl w:val="8B9C43D8"/>
    <w:lvl w:ilvl="0" w:tplc="FE9E953C">
      <w:start w:val="1"/>
      <w:numFmt w:val="bullet"/>
      <w:pStyle w:val="MarketingBullet1"/>
      <w:lvlText w:val=""/>
      <w:lvlJc w:val="left"/>
      <w:pPr>
        <w:ind w:left="720" w:hanging="360"/>
      </w:pPr>
      <w:rPr>
        <w:rFonts w:ascii="Symbol" w:hAnsi="Symbol" w:hint="default"/>
        <w:color w:val="B32B2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45C532E"/>
    <w:multiLevelType w:val="hybridMultilevel"/>
    <w:tmpl w:val="D9043192"/>
    <w:lvl w:ilvl="0" w:tplc="1C6E0926">
      <w:start w:val="1"/>
      <w:numFmt w:val="bullet"/>
      <w:pStyle w:val="ABLMktBullet1"/>
      <w:lvlText w:val="&gt;"/>
      <w:lvlJc w:val="left"/>
      <w:pPr>
        <w:ind w:left="360" w:hanging="360"/>
      </w:pPr>
      <w:rPr>
        <w:rFonts w:ascii="Arial" w:hAnsi="Arial" w:hint="default"/>
        <w:b w:val="0"/>
        <w:i w:val="0"/>
        <w:color w:val="8000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27F1B2A"/>
    <w:multiLevelType w:val="hybridMultilevel"/>
    <w:tmpl w:val="7DD0270A"/>
    <w:lvl w:ilvl="0" w:tplc="B980085E">
      <w:start w:val="1"/>
      <w:numFmt w:val="bullet"/>
      <w:pStyle w:val="ABLMktBullet2"/>
      <w:lvlText w:val=""/>
      <w:lvlJc w:val="left"/>
      <w:pPr>
        <w:ind w:left="785" w:hanging="360"/>
      </w:pPr>
      <w:rPr>
        <w:rFonts w:ascii="Symbol" w:hAnsi="Symbol" w:hint="default"/>
        <w:b/>
        <w:i w:val="0"/>
        <w:color w:val="8000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63729B"/>
    <w:multiLevelType w:val="multilevel"/>
    <w:tmpl w:val="46BE49C0"/>
    <w:lvl w:ilvl="0">
      <w:start w:val="1"/>
      <w:numFmt w:val="bullet"/>
      <w:pStyle w:val="ABLBullet1"/>
      <w:lvlText w:val=""/>
      <w:lvlJc w:val="left"/>
      <w:pPr>
        <w:ind w:left="720" w:hanging="720"/>
      </w:pPr>
      <w:rPr>
        <w:rFonts w:ascii="Symbol" w:hAnsi="Symbol" w:hint="default"/>
      </w:rPr>
    </w:lvl>
    <w:lvl w:ilvl="1">
      <w:start w:val="1"/>
      <w:numFmt w:val="bullet"/>
      <w:pStyle w:val="ABLBullet2"/>
      <w:lvlText w:val=""/>
      <w:lvlJc w:val="left"/>
      <w:pPr>
        <w:ind w:left="1440" w:hanging="720"/>
      </w:pPr>
      <w:rPr>
        <w:rFonts w:ascii="Symbol" w:hAnsi="Symbol" w:hint="default"/>
      </w:rPr>
    </w:lvl>
    <w:lvl w:ilvl="2">
      <w:start w:val="1"/>
      <w:numFmt w:val="bullet"/>
      <w:pStyle w:val="ABLBullet3"/>
      <w:lvlText w:val=""/>
      <w:lvlJc w:val="left"/>
      <w:pPr>
        <w:ind w:left="2160" w:hanging="720"/>
      </w:pPr>
      <w:rPr>
        <w:rFonts w:ascii="Symbol" w:hAnsi="Symbol" w:hint="default"/>
      </w:rPr>
    </w:lvl>
    <w:lvl w:ilvl="3">
      <w:start w:val="1"/>
      <w:numFmt w:val="bullet"/>
      <w:pStyle w:val="ABLBullet4"/>
      <w:lvlText w:val=""/>
      <w:lvlJc w:val="left"/>
      <w:pPr>
        <w:ind w:left="2880" w:hanging="720"/>
      </w:pPr>
      <w:rPr>
        <w:rFonts w:ascii="Symbol" w:hAnsi="Symbol" w:hint="default"/>
      </w:rPr>
    </w:lvl>
    <w:lvl w:ilvl="4">
      <w:start w:val="1"/>
      <w:numFmt w:val="bullet"/>
      <w:pStyle w:val="ABLBullet5"/>
      <w:lvlText w:val=""/>
      <w:lvlJc w:val="left"/>
      <w:pPr>
        <w:ind w:left="3600" w:hanging="720"/>
      </w:pPr>
      <w:rPr>
        <w:rFonts w:ascii="Symbol" w:hAnsi="Symbol" w:hint="default"/>
      </w:rPr>
    </w:lvl>
    <w:lvl w:ilvl="5">
      <w:start w:val="1"/>
      <w:numFmt w:val="bullet"/>
      <w:pStyle w:val="ABLBullet6"/>
      <w:lvlText w:val=""/>
      <w:lvlJc w:val="left"/>
      <w:pPr>
        <w:ind w:left="4320" w:hanging="720"/>
      </w:pPr>
      <w:rPr>
        <w:rFonts w:ascii="Symbol" w:hAnsi="Symbol" w:hint="default"/>
      </w:rPr>
    </w:lvl>
    <w:lvl w:ilvl="6">
      <w:start w:val="1"/>
      <w:numFmt w:val="bullet"/>
      <w:lvlText w:val=""/>
      <w:lvlJc w:val="left"/>
      <w:pPr>
        <w:ind w:left="5040" w:hanging="720"/>
      </w:pPr>
      <w:rPr>
        <w:rFonts w:ascii="Symbol" w:hAnsi="Symbol" w:hint="default"/>
      </w:rPr>
    </w:lvl>
    <w:lvl w:ilvl="7">
      <w:start w:val="1"/>
      <w:numFmt w:val="bullet"/>
      <w:lvlText w:val=""/>
      <w:lvlJc w:val="left"/>
      <w:pPr>
        <w:ind w:left="5760" w:hanging="720"/>
      </w:pPr>
      <w:rPr>
        <w:rFonts w:ascii="Symbol" w:hAnsi="Symbol" w:hint="default"/>
      </w:rPr>
    </w:lvl>
    <w:lvl w:ilvl="8">
      <w:start w:val="1"/>
      <w:numFmt w:val="bullet"/>
      <w:lvlText w:val=""/>
      <w:lvlJc w:val="left"/>
      <w:pPr>
        <w:ind w:left="6480" w:hanging="720"/>
      </w:pPr>
      <w:rPr>
        <w:rFonts w:ascii="Symbol" w:hAnsi="Symbol" w:hint="default"/>
      </w:rPr>
    </w:lvl>
  </w:abstractNum>
  <w:abstractNum w:abstractNumId="18">
    <w:nsid w:val="5F2A257C"/>
    <w:multiLevelType w:val="multilevel"/>
    <w:tmpl w:val="BA68D03E"/>
    <w:lvl w:ilvl="0">
      <w:start w:val="1"/>
      <w:numFmt w:val="decimal"/>
      <w:pStyle w:val="ABLSched1"/>
      <w:lvlText w:val="%1"/>
      <w:lvlJc w:val="left"/>
      <w:pPr>
        <w:tabs>
          <w:tab w:val="num" w:pos="720"/>
        </w:tabs>
        <w:ind w:left="720" w:hanging="720"/>
      </w:pPr>
      <w:rPr>
        <w:rFonts w:hint="default"/>
        <w:b/>
        <w:i w:val="0"/>
      </w:rPr>
    </w:lvl>
    <w:lvl w:ilvl="1">
      <w:start w:val="1"/>
      <w:numFmt w:val="decimal"/>
      <w:pStyle w:val="ABLSched2noheading"/>
      <w:lvlText w:val="%1.%2"/>
      <w:lvlJc w:val="left"/>
      <w:pPr>
        <w:tabs>
          <w:tab w:val="num" w:pos="720"/>
        </w:tabs>
        <w:ind w:left="720" w:hanging="720"/>
      </w:pPr>
      <w:rPr>
        <w:rFonts w:hint="default"/>
        <w:b w:val="0"/>
        <w:i w:val="0"/>
      </w:rPr>
    </w:lvl>
    <w:lvl w:ilvl="2">
      <w:start w:val="1"/>
      <w:numFmt w:val="lowerLetter"/>
      <w:pStyle w:val="ABLSched3"/>
      <w:lvlText w:val="(%3)"/>
      <w:lvlJc w:val="left"/>
      <w:pPr>
        <w:tabs>
          <w:tab w:val="num" w:pos="1440"/>
        </w:tabs>
        <w:ind w:left="1440" w:hanging="720"/>
      </w:pPr>
      <w:rPr>
        <w:rFonts w:hint="default"/>
      </w:rPr>
    </w:lvl>
    <w:lvl w:ilvl="3">
      <w:start w:val="1"/>
      <w:numFmt w:val="lowerRoman"/>
      <w:pStyle w:val="ABLSched4"/>
      <w:lvlText w:val="(%4)"/>
      <w:lvlJc w:val="left"/>
      <w:pPr>
        <w:tabs>
          <w:tab w:val="num" w:pos="2160"/>
        </w:tabs>
        <w:ind w:left="2160" w:hanging="720"/>
      </w:pPr>
      <w:rPr>
        <w:rFonts w:hint="default"/>
      </w:rPr>
    </w:lvl>
    <w:lvl w:ilvl="4">
      <w:start w:val="1"/>
      <w:numFmt w:val="upperLetter"/>
      <w:pStyle w:val="ABLSched5"/>
      <w:lvlText w:val="(%5)"/>
      <w:lvlJc w:val="left"/>
      <w:pPr>
        <w:tabs>
          <w:tab w:val="num" w:pos="2880"/>
        </w:tabs>
        <w:ind w:left="2880" w:hanging="720"/>
      </w:pPr>
      <w:rPr>
        <w:rFonts w:hint="default"/>
      </w:rPr>
    </w:lvl>
    <w:lvl w:ilvl="5">
      <w:start w:val="1"/>
      <w:numFmt w:val="decimal"/>
      <w:pStyle w:val="ABLSched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633240CA"/>
    <w:multiLevelType w:val="multilevel"/>
    <w:tmpl w:val="E21CF726"/>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0"/>
        </w:tabs>
        <w:ind w:left="7905" w:hanging="720"/>
      </w:pPr>
      <w:rPr>
        <w:rFonts w:hint="default"/>
      </w:rPr>
    </w:lvl>
    <w:lvl w:ilvl="7">
      <w:start w:val="1"/>
      <w:numFmt w:val="decimal"/>
      <w:lvlText w:val="%1.%2.%3.%4.%5.%6.%7.%8"/>
      <w:lvlJc w:val="left"/>
      <w:pPr>
        <w:tabs>
          <w:tab w:val="num" w:pos="0"/>
        </w:tabs>
        <w:ind w:left="8625" w:hanging="720"/>
      </w:pPr>
      <w:rPr>
        <w:rFonts w:hint="default"/>
        <w:u w:val="none"/>
      </w:rPr>
    </w:lvl>
    <w:lvl w:ilvl="8">
      <w:start w:val="1"/>
      <w:numFmt w:val="decimal"/>
      <w:lvlText w:val="%1.%2.%3.%4.%5.%6.%7.%8.%9"/>
      <w:lvlJc w:val="left"/>
      <w:pPr>
        <w:tabs>
          <w:tab w:val="num" w:pos="0"/>
        </w:tabs>
        <w:ind w:left="9345" w:hanging="720"/>
      </w:pPr>
      <w:rPr>
        <w:rFonts w:hint="default"/>
        <w:u w:val="none"/>
      </w:rPr>
    </w:lvl>
  </w:abstractNum>
  <w:abstractNum w:abstractNumId="20">
    <w:nsid w:val="719F3A5A"/>
    <w:multiLevelType w:val="multilevel"/>
    <w:tmpl w:val="5D90DA04"/>
    <w:lvl w:ilvl="0">
      <w:start w:val="1"/>
      <w:numFmt w:val="decimal"/>
      <w:lvlRestart w:val="0"/>
      <w:pStyle w:val="Heading1"/>
      <w:isLgl/>
      <w:lvlText w:val="%1"/>
      <w:lvlJc w:val="left"/>
      <w:pPr>
        <w:tabs>
          <w:tab w:val="num" w:pos="850"/>
        </w:tabs>
        <w:ind w:left="850" w:hanging="850"/>
      </w:pPr>
    </w:lvl>
    <w:lvl w:ilvl="1">
      <w:start w:val="1"/>
      <w:numFmt w:val="decimal"/>
      <w:pStyle w:val="Heading2"/>
      <w:isLgl/>
      <w:lvlText w:val="%1.%2"/>
      <w:lvlJc w:val="left"/>
      <w:pPr>
        <w:tabs>
          <w:tab w:val="num" w:pos="1814"/>
        </w:tabs>
        <w:ind w:left="1814" w:hanging="964"/>
      </w:pPr>
    </w:lvl>
    <w:lvl w:ilvl="2">
      <w:start w:val="1"/>
      <w:numFmt w:val="decimal"/>
      <w:pStyle w:val="Heading3"/>
      <w:isLgl/>
      <w:lvlText w:val="%1.%2.%3"/>
      <w:lvlJc w:val="left"/>
      <w:pPr>
        <w:tabs>
          <w:tab w:val="num" w:pos="3005"/>
        </w:tabs>
        <w:ind w:left="3005" w:hanging="1191"/>
      </w:pPr>
    </w:lvl>
    <w:lvl w:ilvl="3">
      <w:start w:val="1"/>
      <w:numFmt w:val="decimal"/>
      <w:pStyle w:val="Heading4"/>
      <w:isLgl/>
      <w:lvlText w:val="%1.%2.%3.%4"/>
      <w:lvlJc w:val="left"/>
      <w:pPr>
        <w:tabs>
          <w:tab w:val="num" w:pos="4592"/>
        </w:tabs>
        <w:ind w:left="4592" w:hanging="1587"/>
      </w:pPr>
    </w:lvl>
    <w:lvl w:ilvl="4">
      <w:start w:val="1"/>
      <w:numFmt w:val="decimal"/>
      <w:pStyle w:val="Heading5"/>
      <w:isLgl/>
      <w:lvlText w:val="%1.%2.%3.%4.%5"/>
      <w:lvlJc w:val="left"/>
      <w:pPr>
        <w:tabs>
          <w:tab w:val="num" w:pos="6463"/>
        </w:tabs>
        <w:ind w:left="6463" w:hanging="1871"/>
      </w:pPr>
    </w:lvl>
    <w:lvl w:ilvl="5">
      <w:start w:val="1"/>
      <w:numFmt w:val="upperRoman"/>
      <w:lvlText w:val="%6"/>
      <w:lvlJc w:val="left"/>
      <w:pPr>
        <w:tabs>
          <w:tab w:val="num" w:pos="7183"/>
        </w:tabs>
        <w:ind w:left="7183" w:hanging="720"/>
      </w:pPr>
    </w:lvl>
    <w:lvl w:ilvl="6">
      <w:start w:val="1"/>
      <w:numFmt w:val="decimal"/>
      <w:lvlText w:val=".%7"/>
      <w:lvlJc w:val="left"/>
      <w:pPr>
        <w:tabs>
          <w:tab w:val="num" w:pos="0"/>
        </w:tabs>
        <w:ind w:left="7257" w:hanging="1588"/>
      </w:pPr>
    </w:lvl>
    <w:lvl w:ilvl="7">
      <w:start w:val="1"/>
      <w:numFmt w:val="decimal"/>
      <w:lvlText w:val=".%8"/>
      <w:lvlJc w:val="left"/>
      <w:pPr>
        <w:tabs>
          <w:tab w:val="num" w:pos="0"/>
        </w:tabs>
        <w:ind w:left="9071" w:hanging="1814"/>
      </w:pPr>
    </w:lvl>
    <w:lvl w:ilvl="8">
      <w:start w:val="1"/>
      <w:numFmt w:val="decimal"/>
      <w:lvlText w:val=".%9"/>
      <w:lvlJc w:val="left"/>
      <w:pPr>
        <w:tabs>
          <w:tab w:val="num" w:pos="0"/>
        </w:tabs>
        <w:ind w:left="11339" w:hanging="2268"/>
      </w:pPr>
    </w:lvl>
  </w:abstractNum>
  <w:num w:numId="1">
    <w:abstractNumId w:val="20"/>
  </w:num>
  <w:num w:numId="2">
    <w:abstractNumId w:val="13"/>
  </w:num>
  <w:num w:numId="3">
    <w:abstractNumId w:val="17"/>
  </w:num>
  <w:num w:numId="4">
    <w:abstractNumId w:val="5"/>
  </w:num>
  <w:num w:numId="5">
    <w:abstractNumId w:val="4"/>
  </w:num>
  <w:num w:numId="6">
    <w:abstractNumId w:val="19"/>
  </w:num>
  <w:num w:numId="7">
    <w:abstractNumId w:val="11"/>
  </w:num>
  <w:num w:numId="8">
    <w:abstractNumId w:val="10"/>
  </w:num>
  <w:num w:numId="9">
    <w:abstractNumId w:val="18"/>
  </w:num>
  <w:num w:numId="10">
    <w:abstractNumId w:val="3"/>
  </w:num>
  <w:num w:numId="11">
    <w:abstractNumId w:val="0"/>
  </w:num>
  <w:num w:numId="12">
    <w:abstractNumId w:val="9"/>
  </w:num>
  <w:num w:numId="13">
    <w:abstractNumId w:val="1"/>
  </w:num>
  <w:num w:numId="14">
    <w:abstractNumId w:val="7"/>
  </w:num>
  <w:num w:numId="15">
    <w:abstractNumId w:val="6"/>
  </w:num>
  <w:num w:numId="16">
    <w:abstractNumId w:val="15"/>
  </w:num>
  <w:num w:numId="17">
    <w:abstractNumId w:val="16"/>
  </w:num>
  <w:num w:numId="18">
    <w:abstractNumId w:val="15"/>
  </w:num>
  <w:num w:numId="19">
    <w:abstractNumId w:val="16"/>
  </w:num>
  <w:num w:numId="20">
    <w:abstractNumId w:val="15"/>
  </w:num>
  <w:num w:numId="21">
    <w:abstractNumId w:val="16"/>
  </w:num>
  <w:num w:numId="22">
    <w:abstractNumId w:val="15"/>
  </w:num>
  <w:num w:numId="23">
    <w:abstractNumId w:val="16"/>
  </w:num>
  <w:num w:numId="24">
    <w:abstractNumId w:val="15"/>
  </w:num>
  <w:num w:numId="25">
    <w:abstractNumId w:val="16"/>
  </w:num>
  <w:num w:numId="26">
    <w:abstractNumId w:val="16"/>
  </w:num>
  <w:num w:numId="27">
    <w:abstractNumId w:val="2"/>
  </w:num>
  <w:num w:numId="28">
    <w:abstractNumId w:val="14"/>
  </w:num>
  <w:num w:numId="29">
    <w:abstractNumId w:val="8"/>
  </w:num>
  <w:num w:numId="30">
    <w:abstractNumId w:val="12"/>
  </w:num>
  <w:num w:numId="31">
    <w:abstractNumId w:val="11"/>
  </w:num>
  <w:num w:numId="32">
    <w:abstractNumId w:val="11"/>
  </w:num>
  <w:num w:numId="33">
    <w:abstractNumId w:val="11"/>
  </w:num>
  <w:num w:numId="3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embedSystemFonts/>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DE"/>
    <w:rsid w:val="000060FC"/>
    <w:rsid w:val="000115C6"/>
    <w:rsid w:val="00011CC1"/>
    <w:rsid w:val="00011F40"/>
    <w:rsid w:val="00026D95"/>
    <w:rsid w:val="000665C4"/>
    <w:rsid w:val="0008280C"/>
    <w:rsid w:val="0008599E"/>
    <w:rsid w:val="000A0F15"/>
    <w:rsid w:val="000A6F0A"/>
    <w:rsid w:val="000D0DEA"/>
    <w:rsid w:val="000D4889"/>
    <w:rsid w:val="000F2E98"/>
    <w:rsid w:val="000F5776"/>
    <w:rsid w:val="000F79E9"/>
    <w:rsid w:val="00103D5F"/>
    <w:rsid w:val="00112A56"/>
    <w:rsid w:val="00122106"/>
    <w:rsid w:val="00127DED"/>
    <w:rsid w:val="00146369"/>
    <w:rsid w:val="00147F04"/>
    <w:rsid w:val="00151070"/>
    <w:rsid w:val="00153B7E"/>
    <w:rsid w:val="00155709"/>
    <w:rsid w:val="00161F27"/>
    <w:rsid w:val="00163F56"/>
    <w:rsid w:val="001845ED"/>
    <w:rsid w:val="001905DF"/>
    <w:rsid w:val="00194B6B"/>
    <w:rsid w:val="001A6B85"/>
    <w:rsid w:val="001D2EDB"/>
    <w:rsid w:val="001D57F4"/>
    <w:rsid w:val="001D62D7"/>
    <w:rsid w:val="001D7D17"/>
    <w:rsid w:val="001F11AC"/>
    <w:rsid w:val="001F210E"/>
    <w:rsid w:val="001F449C"/>
    <w:rsid w:val="00203F12"/>
    <w:rsid w:val="002052EC"/>
    <w:rsid w:val="002060CB"/>
    <w:rsid w:val="00207530"/>
    <w:rsid w:val="00214562"/>
    <w:rsid w:val="0024086A"/>
    <w:rsid w:val="0024301E"/>
    <w:rsid w:val="00257B48"/>
    <w:rsid w:val="002659F5"/>
    <w:rsid w:val="00267B6C"/>
    <w:rsid w:val="00272C5B"/>
    <w:rsid w:val="00275090"/>
    <w:rsid w:val="00291E92"/>
    <w:rsid w:val="00292C4A"/>
    <w:rsid w:val="002B6208"/>
    <w:rsid w:val="002B6D4D"/>
    <w:rsid w:val="002C5D8B"/>
    <w:rsid w:val="002D099B"/>
    <w:rsid w:val="002E70C8"/>
    <w:rsid w:val="002E7354"/>
    <w:rsid w:val="003012AC"/>
    <w:rsid w:val="003017AD"/>
    <w:rsid w:val="00314365"/>
    <w:rsid w:val="00315FDC"/>
    <w:rsid w:val="00321669"/>
    <w:rsid w:val="00332CC0"/>
    <w:rsid w:val="00333FF1"/>
    <w:rsid w:val="00335251"/>
    <w:rsid w:val="00337E33"/>
    <w:rsid w:val="003410B4"/>
    <w:rsid w:val="00345EF2"/>
    <w:rsid w:val="003601F5"/>
    <w:rsid w:val="00380BC1"/>
    <w:rsid w:val="003C73A6"/>
    <w:rsid w:val="003D22DB"/>
    <w:rsid w:val="003D7B61"/>
    <w:rsid w:val="003D7B7F"/>
    <w:rsid w:val="003E7B44"/>
    <w:rsid w:val="003F5482"/>
    <w:rsid w:val="0041173C"/>
    <w:rsid w:val="00426231"/>
    <w:rsid w:val="00431CDC"/>
    <w:rsid w:val="00457414"/>
    <w:rsid w:val="00460631"/>
    <w:rsid w:val="004667BB"/>
    <w:rsid w:val="004805E5"/>
    <w:rsid w:val="004824BF"/>
    <w:rsid w:val="004A55CB"/>
    <w:rsid w:val="004A6656"/>
    <w:rsid w:val="004B4185"/>
    <w:rsid w:val="004B7F4B"/>
    <w:rsid w:val="004C5F2A"/>
    <w:rsid w:val="004E3C1E"/>
    <w:rsid w:val="004F2AF6"/>
    <w:rsid w:val="00501B5E"/>
    <w:rsid w:val="005178D3"/>
    <w:rsid w:val="00525510"/>
    <w:rsid w:val="00535106"/>
    <w:rsid w:val="00555D85"/>
    <w:rsid w:val="00563E5E"/>
    <w:rsid w:val="00566979"/>
    <w:rsid w:val="005678D9"/>
    <w:rsid w:val="00570AA7"/>
    <w:rsid w:val="005715EF"/>
    <w:rsid w:val="00585788"/>
    <w:rsid w:val="00595B72"/>
    <w:rsid w:val="005A1DBB"/>
    <w:rsid w:val="005C116A"/>
    <w:rsid w:val="005C4CDF"/>
    <w:rsid w:val="005E0DC4"/>
    <w:rsid w:val="005F0AC9"/>
    <w:rsid w:val="005F6C3C"/>
    <w:rsid w:val="005F7A1E"/>
    <w:rsid w:val="006002B1"/>
    <w:rsid w:val="006005D3"/>
    <w:rsid w:val="00627D6A"/>
    <w:rsid w:val="00632D6D"/>
    <w:rsid w:val="006423EF"/>
    <w:rsid w:val="006475C5"/>
    <w:rsid w:val="00661D2B"/>
    <w:rsid w:val="006727B4"/>
    <w:rsid w:val="00674A99"/>
    <w:rsid w:val="00674CC5"/>
    <w:rsid w:val="00694DA5"/>
    <w:rsid w:val="006A06A6"/>
    <w:rsid w:val="006B7DEC"/>
    <w:rsid w:val="006D0574"/>
    <w:rsid w:val="006E0569"/>
    <w:rsid w:val="006E2C0D"/>
    <w:rsid w:val="006E3CDE"/>
    <w:rsid w:val="006E40D0"/>
    <w:rsid w:val="006F4B75"/>
    <w:rsid w:val="006F7ECD"/>
    <w:rsid w:val="00701E66"/>
    <w:rsid w:val="0070293F"/>
    <w:rsid w:val="00702F91"/>
    <w:rsid w:val="0072736D"/>
    <w:rsid w:val="007363B0"/>
    <w:rsid w:val="0073764E"/>
    <w:rsid w:val="00742E14"/>
    <w:rsid w:val="007524AA"/>
    <w:rsid w:val="00757737"/>
    <w:rsid w:val="007625C1"/>
    <w:rsid w:val="00771027"/>
    <w:rsid w:val="007721E8"/>
    <w:rsid w:val="007B24F9"/>
    <w:rsid w:val="007B474F"/>
    <w:rsid w:val="007D2416"/>
    <w:rsid w:val="007D66B6"/>
    <w:rsid w:val="007F734D"/>
    <w:rsid w:val="008006E5"/>
    <w:rsid w:val="00805B01"/>
    <w:rsid w:val="00807A00"/>
    <w:rsid w:val="008159CA"/>
    <w:rsid w:val="0083172B"/>
    <w:rsid w:val="00836EDE"/>
    <w:rsid w:val="0084148C"/>
    <w:rsid w:val="008456CB"/>
    <w:rsid w:val="00863ADE"/>
    <w:rsid w:val="00885654"/>
    <w:rsid w:val="008976BD"/>
    <w:rsid w:val="008A6B69"/>
    <w:rsid w:val="008C199E"/>
    <w:rsid w:val="008C6951"/>
    <w:rsid w:val="008D15C3"/>
    <w:rsid w:val="008D17E1"/>
    <w:rsid w:val="008D2DF3"/>
    <w:rsid w:val="008E1B56"/>
    <w:rsid w:val="008E3D9B"/>
    <w:rsid w:val="008E601C"/>
    <w:rsid w:val="008F05B0"/>
    <w:rsid w:val="008F1611"/>
    <w:rsid w:val="009030E0"/>
    <w:rsid w:val="00907CD6"/>
    <w:rsid w:val="009253DF"/>
    <w:rsid w:val="0092690C"/>
    <w:rsid w:val="00926AEF"/>
    <w:rsid w:val="009277F5"/>
    <w:rsid w:val="00932EBB"/>
    <w:rsid w:val="00950958"/>
    <w:rsid w:val="00956885"/>
    <w:rsid w:val="0098614A"/>
    <w:rsid w:val="00986E3C"/>
    <w:rsid w:val="009A72CB"/>
    <w:rsid w:val="009B1400"/>
    <w:rsid w:val="009C2E94"/>
    <w:rsid w:val="009D6D84"/>
    <w:rsid w:val="009E31E8"/>
    <w:rsid w:val="009E3970"/>
    <w:rsid w:val="009E5860"/>
    <w:rsid w:val="009E7EDD"/>
    <w:rsid w:val="009F4633"/>
    <w:rsid w:val="009F4FC1"/>
    <w:rsid w:val="009F6126"/>
    <w:rsid w:val="00A34606"/>
    <w:rsid w:val="00A34E16"/>
    <w:rsid w:val="00A4016F"/>
    <w:rsid w:val="00A41ED5"/>
    <w:rsid w:val="00A45302"/>
    <w:rsid w:val="00A53CB3"/>
    <w:rsid w:val="00A55822"/>
    <w:rsid w:val="00A5678A"/>
    <w:rsid w:val="00A62ABC"/>
    <w:rsid w:val="00A65516"/>
    <w:rsid w:val="00A72E6D"/>
    <w:rsid w:val="00A90DAC"/>
    <w:rsid w:val="00AA4FA1"/>
    <w:rsid w:val="00AB27CF"/>
    <w:rsid w:val="00AD3D35"/>
    <w:rsid w:val="00AE3CAD"/>
    <w:rsid w:val="00AF359D"/>
    <w:rsid w:val="00B01E32"/>
    <w:rsid w:val="00B120C6"/>
    <w:rsid w:val="00B1697A"/>
    <w:rsid w:val="00B30C5D"/>
    <w:rsid w:val="00B52D3C"/>
    <w:rsid w:val="00B52FD2"/>
    <w:rsid w:val="00B66559"/>
    <w:rsid w:val="00B66874"/>
    <w:rsid w:val="00B84461"/>
    <w:rsid w:val="00BA150E"/>
    <w:rsid w:val="00BA2E83"/>
    <w:rsid w:val="00BA3850"/>
    <w:rsid w:val="00BB035F"/>
    <w:rsid w:val="00BB0A52"/>
    <w:rsid w:val="00BB53CA"/>
    <w:rsid w:val="00BC3E1E"/>
    <w:rsid w:val="00BC68E4"/>
    <w:rsid w:val="00BC6DD5"/>
    <w:rsid w:val="00BC778F"/>
    <w:rsid w:val="00BD0B1C"/>
    <w:rsid w:val="00BE302F"/>
    <w:rsid w:val="00BF1442"/>
    <w:rsid w:val="00C01ED2"/>
    <w:rsid w:val="00C07045"/>
    <w:rsid w:val="00C07C3F"/>
    <w:rsid w:val="00C21C7E"/>
    <w:rsid w:val="00C22360"/>
    <w:rsid w:val="00C233DD"/>
    <w:rsid w:val="00C42DC1"/>
    <w:rsid w:val="00C50518"/>
    <w:rsid w:val="00C515B3"/>
    <w:rsid w:val="00C51996"/>
    <w:rsid w:val="00C638D0"/>
    <w:rsid w:val="00C65724"/>
    <w:rsid w:val="00C719A1"/>
    <w:rsid w:val="00C94577"/>
    <w:rsid w:val="00C96E49"/>
    <w:rsid w:val="00CA23EB"/>
    <w:rsid w:val="00CA6D5B"/>
    <w:rsid w:val="00CB1F94"/>
    <w:rsid w:val="00CB6B2A"/>
    <w:rsid w:val="00CB7E53"/>
    <w:rsid w:val="00CC2523"/>
    <w:rsid w:val="00CD1445"/>
    <w:rsid w:val="00CD5D06"/>
    <w:rsid w:val="00CE28E0"/>
    <w:rsid w:val="00D01E57"/>
    <w:rsid w:val="00D02273"/>
    <w:rsid w:val="00D05AB2"/>
    <w:rsid w:val="00D16FB8"/>
    <w:rsid w:val="00D268E7"/>
    <w:rsid w:val="00D338B6"/>
    <w:rsid w:val="00D46616"/>
    <w:rsid w:val="00D53634"/>
    <w:rsid w:val="00D53E12"/>
    <w:rsid w:val="00D7271E"/>
    <w:rsid w:val="00D775B8"/>
    <w:rsid w:val="00D84C67"/>
    <w:rsid w:val="00D91866"/>
    <w:rsid w:val="00DB51F1"/>
    <w:rsid w:val="00DD6F82"/>
    <w:rsid w:val="00DD7D83"/>
    <w:rsid w:val="00DE3429"/>
    <w:rsid w:val="00DE42B2"/>
    <w:rsid w:val="00DE4564"/>
    <w:rsid w:val="00DF61F9"/>
    <w:rsid w:val="00E007B3"/>
    <w:rsid w:val="00E03DE4"/>
    <w:rsid w:val="00E06BCA"/>
    <w:rsid w:val="00E10DA4"/>
    <w:rsid w:val="00E17BB9"/>
    <w:rsid w:val="00E32E53"/>
    <w:rsid w:val="00E3358E"/>
    <w:rsid w:val="00E43BC6"/>
    <w:rsid w:val="00E47979"/>
    <w:rsid w:val="00E61588"/>
    <w:rsid w:val="00E74B98"/>
    <w:rsid w:val="00E802EB"/>
    <w:rsid w:val="00E91942"/>
    <w:rsid w:val="00EA25A7"/>
    <w:rsid w:val="00EB34D5"/>
    <w:rsid w:val="00ED1903"/>
    <w:rsid w:val="00ED42A0"/>
    <w:rsid w:val="00EE1116"/>
    <w:rsid w:val="00EE2BCA"/>
    <w:rsid w:val="00EE7D86"/>
    <w:rsid w:val="00EF456D"/>
    <w:rsid w:val="00EF713B"/>
    <w:rsid w:val="00EF72DD"/>
    <w:rsid w:val="00EF7B4B"/>
    <w:rsid w:val="00F12C94"/>
    <w:rsid w:val="00F345A4"/>
    <w:rsid w:val="00F4566F"/>
    <w:rsid w:val="00F46587"/>
    <w:rsid w:val="00F56181"/>
    <w:rsid w:val="00F62A6A"/>
    <w:rsid w:val="00F74A59"/>
    <w:rsid w:val="00F74E0E"/>
    <w:rsid w:val="00F81E2C"/>
    <w:rsid w:val="00F86347"/>
    <w:rsid w:val="00F87906"/>
    <w:rsid w:val="00F929A8"/>
    <w:rsid w:val="00FB380D"/>
    <w:rsid w:val="00FC53C0"/>
    <w:rsid w:val="00FC7E0C"/>
    <w:rsid w:val="00FD3AB6"/>
    <w:rsid w:val="00FD5379"/>
    <w:rsid w:val="00FD6700"/>
    <w:rsid w:val="00FE3BAE"/>
    <w:rsid w:val="00FF03C6"/>
    <w:rsid w:val="00FF45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9B7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6EDE"/>
    <w:pPr>
      <w:spacing w:after="0" w:line="240" w:lineRule="auto"/>
      <w:jc w:val="both"/>
    </w:pPr>
    <w:rPr>
      <w:rFonts w:ascii="Arial" w:hAnsi="Arial" w:cs="Times New Roman"/>
      <w:sz w:val="21"/>
      <w:szCs w:val="24"/>
      <w:lang w:eastAsia="en-US"/>
    </w:rPr>
  </w:style>
  <w:style w:type="paragraph" w:styleId="Heading1">
    <w:name w:val="heading 1"/>
    <w:basedOn w:val="Normal"/>
    <w:next w:val="Normal"/>
    <w:qFormat/>
    <w:rsid w:val="00203F12"/>
    <w:pPr>
      <w:numPr>
        <w:numId w:val="1"/>
      </w:numPr>
      <w:spacing w:before="240"/>
      <w:outlineLvl w:val="0"/>
    </w:pPr>
    <w:rPr>
      <w:rFonts w:cs="Arial"/>
      <w:bCs/>
      <w:szCs w:val="32"/>
    </w:rPr>
  </w:style>
  <w:style w:type="paragraph" w:styleId="Heading2">
    <w:name w:val="heading 2"/>
    <w:basedOn w:val="Normal"/>
    <w:next w:val="Normal"/>
    <w:qFormat/>
    <w:rsid w:val="00203F12"/>
    <w:pPr>
      <w:numPr>
        <w:ilvl w:val="1"/>
        <w:numId w:val="1"/>
      </w:numPr>
      <w:spacing w:before="240"/>
      <w:outlineLvl w:val="1"/>
    </w:pPr>
    <w:rPr>
      <w:rFonts w:cs="Arial"/>
      <w:bCs/>
      <w:iCs/>
      <w:szCs w:val="28"/>
    </w:rPr>
  </w:style>
  <w:style w:type="paragraph" w:styleId="Heading3">
    <w:name w:val="heading 3"/>
    <w:basedOn w:val="Normal"/>
    <w:next w:val="Normal"/>
    <w:qFormat/>
    <w:rsid w:val="00203F12"/>
    <w:pPr>
      <w:numPr>
        <w:ilvl w:val="2"/>
        <w:numId w:val="1"/>
      </w:numPr>
      <w:spacing w:before="240"/>
      <w:outlineLvl w:val="2"/>
    </w:pPr>
    <w:rPr>
      <w:rFonts w:cs="Arial"/>
      <w:bCs/>
      <w:szCs w:val="26"/>
    </w:rPr>
  </w:style>
  <w:style w:type="paragraph" w:styleId="Heading4">
    <w:name w:val="heading 4"/>
    <w:basedOn w:val="Normal"/>
    <w:next w:val="Normal"/>
    <w:qFormat/>
    <w:rsid w:val="00203F12"/>
    <w:pPr>
      <w:numPr>
        <w:ilvl w:val="3"/>
        <w:numId w:val="1"/>
      </w:numPr>
      <w:spacing w:before="240"/>
      <w:outlineLvl w:val="3"/>
    </w:pPr>
    <w:rPr>
      <w:bCs/>
      <w:szCs w:val="28"/>
    </w:rPr>
  </w:style>
  <w:style w:type="paragraph" w:styleId="Heading5">
    <w:name w:val="heading 5"/>
    <w:basedOn w:val="Normal"/>
    <w:next w:val="Normal"/>
    <w:qFormat/>
    <w:rsid w:val="00203F12"/>
    <w:pPr>
      <w:numPr>
        <w:ilvl w:val="4"/>
        <w:numId w:val="1"/>
      </w:numPr>
      <w:spacing w:before="240"/>
      <w:outlineLvl w:val="4"/>
    </w:pPr>
    <w:rPr>
      <w:bCs/>
      <w:iCs/>
      <w:szCs w:val="26"/>
    </w:rPr>
  </w:style>
  <w:style w:type="paragraph" w:styleId="Heading6">
    <w:name w:val="heading 6"/>
    <w:basedOn w:val="Normal"/>
    <w:qFormat/>
    <w:rsid w:val="00203F12"/>
    <w:pPr>
      <w:outlineLvl w:val="5"/>
    </w:pPr>
    <w:rPr>
      <w:bCs/>
      <w:szCs w:val="22"/>
    </w:rPr>
  </w:style>
  <w:style w:type="paragraph" w:styleId="Heading7">
    <w:name w:val="heading 7"/>
    <w:basedOn w:val="Normal"/>
    <w:next w:val="Normal"/>
    <w:qFormat/>
    <w:rsid w:val="00203F12"/>
    <w:pPr>
      <w:outlineLvl w:val="6"/>
    </w:pPr>
  </w:style>
  <w:style w:type="paragraph" w:styleId="Heading8">
    <w:name w:val="heading 8"/>
    <w:basedOn w:val="Normal"/>
    <w:next w:val="Normal"/>
    <w:qFormat/>
    <w:rsid w:val="00203F12"/>
    <w:pPr>
      <w:outlineLvl w:val="7"/>
    </w:pPr>
    <w:rPr>
      <w:iCs/>
    </w:rPr>
  </w:style>
  <w:style w:type="paragraph" w:styleId="Heading9">
    <w:name w:val="heading 9"/>
    <w:basedOn w:val="Normal"/>
    <w:next w:val="Normal"/>
    <w:qFormat/>
    <w:rsid w:val="00203F12"/>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Normal">
    <w:name w:val="ABL Normal"/>
    <w:basedOn w:val="Normal"/>
    <w:rsid w:val="00203F12"/>
    <w:rPr>
      <w:rFonts w:cs="Arial"/>
      <w:szCs w:val="20"/>
    </w:rPr>
  </w:style>
  <w:style w:type="paragraph" w:customStyle="1" w:styleId="ABLSchedheading">
    <w:name w:val="ABL Sched (heading)"/>
    <w:basedOn w:val="ABLNormal"/>
    <w:next w:val="ABLNormal"/>
    <w:rsid w:val="00203F12"/>
    <w:pPr>
      <w:spacing w:before="120" w:after="120"/>
      <w:jc w:val="center"/>
      <w:outlineLvl w:val="8"/>
    </w:pPr>
    <w:rPr>
      <w:rFonts w:ascii="Arial Bold" w:hAnsi="Arial Bold"/>
      <w:b/>
      <w:caps/>
      <w:sz w:val="26"/>
    </w:rPr>
  </w:style>
  <w:style w:type="paragraph" w:customStyle="1" w:styleId="ABLAnnexheading">
    <w:name w:val="ABL Annex (heading)"/>
    <w:basedOn w:val="ABLSchedheading"/>
    <w:next w:val="ABLNormal"/>
    <w:rsid w:val="00203F12"/>
  </w:style>
  <w:style w:type="paragraph" w:customStyle="1" w:styleId="ABLBack1">
    <w:name w:val="ABL Back 1"/>
    <w:basedOn w:val="ABLNormal"/>
    <w:rsid w:val="00203F12"/>
    <w:pPr>
      <w:numPr>
        <w:numId w:val="2"/>
      </w:numPr>
      <w:spacing w:before="240" w:after="120"/>
    </w:pPr>
  </w:style>
  <w:style w:type="paragraph" w:customStyle="1" w:styleId="ABLBack2">
    <w:name w:val="ABL Back 2"/>
    <w:basedOn w:val="ABLNormal"/>
    <w:rsid w:val="00203F12"/>
    <w:pPr>
      <w:numPr>
        <w:ilvl w:val="1"/>
        <w:numId w:val="2"/>
      </w:numPr>
      <w:spacing w:before="120" w:after="120"/>
    </w:pPr>
  </w:style>
  <w:style w:type="paragraph" w:customStyle="1" w:styleId="ABLBack3">
    <w:name w:val="ABL Back 3"/>
    <w:basedOn w:val="ABLNormal"/>
    <w:rsid w:val="00203F12"/>
    <w:pPr>
      <w:numPr>
        <w:ilvl w:val="2"/>
        <w:numId w:val="2"/>
      </w:numPr>
      <w:spacing w:before="120" w:after="120"/>
    </w:pPr>
  </w:style>
  <w:style w:type="paragraph" w:customStyle="1" w:styleId="ABLBoilerplateHeading">
    <w:name w:val="ABL Boilerplate Heading"/>
    <w:basedOn w:val="ABLNormal"/>
    <w:rsid w:val="00203F12"/>
    <w:rPr>
      <w:rFonts w:ascii="Arial Bold" w:hAnsi="Arial Bold"/>
      <w:b/>
      <w:bCs/>
      <w:caps/>
      <w:sz w:val="24"/>
    </w:rPr>
  </w:style>
  <w:style w:type="paragraph" w:customStyle="1" w:styleId="ABLComment">
    <w:name w:val="ABL Comment"/>
    <w:basedOn w:val="ABLNormal"/>
    <w:next w:val="ABLNormal"/>
    <w:rsid w:val="00203F12"/>
    <w:rPr>
      <w:vanish/>
      <w:color w:val="0000FF"/>
    </w:rPr>
  </w:style>
  <w:style w:type="paragraph" w:customStyle="1" w:styleId="ABLDef1">
    <w:name w:val="ABL Def 1"/>
    <w:basedOn w:val="ABLNormal"/>
    <w:rsid w:val="00203F12"/>
    <w:pPr>
      <w:numPr>
        <w:numId w:val="4"/>
      </w:numPr>
      <w:spacing w:before="240" w:after="120"/>
      <w:ind w:firstLine="0"/>
    </w:pPr>
  </w:style>
  <w:style w:type="paragraph" w:customStyle="1" w:styleId="ABLDef2">
    <w:name w:val="ABL Def 2"/>
    <w:basedOn w:val="ABLNormal"/>
    <w:rsid w:val="00203F12"/>
    <w:pPr>
      <w:numPr>
        <w:ilvl w:val="1"/>
        <w:numId w:val="4"/>
      </w:numPr>
      <w:spacing w:before="120" w:after="120"/>
    </w:pPr>
  </w:style>
  <w:style w:type="paragraph" w:customStyle="1" w:styleId="ABLDef3">
    <w:name w:val="ABL Def 3"/>
    <w:basedOn w:val="ABLNormal"/>
    <w:rsid w:val="00203F12"/>
    <w:pPr>
      <w:numPr>
        <w:ilvl w:val="2"/>
        <w:numId w:val="4"/>
      </w:numPr>
      <w:spacing w:before="120" w:after="120"/>
    </w:pPr>
  </w:style>
  <w:style w:type="paragraph" w:customStyle="1" w:styleId="ABLDef4">
    <w:name w:val="ABL Def 4"/>
    <w:basedOn w:val="ABLNormal"/>
    <w:rsid w:val="00203F12"/>
    <w:pPr>
      <w:numPr>
        <w:ilvl w:val="3"/>
        <w:numId w:val="4"/>
      </w:numPr>
      <w:spacing w:before="120" w:after="120"/>
    </w:pPr>
  </w:style>
  <w:style w:type="paragraph" w:customStyle="1" w:styleId="ABLDocTitle">
    <w:name w:val="ABL Doc Title"/>
    <w:basedOn w:val="ABLNormal"/>
    <w:next w:val="ABLNormal"/>
    <w:rsid w:val="00203F12"/>
    <w:pPr>
      <w:spacing w:before="1080"/>
      <w:jc w:val="right"/>
    </w:pPr>
    <w:rPr>
      <w:b/>
      <w:sz w:val="30"/>
    </w:rPr>
  </w:style>
  <w:style w:type="paragraph" w:customStyle="1" w:styleId="ABLFooter">
    <w:name w:val="ABL Footer"/>
    <w:basedOn w:val="ABLNormal"/>
    <w:rsid w:val="00203F12"/>
    <w:pPr>
      <w:tabs>
        <w:tab w:val="right" w:pos="8222"/>
        <w:tab w:val="left" w:pos="8278"/>
        <w:tab w:val="left" w:pos="8392"/>
      </w:tabs>
    </w:pPr>
    <w:rPr>
      <w:sz w:val="14"/>
    </w:rPr>
  </w:style>
  <w:style w:type="paragraph" w:customStyle="1" w:styleId="ABLIndent">
    <w:name w:val="ABL Indent"/>
    <w:basedOn w:val="ABLNormal"/>
    <w:link w:val="ABLIndentChar"/>
    <w:rsid w:val="00203F12"/>
    <w:pPr>
      <w:spacing w:before="120" w:after="120"/>
      <w:ind w:left="720"/>
    </w:pPr>
  </w:style>
  <w:style w:type="paragraph" w:customStyle="1" w:styleId="ABLLevel1">
    <w:name w:val="ABL Level 1"/>
    <w:basedOn w:val="ABLNormal"/>
    <w:next w:val="ABLIndent"/>
    <w:rsid w:val="00203F12"/>
    <w:pPr>
      <w:keepNext/>
      <w:numPr>
        <w:numId w:val="11"/>
      </w:numPr>
      <w:pBdr>
        <w:bottom w:val="single" w:sz="4" w:space="1" w:color="auto"/>
      </w:pBdr>
      <w:spacing w:before="360" w:after="200"/>
      <w:outlineLvl w:val="0"/>
    </w:pPr>
    <w:rPr>
      <w:rFonts w:ascii="Arial Bold" w:hAnsi="Arial Bold"/>
      <w:b/>
      <w:bCs/>
      <w:sz w:val="26"/>
    </w:rPr>
  </w:style>
  <w:style w:type="paragraph" w:customStyle="1" w:styleId="ABLLevel2heading">
    <w:name w:val="ABL Level 2 (heading)"/>
    <w:basedOn w:val="ABLNormal"/>
    <w:next w:val="ABLIndent"/>
    <w:rsid w:val="00203F12"/>
    <w:pPr>
      <w:keepNext/>
      <w:numPr>
        <w:ilvl w:val="1"/>
        <w:numId w:val="11"/>
      </w:numPr>
      <w:spacing w:before="200" w:after="120"/>
      <w:outlineLvl w:val="1"/>
    </w:pPr>
    <w:rPr>
      <w:rFonts w:ascii="Arial Bold" w:hAnsi="Arial Bold"/>
      <w:b/>
      <w:bCs/>
    </w:rPr>
  </w:style>
  <w:style w:type="paragraph" w:customStyle="1" w:styleId="ABLLevel2noheading">
    <w:name w:val="ABL Level 2 (no heading)"/>
    <w:basedOn w:val="ABLLevel2heading"/>
    <w:rsid w:val="00203F12"/>
    <w:pPr>
      <w:keepNext w:val="0"/>
    </w:pPr>
    <w:rPr>
      <w:rFonts w:ascii="Arial" w:hAnsi="Arial"/>
      <w:b w:val="0"/>
      <w:bCs w:val="0"/>
    </w:rPr>
  </w:style>
  <w:style w:type="paragraph" w:customStyle="1" w:styleId="ABLLevel3">
    <w:name w:val="ABL Level 3"/>
    <w:basedOn w:val="ABLNormal"/>
    <w:link w:val="ABLLevel3Char"/>
    <w:rsid w:val="00203F12"/>
    <w:pPr>
      <w:numPr>
        <w:ilvl w:val="2"/>
        <w:numId w:val="11"/>
      </w:numPr>
      <w:spacing w:before="120" w:after="120"/>
      <w:outlineLvl w:val="2"/>
    </w:pPr>
  </w:style>
  <w:style w:type="paragraph" w:customStyle="1" w:styleId="ABLLevel4">
    <w:name w:val="ABL Level 4"/>
    <w:basedOn w:val="ABLNormal"/>
    <w:rsid w:val="00203F12"/>
    <w:pPr>
      <w:numPr>
        <w:ilvl w:val="3"/>
        <w:numId w:val="11"/>
      </w:numPr>
      <w:spacing w:before="120" w:after="120"/>
      <w:outlineLvl w:val="3"/>
    </w:pPr>
  </w:style>
  <w:style w:type="paragraph" w:customStyle="1" w:styleId="ABLLevel5">
    <w:name w:val="ABL Level 5"/>
    <w:basedOn w:val="ABLNormal"/>
    <w:rsid w:val="00203F12"/>
    <w:pPr>
      <w:numPr>
        <w:ilvl w:val="4"/>
        <w:numId w:val="11"/>
      </w:numPr>
      <w:spacing w:before="120" w:after="120"/>
      <w:outlineLvl w:val="4"/>
    </w:pPr>
  </w:style>
  <w:style w:type="paragraph" w:customStyle="1" w:styleId="ABLLevel6">
    <w:name w:val="ABL Level 6"/>
    <w:basedOn w:val="ABLNormal"/>
    <w:rsid w:val="00203F12"/>
    <w:pPr>
      <w:numPr>
        <w:ilvl w:val="5"/>
        <w:numId w:val="11"/>
      </w:numPr>
      <w:spacing w:before="120" w:after="120"/>
      <w:outlineLvl w:val="5"/>
    </w:pPr>
  </w:style>
  <w:style w:type="paragraph" w:customStyle="1" w:styleId="ABLMinA1">
    <w:name w:val="ABL MinA 1"/>
    <w:basedOn w:val="ABLNormal"/>
    <w:qFormat/>
    <w:rsid w:val="00203F12"/>
    <w:pPr>
      <w:numPr>
        <w:numId w:val="7"/>
      </w:numPr>
      <w:spacing w:before="240"/>
      <w:jc w:val="left"/>
      <w:outlineLvl w:val="0"/>
    </w:pPr>
    <w:rPr>
      <w:rFonts w:eastAsiaTheme="minorEastAsia"/>
      <w:lang w:bidi="en-US"/>
    </w:rPr>
  </w:style>
  <w:style w:type="paragraph" w:customStyle="1" w:styleId="ABLMinA2">
    <w:name w:val="ABL MinA 2"/>
    <w:basedOn w:val="ABLNormal"/>
    <w:qFormat/>
    <w:rsid w:val="00203F12"/>
    <w:pPr>
      <w:numPr>
        <w:ilvl w:val="1"/>
        <w:numId w:val="7"/>
      </w:numPr>
      <w:spacing w:before="240"/>
      <w:jc w:val="left"/>
    </w:pPr>
    <w:rPr>
      <w:rFonts w:eastAsiaTheme="minorEastAsia"/>
      <w:lang w:bidi="en-US"/>
    </w:rPr>
  </w:style>
  <w:style w:type="paragraph" w:customStyle="1" w:styleId="ABLMinA3">
    <w:name w:val="ABL MinA 3"/>
    <w:basedOn w:val="ABLNormal"/>
    <w:qFormat/>
    <w:rsid w:val="00203F12"/>
    <w:pPr>
      <w:numPr>
        <w:ilvl w:val="2"/>
        <w:numId w:val="7"/>
      </w:numPr>
      <w:spacing w:before="240"/>
      <w:jc w:val="left"/>
    </w:pPr>
    <w:rPr>
      <w:rFonts w:eastAsiaTheme="minorEastAsia"/>
      <w:lang w:bidi="en-US"/>
    </w:rPr>
  </w:style>
  <w:style w:type="paragraph" w:customStyle="1" w:styleId="ABLMinA4">
    <w:name w:val="ABL MinA 4"/>
    <w:basedOn w:val="ABLNormal"/>
    <w:qFormat/>
    <w:rsid w:val="00203F12"/>
    <w:pPr>
      <w:numPr>
        <w:ilvl w:val="3"/>
        <w:numId w:val="7"/>
      </w:numPr>
      <w:spacing w:before="240"/>
      <w:jc w:val="left"/>
      <w:outlineLvl w:val="3"/>
    </w:pPr>
    <w:rPr>
      <w:rFonts w:eastAsiaTheme="minorEastAsia"/>
      <w:lang w:bidi="en-US"/>
    </w:rPr>
  </w:style>
  <w:style w:type="paragraph" w:customStyle="1" w:styleId="ABLMinB1">
    <w:name w:val="ABL MinB 1"/>
    <w:basedOn w:val="ABLNormal"/>
    <w:qFormat/>
    <w:rsid w:val="00203F12"/>
    <w:pPr>
      <w:numPr>
        <w:numId w:val="8"/>
      </w:numPr>
      <w:spacing w:before="240"/>
      <w:jc w:val="left"/>
      <w:outlineLvl w:val="0"/>
    </w:pPr>
    <w:rPr>
      <w:rFonts w:eastAsiaTheme="minorEastAsia"/>
      <w:lang w:bidi="en-US"/>
    </w:rPr>
  </w:style>
  <w:style w:type="paragraph" w:customStyle="1" w:styleId="ABLMinB2">
    <w:name w:val="ABL MinB 2"/>
    <w:basedOn w:val="ABLNormal"/>
    <w:qFormat/>
    <w:rsid w:val="00203F12"/>
    <w:pPr>
      <w:numPr>
        <w:ilvl w:val="1"/>
        <w:numId w:val="8"/>
      </w:numPr>
      <w:spacing w:before="240"/>
      <w:jc w:val="left"/>
    </w:pPr>
    <w:rPr>
      <w:rFonts w:eastAsiaTheme="minorEastAsia"/>
      <w:lang w:bidi="en-US"/>
    </w:rPr>
  </w:style>
  <w:style w:type="paragraph" w:customStyle="1" w:styleId="ABLMinB3">
    <w:name w:val="ABL MinB 3"/>
    <w:basedOn w:val="ABLNormal"/>
    <w:qFormat/>
    <w:rsid w:val="00203F12"/>
    <w:pPr>
      <w:numPr>
        <w:ilvl w:val="2"/>
        <w:numId w:val="8"/>
      </w:numPr>
      <w:spacing w:before="240"/>
      <w:jc w:val="left"/>
      <w:outlineLvl w:val="2"/>
    </w:pPr>
    <w:rPr>
      <w:rFonts w:eastAsiaTheme="minorEastAsia"/>
      <w:lang w:bidi="en-US"/>
    </w:rPr>
  </w:style>
  <w:style w:type="paragraph" w:customStyle="1" w:styleId="ABLSched1">
    <w:name w:val="ABL Sched 1"/>
    <w:basedOn w:val="ABLNormal"/>
    <w:next w:val="ABLIndent"/>
    <w:rsid w:val="00203F12"/>
    <w:pPr>
      <w:keepNext/>
      <w:numPr>
        <w:numId w:val="9"/>
      </w:numPr>
      <w:pBdr>
        <w:bottom w:val="single" w:sz="4" w:space="1" w:color="auto"/>
      </w:pBdr>
      <w:spacing w:before="360" w:after="200"/>
      <w:outlineLvl w:val="1"/>
    </w:pPr>
    <w:rPr>
      <w:rFonts w:ascii="Arial Bold" w:hAnsi="Arial Bold"/>
      <w:b/>
      <w:sz w:val="26"/>
    </w:rPr>
  </w:style>
  <w:style w:type="paragraph" w:customStyle="1" w:styleId="ABLSched2noheading">
    <w:name w:val="ABL Sched 2 (no heading)"/>
    <w:basedOn w:val="ABLNormal"/>
    <w:rsid w:val="00203F12"/>
    <w:pPr>
      <w:numPr>
        <w:ilvl w:val="1"/>
        <w:numId w:val="9"/>
      </w:numPr>
      <w:spacing w:before="200" w:after="120"/>
    </w:pPr>
  </w:style>
  <w:style w:type="paragraph" w:customStyle="1" w:styleId="ABLSched2heading">
    <w:name w:val="ABL Sched 2 (heading)"/>
    <w:basedOn w:val="ABLSched2noheading"/>
    <w:next w:val="ABLIndent"/>
    <w:rsid w:val="00203F12"/>
    <w:pPr>
      <w:keepNext/>
    </w:pPr>
    <w:rPr>
      <w:rFonts w:ascii="Arial Bold" w:hAnsi="Arial Bold"/>
      <w:b/>
    </w:rPr>
  </w:style>
  <w:style w:type="paragraph" w:customStyle="1" w:styleId="ABLSched3">
    <w:name w:val="ABL Sched 3"/>
    <w:basedOn w:val="ABLNormal"/>
    <w:rsid w:val="00203F12"/>
    <w:pPr>
      <w:numPr>
        <w:ilvl w:val="2"/>
        <w:numId w:val="9"/>
      </w:numPr>
      <w:spacing w:before="120" w:after="120"/>
    </w:pPr>
  </w:style>
  <w:style w:type="paragraph" w:customStyle="1" w:styleId="ABLSched4">
    <w:name w:val="ABL Sched 4"/>
    <w:basedOn w:val="ABLNormal"/>
    <w:rsid w:val="00203F12"/>
    <w:pPr>
      <w:numPr>
        <w:ilvl w:val="3"/>
        <w:numId w:val="9"/>
      </w:numPr>
      <w:spacing w:before="120" w:after="120"/>
    </w:pPr>
  </w:style>
  <w:style w:type="paragraph" w:customStyle="1" w:styleId="ABLSched5">
    <w:name w:val="ABL Sched 5"/>
    <w:basedOn w:val="ABLNormal"/>
    <w:rsid w:val="00203F12"/>
    <w:pPr>
      <w:numPr>
        <w:ilvl w:val="4"/>
        <w:numId w:val="9"/>
      </w:numPr>
      <w:spacing w:before="120" w:after="120"/>
    </w:pPr>
  </w:style>
  <w:style w:type="paragraph" w:customStyle="1" w:styleId="ABLSched6">
    <w:name w:val="ABL Sched 6"/>
    <w:basedOn w:val="ABLNormal"/>
    <w:rsid w:val="00203F12"/>
    <w:pPr>
      <w:numPr>
        <w:ilvl w:val="5"/>
        <w:numId w:val="9"/>
      </w:numPr>
      <w:spacing w:before="120" w:after="120"/>
    </w:pPr>
  </w:style>
  <w:style w:type="paragraph" w:customStyle="1" w:styleId="ABLStandard1">
    <w:name w:val="ABL Standard 1"/>
    <w:basedOn w:val="ABLNormal"/>
    <w:next w:val="ABLIndent"/>
    <w:rsid w:val="00203F12"/>
    <w:pPr>
      <w:numPr>
        <w:numId w:val="10"/>
      </w:numPr>
      <w:spacing w:before="240"/>
      <w:outlineLvl w:val="0"/>
    </w:pPr>
  </w:style>
  <w:style w:type="paragraph" w:customStyle="1" w:styleId="ABLStandard2">
    <w:name w:val="ABL Standard 2"/>
    <w:basedOn w:val="ABLNormal"/>
    <w:next w:val="ABLIndent"/>
    <w:rsid w:val="00203F12"/>
    <w:pPr>
      <w:numPr>
        <w:ilvl w:val="1"/>
        <w:numId w:val="10"/>
      </w:numPr>
      <w:spacing w:before="240"/>
      <w:outlineLvl w:val="1"/>
    </w:pPr>
  </w:style>
  <w:style w:type="paragraph" w:customStyle="1" w:styleId="ABLStandard3">
    <w:name w:val="ABL Standard 3"/>
    <w:basedOn w:val="ABLNormal"/>
    <w:rsid w:val="00203F12"/>
    <w:pPr>
      <w:numPr>
        <w:ilvl w:val="2"/>
        <w:numId w:val="10"/>
      </w:numPr>
      <w:spacing w:before="240"/>
      <w:outlineLvl w:val="2"/>
    </w:pPr>
  </w:style>
  <w:style w:type="paragraph" w:customStyle="1" w:styleId="ABLStandard4">
    <w:name w:val="ABL Standard 4"/>
    <w:basedOn w:val="ABLNormal"/>
    <w:rsid w:val="00203F12"/>
    <w:pPr>
      <w:numPr>
        <w:ilvl w:val="3"/>
        <w:numId w:val="10"/>
      </w:numPr>
      <w:spacing w:before="240"/>
      <w:outlineLvl w:val="3"/>
    </w:pPr>
  </w:style>
  <w:style w:type="paragraph" w:customStyle="1" w:styleId="ABLStandard5">
    <w:name w:val="ABL Standard 5"/>
    <w:basedOn w:val="ABLNormal"/>
    <w:rsid w:val="00203F12"/>
    <w:pPr>
      <w:numPr>
        <w:ilvl w:val="4"/>
        <w:numId w:val="10"/>
      </w:numPr>
      <w:spacing w:before="240"/>
      <w:outlineLvl w:val="4"/>
    </w:pPr>
  </w:style>
  <w:style w:type="paragraph" w:customStyle="1" w:styleId="ABLStandard6">
    <w:name w:val="ABL Standard 6"/>
    <w:basedOn w:val="ABLNormal"/>
    <w:rsid w:val="00203F12"/>
    <w:pPr>
      <w:numPr>
        <w:ilvl w:val="5"/>
        <w:numId w:val="10"/>
      </w:numPr>
      <w:spacing w:before="240"/>
      <w:outlineLvl w:val="5"/>
    </w:pPr>
  </w:style>
  <w:style w:type="paragraph" w:styleId="BlockText">
    <w:name w:val="Block Text"/>
    <w:basedOn w:val="Normal"/>
    <w:rsid w:val="00203F12"/>
    <w:pPr>
      <w:spacing w:after="120"/>
      <w:ind w:left="1440" w:right="1440"/>
    </w:pPr>
  </w:style>
  <w:style w:type="paragraph" w:styleId="Caption">
    <w:name w:val="caption"/>
    <w:basedOn w:val="Normal"/>
    <w:next w:val="Normal"/>
    <w:qFormat/>
    <w:rsid w:val="00380BC1"/>
    <w:rPr>
      <w:bCs/>
      <w:szCs w:val="20"/>
    </w:rPr>
  </w:style>
  <w:style w:type="paragraph" w:styleId="EndnoteText">
    <w:name w:val="endnote text"/>
    <w:basedOn w:val="Normal"/>
    <w:semiHidden/>
    <w:rsid w:val="00203F12"/>
    <w:rPr>
      <w:sz w:val="18"/>
      <w:szCs w:val="20"/>
    </w:rPr>
  </w:style>
  <w:style w:type="paragraph" w:styleId="EnvelopeAddress">
    <w:name w:val="envelope address"/>
    <w:basedOn w:val="Normal"/>
    <w:rsid w:val="00203F12"/>
    <w:pPr>
      <w:framePr w:w="7921" w:h="2546" w:hRule="exact" w:hSpace="181" w:vSpace="181" w:wrap="around" w:hAnchor="page" w:xAlign="center" w:yAlign="bottom"/>
      <w:ind w:left="2880"/>
      <w:jc w:val="left"/>
    </w:pPr>
    <w:rPr>
      <w:rFonts w:cs="Arial"/>
      <w:sz w:val="22"/>
    </w:rPr>
  </w:style>
  <w:style w:type="paragraph" w:styleId="EnvelopeReturn">
    <w:name w:val="envelope return"/>
    <w:basedOn w:val="Normal"/>
    <w:rsid w:val="00203F12"/>
    <w:pPr>
      <w:framePr w:hSpace="181" w:vSpace="181" w:wrap="around" w:hAnchor="margin" w:x="1702" w:y="285"/>
      <w:jc w:val="left"/>
    </w:pPr>
    <w:rPr>
      <w:rFonts w:cs="Arial"/>
      <w:sz w:val="12"/>
      <w:szCs w:val="20"/>
    </w:rPr>
  </w:style>
  <w:style w:type="character" w:styleId="FollowedHyperlink">
    <w:name w:val="FollowedHyperlink"/>
    <w:basedOn w:val="DefaultParagraphFont"/>
    <w:rsid w:val="00380BC1"/>
    <w:rPr>
      <w:color w:val="800080"/>
      <w:u w:val="single"/>
    </w:rPr>
  </w:style>
  <w:style w:type="paragraph" w:styleId="Footer">
    <w:name w:val="footer"/>
    <w:basedOn w:val="Normal"/>
    <w:rsid w:val="00203F12"/>
    <w:pPr>
      <w:tabs>
        <w:tab w:val="center" w:pos="4536"/>
        <w:tab w:val="right" w:pos="9072"/>
      </w:tabs>
    </w:pPr>
    <w:rPr>
      <w:sz w:val="14"/>
    </w:rPr>
  </w:style>
  <w:style w:type="paragraph" w:styleId="FootnoteText">
    <w:name w:val="footnote text"/>
    <w:basedOn w:val="Normal"/>
    <w:semiHidden/>
    <w:rsid w:val="00203F12"/>
    <w:rPr>
      <w:sz w:val="18"/>
      <w:szCs w:val="20"/>
    </w:rPr>
  </w:style>
  <w:style w:type="paragraph" w:styleId="Header">
    <w:name w:val="header"/>
    <w:basedOn w:val="Normal"/>
    <w:rsid w:val="00203F12"/>
    <w:pPr>
      <w:tabs>
        <w:tab w:val="center" w:pos="4536"/>
        <w:tab w:val="right" w:pos="9072"/>
      </w:tabs>
    </w:pPr>
  </w:style>
  <w:style w:type="character" w:styleId="Hyperlink">
    <w:name w:val="Hyperlink"/>
    <w:basedOn w:val="DefaultParagraphFont"/>
    <w:rsid w:val="00203F12"/>
    <w:rPr>
      <w:color w:val="0000FF"/>
      <w:u w:val="single"/>
    </w:rPr>
  </w:style>
  <w:style w:type="paragraph" w:styleId="Index1">
    <w:name w:val="index 1"/>
    <w:basedOn w:val="Normal"/>
    <w:next w:val="Normal"/>
    <w:autoRedefine/>
    <w:semiHidden/>
    <w:rsid w:val="00203F12"/>
    <w:pPr>
      <w:ind w:left="210" w:hanging="210"/>
    </w:pPr>
  </w:style>
  <w:style w:type="paragraph" w:styleId="MacroText">
    <w:name w:val="macro"/>
    <w:semiHidden/>
    <w:rsid w:val="00203F1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hAnsi="Arial" w:cs="Times New Roman"/>
      <w:sz w:val="24"/>
      <w:szCs w:val="20"/>
      <w:lang w:eastAsia="en-US"/>
    </w:rPr>
  </w:style>
  <w:style w:type="character" w:styleId="PageNumber">
    <w:name w:val="page number"/>
    <w:basedOn w:val="DefaultParagraphFont"/>
    <w:rsid w:val="00203F12"/>
  </w:style>
  <w:style w:type="paragraph" w:styleId="TOC1">
    <w:name w:val="toc 1"/>
    <w:basedOn w:val="Normal"/>
    <w:next w:val="Normal"/>
    <w:uiPriority w:val="39"/>
    <w:rsid w:val="00203F12"/>
    <w:pPr>
      <w:tabs>
        <w:tab w:val="left" w:pos="720"/>
        <w:tab w:val="right" w:leader="dot" w:pos="9072"/>
      </w:tabs>
      <w:spacing w:before="80" w:after="40"/>
      <w:ind w:left="720" w:right="2268" w:hanging="720"/>
      <w:jc w:val="left"/>
    </w:pPr>
    <w:rPr>
      <w:rFonts w:ascii="Arial Bold" w:hAnsi="Arial Bold"/>
      <w:b/>
    </w:rPr>
  </w:style>
  <w:style w:type="paragraph" w:styleId="TOC2">
    <w:name w:val="toc 2"/>
    <w:basedOn w:val="Normal"/>
    <w:next w:val="Normal"/>
    <w:uiPriority w:val="39"/>
    <w:rsid w:val="00203F12"/>
    <w:pPr>
      <w:tabs>
        <w:tab w:val="left" w:pos="1440"/>
        <w:tab w:val="right" w:leader="dot" w:pos="9072"/>
      </w:tabs>
      <w:ind w:left="1440" w:right="2268" w:hanging="720"/>
      <w:jc w:val="left"/>
    </w:pPr>
    <w:rPr>
      <w:sz w:val="18"/>
    </w:rPr>
  </w:style>
  <w:style w:type="paragraph" w:styleId="TOC3">
    <w:name w:val="toc 3"/>
    <w:basedOn w:val="Normal"/>
    <w:next w:val="Normal"/>
    <w:semiHidden/>
    <w:rsid w:val="00203F12"/>
    <w:pPr>
      <w:tabs>
        <w:tab w:val="right" w:leader="dot" w:pos="9072"/>
      </w:tabs>
      <w:ind w:left="3005" w:right="851" w:hanging="1191"/>
    </w:pPr>
  </w:style>
  <w:style w:type="paragraph" w:styleId="TOC4">
    <w:name w:val="toc 4"/>
    <w:basedOn w:val="Normal"/>
    <w:next w:val="Normal"/>
    <w:semiHidden/>
    <w:rsid w:val="00203F12"/>
    <w:pPr>
      <w:tabs>
        <w:tab w:val="right" w:leader="dot" w:pos="9072"/>
      </w:tabs>
      <w:ind w:left="4593" w:right="851" w:hanging="1588"/>
    </w:pPr>
  </w:style>
  <w:style w:type="paragraph" w:styleId="TOC5">
    <w:name w:val="toc 5"/>
    <w:basedOn w:val="Normal"/>
    <w:next w:val="Normal"/>
    <w:semiHidden/>
    <w:rsid w:val="00203F12"/>
    <w:pPr>
      <w:tabs>
        <w:tab w:val="right" w:leader="dot" w:pos="9072"/>
      </w:tabs>
      <w:ind w:left="6464" w:right="851" w:hanging="1871"/>
    </w:pPr>
  </w:style>
  <w:style w:type="paragraph" w:styleId="TOC6">
    <w:name w:val="toc 6"/>
    <w:basedOn w:val="Normal"/>
    <w:next w:val="Normal"/>
    <w:semiHidden/>
    <w:rsid w:val="00203F12"/>
  </w:style>
  <w:style w:type="paragraph" w:styleId="TOC7">
    <w:name w:val="toc 7"/>
    <w:basedOn w:val="Normal"/>
    <w:next w:val="Normal"/>
    <w:semiHidden/>
    <w:rsid w:val="00203F12"/>
  </w:style>
  <w:style w:type="paragraph" w:styleId="TOC8">
    <w:name w:val="toc 8"/>
    <w:basedOn w:val="Normal"/>
    <w:next w:val="Normal"/>
    <w:semiHidden/>
    <w:rsid w:val="00203F12"/>
  </w:style>
  <w:style w:type="paragraph" w:styleId="TOC9">
    <w:name w:val="toc 9"/>
    <w:basedOn w:val="Normal"/>
    <w:next w:val="Normal"/>
    <w:uiPriority w:val="39"/>
    <w:rsid w:val="00203F12"/>
    <w:pPr>
      <w:tabs>
        <w:tab w:val="left" w:pos="720"/>
        <w:tab w:val="right" w:leader="dot" w:pos="9072"/>
      </w:tabs>
      <w:spacing w:before="240" w:after="40"/>
      <w:ind w:left="720"/>
      <w:jc w:val="left"/>
    </w:pPr>
    <w:rPr>
      <w:rFonts w:ascii="Arial Bold" w:hAnsi="Arial Bold"/>
      <w:b/>
      <w:caps/>
      <w:sz w:val="22"/>
    </w:rPr>
  </w:style>
  <w:style w:type="paragraph" w:customStyle="1" w:styleId="ABLBullet1">
    <w:name w:val="ABL Bullet 1"/>
    <w:basedOn w:val="ABLNormal"/>
    <w:qFormat/>
    <w:rsid w:val="00203F12"/>
    <w:pPr>
      <w:numPr>
        <w:numId w:val="3"/>
      </w:numPr>
      <w:spacing w:before="240"/>
    </w:pPr>
    <w:rPr>
      <w:rFonts w:eastAsiaTheme="minorEastAsia"/>
      <w:lang w:bidi="en-US"/>
    </w:rPr>
  </w:style>
  <w:style w:type="paragraph" w:customStyle="1" w:styleId="ABLBullet2">
    <w:name w:val="ABL Bullet 2"/>
    <w:basedOn w:val="ABLNormal"/>
    <w:qFormat/>
    <w:rsid w:val="00203F12"/>
    <w:pPr>
      <w:numPr>
        <w:ilvl w:val="1"/>
        <w:numId w:val="3"/>
      </w:numPr>
      <w:spacing w:before="240"/>
    </w:pPr>
    <w:rPr>
      <w:rFonts w:eastAsiaTheme="minorEastAsia"/>
      <w:lang w:bidi="en-US"/>
    </w:rPr>
  </w:style>
  <w:style w:type="paragraph" w:customStyle="1" w:styleId="ABLBullet3">
    <w:name w:val="ABL Bullet 3"/>
    <w:basedOn w:val="ABLNormal"/>
    <w:qFormat/>
    <w:rsid w:val="00203F12"/>
    <w:pPr>
      <w:numPr>
        <w:ilvl w:val="2"/>
        <w:numId w:val="3"/>
      </w:numPr>
      <w:spacing w:before="240"/>
    </w:pPr>
    <w:rPr>
      <w:rFonts w:eastAsiaTheme="minorEastAsia"/>
      <w:lang w:bidi="en-US"/>
    </w:rPr>
  </w:style>
  <w:style w:type="paragraph" w:customStyle="1" w:styleId="ABLBullet4">
    <w:name w:val="ABL Bullet 4"/>
    <w:basedOn w:val="ABLNormal"/>
    <w:qFormat/>
    <w:rsid w:val="00203F12"/>
    <w:pPr>
      <w:numPr>
        <w:ilvl w:val="3"/>
        <w:numId w:val="3"/>
      </w:numPr>
      <w:spacing w:before="240"/>
    </w:pPr>
    <w:rPr>
      <w:rFonts w:eastAsiaTheme="minorEastAsia"/>
      <w:lang w:bidi="en-US"/>
    </w:rPr>
  </w:style>
  <w:style w:type="paragraph" w:customStyle="1" w:styleId="ABLBullet5">
    <w:name w:val="ABL Bullet 5"/>
    <w:basedOn w:val="ABLNormal"/>
    <w:qFormat/>
    <w:rsid w:val="00203F12"/>
    <w:pPr>
      <w:numPr>
        <w:ilvl w:val="4"/>
        <w:numId w:val="3"/>
      </w:numPr>
      <w:spacing w:before="240"/>
    </w:pPr>
    <w:rPr>
      <w:rFonts w:eastAsiaTheme="minorEastAsia"/>
      <w:lang w:bidi="en-US"/>
    </w:rPr>
  </w:style>
  <w:style w:type="paragraph" w:customStyle="1" w:styleId="ABLBullet6">
    <w:name w:val="ABL Bullet 6"/>
    <w:basedOn w:val="ABLNormal"/>
    <w:qFormat/>
    <w:rsid w:val="00203F12"/>
    <w:pPr>
      <w:numPr>
        <w:ilvl w:val="5"/>
        <w:numId w:val="3"/>
      </w:numPr>
      <w:spacing w:before="240"/>
    </w:pPr>
    <w:rPr>
      <w:rFonts w:eastAsiaTheme="minorEastAsia"/>
      <w:lang w:bidi="en-US"/>
    </w:rPr>
  </w:style>
  <w:style w:type="character" w:customStyle="1" w:styleId="ABLLevel3Char">
    <w:name w:val="ABL Level 3 Char"/>
    <w:basedOn w:val="DefaultParagraphFont"/>
    <w:link w:val="ABLLevel3"/>
    <w:rsid w:val="00203F12"/>
    <w:rPr>
      <w:rFonts w:ascii="Arial" w:hAnsi="Arial" w:cs="Arial"/>
      <w:sz w:val="21"/>
      <w:szCs w:val="20"/>
      <w:lang w:eastAsia="en-US"/>
    </w:rPr>
  </w:style>
  <w:style w:type="character" w:customStyle="1" w:styleId="ABLIndentChar">
    <w:name w:val="ABL Indent Char"/>
    <w:basedOn w:val="DefaultParagraphFont"/>
    <w:link w:val="ABLIndent"/>
    <w:rsid w:val="00203F12"/>
    <w:rPr>
      <w:rFonts w:ascii="Arial" w:hAnsi="Arial" w:cs="Arial"/>
      <w:sz w:val="21"/>
      <w:szCs w:val="20"/>
      <w:lang w:eastAsia="en-US"/>
    </w:rPr>
  </w:style>
  <w:style w:type="paragraph" w:styleId="BalloonText">
    <w:name w:val="Balloon Text"/>
    <w:basedOn w:val="Normal"/>
    <w:link w:val="BalloonTextChar"/>
    <w:rsid w:val="00203F12"/>
    <w:rPr>
      <w:rFonts w:ascii="Tahoma" w:hAnsi="Tahoma" w:cs="Tahoma"/>
      <w:sz w:val="16"/>
      <w:szCs w:val="16"/>
    </w:rPr>
  </w:style>
  <w:style w:type="character" w:customStyle="1" w:styleId="BalloonTextChar">
    <w:name w:val="Balloon Text Char"/>
    <w:basedOn w:val="DefaultParagraphFont"/>
    <w:link w:val="BalloonText"/>
    <w:rsid w:val="00203F12"/>
    <w:rPr>
      <w:rFonts w:ascii="Tahoma" w:hAnsi="Tahoma" w:cs="Tahoma"/>
      <w:sz w:val="16"/>
      <w:szCs w:val="16"/>
      <w:lang w:eastAsia="en-US"/>
    </w:rPr>
  </w:style>
  <w:style w:type="paragraph" w:customStyle="1" w:styleId="ABLMkt1">
    <w:name w:val="ABL Mkt 1"/>
    <w:basedOn w:val="ABLNormal"/>
    <w:next w:val="ABLMkt2"/>
    <w:qFormat/>
    <w:rsid w:val="00335251"/>
    <w:pPr>
      <w:spacing w:before="220" w:after="1100"/>
    </w:pPr>
    <w:rPr>
      <w:rFonts w:ascii="Arial Bold" w:hAnsi="Arial Bold"/>
      <w:b/>
      <w:color w:val="800000"/>
      <w:sz w:val="32"/>
    </w:rPr>
  </w:style>
  <w:style w:type="paragraph" w:customStyle="1" w:styleId="ABLMkt2">
    <w:name w:val="ABL Mkt 2"/>
    <w:basedOn w:val="ABLNormal"/>
    <w:next w:val="ABLNormal"/>
    <w:qFormat/>
    <w:rsid w:val="00335251"/>
    <w:pPr>
      <w:pBdr>
        <w:bottom w:val="single" w:sz="4" w:space="1" w:color="800000"/>
      </w:pBdr>
      <w:spacing w:after="220"/>
    </w:pPr>
    <w:rPr>
      <w:rFonts w:ascii="Arial Bold" w:hAnsi="Arial Bold"/>
      <w:b/>
      <w:color w:val="800000"/>
      <w:sz w:val="22"/>
    </w:rPr>
  </w:style>
  <w:style w:type="paragraph" w:customStyle="1" w:styleId="ABLMkt3">
    <w:name w:val="ABL Mkt 3"/>
    <w:basedOn w:val="ABLNormal"/>
    <w:next w:val="ABLNormal"/>
    <w:qFormat/>
    <w:rsid w:val="00335251"/>
    <w:rPr>
      <w:rFonts w:ascii="Arial Bold" w:hAnsi="Arial Bold"/>
      <w:b/>
      <w:color w:val="800000"/>
      <w:sz w:val="22"/>
    </w:rPr>
  </w:style>
  <w:style w:type="paragraph" w:customStyle="1" w:styleId="ABLMkt4">
    <w:name w:val="ABL Mkt 4"/>
    <w:basedOn w:val="ABLNormal"/>
    <w:next w:val="ABLNormal"/>
    <w:qFormat/>
    <w:rsid w:val="00335251"/>
    <w:rPr>
      <w:rFonts w:ascii="Arial Bold" w:hAnsi="Arial Bold"/>
      <w:b/>
      <w:sz w:val="22"/>
    </w:rPr>
  </w:style>
  <w:style w:type="paragraph" w:customStyle="1" w:styleId="ABLMktBullet1">
    <w:name w:val="ABL Mkt Bullet 1"/>
    <w:basedOn w:val="ABLNormal"/>
    <w:autoRedefine/>
    <w:qFormat/>
    <w:rsid w:val="005C116A"/>
    <w:pPr>
      <w:numPr>
        <w:numId w:val="24"/>
      </w:numPr>
      <w:ind w:left="425" w:hanging="425"/>
      <w:outlineLvl w:val="0"/>
    </w:pPr>
  </w:style>
  <w:style w:type="paragraph" w:customStyle="1" w:styleId="ABLMktBullet2">
    <w:name w:val="ABL Mkt Bullet 2"/>
    <w:basedOn w:val="ABLNormal"/>
    <w:autoRedefine/>
    <w:qFormat/>
    <w:rsid w:val="005C116A"/>
    <w:pPr>
      <w:numPr>
        <w:numId w:val="26"/>
      </w:numPr>
      <w:ind w:left="850" w:hanging="425"/>
      <w:outlineLvl w:val="1"/>
    </w:pPr>
  </w:style>
  <w:style w:type="paragraph" w:customStyle="1" w:styleId="ABLSched1noheading">
    <w:name w:val="ABL Sched 1 (no heading)"/>
    <w:basedOn w:val="ABLStandard1"/>
    <w:qFormat/>
    <w:rsid w:val="00986E3C"/>
    <w:pPr>
      <w:numPr>
        <w:numId w:val="27"/>
      </w:numPr>
    </w:pPr>
  </w:style>
  <w:style w:type="paragraph" w:customStyle="1" w:styleId="MarketingBullet1">
    <w:name w:val="Marketing Bullet 1"/>
    <w:qFormat/>
    <w:rsid w:val="00B120C6"/>
    <w:pPr>
      <w:numPr>
        <w:numId w:val="28"/>
      </w:numPr>
      <w:spacing w:after="20" w:line="240" w:lineRule="auto"/>
      <w:ind w:left="357" w:hanging="357"/>
      <w:outlineLvl w:val="0"/>
    </w:pPr>
    <w:rPr>
      <w:rFonts w:ascii="Arial" w:hAnsi="Arial" w:cs="Arial"/>
      <w:sz w:val="21"/>
      <w:szCs w:val="20"/>
      <w:lang w:eastAsia="en-US"/>
    </w:rPr>
  </w:style>
  <w:style w:type="paragraph" w:customStyle="1" w:styleId="MarketingBullet2">
    <w:name w:val="Marketing Bullet 2"/>
    <w:basedOn w:val="ABLMktBullet1"/>
    <w:qFormat/>
    <w:rsid w:val="000D0DEA"/>
    <w:pPr>
      <w:numPr>
        <w:numId w:val="29"/>
      </w:numPr>
      <w:tabs>
        <w:tab w:val="left" w:pos="1843"/>
      </w:tabs>
      <w:spacing w:after="20"/>
    </w:pPr>
  </w:style>
  <w:style w:type="paragraph" w:customStyle="1" w:styleId="MarketingBullet3">
    <w:name w:val="Marketing Bullet 3"/>
    <w:basedOn w:val="MarketingBullet2"/>
    <w:qFormat/>
    <w:rsid w:val="000D0DEA"/>
    <w:pPr>
      <w:numPr>
        <w:numId w:val="30"/>
      </w:numPr>
    </w:pPr>
  </w:style>
  <w:style w:type="paragraph" w:customStyle="1" w:styleId="MarketingContactdetails">
    <w:name w:val="Marketing Contact details"/>
    <w:basedOn w:val="Normal"/>
    <w:qFormat/>
    <w:rsid w:val="000D0DEA"/>
    <w:pPr>
      <w:tabs>
        <w:tab w:val="left" w:pos="279"/>
      </w:tabs>
      <w:jc w:val="left"/>
    </w:pPr>
    <w:rPr>
      <w:rFonts w:cs="Arial"/>
      <w:sz w:val="18"/>
      <w:szCs w:val="18"/>
    </w:rPr>
  </w:style>
  <w:style w:type="paragraph" w:customStyle="1" w:styleId="MarketingContents">
    <w:name w:val="Marketing Contents"/>
    <w:basedOn w:val="Normal"/>
    <w:link w:val="MarketingContentsChar"/>
    <w:qFormat/>
    <w:rsid w:val="000D0DEA"/>
    <w:pPr>
      <w:spacing w:after="1200"/>
      <w:jc w:val="left"/>
    </w:pPr>
    <w:rPr>
      <w:rFonts w:cs="Arial"/>
      <w:color w:val="B32B2E"/>
      <w:sz w:val="40"/>
      <w:szCs w:val="40"/>
    </w:rPr>
  </w:style>
  <w:style w:type="character" w:customStyle="1" w:styleId="MarketingContentsChar">
    <w:name w:val="Marketing Contents Char"/>
    <w:basedOn w:val="DefaultParagraphFont"/>
    <w:link w:val="MarketingContents"/>
    <w:rsid w:val="000D0DEA"/>
    <w:rPr>
      <w:rFonts w:ascii="Arial" w:hAnsi="Arial" w:cs="Arial"/>
      <w:color w:val="B32B2E"/>
      <w:sz w:val="40"/>
      <w:szCs w:val="40"/>
      <w:lang w:eastAsia="en-US"/>
    </w:rPr>
  </w:style>
  <w:style w:type="paragraph" w:customStyle="1" w:styleId="MarketingContentshidden">
    <w:name w:val="Marketing Contents [hidden]"/>
    <w:basedOn w:val="Normal"/>
    <w:link w:val="MarketingContentshiddenChar"/>
    <w:qFormat/>
    <w:rsid w:val="000D0DEA"/>
    <w:pPr>
      <w:spacing w:after="1200"/>
      <w:jc w:val="left"/>
    </w:pPr>
    <w:rPr>
      <w:rFonts w:cs="Arial"/>
      <w:color w:val="B32B2E"/>
      <w:sz w:val="40"/>
      <w:szCs w:val="40"/>
    </w:rPr>
  </w:style>
  <w:style w:type="character" w:customStyle="1" w:styleId="MarketingContentshiddenChar">
    <w:name w:val="Marketing Contents [hidden] Char"/>
    <w:basedOn w:val="DefaultParagraphFont"/>
    <w:link w:val="MarketingContentshidden"/>
    <w:rsid w:val="000D0DEA"/>
    <w:rPr>
      <w:rFonts w:ascii="Arial" w:hAnsi="Arial" w:cs="Arial"/>
      <w:color w:val="B32B2E"/>
      <w:sz w:val="40"/>
      <w:szCs w:val="40"/>
      <w:lang w:eastAsia="en-US"/>
    </w:rPr>
  </w:style>
  <w:style w:type="paragraph" w:customStyle="1" w:styleId="MarketingCVName">
    <w:name w:val="Marketing CV Name"/>
    <w:basedOn w:val="Normal"/>
    <w:qFormat/>
    <w:rsid w:val="000D0DEA"/>
    <w:rPr>
      <w:rFonts w:cs="Arial"/>
      <w:b/>
      <w:color w:val="B32B2E"/>
      <w:sz w:val="22"/>
      <w:szCs w:val="22"/>
    </w:rPr>
  </w:style>
  <w:style w:type="paragraph" w:customStyle="1" w:styleId="MarketingCVQualifications">
    <w:name w:val="Marketing CV Qualifications"/>
    <w:basedOn w:val="Normal"/>
    <w:qFormat/>
    <w:rsid w:val="000D0DEA"/>
    <w:rPr>
      <w:rFonts w:cs="Arial"/>
      <w:sz w:val="18"/>
      <w:szCs w:val="18"/>
    </w:rPr>
  </w:style>
  <w:style w:type="paragraph" w:customStyle="1" w:styleId="MarketingCVSub-heading">
    <w:name w:val="Marketing CV Sub-heading"/>
    <w:basedOn w:val="MarketingCVName"/>
    <w:qFormat/>
    <w:rsid w:val="000D0DEA"/>
    <w:rPr>
      <w:sz w:val="21"/>
    </w:rPr>
  </w:style>
  <w:style w:type="paragraph" w:customStyle="1" w:styleId="MarketingCVTitle">
    <w:name w:val="Marketing CV Title"/>
    <w:basedOn w:val="Normal"/>
    <w:qFormat/>
    <w:rsid w:val="000D0DEA"/>
    <w:pPr>
      <w:pBdr>
        <w:bottom w:val="single" w:sz="4" w:space="1" w:color="auto"/>
      </w:pBdr>
    </w:pPr>
    <w:rPr>
      <w:rFonts w:cs="Arial"/>
      <w:b/>
      <w:color w:val="000000" w:themeColor="text1"/>
      <w:sz w:val="22"/>
      <w:szCs w:val="22"/>
    </w:rPr>
  </w:style>
  <w:style w:type="paragraph" w:customStyle="1" w:styleId="MarketingEvaluationCriteriatext">
    <w:name w:val="Marketing Evaluation Criteria text"/>
    <w:basedOn w:val="Normal"/>
    <w:qFormat/>
    <w:rsid w:val="000D0DEA"/>
    <w:rPr>
      <w:rFonts w:cs="Arial"/>
      <w:color w:val="595959" w:themeColor="text1" w:themeTint="A6"/>
      <w:szCs w:val="20"/>
    </w:rPr>
  </w:style>
  <w:style w:type="paragraph" w:customStyle="1" w:styleId="MarketingFrontPageHeading">
    <w:name w:val="Marketing Front Page Heading"/>
    <w:basedOn w:val="Normal"/>
    <w:qFormat/>
    <w:rsid w:val="000D0DEA"/>
    <w:pPr>
      <w:ind w:right="284"/>
      <w:jc w:val="right"/>
    </w:pPr>
    <w:rPr>
      <w:rFonts w:cs="Arial"/>
      <w:b/>
      <w:color w:val="B32B2E"/>
      <w:sz w:val="40"/>
      <w:szCs w:val="40"/>
      <w:lang w:eastAsia="en-AU"/>
    </w:rPr>
  </w:style>
  <w:style w:type="paragraph" w:customStyle="1" w:styleId="MarketingFrontPageSubheading">
    <w:name w:val="Marketing Front Page Subheading"/>
    <w:basedOn w:val="Normal"/>
    <w:qFormat/>
    <w:rsid w:val="000D0DEA"/>
    <w:pPr>
      <w:spacing w:before="3200"/>
      <w:ind w:right="284"/>
      <w:jc w:val="right"/>
    </w:pPr>
    <w:rPr>
      <w:rFonts w:cs="Arial"/>
      <w:b/>
      <w:color w:val="B32B2E"/>
      <w:sz w:val="28"/>
      <w:szCs w:val="28"/>
      <w:lang w:eastAsia="en-AU"/>
    </w:rPr>
  </w:style>
  <w:style w:type="paragraph" w:customStyle="1" w:styleId="MarketingHeadingLevel1">
    <w:name w:val="Marketing Heading Level 1"/>
    <w:basedOn w:val="Normal"/>
    <w:qFormat/>
    <w:rsid w:val="000D0DEA"/>
    <w:pPr>
      <w:spacing w:after="1200"/>
      <w:jc w:val="left"/>
    </w:pPr>
    <w:rPr>
      <w:rFonts w:cs="Arial"/>
      <w:color w:val="B32B2E"/>
      <w:sz w:val="40"/>
      <w:szCs w:val="40"/>
    </w:rPr>
  </w:style>
  <w:style w:type="paragraph" w:customStyle="1" w:styleId="MarketingHeadingLevel2">
    <w:name w:val="Marketing Heading Level 2"/>
    <w:basedOn w:val="Normal"/>
    <w:qFormat/>
    <w:rsid w:val="000D0DEA"/>
    <w:pPr>
      <w:pBdr>
        <w:bottom w:val="single" w:sz="4" w:space="1" w:color="auto"/>
      </w:pBdr>
    </w:pPr>
    <w:rPr>
      <w:rFonts w:cs="Arial"/>
      <w:b/>
      <w:color w:val="B32B2E"/>
      <w:sz w:val="22"/>
      <w:szCs w:val="21"/>
    </w:rPr>
  </w:style>
  <w:style w:type="paragraph" w:customStyle="1" w:styleId="MarketingHeadingLevel3">
    <w:name w:val="Marketing Heading Level 3"/>
    <w:basedOn w:val="Normal"/>
    <w:qFormat/>
    <w:rsid w:val="000D0DEA"/>
    <w:rPr>
      <w:rFonts w:cs="Arial"/>
      <w:b/>
      <w:color w:val="B32B2E"/>
      <w:szCs w:val="21"/>
    </w:rPr>
  </w:style>
  <w:style w:type="paragraph" w:customStyle="1" w:styleId="MarketingHeadingLevel4">
    <w:name w:val="Marketing Heading Level 4"/>
    <w:basedOn w:val="MarketingHeadingLevel3"/>
    <w:qFormat/>
    <w:rsid w:val="000D0DEA"/>
    <w:rPr>
      <w:color w:val="000000" w:themeColor="text1"/>
    </w:rPr>
  </w:style>
  <w:style w:type="paragraph" w:customStyle="1" w:styleId="MarketingHeadingLevel5">
    <w:name w:val="Marketing Heading Level 5"/>
    <w:basedOn w:val="MarketingHeadingLevel4"/>
    <w:qFormat/>
    <w:rsid w:val="000D0DEA"/>
    <w:rPr>
      <w:color w:val="7F7F7F" w:themeColor="text1" w:themeTint="80"/>
    </w:rPr>
  </w:style>
  <w:style w:type="paragraph" w:customStyle="1" w:styleId="MarketingTableHeading-white-leftjustified">
    <w:name w:val="Marketing Table Heading - white - left justified"/>
    <w:basedOn w:val="ABLNormal"/>
    <w:autoRedefine/>
    <w:qFormat/>
    <w:rsid w:val="000D0DEA"/>
    <w:pPr>
      <w:tabs>
        <w:tab w:val="left" w:pos="1560"/>
      </w:tabs>
      <w:spacing w:after="60"/>
      <w:jc w:val="left"/>
    </w:pPr>
    <w:rPr>
      <w:b/>
      <w:color w:val="FFFFFF" w:themeColor="background1"/>
      <w:szCs w:val="21"/>
    </w:rPr>
  </w:style>
  <w:style w:type="paragraph" w:customStyle="1" w:styleId="MarketingTableHeading-white-centred">
    <w:name w:val="Marketing Table Heading - white - centred"/>
    <w:basedOn w:val="MarketingTableHeading-white-leftjustified"/>
    <w:qFormat/>
    <w:rsid w:val="000D0DEA"/>
    <w:pPr>
      <w:jc w:val="center"/>
    </w:pPr>
  </w:style>
  <w:style w:type="paragraph" w:customStyle="1" w:styleId="MarketingTableHeading-black-centred">
    <w:name w:val="Marketing Table Heading - black - centred"/>
    <w:basedOn w:val="MarketingTableHeading-white-centred"/>
    <w:qFormat/>
    <w:rsid w:val="000D0DEA"/>
    <w:rPr>
      <w:color w:val="000000" w:themeColor="text1"/>
    </w:rPr>
  </w:style>
  <w:style w:type="paragraph" w:customStyle="1" w:styleId="MarketingTableHeading-black-leftjustified">
    <w:name w:val="Marketing Table Heading - black - left justified"/>
    <w:basedOn w:val="MarketingTableHeading-white-leftjustified"/>
    <w:qFormat/>
    <w:rsid w:val="000D0DEA"/>
    <w:rPr>
      <w:color w:val="000000" w:themeColor="text1"/>
    </w:rPr>
  </w:style>
  <w:style w:type="paragraph" w:customStyle="1" w:styleId="MarketingTableHeadings-white-Leftjustified">
    <w:name w:val="Marketing Table Headings -white - Left justified"/>
    <w:basedOn w:val="ABLNormal"/>
    <w:autoRedefine/>
    <w:qFormat/>
    <w:rsid w:val="000D0DEA"/>
    <w:pPr>
      <w:tabs>
        <w:tab w:val="left" w:pos="1560"/>
      </w:tabs>
      <w:spacing w:after="60"/>
      <w:jc w:val="left"/>
    </w:pPr>
    <w:rPr>
      <w:b/>
      <w:color w:val="FFFFFF" w:themeColor="background1"/>
      <w:szCs w:val="21"/>
    </w:rPr>
  </w:style>
  <w:style w:type="paragraph" w:customStyle="1" w:styleId="MarketingTableHeadings-black-Leftjustified">
    <w:name w:val="Marketing Table Headings - black - Left justified"/>
    <w:basedOn w:val="MarketingTableHeadings-white-Leftjustified"/>
    <w:qFormat/>
    <w:rsid w:val="000D0DEA"/>
    <w:rPr>
      <w:color w:val="000000" w:themeColor="text1"/>
    </w:rPr>
  </w:style>
  <w:style w:type="paragraph" w:customStyle="1" w:styleId="MarketingTableHeadings-white-Centred">
    <w:name w:val="Marketing Table Headings - white - Centred"/>
    <w:basedOn w:val="MarketingTableHeadings-white-Leftjustified"/>
    <w:qFormat/>
    <w:rsid w:val="000D0DEA"/>
    <w:pPr>
      <w:jc w:val="center"/>
    </w:pPr>
  </w:style>
  <w:style w:type="paragraph" w:customStyle="1" w:styleId="MarketingTableHeadings-black-Centred">
    <w:name w:val="Marketing Table Headings - black- Centred"/>
    <w:basedOn w:val="MarketingTableHeadings-white-Centred"/>
    <w:qFormat/>
    <w:rsid w:val="000D0DEA"/>
    <w:rPr>
      <w:color w:val="000000" w:themeColor="text1"/>
    </w:rPr>
  </w:style>
  <w:style w:type="paragraph" w:customStyle="1" w:styleId="MarketingTitledetails">
    <w:name w:val="Marketing Title details"/>
    <w:basedOn w:val="ABLNormal"/>
    <w:qFormat/>
    <w:rsid w:val="000D0DEA"/>
    <w:rPr>
      <w:sz w:val="20"/>
    </w:rPr>
  </w:style>
  <w:style w:type="table" w:styleId="TableGrid">
    <w:name w:val="Table Grid"/>
    <w:basedOn w:val="TableNormal"/>
    <w:rsid w:val="00836EDE"/>
    <w:pPr>
      <w:spacing w:after="0" w:line="240" w:lineRule="auto"/>
      <w:jc w:val="both"/>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D19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6EDE"/>
    <w:pPr>
      <w:spacing w:after="0" w:line="240" w:lineRule="auto"/>
      <w:jc w:val="both"/>
    </w:pPr>
    <w:rPr>
      <w:rFonts w:ascii="Arial" w:hAnsi="Arial" w:cs="Times New Roman"/>
      <w:sz w:val="21"/>
      <w:szCs w:val="24"/>
      <w:lang w:eastAsia="en-US"/>
    </w:rPr>
  </w:style>
  <w:style w:type="paragraph" w:styleId="Heading1">
    <w:name w:val="heading 1"/>
    <w:basedOn w:val="Normal"/>
    <w:next w:val="Normal"/>
    <w:qFormat/>
    <w:rsid w:val="00203F12"/>
    <w:pPr>
      <w:numPr>
        <w:numId w:val="1"/>
      </w:numPr>
      <w:spacing w:before="240"/>
      <w:outlineLvl w:val="0"/>
    </w:pPr>
    <w:rPr>
      <w:rFonts w:cs="Arial"/>
      <w:bCs/>
      <w:szCs w:val="32"/>
    </w:rPr>
  </w:style>
  <w:style w:type="paragraph" w:styleId="Heading2">
    <w:name w:val="heading 2"/>
    <w:basedOn w:val="Normal"/>
    <w:next w:val="Normal"/>
    <w:qFormat/>
    <w:rsid w:val="00203F12"/>
    <w:pPr>
      <w:numPr>
        <w:ilvl w:val="1"/>
        <w:numId w:val="1"/>
      </w:numPr>
      <w:spacing w:before="240"/>
      <w:outlineLvl w:val="1"/>
    </w:pPr>
    <w:rPr>
      <w:rFonts w:cs="Arial"/>
      <w:bCs/>
      <w:iCs/>
      <w:szCs w:val="28"/>
    </w:rPr>
  </w:style>
  <w:style w:type="paragraph" w:styleId="Heading3">
    <w:name w:val="heading 3"/>
    <w:basedOn w:val="Normal"/>
    <w:next w:val="Normal"/>
    <w:qFormat/>
    <w:rsid w:val="00203F12"/>
    <w:pPr>
      <w:numPr>
        <w:ilvl w:val="2"/>
        <w:numId w:val="1"/>
      </w:numPr>
      <w:spacing w:before="240"/>
      <w:outlineLvl w:val="2"/>
    </w:pPr>
    <w:rPr>
      <w:rFonts w:cs="Arial"/>
      <w:bCs/>
      <w:szCs w:val="26"/>
    </w:rPr>
  </w:style>
  <w:style w:type="paragraph" w:styleId="Heading4">
    <w:name w:val="heading 4"/>
    <w:basedOn w:val="Normal"/>
    <w:next w:val="Normal"/>
    <w:qFormat/>
    <w:rsid w:val="00203F12"/>
    <w:pPr>
      <w:numPr>
        <w:ilvl w:val="3"/>
        <w:numId w:val="1"/>
      </w:numPr>
      <w:spacing w:before="240"/>
      <w:outlineLvl w:val="3"/>
    </w:pPr>
    <w:rPr>
      <w:bCs/>
      <w:szCs w:val="28"/>
    </w:rPr>
  </w:style>
  <w:style w:type="paragraph" w:styleId="Heading5">
    <w:name w:val="heading 5"/>
    <w:basedOn w:val="Normal"/>
    <w:next w:val="Normal"/>
    <w:qFormat/>
    <w:rsid w:val="00203F12"/>
    <w:pPr>
      <w:numPr>
        <w:ilvl w:val="4"/>
        <w:numId w:val="1"/>
      </w:numPr>
      <w:spacing w:before="240"/>
      <w:outlineLvl w:val="4"/>
    </w:pPr>
    <w:rPr>
      <w:bCs/>
      <w:iCs/>
      <w:szCs w:val="26"/>
    </w:rPr>
  </w:style>
  <w:style w:type="paragraph" w:styleId="Heading6">
    <w:name w:val="heading 6"/>
    <w:basedOn w:val="Normal"/>
    <w:qFormat/>
    <w:rsid w:val="00203F12"/>
    <w:pPr>
      <w:outlineLvl w:val="5"/>
    </w:pPr>
    <w:rPr>
      <w:bCs/>
      <w:szCs w:val="22"/>
    </w:rPr>
  </w:style>
  <w:style w:type="paragraph" w:styleId="Heading7">
    <w:name w:val="heading 7"/>
    <w:basedOn w:val="Normal"/>
    <w:next w:val="Normal"/>
    <w:qFormat/>
    <w:rsid w:val="00203F12"/>
    <w:pPr>
      <w:outlineLvl w:val="6"/>
    </w:pPr>
  </w:style>
  <w:style w:type="paragraph" w:styleId="Heading8">
    <w:name w:val="heading 8"/>
    <w:basedOn w:val="Normal"/>
    <w:next w:val="Normal"/>
    <w:qFormat/>
    <w:rsid w:val="00203F12"/>
    <w:pPr>
      <w:outlineLvl w:val="7"/>
    </w:pPr>
    <w:rPr>
      <w:iCs/>
    </w:rPr>
  </w:style>
  <w:style w:type="paragraph" w:styleId="Heading9">
    <w:name w:val="heading 9"/>
    <w:basedOn w:val="Normal"/>
    <w:next w:val="Normal"/>
    <w:qFormat/>
    <w:rsid w:val="00203F12"/>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Normal">
    <w:name w:val="ABL Normal"/>
    <w:basedOn w:val="Normal"/>
    <w:rsid w:val="00203F12"/>
    <w:rPr>
      <w:rFonts w:cs="Arial"/>
      <w:szCs w:val="20"/>
    </w:rPr>
  </w:style>
  <w:style w:type="paragraph" w:customStyle="1" w:styleId="ABLSchedheading">
    <w:name w:val="ABL Sched (heading)"/>
    <w:basedOn w:val="ABLNormal"/>
    <w:next w:val="ABLNormal"/>
    <w:rsid w:val="00203F12"/>
    <w:pPr>
      <w:spacing w:before="120" w:after="120"/>
      <w:jc w:val="center"/>
      <w:outlineLvl w:val="8"/>
    </w:pPr>
    <w:rPr>
      <w:rFonts w:ascii="Arial Bold" w:hAnsi="Arial Bold"/>
      <w:b/>
      <w:caps/>
      <w:sz w:val="26"/>
    </w:rPr>
  </w:style>
  <w:style w:type="paragraph" w:customStyle="1" w:styleId="ABLAnnexheading">
    <w:name w:val="ABL Annex (heading)"/>
    <w:basedOn w:val="ABLSchedheading"/>
    <w:next w:val="ABLNormal"/>
    <w:rsid w:val="00203F12"/>
  </w:style>
  <w:style w:type="paragraph" w:customStyle="1" w:styleId="ABLBack1">
    <w:name w:val="ABL Back 1"/>
    <w:basedOn w:val="ABLNormal"/>
    <w:rsid w:val="00203F12"/>
    <w:pPr>
      <w:numPr>
        <w:numId w:val="2"/>
      </w:numPr>
      <w:spacing w:before="240" w:after="120"/>
    </w:pPr>
  </w:style>
  <w:style w:type="paragraph" w:customStyle="1" w:styleId="ABLBack2">
    <w:name w:val="ABL Back 2"/>
    <w:basedOn w:val="ABLNormal"/>
    <w:rsid w:val="00203F12"/>
    <w:pPr>
      <w:numPr>
        <w:ilvl w:val="1"/>
        <w:numId w:val="2"/>
      </w:numPr>
      <w:spacing w:before="120" w:after="120"/>
    </w:pPr>
  </w:style>
  <w:style w:type="paragraph" w:customStyle="1" w:styleId="ABLBack3">
    <w:name w:val="ABL Back 3"/>
    <w:basedOn w:val="ABLNormal"/>
    <w:rsid w:val="00203F12"/>
    <w:pPr>
      <w:numPr>
        <w:ilvl w:val="2"/>
        <w:numId w:val="2"/>
      </w:numPr>
      <w:spacing w:before="120" w:after="120"/>
    </w:pPr>
  </w:style>
  <w:style w:type="paragraph" w:customStyle="1" w:styleId="ABLBoilerplateHeading">
    <w:name w:val="ABL Boilerplate Heading"/>
    <w:basedOn w:val="ABLNormal"/>
    <w:rsid w:val="00203F12"/>
    <w:rPr>
      <w:rFonts w:ascii="Arial Bold" w:hAnsi="Arial Bold"/>
      <w:b/>
      <w:bCs/>
      <w:caps/>
      <w:sz w:val="24"/>
    </w:rPr>
  </w:style>
  <w:style w:type="paragraph" w:customStyle="1" w:styleId="ABLComment">
    <w:name w:val="ABL Comment"/>
    <w:basedOn w:val="ABLNormal"/>
    <w:next w:val="ABLNormal"/>
    <w:rsid w:val="00203F12"/>
    <w:rPr>
      <w:vanish/>
      <w:color w:val="0000FF"/>
    </w:rPr>
  </w:style>
  <w:style w:type="paragraph" w:customStyle="1" w:styleId="ABLDef1">
    <w:name w:val="ABL Def 1"/>
    <w:basedOn w:val="ABLNormal"/>
    <w:rsid w:val="00203F12"/>
    <w:pPr>
      <w:numPr>
        <w:numId w:val="4"/>
      </w:numPr>
      <w:spacing w:before="240" w:after="120"/>
      <w:ind w:firstLine="0"/>
    </w:pPr>
  </w:style>
  <w:style w:type="paragraph" w:customStyle="1" w:styleId="ABLDef2">
    <w:name w:val="ABL Def 2"/>
    <w:basedOn w:val="ABLNormal"/>
    <w:rsid w:val="00203F12"/>
    <w:pPr>
      <w:numPr>
        <w:ilvl w:val="1"/>
        <w:numId w:val="4"/>
      </w:numPr>
      <w:spacing w:before="120" w:after="120"/>
    </w:pPr>
  </w:style>
  <w:style w:type="paragraph" w:customStyle="1" w:styleId="ABLDef3">
    <w:name w:val="ABL Def 3"/>
    <w:basedOn w:val="ABLNormal"/>
    <w:rsid w:val="00203F12"/>
    <w:pPr>
      <w:numPr>
        <w:ilvl w:val="2"/>
        <w:numId w:val="4"/>
      </w:numPr>
      <w:spacing w:before="120" w:after="120"/>
    </w:pPr>
  </w:style>
  <w:style w:type="paragraph" w:customStyle="1" w:styleId="ABLDef4">
    <w:name w:val="ABL Def 4"/>
    <w:basedOn w:val="ABLNormal"/>
    <w:rsid w:val="00203F12"/>
    <w:pPr>
      <w:numPr>
        <w:ilvl w:val="3"/>
        <w:numId w:val="4"/>
      </w:numPr>
      <w:spacing w:before="120" w:after="120"/>
    </w:pPr>
  </w:style>
  <w:style w:type="paragraph" w:customStyle="1" w:styleId="ABLDocTitle">
    <w:name w:val="ABL Doc Title"/>
    <w:basedOn w:val="ABLNormal"/>
    <w:next w:val="ABLNormal"/>
    <w:rsid w:val="00203F12"/>
    <w:pPr>
      <w:spacing w:before="1080"/>
      <w:jc w:val="right"/>
    </w:pPr>
    <w:rPr>
      <w:b/>
      <w:sz w:val="30"/>
    </w:rPr>
  </w:style>
  <w:style w:type="paragraph" w:customStyle="1" w:styleId="ABLFooter">
    <w:name w:val="ABL Footer"/>
    <w:basedOn w:val="ABLNormal"/>
    <w:rsid w:val="00203F12"/>
    <w:pPr>
      <w:tabs>
        <w:tab w:val="right" w:pos="8222"/>
        <w:tab w:val="left" w:pos="8278"/>
        <w:tab w:val="left" w:pos="8392"/>
      </w:tabs>
    </w:pPr>
    <w:rPr>
      <w:sz w:val="14"/>
    </w:rPr>
  </w:style>
  <w:style w:type="paragraph" w:customStyle="1" w:styleId="ABLIndent">
    <w:name w:val="ABL Indent"/>
    <w:basedOn w:val="ABLNormal"/>
    <w:link w:val="ABLIndentChar"/>
    <w:rsid w:val="00203F12"/>
    <w:pPr>
      <w:spacing w:before="120" w:after="120"/>
      <w:ind w:left="720"/>
    </w:pPr>
  </w:style>
  <w:style w:type="paragraph" w:customStyle="1" w:styleId="ABLLevel1">
    <w:name w:val="ABL Level 1"/>
    <w:basedOn w:val="ABLNormal"/>
    <w:next w:val="ABLIndent"/>
    <w:rsid w:val="00203F12"/>
    <w:pPr>
      <w:keepNext/>
      <w:numPr>
        <w:numId w:val="11"/>
      </w:numPr>
      <w:pBdr>
        <w:bottom w:val="single" w:sz="4" w:space="1" w:color="auto"/>
      </w:pBdr>
      <w:spacing w:before="360" w:after="200"/>
      <w:outlineLvl w:val="0"/>
    </w:pPr>
    <w:rPr>
      <w:rFonts w:ascii="Arial Bold" w:hAnsi="Arial Bold"/>
      <w:b/>
      <w:bCs/>
      <w:sz w:val="26"/>
    </w:rPr>
  </w:style>
  <w:style w:type="paragraph" w:customStyle="1" w:styleId="ABLLevel2heading">
    <w:name w:val="ABL Level 2 (heading)"/>
    <w:basedOn w:val="ABLNormal"/>
    <w:next w:val="ABLIndent"/>
    <w:rsid w:val="00203F12"/>
    <w:pPr>
      <w:keepNext/>
      <w:numPr>
        <w:ilvl w:val="1"/>
        <w:numId w:val="11"/>
      </w:numPr>
      <w:spacing w:before="200" w:after="120"/>
      <w:outlineLvl w:val="1"/>
    </w:pPr>
    <w:rPr>
      <w:rFonts w:ascii="Arial Bold" w:hAnsi="Arial Bold"/>
      <w:b/>
      <w:bCs/>
    </w:rPr>
  </w:style>
  <w:style w:type="paragraph" w:customStyle="1" w:styleId="ABLLevel2noheading">
    <w:name w:val="ABL Level 2 (no heading)"/>
    <w:basedOn w:val="ABLLevel2heading"/>
    <w:rsid w:val="00203F12"/>
    <w:pPr>
      <w:keepNext w:val="0"/>
    </w:pPr>
    <w:rPr>
      <w:rFonts w:ascii="Arial" w:hAnsi="Arial"/>
      <w:b w:val="0"/>
      <w:bCs w:val="0"/>
    </w:rPr>
  </w:style>
  <w:style w:type="paragraph" w:customStyle="1" w:styleId="ABLLevel3">
    <w:name w:val="ABL Level 3"/>
    <w:basedOn w:val="ABLNormal"/>
    <w:link w:val="ABLLevel3Char"/>
    <w:rsid w:val="00203F12"/>
    <w:pPr>
      <w:numPr>
        <w:ilvl w:val="2"/>
        <w:numId w:val="11"/>
      </w:numPr>
      <w:spacing w:before="120" w:after="120"/>
      <w:outlineLvl w:val="2"/>
    </w:pPr>
  </w:style>
  <w:style w:type="paragraph" w:customStyle="1" w:styleId="ABLLevel4">
    <w:name w:val="ABL Level 4"/>
    <w:basedOn w:val="ABLNormal"/>
    <w:rsid w:val="00203F12"/>
    <w:pPr>
      <w:numPr>
        <w:ilvl w:val="3"/>
        <w:numId w:val="11"/>
      </w:numPr>
      <w:spacing w:before="120" w:after="120"/>
      <w:outlineLvl w:val="3"/>
    </w:pPr>
  </w:style>
  <w:style w:type="paragraph" w:customStyle="1" w:styleId="ABLLevel5">
    <w:name w:val="ABL Level 5"/>
    <w:basedOn w:val="ABLNormal"/>
    <w:rsid w:val="00203F12"/>
    <w:pPr>
      <w:numPr>
        <w:ilvl w:val="4"/>
        <w:numId w:val="11"/>
      </w:numPr>
      <w:spacing w:before="120" w:after="120"/>
      <w:outlineLvl w:val="4"/>
    </w:pPr>
  </w:style>
  <w:style w:type="paragraph" w:customStyle="1" w:styleId="ABLLevel6">
    <w:name w:val="ABL Level 6"/>
    <w:basedOn w:val="ABLNormal"/>
    <w:rsid w:val="00203F12"/>
    <w:pPr>
      <w:numPr>
        <w:ilvl w:val="5"/>
        <w:numId w:val="11"/>
      </w:numPr>
      <w:spacing w:before="120" w:after="120"/>
      <w:outlineLvl w:val="5"/>
    </w:pPr>
  </w:style>
  <w:style w:type="paragraph" w:customStyle="1" w:styleId="ABLMinA1">
    <w:name w:val="ABL MinA 1"/>
    <w:basedOn w:val="ABLNormal"/>
    <w:qFormat/>
    <w:rsid w:val="00203F12"/>
    <w:pPr>
      <w:numPr>
        <w:numId w:val="7"/>
      </w:numPr>
      <w:spacing w:before="240"/>
      <w:jc w:val="left"/>
      <w:outlineLvl w:val="0"/>
    </w:pPr>
    <w:rPr>
      <w:rFonts w:eastAsiaTheme="minorEastAsia"/>
      <w:lang w:bidi="en-US"/>
    </w:rPr>
  </w:style>
  <w:style w:type="paragraph" w:customStyle="1" w:styleId="ABLMinA2">
    <w:name w:val="ABL MinA 2"/>
    <w:basedOn w:val="ABLNormal"/>
    <w:qFormat/>
    <w:rsid w:val="00203F12"/>
    <w:pPr>
      <w:numPr>
        <w:ilvl w:val="1"/>
        <w:numId w:val="7"/>
      </w:numPr>
      <w:spacing w:before="240"/>
      <w:jc w:val="left"/>
    </w:pPr>
    <w:rPr>
      <w:rFonts w:eastAsiaTheme="minorEastAsia"/>
      <w:lang w:bidi="en-US"/>
    </w:rPr>
  </w:style>
  <w:style w:type="paragraph" w:customStyle="1" w:styleId="ABLMinA3">
    <w:name w:val="ABL MinA 3"/>
    <w:basedOn w:val="ABLNormal"/>
    <w:qFormat/>
    <w:rsid w:val="00203F12"/>
    <w:pPr>
      <w:numPr>
        <w:ilvl w:val="2"/>
        <w:numId w:val="7"/>
      </w:numPr>
      <w:spacing w:before="240"/>
      <w:jc w:val="left"/>
    </w:pPr>
    <w:rPr>
      <w:rFonts w:eastAsiaTheme="minorEastAsia"/>
      <w:lang w:bidi="en-US"/>
    </w:rPr>
  </w:style>
  <w:style w:type="paragraph" w:customStyle="1" w:styleId="ABLMinA4">
    <w:name w:val="ABL MinA 4"/>
    <w:basedOn w:val="ABLNormal"/>
    <w:qFormat/>
    <w:rsid w:val="00203F12"/>
    <w:pPr>
      <w:numPr>
        <w:ilvl w:val="3"/>
        <w:numId w:val="7"/>
      </w:numPr>
      <w:spacing w:before="240"/>
      <w:jc w:val="left"/>
      <w:outlineLvl w:val="3"/>
    </w:pPr>
    <w:rPr>
      <w:rFonts w:eastAsiaTheme="minorEastAsia"/>
      <w:lang w:bidi="en-US"/>
    </w:rPr>
  </w:style>
  <w:style w:type="paragraph" w:customStyle="1" w:styleId="ABLMinB1">
    <w:name w:val="ABL MinB 1"/>
    <w:basedOn w:val="ABLNormal"/>
    <w:qFormat/>
    <w:rsid w:val="00203F12"/>
    <w:pPr>
      <w:numPr>
        <w:numId w:val="8"/>
      </w:numPr>
      <w:spacing w:before="240"/>
      <w:jc w:val="left"/>
      <w:outlineLvl w:val="0"/>
    </w:pPr>
    <w:rPr>
      <w:rFonts w:eastAsiaTheme="minorEastAsia"/>
      <w:lang w:bidi="en-US"/>
    </w:rPr>
  </w:style>
  <w:style w:type="paragraph" w:customStyle="1" w:styleId="ABLMinB2">
    <w:name w:val="ABL MinB 2"/>
    <w:basedOn w:val="ABLNormal"/>
    <w:qFormat/>
    <w:rsid w:val="00203F12"/>
    <w:pPr>
      <w:numPr>
        <w:ilvl w:val="1"/>
        <w:numId w:val="8"/>
      </w:numPr>
      <w:spacing w:before="240"/>
      <w:jc w:val="left"/>
    </w:pPr>
    <w:rPr>
      <w:rFonts w:eastAsiaTheme="minorEastAsia"/>
      <w:lang w:bidi="en-US"/>
    </w:rPr>
  </w:style>
  <w:style w:type="paragraph" w:customStyle="1" w:styleId="ABLMinB3">
    <w:name w:val="ABL MinB 3"/>
    <w:basedOn w:val="ABLNormal"/>
    <w:qFormat/>
    <w:rsid w:val="00203F12"/>
    <w:pPr>
      <w:numPr>
        <w:ilvl w:val="2"/>
        <w:numId w:val="8"/>
      </w:numPr>
      <w:spacing w:before="240"/>
      <w:jc w:val="left"/>
      <w:outlineLvl w:val="2"/>
    </w:pPr>
    <w:rPr>
      <w:rFonts w:eastAsiaTheme="minorEastAsia"/>
      <w:lang w:bidi="en-US"/>
    </w:rPr>
  </w:style>
  <w:style w:type="paragraph" w:customStyle="1" w:styleId="ABLSched1">
    <w:name w:val="ABL Sched 1"/>
    <w:basedOn w:val="ABLNormal"/>
    <w:next w:val="ABLIndent"/>
    <w:rsid w:val="00203F12"/>
    <w:pPr>
      <w:keepNext/>
      <w:numPr>
        <w:numId w:val="9"/>
      </w:numPr>
      <w:pBdr>
        <w:bottom w:val="single" w:sz="4" w:space="1" w:color="auto"/>
      </w:pBdr>
      <w:spacing w:before="360" w:after="200"/>
      <w:outlineLvl w:val="1"/>
    </w:pPr>
    <w:rPr>
      <w:rFonts w:ascii="Arial Bold" w:hAnsi="Arial Bold"/>
      <w:b/>
      <w:sz w:val="26"/>
    </w:rPr>
  </w:style>
  <w:style w:type="paragraph" w:customStyle="1" w:styleId="ABLSched2noheading">
    <w:name w:val="ABL Sched 2 (no heading)"/>
    <w:basedOn w:val="ABLNormal"/>
    <w:rsid w:val="00203F12"/>
    <w:pPr>
      <w:numPr>
        <w:ilvl w:val="1"/>
        <w:numId w:val="9"/>
      </w:numPr>
      <w:spacing w:before="200" w:after="120"/>
    </w:pPr>
  </w:style>
  <w:style w:type="paragraph" w:customStyle="1" w:styleId="ABLSched2heading">
    <w:name w:val="ABL Sched 2 (heading)"/>
    <w:basedOn w:val="ABLSched2noheading"/>
    <w:next w:val="ABLIndent"/>
    <w:rsid w:val="00203F12"/>
    <w:pPr>
      <w:keepNext/>
    </w:pPr>
    <w:rPr>
      <w:rFonts w:ascii="Arial Bold" w:hAnsi="Arial Bold"/>
      <w:b/>
    </w:rPr>
  </w:style>
  <w:style w:type="paragraph" w:customStyle="1" w:styleId="ABLSched3">
    <w:name w:val="ABL Sched 3"/>
    <w:basedOn w:val="ABLNormal"/>
    <w:rsid w:val="00203F12"/>
    <w:pPr>
      <w:numPr>
        <w:ilvl w:val="2"/>
        <w:numId w:val="9"/>
      </w:numPr>
      <w:spacing w:before="120" w:after="120"/>
    </w:pPr>
  </w:style>
  <w:style w:type="paragraph" w:customStyle="1" w:styleId="ABLSched4">
    <w:name w:val="ABL Sched 4"/>
    <w:basedOn w:val="ABLNormal"/>
    <w:rsid w:val="00203F12"/>
    <w:pPr>
      <w:numPr>
        <w:ilvl w:val="3"/>
        <w:numId w:val="9"/>
      </w:numPr>
      <w:spacing w:before="120" w:after="120"/>
    </w:pPr>
  </w:style>
  <w:style w:type="paragraph" w:customStyle="1" w:styleId="ABLSched5">
    <w:name w:val="ABL Sched 5"/>
    <w:basedOn w:val="ABLNormal"/>
    <w:rsid w:val="00203F12"/>
    <w:pPr>
      <w:numPr>
        <w:ilvl w:val="4"/>
        <w:numId w:val="9"/>
      </w:numPr>
      <w:spacing w:before="120" w:after="120"/>
    </w:pPr>
  </w:style>
  <w:style w:type="paragraph" w:customStyle="1" w:styleId="ABLSched6">
    <w:name w:val="ABL Sched 6"/>
    <w:basedOn w:val="ABLNormal"/>
    <w:rsid w:val="00203F12"/>
    <w:pPr>
      <w:numPr>
        <w:ilvl w:val="5"/>
        <w:numId w:val="9"/>
      </w:numPr>
      <w:spacing w:before="120" w:after="120"/>
    </w:pPr>
  </w:style>
  <w:style w:type="paragraph" w:customStyle="1" w:styleId="ABLStandard1">
    <w:name w:val="ABL Standard 1"/>
    <w:basedOn w:val="ABLNormal"/>
    <w:next w:val="ABLIndent"/>
    <w:rsid w:val="00203F12"/>
    <w:pPr>
      <w:numPr>
        <w:numId w:val="10"/>
      </w:numPr>
      <w:spacing w:before="240"/>
      <w:outlineLvl w:val="0"/>
    </w:pPr>
  </w:style>
  <w:style w:type="paragraph" w:customStyle="1" w:styleId="ABLStandard2">
    <w:name w:val="ABL Standard 2"/>
    <w:basedOn w:val="ABLNormal"/>
    <w:next w:val="ABLIndent"/>
    <w:rsid w:val="00203F12"/>
    <w:pPr>
      <w:numPr>
        <w:ilvl w:val="1"/>
        <w:numId w:val="10"/>
      </w:numPr>
      <w:spacing w:before="240"/>
      <w:outlineLvl w:val="1"/>
    </w:pPr>
  </w:style>
  <w:style w:type="paragraph" w:customStyle="1" w:styleId="ABLStandard3">
    <w:name w:val="ABL Standard 3"/>
    <w:basedOn w:val="ABLNormal"/>
    <w:rsid w:val="00203F12"/>
    <w:pPr>
      <w:numPr>
        <w:ilvl w:val="2"/>
        <w:numId w:val="10"/>
      </w:numPr>
      <w:spacing w:before="240"/>
      <w:outlineLvl w:val="2"/>
    </w:pPr>
  </w:style>
  <w:style w:type="paragraph" w:customStyle="1" w:styleId="ABLStandard4">
    <w:name w:val="ABL Standard 4"/>
    <w:basedOn w:val="ABLNormal"/>
    <w:rsid w:val="00203F12"/>
    <w:pPr>
      <w:numPr>
        <w:ilvl w:val="3"/>
        <w:numId w:val="10"/>
      </w:numPr>
      <w:spacing w:before="240"/>
      <w:outlineLvl w:val="3"/>
    </w:pPr>
  </w:style>
  <w:style w:type="paragraph" w:customStyle="1" w:styleId="ABLStandard5">
    <w:name w:val="ABL Standard 5"/>
    <w:basedOn w:val="ABLNormal"/>
    <w:rsid w:val="00203F12"/>
    <w:pPr>
      <w:numPr>
        <w:ilvl w:val="4"/>
        <w:numId w:val="10"/>
      </w:numPr>
      <w:spacing w:before="240"/>
      <w:outlineLvl w:val="4"/>
    </w:pPr>
  </w:style>
  <w:style w:type="paragraph" w:customStyle="1" w:styleId="ABLStandard6">
    <w:name w:val="ABL Standard 6"/>
    <w:basedOn w:val="ABLNormal"/>
    <w:rsid w:val="00203F12"/>
    <w:pPr>
      <w:numPr>
        <w:ilvl w:val="5"/>
        <w:numId w:val="10"/>
      </w:numPr>
      <w:spacing w:before="240"/>
      <w:outlineLvl w:val="5"/>
    </w:pPr>
  </w:style>
  <w:style w:type="paragraph" w:styleId="BlockText">
    <w:name w:val="Block Text"/>
    <w:basedOn w:val="Normal"/>
    <w:rsid w:val="00203F12"/>
    <w:pPr>
      <w:spacing w:after="120"/>
      <w:ind w:left="1440" w:right="1440"/>
    </w:pPr>
  </w:style>
  <w:style w:type="paragraph" w:styleId="Caption">
    <w:name w:val="caption"/>
    <w:basedOn w:val="Normal"/>
    <w:next w:val="Normal"/>
    <w:qFormat/>
    <w:rsid w:val="00380BC1"/>
    <w:rPr>
      <w:bCs/>
      <w:szCs w:val="20"/>
    </w:rPr>
  </w:style>
  <w:style w:type="paragraph" w:styleId="EndnoteText">
    <w:name w:val="endnote text"/>
    <w:basedOn w:val="Normal"/>
    <w:semiHidden/>
    <w:rsid w:val="00203F12"/>
    <w:rPr>
      <w:sz w:val="18"/>
      <w:szCs w:val="20"/>
    </w:rPr>
  </w:style>
  <w:style w:type="paragraph" w:styleId="EnvelopeAddress">
    <w:name w:val="envelope address"/>
    <w:basedOn w:val="Normal"/>
    <w:rsid w:val="00203F12"/>
    <w:pPr>
      <w:framePr w:w="7921" w:h="2546" w:hRule="exact" w:hSpace="181" w:vSpace="181" w:wrap="around" w:hAnchor="page" w:xAlign="center" w:yAlign="bottom"/>
      <w:ind w:left="2880"/>
      <w:jc w:val="left"/>
    </w:pPr>
    <w:rPr>
      <w:rFonts w:cs="Arial"/>
      <w:sz w:val="22"/>
    </w:rPr>
  </w:style>
  <w:style w:type="paragraph" w:styleId="EnvelopeReturn">
    <w:name w:val="envelope return"/>
    <w:basedOn w:val="Normal"/>
    <w:rsid w:val="00203F12"/>
    <w:pPr>
      <w:framePr w:hSpace="181" w:vSpace="181" w:wrap="around" w:hAnchor="margin" w:x="1702" w:y="285"/>
      <w:jc w:val="left"/>
    </w:pPr>
    <w:rPr>
      <w:rFonts w:cs="Arial"/>
      <w:sz w:val="12"/>
      <w:szCs w:val="20"/>
    </w:rPr>
  </w:style>
  <w:style w:type="character" w:styleId="FollowedHyperlink">
    <w:name w:val="FollowedHyperlink"/>
    <w:basedOn w:val="DefaultParagraphFont"/>
    <w:rsid w:val="00380BC1"/>
    <w:rPr>
      <w:color w:val="800080"/>
      <w:u w:val="single"/>
    </w:rPr>
  </w:style>
  <w:style w:type="paragraph" w:styleId="Footer">
    <w:name w:val="footer"/>
    <w:basedOn w:val="Normal"/>
    <w:rsid w:val="00203F12"/>
    <w:pPr>
      <w:tabs>
        <w:tab w:val="center" w:pos="4536"/>
        <w:tab w:val="right" w:pos="9072"/>
      </w:tabs>
    </w:pPr>
    <w:rPr>
      <w:sz w:val="14"/>
    </w:rPr>
  </w:style>
  <w:style w:type="paragraph" w:styleId="FootnoteText">
    <w:name w:val="footnote text"/>
    <w:basedOn w:val="Normal"/>
    <w:semiHidden/>
    <w:rsid w:val="00203F12"/>
    <w:rPr>
      <w:sz w:val="18"/>
      <w:szCs w:val="20"/>
    </w:rPr>
  </w:style>
  <w:style w:type="paragraph" w:styleId="Header">
    <w:name w:val="header"/>
    <w:basedOn w:val="Normal"/>
    <w:rsid w:val="00203F12"/>
    <w:pPr>
      <w:tabs>
        <w:tab w:val="center" w:pos="4536"/>
        <w:tab w:val="right" w:pos="9072"/>
      </w:tabs>
    </w:pPr>
  </w:style>
  <w:style w:type="character" w:styleId="Hyperlink">
    <w:name w:val="Hyperlink"/>
    <w:basedOn w:val="DefaultParagraphFont"/>
    <w:rsid w:val="00203F12"/>
    <w:rPr>
      <w:color w:val="0000FF"/>
      <w:u w:val="single"/>
    </w:rPr>
  </w:style>
  <w:style w:type="paragraph" w:styleId="Index1">
    <w:name w:val="index 1"/>
    <w:basedOn w:val="Normal"/>
    <w:next w:val="Normal"/>
    <w:autoRedefine/>
    <w:semiHidden/>
    <w:rsid w:val="00203F12"/>
    <w:pPr>
      <w:ind w:left="210" w:hanging="210"/>
    </w:pPr>
  </w:style>
  <w:style w:type="paragraph" w:styleId="MacroText">
    <w:name w:val="macro"/>
    <w:semiHidden/>
    <w:rsid w:val="00203F1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hAnsi="Arial" w:cs="Times New Roman"/>
      <w:sz w:val="24"/>
      <w:szCs w:val="20"/>
      <w:lang w:eastAsia="en-US"/>
    </w:rPr>
  </w:style>
  <w:style w:type="character" w:styleId="PageNumber">
    <w:name w:val="page number"/>
    <w:basedOn w:val="DefaultParagraphFont"/>
    <w:rsid w:val="00203F12"/>
  </w:style>
  <w:style w:type="paragraph" w:styleId="TOC1">
    <w:name w:val="toc 1"/>
    <w:basedOn w:val="Normal"/>
    <w:next w:val="Normal"/>
    <w:uiPriority w:val="39"/>
    <w:rsid w:val="00203F12"/>
    <w:pPr>
      <w:tabs>
        <w:tab w:val="left" w:pos="720"/>
        <w:tab w:val="right" w:leader="dot" w:pos="9072"/>
      </w:tabs>
      <w:spacing w:before="80" w:after="40"/>
      <w:ind w:left="720" w:right="2268" w:hanging="720"/>
      <w:jc w:val="left"/>
    </w:pPr>
    <w:rPr>
      <w:rFonts w:ascii="Arial Bold" w:hAnsi="Arial Bold"/>
      <w:b/>
    </w:rPr>
  </w:style>
  <w:style w:type="paragraph" w:styleId="TOC2">
    <w:name w:val="toc 2"/>
    <w:basedOn w:val="Normal"/>
    <w:next w:val="Normal"/>
    <w:uiPriority w:val="39"/>
    <w:rsid w:val="00203F12"/>
    <w:pPr>
      <w:tabs>
        <w:tab w:val="left" w:pos="1440"/>
        <w:tab w:val="right" w:leader="dot" w:pos="9072"/>
      </w:tabs>
      <w:ind w:left="1440" w:right="2268" w:hanging="720"/>
      <w:jc w:val="left"/>
    </w:pPr>
    <w:rPr>
      <w:sz w:val="18"/>
    </w:rPr>
  </w:style>
  <w:style w:type="paragraph" w:styleId="TOC3">
    <w:name w:val="toc 3"/>
    <w:basedOn w:val="Normal"/>
    <w:next w:val="Normal"/>
    <w:semiHidden/>
    <w:rsid w:val="00203F12"/>
    <w:pPr>
      <w:tabs>
        <w:tab w:val="right" w:leader="dot" w:pos="9072"/>
      </w:tabs>
      <w:ind w:left="3005" w:right="851" w:hanging="1191"/>
    </w:pPr>
  </w:style>
  <w:style w:type="paragraph" w:styleId="TOC4">
    <w:name w:val="toc 4"/>
    <w:basedOn w:val="Normal"/>
    <w:next w:val="Normal"/>
    <w:semiHidden/>
    <w:rsid w:val="00203F12"/>
    <w:pPr>
      <w:tabs>
        <w:tab w:val="right" w:leader="dot" w:pos="9072"/>
      </w:tabs>
      <w:ind w:left="4593" w:right="851" w:hanging="1588"/>
    </w:pPr>
  </w:style>
  <w:style w:type="paragraph" w:styleId="TOC5">
    <w:name w:val="toc 5"/>
    <w:basedOn w:val="Normal"/>
    <w:next w:val="Normal"/>
    <w:semiHidden/>
    <w:rsid w:val="00203F12"/>
    <w:pPr>
      <w:tabs>
        <w:tab w:val="right" w:leader="dot" w:pos="9072"/>
      </w:tabs>
      <w:ind w:left="6464" w:right="851" w:hanging="1871"/>
    </w:pPr>
  </w:style>
  <w:style w:type="paragraph" w:styleId="TOC6">
    <w:name w:val="toc 6"/>
    <w:basedOn w:val="Normal"/>
    <w:next w:val="Normal"/>
    <w:semiHidden/>
    <w:rsid w:val="00203F12"/>
  </w:style>
  <w:style w:type="paragraph" w:styleId="TOC7">
    <w:name w:val="toc 7"/>
    <w:basedOn w:val="Normal"/>
    <w:next w:val="Normal"/>
    <w:semiHidden/>
    <w:rsid w:val="00203F12"/>
  </w:style>
  <w:style w:type="paragraph" w:styleId="TOC8">
    <w:name w:val="toc 8"/>
    <w:basedOn w:val="Normal"/>
    <w:next w:val="Normal"/>
    <w:semiHidden/>
    <w:rsid w:val="00203F12"/>
  </w:style>
  <w:style w:type="paragraph" w:styleId="TOC9">
    <w:name w:val="toc 9"/>
    <w:basedOn w:val="Normal"/>
    <w:next w:val="Normal"/>
    <w:uiPriority w:val="39"/>
    <w:rsid w:val="00203F12"/>
    <w:pPr>
      <w:tabs>
        <w:tab w:val="left" w:pos="720"/>
        <w:tab w:val="right" w:leader="dot" w:pos="9072"/>
      </w:tabs>
      <w:spacing w:before="240" w:after="40"/>
      <w:ind w:left="720"/>
      <w:jc w:val="left"/>
    </w:pPr>
    <w:rPr>
      <w:rFonts w:ascii="Arial Bold" w:hAnsi="Arial Bold"/>
      <w:b/>
      <w:caps/>
      <w:sz w:val="22"/>
    </w:rPr>
  </w:style>
  <w:style w:type="paragraph" w:customStyle="1" w:styleId="ABLBullet1">
    <w:name w:val="ABL Bullet 1"/>
    <w:basedOn w:val="ABLNormal"/>
    <w:qFormat/>
    <w:rsid w:val="00203F12"/>
    <w:pPr>
      <w:numPr>
        <w:numId w:val="3"/>
      </w:numPr>
      <w:spacing w:before="240"/>
    </w:pPr>
    <w:rPr>
      <w:rFonts w:eastAsiaTheme="minorEastAsia"/>
      <w:lang w:bidi="en-US"/>
    </w:rPr>
  </w:style>
  <w:style w:type="paragraph" w:customStyle="1" w:styleId="ABLBullet2">
    <w:name w:val="ABL Bullet 2"/>
    <w:basedOn w:val="ABLNormal"/>
    <w:qFormat/>
    <w:rsid w:val="00203F12"/>
    <w:pPr>
      <w:numPr>
        <w:ilvl w:val="1"/>
        <w:numId w:val="3"/>
      </w:numPr>
      <w:spacing w:before="240"/>
    </w:pPr>
    <w:rPr>
      <w:rFonts w:eastAsiaTheme="minorEastAsia"/>
      <w:lang w:bidi="en-US"/>
    </w:rPr>
  </w:style>
  <w:style w:type="paragraph" w:customStyle="1" w:styleId="ABLBullet3">
    <w:name w:val="ABL Bullet 3"/>
    <w:basedOn w:val="ABLNormal"/>
    <w:qFormat/>
    <w:rsid w:val="00203F12"/>
    <w:pPr>
      <w:numPr>
        <w:ilvl w:val="2"/>
        <w:numId w:val="3"/>
      </w:numPr>
      <w:spacing w:before="240"/>
    </w:pPr>
    <w:rPr>
      <w:rFonts w:eastAsiaTheme="minorEastAsia"/>
      <w:lang w:bidi="en-US"/>
    </w:rPr>
  </w:style>
  <w:style w:type="paragraph" w:customStyle="1" w:styleId="ABLBullet4">
    <w:name w:val="ABL Bullet 4"/>
    <w:basedOn w:val="ABLNormal"/>
    <w:qFormat/>
    <w:rsid w:val="00203F12"/>
    <w:pPr>
      <w:numPr>
        <w:ilvl w:val="3"/>
        <w:numId w:val="3"/>
      </w:numPr>
      <w:spacing w:before="240"/>
    </w:pPr>
    <w:rPr>
      <w:rFonts w:eastAsiaTheme="minorEastAsia"/>
      <w:lang w:bidi="en-US"/>
    </w:rPr>
  </w:style>
  <w:style w:type="paragraph" w:customStyle="1" w:styleId="ABLBullet5">
    <w:name w:val="ABL Bullet 5"/>
    <w:basedOn w:val="ABLNormal"/>
    <w:qFormat/>
    <w:rsid w:val="00203F12"/>
    <w:pPr>
      <w:numPr>
        <w:ilvl w:val="4"/>
        <w:numId w:val="3"/>
      </w:numPr>
      <w:spacing w:before="240"/>
    </w:pPr>
    <w:rPr>
      <w:rFonts w:eastAsiaTheme="minorEastAsia"/>
      <w:lang w:bidi="en-US"/>
    </w:rPr>
  </w:style>
  <w:style w:type="paragraph" w:customStyle="1" w:styleId="ABLBullet6">
    <w:name w:val="ABL Bullet 6"/>
    <w:basedOn w:val="ABLNormal"/>
    <w:qFormat/>
    <w:rsid w:val="00203F12"/>
    <w:pPr>
      <w:numPr>
        <w:ilvl w:val="5"/>
        <w:numId w:val="3"/>
      </w:numPr>
      <w:spacing w:before="240"/>
    </w:pPr>
    <w:rPr>
      <w:rFonts w:eastAsiaTheme="minorEastAsia"/>
      <w:lang w:bidi="en-US"/>
    </w:rPr>
  </w:style>
  <w:style w:type="character" w:customStyle="1" w:styleId="ABLLevel3Char">
    <w:name w:val="ABL Level 3 Char"/>
    <w:basedOn w:val="DefaultParagraphFont"/>
    <w:link w:val="ABLLevel3"/>
    <w:rsid w:val="00203F12"/>
    <w:rPr>
      <w:rFonts w:ascii="Arial" w:hAnsi="Arial" w:cs="Arial"/>
      <w:sz w:val="21"/>
      <w:szCs w:val="20"/>
      <w:lang w:eastAsia="en-US"/>
    </w:rPr>
  </w:style>
  <w:style w:type="character" w:customStyle="1" w:styleId="ABLIndentChar">
    <w:name w:val="ABL Indent Char"/>
    <w:basedOn w:val="DefaultParagraphFont"/>
    <w:link w:val="ABLIndent"/>
    <w:rsid w:val="00203F12"/>
    <w:rPr>
      <w:rFonts w:ascii="Arial" w:hAnsi="Arial" w:cs="Arial"/>
      <w:sz w:val="21"/>
      <w:szCs w:val="20"/>
      <w:lang w:eastAsia="en-US"/>
    </w:rPr>
  </w:style>
  <w:style w:type="paragraph" w:styleId="BalloonText">
    <w:name w:val="Balloon Text"/>
    <w:basedOn w:val="Normal"/>
    <w:link w:val="BalloonTextChar"/>
    <w:rsid w:val="00203F12"/>
    <w:rPr>
      <w:rFonts w:ascii="Tahoma" w:hAnsi="Tahoma" w:cs="Tahoma"/>
      <w:sz w:val="16"/>
      <w:szCs w:val="16"/>
    </w:rPr>
  </w:style>
  <w:style w:type="character" w:customStyle="1" w:styleId="BalloonTextChar">
    <w:name w:val="Balloon Text Char"/>
    <w:basedOn w:val="DefaultParagraphFont"/>
    <w:link w:val="BalloonText"/>
    <w:rsid w:val="00203F12"/>
    <w:rPr>
      <w:rFonts w:ascii="Tahoma" w:hAnsi="Tahoma" w:cs="Tahoma"/>
      <w:sz w:val="16"/>
      <w:szCs w:val="16"/>
      <w:lang w:eastAsia="en-US"/>
    </w:rPr>
  </w:style>
  <w:style w:type="paragraph" w:customStyle="1" w:styleId="ABLMkt1">
    <w:name w:val="ABL Mkt 1"/>
    <w:basedOn w:val="ABLNormal"/>
    <w:next w:val="ABLMkt2"/>
    <w:qFormat/>
    <w:rsid w:val="00335251"/>
    <w:pPr>
      <w:spacing w:before="220" w:after="1100"/>
    </w:pPr>
    <w:rPr>
      <w:rFonts w:ascii="Arial Bold" w:hAnsi="Arial Bold"/>
      <w:b/>
      <w:color w:val="800000"/>
      <w:sz w:val="32"/>
    </w:rPr>
  </w:style>
  <w:style w:type="paragraph" w:customStyle="1" w:styleId="ABLMkt2">
    <w:name w:val="ABL Mkt 2"/>
    <w:basedOn w:val="ABLNormal"/>
    <w:next w:val="ABLNormal"/>
    <w:qFormat/>
    <w:rsid w:val="00335251"/>
    <w:pPr>
      <w:pBdr>
        <w:bottom w:val="single" w:sz="4" w:space="1" w:color="800000"/>
      </w:pBdr>
      <w:spacing w:after="220"/>
    </w:pPr>
    <w:rPr>
      <w:rFonts w:ascii="Arial Bold" w:hAnsi="Arial Bold"/>
      <w:b/>
      <w:color w:val="800000"/>
      <w:sz w:val="22"/>
    </w:rPr>
  </w:style>
  <w:style w:type="paragraph" w:customStyle="1" w:styleId="ABLMkt3">
    <w:name w:val="ABL Mkt 3"/>
    <w:basedOn w:val="ABLNormal"/>
    <w:next w:val="ABLNormal"/>
    <w:qFormat/>
    <w:rsid w:val="00335251"/>
    <w:rPr>
      <w:rFonts w:ascii="Arial Bold" w:hAnsi="Arial Bold"/>
      <w:b/>
      <w:color w:val="800000"/>
      <w:sz w:val="22"/>
    </w:rPr>
  </w:style>
  <w:style w:type="paragraph" w:customStyle="1" w:styleId="ABLMkt4">
    <w:name w:val="ABL Mkt 4"/>
    <w:basedOn w:val="ABLNormal"/>
    <w:next w:val="ABLNormal"/>
    <w:qFormat/>
    <w:rsid w:val="00335251"/>
    <w:rPr>
      <w:rFonts w:ascii="Arial Bold" w:hAnsi="Arial Bold"/>
      <w:b/>
      <w:sz w:val="22"/>
    </w:rPr>
  </w:style>
  <w:style w:type="paragraph" w:customStyle="1" w:styleId="ABLMktBullet1">
    <w:name w:val="ABL Mkt Bullet 1"/>
    <w:basedOn w:val="ABLNormal"/>
    <w:autoRedefine/>
    <w:qFormat/>
    <w:rsid w:val="005C116A"/>
    <w:pPr>
      <w:numPr>
        <w:numId w:val="24"/>
      </w:numPr>
      <w:ind w:left="425" w:hanging="425"/>
      <w:outlineLvl w:val="0"/>
    </w:pPr>
  </w:style>
  <w:style w:type="paragraph" w:customStyle="1" w:styleId="ABLMktBullet2">
    <w:name w:val="ABL Mkt Bullet 2"/>
    <w:basedOn w:val="ABLNormal"/>
    <w:autoRedefine/>
    <w:qFormat/>
    <w:rsid w:val="005C116A"/>
    <w:pPr>
      <w:numPr>
        <w:numId w:val="26"/>
      </w:numPr>
      <w:ind w:left="850" w:hanging="425"/>
      <w:outlineLvl w:val="1"/>
    </w:pPr>
  </w:style>
  <w:style w:type="paragraph" w:customStyle="1" w:styleId="ABLSched1noheading">
    <w:name w:val="ABL Sched 1 (no heading)"/>
    <w:basedOn w:val="ABLStandard1"/>
    <w:qFormat/>
    <w:rsid w:val="00986E3C"/>
    <w:pPr>
      <w:numPr>
        <w:numId w:val="27"/>
      </w:numPr>
    </w:pPr>
  </w:style>
  <w:style w:type="paragraph" w:customStyle="1" w:styleId="MarketingBullet1">
    <w:name w:val="Marketing Bullet 1"/>
    <w:qFormat/>
    <w:rsid w:val="00B120C6"/>
    <w:pPr>
      <w:numPr>
        <w:numId w:val="28"/>
      </w:numPr>
      <w:spacing w:after="20" w:line="240" w:lineRule="auto"/>
      <w:ind w:left="357" w:hanging="357"/>
      <w:outlineLvl w:val="0"/>
    </w:pPr>
    <w:rPr>
      <w:rFonts w:ascii="Arial" w:hAnsi="Arial" w:cs="Arial"/>
      <w:sz w:val="21"/>
      <w:szCs w:val="20"/>
      <w:lang w:eastAsia="en-US"/>
    </w:rPr>
  </w:style>
  <w:style w:type="paragraph" w:customStyle="1" w:styleId="MarketingBullet2">
    <w:name w:val="Marketing Bullet 2"/>
    <w:basedOn w:val="ABLMktBullet1"/>
    <w:qFormat/>
    <w:rsid w:val="000D0DEA"/>
    <w:pPr>
      <w:numPr>
        <w:numId w:val="29"/>
      </w:numPr>
      <w:tabs>
        <w:tab w:val="left" w:pos="1843"/>
      </w:tabs>
      <w:spacing w:after="20"/>
    </w:pPr>
  </w:style>
  <w:style w:type="paragraph" w:customStyle="1" w:styleId="MarketingBullet3">
    <w:name w:val="Marketing Bullet 3"/>
    <w:basedOn w:val="MarketingBullet2"/>
    <w:qFormat/>
    <w:rsid w:val="000D0DEA"/>
    <w:pPr>
      <w:numPr>
        <w:numId w:val="30"/>
      </w:numPr>
    </w:pPr>
  </w:style>
  <w:style w:type="paragraph" w:customStyle="1" w:styleId="MarketingContactdetails">
    <w:name w:val="Marketing Contact details"/>
    <w:basedOn w:val="Normal"/>
    <w:qFormat/>
    <w:rsid w:val="000D0DEA"/>
    <w:pPr>
      <w:tabs>
        <w:tab w:val="left" w:pos="279"/>
      </w:tabs>
      <w:jc w:val="left"/>
    </w:pPr>
    <w:rPr>
      <w:rFonts w:cs="Arial"/>
      <w:sz w:val="18"/>
      <w:szCs w:val="18"/>
    </w:rPr>
  </w:style>
  <w:style w:type="paragraph" w:customStyle="1" w:styleId="MarketingContents">
    <w:name w:val="Marketing Contents"/>
    <w:basedOn w:val="Normal"/>
    <w:link w:val="MarketingContentsChar"/>
    <w:qFormat/>
    <w:rsid w:val="000D0DEA"/>
    <w:pPr>
      <w:spacing w:after="1200"/>
      <w:jc w:val="left"/>
    </w:pPr>
    <w:rPr>
      <w:rFonts w:cs="Arial"/>
      <w:color w:val="B32B2E"/>
      <w:sz w:val="40"/>
      <w:szCs w:val="40"/>
    </w:rPr>
  </w:style>
  <w:style w:type="character" w:customStyle="1" w:styleId="MarketingContentsChar">
    <w:name w:val="Marketing Contents Char"/>
    <w:basedOn w:val="DefaultParagraphFont"/>
    <w:link w:val="MarketingContents"/>
    <w:rsid w:val="000D0DEA"/>
    <w:rPr>
      <w:rFonts w:ascii="Arial" w:hAnsi="Arial" w:cs="Arial"/>
      <w:color w:val="B32B2E"/>
      <w:sz w:val="40"/>
      <w:szCs w:val="40"/>
      <w:lang w:eastAsia="en-US"/>
    </w:rPr>
  </w:style>
  <w:style w:type="paragraph" w:customStyle="1" w:styleId="MarketingContentshidden">
    <w:name w:val="Marketing Contents [hidden]"/>
    <w:basedOn w:val="Normal"/>
    <w:link w:val="MarketingContentshiddenChar"/>
    <w:qFormat/>
    <w:rsid w:val="000D0DEA"/>
    <w:pPr>
      <w:spacing w:after="1200"/>
      <w:jc w:val="left"/>
    </w:pPr>
    <w:rPr>
      <w:rFonts w:cs="Arial"/>
      <w:color w:val="B32B2E"/>
      <w:sz w:val="40"/>
      <w:szCs w:val="40"/>
    </w:rPr>
  </w:style>
  <w:style w:type="character" w:customStyle="1" w:styleId="MarketingContentshiddenChar">
    <w:name w:val="Marketing Contents [hidden] Char"/>
    <w:basedOn w:val="DefaultParagraphFont"/>
    <w:link w:val="MarketingContentshidden"/>
    <w:rsid w:val="000D0DEA"/>
    <w:rPr>
      <w:rFonts w:ascii="Arial" w:hAnsi="Arial" w:cs="Arial"/>
      <w:color w:val="B32B2E"/>
      <w:sz w:val="40"/>
      <w:szCs w:val="40"/>
      <w:lang w:eastAsia="en-US"/>
    </w:rPr>
  </w:style>
  <w:style w:type="paragraph" w:customStyle="1" w:styleId="MarketingCVName">
    <w:name w:val="Marketing CV Name"/>
    <w:basedOn w:val="Normal"/>
    <w:qFormat/>
    <w:rsid w:val="000D0DEA"/>
    <w:rPr>
      <w:rFonts w:cs="Arial"/>
      <w:b/>
      <w:color w:val="B32B2E"/>
      <w:sz w:val="22"/>
      <w:szCs w:val="22"/>
    </w:rPr>
  </w:style>
  <w:style w:type="paragraph" w:customStyle="1" w:styleId="MarketingCVQualifications">
    <w:name w:val="Marketing CV Qualifications"/>
    <w:basedOn w:val="Normal"/>
    <w:qFormat/>
    <w:rsid w:val="000D0DEA"/>
    <w:rPr>
      <w:rFonts w:cs="Arial"/>
      <w:sz w:val="18"/>
      <w:szCs w:val="18"/>
    </w:rPr>
  </w:style>
  <w:style w:type="paragraph" w:customStyle="1" w:styleId="MarketingCVSub-heading">
    <w:name w:val="Marketing CV Sub-heading"/>
    <w:basedOn w:val="MarketingCVName"/>
    <w:qFormat/>
    <w:rsid w:val="000D0DEA"/>
    <w:rPr>
      <w:sz w:val="21"/>
    </w:rPr>
  </w:style>
  <w:style w:type="paragraph" w:customStyle="1" w:styleId="MarketingCVTitle">
    <w:name w:val="Marketing CV Title"/>
    <w:basedOn w:val="Normal"/>
    <w:qFormat/>
    <w:rsid w:val="000D0DEA"/>
    <w:pPr>
      <w:pBdr>
        <w:bottom w:val="single" w:sz="4" w:space="1" w:color="auto"/>
      </w:pBdr>
    </w:pPr>
    <w:rPr>
      <w:rFonts w:cs="Arial"/>
      <w:b/>
      <w:color w:val="000000" w:themeColor="text1"/>
      <w:sz w:val="22"/>
      <w:szCs w:val="22"/>
    </w:rPr>
  </w:style>
  <w:style w:type="paragraph" w:customStyle="1" w:styleId="MarketingEvaluationCriteriatext">
    <w:name w:val="Marketing Evaluation Criteria text"/>
    <w:basedOn w:val="Normal"/>
    <w:qFormat/>
    <w:rsid w:val="000D0DEA"/>
    <w:rPr>
      <w:rFonts w:cs="Arial"/>
      <w:color w:val="595959" w:themeColor="text1" w:themeTint="A6"/>
      <w:szCs w:val="20"/>
    </w:rPr>
  </w:style>
  <w:style w:type="paragraph" w:customStyle="1" w:styleId="MarketingFrontPageHeading">
    <w:name w:val="Marketing Front Page Heading"/>
    <w:basedOn w:val="Normal"/>
    <w:qFormat/>
    <w:rsid w:val="000D0DEA"/>
    <w:pPr>
      <w:ind w:right="284"/>
      <w:jc w:val="right"/>
    </w:pPr>
    <w:rPr>
      <w:rFonts w:cs="Arial"/>
      <w:b/>
      <w:color w:val="B32B2E"/>
      <w:sz w:val="40"/>
      <w:szCs w:val="40"/>
      <w:lang w:eastAsia="en-AU"/>
    </w:rPr>
  </w:style>
  <w:style w:type="paragraph" w:customStyle="1" w:styleId="MarketingFrontPageSubheading">
    <w:name w:val="Marketing Front Page Subheading"/>
    <w:basedOn w:val="Normal"/>
    <w:qFormat/>
    <w:rsid w:val="000D0DEA"/>
    <w:pPr>
      <w:spacing w:before="3200"/>
      <w:ind w:right="284"/>
      <w:jc w:val="right"/>
    </w:pPr>
    <w:rPr>
      <w:rFonts w:cs="Arial"/>
      <w:b/>
      <w:color w:val="B32B2E"/>
      <w:sz w:val="28"/>
      <w:szCs w:val="28"/>
      <w:lang w:eastAsia="en-AU"/>
    </w:rPr>
  </w:style>
  <w:style w:type="paragraph" w:customStyle="1" w:styleId="MarketingHeadingLevel1">
    <w:name w:val="Marketing Heading Level 1"/>
    <w:basedOn w:val="Normal"/>
    <w:qFormat/>
    <w:rsid w:val="000D0DEA"/>
    <w:pPr>
      <w:spacing w:after="1200"/>
      <w:jc w:val="left"/>
    </w:pPr>
    <w:rPr>
      <w:rFonts w:cs="Arial"/>
      <w:color w:val="B32B2E"/>
      <w:sz w:val="40"/>
      <w:szCs w:val="40"/>
    </w:rPr>
  </w:style>
  <w:style w:type="paragraph" w:customStyle="1" w:styleId="MarketingHeadingLevel2">
    <w:name w:val="Marketing Heading Level 2"/>
    <w:basedOn w:val="Normal"/>
    <w:qFormat/>
    <w:rsid w:val="000D0DEA"/>
    <w:pPr>
      <w:pBdr>
        <w:bottom w:val="single" w:sz="4" w:space="1" w:color="auto"/>
      </w:pBdr>
    </w:pPr>
    <w:rPr>
      <w:rFonts w:cs="Arial"/>
      <w:b/>
      <w:color w:val="B32B2E"/>
      <w:sz w:val="22"/>
      <w:szCs w:val="21"/>
    </w:rPr>
  </w:style>
  <w:style w:type="paragraph" w:customStyle="1" w:styleId="MarketingHeadingLevel3">
    <w:name w:val="Marketing Heading Level 3"/>
    <w:basedOn w:val="Normal"/>
    <w:qFormat/>
    <w:rsid w:val="000D0DEA"/>
    <w:rPr>
      <w:rFonts w:cs="Arial"/>
      <w:b/>
      <w:color w:val="B32B2E"/>
      <w:szCs w:val="21"/>
    </w:rPr>
  </w:style>
  <w:style w:type="paragraph" w:customStyle="1" w:styleId="MarketingHeadingLevel4">
    <w:name w:val="Marketing Heading Level 4"/>
    <w:basedOn w:val="MarketingHeadingLevel3"/>
    <w:qFormat/>
    <w:rsid w:val="000D0DEA"/>
    <w:rPr>
      <w:color w:val="000000" w:themeColor="text1"/>
    </w:rPr>
  </w:style>
  <w:style w:type="paragraph" w:customStyle="1" w:styleId="MarketingHeadingLevel5">
    <w:name w:val="Marketing Heading Level 5"/>
    <w:basedOn w:val="MarketingHeadingLevel4"/>
    <w:qFormat/>
    <w:rsid w:val="000D0DEA"/>
    <w:rPr>
      <w:color w:val="7F7F7F" w:themeColor="text1" w:themeTint="80"/>
    </w:rPr>
  </w:style>
  <w:style w:type="paragraph" w:customStyle="1" w:styleId="MarketingTableHeading-white-leftjustified">
    <w:name w:val="Marketing Table Heading - white - left justified"/>
    <w:basedOn w:val="ABLNormal"/>
    <w:autoRedefine/>
    <w:qFormat/>
    <w:rsid w:val="000D0DEA"/>
    <w:pPr>
      <w:tabs>
        <w:tab w:val="left" w:pos="1560"/>
      </w:tabs>
      <w:spacing w:after="60"/>
      <w:jc w:val="left"/>
    </w:pPr>
    <w:rPr>
      <w:b/>
      <w:color w:val="FFFFFF" w:themeColor="background1"/>
      <w:szCs w:val="21"/>
    </w:rPr>
  </w:style>
  <w:style w:type="paragraph" w:customStyle="1" w:styleId="MarketingTableHeading-white-centred">
    <w:name w:val="Marketing Table Heading - white - centred"/>
    <w:basedOn w:val="MarketingTableHeading-white-leftjustified"/>
    <w:qFormat/>
    <w:rsid w:val="000D0DEA"/>
    <w:pPr>
      <w:jc w:val="center"/>
    </w:pPr>
  </w:style>
  <w:style w:type="paragraph" w:customStyle="1" w:styleId="MarketingTableHeading-black-centred">
    <w:name w:val="Marketing Table Heading - black - centred"/>
    <w:basedOn w:val="MarketingTableHeading-white-centred"/>
    <w:qFormat/>
    <w:rsid w:val="000D0DEA"/>
    <w:rPr>
      <w:color w:val="000000" w:themeColor="text1"/>
    </w:rPr>
  </w:style>
  <w:style w:type="paragraph" w:customStyle="1" w:styleId="MarketingTableHeading-black-leftjustified">
    <w:name w:val="Marketing Table Heading - black - left justified"/>
    <w:basedOn w:val="MarketingTableHeading-white-leftjustified"/>
    <w:qFormat/>
    <w:rsid w:val="000D0DEA"/>
    <w:rPr>
      <w:color w:val="000000" w:themeColor="text1"/>
    </w:rPr>
  </w:style>
  <w:style w:type="paragraph" w:customStyle="1" w:styleId="MarketingTableHeadings-white-Leftjustified">
    <w:name w:val="Marketing Table Headings -white - Left justified"/>
    <w:basedOn w:val="ABLNormal"/>
    <w:autoRedefine/>
    <w:qFormat/>
    <w:rsid w:val="000D0DEA"/>
    <w:pPr>
      <w:tabs>
        <w:tab w:val="left" w:pos="1560"/>
      </w:tabs>
      <w:spacing w:after="60"/>
      <w:jc w:val="left"/>
    </w:pPr>
    <w:rPr>
      <w:b/>
      <w:color w:val="FFFFFF" w:themeColor="background1"/>
      <w:szCs w:val="21"/>
    </w:rPr>
  </w:style>
  <w:style w:type="paragraph" w:customStyle="1" w:styleId="MarketingTableHeadings-black-Leftjustified">
    <w:name w:val="Marketing Table Headings - black - Left justified"/>
    <w:basedOn w:val="MarketingTableHeadings-white-Leftjustified"/>
    <w:qFormat/>
    <w:rsid w:val="000D0DEA"/>
    <w:rPr>
      <w:color w:val="000000" w:themeColor="text1"/>
    </w:rPr>
  </w:style>
  <w:style w:type="paragraph" w:customStyle="1" w:styleId="MarketingTableHeadings-white-Centred">
    <w:name w:val="Marketing Table Headings - white - Centred"/>
    <w:basedOn w:val="MarketingTableHeadings-white-Leftjustified"/>
    <w:qFormat/>
    <w:rsid w:val="000D0DEA"/>
    <w:pPr>
      <w:jc w:val="center"/>
    </w:pPr>
  </w:style>
  <w:style w:type="paragraph" w:customStyle="1" w:styleId="MarketingTableHeadings-black-Centred">
    <w:name w:val="Marketing Table Headings - black- Centred"/>
    <w:basedOn w:val="MarketingTableHeadings-white-Centred"/>
    <w:qFormat/>
    <w:rsid w:val="000D0DEA"/>
    <w:rPr>
      <w:color w:val="000000" w:themeColor="text1"/>
    </w:rPr>
  </w:style>
  <w:style w:type="paragraph" w:customStyle="1" w:styleId="MarketingTitledetails">
    <w:name w:val="Marketing Title details"/>
    <w:basedOn w:val="ABLNormal"/>
    <w:qFormat/>
    <w:rsid w:val="000D0DEA"/>
    <w:rPr>
      <w:sz w:val="20"/>
    </w:rPr>
  </w:style>
  <w:style w:type="table" w:styleId="TableGrid">
    <w:name w:val="Table Grid"/>
    <w:basedOn w:val="TableNormal"/>
    <w:rsid w:val="00836EDE"/>
    <w:pPr>
      <w:spacing w:after="0" w:line="240" w:lineRule="auto"/>
      <w:jc w:val="both"/>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D19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5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jpeg"/><Relationship Id="rId23" Type="http://schemas.openxmlformats.org/officeDocument/2006/relationships/header" Target="header5.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6DB654723AED94BB725236A5B0F3AE3" ma:contentTypeVersion="5" ma:contentTypeDescription="" ma:contentTypeScope="" ma:versionID="d117582cab1127ea6aa78a894608469a">
  <xsd:schema xmlns:xsd="http://www.w3.org/2001/XMLSchema" xmlns:xs="http://www.w3.org/2001/XMLSchema" xmlns:p="http://schemas.microsoft.com/office/2006/metadata/properties" xmlns:ns2="ee13c9c8-6565-4e71-a0a2-a2050e330ad8" xmlns:ns3="7f4cf430-939c-4e86-a306-e6be23f89472" targetNamespace="http://schemas.microsoft.com/office/2006/metadata/properties" ma:root="true" ma:fieldsID="4e97abc5e99623172acb40ffc6902899" ns2:_="" ns3:_="">
    <xsd:import namespace="ee13c9c8-6565-4e71-a0a2-a2050e330ad8"/>
    <xsd:import namespace="7f4cf430-939c-4e86-a306-e6be23f89472"/>
    <xsd:element name="properties">
      <xsd:complexType>
        <xsd:sequence>
          <xsd:element name="documentManagement">
            <xsd:complexType>
              <xsd:all>
                <xsd:element ref="ns2:Jurisdiction"/>
                <xsd:element ref="ns3:Sub_x0020_number"/>
                <xsd:element ref="ns3:Submitter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9c8-6565-4e71-a0a2-a2050e330ad8" elementFormDefault="qualified">
    <xsd:import namespace="http://schemas.microsoft.com/office/2006/documentManagement/types"/>
    <xsd:import namespace="http://schemas.microsoft.com/office/infopath/2007/PartnerControls"/>
    <xsd:element name="Jurisdiction" ma:index="8" ma:displayName="Jurisdiction" ma:default="National" ma:description="Jurisdiction"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schema>
  <xsd:schema xmlns:xsd="http://www.w3.org/2001/XMLSchema" xmlns:xs="http://www.w3.org/2001/XMLSchema" xmlns:dms="http://schemas.microsoft.com/office/2006/documentManagement/types" xmlns:pc="http://schemas.microsoft.com/office/infopath/2007/PartnerControls" targetNamespace="7f4cf430-939c-4e86-a306-e6be23f89472" elementFormDefault="qualified">
    <xsd:import namespace="http://schemas.microsoft.com/office/2006/documentManagement/types"/>
    <xsd:import namespace="http://schemas.microsoft.com/office/infopath/2007/PartnerControls"/>
    <xsd:element name="Sub_x0020_number" ma:index="9" ma:displayName="Sub number" ma:description="All files associated with this submission number" ma:internalName="Sub_x0020_number">
      <xsd:simpleType>
        <xsd:restriction base="dms:Text">
          <xsd:maxLength value="10"/>
        </xsd:restriction>
      </xsd:simpleType>
    </xsd:element>
    <xsd:element name="Submitter_x0020_type" ma:index="10" ma:displayName="Submitter type" ma:description="Type of submitter" ma:format="Dropdown" ma:internalName="Submitter_x0020_type">
      <xsd:simpleType>
        <xsd:restriction base="dms:Choice">
          <xsd:enumeration value="Individual"/>
          <xsd:enumeration value="Business"/>
          <xsd:enumeration value="Business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urisdiction xmlns="ee13c9c8-6565-4e71-a0a2-a2050e330ad8">National</Jurisdiction>
    <Sub_x0020_number xmlns="7f4cf430-939c-4e86-a306-e6be23f89472">23</Sub_x0020_number>
    <Submitter_x0020_type xmlns="7f4cf430-939c-4e86-a306-e6be23f89472">Business</Submitter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81A7B-ABEA-4695-AB00-9554C1A26823}">
  <ds:schemaRefs>
    <ds:schemaRef ds:uri="http://schemas.microsoft.com/sharepoint/events"/>
  </ds:schemaRefs>
</ds:datastoreItem>
</file>

<file path=customXml/itemProps2.xml><?xml version="1.0" encoding="utf-8"?>
<ds:datastoreItem xmlns:ds="http://schemas.openxmlformats.org/officeDocument/2006/customXml" ds:itemID="{CC62E5CB-BEC9-4B3B-B63D-44A7B162E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3c9c8-6565-4e71-a0a2-a2050e330ad8"/>
    <ds:schemaRef ds:uri="7f4cf430-939c-4e86-a306-e6be23f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C2C73-7FC3-4FA7-8821-15D080A6A593}">
  <ds:schemaRefs>
    <ds:schemaRef ds:uri="http://schemas.openxmlformats.org/package/2006/metadata/core-properties"/>
    <ds:schemaRef ds:uri="http://purl.org/dc/elements/1.1/"/>
    <ds:schemaRef ds:uri="http://purl.org/dc/dcmitype/"/>
    <ds:schemaRef ds:uri="ee13c9c8-6565-4e71-a0a2-a2050e330ad8"/>
    <ds:schemaRef ds:uri="http://schemas.microsoft.com/office/2006/documentManagement/types"/>
    <ds:schemaRef ds:uri="http://www.w3.org/XML/1998/namespace"/>
    <ds:schemaRef ds:uri="http://purl.org/dc/terms/"/>
    <ds:schemaRef ds:uri="http://schemas.microsoft.com/office/infopath/2007/PartnerControls"/>
    <ds:schemaRef ds:uri="7f4cf430-939c-4e86-a306-e6be23f89472"/>
    <ds:schemaRef ds:uri="http://schemas.microsoft.com/office/2006/metadata/properties"/>
  </ds:schemaRefs>
</ds:datastoreItem>
</file>

<file path=customXml/itemProps4.xml><?xml version="1.0" encoding="utf-8"?>
<ds:datastoreItem xmlns:ds="http://schemas.openxmlformats.org/officeDocument/2006/customXml" ds:itemID="{4D512FEC-C7EA-4021-8DA6-4F3C1E1EA61F}">
  <ds:schemaRefs>
    <ds:schemaRef ds:uri="http://schemas.microsoft.com/sharepoint/v3/contenttype/forms"/>
  </ds:schemaRefs>
</ds:datastoreItem>
</file>

<file path=customXml/itemProps5.xml><?xml version="1.0" encoding="utf-8"?>
<ds:datastoreItem xmlns:ds="http://schemas.openxmlformats.org/officeDocument/2006/customXml" ds:itemID="{612A0C4C-C5C4-4048-A09C-84884F418D91}">
  <ds:schemaRefs>
    <ds:schemaRef ds:uri="http://schemas.microsoft.com/office/2006/metadata/customXsn"/>
  </ds:schemaRefs>
</ds:datastoreItem>
</file>

<file path=customXml/itemProps6.xml><?xml version="1.0" encoding="utf-8"?>
<ds:datastoreItem xmlns:ds="http://schemas.openxmlformats.org/officeDocument/2006/customXml" ds:itemID="{56E0AEF6-E8CA-4906-8422-1C263A59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3965</Words>
  <Characters>22128</Characters>
  <Application>Microsoft Office Word</Application>
  <DocSecurity>0</DocSecurity>
  <PresentationFormat/>
  <Lines>184</Lines>
  <Paragraphs>52</Paragraphs>
  <ScaleCrop>false</ScaleCrop>
  <HeadingPairs>
    <vt:vector size="2" baseType="variant">
      <vt:variant>
        <vt:lpstr>Title</vt:lpstr>
      </vt:variant>
      <vt:variant>
        <vt:i4>1</vt:i4>
      </vt:variant>
    </vt:vector>
  </HeadingPairs>
  <TitlesOfParts>
    <vt:vector size="1" baseType="lpstr">
      <vt:lpstr>Submission 23 - Arnold Bloch Leibler - Business Set-up, Transfer and Closure - Public inquiry</vt:lpstr>
    </vt:vector>
  </TitlesOfParts>
  <LinksUpToDate>false</LinksUpToDate>
  <CharactersWithSpaces>26041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23 - Arnold Bloch Leibler - Business Set-up, Transfer and Closure - Public inquiry</dc:title>
  <dc:creator/>
  <cp:lastModifiedBy/>
  <cp:revision>1</cp:revision>
  <cp:lastPrinted>2015-02-19T05:43:00Z</cp:lastPrinted>
  <dcterms:created xsi:type="dcterms:W3CDTF">2015-03-02T04:00:00Z</dcterms:created>
  <dcterms:modified xsi:type="dcterms:W3CDTF">2015-03-02T05:29:00Z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0x01010066EDC8E18BFE9C418F00295EA55D44EA0015EE9FD84A134F42A8E78176E2093D4400F6DB654723AED94BB725236A5B0F3AE3</vt:lpwstr>
  </property>
  <property fmtid="{D5CDD505-2E9C-101B-9397-08002B2CF9AE}" pid="3" name="RecordPoint_ActiveItemUniqueId">
    <vt:lpwstr>{ea088411-5c00-48c7-9a46-32de59fc980a}</vt:lpwstr>
  </property>
  <property fmtid="{D5CDD505-2E9C-101B-9397-08002B2CF9AE}" pid="4" name="RecordPoint_SubmissionCompleted">
    <vt:lpwstr>2015-03-02T15:00:54.3247138+11:00</vt:lpwstr>
  </property>
  <property fmtid="{D5CDD505-2E9C-101B-9397-08002B2CF9AE}" pid="5" name="RecordPoint_WorkflowType">
    <vt:lpwstr>ActiveSubmitStub</vt:lpwstr>
  </property>
  <property fmtid="{D5CDD505-2E9C-101B-9397-08002B2CF9AE}" pid="6" name="RecordPoint_ActiveItemSiteId">
    <vt:lpwstr>{5750d626-0aa0-474c-a55f-8063909d4906}</vt:lpwstr>
  </property>
  <property fmtid="{D5CDD505-2E9C-101B-9397-08002B2CF9AE}" pid="7" name="RecordPoint_ActiveItemListId">
    <vt:lpwstr>{ee13c9c8-6565-4e71-a0a2-a2050e330ad8}</vt:lpwstr>
  </property>
  <property fmtid="{D5CDD505-2E9C-101B-9397-08002B2CF9AE}" pid="8" name="RecordPoint_ActiveItemWebId">
    <vt:lpwstr>{7f4cf430-939c-4e86-a306-e6be23f89472}</vt:lpwstr>
  </property>
  <property fmtid="{D5CDD505-2E9C-101B-9397-08002B2CF9AE}" pid="9" name="IconOverlay">
    <vt:lpwstr/>
  </property>
  <property fmtid="{D5CDD505-2E9C-101B-9397-08002B2CF9AE}" pid="10" name="RecordPoint_RecordNumberSubmitted">
    <vt:lpwstr>R0000009089</vt:lpwstr>
  </property>
</Properties>
</file>