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D5A99" w:rsidRDefault="00A427CD" w:rsidP="0088313C">
      <w:pPr>
        <w:sectPr w:rsidR="002D5A99" w:rsidSect="00556937">
          <w:headerReference w:type="even" r:id="rId14"/>
          <w:headerReference w:type="default" r:id="rId15"/>
          <w:footerReference w:type="even" r:id="rId16"/>
          <w:footerReference w:type="default" r:id="rId17"/>
          <w:headerReference w:type="first" r:id="rId18"/>
          <w:footerReference w:type="first" r:id="rId19"/>
          <w:pgSz w:w="11906" w:h="16838"/>
          <w:pgMar w:top="3119" w:right="1134" w:bottom="567" w:left="1134" w:header="567" w:footer="567" w:gutter="0"/>
          <w:cols w:space="720"/>
          <w:titlePg/>
          <w:docGrid w:linePitch="272"/>
        </w:sectPr>
      </w:pPr>
      <w:r>
        <w:rPr>
          <w:noProof/>
        </w:rPr>
        <mc:AlternateContent>
          <mc:Choice Requires="wps">
            <w:drawing>
              <wp:anchor distT="0" distB="0" distL="114300" distR="114300" simplePos="0" relativeHeight="251657728" behindDoc="0" locked="0" layoutInCell="1" allowOverlap="1">
                <wp:simplePos x="0" y="0"/>
                <wp:positionH relativeFrom="column">
                  <wp:posOffset>1617345</wp:posOffset>
                </wp:positionH>
                <wp:positionV relativeFrom="paragraph">
                  <wp:posOffset>868961</wp:posOffset>
                </wp:positionV>
                <wp:extent cx="5139277" cy="1795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277" cy="1795780"/>
                        </a:xfrm>
                        <a:prstGeom prst="rect">
                          <a:avLst/>
                        </a:prstGeom>
                        <a:noFill/>
                        <a:ln w="9525">
                          <a:noFill/>
                          <a:miter lim="800000"/>
                          <a:headEnd/>
                          <a:tailEnd/>
                        </a:ln>
                      </wps:spPr>
                      <wps:txbx>
                        <w:txbxContent>
                          <w:p w:rsidR="0099767E" w:rsidRDefault="0099767E" w:rsidP="001D52B6">
                            <w:pPr>
                              <w:pStyle w:val="Title"/>
                            </w:pPr>
                            <w:r>
                              <w:t>IP Australia’s submission</w:t>
                            </w:r>
                            <w:r w:rsidRPr="008F7017">
                              <w:t xml:space="preserve"> </w:t>
                            </w:r>
                            <w:r>
                              <w:t xml:space="preserve">to </w:t>
                            </w:r>
                            <w:r>
                              <w:br/>
                              <w:t xml:space="preserve">the Productivity Commission’s </w:t>
                            </w:r>
                            <w:r>
                              <w:br/>
                              <w:t>2015 Issues Paper—</w:t>
                            </w:r>
                            <w:r>
                              <w:br/>
                            </w:r>
                            <w:r w:rsidRPr="00AA27AF">
                              <w:rPr>
                                <w:i/>
                              </w:rPr>
                              <w:t>Mutual Recognition Schemes</w:t>
                            </w:r>
                            <w:r>
                              <w:t xml:space="preserve"> </w:t>
                            </w:r>
                          </w:p>
                          <w:p w:rsidR="0099767E" w:rsidRPr="008671EA" w:rsidRDefault="0099767E" w:rsidP="008F7017">
                            <w:pPr>
                              <w:rPr>
                                <w:rFonts w:cs="Arial"/>
                                <w:color w:val="FFFFFF"/>
                                <w:sz w:val="50"/>
                                <w:szCs w:val="50"/>
                              </w:rPr>
                            </w:pPr>
                          </w:p>
                          <w:p w:rsidR="0099767E" w:rsidRPr="008671EA" w:rsidRDefault="002557FC" w:rsidP="008F7017">
                            <w:pPr>
                              <w:rPr>
                                <w:color w:val="FFFFFF"/>
                                <w:szCs w:val="24"/>
                              </w:rPr>
                            </w:pPr>
                            <w:r>
                              <w:rPr>
                                <w:rFonts w:cs="Arial"/>
                                <w:color w:val="FFFFFF"/>
                                <w:szCs w:val="24"/>
                              </w:rPr>
                              <w:t xml:space="preserve">3 </w:t>
                            </w:r>
                            <w:r w:rsidR="000F4E22">
                              <w:rPr>
                                <w:rFonts w:cs="Arial"/>
                                <w:color w:val="FFFFFF"/>
                                <w:szCs w:val="24"/>
                              </w:rPr>
                              <w:t>March</w:t>
                            </w:r>
                            <w:r w:rsidR="0099767E">
                              <w:rPr>
                                <w:rFonts w:cs="Arial"/>
                                <w:color w:val="FFFFFF"/>
                                <w:szCs w:val="24"/>
                              </w:rPr>
                              <w:t xml:space="preserve"> 2015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35pt;margin-top:68.4pt;width:404.65pt;height:141.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" filled="f" stroked="f">
                <v:textbox style="mso-fit-shape-to-text:t">
                  <w:txbxContent>
                    <w:p w:rsidR="0099767E" w:rsidRDefault="0099767E" w:rsidP="001D52B6">
                      <w:pPr>
                        <w:pStyle w:val="Title"/>
                      </w:pPr>
                      <w:r>
                        <w:t>IP Australia’s submission</w:t>
                      </w:r>
                      <w:r w:rsidRPr="008F7017">
                        <w:t xml:space="preserve"> </w:t>
                      </w:r>
                      <w:r>
                        <w:t xml:space="preserve">to </w:t>
                      </w:r>
                      <w:r>
                        <w:br/>
                        <w:t xml:space="preserve">the Productivity Commission’s </w:t>
                      </w:r>
                      <w:r>
                        <w:br/>
                        <w:t>2015 Issues Paper—</w:t>
                      </w:r>
                      <w:r>
                        <w:br/>
                      </w:r>
                      <w:r w:rsidRPr="00AA27AF">
                        <w:rPr>
                          <w:i/>
                        </w:rPr>
                        <w:t>Mutual Recognition Schemes</w:t>
                      </w:r>
                      <w:r>
                        <w:t xml:space="preserve"> </w:t>
                      </w:r>
                    </w:p>
                    <w:p w:rsidR="0099767E" w:rsidRPr="008671EA" w:rsidRDefault="0099767E" w:rsidP="008F7017">
                      <w:pPr>
                        <w:rPr>
                          <w:rFonts w:cs="Arial"/>
                          <w:color w:val="FFFFFF"/>
                          <w:sz w:val="50"/>
                          <w:szCs w:val="50"/>
                        </w:rPr>
                      </w:pPr>
                    </w:p>
                    <w:p w:rsidR="0099767E" w:rsidRPr="008671EA" w:rsidRDefault="002557FC" w:rsidP="008F7017">
                      <w:pPr>
                        <w:rPr>
                          <w:color w:val="FFFFFF"/>
                          <w:szCs w:val="24"/>
                        </w:rPr>
                      </w:pPr>
                      <w:r>
                        <w:rPr>
                          <w:rFonts w:cs="Arial"/>
                          <w:color w:val="FFFFFF"/>
                          <w:szCs w:val="24"/>
                        </w:rPr>
                        <w:t xml:space="preserve">3 </w:t>
                      </w:r>
                      <w:bookmarkStart w:id="1" w:name="_GoBack"/>
                      <w:bookmarkEnd w:id="1"/>
                      <w:r w:rsidR="000F4E22">
                        <w:rPr>
                          <w:rFonts w:cs="Arial"/>
                          <w:color w:val="FFFFFF"/>
                          <w:szCs w:val="24"/>
                        </w:rPr>
                        <w:t>March</w:t>
                      </w:r>
                      <w:r w:rsidR="0099767E">
                        <w:rPr>
                          <w:rFonts w:cs="Arial"/>
                          <w:color w:val="FFFFFF"/>
                          <w:szCs w:val="24"/>
                        </w:rPr>
                        <w:t xml:space="preserve"> 2015</w:t>
                      </w:r>
                    </w:p>
                  </w:txbxContent>
                </v:textbox>
              </v:shape>
            </w:pict>
          </mc:Fallback>
        </mc:AlternateContent>
      </w: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78077E" w:rsidRDefault="0078077E" w:rsidP="0005164E">
      <w:pPr>
        <w:pStyle w:val="Contentsbodystyle"/>
        <w:spacing w:before="0"/>
        <w:rPr>
          <w:sz w:val="16"/>
          <w:szCs w:val="16"/>
        </w:rPr>
      </w:pPr>
    </w:p>
    <w:p w:rsidR="0005164E" w:rsidRPr="0078077E" w:rsidRDefault="0005164E" w:rsidP="009F2DA5">
      <w:pPr>
        <w:pStyle w:val="Contentsbodystyle"/>
        <w:spacing w:before="0"/>
        <w:rPr>
          <w:b/>
          <w:sz w:val="16"/>
          <w:szCs w:val="16"/>
        </w:rPr>
      </w:pPr>
      <w:r w:rsidRPr="0078077E">
        <w:rPr>
          <w:b/>
          <w:sz w:val="16"/>
          <w:szCs w:val="16"/>
        </w:rPr>
        <w:t>Copyright</w:t>
      </w:r>
    </w:p>
    <w:p w:rsidR="0005164E" w:rsidRPr="0005164E" w:rsidRDefault="0005164E" w:rsidP="009F2DA5">
      <w:pPr>
        <w:pStyle w:val="Contentsbodystyle"/>
        <w:spacing w:before="0"/>
        <w:rPr>
          <w:sz w:val="16"/>
          <w:szCs w:val="16"/>
        </w:rPr>
      </w:pPr>
      <w:r w:rsidRPr="0005164E">
        <w:rPr>
          <w:sz w:val="16"/>
          <w:szCs w:val="16"/>
        </w:rPr>
        <w:t>All content in this publication is provided under</w:t>
      </w:r>
      <w:r w:rsidR="0078077E">
        <w:rPr>
          <w:sz w:val="16"/>
          <w:szCs w:val="16"/>
        </w:rPr>
        <w:t xml:space="preserve"> a Creative Commons Attribution</w:t>
      </w:r>
      <w:r w:rsidR="0078077E">
        <w:rPr>
          <w:sz w:val="16"/>
          <w:szCs w:val="16"/>
        </w:rPr>
        <w:br/>
      </w:r>
      <w:r w:rsidRPr="0005164E">
        <w:rPr>
          <w:sz w:val="16"/>
          <w:szCs w:val="16"/>
        </w:rPr>
        <w:t>4.0 Int</w:t>
      </w:r>
      <w:r w:rsidR="0078077E">
        <w:rPr>
          <w:sz w:val="16"/>
          <w:szCs w:val="16"/>
        </w:rPr>
        <w:t>ernational (CC BY 4.0) licence.</w:t>
      </w:r>
      <w:r w:rsidR="0078077E">
        <w:rPr>
          <w:sz w:val="16"/>
          <w:szCs w:val="16"/>
        </w:rPr>
        <w:br/>
      </w:r>
      <w:r w:rsidRPr="0005164E">
        <w:rPr>
          <w:sz w:val="16"/>
          <w:szCs w:val="16"/>
        </w:rPr>
        <w:t>http://creativecommons.org/licenses/by/4.0/ with the exception of:</w:t>
      </w:r>
    </w:p>
    <w:p w:rsidR="0005164E" w:rsidRPr="0005164E" w:rsidRDefault="0005164E" w:rsidP="0074009B">
      <w:pPr>
        <w:pStyle w:val="Contentsbodystyle"/>
        <w:numPr>
          <w:ilvl w:val="0"/>
          <w:numId w:val="4"/>
        </w:numPr>
        <w:spacing w:before="0"/>
        <w:ind w:left="567"/>
        <w:rPr>
          <w:sz w:val="16"/>
          <w:szCs w:val="16"/>
        </w:rPr>
      </w:pPr>
      <w:r w:rsidRPr="0005164E">
        <w:rPr>
          <w:sz w:val="16"/>
          <w:szCs w:val="16"/>
        </w:rPr>
        <w:t>the Commonwealth Coat of Arms,</w:t>
      </w:r>
    </w:p>
    <w:p w:rsidR="0005164E" w:rsidRPr="0005164E" w:rsidRDefault="0005164E" w:rsidP="0074009B">
      <w:pPr>
        <w:pStyle w:val="Contentsbodystyle"/>
        <w:numPr>
          <w:ilvl w:val="0"/>
          <w:numId w:val="4"/>
        </w:numPr>
        <w:spacing w:before="0"/>
        <w:ind w:left="567"/>
        <w:rPr>
          <w:sz w:val="16"/>
          <w:szCs w:val="16"/>
        </w:rPr>
      </w:pPr>
      <w:r w:rsidRPr="0005164E">
        <w:rPr>
          <w:sz w:val="16"/>
          <w:szCs w:val="16"/>
        </w:rPr>
        <w:t>IP Australia’s corporate logo</w:t>
      </w:r>
    </w:p>
    <w:p w:rsidR="0005164E" w:rsidRPr="0005164E" w:rsidRDefault="0005164E" w:rsidP="0074009B">
      <w:pPr>
        <w:pStyle w:val="Contentsbodystyle"/>
        <w:numPr>
          <w:ilvl w:val="0"/>
          <w:numId w:val="4"/>
        </w:numPr>
        <w:spacing w:before="0"/>
        <w:ind w:left="567"/>
        <w:rPr>
          <w:sz w:val="16"/>
          <w:szCs w:val="16"/>
        </w:rPr>
      </w:pPr>
      <w:r w:rsidRPr="0005164E">
        <w:rPr>
          <w:sz w:val="16"/>
          <w:szCs w:val="16"/>
        </w:rPr>
        <w:t>photographs of our staff and premises</w:t>
      </w:r>
    </w:p>
    <w:p w:rsidR="0005164E" w:rsidRPr="0005164E" w:rsidRDefault="0005164E" w:rsidP="0074009B">
      <w:pPr>
        <w:pStyle w:val="Contentsbodystyle"/>
        <w:numPr>
          <w:ilvl w:val="0"/>
          <w:numId w:val="4"/>
        </w:numPr>
        <w:spacing w:before="0"/>
        <w:ind w:left="567"/>
        <w:rPr>
          <w:sz w:val="16"/>
          <w:szCs w:val="16"/>
        </w:rPr>
      </w:pPr>
      <w:r w:rsidRPr="0005164E">
        <w:rPr>
          <w:sz w:val="16"/>
          <w:szCs w:val="16"/>
        </w:rPr>
        <w:t>content provided by third parties – including p</w:t>
      </w:r>
      <w:r w:rsidR="0078077E">
        <w:rPr>
          <w:sz w:val="16"/>
          <w:szCs w:val="16"/>
        </w:rPr>
        <w:t xml:space="preserve">hotographs, logos, drawings </w:t>
      </w:r>
      <w:r w:rsidR="0078077E">
        <w:rPr>
          <w:sz w:val="16"/>
          <w:szCs w:val="16"/>
        </w:rPr>
        <w:br/>
        <w:t xml:space="preserve">and </w:t>
      </w:r>
      <w:r w:rsidRPr="0005164E">
        <w:rPr>
          <w:sz w:val="16"/>
          <w:szCs w:val="16"/>
        </w:rPr>
        <w:t>written descriptions of patents and designs</w:t>
      </w:r>
    </w:p>
    <w:p w:rsidR="0078077E" w:rsidRDefault="0078077E" w:rsidP="0074009B">
      <w:pPr>
        <w:pStyle w:val="Contentsbodystyle"/>
        <w:spacing w:before="0"/>
        <w:ind w:left="567"/>
        <w:rPr>
          <w:sz w:val="16"/>
          <w:szCs w:val="16"/>
        </w:rPr>
      </w:pPr>
    </w:p>
    <w:p w:rsidR="0005164E" w:rsidRPr="0078077E" w:rsidRDefault="0005164E" w:rsidP="009F2DA5">
      <w:pPr>
        <w:pStyle w:val="Contentsbodystyle"/>
        <w:spacing w:before="0"/>
        <w:rPr>
          <w:b/>
          <w:sz w:val="16"/>
          <w:szCs w:val="16"/>
        </w:rPr>
      </w:pPr>
      <w:r w:rsidRPr="0078077E">
        <w:rPr>
          <w:b/>
          <w:sz w:val="16"/>
          <w:szCs w:val="16"/>
        </w:rPr>
        <w:t>Third party copyright</w:t>
      </w:r>
    </w:p>
    <w:p w:rsidR="0005164E" w:rsidRPr="0005164E" w:rsidRDefault="0005164E" w:rsidP="009F2DA5">
      <w:pPr>
        <w:pStyle w:val="Contentsbodystyle"/>
        <w:spacing w:before="0"/>
        <w:rPr>
          <w:sz w:val="16"/>
          <w:szCs w:val="16"/>
        </w:rPr>
      </w:pPr>
      <w:r w:rsidRPr="0005164E">
        <w:rPr>
          <w:sz w:val="16"/>
          <w:szCs w:val="16"/>
        </w:rPr>
        <w:t>IP Australia has made all reasonable efforts to:</w:t>
      </w:r>
    </w:p>
    <w:p w:rsidR="0005164E" w:rsidRPr="0005164E" w:rsidRDefault="0005164E" w:rsidP="0074009B">
      <w:pPr>
        <w:pStyle w:val="Contentsbodystyle"/>
        <w:numPr>
          <w:ilvl w:val="0"/>
          <w:numId w:val="5"/>
        </w:numPr>
        <w:spacing w:before="0"/>
        <w:ind w:left="567"/>
        <w:rPr>
          <w:sz w:val="16"/>
          <w:szCs w:val="16"/>
        </w:rPr>
      </w:pPr>
      <w:r w:rsidRPr="0005164E">
        <w:rPr>
          <w:sz w:val="16"/>
          <w:szCs w:val="16"/>
        </w:rPr>
        <w:t>clearly label material where the copyright is owned by a third party</w:t>
      </w:r>
    </w:p>
    <w:p w:rsidR="0005164E" w:rsidRPr="0078077E" w:rsidRDefault="0005164E" w:rsidP="0074009B">
      <w:pPr>
        <w:pStyle w:val="Contentsbodystyle"/>
        <w:numPr>
          <w:ilvl w:val="0"/>
          <w:numId w:val="5"/>
        </w:numPr>
        <w:spacing w:before="0"/>
        <w:ind w:left="567"/>
        <w:rPr>
          <w:sz w:val="16"/>
          <w:szCs w:val="16"/>
        </w:rPr>
      </w:pPr>
      <w:proofErr w:type="gramStart"/>
      <w:r w:rsidRPr="0005164E">
        <w:rPr>
          <w:sz w:val="16"/>
          <w:szCs w:val="16"/>
        </w:rPr>
        <w:t>ensure</w:t>
      </w:r>
      <w:proofErr w:type="gramEnd"/>
      <w:r w:rsidRPr="0005164E">
        <w:rPr>
          <w:sz w:val="16"/>
          <w:szCs w:val="16"/>
        </w:rPr>
        <w:t xml:space="preserve"> that the third party has consented to this material being presented</w:t>
      </w:r>
      <w:r w:rsidR="0078077E">
        <w:rPr>
          <w:sz w:val="16"/>
          <w:szCs w:val="16"/>
        </w:rPr>
        <w:br/>
      </w:r>
      <w:r w:rsidRPr="0078077E">
        <w:rPr>
          <w:sz w:val="16"/>
          <w:szCs w:val="16"/>
        </w:rPr>
        <w:t>in this publication.</w:t>
      </w:r>
    </w:p>
    <w:p w:rsidR="0005164E" w:rsidRPr="0005164E" w:rsidRDefault="0005164E" w:rsidP="009F2DA5">
      <w:pPr>
        <w:pStyle w:val="Contentsbodystyle"/>
        <w:spacing w:before="0"/>
        <w:rPr>
          <w:sz w:val="16"/>
          <w:szCs w:val="16"/>
        </w:rPr>
      </w:pPr>
      <w:r w:rsidRPr="0005164E">
        <w:rPr>
          <w:sz w:val="16"/>
          <w:szCs w:val="16"/>
        </w:rPr>
        <w:t>Permission may need to be obtained from third parties to re-use their material.</w:t>
      </w:r>
    </w:p>
    <w:p w:rsidR="0005164E" w:rsidRPr="0005164E" w:rsidRDefault="0005164E" w:rsidP="009F2DA5">
      <w:pPr>
        <w:pStyle w:val="Contentsbodystyle"/>
        <w:spacing w:before="0"/>
        <w:rPr>
          <w:sz w:val="16"/>
          <w:szCs w:val="16"/>
        </w:rPr>
      </w:pPr>
      <w:r w:rsidRPr="0005164E">
        <w:rPr>
          <w:sz w:val="16"/>
          <w:szCs w:val="16"/>
        </w:rPr>
        <w:t xml:space="preserve">© Commonwealth of Australia </w:t>
      </w:r>
      <w:r w:rsidR="00CB4C34">
        <w:rPr>
          <w:sz w:val="16"/>
          <w:szCs w:val="16"/>
        </w:rPr>
        <w:t>2015</w:t>
      </w:r>
    </w:p>
    <w:p w:rsidR="0078077E" w:rsidRDefault="00A427CD" w:rsidP="009F2DA5">
      <w:pPr>
        <w:pStyle w:val="Contentsbodystyle"/>
        <w:spacing w:before="0"/>
        <w:rPr>
          <w:sz w:val="16"/>
          <w:szCs w:val="16"/>
        </w:rPr>
      </w:pPr>
      <w:r>
        <w:rPr>
          <w:noProof/>
          <w:sz w:val="20"/>
          <w:lang w:val="en-AU"/>
        </w:rPr>
        <w:drawing>
          <wp:inline distT="0" distB="0" distL="0" distR="0" wp14:anchorId="740240BE" wp14:editId="157AC01F">
            <wp:extent cx="985520" cy="344170"/>
            <wp:effectExtent l="0" t="0" r="508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5520" cy="344170"/>
                    </a:xfrm>
                    <a:prstGeom prst="rect">
                      <a:avLst/>
                    </a:prstGeom>
                    <a:noFill/>
                    <a:ln>
                      <a:noFill/>
                    </a:ln>
                  </pic:spPr>
                </pic:pic>
              </a:graphicData>
            </a:graphic>
          </wp:inline>
        </w:drawing>
      </w:r>
    </w:p>
    <w:p w:rsidR="0078077E" w:rsidRDefault="0078077E" w:rsidP="009F2DA5">
      <w:pPr>
        <w:pStyle w:val="Contentsbodystyle"/>
        <w:spacing w:before="0"/>
        <w:rPr>
          <w:sz w:val="16"/>
          <w:szCs w:val="16"/>
        </w:rPr>
      </w:pPr>
    </w:p>
    <w:p w:rsidR="0005164E" w:rsidRPr="0078077E" w:rsidRDefault="0005164E" w:rsidP="009F2DA5">
      <w:pPr>
        <w:pStyle w:val="Contentsbodystyle"/>
        <w:spacing w:before="0"/>
        <w:rPr>
          <w:b/>
          <w:sz w:val="16"/>
          <w:szCs w:val="16"/>
        </w:rPr>
      </w:pPr>
      <w:r w:rsidRPr="0078077E">
        <w:rPr>
          <w:b/>
          <w:sz w:val="16"/>
          <w:szCs w:val="16"/>
        </w:rPr>
        <w:t>Attribution</w:t>
      </w:r>
    </w:p>
    <w:p w:rsidR="0005164E" w:rsidRPr="0005164E" w:rsidRDefault="0005164E" w:rsidP="009F2DA5">
      <w:pPr>
        <w:pStyle w:val="Contentsbodystyle"/>
        <w:spacing w:before="0"/>
        <w:rPr>
          <w:sz w:val="16"/>
          <w:szCs w:val="16"/>
        </w:rPr>
      </w:pPr>
      <w:r w:rsidRPr="0005164E">
        <w:rPr>
          <w:sz w:val="16"/>
          <w:szCs w:val="16"/>
        </w:rPr>
        <w:t>The CC BY licence is a standard form licen</w:t>
      </w:r>
      <w:r w:rsidR="0078077E">
        <w:rPr>
          <w:sz w:val="16"/>
          <w:szCs w:val="16"/>
        </w:rPr>
        <w:t>ce agreement that allows you to</w:t>
      </w:r>
      <w:r w:rsidR="0078077E">
        <w:rPr>
          <w:sz w:val="16"/>
          <w:szCs w:val="16"/>
        </w:rPr>
        <w:br/>
      </w:r>
      <w:r w:rsidRPr="0005164E">
        <w:rPr>
          <w:sz w:val="16"/>
          <w:szCs w:val="16"/>
        </w:rPr>
        <w:t>copy and redistribute the material in any medi</w:t>
      </w:r>
      <w:r w:rsidR="0078077E">
        <w:rPr>
          <w:sz w:val="16"/>
          <w:szCs w:val="16"/>
        </w:rPr>
        <w:t>um or format, as well as remix,</w:t>
      </w:r>
      <w:r w:rsidR="0078077E">
        <w:rPr>
          <w:sz w:val="16"/>
          <w:szCs w:val="16"/>
        </w:rPr>
        <w:br/>
      </w:r>
      <w:r w:rsidRPr="0005164E">
        <w:rPr>
          <w:sz w:val="16"/>
          <w:szCs w:val="16"/>
        </w:rPr>
        <w:t>transform, and build upon the material, on the co</w:t>
      </w:r>
      <w:r w:rsidR="0078077E">
        <w:rPr>
          <w:sz w:val="16"/>
          <w:szCs w:val="16"/>
        </w:rPr>
        <w:t>ndition that you provide a link</w:t>
      </w:r>
      <w:r w:rsidR="0078077E">
        <w:rPr>
          <w:sz w:val="16"/>
          <w:szCs w:val="16"/>
        </w:rPr>
        <w:br/>
      </w:r>
      <w:r w:rsidRPr="0005164E">
        <w:rPr>
          <w:sz w:val="16"/>
          <w:szCs w:val="16"/>
        </w:rPr>
        <w:t>to the licence, you indicate if changes w</w:t>
      </w:r>
      <w:r w:rsidR="0078077E">
        <w:rPr>
          <w:sz w:val="16"/>
          <w:szCs w:val="16"/>
        </w:rPr>
        <w:t>ere made, and you attribute the</w:t>
      </w:r>
      <w:r w:rsidR="0078077E">
        <w:rPr>
          <w:sz w:val="16"/>
          <w:szCs w:val="16"/>
        </w:rPr>
        <w:br/>
      </w:r>
      <w:r w:rsidRPr="0005164E">
        <w:rPr>
          <w:sz w:val="16"/>
          <w:szCs w:val="16"/>
        </w:rPr>
        <w:t>material as follows:</w:t>
      </w:r>
    </w:p>
    <w:p w:rsidR="0078077E" w:rsidRDefault="0078077E" w:rsidP="009F2DA5">
      <w:pPr>
        <w:pStyle w:val="Contentsbodystyle"/>
        <w:spacing w:before="0"/>
        <w:ind w:left="207"/>
        <w:rPr>
          <w:sz w:val="16"/>
          <w:szCs w:val="16"/>
        </w:rPr>
      </w:pPr>
    </w:p>
    <w:p w:rsidR="0005164E" w:rsidRPr="0005164E" w:rsidRDefault="0005164E" w:rsidP="009F2DA5">
      <w:pPr>
        <w:pStyle w:val="Contentsbodystyle"/>
        <w:spacing w:before="0"/>
        <w:rPr>
          <w:sz w:val="16"/>
          <w:szCs w:val="16"/>
        </w:rPr>
      </w:pPr>
      <w:r w:rsidRPr="0005164E">
        <w:rPr>
          <w:sz w:val="16"/>
          <w:szCs w:val="16"/>
        </w:rPr>
        <w:t>Licensed from the Commonwealt</w:t>
      </w:r>
      <w:r w:rsidR="0078077E">
        <w:rPr>
          <w:sz w:val="16"/>
          <w:szCs w:val="16"/>
        </w:rPr>
        <w:t>h of Australia under</w:t>
      </w:r>
      <w:r w:rsidR="0078077E">
        <w:rPr>
          <w:sz w:val="16"/>
          <w:szCs w:val="16"/>
        </w:rPr>
        <w:br/>
      </w:r>
      <w:r w:rsidRPr="0005164E">
        <w:rPr>
          <w:sz w:val="16"/>
          <w:szCs w:val="16"/>
        </w:rPr>
        <w:t xml:space="preserve">a Creative Commons Attribution 4.0 International </w:t>
      </w:r>
      <w:proofErr w:type="gramStart"/>
      <w:r w:rsidRPr="0005164E">
        <w:rPr>
          <w:sz w:val="16"/>
          <w:szCs w:val="16"/>
        </w:rPr>
        <w:t>Licence</w:t>
      </w:r>
      <w:proofErr w:type="gramEnd"/>
      <w:r w:rsidRPr="0005164E">
        <w:rPr>
          <w:sz w:val="16"/>
          <w:szCs w:val="16"/>
        </w:rPr>
        <w:t>.</w:t>
      </w:r>
    </w:p>
    <w:p w:rsidR="0078077E" w:rsidRDefault="0078077E" w:rsidP="009F2DA5">
      <w:pPr>
        <w:pStyle w:val="Contentsbodystyle"/>
        <w:spacing w:before="0"/>
        <w:rPr>
          <w:sz w:val="16"/>
          <w:szCs w:val="16"/>
        </w:rPr>
      </w:pPr>
    </w:p>
    <w:p w:rsidR="0005164E" w:rsidRPr="0005164E" w:rsidRDefault="0005164E" w:rsidP="009F2DA5">
      <w:pPr>
        <w:pStyle w:val="Contentsbodystyle"/>
        <w:spacing w:before="0"/>
        <w:rPr>
          <w:sz w:val="16"/>
          <w:szCs w:val="16"/>
        </w:rPr>
      </w:pPr>
      <w:r w:rsidRPr="0005164E">
        <w:rPr>
          <w:sz w:val="16"/>
          <w:szCs w:val="16"/>
        </w:rPr>
        <w:t xml:space="preserve">Contact us (www.ipaustralia.gov.au) if </w:t>
      </w:r>
      <w:r w:rsidR="0078077E">
        <w:rPr>
          <w:sz w:val="16"/>
          <w:szCs w:val="16"/>
        </w:rPr>
        <w:t xml:space="preserve">you have any enquiries about </w:t>
      </w:r>
      <w:r w:rsidR="0078077E">
        <w:rPr>
          <w:sz w:val="16"/>
          <w:szCs w:val="16"/>
        </w:rPr>
        <w:br/>
        <w:t xml:space="preserve">IP </w:t>
      </w:r>
      <w:r w:rsidRPr="0005164E">
        <w:rPr>
          <w:sz w:val="16"/>
          <w:szCs w:val="16"/>
        </w:rPr>
        <w:t>Australia’s copyright licence or the use of material in this publication.</w:t>
      </w:r>
    </w:p>
    <w:p w:rsidR="0005164E" w:rsidRPr="0005164E" w:rsidRDefault="0005164E" w:rsidP="0005164E">
      <w:pPr>
        <w:pStyle w:val="Contentsbodystyle"/>
        <w:spacing w:before="0"/>
        <w:rPr>
          <w:sz w:val="16"/>
          <w:szCs w:val="16"/>
        </w:rPr>
      </w:pPr>
    </w:p>
    <w:p w:rsidR="0005164E" w:rsidRDefault="0005164E" w:rsidP="006F657C">
      <w:pPr>
        <w:pStyle w:val="Contents"/>
        <w:sectPr w:rsidR="0005164E" w:rsidSect="00556937">
          <w:headerReference w:type="default" r:id="rId21"/>
          <w:footerReference w:type="default" r:id="rId22"/>
          <w:headerReference w:type="first" r:id="rId23"/>
          <w:footerReference w:type="first" r:id="rId24"/>
          <w:pgSz w:w="11906" w:h="16838"/>
          <w:pgMar w:top="1418" w:right="1134" w:bottom="720" w:left="1134" w:header="720" w:footer="720" w:gutter="0"/>
          <w:pgNumType w:start="1"/>
          <w:cols w:space="720"/>
          <w:noEndnote/>
          <w:docGrid w:linePitch="299"/>
        </w:sectPr>
      </w:pPr>
    </w:p>
    <w:p w:rsidR="006F657C" w:rsidRDefault="006F657C" w:rsidP="0074009B">
      <w:pPr>
        <w:pStyle w:val="Contents"/>
        <w:ind w:left="709"/>
      </w:pPr>
      <w:r>
        <w:lastRenderedPageBreak/>
        <w:t>Contents</w:t>
      </w:r>
    </w:p>
    <w:p w:rsidR="001829AC" w:rsidRDefault="00135456">
      <w:pPr>
        <w:pStyle w:val="TOC2"/>
        <w:tabs>
          <w:tab w:val="right" w:leader="dot" w:pos="9628"/>
        </w:tabs>
        <w:rPr>
          <w:rFonts w:asciiTheme="minorHAnsi" w:eastAsiaTheme="minorEastAsia" w:hAnsiTheme="minorHAnsi" w:cstheme="minorBidi"/>
          <w:bCs w:val="0"/>
          <w:noProof/>
          <w:color w:val="auto"/>
          <w:lang w:val="en-AU" w:eastAsia="en-AU"/>
        </w:rPr>
      </w:pPr>
      <w:r>
        <w:fldChar w:fldCharType="begin"/>
      </w:r>
      <w:r>
        <w:instrText xml:space="preserve"> TOC \o "1-3" \h \z \u </w:instrText>
      </w:r>
      <w:r>
        <w:fldChar w:fldCharType="separate"/>
      </w:r>
      <w:hyperlink w:anchor="_Toc412625668" w:history="1">
        <w:r w:rsidR="001829AC" w:rsidRPr="00901322">
          <w:rPr>
            <w:rStyle w:val="Hyperlink"/>
            <w:noProof/>
          </w:rPr>
          <w:t>Introduction</w:t>
        </w:r>
        <w:r w:rsidR="001829AC">
          <w:rPr>
            <w:noProof/>
            <w:webHidden/>
          </w:rPr>
          <w:tab/>
        </w:r>
        <w:r w:rsidR="001829AC">
          <w:rPr>
            <w:noProof/>
            <w:webHidden/>
          </w:rPr>
          <w:fldChar w:fldCharType="begin"/>
        </w:r>
        <w:r w:rsidR="001829AC">
          <w:rPr>
            <w:noProof/>
            <w:webHidden/>
          </w:rPr>
          <w:instrText xml:space="preserve"> PAGEREF _Toc412625668 \h </w:instrText>
        </w:r>
        <w:r w:rsidR="001829AC">
          <w:rPr>
            <w:noProof/>
            <w:webHidden/>
          </w:rPr>
        </w:r>
        <w:r w:rsidR="001829AC">
          <w:rPr>
            <w:noProof/>
            <w:webHidden/>
          </w:rPr>
          <w:fldChar w:fldCharType="separate"/>
        </w:r>
        <w:r w:rsidR="009A718E">
          <w:rPr>
            <w:noProof/>
            <w:webHidden/>
          </w:rPr>
          <w:t>1</w:t>
        </w:r>
        <w:r w:rsidR="001829AC">
          <w:rPr>
            <w:noProof/>
            <w:webHidden/>
          </w:rPr>
          <w:fldChar w:fldCharType="end"/>
        </w:r>
      </w:hyperlink>
    </w:p>
    <w:p w:rsidR="001829AC" w:rsidRDefault="00F3465A">
      <w:pPr>
        <w:pStyle w:val="TOC2"/>
        <w:tabs>
          <w:tab w:val="right" w:leader="dot" w:pos="9628"/>
        </w:tabs>
        <w:rPr>
          <w:rFonts w:asciiTheme="minorHAnsi" w:eastAsiaTheme="minorEastAsia" w:hAnsiTheme="minorHAnsi" w:cstheme="minorBidi"/>
          <w:bCs w:val="0"/>
          <w:noProof/>
          <w:color w:val="auto"/>
          <w:lang w:val="en-AU" w:eastAsia="en-AU"/>
        </w:rPr>
      </w:pPr>
      <w:hyperlink w:anchor="_Toc412625669" w:history="1">
        <w:r w:rsidR="001829AC" w:rsidRPr="00901322">
          <w:rPr>
            <w:rStyle w:val="Hyperlink"/>
            <w:noProof/>
          </w:rPr>
          <w:t>Summary</w:t>
        </w:r>
        <w:r w:rsidR="001829AC">
          <w:rPr>
            <w:noProof/>
            <w:webHidden/>
          </w:rPr>
          <w:tab/>
        </w:r>
        <w:r w:rsidR="001829AC">
          <w:rPr>
            <w:noProof/>
            <w:webHidden/>
          </w:rPr>
          <w:fldChar w:fldCharType="begin"/>
        </w:r>
        <w:r w:rsidR="001829AC">
          <w:rPr>
            <w:noProof/>
            <w:webHidden/>
          </w:rPr>
          <w:instrText xml:space="preserve"> PAGEREF _Toc412625669 \h </w:instrText>
        </w:r>
        <w:r w:rsidR="001829AC">
          <w:rPr>
            <w:noProof/>
            <w:webHidden/>
          </w:rPr>
        </w:r>
        <w:r w:rsidR="001829AC">
          <w:rPr>
            <w:noProof/>
            <w:webHidden/>
          </w:rPr>
          <w:fldChar w:fldCharType="separate"/>
        </w:r>
        <w:r w:rsidR="009A718E">
          <w:rPr>
            <w:noProof/>
            <w:webHidden/>
          </w:rPr>
          <w:t>1</w:t>
        </w:r>
        <w:r w:rsidR="001829AC">
          <w:rPr>
            <w:noProof/>
            <w:webHidden/>
          </w:rPr>
          <w:fldChar w:fldCharType="end"/>
        </w:r>
      </w:hyperlink>
    </w:p>
    <w:p w:rsidR="001829AC" w:rsidRDefault="00F3465A">
      <w:pPr>
        <w:pStyle w:val="TOC2"/>
        <w:tabs>
          <w:tab w:val="right" w:leader="dot" w:pos="9628"/>
        </w:tabs>
        <w:rPr>
          <w:rFonts w:asciiTheme="minorHAnsi" w:eastAsiaTheme="minorEastAsia" w:hAnsiTheme="minorHAnsi" w:cstheme="minorBidi"/>
          <w:bCs w:val="0"/>
          <w:noProof/>
          <w:color w:val="auto"/>
          <w:lang w:val="en-AU" w:eastAsia="en-AU"/>
        </w:rPr>
      </w:pPr>
      <w:hyperlink w:anchor="_Toc412625670" w:history="1">
        <w:r w:rsidR="001829AC" w:rsidRPr="00901322">
          <w:rPr>
            <w:rStyle w:val="Hyperlink"/>
            <w:noProof/>
          </w:rPr>
          <w:t>Background</w:t>
        </w:r>
        <w:r w:rsidR="001829AC">
          <w:rPr>
            <w:noProof/>
            <w:webHidden/>
          </w:rPr>
          <w:tab/>
        </w:r>
        <w:r w:rsidR="001829AC">
          <w:rPr>
            <w:noProof/>
            <w:webHidden/>
          </w:rPr>
          <w:fldChar w:fldCharType="begin"/>
        </w:r>
        <w:r w:rsidR="001829AC">
          <w:rPr>
            <w:noProof/>
            <w:webHidden/>
          </w:rPr>
          <w:instrText xml:space="preserve"> PAGEREF _Toc412625670 \h </w:instrText>
        </w:r>
        <w:r w:rsidR="001829AC">
          <w:rPr>
            <w:noProof/>
            <w:webHidden/>
          </w:rPr>
        </w:r>
        <w:r w:rsidR="001829AC">
          <w:rPr>
            <w:noProof/>
            <w:webHidden/>
          </w:rPr>
          <w:fldChar w:fldCharType="separate"/>
        </w:r>
        <w:r w:rsidR="009A718E">
          <w:rPr>
            <w:noProof/>
            <w:webHidden/>
          </w:rPr>
          <w:t>1</w:t>
        </w:r>
        <w:r w:rsidR="001829AC">
          <w:rPr>
            <w:noProof/>
            <w:webHidden/>
          </w:rPr>
          <w:fldChar w:fldCharType="end"/>
        </w:r>
      </w:hyperlink>
    </w:p>
    <w:p w:rsidR="001829AC" w:rsidRDefault="00F3465A">
      <w:pPr>
        <w:pStyle w:val="TOC3"/>
        <w:tabs>
          <w:tab w:val="right" w:leader="dot" w:pos="9628"/>
        </w:tabs>
        <w:rPr>
          <w:rFonts w:asciiTheme="minorHAnsi" w:eastAsiaTheme="minorEastAsia" w:hAnsiTheme="minorHAnsi" w:cstheme="minorBidi"/>
          <w:bCs w:val="0"/>
          <w:noProof/>
          <w:color w:val="auto"/>
          <w:lang w:val="en-AU" w:eastAsia="en-AU"/>
        </w:rPr>
      </w:pPr>
      <w:hyperlink w:anchor="_Toc412625671" w:history="1">
        <w:r w:rsidR="001829AC" w:rsidRPr="00901322">
          <w:rPr>
            <w:rStyle w:val="Hyperlink"/>
            <w:noProof/>
          </w:rPr>
          <w:t>Purpose of the TTMRA</w:t>
        </w:r>
        <w:r w:rsidR="001829AC">
          <w:rPr>
            <w:noProof/>
            <w:webHidden/>
          </w:rPr>
          <w:tab/>
        </w:r>
        <w:r w:rsidR="001829AC">
          <w:rPr>
            <w:noProof/>
            <w:webHidden/>
          </w:rPr>
          <w:fldChar w:fldCharType="begin"/>
        </w:r>
        <w:r w:rsidR="001829AC">
          <w:rPr>
            <w:noProof/>
            <w:webHidden/>
          </w:rPr>
          <w:instrText xml:space="preserve"> PAGEREF _Toc412625671 \h </w:instrText>
        </w:r>
        <w:r w:rsidR="001829AC">
          <w:rPr>
            <w:noProof/>
            <w:webHidden/>
          </w:rPr>
        </w:r>
        <w:r w:rsidR="001829AC">
          <w:rPr>
            <w:noProof/>
            <w:webHidden/>
          </w:rPr>
          <w:fldChar w:fldCharType="separate"/>
        </w:r>
        <w:r w:rsidR="009A718E">
          <w:rPr>
            <w:noProof/>
            <w:webHidden/>
          </w:rPr>
          <w:t>1</w:t>
        </w:r>
        <w:r w:rsidR="001829AC">
          <w:rPr>
            <w:noProof/>
            <w:webHidden/>
          </w:rPr>
          <w:fldChar w:fldCharType="end"/>
        </w:r>
      </w:hyperlink>
    </w:p>
    <w:p w:rsidR="001829AC" w:rsidRDefault="00F3465A">
      <w:pPr>
        <w:pStyle w:val="TOC3"/>
        <w:tabs>
          <w:tab w:val="right" w:leader="dot" w:pos="9628"/>
        </w:tabs>
        <w:rPr>
          <w:rFonts w:asciiTheme="minorHAnsi" w:eastAsiaTheme="minorEastAsia" w:hAnsiTheme="minorHAnsi" w:cstheme="minorBidi"/>
          <w:bCs w:val="0"/>
          <w:noProof/>
          <w:color w:val="auto"/>
          <w:lang w:val="en-AU" w:eastAsia="en-AU"/>
        </w:rPr>
      </w:pPr>
      <w:hyperlink w:anchor="_Toc412625672" w:history="1">
        <w:r w:rsidR="001829AC" w:rsidRPr="00901322">
          <w:rPr>
            <w:rStyle w:val="Hyperlink"/>
            <w:noProof/>
          </w:rPr>
          <w:t>Exceptions to operation of TTMRA—Intellectual Property</w:t>
        </w:r>
        <w:r w:rsidR="001829AC">
          <w:rPr>
            <w:noProof/>
            <w:webHidden/>
          </w:rPr>
          <w:tab/>
        </w:r>
        <w:r w:rsidR="001829AC">
          <w:rPr>
            <w:noProof/>
            <w:webHidden/>
          </w:rPr>
          <w:fldChar w:fldCharType="begin"/>
        </w:r>
        <w:r w:rsidR="001829AC">
          <w:rPr>
            <w:noProof/>
            <w:webHidden/>
          </w:rPr>
          <w:instrText xml:space="preserve"> PAGEREF _Toc412625672 \h </w:instrText>
        </w:r>
        <w:r w:rsidR="001829AC">
          <w:rPr>
            <w:noProof/>
            <w:webHidden/>
          </w:rPr>
        </w:r>
        <w:r w:rsidR="001829AC">
          <w:rPr>
            <w:noProof/>
            <w:webHidden/>
          </w:rPr>
          <w:fldChar w:fldCharType="separate"/>
        </w:r>
        <w:r w:rsidR="009A718E">
          <w:rPr>
            <w:noProof/>
            <w:webHidden/>
          </w:rPr>
          <w:t>2</w:t>
        </w:r>
        <w:r w:rsidR="001829AC">
          <w:rPr>
            <w:noProof/>
            <w:webHidden/>
          </w:rPr>
          <w:fldChar w:fldCharType="end"/>
        </w:r>
      </w:hyperlink>
    </w:p>
    <w:p w:rsidR="001829AC" w:rsidRDefault="00F3465A">
      <w:pPr>
        <w:pStyle w:val="TOC3"/>
        <w:tabs>
          <w:tab w:val="right" w:leader="dot" w:pos="9628"/>
        </w:tabs>
        <w:rPr>
          <w:rFonts w:asciiTheme="minorHAnsi" w:eastAsiaTheme="minorEastAsia" w:hAnsiTheme="minorHAnsi" w:cstheme="minorBidi"/>
          <w:bCs w:val="0"/>
          <w:noProof/>
          <w:color w:val="auto"/>
          <w:lang w:val="en-AU" w:eastAsia="en-AU"/>
        </w:rPr>
      </w:pPr>
      <w:hyperlink w:anchor="_Toc412625673" w:history="1">
        <w:r w:rsidR="001829AC" w:rsidRPr="00901322">
          <w:rPr>
            <w:rStyle w:val="Hyperlink"/>
            <w:noProof/>
          </w:rPr>
          <w:t>Current trans-Tasman initiatives to reduce the cost of protecting IP in both countries</w:t>
        </w:r>
        <w:r w:rsidR="001829AC">
          <w:rPr>
            <w:noProof/>
            <w:webHidden/>
          </w:rPr>
          <w:tab/>
        </w:r>
        <w:r w:rsidR="001829AC">
          <w:rPr>
            <w:noProof/>
            <w:webHidden/>
          </w:rPr>
          <w:fldChar w:fldCharType="begin"/>
        </w:r>
        <w:r w:rsidR="001829AC">
          <w:rPr>
            <w:noProof/>
            <w:webHidden/>
          </w:rPr>
          <w:instrText xml:space="preserve"> PAGEREF _Toc412625673 \h </w:instrText>
        </w:r>
        <w:r w:rsidR="001829AC">
          <w:rPr>
            <w:noProof/>
            <w:webHidden/>
          </w:rPr>
        </w:r>
        <w:r w:rsidR="001829AC">
          <w:rPr>
            <w:noProof/>
            <w:webHidden/>
          </w:rPr>
          <w:fldChar w:fldCharType="separate"/>
        </w:r>
        <w:r w:rsidR="009A718E">
          <w:rPr>
            <w:noProof/>
            <w:webHidden/>
          </w:rPr>
          <w:t>2</w:t>
        </w:r>
        <w:r w:rsidR="001829AC">
          <w:rPr>
            <w:noProof/>
            <w:webHidden/>
          </w:rPr>
          <w:fldChar w:fldCharType="end"/>
        </w:r>
      </w:hyperlink>
    </w:p>
    <w:p w:rsidR="001829AC" w:rsidRDefault="00F3465A">
      <w:pPr>
        <w:pStyle w:val="TOC2"/>
        <w:tabs>
          <w:tab w:val="right" w:leader="dot" w:pos="9628"/>
        </w:tabs>
        <w:rPr>
          <w:rFonts w:asciiTheme="minorHAnsi" w:eastAsiaTheme="minorEastAsia" w:hAnsiTheme="minorHAnsi" w:cstheme="minorBidi"/>
          <w:bCs w:val="0"/>
          <w:noProof/>
          <w:color w:val="auto"/>
          <w:lang w:val="en-AU" w:eastAsia="en-AU"/>
        </w:rPr>
      </w:pPr>
      <w:hyperlink w:anchor="_Toc412625674" w:history="1">
        <w:r w:rsidR="001829AC" w:rsidRPr="00901322">
          <w:rPr>
            <w:rStyle w:val="Hyperlink"/>
            <w:noProof/>
          </w:rPr>
          <w:t>Responses to Questions 17 to 19</w:t>
        </w:r>
        <w:r w:rsidR="001829AC">
          <w:rPr>
            <w:noProof/>
            <w:webHidden/>
          </w:rPr>
          <w:tab/>
        </w:r>
        <w:r w:rsidR="001829AC">
          <w:rPr>
            <w:noProof/>
            <w:webHidden/>
          </w:rPr>
          <w:fldChar w:fldCharType="begin"/>
        </w:r>
        <w:r w:rsidR="001829AC">
          <w:rPr>
            <w:noProof/>
            <w:webHidden/>
          </w:rPr>
          <w:instrText xml:space="preserve"> PAGEREF _Toc412625674 \h </w:instrText>
        </w:r>
        <w:r w:rsidR="001829AC">
          <w:rPr>
            <w:noProof/>
            <w:webHidden/>
          </w:rPr>
        </w:r>
        <w:r w:rsidR="001829AC">
          <w:rPr>
            <w:noProof/>
            <w:webHidden/>
          </w:rPr>
          <w:fldChar w:fldCharType="separate"/>
        </w:r>
        <w:r w:rsidR="009A718E">
          <w:rPr>
            <w:noProof/>
            <w:webHidden/>
          </w:rPr>
          <w:t>3</w:t>
        </w:r>
        <w:r w:rsidR="001829AC">
          <w:rPr>
            <w:noProof/>
            <w:webHidden/>
          </w:rPr>
          <w:fldChar w:fldCharType="end"/>
        </w:r>
      </w:hyperlink>
    </w:p>
    <w:p w:rsidR="001829AC" w:rsidRDefault="00F3465A">
      <w:pPr>
        <w:pStyle w:val="TOC3"/>
        <w:tabs>
          <w:tab w:val="right" w:leader="dot" w:pos="9628"/>
        </w:tabs>
        <w:rPr>
          <w:rFonts w:asciiTheme="minorHAnsi" w:eastAsiaTheme="minorEastAsia" w:hAnsiTheme="minorHAnsi" w:cstheme="minorBidi"/>
          <w:bCs w:val="0"/>
          <w:noProof/>
          <w:color w:val="auto"/>
          <w:lang w:val="en-AU" w:eastAsia="en-AU"/>
        </w:rPr>
      </w:pPr>
      <w:hyperlink w:anchor="_Toc412625675" w:history="1">
        <w:r w:rsidR="001829AC" w:rsidRPr="00901322">
          <w:rPr>
            <w:rStyle w:val="Hyperlink"/>
            <w:noProof/>
          </w:rPr>
          <w:t>Each country would lose flexibility to optimise its IP systems to suit its needs</w:t>
        </w:r>
        <w:r w:rsidR="001829AC">
          <w:rPr>
            <w:noProof/>
            <w:webHidden/>
          </w:rPr>
          <w:tab/>
        </w:r>
        <w:r w:rsidR="001829AC">
          <w:rPr>
            <w:noProof/>
            <w:webHidden/>
          </w:rPr>
          <w:fldChar w:fldCharType="begin"/>
        </w:r>
        <w:r w:rsidR="001829AC">
          <w:rPr>
            <w:noProof/>
            <w:webHidden/>
          </w:rPr>
          <w:instrText xml:space="preserve"> PAGEREF _Toc412625675 \h </w:instrText>
        </w:r>
        <w:r w:rsidR="001829AC">
          <w:rPr>
            <w:noProof/>
            <w:webHidden/>
          </w:rPr>
        </w:r>
        <w:r w:rsidR="001829AC">
          <w:rPr>
            <w:noProof/>
            <w:webHidden/>
          </w:rPr>
          <w:fldChar w:fldCharType="separate"/>
        </w:r>
        <w:r w:rsidR="009A718E">
          <w:rPr>
            <w:noProof/>
            <w:webHidden/>
          </w:rPr>
          <w:t>3</w:t>
        </w:r>
        <w:r w:rsidR="001829AC">
          <w:rPr>
            <w:noProof/>
            <w:webHidden/>
          </w:rPr>
          <w:fldChar w:fldCharType="end"/>
        </w:r>
      </w:hyperlink>
    </w:p>
    <w:p w:rsidR="001829AC" w:rsidRDefault="00F3465A">
      <w:pPr>
        <w:pStyle w:val="TOC3"/>
        <w:tabs>
          <w:tab w:val="right" w:leader="dot" w:pos="9628"/>
        </w:tabs>
        <w:rPr>
          <w:rFonts w:asciiTheme="minorHAnsi" w:eastAsiaTheme="minorEastAsia" w:hAnsiTheme="minorHAnsi" w:cstheme="minorBidi"/>
          <w:bCs w:val="0"/>
          <w:noProof/>
          <w:color w:val="auto"/>
          <w:lang w:val="en-AU" w:eastAsia="en-AU"/>
        </w:rPr>
      </w:pPr>
      <w:hyperlink w:anchor="_Toc412625676" w:history="1">
        <w:r w:rsidR="001829AC" w:rsidRPr="00901322">
          <w:rPr>
            <w:rStyle w:val="Hyperlink"/>
            <w:noProof/>
          </w:rPr>
          <w:t>Businesses in each country could have reduced freedom to operate</w:t>
        </w:r>
        <w:r w:rsidR="001829AC">
          <w:rPr>
            <w:noProof/>
            <w:webHidden/>
          </w:rPr>
          <w:tab/>
        </w:r>
        <w:r w:rsidR="001829AC">
          <w:rPr>
            <w:noProof/>
            <w:webHidden/>
          </w:rPr>
          <w:fldChar w:fldCharType="begin"/>
        </w:r>
        <w:r w:rsidR="001829AC">
          <w:rPr>
            <w:noProof/>
            <w:webHidden/>
          </w:rPr>
          <w:instrText xml:space="preserve"> PAGEREF _Toc412625676 \h </w:instrText>
        </w:r>
        <w:r w:rsidR="001829AC">
          <w:rPr>
            <w:noProof/>
            <w:webHidden/>
          </w:rPr>
        </w:r>
        <w:r w:rsidR="001829AC">
          <w:rPr>
            <w:noProof/>
            <w:webHidden/>
          </w:rPr>
          <w:fldChar w:fldCharType="separate"/>
        </w:r>
        <w:r w:rsidR="009A718E">
          <w:rPr>
            <w:noProof/>
            <w:webHidden/>
          </w:rPr>
          <w:t>4</w:t>
        </w:r>
        <w:r w:rsidR="001829AC">
          <w:rPr>
            <w:noProof/>
            <w:webHidden/>
          </w:rPr>
          <w:fldChar w:fldCharType="end"/>
        </w:r>
      </w:hyperlink>
    </w:p>
    <w:p w:rsidR="001829AC" w:rsidRDefault="00F3465A">
      <w:pPr>
        <w:pStyle w:val="TOC3"/>
        <w:tabs>
          <w:tab w:val="right" w:leader="dot" w:pos="9628"/>
        </w:tabs>
        <w:rPr>
          <w:rFonts w:asciiTheme="minorHAnsi" w:eastAsiaTheme="minorEastAsia" w:hAnsiTheme="minorHAnsi" w:cstheme="minorBidi"/>
          <w:bCs w:val="0"/>
          <w:noProof/>
          <w:color w:val="auto"/>
          <w:lang w:val="en-AU" w:eastAsia="en-AU"/>
        </w:rPr>
      </w:pPr>
      <w:hyperlink w:anchor="_Toc412625677" w:history="1">
        <w:r w:rsidR="001829AC" w:rsidRPr="00901322">
          <w:rPr>
            <w:rStyle w:val="Hyperlink"/>
            <w:noProof/>
          </w:rPr>
          <w:t>IPR protection differs from other regulations governing the sale of goods</w:t>
        </w:r>
        <w:r w:rsidR="001829AC">
          <w:rPr>
            <w:noProof/>
            <w:webHidden/>
          </w:rPr>
          <w:tab/>
        </w:r>
        <w:r w:rsidR="001829AC">
          <w:rPr>
            <w:noProof/>
            <w:webHidden/>
          </w:rPr>
          <w:fldChar w:fldCharType="begin"/>
        </w:r>
        <w:r w:rsidR="001829AC">
          <w:rPr>
            <w:noProof/>
            <w:webHidden/>
          </w:rPr>
          <w:instrText xml:space="preserve"> PAGEREF _Toc412625677 \h </w:instrText>
        </w:r>
        <w:r w:rsidR="001829AC">
          <w:rPr>
            <w:noProof/>
            <w:webHidden/>
          </w:rPr>
        </w:r>
        <w:r w:rsidR="001829AC">
          <w:rPr>
            <w:noProof/>
            <w:webHidden/>
          </w:rPr>
          <w:fldChar w:fldCharType="separate"/>
        </w:r>
        <w:r w:rsidR="009A718E">
          <w:rPr>
            <w:noProof/>
            <w:webHidden/>
          </w:rPr>
          <w:t>4</w:t>
        </w:r>
        <w:r w:rsidR="001829AC">
          <w:rPr>
            <w:noProof/>
            <w:webHidden/>
          </w:rPr>
          <w:fldChar w:fldCharType="end"/>
        </w:r>
      </w:hyperlink>
    </w:p>
    <w:p w:rsidR="001829AC" w:rsidRDefault="00F3465A">
      <w:pPr>
        <w:pStyle w:val="TOC3"/>
        <w:tabs>
          <w:tab w:val="right" w:leader="dot" w:pos="9628"/>
        </w:tabs>
        <w:rPr>
          <w:rFonts w:asciiTheme="minorHAnsi" w:eastAsiaTheme="minorEastAsia" w:hAnsiTheme="minorHAnsi" w:cstheme="minorBidi"/>
          <w:bCs w:val="0"/>
          <w:noProof/>
          <w:color w:val="auto"/>
          <w:lang w:val="en-AU" w:eastAsia="en-AU"/>
        </w:rPr>
      </w:pPr>
      <w:hyperlink w:anchor="_Toc412625678" w:history="1">
        <w:r w:rsidR="001829AC" w:rsidRPr="00901322">
          <w:rPr>
            <w:rStyle w:val="Hyperlink"/>
            <w:noProof/>
          </w:rPr>
          <w:t>Exclusion of IPR from the TTMRA – question 17</w:t>
        </w:r>
        <w:r w:rsidR="001829AC">
          <w:rPr>
            <w:noProof/>
            <w:webHidden/>
          </w:rPr>
          <w:tab/>
        </w:r>
        <w:r w:rsidR="001829AC">
          <w:rPr>
            <w:noProof/>
            <w:webHidden/>
          </w:rPr>
          <w:fldChar w:fldCharType="begin"/>
        </w:r>
        <w:r w:rsidR="001829AC">
          <w:rPr>
            <w:noProof/>
            <w:webHidden/>
          </w:rPr>
          <w:instrText xml:space="preserve"> PAGEREF _Toc412625678 \h </w:instrText>
        </w:r>
        <w:r w:rsidR="001829AC">
          <w:rPr>
            <w:noProof/>
            <w:webHidden/>
          </w:rPr>
        </w:r>
        <w:r w:rsidR="001829AC">
          <w:rPr>
            <w:noProof/>
            <w:webHidden/>
          </w:rPr>
          <w:fldChar w:fldCharType="separate"/>
        </w:r>
        <w:r w:rsidR="009A718E">
          <w:rPr>
            <w:noProof/>
            <w:webHidden/>
          </w:rPr>
          <w:t>5</w:t>
        </w:r>
        <w:r w:rsidR="001829AC">
          <w:rPr>
            <w:noProof/>
            <w:webHidden/>
          </w:rPr>
          <w:fldChar w:fldCharType="end"/>
        </w:r>
      </w:hyperlink>
    </w:p>
    <w:p w:rsidR="001829AC" w:rsidRDefault="00F3465A">
      <w:pPr>
        <w:pStyle w:val="TOC3"/>
        <w:tabs>
          <w:tab w:val="right" w:leader="dot" w:pos="9628"/>
        </w:tabs>
        <w:rPr>
          <w:rFonts w:asciiTheme="minorHAnsi" w:eastAsiaTheme="minorEastAsia" w:hAnsiTheme="minorHAnsi" w:cstheme="minorBidi"/>
          <w:bCs w:val="0"/>
          <w:noProof/>
          <w:color w:val="auto"/>
          <w:lang w:val="en-AU" w:eastAsia="en-AU"/>
        </w:rPr>
      </w:pPr>
      <w:hyperlink w:anchor="_Toc412625679" w:history="1">
        <w:r w:rsidR="001829AC" w:rsidRPr="00901322">
          <w:rPr>
            <w:rStyle w:val="Hyperlink"/>
            <w:noProof/>
          </w:rPr>
          <w:t>Issues with implementing trans-Tasman protection for patents and for trade marks—questions 18 and 19</w:t>
        </w:r>
        <w:r w:rsidR="001829AC">
          <w:rPr>
            <w:noProof/>
            <w:webHidden/>
          </w:rPr>
          <w:tab/>
        </w:r>
        <w:r w:rsidR="001829AC">
          <w:rPr>
            <w:noProof/>
            <w:webHidden/>
          </w:rPr>
          <w:fldChar w:fldCharType="begin"/>
        </w:r>
        <w:r w:rsidR="001829AC">
          <w:rPr>
            <w:noProof/>
            <w:webHidden/>
          </w:rPr>
          <w:instrText xml:space="preserve"> PAGEREF _Toc412625679 \h </w:instrText>
        </w:r>
        <w:r w:rsidR="001829AC">
          <w:rPr>
            <w:noProof/>
            <w:webHidden/>
          </w:rPr>
        </w:r>
        <w:r w:rsidR="001829AC">
          <w:rPr>
            <w:noProof/>
            <w:webHidden/>
          </w:rPr>
          <w:fldChar w:fldCharType="separate"/>
        </w:r>
        <w:r w:rsidR="009A718E">
          <w:rPr>
            <w:noProof/>
            <w:webHidden/>
          </w:rPr>
          <w:t>5</w:t>
        </w:r>
        <w:r w:rsidR="001829AC">
          <w:rPr>
            <w:noProof/>
            <w:webHidden/>
          </w:rPr>
          <w:fldChar w:fldCharType="end"/>
        </w:r>
      </w:hyperlink>
    </w:p>
    <w:p w:rsidR="001829AC" w:rsidRDefault="00F3465A">
      <w:pPr>
        <w:pStyle w:val="TOC2"/>
        <w:tabs>
          <w:tab w:val="right" w:leader="dot" w:pos="9628"/>
        </w:tabs>
        <w:rPr>
          <w:rFonts w:asciiTheme="minorHAnsi" w:eastAsiaTheme="minorEastAsia" w:hAnsiTheme="minorHAnsi" w:cstheme="minorBidi"/>
          <w:bCs w:val="0"/>
          <w:noProof/>
          <w:color w:val="auto"/>
          <w:lang w:val="en-AU" w:eastAsia="en-AU"/>
        </w:rPr>
      </w:pPr>
      <w:hyperlink w:anchor="_Toc412625680" w:history="1">
        <w:r w:rsidR="001829AC" w:rsidRPr="00901322">
          <w:rPr>
            <w:rStyle w:val="Hyperlink"/>
            <w:noProof/>
          </w:rPr>
          <w:t>Attachment—Australian and New Zealand IP laws</w:t>
        </w:r>
        <w:r w:rsidR="001829AC">
          <w:rPr>
            <w:noProof/>
            <w:webHidden/>
          </w:rPr>
          <w:tab/>
        </w:r>
        <w:r w:rsidR="001829AC">
          <w:rPr>
            <w:noProof/>
            <w:webHidden/>
          </w:rPr>
          <w:fldChar w:fldCharType="begin"/>
        </w:r>
        <w:r w:rsidR="001829AC">
          <w:rPr>
            <w:noProof/>
            <w:webHidden/>
          </w:rPr>
          <w:instrText xml:space="preserve"> PAGEREF _Toc412625680 \h </w:instrText>
        </w:r>
        <w:r w:rsidR="001829AC">
          <w:rPr>
            <w:noProof/>
            <w:webHidden/>
          </w:rPr>
        </w:r>
        <w:r w:rsidR="001829AC">
          <w:rPr>
            <w:noProof/>
            <w:webHidden/>
          </w:rPr>
          <w:fldChar w:fldCharType="separate"/>
        </w:r>
        <w:r w:rsidR="009A718E">
          <w:rPr>
            <w:noProof/>
            <w:webHidden/>
          </w:rPr>
          <w:t>6</w:t>
        </w:r>
        <w:r w:rsidR="001829AC">
          <w:rPr>
            <w:noProof/>
            <w:webHidden/>
          </w:rPr>
          <w:fldChar w:fldCharType="end"/>
        </w:r>
      </w:hyperlink>
    </w:p>
    <w:p w:rsidR="00135456" w:rsidRPr="008671EA" w:rsidRDefault="00135456" w:rsidP="00AC08AF">
      <w:pPr>
        <w:pStyle w:val="TOC1"/>
        <w:tabs>
          <w:tab w:val="right" w:leader="dot" w:pos="9628"/>
        </w:tabs>
        <w:ind w:left="709"/>
        <w:rPr>
          <w:rFonts w:ascii="Calibri" w:hAnsi="Calibri"/>
          <w:bCs w:val="0"/>
          <w:noProof/>
          <w:color w:val="auto"/>
          <w:lang w:val="en-AU" w:eastAsia="en-AU"/>
        </w:rPr>
      </w:pPr>
      <w:r>
        <w:rPr>
          <w:b/>
          <w:bCs w:val="0"/>
          <w:noProof/>
        </w:rPr>
        <w:fldChar w:fldCharType="end"/>
      </w:r>
    </w:p>
    <w:p w:rsidR="009B2572" w:rsidRPr="008671EA" w:rsidRDefault="009B2572" w:rsidP="009D2511">
      <w:pPr>
        <w:rPr>
          <w:color w:val="FFFFFF"/>
          <w:szCs w:val="24"/>
        </w:rPr>
      </w:pPr>
    </w:p>
    <w:p w:rsidR="006F657C" w:rsidRPr="008671EA" w:rsidRDefault="006F657C" w:rsidP="009D2511">
      <w:pPr>
        <w:rPr>
          <w:color w:val="FFFFFF"/>
          <w:szCs w:val="24"/>
        </w:rPr>
      </w:pPr>
    </w:p>
    <w:p w:rsidR="006F657C" w:rsidRPr="008671EA" w:rsidRDefault="006F657C" w:rsidP="009D2511">
      <w:pPr>
        <w:rPr>
          <w:color w:val="FFFFFF"/>
          <w:szCs w:val="24"/>
        </w:rPr>
        <w:sectPr w:rsidR="006F657C" w:rsidRPr="008671EA" w:rsidSect="00556937">
          <w:headerReference w:type="default" r:id="rId25"/>
          <w:footerReference w:type="default" r:id="rId26"/>
          <w:pgSz w:w="11906" w:h="16838"/>
          <w:pgMar w:top="1418" w:right="1134" w:bottom="720" w:left="1134" w:header="720" w:footer="720" w:gutter="0"/>
          <w:pgNumType w:start="1"/>
          <w:cols w:space="720"/>
          <w:noEndnote/>
          <w:docGrid w:linePitch="299"/>
        </w:sectPr>
      </w:pPr>
    </w:p>
    <w:p w:rsidR="00A77D2E" w:rsidRPr="00CB4C34" w:rsidRDefault="00A77D2E" w:rsidP="00A77D2E">
      <w:pPr>
        <w:pStyle w:val="Heading2"/>
      </w:pPr>
      <w:bookmarkStart w:id="1" w:name="_Toc412625668"/>
      <w:r>
        <w:lastRenderedPageBreak/>
        <w:t>Introduction</w:t>
      </w:r>
      <w:bookmarkEnd w:id="1"/>
    </w:p>
    <w:p w:rsidR="00B51355" w:rsidRPr="009A4EF4" w:rsidRDefault="00B51355" w:rsidP="00B51355">
      <w:pPr>
        <w:pStyle w:val="ListParagraph"/>
        <w:numPr>
          <w:ilvl w:val="0"/>
          <w:numId w:val="6"/>
        </w:numPr>
        <w:spacing w:before="240" w:after="0"/>
        <w:ind w:left="425" w:hanging="425"/>
        <w:contextualSpacing w:val="0"/>
        <w:rPr>
          <w:rFonts w:cs="Arial"/>
          <w:szCs w:val="22"/>
        </w:rPr>
      </w:pPr>
      <w:r w:rsidRPr="009A4EF4">
        <w:rPr>
          <w:rFonts w:cs="Arial"/>
          <w:szCs w:val="22"/>
        </w:rPr>
        <w:t xml:space="preserve">IP Australia is pleased to make this submission to the Productivity Commission’s January 2015 </w:t>
      </w:r>
      <w:r>
        <w:rPr>
          <w:rFonts w:cs="Arial"/>
          <w:szCs w:val="22"/>
        </w:rPr>
        <w:t>Issues Paper</w:t>
      </w:r>
      <w:r w:rsidRPr="009A4EF4">
        <w:rPr>
          <w:rFonts w:cs="Arial"/>
          <w:szCs w:val="22"/>
        </w:rPr>
        <w:t xml:space="preserve"> (‘</w:t>
      </w:r>
      <w:r>
        <w:rPr>
          <w:rFonts w:cs="Arial"/>
          <w:b/>
          <w:szCs w:val="22"/>
        </w:rPr>
        <w:t>Issues Paper</w:t>
      </w:r>
      <w:r w:rsidRPr="009A4EF4">
        <w:rPr>
          <w:rFonts w:cs="Arial"/>
          <w:szCs w:val="22"/>
        </w:rPr>
        <w:t>’) regarding Mutual Recognition Schemes.</w:t>
      </w:r>
    </w:p>
    <w:p w:rsidR="00E7785C" w:rsidRDefault="00E7785C" w:rsidP="00E7785C">
      <w:pPr>
        <w:pStyle w:val="ListParagraph"/>
        <w:numPr>
          <w:ilvl w:val="0"/>
          <w:numId w:val="6"/>
        </w:numPr>
        <w:spacing w:before="240" w:after="0"/>
        <w:ind w:left="425" w:hanging="425"/>
        <w:contextualSpacing w:val="0"/>
        <w:rPr>
          <w:rFonts w:cs="Arial"/>
          <w:szCs w:val="22"/>
        </w:rPr>
      </w:pPr>
      <w:r w:rsidRPr="00781496">
        <w:rPr>
          <w:rFonts w:cs="Arial"/>
          <w:szCs w:val="22"/>
        </w:rPr>
        <w:t>IP Australia</w:t>
      </w:r>
      <w:r>
        <w:rPr>
          <w:rFonts w:cs="Arial"/>
          <w:szCs w:val="22"/>
        </w:rPr>
        <w:t xml:space="preserve"> is responsible for the </w:t>
      </w:r>
      <w:r w:rsidR="00F930A7">
        <w:rPr>
          <w:rFonts w:cs="Arial"/>
          <w:szCs w:val="22"/>
        </w:rPr>
        <w:t xml:space="preserve">legislation governing the </w:t>
      </w:r>
      <w:r>
        <w:rPr>
          <w:rFonts w:cs="Arial"/>
          <w:szCs w:val="22"/>
        </w:rPr>
        <w:t xml:space="preserve">following </w:t>
      </w:r>
      <w:r w:rsidRPr="00781496">
        <w:rPr>
          <w:rFonts w:cs="Arial"/>
          <w:szCs w:val="22"/>
        </w:rPr>
        <w:t xml:space="preserve">intellectual property rights </w:t>
      </w:r>
      <w:r w:rsidRPr="009A4EF4">
        <w:rPr>
          <w:rFonts w:cs="Arial"/>
          <w:szCs w:val="22"/>
        </w:rPr>
        <w:t>(‘</w:t>
      </w:r>
      <w:r w:rsidRPr="004D10D0">
        <w:rPr>
          <w:rFonts w:cs="Arial"/>
          <w:b/>
          <w:szCs w:val="22"/>
        </w:rPr>
        <w:t>IPRs</w:t>
      </w:r>
      <w:r w:rsidRPr="009A4EF4">
        <w:rPr>
          <w:rFonts w:cs="Arial"/>
          <w:szCs w:val="22"/>
        </w:rPr>
        <w:t>’)</w:t>
      </w:r>
      <w:r>
        <w:rPr>
          <w:rFonts w:cs="Arial"/>
          <w:szCs w:val="22"/>
        </w:rPr>
        <w:t>:</w:t>
      </w:r>
    </w:p>
    <w:p w:rsidR="00E7785C" w:rsidRDefault="00E7785C" w:rsidP="00E7785C">
      <w:pPr>
        <w:pStyle w:val="ListParagraph"/>
        <w:numPr>
          <w:ilvl w:val="0"/>
          <w:numId w:val="29"/>
        </w:numPr>
        <w:spacing w:after="0"/>
        <w:ind w:left="714" w:hanging="357"/>
        <w:contextualSpacing w:val="0"/>
        <w:rPr>
          <w:rFonts w:cs="Arial"/>
          <w:szCs w:val="22"/>
        </w:rPr>
      </w:pPr>
      <w:r>
        <w:rPr>
          <w:rFonts w:cs="Arial"/>
          <w:szCs w:val="22"/>
        </w:rPr>
        <w:t>patents for inventions</w:t>
      </w:r>
    </w:p>
    <w:p w:rsidR="00E7785C" w:rsidRDefault="00E7785C" w:rsidP="00E7785C">
      <w:pPr>
        <w:pStyle w:val="ListParagraph"/>
        <w:numPr>
          <w:ilvl w:val="0"/>
          <w:numId w:val="29"/>
        </w:numPr>
        <w:spacing w:after="0"/>
        <w:ind w:left="714" w:hanging="357"/>
        <w:contextualSpacing w:val="0"/>
        <w:rPr>
          <w:rFonts w:cs="Arial"/>
          <w:szCs w:val="22"/>
        </w:rPr>
      </w:pPr>
      <w:r>
        <w:rPr>
          <w:rFonts w:cs="Arial"/>
          <w:szCs w:val="22"/>
        </w:rPr>
        <w:t>registered trade marks</w:t>
      </w:r>
    </w:p>
    <w:p w:rsidR="00E7785C" w:rsidRDefault="00E7785C" w:rsidP="00E7785C">
      <w:pPr>
        <w:pStyle w:val="ListParagraph"/>
        <w:numPr>
          <w:ilvl w:val="0"/>
          <w:numId w:val="29"/>
        </w:numPr>
        <w:spacing w:after="0"/>
        <w:ind w:left="714" w:hanging="357"/>
        <w:contextualSpacing w:val="0"/>
        <w:rPr>
          <w:rFonts w:cs="Arial"/>
          <w:szCs w:val="22"/>
        </w:rPr>
      </w:pPr>
      <w:r>
        <w:rPr>
          <w:rFonts w:cs="Arial"/>
          <w:szCs w:val="22"/>
        </w:rPr>
        <w:t>registered designs</w:t>
      </w:r>
    </w:p>
    <w:p w:rsidR="00E7785C" w:rsidRPr="004D10D0" w:rsidRDefault="00E7785C" w:rsidP="00E7785C">
      <w:pPr>
        <w:pStyle w:val="ListParagraph"/>
        <w:numPr>
          <w:ilvl w:val="0"/>
          <w:numId w:val="29"/>
        </w:numPr>
        <w:spacing w:after="0"/>
        <w:ind w:left="714" w:hanging="357"/>
        <w:contextualSpacing w:val="0"/>
        <w:rPr>
          <w:rFonts w:cs="Arial"/>
          <w:szCs w:val="22"/>
        </w:rPr>
      </w:pPr>
      <w:proofErr w:type="gramStart"/>
      <w:r>
        <w:rPr>
          <w:rFonts w:cs="Arial"/>
          <w:szCs w:val="22"/>
        </w:rPr>
        <w:t>plant</w:t>
      </w:r>
      <w:proofErr w:type="gramEnd"/>
      <w:r>
        <w:rPr>
          <w:rFonts w:cs="Arial"/>
          <w:szCs w:val="22"/>
        </w:rPr>
        <w:t xml:space="preserve"> breeder’s rights (‘</w:t>
      </w:r>
      <w:r w:rsidRPr="000F07A8">
        <w:rPr>
          <w:rFonts w:cs="Arial"/>
          <w:b/>
          <w:szCs w:val="22"/>
        </w:rPr>
        <w:t>PBR</w:t>
      </w:r>
      <w:r>
        <w:rPr>
          <w:rFonts w:cs="Arial"/>
          <w:szCs w:val="22"/>
        </w:rPr>
        <w:t>’).</w:t>
      </w:r>
    </w:p>
    <w:p w:rsidR="00CB4C34" w:rsidRPr="009A4EF4" w:rsidRDefault="00CB4C34" w:rsidP="0041392D">
      <w:pPr>
        <w:pStyle w:val="ListParagraph"/>
        <w:numPr>
          <w:ilvl w:val="0"/>
          <w:numId w:val="6"/>
        </w:numPr>
        <w:spacing w:before="240" w:after="0"/>
        <w:ind w:left="426" w:hanging="426"/>
        <w:contextualSpacing w:val="0"/>
      </w:pPr>
      <w:r w:rsidRPr="009A4EF4">
        <w:t xml:space="preserve">This submission addresses the exclusion of intellectual property </w:t>
      </w:r>
      <w:r w:rsidR="00BF1351">
        <w:t>(‘</w:t>
      </w:r>
      <w:r w:rsidR="00BF1351" w:rsidRPr="0074388F">
        <w:rPr>
          <w:b/>
        </w:rPr>
        <w:t>IP</w:t>
      </w:r>
      <w:r w:rsidR="00BF1351">
        <w:t xml:space="preserve">’) </w:t>
      </w:r>
      <w:r w:rsidRPr="009A4EF4">
        <w:t>from the Tasman Mutual Recognition Arrangement (‘</w:t>
      </w:r>
      <w:r w:rsidRPr="0074388F">
        <w:rPr>
          <w:b/>
        </w:rPr>
        <w:t>TTMRA</w:t>
      </w:r>
      <w:r w:rsidRPr="009A4EF4">
        <w:t>’), particularly questions 1</w:t>
      </w:r>
      <w:r w:rsidR="00827CE5">
        <w:t>7</w:t>
      </w:r>
      <w:r w:rsidRPr="009A4EF4">
        <w:t xml:space="preserve"> to 19 in the </w:t>
      </w:r>
      <w:r w:rsidR="008A626C">
        <w:t>Issues Paper</w:t>
      </w:r>
      <w:r w:rsidRPr="009A4EF4">
        <w:t>:</w:t>
      </w:r>
    </w:p>
    <w:p w:rsidR="00CB4C34" w:rsidRPr="00B27F60" w:rsidDel="00B273A2" w:rsidRDefault="00CB4C34" w:rsidP="00316615">
      <w:pPr>
        <w:shd w:val="pct10" w:color="auto" w:fill="auto"/>
        <w:tabs>
          <w:tab w:val="left" w:pos="2410"/>
        </w:tabs>
        <w:ind w:left="993"/>
        <w:rPr>
          <w:rFonts w:cs="Arial"/>
          <w:szCs w:val="22"/>
        </w:rPr>
      </w:pPr>
      <w:r w:rsidRPr="00B27F60" w:rsidDel="00B273A2">
        <w:rPr>
          <w:rFonts w:cs="Arial"/>
          <w:szCs w:val="22"/>
        </w:rPr>
        <w:t>Question 17</w:t>
      </w:r>
      <w:r w:rsidR="008A626C">
        <w:rPr>
          <w:rFonts w:cs="Arial"/>
          <w:szCs w:val="22"/>
        </w:rPr>
        <w:t>:</w:t>
      </w:r>
      <w:r w:rsidRPr="00B27F60" w:rsidDel="00B273A2">
        <w:rPr>
          <w:rFonts w:cs="Arial"/>
          <w:szCs w:val="22"/>
        </w:rPr>
        <w:tab/>
        <w:t>Given current efforts to align intellectual property laws in Australia and New Zealand, is there scope in the foreseeable future to remove the exclusion of intellectual property from the TTMRA? Would it yield a net benefit?</w:t>
      </w:r>
    </w:p>
    <w:p w:rsidR="00CB4C34" w:rsidRPr="00B27F60" w:rsidDel="00B273A2" w:rsidRDefault="00CB4C34" w:rsidP="00316615">
      <w:pPr>
        <w:shd w:val="pct10" w:color="auto" w:fill="auto"/>
        <w:tabs>
          <w:tab w:val="left" w:pos="2410"/>
        </w:tabs>
        <w:ind w:left="993"/>
        <w:rPr>
          <w:rFonts w:cs="Arial"/>
          <w:szCs w:val="22"/>
        </w:rPr>
      </w:pPr>
      <w:r w:rsidRPr="00B27F60" w:rsidDel="00B273A2">
        <w:rPr>
          <w:rFonts w:cs="Arial"/>
          <w:szCs w:val="22"/>
        </w:rPr>
        <w:t>Question 18</w:t>
      </w:r>
      <w:r w:rsidR="008A626C">
        <w:rPr>
          <w:rFonts w:cs="Arial"/>
          <w:szCs w:val="22"/>
        </w:rPr>
        <w:t>:</w:t>
      </w:r>
      <w:r w:rsidRPr="00B27F60" w:rsidDel="00B273A2">
        <w:rPr>
          <w:rFonts w:cs="Arial"/>
          <w:szCs w:val="22"/>
        </w:rPr>
        <w:tab/>
        <w:t>What are the barriers to implementing a single trans-Tasman register for trademarks and patents? How can the best be addressed?</w:t>
      </w:r>
    </w:p>
    <w:p w:rsidR="00CB4C34" w:rsidRPr="00B27F60" w:rsidDel="00B273A2" w:rsidRDefault="00CB4C34" w:rsidP="00316615">
      <w:pPr>
        <w:shd w:val="pct10" w:color="auto" w:fill="auto"/>
        <w:tabs>
          <w:tab w:val="left" w:pos="2410"/>
        </w:tabs>
        <w:ind w:left="993"/>
        <w:rPr>
          <w:rFonts w:cs="Arial"/>
          <w:szCs w:val="22"/>
        </w:rPr>
      </w:pPr>
      <w:r w:rsidRPr="00B27F60" w:rsidDel="00B273A2">
        <w:rPr>
          <w:rFonts w:cs="Arial"/>
          <w:szCs w:val="22"/>
        </w:rPr>
        <w:t>Question 19</w:t>
      </w:r>
      <w:r w:rsidR="008A626C">
        <w:rPr>
          <w:rFonts w:cs="Arial"/>
          <w:szCs w:val="22"/>
        </w:rPr>
        <w:t>:</w:t>
      </w:r>
      <w:r w:rsidRPr="00B27F60" w:rsidDel="00B273A2">
        <w:rPr>
          <w:rFonts w:cs="Arial"/>
          <w:szCs w:val="22"/>
        </w:rPr>
        <w:tab/>
        <w:t xml:space="preserve">In the absence of trans-Tasman registers for trademarks and patents, can mutual recognition of registration be a viable alternative? What would be the costs and benefits of mutual recognition? </w:t>
      </w:r>
    </w:p>
    <w:p w:rsidR="004D10D0" w:rsidRPr="00410AB4" w:rsidRDefault="004D10D0" w:rsidP="00C36621">
      <w:pPr>
        <w:spacing w:before="240" w:after="0"/>
        <w:ind w:left="426"/>
        <w:rPr>
          <w:rFonts w:cs="Arial"/>
          <w:szCs w:val="22"/>
        </w:rPr>
      </w:pPr>
      <w:r w:rsidRPr="005A6249">
        <w:rPr>
          <w:rFonts w:cs="Arial"/>
          <w:szCs w:val="22"/>
        </w:rPr>
        <w:t>IP Australia</w:t>
      </w:r>
      <w:r w:rsidR="00F41781" w:rsidRPr="005A6249">
        <w:rPr>
          <w:rFonts w:cs="Arial"/>
          <w:szCs w:val="22"/>
        </w:rPr>
        <w:t xml:space="preserve">’s </w:t>
      </w:r>
      <w:r w:rsidR="00984E24" w:rsidRPr="005A6249">
        <w:rPr>
          <w:rFonts w:cs="Arial"/>
          <w:szCs w:val="22"/>
        </w:rPr>
        <w:t xml:space="preserve">submission </w:t>
      </w:r>
      <w:r w:rsidR="000F07A8" w:rsidRPr="005A6249">
        <w:rPr>
          <w:rFonts w:cs="Arial"/>
          <w:szCs w:val="22"/>
        </w:rPr>
        <w:t>focusses</w:t>
      </w:r>
      <w:r w:rsidR="00984E24" w:rsidRPr="005A6249">
        <w:rPr>
          <w:rFonts w:cs="Arial"/>
          <w:szCs w:val="22"/>
        </w:rPr>
        <w:t xml:space="preserve"> </w:t>
      </w:r>
      <w:r w:rsidR="000F07A8" w:rsidRPr="005A6249">
        <w:rPr>
          <w:rFonts w:cs="Arial"/>
          <w:szCs w:val="22"/>
        </w:rPr>
        <w:t xml:space="preserve">on </w:t>
      </w:r>
      <w:r w:rsidRPr="005A6249">
        <w:rPr>
          <w:rFonts w:cs="Arial"/>
          <w:szCs w:val="22"/>
        </w:rPr>
        <w:t>patents for inventions</w:t>
      </w:r>
      <w:r w:rsidRPr="005A6249" w:rsidDel="004D10D0">
        <w:rPr>
          <w:rFonts w:cs="Arial"/>
          <w:szCs w:val="22"/>
        </w:rPr>
        <w:t xml:space="preserve"> </w:t>
      </w:r>
      <w:r w:rsidRPr="005A6249">
        <w:rPr>
          <w:rFonts w:cs="Arial"/>
          <w:szCs w:val="22"/>
        </w:rPr>
        <w:t xml:space="preserve">and registered </w:t>
      </w:r>
      <w:proofErr w:type="spellStart"/>
      <w:r w:rsidRPr="005A6249">
        <w:rPr>
          <w:rFonts w:cs="Arial"/>
          <w:szCs w:val="22"/>
        </w:rPr>
        <w:t>trade marks</w:t>
      </w:r>
      <w:proofErr w:type="spellEnd"/>
      <w:r w:rsidRPr="005A6249">
        <w:rPr>
          <w:rFonts w:cs="Arial"/>
          <w:szCs w:val="22"/>
        </w:rPr>
        <w:t xml:space="preserve">, as they </w:t>
      </w:r>
      <w:r w:rsidR="008624CD">
        <w:rPr>
          <w:rFonts w:cs="Arial"/>
          <w:szCs w:val="22"/>
        </w:rPr>
        <w:t xml:space="preserve">represent the largest </w:t>
      </w:r>
      <w:r w:rsidR="00D54739">
        <w:rPr>
          <w:rFonts w:cs="Arial"/>
          <w:szCs w:val="22"/>
        </w:rPr>
        <w:t xml:space="preserve">proportion </w:t>
      </w:r>
      <w:r w:rsidR="000F07A8" w:rsidRPr="005A6249">
        <w:rPr>
          <w:rFonts w:cs="Arial"/>
          <w:szCs w:val="22"/>
        </w:rPr>
        <w:t xml:space="preserve">of the IPR </w:t>
      </w:r>
      <w:r w:rsidR="007155D9">
        <w:rPr>
          <w:rFonts w:cs="Arial"/>
          <w:szCs w:val="22"/>
        </w:rPr>
        <w:t>applications</w:t>
      </w:r>
      <w:r w:rsidR="007155D9" w:rsidRPr="005A6249">
        <w:rPr>
          <w:rFonts w:cs="Arial"/>
          <w:szCs w:val="22"/>
        </w:rPr>
        <w:t xml:space="preserve"> </w:t>
      </w:r>
      <w:r w:rsidR="000F07A8" w:rsidRPr="005A6249">
        <w:rPr>
          <w:rFonts w:cs="Arial"/>
          <w:szCs w:val="22"/>
        </w:rPr>
        <w:t>that IP Australia is responsible for.</w:t>
      </w:r>
      <w:r w:rsidR="001B3FBE">
        <w:rPr>
          <w:rStyle w:val="FootnoteReference"/>
          <w:rFonts w:cs="Arial"/>
          <w:szCs w:val="22"/>
        </w:rPr>
        <w:footnoteReference w:id="1"/>
      </w:r>
      <w:r w:rsidR="000F07A8" w:rsidRPr="005A6249">
        <w:rPr>
          <w:rFonts w:cs="Arial"/>
          <w:szCs w:val="22"/>
        </w:rPr>
        <w:t xml:space="preserve"> Nevertheless, similar considerations would also apply to registered designs and PBR.</w:t>
      </w:r>
    </w:p>
    <w:p w:rsidR="00CB4C34" w:rsidRPr="00CB4C34" w:rsidRDefault="00CB4C34" w:rsidP="00CB4C34">
      <w:pPr>
        <w:pStyle w:val="Heading2"/>
      </w:pPr>
      <w:bookmarkStart w:id="2" w:name="_Toc412625669"/>
      <w:r w:rsidRPr="00CB4C34">
        <w:t>Summary</w:t>
      </w:r>
      <w:bookmarkEnd w:id="2"/>
    </w:p>
    <w:p w:rsidR="00CB4C34" w:rsidRPr="009A4EF4" w:rsidRDefault="00CB4C34" w:rsidP="00CB4C34">
      <w:pPr>
        <w:pStyle w:val="ListParagraph"/>
        <w:numPr>
          <w:ilvl w:val="0"/>
          <w:numId w:val="6"/>
        </w:numPr>
        <w:spacing w:after="0"/>
        <w:ind w:left="426" w:hanging="426"/>
        <w:contextualSpacing w:val="0"/>
        <w:rPr>
          <w:rFonts w:cs="Arial"/>
          <w:szCs w:val="22"/>
        </w:rPr>
      </w:pPr>
      <w:r w:rsidRPr="009A4EF4">
        <w:rPr>
          <w:rFonts w:cs="Arial"/>
          <w:szCs w:val="22"/>
        </w:rPr>
        <w:t>For the reasons outlined below</w:t>
      </w:r>
      <w:r w:rsidR="00E76034">
        <w:rPr>
          <w:rFonts w:cs="Arial"/>
          <w:szCs w:val="22"/>
        </w:rPr>
        <w:t>, and noting</w:t>
      </w:r>
      <w:r w:rsidR="00984E24">
        <w:rPr>
          <w:rFonts w:cs="Arial"/>
          <w:szCs w:val="22"/>
        </w:rPr>
        <w:t xml:space="preserve"> the substantial </w:t>
      </w:r>
      <w:r w:rsidR="006A181A">
        <w:rPr>
          <w:rFonts w:cs="Arial"/>
          <w:szCs w:val="22"/>
        </w:rPr>
        <w:t>work that has already been undertaken on streamlining the processes for obtaining patents and registering trade marks in each country—</w:t>
      </w:r>
      <w:r w:rsidRPr="009A4EF4">
        <w:rPr>
          <w:rFonts w:cs="Arial"/>
          <w:szCs w:val="22"/>
        </w:rPr>
        <w:t>IP Australia considers that there is limited scope in the foreseeable future to</w:t>
      </w:r>
      <w:r w:rsidR="00AA3F48">
        <w:rPr>
          <w:rFonts w:cs="Arial"/>
          <w:szCs w:val="22"/>
        </w:rPr>
        <w:t xml:space="preserve"> do any of the following</w:t>
      </w:r>
      <w:r w:rsidRPr="009A4EF4">
        <w:rPr>
          <w:rFonts w:cs="Arial"/>
          <w:szCs w:val="22"/>
        </w:rPr>
        <w:t>:</w:t>
      </w:r>
    </w:p>
    <w:p w:rsidR="00CB4C34" w:rsidRPr="009A4EF4" w:rsidRDefault="00CB4C34" w:rsidP="00D97A3F">
      <w:pPr>
        <w:pStyle w:val="ListParagraph"/>
        <w:numPr>
          <w:ilvl w:val="0"/>
          <w:numId w:val="24"/>
        </w:numPr>
        <w:spacing w:after="0"/>
        <w:ind w:left="1843" w:hanging="567"/>
        <w:contextualSpacing w:val="0"/>
        <w:rPr>
          <w:rFonts w:cs="Arial"/>
          <w:szCs w:val="22"/>
        </w:rPr>
      </w:pPr>
      <w:r w:rsidRPr="009A4EF4">
        <w:rPr>
          <w:rFonts w:cs="Arial"/>
          <w:szCs w:val="22"/>
        </w:rPr>
        <w:t xml:space="preserve">remove the exclusion of </w:t>
      </w:r>
      <w:r w:rsidR="00BF1351">
        <w:rPr>
          <w:rFonts w:cs="Arial"/>
          <w:szCs w:val="22"/>
        </w:rPr>
        <w:t>IP</w:t>
      </w:r>
      <w:r w:rsidR="00D97A3F">
        <w:rPr>
          <w:rFonts w:cs="Arial"/>
          <w:szCs w:val="22"/>
        </w:rPr>
        <w:t xml:space="preserve"> from the TTMRA</w:t>
      </w:r>
    </w:p>
    <w:p w:rsidR="00CB4C34" w:rsidRPr="00AA3F48" w:rsidRDefault="00CB4C34" w:rsidP="00AA3F48">
      <w:pPr>
        <w:pStyle w:val="ListParagraph"/>
        <w:numPr>
          <w:ilvl w:val="0"/>
          <w:numId w:val="24"/>
        </w:numPr>
        <w:spacing w:after="0"/>
        <w:ind w:left="1843" w:hanging="567"/>
        <w:contextualSpacing w:val="0"/>
        <w:rPr>
          <w:rFonts w:cs="Arial"/>
          <w:szCs w:val="22"/>
        </w:rPr>
      </w:pPr>
      <w:r w:rsidRPr="009A4EF4">
        <w:rPr>
          <w:rFonts w:cs="Arial"/>
          <w:szCs w:val="22"/>
        </w:rPr>
        <w:t>create single trans</w:t>
      </w:r>
      <w:r w:rsidR="00D97A3F">
        <w:rPr>
          <w:rFonts w:cs="Arial"/>
          <w:szCs w:val="22"/>
        </w:rPr>
        <w:t>-Tasman registers of IP rights</w:t>
      </w:r>
    </w:p>
    <w:p w:rsidR="00CB4C34" w:rsidRPr="009A4EF4" w:rsidRDefault="00CB4C34" w:rsidP="00D97A3F">
      <w:pPr>
        <w:pStyle w:val="ListParagraph"/>
        <w:numPr>
          <w:ilvl w:val="0"/>
          <w:numId w:val="24"/>
        </w:numPr>
        <w:spacing w:after="0"/>
        <w:ind w:left="1843" w:hanging="567"/>
        <w:contextualSpacing w:val="0"/>
        <w:rPr>
          <w:rFonts w:cs="Arial"/>
          <w:szCs w:val="22"/>
        </w:rPr>
      </w:pPr>
      <w:proofErr w:type="gramStart"/>
      <w:r w:rsidRPr="009A4EF4">
        <w:rPr>
          <w:rFonts w:cs="Arial"/>
          <w:szCs w:val="22"/>
        </w:rPr>
        <w:t>mutually</w:t>
      </w:r>
      <w:proofErr w:type="gramEnd"/>
      <w:r w:rsidRPr="009A4EF4">
        <w:rPr>
          <w:rFonts w:cs="Arial"/>
          <w:szCs w:val="22"/>
        </w:rPr>
        <w:t xml:space="preserve"> recognise Intellectual Property Rights granted in each other’s territory.</w:t>
      </w:r>
    </w:p>
    <w:p w:rsidR="00A77D2E" w:rsidRPr="00CB4C34" w:rsidRDefault="00A77D2E" w:rsidP="00A77D2E">
      <w:pPr>
        <w:pStyle w:val="Heading2"/>
      </w:pPr>
      <w:bookmarkStart w:id="3" w:name="_Toc412625670"/>
      <w:r>
        <w:t>Background</w:t>
      </w:r>
      <w:bookmarkEnd w:id="3"/>
    </w:p>
    <w:p w:rsidR="00316615" w:rsidRPr="00316615" w:rsidRDefault="00316615" w:rsidP="00316615">
      <w:pPr>
        <w:pStyle w:val="Heading3"/>
      </w:pPr>
      <w:bookmarkStart w:id="4" w:name="_Toc412625671"/>
      <w:r w:rsidRPr="00316615">
        <w:t>Purpose of the TTMRA</w:t>
      </w:r>
      <w:bookmarkEnd w:id="4"/>
    </w:p>
    <w:p w:rsidR="00316615" w:rsidRPr="00316615" w:rsidRDefault="00316615" w:rsidP="00316615">
      <w:pPr>
        <w:numPr>
          <w:ilvl w:val="0"/>
          <w:numId w:val="6"/>
        </w:numPr>
        <w:spacing w:before="240" w:after="0"/>
        <w:ind w:left="426" w:hanging="426"/>
        <w:rPr>
          <w:rFonts w:cs="Arial"/>
          <w:szCs w:val="22"/>
        </w:rPr>
      </w:pPr>
      <w:bookmarkStart w:id="5" w:name="_Ref411849603"/>
      <w:r w:rsidRPr="00316615">
        <w:rPr>
          <w:rFonts w:cs="Arial"/>
          <w:szCs w:val="22"/>
        </w:rPr>
        <w:t>As noted in the Issue</w:t>
      </w:r>
      <w:r w:rsidR="00BF1351">
        <w:rPr>
          <w:rFonts w:cs="Arial"/>
          <w:szCs w:val="22"/>
        </w:rPr>
        <w:t>s</w:t>
      </w:r>
      <w:r w:rsidRPr="00316615">
        <w:rPr>
          <w:rFonts w:cs="Arial"/>
          <w:szCs w:val="22"/>
        </w:rPr>
        <w:t xml:space="preserve"> Paper</w:t>
      </w:r>
      <w:r w:rsidR="00096DB9">
        <w:rPr>
          <w:rFonts w:cs="Arial"/>
          <w:szCs w:val="22"/>
        </w:rPr>
        <w:t>,</w:t>
      </w:r>
      <w:r w:rsidRPr="00316615">
        <w:rPr>
          <w:rFonts w:cs="Arial"/>
          <w:szCs w:val="22"/>
        </w:rPr>
        <w:t xml:space="preserve"> one of the key impacts of the TTMRA is to enable goods that can be lawfully sold in Australia to be sold in New Zealand (and vice versa) ‘without having to satisfy additional, or duplicative and potentially inconsistent, requirements,’ and ‘regardless of differences in standards or other sale</w:t>
      </w:r>
      <w:r w:rsidRPr="00316615">
        <w:rPr>
          <w:rFonts w:cs="Arial"/>
          <w:szCs w:val="22"/>
        </w:rPr>
        <w:noBreakHyphen/>
        <w:t>related regulatory requirements.’</w:t>
      </w:r>
      <w:bookmarkEnd w:id="5"/>
      <w:r w:rsidR="00C25B9B">
        <w:rPr>
          <w:rStyle w:val="FootnoteReference"/>
          <w:rFonts w:cs="Arial"/>
          <w:szCs w:val="22"/>
        </w:rPr>
        <w:footnoteReference w:id="2"/>
      </w:r>
    </w:p>
    <w:p w:rsidR="00316615" w:rsidRPr="00316615" w:rsidRDefault="00316615" w:rsidP="00E7785C">
      <w:pPr>
        <w:numPr>
          <w:ilvl w:val="0"/>
          <w:numId w:val="6"/>
        </w:numPr>
        <w:spacing w:before="240" w:after="0"/>
        <w:ind w:left="426" w:hanging="426"/>
        <w:rPr>
          <w:rFonts w:cs="Arial"/>
          <w:szCs w:val="22"/>
        </w:rPr>
      </w:pPr>
      <w:bookmarkStart w:id="6" w:name="_Ref411849530"/>
      <w:r w:rsidRPr="00316615">
        <w:rPr>
          <w:rFonts w:cs="Arial"/>
          <w:szCs w:val="22"/>
        </w:rPr>
        <w:lastRenderedPageBreak/>
        <w:t xml:space="preserve">As summarised in the Productivity Commission’s 2009 </w:t>
      </w:r>
      <w:r w:rsidR="008A626C">
        <w:rPr>
          <w:rFonts w:cs="Arial"/>
          <w:szCs w:val="22"/>
        </w:rPr>
        <w:t>Review of Mutual Recognition S</w:t>
      </w:r>
      <w:r w:rsidRPr="00316615">
        <w:rPr>
          <w:rFonts w:cs="Arial"/>
          <w:szCs w:val="22"/>
        </w:rPr>
        <w:t>chemes (‘</w:t>
      </w:r>
      <w:r w:rsidRPr="00316615">
        <w:rPr>
          <w:rFonts w:cs="Arial"/>
          <w:b/>
          <w:szCs w:val="22"/>
        </w:rPr>
        <w:t>2009 Review</w:t>
      </w:r>
      <w:r w:rsidRPr="00316615">
        <w:rPr>
          <w:rFonts w:cs="Arial"/>
          <w:szCs w:val="22"/>
        </w:rPr>
        <w:t>’), the main rationale for introducing the Mutual Recognition Arrangement (‘</w:t>
      </w:r>
      <w:r w:rsidRPr="00316615">
        <w:rPr>
          <w:rFonts w:cs="Arial"/>
          <w:b/>
          <w:szCs w:val="22"/>
        </w:rPr>
        <w:t>MRA</w:t>
      </w:r>
      <w:r w:rsidRPr="00316615">
        <w:rPr>
          <w:rFonts w:cs="Arial"/>
          <w:szCs w:val="22"/>
        </w:rPr>
        <w:t>’) and the TTMRA was to remove the barriers that regulatory differences create for goods and labour mobility</w:t>
      </w:r>
      <w:bookmarkEnd w:id="6"/>
      <w:r w:rsidR="000F07A8">
        <w:rPr>
          <w:rFonts w:cs="Arial"/>
          <w:szCs w:val="22"/>
        </w:rPr>
        <w:t>.</w:t>
      </w:r>
      <w:r w:rsidR="000F07A8" w:rsidRPr="00316615">
        <w:rPr>
          <w:rFonts w:cs="Arial"/>
          <w:sz w:val="20"/>
          <w:vertAlign w:val="superscript"/>
        </w:rPr>
        <w:footnoteReference w:id="3"/>
      </w:r>
      <w:r w:rsidR="000F07A8">
        <w:rPr>
          <w:rFonts w:cs="Arial"/>
          <w:sz w:val="20"/>
        </w:rPr>
        <w:t xml:space="preserve"> </w:t>
      </w:r>
      <w:bookmarkStart w:id="7" w:name="_Ref411849559"/>
      <w:r w:rsidRPr="00316615">
        <w:rPr>
          <w:rFonts w:cs="Arial"/>
          <w:szCs w:val="22"/>
        </w:rPr>
        <w:t>Further, the stated ends of the TTMRA are to ‘enhance the international competitiveness of Australian and New Zealand enterprises, increase the level of transparency in trading arrangements, encourage innovation and reduce compliance costs for business.’</w:t>
      </w:r>
      <w:r w:rsidRPr="00316615">
        <w:rPr>
          <w:rFonts w:cs="Arial"/>
          <w:szCs w:val="22"/>
          <w:vertAlign w:val="superscript"/>
        </w:rPr>
        <w:footnoteReference w:id="4"/>
      </w:r>
      <w:bookmarkEnd w:id="7"/>
    </w:p>
    <w:p w:rsidR="00316615" w:rsidRPr="00316615" w:rsidRDefault="00316615" w:rsidP="00316615">
      <w:pPr>
        <w:pStyle w:val="Heading3"/>
      </w:pPr>
      <w:bookmarkStart w:id="8" w:name="_Toc412625672"/>
      <w:r w:rsidRPr="00316615">
        <w:t>Exceptions to operation of TTMRA—Intellectual Property</w:t>
      </w:r>
      <w:bookmarkEnd w:id="8"/>
    </w:p>
    <w:p w:rsidR="00316615" w:rsidRPr="006931FA" w:rsidRDefault="00316615" w:rsidP="006931FA">
      <w:pPr>
        <w:numPr>
          <w:ilvl w:val="0"/>
          <w:numId w:val="6"/>
        </w:numPr>
        <w:spacing w:before="240" w:after="0"/>
        <w:ind w:left="425" w:hanging="425"/>
        <w:rPr>
          <w:rFonts w:cs="Arial"/>
          <w:szCs w:val="22"/>
        </w:rPr>
      </w:pPr>
      <w:r w:rsidRPr="006931FA">
        <w:rPr>
          <w:rFonts w:cs="Arial"/>
          <w:szCs w:val="22"/>
        </w:rPr>
        <w:t xml:space="preserve">While the TTMRA seeks to override domestic regulatory arrangements, there are exceptions in relation to certain laws, so that these laws continue to apply notwithstanding the operation of the TTMRA. One of these exceptions relates to </w:t>
      </w:r>
      <w:r w:rsidR="00BF1351" w:rsidRPr="006931FA">
        <w:rPr>
          <w:rFonts w:cs="Arial"/>
          <w:szCs w:val="22"/>
        </w:rPr>
        <w:t>IP</w:t>
      </w:r>
      <w:r w:rsidRPr="006931FA">
        <w:rPr>
          <w:rFonts w:cs="Arial"/>
          <w:szCs w:val="22"/>
        </w:rPr>
        <w:t xml:space="preserve"> laws. </w:t>
      </w:r>
      <w:r w:rsidR="006931FA" w:rsidRPr="006931FA">
        <w:rPr>
          <w:rFonts w:cs="Arial"/>
          <w:szCs w:val="22"/>
        </w:rPr>
        <w:t xml:space="preserve"> </w:t>
      </w:r>
      <w:r w:rsidRPr="006931FA">
        <w:rPr>
          <w:rFonts w:cs="Arial"/>
          <w:szCs w:val="22"/>
        </w:rPr>
        <w:t xml:space="preserve">Relevantly, certain listed </w:t>
      </w:r>
      <w:r w:rsidR="00BF1351" w:rsidRPr="006931FA">
        <w:rPr>
          <w:rFonts w:cs="Arial"/>
          <w:szCs w:val="22"/>
        </w:rPr>
        <w:t xml:space="preserve">IP </w:t>
      </w:r>
      <w:r w:rsidRPr="006931FA">
        <w:rPr>
          <w:rFonts w:cs="Arial"/>
          <w:szCs w:val="22"/>
        </w:rPr>
        <w:t xml:space="preserve">laws are specifically excluded from the operation of the </w:t>
      </w:r>
      <w:r w:rsidRPr="00053EF2">
        <w:rPr>
          <w:rFonts w:cs="Arial"/>
          <w:i/>
          <w:szCs w:val="22"/>
        </w:rPr>
        <w:t>Trans-Tasman Mutual Recognition Act 1997</w:t>
      </w:r>
      <w:r w:rsidRPr="00053EF2">
        <w:rPr>
          <w:rFonts w:cs="Arial"/>
          <w:szCs w:val="22"/>
        </w:rPr>
        <w:t xml:space="preserve"> (</w:t>
      </w:r>
      <w:proofErr w:type="spellStart"/>
      <w:r w:rsidRPr="00053EF2">
        <w:rPr>
          <w:rFonts w:cs="Arial"/>
          <w:szCs w:val="22"/>
        </w:rPr>
        <w:t>Cth</w:t>
      </w:r>
      <w:proofErr w:type="spellEnd"/>
      <w:r w:rsidRPr="00053EF2">
        <w:rPr>
          <w:rFonts w:cs="Arial"/>
          <w:szCs w:val="22"/>
        </w:rPr>
        <w:t xml:space="preserve">) to the extent that the </w:t>
      </w:r>
      <w:r w:rsidR="00BF1351" w:rsidRPr="001829AC">
        <w:rPr>
          <w:rFonts w:cs="Arial"/>
          <w:szCs w:val="22"/>
        </w:rPr>
        <w:t>IP</w:t>
      </w:r>
      <w:r w:rsidRPr="001829AC">
        <w:rPr>
          <w:rFonts w:cs="Arial"/>
          <w:szCs w:val="22"/>
        </w:rPr>
        <w:t xml:space="preserve"> laws provide protection of intellectual rights and relate to the requirements for the sale of goods.</w:t>
      </w:r>
      <w:r w:rsidRPr="00A86641">
        <w:rPr>
          <w:rFonts w:cs="Arial"/>
          <w:szCs w:val="22"/>
          <w:vertAlign w:val="superscript"/>
        </w:rPr>
        <w:footnoteReference w:id="5"/>
      </w:r>
    </w:p>
    <w:p w:rsidR="00316615" w:rsidRPr="00316615" w:rsidRDefault="00316615" w:rsidP="00316615">
      <w:pPr>
        <w:numPr>
          <w:ilvl w:val="0"/>
          <w:numId w:val="6"/>
        </w:numPr>
        <w:spacing w:before="240" w:after="0"/>
        <w:ind w:left="426" w:hanging="426"/>
        <w:rPr>
          <w:rFonts w:cs="Arial"/>
          <w:szCs w:val="22"/>
        </w:rPr>
      </w:pPr>
      <w:r w:rsidRPr="00316615">
        <w:rPr>
          <w:rFonts w:cs="Arial"/>
          <w:szCs w:val="22"/>
        </w:rPr>
        <w:t xml:space="preserve">The rationale for excluding </w:t>
      </w:r>
      <w:r w:rsidR="00BF1351">
        <w:rPr>
          <w:rFonts w:cs="Arial"/>
          <w:szCs w:val="22"/>
        </w:rPr>
        <w:t>IP</w:t>
      </w:r>
      <w:r w:rsidRPr="00316615">
        <w:rPr>
          <w:rFonts w:cs="Arial"/>
          <w:szCs w:val="22"/>
        </w:rPr>
        <w:t xml:space="preserve"> laws from the operation of the TTMRA is outlined in the 2009 Review:</w:t>
      </w:r>
    </w:p>
    <w:p w:rsidR="00316615" w:rsidRDefault="00316615" w:rsidP="00D07AD6">
      <w:pPr>
        <w:spacing w:after="0"/>
        <w:ind w:left="1276"/>
        <w:rPr>
          <w:rFonts w:cs="Arial"/>
          <w:sz w:val="20"/>
        </w:rPr>
      </w:pPr>
      <w:r w:rsidRPr="00316615">
        <w:rPr>
          <w:rFonts w:cs="Arial"/>
          <w:sz w:val="20"/>
        </w:rPr>
        <w:t xml:space="preserve">Laws relating to the protection of </w:t>
      </w:r>
      <w:r w:rsidR="00BF1351">
        <w:rPr>
          <w:rFonts w:cs="Arial"/>
          <w:sz w:val="20"/>
        </w:rPr>
        <w:t>[IP]</w:t>
      </w:r>
      <w:r w:rsidRPr="00316615">
        <w:rPr>
          <w:rFonts w:cs="Arial"/>
          <w:sz w:val="20"/>
        </w:rPr>
        <w:t xml:space="preserve"> were </w:t>
      </w:r>
      <w:r w:rsidRPr="003A5623">
        <w:rPr>
          <w:rFonts w:cs="Arial"/>
          <w:b/>
          <w:sz w:val="20"/>
        </w:rPr>
        <w:t>excluded from the TTMRA so as not to undermine the system by which patent rights are allocated on a regional basis</w:t>
      </w:r>
      <w:r w:rsidRPr="00316615">
        <w:rPr>
          <w:rFonts w:cs="Arial"/>
          <w:sz w:val="20"/>
        </w:rPr>
        <w:t xml:space="preserve"> (PC 2003). If mutual recognition were to apply to </w:t>
      </w:r>
      <w:r w:rsidR="00BF1351">
        <w:rPr>
          <w:rFonts w:cs="Arial"/>
          <w:sz w:val="20"/>
        </w:rPr>
        <w:t>[IPRs]</w:t>
      </w:r>
      <w:r w:rsidRPr="00316615">
        <w:rPr>
          <w:rFonts w:cs="Arial"/>
          <w:sz w:val="20"/>
        </w:rPr>
        <w:t xml:space="preserve">, this would mean that, for example, a product that is subject to an IPR in Australia but not in New Zealand could be freely sold in Australia, thus undermining the intention of the IPR. In 2003, the Commission found that the exclusion for </w:t>
      </w:r>
      <w:r w:rsidR="00BF1351">
        <w:rPr>
          <w:rFonts w:cs="Arial"/>
          <w:sz w:val="20"/>
        </w:rPr>
        <w:t>[IP]</w:t>
      </w:r>
      <w:r w:rsidRPr="00316615">
        <w:rPr>
          <w:rFonts w:cs="Arial"/>
          <w:sz w:val="20"/>
        </w:rPr>
        <w:t xml:space="preserve"> should be retained. At the time, patents law and practices were evolving, including in relation to international agreements.</w:t>
      </w:r>
      <w:r w:rsidRPr="00316615">
        <w:rPr>
          <w:rFonts w:cs="Arial"/>
          <w:sz w:val="20"/>
          <w:vertAlign w:val="superscript"/>
        </w:rPr>
        <w:footnoteReference w:id="6"/>
      </w:r>
    </w:p>
    <w:p w:rsidR="007A2220" w:rsidRPr="00316615" w:rsidRDefault="007A2220" w:rsidP="007A2220">
      <w:pPr>
        <w:spacing w:after="0"/>
        <w:ind w:left="1276"/>
        <w:jc w:val="right"/>
        <w:rPr>
          <w:rFonts w:cs="Arial"/>
          <w:sz w:val="20"/>
        </w:rPr>
      </w:pPr>
      <w:r>
        <w:rPr>
          <w:rFonts w:cs="Arial"/>
          <w:sz w:val="20"/>
        </w:rPr>
        <w:t>[</w:t>
      </w:r>
      <w:proofErr w:type="gramStart"/>
      <w:r w:rsidRPr="007A2220">
        <w:rPr>
          <w:rFonts w:cs="Arial"/>
          <w:b/>
          <w:sz w:val="20"/>
        </w:rPr>
        <w:t>emphasis</w:t>
      </w:r>
      <w:proofErr w:type="gramEnd"/>
      <w:r>
        <w:rPr>
          <w:rFonts w:cs="Arial"/>
          <w:sz w:val="20"/>
        </w:rPr>
        <w:t xml:space="preserve"> added]</w:t>
      </w:r>
    </w:p>
    <w:p w:rsidR="00316615" w:rsidRPr="00316615" w:rsidRDefault="00316615" w:rsidP="00316615">
      <w:pPr>
        <w:numPr>
          <w:ilvl w:val="0"/>
          <w:numId w:val="6"/>
        </w:numPr>
        <w:spacing w:before="240" w:after="0"/>
        <w:ind w:left="426" w:hanging="426"/>
        <w:rPr>
          <w:rFonts w:cs="Arial"/>
          <w:szCs w:val="22"/>
        </w:rPr>
      </w:pPr>
      <w:bookmarkStart w:id="9" w:name="_Ref412555245"/>
      <w:r w:rsidRPr="00316615">
        <w:rPr>
          <w:rFonts w:cs="Arial"/>
          <w:szCs w:val="22"/>
        </w:rPr>
        <w:t xml:space="preserve">In respect of the exceptions under the TTMRA, the 2009 </w:t>
      </w:r>
      <w:r w:rsidR="001F451E">
        <w:rPr>
          <w:rFonts w:cs="Arial"/>
          <w:szCs w:val="22"/>
        </w:rPr>
        <w:t>Review</w:t>
      </w:r>
      <w:r w:rsidR="001F451E" w:rsidRPr="00316615">
        <w:rPr>
          <w:rFonts w:cs="Arial"/>
          <w:szCs w:val="22"/>
        </w:rPr>
        <w:t xml:space="preserve"> </w:t>
      </w:r>
      <w:r w:rsidRPr="00316615">
        <w:rPr>
          <w:rFonts w:cs="Arial"/>
          <w:szCs w:val="22"/>
        </w:rPr>
        <w:t>concluded that:</w:t>
      </w:r>
      <w:bookmarkEnd w:id="9"/>
    </w:p>
    <w:p w:rsidR="00316615" w:rsidRPr="00316615" w:rsidRDefault="00316615" w:rsidP="00D07AD6">
      <w:pPr>
        <w:spacing w:after="0"/>
        <w:ind w:left="1276"/>
        <w:rPr>
          <w:rFonts w:cs="Arial"/>
          <w:sz w:val="20"/>
        </w:rPr>
      </w:pPr>
      <w:r w:rsidRPr="00316615">
        <w:rPr>
          <w:rFonts w:cs="Arial"/>
          <w:sz w:val="20"/>
        </w:rPr>
        <w:t xml:space="preserve">Since the 2003 review of mutual recognition, there has been no realistic opportunity to remove or narrow the list of exclusions from the TTMRA. However, both Australia and New Zealand are active participants in international processes aimed at harmonising or defining protection of </w:t>
      </w:r>
      <w:r w:rsidR="00BF1351">
        <w:rPr>
          <w:rFonts w:cs="Arial"/>
          <w:sz w:val="20"/>
        </w:rPr>
        <w:t>[IP]</w:t>
      </w:r>
      <w:r w:rsidRPr="00316615">
        <w:rPr>
          <w:rFonts w:cs="Arial"/>
          <w:sz w:val="20"/>
        </w:rPr>
        <w:t xml:space="preserve">, trademarks and patents around the world. </w:t>
      </w:r>
    </w:p>
    <w:p w:rsidR="00316615" w:rsidRPr="00316615" w:rsidRDefault="00316615" w:rsidP="00D07AD6">
      <w:pPr>
        <w:spacing w:after="0"/>
        <w:ind w:left="1276"/>
        <w:rPr>
          <w:rFonts w:cs="Arial"/>
          <w:sz w:val="20"/>
        </w:rPr>
      </w:pPr>
      <w:r w:rsidRPr="00316615">
        <w:rPr>
          <w:rFonts w:cs="Arial"/>
          <w:sz w:val="20"/>
        </w:rPr>
        <w:t>…</w:t>
      </w:r>
    </w:p>
    <w:p w:rsidR="00316615" w:rsidRDefault="00316615" w:rsidP="00D07AD6">
      <w:pPr>
        <w:spacing w:after="0"/>
        <w:ind w:left="1276"/>
        <w:rPr>
          <w:rFonts w:cs="Arial"/>
          <w:sz w:val="20"/>
        </w:rPr>
      </w:pPr>
      <w:r w:rsidRPr="00316615">
        <w:rPr>
          <w:rFonts w:cs="Arial"/>
          <w:sz w:val="20"/>
        </w:rPr>
        <w:t xml:space="preserve">These initiatives include greater coordination of the regulatory frameworks governing </w:t>
      </w:r>
      <w:r w:rsidR="00BF1351">
        <w:rPr>
          <w:rFonts w:cs="Arial"/>
          <w:sz w:val="20"/>
        </w:rPr>
        <w:t>[IP]</w:t>
      </w:r>
      <w:r w:rsidRPr="00316615">
        <w:rPr>
          <w:rFonts w:cs="Arial"/>
          <w:sz w:val="20"/>
        </w:rPr>
        <w:t xml:space="preserve">—including the activities of </w:t>
      </w:r>
      <w:r w:rsidR="00BF1351">
        <w:rPr>
          <w:rFonts w:cs="Arial"/>
          <w:sz w:val="20"/>
        </w:rPr>
        <w:t>[IP]</w:t>
      </w:r>
      <w:r w:rsidRPr="00316615">
        <w:rPr>
          <w:rFonts w:cs="Arial"/>
          <w:sz w:val="20"/>
        </w:rPr>
        <w:t xml:space="preserve"> practitioners—on both sides of the Tasman. However, </w:t>
      </w:r>
      <w:r w:rsidRPr="003A5623">
        <w:rPr>
          <w:rFonts w:cs="Arial"/>
          <w:b/>
          <w:sz w:val="20"/>
        </w:rPr>
        <w:t xml:space="preserve">as both countries retain separate </w:t>
      </w:r>
      <w:r w:rsidR="00BF1351">
        <w:rPr>
          <w:rFonts w:cs="Arial"/>
          <w:b/>
          <w:sz w:val="20"/>
        </w:rPr>
        <w:t>[IP]</w:t>
      </w:r>
      <w:r w:rsidRPr="003A5623">
        <w:rPr>
          <w:rFonts w:cs="Arial"/>
          <w:b/>
          <w:sz w:val="20"/>
        </w:rPr>
        <w:t xml:space="preserve"> regimes in which property rights are regionally defined, removing the exclusion from the TTMRA would undermine the effective operation of these systems</w:t>
      </w:r>
      <w:r w:rsidRPr="00316615">
        <w:rPr>
          <w:rFonts w:cs="Arial"/>
          <w:sz w:val="20"/>
        </w:rPr>
        <w:t>.</w:t>
      </w:r>
      <w:r w:rsidR="00256E9A">
        <w:rPr>
          <w:rStyle w:val="FootnoteReference"/>
          <w:rFonts w:cs="Arial"/>
          <w:sz w:val="20"/>
        </w:rPr>
        <w:footnoteReference w:id="7"/>
      </w:r>
    </w:p>
    <w:p w:rsidR="007A2220" w:rsidRPr="00316615" w:rsidRDefault="007A2220" w:rsidP="007A2220">
      <w:pPr>
        <w:spacing w:after="0"/>
        <w:ind w:left="1276"/>
        <w:jc w:val="right"/>
        <w:rPr>
          <w:rFonts w:cs="Arial"/>
          <w:sz w:val="20"/>
        </w:rPr>
      </w:pPr>
      <w:r>
        <w:rPr>
          <w:rFonts w:cs="Arial"/>
          <w:sz w:val="20"/>
        </w:rPr>
        <w:t>[</w:t>
      </w:r>
      <w:proofErr w:type="gramStart"/>
      <w:r w:rsidRPr="007A2220">
        <w:rPr>
          <w:rFonts w:cs="Arial"/>
          <w:b/>
          <w:sz w:val="20"/>
        </w:rPr>
        <w:t>emphasis</w:t>
      </w:r>
      <w:proofErr w:type="gramEnd"/>
      <w:r>
        <w:rPr>
          <w:rFonts w:cs="Arial"/>
          <w:sz w:val="20"/>
        </w:rPr>
        <w:t xml:space="preserve"> added]</w:t>
      </w:r>
    </w:p>
    <w:p w:rsidR="00316615" w:rsidRPr="00316615" w:rsidRDefault="00316615" w:rsidP="00316615">
      <w:pPr>
        <w:pStyle w:val="Heading3"/>
      </w:pPr>
      <w:bookmarkStart w:id="10" w:name="_Toc412625673"/>
      <w:r>
        <w:t xml:space="preserve">Current </w:t>
      </w:r>
      <w:r w:rsidR="000F07A8">
        <w:t xml:space="preserve">trans-Tasman </w:t>
      </w:r>
      <w:r>
        <w:t>i</w:t>
      </w:r>
      <w:r w:rsidRPr="00316615">
        <w:t xml:space="preserve">nitiatives to reduce the cost of </w:t>
      </w:r>
      <w:r>
        <w:t xml:space="preserve">protecting IP </w:t>
      </w:r>
      <w:r w:rsidRPr="00316615">
        <w:t>in both countries</w:t>
      </w:r>
      <w:bookmarkEnd w:id="10"/>
    </w:p>
    <w:p w:rsidR="00F64E39" w:rsidRDefault="00316615" w:rsidP="00316615">
      <w:pPr>
        <w:numPr>
          <w:ilvl w:val="0"/>
          <w:numId w:val="6"/>
        </w:numPr>
        <w:spacing w:before="240" w:after="0"/>
        <w:ind w:left="567" w:hanging="567"/>
        <w:rPr>
          <w:rFonts w:cs="Arial"/>
          <w:szCs w:val="22"/>
        </w:rPr>
      </w:pPr>
      <w:bookmarkStart w:id="11" w:name="_Ref412460511"/>
      <w:r w:rsidRPr="00316615">
        <w:rPr>
          <w:rFonts w:cs="Arial"/>
          <w:szCs w:val="22"/>
        </w:rPr>
        <w:t xml:space="preserve">Current efforts concerning the </w:t>
      </w:r>
      <w:r w:rsidR="00BF1351">
        <w:rPr>
          <w:rFonts w:cs="Arial"/>
          <w:szCs w:val="22"/>
        </w:rPr>
        <w:t>IP</w:t>
      </w:r>
      <w:r w:rsidRPr="00316615">
        <w:rPr>
          <w:rFonts w:cs="Arial"/>
          <w:szCs w:val="22"/>
        </w:rPr>
        <w:t xml:space="preserve"> outcomes of the Trans-Tasman Outcomes Implementation Group </w:t>
      </w:r>
      <w:r w:rsidR="00092E12">
        <w:rPr>
          <w:rFonts w:cs="Arial"/>
          <w:szCs w:val="22"/>
        </w:rPr>
        <w:t>(‘</w:t>
      </w:r>
      <w:r w:rsidR="00092E12" w:rsidRPr="00CC2B46">
        <w:rPr>
          <w:rFonts w:cs="Arial"/>
          <w:b/>
          <w:szCs w:val="22"/>
        </w:rPr>
        <w:t>TTOIG</w:t>
      </w:r>
      <w:r w:rsidR="00092E12">
        <w:rPr>
          <w:rFonts w:cs="Arial"/>
          <w:szCs w:val="22"/>
        </w:rPr>
        <w:t xml:space="preserve">’) </w:t>
      </w:r>
      <w:r w:rsidR="00BF1351">
        <w:rPr>
          <w:rFonts w:cs="Arial"/>
          <w:szCs w:val="22"/>
        </w:rPr>
        <w:t xml:space="preserve">under the Single Economic Market agenda </w:t>
      </w:r>
      <w:r w:rsidRPr="00316615">
        <w:rPr>
          <w:rFonts w:cs="Arial"/>
          <w:szCs w:val="22"/>
        </w:rPr>
        <w:t xml:space="preserve">have focused on alignment, where appropriate, of registration procedures and examination practices rather than harmonising the substantive IP laws themselves. The objective is to reduce regulatory and business compliance costs associated with registering </w:t>
      </w:r>
      <w:proofErr w:type="spellStart"/>
      <w:r w:rsidRPr="00316615">
        <w:rPr>
          <w:rFonts w:cs="Arial"/>
          <w:szCs w:val="22"/>
        </w:rPr>
        <w:t>trade marks</w:t>
      </w:r>
      <w:proofErr w:type="spellEnd"/>
      <w:r w:rsidRPr="00316615">
        <w:rPr>
          <w:rFonts w:cs="Arial"/>
          <w:szCs w:val="22"/>
        </w:rPr>
        <w:t xml:space="preserve"> and applying for the grant of patents in Australia and New Zealand. It is not expected that the Australian and New Zealand IP laws and practices should necessarily become identical, since both countries </w:t>
      </w:r>
      <w:r w:rsidRPr="00316615">
        <w:rPr>
          <w:rFonts w:cs="Arial"/>
          <w:szCs w:val="22"/>
        </w:rPr>
        <w:lastRenderedPageBreak/>
        <w:t xml:space="preserve">expect to retain the flexibility to address domestic policy issues. </w:t>
      </w:r>
      <w:r w:rsidR="00AC08AF">
        <w:rPr>
          <w:rFonts w:cs="Arial"/>
          <w:szCs w:val="22"/>
        </w:rPr>
        <w:t>Nor is it proposed</w:t>
      </w:r>
      <w:r w:rsidR="003A5623">
        <w:rPr>
          <w:rFonts w:cs="Arial"/>
          <w:szCs w:val="22"/>
        </w:rPr>
        <w:t xml:space="preserve"> </w:t>
      </w:r>
      <w:r w:rsidR="003E6FB5">
        <w:rPr>
          <w:rFonts w:cs="Arial"/>
          <w:szCs w:val="22"/>
        </w:rPr>
        <w:t xml:space="preserve">in the near term </w:t>
      </w:r>
      <w:r w:rsidR="003A5623">
        <w:rPr>
          <w:rFonts w:cs="Arial"/>
          <w:szCs w:val="22"/>
        </w:rPr>
        <w:t xml:space="preserve">for </w:t>
      </w:r>
      <w:r w:rsidR="00290BF5">
        <w:rPr>
          <w:rFonts w:cs="Arial"/>
          <w:szCs w:val="22"/>
        </w:rPr>
        <w:t>any</w:t>
      </w:r>
      <w:r w:rsidR="00D97A3F">
        <w:rPr>
          <w:rFonts w:cs="Arial"/>
          <w:szCs w:val="22"/>
        </w:rPr>
        <w:t xml:space="preserve"> IPR</w:t>
      </w:r>
      <w:r w:rsidR="003A5623">
        <w:rPr>
          <w:rFonts w:cs="Arial"/>
          <w:szCs w:val="22"/>
        </w:rPr>
        <w:t xml:space="preserve"> to be i</w:t>
      </w:r>
      <w:r w:rsidR="00D97A3F">
        <w:rPr>
          <w:rFonts w:cs="Arial"/>
          <w:szCs w:val="22"/>
        </w:rPr>
        <w:t xml:space="preserve">ssued and managed by means of </w:t>
      </w:r>
      <w:r w:rsidR="007D7AAE">
        <w:rPr>
          <w:rFonts w:cs="Arial"/>
          <w:szCs w:val="22"/>
        </w:rPr>
        <w:t xml:space="preserve">a </w:t>
      </w:r>
      <w:r w:rsidR="003A5623">
        <w:rPr>
          <w:rFonts w:cs="Arial"/>
          <w:szCs w:val="22"/>
        </w:rPr>
        <w:t xml:space="preserve">single trans-Tasman </w:t>
      </w:r>
      <w:r w:rsidR="00D97A3F">
        <w:rPr>
          <w:rFonts w:cs="Arial"/>
          <w:szCs w:val="22"/>
        </w:rPr>
        <w:t>register</w:t>
      </w:r>
      <w:r w:rsidR="003A5623">
        <w:rPr>
          <w:rFonts w:cs="Arial"/>
          <w:szCs w:val="22"/>
        </w:rPr>
        <w:t>.</w:t>
      </w:r>
      <w:bookmarkEnd w:id="11"/>
      <w:r w:rsidR="006B1128">
        <w:rPr>
          <w:rFonts w:cs="Arial"/>
          <w:szCs w:val="22"/>
        </w:rPr>
        <w:t xml:space="preserve"> </w:t>
      </w:r>
    </w:p>
    <w:p w:rsidR="00F64E39" w:rsidRDefault="00F64E39" w:rsidP="009E7BC6">
      <w:pPr>
        <w:numPr>
          <w:ilvl w:val="0"/>
          <w:numId w:val="6"/>
        </w:numPr>
        <w:spacing w:before="240" w:after="0"/>
        <w:ind w:left="567" w:hanging="567"/>
        <w:rPr>
          <w:rFonts w:cs="Arial"/>
          <w:szCs w:val="22"/>
        </w:rPr>
      </w:pPr>
      <w:bookmarkStart w:id="12" w:name="_Ref412464912"/>
      <w:r>
        <w:rPr>
          <w:rFonts w:cs="Arial"/>
          <w:szCs w:val="22"/>
        </w:rPr>
        <w:t xml:space="preserve">IP Australia notes that among the Outcomes Proposals listed as at 7 February 2011 on </w:t>
      </w:r>
      <w:r w:rsidR="006A45C8">
        <w:rPr>
          <w:rFonts w:cs="Arial"/>
          <w:szCs w:val="22"/>
        </w:rPr>
        <w:t xml:space="preserve">the </w:t>
      </w:r>
      <w:r w:rsidR="00092E12">
        <w:rPr>
          <w:rFonts w:cs="Arial"/>
          <w:szCs w:val="22"/>
        </w:rPr>
        <w:t>TTOIG</w:t>
      </w:r>
      <w:r>
        <w:rPr>
          <w:rFonts w:cs="Arial"/>
          <w:szCs w:val="22"/>
        </w:rPr>
        <w:t xml:space="preserve"> website is a medium term proposal for </w:t>
      </w:r>
      <w:r w:rsidR="006931FA">
        <w:rPr>
          <w:rFonts w:cs="Arial"/>
          <w:szCs w:val="22"/>
        </w:rPr>
        <w:t xml:space="preserve">a </w:t>
      </w:r>
      <w:r>
        <w:rPr>
          <w:rFonts w:cs="Arial"/>
          <w:szCs w:val="22"/>
        </w:rPr>
        <w:t>single trans-Tasman trade marks register.</w:t>
      </w:r>
      <w:r>
        <w:rPr>
          <w:rStyle w:val="FootnoteReference"/>
          <w:rFonts w:cs="Arial"/>
          <w:szCs w:val="22"/>
        </w:rPr>
        <w:footnoteReference w:id="8"/>
      </w:r>
      <w:r w:rsidR="007D7AAE">
        <w:rPr>
          <w:rFonts w:cs="Arial"/>
          <w:szCs w:val="22"/>
        </w:rPr>
        <w:t xml:space="preserve"> </w:t>
      </w:r>
      <w:r>
        <w:rPr>
          <w:rFonts w:cs="Arial"/>
          <w:szCs w:val="22"/>
        </w:rPr>
        <w:t xml:space="preserve">As noted in the May 2014 TTOIG Report, </w:t>
      </w:r>
      <w:r w:rsidR="00514D6F">
        <w:rPr>
          <w:rFonts w:cs="Arial"/>
          <w:szCs w:val="22"/>
        </w:rPr>
        <w:t xml:space="preserve">changes to </w:t>
      </w:r>
      <w:r w:rsidR="00514D6F" w:rsidRPr="00BF6757">
        <w:rPr>
          <w:rFonts w:cs="Arial"/>
          <w:szCs w:val="22"/>
        </w:rPr>
        <w:t xml:space="preserve">Australian and New Zealand trade mark legislation </w:t>
      </w:r>
      <w:r w:rsidR="007D7AAE" w:rsidRPr="00BF6757">
        <w:rPr>
          <w:rFonts w:cs="Arial"/>
          <w:szCs w:val="22"/>
        </w:rPr>
        <w:t>ha</w:t>
      </w:r>
      <w:r w:rsidR="007D7AAE">
        <w:rPr>
          <w:rFonts w:cs="Arial"/>
          <w:szCs w:val="22"/>
        </w:rPr>
        <w:t>ve</w:t>
      </w:r>
      <w:r w:rsidR="007D7AAE" w:rsidRPr="00BF6757">
        <w:rPr>
          <w:rFonts w:cs="Arial"/>
          <w:szCs w:val="22"/>
        </w:rPr>
        <w:t xml:space="preserve"> </w:t>
      </w:r>
      <w:r w:rsidR="00514D6F" w:rsidRPr="00BF6757">
        <w:rPr>
          <w:rFonts w:cs="Arial"/>
          <w:szCs w:val="22"/>
        </w:rPr>
        <w:t>resulted in the trade mark registration procedures becoming substantially aligned</w:t>
      </w:r>
      <w:r w:rsidR="007D7AAE">
        <w:rPr>
          <w:rFonts w:cs="Arial"/>
          <w:szCs w:val="22"/>
        </w:rPr>
        <w:t xml:space="preserve">. </w:t>
      </w:r>
      <w:r w:rsidR="00514D6F">
        <w:rPr>
          <w:rFonts w:cs="Arial"/>
          <w:szCs w:val="22"/>
        </w:rPr>
        <w:t xml:space="preserve">However, the proposal for a single trans-Tasman trade marks register </w:t>
      </w:r>
      <w:r>
        <w:rPr>
          <w:rFonts w:cs="Arial"/>
          <w:szCs w:val="22"/>
        </w:rPr>
        <w:t>is on hold</w:t>
      </w:r>
      <w:r w:rsidR="00674FDA">
        <w:rPr>
          <w:rFonts w:cs="Arial"/>
          <w:szCs w:val="22"/>
        </w:rPr>
        <w:t xml:space="preserve"> due to </w:t>
      </w:r>
      <w:r w:rsidR="00092E12">
        <w:rPr>
          <w:rFonts w:cs="Arial"/>
          <w:szCs w:val="22"/>
        </w:rPr>
        <w:t>current</w:t>
      </w:r>
      <w:r w:rsidR="00674FDA">
        <w:rPr>
          <w:rFonts w:cs="Arial"/>
          <w:szCs w:val="22"/>
        </w:rPr>
        <w:t xml:space="preserve"> resourcing constraints and the business case for this outcome </w:t>
      </w:r>
      <w:r w:rsidR="006A45C8">
        <w:rPr>
          <w:rFonts w:cs="Arial"/>
          <w:szCs w:val="22"/>
        </w:rPr>
        <w:t>requiring</w:t>
      </w:r>
      <w:r w:rsidR="00674FDA">
        <w:rPr>
          <w:rFonts w:cs="Arial"/>
          <w:szCs w:val="22"/>
        </w:rPr>
        <w:t xml:space="preserve"> additional information to be gathered over a period of time.</w:t>
      </w:r>
      <w:r w:rsidR="00674FDA" w:rsidRPr="00674FDA">
        <w:rPr>
          <w:rStyle w:val="FootnoteReference"/>
          <w:rFonts w:cs="Arial"/>
          <w:szCs w:val="22"/>
        </w:rPr>
        <w:t xml:space="preserve"> </w:t>
      </w:r>
      <w:r w:rsidR="00674FDA">
        <w:rPr>
          <w:rStyle w:val="FootnoteReference"/>
          <w:rFonts w:cs="Arial"/>
          <w:szCs w:val="22"/>
        </w:rPr>
        <w:footnoteReference w:id="9"/>
      </w:r>
      <w:bookmarkEnd w:id="12"/>
      <w:r w:rsidR="006B1128">
        <w:rPr>
          <w:rFonts w:cs="Arial"/>
          <w:szCs w:val="22"/>
        </w:rPr>
        <w:t xml:space="preserve"> </w:t>
      </w:r>
    </w:p>
    <w:p w:rsidR="00316615" w:rsidRPr="00316615" w:rsidRDefault="00316615" w:rsidP="00316615">
      <w:pPr>
        <w:numPr>
          <w:ilvl w:val="0"/>
          <w:numId w:val="6"/>
        </w:numPr>
        <w:spacing w:before="240" w:after="0"/>
        <w:ind w:left="567" w:hanging="567"/>
        <w:rPr>
          <w:rFonts w:cs="Arial"/>
          <w:szCs w:val="22"/>
        </w:rPr>
      </w:pPr>
      <w:r w:rsidRPr="00316615">
        <w:rPr>
          <w:rFonts w:cs="Arial"/>
          <w:szCs w:val="22"/>
        </w:rPr>
        <w:t xml:space="preserve">As noted in the </w:t>
      </w:r>
      <w:r w:rsidR="008A626C">
        <w:rPr>
          <w:rFonts w:cs="Arial"/>
          <w:szCs w:val="22"/>
        </w:rPr>
        <w:t>Issues Paper</w:t>
      </w:r>
      <w:r w:rsidRPr="00316615">
        <w:rPr>
          <w:rFonts w:cs="Arial"/>
          <w:szCs w:val="22"/>
        </w:rPr>
        <w:t>, work is ‘on track’ to permit the single application process and the single examination process for persons seeking patent protection in both jurisdictions.</w:t>
      </w:r>
      <w:r w:rsidRPr="00316615">
        <w:rPr>
          <w:rFonts w:cs="Arial"/>
          <w:szCs w:val="22"/>
          <w:vertAlign w:val="superscript"/>
        </w:rPr>
        <w:footnoteReference w:id="10"/>
      </w:r>
      <w:r w:rsidRPr="00316615">
        <w:rPr>
          <w:rFonts w:cs="Arial"/>
          <w:szCs w:val="22"/>
        </w:rPr>
        <w:t xml:space="preserve"> The </w:t>
      </w:r>
      <w:r w:rsidRPr="00316615">
        <w:rPr>
          <w:rFonts w:cs="Arial"/>
          <w:i/>
          <w:szCs w:val="22"/>
        </w:rPr>
        <w:t>Intellectual Property Laws Amendment Act 2015 (</w:t>
      </w:r>
      <w:proofErr w:type="spellStart"/>
      <w:r w:rsidRPr="00316615">
        <w:rPr>
          <w:rFonts w:cs="Arial"/>
          <w:i/>
          <w:szCs w:val="22"/>
        </w:rPr>
        <w:t>Cth</w:t>
      </w:r>
      <w:proofErr w:type="spellEnd"/>
      <w:r w:rsidRPr="00316615">
        <w:rPr>
          <w:rFonts w:cs="Arial"/>
          <w:i/>
          <w:szCs w:val="22"/>
        </w:rPr>
        <w:t>)</w:t>
      </w:r>
      <w:r w:rsidRPr="00316615">
        <w:rPr>
          <w:rFonts w:cs="Arial"/>
          <w:szCs w:val="22"/>
        </w:rPr>
        <w:t xml:space="preserve"> authorises the making of regulations necessary to complete the Australian legislative implementation of those processes. As noted in the </w:t>
      </w:r>
      <w:r w:rsidR="008A626C">
        <w:rPr>
          <w:rFonts w:cs="Arial"/>
          <w:szCs w:val="22"/>
        </w:rPr>
        <w:t>Issues Paper</w:t>
      </w:r>
      <w:r w:rsidRPr="00316615">
        <w:rPr>
          <w:rFonts w:cs="Arial"/>
          <w:szCs w:val="22"/>
        </w:rPr>
        <w:t>, a Bill to amend the Patents Act 2013 (NZ) is expected to be introduced into the NZ Parliament in 2015.</w:t>
      </w:r>
      <w:r w:rsidRPr="00316615">
        <w:rPr>
          <w:rFonts w:cs="Arial"/>
          <w:szCs w:val="22"/>
          <w:vertAlign w:val="superscript"/>
        </w:rPr>
        <w:footnoteReference w:id="11"/>
      </w:r>
      <w:r w:rsidRPr="00316615">
        <w:rPr>
          <w:rFonts w:cs="Arial"/>
          <w:szCs w:val="22"/>
        </w:rPr>
        <w:t xml:space="preserve"> </w:t>
      </w:r>
    </w:p>
    <w:p w:rsidR="00316615" w:rsidRPr="00316615" w:rsidRDefault="00316615" w:rsidP="00316615">
      <w:pPr>
        <w:numPr>
          <w:ilvl w:val="0"/>
          <w:numId w:val="6"/>
        </w:numPr>
        <w:spacing w:before="240" w:after="0"/>
        <w:ind w:left="567" w:hanging="567"/>
        <w:rPr>
          <w:rFonts w:cs="Arial"/>
          <w:szCs w:val="22"/>
        </w:rPr>
      </w:pPr>
      <w:bookmarkStart w:id="13" w:name="_Ref411862903"/>
      <w:r w:rsidRPr="00316615">
        <w:rPr>
          <w:rFonts w:cs="Arial"/>
          <w:szCs w:val="22"/>
        </w:rPr>
        <w:t xml:space="preserve">When implemented, those processes </w:t>
      </w:r>
      <w:r w:rsidR="003E6FB5">
        <w:rPr>
          <w:rFonts w:cs="Arial"/>
          <w:szCs w:val="22"/>
        </w:rPr>
        <w:t>are</w:t>
      </w:r>
      <w:r w:rsidRPr="00316615">
        <w:rPr>
          <w:rFonts w:cs="Arial"/>
          <w:szCs w:val="22"/>
        </w:rPr>
        <w:t xml:space="preserve"> expected to reduce the costs of seeking patent protection in both countries, by reducing the costs of professional representation for filing and prosecuting patent applications to grant. Under the processes, the effect of grant in each country would remain distinct—each country would maintain its own registers of patents and its own patents law and practice.</w:t>
      </w:r>
      <w:bookmarkEnd w:id="13"/>
    </w:p>
    <w:p w:rsidR="00A77D2E" w:rsidRPr="00CB4C34" w:rsidRDefault="00A77D2E" w:rsidP="00316615">
      <w:pPr>
        <w:pStyle w:val="Heading2"/>
      </w:pPr>
      <w:bookmarkStart w:id="14" w:name="_Toc412625674"/>
      <w:r>
        <w:t>Responses to Questions 1</w:t>
      </w:r>
      <w:r w:rsidR="00827CE5">
        <w:t>7</w:t>
      </w:r>
      <w:r>
        <w:t xml:space="preserve"> to 19</w:t>
      </w:r>
      <w:bookmarkEnd w:id="14"/>
    </w:p>
    <w:p w:rsidR="00732356" w:rsidRDefault="00D07105">
      <w:pPr>
        <w:pStyle w:val="ListParagraph"/>
        <w:numPr>
          <w:ilvl w:val="0"/>
          <w:numId w:val="6"/>
        </w:numPr>
        <w:spacing w:before="240" w:after="0"/>
        <w:ind w:left="567" w:hanging="567"/>
        <w:contextualSpacing w:val="0"/>
        <w:rPr>
          <w:rFonts w:cs="Arial"/>
          <w:szCs w:val="22"/>
        </w:rPr>
      </w:pPr>
      <w:r>
        <w:rPr>
          <w:rFonts w:cs="Arial"/>
          <w:szCs w:val="22"/>
        </w:rPr>
        <w:t>The</w:t>
      </w:r>
      <w:r w:rsidRPr="006F385A">
        <w:rPr>
          <w:rFonts w:cs="Arial"/>
          <w:szCs w:val="22"/>
        </w:rPr>
        <w:t xml:space="preserve"> </w:t>
      </w:r>
      <w:r w:rsidR="00732356">
        <w:rPr>
          <w:rFonts w:cs="Arial"/>
          <w:szCs w:val="22"/>
        </w:rPr>
        <w:t xml:space="preserve">TTMRA establishes a general principle of mutual recognition of the right to sell goods across the Tasman so long as local sale of the goods would comply with applicable regulations. The </w:t>
      </w:r>
      <w:r w:rsidR="006F385A" w:rsidRPr="006F385A">
        <w:rPr>
          <w:rFonts w:cs="Arial"/>
          <w:szCs w:val="22"/>
        </w:rPr>
        <w:t xml:space="preserve">effect of the current exclusion of IP laws from the TTMRA is that </w:t>
      </w:r>
      <w:r>
        <w:rPr>
          <w:rFonts w:cs="Arial"/>
          <w:szCs w:val="22"/>
        </w:rPr>
        <w:t xml:space="preserve">in so far as these laws regulate the sale of goods then then they are not overridden by </w:t>
      </w:r>
      <w:r w:rsidR="00732356">
        <w:rPr>
          <w:rFonts w:cs="Arial"/>
          <w:szCs w:val="22"/>
        </w:rPr>
        <w:t>the TTMRA’s mutual recognition of the right to sell goods</w:t>
      </w:r>
      <w:r>
        <w:rPr>
          <w:rFonts w:cs="Arial"/>
          <w:szCs w:val="22"/>
        </w:rPr>
        <w:t xml:space="preserve">.  </w:t>
      </w:r>
      <w:r w:rsidR="00732356">
        <w:rPr>
          <w:rFonts w:cs="Arial"/>
          <w:szCs w:val="22"/>
        </w:rPr>
        <w:t>Accordingly, any trans-Tasman sale of goods currently needs to comply with any requirements regarding the sale of goods which are imposed by IP laws.</w:t>
      </w:r>
      <w:r w:rsidR="00DC5E86">
        <w:rPr>
          <w:rStyle w:val="FootnoteReference"/>
          <w:rFonts w:cs="Arial"/>
          <w:szCs w:val="22"/>
        </w:rPr>
        <w:footnoteReference w:id="12"/>
      </w:r>
    </w:p>
    <w:p w:rsidR="00DE2D28" w:rsidRPr="006F385A" w:rsidRDefault="00C25B9B">
      <w:pPr>
        <w:pStyle w:val="ListParagraph"/>
        <w:numPr>
          <w:ilvl w:val="0"/>
          <w:numId w:val="6"/>
        </w:numPr>
        <w:spacing w:before="240" w:after="0"/>
        <w:ind w:left="567" w:hanging="567"/>
        <w:contextualSpacing w:val="0"/>
        <w:rPr>
          <w:rFonts w:cs="Arial"/>
          <w:szCs w:val="22"/>
        </w:rPr>
      </w:pPr>
      <w:r w:rsidRPr="006F385A">
        <w:rPr>
          <w:rFonts w:cs="Arial"/>
          <w:szCs w:val="22"/>
        </w:rPr>
        <w:t>IP Australia considers that th</w:t>
      </w:r>
      <w:r w:rsidR="006F385A">
        <w:rPr>
          <w:rFonts w:cs="Arial"/>
          <w:szCs w:val="22"/>
        </w:rPr>
        <w:t>is</w:t>
      </w:r>
      <w:r w:rsidRPr="006F385A">
        <w:rPr>
          <w:rFonts w:cs="Arial"/>
          <w:szCs w:val="22"/>
        </w:rPr>
        <w:t xml:space="preserve"> exclusion remains appropriate</w:t>
      </w:r>
      <w:r w:rsidR="007645C3" w:rsidRPr="006F385A">
        <w:rPr>
          <w:rFonts w:cs="Arial"/>
          <w:szCs w:val="22"/>
        </w:rPr>
        <w:t xml:space="preserve"> and that </w:t>
      </w:r>
      <w:r w:rsidR="00715676">
        <w:rPr>
          <w:rFonts w:cs="Arial"/>
          <w:szCs w:val="22"/>
        </w:rPr>
        <w:t xml:space="preserve">neither </w:t>
      </w:r>
      <w:r w:rsidR="00406AC8" w:rsidRPr="006F385A">
        <w:rPr>
          <w:rFonts w:cs="Arial"/>
          <w:szCs w:val="22"/>
        </w:rPr>
        <w:t>single trans-Tasman register</w:t>
      </w:r>
      <w:r w:rsidR="00715676">
        <w:rPr>
          <w:rFonts w:cs="Arial"/>
          <w:szCs w:val="22"/>
        </w:rPr>
        <w:t>s</w:t>
      </w:r>
      <w:r w:rsidR="00406AC8" w:rsidRPr="006F385A">
        <w:rPr>
          <w:rFonts w:cs="Arial"/>
          <w:szCs w:val="22"/>
        </w:rPr>
        <w:t xml:space="preserve"> </w:t>
      </w:r>
      <w:r w:rsidR="00715676">
        <w:rPr>
          <w:rFonts w:cs="Arial"/>
          <w:szCs w:val="22"/>
        </w:rPr>
        <w:t>for</w:t>
      </w:r>
      <w:r w:rsidR="00715676" w:rsidRPr="006F385A">
        <w:rPr>
          <w:rFonts w:cs="Arial"/>
          <w:szCs w:val="22"/>
        </w:rPr>
        <w:t xml:space="preserve"> </w:t>
      </w:r>
      <w:r w:rsidR="00C44260" w:rsidRPr="006F385A">
        <w:rPr>
          <w:rFonts w:cs="Arial"/>
          <w:szCs w:val="22"/>
        </w:rPr>
        <w:t xml:space="preserve">patents and </w:t>
      </w:r>
      <w:proofErr w:type="spellStart"/>
      <w:r w:rsidR="00C44260" w:rsidRPr="006F385A">
        <w:rPr>
          <w:rFonts w:cs="Arial"/>
          <w:szCs w:val="22"/>
        </w:rPr>
        <w:t>trade</w:t>
      </w:r>
      <w:r w:rsidR="00ED51B4" w:rsidRPr="006F385A">
        <w:rPr>
          <w:rFonts w:cs="Arial"/>
          <w:szCs w:val="22"/>
        </w:rPr>
        <w:t xml:space="preserve"> </w:t>
      </w:r>
      <w:r w:rsidR="00C44260" w:rsidRPr="006F385A">
        <w:rPr>
          <w:rFonts w:cs="Arial"/>
          <w:szCs w:val="22"/>
        </w:rPr>
        <w:t>marks</w:t>
      </w:r>
      <w:proofErr w:type="spellEnd"/>
      <w:r w:rsidR="00C44260" w:rsidRPr="006F385A">
        <w:rPr>
          <w:rFonts w:cs="Arial"/>
          <w:szCs w:val="22"/>
        </w:rPr>
        <w:t xml:space="preserve"> </w:t>
      </w:r>
      <w:r w:rsidR="00715676">
        <w:rPr>
          <w:rFonts w:cs="Arial"/>
          <w:szCs w:val="22"/>
        </w:rPr>
        <w:t xml:space="preserve">nor an arrangement </w:t>
      </w:r>
      <w:r w:rsidR="00715676">
        <w:t>where protection in one country automatically results in protection in both</w:t>
      </w:r>
      <w:r w:rsidR="00715676" w:rsidRPr="006F385A">
        <w:rPr>
          <w:rFonts w:cs="Arial"/>
          <w:szCs w:val="22"/>
        </w:rPr>
        <w:t xml:space="preserve"> </w:t>
      </w:r>
      <w:r w:rsidR="006931FA">
        <w:rPr>
          <w:rFonts w:cs="Arial"/>
          <w:szCs w:val="22"/>
        </w:rPr>
        <w:t>(‘</w:t>
      </w:r>
      <w:r w:rsidR="00053EF2">
        <w:rPr>
          <w:rFonts w:cs="Arial"/>
          <w:b/>
          <w:szCs w:val="22"/>
        </w:rPr>
        <w:t>T</w:t>
      </w:r>
      <w:r w:rsidR="00053EF2" w:rsidRPr="00053EF2">
        <w:rPr>
          <w:rFonts w:cs="Arial"/>
          <w:b/>
          <w:szCs w:val="22"/>
        </w:rPr>
        <w:t xml:space="preserve">rans-Tasman IP </w:t>
      </w:r>
      <w:r w:rsidR="00053EF2">
        <w:rPr>
          <w:rFonts w:cs="Arial"/>
          <w:b/>
          <w:szCs w:val="22"/>
        </w:rPr>
        <w:t>P</w:t>
      </w:r>
      <w:r w:rsidR="006931FA" w:rsidRPr="00962300">
        <w:rPr>
          <w:rFonts w:cs="Arial"/>
          <w:b/>
          <w:szCs w:val="22"/>
        </w:rPr>
        <w:t>rotection</w:t>
      </w:r>
      <w:r w:rsidR="006931FA">
        <w:rPr>
          <w:rFonts w:cs="Arial"/>
          <w:szCs w:val="22"/>
        </w:rPr>
        <w:t xml:space="preserve">’) </w:t>
      </w:r>
      <w:r w:rsidR="00406AC8" w:rsidRPr="006F385A">
        <w:rPr>
          <w:rFonts w:cs="Arial"/>
          <w:szCs w:val="22"/>
        </w:rPr>
        <w:t xml:space="preserve">are </w:t>
      </w:r>
      <w:r w:rsidR="00C44260" w:rsidRPr="006F385A">
        <w:rPr>
          <w:rFonts w:cs="Arial"/>
          <w:szCs w:val="22"/>
        </w:rPr>
        <w:t>viable alternative</w:t>
      </w:r>
      <w:r w:rsidR="00406AC8" w:rsidRPr="006F385A">
        <w:rPr>
          <w:rFonts w:cs="Arial"/>
          <w:szCs w:val="22"/>
        </w:rPr>
        <w:t>s</w:t>
      </w:r>
      <w:r w:rsidR="00C44260" w:rsidRPr="006F385A">
        <w:rPr>
          <w:rFonts w:cs="Arial"/>
          <w:szCs w:val="22"/>
        </w:rPr>
        <w:t xml:space="preserve"> in the foreseeable future</w:t>
      </w:r>
      <w:r w:rsidR="00DE2D28" w:rsidRPr="006F385A">
        <w:rPr>
          <w:rFonts w:cs="Arial"/>
          <w:szCs w:val="22"/>
        </w:rPr>
        <w:t>.</w:t>
      </w:r>
    </w:p>
    <w:p w:rsidR="00C25B9B" w:rsidRPr="00BF2FC2" w:rsidRDefault="00C349D2" w:rsidP="00DE2D28">
      <w:pPr>
        <w:pStyle w:val="ListParagraph"/>
        <w:numPr>
          <w:ilvl w:val="0"/>
          <w:numId w:val="6"/>
        </w:numPr>
        <w:spacing w:before="240" w:after="0"/>
        <w:ind w:left="567" w:hanging="567"/>
        <w:contextualSpacing w:val="0"/>
        <w:rPr>
          <w:rFonts w:cs="Arial"/>
          <w:szCs w:val="22"/>
        </w:rPr>
      </w:pPr>
      <w:r>
        <w:rPr>
          <w:rFonts w:cs="Arial"/>
          <w:szCs w:val="22"/>
        </w:rPr>
        <w:t xml:space="preserve">There are </w:t>
      </w:r>
      <w:r w:rsidR="00406AC8">
        <w:rPr>
          <w:rFonts w:cs="Arial"/>
          <w:szCs w:val="22"/>
        </w:rPr>
        <w:t xml:space="preserve">three </w:t>
      </w:r>
      <w:r>
        <w:rPr>
          <w:rFonts w:cs="Arial"/>
          <w:szCs w:val="22"/>
        </w:rPr>
        <w:t xml:space="preserve">main reasons why </w:t>
      </w:r>
      <w:r w:rsidR="00E7785C">
        <w:rPr>
          <w:rFonts w:cs="Arial"/>
          <w:szCs w:val="22"/>
        </w:rPr>
        <w:t xml:space="preserve">we consider that </w:t>
      </w:r>
      <w:r w:rsidR="002015C2">
        <w:rPr>
          <w:rFonts w:cs="Arial"/>
          <w:szCs w:val="22"/>
        </w:rPr>
        <w:t xml:space="preserve">removing the exclusion of IP from the TTMRA, and instituting </w:t>
      </w:r>
      <w:r w:rsidR="00053EF2">
        <w:rPr>
          <w:rFonts w:cs="Arial"/>
          <w:szCs w:val="22"/>
        </w:rPr>
        <w:t>T</w:t>
      </w:r>
      <w:r w:rsidR="006931FA">
        <w:rPr>
          <w:rFonts w:cs="Arial"/>
          <w:szCs w:val="22"/>
        </w:rPr>
        <w:t xml:space="preserve">rans-Tasman IP </w:t>
      </w:r>
      <w:r w:rsidR="00053EF2">
        <w:rPr>
          <w:rFonts w:cs="Arial"/>
          <w:szCs w:val="22"/>
        </w:rPr>
        <w:t>P</w:t>
      </w:r>
      <w:r w:rsidR="006931FA">
        <w:rPr>
          <w:rFonts w:cs="Arial"/>
          <w:szCs w:val="22"/>
        </w:rPr>
        <w:t>rotection</w:t>
      </w:r>
      <w:r w:rsidR="006931FA" w:rsidDel="006931FA">
        <w:rPr>
          <w:rFonts w:cs="Arial"/>
          <w:szCs w:val="22"/>
        </w:rPr>
        <w:t xml:space="preserve"> </w:t>
      </w:r>
      <w:r>
        <w:rPr>
          <w:rFonts w:cs="Arial"/>
          <w:szCs w:val="22"/>
        </w:rPr>
        <w:t>would not yield a net benefit for Australia and New Zealand.</w:t>
      </w:r>
    </w:p>
    <w:p w:rsidR="00267EED" w:rsidRDefault="004F6601" w:rsidP="00D07105">
      <w:pPr>
        <w:pStyle w:val="Heading3"/>
      </w:pPr>
      <w:bookmarkStart w:id="15" w:name="_Toc412625675"/>
      <w:r>
        <w:t xml:space="preserve">Each country would lose </w:t>
      </w:r>
      <w:r w:rsidR="000D7DD0">
        <w:t xml:space="preserve">flexibility to </w:t>
      </w:r>
      <w:r w:rsidR="008C2386">
        <w:t xml:space="preserve">optimise </w:t>
      </w:r>
      <w:r>
        <w:t xml:space="preserve">its </w:t>
      </w:r>
      <w:r w:rsidR="008C2386">
        <w:t xml:space="preserve">IP systems to suit </w:t>
      </w:r>
      <w:r>
        <w:t>its</w:t>
      </w:r>
      <w:r w:rsidR="008C2386">
        <w:t xml:space="preserve"> needs</w:t>
      </w:r>
      <w:bookmarkEnd w:id="15"/>
    </w:p>
    <w:p w:rsidR="005B4086" w:rsidRDefault="006A181A" w:rsidP="007D7AAE">
      <w:pPr>
        <w:pStyle w:val="ListParagraph"/>
        <w:numPr>
          <w:ilvl w:val="0"/>
          <w:numId w:val="6"/>
        </w:numPr>
        <w:spacing w:before="240" w:after="0"/>
        <w:ind w:left="567" w:hanging="567"/>
        <w:contextualSpacing w:val="0"/>
      </w:pPr>
      <w:bookmarkStart w:id="16" w:name="_Ref412460688"/>
      <w:r>
        <w:t xml:space="preserve">The objective </w:t>
      </w:r>
      <w:r w:rsidR="00C44260">
        <w:t>of IP system</w:t>
      </w:r>
      <w:r w:rsidR="00165808">
        <w:t>s</w:t>
      </w:r>
      <w:r w:rsidR="00C44260">
        <w:t xml:space="preserve"> is to encourage investment in innovation </w:t>
      </w:r>
      <w:r w:rsidR="00584353">
        <w:t xml:space="preserve">by rewarding innovators with </w:t>
      </w:r>
      <w:r w:rsidR="00584353" w:rsidRPr="00B435A2">
        <w:rPr>
          <w:rFonts w:cs="Arial"/>
          <w:szCs w:val="22"/>
        </w:rPr>
        <w:t>time-limited monopolies over the sale of their innovations</w:t>
      </w:r>
      <w:r w:rsidR="00C44260">
        <w:t xml:space="preserve">. Optimal levels of </w:t>
      </w:r>
      <w:r w:rsidR="00C44260" w:rsidRPr="00B435A2">
        <w:rPr>
          <w:rFonts w:cs="Arial"/>
          <w:szCs w:val="22"/>
        </w:rPr>
        <w:t>protection</w:t>
      </w:r>
      <w:r w:rsidR="00C44260">
        <w:t xml:space="preserve"> will differ between countries </w:t>
      </w:r>
      <w:r w:rsidR="00781496">
        <w:t xml:space="preserve">for a variety of reasons, including </w:t>
      </w:r>
      <w:r w:rsidR="00C44260">
        <w:t>different market size</w:t>
      </w:r>
      <w:r w:rsidR="004F6601">
        <w:t>s</w:t>
      </w:r>
      <w:r w:rsidR="00C44260">
        <w:t>, business and industry profile</w:t>
      </w:r>
      <w:r w:rsidR="004F6601">
        <w:t>s</w:t>
      </w:r>
      <w:r w:rsidR="00C44260">
        <w:t>, economic</w:t>
      </w:r>
      <w:r w:rsidR="004F6601">
        <w:t>,</w:t>
      </w:r>
      <w:r w:rsidR="00C44260">
        <w:t xml:space="preserve"> social </w:t>
      </w:r>
      <w:r w:rsidR="004F6601">
        <w:t xml:space="preserve">and cultural </w:t>
      </w:r>
      <w:r w:rsidR="00C44260">
        <w:t>policy settings.</w:t>
      </w:r>
      <w:bookmarkEnd w:id="16"/>
      <w:r w:rsidR="00C44260">
        <w:t xml:space="preserve"> </w:t>
      </w:r>
    </w:p>
    <w:p w:rsidR="004F6601" w:rsidRDefault="00121E82" w:rsidP="00C81B5C">
      <w:pPr>
        <w:pStyle w:val="ListParagraph"/>
        <w:numPr>
          <w:ilvl w:val="0"/>
          <w:numId w:val="6"/>
        </w:numPr>
        <w:spacing w:before="240" w:after="0"/>
        <w:ind w:left="567" w:hanging="567"/>
        <w:contextualSpacing w:val="0"/>
      </w:pPr>
      <w:r>
        <w:lastRenderedPageBreak/>
        <w:t xml:space="preserve">Although </w:t>
      </w:r>
      <w:r w:rsidR="00BE3A74" w:rsidRPr="00C81B5C">
        <w:rPr>
          <w:rFonts w:cs="Arial"/>
          <w:szCs w:val="22"/>
        </w:rPr>
        <w:t>Australia</w:t>
      </w:r>
      <w:r w:rsidR="00BE3A74">
        <w:t xml:space="preserve"> and New Zealand are members of a number of international treaties and agreements relating to IP</w:t>
      </w:r>
      <w:r>
        <w:t>, these treaties still permit d</w:t>
      </w:r>
      <w:r w:rsidR="001B7B45">
        <w:t>i</w:t>
      </w:r>
      <w:r>
        <w:t>fferences in the local IP laws of members</w:t>
      </w:r>
      <w:r w:rsidR="00BE3A74">
        <w:t>.</w:t>
      </w:r>
      <w:r w:rsidRPr="00121E82">
        <w:rPr>
          <w:rStyle w:val="FootnoteReference"/>
        </w:rPr>
        <w:t xml:space="preserve"> </w:t>
      </w:r>
      <w:r>
        <w:rPr>
          <w:rStyle w:val="FootnoteReference"/>
        </w:rPr>
        <w:footnoteReference w:id="13"/>
      </w:r>
      <w:r w:rsidR="00BE3A74">
        <w:t xml:space="preserve"> </w:t>
      </w:r>
      <w:r w:rsidR="00D172D3">
        <w:t xml:space="preserve"> Indeed, t</w:t>
      </w:r>
      <w:r>
        <w:t xml:space="preserve">here are substantive differences in the Australian and New Zealand IP systems.  </w:t>
      </w:r>
      <w:r w:rsidR="004F6601" w:rsidRPr="007D7AAE">
        <w:t xml:space="preserve">For </w:t>
      </w:r>
      <w:r w:rsidR="004F6601" w:rsidRPr="00C81B5C">
        <w:rPr>
          <w:rFonts w:cs="Arial"/>
          <w:szCs w:val="22"/>
        </w:rPr>
        <w:t>example</w:t>
      </w:r>
      <w:r w:rsidR="004F6601" w:rsidRPr="007D7AAE">
        <w:t xml:space="preserve">, </w:t>
      </w:r>
      <w:r w:rsidR="004F6601">
        <w:t xml:space="preserve">the </w:t>
      </w:r>
      <w:r w:rsidR="00267EED">
        <w:t>pharmaceutical extension of term scheme</w:t>
      </w:r>
      <w:r w:rsidR="004F6601">
        <w:t xml:space="preserve"> in Australia</w:t>
      </w:r>
      <w:r w:rsidR="00267EED">
        <w:t xml:space="preserve">, </w:t>
      </w:r>
      <w:r w:rsidR="004F6601">
        <w:t xml:space="preserve">and exclusions from </w:t>
      </w:r>
      <w:r w:rsidR="004F6601" w:rsidRPr="00C81B5C">
        <w:rPr>
          <w:rFonts w:cs="Arial"/>
          <w:szCs w:val="22"/>
        </w:rPr>
        <w:t>patentability</w:t>
      </w:r>
      <w:r w:rsidR="00D172D3">
        <w:rPr>
          <w:rFonts w:cs="Arial"/>
          <w:szCs w:val="22"/>
        </w:rPr>
        <w:t xml:space="preserve"> which differ in each country</w:t>
      </w:r>
      <w:r w:rsidR="00AA0D6E">
        <w:t xml:space="preserve">. </w:t>
      </w:r>
      <w:r w:rsidR="004F6601">
        <w:t xml:space="preserve">See the Attachment to this submission for more detail. </w:t>
      </w:r>
    </w:p>
    <w:p w:rsidR="006E2B53" w:rsidRDefault="00053EF2" w:rsidP="007D7AAE">
      <w:pPr>
        <w:pStyle w:val="ListParagraph"/>
        <w:numPr>
          <w:ilvl w:val="0"/>
          <w:numId w:val="6"/>
        </w:numPr>
        <w:spacing w:before="240" w:after="0"/>
        <w:ind w:left="567" w:hanging="567"/>
        <w:contextualSpacing w:val="0"/>
      </w:pPr>
      <w:r>
        <w:rPr>
          <w:rFonts w:cs="Arial"/>
          <w:szCs w:val="22"/>
        </w:rPr>
        <w:t>Trans-Tasman IP Protection</w:t>
      </w:r>
      <w:r w:rsidDel="006931FA">
        <w:rPr>
          <w:rFonts w:cs="Arial"/>
          <w:szCs w:val="22"/>
        </w:rPr>
        <w:t xml:space="preserve"> </w:t>
      </w:r>
      <w:r w:rsidR="00734C53">
        <w:t xml:space="preserve">would remove </w:t>
      </w:r>
      <w:r w:rsidR="00413EA4">
        <w:t xml:space="preserve">each country’s </w:t>
      </w:r>
      <w:r w:rsidR="00734C53">
        <w:t xml:space="preserve">flexibility to adjust </w:t>
      </w:r>
      <w:r w:rsidR="00413EA4">
        <w:t xml:space="preserve">its </w:t>
      </w:r>
      <w:r w:rsidR="00734C53">
        <w:t xml:space="preserve">IP </w:t>
      </w:r>
      <w:r w:rsidR="00734C53" w:rsidRPr="00B435A2">
        <w:rPr>
          <w:rFonts w:cs="Arial"/>
          <w:szCs w:val="22"/>
        </w:rPr>
        <w:t>system</w:t>
      </w:r>
      <w:r w:rsidR="00734C53">
        <w:t xml:space="preserve"> to best suit </w:t>
      </w:r>
      <w:r w:rsidR="00413EA4">
        <w:t xml:space="preserve">its </w:t>
      </w:r>
      <w:r w:rsidR="00734C53">
        <w:t>needs.</w:t>
      </w:r>
      <w:r w:rsidR="006915B6">
        <w:t xml:space="preserve"> </w:t>
      </w:r>
      <w:r w:rsidR="00181BF4">
        <w:t xml:space="preserve"> </w:t>
      </w:r>
    </w:p>
    <w:p w:rsidR="00734C53" w:rsidRDefault="006C5328" w:rsidP="00D07105">
      <w:pPr>
        <w:pStyle w:val="Heading3"/>
      </w:pPr>
      <w:bookmarkStart w:id="17" w:name="_Toc412625676"/>
      <w:r>
        <w:t>Businesses in each country c</w:t>
      </w:r>
      <w:r w:rsidR="004F6601">
        <w:t xml:space="preserve">ould have reduced </w:t>
      </w:r>
      <w:r w:rsidR="000D7DD0">
        <w:t>freedom to operate</w:t>
      </w:r>
      <w:bookmarkEnd w:id="17"/>
    </w:p>
    <w:p w:rsidR="004F6601" w:rsidRDefault="0081409B" w:rsidP="007D7AAE">
      <w:pPr>
        <w:pStyle w:val="ListParagraph"/>
        <w:numPr>
          <w:ilvl w:val="0"/>
          <w:numId w:val="6"/>
        </w:numPr>
        <w:spacing w:before="240" w:after="0"/>
        <w:ind w:left="567" w:hanging="567"/>
        <w:contextualSpacing w:val="0"/>
      </w:pPr>
      <w:r>
        <w:t xml:space="preserve">The territorial </w:t>
      </w:r>
      <w:r w:rsidR="005F1E88">
        <w:t xml:space="preserve">nature </w:t>
      </w:r>
      <w:r>
        <w:t xml:space="preserve">of IPR </w:t>
      </w:r>
      <w:r w:rsidR="005F1E88">
        <w:t xml:space="preserve">allows for different business and marketing strategies </w:t>
      </w:r>
      <w:r w:rsidR="00E005D9">
        <w:t xml:space="preserve">to account for different market sizes, technology capabilities, and business and industry profiles </w:t>
      </w:r>
      <w:r w:rsidR="00AA0D6E">
        <w:t xml:space="preserve">of </w:t>
      </w:r>
      <w:r w:rsidR="00E005D9">
        <w:t xml:space="preserve">different countries. </w:t>
      </w:r>
      <w:r w:rsidR="003D79E2">
        <w:t>So b</w:t>
      </w:r>
      <w:r>
        <w:t xml:space="preserve">usinesses </w:t>
      </w:r>
      <w:r w:rsidR="003D79E2">
        <w:t>may</w:t>
      </w:r>
      <w:r w:rsidR="00E005D9">
        <w:t xml:space="preserve"> </w:t>
      </w:r>
      <w:r>
        <w:t xml:space="preserve">choose </w:t>
      </w:r>
      <w:r w:rsidR="003D79E2">
        <w:t>to</w:t>
      </w:r>
      <w:r>
        <w:t xml:space="preserve"> </w:t>
      </w:r>
      <w:r w:rsidR="00E005D9">
        <w:t>seek protection</w:t>
      </w:r>
      <w:r>
        <w:t xml:space="preserve"> for their </w:t>
      </w:r>
      <w:r w:rsidR="003D79E2">
        <w:t xml:space="preserve">IP in some </w:t>
      </w:r>
      <w:r w:rsidR="003D79E2" w:rsidRPr="00B435A2">
        <w:rPr>
          <w:rFonts w:cs="Arial"/>
          <w:szCs w:val="22"/>
        </w:rPr>
        <w:t>countries</w:t>
      </w:r>
      <w:r w:rsidR="003D79E2">
        <w:t xml:space="preserve">, but not </w:t>
      </w:r>
      <w:r w:rsidR="00ED51B4">
        <w:t xml:space="preserve">in </w:t>
      </w:r>
      <w:r w:rsidR="003D79E2">
        <w:t xml:space="preserve">other </w:t>
      </w:r>
      <w:r w:rsidR="00ED51B4">
        <w:t>countries</w:t>
      </w:r>
      <w:r w:rsidR="00E005D9">
        <w:t xml:space="preserve">. </w:t>
      </w:r>
    </w:p>
    <w:p w:rsidR="00F10FD3" w:rsidRDefault="00E005D9" w:rsidP="007D7AAE">
      <w:pPr>
        <w:pStyle w:val="ListParagraph"/>
        <w:numPr>
          <w:ilvl w:val="0"/>
          <w:numId w:val="6"/>
        </w:numPr>
        <w:spacing w:before="240" w:after="0"/>
        <w:ind w:left="567" w:hanging="567"/>
        <w:contextualSpacing w:val="0"/>
      </w:pPr>
      <w:r>
        <w:t xml:space="preserve">Where </w:t>
      </w:r>
      <w:r w:rsidR="003D79E2">
        <w:t>a business</w:t>
      </w:r>
      <w:r w:rsidR="000A0870">
        <w:t xml:space="preserve"> </w:t>
      </w:r>
      <w:r w:rsidR="003D79E2">
        <w:t>choo</w:t>
      </w:r>
      <w:r w:rsidR="000A0870">
        <w:t>se</w:t>
      </w:r>
      <w:r w:rsidR="003D79E2">
        <w:t>s</w:t>
      </w:r>
      <w:r w:rsidR="000A0870">
        <w:t xml:space="preserve"> not to seek </w:t>
      </w:r>
      <w:r w:rsidR="003D79E2">
        <w:t xml:space="preserve">IP </w:t>
      </w:r>
      <w:r>
        <w:t xml:space="preserve">protection </w:t>
      </w:r>
      <w:r w:rsidR="003D79E2">
        <w:t xml:space="preserve">in some country, it </w:t>
      </w:r>
      <w:r>
        <w:t>leaves</w:t>
      </w:r>
      <w:r w:rsidR="005F1E88">
        <w:t xml:space="preserve"> </w:t>
      </w:r>
      <w:r w:rsidR="003D79E2">
        <w:t xml:space="preserve">other businesses in that country </w:t>
      </w:r>
      <w:r w:rsidR="005F1E88">
        <w:t xml:space="preserve">free to use </w:t>
      </w:r>
      <w:r w:rsidR="00ED51B4">
        <w:t>that IP</w:t>
      </w:r>
      <w:r w:rsidR="00F10FD3">
        <w:t xml:space="preserve">. </w:t>
      </w:r>
      <w:r w:rsidR="00ED51B4">
        <w:t xml:space="preserve">There are a greater </w:t>
      </w:r>
      <w:r w:rsidR="00D37D79">
        <w:t>number of IP registration</w:t>
      </w:r>
      <w:r w:rsidR="00ED51B4">
        <w:t>s</w:t>
      </w:r>
      <w:r w:rsidR="00D37D79">
        <w:t xml:space="preserve"> </w:t>
      </w:r>
      <w:r w:rsidR="00ED51B4">
        <w:t xml:space="preserve">in </w:t>
      </w:r>
      <w:r w:rsidR="00D37D79">
        <w:t>Australia than in N</w:t>
      </w:r>
      <w:r w:rsidR="00ED51B4">
        <w:t xml:space="preserve">ew </w:t>
      </w:r>
      <w:r w:rsidR="00D37D79">
        <w:t>Z</w:t>
      </w:r>
      <w:r w:rsidR="00ED51B4">
        <w:t>ealand</w:t>
      </w:r>
      <w:r w:rsidR="00D37D79">
        <w:t>, reflect</w:t>
      </w:r>
      <w:r w:rsidR="00ED51B4">
        <w:t>ing</w:t>
      </w:r>
      <w:r w:rsidR="00D37D79">
        <w:t xml:space="preserve"> </w:t>
      </w:r>
      <w:r w:rsidR="00ED51B4">
        <w:t>the differences in those markets</w:t>
      </w:r>
      <w:r w:rsidR="005B4086">
        <w:t>.</w:t>
      </w:r>
      <w:r w:rsidR="004F6601" w:rsidRPr="004F6601">
        <w:rPr>
          <w:rStyle w:val="FootnoteReference"/>
          <w:rFonts w:cs="Arial"/>
          <w:szCs w:val="22"/>
        </w:rPr>
        <w:t xml:space="preserve"> </w:t>
      </w:r>
      <w:r w:rsidR="004F6601">
        <w:rPr>
          <w:rStyle w:val="FootnoteReference"/>
          <w:rFonts w:cs="Arial"/>
          <w:szCs w:val="22"/>
        </w:rPr>
        <w:footnoteReference w:id="14"/>
      </w:r>
      <w:r w:rsidR="004F6601" w:rsidRPr="006065C3">
        <w:rPr>
          <w:rFonts w:cs="Arial"/>
          <w:szCs w:val="22"/>
        </w:rPr>
        <w:t xml:space="preserve"> </w:t>
      </w:r>
      <w:r w:rsidR="00053EF2">
        <w:rPr>
          <w:rFonts w:cs="Arial"/>
          <w:szCs w:val="22"/>
        </w:rPr>
        <w:t>Trans-Tasman IP Protection</w:t>
      </w:r>
      <w:r w:rsidR="00053EF2" w:rsidDel="006931FA">
        <w:rPr>
          <w:rFonts w:cs="Arial"/>
          <w:szCs w:val="22"/>
        </w:rPr>
        <w:t xml:space="preserve"> </w:t>
      </w:r>
      <w:r w:rsidR="00F10FD3">
        <w:t>would re</w:t>
      </w:r>
      <w:r w:rsidR="004605AA">
        <w:t>strict</w:t>
      </w:r>
      <w:r w:rsidR="00F10FD3">
        <w:t xml:space="preserve"> </w:t>
      </w:r>
      <w:r w:rsidR="000E309A">
        <w:t xml:space="preserve">other businesses’ </w:t>
      </w:r>
      <w:r w:rsidR="00F10FD3">
        <w:t>freedom to operate</w:t>
      </w:r>
      <w:r w:rsidR="00246326">
        <w:t xml:space="preserve"> in the country </w:t>
      </w:r>
      <w:r w:rsidR="00F10FD3">
        <w:t xml:space="preserve">where </w:t>
      </w:r>
      <w:r w:rsidR="006248D8">
        <w:t>the</w:t>
      </w:r>
      <w:r w:rsidR="000E309A">
        <w:t xml:space="preserve"> IPR owner </w:t>
      </w:r>
      <w:r w:rsidR="006248D8">
        <w:t>would otherwise</w:t>
      </w:r>
      <w:r w:rsidR="00F10FD3">
        <w:t xml:space="preserve"> not seek IP protection.</w:t>
      </w:r>
    </w:p>
    <w:p w:rsidR="002B48D7" w:rsidRDefault="00A45115">
      <w:pPr>
        <w:pStyle w:val="ListParagraph"/>
        <w:numPr>
          <w:ilvl w:val="0"/>
          <w:numId w:val="6"/>
        </w:numPr>
        <w:spacing w:before="240" w:after="0"/>
        <w:ind w:left="567" w:hanging="567"/>
        <w:contextualSpacing w:val="0"/>
      </w:pPr>
      <w:bookmarkStart w:id="18" w:name="_Ref412460691"/>
      <w:r>
        <w:t xml:space="preserve">The current national trade mark systems allow businesses in the different </w:t>
      </w:r>
      <w:r w:rsidR="00440514">
        <w:t>countries</w:t>
      </w:r>
      <w:r>
        <w:t xml:space="preserve"> to use the same or similar marks without conflict or confusion about the origin of their goods or services. </w:t>
      </w:r>
      <w:r w:rsidR="00ED3096">
        <w:t>T</w:t>
      </w:r>
      <w:r w:rsidR="00440514">
        <w:t xml:space="preserve">rans-Tasman </w:t>
      </w:r>
      <w:r w:rsidR="00053EF2">
        <w:t xml:space="preserve">trade marks </w:t>
      </w:r>
      <w:r>
        <w:t xml:space="preserve">protection </w:t>
      </w:r>
      <w:r w:rsidR="00440514">
        <w:t>c</w:t>
      </w:r>
      <w:r w:rsidR="006C5328">
        <w:t>ould be i</w:t>
      </w:r>
      <w:r w:rsidR="00970048">
        <w:t xml:space="preserve">nconsistent with </w:t>
      </w:r>
      <w:r w:rsidR="006C5328">
        <w:t xml:space="preserve">a </w:t>
      </w:r>
      <w:r w:rsidR="00970048">
        <w:t xml:space="preserve">basic </w:t>
      </w:r>
      <w:r w:rsidR="00440514">
        <w:t xml:space="preserve">tenet </w:t>
      </w:r>
      <w:r w:rsidR="00970048">
        <w:t xml:space="preserve">of </w:t>
      </w:r>
      <w:r w:rsidR="006C5328">
        <w:t xml:space="preserve">the </w:t>
      </w:r>
      <w:r w:rsidR="00FB7D94">
        <w:t xml:space="preserve">international </w:t>
      </w:r>
      <w:r w:rsidR="00970048">
        <w:t>trade</w:t>
      </w:r>
      <w:r w:rsidR="006C5328">
        <w:t xml:space="preserve"> </w:t>
      </w:r>
      <w:r w:rsidR="00970048">
        <w:t xml:space="preserve">mark system, which is that </w:t>
      </w:r>
      <w:r w:rsidR="006C5328">
        <w:t xml:space="preserve">a </w:t>
      </w:r>
      <w:r w:rsidR="00970048">
        <w:t xml:space="preserve">trade mark </w:t>
      </w:r>
      <w:r w:rsidR="006C5328">
        <w:t xml:space="preserve">that is not </w:t>
      </w:r>
      <w:r w:rsidR="00053EF2">
        <w:t xml:space="preserve">being </w:t>
      </w:r>
      <w:r w:rsidR="006C5328">
        <w:t xml:space="preserve">used </w:t>
      </w:r>
      <w:r w:rsidR="00447FB4">
        <w:t xml:space="preserve">in a country </w:t>
      </w:r>
      <w:r w:rsidR="00053EF2">
        <w:t xml:space="preserve">and is not otherwise well-known </w:t>
      </w:r>
      <w:r w:rsidR="00440514">
        <w:t xml:space="preserve">should be available for use </w:t>
      </w:r>
      <w:r w:rsidR="006C5328">
        <w:t>by other traders.</w:t>
      </w:r>
      <w:r w:rsidR="00053EF2">
        <w:rPr>
          <w:rStyle w:val="FootnoteReference"/>
        </w:rPr>
        <w:footnoteReference w:id="15"/>
      </w:r>
      <w:r w:rsidR="006B1128">
        <w:t xml:space="preserve"> </w:t>
      </w:r>
      <w:r w:rsidR="00440514">
        <w:t>This</w:t>
      </w:r>
      <w:r>
        <w:t xml:space="preserve"> protection</w:t>
      </w:r>
      <w:r w:rsidR="004605AA">
        <w:t xml:space="preserve"> would</w:t>
      </w:r>
      <w:r w:rsidR="00440514">
        <w:t>,</w:t>
      </w:r>
      <w:r w:rsidR="004605AA">
        <w:t xml:space="preserve"> </w:t>
      </w:r>
      <w:r w:rsidR="00440514">
        <w:t xml:space="preserve">in some circumstances, </w:t>
      </w:r>
      <w:r>
        <w:t>create</w:t>
      </w:r>
      <w:r w:rsidR="00440514">
        <w:t xml:space="preserve"> </w:t>
      </w:r>
      <w:r>
        <w:t xml:space="preserve">rights </w:t>
      </w:r>
      <w:r w:rsidR="004605AA">
        <w:t xml:space="preserve">in </w:t>
      </w:r>
      <w:r w:rsidR="006C5328">
        <w:t xml:space="preserve">a </w:t>
      </w:r>
      <w:r w:rsidR="004605AA">
        <w:t xml:space="preserve">country where </w:t>
      </w:r>
      <w:r w:rsidR="006C5328">
        <w:t xml:space="preserve">a </w:t>
      </w:r>
      <w:r w:rsidR="004605AA">
        <w:t>trade</w:t>
      </w:r>
      <w:r w:rsidR="006C5328">
        <w:t xml:space="preserve"> </w:t>
      </w:r>
      <w:r w:rsidR="004605AA">
        <w:t xml:space="preserve">mark </w:t>
      </w:r>
      <w:r w:rsidR="006C5328">
        <w:t xml:space="preserve">is </w:t>
      </w:r>
      <w:r w:rsidR="004605AA">
        <w:t xml:space="preserve">not </w:t>
      </w:r>
      <w:r w:rsidR="00440514">
        <w:t xml:space="preserve">otherwise </w:t>
      </w:r>
      <w:r w:rsidR="006C5328">
        <w:t xml:space="preserve">being </w:t>
      </w:r>
      <w:r w:rsidR="004605AA">
        <w:t xml:space="preserve">used, preventing other businesses </w:t>
      </w:r>
      <w:r w:rsidR="006C5328">
        <w:t xml:space="preserve">from </w:t>
      </w:r>
      <w:r w:rsidR="004605AA" w:rsidRPr="00ED3096">
        <w:rPr>
          <w:rFonts w:cs="Arial"/>
          <w:szCs w:val="22"/>
        </w:rPr>
        <w:t>using</w:t>
      </w:r>
      <w:r w:rsidR="004605AA">
        <w:t xml:space="preserve"> </w:t>
      </w:r>
      <w:r w:rsidR="006C5328">
        <w:t xml:space="preserve">the </w:t>
      </w:r>
      <w:r w:rsidR="004605AA">
        <w:t xml:space="preserve">same or </w:t>
      </w:r>
      <w:r w:rsidR="006C5328">
        <w:t xml:space="preserve">a </w:t>
      </w:r>
      <w:r w:rsidR="004605AA">
        <w:t>similar trade</w:t>
      </w:r>
      <w:r w:rsidR="006C5328">
        <w:t xml:space="preserve"> </w:t>
      </w:r>
      <w:r w:rsidR="004605AA">
        <w:t>mark.</w:t>
      </w:r>
      <w:r>
        <w:t xml:space="preserve"> This could result in a lost opportunity for those business</w:t>
      </w:r>
      <w:r w:rsidR="00440514">
        <w:t>es</w:t>
      </w:r>
      <w:r>
        <w:t xml:space="preserve"> in the country where </w:t>
      </w:r>
      <w:r w:rsidR="00B35B43">
        <w:t xml:space="preserve">the </w:t>
      </w:r>
      <w:r>
        <w:t xml:space="preserve">mark would not otherwise be used. </w:t>
      </w:r>
      <w:bookmarkEnd w:id="18"/>
    </w:p>
    <w:p w:rsidR="00C25B9B" w:rsidRPr="00C25B9B" w:rsidRDefault="00C25B9B" w:rsidP="00D07105">
      <w:pPr>
        <w:pStyle w:val="Heading3"/>
      </w:pPr>
      <w:bookmarkStart w:id="19" w:name="_Toc412625677"/>
      <w:r w:rsidRPr="00C25B9B">
        <w:t>IPR protection differs from other regulations governing the sale of goods</w:t>
      </w:r>
      <w:bookmarkEnd w:id="19"/>
    </w:p>
    <w:p w:rsidR="00C25B9B" w:rsidRPr="008B7E89" w:rsidRDefault="00B435A2" w:rsidP="008B7E89">
      <w:pPr>
        <w:pStyle w:val="ListParagraph"/>
        <w:numPr>
          <w:ilvl w:val="0"/>
          <w:numId w:val="6"/>
        </w:numPr>
        <w:spacing w:before="240" w:after="0"/>
        <w:ind w:left="567" w:hanging="567"/>
        <w:contextualSpacing w:val="0"/>
        <w:rPr>
          <w:rFonts w:cs="Arial"/>
          <w:szCs w:val="22"/>
        </w:rPr>
      </w:pPr>
      <w:r>
        <w:rPr>
          <w:rFonts w:cs="Arial"/>
          <w:szCs w:val="22"/>
        </w:rPr>
        <w:t>A</w:t>
      </w:r>
      <w:r w:rsidR="00C25B9B" w:rsidRPr="008B7E89">
        <w:rPr>
          <w:rFonts w:cs="Arial"/>
          <w:szCs w:val="22"/>
        </w:rPr>
        <w:t>lthough IPRs impact on the manufacture, distribution and sale of goods, the policy objectives for granting IPRs are unique compared to regulations that otherwise control the manufacture and sale of goods</w:t>
      </w:r>
      <w:r w:rsidR="00A25CF2">
        <w:rPr>
          <w:rFonts w:cs="Arial"/>
          <w:szCs w:val="22"/>
        </w:rPr>
        <w:t xml:space="preserve"> (see paragraph </w:t>
      </w:r>
      <w:r w:rsidR="00A25CF2">
        <w:rPr>
          <w:rFonts w:cs="Arial"/>
          <w:szCs w:val="22"/>
        </w:rPr>
        <w:fldChar w:fldCharType="begin"/>
      </w:r>
      <w:r w:rsidR="00A25CF2">
        <w:rPr>
          <w:rFonts w:cs="Arial"/>
          <w:szCs w:val="22"/>
        </w:rPr>
        <w:instrText xml:space="preserve"> REF _Ref412460688 \r \p \h </w:instrText>
      </w:r>
      <w:r w:rsidR="00A25CF2">
        <w:rPr>
          <w:rFonts w:cs="Arial"/>
          <w:szCs w:val="22"/>
        </w:rPr>
      </w:r>
      <w:r w:rsidR="00A25CF2">
        <w:rPr>
          <w:rFonts w:cs="Arial"/>
          <w:szCs w:val="22"/>
        </w:rPr>
        <w:fldChar w:fldCharType="separate"/>
      </w:r>
      <w:r w:rsidR="001B3FBE">
        <w:rPr>
          <w:rFonts w:cs="Arial"/>
          <w:szCs w:val="22"/>
        </w:rPr>
        <w:t>17 above</w:t>
      </w:r>
      <w:r w:rsidR="00A25CF2">
        <w:rPr>
          <w:rFonts w:cs="Arial"/>
          <w:szCs w:val="22"/>
        </w:rPr>
        <w:fldChar w:fldCharType="end"/>
      </w:r>
      <w:r w:rsidR="00A25CF2">
        <w:rPr>
          <w:rFonts w:cs="Arial"/>
          <w:szCs w:val="22"/>
        </w:rPr>
        <w:t>)</w:t>
      </w:r>
      <w:r w:rsidR="00C25B9B" w:rsidRPr="008B7E89">
        <w:rPr>
          <w:rFonts w:cs="Arial"/>
          <w:szCs w:val="22"/>
        </w:rPr>
        <w:t>. Other regulations governing the manufacture, distribution and sale of goods are concerned with matters such as production quality, packaging, and inspection of goods. Th</w:t>
      </w:r>
      <w:r w:rsidR="00447FB4">
        <w:rPr>
          <w:rFonts w:cs="Arial"/>
          <w:szCs w:val="22"/>
        </w:rPr>
        <w:t>e policy objectives of th</w:t>
      </w:r>
      <w:r w:rsidR="00C25B9B" w:rsidRPr="008B7E89">
        <w:rPr>
          <w:rFonts w:cs="Arial"/>
          <w:szCs w:val="22"/>
        </w:rPr>
        <w:t>ose regulations</w:t>
      </w:r>
      <w:r w:rsidR="00447FB4">
        <w:rPr>
          <w:rFonts w:cs="Arial"/>
          <w:szCs w:val="22"/>
        </w:rPr>
        <w:t xml:space="preserve"> </w:t>
      </w:r>
      <w:r w:rsidR="00C25B9B" w:rsidRPr="008B7E89">
        <w:rPr>
          <w:rFonts w:cs="Arial"/>
          <w:szCs w:val="22"/>
        </w:rPr>
        <w:t xml:space="preserve">are aimed at </w:t>
      </w:r>
      <w:r w:rsidR="00447FB4">
        <w:rPr>
          <w:rFonts w:cs="Arial"/>
          <w:szCs w:val="22"/>
        </w:rPr>
        <w:t xml:space="preserve">matters unrelated to innovation, such as </w:t>
      </w:r>
      <w:r w:rsidR="00C25B9B" w:rsidRPr="008B7E89">
        <w:rPr>
          <w:rFonts w:cs="Arial"/>
          <w:szCs w:val="22"/>
        </w:rPr>
        <w:t>protecting public health and safety.</w:t>
      </w:r>
    </w:p>
    <w:p w:rsidR="00C25B9B" w:rsidRDefault="00C25B9B" w:rsidP="00C25B9B">
      <w:pPr>
        <w:pStyle w:val="ListParagraph"/>
        <w:numPr>
          <w:ilvl w:val="0"/>
          <w:numId w:val="6"/>
        </w:numPr>
        <w:spacing w:before="240" w:after="0"/>
        <w:ind w:left="567" w:hanging="567"/>
        <w:contextualSpacing w:val="0"/>
        <w:rPr>
          <w:rFonts w:cs="Arial"/>
          <w:szCs w:val="22"/>
        </w:rPr>
      </w:pPr>
      <w:r>
        <w:rPr>
          <w:rFonts w:cs="Arial"/>
          <w:szCs w:val="22"/>
        </w:rPr>
        <w:t xml:space="preserve">As indicated in paragraphs </w:t>
      </w:r>
      <w:r>
        <w:rPr>
          <w:rFonts w:cs="Arial"/>
          <w:szCs w:val="22"/>
        </w:rPr>
        <w:fldChar w:fldCharType="begin"/>
      </w:r>
      <w:r>
        <w:rPr>
          <w:rFonts w:cs="Arial"/>
          <w:szCs w:val="22"/>
        </w:rPr>
        <w:instrText xml:space="preserve"> REF _Ref411849603 \r \h </w:instrText>
      </w:r>
      <w:r>
        <w:rPr>
          <w:rFonts w:cs="Arial"/>
          <w:szCs w:val="22"/>
        </w:rPr>
      </w:r>
      <w:r>
        <w:rPr>
          <w:rFonts w:cs="Arial"/>
          <w:szCs w:val="22"/>
        </w:rPr>
        <w:fldChar w:fldCharType="separate"/>
      </w:r>
      <w:r w:rsidR="009A718E">
        <w:rPr>
          <w:rFonts w:cs="Arial"/>
          <w:szCs w:val="22"/>
        </w:rPr>
        <w:t>5</w:t>
      </w:r>
      <w:r>
        <w:rPr>
          <w:rFonts w:cs="Arial"/>
          <w:szCs w:val="22"/>
        </w:rPr>
        <w:fldChar w:fldCharType="end"/>
      </w:r>
      <w:r>
        <w:rPr>
          <w:rFonts w:cs="Arial"/>
          <w:szCs w:val="22"/>
        </w:rPr>
        <w:t xml:space="preserve"> to </w:t>
      </w:r>
      <w:r>
        <w:rPr>
          <w:rFonts w:cs="Arial"/>
          <w:szCs w:val="22"/>
        </w:rPr>
        <w:fldChar w:fldCharType="begin" w:fldLock="1"/>
      </w:r>
      <w:r>
        <w:rPr>
          <w:rFonts w:cs="Arial"/>
          <w:szCs w:val="22"/>
        </w:rPr>
        <w:instrText xml:space="preserve"> REF _Ref411849559 \r \p \h </w:instrText>
      </w:r>
      <w:r>
        <w:rPr>
          <w:rFonts w:cs="Arial"/>
          <w:szCs w:val="22"/>
        </w:rPr>
      </w:r>
      <w:r>
        <w:rPr>
          <w:rFonts w:cs="Arial"/>
          <w:szCs w:val="22"/>
        </w:rPr>
        <w:fldChar w:fldCharType="separate"/>
      </w:r>
      <w:r w:rsidR="001829AC">
        <w:rPr>
          <w:rFonts w:cs="Arial"/>
          <w:szCs w:val="22"/>
        </w:rPr>
        <w:t>6 above</w:t>
      </w:r>
      <w:r>
        <w:rPr>
          <w:rFonts w:cs="Arial"/>
          <w:szCs w:val="22"/>
        </w:rPr>
        <w:fldChar w:fldCharType="end"/>
      </w:r>
      <w:r>
        <w:rPr>
          <w:rFonts w:cs="Arial"/>
          <w:szCs w:val="22"/>
        </w:rPr>
        <w:t xml:space="preserve">, mutual recognition is aimed at removing unnecessary regulatory impediments to the trade in goods. IP Australia considers that the protection of IPRs is not an unnecessary regulatory impediment, but is instead a necessary measure to encourage </w:t>
      </w:r>
      <w:r w:rsidR="00543082">
        <w:rPr>
          <w:rFonts w:cs="Arial"/>
          <w:szCs w:val="22"/>
        </w:rPr>
        <w:t xml:space="preserve">technological </w:t>
      </w:r>
      <w:r>
        <w:rPr>
          <w:rFonts w:cs="Arial"/>
          <w:szCs w:val="22"/>
        </w:rPr>
        <w:t xml:space="preserve">innovation (patents) and to prevent confusion in the marketplace about the origin of goods and services (registered </w:t>
      </w:r>
      <w:proofErr w:type="spellStart"/>
      <w:r>
        <w:rPr>
          <w:rFonts w:cs="Arial"/>
          <w:szCs w:val="22"/>
        </w:rPr>
        <w:t>trade marks</w:t>
      </w:r>
      <w:proofErr w:type="spellEnd"/>
      <w:r>
        <w:rPr>
          <w:rFonts w:cs="Arial"/>
          <w:szCs w:val="22"/>
        </w:rPr>
        <w:t>).</w:t>
      </w:r>
    </w:p>
    <w:p w:rsidR="00ED3096" w:rsidRDefault="009D4842" w:rsidP="00C25B9B">
      <w:pPr>
        <w:pStyle w:val="Heading3"/>
      </w:pPr>
      <w:bookmarkStart w:id="20" w:name="_Toc412625678"/>
      <w:r>
        <w:lastRenderedPageBreak/>
        <w:t>E</w:t>
      </w:r>
      <w:r w:rsidR="00ED3096">
        <w:t>xclusion of IPR f</w:t>
      </w:r>
      <w:r w:rsidR="00451777">
        <w:t>r</w:t>
      </w:r>
      <w:r w:rsidR="00ED3096">
        <w:t>om the TTMRA – question 17</w:t>
      </w:r>
      <w:bookmarkEnd w:id="20"/>
    </w:p>
    <w:p w:rsidR="003C0952" w:rsidRDefault="00451777" w:rsidP="00613E88">
      <w:pPr>
        <w:pStyle w:val="ListParagraph"/>
        <w:numPr>
          <w:ilvl w:val="0"/>
          <w:numId w:val="6"/>
        </w:numPr>
        <w:spacing w:before="240" w:after="0"/>
        <w:ind w:left="567" w:hanging="567"/>
        <w:contextualSpacing w:val="0"/>
      </w:pPr>
      <w:r>
        <w:t xml:space="preserve">As extracted at paragraph </w:t>
      </w:r>
      <w:r>
        <w:fldChar w:fldCharType="begin"/>
      </w:r>
      <w:r>
        <w:instrText xml:space="preserve"> REF _Ref412555245 \r \h </w:instrText>
      </w:r>
      <w:r>
        <w:fldChar w:fldCharType="separate"/>
      </w:r>
      <w:r w:rsidR="009A718E">
        <w:t>9</w:t>
      </w:r>
      <w:r>
        <w:fldChar w:fldCharType="end"/>
      </w:r>
      <w:r>
        <w:t xml:space="preserve"> above, in the 2009 </w:t>
      </w:r>
      <w:r w:rsidR="001F451E">
        <w:t xml:space="preserve">Review </w:t>
      </w:r>
      <w:r>
        <w:t xml:space="preserve">the Productivity </w:t>
      </w:r>
      <w:r w:rsidR="003C0952">
        <w:t>Commission</w:t>
      </w:r>
      <w:r>
        <w:t xml:space="preserve"> expressed the view that as New Zealand and Australia retained</w:t>
      </w:r>
      <w:r w:rsidR="003C0952">
        <w:t xml:space="preserve"> “</w:t>
      </w:r>
      <w:r w:rsidRPr="00613E88">
        <w:t>separate [IP] regimes in which property rights are regionally defined, removing the exclusion from the TTMRA would undermine the effective operation of these systems.</w:t>
      </w:r>
      <w:r w:rsidR="003C0952">
        <w:t>”</w:t>
      </w:r>
      <w:r w:rsidR="003C0952" w:rsidRPr="003C0952">
        <w:t xml:space="preserve"> </w:t>
      </w:r>
    </w:p>
    <w:p w:rsidR="003C0952" w:rsidRDefault="003C0952" w:rsidP="00613E88">
      <w:pPr>
        <w:pStyle w:val="ListParagraph"/>
        <w:numPr>
          <w:ilvl w:val="0"/>
          <w:numId w:val="6"/>
        </w:numPr>
        <w:spacing w:before="240" w:after="0"/>
        <w:ind w:left="567" w:hanging="567"/>
        <w:contextualSpacing w:val="0"/>
      </w:pPr>
      <w:r>
        <w:t>IP Australia agrees with this position and considers that circumstances have not substantially changed since 2009. Although there have been changes in IP law since 2009, there remain substantive differences — as outlined in the Attachment.</w:t>
      </w:r>
    </w:p>
    <w:p w:rsidR="00ED3096" w:rsidRDefault="003C0952" w:rsidP="00613E88">
      <w:pPr>
        <w:pStyle w:val="ListParagraph"/>
        <w:numPr>
          <w:ilvl w:val="0"/>
          <w:numId w:val="6"/>
        </w:numPr>
        <w:spacing w:before="240" w:after="0"/>
        <w:ind w:left="567" w:hanging="567"/>
        <w:contextualSpacing w:val="0"/>
      </w:pPr>
      <w:r>
        <w:t>Additionally, r</w:t>
      </w:r>
      <w:r w:rsidR="00ED3096">
        <w:t xml:space="preserve">emoving the exclusion of IP laws from the TTMRA without also instituting </w:t>
      </w:r>
      <w:r w:rsidR="001F451E">
        <w:rPr>
          <w:rFonts w:cs="Arial"/>
          <w:szCs w:val="22"/>
        </w:rPr>
        <w:t>Trans-Tasman IP Protection</w:t>
      </w:r>
      <w:r w:rsidR="00ED3096">
        <w:t xml:space="preserve"> could result in unnecessary transaction costs for businesses. These costs would be associated with obtaining IP protection in a country where this protection would not otherwise be sought. This is because businesses with IP protection in one country would need to defensively protect their IP in the other country to prevent competitors in the second country from freely selling goods embodying that IP into the first country (where the IP is protected) under the TTMRA. As noted above, IP Australia is of the view that removing the exclusion of IP laws from the TTMRA would not be appropriate.</w:t>
      </w:r>
    </w:p>
    <w:p w:rsidR="00C25B9B" w:rsidRPr="00C25B9B" w:rsidRDefault="007B0F60" w:rsidP="00C25B9B">
      <w:pPr>
        <w:pStyle w:val="Heading3"/>
      </w:pPr>
      <w:bookmarkStart w:id="21" w:name="_Toc412625679"/>
      <w:r>
        <w:t>Issues</w:t>
      </w:r>
      <w:r w:rsidRPr="00C25B9B">
        <w:t xml:space="preserve"> </w:t>
      </w:r>
      <w:r>
        <w:t>with</w:t>
      </w:r>
      <w:r w:rsidR="00C25B9B" w:rsidRPr="00C25B9B">
        <w:t xml:space="preserve"> implementing trans-Tasman </w:t>
      </w:r>
      <w:r w:rsidR="009D4842">
        <w:t xml:space="preserve">protection </w:t>
      </w:r>
      <w:r w:rsidR="00C25B9B" w:rsidRPr="00C25B9B">
        <w:t xml:space="preserve">for </w:t>
      </w:r>
      <w:r w:rsidR="00CF3A77" w:rsidRPr="00C25B9B">
        <w:t xml:space="preserve">patents </w:t>
      </w:r>
      <w:r w:rsidR="00CF3A77">
        <w:t xml:space="preserve">and for </w:t>
      </w:r>
      <w:r w:rsidR="00E67D3B">
        <w:t>trade marks</w:t>
      </w:r>
      <w:r w:rsidR="00C25B9B" w:rsidRPr="00C25B9B">
        <w:t>—question</w:t>
      </w:r>
      <w:r w:rsidR="00534733">
        <w:t>s</w:t>
      </w:r>
      <w:r w:rsidR="00C25B9B" w:rsidRPr="00C25B9B">
        <w:t xml:space="preserve"> 18</w:t>
      </w:r>
      <w:r w:rsidR="00534733">
        <w:t xml:space="preserve"> and 19</w:t>
      </w:r>
      <w:bookmarkEnd w:id="21"/>
    </w:p>
    <w:p w:rsidR="00E003A7" w:rsidRPr="00902C06" w:rsidRDefault="003652ED" w:rsidP="00902C06">
      <w:pPr>
        <w:pStyle w:val="ListParagraph"/>
        <w:numPr>
          <w:ilvl w:val="0"/>
          <w:numId w:val="6"/>
        </w:numPr>
        <w:spacing w:before="240" w:after="0"/>
        <w:ind w:left="505" w:hanging="505"/>
        <w:contextualSpacing w:val="0"/>
        <w:rPr>
          <w:rFonts w:cs="Arial"/>
          <w:szCs w:val="22"/>
        </w:rPr>
      </w:pPr>
      <w:r>
        <w:rPr>
          <w:rFonts w:cs="Arial"/>
          <w:szCs w:val="22"/>
        </w:rPr>
        <w:t xml:space="preserve">In relation to </w:t>
      </w:r>
      <w:r w:rsidR="00613E88">
        <w:rPr>
          <w:rFonts w:cs="Arial"/>
          <w:szCs w:val="22"/>
        </w:rPr>
        <w:t>patents</w:t>
      </w:r>
      <w:r>
        <w:rPr>
          <w:rFonts w:cs="Arial"/>
          <w:szCs w:val="22"/>
        </w:rPr>
        <w:t xml:space="preserve">, </w:t>
      </w:r>
      <w:r w:rsidR="009D4842">
        <w:rPr>
          <w:rFonts w:cs="Arial"/>
          <w:szCs w:val="22"/>
        </w:rPr>
        <w:t>a</w:t>
      </w:r>
      <w:r w:rsidR="00534733">
        <w:rPr>
          <w:rFonts w:cs="Arial"/>
          <w:szCs w:val="22"/>
        </w:rPr>
        <w:t xml:space="preserve">s noted at paragraphs </w:t>
      </w:r>
      <w:r>
        <w:rPr>
          <w:rFonts w:cs="Arial"/>
          <w:szCs w:val="22"/>
        </w:rPr>
        <w:fldChar w:fldCharType="begin"/>
      </w:r>
      <w:r>
        <w:rPr>
          <w:rFonts w:cs="Arial"/>
          <w:szCs w:val="22"/>
        </w:rPr>
        <w:instrText xml:space="preserve"> REF _Ref412460511 \r \h </w:instrText>
      </w:r>
      <w:r>
        <w:rPr>
          <w:rFonts w:cs="Arial"/>
          <w:szCs w:val="22"/>
        </w:rPr>
      </w:r>
      <w:r>
        <w:rPr>
          <w:rFonts w:cs="Arial"/>
          <w:szCs w:val="22"/>
        </w:rPr>
        <w:fldChar w:fldCharType="separate"/>
      </w:r>
      <w:r w:rsidR="009A718E">
        <w:rPr>
          <w:rFonts w:cs="Arial"/>
          <w:szCs w:val="22"/>
        </w:rPr>
        <w:t>10</w:t>
      </w:r>
      <w:r>
        <w:rPr>
          <w:rFonts w:cs="Arial"/>
          <w:szCs w:val="22"/>
        </w:rPr>
        <w:fldChar w:fldCharType="end"/>
      </w:r>
      <w:r w:rsidR="00534733">
        <w:rPr>
          <w:rFonts w:cs="Arial"/>
          <w:szCs w:val="22"/>
        </w:rPr>
        <w:t xml:space="preserve"> through </w:t>
      </w:r>
      <w:r w:rsidR="00534733">
        <w:rPr>
          <w:rFonts w:cs="Arial"/>
          <w:szCs w:val="22"/>
        </w:rPr>
        <w:fldChar w:fldCharType="begin"/>
      </w:r>
      <w:r w:rsidR="00534733">
        <w:rPr>
          <w:rFonts w:cs="Arial"/>
          <w:szCs w:val="22"/>
        </w:rPr>
        <w:instrText xml:space="preserve"> REF _Ref411862903 \r \p \h </w:instrText>
      </w:r>
      <w:r w:rsidR="00534733">
        <w:rPr>
          <w:rFonts w:cs="Arial"/>
          <w:szCs w:val="22"/>
        </w:rPr>
      </w:r>
      <w:r w:rsidR="00534733">
        <w:rPr>
          <w:rFonts w:cs="Arial"/>
          <w:szCs w:val="22"/>
        </w:rPr>
        <w:fldChar w:fldCharType="separate"/>
      </w:r>
      <w:r w:rsidR="009A718E">
        <w:rPr>
          <w:rFonts w:cs="Arial"/>
          <w:szCs w:val="22"/>
        </w:rPr>
        <w:t>13 above</w:t>
      </w:r>
      <w:r w:rsidR="00534733">
        <w:rPr>
          <w:rFonts w:cs="Arial"/>
          <w:szCs w:val="22"/>
        </w:rPr>
        <w:fldChar w:fldCharType="end"/>
      </w:r>
      <w:r w:rsidR="00534733">
        <w:rPr>
          <w:rFonts w:cs="Arial"/>
          <w:szCs w:val="22"/>
        </w:rPr>
        <w:t xml:space="preserve">, there continues to be substantial work undertaken by both Australia and New Zealand to reduce the regulatory burden in obtaining </w:t>
      </w:r>
      <w:r w:rsidR="00E67D3B">
        <w:rPr>
          <w:rFonts w:cs="Arial"/>
          <w:szCs w:val="22"/>
        </w:rPr>
        <w:t xml:space="preserve">patents </w:t>
      </w:r>
      <w:r w:rsidR="00534733">
        <w:rPr>
          <w:rFonts w:cs="Arial"/>
          <w:szCs w:val="22"/>
        </w:rPr>
        <w:t>in each county</w:t>
      </w:r>
      <w:r w:rsidR="00F64EE8">
        <w:rPr>
          <w:rFonts w:cs="Arial"/>
          <w:szCs w:val="22"/>
        </w:rPr>
        <w:t>. In particular, the</w:t>
      </w:r>
      <w:r w:rsidR="00534733">
        <w:rPr>
          <w:rFonts w:cs="Arial"/>
          <w:szCs w:val="22"/>
        </w:rPr>
        <w:t xml:space="preserve"> single patent application</w:t>
      </w:r>
      <w:r w:rsidR="00E528E9">
        <w:rPr>
          <w:rFonts w:cs="Arial"/>
          <w:szCs w:val="22"/>
        </w:rPr>
        <w:t xml:space="preserve"> process</w:t>
      </w:r>
      <w:r w:rsidR="00534733">
        <w:rPr>
          <w:rFonts w:cs="Arial"/>
          <w:szCs w:val="22"/>
        </w:rPr>
        <w:t xml:space="preserve"> and </w:t>
      </w:r>
      <w:r w:rsidR="00E528E9">
        <w:rPr>
          <w:rFonts w:cs="Arial"/>
          <w:szCs w:val="22"/>
        </w:rPr>
        <w:t xml:space="preserve">single patent </w:t>
      </w:r>
      <w:r w:rsidR="00534733">
        <w:rPr>
          <w:rFonts w:cs="Arial"/>
          <w:szCs w:val="22"/>
        </w:rPr>
        <w:t>examination process</w:t>
      </w:r>
      <w:r w:rsidR="00F64EE8">
        <w:rPr>
          <w:rFonts w:cs="Arial"/>
          <w:szCs w:val="22"/>
        </w:rPr>
        <w:t xml:space="preserve"> are expected to </w:t>
      </w:r>
      <w:r w:rsidR="00F64EE8" w:rsidRPr="00F64EE8">
        <w:rPr>
          <w:rFonts w:cs="Arial"/>
          <w:szCs w:val="22"/>
        </w:rPr>
        <w:t>reduce the costs of seeking patent protection in both countries</w:t>
      </w:r>
      <w:r w:rsidR="00F64EE8">
        <w:rPr>
          <w:rFonts w:cs="Arial"/>
          <w:szCs w:val="22"/>
        </w:rPr>
        <w:t>.</w:t>
      </w:r>
      <w:r w:rsidR="00902C06">
        <w:rPr>
          <w:rFonts w:cs="Arial"/>
          <w:szCs w:val="22"/>
        </w:rPr>
        <w:t xml:space="preserve"> </w:t>
      </w:r>
      <w:r w:rsidR="00534733" w:rsidRPr="00902C06">
        <w:rPr>
          <w:rFonts w:cs="Arial"/>
          <w:szCs w:val="22"/>
        </w:rPr>
        <w:t xml:space="preserve">Once this work has been completed, there would appear to be minimal additional advantage for patent applicants being able to obtain </w:t>
      </w:r>
      <w:r w:rsidR="004F7138">
        <w:rPr>
          <w:rFonts w:cs="Arial"/>
          <w:szCs w:val="22"/>
        </w:rPr>
        <w:t xml:space="preserve">trans-Tasman </w:t>
      </w:r>
      <w:r w:rsidR="00434B41">
        <w:rPr>
          <w:rFonts w:cs="Arial"/>
          <w:szCs w:val="22"/>
        </w:rPr>
        <w:t xml:space="preserve">patent </w:t>
      </w:r>
      <w:r w:rsidR="004F7138">
        <w:rPr>
          <w:rFonts w:cs="Arial"/>
          <w:szCs w:val="22"/>
        </w:rPr>
        <w:t>protection</w:t>
      </w:r>
      <w:r w:rsidR="00534733" w:rsidRPr="00902C06">
        <w:rPr>
          <w:rFonts w:cs="Arial"/>
          <w:szCs w:val="22"/>
        </w:rPr>
        <w:t>.</w:t>
      </w:r>
      <w:r w:rsidR="006B1128" w:rsidRPr="00902C06">
        <w:rPr>
          <w:rFonts w:cs="Arial"/>
          <w:szCs w:val="22"/>
        </w:rPr>
        <w:t xml:space="preserve"> </w:t>
      </w:r>
      <w:r w:rsidR="00E003A7" w:rsidRPr="00902C06">
        <w:rPr>
          <w:rFonts w:cs="Arial"/>
          <w:szCs w:val="22"/>
        </w:rPr>
        <w:t xml:space="preserve">Additionally, these advantages could be expected to be outweighed by the disadvantages outlined at paragraphs </w:t>
      </w:r>
      <w:r w:rsidR="00E003A7" w:rsidRPr="00902C06">
        <w:rPr>
          <w:rFonts w:cs="Arial"/>
          <w:szCs w:val="22"/>
        </w:rPr>
        <w:fldChar w:fldCharType="begin"/>
      </w:r>
      <w:r w:rsidR="00E003A7" w:rsidRPr="00902C06">
        <w:rPr>
          <w:rFonts w:cs="Arial"/>
          <w:szCs w:val="22"/>
        </w:rPr>
        <w:instrText xml:space="preserve"> REF _Ref412460688 \r \h </w:instrText>
      </w:r>
      <w:r w:rsidR="00E003A7" w:rsidRPr="00902C06">
        <w:rPr>
          <w:rFonts w:cs="Arial"/>
          <w:szCs w:val="22"/>
        </w:rPr>
      </w:r>
      <w:r w:rsidR="00E003A7" w:rsidRPr="00902C06">
        <w:rPr>
          <w:rFonts w:cs="Arial"/>
          <w:szCs w:val="22"/>
        </w:rPr>
        <w:fldChar w:fldCharType="separate"/>
      </w:r>
      <w:r w:rsidR="009A718E">
        <w:rPr>
          <w:rFonts w:cs="Arial"/>
          <w:szCs w:val="22"/>
        </w:rPr>
        <w:t>17</w:t>
      </w:r>
      <w:r w:rsidR="00E003A7" w:rsidRPr="00902C06">
        <w:rPr>
          <w:rFonts w:cs="Arial"/>
          <w:szCs w:val="22"/>
        </w:rPr>
        <w:fldChar w:fldCharType="end"/>
      </w:r>
      <w:r w:rsidR="00E003A7" w:rsidRPr="00902C06">
        <w:rPr>
          <w:rFonts w:cs="Arial"/>
          <w:szCs w:val="22"/>
        </w:rPr>
        <w:t xml:space="preserve"> to </w:t>
      </w:r>
      <w:r w:rsidR="00E003A7" w:rsidRPr="00902C06">
        <w:rPr>
          <w:rFonts w:cs="Arial"/>
          <w:szCs w:val="22"/>
        </w:rPr>
        <w:fldChar w:fldCharType="begin"/>
      </w:r>
      <w:r w:rsidR="00E003A7" w:rsidRPr="00902C06">
        <w:rPr>
          <w:rFonts w:cs="Arial"/>
          <w:szCs w:val="22"/>
        </w:rPr>
        <w:instrText xml:space="preserve"> REF _Ref412460691 \r \p \h </w:instrText>
      </w:r>
      <w:r w:rsidR="00E003A7" w:rsidRPr="00902C06">
        <w:rPr>
          <w:rFonts w:cs="Arial"/>
          <w:szCs w:val="22"/>
        </w:rPr>
      </w:r>
      <w:r w:rsidR="00E003A7" w:rsidRPr="00902C06">
        <w:rPr>
          <w:rFonts w:cs="Arial"/>
          <w:szCs w:val="22"/>
        </w:rPr>
        <w:fldChar w:fldCharType="separate"/>
      </w:r>
      <w:r w:rsidR="009A718E">
        <w:rPr>
          <w:rFonts w:cs="Arial"/>
          <w:szCs w:val="22"/>
        </w:rPr>
        <w:t>22 above</w:t>
      </w:r>
      <w:r w:rsidR="00E003A7" w:rsidRPr="00902C06">
        <w:rPr>
          <w:rFonts w:cs="Arial"/>
          <w:szCs w:val="22"/>
        </w:rPr>
        <w:fldChar w:fldCharType="end"/>
      </w:r>
      <w:r w:rsidR="00E003A7" w:rsidRPr="00902C06">
        <w:rPr>
          <w:rFonts w:cs="Arial"/>
          <w:szCs w:val="22"/>
        </w:rPr>
        <w:t>.</w:t>
      </w:r>
      <w:r w:rsidR="006B1128" w:rsidRPr="00902C06">
        <w:rPr>
          <w:rFonts w:cs="Arial"/>
          <w:szCs w:val="22"/>
        </w:rPr>
        <w:t xml:space="preserve"> </w:t>
      </w:r>
    </w:p>
    <w:p w:rsidR="00514D6F" w:rsidRDefault="00E003A7" w:rsidP="007D7AAE">
      <w:pPr>
        <w:pStyle w:val="ListParagraph"/>
        <w:numPr>
          <w:ilvl w:val="0"/>
          <w:numId w:val="6"/>
        </w:numPr>
        <w:spacing w:before="240" w:after="0"/>
        <w:ind w:left="505" w:hanging="505"/>
        <w:contextualSpacing w:val="0"/>
        <w:rPr>
          <w:rFonts w:cs="Arial"/>
          <w:szCs w:val="22"/>
        </w:rPr>
      </w:pPr>
      <w:r>
        <w:rPr>
          <w:rFonts w:cs="Arial"/>
          <w:szCs w:val="22"/>
        </w:rPr>
        <w:t xml:space="preserve">In relation to trade marks, </w:t>
      </w:r>
      <w:r w:rsidR="00E26675">
        <w:rPr>
          <w:rFonts w:cs="Arial"/>
          <w:szCs w:val="22"/>
        </w:rPr>
        <w:t xml:space="preserve">as noted at paragraph </w:t>
      </w:r>
      <w:r w:rsidR="00E26675">
        <w:rPr>
          <w:rFonts w:cs="Arial"/>
          <w:szCs w:val="22"/>
        </w:rPr>
        <w:fldChar w:fldCharType="begin"/>
      </w:r>
      <w:r w:rsidR="00E26675">
        <w:rPr>
          <w:rFonts w:cs="Arial"/>
          <w:szCs w:val="22"/>
        </w:rPr>
        <w:instrText xml:space="preserve"> REF _Ref412464912 \r \h </w:instrText>
      </w:r>
      <w:r w:rsidR="00E26675">
        <w:rPr>
          <w:rFonts w:cs="Arial"/>
          <w:szCs w:val="22"/>
        </w:rPr>
      </w:r>
      <w:r w:rsidR="00E26675">
        <w:rPr>
          <w:rFonts w:cs="Arial"/>
          <w:szCs w:val="22"/>
        </w:rPr>
        <w:fldChar w:fldCharType="separate"/>
      </w:r>
      <w:r w:rsidR="009A718E">
        <w:rPr>
          <w:rFonts w:cs="Arial"/>
          <w:szCs w:val="22"/>
        </w:rPr>
        <w:t>11</w:t>
      </w:r>
      <w:r w:rsidR="00E26675">
        <w:rPr>
          <w:rFonts w:cs="Arial"/>
          <w:szCs w:val="22"/>
        </w:rPr>
        <w:fldChar w:fldCharType="end"/>
      </w:r>
      <w:r w:rsidR="00E26675">
        <w:rPr>
          <w:rFonts w:cs="Arial"/>
          <w:szCs w:val="22"/>
        </w:rPr>
        <w:t xml:space="preserve"> above, </w:t>
      </w:r>
      <w:r w:rsidR="00514D6F">
        <w:rPr>
          <w:rFonts w:cs="Arial"/>
          <w:szCs w:val="22"/>
        </w:rPr>
        <w:t xml:space="preserve">changes to the </w:t>
      </w:r>
      <w:r w:rsidR="00514D6F" w:rsidRPr="00BF6757">
        <w:rPr>
          <w:rFonts w:cs="Arial"/>
          <w:szCs w:val="22"/>
        </w:rPr>
        <w:t>Australian and New Zealand trade mark legislation has resulted in the trade mark registration procedure</w:t>
      </w:r>
      <w:r w:rsidR="00E26675">
        <w:rPr>
          <w:rFonts w:cs="Arial"/>
          <w:szCs w:val="22"/>
        </w:rPr>
        <w:t>s becoming substantially aligned.</w:t>
      </w:r>
      <w:r w:rsidR="006B1128">
        <w:rPr>
          <w:rFonts w:cs="Arial"/>
          <w:szCs w:val="22"/>
        </w:rPr>
        <w:t xml:space="preserve"> </w:t>
      </w:r>
      <w:r w:rsidR="00645274">
        <w:rPr>
          <w:rFonts w:cs="Arial"/>
          <w:szCs w:val="22"/>
        </w:rPr>
        <w:t>Although there may be some benefits of a single trans-Tasman trade</w:t>
      </w:r>
      <w:r w:rsidR="00F94E05">
        <w:rPr>
          <w:rFonts w:cs="Arial"/>
          <w:szCs w:val="22"/>
        </w:rPr>
        <w:t xml:space="preserve"> </w:t>
      </w:r>
      <w:r w:rsidR="00645274">
        <w:rPr>
          <w:rFonts w:cs="Arial"/>
          <w:szCs w:val="22"/>
        </w:rPr>
        <w:t>mark</w:t>
      </w:r>
      <w:r w:rsidR="00434B41">
        <w:rPr>
          <w:rFonts w:cs="Arial"/>
          <w:szCs w:val="22"/>
        </w:rPr>
        <w:t xml:space="preserve"> protection</w:t>
      </w:r>
      <w:r w:rsidR="00645274">
        <w:rPr>
          <w:rFonts w:cs="Arial"/>
          <w:szCs w:val="22"/>
        </w:rPr>
        <w:t xml:space="preserve">, again </w:t>
      </w:r>
      <w:r w:rsidR="00E26675">
        <w:rPr>
          <w:rFonts w:cs="Arial"/>
          <w:szCs w:val="22"/>
        </w:rPr>
        <w:t>the</w:t>
      </w:r>
      <w:r w:rsidR="00645274">
        <w:rPr>
          <w:rFonts w:cs="Arial"/>
          <w:szCs w:val="22"/>
        </w:rPr>
        <w:t>se</w:t>
      </w:r>
      <w:r w:rsidR="00E26675">
        <w:rPr>
          <w:rFonts w:cs="Arial"/>
          <w:szCs w:val="22"/>
        </w:rPr>
        <w:t xml:space="preserve"> benefits could be expected to be outweighed by the disadvantages outlined at paragraphs </w:t>
      </w:r>
      <w:r w:rsidR="00E26675">
        <w:rPr>
          <w:rFonts w:cs="Arial"/>
          <w:szCs w:val="22"/>
        </w:rPr>
        <w:fldChar w:fldCharType="begin"/>
      </w:r>
      <w:r w:rsidR="00E26675">
        <w:rPr>
          <w:rFonts w:cs="Arial"/>
          <w:szCs w:val="22"/>
        </w:rPr>
        <w:instrText xml:space="preserve"> REF _Ref412460688 \r \h </w:instrText>
      </w:r>
      <w:r w:rsidR="00E26675">
        <w:rPr>
          <w:rFonts w:cs="Arial"/>
          <w:szCs w:val="22"/>
        </w:rPr>
      </w:r>
      <w:r w:rsidR="00E26675">
        <w:rPr>
          <w:rFonts w:cs="Arial"/>
          <w:szCs w:val="22"/>
        </w:rPr>
        <w:fldChar w:fldCharType="separate"/>
      </w:r>
      <w:r w:rsidR="009A718E">
        <w:rPr>
          <w:rFonts w:cs="Arial"/>
          <w:szCs w:val="22"/>
        </w:rPr>
        <w:t>17</w:t>
      </w:r>
      <w:r w:rsidR="00E26675">
        <w:rPr>
          <w:rFonts w:cs="Arial"/>
          <w:szCs w:val="22"/>
        </w:rPr>
        <w:fldChar w:fldCharType="end"/>
      </w:r>
      <w:r w:rsidR="00E26675">
        <w:rPr>
          <w:rFonts w:cs="Arial"/>
          <w:szCs w:val="22"/>
        </w:rPr>
        <w:t xml:space="preserve"> to </w:t>
      </w:r>
      <w:r w:rsidR="00E26675">
        <w:rPr>
          <w:rFonts w:cs="Arial"/>
          <w:szCs w:val="22"/>
        </w:rPr>
        <w:fldChar w:fldCharType="begin"/>
      </w:r>
      <w:r w:rsidR="00E26675">
        <w:rPr>
          <w:rFonts w:cs="Arial"/>
          <w:szCs w:val="22"/>
        </w:rPr>
        <w:instrText xml:space="preserve"> REF _Ref412460691 \r \p \h </w:instrText>
      </w:r>
      <w:r w:rsidR="00E26675">
        <w:rPr>
          <w:rFonts w:cs="Arial"/>
          <w:szCs w:val="22"/>
        </w:rPr>
      </w:r>
      <w:r w:rsidR="00E26675">
        <w:rPr>
          <w:rFonts w:cs="Arial"/>
          <w:szCs w:val="22"/>
        </w:rPr>
        <w:fldChar w:fldCharType="separate"/>
      </w:r>
      <w:r w:rsidR="009A718E">
        <w:rPr>
          <w:rFonts w:cs="Arial"/>
          <w:szCs w:val="22"/>
        </w:rPr>
        <w:t>22 above</w:t>
      </w:r>
      <w:r w:rsidR="00E26675">
        <w:rPr>
          <w:rFonts w:cs="Arial"/>
          <w:szCs w:val="22"/>
        </w:rPr>
        <w:fldChar w:fldCharType="end"/>
      </w:r>
      <w:r w:rsidR="00E26675">
        <w:rPr>
          <w:rFonts w:cs="Arial"/>
          <w:szCs w:val="22"/>
        </w:rPr>
        <w:t>.</w:t>
      </w:r>
    </w:p>
    <w:p w:rsidR="00AF72A5" w:rsidRPr="00645274" w:rsidRDefault="00645274" w:rsidP="00645274">
      <w:pPr>
        <w:pStyle w:val="ListParagraph"/>
        <w:numPr>
          <w:ilvl w:val="0"/>
          <w:numId w:val="6"/>
        </w:numPr>
        <w:spacing w:before="240" w:after="0"/>
        <w:ind w:left="505" w:hanging="505"/>
        <w:contextualSpacing w:val="0"/>
        <w:rPr>
          <w:rFonts w:cs="Arial"/>
          <w:szCs w:val="22"/>
        </w:rPr>
      </w:pPr>
      <w:r w:rsidRPr="00645274">
        <w:rPr>
          <w:rFonts w:cs="Arial"/>
          <w:szCs w:val="22"/>
        </w:rPr>
        <w:t>We note that t</w:t>
      </w:r>
      <w:r w:rsidR="00534733" w:rsidRPr="00645274">
        <w:rPr>
          <w:rFonts w:cs="Arial"/>
          <w:szCs w:val="22"/>
        </w:rPr>
        <w:t xml:space="preserve">here would also be a number of legislative and systems changes required in order to implement </w:t>
      </w:r>
      <w:r w:rsidR="00E528E9">
        <w:rPr>
          <w:rFonts w:cs="Arial"/>
          <w:szCs w:val="22"/>
        </w:rPr>
        <w:t xml:space="preserve">any system of </w:t>
      </w:r>
      <w:r w:rsidR="00434B41">
        <w:rPr>
          <w:rFonts w:cs="Arial"/>
          <w:szCs w:val="22"/>
        </w:rPr>
        <w:t>Trans-Tasman IP Protection</w:t>
      </w:r>
      <w:r w:rsidR="00534733" w:rsidRPr="00645274">
        <w:rPr>
          <w:rFonts w:cs="Arial"/>
          <w:szCs w:val="22"/>
        </w:rPr>
        <w:t>.</w:t>
      </w:r>
      <w:r w:rsidR="006B1128">
        <w:rPr>
          <w:rFonts w:cs="Arial"/>
          <w:szCs w:val="22"/>
        </w:rPr>
        <w:t xml:space="preserve"> </w:t>
      </w:r>
      <w:r w:rsidR="00AF72A5" w:rsidRPr="00645274">
        <w:rPr>
          <w:rFonts w:cs="Arial"/>
          <w:szCs w:val="22"/>
        </w:rPr>
        <w:t xml:space="preserve">The introduction of any </w:t>
      </w:r>
      <w:r w:rsidR="00E528E9">
        <w:rPr>
          <w:rFonts w:cs="Arial"/>
          <w:szCs w:val="22"/>
        </w:rPr>
        <w:t xml:space="preserve">such </w:t>
      </w:r>
      <w:r w:rsidR="00AF72A5" w:rsidRPr="00645274">
        <w:rPr>
          <w:rFonts w:cs="Arial"/>
          <w:szCs w:val="22"/>
        </w:rPr>
        <w:t xml:space="preserve">system of would need to deal with the conflict of rights already granted to different owners in each country. </w:t>
      </w:r>
    </w:p>
    <w:p w:rsidR="00473BDB" w:rsidRDefault="00473BDB" w:rsidP="00FA6711">
      <w:r>
        <w:br w:type="page"/>
      </w:r>
    </w:p>
    <w:p w:rsidR="00A77D2E" w:rsidRPr="00CB4C34" w:rsidRDefault="00A77D2E" w:rsidP="00A77D2E">
      <w:pPr>
        <w:pStyle w:val="Heading2"/>
      </w:pPr>
      <w:bookmarkStart w:id="22" w:name="_Toc412625680"/>
      <w:r>
        <w:lastRenderedPageBreak/>
        <w:t>Attachment—Australian and New Zealand IP laws</w:t>
      </w:r>
      <w:bookmarkEnd w:id="22"/>
    </w:p>
    <w:p w:rsidR="00184E3C" w:rsidRDefault="00C25B9B" w:rsidP="00C25B9B">
      <w:pPr>
        <w:spacing w:before="240"/>
        <w:rPr>
          <w:rFonts w:cs="Arial"/>
          <w:szCs w:val="22"/>
        </w:rPr>
      </w:pPr>
      <w:r w:rsidRPr="00572F0A">
        <w:rPr>
          <w:rFonts w:cs="Arial"/>
          <w:szCs w:val="22"/>
        </w:rPr>
        <w:t xml:space="preserve">Since the 2009 </w:t>
      </w:r>
      <w:r w:rsidR="00434B41">
        <w:rPr>
          <w:rFonts w:cs="Arial"/>
          <w:szCs w:val="22"/>
        </w:rPr>
        <w:t>R</w:t>
      </w:r>
      <w:r w:rsidRPr="00572F0A">
        <w:rPr>
          <w:rFonts w:cs="Arial"/>
          <w:szCs w:val="22"/>
        </w:rPr>
        <w:t>eview, there have been major amendments to the IP laws of each country.</w:t>
      </w:r>
      <w:r>
        <w:rPr>
          <w:rFonts w:cs="Arial"/>
          <w:szCs w:val="22"/>
        </w:rPr>
        <w:t xml:space="preserve"> </w:t>
      </w:r>
    </w:p>
    <w:p w:rsidR="00C25B9B" w:rsidRPr="00572F0A" w:rsidRDefault="00C25B9B" w:rsidP="00C25B9B">
      <w:pPr>
        <w:spacing w:before="240"/>
        <w:rPr>
          <w:rFonts w:cs="Arial"/>
          <w:szCs w:val="22"/>
        </w:rPr>
      </w:pPr>
      <w:r w:rsidRPr="00572F0A">
        <w:rPr>
          <w:rFonts w:cs="Arial"/>
          <w:szCs w:val="22"/>
        </w:rPr>
        <w:t xml:space="preserve">The changes to the </w:t>
      </w:r>
      <w:r w:rsidRPr="00572F0A">
        <w:rPr>
          <w:rFonts w:cs="Arial"/>
          <w:b/>
          <w:szCs w:val="22"/>
        </w:rPr>
        <w:t>Australian</w:t>
      </w:r>
      <w:r w:rsidRPr="00572F0A">
        <w:rPr>
          <w:rFonts w:cs="Arial"/>
          <w:szCs w:val="22"/>
        </w:rPr>
        <w:t xml:space="preserve"> IP laws include, but are not limited to:</w:t>
      </w:r>
    </w:p>
    <w:p w:rsidR="00183CB2" w:rsidRPr="009E7BC6" w:rsidRDefault="00F3465A" w:rsidP="0055778A">
      <w:pPr>
        <w:numPr>
          <w:ilvl w:val="0"/>
          <w:numId w:val="16"/>
        </w:numPr>
        <w:ind w:left="1843" w:hanging="567"/>
        <w:rPr>
          <w:rStyle w:val="Hyperlink"/>
          <w:rFonts w:cs="Arial"/>
          <w:color w:val="auto"/>
          <w:szCs w:val="22"/>
          <w:u w:val="none"/>
        </w:rPr>
      </w:pPr>
      <w:hyperlink r:id="rId27" w:history="1">
        <w:r w:rsidR="00C25B9B" w:rsidRPr="00572F0A">
          <w:rPr>
            <w:rStyle w:val="Hyperlink"/>
            <w:rFonts w:cs="Arial"/>
            <w:i/>
            <w:szCs w:val="22"/>
          </w:rPr>
          <w:t>Intellectual Property Laws Amendment (Raising the Bar) Act 2012</w:t>
        </w:r>
      </w:hyperlink>
    </w:p>
    <w:p w:rsidR="00C25B9B" w:rsidRPr="00572F0A" w:rsidRDefault="00F3465A" w:rsidP="0055778A">
      <w:pPr>
        <w:numPr>
          <w:ilvl w:val="0"/>
          <w:numId w:val="16"/>
        </w:numPr>
        <w:ind w:left="1843" w:hanging="567"/>
        <w:rPr>
          <w:rFonts w:cs="Arial"/>
          <w:szCs w:val="22"/>
        </w:rPr>
      </w:pPr>
      <w:hyperlink r:id="rId28" w:history="1">
        <w:r w:rsidR="00183CB2" w:rsidRPr="00183CB2">
          <w:rPr>
            <w:rStyle w:val="Hyperlink"/>
            <w:rFonts w:cs="Arial"/>
            <w:szCs w:val="22"/>
          </w:rPr>
          <w:t>Intellectual Property Laws Amendment Bill 2014</w:t>
        </w:r>
      </w:hyperlink>
      <w:r w:rsidR="00C25B9B" w:rsidRPr="00572F0A">
        <w:rPr>
          <w:rFonts w:cs="Arial"/>
          <w:i/>
          <w:szCs w:val="22"/>
        </w:rPr>
        <w:t>.</w:t>
      </w:r>
    </w:p>
    <w:p w:rsidR="00C25B9B" w:rsidRPr="00572F0A" w:rsidRDefault="00C25B9B" w:rsidP="00184E3C">
      <w:pPr>
        <w:spacing w:before="240"/>
        <w:rPr>
          <w:rFonts w:cs="Arial"/>
          <w:szCs w:val="22"/>
        </w:rPr>
      </w:pPr>
      <w:r w:rsidRPr="00572F0A">
        <w:rPr>
          <w:rFonts w:cs="Arial"/>
          <w:szCs w:val="22"/>
        </w:rPr>
        <w:t xml:space="preserve">The changes to the </w:t>
      </w:r>
      <w:r w:rsidRPr="00572F0A">
        <w:rPr>
          <w:rFonts w:cs="Arial"/>
          <w:b/>
          <w:szCs w:val="22"/>
        </w:rPr>
        <w:t>New Zealand</w:t>
      </w:r>
      <w:r w:rsidRPr="00572F0A">
        <w:rPr>
          <w:rFonts w:cs="Arial"/>
          <w:szCs w:val="22"/>
        </w:rPr>
        <w:t xml:space="preserve"> IP laws include, but are not limited to:</w:t>
      </w:r>
    </w:p>
    <w:p w:rsidR="00C25B9B" w:rsidRPr="00572F0A" w:rsidRDefault="00F3465A" w:rsidP="0055778A">
      <w:pPr>
        <w:numPr>
          <w:ilvl w:val="0"/>
          <w:numId w:val="15"/>
        </w:numPr>
        <w:ind w:left="1843" w:hanging="567"/>
        <w:rPr>
          <w:rFonts w:cs="Arial"/>
          <w:szCs w:val="22"/>
        </w:rPr>
      </w:pPr>
      <w:hyperlink r:id="rId29" w:history="1">
        <w:r w:rsidR="00C25B9B" w:rsidRPr="00572F0A">
          <w:rPr>
            <w:rStyle w:val="Hyperlink"/>
            <w:rFonts w:cs="Arial"/>
            <w:szCs w:val="22"/>
          </w:rPr>
          <w:t>Designs Amendment Act 2010</w:t>
        </w:r>
      </w:hyperlink>
    </w:p>
    <w:p w:rsidR="00C25B9B" w:rsidRPr="00572F0A" w:rsidRDefault="00F3465A" w:rsidP="0055778A">
      <w:pPr>
        <w:numPr>
          <w:ilvl w:val="0"/>
          <w:numId w:val="15"/>
        </w:numPr>
        <w:ind w:left="1843" w:hanging="567"/>
        <w:rPr>
          <w:rFonts w:cs="Arial"/>
          <w:szCs w:val="22"/>
        </w:rPr>
      </w:pPr>
      <w:hyperlink r:id="rId30" w:history="1">
        <w:r w:rsidR="00C25B9B" w:rsidRPr="00572F0A">
          <w:rPr>
            <w:rStyle w:val="Hyperlink"/>
            <w:rFonts w:cs="Arial"/>
            <w:szCs w:val="22"/>
          </w:rPr>
          <w:t>Trade Marks Amendment Act 2011</w:t>
        </w:r>
      </w:hyperlink>
    </w:p>
    <w:p w:rsidR="00C25B9B" w:rsidRPr="00572F0A" w:rsidRDefault="00F3465A" w:rsidP="0055778A">
      <w:pPr>
        <w:numPr>
          <w:ilvl w:val="0"/>
          <w:numId w:val="15"/>
        </w:numPr>
        <w:ind w:left="1843" w:hanging="567"/>
        <w:rPr>
          <w:rFonts w:cs="Arial"/>
          <w:szCs w:val="22"/>
        </w:rPr>
      </w:pPr>
      <w:hyperlink r:id="rId31" w:anchor="DLM1419043" w:history="1">
        <w:r w:rsidR="00C25B9B" w:rsidRPr="00572F0A">
          <w:rPr>
            <w:rStyle w:val="Hyperlink"/>
            <w:rFonts w:cs="Arial"/>
            <w:szCs w:val="22"/>
          </w:rPr>
          <w:t>Patents Act 2013</w:t>
        </w:r>
      </w:hyperlink>
      <w:r w:rsidR="00C25B9B" w:rsidRPr="00572F0A">
        <w:rPr>
          <w:rFonts w:cs="Arial"/>
          <w:szCs w:val="22"/>
        </w:rPr>
        <w:t xml:space="preserve">—a new Act substantially replacing the </w:t>
      </w:r>
      <w:bookmarkStart w:id="23" w:name="DLM280030"/>
      <w:r w:rsidR="00C25B9B" w:rsidRPr="00572F0A">
        <w:rPr>
          <w:rFonts w:cs="Arial"/>
          <w:szCs w:val="22"/>
          <w:lang w:val="en-NZ"/>
        </w:rPr>
        <w:fldChar w:fldCharType="begin"/>
      </w:r>
      <w:r w:rsidR="00C25B9B" w:rsidRPr="00572F0A">
        <w:rPr>
          <w:rFonts w:cs="Arial"/>
          <w:szCs w:val="22"/>
          <w:lang w:val="en-NZ"/>
        </w:rPr>
        <w:instrText xml:space="preserve"> HYPERLINK "http://www.legislation.govt.nz/act/public/2013/0068/latest/link.aspx?id=DLM280030" </w:instrText>
      </w:r>
      <w:r w:rsidR="00C25B9B" w:rsidRPr="00572F0A">
        <w:rPr>
          <w:rFonts w:cs="Arial"/>
          <w:szCs w:val="22"/>
          <w:lang w:val="en-NZ"/>
        </w:rPr>
        <w:fldChar w:fldCharType="separate"/>
      </w:r>
      <w:r w:rsidR="00C25B9B" w:rsidRPr="00572F0A">
        <w:rPr>
          <w:rStyle w:val="Hyperlink"/>
          <w:rFonts w:cs="Arial"/>
          <w:szCs w:val="22"/>
          <w:lang w:val="en-NZ"/>
        </w:rPr>
        <w:t>Patents Act 1953</w:t>
      </w:r>
      <w:r w:rsidR="00C25B9B" w:rsidRPr="00572F0A">
        <w:rPr>
          <w:rFonts w:cs="Arial"/>
          <w:szCs w:val="22"/>
        </w:rPr>
        <w:fldChar w:fldCharType="end"/>
      </w:r>
      <w:bookmarkEnd w:id="23"/>
      <w:r w:rsidR="001002D6">
        <w:rPr>
          <w:rFonts w:cs="Arial"/>
          <w:szCs w:val="22"/>
        </w:rPr>
        <w:t>.</w:t>
      </w:r>
    </w:p>
    <w:p w:rsidR="00C25B9B" w:rsidRPr="006631ED" w:rsidRDefault="00C25B9B" w:rsidP="00C25B9B">
      <w:pPr>
        <w:spacing w:before="240"/>
        <w:rPr>
          <w:rFonts w:cs="Arial"/>
          <w:szCs w:val="22"/>
        </w:rPr>
      </w:pPr>
      <w:r w:rsidRPr="006631ED">
        <w:rPr>
          <w:rFonts w:cs="Arial"/>
          <w:szCs w:val="22"/>
        </w:rPr>
        <w:t xml:space="preserve">Nevertheless, there are still </w:t>
      </w:r>
      <w:r w:rsidRPr="006631ED">
        <w:rPr>
          <w:rFonts w:cs="Arial"/>
          <w:b/>
          <w:szCs w:val="22"/>
        </w:rPr>
        <w:t>substantive</w:t>
      </w:r>
      <w:r w:rsidRPr="006631ED">
        <w:rPr>
          <w:rFonts w:cs="Arial"/>
          <w:szCs w:val="22"/>
        </w:rPr>
        <w:t xml:space="preserve"> differences between the IP laws of both countries. Examples of these</w:t>
      </w:r>
      <w:r>
        <w:rPr>
          <w:rFonts w:cs="Arial"/>
          <w:szCs w:val="22"/>
        </w:rPr>
        <w:t xml:space="preserve"> differences follow</w:t>
      </w:r>
      <w:r w:rsidRPr="006631ED">
        <w:rPr>
          <w:rFonts w:cs="Arial"/>
          <w:szCs w:val="22"/>
        </w:rPr>
        <w:t>.</w:t>
      </w:r>
    </w:p>
    <w:p w:rsidR="00C25B9B" w:rsidRPr="0074009B" w:rsidRDefault="00C25B9B" w:rsidP="0055778A">
      <w:pPr>
        <w:pStyle w:val="ListParagraph"/>
        <w:numPr>
          <w:ilvl w:val="0"/>
          <w:numId w:val="2"/>
        </w:numPr>
        <w:ind w:left="1843" w:hanging="567"/>
        <w:contextualSpacing w:val="0"/>
      </w:pPr>
      <w:r w:rsidRPr="0074009B">
        <w:t xml:space="preserve">In Australia, the maximum term of a design registration is </w:t>
      </w:r>
      <w:r w:rsidRPr="0074009B">
        <w:rPr>
          <w:b/>
        </w:rPr>
        <w:t>10</w:t>
      </w:r>
      <w:r w:rsidRPr="0074009B">
        <w:t xml:space="preserve"> years. In New Zealand, the maximum term is </w:t>
      </w:r>
      <w:r w:rsidRPr="0074009B">
        <w:rPr>
          <w:b/>
        </w:rPr>
        <w:t>15</w:t>
      </w:r>
      <w:r w:rsidRPr="0074009B">
        <w:t xml:space="preserve"> years.</w:t>
      </w:r>
    </w:p>
    <w:p w:rsidR="00C25B9B" w:rsidRPr="0074009B" w:rsidRDefault="00C25B9B" w:rsidP="0055778A">
      <w:pPr>
        <w:pStyle w:val="ListParagraph"/>
        <w:numPr>
          <w:ilvl w:val="0"/>
          <w:numId w:val="2"/>
        </w:numPr>
        <w:ind w:left="1843" w:hanging="567"/>
        <w:contextualSpacing w:val="0"/>
      </w:pPr>
      <w:r w:rsidRPr="0074009B">
        <w:t>Some types of inventions are patentable in Australia, but are specifically excluded from being patented in New Zealand</w:t>
      </w:r>
      <w:r w:rsidR="00005A47">
        <w:t>, including</w:t>
      </w:r>
      <w:r w:rsidRPr="0074009B">
        <w:t>:</w:t>
      </w:r>
    </w:p>
    <w:p w:rsidR="00C25B9B" w:rsidRPr="006631ED" w:rsidRDefault="00C25B9B" w:rsidP="0055778A">
      <w:pPr>
        <w:numPr>
          <w:ilvl w:val="0"/>
          <w:numId w:val="14"/>
        </w:numPr>
        <w:spacing w:after="0"/>
        <w:ind w:left="2410" w:hanging="567"/>
        <w:rPr>
          <w:rFonts w:cs="Arial"/>
          <w:szCs w:val="22"/>
        </w:rPr>
      </w:pPr>
      <w:r w:rsidRPr="006631ED">
        <w:rPr>
          <w:rFonts w:cs="Arial"/>
          <w:szCs w:val="22"/>
        </w:rPr>
        <w:t>methods of human medical treatment</w:t>
      </w:r>
    </w:p>
    <w:p w:rsidR="00C25B9B" w:rsidRPr="006631ED" w:rsidRDefault="00C25B9B" w:rsidP="0055778A">
      <w:pPr>
        <w:numPr>
          <w:ilvl w:val="0"/>
          <w:numId w:val="14"/>
        </w:numPr>
        <w:spacing w:after="0"/>
        <w:ind w:left="2410" w:hanging="567"/>
        <w:rPr>
          <w:rFonts w:cs="Arial"/>
          <w:szCs w:val="22"/>
        </w:rPr>
      </w:pPr>
      <w:r w:rsidRPr="006631ED">
        <w:rPr>
          <w:rFonts w:cs="Arial"/>
          <w:szCs w:val="22"/>
        </w:rPr>
        <w:t>diagnostic methods practised on humans</w:t>
      </w:r>
    </w:p>
    <w:p w:rsidR="00C25B9B" w:rsidRPr="006631ED" w:rsidRDefault="00C25B9B" w:rsidP="0055778A">
      <w:pPr>
        <w:numPr>
          <w:ilvl w:val="0"/>
          <w:numId w:val="14"/>
        </w:numPr>
        <w:spacing w:after="0"/>
        <w:ind w:left="2410" w:hanging="567"/>
        <w:rPr>
          <w:rFonts w:cs="Arial"/>
          <w:szCs w:val="22"/>
        </w:rPr>
      </w:pPr>
      <w:proofErr w:type="gramStart"/>
      <w:r w:rsidRPr="006631ED">
        <w:rPr>
          <w:rFonts w:cs="Arial"/>
          <w:szCs w:val="22"/>
        </w:rPr>
        <w:t>plant</w:t>
      </w:r>
      <w:proofErr w:type="gramEnd"/>
      <w:r w:rsidRPr="006631ED">
        <w:rPr>
          <w:rFonts w:cs="Arial"/>
          <w:szCs w:val="22"/>
        </w:rPr>
        <w:t xml:space="preserve"> varieties.</w:t>
      </w:r>
    </w:p>
    <w:p w:rsidR="00C25B9B" w:rsidRPr="0074009B" w:rsidRDefault="00C25B9B" w:rsidP="0055778A">
      <w:pPr>
        <w:pStyle w:val="ListParagraph"/>
        <w:numPr>
          <w:ilvl w:val="0"/>
          <w:numId w:val="2"/>
        </w:numPr>
        <w:ind w:left="1843" w:hanging="567"/>
        <w:contextualSpacing w:val="0"/>
      </w:pPr>
      <w:r w:rsidRPr="0074009B">
        <w:t xml:space="preserve">In New Zealand, the maximum term of any patent is </w:t>
      </w:r>
      <w:r w:rsidRPr="0074009B">
        <w:rPr>
          <w:b/>
        </w:rPr>
        <w:t>20</w:t>
      </w:r>
      <w:r w:rsidRPr="0074009B">
        <w:t xml:space="preserve"> years from filing of the application. This is generally the case in Australia, but the terms of some patents for pharmaceutical inventions can be extended to a maximum of </w:t>
      </w:r>
      <w:r w:rsidRPr="0074009B">
        <w:rPr>
          <w:b/>
        </w:rPr>
        <w:t>25</w:t>
      </w:r>
      <w:r w:rsidRPr="0074009B">
        <w:t xml:space="preserve"> years.</w:t>
      </w:r>
    </w:p>
    <w:p w:rsidR="00C25B9B" w:rsidRPr="0074009B" w:rsidRDefault="00C25B9B" w:rsidP="0055778A">
      <w:pPr>
        <w:pStyle w:val="ListParagraph"/>
        <w:numPr>
          <w:ilvl w:val="0"/>
          <w:numId w:val="2"/>
        </w:numPr>
        <w:ind w:left="1843" w:hanging="567"/>
        <w:contextualSpacing w:val="0"/>
      </w:pPr>
      <w:r w:rsidRPr="0074009B">
        <w:t xml:space="preserve">In Australia, Plant Breeder’s Rights in a plant variety that is a tree or vine lasts for up to </w:t>
      </w:r>
      <w:r w:rsidRPr="0074009B">
        <w:rPr>
          <w:b/>
        </w:rPr>
        <w:t>25</w:t>
      </w:r>
      <w:r w:rsidRPr="0074009B">
        <w:t xml:space="preserve"> years from grant. In New Zealand, the analogous protection lasts for </w:t>
      </w:r>
      <w:r w:rsidRPr="0074009B">
        <w:rPr>
          <w:b/>
        </w:rPr>
        <w:t>23</w:t>
      </w:r>
      <w:r w:rsidRPr="0074009B">
        <w:t xml:space="preserve"> years from grant.</w:t>
      </w:r>
    </w:p>
    <w:p w:rsidR="00473BDB" w:rsidRPr="0074009B" w:rsidRDefault="00C25B9B" w:rsidP="0055778A">
      <w:pPr>
        <w:pStyle w:val="ListParagraph"/>
        <w:numPr>
          <w:ilvl w:val="0"/>
          <w:numId w:val="2"/>
        </w:numPr>
        <w:ind w:left="1843" w:hanging="567"/>
        <w:contextualSpacing w:val="0"/>
      </w:pPr>
      <w:r w:rsidRPr="0074009B">
        <w:t>There are some differences in the substantive grounds for refusing or revoking registration of trade marks.</w:t>
      </w:r>
    </w:p>
    <w:p w:rsidR="00473BDB" w:rsidRDefault="00473BDB" w:rsidP="00FA6711"/>
    <w:p w:rsidR="00473BDB" w:rsidRDefault="00473BDB" w:rsidP="00FA6711">
      <w:pPr>
        <w:sectPr w:rsidR="00473BDB" w:rsidSect="00316615">
          <w:headerReference w:type="default" r:id="rId32"/>
          <w:footerReference w:type="default" r:id="rId33"/>
          <w:headerReference w:type="first" r:id="rId34"/>
          <w:footerReference w:type="first" r:id="rId35"/>
          <w:pgSz w:w="11906" w:h="16838"/>
          <w:pgMar w:top="1418" w:right="1134" w:bottom="567" w:left="1134" w:header="720" w:footer="284" w:gutter="0"/>
          <w:pgNumType w:start="1"/>
          <w:cols w:space="720"/>
          <w:noEndnote/>
          <w:docGrid w:linePitch="299"/>
        </w:sectPr>
      </w:pPr>
    </w:p>
    <w:p w:rsidR="002620DF" w:rsidRPr="00FA6711" w:rsidRDefault="002620DF" w:rsidP="00FA6711"/>
    <w:sectPr w:rsidR="002620DF" w:rsidRPr="00FA6711" w:rsidSect="00556937">
      <w:headerReference w:type="first" r:id="rId36"/>
      <w:footerReference w:type="first" r:id="rId37"/>
      <w:pgSz w:w="11906" w:h="16838"/>
      <w:pgMar w:top="1418" w:right="1134" w:bottom="720" w:left="1134"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954" w:rsidRDefault="00707954" w:rsidP="00562D3F">
      <w:r>
        <w:separator/>
      </w:r>
    </w:p>
    <w:p w:rsidR="00707954" w:rsidRDefault="00707954"/>
  </w:endnote>
  <w:endnote w:type="continuationSeparator" w:id="0">
    <w:p w:rsidR="00707954" w:rsidRDefault="00707954" w:rsidP="00562D3F">
      <w:r>
        <w:continuationSeparator/>
      </w:r>
    </w:p>
    <w:p w:rsidR="00707954" w:rsidRDefault="00707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D9" w:rsidRDefault="00715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Pr="008671EA" w:rsidRDefault="0099767E" w:rsidP="00C0657B">
    <w:pPr>
      <w:pStyle w:val="Footer"/>
      <w:spacing w:before="0" w:after="0"/>
      <w:rPr>
        <w:rFonts w:cs="Arial"/>
        <w:color w:val="FFFFFF"/>
        <w:sz w:val="16"/>
        <w:szCs w:val="16"/>
      </w:rPr>
    </w:pPr>
    <w:r w:rsidRPr="008671EA">
      <w:rPr>
        <w:rFonts w:cs="Arial"/>
        <w:color w:val="FFFFFF"/>
        <w:sz w:val="16"/>
        <w:szCs w:val="16"/>
      </w:rPr>
      <w:t>This document is controlled. Its accuracy can only be guaranteed when viewed electronically.</w:t>
    </w:r>
    <w:r w:rsidRPr="008671EA">
      <w:rPr>
        <w:rFonts w:cs="Arial"/>
        <w:color w:val="FFFFFF"/>
        <w:sz w:val="16"/>
        <w:szCs w:val="16"/>
      </w:rPr>
      <w:tab/>
    </w:r>
  </w:p>
  <w:p w:rsidR="0099767E" w:rsidRPr="008671EA" w:rsidRDefault="0099767E" w:rsidP="00C0657B">
    <w:pPr>
      <w:pStyle w:val="Footer"/>
      <w:spacing w:before="0" w:after="0"/>
      <w:rPr>
        <w:rFonts w:cs="Arial"/>
        <w:color w:val="FFFFFF"/>
        <w:sz w:val="16"/>
        <w:szCs w:val="16"/>
      </w:rPr>
    </w:pPr>
    <w:r w:rsidRPr="008671EA">
      <w:rPr>
        <w:rFonts w:cs="Arial"/>
        <w:color w:val="FFFFFF"/>
        <w:sz w:val="16"/>
        <w:szCs w:val="16"/>
      </w:rPr>
      <w:t>Effective Date: Day Month Year</w:t>
    </w:r>
    <w:r w:rsidRPr="008671EA">
      <w:rPr>
        <w:rFonts w:cs="Arial"/>
        <w:color w:val="FFFFFF"/>
        <w:sz w:val="16"/>
        <w:szCs w:val="16"/>
      </w:rPr>
      <w:tab/>
    </w:r>
    <w:r w:rsidRPr="008671EA">
      <w:rPr>
        <w:rFonts w:cs="Arial"/>
        <w:color w:val="FFFFFF"/>
        <w:sz w:val="16"/>
        <w:szCs w:val="16"/>
      </w:rPr>
      <w:tab/>
      <w:t xml:space="preserve">Page </w:t>
    </w:r>
    <w:r w:rsidRPr="008671EA">
      <w:rPr>
        <w:rFonts w:cs="Arial"/>
        <w:color w:val="FFFFFF"/>
        <w:sz w:val="16"/>
        <w:szCs w:val="16"/>
      </w:rPr>
      <w:fldChar w:fldCharType="begin"/>
    </w:r>
    <w:r w:rsidRPr="008671EA">
      <w:rPr>
        <w:rFonts w:cs="Arial"/>
        <w:color w:val="FFFFFF"/>
        <w:sz w:val="16"/>
        <w:szCs w:val="16"/>
      </w:rPr>
      <w:instrText xml:space="preserve"> PAGE   \* MERGEFORMAT </w:instrText>
    </w:r>
    <w:r w:rsidRPr="008671EA">
      <w:rPr>
        <w:rFonts w:cs="Arial"/>
        <w:color w:val="FFFFFF"/>
        <w:sz w:val="16"/>
        <w:szCs w:val="16"/>
      </w:rPr>
      <w:fldChar w:fldCharType="separate"/>
    </w:r>
    <w:r w:rsidRPr="008671EA">
      <w:rPr>
        <w:rFonts w:cs="Arial"/>
        <w:noProof/>
        <w:color w:val="FFFFFF"/>
        <w:sz w:val="16"/>
        <w:szCs w:val="16"/>
      </w:rPr>
      <w:t>1</w:t>
    </w:r>
    <w:r w:rsidRPr="008671EA">
      <w:rPr>
        <w:rFonts w:cs="Arial"/>
        <w:noProof/>
        <w:color w:val="FFFFFF"/>
        <w:sz w:val="16"/>
        <w:szCs w:val="16"/>
      </w:rPr>
      <w:fldChar w:fldCharType="end"/>
    </w:r>
    <w:r w:rsidRPr="008671EA">
      <w:rPr>
        <w:rFonts w:cs="Arial"/>
        <w:noProof/>
        <w:color w:val="FFFFFF"/>
        <w:sz w:val="16"/>
        <w:szCs w:val="16"/>
      </w:rPr>
      <w:t xml:space="preserve"> of</w:t>
    </w:r>
    <w:r>
      <w:rPr>
        <w:rFonts w:cs="Arial"/>
        <w:noProof/>
        <w:color w:val="FFFFFF"/>
        <w:sz w:val="16"/>
        <w:szCs w:val="16"/>
      </w:rPr>
      <w:t xml:space="preserve"> </w:t>
    </w:r>
    <w:r w:rsidRPr="008671EA">
      <w:rPr>
        <w:rFonts w:cs="Arial"/>
        <w:color w:val="FFFFFF"/>
        <w:sz w:val="16"/>
        <w:szCs w:val="16"/>
      </w:rPr>
      <w:fldChar w:fldCharType="begin"/>
    </w:r>
    <w:r w:rsidRPr="008671EA">
      <w:rPr>
        <w:rFonts w:cs="Arial"/>
        <w:color w:val="FFFFFF"/>
        <w:sz w:val="16"/>
        <w:szCs w:val="16"/>
      </w:rPr>
      <w:instrText xml:space="preserve"> NUMPAGES </w:instrText>
    </w:r>
    <w:r w:rsidRPr="008671EA">
      <w:rPr>
        <w:rFonts w:cs="Arial"/>
        <w:color w:val="FFFFFF"/>
        <w:sz w:val="16"/>
        <w:szCs w:val="16"/>
      </w:rPr>
      <w:fldChar w:fldCharType="separate"/>
    </w:r>
    <w:r w:rsidR="009A718E">
      <w:rPr>
        <w:rFonts w:cs="Arial"/>
        <w:noProof/>
        <w:color w:val="FFFFFF"/>
        <w:sz w:val="16"/>
        <w:szCs w:val="16"/>
      </w:rPr>
      <w:t>10</w:t>
    </w:r>
    <w:r w:rsidRPr="008671EA">
      <w:rPr>
        <w:rFonts w:cs="Arial"/>
        <w:color w:val="FFFFF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Pr="00724F21" w:rsidRDefault="0099767E" w:rsidP="00724F21">
    <w:pPr>
      <w:pStyle w:val="Footer"/>
      <w:jc w:val="right"/>
      <w:rPr>
        <w:rFonts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Pr="0078077E" w:rsidRDefault="0099767E" w:rsidP="00C0657B">
    <w:pPr>
      <w:pStyle w:val="Footer"/>
      <w:spacing w:before="0"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Pr="008671EA" w:rsidRDefault="0099767E" w:rsidP="00625B8D">
    <w:pPr>
      <w:pStyle w:val="Footer"/>
      <w:spacing w:before="0" w:after="0"/>
      <w:rPr>
        <w:rFonts w:cs="Arial"/>
        <w:color w:val="FFFFFF"/>
        <w:sz w:val="16"/>
        <w:szCs w:val="16"/>
      </w:rPr>
    </w:pPr>
    <w:r w:rsidRPr="008671EA">
      <w:rPr>
        <w:rFonts w:cs="Arial"/>
        <w:color w:val="FFFFFF"/>
        <w:sz w:val="16"/>
        <w:szCs w:val="16"/>
      </w:rPr>
      <w:t>This document is controlled. Its accuracy can only be guaranteed when viewed electronically.</w:t>
    </w:r>
    <w:r w:rsidRPr="008671EA">
      <w:rPr>
        <w:rFonts w:cs="Arial"/>
        <w:color w:val="FFFFFF"/>
        <w:sz w:val="16"/>
        <w:szCs w:val="16"/>
      </w:rPr>
      <w:tab/>
    </w:r>
  </w:p>
  <w:p w:rsidR="0099767E" w:rsidRPr="008671EA" w:rsidRDefault="0099767E" w:rsidP="00625B8D">
    <w:pPr>
      <w:pStyle w:val="Footer"/>
      <w:spacing w:before="0" w:after="0"/>
      <w:rPr>
        <w:rFonts w:cs="Arial"/>
        <w:color w:val="FFFFFF"/>
        <w:sz w:val="16"/>
        <w:szCs w:val="16"/>
      </w:rPr>
    </w:pPr>
    <w:r w:rsidRPr="008671EA">
      <w:rPr>
        <w:rFonts w:cs="Arial"/>
        <w:color w:val="FFFFFF"/>
        <w:sz w:val="16"/>
        <w:szCs w:val="16"/>
      </w:rPr>
      <w:t>Effective Date: Day Month Year</w:t>
    </w:r>
    <w:r w:rsidRPr="008671EA">
      <w:rPr>
        <w:rFonts w:cs="Arial"/>
        <w:color w:val="FFFFFF"/>
        <w:sz w:val="16"/>
        <w:szCs w:val="16"/>
      </w:rPr>
      <w:tab/>
    </w:r>
    <w:r w:rsidRPr="008671EA">
      <w:rPr>
        <w:rFonts w:cs="Arial"/>
        <w:color w:val="FFFFFF"/>
        <w:sz w:val="16"/>
        <w:szCs w:val="16"/>
      </w:rPr>
      <w:tab/>
      <w:t xml:space="preserve">Page </w:t>
    </w:r>
    <w:r w:rsidRPr="008671EA">
      <w:rPr>
        <w:rFonts w:cs="Arial"/>
        <w:color w:val="FFFFFF"/>
        <w:sz w:val="16"/>
        <w:szCs w:val="16"/>
      </w:rPr>
      <w:fldChar w:fldCharType="begin"/>
    </w:r>
    <w:r w:rsidRPr="008671EA">
      <w:rPr>
        <w:rFonts w:cs="Arial"/>
        <w:color w:val="FFFFFF"/>
        <w:sz w:val="16"/>
        <w:szCs w:val="16"/>
      </w:rPr>
      <w:instrText xml:space="preserve"> PAGE   \* MERGEFORMAT </w:instrText>
    </w:r>
    <w:r w:rsidRPr="008671EA">
      <w:rPr>
        <w:rFonts w:cs="Arial"/>
        <w:color w:val="FFFFFF"/>
        <w:sz w:val="16"/>
        <w:szCs w:val="16"/>
      </w:rPr>
      <w:fldChar w:fldCharType="separate"/>
    </w:r>
    <w:r w:rsidRPr="008671EA">
      <w:rPr>
        <w:rFonts w:cs="Arial"/>
        <w:noProof/>
        <w:color w:val="FFFFFF"/>
        <w:sz w:val="16"/>
        <w:szCs w:val="16"/>
      </w:rPr>
      <w:t>1</w:t>
    </w:r>
    <w:r w:rsidRPr="008671EA">
      <w:rPr>
        <w:rFonts w:cs="Arial"/>
        <w:noProof/>
        <w:color w:val="FFFFFF"/>
        <w:sz w:val="16"/>
        <w:szCs w:val="16"/>
      </w:rPr>
      <w:fldChar w:fldCharType="end"/>
    </w:r>
    <w:r w:rsidRPr="008671EA">
      <w:rPr>
        <w:rFonts w:cs="Arial"/>
        <w:noProof/>
        <w:color w:val="FFFFFF"/>
        <w:sz w:val="16"/>
        <w:szCs w:val="16"/>
      </w:rPr>
      <w:t xml:space="preserve"> of</w:t>
    </w:r>
    <w:r>
      <w:rPr>
        <w:rFonts w:cs="Arial"/>
        <w:noProof/>
        <w:color w:val="FFFFFF"/>
        <w:sz w:val="16"/>
        <w:szCs w:val="16"/>
      </w:rPr>
      <w:t xml:space="preserve"> </w:t>
    </w:r>
    <w:r w:rsidRPr="008671EA">
      <w:rPr>
        <w:rFonts w:cs="Arial"/>
        <w:color w:val="FFFFFF"/>
        <w:sz w:val="16"/>
        <w:szCs w:val="16"/>
      </w:rPr>
      <w:fldChar w:fldCharType="begin"/>
    </w:r>
    <w:r w:rsidRPr="008671EA">
      <w:rPr>
        <w:rFonts w:cs="Arial"/>
        <w:color w:val="FFFFFF"/>
        <w:sz w:val="16"/>
        <w:szCs w:val="16"/>
      </w:rPr>
      <w:instrText xml:space="preserve"> NUMPAGES </w:instrText>
    </w:r>
    <w:r w:rsidRPr="008671EA">
      <w:rPr>
        <w:rFonts w:cs="Arial"/>
        <w:color w:val="FFFFFF"/>
        <w:sz w:val="16"/>
        <w:szCs w:val="16"/>
      </w:rPr>
      <w:fldChar w:fldCharType="separate"/>
    </w:r>
    <w:r w:rsidR="009A718E">
      <w:rPr>
        <w:rFonts w:cs="Arial"/>
        <w:noProof/>
        <w:color w:val="FFFFFF"/>
        <w:sz w:val="16"/>
        <w:szCs w:val="16"/>
      </w:rPr>
      <w:t>10</w:t>
    </w:r>
    <w:r w:rsidRPr="008671EA">
      <w:rPr>
        <w:rFonts w:cs="Arial"/>
        <w:color w:val="FFFFFF"/>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Pr="00CB1A9D" w:rsidRDefault="0099767E" w:rsidP="00CB1A9D">
    <w:pPr>
      <w:pStyle w:val="Footer"/>
      <w:spacing w:before="240" w:after="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Pr="008671EA" w:rsidRDefault="0099767E" w:rsidP="00C0657B">
    <w:pPr>
      <w:pStyle w:val="Footer"/>
      <w:spacing w:before="0" w:after="0"/>
      <w:rPr>
        <w:rFonts w:cs="Arial"/>
        <w:color w:val="595959"/>
        <w:sz w:val="16"/>
        <w:szCs w:val="16"/>
      </w:rPr>
    </w:pPr>
    <w:r w:rsidRPr="008671EA">
      <w:rPr>
        <w:rFonts w:cs="Arial"/>
        <w:color w:val="595959"/>
        <w:sz w:val="16"/>
        <w:szCs w:val="16"/>
      </w:rPr>
      <w:tab/>
    </w:r>
    <w:r w:rsidRPr="008671EA">
      <w:rPr>
        <w:rFonts w:cs="Arial"/>
        <w:color w:val="595959"/>
        <w:sz w:val="16"/>
        <w:szCs w:val="16"/>
      </w:rPr>
      <w:tab/>
      <w:t xml:space="preserve">Page </w:t>
    </w:r>
    <w:r w:rsidRPr="008671EA">
      <w:rPr>
        <w:rFonts w:cs="Arial"/>
        <w:color w:val="595959"/>
        <w:sz w:val="16"/>
        <w:szCs w:val="16"/>
      </w:rPr>
      <w:fldChar w:fldCharType="begin"/>
    </w:r>
    <w:r w:rsidRPr="008671EA">
      <w:rPr>
        <w:rFonts w:cs="Arial"/>
        <w:color w:val="595959"/>
        <w:sz w:val="16"/>
        <w:szCs w:val="16"/>
      </w:rPr>
      <w:instrText xml:space="preserve"> PAGE  \* Arabic </w:instrText>
    </w:r>
    <w:r w:rsidRPr="008671EA">
      <w:rPr>
        <w:rFonts w:cs="Arial"/>
        <w:color w:val="595959"/>
        <w:sz w:val="16"/>
        <w:szCs w:val="16"/>
      </w:rPr>
      <w:fldChar w:fldCharType="separate"/>
    </w:r>
    <w:r w:rsidR="00F3465A">
      <w:rPr>
        <w:rFonts w:cs="Arial"/>
        <w:noProof/>
        <w:color w:val="595959"/>
        <w:sz w:val="16"/>
        <w:szCs w:val="16"/>
      </w:rPr>
      <w:t>6</w:t>
    </w:r>
    <w:r w:rsidRPr="008671EA">
      <w:rPr>
        <w:rFonts w:cs="Arial"/>
        <w:color w:val="595959"/>
        <w:sz w:val="16"/>
        <w:szCs w:val="16"/>
      </w:rPr>
      <w:fldChar w:fldCharType="end"/>
    </w:r>
    <w:r w:rsidRPr="008671EA">
      <w:rPr>
        <w:rFonts w:cs="Arial"/>
        <w:noProof/>
        <w:color w:val="595959"/>
        <w:sz w:val="16"/>
        <w:szCs w:val="16"/>
      </w:rPr>
      <w:t xml:space="preserve"> of </w:t>
    </w:r>
    <w:r w:rsidRPr="008671EA">
      <w:rPr>
        <w:rFonts w:cs="Arial"/>
        <w:color w:val="595959"/>
        <w:sz w:val="16"/>
        <w:szCs w:val="16"/>
      </w:rPr>
      <w:fldChar w:fldCharType="begin"/>
    </w:r>
    <w:r w:rsidRPr="008671EA">
      <w:rPr>
        <w:rFonts w:cs="Arial"/>
        <w:color w:val="595959"/>
        <w:sz w:val="16"/>
        <w:szCs w:val="16"/>
      </w:rPr>
      <w:instrText xml:space="preserve"> SECTIONPAGES  </w:instrText>
    </w:r>
    <w:r w:rsidRPr="008671EA">
      <w:rPr>
        <w:rFonts w:cs="Arial"/>
        <w:color w:val="595959"/>
        <w:sz w:val="16"/>
        <w:szCs w:val="16"/>
      </w:rPr>
      <w:fldChar w:fldCharType="separate"/>
    </w:r>
    <w:r w:rsidR="00F3465A">
      <w:rPr>
        <w:rFonts w:cs="Arial"/>
        <w:noProof/>
        <w:color w:val="595959"/>
        <w:sz w:val="16"/>
        <w:szCs w:val="16"/>
      </w:rPr>
      <w:t>6</w:t>
    </w:r>
    <w:r w:rsidRPr="008671EA">
      <w:rPr>
        <w:rFonts w:cs="Arial"/>
        <w:color w:val="595959"/>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Pr="008671EA" w:rsidRDefault="0099767E" w:rsidP="00473BDB">
    <w:pPr>
      <w:pStyle w:val="Footer"/>
      <w:spacing w:before="240" w:after="0"/>
      <w:rPr>
        <w:rFonts w:cs="Arial"/>
        <w:color w:val="595959"/>
        <w:sz w:val="16"/>
        <w:szCs w:val="16"/>
      </w:rPr>
    </w:pPr>
    <w:r w:rsidRPr="008671EA">
      <w:rPr>
        <w:rFonts w:cs="Arial"/>
        <w:color w:val="595959"/>
        <w:sz w:val="16"/>
        <w:szCs w:val="16"/>
      </w:rPr>
      <w:t>This document is controlled. Its accuracy can only be guaranteed when viewed electronically.</w:t>
    </w:r>
    <w:r w:rsidRPr="008671EA">
      <w:rPr>
        <w:rFonts w:cs="Arial"/>
        <w:color w:val="595959"/>
        <w:sz w:val="16"/>
        <w:szCs w:val="16"/>
      </w:rPr>
      <w:tab/>
    </w:r>
  </w:p>
  <w:p w:rsidR="0099767E" w:rsidRPr="008671EA" w:rsidRDefault="0099767E" w:rsidP="00A85F4C">
    <w:pPr>
      <w:pStyle w:val="Footer"/>
      <w:spacing w:before="0" w:after="0"/>
      <w:rPr>
        <w:rFonts w:cs="Arial"/>
        <w:color w:val="595959"/>
        <w:sz w:val="16"/>
        <w:szCs w:val="16"/>
      </w:rPr>
    </w:pPr>
    <w:r w:rsidRPr="008671EA">
      <w:rPr>
        <w:rFonts w:cs="Arial"/>
        <w:color w:val="595959"/>
        <w:sz w:val="16"/>
        <w:szCs w:val="16"/>
      </w:rPr>
      <w:t>Effective Date: [</w:t>
    </w:r>
    <w:r w:rsidRPr="008671EA">
      <w:rPr>
        <w:rFonts w:cs="Arial"/>
        <w:color w:val="595959"/>
        <w:sz w:val="16"/>
        <w:szCs w:val="16"/>
        <w:highlight w:val="yellow"/>
      </w:rPr>
      <w:t>Day Month Year</w:t>
    </w:r>
    <w:r w:rsidRPr="008671EA">
      <w:rPr>
        <w:rFonts w:cs="Arial"/>
        <w:color w:val="595959"/>
        <w:sz w:val="16"/>
        <w:szCs w:val="16"/>
      </w:rPr>
      <w:t>]</w:t>
    </w:r>
    <w:r w:rsidRPr="008671EA">
      <w:rPr>
        <w:rFonts w:cs="Arial"/>
        <w:color w:val="595959"/>
        <w:sz w:val="16"/>
        <w:szCs w:val="16"/>
      </w:rPr>
      <w:tab/>
    </w:r>
    <w:r w:rsidRPr="008671EA">
      <w:rPr>
        <w:rFonts w:cs="Arial"/>
        <w:color w:val="595959"/>
        <w:sz w:val="16"/>
        <w:szCs w:val="16"/>
      </w:rPr>
      <w:tab/>
      <w:t xml:space="preserve">Page </w:t>
    </w:r>
    <w:r w:rsidRPr="008671EA">
      <w:rPr>
        <w:rFonts w:cs="Arial"/>
        <w:color w:val="595959"/>
        <w:sz w:val="16"/>
        <w:szCs w:val="16"/>
      </w:rPr>
      <w:fldChar w:fldCharType="begin"/>
    </w:r>
    <w:r w:rsidRPr="008671EA">
      <w:rPr>
        <w:rFonts w:cs="Arial"/>
        <w:color w:val="595959"/>
        <w:sz w:val="16"/>
        <w:szCs w:val="16"/>
      </w:rPr>
      <w:instrText xml:space="preserve"> SECTIONPAGES  </w:instrText>
    </w:r>
    <w:r w:rsidRPr="008671EA">
      <w:rPr>
        <w:rFonts w:cs="Arial"/>
        <w:color w:val="595959"/>
        <w:sz w:val="16"/>
        <w:szCs w:val="16"/>
      </w:rPr>
      <w:fldChar w:fldCharType="separate"/>
    </w:r>
    <w:r w:rsidRPr="008671EA">
      <w:rPr>
        <w:rFonts w:cs="Arial"/>
        <w:noProof/>
        <w:color w:val="595959"/>
        <w:sz w:val="16"/>
        <w:szCs w:val="16"/>
      </w:rPr>
      <w:t>2</w:t>
    </w:r>
    <w:r w:rsidRPr="008671EA">
      <w:rPr>
        <w:rFonts w:cs="Arial"/>
        <w:color w:val="595959"/>
        <w:sz w:val="16"/>
        <w:szCs w:val="16"/>
      </w:rPr>
      <w:fldChar w:fldCharType="end"/>
    </w:r>
    <w:r w:rsidRPr="008671EA">
      <w:rPr>
        <w:rFonts w:cs="Arial"/>
        <w:noProof/>
        <w:color w:val="595959"/>
        <w:sz w:val="16"/>
        <w:szCs w:val="16"/>
      </w:rPr>
      <w:t xml:space="preserve"> of </w:t>
    </w:r>
    <w:r w:rsidRPr="008671EA">
      <w:rPr>
        <w:rFonts w:cs="Arial"/>
        <w:color w:val="595959"/>
        <w:sz w:val="16"/>
        <w:szCs w:val="16"/>
      </w:rPr>
      <w:fldChar w:fldCharType="begin"/>
    </w:r>
    <w:r w:rsidRPr="008671EA">
      <w:rPr>
        <w:rFonts w:cs="Arial"/>
        <w:color w:val="595959"/>
        <w:sz w:val="16"/>
        <w:szCs w:val="16"/>
      </w:rPr>
      <w:instrText xml:space="preserve"> SECTIONPAGES  </w:instrText>
    </w:r>
    <w:r w:rsidRPr="008671EA">
      <w:rPr>
        <w:rFonts w:cs="Arial"/>
        <w:color w:val="595959"/>
        <w:sz w:val="16"/>
        <w:szCs w:val="16"/>
      </w:rPr>
      <w:fldChar w:fldCharType="separate"/>
    </w:r>
    <w:r w:rsidRPr="008671EA">
      <w:rPr>
        <w:rFonts w:cs="Arial"/>
        <w:noProof/>
        <w:color w:val="595959"/>
        <w:sz w:val="16"/>
        <w:szCs w:val="16"/>
      </w:rPr>
      <w:t>2</w:t>
    </w:r>
    <w:r w:rsidRPr="008671EA">
      <w:rPr>
        <w:rFonts w:cs="Arial"/>
        <w:color w:val="595959"/>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Pr="007C6027" w:rsidRDefault="0099767E" w:rsidP="009329A0">
    <w:pPr>
      <w:spacing w:after="0"/>
      <w:jc w:val="center"/>
      <w:rPr>
        <w:sz w:val="20"/>
      </w:rPr>
    </w:pPr>
    <w:r w:rsidRPr="0078077E">
      <w:rPr>
        <w:color w:val="FFFFFF"/>
        <w:sz w:val="16"/>
        <w:szCs w:val="16"/>
      </w:rPr>
      <w:t>©</w:t>
    </w:r>
    <w:r w:rsidRPr="0078077E">
      <w:rPr>
        <w:color w:val="FFFFFF"/>
        <w:spacing w:val="-1"/>
        <w:sz w:val="16"/>
        <w:szCs w:val="16"/>
      </w:rPr>
      <w:t xml:space="preserve"> </w:t>
    </w:r>
    <w:r w:rsidRPr="0078077E">
      <w:rPr>
        <w:color w:val="FFFFFF"/>
        <w:sz w:val="16"/>
        <w:szCs w:val="16"/>
      </w:rPr>
      <w:t>Commonwealth</w:t>
    </w:r>
    <w:r w:rsidRPr="0078077E">
      <w:rPr>
        <w:color w:val="FFFFFF"/>
        <w:spacing w:val="-2"/>
        <w:sz w:val="16"/>
        <w:szCs w:val="16"/>
      </w:rPr>
      <w:t xml:space="preserve"> </w:t>
    </w:r>
    <w:r w:rsidRPr="0078077E">
      <w:rPr>
        <w:color w:val="FFFFFF"/>
        <w:sz w:val="16"/>
        <w:szCs w:val="16"/>
      </w:rPr>
      <w:t>of</w:t>
    </w:r>
    <w:r w:rsidRPr="0078077E">
      <w:rPr>
        <w:color w:val="FFFFFF"/>
        <w:spacing w:val="-12"/>
        <w:sz w:val="16"/>
        <w:szCs w:val="16"/>
      </w:rPr>
      <w:t xml:space="preserve"> </w:t>
    </w:r>
    <w:r>
      <w:rPr>
        <w:color w:val="FFFFFF"/>
        <w:sz w:val="16"/>
        <w:szCs w:val="16"/>
      </w:rPr>
      <w:t>Australia 2015</w:t>
    </w:r>
  </w:p>
  <w:p w:rsidR="0099767E" w:rsidRPr="007C6027" w:rsidRDefault="0099767E" w:rsidP="009329A0">
    <w:pPr>
      <w:spacing w:after="0"/>
      <w:ind w:left="3180" w:right="3180"/>
      <w:jc w:val="center"/>
      <w:rPr>
        <w:sz w:val="20"/>
      </w:rPr>
    </w:pPr>
    <w:r>
      <w:rPr>
        <w:noProof/>
        <w:sz w:val="20"/>
      </w:rPr>
      <w:drawing>
        <wp:inline distT="0" distB="0" distL="0" distR="0">
          <wp:extent cx="985520" cy="344170"/>
          <wp:effectExtent l="0" t="0" r="508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34417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954" w:rsidRDefault="00707954" w:rsidP="00562D3F">
      <w:r>
        <w:separator/>
      </w:r>
    </w:p>
    <w:p w:rsidR="00707954" w:rsidRDefault="00707954"/>
  </w:footnote>
  <w:footnote w:type="continuationSeparator" w:id="0">
    <w:p w:rsidR="00707954" w:rsidRDefault="00707954" w:rsidP="00562D3F">
      <w:r>
        <w:continuationSeparator/>
      </w:r>
    </w:p>
    <w:p w:rsidR="00707954" w:rsidRDefault="00707954"/>
  </w:footnote>
  <w:footnote w:id="1">
    <w:p w:rsidR="001B3FBE" w:rsidRDefault="001B3FBE">
      <w:pPr>
        <w:pStyle w:val="FootnoteText"/>
      </w:pPr>
      <w:r>
        <w:rPr>
          <w:rStyle w:val="FootnoteReference"/>
        </w:rPr>
        <w:footnoteRef/>
      </w:r>
      <w:r>
        <w:t xml:space="preserve"> </w:t>
      </w:r>
      <w:r w:rsidRPr="001B3FBE">
        <w:rPr>
          <w:rFonts w:ascii="Arial" w:hAnsi="Arial" w:cs="Arial"/>
          <w:sz w:val="18"/>
          <w:szCs w:val="18"/>
        </w:rPr>
        <w:t>In 2013, IP Australia received 29,717 patent applications, 62</w:t>
      </w:r>
      <w:r>
        <w:rPr>
          <w:rFonts w:ascii="Arial" w:hAnsi="Arial" w:cs="Arial"/>
          <w:sz w:val="18"/>
          <w:szCs w:val="18"/>
        </w:rPr>
        <w:t>,</w:t>
      </w:r>
      <w:r w:rsidRPr="001B3FBE">
        <w:rPr>
          <w:rFonts w:ascii="Arial" w:hAnsi="Arial" w:cs="Arial"/>
          <w:sz w:val="18"/>
          <w:szCs w:val="18"/>
        </w:rPr>
        <w:t>950 trade mark applications, 2889 design applications and 330 plant breeder's rights applications.</w:t>
      </w:r>
    </w:p>
  </w:footnote>
  <w:footnote w:id="2">
    <w:p w:rsidR="0099767E" w:rsidRPr="00B27F60" w:rsidRDefault="0099767E">
      <w:pPr>
        <w:pStyle w:val="FootnoteText"/>
        <w:rPr>
          <w:sz w:val="18"/>
          <w:szCs w:val="18"/>
        </w:rPr>
      </w:pPr>
      <w:r>
        <w:rPr>
          <w:rStyle w:val="FootnoteReference"/>
        </w:rPr>
        <w:footnoteRef/>
      </w:r>
      <w:r>
        <w:t xml:space="preserve"> </w:t>
      </w:r>
      <w:r w:rsidRPr="00B27F60">
        <w:rPr>
          <w:rFonts w:ascii="Arial" w:hAnsi="Arial" w:cs="Arial"/>
          <w:sz w:val="18"/>
          <w:szCs w:val="18"/>
        </w:rPr>
        <w:t>Pages 1 and 2 of the Issue Paper refer</w:t>
      </w:r>
    </w:p>
  </w:footnote>
  <w:footnote w:id="3">
    <w:p w:rsidR="0099767E" w:rsidRPr="00B27F60" w:rsidRDefault="0099767E" w:rsidP="000F07A8">
      <w:pPr>
        <w:pStyle w:val="FootnoteText"/>
        <w:rPr>
          <w:rFonts w:ascii="Arial" w:hAnsi="Arial" w:cs="Arial"/>
          <w:sz w:val="18"/>
          <w:szCs w:val="18"/>
        </w:rPr>
      </w:pPr>
      <w:r>
        <w:rPr>
          <w:rStyle w:val="FootnoteReference"/>
        </w:rPr>
        <w:footnoteRef/>
      </w:r>
      <w:r>
        <w:t xml:space="preserve"> </w:t>
      </w:r>
      <w:r w:rsidRPr="00B27F60">
        <w:rPr>
          <w:rFonts w:ascii="Arial" w:hAnsi="Arial" w:cs="Arial"/>
          <w:sz w:val="18"/>
          <w:szCs w:val="18"/>
        </w:rPr>
        <w:t>Page 30 of the 2009 Review refers</w:t>
      </w:r>
      <w:r>
        <w:rPr>
          <w:rFonts w:ascii="Arial" w:hAnsi="Arial" w:cs="Arial"/>
          <w:sz w:val="18"/>
          <w:szCs w:val="18"/>
        </w:rPr>
        <w:t>.</w:t>
      </w:r>
    </w:p>
  </w:footnote>
  <w:footnote w:id="4">
    <w:p w:rsidR="0099767E" w:rsidRPr="00B27F60" w:rsidRDefault="0099767E" w:rsidP="00316615">
      <w:pPr>
        <w:pStyle w:val="FootnoteText"/>
        <w:rPr>
          <w:rFonts w:ascii="Arial" w:hAnsi="Arial" w:cs="Arial"/>
          <w:sz w:val="18"/>
          <w:szCs w:val="18"/>
        </w:rPr>
      </w:pPr>
      <w:r w:rsidRPr="00B27F60">
        <w:rPr>
          <w:rStyle w:val="FootnoteReference"/>
          <w:rFonts w:ascii="Arial" w:hAnsi="Arial" w:cs="Arial"/>
          <w:sz w:val="18"/>
          <w:szCs w:val="18"/>
        </w:rPr>
        <w:footnoteRef/>
      </w:r>
      <w:r w:rsidRPr="00B27F60">
        <w:rPr>
          <w:rFonts w:ascii="Arial" w:hAnsi="Arial" w:cs="Arial"/>
          <w:sz w:val="18"/>
          <w:szCs w:val="18"/>
        </w:rPr>
        <w:t xml:space="preserve"> See paragraph B in the Recitals to the TTMRA, available at </w:t>
      </w:r>
      <w:hyperlink r:id="rId1" w:history="1">
        <w:r w:rsidRPr="00B27F60">
          <w:rPr>
            <w:rStyle w:val="Hyperlink"/>
            <w:rFonts w:ascii="Arial" w:hAnsi="Arial" w:cs="Arial"/>
            <w:sz w:val="18"/>
            <w:szCs w:val="18"/>
          </w:rPr>
          <w:t>https://www.coag.gov.au/sites/default/files/ttmra.pdf</w:t>
        </w:r>
      </w:hyperlink>
      <w:r w:rsidRPr="00B27F60">
        <w:rPr>
          <w:rFonts w:ascii="Arial" w:hAnsi="Arial" w:cs="Arial"/>
          <w:sz w:val="18"/>
          <w:szCs w:val="18"/>
        </w:rPr>
        <w:t xml:space="preserve"> </w:t>
      </w:r>
    </w:p>
  </w:footnote>
  <w:footnote w:id="5">
    <w:p w:rsidR="0099767E" w:rsidRPr="00B27F60" w:rsidRDefault="0099767E" w:rsidP="00316615">
      <w:pPr>
        <w:pStyle w:val="FootnoteText"/>
        <w:rPr>
          <w:rFonts w:ascii="Arial" w:hAnsi="Arial" w:cs="Arial"/>
          <w:sz w:val="18"/>
          <w:szCs w:val="18"/>
        </w:rPr>
      </w:pPr>
      <w:r w:rsidRPr="00B27F60">
        <w:rPr>
          <w:rStyle w:val="FootnoteReference"/>
          <w:rFonts w:ascii="Arial" w:hAnsi="Arial" w:cs="Arial"/>
          <w:sz w:val="18"/>
          <w:szCs w:val="18"/>
        </w:rPr>
        <w:footnoteRef/>
      </w:r>
      <w:r w:rsidRPr="00B27F60">
        <w:rPr>
          <w:rFonts w:ascii="Arial" w:hAnsi="Arial" w:cs="Arial"/>
          <w:sz w:val="18"/>
          <w:szCs w:val="18"/>
        </w:rPr>
        <w:t xml:space="preserve"> Section 44 and Items 1(1</w:t>
      </w:r>
      <w:proofErr w:type="gramStart"/>
      <w:r w:rsidRPr="00B27F60">
        <w:rPr>
          <w:rFonts w:ascii="Arial" w:hAnsi="Arial" w:cs="Arial"/>
          <w:sz w:val="18"/>
          <w:szCs w:val="18"/>
        </w:rPr>
        <w:t>)(</w:t>
      </w:r>
      <w:proofErr w:type="gramEnd"/>
      <w:r w:rsidRPr="00B27F60">
        <w:rPr>
          <w:rFonts w:ascii="Arial" w:hAnsi="Arial" w:cs="Arial"/>
          <w:sz w:val="18"/>
          <w:szCs w:val="18"/>
        </w:rPr>
        <w:t xml:space="preserve">b) and 3 of Schedule 1 of the </w:t>
      </w:r>
      <w:r w:rsidRPr="00B27F60">
        <w:rPr>
          <w:rFonts w:ascii="Arial" w:hAnsi="Arial" w:cs="Arial"/>
          <w:i/>
          <w:sz w:val="18"/>
          <w:szCs w:val="18"/>
        </w:rPr>
        <w:t>Trans-Tasman Mutual Recognition Act 1997</w:t>
      </w:r>
      <w:r w:rsidRPr="00B27F60">
        <w:rPr>
          <w:rFonts w:ascii="Arial" w:hAnsi="Arial" w:cs="Arial"/>
          <w:sz w:val="18"/>
          <w:szCs w:val="18"/>
        </w:rPr>
        <w:t xml:space="preserve"> (</w:t>
      </w:r>
      <w:proofErr w:type="spellStart"/>
      <w:r w:rsidRPr="00B27F60">
        <w:rPr>
          <w:rFonts w:ascii="Arial" w:hAnsi="Arial" w:cs="Arial"/>
          <w:sz w:val="18"/>
          <w:szCs w:val="18"/>
        </w:rPr>
        <w:t>Cth</w:t>
      </w:r>
      <w:proofErr w:type="spellEnd"/>
      <w:r w:rsidRPr="00B27F60">
        <w:rPr>
          <w:rFonts w:ascii="Arial" w:hAnsi="Arial" w:cs="Arial"/>
          <w:sz w:val="18"/>
          <w:szCs w:val="18"/>
        </w:rPr>
        <w:t>) refer.</w:t>
      </w:r>
    </w:p>
  </w:footnote>
  <w:footnote w:id="6">
    <w:p w:rsidR="0099767E" w:rsidRPr="00B27F60" w:rsidRDefault="0099767E" w:rsidP="00316615">
      <w:pPr>
        <w:pStyle w:val="FootnoteText"/>
        <w:rPr>
          <w:rFonts w:ascii="Arial" w:hAnsi="Arial" w:cs="Arial"/>
          <w:sz w:val="18"/>
          <w:szCs w:val="18"/>
        </w:rPr>
      </w:pPr>
      <w:r w:rsidRPr="00B27F60">
        <w:rPr>
          <w:rStyle w:val="FootnoteReference"/>
          <w:rFonts w:ascii="Arial" w:hAnsi="Arial" w:cs="Arial"/>
          <w:sz w:val="18"/>
          <w:szCs w:val="18"/>
        </w:rPr>
        <w:footnoteRef/>
      </w:r>
      <w:r w:rsidRPr="00B27F60">
        <w:rPr>
          <w:rFonts w:ascii="Arial" w:hAnsi="Arial" w:cs="Arial"/>
          <w:sz w:val="18"/>
          <w:szCs w:val="18"/>
        </w:rPr>
        <w:t xml:space="preserve"> Page 190 of the 2009 Review refers.</w:t>
      </w:r>
    </w:p>
  </w:footnote>
  <w:footnote w:id="7">
    <w:p w:rsidR="0099767E" w:rsidRDefault="0099767E">
      <w:pPr>
        <w:pStyle w:val="FootnoteText"/>
      </w:pPr>
      <w:r>
        <w:rPr>
          <w:rStyle w:val="FootnoteReference"/>
        </w:rPr>
        <w:footnoteRef/>
      </w:r>
      <w:r>
        <w:t xml:space="preserve"> </w:t>
      </w:r>
      <w:r w:rsidRPr="00D07105">
        <w:rPr>
          <w:rFonts w:ascii="Arial" w:hAnsi="Arial" w:cs="Arial"/>
          <w:sz w:val="18"/>
          <w:szCs w:val="18"/>
        </w:rPr>
        <w:t>Pages XXX and XXXI of the 2009 Review refer.</w:t>
      </w:r>
    </w:p>
  </w:footnote>
  <w:footnote w:id="8">
    <w:p w:rsidR="0099767E" w:rsidRDefault="0099767E">
      <w:pPr>
        <w:pStyle w:val="FootnoteText"/>
      </w:pPr>
      <w:r>
        <w:rPr>
          <w:rStyle w:val="FootnoteReference"/>
        </w:rPr>
        <w:footnoteRef/>
      </w:r>
      <w:r>
        <w:t xml:space="preserve"> </w:t>
      </w:r>
      <w:hyperlink r:id="rId2" w:history="1">
        <w:r w:rsidRPr="005A4B59">
          <w:rPr>
            <w:rStyle w:val="Hyperlink"/>
            <w:rFonts w:ascii="Arial" w:hAnsi="Arial" w:cs="Arial"/>
            <w:sz w:val="18"/>
            <w:szCs w:val="18"/>
          </w:rPr>
          <w:t>http://ttoig.treasury.gov.au/content/outcomes_proposals_20110207.asp</w:t>
        </w:r>
      </w:hyperlink>
    </w:p>
  </w:footnote>
  <w:footnote w:id="9">
    <w:p w:rsidR="0099767E" w:rsidRDefault="0099767E" w:rsidP="00674FDA">
      <w:pPr>
        <w:pStyle w:val="FootnoteText"/>
      </w:pPr>
      <w:r>
        <w:rPr>
          <w:rStyle w:val="FootnoteReference"/>
        </w:rPr>
        <w:footnoteRef/>
      </w:r>
      <w:r>
        <w:t xml:space="preserve"> </w:t>
      </w:r>
      <w:hyperlink r:id="rId3" w:history="1">
        <w:proofErr w:type="gramStart"/>
        <w:r w:rsidRPr="00E573EE">
          <w:rPr>
            <w:rStyle w:val="Hyperlink"/>
            <w:rFonts w:ascii="Arial" w:hAnsi="Arial" w:cs="Arial"/>
            <w:sz w:val="18"/>
            <w:szCs w:val="18"/>
          </w:rPr>
          <w:t>http://ttoig.treasury.gov.au/content/six_monthly/downloads/may_2014.pdf</w:t>
        </w:r>
      </w:hyperlink>
      <w:r>
        <w:rPr>
          <w:rFonts w:ascii="Arial" w:hAnsi="Arial" w:cs="Arial"/>
          <w:sz w:val="18"/>
          <w:szCs w:val="18"/>
        </w:rPr>
        <w:t xml:space="preserve"> at pages 10-11.</w:t>
      </w:r>
      <w:proofErr w:type="gramEnd"/>
    </w:p>
  </w:footnote>
  <w:footnote w:id="10">
    <w:p w:rsidR="0099767E" w:rsidRPr="00F83009" w:rsidRDefault="0099767E" w:rsidP="00316615">
      <w:pPr>
        <w:pStyle w:val="FootnoteText"/>
        <w:rPr>
          <w:rFonts w:ascii="Arial" w:hAnsi="Arial" w:cs="Arial"/>
          <w:sz w:val="18"/>
          <w:szCs w:val="18"/>
        </w:rPr>
      </w:pPr>
      <w:r w:rsidRPr="00F83009">
        <w:rPr>
          <w:rStyle w:val="FootnoteReference"/>
          <w:rFonts w:ascii="Arial" w:hAnsi="Arial" w:cs="Arial"/>
          <w:sz w:val="18"/>
          <w:szCs w:val="18"/>
        </w:rPr>
        <w:footnoteRef/>
      </w:r>
      <w:r w:rsidRPr="00F83009">
        <w:rPr>
          <w:rFonts w:ascii="Arial" w:hAnsi="Arial" w:cs="Arial"/>
          <w:sz w:val="18"/>
          <w:szCs w:val="18"/>
        </w:rPr>
        <w:t xml:space="preserve"> Page 8 refers.</w:t>
      </w:r>
    </w:p>
  </w:footnote>
  <w:footnote w:id="11">
    <w:p w:rsidR="0099767E" w:rsidRPr="00F83009" w:rsidRDefault="0099767E" w:rsidP="00316615">
      <w:pPr>
        <w:pStyle w:val="FootnoteText"/>
        <w:rPr>
          <w:rFonts w:ascii="Arial" w:hAnsi="Arial" w:cs="Arial"/>
          <w:sz w:val="18"/>
          <w:szCs w:val="18"/>
        </w:rPr>
      </w:pPr>
      <w:r w:rsidRPr="00F83009">
        <w:rPr>
          <w:rStyle w:val="FootnoteReference"/>
          <w:rFonts w:ascii="Arial" w:hAnsi="Arial" w:cs="Arial"/>
          <w:sz w:val="18"/>
          <w:szCs w:val="18"/>
        </w:rPr>
        <w:footnoteRef/>
      </w:r>
      <w:r w:rsidRPr="00F83009">
        <w:rPr>
          <w:rFonts w:ascii="Arial" w:hAnsi="Arial" w:cs="Arial"/>
          <w:sz w:val="18"/>
          <w:szCs w:val="18"/>
        </w:rPr>
        <w:t xml:space="preserve"> Page 8 refers.</w:t>
      </w:r>
    </w:p>
  </w:footnote>
  <w:footnote w:id="12">
    <w:p w:rsidR="0099767E" w:rsidRDefault="0099767E">
      <w:pPr>
        <w:pStyle w:val="FootnoteText"/>
      </w:pPr>
      <w:r>
        <w:rPr>
          <w:rStyle w:val="FootnoteReference"/>
        </w:rPr>
        <w:footnoteRef/>
      </w:r>
      <w:r>
        <w:t xml:space="preserve"> </w:t>
      </w:r>
      <w:r w:rsidRPr="00962300">
        <w:rPr>
          <w:rFonts w:ascii="Arial" w:hAnsi="Arial" w:cs="Arial"/>
          <w:sz w:val="18"/>
          <w:szCs w:val="18"/>
        </w:rPr>
        <w:t>For example</w:t>
      </w:r>
      <w:r>
        <w:rPr>
          <w:rFonts w:ascii="Arial" w:hAnsi="Arial" w:cs="Arial"/>
          <w:sz w:val="18"/>
          <w:szCs w:val="18"/>
        </w:rPr>
        <w:t>,</w:t>
      </w:r>
      <w:r w:rsidRPr="00962300">
        <w:rPr>
          <w:rFonts w:ascii="Arial" w:hAnsi="Arial" w:cs="Arial"/>
          <w:sz w:val="18"/>
          <w:szCs w:val="18"/>
        </w:rPr>
        <w:t xml:space="preserve"> Part 14 of the </w:t>
      </w:r>
      <w:r w:rsidRPr="00962300">
        <w:rPr>
          <w:rFonts w:ascii="Arial" w:hAnsi="Arial" w:cs="Arial"/>
          <w:i/>
          <w:sz w:val="18"/>
          <w:szCs w:val="18"/>
        </w:rPr>
        <w:t>Trade Marks Act 1995</w:t>
      </w:r>
      <w:r w:rsidRPr="00962300">
        <w:rPr>
          <w:rFonts w:ascii="Arial" w:hAnsi="Arial" w:cs="Arial"/>
          <w:sz w:val="18"/>
          <w:szCs w:val="18"/>
        </w:rPr>
        <w:t xml:space="preserve"> (</w:t>
      </w:r>
      <w:proofErr w:type="spellStart"/>
      <w:r w:rsidRPr="00962300">
        <w:rPr>
          <w:rFonts w:ascii="Arial" w:hAnsi="Arial" w:cs="Arial"/>
          <w:sz w:val="18"/>
          <w:szCs w:val="18"/>
        </w:rPr>
        <w:t>Cth</w:t>
      </w:r>
      <w:proofErr w:type="spellEnd"/>
      <w:r w:rsidRPr="00962300">
        <w:rPr>
          <w:rFonts w:ascii="Arial" w:hAnsi="Arial" w:cs="Arial"/>
          <w:sz w:val="18"/>
          <w:szCs w:val="18"/>
        </w:rPr>
        <w:t xml:space="preserve">) </w:t>
      </w:r>
      <w:r>
        <w:rPr>
          <w:rFonts w:ascii="Arial" w:hAnsi="Arial" w:cs="Arial"/>
          <w:sz w:val="18"/>
          <w:szCs w:val="18"/>
        </w:rPr>
        <w:t xml:space="preserve">establishes </w:t>
      </w:r>
      <w:r w:rsidRPr="00962300">
        <w:rPr>
          <w:rFonts w:ascii="Arial" w:hAnsi="Arial" w:cs="Arial"/>
          <w:sz w:val="18"/>
          <w:szCs w:val="18"/>
        </w:rPr>
        <w:t xml:space="preserve">a number of offences in relation to the </w:t>
      </w:r>
      <w:r>
        <w:rPr>
          <w:rFonts w:ascii="Arial" w:hAnsi="Arial" w:cs="Arial"/>
          <w:sz w:val="18"/>
          <w:szCs w:val="18"/>
        </w:rPr>
        <w:t xml:space="preserve">false </w:t>
      </w:r>
      <w:r w:rsidRPr="00962300">
        <w:rPr>
          <w:rFonts w:ascii="Arial" w:hAnsi="Arial" w:cs="Arial"/>
          <w:sz w:val="18"/>
          <w:szCs w:val="18"/>
        </w:rPr>
        <w:t>use of trade</w:t>
      </w:r>
      <w:r>
        <w:rPr>
          <w:rFonts w:ascii="Arial" w:hAnsi="Arial" w:cs="Arial"/>
          <w:sz w:val="18"/>
          <w:szCs w:val="18"/>
        </w:rPr>
        <w:t xml:space="preserve"> </w:t>
      </w:r>
      <w:r w:rsidRPr="00962300">
        <w:rPr>
          <w:rFonts w:ascii="Arial" w:hAnsi="Arial" w:cs="Arial"/>
          <w:sz w:val="18"/>
          <w:szCs w:val="18"/>
        </w:rPr>
        <w:t>mark</w:t>
      </w:r>
      <w:r>
        <w:rPr>
          <w:rFonts w:ascii="Arial" w:hAnsi="Arial" w:cs="Arial"/>
          <w:sz w:val="18"/>
          <w:szCs w:val="18"/>
        </w:rPr>
        <w:t>s</w:t>
      </w:r>
      <w:r w:rsidRPr="00962300">
        <w:rPr>
          <w:rFonts w:ascii="Arial" w:hAnsi="Arial" w:cs="Arial"/>
          <w:sz w:val="18"/>
          <w:szCs w:val="18"/>
        </w:rPr>
        <w:t xml:space="preserve"> in the course of trade.</w:t>
      </w:r>
    </w:p>
  </w:footnote>
  <w:footnote w:id="13">
    <w:p w:rsidR="0099767E" w:rsidRPr="00C377EB" w:rsidRDefault="0099767E" w:rsidP="00121E82">
      <w:pPr>
        <w:pStyle w:val="FootnoteText"/>
        <w:rPr>
          <w:rFonts w:ascii="Arial" w:hAnsi="Arial" w:cs="Arial"/>
          <w:sz w:val="18"/>
          <w:szCs w:val="18"/>
        </w:rPr>
      </w:pPr>
      <w:r w:rsidRPr="00C377EB">
        <w:rPr>
          <w:rStyle w:val="FootnoteReference"/>
          <w:rFonts w:ascii="Arial" w:hAnsi="Arial" w:cs="Arial"/>
          <w:sz w:val="18"/>
          <w:szCs w:val="18"/>
        </w:rPr>
        <w:footnoteRef/>
      </w:r>
      <w:r w:rsidRPr="00C377EB">
        <w:rPr>
          <w:rFonts w:ascii="Arial" w:hAnsi="Arial" w:cs="Arial"/>
          <w:sz w:val="18"/>
          <w:szCs w:val="18"/>
        </w:rPr>
        <w:t xml:space="preserve"> </w:t>
      </w:r>
      <w:r w:rsidRPr="001B7B45">
        <w:rPr>
          <w:rFonts w:ascii="Arial" w:hAnsi="Arial" w:cs="Arial"/>
          <w:sz w:val="18"/>
          <w:szCs w:val="18"/>
        </w:rPr>
        <w:t xml:space="preserve">Chief among these is the TRIPS Agreement, which sets international standards concerning the availability, scope and use of IPR for members </w:t>
      </w:r>
      <w:r>
        <w:rPr>
          <w:rFonts w:ascii="Arial" w:hAnsi="Arial" w:cs="Arial"/>
          <w:sz w:val="18"/>
          <w:szCs w:val="18"/>
        </w:rPr>
        <w:t>of the World Trade Organization - see t</w:t>
      </w:r>
      <w:r w:rsidRPr="00C377EB">
        <w:rPr>
          <w:rFonts w:ascii="Arial" w:hAnsi="Arial" w:cs="Arial"/>
          <w:sz w:val="18"/>
          <w:szCs w:val="18"/>
        </w:rPr>
        <w:t xml:space="preserve">he </w:t>
      </w:r>
      <w:r w:rsidRPr="00C377EB">
        <w:rPr>
          <w:rFonts w:ascii="Arial" w:hAnsi="Arial" w:cs="Arial"/>
          <w:i/>
          <w:sz w:val="18"/>
          <w:szCs w:val="18"/>
        </w:rPr>
        <w:t>Agreement on Trade-Related Aspects of intellectual Property Rights</w:t>
      </w:r>
      <w:r>
        <w:rPr>
          <w:rFonts w:ascii="Arial" w:hAnsi="Arial" w:cs="Arial"/>
          <w:sz w:val="18"/>
          <w:szCs w:val="18"/>
        </w:rPr>
        <w:t xml:space="preserve">, </w:t>
      </w:r>
      <w:r w:rsidRPr="00C377EB">
        <w:rPr>
          <w:rFonts w:ascii="Arial" w:hAnsi="Arial" w:cs="Arial"/>
          <w:sz w:val="18"/>
          <w:szCs w:val="18"/>
        </w:rPr>
        <w:t xml:space="preserve">available at </w:t>
      </w:r>
      <w:hyperlink r:id="rId4" w:history="1">
        <w:r w:rsidRPr="0085318B">
          <w:rPr>
            <w:rStyle w:val="Hyperlink"/>
            <w:rFonts w:ascii="Arial" w:hAnsi="Arial" w:cs="Arial"/>
            <w:sz w:val="18"/>
            <w:szCs w:val="18"/>
          </w:rPr>
          <w:t>http://www.wto.org/english/docs_e/legal_e/27-trips.pdf</w:t>
        </w:r>
      </w:hyperlink>
      <w:r>
        <w:rPr>
          <w:rFonts w:ascii="Arial" w:hAnsi="Arial" w:cs="Arial"/>
          <w:sz w:val="18"/>
          <w:szCs w:val="18"/>
        </w:rPr>
        <w:t xml:space="preserve">.  TRIPS requires members to comply with a number of Articles of the </w:t>
      </w:r>
      <w:r w:rsidRPr="00962300">
        <w:rPr>
          <w:rFonts w:ascii="Arial" w:hAnsi="Arial" w:cs="Arial"/>
          <w:i/>
          <w:sz w:val="18"/>
          <w:szCs w:val="18"/>
        </w:rPr>
        <w:t>Paris Convention for the Protection of Industrial Property</w:t>
      </w:r>
      <w:r>
        <w:rPr>
          <w:rFonts w:ascii="Arial" w:hAnsi="Arial" w:cs="Arial"/>
          <w:sz w:val="18"/>
          <w:szCs w:val="18"/>
        </w:rPr>
        <w:t xml:space="preserve"> (‘</w:t>
      </w:r>
      <w:r w:rsidRPr="00962300">
        <w:rPr>
          <w:rFonts w:ascii="Arial" w:hAnsi="Arial" w:cs="Arial"/>
          <w:b/>
          <w:sz w:val="18"/>
          <w:szCs w:val="18"/>
        </w:rPr>
        <w:t>Paris C</w:t>
      </w:r>
      <w:r>
        <w:rPr>
          <w:rFonts w:ascii="Arial" w:hAnsi="Arial" w:cs="Arial"/>
          <w:b/>
          <w:sz w:val="18"/>
          <w:szCs w:val="18"/>
        </w:rPr>
        <w:t>on</w:t>
      </w:r>
      <w:r w:rsidRPr="00962300">
        <w:rPr>
          <w:rFonts w:ascii="Arial" w:hAnsi="Arial" w:cs="Arial"/>
          <w:b/>
          <w:sz w:val="18"/>
          <w:szCs w:val="18"/>
        </w:rPr>
        <w:t>vention’</w:t>
      </w:r>
      <w:r>
        <w:rPr>
          <w:rFonts w:ascii="Arial" w:hAnsi="Arial" w:cs="Arial"/>
          <w:sz w:val="18"/>
          <w:szCs w:val="18"/>
        </w:rPr>
        <w:t xml:space="preserve">), including Article </w:t>
      </w:r>
      <w:proofErr w:type="gramStart"/>
      <w:r>
        <w:rPr>
          <w:rFonts w:ascii="Arial" w:hAnsi="Arial" w:cs="Arial"/>
          <w:sz w:val="18"/>
          <w:szCs w:val="18"/>
        </w:rPr>
        <w:t>4bis(</w:t>
      </w:r>
      <w:proofErr w:type="gramEnd"/>
      <w:r>
        <w:rPr>
          <w:rFonts w:ascii="Arial" w:hAnsi="Arial" w:cs="Arial"/>
          <w:sz w:val="18"/>
          <w:szCs w:val="18"/>
        </w:rPr>
        <w:t xml:space="preserve">1) which provides for the “independence of patents obtained for the same invention in other countries”. </w:t>
      </w:r>
    </w:p>
  </w:footnote>
  <w:footnote w:id="14">
    <w:p w:rsidR="0099767E" w:rsidRPr="007C1961" w:rsidRDefault="0099767E" w:rsidP="004F6601">
      <w:pPr>
        <w:pStyle w:val="FootnoteText"/>
        <w:rPr>
          <w:rFonts w:ascii="Arial" w:hAnsi="Arial" w:cs="Arial"/>
          <w:sz w:val="18"/>
          <w:szCs w:val="18"/>
        </w:rPr>
      </w:pPr>
      <w:r w:rsidRPr="007C1961">
        <w:rPr>
          <w:rStyle w:val="FootnoteReference"/>
          <w:rFonts w:ascii="Arial" w:hAnsi="Arial" w:cs="Arial"/>
          <w:sz w:val="18"/>
          <w:szCs w:val="18"/>
        </w:rPr>
        <w:footnoteRef/>
      </w:r>
      <w:r w:rsidRPr="007C1961">
        <w:rPr>
          <w:rFonts w:ascii="Arial" w:hAnsi="Arial" w:cs="Arial"/>
          <w:sz w:val="18"/>
          <w:szCs w:val="18"/>
        </w:rPr>
        <w:t xml:space="preserve"> Around 4 times as many patents and </w:t>
      </w:r>
      <w:proofErr w:type="spellStart"/>
      <w:r w:rsidRPr="007C1961">
        <w:rPr>
          <w:rFonts w:ascii="Arial" w:hAnsi="Arial" w:cs="Arial"/>
          <w:sz w:val="18"/>
          <w:szCs w:val="18"/>
        </w:rPr>
        <w:t>trade marks</w:t>
      </w:r>
      <w:proofErr w:type="spellEnd"/>
      <w:r w:rsidRPr="007C1961">
        <w:rPr>
          <w:rFonts w:ascii="Arial" w:hAnsi="Arial" w:cs="Arial"/>
          <w:sz w:val="18"/>
          <w:szCs w:val="18"/>
        </w:rPr>
        <w:t xml:space="preserve"> applications are filed in Australia each year, as are filed in New Zealand. </w:t>
      </w:r>
      <w:r>
        <w:rPr>
          <w:rFonts w:ascii="Arial" w:hAnsi="Arial" w:cs="Arial"/>
          <w:sz w:val="18"/>
          <w:szCs w:val="18"/>
        </w:rPr>
        <w:t xml:space="preserve">See </w:t>
      </w:r>
      <w:hyperlink r:id="rId5" w:history="1">
        <w:r w:rsidRPr="007020DA">
          <w:rPr>
            <w:rStyle w:val="Hyperlink"/>
            <w:rFonts w:ascii="Arial" w:hAnsi="Arial" w:cs="Arial"/>
            <w:sz w:val="18"/>
            <w:szCs w:val="18"/>
          </w:rPr>
          <w:t>http://www.wipo.int/ipstats/en/statistics/country_profile/</w:t>
        </w:r>
      </w:hyperlink>
      <w:r>
        <w:rPr>
          <w:rFonts w:ascii="Arial" w:hAnsi="Arial" w:cs="Arial"/>
          <w:sz w:val="18"/>
          <w:szCs w:val="18"/>
        </w:rPr>
        <w:t xml:space="preserve"> for details.</w:t>
      </w:r>
    </w:p>
  </w:footnote>
  <w:footnote w:id="15">
    <w:p w:rsidR="0099767E" w:rsidRDefault="0099767E">
      <w:pPr>
        <w:pStyle w:val="FootnoteText"/>
      </w:pPr>
      <w:r>
        <w:rPr>
          <w:rStyle w:val="FootnoteReference"/>
        </w:rPr>
        <w:footnoteRef/>
      </w:r>
      <w:r>
        <w:t xml:space="preserve"> </w:t>
      </w:r>
      <w:r w:rsidRPr="00962300">
        <w:rPr>
          <w:rFonts w:ascii="Arial" w:hAnsi="Arial" w:cs="Arial"/>
          <w:sz w:val="18"/>
          <w:szCs w:val="18"/>
        </w:rPr>
        <w:t>See Articles 6 and 6bis of the Paris Convention.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D9" w:rsidRDefault="007155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Default="0099767E">
    <w:pPr>
      <w:pStyle w:val="Header"/>
    </w:pPr>
    <w:r>
      <w:rPr>
        <w:noProof/>
      </w:rPr>
      <mc:AlternateContent>
        <mc:Choice Requires="wpg">
          <w:drawing>
            <wp:anchor distT="0" distB="0" distL="114300" distR="114300" simplePos="0" relativeHeight="251657728" behindDoc="1" locked="0" layoutInCell="1" allowOverlap="1" wp14:anchorId="01B70B1C" wp14:editId="6631DFDA">
              <wp:simplePos x="0" y="0"/>
              <wp:positionH relativeFrom="page">
                <wp:align>center</wp:align>
              </wp:positionH>
              <wp:positionV relativeFrom="page">
                <wp:align>center</wp:align>
              </wp:positionV>
              <wp:extent cx="7200265" cy="10332085"/>
              <wp:effectExtent l="0" t="0" r="635"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0332085"/>
                        <a:chOff x="283" y="283"/>
                        <a:chExt cx="11339" cy="16271"/>
                      </a:xfrm>
                    </wpg:grpSpPr>
                    <wps:wsp>
                      <wps:cNvPr id="5" name="Freeform 12"/>
                      <wps:cNvSpPr>
                        <a:spLocks/>
                      </wps:cNvSpPr>
                      <wps:spPr bwMode="auto">
                        <a:xfrm>
                          <a:off x="283" y="283"/>
                          <a:ext cx="11339" cy="16271"/>
                        </a:xfrm>
                        <a:custGeom>
                          <a:avLst/>
                          <a:gdLst>
                            <a:gd name="T0" fmla="+- 0 283 283"/>
                            <a:gd name="T1" fmla="*/ T0 w 11339"/>
                            <a:gd name="T2" fmla="+- 0 16554 283"/>
                            <a:gd name="T3" fmla="*/ 16554 h 16271"/>
                            <a:gd name="T4" fmla="+- 0 11622 283"/>
                            <a:gd name="T5" fmla="*/ T4 w 11339"/>
                            <a:gd name="T6" fmla="+- 0 16554 283"/>
                            <a:gd name="T7" fmla="*/ 16554 h 16271"/>
                            <a:gd name="T8" fmla="+- 0 11622 283"/>
                            <a:gd name="T9" fmla="*/ T8 w 11339"/>
                            <a:gd name="T10" fmla="+- 0 283 283"/>
                            <a:gd name="T11" fmla="*/ 283 h 16271"/>
                            <a:gd name="T12" fmla="+- 0 283 283"/>
                            <a:gd name="T13" fmla="*/ T12 w 11339"/>
                            <a:gd name="T14" fmla="+- 0 283 283"/>
                            <a:gd name="T15" fmla="*/ 283 h 16271"/>
                            <a:gd name="T16" fmla="+- 0 283 283"/>
                            <a:gd name="T17" fmla="*/ T16 w 11339"/>
                            <a:gd name="T18" fmla="+- 0 16554 283"/>
                            <a:gd name="T19" fmla="*/ 16554 h 16271"/>
                          </a:gdLst>
                          <a:ahLst/>
                          <a:cxnLst>
                            <a:cxn ang="0">
                              <a:pos x="T1" y="T3"/>
                            </a:cxn>
                            <a:cxn ang="0">
                              <a:pos x="T5" y="T7"/>
                            </a:cxn>
                            <a:cxn ang="0">
                              <a:pos x="T9" y="T11"/>
                            </a:cxn>
                            <a:cxn ang="0">
                              <a:pos x="T13" y="T15"/>
                            </a:cxn>
                            <a:cxn ang="0">
                              <a:pos x="T17" y="T19"/>
                            </a:cxn>
                          </a:cxnLst>
                          <a:rect l="0" t="0" r="r" b="b"/>
                          <a:pathLst>
                            <a:path w="11339" h="16271">
                              <a:moveTo>
                                <a:pt x="0" y="16271"/>
                              </a:moveTo>
                              <a:lnTo>
                                <a:pt x="11339" y="16271"/>
                              </a:lnTo>
                              <a:lnTo>
                                <a:pt x="11339" y="0"/>
                              </a:lnTo>
                              <a:lnTo>
                                <a:pt x="0" y="0"/>
                              </a:lnTo>
                              <a:lnTo>
                                <a:pt x="0" y="16271"/>
                              </a:lnTo>
                              <a:close/>
                            </a:path>
                          </a:pathLst>
                        </a:custGeom>
                        <a:solidFill>
                          <a:srgbClr val="651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0;margin-top:0;width:566.95pt;height:813.55pt;z-index:-251658240;mso-position-horizontal:center;mso-position-horizontal-relative:page;mso-position-vertical:center;mso-position-vertical-relative:page" coordorigin="283,283" coordsize="11339,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">
              <v:shape id="Freeform 12" o:spid="_x0000_s1027" style="position:absolute;left:283;top:283;width:11339;height:16271;visibility:visible;mso-wrap-style:square;v-text-anchor:top" coordsize="11339,1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vBMQA&#10;AADaAAAADwAAAGRycy9kb3ducmV2LnhtbESPT2vCQBTE7wW/w/IEb3VjpX+IrhKEggc91Eppb4/d&#10;ZxKSfRt2V5N8e7dQ6HGYmd8w6+1gW3EjH2rHChbzDASxdqbmUsH58/3xDUSIyAZbx6RgpADbzeRh&#10;jblxPX/Q7RRLkSAcclRQxdjlUgZdkcUwdx1x8i7OW4xJ+lIaj32C21Y+ZdmLtFhzWqiwo11Fujld&#10;rYL+6/VYnLOi10t9aK7Nz+i+/ajUbDoUKxCRhvgf/mvvjYJn+L2Sb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5bwTEAAAA2gAAAA8AAAAAAAAAAAAAAAAAmAIAAGRycy9k&#10;b3ducmV2LnhtbFBLBQYAAAAABAAEAPUAAACJAwAAAAA=&#10;" path="m,16271r11339,l11339,,,,,16271xe" fillcolor="#651d64" stroked="f">
                <v:path arrowok="t" o:connecttype="custom" o:connectlocs="0,16554;11339,16554;11339,283;0,283;0,16554" o:connectangles="0,0,0,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Default="0099767E">
    <w:pPr>
      <w:pStyle w:val="Header"/>
    </w:pPr>
    <w:r>
      <w:rPr>
        <w:noProof/>
      </w:rPr>
      <w:drawing>
        <wp:anchor distT="0" distB="2159" distL="114300" distR="114300" simplePos="0" relativeHeight="251654656" behindDoc="1" locked="0" layoutInCell="0" allowOverlap="1" wp14:anchorId="22658E42" wp14:editId="2D0F3F36">
          <wp:simplePos x="0" y="0"/>
          <wp:positionH relativeFrom="page">
            <wp:posOffset>0</wp:posOffset>
          </wp:positionH>
          <wp:positionV relativeFrom="page">
            <wp:posOffset>635</wp:posOffset>
          </wp:positionV>
          <wp:extent cx="7560310" cy="10690606"/>
          <wp:effectExtent l="0" t="0" r="2540" b="0"/>
          <wp:wrapNone/>
          <wp:docPr id="9" name="Picture 1" title="Australian Government - IP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 IP Austral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Default="0099767E">
    <w:pPr>
      <w:pStyle w:val="Header"/>
    </w:pPr>
    <w:r>
      <w:rPr>
        <w:noProof/>
      </w:rPr>
      <mc:AlternateContent>
        <mc:Choice Requires="wpg">
          <w:drawing>
            <wp:anchor distT="0" distB="0" distL="114300" distR="114300" simplePos="0" relativeHeight="251658752" behindDoc="1" locked="0" layoutInCell="1" allowOverlap="1">
              <wp:simplePos x="0" y="0"/>
              <wp:positionH relativeFrom="page">
                <wp:align>center</wp:align>
              </wp:positionH>
              <wp:positionV relativeFrom="page">
                <wp:align>center</wp:align>
              </wp:positionV>
              <wp:extent cx="7200265" cy="10332085"/>
              <wp:effectExtent l="0" t="0" r="635"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0332085"/>
                        <a:chOff x="283" y="283"/>
                        <a:chExt cx="11339" cy="16271"/>
                      </a:xfrm>
                    </wpg:grpSpPr>
                    <wps:wsp>
                      <wps:cNvPr id="11" name="Freeform 12"/>
                      <wps:cNvSpPr>
                        <a:spLocks/>
                      </wps:cNvSpPr>
                      <wps:spPr bwMode="auto">
                        <a:xfrm>
                          <a:off x="283" y="283"/>
                          <a:ext cx="11339" cy="16271"/>
                        </a:xfrm>
                        <a:custGeom>
                          <a:avLst/>
                          <a:gdLst>
                            <a:gd name="T0" fmla="+- 0 283 283"/>
                            <a:gd name="T1" fmla="*/ T0 w 11339"/>
                            <a:gd name="T2" fmla="+- 0 16554 283"/>
                            <a:gd name="T3" fmla="*/ 16554 h 16271"/>
                            <a:gd name="T4" fmla="+- 0 11622 283"/>
                            <a:gd name="T5" fmla="*/ T4 w 11339"/>
                            <a:gd name="T6" fmla="+- 0 16554 283"/>
                            <a:gd name="T7" fmla="*/ 16554 h 16271"/>
                            <a:gd name="T8" fmla="+- 0 11622 283"/>
                            <a:gd name="T9" fmla="*/ T8 w 11339"/>
                            <a:gd name="T10" fmla="+- 0 283 283"/>
                            <a:gd name="T11" fmla="*/ 283 h 16271"/>
                            <a:gd name="T12" fmla="+- 0 283 283"/>
                            <a:gd name="T13" fmla="*/ T12 w 11339"/>
                            <a:gd name="T14" fmla="+- 0 283 283"/>
                            <a:gd name="T15" fmla="*/ 283 h 16271"/>
                            <a:gd name="T16" fmla="+- 0 283 283"/>
                            <a:gd name="T17" fmla="*/ T16 w 11339"/>
                            <a:gd name="T18" fmla="+- 0 16554 283"/>
                            <a:gd name="T19" fmla="*/ 16554 h 16271"/>
                          </a:gdLst>
                          <a:ahLst/>
                          <a:cxnLst>
                            <a:cxn ang="0">
                              <a:pos x="T1" y="T3"/>
                            </a:cxn>
                            <a:cxn ang="0">
                              <a:pos x="T5" y="T7"/>
                            </a:cxn>
                            <a:cxn ang="0">
                              <a:pos x="T9" y="T11"/>
                            </a:cxn>
                            <a:cxn ang="0">
                              <a:pos x="T13" y="T15"/>
                            </a:cxn>
                            <a:cxn ang="0">
                              <a:pos x="T17" y="T19"/>
                            </a:cxn>
                          </a:cxnLst>
                          <a:rect l="0" t="0" r="r" b="b"/>
                          <a:pathLst>
                            <a:path w="11339" h="16271">
                              <a:moveTo>
                                <a:pt x="0" y="16271"/>
                              </a:moveTo>
                              <a:lnTo>
                                <a:pt x="11339" y="16271"/>
                              </a:lnTo>
                              <a:lnTo>
                                <a:pt x="11339" y="0"/>
                              </a:lnTo>
                              <a:lnTo>
                                <a:pt x="0" y="0"/>
                              </a:lnTo>
                              <a:lnTo>
                                <a:pt x="0" y="16271"/>
                              </a:lnTo>
                              <a:close/>
                            </a:path>
                          </a:pathLst>
                        </a:custGeom>
                        <a:solidFill>
                          <a:srgbClr val="651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0;margin-top:0;width:566.95pt;height:813.55pt;z-index:-251657216;mso-position-horizontal:center;mso-position-horizontal-relative:page;mso-position-vertical:center;mso-position-vertical-relative:page" coordorigin="283,283" coordsize="11339,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">
              <v:shape id="Freeform 12" o:spid="_x0000_s1027" style="position:absolute;left:283;top:283;width:11339;height:16271;visibility:visible;mso-wrap-style:square;v-text-anchor:top" coordsize="11339,1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74cIA&#10;AADbAAAADwAAAGRycy9kb3ducmV2LnhtbERPTWvCQBC9C/0PyxR6040KtaSuEgoFD/aghtLeht1p&#10;EpKdDburSf69Wyj0No/3Odv9aDtxIx8axwqWiwwEsXam4UpBeXmfv4AIEdlg55gUTBRgv3uYbTE3&#10;buAT3c6xEimEQ44K6hj7XMqga7IYFq4nTtyP8xZjgr6SxuOQwm0nV1n2LC02nBpq7OmtJt2er1bB&#10;8Ln5KMqsGPRaH9tr+z25Lz8p9fQ4Fq8gIo3xX/znPpg0fwm/v6QD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vhwgAAANsAAAAPAAAAAAAAAAAAAAAAAJgCAABkcnMvZG93&#10;bnJldi54bWxQSwUGAAAAAAQABAD1AAAAhwMAAAAA&#10;" path="m,16271r11339,l11339,,,,,16271xe" fillcolor="#651d64" stroked="f">
                <v:path arrowok="t" o:connecttype="custom" o:connectlocs="0,16554;11339,16554;11339,283;0,283;0,16554" o:connectangles="0,0,0,0,0"/>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Default="0099767E">
    <w:pPr>
      <w:pStyle w:val="Header"/>
    </w:pPr>
    <w:r>
      <w:rPr>
        <w:noProof/>
      </w:rPr>
      <mc:AlternateContent>
        <mc:Choice Requires="wpg">
          <w:drawing>
            <wp:anchor distT="0" distB="0" distL="114300" distR="114300" simplePos="0" relativeHeight="251655680" behindDoc="1" locked="0" layoutInCell="1" allowOverlap="1">
              <wp:simplePos x="0" y="0"/>
              <wp:positionH relativeFrom="page">
                <wp:posOffset>180340</wp:posOffset>
              </wp:positionH>
              <wp:positionV relativeFrom="page">
                <wp:posOffset>179705</wp:posOffset>
              </wp:positionV>
              <wp:extent cx="7200265" cy="10332085"/>
              <wp:effectExtent l="0" t="0" r="635" b="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0332085"/>
                        <a:chOff x="283" y="283"/>
                        <a:chExt cx="11339" cy="16271"/>
                      </a:xfrm>
                    </wpg:grpSpPr>
                    <wps:wsp>
                      <wps:cNvPr id="8" name="Freeform 12"/>
                      <wps:cNvSpPr>
                        <a:spLocks/>
                      </wps:cNvSpPr>
                      <wps:spPr bwMode="auto">
                        <a:xfrm>
                          <a:off x="283" y="283"/>
                          <a:ext cx="11339" cy="16271"/>
                        </a:xfrm>
                        <a:custGeom>
                          <a:avLst/>
                          <a:gdLst>
                            <a:gd name="T0" fmla="+- 0 283 283"/>
                            <a:gd name="T1" fmla="*/ T0 w 11339"/>
                            <a:gd name="T2" fmla="+- 0 16554 283"/>
                            <a:gd name="T3" fmla="*/ 16554 h 16271"/>
                            <a:gd name="T4" fmla="+- 0 11622 283"/>
                            <a:gd name="T5" fmla="*/ T4 w 11339"/>
                            <a:gd name="T6" fmla="+- 0 16554 283"/>
                            <a:gd name="T7" fmla="*/ 16554 h 16271"/>
                            <a:gd name="T8" fmla="+- 0 11622 283"/>
                            <a:gd name="T9" fmla="*/ T8 w 11339"/>
                            <a:gd name="T10" fmla="+- 0 283 283"/>
                            <a:gd name="T11" fmla="*/ 283 h 16271"/>
                            <a:gd name="T12" fmla="+- 0 283 283"/>
                            <a:gd name="T13" fmla="*/ T12 w 11339"/>
                            <a:gd name="T14" fmla="+- 0 283 283"/>
                            <a:gd name="T15" fmla="*/ 283 h 16271"/>
                            <a:gd name="T16" fmla="+- 0 283 283"/>
                            <a:gd name="T17" fmla="*/ T16 w 11339"/>
                            <a:gd name="T18" fmla="+- 0 16554 283"/>
                            <a:gd name="T19" fmla="*/ 16554 h 16271"/>
                          </a:gdLst>
                          <a:ahLst/>
                          <a:cxnLst>
                            <a:cxn ang="0">
                              <a:pos x="T1" y="T3"/>
                            </a:cxn>
                            <a:cxn ang="0">
                              <a:pos x="T5" y="T7"/>
                            </a:cxn>
                            <a:cxn ang="0">
                              <a:pos x="T9" y="T11"/>
                            </a:cxn>
                            <a:cxn ang="0">
                              <a:pos x="T13" y="T15"/>
                            </a:cxn>
                            <a:cxn ang="0">
                              <a:pos x="T17" y="T19"/>
                            </a:cxn>
                          </a:cxnLst>
                          <a:rect l="0" t="0" r="r" b="b"/>
                          <a:pathLst>
                            <a:path w="11339" h="16271">
                              <a:moveTo>
                                <a:pt x="0" y="16271"/>
                              </a:moveTo>
                              <a:lnTo>
                                <a:pt x="11339" y="16271"/>
                              </a:lnTo>
                              <a:lnTo>
                                <a:pt x="11339" y="0"/>
                              </a:lnTo>
                              <a:lnTo>
                                <a:pt x="0" y="0"/>
                              </a:lnTo>
                              <a:lnTo>
                                <a:pt x="0" y="16271"/>
                              </a:lnTo>
                              <a:close/>
                            </a:path>
                          </a:pathLst>
                        </a:custGeom>
                        <a:solidFill>
                          <a:srgbClr val="651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4.2pt;margin-top:14.15pt;width:566.95pt;height:813.55pt;z-index:-251660288;mso-position-horizontal-relative:page;mso-position-vertical-relative:page" coordorigin="283,283" coordsize="11339,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">
              <v:shape id="Freeform 12" o:spid="_x0000_s1027" style="position:absolute;left:283;top:283;width:11339;height:16271;visibility:visible;mso-wrap-style:square;v-text-anchor:top" coordsize="11339,1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AmsAA&#10;AADaAAAADwAAAGRycy9kb3ducmV2LnhtbERPz2vCMBS+D/wfwhO8zdQJm1SjFGGww3aYE9HbI3m2&#10;pc1LSaJt//vlIHj8+H5vdoNtxZ18qB0rWMwzEMTamZpLBce/z9cViBCRDbaOScFIAXbbycsGc+N6&#10;/qX7IZYihXDIUUEVY5dLGXRFFsPcdcSJuzpvMSboS2k89inctvIty96lxZpTQ4Ud7SvSzeFmFfSn&#10;j5/imBW9Xurv5tZcRnf2o1Kz6VCsQUQa4lP8cH8ZBWlrupJu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jAmsAAAADaAAAADwAAAAAAAAAAAAAAAACYAgAAZHJzL2Rvd25y&#10;ZXYueG1sUEsFBgAAAAAEAAQA9QAAAIUDAAAAAA==&#10;" path="m,16271r11339,l11339,,,,,16271xe" fillcolor="#651d64" stroked="f">
                <v:path arrowok="t" o:connecttype="custom" o:connectlocs="0,16554;11339,16554;11339,283;0,283;0,16554" o:connectangles="0,0,0,0,0"/>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Default="0099767E">
    <w:pPr>
      <w:pStyle w:val="Header"/>
    </w:pPr>
    <w:r>
      <w:rPr>
        <w:noProof/>
      </w:rPr>
      <mc:AlternateContent>
        <mc:Choice Requires="wpg">
          <w:drawing>
            <wp:anchor distT="0" distB="0" distL="114300" distR="114300" simplePos="0" relativeHeight="251659776" behindDoc="1" locked="0" layoutInCell="1" allowOverlap="1" wp14:anchorId="2DE107A4" wp14:editId="2CEEEE74">
              <wp:simplePos x="0" y="0"/>
              <wp:positionH relativeFrom="page">
                <wp:align>center</wp:align>
              </wp:positionH>
              <wp:positionV relativeFrom="page">
                <wp:align>center</wp:align>
              </wp:positionV>
              <wp:extent cx="7200265" cy="10332085"/>
              <wp:effectExtent l="0" t="0" r="635" b="0"/>
              <wp:wrapNone/>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0332085"/>
                        <a:chOff x="283" y="283"/>
                        <a:chExt cx="11339" cy="16271"/>
                      </a:xfrm>
                    </wpg:grpSpPr>
                    <wps:wsp>
                      <wps:cNvPr id="17" name="Freeform 12"/>
                      <wps:cNvSpPr>
                        <a:spLocks/>
                      </wps:cNvSpPr>
                      <wps:spPr bwMode="auto">
                        <a:xfrm>
                          <a:off x="283" y="283"/>
                          <a:ext cx="11339" cy="16271"/>
                        </a:xfrm>
                        <a:custGeom>
                          <a:avLst/>
                          <a:gdLst>
                            <a:gd name="T0" fmla="+- 0 283 283"/>
                            <a:gd name="T1" fmla="*/ T0 w 11339"/>
                            <a:gd name="T2" fmla="+- 0 16554 283"/>
                            <a:gd name="T3" fmla="*/ 16554 h 16271"/>
                            <a:gd name="T4" fmla="+- 0 11622 283"/>
                            <a:gd name="T5" fmla="*/ T4 w 11339"/>
                            <a:gd name="T6" fmla="+- 0 16554 283"/>
                            <a:gd name="T7" fmla="*/ 16554 h 16271"/>
                            <a:gd name="T8" fmla="+- 0 11622 283"/>
                            <a:gd name="T9" fmla="*/ T8 w 11339"/>
                            <a:gd name="T10" fmla="+- 0 283 283"/>
                            <a:gd name="T11" fmla="*/ 283 h 16271"/>
                            <a:gd name="T12" fmla="+- 0 283 283"/>
                            <a:gd name="T13" fmla="*/ T12 w 11339"/>
                            <a:gd name="T14" fmla="+- 0 283 283"/>
                            <a:gd name="T15" fmla="*/ 283 h 16271"/>
                            <a:gd name="T16" fmla="+- 0 283 283"/>
                            <a:gd name="T17" fmla="*/ T16 w 11339"/>
                            <a:gd name="T18" fmla="+- 0 16554 283"/>
                            <a:gd name="T19" fmla="*/ 16554 h 16271"/>
                          </a:gdLst>
                          <a:ahLst/>
                          <a:cxnLst>
                            <a:cxn ang="0">
                              <a:pos x="T1" y="T3"/>
                            </a:cxn>
                            <a:cxn ang="0">
                              <a:pos x="T5" y="T7"/>
                            </a:cxn>
                            <a:cxn ang="0">
                              <a:pos x="T9" y="T11"/>
                            </a:cxn>
                            <a:cxn ang="0">
                              <a:pos x="T13" y="T15"/>
                            </a:cxn>
                            <a:cxn ang="0">
                              <a:pos x="T17" y="T19"/>
                            </a:cxn>
                          </a:cxnLst>
                          <a:rect l="0" t="0" r="r" b="b"/>
                          <a:pathLst>
                            <a:path w="11339" h="16271">
                              <a:moveTo>
                                <a:pt x="0" y="16271"/>
                              </a:moveTo>
                              <a:lnTo>
                                <a:pt x="11339" y="16271"/>
                              </a:lnTo>
                              <a:lnTo>
                                <a:pt x="11339" y="0"/>
                              </a:lnTo>
                              <a:lnTo>
                                <a:pt x="0" y="0"/>
                              </a:lnTo>
                              <a:lnTo>
                                <a:pt x="0" y="16271"/>
                              </a:lnTo>
                              <a:close/>
                            </a:path>
                          </a:pathLst>
                        </a:custGeom>
                        <a:solidFill>
                          <a:srgbClr val="651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0;margin-top:0;width:566.95pt;height:813.55pt;z-index:-251656192;mso-position-horizontal:center;mso-position-horizontal-relative:page;mso-position-vertical:center;mso-position-vertical-relative:page" coordorigin="283,283" coordsize="11339,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">
              <v:shape id="Freeform 12" o:spid="_x0000_s1027" style="position:absolute;left:283;top:283;width:11339;height:16271;visibility:visible;mso-wrap-style:square;v-text-anchor:top" coordsize="11339,1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bGDsIA&#10;AADbAAAADwAAAGRycy9kb3ducmV2LnhtbERPS2vCQBC+F/oflil4q5tW0JK6SigUPOjBB6W9DbvT&#10;JCQ7G3ZXk/x7VxC8zcf3nOV6sK24kA+1YwVv0wwEsXam5lLB6fj9+gEiRGSDrWNSMFKA9er5aYm5&#10;cT3v6XKIpUghHHJUUMXY5VIGXZHFMHUdceL+nbcYE/SlNB77FG5b+Z5lc2mx5tRQYUdfFenmcLYK&#10;+p/FrjhlRa9netucm7/R/fpRqcnLUHyCiDTEh/ju3pg0fwG3X9IBc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sYOwgAAANsAAAAPAAAAAAAAAAAAAAAAAJgCAABkcnMvZG93&#10;bnJldi54bWxQSwUGAAAAAAQABAD1AAAAhwMAAAAA&#10;" path="m,16271r11339,l11339,,,,,16271xe" fillcolor="#651d64" stroked="f">
                <v:path arrowok="t" o:connecttype="custom" o:connectlocs="0,16554;11339,16554;11339,283;0,283;0,16554" o:connectangles="0,0,0,0,0"/>
              </v:shape>
              <w10:wrap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Pr="00A77D2E" w:rsidRDefault="0099767E" w:rsidP="00316615">
    <w:pPr>
      <w:pStyle w:val="Heading1"/>
      <w:spacing w:before="0"/>
      <w:rPr>
        <w:sz w:val="44"/>
        <w:szCs w:val="44"/>
      </w:rPr>
    </w:pPr>
    <w:r w:rsidRPr="00A77D2E">
      <w:rPr>
        <w:sz w:val="44"/>
        <w:szCs w:val="44"/>
      </w:rPr>
      <w:t>IP Australia’s submission to the Issues Paper</w:t>
    </w:r>
  </w:p>
  <w:p w:rsidR="0099767E" w:rsidRPr="00A77D2E" w:rsidRDefault="0099767E">
    <w:pPr>
      <w:pStyle w:val="Header"/>
      <w:rPr>
        <w:b/>
        <w:bCs/>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Default="0099767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7E" w:rsidRDefault="0099767E">
    <w:pPr>
      <w:pStyle w:val="Header"/>
    </w:pPr>
    <w:r>
      <w:rPr>
        <w:noProof/>
      </w:rPr>
      <mc:AlternateContent>
        <mc:Choice Requires="wpg">
          <w:drawing>
            <wp:anchor distT="0" distB="0" distL="114300" distR="114300" simplePos="0" relativeHeight="251656704" behindDoc="1" locked="0" layoutInCell="0" allowOverlap="1">
              <wp:simplePos x="0" y="0"/>
              <wp:positionH relativeFrom="page">
                <wp:posOffset>180340</wp:posOffset>
              </wp:positionH>
              <wp:positionV relativeFrom="page">
                <wp:posOffset>180340</wp:posOffset>
              </wp:positionV>
              <wp:extent cx="7200265" cy="10332085"/>
              <wp:effectExtent l="0" t="0" r="63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0332085"/>
                        <a:chOff x="283" y="283"/>
                        <a:chExt cx="11339" cy="16271"/>
                      </a:xfrm>
                    </wpg:grpSpPr>
                    <wps:wsp>
                      <wps:cNvPr id="4" name="Freeform 12"/>
                      <wps:cNvSpPr>
                        <a:spLocks/>
                      </wps:cNvSpPr>
                      <wps:spPr bwMode="auto">
                        <a:xfrm>
                          <a:off x="283" y="283"/>
                          <a:ext cx="11339" cy="16271"/>
                        </a:xfrm>
                        <a:custGeom>
                          <a:avLst/>
                          <a:gdLst>
                            <a:gd name="T0" fmla="+- 0 283 283"/>
                            <a:gd name="T1" fmla="*/ T0 w 11339"/>
                            <a:gd name="T2" fmla="+- 0 16554 283"/>
                            <a:gd name="T3" fmla="*/ 16554 h 16271"/>
                            <a:gd name="T4" fmla="+- 0 11622 283"/>
                            <a:gd name="T5" fmla="*/ T4 w 11339"/>
                            <a:gd name="T6" fmla="+- 0 16554 283"/>
                            <a:gd name="T7" fmla="*/ 16554 h 16271"/>
                            <a:gd name="T8" fmla="+- 0 11622 283"/>
                            <a:gd name="T9" fmla="*/ T8 w 11339"/>
                            <a:gd name="T10" fmla="+- 0 283 283"/>
                            <a:gd name="T11" fmla="*/ 283 h 16271"/>
                            <a:gd name="T12" fmla="+- 0 283 283"/>
                            <a:gd name="T13" fmla="*/ T12 w 11339"/>
                            <a:gd name="T14" fmla="+- 0 283 283"/>
                            <a:gd name="T15" fmla="*/ 283 h 16271"/>
                            <a:gd name="T16" fmla="+- 0 283 283"/>
                            <a:gd name="T17" fmla="*/ T16 w 11339"/>
                            <a:gd name="T18" fmla="+- 0 16554 283"/>
                            <a:gd name="T19" fmla="*/ 16554 h 16271"/>
                          </a:gdLst>
                          <a:ahLst/>
                          <a:cxnLst>
                            <a:cxn ang="0">
                              <a:pos x="T1" y="T3"/>
                            </a:cxn>
                            <a:cxn ang="0">
                              <a:pos x="T5" y="T7"/>
                            </a:cxn>
                            <a:cxn ang="0">
                              <a:pos x="T9" y="T11"/>
                            </a:cxn>
                            <a:cxn ang="0">
                              <a:pos x="T13" y="T15"/>
                            </a:cxn>
                            <a:cxn ang="0">
                              <a:pos x="T17" y="T19"/>
                            </a:cxn>
                          </a:cxnLst>
                          <a:rect l="0" t="0" r="r" b="b"/>
                          <a:pathLst>
                            <a:path w="11339" h="16271">
                              <a:moveTo>
                                <a:pt x="0" y="16271"/>
                              </a:moveTo>
                              <a:lnTo>
                                <a:pt x="11339" y="16271"/>
                              </a:lnTo>
                              <a:lnTo>
                                <a:pt x="11339" y="0"/>
                              </a:lnTo>
                              <a:lnTo>
                                <a:pt x="0" y="0"/>
                              </a:lnTo>
                              <a:lnTo>
                                <a:pt x="0" y="16271"/>
                              </a:lnTo>
                              <a:close/>
                            </a:path>
                          </a:pathLst>
                        </a:custGeom>
                        <a:solidFill>
                          <a:srgbClr val="651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4.2pt;margin-top:14.2pt;width:566.95pt;height:813.55pt;z-index:-251659264;mso-position-horizontal-relative:page;mso-position-vertical-relative:page" coordorigin="283,283" coordsize="11339,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" o:allowincell="f">
              <v:shape id="Freeform 12" o:spid="_x0000_s1027" style="position:absolute;left:283;top:283;width:11339;height:16271;visibility:visible;mso-wrap-style:square;v-text-anchor:top" coordsize="11339,1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Kn8QA&#10;AADaAAAADwAAAGRycy9kb3ducmV2LnhtbESPQWvCQBSE7wX/w/IEb3VjLW2JrhKEggc91Eppb4/d&#10;ZxKSfRt2V5P8e7dQ6HGYmW+Y9XawrbiRD7VjBYt5BoJYO1NzqeD8+f74BiJEZIOtY1IwUoDtZvKw&#10;xty4nj/odoqlSBAOOSqoYuxyKYOuyGKYu444eRfnLcYkfSmNxz7BbSufsuxFWqw5LVTY0a4i3Zyu&#10;VkH/9XoszlnR66U+NNfmZ3TfflRqNh2KFYhIQ/wP/7X3RsEz/F5JN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1yp/EAAAA2gAAAA8AAAAAAAAAAAAAAAAAmAIAAGRycy9k&#10;b3ducmV2LnhtbFBLBQYAAAAABAAEAPUAAACJAwAAAAA=&#10;" path="m,16271r11339,l11339,,,,,16271xe" fillcolor="#651d64" stroked="f">
                <v:path arrowok="t" o:connecttype="custom" o:connectlocs="0,16554;11339,16554;11339,283;0,283;0,16554" o:connectangles="0,0,0,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001B"/>
    <w:multiLevelType w:val="hybridMultilevel"/>
    <w:tmpl w:val="6ABAB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FA00F9"/>
    <w:multiLevelType w:val="hybridMultilevel"/>
    <w:tmpl w:val="0226BFBE"/>
    <w:lvl w:ilvl="0" w:tplc="5AEEECFE">
      <w:start w:val="1"/>
      <w:numFmt w:val="upperLetter"/>
      <w:lvlText w:val="18%1"/>
      <w:lvlJc w:val="right"/>
      <w:pPr>
        <w:ind w:left="1222" w:hanging="360"/>
      </w:pPr>
      <w:rPr>
        <w:rFonts w:hint="default"/>
        <w:b/>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2">
    <w:nsid w:val="1719579E"/>
    <w:multiLevelType w:val="hybridMultilevel"/>
    <w:tmpl w:val="4BCA0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78B67DE"/>
    <w:multiLevelType w:val="hybridMultilevel"/>
    <w:tmpl w:val="E084CF5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nsid w:val="19ED54F3"/>
    <w:multiLevelType w:val="hybridMultilevel"/>
    <w:tmpl w:val="6BBA3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BC0E56"/>
    <w:multiLevelType w:val="hybridMultilevel"/>
    <w:tmpl w:val="8DC07D50"/>
    <w:lvl w:ilvl="0" w:tplc="CE284E44">
      <w:start w:val="1"/>
      <w:numFmt w:val="upperLetter"/>
      <w:lvlText w:val="19%1"/>
      <w:lvlJc w:val="left"/>
      <w:pPr>
        <w:ind w:left="927" w:hanging="360"/>
      </w:pPr>
      <w:rPr>
        <w:rFonts w:hint="default"/>
        <w:b/>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6">
    <w:nsid w:val="1E6B2FD0"/>
    <w:multiLevelType w:val="hybridMultilevel"/>
    <w:tmpl w:val="1688D6A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7">
    <w:nsid w:val="1E833027"/>
    <w:multiLevelType w:val="hybridMultilevel"/>
    <w:tmpl w:val="F02C8A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nsid w:val="1EB544E2"/>
    <w:multiLevelType w:val="hybridMultilevel"/>
    <w:tmpl w:val="F6CA39CE"/>
    <w:lvl w:ilvl="0" w:tplc="0C09000F">
      <w:start w:val="1"/>
      <w:numFmt w:val="decimal"/>
      <w:lvlText w:val="%1."/>
      <w:lvlJc w:val="left"/>
      <w:pPr>
        <w:ind w:left="502"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AE5A9A"/>
    <w:multiLevelType w:val="hybridMultilevel"/>
    <w:tmpl w:val="41CA74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100A00"/>
    <w:multiLevelType w:val="hybridMultilevel"/>
    <w:tmpl w:val="93A829A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nsid w:val="252A77B3"/>
    <w:multiLevelType w:val="hybridMultilevel"/>
    <w:tmpl w:val="D4B487B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281C718F"/>
    <w:multiLevelType w:val="hybridMultilevel"/>
    <w:tmpl w:val="9D1A76E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2B64445E"/>
    <w:multiLevelType w:val="hybridMultilevel"/>
    <w:tmpl w:val="1480BE3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nsid w:val="32761F48"/>
    <w:multiLevelType w:val="hybridMultilevel"/>
    <w:tmpl w:val="647C8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D330BB7"/>
    <w:multiLevelType w:val="hybridMultilevel"/>
    <w:tmpl w:val="BE928890"/>
    <w:lvl w:ilvl="0" w:tplc="6784AA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31405C5"/>
    <w:multiLevelType w:val="hybridMultilevel"/>
    <w:tmpl w:val="1EA299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5D19AB"/>
    <w:multiLevelType w:val="hybridMultilevel"/>
    <w:tmpl w:val="E99C96F4"/>
    <w:lvl w:ilvl="0" w:tplc="0C090001">
      <w:start w:val="1"/>
      <w:numFmt w:val="bullet"/>
      <w:lvlText w:val=""/>
      <w:lvlJc w:val="left"/>
      <w:pPr>
        <w:ind w:left="1386" w:hanging="360"/>
      </w:pPr>
      <w:rPr>
        <w:rFonts w:ascii="Symbol" w:hAnsi="Symbol" w:hint="default"/>
      </w:rPr>
    </w:lvl>
    <w:lvl w:ilvl="1" w:tplc="0C090003" w:tentative="1">
      <w:start w:val="1"/>
      <w:numFmt w:val="bullet"/>
      <w:lvlText w:val="o"/>
      <w:lvlJc w:val="left"/>
      <w:pPr>
        <w:ind w:left="2106" w:hanging="360"/>
      </w:pPr>
      <w:rPr>
        <w:rFonts w:ascii="Courier New" w:hAnsi="Courier New" w:cs="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cs="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cs="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18">
    <w:nsid w:val="4772223A"/>
    <w:multiLevelType w:val="hybridMultilevel"/>
    <w:tmpl w:val="6F188D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ABF4664"/>
    <w:multiLevelType w:val="hybridMultilevel"/>
    <w:tmpl w:val="741E20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D283C08"/>
    <w:multiLevelType w:val="hybridMultilevel"/>
    <w:tmpl w:val="67EE6AB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3A2C95"/>
    <w:multiLevelType w:val="hybridMultilevel"/>
    <w:tmpl w:val="1BEC95CE"/>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2">
    <w:nsid w:val="52F36C8B"/>
    <w:multiLevelType w:val="hybridMultilevel"/>
    <w:tmpl w:val="9AA67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553912"/>
    <w:multiLevelType w:val="hybridMultilevel"/>
    <w:tmpl w:val="729058B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nsid w:val="569C6490"/>
    <w:multiLevelType w:val="hybridMultilevel"/>
    <w:tmpl w:val="819E1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E4831A7"/>
    <w:multiLevelType w:val="hybridMultilevel"/>
    <w:tmpl w:val="4614044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nsid w:val="64FE317C"/>
    <w:multiLevelType w:val="hybridMultilevel"/>
    <w:tmpl w:val="62E677BA"/>
    <w:lvl w:ilvl="0" w:tplc="8C4E0D64">
      <w:start w:val="1"/>
      <w:numFmt w:val="bullet"/>
      <w:lvlText w:val=""/>
      <w:lvlJc w:val="left"/>
      <w:pPr>
        <w:ind w:left="1823" w:hanging="360"/>
      </w:pPr>
      <w:rPr>
        <w:rFonts w:ascii="Symbol" w:hAnsi="Symbol" w:hint="default"/>
      </w:rPr>
    </w:lvl>
    <w:lvl w:ilvl="1" w:tplc="8C4E0D64">
      <w:start w:val="1"/>
      <w:numFmt w:val="bullet"/>
      <w:lvlText w:val=""/>
      <w:lvlJc w:val="left"/>
      <w:pPr>
        <w:ind w:left="2543" w:hanging="360"/>
      </w:pPr>
      <w:rPr>
        <w:rFonts w:ascii="Symbol" w:hAnsi="Symbol" w:hint="default"/>
      </w:rPr>
    </w:lvl>
    <w:lvl w:ilvl="2" w:tplc="0C090005" w:tentative="1">
      <w:start w:val="1"/>
      <w:numFmt w:val="bullet"/>
      <w:lvlText w:val=""/>
      <w:lvlJc w:val="left"/>
      <w:pPr>
        <w:ind w:left="3263" w:hanging="360"/>
      </w:pPr>
      <w:rPr>
        <w:rFonts w:ascii="Wingdings" w:hAnsi="Wingdings" w:hint="default"/>
      </w:rPr>
    </w:lvl>
    <w:lvl w:ilvl="3" w:tplc="0C090001" w:tentative="1">
      <w:start w:val="1"/>
      <w:numFmt w:val="bullet"/>
      <w:lvlText w:val=""/>
      <w:lvlJc w:val="left"/>
      <w:pPr>
        <w:ind w:left="3983" w:hanging="360"/>
      </w:pPr>
      <w:rPr>
        <w:rFonts w:ascii="Symbol" w:hAnsi="Symbol" w:hint="default"/>
      </w:rPr>
    </w:lvl>
    <w:lvl w:ilvl="4" w:tplc="0C090003" w:tentative="1">
      <w:start w:val="1"/>
      <w:numFmt w:val="bullet"/>
      <w:lvlText w:val="o"/>
      <w:lvlJc w:val="left"/>
      <w:pPr>
        <w:ind w:left="4703" w:hanging="360"/>
      </w:pPr>
      <w:rPr>
        <w:rFonts w:ascii="Courier New" w:hAnsi="Courier New" w:cs="Courier New" w:hint="default"/>
      </w:rPr>
    </w:lvl>
    <w:lvl w:ilvl="5" w:tplc="0C090005" w:tentative="1">
      <w:start w:val="1"/>
      <w:numFmt w:val="bullet"/>
      <w:lvlText w:val=""/>
      <w:lvlJc w:val="left"/>
      <w:pPr>
        <w:ind w:left="5423" w:hanging="360"/>
      </w:pPr>
      <w:rPr>
        <w:rFonts w:ascii="Wingdings" w:hAnsi="Wingdings" w:hint="default"/>
      </w:rPr>
    </w:lvl>
    <w:lvl w:ilvl="6" w:tplc="0C090001" w:tentative="1">
      <w:start w:val="1"/>
      <w:numFmt w:val="bullet"/>
      <w:lvlText w:val=""/>
      <w:lvlJc w:val="left"/>
      <w:pPr>
        <w:ind w:left="6143" w:hanging="360"/>
      </w:pPr>
      <w:rPr>
        <w:rFonts w:ascii="Symbol" w:hAnsi="Symbol" w:hint="default"/>
      </w:rPr>
    </w:lvl>
    <w:lvl w:ilvl="7" w:tplc="0C090003" w:tentative="1">
      <w:start w:val="1"/>
      <w:numFmt w:val="bullet"/>
      <w:lvlText w:val="o"/>
      <w:lvlJc w:val="left"/>
      <w:pPr>
        <w:ind w:left="6863" w:hanging="360"/>
      </w:pPr>
      <w:rPr>
        <w:rFonts w:ascii="Courier New" w:hAnsi="Courier New" w:cs="Courier New" w:hint="default"/>
      </w:rPr>
    </w:lvl>
    <w:lvl w:ilvl="8" w:tplc="0C090005" w:tentative="1">
      <w:start w:val="1"/>
      <w:numFmt w:val="bullet"/>
      <w:lvlText w:val=""/>
      <w:lvlJc w:val="left"/>
      <w:pPr>
        <w:ind w:left="7583" w:hanging="360"/>
      </w:pPr>
      <w:rPr>
        <w:rFonts w:ascii="Wingdings" w:hAnsi="Wingdings" w:hint="default"/>
      </w:rPr>
    </w:lvl>
  </w:abstractNum>
  <w:abstractNum w:abstractNumId="27">
    <w:nsid w:val="69AF3DE6"/>
    <w:multiLevelType w:val="hybridMultilevel"/>
    <w:tmpl w:val="D5722CC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nsid w:val="7C977BD5"/>
    <w:multiLevelType w:val="hybridMultilevel"/>
    <w:tmpl w:val="EB0A7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9"/>
  </w:num>
  <w:num w:numId="4">
    <w:abstractNumId w:val="14"/>
  </w:num>
  <w:num w:numId="5">
    <w:abstractNumId w:val="2"/>
  </w:num>
  <w:num w:numId="6">
    <w:abstractNumId w:val="8"/>
  </w:num>
  <w:num w:numId="7">
    <w:abstractNumId w:val="9"/>
  </w:num>
  <w:num w:numId="8">
    <w:abstractNumId w:val="1"/>
  </w:num>
  <w:num w:numId="9">
    <w:abstractNumId w:val="27"/>
  </w:num>
  <w:num w:numId="10">
    <w:abstractNumId w:val="5"/>
  </w:num>
  <w:num w:numId="11">
    <w:abstractNumId w:val="16"/>
  </w:num>
  <w:num w:numId="12">
    <w:abstractNumId w:val="18"/>
  </w:num>
  <w:num w:numId="13">
    <w:abstractNumId w:val="20"/>
  </w:num>
  <w:num w:numId="14">
    <w:abstractNumId w:val="26"/>
  </w:num>
  <w:num w:numId="15">
    <w:abstractNumId w:val="28"/>
  </w:num>
  <w:num w:numId="16">
    <w:abstractNumId w:val="24"/>
  </w:num>
  <w:num w:numId="17">
    <w:abstractNumId w:val="7"/>
  </w:num>
  <w:num w:numId="18">
    <w:abstractNumId w:val="10"/>
  </w:num>
  <w:num w:numId="19">
    <w:abstractNumId w:val="25"/>
  </w:num>
  <w:num w:numId="20">
    <w:abstractNumId w:val="3"/>
  </w:num>
  <w:num w:numId="21">
    <w:abstractNumId w:val="17"/>
  </w:num>
  <w:num w:numId="22">
    <w:abstractNumId w:val="6"/>
  </w:num>
  <w:num w:numId="23">
    <w:abstractNumId w:val="21"/>
  </w:num>
  <w:num w:numId="24">
    <w:abstractNumId w:val="0"/>
  </w:num>
  <w:num w:numId="25">
    <w:abstractNumId w:val="12"/>
  </w:num>
  <w:num w:numId="26">
    <w:abstractNumId w:val="11"/>
  </w:num>
  <w:num w:numId="27">
    <w:abstractNumId w:val="23"/>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IPAustraliatabletemplate"/>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3F"/>
    <w:rsid w:val="00005A47"/>
    <w:rsid w:val="00035D44"/>
    <w:rsid w:val="0005164E"/>
    <w:rsid w:val="00053EF2"/>
    <w:rsid w:val="00065CAE"/>
    <w:rsid w:val="0007103C"/>
    <w:rsid w:val="000819F6"/>
    <w:rsid w:val="00092E12"/>
    <w:rsid w:val="00096DB9"/>
    <w:rsid w:val="000A0870"/>
    <w:rsid w:val="000C0ABF"/>
    <w:rsid w:val="000D051C"/>
    <w:rsid w:val="000D7DD0"/>
    <w:rsid w:val="000E309A"/>
    <w:rsid w:val="000F07A8"/>
    <w:rsid w:val="000F2E0A"/>
    <w:rsid w:val="000F4E22"/>
    <w:rsid w:val="001002D6"/>
    <w:rsid w:val="00121E82"/>
    <w:rsid w:val="0012754D"/>
    <w:rsid w:val="00135456"/>
    <w:rsid w:val="0016032D"/>
    <w:rsid w:val="00165808"/>
    <w:rsid w:val="00181BF4"/>
    <w:rsid w:val="001829AC"/>
    <w:rsid w:val="00183CB2"/>
    <w:rsid w:val="00184E3C"/>
    <w:rsid w:val="00192C9B"/>
    <w:rsid w:val="001B3FBE"/>
    <w:rsid w:val="001B7B45"/>
    <w:rsid w:val="001C4799"/>
    <w:rsid w:val="001C6CD4"/>
    <w:rsid w:val="001D1478"/>
    <w:rsid w:val="001D157B"/>
    <w:rsid w:val="001D52B6"/>
    <w:rsid w:val="001F270A"/>
    <w:rsid w:val="001F451E"/>
    <w:rsid w:val="001F4EB1"/>
    <w:rsid w:val="002011CA"/>
    <w:rsid w:val="002015C2"/>
    <w:rsid w:val="0023298B"/>
    <w:rsid w:val="00246326"/>
    <w:rsid w:val="0025048D"/>
    <w:rsid w:val="002557FC"/>
    <w:rsid w:val="00256E9A"/>
    <w:rsid w:val="002620DF"/>
    <w:rsid w:val="00267EED"/>
    <w:rsid w:val="00277BA9"/>
    <w:rsid w:val="00290BF5"/>
    <w:rsid w:val="002A11A8"/>
    <w:rsid w:val="002B48D7"/>
    <w:rsid w:val="002D5A99"/>
    <w:rsid w:val="002F3618"/>
    <w:rsid w:val="0030037F"/>
    <w:rsid w:val="00305010"/>
    <w:rsid w:val="00316615"/>
    <w:rsid w:val="00340091"/>
    <w:rsid w:val="0034416B"/>
    <w:rsid w:val="003622B2"/>
    <w:rsid w:val="003652ED"/>
    <w:rsid w:val="00381767"/>
    <w:rsid w:val="003938DD"/>
    <w:rsid w:val="003A299F"/>
    <w:rsid w:val="003A5623"/>
    <w:rsid w:val="003B03EF"/>
    <w:rsid w:val="003B231F"/>
    <w:rsid w:val="003C0952"/>
    <w:rsid w:val="003C7F47"/>
    <w:rsid w:val="003D71DD"/>
    <w:rsid w:val="003D79E2"/>
    <w:rsid w:val="003E6FB5"/>
    <w:rsid w:val="00406AC8"/>
    <w:rsid w:val="00410AB4"/>
    <w:rsid w:val="0041392D"/>
    <w:rsid w:val="00413EA4"/>
    <w:rsid w:val="00434B41"/>
    <w:rsid w:val="00437BF3"/>
    <w:rsid w:val="00440514"/>
    <w:rsid w:val="00447FB4"/>
    <w:rsid w:val="00451777"/>
    <w:rsid w:val="004520D3"/>
    <w:rsid w:val="00454855"/>
    <w:rsid w:val="004605AA"/>
    <w:rsid w:val="00462249"/>
    <w:rsid w:val="00464B8B"/>
    <w:rsid w:val="00467CC9"/>
    <w:rsid w:val="00473BDB"/>
    <w:rsid w:val="00481EB7"/>
    <w:rsid w:val="004B7128"/>
    <w:rsid w:val="004C54CE"/>
    <w:rsid w:val="004C7629"/>
    <w:rsid w:val="004D0940"/>
    <w:rsid w:val="004D10D0"/>
    <w:rsid w:val="004F023F"/>
    <w:rsid w:val="004F6601"/>
    <w:rsid w:val="004F7138"/>
    <w:rsid w:val="0051203A"/>
    <w:rsid w:val="00514D6F"/>
    <w:rsid w:val="00524971"/>
    <w:rsid w:val="0052532E"/>
    <w:rsid w:val="00525673"/>
    <w:rsid w:val="00534733"/>
    <w:rsid w:val="00543082"/>
    <w:rsid w:val="00556937"/>
    <w:rsid w:val="0055778A"/>
    <w:rsid w:val="00562D3F"/>
    <w:rsid w:val="00566EEA"/>
    <w:rsid w:val="005823CA"/>
    <w:rsid w:val="00584353"/>
    <w:rsid w:val="005911E3"/>
    <w:rsid w:val="005A6249"/>
    <w:rsid w:val="005B4086"/>
    <w:rsid w:val="005C1360"/>
    <w:rsid w:val="005C3696"/>
    <w:rsid w:val="005D0B16"/>
    <w:rsid w:val="005E0254"/>
    <w:rsid w:val="005E32A7"/>
    <w:rsid w:val="005F1E88"/>
    <w:rsid w:val="00607B00"/>
    <w:rsid w:val="00613E88"/>
    <w:rsid w:val="00614F96"/>
    <w:rsid w:val="0062465F"/>
    <w:rsid w:val="006248D8"/>
    <w:rsid w:val="00625B8D"/>
    <w:rsid w:val="006375B3"/>
    <w:rsid w:val="00645274"/>
    <w:rsid w:val="00671828"/>
    <w:rsid w:val="006728E8"/>
    <w:rsid w:val="00674FDA"/>
    <w:rsid w:val="006915B6"/>
    <w:rsid w:val="006931FA"/>
    <w:rsid w:val="006A181A"/>
    <w:rsid w:val="006A45C8"/>
    <w:rsid w:val="006B1128"/>
    <w:rsid w:val="006C131F"/>
    <w:rsid w:val="006C3E2B"/>
    <w:rsid w:val="006C5328"/>
    <w:rsid w:val="006C5FB2"/>
    <w:rsid w:val="006D2049"/>
    <w:rsid w:val="006E2B53"/>
    <w:rsid w:val="006E526B"/>
    <w:rsid w:val="006F385A"/>
    <w:rsid w:val="006F657C"/>
    <w:rsid w:val="00707954"/>
    <w:rsid w:val="00713429"/>
    <w:rsid w:val="00713681"/>
    <w:rsid w:val="007155D9"/>
    <w:rsid w:val="00715676"/>
    <w:rsid w:val="00724F21"/>
    <w:rsid w:val="00732356"/>
    <w:rsid w:val="007342E6"/>
    <w:rsid w:val="00734C53"/>
    <w:rsid w:val="00735543"/>
    <w:rsid w:val="0074009B"/>
    <w:rsid w:val="0074388F"/>
    <w:rsid w:val="007645C3"/>
    <w:rsid w:val="00773972"/>
    <w:rsid w:val="007740D7"/>
    <w:rsid w:val="00776C89"/>
    <w:rsid w:val="0078077E"/>
    <w:rsid w:val="00781496"/>
    <w:rsid w:val="0078303B"/>
    <w:rsid w:val="007849B6"/>
    <w:rsid w:val="007A2220"/>
    <w:rsid w:val="007B0F60"/>
    <w:rsid w:val="007C1961"/>
    <w:rsid w:val="007C6027"/>
    <w:rsid w:val="007D7AAE"/>
    <w:rsid w:val="007E5F23"/>
    <w:rsid w:val="0081409B"/>
    <w:rsid w:val="0081429B"/>
    <w:rsid w:val="00827CE5"/>
    <w:rsid w:val="00850797"/>
    <w:rsid w:val="008624CD"/>
    <w:rsid w:val="008671EA"/>
    <w:rsid w:val="00870D5E"/>
    <w:rsid w:val="0088313C"/>
    <w:rsid w:val="00885731"/>
    <w:rsid w:val="008A626C"/>
    <w:rsid w:val="008B0599"/>
    <w:rsid w:val="008B7E89"/>
    <w:rsid w:val="008C2386"/>
    <w:rsid w:val="008D2192"/>
    <w:rsid w:val="008E1CE0"/>
    <w:rsid w:val="008F7017"/>
    <w:rsid w:val="008F7166"/>
    <w:rsid w:val="00902C06"/>
    <w:rsid w:val="00911C76"/>
    <w:rsid w:val="00920ACF"/>
    <w:rsid w:val="009329A0"/>
    <w:rsid w:val="009508F7"/>
    <w:rsid w:val="00962300"/>
    <w:rsid w:val="00963161"/>
    <w:rsid w:val="00970048"/>
    <w:rsid w:val="00980D1D"/>
    <w:rsid w:val="00984E24"/>
    <w:rsid w:val="009952EE"/>
    <w:rsid w:val="0099767E"/>
    <w:rsid w:val="009A2BD1"/>
    <w:rsid w:val="009A718E"/>
    <w:rsid w:val="009B23CA"/>
    <w:rsid w:val="009B2572"/>
    <w:rsid w:val="009B7891"/>
    <w:rsid w:val="009D2511"/>
    <w:rsid w:val="009D4842"/>
    <w:rsid w:val="009E7BC6"/>
    <w:rsid w:val="009F2DA5"/>
    <w:rsid w:val="00A25CF2"/>
    <w:rsid w:val="00A34832"/>
    <w:rsid w:val="00A360D7"/>
    <w:rsid w:val="00A37A64"/>
    <w:rsid w:val="00A37B36"/>
    <w:rsid w:val="00A427CD"/>
    <w:rsid w:val="00A45115"/>
    <w:rsid w:val="00A54DC7"/>
    <w:rsid w:val="00A6000A"/>
    <w:rsid w:val="00A60367"/>
    <w:rsid w:val="00A77D2E"/>
    <w:rsid w:val="00A85F4C"/>
    <w:rsid w:val="00A86641"/>
    <w:rsid w:val="00A87101"/>
    <w:rsid w:val="00A95F92"/>
    <w:rsid w:val="00AA0D6E"/>
    <w:rsid w:val="00AA16E9"/>
    <w:rsid w:val="00AA27AF"/>
    <w:rsid w:val="00AA3F48"/>
    <w:rsid w:val="00AB36FA"/>
    <w:rsid w:val="00AC08AF"/>
    <w:rsid w:val="00AC1598"/>
    <w:rsid w:val="00AD262D"/>
    <w:rsid w:val="00AD3A0D"/>
    <w:rsid w:val="00AD76E4"/>
    <w:rsid w:val="00AE3EA3"/>
    <w:rsid w:val="00AF6BBB"/>
    <w:rsid w:val="00AF72A5"/>
    <w:rsid w:val="00B0684D"/>
    <w:rsid w:val="00B14A3A"/>
    <w:rsid w:val="00B27F60"/>
    <w:rsid w:val="00B35B43"/>
    <w:rsid w:val="00B435A2"/>
    <w:rsid w:val="00B51355"/>
    <w:rsid w:val="00B54014"/>
    <w:rsid w:val="00B77A57"/>
    <w:rsid w:val="00B82E5D"/>
    <w:rsid w:val="00B9465B"/>
    <w:rsid w:val="00B96CFB"/>
    <w:rsid w:val="00BA6192"/>
    <w:rsid w:val="00BB3281"/>
    <w:rsid w:val="00BE3A74"/>
    <w:rsid w:val="00BF0960"/>
    <w:rsid w:val="00BF1351"/>
    <w:rsid w:val="00BF3738"/>
    <w:rsid w:val="00C0657B"/>
    <w:rsid w:val="00C25B9B"/>
    <w:rsid w:val="00C349D2"/>
    <w:rsid w:val="00C35A56"/>
    <w:rsid w:val="00C36621"/>
    <w:rsid w:val="00C377EB"/>
    <w:rsid w:val="00C44260"/>
    <w:rsid w:val="00C552A2"/>
    <w:rsid w:val="00C571E2"/>
    <w:rsid w:val="00C74AC1"/>
    <w:rsid w:val="00C81B5C"/>
    <w:rsid w:val="00CA4420"/>
    <w:rsid w:val="00CB1A9D"/>
    <w:rsid w:val="00CB347C"/>
    <w:rsid w:val="00CB4C34"/>
    <w:rsid w:val="00CF3A77"/>
    <w:rsid w:val="00D036A7"/>
    <w:rsid w:val="00D07105"/>
    <w:rsid w:val="00D07AD6"/>
    <w:rsid w:val="00D172D3"/>
    <w:rsid w:val="00D35881"/>
    <w:rsid w:val="00D37D79"/>
    <w:rsid w:val="00D54739"/>
    <w:rsid w:val="00D54FE6"/>
    <w:rsid w:val="00D95705"/>
    <w:rsid w:val="00D97A3F"/>
    <w:rsid w:val="00DA57E8"/>
    <w:rsid w:val="00DB5B81"/>
    <w:rsid w:val="00DC011E"/>
    <w:rsid w:val="00DC5E86"/>
    <w:rsid w:val="00DC7D62"/>
    <w:rsid w:val="00DE2D28"/>
    <w:rsid w:val="00DF0F77"/>
    <w:rsid w:val="00DF71C0"/>
    <w:rsid w:val="00E003A7"/>
    <w:rsid w:val="00E005D9"/>
    <w:rsid w:val="00E209B3"/>
    <w:rsid w:val="00E26675"/>
    <w:rsid w:val="00E27864"/>
    <w:rsid w:val="00E40448"/>
    <w:rsid w:val="00E528E9"/>
    <w:rsid w:val="00E65A0E"/>
    <w:rsid w:val="00E67D3B"/>
    <w:rsid w:val="00E717F9"/>
    <w:rsid w:val="00E76034"/>
    <w:rsid w:val="00E7785C"/>
    <w:rsid w:val="00E94797"/>
    <w:rsid w:val="00EB249E"/>
    <w:rsid w:val="00EC0831"/>
    <w:rsid w:val="00EC3C5D"/>
    <w:rsid w:val="00ED3096"/>
    <w:rsid w:val="00ED51B4"/>
    <w:rsid w:val="00EE277A"/>
    <w:rsid w:val="00EF5AAC"/>
    <w:rsid w:val="00F10FD3"/>
    <w:rsid w:val="00F1458D"/>
    <w:rsid w:val="00F22A8E"/>
    <w:rsid w:val="00F334C4"/>
    <w:rsid w:val="00F3465A"/>
    <w:rsid w:val="00F41781"/>
    <w:rsid w:val="00F64B86"/>
    <w:rsid w:val="00F64E39"/>
    <w:rsid w:val="00F64EE8"/>
    <w:rsid w:val="00F83009"/>
    <w:rsid w:val="00F930A7"/>
    <w:rsid w:val="00F94E05"/>
    <w:rsid w:val="00FA06AB"/>
    <w:rsid w:val="00FA6711"/>
    <w:rsid w:val="00FB7D94"/>
    <w:rsid w:val="00FC1C99"/>
    <w:rsid w:val="00FD6551"/>
    <w:rsid w:val="00FE1650"/>
    <w:rsid w:val="00FF49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52B6"/>
    <w:pPr>
      <w:spacing w:before="120" w:after="120"/>
    </w:pPr>
    <w:rPr>
      <w:rFonts w:ascii="Arial" w:hAnsi="Arial"/>
      <w:sz w:val="22"/>
    </w:rPr>
  </w:style>
  <w:style w:type="paragraph" w:styleId="Heading1">
    <w:name w:val="heading 1"/>
    <w:basedOn w:val="Normal"/>
    <w:next w:val="Normal"/>
    <w:link w:val="Heading1Char"/>
    <w:uiPriority w:val="9"/>
    <w:rsid w:val="0007103C"/>
    <w:pPr>
      <w:keepNext/>
      <w:keepLines/>
      <w:pBdr>
        <w:bottom w:val="single" w:sz="4" w:space="1" w:color="auto"/>
      </w:pBdr>
      <w:spacing w:before="480"/>
      <w:outlineLvl w:val="0"/>
    </w:pPr>
    <w:rPr>
      <w:b/>
      <w:bCs/>
      <w:color w:val="5F2167"/>
      <w:sz w:val="48"/>
      <w:szCs w:val="28"/>
    </w:rPr>
  </w:style>
  <w:style w:type="paragraph" w:styleId="Heading2">
    <w:name w:val="heading 2"/>
    <w:basedOn w:val="Normal"/>
    <w:next w:val="Normal"/>
    <w:link w:val="Heading2Char"/>
    <w:uiPriority w:val="9"/>
    <w:unhideWhenUsed/>
    <w:rsid w:val="00135456"/>
    <w:pPr>
      <w:keepNext/>
      <w:keepLines/>
      <w:spacing w:before="240"/>
      <w:outlineLvl w:val="1"/>
    </w:pPr>
    <w:rPr>
      <w:b/>
      <w:bCs/>
      <w:color w:val="5F2167"/>
      <w:sz w:val="32"/>
      <w:szCs w:val="26"/>
    </w:rPr>
  </w:style>
  <w:style w:type="paragraph" w:styleId="Heading3">
    <w:name w:val="heading 3"/>
    <w:basedOn w:val="Normal"/>
    <w:next w:val="Normal"/>
    <w:link w:val="Heading3Char"/>
    <w:uiPriority w:val="9"/>
    <w:unhideWhenUsed/>
    <w:qFormat/>
    <w:rsid w:val="0078303B"/>
    <w:pPr>
      <w:keepNext/>
      <w:keepLines/>
      <w:spacing w:before="200"/>
      <w:outlineLvl w:val="2"/>
    </w:pPr>
    <w:rPr>
      <w:b/>
      <w:bCs/>
      <w:color w:val="5F2167"/>
    </w:rPr>
  </w:style>
  <w:style w:type="paragraph" w:styleId="Heading4">
    <w:name w:val="heading 4"/>
    <w:basedOn w:val="Normal"/>
    <w:next w:val="Normal"/>
    <w:link w:val="Heading4Char"/>
    <w:uiPriority w:val="9"/>
    <w:unhideWhenUsed/>
    <w:qFormat/>
    <w:rsid w:val="00135456"/>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103C"/>
    <w:rPr>
      <w:rFonts w:ascii="Arial" w:eastAsia="Times New Roman" w:hAnsi="Arial" w:cs="Times New Roman"/>
      <w:b/>
      <w:bCs/>
      <w:color w:val="5F2167"/>
      <w:sz w:val="48"/>
      <w:szCs w:val="28"/>
    </w:rPr>
  </w:style>
  <w:style w:type="character" w:customStyle="1" w:styleId="Heading2Char">
    <w:name w:val="Heading 2 Char"/>
    <w:link w:val="Heading2"/>
    <w:uiPriority w:val="9"/>
    <w:rsid w:val="00135456"/>
    <w:rPr>
      <w:rFonts w:ascii="Arial" w:eastAsia="Times New Roman" w:hAnsi="Arial" w:cs="Times New Roman"/>
      <w:b/>
      <w:bCs/>
      <w:color w:val="5F2167"/>
      <w:sz w:val="32"/>
      <w:szCs w:val="26"/>
    </w:rPr>
  </w:style>
  <w:style w:type="character" w:customStyle="1" w:styleId="Heading3Char">
    <w:name w:val="Heading 3 Char"/>
    <w:link w:val="Heading3"/>
    <w:uiPriority w:val="9"/>
    <w:rsid w:val="0078303B"/>
    <w:rPr>
      <w:rFonts w:ascii="Arial" w:eastAsia="Times New Roman" w:hAnsi="Arial" w:cs="Times New Roman"/>
      <w:b/>
      <w:bCs/>
      <w:color w:val="5F2167"/>
      <w:sz w:val="24"/>
    </w:rPr>
  </w:style>
  <w:style w:type="character" w:customStyle="1" w:styleId="Heading4Char">
    <w:name w:val="Heading 4 Char"/>
    <w:link w:val="Heading4"/>
    <w:uiPriority w:val="9"/>
    <w:rsid w:val="00135456"/>
    <w:rPr>
      <w:rFonts w:ascii="Arial" w:eastAsia="Times New Roman" w:hAnsi="Arial" w:cs="Times New Roman"/>
      <w:b/>
      <w:bCs/>
      <w:i/>
      <w:iCs/>
      <w:sz w:val="24"/>
    </w:rPr>
  </w:style>
  <w:style w:type="paragraph" w:styleId="Header">
    <w:name w:val="header"/>
    <w:basedOn w:val="Normal"/>
    <w:link w:val="HeaderChar"/>
    <w:uiPriority w:val="99"/>
    <w:unhideWhenUsed/>
    <w:rsid w:val="00562D3F"/>
    <w:pPr>
      <w:tabs>
        <w:tab w:val="center" w:pos="4513"/>
        <w:tab w:val="right" w:pos="9026"/>
      </w:tabs>
    </w:pPr>
  </w:style>
  <w:style w:type="character" w:customStyle="1" w:styleId="HeaderChar">
    <w:name w:val="Header Char"/>
    <w:basedOn w:val="DefaultParagraphFont"/>
    <w:link w:val="Header"/>
    <w:uiPriority w:val="99"/>
    <w:rsid w:val="00562D3F"/>
  </w:style>
  <w:style w:type="paragraph" w:styleId="Footer">
    <w:name w:val="footer"/>
    <w:basedOn w:val="Normal"/>
    <w:link w:val="FooterChar"/>
    <w:uiPriority w:val="99"/>
    <w:unhideWhenUsed/>
    <w:rsid w:val="007C6027"/>
    <w:pPr>
      <w:tabs>
        <w:tab w:val="center" w:pos="4513"/>
        <w:tab w:val="right" w:pos="9026"/>
      </w:tabs>
    </w:pPr>
    <w:rPr>
      <w:sz w:val="20"/>
    </w:rPr>
  </w:style>
  <w:style w:type="character" w:customStyle="1" w:styleId="FooterChar">
    <w:name w:val="Footer Char"/>
    <w:link w:val="Footer"/>
    <w:uiPriority w:val="99"/>
    <w:rsid w:val="007C6027"/>
    <w:rPr>
      <w:rFonts w:ascii="Arial" w:hAnsi="Arial"/>
    </w:rPr>
  </w:style>
  <w:style w:type="paragraph" w:styleId="BalloonText">
    <w:name w:val="Balloon Text"/>
    <w:basedOn w:val="Normal"/>
    <w:link w:val="BalloonTextChar"/>
    <w:uiPriority w:val="99"/>
    <w:semiHidden/>
    <w:unhideWhenUsed/>
    <w:rsid w:val="00E209B3"/>
    <w:rPr>
      <w:rFonts w:ascii="Tahoma" w:hAnsi="Tahoma" w:cs="Tahoma"/>
      <w:sz w:val="16"/>
      <w:szCs w:val="16"/>
    </w:rPr>
  </w:style>
  <w:style w:type="character" w:customStyle="1" w:styleId="BalloonTextChar">
    <w:name w:val="Balloon Text Char"/>
    <w:link w:val="BalloonText"/>
    <w:uiPriority w:val="99"/>
    <w:semiHidden/>
    <w:rsid w:val="00E209B3"/>
    <w:rPr>
      <w:rFonts w:ascii="Tahoma" w:hAnsi="Tahoma" w:cs="Tahoma"/>
      <w:sz w:val="16"/>
      <w:szCs w:val="16"/>
    </w:rPr>
  </w:style>
  <w:style w:type="paragraph" w:customStyle="1" w:styleId="Contents">
    <w:name w:val="Contents"/>
    <w:basedOn w:val="Normal"/>
    <w:link w:val="ContentsChar"/>
    <w:qFormat/>
    <w:rsid w:val="00135456"/>
    <w:pPr>
      <w:suppressAutoHyphens/>
      <w:autoSpaceDE w:val="0"/>
      <w:autoSpaceDN w:val="0"/>
      <w:adjustRightInd w:val="0"/>
      <w:spacing w:before="0" w:after="0" w:line="288" w:lineRule="auto"/>
      <w:textAlignment w:val="center"/>
    </w:pPr>
    <w:rPr>
      <w:rFonts w:cs="Arial"/>
      <w:bCs/>
      <w:color w:val="FFFFFF"/>
      <w:sz w:val="48"/>
      <w:szCs w:val="40"/>
      <w:lang w:val="en-GB"/>
    </w:rPr>
  </w:style>
  <w:style w:type="character" w:customStyle="1" w:styleId="ContentsChar">
    <w:name w:val="Contents Char"/>
    <w:link w:val="Contents"/>
    <w:rsid w:val="00135456"/>
    <w:rPr>
      <w:rFonts w:ascii="Arial" w:hAnsi="Arial" w:cs="Arial"/>
      <w:b w:val="0"/>
      <w:bCs/>
      <w:caps w:val="0"/>
      <w:color w:val="FFFFFF"/>
      <w:sz w:val="48"/>
      <w:szCs w:val="40"/>
      <w:lang w:val="en-GB"/>
    </w:rPr>
  </w:style>
  <w:style w:type="paragraph" w:customStyle="1" w:styleId="Contentsbodystyle">
    <w:name w:val="Contents body style"/>
    <w:basedOn w:val="Normal"/>
    <w:link w:val="ContentsbodystyleChar"/>
    <w:qFormat/>
    <w:rsid w:val="008D2192"/>
    <w:pPr>
      <w:suppressAutoHyphens/>
      <w:autoSpaceDE w:val="0"/>
      <w:autoSpaceDN w:val="0"/>
      <w:adjustRightInd w:val="0"/>
      <w:spacing w:after="0" w:line="288" w:lineRule="auto"/>
      <w:textAlignment w:val="center"/>
    </w:pPr>
    <w:rPr>
      <w:rFonts w:cs="Arial"/>
      <w:bCs/>
      <w:color w:val="FFFFFF"/>
      <w:szCs w:val="24"/>
      <w:lang w:val="en-GB"/>
    </w:rPr>
  </w:style>
  <w:style w:type="character" w:customStyle="1" w:styleId="ContentsbodystyleChar">
    <w:name w:val="Contents body style Char"/>
    <w:link w:val="Contentsbodystyle"/>
    <w:rsid w:val="008D2192"/>
    <w:rPr>
      <w:rFonts w:ascii="Arial" w:hAnsi="Arial" w:cs="Arial"/>
      <w:b w:val="0"/>
      <w:bCs/>
      <w:color w:val="FFFFFF"/>
      <w:sz w:val="24"/>
      <w:szCs w:val="24"/>
      <w:lang w:val="en-GB"/>
    </w:rPr>
  </w:style>
  <w:style w:type="paragraph" w:styleId="TOCHeading">
    <w:name w:val="TOC Heading"/>
    <w:basedOn w:val="Heading1"/>
    <w:next w:val="Normal"/>
    <w:uiPriority w:val="39"/>
    <w:unhideWhenUsed/>
    <w:qFormat/>
    <w:rsid w:val="0081429B"/>
    <w:pPr>
      <w:spacing w:line="276" w:lineRule="auto"/>
      <w:outlineLvl w:val="9"/>
    </w:pPr>
    <w:rPr>
      <w:lang w:val="en-US" w:eastAsia="ja-JP"/>
    </w:rPr>
  </w:style>
  <w:style w:type="paragraph" w:styleId="TOC2">
    <w:name w:val="toc 2"/>
    <w:basedOn w:val="Contentsbodystyle"/>
    <w:next w:val="Normal"/>
    <w:autoRedefine/>
    <w:uiPriority w:val="39"/>
    <w:unhideWhenUsed/>
    <w:qFormat/>
    <w:rsid w:val="006C3E2B"/>
    <w:pPr>
      <w:spacing w:after="100" w:line="276" w:lineRule="auto"/>
      <w:ind w:left="220"/>
    </w:pPr>
    <w:rPr>
      <w:rFonts w:cs="Times New Roman"/>
      <w:szCs w:val="22"/>
      <w:lang w:val="en-US" w:eastAsia="ja-JP"/>
    </w:rPr>
  </w:style>
  <w:style w:type="paragraph" w:styleId="TOC1">
    <w:name w:val="toc 1"/>
    <w:basedOn w:val="Contentsbodystyle"/>
    <w:next w:val="Normal"/>
    <w:autoRedefine/>
    <w:uiPriority w:val="39"/>
    <w:unhideWhenUsed/>
    <w:qFormat/>
    <w:rsid w:val="006C3E2B"/>
    <w:pPr>
      <w:spacing w:after="100" w:line="276" w:lineRule="auto"/>
    </w:pPr>
    <w:rPr>
      <w:rFonts w:cs="Times New Roman"/>
      <w:szCs w:val="22"/>
      <w:lang w:val="en-US" w:eastAsia="ja-JP"/>
    </w:rPr>
  </w:style>
  <w:style w:type="paragraph" w:styleId="TOC3">
    <w:name w:val="toc 3"/>
    <w:basedOn w:val="Contentsbodystyle"/>
    <w:next w:val="Normal"/>
    <w:autoRedefine/>
    <w:uiPriority w:val="39"/>
    <w:unhideWhenUsed/>
    <w:qFormat/>
    <w:rsid w:val="006C3E2B"/>
    <w:pPr>
      <w:spacing w:after="100" w:line="276" w:lineRule="auto"/>
      <w:ind w:left="440"/>
    </w:pPr>
    <w:rPr>
      <w:rFonts w:cs="Times New Roman"/>
      <w:szCs w:val="22"/>
      <w:lang w:val="en-US" w:eastAsia="ja-JP"/>
    </w:rPr>
  </w:style>
  <w:style w:type="character" w:styleId="Hyperlink">
    <w:name w:val="Hyperlink"/>
    <w:uiPriority w:val="99"/>
    <w:unhideWhenUsed/>
    <w:rsid w:val="006F657C"/>
    <w:rPr>
      <w:color w:val="0000FF"/>
      <w:u w:val="single"/>
    </w:rPr>
  </w:style>
  <w:style w:type="paragraph" w:styleId="Title">
    <w:name w:val="Title"/>
    <w:basedOn w:val="Normal"/>
    <w:next w:val="Normal"/>
    <w:link w:val="TitleChar"/>
    <w:uiPriority w:val="10"/>
    <w:rsid w:val="00305010"/>
    <w:pPr>
      <w:spacing w:after="300"/>
      <w:contextualSpacing/>
    </w:pPr>
    <w:rPr>
      <w:color w:val="FFFFFF"/>
      <w:spacing w:val="5"/>
      <w:kern w:val="28"/>
      <w:sz w:val="52"/>
      <w:szCs w:val="52"/>
    </w:rPr>
  </w:style>
  <w:style w:type="character" w:customStyle="1" w:styleId="TitleChar">
    <w:name w:val="Title Char"/>
    <w:link w:val="Title"/>
    <w:uiPriority w:val="10"/>
    <w:rsid w:val="00305010"/>
    <w:rPr>
      <w:rFonts w:ascii="Arial" w:eastAsia="Times New Roman" w:hAnsi="Arial" w:cs="Times New Roman"/>
      <w:color w:val="FFFFFF"/>
      <w:spacing w:val="5"/>
      <w:kern w:val="28"/>
      <w:sz w:val="52"/>
      <w:szCs w:val="52"/>
    </w:rPr>
  </w:style>
  <w:style w:type="paragraph" w:styleId="ListParagraph">
    <w:name w:val="List Paragraph"/>
    <w:basedOn w:val="Normal"/>
    <w:uiPriority w:val="34"/>
    <w:rsid w:val="008D2192"/>
    <w:pPr>
      <w:ind w:left="720"/>
      <w:contextualSpacing/>
    </w:pPr>
  </w:style>
  <w:style w:type="table" w:styleId="TableGrid">
    <w:name w:val="Table Grid"/>
    <w:basedOn w:val="TableNormal"/>
    <w:uiPriority w:val="59"/>
    <w:rsid w:val="00624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IPAustraliatabletemplate">
    <w:name w:val="IP Australia table template"/>
    <w:basedOn w:val="TableNormal"/>
    <w:uiPriority w:val="99"/>
    <w:rsid w:val="00671828"/>
    <w:rPr>
      <w:rFonts w:ascii="Arial" w:hAnsi="Arial"/>
      <w:sz w:val="18"/>
    </w:rPr>
    <w:tblPr>
      <w:tblStyleRowBandSize w:val="1"/>
      <w:tblCellSpacing w:w="8" w:type="dxa"/>
      <w:tblInd w:w="0" w:type="dxa"/>
      <w:tblCellMar>
        <w:top w:w="0" w:type="dxa"/>
        <w:left w:w="108" w:type="dxa"/>
        <w:bottom w:w="0" w:type="dxa"/>
        <w:right w:w="108" w:type="dxa"/>
      </w:tblCellMar>
    </w:tblPr>
    <w:trPr>
      <w:tblCellSpacing w:w="8" w:type="dxa"/>
    </w:trPr>
    <w:tcPr>
      <w:shd w:val="clear" w:color="auto" w:fill="auto"/>
    </w:tcPr>
    <w:tblStylePr w:type="firstRow">
      <w:rPr>
        <w:rFonts w:ascii="Arial" w:hAnsi="Arial"/>
        <w:b/>
        <w:sz w:val="18"/>
      </w:rPr>
      <w:tblPr/>
      <w:tcPr>
        <w:tcBorders>
          <w:top w:val="nil"/>
          <w:left w:val="nil"/>
          <w:bottom w:val="nil"/>
          <w:right w:val="nil"/>
          <w:insideH w:val="nil"/>
          <w:insideV w:val="nil"/>
          <w:tl2br w:val="nil"/>
          <w:tr2bl w:val="nil"/>
        </w:tcBorders>
        <w:shd w:val="clear" w:color="auto" w:fill="622066"/>
      </w:tcPr>
    </w:tblStylePr>
    <w:tblStylePr w:type="lastRow">
      <w:rPr>
        <w:rFonts w:ascii="Arial" w:hAnsi="Arial"/>
        <w:b/>
        <w:sz w:val="18"/>
      </w:rPr>
      <w:tblPr/>
      <w:tcPr>
        <w:tcBorders>
          <w:top w:val="nil"/>
          <w:left w:val="nil"/>
          <w:bottom w:val="nil"/>
          <w:right w:val="nil"/>
          <w:insideH w:val="nil"/>
          <w:insideV w:val="nil"/>
          <w:tl2br w:val="nil"/>
          <w:tr2bl w:val="nil"/>
        </w:tcBorders>
        <w:shd w:val="clear" w:color="auto" w:fill="FFFDE9"/>
      </w:tcPr>
    </w:tblStylePr>
    <w:tblStylePr w:type="firstCol">
      <w:rPr>
        <w:rFonts w:ascii="Arial" w:hAnsi="Arial"/>
        <w:b/>
        <w:sz w:val="18"/>
      </w:rPr>
      <w:tblPr/>
      <w:tcPr>
        <w:tcBorders>
          <w:top w:val="nil"/>
          <w:left w:val="nil"/>
          <w:bottom w:val="nil"/>
          <w:right w:val="nil"/>
          <w:insideH w:val="nil"/>
          <w:insideV w:val="nil"/>
          <w:tl2br w:val="nil"/>
          <w:tr2bl w:val="nil"/>
        </w:tcBorders>
        <w:shd w:val="clear" w:color="auto" w:fill="622066"/>
      </w:tcPr>
    </w:tblStylePr>
    <w:tblStylePr w:type="band1Horz">
      <w:tblPr/>
      <w:tcPr>
        <w:tcBorders>
          <w:top w:val="nil"/>
          <w:left w:val="nil"/>
          <w:bottom w:val="nil"/>
          <w:right w:val="nil"/>
          <w:insideH w:val="nil"/>
          <w:insideV w:val="nil"/>
          <w:tl2br w:val="nil"/>
          <w:tr2bl w:val="nil"/>
        </w:tcBorders>
        <w:shd w:val="clear" w:color="auto" w:fill="F0E7EE"/>
      </w:tcPr>
    </w:tblStylePr>
    <w:tblStylePr w:type="band2Horz">
      <w:tblPr/>
      <w:tcPr>
        <w:tcBorders>
          <w:top w:val="nil"/>
          <w:left w:val="nil"/>
          <w:bottom w:val="nil"/>
          <w:right w:val="nil"/>
          <w:insideH w:val="nil"/>
          <w:insideV w:val="nil"/>
          <w:tl2br w:val="nil"/>
          <w:tr2bl w:val="nil"/>
        </w:tcBorders>
        <w:shd w:val="clear" w:color="auto" w:fill="E1D0DE"/>
      </w:tcPr>
    </w:tblStylePr>
    <w:tblStylePr w:type="swCell">
      <w:tblPr/>
      <w:tcPr>
        <w:tcBorders>
          <w:top w:val="nil"/>
          <w:left w:val="nil"/>
          <w:bottom w:val="nil"/>
          <w:right w:val="nil"/>
          <w:insideH w:val="nil"/>
          <w:insideV w:val="nil"/>
          <w:tl2br w:val="nil"/>
          <w:tr2bl w:val="nil"/>
        </w:tcBorders>
        <w:shd w:val="clear" w:color="auto" w:fill="622066"/>
      </w:tcPr>
    </w:tblStylePr>
  </w:style>
  <w:style w:type="paragraph" w:styleId="FootnoteText">
    <w:name w:val="footnote text"/>
    <w:basedOn w:val="Normal"/>
    <w:link w:val="FootnoteTextChar"/>
    <w:rsid w:val="00316615"/>
    <w:pPr>
      <w:spacing w:before="0" w:after="0"/>
    </w:pPr>
    <w:rPr>
      <w:rFonts w:ascii="Times New Roman" w:hAnsi="Times New Roman"/>
      <w:sz w:val="20"/>
    </w:rPr>
  </w:style>
  <w:style w:type="character" w:customStyle="1" w:styleId="FootnoteTextChar">
    <w:name w:val="Footnote Text Char"/>
    <w:basedOn w:val="DefaultParagraphFont"/>
    <w:link w:val="FootnoteText"/>
    <w:rsid w:val="00316615"/>
  </w:style>
  <w:style w:type="character" w:styleId="FootnoteReference">
    <w:name w:val="footnote reference"/>
    <w:basedOn w:val="DefaultParagraphFont"/>
    <w:rsid w:val="00316615"/>
    <w:rPr>
      <w:vertAlign w:val="superscript"/>
    </w:rPr>
  </w:style>
  <w:style w:type="character" w:styleId="CommentReference">
    <w:name w:val="annotation reference"/>
    <w:basedOn w:val="DefaultParagraphFont"/>
    <w:rsid w:val="00C25B9B"/>
    <w:rPr>
      <w:sz w:val="16"/>
      <w:szCs w:val="16"/>
    </w:rPr>
  </w:style>
  <w:style w:type="paragraph" w:styleId="CommentText">
    <w:name w:val="annotation text"/>
    <w:basedOn w:val="Normal"/>
    <w:link w:val="CommentTextChar"/>
    <w:rsid w:val="00C25B9B"/>
    <w:pPr>
      <w:spacing w:before="0" w:after="0"/>
    </w:pPr>
    <w:rPr>
      <w:rFonts w:ascii="Times New Roman" w:hAnsi="Times New Roman"/>
      <w:sz w:val="20"/>
    </w:rPr>
  </w:style>
  <w:style w:type="character" w:customStyle="1" w:styleId="CommentTextChar">
    <w:name w:val="Comment Text Char"/>
    <w:basedOn w:val="DefaultParagraphFont"/>
    <w:link w:val="CommentText"/>
    <w:rsid w:val="00C25B9B"/>
  </w:style>
  <w:style w:type="paragraph" w:styleId="CommentSubject">
    <w:name w:val="annotation subject"/>
    <w:basedOn w:val="CommentText"/>
    <w:next w:val="CommentText"/>
    <w:link w:val="CommentSubjectChar"/>
    <w:uiPriority w:val="99"/>
    <w:semiHidden/>
    <w:unhideWhenUsed/>
    <w:rsid w:val="00BF0960"/>
    <w:pPr>
      <w:spacing w:before="120" w:after="120"/>
    </w:pPr>
    <w:rPr>
      <w:rFonts w:ascii="Arial" w:hAnsi="Arial"/>
      <w:b/>
      <w:bCs/>
    </w:rPr>
  </w:style>
  <w:style w:type="character" w:customStyle="1" w:styleId="CommentSubjectChar">
    <w:name w:val="Comment Subject Char"/>
    <w:basedOn w:val="CommentTextChar"/>
    <w:link w:val="CommentSubject"/>
    <w:uiPriority w:val="99"/>
    <w:semiHidden/>
    <w:rsid w:val="00BF0960"/>
    <w:rPr>
      <w:rFonts w:ascii="Arial" w:hAnsi="Arial"/>
      <w:b/>
      <w:bCs/>
    </w:rPr>
  </w:style>
  <w:style w:type="character" w:styleId="FollowedHyperlink">
    <w:name w:val="FollowedHyperlink"/>
    <w:basedOn w:val="DefaultParagraphFont"/>
    <w:uiPriority w:val="99"/>
    <w:semiHidden/>
    <w:unhideWhenUsed/>
    <w:rsid w:val="006A45C8"/>
    <w:rPr>
      <w:color w:val="800080" w:themeColor="followedHyperlink"/>
      <w:u w:val="single"/>
    </w:rPr>
  </w:style>
  <w:style w:type="paragraph" w:styleId="Revision">
    <w:name w:val="Revision"/>
    <w:hidden/>
    <w:uiPriority w:val="99"/>
    <w:semiHidden/>
    <w:rsid w:val="00B435A2"/>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52B6"/>
    <w:pPr>
      <w:spacing w:before="120" w:after="120"/>
    </w:pPr>
    <w:rPr>
      <w:rFonts w:ascii="Arial" w:hAnsi="Arial"/>
      <w:sz w:val="22"/>
    </w:rPr>
  </w:style>
  <w:style w:type="paragraph" w:styleId="Heading1">
    <w:name w:val="heading 1"/>
    <w:basedOn w:val="Normal"/>
    <w:next w:val="Normal"/>
    <w:link w:val="Heading1Char"/>
    <w:uiPriority w:val="9"/>
    <w:rsid w:val="0007103C"/>
    <w:pPr>
      <w:keepNext/>
      <w:keepLines/>
      <w:pBdr>
        <w:bottom w:val="single" w:sz="4" w:space="1" w:color="auto"/>
      </w:pBdr>
      <w:spacing w:before="480"/>
      <w:outlineLvl w:val="0"/>
    </w:pPr>
    <w:rPr>
      <w:b/>
      <w:bCs/>
      <w:color w:val="5F2167"/>
      <w:sz w:val="48"/>
      <w:szCs w:val="28"/>
    </w:rPr>
  </w:style>
  <w:style w:type="paragraph" w:styleId="Heading2">
    <w:name w:val="heading 2"/>
    <w:basedOn w:val="Normal"/>
    <w:next w:val="Normal"/>
    <w:link w:val="Heading2Char"/>
    <w:uiPriority w:val="9"/>
    <w:unhideWhenUsed/>
    <w:rsid w:val="00135456"/>
    <w:pPr>
      <w:keepNext/>
      <w:keepLines/>
      <w:spacing w:before="240"/>
      <w:outlineLvl w:val="1"/>
    </w:pPr>
    <w:rPr>
      <w:b/>
      <w:bCs/>
      <w:color w:val="5F2167"/>
      <w:sz w:val="32"/>
      <w:szCs w:val="26"/>
    </w:rPr>
  </w:style>
  <w:style w:type="paragraph" w:styleId="Heading3">
    <w:name w:val="heading 3"/>
    <w:basedOn w:val="Normal"/>
    <w:next w:val="Normal"/>
    <w:link w:val="Heading3Char"/>
    <w:uiPriority w:val="9"/>
    <w:unhideWhenUsed/>
    <w:qFormat/>
    <w:rsid w:val="0078303B"/>
    <w:pPr>
      <w:keepNext/>
      <w:keepLines/>
      <w:spacing w:before="200"/>
      <w:outlineLvl w:val="2"/>
    </w:pPr>
    <w:rPr>
      <w:b/>
      <w:bCs/>
      <w:color w:val="5F2167"/>
    </w:rPr>
  </w:style>
  <w:style w:type="paragraph" w:styleId="Heading4">
    <w:name w:val="heading 4"/>
    <w:basedOn w:val="Normal"/>
    <w:next w:val="Normal"/>
    <w:link w:val="Heading4Char"/>
    <w:uiPriority w:val="9"/>
    <w:unhideWhenUsed/>
    <w:qFormat/>
    <w:rsid w:val="00135456"/>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103C"/>
    <w:rPr>
      <w:rFonts w:ascii="Arial" w:eastAsia="Times New Roman" w:hAnsi="Arial" w:cs="Times New Roman"/>
      <w:b/>
      <w:bCs/>
      <w:color w:val="5F2167"/>
      <w:sz w:val="48"/>
      <w:szCs w:val="28"/>
    </w:rPr>
  </w:style>
  <w:style w:type="character" w:customStyle="1" w:styleId="Heading2Char">
    <w:name w:val="Heading 2 Char"/>
    <w:link w:val="Heading2"/>
    <w:uiPriority w:val="9"/>
    <w:rsid w:val="00135456"/>
    <w:rPr>
      <w:rFonts w:ascii="Arial" w:eastAsia="Times New Roman" w:hAnsi="Arial" w:cs="Times New Roman"/>
      <w:b/>
      <w:bCs/>
      <w:color w:val="5F2167"/>
      <w:sz w:val="32"/>
      <w:szCs w:val="26"/>
    </w:rPr>
  </w:style>
  <w:style w:type="character" w:customStyle="1" w:styleId="Heading3Char">
    <w:name w:val="Heading 3 Char"/>
    <w:link w:val="Heading3"/>
    <w:uiPriority w:val="9"/>
    <w:rsid w:val="0078303B"/>
    <w:rPr>
      <w:rFonts w:ascii="Arial" w:eastAsia="Times New Roman" w:hAnsi="Arial" w:cs="Times New Roman"/>
      <w:b/>
      <w:bCs/>
      <w:color w:val="5F2167"/>
      <w:sz w:val="24"/>
    </w:rPr>
  </w:style>
  <w:style w:type="character" w:customStyle="1" w:styleId="Heading4Char">
    <w:name w:val="Heading 4 Char"/>
    <w:link w:val="Heading4"/>
    <w:uiPriority w:val="9"/>
    <w:rsid w:val="00135456"/>
    <w:rPr>
      <w:rFonts w:ascii="Arial" w:eastAsia="Times New Roman" w:hAnsi="Arial" w:cs="Times New Roman"/>
      <w:b/>
      <w:bCs/>
      <w:i/>
      <w:iCs/>
      <w:sz w:val="24"/>
    </w:rPr>
  </w:style>
  <w:style w:type="paragraph" w:styleId="Header">
    <w:name w:val="header"/>
    <w:basedOn w:val="Normal"/>
    <w:link w:val="HeaderChar"/>
    <w:uiPriority w:val="99"/>
    <w:unhideWhenUsed/>
    <w:rsid w:val="00562D3F"/>
    <w:pPr>
      <w:tabs>
        <w:tab w:val="center" w:pos="4513"/>
        <w:tab w:val="right" w:pos="9026"/>
      </w:tabs>
    </w:pPr>
  </w:style>
  <w:style w:type="character" w:customStyle="1" w:styleId="HeaderChar">
    <w:name w:val="Header Char"/>
    <w:basedOn w:val="DefaultParagraphFont"/>
    <w:link w:val="Header"/>
    <w:uiPriority w:val="99"/>
    <w:rsid w:val="00562D3F"/>
  </w:style>
  <w:style w:type="paragraph" w:styleId="Footer">
    <w:name w:val="footer"/>
    <w:basedOn w:val="Normal"/>
    <w:link w:val="FooterChar"/>
    <w:uiPriority w:val="99"/>
    <w:unhideWhenUsed/>
    <w:rsid w:val="007C6027"/>
    <w:pPr>
      <w:tabs>
        <w:tab w:val="center" w:pos="4513"/>
        <w:tab w:val="right" w:pos="9026"/>
      </w:tabs>
    </w:pPr>
    <w:rPr>
      <w:sz w:val="20"/>
    </w:rPr>
  </w:style>
  <w:style w:type="character" w:customStyle="1" w:styleId="FooterChar">
    <w:name w:val="Footer Char"/>
    <w:link w:val="Footer"/>
    <w:uiPriority w:val="99"/>
    <w:rsid w:val="007C6027"/>
    <w:rPr>
      <w:rFonts w:ascii="Arial" w:hAnsi="Arial"/>
    </w:rPr>
  </w:style>
  <w:style w:type="paragraph" w:styleId="BalloonText">
    <w:name w:val="Balloon Text"/>
    <w:basedOn w:val="Normal"/>
    <w:link w:val="BalloonTextChar"/>
    <w:uiPriority w:val="99"/>
    <w:semiHidden/>
    <w:unhideWhenUsed/>
    <w:rsid w:val="00E209B3"/>
    <w:rPr>
      <w:rFonts w:ascii="Tahoma" w:hAnsi="Tahoma" w:cs="Tahoma"/>
      <w:sz w:val="16"/>
      <w:szCs w:val="16"/>
    </w:rPr>
  </w:style>
  <w:style w:type="character" w:customStyle="1" w:styleId="BalloonTextChar">
    <w:name w:val="Balloon Text Char"/>
    <w:link w:val="BalloonText"/>
    <w:uiPriority w:val="99"/>
    <w:semiHidden/>
    <w:rsid w:val="00E209B3"/>
    <w:rPr>
      <w:rFonts w:ascii="Tahoma" w:hAnsi="Tahoma" w:cs="Tahoma"/>
      <w:sz w:val="16"/>
      <w:szCs w:val="16"/>
    </w:rPr>
  </w:style>
  <w:style w:type="paragraph" w:customStyle="1" w:styleId="Contents">
    <w:name w:val="Contents"/>
    <w:basedOn w:val="Normal"/>
    <w:link w:val="ContentsChar"/>
    <w:qFormat/>
    <w:rsid w:val="00135456"/>
    <w:pPr>
      <w:suppressAutoHyphens/>
      <w:autoSpaceDE w:val="0"/>
      <w:autoSpaceDN w:val="0"/>
      <w:adjustRightInd w:val="0"/>
      <w:spacing w:before="0" w:after="0" w:line="288" w:lineRule="auto"/>
      <w:textAlignment w:val="center"/>
    </w:pPr>
    <w:rPr>
      <w:rFonts w:cs="Arial"/>
      <w:bCs/>
      <w:color w:val="FFFFFF"/>
      <w:sz w:val="48"/>
      <w:szCs w:val="40"/>
      <w:lang w:val="en-GB"/>
    </w:rPr>
  </w:style>
  <w:style w:type="character" w:customStyle="1" w:styleId="ContentsChar">
    <w:name w:val="Contents Char"/>
    <w:link w:val="Contents"/>
    <w:rsid w:val="00135456"/>
    <w:rPr>
      <w:rFonts w:ascii="Arial" w:hAnsi="Arial" w:cs="Arial"/>
      <w:b w:val="0"/>
      <w:bCs/>
      <w:caps w:val="0"/>
      <w:color w:val="FFFFFF"/>
      <w:sz w:val="48"/>
      <w:szCs w:val="40"/>
      <w:lang w:val="en-GB"/>
    </w:rPr>
  </w:style>
  <w:style w:type="paragraph" w:customStyle="1" w:styleId="Contentsbodystyle">
    <w:name w:val="Contents body style"/>
    <w:basedOn w:val="Normal"/>
    <w:link w:val="ContentsbodystyleChar"/>
    <w:qFormat/>
    <w:rsid w:val="008D2192"/>
    <w:pPr>
      <w:suppressAutoHyphens/>
      <w:autoSpaceDE w:val="0"/>
      <w:autoSpaceDN w:val="0"/>
      <w:adjustRightInd w:val="0"/>
      <w:spacing w:after="0" w:line="288" w:lineRule="auto"/>
      <w:textAlignment w:val="center"/>
    </w:pPr>
    <w:rPr>
      <w:rFonts w:cs="Arial"/>
      <w:bCs/>
      <w:color w:val="FFFFFF"/>
      <w:szCs w:val="24"/>
      <w:lang w:val="en-GB"/>
    </w:rPr>
  </w:style>
  <w:style w:type="character" w:customStyle="1" w:styleId="ContentsbodystyleChar">
    <w:name w:val="Contents body style Char"/>
    <w:link w:val="Contentsbodystyle"/>
    <w:rsid w:val="008D2192"/>
    <w:rPr>
      <w:rFonts w:ascii="Arial" w:hAnsi="Arial" w:cs="Arial"/>
      <w:b w:val="0"/>
      <w:bCs/>
      <w:color w:val="FFFFFF"/>
      <w:sz w:val="24"/>
      <w:szCs w:val="24"/>
      <w:lang w:val="en-GB"/>
    </w:rPr>
  </w:style>
  <w:style w:type="paragraph" w:styleId="TOCHeading">
    <w:name w:val="TOC Heading"/>
    <w:basedOn w:val="Heading1"/>
    <w:next w:val="Normal"/>
    <w:uiPriority w:val="39"/>
    <w:unhideWhenUsed/>
    <w:qFormat/>
    <w:rsid w:val="0081429B"/>
    <w:pPr>
      <w:spacing w:line="276" w:lineRule="auto"/>
      <w:outlineLvl w:val="9"/>
    </w:pPr>
    <w:rPr>
      <w:lang w:val="en-US" w:eastAsia="ja-JP"/>
    </w:rPr>
  </w:style>
  <w:style w:type="paragraph" w:styleId="TOC2">
    <w:name w:val="toc 2"/>
    <w:basedOn w:val="Contentsbodystyle"/>
    <w:next w:val="Normal"/>
    <w:autoRedefine/>
    <w:uiPriority w:val="39"/>
    <w:unhideWhenUsed/>
    <w:qFormat/>
    <w:rsid w:val="006C3E2B"/>
    <w:pPr>
      <w:spacing w:after="100" w:line="276" w:lineRule="auto"/>
      <w:ind w:left="220"/>
    </w:pPr>
    <w:rPr>
      <w:rFonts w:cs="Times New Roman"/>
      <w:szCs w:val="22"/>
      <w:lang w:val="en-US" w:eastAsia="ja-JP"/>
    </w:rPr>
  </w:style>
  <w:style w:type="paragraph" w:styleId="TOC1">
    <w:name w:val="toc 1"/>
    <w:basedOn w:val="Contentsbodystyle"/>
    <w:next w:val="Normal"/>
    <w:autoRedefine/>
    <w:uiPriority w:val="39"/>
    <w:unhideWhenUsed/>
    <w:qFormat/>
    <w:rsid w:val="006C3E2B"/>
    <w:pPr>
      <w:spacing w:after="100" w:line="276" w:lineRule="auto"/>
    </w:pPr>
    <w:rPr>
      <w:rFonts w:cs="Times New Roman"/>
      <w:szCs w:val="22"/>
      <w:lang w:val="en-US" w:eastAsia="ja-JP"/>
    </w:rPr>
  </w:style>
  <w:style w:type="paragraph" w:styleId="TOC3">
    <w:name w:val="toc 3"/>
    <w:basedOn w:val="Contentsbodystyle"/>
    <w:next w:val="Normal"/>
    <w:autoRedefine/>
    <w:uiPriority w:val="39"/>
    <w:unhideWhenUsed/>
    <w:qFormat/>
    <w:rsid w:val="006C3E2B"/>
    <w:pPr>
      <w:spacing w:after="100" w:line="276" w:lineRule="auto"/>
      <w:ind w:left="440"/>
    </w:pPr>
    <w:rPr>
      <w:rFonts w:cs="Times New Roman"/>
      <w:szCs w:val="22"/>
      <w:lang w:val="en-US" w:eastAsia="ja-JP"/>
    </w:rPr>
  </w:style>
  <w:style w:type="character" w:styleId="Hyperlink">
    <w:name w:val="Hyperlink"/>
    <w:uiPriority w:val="99"/>
    <w:unhideWhenUsed/>
    <w:rsid w:val="006F657C"/>
    <w:rPr>
      <w:color w:val="0000FF"/>
      <w:u w:val="single"/>
    </w:rPr>
  </w:style>
  <w:style w:type="paragraph" w:styleId="Title">
    <w:name w:val="Title"/>
    <w:basedOn w:val="Normal"/>
    <w:next w:val="Normal"/>
    <w:link w:val="TitleChar"/>
    <w:uiPriority w:val="10"/>
    <w:rsid w:val="00305010"/>
    <w:pPr>
      <w:spacing w:after="300"/>
      <w:contextualSpacing/>
    </w:pPr>
    <w:rPr>
      <w:color w:val="FFFFFF"/>
      <w:spacing w:val="5"/>
      <w:kern w:val="28"/>
      <w:sz w:val="52"/>
      <w:szCs w:val="52"/>
    </w:rPr>
  </w:style>
  <w:style w:type="character" w:customStyle="1" w:styleId="TitleChar">
    <w:name w:val="Title Char"/>
    <w:link w:val="Title"/>
    <w:uiPriority w:val="10"/>
    <w:rsid w:val="00305010"/>
    <w:rPr>
      <w:rFonts w:ascii="Arial" w:eastAsia="Times New Roman" w:hAnsi="Arial" w:cs="Times New Roman"/>
      <w:color w:val="FFFFFF"/>
      <w:spacing w:val="5"/>
      <w:kern w:val="28"/>
      <w:sz w:val="52"/>
      <w:szCs w:val="52"/>
    </w:rPr>
  </w:style>
  <w:style w:type="paragraph" w:styleId="ListParagraph">
    <w:name w:val="List Paragraph"/>
    <w:basedOn w:val="Normal"/>
    <w:uiPriority w:val="34"/>
    <w:rsid w:val="008D2192"/>
    <w:pPr>
      <w:ind w:left="720"/>
      <w:contextualSpacing/>
    </w:pPr>
  </w:style>
  <w:style w:type="table" w:styleId="TableGrid">
    <w:name w:val="Table Grid"/>
    <w:basedOn w:val="TableNormal"/>
    <w:uiPriority w:val="59"/>
    <w:rsid w:val="00624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IPAustraliatabletemplate">
    <w:name w:val="IP Australia table template"/>
    <w:basedOn w:val="TableNormal"/>
    <w:uiPriority w:val="99"/>
    <w:rsid w:val="00671828"/>
    <w:rPr>
      <w:rFonts w:ascii="Arial" w:hAnsi="Arial"/>
      <w:sz w:val="18"/>
    </w:rPr>
    <w:tblPr>
      <w:tblStyleRowBandSize w:val="1"/>
      <w:tblCellSpacing w:w="8" w:type="dxa"/>
      <w:tblInd w:w="0" w:type="dxa"/>
      <w:tblCellMar>
        <w:top w:w="0" w:type="dxa"/>
        <w:left w:w="108" w:type="dxa"/>
        <w:bottom w:w="0" w:type="dxa"/>
        <w:right w:w="108" w:type="dxa"/>
      </w:tblCellMar>
    </w:tblPr>
    <w:trPr>
      <w:tblCellSpacing w:w="8" w:type="dxa"/>
    </w:trPr>
    <w:tcPr>
      <w:shd w:val="clear" w:color="auto" w:fill="auto"/>
    </w:tcPr>
    <w:tblStylePr w:type="firstRow">
      <w:rPr>
        <w:rFonts w:ascii="Arial" w:hAnsi="Arial"/>
        <w:b/>
        <w:sz w:val="18"/>
      </w:rPr>
      <w:tblPr/>
      <w:tcPr>
        <w:tcBorders>
          <w:top w:val="nil"/>
          <w:left w:val="nil"/>
          <w:bottom w:val="nil"/>
          <w:right w:val="nil"/>
          <w:insideH w:val="nil"/>
          <w:insideV w:val="nil"/>
          <w:tl2br w:val="nil"/>
          <w:tr2bl w:val="nil"/>
        </w:tcBorders>
        <w:shd w:val="clear" w:color="auto" w:fill="622066"/>
      </w:tcPr>
    </w:tblStylePr>
    <w:tblStylePr w:type="lastRow">
      <w:rPr>
        <w:rFonts w:ascii="Arial" w:hAnsi="Arial"/>
        <w:b/>
        <w:sz w:val="18"/>
      </w:rPr>
      <w:tblPr/>
      <w:tcPr>
        <w:tcBorders>
          <w:top w:val="nil"/>
          <w:left w:val="nil"/>
          <w:bottom w:val="nil"/>
          <w:right w:val="nil"/>
          <w:insideH w:val="nil"/>
          <w:insideV w:val="nil"/>
          <w:tl2br w:val="nil"/>
          <w:tr2bl w:val="nil"/>
        </w:tcBorders>
        <w:shd w:val="clear" w:color="auto" w:fill="FFFDE9"/>
      </w:tcPr>
    </w:tblStylePr>
    <w:tblStylePr w:type="firstCol">
      <w:rPr>
        <w:rFonts w:ascii="Arial" w:hAnsi="Arial"/>
        <w:b/>
        <w:sz w:val="18"/>
      </w:rPr>
      <w:tblPr/>
      <w:tcPr>
        <w:tcBorders>
          <w:top w:val="nil"/>
          <w:left w:val="nil"/>
          <w:bottom w:val="nil"/>
          <w:right w:val="nil"/>
          <w:insideH w:val="nil"/>
          <w:insideV w:val="nil"/>
          <w:tl2br w:val="nil"/>
          <w:tr2bl w:val="nil"/>
        </w:tcBorders>
        <w:shd w:val="clear" w:color="auto" w:fill="622066"/>
      </w:tcPr>
    </w:tblStylePr>
    <w:tblStylePr w:type="band1Horz">
      <w:tblPr/>
      <w:tcPr>
        <w:tcBorders>
          <w:top w:val="nil"/>
          <w:left w:val="nil"/>
          <w:bottom w:val="nil"/>
          <w:right w:val="nil"/>
          <w:insideH w:val="nil"/>
          <w:insideV w:val="nil"/>
          <w:tl2br w:val="nil"/>
          <w:tr2bl w:val="nil"/>
        </w:tcBorders>
        <w:shd w:val="clear" w:color="auto" w:fill="F0E7EE"/>
      </w:tcPr>
    </w:tblStylePr>
    <w:tblStylePr w:type="band2Horz">
      <w:tblPr/>
      <w:tcPr>
        <w:tcBorders>
          <w:top w:val="nil"/>
          <w:left w:val="nil"/>
          <w:bottom w:val="nil"/>
          <w:right w:val="nil"/>
          <w:insideH w:val="nil"/>
          <w:insideV w:val="nil"/>
          <w:tl2br w:val="nil"/>
          <w:tr2bl w:val="nil"/>
        </w:tcBorders>
        <w:shd w:val="clear" w:color="auto" w:fill="E1D0DE"/>
      </w:tcPr>
    </w:tblStylePr>
    <w:tblStylePr w:type="swCell">
      <w:tblPr/>
      <w:tcPr>
        <w:tcBorders>
          <w:top w:val="nil"/>
          <w:left w:val="nil"/>
          <w:bottom w:val="nil"/>
          <w:right w:val="nil"/>
          <w:insideH w:val="nil"/>
          <w:insideV w:val="nil"/>
          <w:tl2br w:val="nil"/>
          <w:tr2bl w:val="nil"/>
        </w:tcBorders>
        <w:shd w:val="clear" w:color="auto" w:fill="622066"/>
      </w:tcPr>
    </w:tblStylePr>
  </w:style>
  <w:style w:type="paragraph" w:styleId="FootnoteText">
    <w:name w:val="footnote text"/>
    <w:basedOn w:val="Normal"/>
    <w:link w:val="FootnoteTextChar"/>
    <w:rsid w:val="00316615"/>
    <w:pPr>
      <w:spacing w:before="0" w:after="0"/>
    </w:pPr>
    <w:rPr>
      <w:rFonts w:ascii="Times New Roman" w:hAnsi="Times New Roman"/>
      <w:sz w:val="20"/>
    </w:rPr>
  </w:style>
  <w:style w:type="character" w:customStyle="1" w:styleId="FootnoteTextChar">
    <w:name w:val="Footnote Text Char"/>
    <w:basedOn w:val="DefaultParagraphFont"/>
    <w:link w:val="FootnoteText"/>
    <w:rsid w:val="00316615"/>
  </w:style>
  <w:style w:type="character" w:styleId="FootnoteReference">
    <w:name w:val="footnote reference"/>
    <w:basedOn w:val="DefaultParagraphFont"/>
    <w:rsid w:val="00316615"/>
    <w:rPr>
      <w:vertAlign w:val="superscript"/>
    </w:rPr>
  </w:style>
  <w:style w:type="character" w:styleId="CommentReference">
    <w:name w:val="annotation reference"/>
    <w:basedOn w:val="DefaultParagraphFont"/>
    <w:rsid w:val="00C25B9B"/>
    <w:rPr>
      <w:sz w:val="16"/>
      <w:szCs w:val="16"/>
    </w:rPr>
  </w:style>
  <w:style w:type="paragraph" w:styleId="CommentText">
    <w:name w:val="annotation text"/>
    <w:basedOn w:val="Normal"/>
    <w:link w:val="CommentTextChar"/>
    <w:rsid w:val="00C25B9B"/>
    <w:pPr>
      <w:spacing w:before="0" w:after="0"/>
    </w:pPr>
    <w:rPr>
      <w:rFonts w:ascii="Times New Roman" w:hAnsi="Times New Roman"/>
      <w:sz w:val="20"/>
    </w:rPr>
  </w:style>
  <w:style w:type="character" w:customStyle="1" w:styleId="CommentTextChar">
    <w:name w:val="Comment Text Char"/>
    <w:basedOn w:val="DefaultParagraphFont"/>
    <w:link w:val="CommentText"/>
    <w:rsid w:val="00C25B9B"/>
  </w:style>
  <w:style w:type="paragraph" w:styleId="CommentSubject">
    <w:name w:val="annotation subject"/>
    <w:basedOn w:val="CommentText"/>
    <w:next w:val="CommentText"/>
    <w:link w:val="CommentSubjectChar"/>
    <w:uiPriority w:val="99"/>
    <w:semiHidden/>
    <w:unhideWhenUsed/>
    <w:rsid w:val="00BF0960"/>
    <w:pPr>
      <w:spacing w:before="120" w:after="120"/>
    </w:pPr>
    <w:rPr>
      <w:rFonts w:ascii="Arial" w:hAnsi="Arial"/>
      <w:b/>
      <w:bCs/>
    </w:rPr>
  </w:style>
  <w:style w:type="character" w:customStyle="1" w:styleId="CommentSubjectChar">
    <w:name w:val="Comment Subject Char"/>
    <w:basedOn w:val="CommentTextChar"/>
    <w:link w:val="CommentSubject"/>
    <w:uiPriority w:val="99"/>
    <w:semiHidden/>
    <w:rsid w:val="00BF0960"/>
    <w:rPr>
      <w:rFonts w:ascii="Arial" w:hAnsi="Arial"/>
      <w:b/>
      <w:bCs/>
    </w:rPr>
  </w:style>
  <w:style w:type="character" w:styleId="FollowedHyperlink">
    <w:name w:val="FollowedHyperlink"/>
    <w:basedOn w:val="DefaultParagraphFont"/>
    <w:uiPriority w:val="99"/>
    <w:semiHidden/>
    <w:unhideWhenUsed/>
    <w:rsid w:val="006A45C8"/>
    <w:rPr>
      <w:color w:val="800080" w:themeColor="followedHyperlink"/>
      <w:u w:val="single"/>
    </w:rPr>
  </w:style>
  <w:style w:type="paragraph" w:styleId="Revision">
    <w:name w:val="Revision"/>
    <w:hidden/>
    <w:uiPriority w:val="99"/>
    <w:semiHidden/>
    <w:rsid w:val="00B435A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yperlink" Target="http://www.legislation.govt.nz/act/public/2010/0015/latest/DLM2852841.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www.comlaw.gov.au/Details/C2014B00040" TargetMode="External"/><Relationship Id="rId36"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www.legislation.govt.nz/act/public/2013/0068/latest/whol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www.comlaw.gov.au/Details/C2014C00180" TargetMode="External"/><Relationship Id="rId30" Type="http://schemas.openxmlformats.org/officeDocument/2006/relationships/hyperlink" Target="http://www.legislation.govt.nz/act/public/2011/0071/latest/DLM2290001.html" TargetMode="External"/><Relationship Id="rId35" Type="http://schemas.openxmlformats.org/officeDocument/2006/relationships/footer" Target="footer8.xml"/></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ttoig.treasury.gov.au/content/six_monthly/downloads/may_2014.pdf" TargetMode="External"/><Relationship Id="rId2" Type="http://schemas.openxmlformats.org/officeDocument/2006/relationships/hyperlink" Target="http://ttoig.treasury.gov.au/content/outcomes_proposals_20110207.asp" TargetMode="External"/><Relationship Id="rId1" Type="http://schemas.openxmlformats.org/officeDocument/2006/relationships/hyperlink" Target="https://www.coag.gov.au/sites/default/files/ttmra.pdf" TargetMode="External"/><Relationship Id="rId5" Type="http://schemas.openxmlformats.org/officeDocument/2006/relationships/hyperlink" Target="http://www.wipo.int/ipstats/en/statistics/country_profile/" TargetMode="External"/><Relationship Id="rId4" Type="http://schemas.openxmlformats.org/officeDocument/2006/relationships/hyperlink" Target="http://www.wto.org/english/docs_e/legal_e/27-trip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588C3-9375-46B9-B8C7-9738CF786517}">
  <ds:schemaRef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DF6F4A4-3960-4FA1-A49A-EE624DE998E9}">
  <ds:schemaRefs>
    <ds:schemaRef ds:uri="http://schemas.microsoft.com/sharepoint/events"/>
  </ds:schemaRefs>
</ds:datastoreItem>
</file>

<file path=customXml/itemProps3.xml><?xml version="1.0" encoding="utf-8"?>
<ds:datastoreItem xmlns:ds="http://schemas.openxmlformats.org/officeDocument/2006/customXml" ds:itemID="{8E86A9F6-76DE-48C8-950B-E8C659F42D2F}">
  <ds:schemaRefs>
    <ds:schemaRef ds:uri="http://schemas.microsoft.com/office/2006/metadata/customXsn"/>
  </ds:schemaRefs>
</ds:datastoreItem>
</file>

<file path=customXml/itemProps4.xml><?xml version="1.0" encoding="utf-8"?>
<ds:datastoreItem xmlns:ds="http://schemas.openxmlformats.org/officeDocument/2006/customXml" ds:itemID="{9E9CC082-E197-4B9C-9747-83B7E0C5FE10}">
  <ds:schemaRefs>
    <ds:schemaRef ds:uri="http://schemas.microsoft.com/sharepoint/v3/contenttype/forms"/>
  </ds:schemaRefs>
</ds:datastoreItem>
</file>

<file path=customXml/itemProps5.xml><?xml version="1.0" encoding="utf-8"?>
<ds:datastoreItem xmlns:ds="http://schemas.openxmlformats.org/officeDocument/2006/customXml" ds:itemID="{4133DD03-44CA-47D2-A236-327D9312C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65CAD05D-8064-48F4-A9C6-FD67BF76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2876</Words>
  <Characters>17216</Characters>
  <Application>Microsoft Office Word</Application>
  <DocSecurity>0</DocSecurity>
  <Lines>409</Lines>
  <Paragraphs>200</Paragraphs>
  <ScaleCrop>false</ScaleCrop>
  <HeadingPairs>
    <vt:vector size="2" baseType="variant">
      <vt:variant>
        <vt:lpstr>Title</vt:lpstr>
      </vt:variant>
      <vt:variant>
        <vt:i4>1</vt:i4>
      </vt:variant>
    </vt:vector>
  </HeadingPairs>
  <TitlesOfParts>
    <vt:vector size="1" baseType="lpstr">
      <vt:lpstr>Submission 38 - IP Australia - Mutual Recognition Schemes - Commissioned study</vt:lpstr>
    </vt:vector>
  </TitlesOfParts>
  <Company>IP Australia</Company>
  <LinksUpToDate>false</LinksUpToDate>
  <CharactersWithSpaces>19892</CharactersWithSpaces>
  <SharedDoc>false</SharedDoc>
  <HLinks>
    <vt:vector size="18" baseType="variant">
      <vt:variant>
        <vt:i4>1638448</vt:i4>
      </vt:variant>
      <vt:variant>
        <vt:i4>14</vt:i4>
      </vt:variant>
      <vt:variant>
        <vt:i4>0</vt:i4>
      </vt:variant>
      <vt:variant>
        <vt:i4>5</vt:i4>
      </vt:variant>
      <vt:variant>
        <vt:lpwstr/>
      </vt:variant>
      <vt:variant>
        <vt:lpwstr>_Toc374544381</vt:lpwstr>
      </vt:variant>
      <vt:variant>
        <vt:i4>1638448</vt:i4>
      </vt:variant>
      <vt:variant>
        <vt:i4>8</vt:i4>
      </vt:variant>
      <vt:variant>
        <vt:i4>0</vt:i4>
      </vt:variant>
      <vt:variant>
        <vt:i4>5</vt:i4>
      </vt:variant>
      <vt:variant>
        <vt:lpwstr/>
      </vt:variant>
      <vt:variant>
        <vt:lpwstr>_Toc374544380</vt:lpwstr>
      </vt:variant>
      <vt:variant>
        <vt:i4>1441840</vt:i4>
      </vt:variant>
      <vt:variant>
        <vt:i4>2</vt:i4>
      </vt:variant>
      <vt:variant>
        <vt:i4>0</vt:i4>
      </vt:variant>
      <vt:variant>
        <vt:i4>5</vt:i4>
      </vt:variant>
      <vt:variant>
        <vt:lpwstr/>
      </vt:variant>
      <vt:variant>
        <vt:lpwstr>_Toc374544379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38 - IP Australia - Mutual Recognition Schemes - Commissioned study</dc:title>
  <dc:creator>IP Australia</dc:creator>
  <cp:lastModifiedBy>Mark Pimperl</cp:lastModifiedBy>
  <cp:revision>6</cp:revision>
  <cp:lastPrinted>2015-02-25T22:40:00Z</cp:lastPrinted>
  <dcterms:created xsi:type="dcterms:W3CDTF">2015-03-03T05:40:00Z</dcterms:created>
  <dcterms:modified xsi:type="dcterms:W3CDTF">2015-03-04T04:57:00Z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y fmtid="{D5CDD505-2E9C-101B-9397-08002B2CF9AE}" pid="3" name="Order">
    <vt:r8>4400</vt:r8>
  </property>
  <property fmtid="{D5CDD505-2E9C-101B-9397-08002B2CF9AE}" pid="4" name="RecordPoint_WorkflowType">
    <vt:lpwstr/>
  </property>
  <property fmtid="{D5CDD505-2E9C-101B-9397-08002B2CF9AE}" pid="5" name="RecordPoint_ActiveItemSiteId">
    <vt:lpwstr/>
  </property>
  <property fmtid="{D5CDD505-2E9C-101B-9397-08002B2CF9AE}" pid="6" name="RecordPoint_ActiveItemListId">
    <vt:lpwstr/>
  </property>
  <property fmtid="{D5CDD505-2E9C-101B-9397-08002B2CF9AE}" pid="7" name="RecordPoint_ActiveItemUniqueId">
    <vt:lpwstr/>
  </property>
  <property fmtid="{D5CDD505-2E9C-101B-9397-08002B2CF9AE}" pid="8" name="RecordPoint_ActiveItemWebId">
    <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
  </property>
</Properties>
</file>