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45" w:rsidRPr="00157645" w:rsidRDefault="00157645" w:rsidP="00157645">
      <w:pPr>
        <w:jc w:val="both"/>
        <w:rPr>
          <w:rFonts w:ascii="Arial" w:eastAsia="Times New Roman" w:hAnsi="Arial" w:cs="Arial"/>
          <w:b/>
          <w:color w:val="000000"/>
          <w:lang w:eastAsia="en-AU"/>
        </w:rPr>
      </w:pPr>
      <w:r w:rsidRPr="00157645">
        <w:rPr>
          <w:rFonts w:ascii="Arial" w:eastAsia="Times New Roman" w:hAnsi="Arial" w:cs="Arial"/>
          <w:b/>
          <w:noProof/>
          <w:color w:val="000000"/>
          <w:lang w:eastAsia="en-AU"/>
        </w:rPr>
        <w:drawing>
          <wp:inline distT="0" distB="0" distL="0" distR="0" wp14:anchorId="05BE20E5" wp14:editId="6A00AE1B">
            <wp:extent cx="2692400" cy="1841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IAGraphics_Logo_Colour - Copy.jpg"/>
                    <pic:cNvPicPr/>
                  </pic:nvPicPr>
                  <pic:blipFill>
                    <a:blip r:embed="rId14">
                      <a:extLst>
                        <a:ext uri="{28A0092B-C50C-407E-A947-70E740481C1C}">
                          <a14:useLocalDpi xmlns:a14="http://schemas.microsoft.com/office/drawing/2010/main" val="0"/>
                        </a:ext>
                      </a:extLst>
                    </a:blip>
                    <a:stretch>
                      <a:fillRect/>
                    </a:stretch>
                  </pic:blipFill>
                  <pic:spPr>
                    <a:xfrm>
                      <a:off x="0" y="0"/>
                      <a:ext cx="2692400" cy="1841500"/>
                    </a:xfrm>
                    <a:prstGeom prst="rect">
                      <a:avLst/>
                    </a:prstGeom>
                  </pic:spPr>
                </pic:pic>
              </a:graphicData>
            </a:graphic>
          </wp:inline>
        </w:drawing>
      </w:r>
    </w:p>
    <w:p w:rsidR="00157645" w:rsidRPr="00157645" w:rsidRDefault="00157645" w:rsidP="00157645">
      <w:pPr>
        <w:jc w:val="both"/>
        <w:rPr>
          <w:rFonts w:ascii="Arial" w:eastAsia="Times New Roman" w:hAnsi="Arial" w:cs="Arial"/>
          <w:b/>
          <w:color w:val="000000"/>
          <w:lang w:eastAsia="en-AU"/>
        </w:rPr>
      </w:pPr>
    </w:p>
    <w:p w:rsidR="00157645" w:rsidRPr="00157645" w:rsidRDefault="00157645" w:rsidP="00157645">
      <w:pPr>
        <w:jc w:val="both"/>
        <w:rPr>
          <w:rFonts w:ascii="Arial" w:eastAsia="Times New Roman" w:hAnsi="Arial" w:cs="Arial"/>
          <w:b/>
          <w:color w:val="000000"/>
          <w:lang w:eastAsia="en-AU"/>
        </w:rPr>
      </w:pPr>
    </w:p>
    <w:p w:rsidR="00157645" w:rsidRPr="00157645" w:rsidRDefault="00157645" w:rsidP="00157645">
      <w:pPr>
        <w:jc w:val="both"/>
        <w:rPr>
          <w:rFonts w:ascii="Arial" w:eastAsia="Times New Roman" w:hAnsi="Arial" w:cs="Arial"/>
          <w:b/>
          <w:color w:val="000000"/>
          <w:lang w:eastAsia="en-AU"/>
        </w:rPr>
      </w:pPr>
    </w:p>
    <w:p w:rsidR="00157645" w:rsidRPr="00157645" w:rsidRDefault="00157645" w:rsidP="00157645">
      <w:pPr>
        <w:jc w:val="both"/>
        <w:rPr>
          <w:rFonts w:ascii="Arial" w:eastAsia="Times New Roman" w:hAnsi="Arial" w:cs="Arial"/>
          <w:b/>
          <w:color w:val="000000"/>
          <w:lang w:eastAsia="en-AU"/>
        </w:rPr>
      </w:pPr>
    </w:p>
    <w:p w:rsidR="00157645" w:rsidRPr="00157645" w:rsidRDefault="00157645" w:rsidP="00157645">
      <w:pPr>
        <w:jc w:val="both"/>
        <w:rPr>
          <w:rFonts w:ascii="Arial" w:eastAsia="Times New Roman" w:hAnsi="Arial" w:cs="Arial"/>
          <w:b/>
          <w:color w:val="000000"/>
          <w:lang w:eastAsia="en-AU"/>
        </w:rPr>
      </w:pPr>
    </w:p>
    <w:p w:rsidR="00157645" w:rsidRPr="00E7185A" w:rsidRDefault="00157645" w:rsidP="00280046">
      <w:pPr>
        <w:spacing w:after="0" w:line="240" w:lineRule="auto"/>
        <w:jc w:val="center"/>
        <w:rPr>
          <w:rFonts w:ascii="Arial" w:eastAsia="Times New Roman" w:hAnsi="Arial" w:cs="Arial"/>
          <w:b/>
          <w:i/>
          <w:color w:val="000000"/>
          <w:lang w:eastAsia="en-AU"/>
        </w:rPr>
      </w:pPr>
      <w:r w:rsidRPr="00157645">
        <w:rPr>
          <w:rFonts w:ascii="Arial" w:eastAsia="Times New Roman" w:hAnsi="Arial" w:cs="Arial"/>
          <w:b/>
          <w:color w:val="000000"/>
          <w:sz w:val="36"/>
          <w:szCs w:val="36"/>
          <w:lang w:eastAsia="en-AU"/>
        </w:rPr>
        <w:t xml:space="preserve">REIA </w:t>
      </w:r>
      <w:r w:rsidR="00280046">
        <w:rPr>
          <w:rFonts w:ascii="Arial" w:eastAsia="Times New Roman" w:hAnsi="Arial" w:cs="Arial"/>
          <w:b/>
          <w:color w:val="000000"/>
          <w:sz w:val="36"/>
          <w:szCs w:val="36"/>
          <w:lang w:eastAsia="en-AU"/>
        </w:rPr>
        <w:t xml:space="preserve">RESPONSE TO THE </w:t>
      </w:r>
      <w:r w:rsidR="00E7185A">
        <w:rPr>
          <w:rFonts w:ascii="Arial" w:eastAsia="Times New Roman" w:hAnsi="Arial" w:cs="Arial"/>
          <w:b/>
          <w:color w:val="000000"/>
          <w:sz w:val="36"/>
          <w:szCs w:val="36"/>
          <w:lang w:eastAsia="en-AU"/>
        </w:rPr>
        <w:t xml:space="preserve">PRODUCTIVITY COMMISSION’S ISSUES </w:t>
      </w:r>
      <w:r w:rsidR="00325A8A">
        <w:rPr>
          <w:rFonts w:ascii="Arial" w:eastAsia="Times New Roman" w:hAnsi="Arial" w:cs="Arial"/>
          <w:b/>
          <w:color w:val="000000"/>
          <w:sz w:val="36"/>
          <w:szCs w:val="36"/>
          <w:lang w:eastAsia="en-AU"/>
        </w:rPr>
        <w:t xml:space="preserve">PAPER </w:t>
      </w:r>
      <w:r w:rsidR="00E7185A">
        <w:rPr>
          <w:rFonts w:ascii="Arial" w:eastAsia="Times New Roman" w:hAnsi="Arial" w:cs="Arial"/>
          <w:b/>
          <w:color w:val="000000"/>
          <w:sz w:val="36"/>
          <w:szCs w:val="36"/>
          <w:lang w:eastAsia="en-AU"/>
        </w:rPr>
        <w:t xml:space="preserve">ON </w:t>
      </w:r>
      <w:r w:rsidR="00E7185A" w:rsidRPr="00E7185A">
        <w:rPr>
          <w:rFonts w:ascii="Arial" w:eastAsia="Times New Roman" w:hAnsi="Arial" w:cs="Arial"/>
          <w:b/>
          <w:i/>
          <w:color w:val="000000"/>
          <w:sz w:val="36"/>
          <w:szCs w:val="36"/>
          <w:lang w:eastAsia="en-AU"/>
        </w:rPr>
        <w:t>MUTUAL RECOGNITION SCHEMES</w:t>
      </w:r>
    </w:p>
    <w:p w:rsidR="00157645" w:rsidRPr="00157645" w:rsidRDefault="00157645" w:rsidP="00157645">
      <w:pPr>
        <w:jc w:val="both"/>
        <w:rPr>
          <w:rFonts w:ascii="Arial" w:eastAsia="Times New Roman" w:hAnsi="Arial" w:cs="Arial"/>
          <w:b/>
          <w:color w:val="000000"/>
          <w:lang w:eastAsia="en-AU"/>
        </w:rPr>
      </w:pPr>
    </w:p>
    <w:p w:rsidR="00157645" w:rsidRPr="00157645" w:rsidRDefault="00157645" w:rsidP="00157645">
      <w:pPr>
        <w:jc w:val="both"/>
        <w:rPr>
          <w:rFonts w:ascii="Arial" w:eastAsia="Times New Roman" w:hAnsi="Arial" w:cs="Arial"/>
          <w:b/>
          <w:color w:val="000000"/>
          <w:sz w:val="28"/>
          <w:szCs w:val="28"/>
          <w:lang w:eastAsia="en-AU"/>
        </w:rPr>
      </w:pPr>
      <w:r w:rsidRPr="00157645">
        <w:rPr>
          <w:rFonts w:ascii="Arial" w:eastAsia="Times New Roman" w:hAnsi="Arial" w:cs="Arial"/>
          <w:b/>
          <w:color w:val="000000"/>
          <w:sz w:val="28"/>
          <w:szCs w:val="28"/>
          <w:lang w:eastAsia="en-AU"/>
        </w:rPr>
        <w:t xml:space="preserve">                                        </w:t>
      </w:r>
      <w:r w:rsidR="005417A6">
        <w:rPr>
          <w:rFonts w:ascii="Arial" w:eastAsia="Times New Roman" w:hAnsi="Arial" w:cs="Arial"/>
          <w:b/>
          <w:color w:val="000000"/>
          <w:sz w:val="28"/>
          <w:szCs w:val="28"/>
          <w:lang w:eastAsia="en-AU"/>
        </w:rPr>
        <w:t xml:space="preserve">FEBRUARY </w:t>
      </w:r>
      <w:r w:rsidRPr="00157645">
        <w:rPr>
          <w:rFonts w:ascii="Arial" w:eastAsia="Times New Roman" w:hAnsi="Arial" w:cs="Arial"/>
          <w:b/>
          <w:color w:val="000000"/>
          <w:sz w:val="28"/>
          <w:szCs w:val="28"/>
          <w:lang w:eastAsia="en-AU"/>
        </w:rPr>
        <w:t>201</w:t>
      </w:r>
      <w:r w:rsidR="005417A6">
        <w:rPr>
          <w:rFonts w:ascii="Arial" w:eastAsia="Times New Roman" w:hAnsi="Arial" w:cs="Arial"/>
          <w:b/>
          <w:color w:val="000000"/>
          <w:sz w:val="28"/>
          <w:szCs w:val="28"/>
          <w:lang w:eastAsia="en-AU"/>
        </w:rPr>
        <w:t>5</w:t>
      </w: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r w:rsidRPr="00157645">
        <w:rPr>
          <w:rFonts w:ascii="Arial" w:hAnsi="Arial" w:cs="Arial"/>
          <w:b/>
        </w:rPr>
        <w:t>PREPARED BY</w:t>
      </w: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r w:rsidRPr="00157645">
        <w:rPr>
          <w:rFonts w:ascii="Arial" w:hAnsi="Arial" w:cs="Arial"/>
          <w:b/>
        </w:rPr>
        <w:t xml:space="preserve">Real Estate Institute of Australia (REIA) </w:t>
      </w:r>
    </w:p>
    <w:p w:rsidR="00157645" w:rsidRPr="00157645" w:rsidRDefault="00157645" w:rsidP="00157645">
      <w:pPr>
        <w:spacing w:after="0" w:line="240" w:lineRule="auto"/>
        <w:jc w:val="both"/>
        <w:rPr>
          <w:rFonts w:ascii="Arial" w:hAnsi="Arial" w:cs="Arial"/>
        </w:rPr>
      </w:pPr>
      <w:r w:rsidRPr="00157645">
        <w:rPr>
          <w:rFonts w:ascii="Arial" w:hAnsi="Arial" w:cs="Arial"/>
        </w:rPr>
        <w:t>PO Box 234</w:t>
      </w:r>
    </w:p>
    <w:p w:rsidR="00157645" w:rsidRPr="00157645" w:rsidRDefault="00157645" w:rsidP="00157645">
      <w:pPr>
        <w:spacing w:after="0" w:line="240" w:lineRule="auto"/>
        <w:jc w:val="both"/>
        <w:rPr>
          <w:rFonts w:ascii="Arial" w:hAnsi="Arial" w:cs="Arial"/>
        </w:rPr>
      </w:pPr>
      <w:r w:rsidRPr="00157645">
        <w:rPr>
          <w:rFonts w:ascii="Arial" w:hAnsi="Arial" w:cs="Arial"/>
        </w:rPr>
        <w:t>Deakin West ACT 2600</w:t>
      </w:r>
    </w:p>
    <w:p w:rsidR="00157645" w:rsidRPr="00157645" w:rsidRDefault="00157645" w:rsidP="00157645">
      <w:pPr>
        <w:spacing w:after="0" w:line="240" w:lineRule="auto"/>
        <w:jc w:val="both"/>
        <w:rPr>
          <w:rFonts w:ascii="Arial" w:hAnsi="Arial" w:cs="Arial"/>
        </w:rPr>
      </w:pPr>
      <w:r w:rsidRPr="00157645">
        <w:rPr>
          <w:rFonts w:ascii="Arial" w:hAnsi="Arial" w:cs="Arial"/>
        </w:rPr>
        <w:t>Amanda Lynch</w:t>
      </w:r>
    </w:p>
    <w:p w:rsidR="00157645" w:rsidRPr="00157645" w:rsidRDefault="00157645" w:rsidP="00157645">
      <w:pPr>
        <w:spacing w:after="0" w:line="240" w:lineRule="auto"/>
        <w:jc w:val="both"/>
        <w:rPr>
          <w:rFonts w:ascii="Arial" w:hAnsi="Arial" w:cs="Arial"/>
        </w:rPr>
      </w:pPr>
      <w:r w:rsidRPr="00157645">
        <w:rPr>
          <w:rFonts w:ascii="Arial" w:hAnsi="Arial" w:cs="Arial"/>
        </w:rPr>
        <w:t>Chief Executive Officer</w:t>
      </w:r>
    </w:p>
    <w:p w:rsidR="00157645" w:rsidRPr="00157645" w:rsidRDefault="00157645" w:rsidP="00157645">
      <w:pPr>
        <w:spacing w:after="0" w:line="240" w:lineRule="auto"/>
        <w:ind w:left="720"/>
        <w:rPr>
          <w:rFonts w:ascii="Arial" w:hAnsi="Arial" w:cs="Arial"/>
        </w:rPr>
      </w:pPr>
      <w:bookmarkStart w:id="0" w:name="_GoBack"/>
      <w:bookmarkEnd w:id="0"/>
      <w:r w:rsidRPr="00157645">
        <w:rPr>
          <w:rFonts w:ascii="Arial" w:hAnsi="Arial" w:cs="Arial"/>
          <w:noProof/>
          <w:color w:val="0000FF"/>
          <w:lang w:eastAsia="en-AU"/>
        </w:rPr>
        <w:drawing>
          <wp:inline distT="0" distB="0" distL="0" distR="0" wp14:anchorId="37243580" wp14:editId="0325345D">
            <wp:extent cx="199623" cy="199623"/>
            <wp:effectExtent l="0" t="0" r="0" b="0"/>
            <wp:docPr id="6" name="Picture 6"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782" cy="199782"/>
                    </a:xfrm>
                    <a:prstGeom prst="rect">
                      <a:avLst/>
                    </a:prstGeom>
                    <a:noFill/>
                    <a:ln>
                      <a:noFill/>
                    </a:ln>
                  </pic:spPr>
                </pic:pic>
              </a:graphicData>
            </a:graphic>
          </wp:inline>
        </w:drawing>
      </w:r>
      <w:r w:rsidRPr="00157645">
        <w:rPr>
          <w:rFonts w:ascii="Arial" w:hAnsi="Arial" w:cs="Arial"/>
        </w:rPr>
        <w:t xml:space="preserve"> </w:t>
      </w:r>
      <w:hyperlink r:id="rId17" w:history="1">
        <w:r w:rsidRPr="00157645">
          <w:rPr>
            <w:rStyle w:val="Hyperlink"/>
            <w:rFonts w:ascii="Arial" w:hAnsi="Arial" w:cs="Arial"/>
            <w:lang w:val="en"/>
          </w:rPr>
          <w:t>@</w:t>
        </w:r>
        <w:proofErr w:type="spellStart"/>
        <w:r w:rsidRPr="00157645">
          <w:rPr>
            <w:rStyle w:val="Hyperlink"/>
            <w:rFonts w:ascii="Arial" w:hAnsi="Arial" w:cs="Arial"/>
            <w:lang w:val="en"/>
          </w:rPr>
          <w:t>REIANational</w:t>
        </w:r>
        <w:proofErr w:type="spellEnd"/>
      </w:hyperlink>
      <w:r w:rsidRPr="00157645">
        <w:rPr>
          <w:rStyle w:val="screen-name4"/>
          <w:rFonts w:ascii="Arial" w:hAnsi="Arial" w:cs="Arial"/>
          <w:lang w:val="en"/>
        </w:rPr>
        <w:br/>
      </w:r>
      <w:r w:rsidRPr="00157645">
        <w:rPr>
          <w:rFonts w:ascii="Arial" w:hAnsi="Arial" w:cs="Arial"/>
          <w:noProof/>
          <w:lang w:eastAsia="en-AU"/>
        </w:rPr>
        <w:drawing>
          <wp:inline distT="0" distB="0" distL="0" distR="0" wp14:anchorId="4556847D" wp14:editId="23258BCD">
            <wp:extent cx="199623" cy="199623"/>
            <wp:effectExtent l="0" t="0" r="0" b="0"/>
            <wp:docPr id="7" name="Picture 7"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783" cy="199783"/>
                    </a:xfrm>
                    <a:prstGeom prst="rect">
                      <a:avLst/>
                    </a:prstGeom>
                    <a:noFill/>
                    <a:ln>
                      <a:noFill/>
                    </a:ln>
                  </pic:spPr>
                </pic:pic>
              </a:graphicData>
            </a:graphic>
          </wp:inline>
        </w:drawing>
      </w:r>
      <w:r w:rsidRPr="00157645">
        <w:rPr>
          <w:rStyle w:val="screen-name4"/>
          <w:rFonts w:ascii="Arial" w:hAnsi="Arial" w:cs="Arial"/>
          <w:lang w:val="en"/>
        </w:rPr>
        <w:t xml:space="preserve"> </w:t>
      </w:r>
      <w:hyperlink r:id="rId20" w:history="1">
        <w:r w:rsidRPr="00157645">
          <w:rPr>
            <w:rStyle w:val="Hyperlink"/>
            <w:rFonts w:ascii="Arial" w:hAnsi="Arial" w:cs="Arial"/>
            <w:lang w:val="en"/>
          </w:rPr>
          <w:t>REIA</w:t>
        </w:r>
      </w:hyperlink>
    </w:p>
    <w:p w:rsidR="009C56BF" w:rsidRPr="00157645" w:rsidRDefault="00157645" w:rsidP="00325A8A">
      <w:pPr>
        <w:rPr>
          <w:rFonts w:ascii="Arial" w:hAnsi="Arial" w:cs="Arial"/>
          <w:b/>
          <w:sz w:val="24"/>
          <w:szCs w:val="24"/>
        </w:rPr>
      </w:pPr>
      <w:r w:rsidRPr="00157645">
        <w:rPr>
          <w:rFonts w:ascii="Arial" w:hAnsi="Arial" w:cs="Arial"/>
          <w:b/>
          <w:sz w:val="24"/>
          <w:szCs w:val="24"/>
        </w:rPr>
        <w:br w:type="page"/>
      </w:r>
      <w:r w:rsidR="009C56BF" w:rsidRPr="00157645">
        <w:rPr>
          <w:rFonts w:ascii="Arial" w:hAnsi="Arial" w:cs="Arial"/>
          <w:b/>
          <w:sz w:val="24"/>
          <w:szCs w:val="24"/>
        </w:rPr>
        <w:lastRenderedPageBreak/>
        <w:t xml:space="preserve">REIA </w:t>
      </w:r>
      <w:r w:rsidR="00280046" w:rsidRPr="00280046">
        <w:rPr>
          <w:rFonts w:ascii="Arial" w:hAnsi="Arial" w:cs="Arial"/>
          <w:b/>
          <w:sz w:val="24"/>
          <w:szCs w:val="24"/>
        </w:rPr>
        <w:t xml:space="preserve">RESPONSE TO </w:t>
      </w:r>
      <w:r w:rsidR="00E7185A" w:rsidRPr="00E7185A">
        <w:rPr>
          <w:rFonts w:ascii="Arial" w:hAnsi="Arial" w:cs="Arial"/>
          <w:b/>
          <w:sz w:val="24"/>
          <w:szCs w:val="24"/>
        </w:rPr>
        <w:t xml:space="preserve">THE PRODUCTIVITY COMMISSION’S ISSUES PAPER ON </w:t>
      </w:r>
      <w:r w:rsidR="00E7185A" w:rsidRPr="00E7185A">
        <w:rPr>
          <w:rFonts w:ascii="Arial" w:hAnsi="Arial" w:cs="Arial"/>
          <w:b/>
          <w:i/>
          <w:sz w:val="24"/>
          <w:szCs w:val="24"/>
        </w:rPr>
        <w:t>MUTUAL RECOGNITION SCHEMES</w:t>
      </w:r>
    </w:p>
    <w:p w:rsidR="009C56BF" w:rsidRPr="00157645" w:rsidRDefault="009C56BF" w:rsidP="009C56BF">
      <w:pPr>
        <w:rPr>
          <w:rFonts w:ascii="Arial" w:hAnsi="Arial" w:cs="Arial"/>
          <w:sz w:val="24"/>
          <w:szCs w:val="24"/>
        </w:rPr>
      </w:pPr>
      <w:r w:rsidRPr="00157645">
        <w:rPr>
          <w:rFonts w:ascii="Arial" w:hAnsi="Arial" w:cs="Arial"/>
          <w:sz w:val="24"/>
          <w:szCs w:val="24"/>
        </w:rPr>
        <w:t xml:space="preserve">The Real Estate Institute of Australia (REIA) is the peak national association for the real estate profession in Australia. </w:t>
      </w:r>
    </w:p>
    <w:p w:rsidR="009C56BF" w:rsidRPr="00157645" w:rsidRDefault="009C56BF" w:rsidP="009C56BF">
      <w:pPr>
        <w:rPr>
          <w:rFonts w:ascii="Arial" w:hAnsi="Arial" w:cs="Arial"/>
          <w:sz w:val="24"/>
          <w:szCs w:val="24"/>
        </w:rPr>
      </w:pPr>
      <w:r w:rsidRPr="00157645">
        <w:rPr>
          <w:rFonts w:ascii="Arial" w:hAnsi="Arial" w:cs="Arial"/>
          <w:sz w:val="24"/>
          <w:szCs w:val="24"/>
        </w:rPr>
        <w:t>The REIA’s members are the State and Territory Real Estate Institutes, through which around 75</w:t>
      </w:r>
      <w:r w:rsidR="000845C0">
        <w:rPr>
          <w:rFonts w:ascii="Arial" w:hAnsi="Arial" w:cs="Arial"/>
          <w:sz w:val="24"/>
          <w:szCs w:val="24"/>
        </w:rPr>
        <w:t xml:space="preserve"> per cent </w:t>
      </w:r>
      <w:r w:rsidRPr="00157645">
        <w:rPr>
          <w:rFonts w:ascii="Arial" w:hAnsi="Arial" w:cs="Arial"/>
          <w:sz w:val="24"/>
          <w:szCs w:val="24"/>
        </w:rPr>
        <w:t xml:space="preserve">of real estate agencies are collectively represented. The 2011 Census records the Rental, Hiring and Real Estate Services Industry employment sitting at a total of 117,880. By occupation the key data recorded by ABS Census were 64,699 </w:t>
      </w:r>
      <w:r w:rsidR="002A7C15" w:rsidRPr="00157645">
        <w:rPr>
          <w:rFonts w:ascii="Arial" w:hAnsi="Arial" w:cs="Arial"/>
          <w:sz w:val="24"/>
          <w:szCs w:val="24"/>
        </w:rPr>
        <w:t>business brokers, property managers, principals, real estate agents and representatives</w:t>
      </w:r>
      <w:r w:rsidRPr="00157645">
        <w:rPr>
          <w:rFonts w:ascii="Arial" w:hAnsi="Arial" w:cs="Arial"/>
          <w:sz w:val="24"/>
          <w:szCs w:val="24"/>
        </w:rPr>
        <w:t>.</w:t>
      </w:r>
    </w:p>
    <w:p w:rsidR="009C56BF" w:rsidRPr="00157645" w:rsidRDefault="009C56BF" w:rsidP="009C56BF">
      <w:pPr>
        <w:rPr>
          <w:rFonts w:ascii="Arial" w:hAnsi="Arial" w:cs="Arial"/>
          <w:sz w:val="24"/>
          <w:szCs w:val="24"/>
        </w:rPr>
      </w:pPr>
      <w:r w:rsidRPr="00157645">
        <w:rPr>
          <w:rFonts w:ascii="Arial" w:hAnsi="Arial" w:cs="Arial"/>
          <w:sz w:val="24"/>
          <w:szCs w:val="24"/>
        </w:rPr>
        <w:t>The REIA represents an important element of the broader property and construction sector which together makes a significant contribution to Australia’s social climate and economic development. Property contributes $300 billion annually in economic activity.</w:t>
      </w:r>
    </w:p>
    <w:p w:rsidR="00A5751C" w:rsidRDefault="009C56BF" w:rsidP="009C56BF">
      <w:pPr>
        <w:rPr>
          <w:rFonts w:ascii="Arial" w:hAnsi="Arial" w:cs="Arial"/>
          <w:sz w:val="24"/>
          <w:szCs w:val="24"/>
        </w:rPr>
      </w:pPr>
      <w:r w:rsidRPr="00157645">
        <w:rPr>
          <w:rFonts w:ascii="Arial" w:hAnsi="Arial" w:cs="Arial"/>
          <w:sz w:val="24"/>
          <w:szCs w:val="24"/>
        </w:rPr>
        <w:t>Importantly, REIA represents an integral element of the small business sector. Some 99</w:t>
      </w:r>
      <w:r w:rsidR="000845C0">
        <w:rPr>
          <w:rFonts w:ascii="Arial" w:hAnsi="Arial" w:cs="Arial"/>
          <w:sz w:val="24"/>
          <w:szCs w:val="24"/>
        </w:rPr>
        <w:t xml:space="preserve"> per cent</w:t>
      </w:r>
      <w:r w:rsidRPr="00157645">
        <w:rPr>
          <w:rFonts w:ascii="Arial" w:hAnsi="Arial" w:cs="Arial"/>
          <w:sz w:val="24"/>
          <w:szCs w:val="24"/>
        </w:rPr>
        <w:t xml:space="preserve"> of real estate agencies are small businesses and 11</w:t>
      </w:r>
      <w:r w:rsidR="000845C0">
        <w:rPr>
          <w:rFonts w:ascii="Arial" w:hAnsi="Arial" w:cs="Arial"/>
          <w:sz w:val="24"/>
          <w:szCs w:val="24"/>
        </w:rPr>
        <w:t xml:space="preserve"> per cent</w:t>
      </w:r>
      <w:r w:rsidRPr="00157645">
        <w:rPr>
          <w:rFonts w:ascii="Arial" w:hAnsi="Arial" w:cs="Arial"/>
          <w:sz w:val="24"/>
          <w:szCs w:val="24"/>
        </w:rPr>
        <w:t xml:space="preserve"> of all small businesses in Australia are involved in real estate. Only 0.6</w:t>
      </w:r>
      <w:r w:rsidR="000845C0">
        <w:rPr>
          <w:rFonts w:ascii="Arial" w:hAnsi="Arial" w:cs="Arial"/>
          <w:sz w:val="24"/>
          <w:szCs w:val="24"/>
        </w:rPr>
        <w:t xml:space="preserve"> per cent</w:t>
      </w:r>
      <w:r w:rsidRPr="00157645">
        <w:rPr>
          <w:rFonts w:ascii="Arial" w:hAnsi="Arial" w:cs="Arial"/>
          <w:sz w:val="24"/>
          <w:szCs w:val="24"/>
        </w:rPr>
        <w:t xml:space="preserve"> of businesses employ 50 or more persons.</w:t>
      </w:r>
    </w:p>
    <w:p w:rsidR="009C56BF" w:rsidRPr="00157645" w:rsidRDefault="009C56BF" w:rsidP="009C56BF">
      <w:pPr>
        <w:rPr>
          <w:rFonts w:ascii="Arial" w:hAnsi="Arial" w:cs="Arial"/>
          <w:sz w:val="24"/>
          <w:szCs w:val="24"/>
        </w:rPr>
      </w:pPr>
      <w:r w:rsidRPr="00157645">
        <w:rPr>
          <w:rFonts w:ascii="Arial" w:hAnsi="Arial" w:cs="Arial"/>
          <w:sz w:val="24"/>
          <w:szCs w:val="24"/>
        </w:rPr>
        <w:t xml:space="preserve">REIA is committed to providing and assisting research and well-informed advice to the Federal Government, Opposition, professional members of the real estate sector, media and the public on a range of issues affecting the property market. </w:t>
      </w:r>
    </w:p>
    <w:p w:rsidR="003B6D40" w:rsidRDefault="009C56BF" w:rsidP="003B6D40">
      <w:pPr>
        <w:rPr>
          <w:rFonts w:ascii="Arial" w:hAnsi="Arial" w:cs="Arial"/>
          <w:sz w:val="24"/>
          <w:szCs w:val="24"/>
        </w:rPr>
      </w:pPr>
      <w:r w:rsidRPr="00157645">
        <w:rPr>
          <w:rFonts w:ascii="Arial" w:hAnsi="Arial" w:cs="Arial"/>
          <w:sz w:val="24"/>
          <w:szCs w:val="24"/>
        </w:rPr>
        <w:t xml:space="preserve">The REIA welcomes the opportunity to </w:t>
      </w:r>
      <w:r w:rsidR="00280046">
        <w:rPr>
          <w:rFonts w:ascii="Arial" w:hAnsi="Arial" w:cs="Arial"/>
          <w:sz w:val="24"/>
          <w:szCs w:val="24"/>
        </w:rPr>
        <w:t>provide</w:t>
      </w:r>
      <w:r w:rsidR="00337BF5">
        <w:rPr>
          <w:rFonts w:ascii="Arial" w:hAnsi="Arial" w:cs="Arial"/>
          <w:sz w:val="24"/>
          <w:szCs w:val="24"/>
        </w:rPr>
        <w:t xml:space="preserve"> a</w:t>
      </w:r>
      <w:r w:rsidR="00337BF5">
        <w:t xml:space="preserve"> </w:t>
      </w:r>
      <w:r w:rsidR="00280046" w:rsidRPr="00280046">
        <w:rPr>
          <w:rFonts w:ascii="Arial" w:hAnsi="Arial" w:cs="Arial"/>
          <w:sz w:val="24"/>
          <w:szCs w:val="24"/>
        </w:rPr>
        <w:t xml:space="preserve">response to </w:t>
      </w:r>
      <w:r w:rsidR="00982E00">
        <w:rPr>
          <w:rFonts w:ascii="Arial" w:hAnsi="Arial" w:cs="Arial"/>
          <w:sz w:val="24"/>
          <w:szCs w:val="24"/>
        </w:rPr>
        <w:t>the</w:t>
      </w:r>
      <w:r w:rsidR="00E7185A">
        <w:rPr>
          <w:rFonts w:ascii="Arial" w:hAnsi="Arial" w:cs="Arial"/>
          <w:sz w:val="24"/>
          <w:szCs w:val="24"/>
        </w:rPr>
        <w:t xml:space="preserve"> </w:t>
      </w:r>
      <w:r w:rsidR="00E7185A" w:rsidRPr="00E7185A">
        <w:rPr>
          <w:rFonts w:ascii="Arial" w:hAnsi="Arial" w:cs="Arial"/>
          <w:sz w:val="24"/>
          <w:szCs w:val="24"/>
        </w:rPr>
        <w:t xml:space="preserve">Commission’s Issues Paper </w:t>
      </w:r>
      <w:r w:rsidR="00E7185A">
        <w:rPr>
          <w:rFonts w:ascii="Arial" w:hAnsi="Arial" w:cs="Arial"/>
          <w:sz w:val="24"/>
          <w:szCs w:val="24"/>
        </w:rPr>
        <w:t>on</w:t>
      </w:r>
      <w:r w:rsidR="00E7185A" w:rsidRPr="00E7185A">
        <w:rPr>
          <w:rFonts w:ascii="Arial" w:hAnsi="Arial" w:cs="Arial"/>
          <w:sz w:val="24"/>
          <w:szCs w:val="24"/>
        </w:rPr>
        <w:t xml:space="preserve"> Mutual Recognition Schemes</w:t>
      </w:r>
      <w:r w:rsidR="005417A6">
        <w:rPr>
          <w:rFonts w:ascii="Arial" w:hAnsi="Arial" w:cs="Arial"/>
          <w:sz w:val="24"/>
          <w:szCs w:val="24"/>
        </w:rPr>
        <w:t>.</w:t>
      </w:r>
    </w:p>
    <w:p w:rsidR="009C56BF" w:rsidRDefault="00E7185A" w:rsidP="009C56BF">
      <w:pPr>
        <w:rPr>
          <w:rFonts w:ascii="Arial" w:hAnsi="Arial" w:cs="Arial"/>
          <w:b/>
          <w:sz w:val="24"/>
          <w:szCs w:val="24"/>
        </w:rPr>
      </w:pPr>
      <w:r>
        <w:rPr>
          <w:rFonts w:ascii="Arial" w:hAnsi="Arial" w:cs="Arial"/>
          <w:b/>
          <w:sz w:val="24"/>
          <w:szCs w:val="24"/>
        </w:rPr>
        <w:t>Introduction</w:t>
      </w:r>
    </w:p>
    <w:p w:rsidR="00B70FCA" w:rsidRPr="00B70FCA" w:rsidRDefault="00B70FCA" w:rsidP="00B70FCA">
      <w:pPr>
        <w:rPr>
          <w:rFonts w:ascii="Arial" w:hAnsi="Arial" w:cs="Arial"/>
          <w:sz w:val="24"/>
          <w:szCs w:val="24"/>
        </w:rPr>
      </w:pPr>
      <w:r w:rsidRPr="00B70FCA">
        <w:rPr>
          <w:rFonts w:ascii="Arial" w:hAnsi="Arial" w:cs="Arial"/>
          <w:sz w:val="24"/>
          <w:szCs w:val="24"/>
        </w:rPr>
        <w:t>The Commission’s Issue Paper deals with the review of the Mutual Recognition Agreement (the MRA) and the Trans-Tasman Mutual Recognition Arrangement (the TTMRA).</w:t>
      </w:r>
    </w:p>
    <w:p w:rsidR="00B70FCA" w:rsidRDefault="00B70FCA" w:rsidP="00B70FCA">
      <w:pPr>
        <w:rPr>
          <w:rFonts w:ascii="Arial" w:hAnsi="Arial" w:cs="Arial"/>
          <w:sz w:val="24"/>
          <w:szCs w:val="24"/>
        </w:rPr>
      </w:pPr>
      <w:r>
        <w:rPr>
          <w:rFonts w:ascii="Arial" w:hAnsi="Arial" w:cs="Arial"/>
          <w:sz w:val="24"/>
          <w:szCs w:val="24"/>
        </w:rPr>
        <w:t xml:space="preserve">REIA’s response focusses on real estate professionals and addresses the Commission’s terms of reference to </w:t>
      </w:r>
      <w:r w:rsidRPr="00B70FCA">
        <w:rPr>
          <w:rFonts w:ascii="Arial" w:hAnsi="Arial" w:cs="Arial"/>
          <w:sz w:val="24"/>
          <w:szCs w:val="24"/>
        </w:rPr>
        <w:t>recommend ways to further improve the inter-jurisdictional movement of skilled workers, and reduce red tape, including examining the scope for automatic mutual recognition where applicable</w:t>
      </w:r>
      <w:r>
        <w:rPr>
          <w:rFonts w:ascii="Arial" w:hAnsi="Arial" w:cs="Arial"/>
          <w:sz w:val="24"/>
          <w:szCs w:val="24"/>
        </w:rPr>
        <w:t xml:space="preserve"> and </w:t>
      </w:r>
      <w:r w:rsidRPr="00B70FCA">
        <w:rPr>
          <w:rFonts w:ascii="Arial" w:hAnsi="Arial" w:cs="Arial"/>
          <w:sz w:val="24"/>
          <w:szCs w:val="24"/>
        </w:rPr>
        <w:t>the extent to which the Agreement on Trans-Tasman Court Proceedings and Regulatory Enforcement could facilitate the Trans-Tasman provision of services by particular occupations, based on a single registration</w:t>
      </w:r>
      <w:r>
        <w:rPr>
          <w:rFonts w:ascii="Arial" w:hAnsi="Arial" w:cs="Arial"/>
          <w:sz w:val="24"/>
          <w:szCs w:val="24"/>
        </w:rPr>
        <w:t xml:space="preserve">. </w:t>
      </w:r>
    </w:p>
    <w:p w:rsidR="00B70FCA" w:rsidRDefault="00B70FCA" w:rsidP="00B70FCA">
      <w:pPr>
        <w:rPr>
          <w:rFonts w:ascii="Arial" w:hAnsi="Arial" w:cs="Arial"/>
          <w:sz w:val="24"/>
          <w:szCs w:val="24"/>
        </w:rPr>
      </w:pPr>
      <w:r w:rsidRPr="00B70FCA">
        <w:rPr>
          <w:rFonts w:ascii="Arial" w:hAnsi="Arial" w:cs="Arial"/>
          <w:sz w:val="24"/>
          <w:szCs w:val="24"/>
        </w:rPr>
        <w:t xml:space="preserve">Under the MRA, Australian states or territories mutually recognise compliance with each other’s laws for the sale of goods and the registration of occupations. Under the TTMRA such recognition is between Australia and New Zealand. The TTMRA </w:t>
      </w:r>
      <w:r w:rsidRPr="00B70FCA">
        <w:rPr>
          <w:rFonts w:ascii="Arial" w:hAnsi="Arial" w:cs="Arial"/>
          <w:sz w:val="24"/>
          <w:szCs w:val="24"/>
        </w:rPr>
        <w:lastRenderedPageBreak/>
        <w:t>applies to occupations for which some form of legislation-based registration, certification, licensing, approval, admission or other form of authorisation is required.</w:t>
      </w:r>
    </w:p>
    <w:p w:rsidR="00F95C60" w:rsidRDefault="00F95C60" w:rsidP="00B70FCA">
      <w:pPr>
        <w:rPr>
          <w:rFonts w:ascii="Arial" w:hAnsi="Arial" w:cs="Arial"/>
          <w:b/>
          <w:sz w:val="24"/>
          <w:szCs w:val="24"/>
        </w:rPr>
      </w:pPr>
      <w:r>
        <w:rPr>
          <w:rFonts w:ascii="Arial" w:hAnsi="Arial" w:cs="Arial"/>
          <w:b/>
          <w:sz w:val="24"/>
          <w:szCs w:val="24"/>
        </w:rPr>
        <w:t>Background</w:t>
      </w:r>
    </w:p>
    <w:p w:rsidR="00B70FCA" w:rsidRDefault="00B70FCA" w:rsidP="00B70FCA">
      <w:pPr>
        <w:rPr>
          <w:rFonts w:ascii="Arial" w:hAnsi="Arial" w:cs="Arial"/>
          <w:sz w:val="24"/>
          <w:szCs w:val="24"/>
        </w:rPr>
      </w:pPr>
      <w:r>
        <w:rPr>
          <w:rFonts w:ascii="Arial" w:hAnsi="Arial" w:cs="Arial"/>
          <w:sz w:val="24"/>
          <w:szCs w:val="24"/>
        </w:rPr>
        <w:t xml:space="preserve">To put the REIA’s comments </w:t>
      </w:r>
      <w:r w:rsidR="005B265C">
        <w:rPr>
          <w:rFonts w:ascii="Arial" w:hAnsi="Arial" w:cs="Arial"/>
          <w:sz w:val="24"/>
          <w:szCs w:val="24"/>
        </w:rPr>
        <w:t xml:space="preserve">below </w:t>
      </w:r>
      <w:r>
        <w:rPr>
          <w:rFonts w:ascii="Arial" w:hAnsi="Arial" w:cs="Arial"/>
          <w:sz w:val="24"/>
          <w:szCs w:val="24"/>
        </w:rPr>
        <w:t xml:space="preserve">in context and to clarify </w:t>
      </w:r>
      <w:r w:rsidR="005B265C">
        <w:rPr>
          <w:rFonts w:ascii="Arial" w:hAnsi="Arial" w:cs="Arial"/>
          <w:sz w:val="24"/>
          <w:szCs w:val="24"/>
        </w:rPr>
        <w:t>why the REIA’s response in the 2003 and 2008 reviews of Mutual Recognition by the Productivity Commission differ</w:t>
      </w:r>
      <w:r w:rsidR="00E913CC">
        <w:rPr>
          <w:rFonts w:ascii="Arial" w:hAnsi="Arial" w:cs="Arial"/>
          <w:sz w:val="24"/>
          <w:szCs w:val="24"/>
        </w:rPr>
        <w:t xml:space="preserve"> in some respects </w:t>
      </w:r>
      <w:r w:rsidR="005B265C">
        <w:rPr>
          <w:rFonts w:ascii="Arial" w:hAnsi="Arial" w:cs="Arial"/>
          <w:sz w:val="24"/>
          <w:szCs w:val="24"/>
        </w:rPr>
        <w:t xml:space="preserve">to this one the outcomes of the COAG approach for national licensing for certain </w:t>
      </w:r>
      <w:r w:rsidR="00D4318E">
        <w:rPr>
          <w:rFonts w:ascii="Arial" w:hAnsi="Arial" w:cs="Arial"/>
          <w:sz w:val="24"/>
          <w:szCs w:val="24"/>
        </w:rPr>
        <w:t>occupations including real estate professionals needs to be considered.</w:t>
      </w:r>
    </w:p>
    <w:p w:rsidR="00D4318E" w:rsidRPr="00D4318E" w:rsidRDefault="00D4318E" w:rsidP="00D4318E">
      <w:pPr>
        <w:rPr>
          <w:rFonts w:ascii="Arial" w:hAnsi="Arial" w:cs="Arial"/>
          <w:sz w:val="24"/>
          <w:szCs w:val="24"/>
        </w:rPr>
      </w:pPr>
      <w:r>
        <w:rPr>
          <w:rFonts w:ascii="Arial" w:hAnsi="Arial" w:cs="Arial"/>
          <w:sz w:val="24"/>
          <w:szCs w:val="24"/>
        </w:rPr>
        <w:t xml:space="preserve">In December 2013 under the auspices of COAG </w:t>
      </w:r>
      <w:r w:rsidRPr="00D4318E">
        <w:rPr>
          <w:rFonts w:ascii="Arial" w:hAnsi="Arial" w:cs="Arial"/>
          <w:sz w:val="24"/>
          <w:szCs w:val="24"/>
        </w:rPr>
        <w:t xml:space="preserve">the majority of States decided not to pursue the proposed National Occupational Licensing Scheme </w:t>
      </w:r>
      <w:r>
        <w:rPr>
          <w:rFonts w:ascii="Arial" w:hAnsi="Arial" w:cs="Arial"/>
          <w:sz w:val="24"/>
          <w:szCs w:val="24"/>
        </w:rPr>
        <w:t xml:space="preserve">(NOLS) </w:t>
      </w:r>
      <w:r w:rsidRPr="00D4318E">
        <w:rPr>
          <w:rFonts w:ascii="Arial" w:hAnsi="Arial" w:cs="Arial"/>
          <w:sz w:val="24"/>
          <w:szCs w:val="24"/>
        </w:rPr>
        <w:t xml:space="preserve">reform. Most jurisdictions identified a number of concerns with the proposed NOLS model and potential costs. </w:t>
      </w:r>
      <w:r>
        <w:rPr>
          <w:rFonts w:ascii="Arial" w:hAnsi="Arial" w:cs="Arial"/>
          <w:sz w:val="24"/>
          <w:szCs w:val="24"/>
        </w:rPr>
        <w:t xml:space="preserve">Jurisdictions </w:t>
      </w:r>
      <w:r w:rsidRPr="00D4318E">
        <w:rPr>
          <w:rFonts w:ascii="Arial" w:hAnsi="Arial" w:cs="Arial"/>
          <w:sz w:val="24"/>
          <w:szCs w:val="24"/>
        </w:rPr>
        <w:t>instead decided to investigate approaches that would increase labour mobility and deliver net benefits for businesses and governments</w:t>
      </w:r>
      <w:r w:rsidR="00F95C60">
        <w:rPr>
          <w:rFonts w:ascii="Arial" w:hAnsi="Arial" w:cs="Arial"/>
          <w:sz w:val="24"/>
          <w:szCs w:val="24"/>
        </w:rPr>
        <w:t xml:space="preserve">. </w:t>
      </w:r>
      <w:r w:rsidRPr="00D4318E">
        <w:rPr>
          <w:rFonts w:ascii="Arial" w:hAnsi="Arial" w:cs="Arial"/>
          <w:sz w:val="24"/>
          <w:szCs w:val="24"/>
        </w:rPr>
        <w:t>To this end, States agreed to work together via the Council for the Australian Federation (CAF) to develop alternative options for minimising licensing impediments to improving labour mobility and to manage the orderly disestablishment of the National Occupation Licensing Authority from early 2014.</w:t>
      </w:r>
      <w:r w:rsidR="00F95C60">
        <w:rPr>
          <w:rFonts w:ascii="Arial" w:hAnsi="Arial" w:cs="Arial"/>
          <w:sz w:val="24"/>
          <w:szCs w:val="24"/>
        </w:rPr>
        <w:t xml:space="preserve"> In effect t</w:t>
      </w:r>
      <w:r w:rsidRPr="00D4318E">
        <w:rPr>
          <w:rFonts w:ascii="Arial" w:hAnsi="Arial" w:cs="Arial"/>
          <w:sz w:val="24"/>
          <w:szCs w:val="24"/>
        </w:rPr>
        <w:t>he Commonwealth Government has</w:t>
      </w:r>
      <w:r>
        <w:rPr>
          <w:rFonts w:ascii="Arial" w:hAnsi="Arial" w:cs="Arial"/>
          <w:sz w:val="24"/>
          <w:szCs w:val="24"/>
        </w:rPr>
        <w:t xml:space="preserve"> </w:t>
      </w:r>
      <w:r w:rsidRPr="00D4318E">
        <w:rPr>
          <w:rFonts w:ascii="Arial" w:hAnsi="Arial" w:cs="Arial"/>
          <w:sz w:val="24"/>
          <w:szCs w:val="24"/>
        </w:rPr>
        <w:t>moved the responsibility to the states to settle improved mutual recognition arrangements</w:t>
      </w:r>
      <w:r w:rsidR="00D554BA">
        <w:rPr>
          <w:rFonts w:ascii="Arial" w:hAnsi="Arial" w:cs="Arial"/>
          <w:sz w:val="24"/>
          <w:szCs w:val="24"/>
        </w:rPr>
        <w:t>, at least for these occupation groups,</w:t>
      </w:r>
      <w:r>
        <w:rPr>
          <w:rFonts w:ascii="Arial" w:hAnsi="Arial" w:cs="Arial"/>
          <w:sz w:val="24"/>
          <w:szCs w:val="24"/>
        </w:rPr>
        <w:t xml:space="preserve"> </w:t>
      </w:r>
      <w:r w:rsidRPr="00D4318E">
        <w:rPr>
          <w:rFonts w:ascii="Arial" w:hAnsi="Arial" w:cs="Arial"/>
          <w:sz w:val="24"/>
          <w:szCs w:val="24"/>
        </w:rPr>
        <w:t>through their body CAF.</w:t>
      </w:r>
    </w:p>
    <w:p w:rsidR="00D4318E" w:rsidRPr="00D4318E" w:rsidRDefault="00D4318E" w:rsidP="00D4318E">
      <w:pPr>
        <w:rPr>
          <w:rFonts w:ascii="Arial" w:hAnsi="Arial" w:cs="Arial"/>
          <w:sz w:val="24"/>
          <w:szCs w:val="24"/>
        </w:rPr>
      </w:pPr>
      <w:r w:rsidRPr="00D4318E">
        <w:rPr>
          <w:rFonts w:ascii="Arial" w:hAnsi="Arial" w:cs="Arial"/>
          <w:sz w:val="24"/>
          <w:szCs w:val="24"/>
        </w:rPr>
        <w:t>CAF is committed to developing licensing reform which enhances flexibility and mobility for</w:t>
      </w:r>
      <w:r w:rsidR="00F95C60">
        <w:rPr>
          <w:rFonts w:ascii="Arial" w:hAnsi="Arial" w:cs="Arial"/>
          <w:sz w:val="24"/>
          <w:szCs w:val="24"/>
        </w:rPr>
        <w:t xml:space="preserve"> </w:t>
      </w:r>
      <w:r w:rsidRPr="00D4318E">
        <w:rPr>
          <w:rFonts w:ascii="Arial" w:hAnsi="Arial" w:cs="Arial"/>
          <w:sz w:val="24"/>
          <w:szCs w:val="24"/>
        </w:rPr>
        <w:t>Australian workers, but does not impose a top-down, national system which would increase costs</w:t>
      </w:r>
      <w:r w:rsidR="00F95C60">
        <w:rPr>
          <w:rFonts w:ascii="Arial" w:hAnsi="Arial" w:cs="Arial"/>
          <w:sz w:val="24"/>
          <w:szCs w:val="24"/>
        </w:rPr>
        <w:t xml:space="preserve"> </w:t>
      </w:r>
      <w:r w:rsidRPr="00D4318E">
        <w:rPr>
          <w:rFonts w:ascii="Arial" w:hAnsi="Arial" w:cs="Arial"/>
          <w:sz w:val="24"/>
          <w:szCs w:val="24"/>
        </w:rPr>
        <w:t>for businesses and individuals.</w:t>
      </w:r>
      <w:r w:rsidR="00F95C60">
        <w:rPr>
          <w:rFonts w:ascii="Arial" w:hAnsi="Arial" w:cs="Arial"/>
          <w:sz w:val="24"/>
          <w:szCs w:val="24"/>
        </w:rPr>
        <w:t xml:space="preserve"> </w:t>
      </w:r>
      <w:r w:rsidRPr="00D4318E">
        <w:rPr>
          <w:rFonts w:ascii="Arial" w:hAnsi="Arial" w:cs="Arial"/>
          <w:sz w:val="24"/>
          <w:szCs w:val="24"/>
        </w:rPr>
        <w:t>State and Territory Governments are considering a package of reforms which would enable</w:t>
      </w:r>
      <w:r w:rsidR="00F95C60">
        <w:rPr>
          <w:rFonts w:ascii="Arial" w:hAnsi="Arial" w:cs="Arial"/>
          <w:sz w:val="24"/>
          <w:szCs w:val="24"/>
        </w:rPr>
        <w:t xml:space="preserve"> </w:t>
      </w:r>
      <w:r w:rsidRPr="00D4318E">
        <w:rPr>
          <w:rFonts w:ascii="Arial" w:hAnsi="Arial" w:cs="Arial"/>
          <w:sz w:val="24"/>
          <w:szCs w:val="24"/>
        </w:rPr>
        <w:t>'external equivalence' for selected licen</w:t>
      </w:r>
      <w:r w:rsidR="00230867">
        <w:rPr>
          <w:rFonts w:ascii="Arial" w:hAnsi="Arial" w:cs="Arial"/>
          <w:sz w:val="24"/>
          <w:szCs w:val="24"/>
        </w:rPr>
        <w:t>c</w:t>
      </w:r>
      <w:r w:rsidRPr="00D4318E">
        <w:rPr>
          <w:rFonts w:ascii="Arial" w:hAnsi="Arial" w:cs="Arial"/>
          <w:sz w:val="24"/>
          <w:szCs w:val="24"/>
        </w:rPr>
        <w:t>e categories across jurisdictional boundaries. Under an</w:t>
      </w:r>
      <w:r w:rsidR="00F95C60">
        <w:rPr>
          <w:rFonts w:ascii="Arial" w:hAnsi="Arial" w:cs="Arial"/>
          <w:sz w:val="24"/>
          <w:szCs w:val="24"/>
        </w:rPr>
        <w:t xml:space="preserve"> </w:t>
      </w:r>
      <w:r w:rsidRPr="00D4318E">
        <w:rPr>
          <w:rFonts w:ascii="Arial" w:hAnsi="Arial" w:cs="Arial"/>
          <w:sz w:val="24"/>
          <w:szCs w:val="24"/>
        </w:rPr>
        <w:t>external equivalence model, licen</w:t>
      </w:r>
      <w:r w:rsidR="00230867">
        <w:rPr>
          <w:rFonts w:ascii="Arial" w:hAnsi="Arial" w:cs="Arial"/>
          <w:sz w:val="24"/>
          <w:szCs w:val="24"/>
        </w:rPr>
        <w:t>c</w:t>
      </w:r>
      <w:r w:rsidRPr="00D4318E">
        <w:rPr>
          <w:rFonts w:ascii="Arial" w:hAnsi="Arial" w:cs="Arial"/>
          <w:sz w:val="24"/>
          <w:szCs w:val="24"/>
        </w:rPr>
        <w:t>e holders would be able to work in another state or territory</w:t>
      </w:r>
      <w:r w:rsidR="00F95C60">
        <w:rPr>
          <w:rFonts w:ascii="Arial" w:hAnsi="Arial" w:cs="Arial"/>
          <w:sz w:val="24"/>
          <w:szCs w:val="24"/>
        </w:rPr>
        <w:t xml:space="preserve"> </w:t>
      </w:r>
      <w:r w:rsidRPr="00D4318E">
        <w:rPr>
          <w:rFonts w:ascii="Arial" w:hAnsi="Arial" w:cs="Arial"/>
          <w:sz w:val="24"/>
          <w:szCs w:val="24"/>
        </w:rPr>
        <w:t>without having to apply for a new licen</w:t>
      </w:r>
      <w:r w:rsidR="00230867">
        <w:rPr>
          <w:rFonts w:ascii="Arial" w:hAnsi="Arial" w:cs="Arial"/>
          <w:sz w:val="24"/>
          <w:szCs w:val="24"/>
        </w:rPr>
        <w:t>c</w:t>
      </w:r>
      <w:r w:rsidRPr="00D4318E">
        <w:rPr>
          <w:rFonts w:ascii="Arial" w:hAnsi="Arial" w:cs="Arial"/>
          <w:sz w:val="24"/>
          <w:szCs w:val="24"/>
        </w:rPr>
        <w:t>e or pay a licen</w:t>
      </w:r>
      <w:r w:rsidR="00230867">
        <w:rPr>
          <w:rFonts w:ascii="Arial" w:hAnsi="Arial" w:cs="Arial"/>
          <w:sz w:val="24"/>
          <w:szCs w:val="24"/>
        </w:rPr>
        <w:t>c</w:t>
      </w:r>
      <w:r w:rsidRPr="00D4318E">
        <w:rPr>
          <w:rFonts w:ascii="Arial" w:hAnsi="Arial" w:cs="Arial"/>
          <w:sz w:val="24"/>
          <w:szCs w:val="24"/>
        </w:rPr>
        <w:t>e fee.</w:t>
      </w:r>
    </w:p>
    <w:p w:rsidR="00D4318E" w:rsidRPr="00D4318E" w:rsidRDefault="00D4318E" w:rsidP="00D4318E">
      <w:pPr>
        <w:rPr>
          <w:rFonts w:ascii="Arial" w:hAnsi="Arial" w:cs="Arial"/>
          <w:sz w:val="24"/>
          <w:szCs w:val="24"/>
        </w:rPr>
      </w:pPr>
      <w:r w:rsidRPr="00D4318E">
        <w:rPr>
          <w:rFonts w:ascii="Arial" w:hAnsi="Arial" w:cs="Arial"/>
          <w:sz w:val="24"/>
          <w:szCs w:val="24"/>
        </w:rPr>
        <w:t>The decision on whether to implement CAF occupational licensing reforms, including external</w:t>
      </w:r>
      <w:r w:rsidR="00F95C60">
        <w:rPr>
          <w:rFonts w:ascii="Arial" w:hAnsi="Arial" w:cs="Arial"/>
          <w:sz w:val="24"/>
          <w:szCs w:val="24"/>
        </w:rPr>
        <w:t xml:space="preserve"> </w:t>
      </w:r>
      <w:r w:rsidRPr="00D4318E">
        <w:rPr>
          <w:rFonts w:ascii="Arial" w:hAnsi="Arial" w:cs="Arial"/>
          <w:sz w:val="24"/>
          <w:szCs w:val="24"/>
        </w:rPr>
        <w:t>equivalence, rests with individual State and Territory Governments. Reforms can be</w:t>
      </w:r>
      <w:r w:rsidR="00F95C60">
        <w:rPr>
          <w:rFonts w:ascii="Arial" w:hAnsi="Arial" w:cs="Arial"/>
          <w:sz w:val="24"/>
          <w:szCs w:val="24"/>
        </w:rPr>
        <w:t xml:space="preserve"> </w:t>
      </w:r>
      <w:r w:rsidRPr="00D4318E">
        <w:rPr>
          <w:rFonts w:ascii="Arial" w:hAnsi="Arial" w:cs="Arial"/>
          <w:sz w:val="24"/>
          <w:szCs w:val="24"/>
        </w:rPr>
        <w:t>implemented on a unilateral, bilateral, multilateral or national basis. States and Territories will</w:t>
      </w:r>
      <w:r w:rsidR="00F95C60">
        <w:rPr>
          <w:rFonts w:ascii="Arial" w:hAnsi="Arial" w:cs="Arial"/>
          <w:sz w:val="24"/>
          <w:szCs w:val="24"/>
        </w:rPr>
        <w:t xml:space="preserve"> </w:t>
      </w:r>
      <w:r w:rsidRPr="00D4318E">
        <w:rPr>
          <w:rFonts w:ascii="Arial" w:hAnsi="Arial" w:cs="Arial"/>
          <w:sz w:val="24"/>
          <w:szCs w:val="24"/>
        </w:rPr>
        <w:t>also have the flexibility to opt-in to reforms over time.</w:t>
      </w:r>
    </w:p>
    <w:p w:rsidR="00D4318E" w:rsidRPr="00D4318E" w:rsidRDefault="00D4318E" w:rsidP="00D4318E">
      <w:pPr>
        <w:rPr>
          <w:rFonts w:ascii="Arial" w:hAnsi="Arial" w:cs="Arial"/>
          <w:sz w:val="24"/>
          <w:szCs w:val="24"/>
        </w:rPr>
      </w:pPr>
      <w:r w:rsidRPr="00D4318E">
        <w:rPr>
          <w:rFonts w:ascii="Arial" w:hAnsi="Arial" w:cs="Arial"/>
          <w:sz w:val="24"/>
          <w:szCs w:val="24"/>
        </w:rPr>
        <w:t>CAF is committed to close consultation with industry through state and territory regulators to test</w:t>
      </w:r>
      <w:r w:rsidR="00F95C60">
        <w:rPr>
          <w:rFonts w:ascii="Arial" w:hAnsi="Arial" w:cs="Arial"/>
          <w:sz w:val="24"/>
          <w:szCs w:val="24"/>
        </w:rPr>
        <w:t xml:space="preserve"> </w:t>
      </w:r>
      <w:r w:rsidRPr="00D4318E">
        <w:rPr>
          <w:rFonts w:ascii="Arial" w:hAnsi="Arial" w:cs="Arial"/>
          <w:sz w:val="24"/>
          <w:szCs w:val="24"/>
        </w:rPr>
        <w:t>reform proposals and gauge support at the outset</w:t>
      </w:r>
      <w:r w:rsidR="00230867">
        <w:rPr>
          <w:rFonts w:ascii="Arial" w:hAnsi="Arial" w:cs="Arial"/>
          <w:sz w:val="24"/>
          <w:szCs w:val="24"/>
        </w:rPr>
        <w:t xml:space="preserve"> which REIA, as a business representative body, applauds.</w:t>
      </w:r>
    </w:p>
    <w:p w:rsidR="00D4318E" w:rsidRDefault="00F95C60" w:rsidP="00F95C60">
      <w:pPr>
        <w:rPr>
          <w:rFonts w:ascii="Arial" w:hAnsi="Arial" w:cs="Arial"/>
          <w:sz w:val="24"/>
          <w:szCs w:val="24"/>
        </w:rPr>
      </w:pPr>
      <w:r>
        <w:rPr>
          <w:rFonts w:ascii="Arial" w:hAnsi="Arial" w:cs="Arial"/>
          <w:sz w:val="24"/>
          <w:szCs w:val="24"/>
        </w:rPr>
        <w:t xml:space="preserve">CAF has </w:t>
      </w:r>
      <w:r w:rsidR="00D4318E" w:rsidRPr="00D4318E">
        <w:rPr>
          <w:rFonts w:ascii="Arial" w:hAnsi="Arial" w:cs="Arial"/>
          <w:sz w:val="24"/>
          <w:szCs w:val="24"/>
        </w:rPr>
        <w:t>prioritised electrical, plumbing and gas-fitting, as these trades</w:t>
      </w:r>
      <w:r>
        <w:rPr>
          <w:rFonts w:ascii="Arial" w:hAnsi="Arial" w:cs="Arial"/>
          <w:sz w:val="24"/>
          <w:szCs w:val="24"/>
        </w:rPr>
        <w:t xml:space="preserve"> </w:t>
      </w:r>
      <w:r w:rsidR="00D4318E" w:rsidRPr="00D4318E">
        <w:rPr>
          <w:rFonts w:ascii="Arial" w:hAnsi="Arial" w:cs="Arial"/>
          <w:sz w:val="24"/>
          <w:szCs w:val="24"/>
        </w:rPr>
        <w:t>have high levels of mobility and are essential in industries such as mining</w:t>
      </w:r>
      <w:r w:rsidR="00230867">
        <w:rPr>
          <w:rFonts w:ascii="Arial" w:hAnsi="Arial" w:cs="Arial"/>
          <w:sz w:val="24"/>
          <w:szCs w:val="24"/>
        </w:rPr>
        <w:t xml:space="preserve"> and which has had a promising start.</w:t>
      </w:r>
      <w:r w:rsidR="00D4318E" w:rsidRPr="00D4318E">
        <w:rPr>
          <w:rFonts w:ascii="Arial" w:hAnsi="Arial" w:cs="Arial"/>
          <w:sz w:val="24"/>
          <w:szCs w:val="24"/>
        </w:rPr>
        <w:t xml:space="preserve"> </w:t>
      </w:r>
      <w:r w:rsidR="005331B4">
        <w:rPr>
          <w:rFonts w:ascii="Arial" w:hAnsi="Arial" w:cs="Arial"/>
          <w:sz w:val="24"/>
          <w:szCs w:val="24"/>
        </w:rPr>
        <w:t xml:space="preserve">Following the successful completion of the </w:t>
      </w:r>
      <w:r w:rsidR="005331B4" w:rsidRPr="00D4318E">
        <w:rPr>
          <w:rFonts w:ascii="Arial" w:hAnsi="Arial" w:cs="Arial"/>
          <w:sz w:val="24"/>
          <w:szCs w:val="24"/>
        </w:rPr>
        <w:t>electrical, plumbing and gas-fitting</w:t>
      </w:r>
      <w:r w:rsidR="005331B4">
        <w:rPr>
          <w:rFonts w:ascii="Arial" w:hAnsi="Arial" w:cs="Arial"/>
          <w:sz w:val="24"/>
          <w:szCs w:val="24"/>
        </w:rPr>
        <w:t xml:space="preserve"> occupations CAF will be considering </w:t>
      </w:r>
      <w:r w:rsidR="00230867">
        <w:rPr>
          <w:rFonts w:ascii="Arial" w:hAnsi="Arial" w:cs="Arial"/>
          <w:sz w:val="24"/>
          <w:szCs w:val="24"/>
        </w:rPr>
        <w:t xml:space="preserve">other trades </w:t>
      </w:r>
      <w:r w:rsidR="005331B4">
        <w:rPr>
          <w:rFonts w:ascii="Arial" w:hAnsi="Arial" w:cs="Arial"/>
          <w:sz w:val="24"/>
          <w:szCs w:val="24"/>
        </w:rPr>
        <w:t>and initially focus</w:t>
      </w:r>
      <w:r w:rsidR="00230867">
        <w:rPr>
          <w:rFonts w:ascii="Arial" w:hAnsi="Arial" w:cs="Arial"/>
          <w:sz w:val="24"/>
          <w:szCs w:val="24"/>
        </w:rPr>
        <w:t>sing</w:t>
      </w:r>
      <w:r w:rsidR="005331B4">
        <w:rPr>
          <w:rFonts w:ascii="Arial" w:hAnsi="Arial" w:cs="Arial"/>
          <w:sz w:val="24"/>
          <w:szCs w:val="24"/>
        </w:rPr>
        <w:t xml:space="preserve"> on </w:t>
      </w:r>
      <w:r w:rsidR="00E05DA0">
        <w:rPr>
          <w:rFonts w:ascii="Arial" w:hAnsi="Arial" w:cs="Arial"/>
          <w:sz w:val="24"/>
          <w:szCs w:val="24"/>
        </w:rPr>
        <w:t xml:space="preserve">workable agreements among </w:t>
      </w:r>
      <w:r w:rsidR="005331B4">
        <w:rPr>
          <w:rFonts w:ascii="Arial" w:hAnsi="Arial" w:cs="Arial"/>
          <w:sz w:val="24"/>
          <w:szCs w:val="24"/>
        </w:rPr>
        <w:t xml:space="preserve">the eastern seaboard states </w:t>
      </w:r>
      <w:r w:rsidR="00D554BA">
        <w:rPr>
          <w:rFonts w:ascii="Arial" w:hAnsi="Arial" w:cs="Arial"/>
          <w:sz w:val="24"/>
          <w:szCs w:val="24"/>
        </w:rPr>
        <w:t>(QLD</w:t>
      </w:r>
      <w:r w:rsidR="005331B4">
        <w:rPr>
          <w:rFonts w:ascii="Arial" w:hAnsi="Arial" w:cs="Arial"/>
          <w:sz w:val="24"/>
          <w:szCs w:val="24"/>
        </w:rPr>
        <w:t>, VIC and NSW).</w:t>
      </w:r>
    </w:p>
    <w:p w:rsidR="000E52A6" w:rsidRPr="000E52A6" w:rsidRDefault="000E52A6" w:rsidP="00F95C60">
      <w:pPr>
        <w:rPr>
          <w:rFonts w:ascii="Arial" w:hAnsi="Arial" w:cs="Arial"/>
          <w:b/>
          <w:i/>
          <w:sz w:val="24"/>
          <w:szCs w:val="24"/>
        </w:rPr>
      </w:pPr>
      <w:r>
        <w:rPr>
          <w:rFonts w:ascii="Arial" w:hAnsi="Arial" w:cs="Arial"/>
          <w:b/>
          <w:i/>
          <w:sz w:val="24"/>
          <w:szCs w:val="24"/>
        </w:rPr>
        <w:lastRenderedPageBreak/>
        <w:t xml:space="preserve">REIA recommends that the </w:t>
      </w:r>
      <w:r w:rsidR="00506F9F" w:rsidRPr="000E52A6">
        <w:rPr>
          <w:rFonts w:ascii="Arial" w:hAnsi="Arial" w:cs="Arial"/>
          <w:b/>
          <w:i/>
          <w:sz w:val="24"/>
          <w:szCs w:val="24"/>
        </w:rPr>
        <w:t>C</w:t>
      </w:r>
      <w:r w:rsidR="00506F9F">
        <w:rPr>
          <w:rFonts w:ascii="Arial" w:hAnsi="Arial" w:cs="Arial"/>
          <w:b/>
          <w:i/>
          <w:sz w:val="24"/>
          <w:szCs w:val="24"/>
        </w:rPr>
        <w:t xml:space="preserve">ouncil of Australian </w:t>
      </w:r>
      <w:r w:rsidR="00506F9F" w:rsidRPr="000E52A6">
        <w:rPr>
          <w:rFonts w:ascii="Arial" w:hAnsi="Arial" w:cs="Arial"/>
          <w:b/>
          <w:i/>
          <w:sz w:val="24"/>
          <w:szCs w:val="24"/>
        </w:rPr>
        <w:t>F</w:t>
      </w:r>
      <w:r w:rsidR="00506F9F">
        <w:rPr>
          <w:rFonts w:ascii="Arial" w:hAnsi="Arial" w:cs="Arial"/>
          <w:b/>
          <w:i/>
          <w:sz w:val="24"/>
          <w:szCs w:val="24"/>
        </w:rPr>
        <w:t xml:space="preserve">ederation </w:t>
      </w:r>
      <w:r w:rsidRPr="000E52A6">
        <w:rPr>
          <w:rFonts w:ascii="Arial" w:hAnsi="Arial" w:cs="Arial"/>
          <w:b/>
          <w:i/>
          <w:sz w:val="24"/>
          <w:szCs w:val="24"/>
        </w:rPr>
        <w:t>occupational licensing reform</w:t>
      </w:r>
      <w:r w:rsidR="00AF7B2E">
        <w:rPr>
          <w:rFonts w:ascii="Arial" w:hAnsi="Arial" w:cs="Arial"/>
          <w:b/>
          <w:i/>
          <w:sz w:val="24"/>
          <w:szCs w:val="24"/>
        </w:rPr>
        <w:t xml:space="preserve"> process is allowed to run its course.</w:t>
      </w:r>
    </w:p>
    <w:p w:rsidR="00314AB0" w:rsidRPr="00E5377B" w:rsidRDefault="005331B4" w:rsidP="00447015">
      <w:pPr>
        <w:autoSpaceDE w:val="0"/>
        <w:autoSpaceDN w:val="0"/>
        <w:adjustRightInd w:val="0"/>
        <w:spacing w:after="0" w:line="240" w:lineRule="auto"/>
        <w:rPr>
          <w:rFonts w:ascii="Arial" w:hAnsi="Arial" w:cs="Arial"/>
          <w:b/>
          <w:bCs/>
          <w:sz w:val="24"/>
          <w:szCs w:val="24"/>
        </w:rPr>
      </w:pPr>
      <w:r w:rsidRPr="00E5377B">
        <w:rPr>
          <w:rFonts w:ascii="Arial" w:hAnsi="Arial" w:cs="Arial"/>
          <w:b/>
          <w:bCs/>
          <w:sz w:val="24"/>
          <w:szCs w:val="24"/>
        </w:rPr>
        <w:t>Discussion</w:t>
      </w:r>
    </w:p>
    <w:p w:rsidR="005331B4" w:rsidRDefault="005331B4" w:rsidP="00447015">
      <w:pPr>
        <w:autoSpaceDE w:val="0"/>
        <w:autoSpaceDN w:val="0"/>
        <w:adjustRightInd w:val="0"/>
        <w:spacing w:after="0" w:line="240" w:lineRule="auto"/>
        <w:rPr>
          <w:rFonts w:ascii="Arial" w:hAnsi="Arial" w:cs="Arial"/>
          <w:b/>
          <w:bCs/>
        </w:rPr>
      </w:pPr>
    </w:p>
    <w:p w:rsidR="005331B4" w:rsidRPr="00E5377B" w:rsidRDefault="005331B4" w:rsidP="00447015">
      <w:pPr>
        <w:autoSpaceDE w:val="0"/>
        <w:autoSpaceDN w:val="0"/>
        <w:adjustRightInd w:val="0"/>
        <w:spacing w:after="0" w:line="240" w:lineRule="auto"/>
        <w:rPr>
          <w:rFonts w:ascii="Arial" w:hAnsi="Arial" w:cs="Arial"/>
          <w:bCs/>
          <w:i/>
          <w:sz w:val="24"/>
          <w:szCs w:val="24"/>
        </w:rPr>
      </w:pPr>
      <w:r w:rsidRPr="00E5377B">
        <w:rPr>
          <w:rFonts w:ascii="Arial" w:hAnsi="Arial" w:cs="Arial"/>
          <w:bCs/>
          <w:i/>
          <w:sz w:val="24"/>
          <w:szCs w:val="24"/>
        </w:rPr>
        <w:t>Mutual Recognition</w:t>
      </w:r>
    </w:p>
    <w:p w:rsidR="005331B4" w:rsidRPr="00E5377B" w:rsidRDefault="005331B4" w:rsidP="00447015">
      <w:pPr>
        <w:autoSpaceDE w:val="0"/>
        <w:autoSpaceDN w:val="0"/>
        <w:adjustRightInd w:val="0"/>
        <w:spacing w:after="0" w:line="240" w:lineRule="auto"/>
        <w:rPr>
          <w:rFonts w:ascii="Arial" w:hAnsi="Arial" w:cs="Arial"/>
          <w:bCs/>
          <w:sz w:val="24"/>
          <w:szCs w:val="24"/>
        </w:rPr>
      </w:pPr>
    </w:p>
    <w:p w:rsidR="003C79A5" w:rsidRDefault="003C79A5" w:rsidP="00447015">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Improved labour mobility is the main rationale advanced for having a system of mutual recognition for occupation groups. The reality of this for the real estate profession has been overstated by many notwithstanding the three geographic areas in Australia where the issue </w:t>
      </w:r>
      <w:r w:rsidR="00D65EAA">
        <w:rPr>
          <w:rFonts w:ascii="Arial" w:hAnsi="Arial" w:cs="Arial"/>
          <w:bCs/>
          <w:sz w:val="24"/>
          <w:szCs w:val="24"/>
        </w:rPr>
        <w:t xml:space="preserve">is said to </w:t>
      </w:r>
      <w:r>
        <w:rPr>
          <w:rFonts w:ascii="Arial" w:hAnsi="Arial" w:cs="Arial"/>
          <w:bCs/>
          <w:sz w:val="24"/>
          <w:szCs w:val="24"/>
        </w:rPr>
        <w:t>arise – Canberra/Queanbeyan, Albury/Wodonga and Gold Coast/Tweed Heads.</w:t>
      </w:r>
    </w:p>
    <w:p w:rsidR="003C79A5" w:rsidRDefault="003C79A5" w:rsidP="00447015">
      <w:pPr>
        <w:autoSpaceDE w:val="0"/>
        <w:autoSpaceDN w:val="0"/>
        <w:adjustRightInd w:val="0"/>
        <w:spacing w:after="0" w:line="240" w:lineRule="auto"/>
        <w:rPr>
          <w:rFonts w:ascii="Arial" w:hAnsi="Arial" w:cs="Arial"/>
          <w:bCs/>
          <w:sz w:val="24"/>
          <w:szCs w:val="24"/>
        </w:rPr>
      </w:pPr>
    </w:p>
    <w:p w:rsidR="003C79A5" w:rsidRDefault="003C79A5" w:rsidP="00447015">
      <w:pPr>
        <w:autoSpaceDE w:val="0"/>
        <w:autoSpaceDN w:val="0"/>
        <w:adjustRightInd w:val="0"/>
        <w:spacing w:after="0" w:line="240" w:lineRule="auto"/>
        <w:rPr>
          <w:rFonts w:ascii="Arial" w:hAnsi="Arial" w:cs="Arial"/>
          <w:bCs/>
          <w:sz w:val="24"/>
          <w:szCs w:val="24"/>
        </w:rPr>
      </w:pPr>
      <w:r>
        <w:rPr>
          <w:rFonts w:ascii="Arial" w:hAnsi="Arial" w:cs="Arial"/>
          <w:bCs/>
          <w:sz w:val="24"/>
          <w:szCs w:val="24"/>
        </w:rPr>
        <w:t>The Consultation Regulation Impact Statements</w:t>
      </w:r>
      <w:r w:rsidR="00AF7B2E">
        <w:rPr>
          <w:rFonts w:ascii="Arial" w:hAnsi="Arial" w:cs="Arial"/>
          <w:bCs/>
          <w:sz w:val="24"/>
          <w:szCs w:val="24"/>
        </w:rPr>
        <w:t xml:space="preserve"> (RIS)</w:t>
      </w:r>
      <w:r>
        <w:rPr>
          <w:rFonts w:ascii="Arial" w:hAnsi="Arial" w:cs="Arial"/>
          <w:bCs/>
          <w:sz w:val="24"/>
          <w:szCs w:val="24"/>
        </w:rPr>
        <w:t xml:space="preserve"> associated with the attempt at a NOLS could not quantify this benefit and many critiques subsequently discredited the estimates provided</w:t>
      </w:r>
      <w:r w:rsidR="00AF7B2E">
        <w:rPr>
          <w:rFonts w:ascii="Arial" w:hAnsi="Arial" w:cs="Arial"/>
          <w:bCs/>
          <w:sz w:val="24"/>
          <w:szCs w:val="24"/>
        </w:rPr>
        <w:t xml:space="preserve"> in the RIS</w:t>
      </w:r>
      <w:r w:rsidR="00D65EAA">
        <w:rPr>
          <w:rFonts w:ascii="Arial" w:hAnsi="Arial" w:cs="Arial"/>
          <w:bCs/>
          <w:sz w:val="24"/>
          <w:szCs w:val="24"/>
        </w:rPr>
        <w:t>. In short there is no evidence to suggest that the current system impairs the mobility of a licensee who wishes to work in another state or territory.</w:t>
      </w:r>
    </w:p>
    <w:p w:rsidR="00D65EAA" w:rsidRDefault="00D65EAA" w:rsidP="00447015">
      <w:pPr>
        <w:autoSpaceDE w:val="0"/>
        <w:autoSpaceDN w:val="0"/>
        <w:adjustRightInd w:val="0"/>
        <w:spacing w:after="0" w:line="240" w:lineRule="auto"/>
        <w:rPr>
          <w:rFonts w:ascii="Arial" w:hAnsi="Arial" w:cs="Arial"/>
          <w:bCs/>
          <w:sz w:val="24"/>
          <w:szCs w:val="24"/>
        </w:rPr>
      </w:pPr>
    </w:p>
    <w:p w:rsidR="00D65EAA" w:rsidRDefault="00D65EAA" w:rsidP="00447015">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data for applications for mutual recognition should not be used as an indicator of the demand as these applications are in most instances the result </w:t>
      </w:r>
      <w:r w:rsidRPr="00E5377B">
        <w:rPr>
          <w:rFonts w:ascii="Arial" w:hAnsi="Arial" w:cs="Arial"/>
          <w:bCs/>
          <w:sz w:val="24"/>
          <w:szCs w:val="24"/>
        </w:rPr>
        <w:t xml:space="preserve">of jurisdictional ‘shopping and hopping’ </w:t>
      </w:r>
      <w:r w:rsidR="00E00476">
        <w:rPr>
          <w:rFonts w:ascii="Arial" w:hAnsi="Arial" w:cs="Arial"/>
          <w:bCs/>
          <w:sz w:val="24"/>
          <w:szCs w:val="24"/>
        </w:rPr>
        <w:t xml:space="preserve">where </w:t>
      </w:r>
      <w:r w:rsidR="00E00476" w:rsidRPr="00E5377B">
        <w:rPr>
          <w:rFonts w:ascii="Arial" w:hAnsi="Arial" w:cs="Arial"/>
          <w:bCs/>
          <w:sz w:val="24"/>
          <w:szCs w:val="24"/>
        </w:rPr>
        <w:t xml:space="preserve">agents choose to obtain a licence </w:t>
      </w:r>
      <w:r w:rsidR="00E00476">
        <w:rPr>
          <w:rFonts w:ascii="Arial" w:hAnsi="Arial" w:cs="Arial"/>
          <w:bCs/>
          <w:sz w:val="24"/>
          <w:szCs w:val="24"/>
        </w:rPr>
        <w:t xml:space="preserve">in a jurisdiction with lesser education and experience requirements most often as a </w:t>
      </w:r>
      <w:r w:rsidR="00E05DA0">
        <w:rPr>
          <w:rFonts w:ascii="Arial" w:hAnsi="Arial" w:cs="Arial"/>
          <w:bCs/>
          <w:sz w:val="24"/>
          <w:szCs w:val="24"/>
        </w:rPr>
        <w:t>‘</w:t>
      </w:r>
      <w:r w:rsidR="00E00476">
        <w:rPr>
          <w:rFonts w:ascii="Arial" w:hAnsi="Arial" w:cs="Arial"/>
          <w:bCs/>
          <w:sz w:val="24"/>
          <w:szCs w:val="24"/>
        </w:rPr>
        <w:t>quickie</w:t>
      </w:r>
      <w:r w:rsidR="00E05DA0">
        <w:rPr>
          <w:rFonts w:ascii="Arial" w:hAnsi="Arial" w:cs="Arial"/>
          <w:bCs/>
          <w:sz w:val="24"/>
          <w:szCs w:val="24"/>
        </w:rPr>
        <w:t>’</w:t>
      </w:r>
      <w:r w:rsidR="00E00476">
        <w:rPr>
          <w:rFonts w:ascii="Arial" w:hAnsi="Arial" w:cs="Arial"/>
          <w:bCs/>
          <w:sz w:val="24"/>
          <w:szCs w:val="24"/>
        </w:rPr>
        <w:t xml:space="preserve"> course </w:t>
      </w:r>
      <w:r w:rsidR="00E00476" w:rsidRPr="00E5377B">
        <w:rPr>
          <w:rFonts w:ascii="Arial" w:hAnsi="Arial" w:cs="Arial"/>
          <w:bCs/>
          <w:sz w:val="24"/>
          <w:szCs w:val="24"/>
        </w:rPr>
        <w:t>and then apply for mutual recognition of the licence in their home jurisdiction</w:t>
      </w:r>
      <w:r w:rsidR="00E00476">
        <w:rPr>
          <w:rFonts w:ascii="Arial" w:hAnsi="Arial" w:cs="Arial"/>
          <w:bCs/>
          <w:sz w:val="24"/>
          <w:szCs w:val="24"/>
        </w:rPr>
        <w:t>.</w:t>
      </w:r>
      <w:r w:rsidR="00AF7B2E">
        <w:rPr>
          <w:rFonts w:ascii="Arial" w:hAnsi="Arial" w:cs="Arial"/>
          <w:bCs/>
          <w:sz w:val="24"/>
          <w:szCs w:val="24"/>
        </w:rPr>
        <w:t xml:space="preserve"> </w:t>
      </w:r>
    </w:p>
    <w:p w:rsidR="00AF7B2E" w:rsidRDefault="00AF7B2E" w:rsidP="00447015">
      <w:pPr>
        <w:autoSpaceDE w:val="0"/>
        <w:autoSpaceDN w:val="0"/>
        <w:adjustRightInd w:val="0"/>
        <w:spacing w:after="0" w:line="240" w:lineRule="auto"/>
        <w:rPr>
          <w:rFonts w:ascii="Arial" w:hAnsi="Arial" w:cs="Arial"/>
          <w:bCs/>
          <w:sz w:val="24"/>
          <w:szCs w:val="24"/>
        </w:rPr>
      </w:pPr>
    </w:p>
    <w:p w:rsidR="00AF7B2E" w:rsidRDefault="00AF7B2E" w:rsidP="00AF7B2E">
      <w:pPr>
        <w:autoSpaceDE w:val="0"/>
        <w:autoSpaceDN w:val="0"/>
        <w:adjustRightInd w:val="0"/>
        <w:spacing w:after="0" w:line="240" w:lineRule="auto"/>
        <w:rPr>
          <w:rFonts w:ascii="Arial" w:hAnsi="Arial" w:cs="Arial"/>
          <w:bCs/>
          <w:sz w:val="24"/>
          <w:szCs w:val="24"/>
        </w:rPr>
      </w:pPr>
      <w:r w:rsidRPr="00AF7B2E">
        <w:rPr>
          <w:rFonts w:ascii="Arial" w:hAnsi="Arial" w:cs="Arial"/>
          <w:bCs/>
          <w:sz w:val="24"/>
          <w:szCs w:val="24"/>
        </w:rPr>
        <w:t>The REIA in its previous submission raised the point that abuse of Mutual Recognition was at times being facilitated by regulators who do not consistently verify addresses of licence applicants as being bona fide residents of that state.  REIA has information from its member organisations suggesting that some trainees at the short courses are only temporary residents of that state and that within two months of completing the course, gained a licence in another state under Mutual Recognition. If nothing else this is a deceptive practice which should be addressed. It also indicates that those from interstate undertaking the course had no intention of practicing in the state in which they received their training.</w:t>
      </w:r>
    </w:p>
    <w:p w:rsidR="00AF7B2E" w:rsidRPr="00AF7B2E" w:rsidRDefault="00AF7B2E" w:rsidP="00AF7B2E">
      <w:pPr>
        <w:autoSpaceDE w:val="0"/>
        <w:autoSpaceDN w:val="0"/>
        <w:adjustRightInd w:val="0"/>
        <w:spacing w:after="0" w:line="240" w:lineRule="auto"/>
        <w:rPr>
          <w:rFonts w:ascii="Arial" w:hAnsi="Arial" w:cs="Arial"/>
          <w:bCs/>
          <w:sz w:val="24"/>
          <w:szCs w:val="24"/>
        </w:rPr>
      </w:pPr>
    </w:p>
    <w:p w:rsidR="00AF7B2E" w:rsidRDefault="00AF7B2E" w:rsidP="00AF7B2E">
      <w:pPr>
        <w:autoSpaceDE w:val="0"/>
        <w:autoSpaceDN w:val="0"/>
        <w:adjustRightInd w:val="0"/>
        <w:spacing w:after="0" w:line="240" w:lineRule="auto"/>
        <w:rPr>
          <w:rFonts w:ascii="Arial" w:hAnsi="Arial" w:cs="Arial"/>
          <w:bCs/>
          <w:sz w:val="24"/>
          <w:szCs w:val="24"/>
        </w:rPr>
      </w:pPr>
      <w:r w:rsidRPr="00AF7B2E">
        <w:rPr>
          <w:rFonts w:ascii="Arial" w:hAnsi="Arial" w:cs="Arial"/>
          <w:bCs/>
          <w:sz w:val="24"/>
          <w:szCs w:val="24"/>
        </w:rPr>
        <w:t>The REIA supports the intent of Mutual Recognition for bona fide applications from estate agents who have qualified and worked in another state. However what is presently occurring, under the guise of Mutual Recognition is a long way from this and is putting at jeopardy consumers and the status of the industry</w:t>
      </w:r>
      <w:r w:rsidR="003363C0">
        <w:rPr>
          <w:rFonts w:ascii="Arial" w:hAnsi="Arial" w:cs="Arial"/>
          <w:bCs/>
          <w:sz w:val="24"/>
          <w:szCs w:val="24"/>
        </w:rPr>
        <w:t>.</w:t>
      </w:r>
    </w:p>
    <w:p w:rsidR="00A83C6A" w:rsidRDefault="00A83C6A" w:rsidP="00447015">
      <w:pPr>
        <w:autoSpaceDE w:val="0"/>
        <w:autoSpaceDN w:val="0"/>
        <w:adjustRightInd w:val="0"/>
        <w:spacing w:after="0" w:line="240" w:lineRule="auto"/>
        <w:rPr>
          <w:rFonts w:ascii="Arial" w:hAnsi="Arial" w:cs="Arial"/>
          <w:bCs/>
          <w:sz w:val="24"/>
          <w:szCs w:val="24"/>
        </w:rPr>
      </w:pPr>
    </w:p>
    <w:p w:rsidR="00692127" w:rsidRDefault="00E00476" w:rsidP="002851D8">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Even where the application for </w:t>
      </w:r>
      <w:r w:rsidR="00E913CC">
        <w:rPr>
          <w:rFonts w:ascii="Arial" w:hAnsi="Arial" w:cs="Arial"/>
          <w:bCs/>
          <w:sz w:val="24"/>
          <w:szCs w:val="24"/>
        </w:rPr>
        <w:t>M</w:t>
      </w:r>
      <w:r>
        <w:rPr>
          <w:rFonts w:ascii="Arial" w:hAnsi="Arial" w:cs="Arial"/>
          <w:bCs/>
          <w:sz w:val="24"/>
          <w:szCs w:val="24"/>
        </w:rPr>
        <w:t xml:space="preserve">utual </w:t>
      </w:r>
      <w:r w:rsidR="00E913CC">
        <w:rPr>
          <w:rFonts w:ascii="Arial" w:hAnsi="Arial" w:cs="Arial"/>
          <w:bCs/>
          <w:sz w:val="24"/>
          <w:szCs w:val="24"/>
        </w:rPr>
        <w:t>R</w:t>
      </w:r>
      <w:r>
        <w:rPr>
          <w:rFonts w:ascii="Arial" w:hAnsi="Arial" w:cs="Arial"/>
          <w:bCs/>
          <w:sz w:val="24"/>
          <w:szCs w:val="24"/>
        </w:rPr>
        <w:t>ecognition is for genuine reasons t</w:t>
      </w:r>
      <w:r w:rsidR="00ED32AF" w:rsidRPr="00E5377B">
        <w:rPr>
          <w:rFonts w:ascii="Arial" w:hAnsi="Arial" w:cs="Arial"/>
          <w:bCs/>
          <w:sz w:val="24"/>
          <w:szCs w:val="24"/>
        </w:rPr>
        <w:t xml:space="preserve">here have been considerable difficulties with the operation of the system. These </w:t>
      </w:r>
      <w:r>
        <w:rPr>
          <w:rFonts w:ascii="Arial" w:hAnsi="Arial" w:cs="Arial"/>
          <w:bCs/>
          <w:sz w:val="24"/>
          <w:szCs w:val="24"/>
        </w:rPr>
        <w:t xml:space="preserve">difficulties </w:t>
      </w:r>
      <w:r w:rsidR="00ED32AF" w:rsidRPr="00E5377B">
        <w:rPr>
          <w:rFonts w:ascii="Arial" w:hAnsi="Arial" w:cs="Arial"/>
          <w:bCs/>
          <w:sz w:val="24"/>
          <w:szCs w:val="24"/>
        </w:rPr>
        <w:t>include:</w:t>
      </w:r>
    </w:p>
    <w:p w:rsidR="00692127" w:rsidRPr="00692127" w:rsidRDefault="002851D8" w:rsidP="002851D8">
      <w:pPr>
        <w:pStyle w:val="ListParagraph"/>
        <w:numPr>
          <w:ilvl w:val="0"/>
          <w:numId w:val="33"/>
        </w:numPr>
        <w:autoSpaceDE w:val="0"/>
        <w:autoSpaceDN w:val="0"/>
        <w:adjustRightInd w:val="0"/>
        <w:spacing w:after="0" w:line="240" w:lineRule="auto"/>
        <w:rPr>
          <w:rFonts w:ascii="Arial" w:hAnsi="Arial" w:cs="Arial"/>
          <w:bCs/>
        </w:rPr>
      </w:pPr>
      <w:r w:rsidRPr="00692127">
        <w:rPr>
          <w:rFonts w:ascii="Arial" w:hAnsi="Arial" w:cs="Arial"/>
          <w:bCs/>
          <w:sz w:val="24"/>
          <w:szCs w:val="24"/>
        </w:rPr>
        <w:t xml:space="preserve">Some jurisdictions use negative licensing for </w:t>
      </w:r>
      <w:r w:rsidR="00692127" w:rsidRPr="00692127">
        <w:rPr>
          <w:rFonts w:ascii="Arial" w:hAnsi="Arial" w:cs="Arial"/>
          <w:bCs/>
          <w:sz w:val="24"/>
          <w:szCs w:val="24"/>
        </w:rPr>
        <w:t xml:space="preserve">certain categories of licencing. </w:t>
      </w:r>
      <w:r w:rsidRPr="00692127">
        <w:rPr>
          <w:rFonts w:ascii="Arial" w:hAnsi="Arial" w:cs="Arial"/>
          <w:bCs/>
          <w:sz w:val="24"/>
          <w:szCs w:val="24"/>
        </w:rPr>
        <w:t>When experienced and qualified practitioners from these jurisdictions move to another jurisdiction, they are required to obtain registration as if they were new entrants to the profession, incurring both time and financial costs</w:t>
      </w:r>
      <w:r w:rsidR="00692127">
        <w:rPr>
          <w:rFonts w:ascii="Arial" w:hAnsi="Arial" w:cs="Arial"/>
          <w:bCs/>
          <w:sz w:val="24"/>
          <w:szCs w:val="24"/>
        </w:rPr>
        <w:t>.</w:t>
      </w:r>
    </w:p>
    <w:p w:rsidR="00692127" w:rsidRDefault="002851D8" w:rsidP="002851D8">
      <w:pPr>
        <w:pStyle w:val="ListParagraph"/>
        <w:numPr>
          <w:ilvl w:val="0"/>
          <w:numId w:val="33"/>
        </w:numPr>
        <w:autoSpaceDE w:val="0"/>
        <w:autoSpaceDN w:val="0"/>
        <w:adjustRightInd w:val="0"/>
        <w:spacing w:after="0" w:line="240" w:lineRule="auto"/>
        <w:rPr>
          <w:rFonts w:ascii="Arial" w:hAnsi="Arial" w:cs="Arial"/>
          <w:bCs/>
          <w:sz w:val="24"/>
          <w:szCs w:val="24"/>
        </w:rPr>
      </w:pPr>
      <w:r w:rsidRPr="00692127">
        <w:rPr>
          <w:rFonts w:ascii="Arial" w:hAnsi="Arial" w:cs="Arial"/>
          <w:bCs/>
          <w:sz w:val="24"/>
          <w:szCs w:val="24"/>
        </w:rPr>
        <w:t xml:space="preserve">The scope of licensing differs from one jurisdiction to another.  Some real estate occupations which do not require licensing in some jurisdictions are </w:t>
      </w:r>
      <w:r w:rsidRPr="00692127">
        <w:rPr>
          <w:rFonts w:ascii="Arial" w:hAnsi="Arial" w:cs="Arial"/>
          <w:bCs/>
          <w:sz w:val="24"/>
          <w:szCs w:val="24"/>
        </w:rPr>
        <w:lastRenderedPageBreak/>
        <w:t>licensed in others. Mutual recognition does not facilitate labour mobility where no equivalent licences exist in other jurisdictions</w:t>
      </w:r>
    </w:p>
    <w:p w:rsidR="00692127" w:rsidRDefault="002851D8" w:rsidP="00692127">
      <w:pPr>
        <w:pStyle w:val="ListParagraph"/>
        <w:numPr>
          <w:ilvl w:val="0"/>
          <w:numId w:val="33"/>
        </w:numPr>
        <w:autoSpaceDE w:val="0"/>
        <w:autoSpaceDN w:val="0"/>
        <w:adjustRightInd w:val="0"/>
        <w:spacing w:after="0" w:line="240" w:lineRule="auto"/>
        <w:rPr>
          <w:rFonts w:ascii="Arial" w:hAnsi="Arial" w:cs="Arial"/>
          <w:bCs/>
          <w:sz w:val="24"/>
          <w:szCs w:val="24"/>
        </w:rPr>
      </w:pPr>
      <w:r w:rsidRPr="00692127">
        <w:rPr>
          <w:rFonts w:ascii="Arial" w:hAnsi="Arial" w:cs="Arial"/>
          <w:bCs/>
          <w:sz w:val="24"/>
          <w:szCs w:val="24"/>
        </w:rPr>
        <w:t xml:space="preserve">Abuse of mutual recognition occurs </w:t>
      </w:r>
      <w:r w:rsidR="00692127">
        <w:rPr>
          <w:rFonts w:ascii="Arial" w:hAnsi="Arial" w:cs="Arial"/>
          <w:bCs/>
          <w:sz w:val="24"/>
          <w:szCs w:val="24"/>
        </w:rPr>
        <w:t>a</w:t>
      </w:r>
      <w:r w:rsidRPr="00692127">
        <w:rPr>
          <w:rFonts w:ascii="Arial" w:hAnsi="Arial" w:cs="Arial"/>
          <w:bCs/>
          <w:sz w:val="24"/>
          <w:szCs w:val="24"/>
        </w:rPr>
        <w:t xml:space="preserve">s a result of the different eligibility requirements for licensing. </w:t>
      </w:r>
      <w:r w:rsidR="00692127">
        <w:rPr>
          <w:rFonts w:ascii="Arial" w:hAnsi="Arial" w:cs="Arial"/>
          <w:bCs/>
          <w:sz w:val="24"/>
          <w:szCs w:val="24"/>
        </w:rPr>
        <w:t>As indicated above</w:t>
      </w:r>
      <w:r w:rsidRPr="00692127">
        <w:rPr>
          <w:rFonts w:ascii="Arial" w:hAnsi="Arial" w:cs="Arial"/>
          <w:bCs/>
          <w:sz w:val="24"/>
          <w:szCs w:val="24"/>
        </w:rPr>
        <w:t xml:space="preserve"> some agents choose to obtain a licence </w:t>
      </w:r>
      <w:r w:rsidR="00692127">
        <w:rPr>
          <w:rFonts w:ascii="Arial" w:hAnsi="Arial" w:cs="Arial"/>
          <w:bCs/>
          <w:sz w:val="24"/>
          <w:szCs w:val="24"/>
        </w:rPr>
        <w:t xml:space="preserve">in a jurisdiction with lower requirements </w:t>
      </w:r>
      <w:r w:rsidRPr="00692127">
        <w:rPr>
          <w:rFonts w:ascii="Arial" w:hAnsi="Arial" w:cs="Arial"/>
          <w:bCs/>
          <w:sz w:val="24"/>
          <w:szCs w:val="24"/>
        </w:rPr>
        <w:t>and then apply for mutual recognition of the licence in their home jurisdiction</w:t>
      </w:r>
      <w:r w:rsidR="00692127">
        <w:rPr>
          <w:rFonts w:ascii="Arial" w:hAnsi="Arial" w:cs="Arial"/>
          <w:bCs/>
          <w:sz w:val="24"/>
          <w:szCs w:val="24"/>
        </w:rPr>
        <w:t xml:space="preserve">. </w:t>
      </w:r>
    </w:p>
    <w:p w:rsidR="00692127" w:rsidRDefault="002851D8" w:rsidP="00692127">
      <w:pPr>
        <w:pStyle w:val="ListParagraph"/>
        <w:numPr>
          <w:ilvl w:val="0"/>
          <w:numId w:val="33"/>
        </w:numPr>
        <w:autoSpaceDE w:val="0"/>
        <w:autoSpaceDN w:val="0"/>
        <w:adjustRightInd w:val="0"/>
        <w:spacing w:after="0" w:line="240" w:lineRule="auto"/>
        <w:rPr>
          <w:rFonts w:ascii="Arial" w:hAnsi="Arial" w:cs="Arial"/>
          <w:bCs/>
          <w:sz w:val="24"/>
          <w:szCs w:val="24"/>
        </w:rPr>
      </w:pPr>
      <w:r w:rsidRPr="00692127">
        <w:rPr>
          <w:rFonts w:ascii="Arial" w:hAnsi="Arial" w:cs="Arial"/>
          <w:bCs/>
          <w:sz w:val="24"/>
          <w:szCs w:val="24"/>
        </w:rPr>
        <w:t>This is exacerbated by a lack of rigorous auditing of training bodies in that jurisdiction, resulting in some training providers ‘fast-tracking’ students through courses on the basis of recognition of prior learning, using less stringent criteria than applied by other training providers.</w:t>
      </w:r>
    </w:p>
    <w:p w:rsidR="002851D8" w:rsidRPr="00692127" w:rsidRDefault="002851D8" w:rsidP="00692127">
      <w:pPr>
        <w:pStyle w:val="ListParagraph"/>
        <w:numPr>
          <w:ilvl w:val="0"/>
          <w:numId w:val="33"/>
        </w:numPr>
        <w:autoSpaceDE w:val="0"/>
        <w:autoSpaceDN w:val="0"/>
        <w:adjustRightInd w:val="0"/>
        <w:spacing w:after="0" w:line="240" w:lineRule="auto"/>
        <w:rPr>
          <w:rFonts w:ascii="Arial" w:hAnsi="Arial" w:cs="Arial"/>
          <w:bCs/>
          <w:sz w:val="24"/>
          <w:szCs w:val="24"/>
        </w:rPr>
      </w:pPr>
      <w:r w:rsidRPr="00692127">
        <w:rPr>
          <w:rFonts w:ascii="Arial" w:hAnsi="Arial" w:cs="Arial"/>
          <w:bCs/>
          <w:sz w:val="24"/>
          <w:szCs w:val="24"/>
        </w:rPr>
        <w:t xml:space="preserve">Abuse of mutual recognition is facilitated when regulators do not consistently verify addresses </w:t>
      </w:r>
      <w:r w:rsidR="00692127">
        <w:rPr>
          <w:rFonts w:ascii="Arial" w:hAnsi="Arial" w:cs="Arial"/>
          <w:bCs/>
          <w:sz w:val="24"/>
          <w:szCs w:val="24"/>
        </w:rPr>
        <w:t xml:space="preserve">the home addresses </w:t>
      </w:r>
      <w:r w:rsidRPr="00692127">
        <w:rPr>
          <w:rFonts w:ascii="Arial" w:hAnsi="Arial" w:cs="Arial"/>
          <w:bCs/>
          <w:sz w:val="24"/>
          <w:szCs w:val="24"/>
        </w:rPr>
        <w:t>of licence applicants.</w:t>
      </w:r>
    </w:p>
    <w:p w:rsidR="002851D8" w:rsidRPr="00E5377B" w:rsidRDefault="002851D8" w:rsidP="002851D8">
      <w:pPr>
        <w:autoSpaceDE w:val="0"/>
        <w:autoSpaceDN w:val="0"/>
        <w:adjustRightInd w:val="0"/>
        <w:spacing w:after="0" w:line="240" w:lineRule="auto"/>
        <w:rPr>
          <w:rFonts w:ascii="Arial" w:hAnsi="Arial" w:cs="Arial"/>
          <w:bCs/>
          <w:sz w:val="24"/>
          <w:szCs w:val="24"/>
        </w:rPr>
      </w:pPr>
    </w:p>
    <w:p w:rsidR="00ED32AF" w:rsidRPr="00E5377B" w:rsidRDefault="00106CA2" w:rsidP="00ED32AF">
      <w:pPr>
        <w:autoSpaceDE w:val="0"/>
        <w:autoSpaceDN w:val="0"/>
        <w:adjustRightInd w:val="0"/>
        <w:spacing w:after="0" w:line="240" w:lineRule="auto"/>
        <w:rPr>
          <w:rFonts w:ascii="Arial" w:hAnsi="Arial" w:cs="Arial"/>
          <w:bCs/>
          <w:sz w:val="24"/>
          <w:szCs w:val="24"/>
        </w:rPr>
      </w:pPr>
      <w:r w:rsidRPr="00E5377B">
        <w:rPr>
          <w:rFonts w:ascii="Arial" w:hAnsi="Arial" w:cs="Arial"/>
          <w:bCs/>
          <w:sz w:val="24"/>
          <w:szCs w:val="24"/>
        </w:rPr>
        <w:t xml:space="preserve">The REIA believes that </w:t>
      </w:r>
      <w:r w:rsidR="00E913CC">
        <w:rPr>
          <w:rFonts w:ascii="Arial" w:hAnsi="Arial" w:cs="Arial"/>
          <w:bCs/>
          <w:sz w:val="24"/>
          <w:szCs w:val="24"/>
        </w:rPr>
        <w:t>M</w:t>
      </w:r>
      <w:r w:rsidRPr="00E5377B">
        <w:rPr>
          <w:rFonts w:ascii="Arial" w:hAnsi="Arial" w:cs="Arial"/>
          <w:bCs/>
          <w:sz w:val="24"/>
          <w:szCs w:val="24"/>
        </w:rPr>
        <w:t xml:space="preserve">utual </w:t>
      </w:r>
      <w:r w:rsidR="00E913CC">
        <w:rPr>
          <w:rFonts w:ascii="Arial" w:hAnsi="Arial" w:cs="Arial"/>
          <w:bCs/>
          <w:sz w:val="24"/>
          <w:szCs w:val="24"/>
        </w:rPr>
        <w:t>R</w:t>
      </w:r>
      <w:r w:rsidRPr="00E5377B">
        <w:rPr>
          <w:rFonts w:ascii="Arial" w:hAnsi="Arial" w:cs="Arial"/>
          <w:bCs/>
          <w:sz w:val="24"/>
          <w:szCs w:val="24"/>
        </w:rPr>
        <w:t>ecognition is not an adequate solution for labo</w:t>
      </w:r>
      <w:r>
        <w:rPr>
          <w:rFonts w:ascii="Arial" w:hAnsi="Arial" w:cs="Arial"/>
          <w:bCs/>
          <w:sz w:val="24"/>
          <w:szCs w:val="24"/>
        </w:rPr>
        <w:t>u</w:t>
      </w:r>
      <w:r w:rsidRPr="00E5377B">
        <w:rPr>
          <w:rFonts w:ascii="Arial" w:hAnsi="Arial" w:cs="Arial"/>
          <w:bCs/>
          <w:sz w:val="24"/>
          <w:szCs w:val="24"/>
        </w:rPr>
        <w:t>r mobility and consumer protection</w:t>
      </w:r>
      <w:r>
        <w:rPr>
          <w:rFonts w:ascii="Arial" w:hAnsi="Arial" w:cs="Arial"/>
          <w:bCs/>
          <w:sz w:val="24"/>
          <w:szCs w:val="24"/>
        </w:rPr>
        <w:t xml:space="preserve">. </w:t>
      </w:r>
      <w:r w:rsidR="00E00476" w:rsidRPr="00E5377B">
        <w:rPr>
          <w:rFonts w:ascii="Arial" w:hAnsi="Arial" w:cs="Arial"/>
          <w:bCs/>
          <w:sz w:val="24"/>
          <w:szCs w:val="24"/>
        </w:rPr>
        <w:t>Without a nationwide consistent approach to real estate education</w:t>
      </w:r>
      <w:r w:rsidR="00E05DA0">
        <w:rPr>
          <w:rFonts w:ascii="Arial" w:hAnsi="Arial" w:cs="Arial"/>
          <w:bCs/>
          <w:sz w:val="24"/>
          <w:szCs w:val="24"/>
        </w:rPr>
        <w:t>,</w:t>
      </w:r>
      <w:r w:rsidR="00E00476" w:rsidRPr="00E5377B">
        <w:rPr>
          <w:rFonts w:ascii="Arial" w:hAnsi="Arial" w:cs="Arial"/>
          <w:bCs/>
          <w:sz w:val="24"/>
          <w:szCs w:val="24"/>
        </w:rPr>
        <w:t xml:space="preserve"> </w:t>
      </w:r>
      <w:r w:rsidR="00E913CC">
        <w:rPr>
          <w:rFonts w:ascii="Arial" w:hAnsi="Arial" w:cs="Arial"/>
          <w:bCs/>
          <w:sz w:val="24"/>
          <w:szCs w:val="24"/>
        </w:rPr>
        <w:t>M</w:t>
      </w:r>
      <w:r w:rsidR="00E00476" w:rsidRPr="00E5377B">
        <w:rPr>
          <w:rFonts w:ascii="Arial" w:hAnsi="Arial" w:cs="Arial"/>
          <w:bCs/>
          <w:sz w:val="24"/>
          <w:szCs w:val="24"/>
        </w:rPr>
        <w:t xml:space="preserve">utual </w:t>
      </w:r>
      <w:r w:rsidR="00E913CC">
        <w:rPr>
          <w:rFonts w:ascii="Arial" w:hAnsi="Arial" w:cs="Arial"/>
          <w:bCs/>
          <w:sz w:val="24"/>
          <w:szCs w:val="24"/>
        </w:rPr>
        <w:t>R</w:t>
      </w:r>
      <w:r w:rsidR="00E00476" w:rsidRPr="00E5377B">
        <w:rPr>
          <w:rFonts w:ascii="Arial" w:hAnsi="Arial" w:cs="Arial"/>
          <w:bCs/>
          <w:sz w:val="24"/>
          <w:szCs w:val="24"/>
        </w:rPr>
        <w:t xml:space="preserve">ecognition </w:t>
      </w:r>
      <w:r>
        <w:rPr>
          <w:rFonts w:ascii="Arial" w:hAnsi="Arial" w:cs="Arial"/>
          <w:bCs/>
          <w:sz w:val="24"/>
          <w:szCs w:val="24"/>
        </w:rPr>
        <w:t xml:space="preserve">will be </w:t>
      </w:r>
      <w:r w:rsidR="00E00476" w:rsidRPr="00E5377B">
        <w:rPr>
          <w:rFonts w:ascii="Arial" w:hAnsi="Arial" w:cs="Arial"/>
          <w:bCs/>
          <w:sz w:val="24"/>
          <w:szCs w:val="24"/>
        </w:rPr>
        <w:t>a second-best solution</w:t>
      </w:r>
      <w:r>
        <w:rPr>
          <w:rFonts w:ascii="Arial" w:hAnsi="Arial" w:cs="Arial"/>
          <w:bCs/>
          <w:sz w:val="24"/>
          <w:szCs w:val="24"/>
        </w:rPr>
        <w:t xml:space="preserve">. </w:t>
      </w:r>
      <w:r w:rsidR="00ED32AF" w:rsidRPr="00E5377B">
        <w:rPr>
          <w:rFonts w:ascii="Arial" w:hAnsi="Arial" w:cs="Arial"/>
          <w:bCs/>
          <w:sz w:val="24"/>
          <w:szCs w:val="24"/>
        </w:rPr>
        <w:t xml:space="preserve">Harmonisation of legislation, including that relating to education and licensing, would create more consistency nation-wide, </w:t>
      </w:r>
      <w:r>
        <w:rPr>
          <w:rFonts w:ascii="Arial" w:hAnsi="Arial" w:cs="Arial"/>
          <w:bCs/>
          <w:sz w:val="24"/>
          <w:szCs w:val="24"/>
        </w:rPr>
        <w:t xml:space="preserve">albeit </w:t>
      </w:r>
      <w:r w:rsidR="003B178E">
        <w:rPr>
          <w:rFonts w:ascii="Arial" w:hAnsi="Arial" w:cs="Arial"/>
          <w:bCs/>
          <w:sz w:val="24"/>
          <w:szCs w:val="24"/>
        </w:rPr>
        <w:t xml:space="preserve">with </w:t>
      </w:r>
      <w:r w:rsidR="00ED32AF" w:rsidRPr="00E5377B">
        <w:rPr>
          <w:rFonts w:ascii="Arial" w:hAnsi="Arial" w:cs="Arial"/>
          <w:bCs/>
          <w:sz w:val="24"/>
          <w:szCs w:val="24"/>
        </w:rPr>
        <w:t>add</w:t>
      </w:r>
      <w:r w:rsidR="003B178E">
        <w:rPr>
          <w:rFonts w:ascii="Arial" w:hAnsi="Arial" w:cs="Arial"/>
          <w:bCs/>
          <w:sz w:val="24"/>
          <w:szCs w:val="24"/>
        </w:rPr>
        <w:t xml:space="preserve">ed </w:t>
      </w:r>
      <w:r w:rsidR="00ED32AF" w:rsidRPr="00E5377B">
        <w:rPr>
          <w:rFonts w:ascii="Arial" w:hAnsi="Arial" w:cs="Arial"/>
          <w:bCs/>
          <w:sz w:val="24"/>
          <w:szCs w:val="24"/>
        </w:rPr>
        <w:t>cost</w:t>
      </w:r>
      <w:r w:rsidR="003B178E">
        <w:rPr>
          <w:rFonts w:ascii="Arial" w:hAnsi="Arial" w:cs="Arial"/>
          <w:bCs/>
          <w:sz w:val="24"/>
          <w:szCs w:val="24"/>
        </w:rPr>
        <w:t>s</w:t>
      </w:r>
      <w:r w:rsidR="00ED32AF" w:rsidRPr="00E5377B">
        <w:rPr>
          <w:rFonts w:ascii="Arial" w:hAnsi="Arial" w:cs="Arial"/>
          <w:bCs/>
          <w:sz w:val="24"/>
          <w:szCs w:val="24"/>
        </w:rPr>
        <w:t xml:space="preserve"> burdens for individuals as they obtain multiple licences to operate in </w:t>
      </w:r>
      <w:r w:rsidR="003B178E">
        <w:rPr>
          <w:rFonts w:ascii="Arial" w:hAnsi="Arial" w:cs="Arial"/>
          <w:bCs/>
          <w:sz w:val="24"/>
          <w:szCs w:val="24"/>
        </w:rPr>
        <w:t xml:space="preserve">other </w:t>
      </w:r>
      <w:r w:rsidR="00ED32AF" w:rsidRPr="00E5377B">
        <w:rPr>
          <w:rFonts w:ascii="Arial" w:hAnsi="Arial" w:cs="Arial"/>
          <w:bCs/>
          <w:sz w:val="24"/>
          <w:szCs w:val="24"/>
        </w:rPr>
        <w:t xml:space="preserve">jurisdictions. </w:t>
      </w:r>
      <w:r w:rsidR="000E52A6">
        <w:rPr>
          <w:rFonts w:ascii="Arial" w:hAnsi="Arial" w:cs="Arial"/>
          <w:bCs/>
          <w:sz w:val="24"/>
          <w:szCs w:val="24"/>
        </w:rPr>
        <w:t xml:space="preserve">If jurisdictional differences in education requirements continue to part of the system they will undermine the intention of </w:t>
      </w:r>
      <w:r w:rsidR="00E913CC">
        <w:rPr>
          <w:rFonts w:ascii="Arial" w:hAnsi="Arial" w:cs="Arial"/>
          <w:bCs/>
          <w:sz w:val="24"/>
          <w:szCs w:val="24"/>
        </w:rPr>
        <w:t>M</w:t>
      </w:r>
      <w:r w:rsidR="000E52A6">
        <w:rPr>
          <w:rFonts w:ascii="Arial" w:hAnsi="Arial" w:cs="Arial"/>
          <w:bCs/>
          <w:sz w:val="24"/>
          <w:szCs w:val="24"/>
        </w:rPr>
        <w:t xml:space="preserve">utual </w:t>
      </w:r>
      <w:r w:rsidR="00E913CC">
        <w:rPr>
          <w:rFonts w:ascii="Arial" w:hAnsi="Arial" w:cs="Arial"/>
          <w:bCs/>
          <w:sz w:val="24"/>
          <w:szCs w:val="24"/>
        </w:rPr>
        <w:t>R</w:t>
      </w:r>
      <w:r w:rsidR="000E52A6">
        <w:rPr>
          <w:rFonts w:ascii="Arial" w:hAnsi="Arial" w:cs="Arial"/>
          <w:bCs/>
          <w:sz w:val="24"/>
          <w:szCs w:val="24"/>
        </w:rPr>
        <w:t>ecognition.</w:t>
      </w:r>
    </w:p>
    <w:p w:rsidR="00ED32AF" w:rsidRDefault="00ED32AF" w:rsidP="00ED32AF">
      <w:pPr>
        <w:autoSpaceDE w:val="0"/>
        <w:autoSpaceDN w:val="0"/>
        <w:adjustRightInd w:val="0"/>
        <w:spacing w:after="0" w:line="240" w:lineRule="auto"/>
        <w:rPr>
          <w:rFonts w:ascii="Arial" w:hAnsi="Arial" w:cs="Arial"/>
          <w:bCs/>
          <w:sz w:val="24"/>
          <w:szCs w:val="24"/>
        </w:rPr>
      </w:pPr>
    </w:p>
    <w:p w:rsidR="00ED32AF" w:rsidRDefault="00ED32AF" w:rsidP="00ED32AF">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It is against this background that </w:t>
      </w:r>
      <w:r w:rsidRPr="00E5377B">
        <w:rPr>
          <w:rFonts w:ascii="Arial" w:hAnsi="Arial" w:cs="Arial"/>
          <w:bCs/>
          <w:sz w:val="24"/>
          <w:szCs w:val="24"/>
        </w:rPr>
        <w:t>REIA</w:t>
      </w:r>
      <w:r>
        <w:rPr>
          <w:rFonts w:ascii="Arial" w:hAnsi="Arial" w:cs="Arial"/>
          <w:bCs/>
          <w:sz w:val="24"/>
          <w:szCs w:val="24"/>
        </w:rPr>
        <w:t xml:space="preserve">’s </w:t>
      </w:r>
      <w:r w:rsidRPr="00E5377B">
        <w:rPr>
          <w:rFonts w:ascii="Arial" w:hAnsi="Arial" w:cs="Arial"/>
          <w:bCs/>
          <w:sz w:val="24"/>
          <w:szCs w:val="24"/>
        </w:rPr>
        <w:t>response to the Productivity Council’s study on geographic labour mobility</w:t>
      </w:r>
      <w:r>
        <w:rPr>
          <w:rFonts w:ascii="Arial" w:hAnsi="Arial" w:cs="Arial"/>
          <w:bCs/>
          <w:sz w:val="24"/>
          <w:szCs w:val="24"/>
        </w:rPr>
        <w:t xml:space="preserve"> in 2014 recommended that </w:t>
      </w:r>
      <w:r w:rsidRPr="00E5377B">
        <w:rPr>
          <w:rFonts w:ascii="Arial" w:hAnsi="Arial" w:cs="Arial"/>
          <w:bCs/>
          <w:sz w:val="24"/>
          <w:szCs w:val="24"/>
        </w:rPr>
        <w:t xml:space="preserve">where there is a genuine net public benefit, </w:t>
      </w:r>
      <w:r>
        <w:rPr>
          <w:rFonts w:ascii="Arial" w:hAnsi="Arial" w:cs="Arial"/>
          <w:bCs/>
          <w:sz w:val="24"/>
          <w:szCs w:val="24"/>
        </w:rPr>
        <w:t xml:space="preserve">there should be a </w:t>
      </w:r>
      <w:r w:rsidRPr="00E5377B">
        <w:rPr>
          <w:rFonts w:ascii="Arial" w:hAnsi="Arial" w:cs="Arial"/>
          <w:bCs/>
          <w:sz w:val="24"/>
          <w:szCs w:val="24"/>
        </w:rPr>
        <w:t xml:space="preserve">move towards the development of a harmonised set of laws for </w:t>
      </w:r>
      <w:r>
        <w:rPr>
          <w:rFonts w:ascii="Arial" w:hAnsi="Arial" w:cs="Arial"/>
          <w:bCs/>
          <w:sz w:val="24"/>
          <w:szCs w:val="24"/>
        </w:rPr>
        <w:t xml:space="preserve">the </w:t>
      </w:r>
      <w:r w:rsidRPr="00E5377B">
        <w:rPr>
          <w:rFonts w:ascii="Arial" w:hAnsi="Arial" w:cs="Arial"/>
          <w:bCs/>
          <w:sz w:val="24"/>
          <w:szCs w:val="24"/>
        </w:rPr>
        <w:t xml:space="preserve">relevant </w:t>
      </w:r>
      <w:r>
        <w:rPr>
          <w:rFonts w:ascii="Arial" w:hAnsi="Arial" w:cs="Arial"/>
          <w:bCs/>
          <w:sz w:val="24"/>
          <w:szCs w:val="24"/>
        </w:rPr>
        <w:t>occupation group.</w:t>
      </w:r>
    </w:p>
    <w:p w:rsidR="002851D8" w:rsidRDefault="002851D8" w:rsidP="002851D8">
      <w:pPr>
        <w:autoSpaceDE w:val="0"/>
        <w:autoSpaceDN w:val="0"/>
        <w:adjustRightInd w:val="0"/>
        <w:spacing w:after="0" w:line="240" w:lineRule="auto"/>
        <w:rPr>
          <w:rFonts w:ascii="Arial" w:hAnsi="Arial" w:cs="Arial"/>
          <w:bCs/>
          <w:sz w:val="24"/>
          <w:szCs w:val="24"/>
        </w:rPr>
      </w:pPr>
    </w:p>
    <w:p w:rsidR="003363C0" w:rsidRPr="003363C0" w:rsidRDefault="003363C0" w:rsidP="002851D8">
      <w:pPr>
        <w:autoSpaceDE w:val="0"/>
        <w:autoSpaceDN w:val="0"/>
        <w:adjustRightInd w:val="0"/>
        <w:spacing w:after="0" w:line="240" w:lineRule="auto"/>
        <w:rPr>
          <w:rFonts w:ascii="Arial" w:hAnsi="Arial" w:cs="Arial"/>
          <w:b/>
          <w:bCs/>
          <w:i/>
          <w:sz w:val="24"/>
          <w:szCs w:val="24"/>
        </w:rPr>
      </w:pPr>
      <w:r>
        <w:rPr>
          <w:rFonts w:ascii="Arial" w:hAnsi="Arial" w:cs="Arial"/>
          <w:b/>
          <w:bCs/>
          <w:i/>
          <w:sz w:val="24"/>
          <w:szCs w:val="24"/>
        </w:rPr>
        <w:t xml:space="preserve">REIA recommends that </w:t>
      </w:r>
      <w:r w:rsidRPr="003363C0">
        <w:rPr>
          <w:rFonts w:ascii="Arial" w:hAnsi="Arial" w:cs="Arial"/>
          <w:b/>
          <w:bCs/>
          <w:i/>
          <w:sz w:val="24"/>
          <w:szCs w:val="24"/>
        </w:rPr>
        <w:t>where there is a genuine net public benefit, there should be a move towards the development of a harmonised set of laws for the relevant occupation group</w:t>
      </w:r>
      <w:r>
        <w:rPr>
          <w:rFonts w:ascii="Arial" w:hAnsi="Arial" w:cs="Arial"/>
          <w:b/>
          <w:bCs/>
          <w:i/>
          <w:sz w:val="24"/>
          <w:szCs w:val="24"/>
        </w:rPr>
        <w:t>.</w:t>
      </w:r>
    </w:p>
    <w:p w:rsidR="003363C0" w:rsidRDefault="003363C0" w:rsidP="002851D8">
      <w:pPr>
        <w:autoSpaceDE w:val="0"/>
        <w:autoSpaceDN w:val="0"/>
        <w:adjustRightInd w:val="0"/>
        <w:spacing w:after="0" w:line="240" w:lineRule="auto"/>
        <w:rPr>
          <w:rFonts w:ascii="Arial" w:hAnsi="Arial" w:cs="Arial"/>
          <w:bCs/>
          <w:sz w:val="24"/>
          <w:szCs w:val="24"/>
        </w:rPr>
      </w:pPr>
    </w:p>
    <w:p w:rsidR="000E52A6" w:rsidRDefault="000E52A6" w:rsidP="002851D8">
      <w:pPr>
        <w:autoSpaceDE w:val="0"/>
        <w:autoSpaceDN w:val="0"/>
        <w:adjustRightInd w:val="0"/>
        <w:spacing w:after="0" w:line="240" w:lineRule="auto"/>
        <w:rPr>
          <w:rFonts w:ascii="Arial" w:hAnsi="Arial" w:cs="Arial"/>
          <w:sz w:val="24"/>
          <w:szCs w:val="24"/>
        </w:rPr>
      </w:pPr>
      <w:r>
        <w:rPr>
          <w:rFonts w:ascii="Arial" w:hAnsi="Arial" w:cs="Arial"/>
          <w:bCs/>
          <w:sz w:val="24"/>
          <w:szCs w:val="24"/>
        </w:rPr>
        <w:t xml:space="preserve">Until these jurisdictional differences are addressed REIA believes that </w:t>
      </w:r>
      <w:r w:rsidR="00E913CC">
        <w:rPr>
          <w:rFonts w:ascii="Arial" w:hAnsi="Arial" w:cs="Arial"/>
          <w:bCs/>
          <w:sz w:val="24"/>
          <w:szCs w:val="24"/>
        </w:rPr>
        <w:t>M</w:t>
      </w:r>
      <w:r>
        <w:rPr>
          <w:rFonts w:ascii="Arial" w:hAnsi="Arial" w:cs="Arial"/>
          <w:sz w:val="24"/>
          <w:szCs w:val="24"/>
        </w:rPr>
        <w:t xml:space="preserve">utual </w:t>
      </w:r>
      <w:r w:rsidR="00E913CC">
        <w:rPr>
          <w:rFonts w:ascii="Arial" w:hAnsi="Arial" w:cs="Arial"/>
          <w:sz w:val="24"/>
          <w:szCs w:val="24"/>
        </w:rPr>
        <w:t>R</w:t>
      </w:r>
      <w:r>
        <w:rPr>
          <w:rFonts w:ascii="Arial" w:hAnsi="Arial" w:cs="Arial"/>
          <w:sz w:val="24"/>
          <w:szCs w:val="24"/>
        </w:rPr>
        <w:t xml:space="preserve">ecognition arrangement should have </w:t>
      </w:r>
      <w:r w:rsidR="003363C0">
        <w:rPr>
          <w:rFonts w:ascii="Arial" w:hAnsi="Arial" w:cs="Arial"/>
          <w:sz w:val="24"/>
          <w:szCs w:val="24"/>
        </w:rPr>
        <w:t xml:space="preserve">stringent </w:t>
      </w:r>
      <w:r>
        <w:rPr>
          <w:rFonts w:ascii="Arial" w:hAnsi="Arial" w:cs="Arial"/>
          <w:sz w:val="24"/>
          <w:szCs w:val="24"/>
        </w:rPr>
        <w:t>requirement</w:t>
      </w:r>
      <w:r w:rsidR="003363C0">
        <w:rPr>
          <w:rFonts w:ascii="Arial" w:hAnsi="Arial" w:cs="Arial"/>
          <w:sz w:val="24"/>
          <w:szCs w:val="24"/>
        </w:rPr>
        <w:t>s</w:t>
      </w:r>
      <w:r>
        <w:rPr>
          <w:rFonts w:ascii="Arial" w:hAnsi="Arial" w:cs="Arial"/>
          <w:sz w:val="24"/>
          <w:szCs w:val="24"/>
        </w:rPr>
        <w:t xml:space="preserve"> for a licence holder to undertake </w:t>
      </w:r>
      <w:r w:rsidR="00E05DA0">
        <w:rPr>
          <w:rFonts w:ascii="Arial" w:hAnsi="Arial" w:cs="Arial"/>
          <w:sz w:val="24"/>
          <w:szCs w:val="24"/>
        </w:rPr>
        <w:t>‘</w:t>
      </w:r>
      <w:r>
        <w:rPr>
          <w:rFonts w:ascii="Arial" w:hAnsi="Arial" w:cs="Arial"/>
          <w:sz w:val="24"/>
          <w:szCs w:val="24"/>
        </w:rPr>
        <w:t>top-up</w:t>
      </w:r>
      <w:r w:rsidR="00E05DA0">
        <w:rPr>
          <w:rFonts w:ascii="Arial" w:hAnsi="Arial" w:cs="Arial"/>
          <w:sz w:val="24"/>
          <w:szCs w:val="24"/>
        </w:rPr>
        <w:t>’</w:t>
      </w:r>
      <w:r>
        <w:rPr>
          <w:rFonts w:ascii="Arial" w:hAnsi="Arial" w:cs="Arial"/>
          <w:sz w:val="24"/>
          <w:szCs w:val="24"/>
        </w:rPr>
        <w:t xml:space="preserve"> training on moving to a new jurisdiction.</w:t>
      </w:r>
    </w:p>
    <w:p w:rsidR="003363C0" w:rsidRDefault="003363C0" w:rsidP="002851D8">
      <w:pPr>
        <w:autoSpaceDE w:val="0"/>
        <w:autoSpaceDN w:val="0"/>
        <w:adjustRightInd w:val="0"/>
        <w:spacing w:after="0" w:line="240" w:lineRule="auto"/>
        <w:rPr>
          <w:rFonts w:ascii="Arial" w:hAnsi="Arial" w:cs="Arial"/>
          <w:sz w:val="24"/>
          <w:szCs w:val="24"/>
        </w:rPr>
      </w:pPr>
    </w:p>
    <w:p w:rsidR="003363C0" w:rsidRPr="003363C0" w:rsidRDefault="003363C0" w:rsidP="002851D8">
      <w:pPr>
        <w:autoSpaceDE w:val="0"/>
        <w:autoSpaceDN w:val="0"/>
        <w:adjustRightInd w:val="0"/>
        <w:spacing w:after="0" w:line="240" w:lineRule="auto"/>
        <w:rPr>
          <w:rFonts w:ascii="Arial" w:hAnsi="Arial" w:cs="Arial"/>
          <w:b/>
          <w:bCs/>
          <w:i/>
          <w:sz w:val="24"/>
          <w:szCs w:val="24"/>
        </w:rPr>
      </w:pPr>
      <w:r w:rsidRPr="003363C0">
        <w:rPr>
          <w:rFonts w:ascii="Arial" w:hAnsi="Arial" w:cs="Arial"/>
          <w:b/>
          <w:bCs/>
          <w:i/>
          <w:sz w:val="24"/>
          <w:szCs w:val="24"/>
        </w:rPr>
        <w:t xml:space="preserve">REIA </w:t>
      </w:r>
      <w:r>
        <w:rPr>
          <w:rFonts w:ascii="Arial" w:hAnsi="Arial" w:cs="Arial"/>
          <w:b/>
          <w:bCs/>
          <w:i/>
          <w:sz w:val="24"/>
          <w:szCs w:val="24"/>
        </w:rPr>
        <w:t xml:space="preserve">recommends that </w:t>
      </w:r>
      <w:r w:rsidR="005E279E">
        <w:rPr>
          <w:rFonts w:ascii="Arial" w:hAnsi="Arial" w:cs="Arial"/>
          <w:b/>
          <w:bCs/>
          <w:i/>
          <w:sz w:val="24"/>
          <w:szCs w:val="24"/>
        </w:rPr>
        <w:t>M</w:t>
      </w:r>
      <w:r w:rsidRPr="003363C0">
        <w:rPr>
          <w:rFonts w:ascii="Arial" w:hAnsi="Arial" w:cs="Arial"/>
          <w:b/>
          <w:bCs/>
          <w:i/>
          <w:sz w:val="24"/>
          <w:szCs w:val="24"/>
        </w:rPr>
        <w:t xml:space="preserve">utual </w:t>
      </w:r>
      <w:r w:rsidR="005E279E">
        <w:rPr>
          <w:rFonts w:ascii="Arial" w:hAnsi="Arial" w:cs="Arial"/>
          <w:b/>
          <w:bCs/>
          <w:i/>
          <w:sz w:val="24"/>
          <w:szCs w:val="24"/>
        </w:rPr>
        <w:t>R</w:t>
      </w:r>
      <w:r w:rsidRPr="003363C0">
        <w:rPr>
          <w:rFonts w:ascii="Arial" w:hAnsi="Arial" w:cs="Arial"/>
          <w:b/>
          <w:bCs/>
          <w:i/>
          <w:sz w:val="24"/>
          <w:szCs w:val="24"/>
        </w:rPr>
        <w:t xml:space="preserve">ecognition arrangement should have stringent requirements for a licence holder to undertake </w:t>
      </w:r>
      <w:r w:rsidR="00E05DA0">
        <w:rPr>
          <w:rFonts w:ascii="Arial" w:hAnsi="Arial" w:cs="Arial"/>
          <w:b/>
          <w:bCs/>
          <w:i/>
          <w:sz w:val="24"/>
          <w:szCs w:val="24"/>
        </w:rPr>
        <w:t>‘</w:t>
      </w:r>
      <w:r w:rsidRPr="003363C0">
        <w:rPr>
          <w:rFonts w:ascii="Arial" w:hAnsi="Arial" w:cs="Arial"/>
          <w:b/>
          <w:bCs/>
          <w:i/>
          <w:sz w:val="24"/>
          <w:szCs w:val="24"/>
        </w:rPr>
        <w:t>top-up</w:t>
      </w:r>
      <w:r w:rsidR="00E05DA0">
        <w:rPr>
          <w:rFonts w:ascii="Arial" w:hAnsi="Arial" w:cs="Arial"/>
          <w:b/>
          <w:bCs/>
          <w:i/>
          <w:sz w:val="24"/>
          <w:szCs w:val="24"/>
        </w:rPr>
        <w:t>’</w:t>
      </w:r>
      <w:r w:rsidRPr="003363C0">
        <w:rPr>
          <w:rFonts w:ascii="Arial" w:hAnsi="Arial" w:cs="Arial"/>
          <w:b/>
          <w:bCs/>
          <w:i/>
          <w:sz w:val="24"/>
          <w:szCs w:val="24"/>
        </w:rPr>
        <w:t xml:space="preserve"> training on moving to a new jurisdiction</w:t>
      </w:r>
      <w:r>
        <w:rPr>
          <w:rFonts w:ascii="Arial" w:hAnsi="Arial" w:cs="Arial"/>
          <w:b/>
          <w:bCs/>
          <w:i/>
          <w:sz w:val="24"/>
          <w:szCs w:val="24"/>
        </w:rPr>
        <w:t>.</w:t>
      </w:r>
    </w:p>
    <w:p w:rsidR="000E52A6" w:rsidRDefault="000E52A6" w:rsidP="00447015">
      <w:pPr>
        <w:autoSpaceDE w:val="0"/>
        <w:autoSpaceDN w:val="0"/>
        <w:adjustRightInd w:val="0"/>
        <w:spacing w:after="0" w:line="240" w:lineRule="auto"/>
        <w:rPr>
          <w:rFonts w:ascii="Arial" w:hAnsi="Arial" w:cs="Arial"/>
          <w:bCs/>
          <w:i/>
          <w:sz w:val="24"/>
          <w:szCs w:val="24"/>
        </w:rPr>
      </w:pPr>
    </w:p>
    <w:p w:rsidR="005331B4" w:rsidRPr="00E5377B" w:rsidRDefault="002851D8" w:rsidP="00447015">
      <w:pPr>
        <w:autoSpaceDE w:val="0"/>
        <w:autoSpaceDN w:val="0"/>
        <w:adjustRightInd w:val="0"/>
        <w:spacing w:after="0" w:line="240" w:lineRule="auto"/>
        <w:rPr>
          <w:rFonts w:ascii="Arial" w:hAnsi="Arial" w:cs="Arial"/>
          <w:bCs/>
          <w:i/>
          <w:sz w:val="24"/>
          <w:szCs w:val="24"/>
        </w:rPr>
      </w:pPr>
      <w:r w:rsidRPr="00E5377B">
        <w:rPr>
          <w:rFonts w:ascii="Arial" w:hAnsi="Arial" w:cs="Arial"/>
          <w:bCs/>
          <w:i/>
          <w:sz w:val="24"/>
          <w:szCs w:val="24"/>
        </w:rPr>
        <w:t>Automatic Mutual Recognition</w:t>
      </w:r>
    </w:p>
    <w:p w:rsidR="002851D8" w:rsidRDefault="002851D8" w:rsidP="00447015">
      <w:pPr>
        <w:autoSpaceDE w:val="0"/>
        <w:autoSpaceDN w:val="0"/>
        <w:adjustRightInd w:val="0"/>
        <w:spacing w:after="0" w:line="240" w:lineRule="auto"/>
        <w:rPr>
          <w:rFonts w:ascii="Arial" w:hAnsi="Arial" w:cs="Arial"/>
          <w:bCs/>
          <w:i/>
          <w:sz w:val="24"/>
          <w:szCs w:val="24"/>
        </w:rPr>
      </w:pPr>
    </w:p>
    <w:p w:rsidR="001A70DC" w:rsidRDefault="00BF0B28" w:rsidP="002851D8">
      <w:pPr>
        <w:autoSpaceDE w:val="0"/>
        <w:autoSpaceDN w:val="0"/>
        <w:adjustRightInd w:val="0"/>
        <w:spacing w:after="0" w:line="240" w:lineRule="auto"/>
        <w:rPr>
          <w:rFonts w:ascii="Arial" w:hAnsi="Arial" w:cs="Arial"/>
          <w:bCs/>
          <w:sz w:val="24"/>
          <w:szCs w:val="24"/>
        </w:rPr>
      </w:pPr>
      <w:r>
        <w:rPr>
          <w:rFonts w:ascii="Arial" w:hAnsi="Arial" w:cs="Arial"/>
          <w:bCs/>
          <w:sz w:val="24"/>
          <w:szCs w:val="24"/>
        </w:rPr>
        <w:t>Under A</w:t>
      </w:r>
      <w:r w:rsidRPr="00BF0B28">
        <w:rPr>
          <w:rFonts w:ascii="Arial" w:hAnsi="Arial" w:cs="Arial"/>
          <w:bCs/>
          <w:sz w:val="24"/>
          <w:szCs w:val="24"/>
        </w:rPr>
        <w:t xml:space="preserve">utomatic </w:t>
      </w:r>
      <w:r>
        <w:rPr>
          <w:rFonts w:ascii="Arial" w:hAnsi="Arial" w:cs="Arial"/>
          <w:bCs/>
          <w:sz w:val="24"/>
          <w:szCs w:val="24"/>
        </w:rPr>
        <w:t>M</w:t>
      </w:r>
      <w:r w:rsidRPr="00BF0B28">
        <w:rPr>
          <w:rFonts w:ascii="Arial" w:hAnsi="Arial" w:cs="Arial"/>
          <w:bCs/>
          <w:sz w:val="24"/>
          <w:szCs w:val="24"/>
        </w:rPr>
        <w:t xml:space="preserve">utual </w:t>
      </w:r>
      <w:r>
        <w:rPr>
          <w:rFonts w:ascii="Arial" w:hAnsi="Arial" w:cs="Arial"/>
          <w:bCs/>
          <w:sz w:val="24"/>
          <w:szCs w:val="24"/>
        </w:rPr>
        <w:t>R</w:t>
      </w:r>
      <w:r w:rsidRPr="00BF0B28">
        <w:rPr>
          <w:rFonts w:ascii="Arial" w:hAnsi="Arial" w:cs="Arial"/>
          <w:bCs/>
          <w:sz w:val="24"/>
          <w:szCs w:val="24"/>
        </w:rPr>
        <w:t>ecognition there would be no need for licensees working in a second jurisdiction to pay additional fees or lodge licence applications. Licensees choosing to work in an additional jurisdiction would still need to comply with any relevant jurisdiction-specific conduct and compliance requirements that apply to the work they intend to perform.</w:t>
      </w:r>
    </w:p>
    <w:p w:rsidR="00506F9F" w:rsidRDefault="00506F9F" w:rsidP="002851D8">
      <w:pPr>
        <w:autoSpaceDE w:val="0"/>
        <w:autoSpaceDN w:val="0"/>
        <w:adjustRightInd w:val="0"/>
        <w:spacing w:after="0" w:line="240" w:lineRule="auto"/>
        <w:rPr>
          <w:rFonts w:ascii="Arial" w:hAnsi="Arial" w:cs="Arial"/>
          <w:bCs/>
          <w:sz w:val="24"/>
          <w:szCs w:val="24"/>
        </w:rPr>
      </w:pPr>
    </w:p>
    <w:p w:rsidR="002851D8" w:rsidRPr="00E5377B" w:rsidRDefault="001A70DC" w:rsidP="002851D8">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As discussed above </w:t>
      </w:r>
      <w:r w:rsidR="002851D8" w:rsidRPr="00E5377B">
        <w:rPr>
          <w:rFonts w:ascii="Arial" w:hAnsi="Arial" w:cs="Arial"/>
          <w:bCs/>
          <w:sz w:val="24"/>
          <w:szCs w:val="24"/>
        </w:rPr>
        <w:t xml:space="preserve">REIA believes that </w:t>
      </w:r>
      <w:r>
        <w:rPr>
          <w:rFonts w:ascii="Arial" w:hAnsi="Arial" w:cs="Arial"/>
          <w:bCs/>
          <w:sz w:val="24"/>
          <w:szCs w:val="24"/>
        </w:rPr>
        <w:t>improvements need to be made to current arrangements and as such A</w:t>
      </w:r>
      <w:r w:rsidR="002851D8" w:rsidRPr="00E5377B">
        <w:rPr>
          <w:rFonts w:ascii="Arial" w:hAnsi="Arial" w:cs="Arial"/>
          <w:bCs/>
          <w:sz w:val="24"/>
          <w:szCs w:val="24"/>
        </w:rPr>
        <w:t xml:space="preserve">utomatic </w:t>
      </w:r>
      <w:r>
        <w:rPr>
          <w:rFonts w:ascii="Arial" w:hAnsi="Arial" w:cs="Arial"/>
          <w:bCs/>
          <w:sz w:val="24"/>
          <w:szCs w:val="24"/>
        </w:rPr>
        <w:t>M</w:t>
      </w:r>
      <w:r w:rsidR="002851D8" w:rsidRPr="00E5377B">
        <w:rPr>
          <w:rFonts w:ascii="Arial" w:hAnsi="Arial" w:cs="Arial"/>
          <w:bCs/>
          <w:sz w:val="24"/>
          <w:szCs w:val="24"/>
        </w:rPr>
        <w:t xml:space="preserve">utual </w:t>
      </w:r>
      <w:r>
        <w:rPr>
          <w:rFonts w:ascii="Arial" w:hAnsi="Arial" w:cs="Arial"/>
          <w:bCs/>
          <w:sz w:val="24"/>
          <w:szCs w:val="24"/>
        </w:rPr>
        <w:t>R</w:t>
      </w:r>
      <w:r w:rsidR="002851D8" w:rsidRPr="00E5377B">
        <w:rPr>
          <w:rFonts w:ascii="Arial" w:hAnsi="Arial" w:cs="Arial"/>
          <w:bCs/>
          <w:sz w:val="24"/>
          <w:szCs w:val="24"/>
        </w:rPr>
        <w:t xml:space="preserve">ecognition </w:t>
      </w:r>
      <w:r>
        <w:rPr>
          <w:rFonts w:ascii="Arial" w:hAnsi="Arial" w:cs="Arial"/>
          <w:bCs/>
          <w:sz w:val="24"/>
          <w:szCs w:val="24"/>
        </w:rPr>
        <w:t xml:space="preserve">would at this stage be </w:t>
      </w:r>
      <w:r w:rsidR="002851D8" w:rsidRPr="00E5377B">
        <w:rPr>
          <w:rFonts w:ascii="Arial" w:hAnsi="Arial" w:cs="Arial"/>
          <w:bCs/>
          <w:sz w:val="24"/>
          <w:szCs w:val="24"/>
        </w:rPr>
        <w:t>very</w:t>
      </w:r>
      <w:r w:rsidR="00E5377B" w:rsidRPr="00E5377B">
        <w:rPr>
          <w:rFonts w:ascii="Arial" w:hAnsi="Arial" w:cs="Arial"/>
          <w:bCs/>
          <w:sz w:val="24"/>
          <w:szCs w:val="24"/>
        </w:rPr>
        <w:t xml:space="preserve"> </w:t>
      </w:r>
      <w:r w:rsidR="002851D8" w:rsidRPr="00E5377B">
        <w:rPr>
          <w:rFonts w:ascii="Arial" w:hAnsi="Arial" w:cs="Arial"/>
          <w:bCs/>
          <w:sz w:val="24"/>
          <w:szCs w:val="24"/>
        </w:rPr>
        <w:t xml:space="preserve">much </w:t>
      </w:r>
      <w:r>
        <w:rPr>
          <w:rFonts w:ascii="Arial" w:hAnsi="Arial" w:cs="Arial"/>
          <w:bCs/>
          <w:sz w:val="24"/>
          <w:szCs w:val="24"/>
        </w:rPr>
        <w:t xml:space="preserve">considered </w:t>
      </w:r>
      <w:r w:rsidR="002851D8" w:rsidRPr="00E5377B">
        <w:rPr>
          <w:rFonts w:ascii="Arial" w:hAnsi="Arial" w:cs="Arial"/>
          <w:bCs/>
          <w:sz w:val="24"/>
          <w:szCs w:val="24"/>
        </w:rPr>
        <w:t>a sub optimal solution.</w:t>
      </w:r>
      <w:r w:rsidR="00106CA2">
        <w:rPr>
          <w:rFonts w:ascii="Arial" w:hAnsi="Arial" w:cs="Arial"/>
          <w:bCs/>
          <w:sz w:val="24"/>
          <w:szCs w:val="24"/>
        </w:rPr>
        <w:t xml:space="preserve"> </w:t>
      </w:r>
      <w:r w:rsidR="002851D8" w:rsidRPr="00E5377B">
        <w:rPr>
          <w:rFonts w:ascii="Arial" w:hAnsi="Arial" w:cs="Arial"/>
          <w:bCs/>
          <w:sz w:val="24"/>
          <w:szCs w:val="24"/>
        </w:rPr>
        <w:t xml:space="preserve">At </w:t>
      </w:r>
      <w:r w:rsidR="00BF0B28">
        <w:rPr>
          <w:rFonts w:ascii="Arial" w:hAnsi="Arial" w:cs="Arial"/>
          <w:bCs/>
          <w:sz w:val="24"/>
          <w:szCs w:val="24"/>
        </w:rPr>
        <w:t>l</w:t>
      </w:r>
      <w:r w:rsidR="002851D8" w:rsidRPr="00E5377B">
        <w:rPr>
          <w:rFonts w:ascii="Arial" w:hAnsi="Arial" w:cs="Arial"/>
          <w:bCs/>
          <w:sz w:val="24"/>
          <w:szCs w:val="24"/>
        </w:rPr>
        <w:t xml:space="preserve">east with </w:t>
      </w:r>
      <w:r>
        <w:rPr>
          <w:rFonts w:ascii="Arial" w:hAnsi="Arial" w:cs="Arial"/>
          <w:bCs/>
          <w:sz w:val="24"/>
          <w:szCs w:val="24"/>
        </w:rPr>
        <w:t>M</w:t>
      </w:r>
      <w:r w:rsidR="002851D8" w:rsidRPr="00E5377B">
        <w:rPr>
          <w:rFonts w:ascii="Arial" w:hAnsi="Arial" w:cs="Arial"/>
          <w:bCs/>
          <w:sz w:val="24"/>
          <w:szCs w:val="24"/>
        </w:rPr>
        <w:t xml:space="preserve">utual </w:t>
      </w:r>
      <w:r>
        <w:rPr>
          <w:rFonts w:ascii="Arial" w:hAnsi="Arial" w:cs="Arial"/>
          <w:bCs/>
          <w:sz w:val="24"/>
          <w:szCs w:val="24"/>
        </w:rPr>
        <w:t>R</w:t>
      </w:r>
      <w:r w:rsidR="002851D8" w:rsidRPr="00E5377B">
        <w:rPr>
          <w:rFonts w:ascii="Arial" w:hAnsi="Arial" w:cs="Arial"/>
          <w:bCs/>
          <w:sz w:val="24"/>
          <w:szCs w:val="24"/>
        </w:rPr>
        <w:t xml:space="preserve">ecognition (as </w:t>
      </w:r>
      <w:r w:rsidR="002851D8" w:rsidRPr="00E5377B">
        <w:rPr>
          <w:rFonts w:ascii="Arial" w:hAnsi="Arial" w:cs="Arial"/>
          <w:bCs/>
          <w:sz w:val="24"/>
          <w:szCs w:val="24"/>
        </w:rPr>
        <w:lastRenderedPageBreak/>
        <w:t>currently practised)</w:t>
      </w:r>
      <w:r w:rsidR="00E5377B" w:rsidRPr="00E5377B">
        <w:rPr>
          <w:rFonts w:ascii="Arial" w:hAnsi="Arial" w:cs="Arial"/>
          <w:bCs/>
          <w:sz w:val="24"/>
          <w:szCs w:val="24"/>
        </w:rPr>
        <w:t xml:space="preserve"> </w:t>
      </w:r>
      <w:r w:rsidR="002851D8" w:rsidRPr="00E5377B">
        <w:rPr>
          <w:rFonts w:ascii="Arial" w:hAnsi="Arial" w:cs="Arial"/>
          <w:bCs/>
          <w:sz w:val="24"/>
          <w:szCs w:val="24"/>
        </w:rPr>
        <w:t>the normative practice established by the law of requiring</w:t>
      </w:r>
      <w:r w:rsidR="00E5377B" w:rsidRPr="00E5377B">
        <w:rPr>
          <w:rFonts w:ascii="Arial" w:hAnsi="Arial" w:cs="Arial"/>
          <w:bCs/>
          <w:sz w:val="24"/>
          <w:szCs w:val="24"/>
        </w:rPr>
        <w:t xml:space="preserve"> </w:t>
      </w:r>
      <w:r w:rsidR="002851D8" w:rsidRPr="00E5377B">
        <w:rPr>
          <w:rFonts w:ascii="Arial" w:hAnsi="Arial" w:cs="Arial"/>
          <w:bCs/>
          <w:sz w:val="24"/>
          <w:szCs w:val="24"/>
        </w:rPr>
        <w:t>a person to register in the ‘foreign’ jurisdiction means</w:t>
      </w:r>
      <w:r w:rsidR="00E5377B" w:rsidRPr="00E5377B">
        <w:rPr>
          <w:rFonts w:ascii="Arial" w:hAnsi="Arial" w:cs="Arial"/>
          <w:bCs/>
          <w:sz w:val="24"/>
          <w:szCs w:val="24"/>
        </w:rPr>
        <w:t xml:space="preserve"> </w:t>
      </w:r>
      <w:r w:rsidR="002851D8" w:rsidRPr="00E5377B">
        <w:rPr>
          <w:rFonts w:ascii="Arial" w:hAnsi="Arial" w:cs="Arial"/>
          <w:bCs/>
          <w:sz w:val="24"/>
          <w:szCs w:val="24"/>
        </w:rPr>
        <w:t xml:space="preserve">the applicant </w:t>
      </w:r>
      <w:r w:rsidR="00506F9F">
        <w:rPr>
          <w:rFonts w:ascii="Arial" w:hAnsi="Arial" w:cs="Arial"/>
          <w:bCs/>
          <w:sz w:val="24"/>
          <w:szCs w:val="24"/>
        </w:rPr>
        <w:t xml:space="preserve">is provided with the </w:t>
      </w:r>
      <w:r w:rsidR="002851D8" w:rsidRPr="00E5377B">
        <w:rPr>
          <w:rFonts w:ascii="Arial" w:hAnsi="Arial" w:cs="Arial"/>
          <w:bCs/>
          <w:sz w:val="24"/>
          <w:szCs w:val="24"/>
        </w:rPr>
        <w:t xml:space="preserve"> opportunity to become aware of</w:t>
      </w:r>
      <w:r w:rsidR="00E5377B" w:rsidRPr="00E5377B">
        <w:rPr>
          <w:rFonts w:ascii="Arial" w:hAnsi="Arial" w:cs="Arial"/>
          <w:bCs/>
          <w:sz w:val="24"/>
          <w:szCs w:val="24"/>
        </w:rPr>
        <w:t xml:space="preserve"> </w:t>
      </w:r>
      <w:r w:rsidR="002851D8" w:rsidRPr="00E5377B">
        <w:rPr>
          <w:rFonts w:ascii="Arial" w:hAnsi="Arial" w:cs="Arial"/>
          <w:bCs/>
          <w:sz w:val="24"/>
          <w:szCs w:val="24"/>
        </w:rPr>
        <w:t>the scope of practice and conduct requirements of that</w:t>
      </w:r>
      <w:r w:rsidR="00506F9F">
        <w:rPr>
          <w:rFonts w:ascii="Arial" w:hAnsi="Arial" w:cs="Arial"/>
          <w:bCs/>
          <w:sz w:val="24"/>
          <w:szCs w:val="24"/>
        </w:rPr>
        <w:t xml:space="preserve"> </w:t>
      </w:r>
      <w:r w:rsidR="002851D8" w:rsidRPr="00E5377B">
        <w:rPr>
          <w:rFonts w:ascii="Arial" w:hAnsi="Arial" w:cs="Arial"/>
          <w:bCs/>
          <w:sz w:val="24"/>
          <w:szCs w:val="24"/>
        </w:rPr>
        <w:t>jurisdiction.</w:t>
      </w:r>
    </w:p>
    <w:p w:rsidR="002851D8" w:rsidRDefault="002851D8" w:rsidP="00447015">
      <w:pPr>
        <w:autoSpaceDE w:val="0"/>
        <w:autoSpaceDN w:val="0"/>
        <w:adjustRightInd w:val="0"/>
        <w:spacing w:after="0" w:line="240" w:lineRule="auto"/>
        <w:rPr>
          <w:rFonts w:ascii="Arial" w:hAnsi="Arial" w:cs="Arial"/>
          <w:bCs/>
          <w:i/>
          <w:sz w:val="24"/>
          <w:szCs w:val="24"/>
        </w:rPr>
      </w:pPr>
    </w:p>
    <w:p w:rsidR="00506F9F" w:rsidRDefault="00506F9F" w:rsidP="00447015">
      <w:pPr>
        <w:autoSpaceDE w:val="0"/>
        <w:autoSpaceDN w:val="0"/>
        <w:adjustRightInd w:val="0"/>
        <w:spacing w:after="0" w:line="240" w:lineRule="auto"/>
        <w:rPr>
          <w:rFonts w:ascii="Arial" w:hAnsi="Arial" w:cs="Arial"/>
          <w:b/>
          <w:bCs/>
          <w:i/>
          <w:sz w:val="24"/>
          <w:szCs w:val="24"/>
        </w:rPr>
      </w:pPr>
      <w:r>
        <w:rPr>
          <w:rFonts w:ascii="Arial" w:hAnsi="Arial" w:cs="Arial"/>
          <w:b/>
          <w:bCs/>
          <w:i/>
          <w:sz w:val="24"/>
          <w:szCs w:val="24"/>
        </w:rPr>
        <w:t>REIA recommends that Automatic Mutual Recognition not be proceeded with at this stage.</w:t>
      </w:r>
    </w:p>
    <w:p w:rsidR="00506F9F" w:rsidRPr="00506F9F" w:rsidRDefault="00506F9F" w:rsidP="00447015">
      <w:pPr>
        <w:autoSpaceDE w:val="0"/>
        <w:autoSpaceDN w:val="0"/>
        <w:adjustRightInd w:val="0"/>
        <w:spacing w:after="0" w:line="240" w:lineRule="auto"/>
        <w:rPr>
          <w:rFonts w:ascii="Arial" w:hAnsi="Arial" w:cs="Arial"/>
          <w:b/>
          <w:bCs/>
          <w:i/>
          <w:sz w:val="24"/>
          <w:szCs w:val="24"/>
        </w:rPr>
      </w:pPr>
    </w:p>
    <w:p w:rsidR="002851D8" w:rsidRPr="00E5377B" w:rsidRDefault="002851D8" w:rsidP="00447015">
      <w:pPr>
        <w:autoSpaceDE w:val="0"/>
        <w:autoSpaceDN w:val="0"/>
        <w:adjustRightInd w:val="0"/>
        <w:spacing w:after="0" w:line="240" w:lineRule="auto"/>
        <w:rPr>
          <w:rFonts w:ascii="Arial" w:hAnsi="Arial" w:cs="Arial"/>
          <w:bCs/>
          <w:i/>
          <w:sz w:val="24"/>
          <w:szCs w:val="24"/>
        </w:rPr>
      </w:pPr>
      <w:r w:rsidRPr="00E5377B">
        <w:rPr>
          <w:rFonts w:ascii="Arial" w:hAnsi="Arial" w:cs="Arial"/>
          <w:bCs/>
          <w:i/>
          <w:sz w:val="24"/>
          <w:szCs w:val="24"/>
        </w:rPr>
        <w:t xml:space="preserve">Trans-Tasman Mutual Recognition Agreement </w:t>
      </w:r>
    </w:p>
    <w:p w:rsidR="002851D8" w:rsidRPr="00E5377B" w:rsidRDefault="002851D8" w:rsidP="00447015">
      <w:pPr>
        <w:autoSpaceDE w:val="0"/>
        <w:autoSpaceDN w:val="0"/>
        <w:adjustRightInd w:val="0"/>
        <w:spacing w:after="0" w:line="240" w:lineRule="auto"/>
        <w:rPr>
          <w:rFonts w:ascii="Arial" w:hAnsi="Arial" w:cs="Arial"/>
          <w:bCs/>
          <w:i/>
          <w:sz w:val="24"/>
          <w:szCs w:val="24"/>
        </w:rPr>
      </w:pPr>
    </w:p>
    <w:p w:rsidR="00706C9A" w:rsidRDefault="00706C9A" w:rsidP="00706C9A">
      <w:pPr>
        <w:autoSpaceDE w:val="0"/>
        <w:autoSpaceDN w:val="0"/>
        <w:adjustRightInd w:val="0"/>
        <w:spacing w:after="0" w:line="240" w:lineRule="auto"/>
        <w:rPr>
          <w:rFonts w:ascii="Arial" w:hAnsi="Arial" w:cs="Arial"/>
          <w:bCs/>
          <w:sz w:val="24"/>
          <w:szCs w:val="24"/>
        </w:rPr>
      </w:pPr>
      <w:r w:rsidRPr="00706C9A">
        <w:rPr>
          <w:rFonts w:ascii="Arial" w:hAnsi="Arial" w:cs="Arial"/>
          <w:bCs/>
          <w:sz w:val="24"/>
          <w:szCs w:val="24"/>
        </w:rPr>
        <w:t xml:space="preserve">Recognition under the </w:t>
      </w:r>
      <w:r w:rsidR="004C066F" w:rsidRPr="004C066F">
        <w:rPr>
          <w:rFonts w:ascii="Arial" w:hAnsi="Arial" w:cs="Arial"/>
          <w:bCs/>
          <w:sz w:val="24"/>
          <w:szCs w:val="24"/>
        </w:rPr>
        <w:t xml:space="preserve">Trans-Tasman Mutual Recognition Agreement </w:t>
      </w:r>
      <w:r w:rsidR="004C066F">
        <w:rPr>
          <w:rFonts w:ascii="Arial" w:hAnsi="Arial" w:cs="Arial"/>
          <w:bCs/>
          <w:sz w:val="24"/>
          <w:szCs w:val="24"/>
        </w:rPr>
        <w:t xml:space="preserve">(TTMRA) is dependent upon </w:t>
      </w:r>
      <w:r w:rsidRPr="00706C9A">
        <w:rPr>
          <w:rFonts w:ascii="Arial" w:hAnsi="Arial" w:cs="Arial"/>
          <w:bCs/>
          <w:sz w:val="24"/>
          <w:szCs w:val="24"/>
        </w:rPr>
        <w:t xml:space="preserve">on whether or not a person is registered in their home jurisdiction </w:t>
      </w:r>
      <w:r w:rsidR="004C066F">
        <w:rPr>
          <w:rFonts w:ascii="Arial" w:hAnsi="Arial" w:cs="Arial"/>
          <w:bCs/>
          <w:sz w:val="24"/>
          <w:szCs w:val="24"/>
        </w:rPr>
        <w:t xml:space="preserve">and </w:t>
      </w:r>
      <w:r w:rsidRPr="00706C9A">
        <w:rPr>
          <w:rFonts w:ascii="Arial" w:hAnsi="Arial" w:cs="Arial"/>
          <w:bCs/>
          <w:sz w:val="24"/>
          <w:szCs w:val="24"/>
        </w:rPr>
        <w:t xml:space="preserve">not on the requirements for registration </w:t>
      </w:r>
      <w:r w:rsidR="004C066F">
        <w:rPr>
          <w:rFonts w:ascii="Arial" w:hAnsi="Arial" w:cs="Arial"/>
          <w:bCs/>
          <w:sz w:val="24"/>
          <w:szCs w:val="24"/>
        </w:rPr>
        <w:t xml:space="preserve">such as </w:t>
      </w:r>
      <w:r w:rsidRPr="00706C9A">
        <w:rPr>
          <w:rFonts w:ascii="Arial" w:hAnsi="Arial" w:cs="Arial"/>
          <w:bCs/>
          <w:sz w:val="24"/>
          <w:szCs w:val="24"/>
        </w:rPr>
        <w:t>qualification</w:t>
      </w:r>
      <w:r w:rsidR="004C066F">
        <w:rPr>
          <w:rFonts w:ascii="Arial" w:hAnsi="Arial" w:cs="Arial"/>
          <w:bCs/>
          <w:sz w:val="24"/>
          <w:szCs w:val="24"/>
        </w:rPr>
        <w:t xml:space="preserve"> attained</w:t>
      </w:r>
      <w:r w:rsidRPr="00706C9A">
        <w:rPr>
          <w:rFonts w:ascii="Arial" w:hAnsi="Arial" w:cs="Arial"/>
          <w:bCs/>
          <w:sz w:val="24"/>
          <w:szCs w:val="24"/>
        </w:rPr>
        <w:t xml:space="preserve">. This means that the pre-requisite criteria for initial registration in the recipient jurisdiction cannot be imposed on persons seeking registration under the scheme. </w:t>
      </w:r>
      <w:r w:rsidR="004C066F">
        <w:rPr>
          <w:rFonts w:ascii="Arial" w:hAnsi="Arial" w:cs="Arial"/>
          <w:bCs/>
          <w:sz w:val="24"/>
          <w:szCs w:val="24"/>
        </w:rPr>
        <w:t>I</w:t>
      </w:r>
      <w:r w:rsidRPr="00706C9A">
        <w:rPr>
          <w:rFonts w:ascii="Arial" w:hAnsi="Arial" w:cs="Arial"/>
          <w:bCs/>
          <w:sz w:val="24"/>
          <w:szCs w:val="24"/>
        </w:rPr>
        <w:t>t is not the intention of the scheme to require a person to upgrade their qualifications to bring them into line with local registration requirements</w:t>
      </w:r>
      <w:r w:rsidR="004C066F">
        <w:rPr>
          <w:rFonts w:ascii="Arial" w:hAnsi="Arial" w:cs="Arial"/>
          <w:bCs/>
          <w:sz w:val="24"/>
          <w:szCs w:val="24"/>
        </w:rPr>
        <w:t>.</w:t>
      </w:r>
    </w:p>
    <w:p w:rsidR="00706C9A" w:rsidRPr="00706C9A" w:rsidRDefault="00706C9A" w:rsidP="00706C9A">
      <w:pPr>
        <w:autoSpaceDE w:val="0"/>
        <w:autoSpaceDN w:val="0"/>
        <w:adjustRightInd w:val="0"/>
        <w:spacing w:after="0" w:line="240" w:lineRule="auto"/>
        <w:rPr>
          <w:rFonts w:ascii="Arial" w:hAnsi="Arial" w:cs="Arial"/>
          <w:bCs/>
          <w:sz w:val="24"/>
          <w:szCs w:val="24"/>
        </w:rPr>
      </w:pPr>
    </w:p>
    <w:p w:rsidR="002851D8" w:rsidRPr="00706C9A" w:rsidRDefault="00706C9A" w:rsidP="00706C9A">
      <w:pPr>
        <w:autoSpaceDE w:val="0"/>
        <w:autoSpaceDN w:val="0"/>
        <w:adjustRightInd w:val="0"/>
        <w:spacing w:after="0" w:line="240" w:lineRule="auto"/>
        <w:rPr>
          <w:rFonts w:ascii="Arial" w:hAnsi="Arial" w:cs="Arial"/>
          <w:bCs/>
        </w:rPr>
      </w:pPr>
      <w:r w:rsidRPr="00706C9A">
        <w:rPr>
          <w:rFonts w:ascii="Arial" w:hAnsi="Arial" w:cs="Arial"/>
          <w:bCs/>
          <w:sz w:val="24"/>
          <w:szCs w:val="24"/>
        </w:rPr>
        <w:t xml:space="preserve">The concern in regards </w:t>
      </w:r>
      <w:r w:rsidR="004C066F">
        <w:rPr>
          <w:rFonts w:ascii="Arial" w:hAnsi="Arial" w:cs="Arial"/>
          <w:bCs/>
          <w:sz w:val="24"/>
          <w:szCs w:val="24"/>
        </w:rPr>
        <w:t xml:space="preserve">to the TTMRA are the same as discussed above for Mutual Recognition in that </w:t>
      </w:r>
      <w:r w:rsidRPr="00706C9A">
        <w:rPr>
          <w:rFonts w:ascii="Arial" w:hAnsi="Arial" w:cs="Arial"/>
          <w:bCs/>
          <w:sz w:val="24"/>
          <w:szCs w:val="24"/>
        </w:rPr>
        <w:t>jurisdictional difference</w:t>
      </w:r>
      <w:r w:rsidR="004C066F">
        <w:rPr>
          <w:rFonts w:ascii="Arial" w:hAnsi="Arial" w:cs="Arial"/>
          <w:bCs/>
          <w:sz w:val="24"/>
          <w:szCs w:val="24"/>
        </w:rPr>
        <w:t>s</w:t>
      </w:r>
      <w:r w:rsidRPr="00706C9A">
        <w:rPr>
          <w:rFonts w:ascii="Arial" w:hAnsi="Arial" w:cs="Arial"/>
          <w:bCs/>
          <w:sz w:val="24"/>
          <w:szCs w:val="24"/>
        </w:rPr>
        <w:t xml:space="preserve"> remain with the lack of equivalence in educational requirements</w:t>
      </w:r>
      <w:r w:rsidRPr="00706C9A">
        <w:rPr>
          <w:rFonts w:ascii="Arial" w:hAnsi="Arial" w:cs="Arial"/>
          <w:bCs/>
        </w:rPr>
        <w:t>.</w:t>
      </w:r>
    </w:p>
    <w:p w:rsidR="00314AB0" w:rsidRDefault="00314AB0" w:rsidP="00314AB0">
      <w:pPr>
        <w:autoSpaceDE w:val="0"/>
        <w:autoSpaceDN w:val="0"/>
        <w:adjustRightInd w:val="0"/>
        <w:spacing w:after="0" w:line="240" w:lineRule="auto"/>
        <w:rPr>
          <w:rFonts w:ascii="Arial" w:hAnsi="Arial" w:cs="Arial"/>
          <w:bCs/>
        </w:rPr>
      </w:pPr>
    </w:p>
    <w:p w:rsidR="00706C9A" w:rsidRDefault="00C77EAA" w:rsidP="008036E3">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These concerns need to be addressed before the profession would benefit </w:t>
      </w:r>
      <w:r w:rsidR="00CA214B">
        <w:rPr>
          <w:rFonts w:ascii="Arial" w:hAnsi="Arial" w:cs="Arial"/>
          <w:bCs/>
          <w:sz w:val="24"/>
          <w:szCs w:val="24"/>
        </w:rPr>
        <w:t xml:space="preserve">from a move to the TTMRA </w:t>
      </w:r>
      <w:r>
        <w:rPr>
          <w:rFonts w:ascii="Arial" w:hAnsi="Arial" w:cs="Arial"/>
          <w:bCs/>
          <w:sz w:val="24"/>
          <w:szCs w:val="24"/>
        </w:rPr>
        <w:t xml:space="preserve">and as </w:t>
      </w:r>
      <w:r w:rsidR="00CA214B">
        <w:rPr>
          <w:rFonts w:ascii="Arial" w:hAnsi="Arial" w:cs="Arial"/>
          <w:bCs/>
          <w:sz w:val="24"/>
          <w:szCs w:val="24"/>
        </w:rPr>
        <w:t xml:space="preserve">such REIA believes that </w:t>
      </w:r>
      <w:r w:rsidR="008036E3" w:rsidRPr="00706C9A">
        <w:rPr>
          <w:rFonts w:ascii="Arial" w:hAnsi="Arial" w:cs="Arial"/>
          <w:bCs/>
          <w:sz w:val="24"/>
          <w:szCs w:val="24"/>
        </w:rPr>
        <w:t xml:space="preserve">adopting automatic recognition between Australia and New Zealand </w:t>
      </w:r>
      <w:r w:rsidR="008036E3">
        <w:rPr>
          <w:rFonts w:ascii="Arial" w:hAnsi="Arial" w:cs="Arial"/>
          <w:bCs/>
          <w:sz w:val="24"/>
          <w:szCs w:val="24"/>
        </w:rPr>
        <w:t xml:space="preserve">for </w:t>
      </w:r>
      <w:r w:rsidR="008036E3" w:rsidRPr="00706C9A">
        <w:rPr>
          <w:rFonts w:ascii="Arial" w:hAnsi="Arial" w:cs="Arial"/>
          <w:bCs/>
          <w:sz w:val="24"/>
          <w:szCs w:val="24"/>
        </w:rPr>
        <w:t xml:space="preserve">the real estate </w:t>
      </w:r>
      <w:r w:rsidR="008036E3">
        <w:rPr>
          <w:rFonts w:ascii="Arial" w:hAnsi="Arial" w:cs="Arial"/>
          <w:bCs/>
          <w:sz w:val="24"/>
          <w:szCs w:val="24"/>
        </w:rPr>
        <w:t xml:space="preserve">profession </w:t>
      </w:r>
      <w:r w:rsidR="008036E3" w:rsidRPr="00706C9A">
        <w:rPr>
          <w:rFonts w:ascii="Arial" w:hAnsi="Arial" w:cs="Arial"/>
          <w:bCs/>
          <w:sz w:val="24"/>
          <w:szCs w:val="24"/>
        </w:rPr>
        <w:t>is premature</w:t>
      </w:r>
      <w:r w:rsidR="008036E3">
        <w:rPr>
          <w:rFonts w:ascii="Arial" w:hAnsi="Arial" w:cs="Arial"/>
          <w:bCs/>
          <w:sz w:val="24"/>
          <w:szCs w:val="24"/>
        </w:rPr>
        <w:t>.</w:t>
      </w:r>
    </w:p>
    <w:p w:rsidR="004C066F" w:rsidRDefault="004C066F" w:rsidP="00706C9A">
      <w:pPr>
        <w:autoSpaceDE w:val="0"/>
        <w:autoSpaceDN w:val="0"/>
        <w:adjustRightInd w:val="0"/>
        <w:spacing w:after="0" w:line="240" w:lineRule="auto"/>
        <w:rPr>
          <w:rFonts w:ascii="Arial" w:hAnsi="Arial" w:cs="Arial"/>
          <w:bCs/>
          <w:sz w:val="24"/>
          <w:szCs w:val="24"/>
        </w:rPr>
      </w:pPr>
    </w:p>
    <w:p w:rsidR="004C066F" w:rsidRPr="004C066F" w:rsidRDefault="004C066F" w:rsidP="00706C9A">
      <w:pPr>
        <w:autoSpaceDE w:val="0"/>
        <w:autoSpaceDN w:val="0"/>
        <w:adjustRightInd w:val="0"/>
        <w:spacing w:after="0" w:line="240" w:lineRule="auto"/>
        <w:rPr>
          <w:rFonts w:ascii="Arial" w:hAnsi="Arial" w:cs="Arial"/>
          <w:b/>
          <w:bCs/>
          <w:i/>
          <w:sz w:val="24"/>
          <w:szCs w:val="24"/>
        </w:rPr>
      </w:pPr>
      <w:r>
        <w:rPr>
          <w:rFonts w:ascii="Arial" w:hAnsi="Arial" w:cs="Arial"/>
          <w:b/>
          <w:bCs/>
          <w:i/>
          <w:sz w:val="24"/>
          <w:szCs w:val="24"/>
        </w:rPr>
        <w:t>REIA recommends that t</w:t>
      </w:r>
      <w:r w:rsidRPr="004C066F">
        <w:rPr>
          <w:rFonts w:ascii="Arial" w:hAnsi="Arial" w:cs="Arial"/>
          <w:b/>
          <w:bCs/>
          <w:i/>
          <w:sz w:val="24"/>
          <w:szCs w:val="24"/>
        </w:rPr>
        <w:t xml:space="preserve">he Trans-Tasman Mutual Recognition Agreement </w:t>
      </w:r>
      <w:r w:rsidR="008036E3">
        <w:rPr>
          <w:rFonts w:ascii="Arial" w:hAnsi="Arial" w:cs="Arial"/>
          <w:b/>
          <w:bCs/>
          <w:i/>
          <w:sz w:val="24"/>
          <w:szCs w:val="24"/>
        </w:rPr>
        <w:t xml:space="preserve">for real estate occupations </w:t>
      </w:r>
      <w:r w:rsidRPr="004C066F">
        <w:rPr>
          <w:rFonts w:ascii="Arial" w:hAnsi="Arial" w:cs="Arial"/>
          <w:b/>
          <w:bCs/>
          <w:i/>
          <w:sz w:val="24"/>
          <w:szCs w:val="24"/>
        </w:rPr>
        <w:t>not be proceeded with at this stage.</w:t>
      </w:r>
    </w:p>
    <w:p w:rsidR="00706C9A" w:rsidRPr="00706C9A" w:rsidRDefault="00706C9A" w:rsidP="00706C9A">
      <w:pPr>
        <w:autoSpaceDE w:val="0"/>
        <w:autoSpaceDN w:val="0"/>
        <w:adjustRightInd w:val="0"/>
        <w:spacing w:after="0" w:line="240" w:lineRule="auto"/>
        <w:rPr>
          <w:rFonts w:ascii="Arial" w:hAnsi="Arial" w:cs="Arial"/>
          <w:bCs/>
          <w:sz w:val="24"/>
          <w:szCs w:val="24"/>
        </w:rPr>
      </w:pPr>
    </w:p>
    <w:p w:rsidR="002851D8" w:rsidRDefault="00AF7B2E" w:rsidP="006615AF">
      <w:pPr>
        <w:rPr>
          <w:rFonts w:ascii="Arial" w:hAnsi="Arial" w:cs="Arial"/>
          <w:b/>
          <w:i/>
          <w:sz w:val="24"/>
          <w:szCs w:val="24"/>
        </w:rPr>
      </w:pPr>
      <w:r w:rsidRPr="00AF7B2E">
        <w:rPr>
          <w:rFonts w:ascii="Arial" w:hAnsi="Arial" w:cs="Arial"/>
          <w:b/>
          <w:i/>
          <w:sz w:val="24"/>
          <w:szCs w:val="24"/>
        </w:rPr>
        <w:t>R</w:t>
      </w:r>
      <w:r>
        <w:rPr>
          <w:rFonts w:ascii="Arial" w:hAnsi="Arial" w:cs="Arial"/>
          <w:b/>
          <w:i/>
          <w:sz w:val="24"/>
          <w:szCs w:val="24"/>
        </w:rPr>
        <w:t>e</w:t>
      </w:r>
      <w:r w:rsidRPr="00AF7B2E">
        <w:rPr>
          <w:rFonts w:ascii="Arial" w:hAnsi="Arial" w:cs="Arial"/>
          <w:b/>
          <w:i/>
          <w:sz w:val="24"/>
          <w:szCs w:val="24"/>
        </w:rPr>
        <w:t>commendations</w:t>
      </w:r>
    </w:p>
    <w:p w:rsidR="00AF7B2E" w:rsidRDefault="00E05DA0" w:rsidP="00AF7B2E">
      <w:pPr>
        <w:pStyle w:val="ListParagraph"/>
        <w:numPr>
          <w:ilvl w:val="0"/>
          <w:numId w:val="34"/>
        </w:numPr>
        <w:rPr>
          <w:rFonts w:ascii="Arial" w:hAnsi="Arial" w:cs="Arial"/>
          <w:b/>
          <w:i/>
          <w:sz w:val="24"/>
          <w:szCs w:val="24"/>
        </w:rPr>
      </w:pPr>
      <w:r>
        <w:rPr>
          <w:rFonts w:ascii="Arial" w:hAnsi="Arial" w:cs="Arial"/>
          <w:b/>
          <w:i/>
          <w:sz w:val="24"/>
          <w:szCs w:val="24"/>
        </w:rPr>
        <w:t>T</w:t>
      </w:r>
      <w:r w:rsidR="00AF7B2E">
        <w:rPr>
          <w:rFonts w:ascii="Arial" w:hAnsi="Arial" w:cs="Arial"/>
          <w:b/>
          <w:i/>
          <w:sz w:val="24"/>
          <w:szCs w:val="24"/>
        </w:rPr>
        <w:t xml:space="preserve">he </w:t>
      </w:r>
      <w:r w:rsidR="00AF7B2E" w:rsidRPr="000E52A6">
        <w:rPr>
          <w:rFonts w:ascii="Arial" w:hAnsi="Arial" w:cs="Arial"/>
          <w:b/>
          <w:i/>
          <w:sz w:val="24"/>
          <w:szCs w:val="24"/>
        </w:rPr>
        <w:t>C</w:t>
      </w:r>
      <w:r w:rsidR="00506F9F">
        <w:rPr>
          <w:rFonts w:ascii="Arial" w:hAnsi="Arial" w:cs="Arial"/>
          <w:b/>
          <w:i/>
          <w:sz w:val="24"/>
          <w:szCs w:val="24"/>
        </w:rPr>
        <w:t xml:space="preserve">ouncil of Australian </w:t>
      </w:r>
      <w:r w:rsidR="00AF7B2E" w:rsidRPr="000E52A6">
        <w:rPr>
          <w:rFonts w:ascii="Arial" w:hAnsi="Arial" w:cs="Arial"/>
          <w:b/>
          <w:i/>
          <w:sz w:val="24"/>
          <w:szCs w:val="24"/>
        </w:rPr>
        <w:t>F</w:t>
      </w:r>
      <w:r w:rsidR="00506F9F">
        <w:rPr>
          <w:rFonts w:ascii="Arial" w:hAnsi="Arial" w:cs="Arial"/>
          <w:b/>
          <w:i/>
          <w:sz w:val="24"/>
          <w:szCs w:val="24"/>
        </w:rPr>
        <w:t xml:space="preserve">ederation </w:t>
      </w:r>
      <w:r w:rsidR="00AF7B2E" w:rsidRPr="000E52A6">
        <w:rPr>
          <w:rFonts w:ascii="Arial" w:hAnsi="Arial" w:cs="Arial"/>
          <w:b/>
          <w:i/>
          <w:sz w:val="24"/>
          <w:szCs w:val="24"/>
        </w:rPr>
        <w:t>occupational licensing reform</w:t>
      </w:r>
      <w:r w:rsidR="00AF7B2E">
        <w:rPr>
          <w:rFonts w:ascii="Arial" w:hAnsi="Arial" w:cs="Arial"/>
          <w:b/>
          <w:i/>
          <w:sz w:val="24"/>
          <w:szCs w:val="24"/>
        </w:rPr>
        <w:t xml:space="preserve"> process be allowed to run its course</w:t>
      </w:r>
    </w:p>
    <w:p w:rsidR="003363C0" w:rsidRPr="003363C0" w:rsidRDefault="003363C0" w:rsidP="003363C0">
      <w:pPr>
        <w:pStyle w:val="ListParagraph"/>
        <w:numPr>
          <w:ilvl w:val="0"/>
          <w:numId w:val="34"/>
        </w:numPr>
        <w:autoSpaceDE w:val="0"/>
        <w:autoSpaceDN w:val="0"/>
        <w:adjustRightInd w:val="0"/>
        <w:spacing w:after="0" w:line="240" w:lineRule="auto"/>
        <w:rPr>
          <w:rFonts w:ascii="Arial" w:hAnsi="Arial" w:cs="Arial"/>
          <w:b/>
          <w:bCs/>
          <w:i/>
          <w:sz w:val="24"/>
          <w:szCs w:val="24"/>
        </w:rPr>
      </w:pPr>
      <w:r>
        <w:rPr>
          <w:rFonts w:ascii="Arial" w:hAnsi="Arial" w:cs="Arial"/>
          <w:b/>
          <w:bCs/>
          <w:i/>
          <w:sz w:val="24"/>
          <w:szCs w:val="24"/>
        </w:rPr>
        <w:t>W</w:t>
      </w:r>
      <w:r w:rsidRPr="003363C0">
        <w:rPr>
          <w:rFonts w:ascii="Arial" w:hAnsi="Arial" w:cs="Arial"/>
          <w:b/>
          <w:bCs/>
          <w:i/>
          <w:sz w:val="24"/>
          <w:szCs w:val="24"/>
        </w:rPr>
        <w:t>here there is a genuine net public benefit, there should be a move towards the development of a harmonised set of laws for the relevant occupation group</w:t>
      </w:r>
    </w:p>
    <w:p w:rsidR="00AF7B2E" w:rsidRPr="00506F9F" w:rsidRDefault="005E279E" w:rsidP="00AF7B2E">
      <w:pPr>
        <w:pStyle w:val="ListParagraph"/>
        <w:numPr>
          <w:ilvl w:val="0"/>
          <w:numId w:val="34"/>
        </w:numPr>
        <w:autoSpaceDE w:val="0"/>
        <w:autoSpaceDN w:val="0"/>
        <w:adjustRightInd w:val="0"/>
        <w:spacing w:after="0" w:line="240" w:lineRule="auto"/>
        <w:rPr>
          <w:rFonts w:ascii="Arial" w:hAnsi="Arial" w:cs="Arial"/>
          <w:b/>
          <w:i/>
          <w:sz w:val="24"/>
          <w:szCs w:val="24"/>
        </w:rPr>
      </w:pPr>
      <w:r w:rsidRPr="00BF0B28">
        <w:rPr>
          <w:rFonts w:ascii="Arial" w:hAnsi="Arial" w:cs="Arial"/>
          <w:b/>
          <w:bCs/>
          <w:i/>
          <w:sz w:val="24"/>
          <w:szCs w:val="24"/>
        </w:rPr>
        <w:t xml:space="preserve">Mutual Recognition arrangement should have stringent requirements for a licence holder to undertake </w:t>
      </w:r>
      <w:r w:rsidR="00E05DA0">
        <w:rPr>
          <w:rFonts w:ascii="Arial" w:hAnsi="Arial" w:cs="Arial"/>
          <w:b/>
          <w:bCs/>
          <w:i/>
          <w:sz w:val="24"/>
          <w:szCs w:val="24"/>
        </w:rPr>
        <w:t>‘</w:t>
      </w:r>
      <w:r w:rsidRPr="00BF0B28">
        <w:rPr>
          <w:rFonts w:ascii="Arial" w:hAnsi="Arial" w:cs="Arial"/>
          <w:b/>
          <w:bCs/>
          <w:i/>
          <w:sz w:val="24"/>
          <w:szCs w:val="24"/>
        </w:rPr>
        <w:t>top-up</w:t>
      </w:r>
      <w:r w:rsidR="00E05DA0">
        <w:rPr>
          <w:rFonts w:ascii="Arial" w:hAnsi="Arial" w:cs="Arial"/>
          <w:b/>
          <w:bCs/>
          <w:i/>
          <w:sz w:val="24"/>
          <w:szCs w:val="24"/>
        </w:rPr>
        <w:t>’</w:t>
      </w:r>
      <w:r w:rsidRPr="00BF0B28">
        <w:rPr>
          <w:rFonts w:ascii="Arial" w:hAnsi="Arial" w:cs="Arial"/>
          <w:b/>
          <w:bCs/>
          <w:i/>
          <w:sz w:val="24"/>
          <w:szCs w:val="24"/>
        </w:rPr>
        <w:t xml:space="preserve"> training on moving to a new jurisdiction</w:t>
      </w:r>
    </w:p>
    <w:p w:rsidR="00506F9F" w:rsidRPr="004C066F" w:rsidRDefault="00506F9F" w:rsidP="00AF7B2E">
      <w:pPr>
        <w:pStyle w:val="ListParagraph"/>
        <w:numPr>
          <w:ilvl w:val="0"/>
          <w:numId w:val="34"/>
        </w:numPr>
        <w:autoSpaceDE w:val="0"/>
        <w:autoSpaceDN w:val="0"/>
        <w:adjustRightInd w:val="0"/>
        <w:spacing w:after="0" w:line="240" w:lineRule="auto"/>
        <w:rPr>
          <w:rFonts w:ascii="Arial" w:hAnsi="Arial" w:cs="Arial"/>
          <w:b/>
          <w:i/>
          <w:sz w:val="24"/>
          <w:szCs w:val="24"/>
        </w:rPr>
      </w:pPr>
      <w:r w:rsidRPr="00506F9F">
        <w:rPr>
          <w:rFonts w:ascii="Arial" w:hAnsi="Arial" w:cs="Arial"/>
          <w:b/>
          <w:bCs/>
          <w:i/>
          <w:sz w:val="24"/>
          <w:szCs w:val="24"/>
        </w:rPr>
        <w:t>Automatic Mutual Recognition not be proceeded with at this stage</w:t>
      </w:r>
    </w:p>
    <w:p w:rsidR="004C066F" w:rsidRPr="00506F9F" w:rsidRDefault="004C066F" w:rsidP="004C066F">
      <w:pPr>
        <w:pStyle w:val="ListParagraph"/>
        <w:numPr>
          <w:ilvl w:val="0"/>
          <w:numId w:val="34"/>
        </w:numPr>
        <w:autoSpaceDE w:val="0"/>
        <w:autoSpaceDN w:val="0"/>
        <w:adjustRightInd w:val="0"/>
        <w:spacing w:after="0" w:line="240" w:lineRule="auto"/>
        <w:rPr>
          <w:rFonts w:ascii="Arial" w:hAnsi="Arial" w:cs="Arial"/>
          <w:b/>
          <w:i/>
          <w:sz w:val="24"/>
          <w:szCs w:val="24"/>
        </w:rPr>
      </w:pPr>
      <w:r>
        <w:rPr>
          <w:rFonts w:ascii="Arial" w:hAnsi="Arial" w:cs="Arial"/>
          <w:b/>
          <w:i/>
          <w:sz w:val="24"/>
          <w:szCs w:val="24"/>
        </w:rPr>
        <w:t xml:space="preserve">The </w:t>
      </w:r>
      <w:r w:rsidRPr="004C066F">
        <w:rPr>
          <w:rFonts w:ascii="Arial" w:hAnsi="Arial" w:cs="Arial"/>
          <w:b/>
          <w:i/>
          <w:sz w:val="24"/>
          <w:szCs w:val="24"/>
        </w:rPr>
        <w:t>Trans-Tasman Mutual Recognition Agreement</w:t>
      </w:r>
      <w:r>
        <w:rPr>
          <w:rFonts w:ascii="Arial" w:hAnsi="Arial" w:cs="Arial"/>
          <w:b/>
          <w:i/>
          <w:sz w:val="24"/>
          <w:szCs w:val="24"/>
        </w:rPr>
        <w:t xml:space="preserve"> </w:t>
      </w:r>
      <w:r w:rsidR="008036E3">
        <w:rPr>
          <w:rFonts w:ascii="Arial" w:hAnsi="Arial" w:cs="Arial"/>
          <w:b/>
          <w:bCs/>
          <w:i/>
          <w:sz w:val="24"/>
          <w:szCs w:val="24"/>
        </w:rPr>
        <w:t xml:space="preserve">for real estate occupations </w:t>
      </w:r>
      <w:r>
        <w:rPr>
          <w:rFonts w:ascii="Arial" w:hAnsi="Arial" w:cs="Arial"/>
          <w:b/>
          <w:i/>
          <w:sz w:val="24"/>
          <w:szCs w:val="24"/>
        </w:rPr>
        <w:t xml:space="preserve">not </w:t>
      </w:r>
      <w:proofErr w:type="gramStart"/>
      <w:r>
        <w:rPr>
          <w:rFonts w:ascii="Arial" w:hAnsi="Arial" w:cs="Arial"/>
          <w:b/>
          <w:i/>
          <w:sz w:val="24"/>
          <w:szCs w:val="24"/>
        </w:rPr>
        <w:t>be</w:t>
      </w:r>
      <w:proofErr w:type="gramEnd"/>
      <w:r>
        <w:rPr>
          <w:rFonts w:ascii="Arial" w:hAnsi="Arial" w:cs="Arial"/>
          <w:b/>
          <w:i/>
          <w:sz w:val="24"/>
          <w:szCs w:val="24"/>
        </w:rPr>
        <w:t xml:space="preserve"> </w:t>
      </w:r>
      <w:r w:rsidRPr="00506F9F">
        <w:rPr>
          <w:rFonts w:ascii="Arial" w:hAnsi="Arial" w:cs="Arial"/>
          <w:b/>
          <w:bCs/>
          <w:i/>
          <w:sz w:val="24"/>
          <w:szCs w:val="24"/>
        </w:rPr>
        <w:t>proceeded with at this stage</w:t>
      </w:r>
      <w:r>
        <w:rPr>
          <w:rFonts w:ascii="Arial" w:hAnsi="Arial" w:cs="Arial"/>
          <w:b/>
          <w:bCs/>
          <w:i/>
          <w:sz w:val="24"/>
          <w:szCs w:val="24"/>
        </w:rPr>
        <w:t>.</w:t>
      </w:r>
    </w:p>
    <w:sectPr w:rsidR="004C066F" w:rsidRPr="00506F9F" w:rsidSect="00157645">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8A7" w:rsidRDefault="00CE28A7" w:rsidP="00F0722B">
      <w:pPr>
        <w:spacing w:after="0" w:line="240" w:lineRule="auto"/>
      </w:pPr>
      <w:r>
        <w:separator/>
      </w:r>
    </w:p>
  </w:endnote>
  <w:endnote w:type="continuationSeparator" w:id="0">
    <w:p w:rsidR="00CE28A7" w:rsidRDefault="00CE28A7" w:rsidP="00F0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D" w:rsidRDefault="009A7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261653"/>
      <w:docPartObj>
        <w:docPartGallery w:val="Page Numbers (Bottom of Page)"/>
        <w:docPartUnique/>
      </w:docPartObj>
    </w:sdtPr>
    <w:sdtEndPr>
      <w:rPr>
        <w:noProof/>
      </w:rPr>
    </w:sdtEndPr>
    <w:sdtContent>
      <w:p w:rsidR="00CE28A7" w:rsidRDefault="00CE28A7">
        <w:pPr>
          <w:pStyle w:val="Footer"/>
          <w:jc w:val="right"/>
        </w:pPr>
        <w:r>
          <w:fldChar w:fldCharType="begin"/>
        </w:r>
        <w:r>
          <w:instrText xml:space="preserve"> PAGE   \* MERGEFORMAT </w:instrText>
        </w:r>
        <w:r>
          <w:fldChar w:fldCharType="separate"/>
        </w:r>
        <w:r w:rsidR="00D32705">
          <w:rPr>
            <w:noProof/>
          </w:rPr>
          <w:t>1</w:t>
        </w:r>
        <w:r>
          <w:rPr>
            <w:noProof/>
          </w:rPr>
          <w:fldChar w:fldCharType="end"/>
        </w:r>
      </w:p>
    </w:sdtContent>
  </w:sdt>
  <w:p w:rsidR="00CE28A7" w:rsidRDefault="00CE28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D" w:rsidRDefault="009A7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8A7" w:rsidRDefault="00CE28A7" w:rsidP="00F0722B">
      <w:pPr>
        <w:spacing w:after="0" w:line="240" w:lineRule="auto"/>
      </w:pPr>
      <w:r>
        <w:separator/>
      </w:r>
    </w:p>
  </w:footnote>
  <w:footnote w:type="continuationSeparator" w:id="0">
    <w:p w:rsidR="00CE28A7" w:rsidRDefault="00CE28A7" w:rsidP="00F07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D" w:rsidRDefault="009A75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D" w:rsidRDefault="009A75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D" w:rsidRDefault="009A7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5DB"/>
    <w:multiLevelType w:val="hybridMultilevel"/>
    <w:tmpl w:val="B10EF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5667CF"/>
    <w:multiLevelType w:val="hybridMultilevel"/>
    <w:tmpl w:val="133E9320"/>
    <w:lvl w:ilvl="0" w:tplc="DDBAA3A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383B6E"/>
    <w:multiLevelType w:val="hybridMultilevel"/>
    <w:tmpl w:val="50067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5C0D42"/>
    <w:multiLevelType w:val="hybridMultilevel"/>
    <w:tmpl w:val="7B0C0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8F13E3"/>
    <w:multiLevelType w:val="hybridMultilevel"/>
    <w:tmpl w:val="2318D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BA589D"/>
    <w:multiLevelType w:val="hybridMultilevel"/>
    <w:tmpl w:val="1C926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871027"/>
    <w:multiLevelType w:val="hybridMultilevel"/>
    <w:tmpl w:val="DCBE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E9513A"/>
    <w:multiLevelType w:val="hybridMultilevel"/>
    <w:tmpl w:val="AF968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A440E3"/>
    <w:multiLevelType w:val="hybridMultilevel"/>
    <w:tmpl w:val="78B2C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B52F8F"/>
    <w:multiLevelType w:val="hybridMultilevel"/>
    <w:tmpl w:val="6562D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35182F"/>
    <w:multiLevelType w:val="hybridMultilevel"/>
    <w:tmpl w:val="F0405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100C91"/>
    <w:multiLevelType w:val="hybridMultilevel"/>
    <w:tmpl w:val="940C0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D570FB8"/>
    <w:multiLevelType w:val="hybridMultilevel"/>
    <w:tmpl w:val="6EBC8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B36055"/>
    <w:multiLevelType w:val="hybridMultilevel"/>
    <w:tmpl w:val="C9D8F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EAF2555"/>
    <w:multiLevelType w:val="hybridMultilevel"/>
    <w:tmpl w:val="F0360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0131864"/>
    <w:multiLevelType w:val="hybridMultilevel"/>
    <w:tmpl w:val="E3248A1C"/>
    <w:lvl w:ilvl="0" w:tplc="0C090001">
      <w:start w:val="1"/>
      <w:numFmt w:val="bullet"/>
      <w:lvlText w:val=""/>
      <w:lvlJc w:val="left"/>
      <w:pPr>
        <w:ind w:left="791" w:hanging="360"/>
      </w:pPr>
      <w:rPr>
        <w:rFonts w:ascii="Symbol" w:hAnsi="Symbol" w:hint="default"/>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6">
    <w:nsid w:val="366573A7"/>
    <w:multiLevelType w:val="hybridMultilevel"/>
    <w:tmpl w:val="26005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6C025AC"/>
    <w:multiLevelType w:val="hybridMultilevel"/>
    <w:tmpl w:val="50FE7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9FA58CC"/>
    <w:multiLevelType w:val="hybridMultilevel"/>
    <w:tmpl w:val="0D7EE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16728F"/>
    <w:multiLevelType w:val="hybridMultilevel"/>
    <w:tmpl w:val="65F4D53A"/>
    <w:lvl w:ilvl="0" w:tplc="5DC0EA20">
      <w:numFmt w:val="bullet"/>
      <w:lvlText w:val=""/>
      <w:lvlJc w:val="left"/>
      <w:pPr>
        <w:ind w:left="1080" w:hanging="72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C123CE2"/>
    <w:multiLevelType w:val="hybridMultilevel"/>
    <w:tmpl w:val="CBFE7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A8E7040"/>
    <w:multiLevelType w:val="hybridMultilevel"/>
    <w:tmpl w:val="A244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DCE2895"/>
    <w:multiLevelType w:val="hybridMultilevel"/>
    <w:tmpl w:val="32A69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25C59BD"/>
    <w:multiLevelType w:val="hybridMultilevel"/>
    <w:tmpl w:val="8304A210"/>
    <w:lvl w:ilvl="0" w:tplc="5DC0EA20">
      <w:numFmt w:val="bullet"/>
      <w:lvlText w:val=""/>
      <w:lvlJc w:val="left"/>
      <w:pPr>
        <w:ind w:left="1080" w:hanging="72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2862C8A"/>
    <w:multiLevelType w:val="hybridMultilevel"/>
    <w:tmpl w:val="80666A0A"/>
    <w:lvl w:ilvl="0" w:tplc="6DCCBFF4">
      <w:start w:val="1"/>
      <w:numFmt w:val="decimal"/>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2A00A6D"/>
    <w:multiLevelType w:val="hybridMultilevel"/>
    <w:tmpl w:val="4FDC28C4"/>
    <w:lvl w:ilvl="0" w:tplc="DDBAA3A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C53A6D"/>
    <w:multiLevelType w:val="hybridMultilevel"/>
    <w:tmpl w:val="49140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D63769B"/>
    <w:multiLevelType w:val="hybridMultilevel"/>
    <w:tmpl w:val="70526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E70412D"/>
    <w:multiLevelType w:val="hybridMultilevel"/>
    <w:tmpl w:val="AB30E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6616565"/>
    <w:multiLevelType w:val="hybridMultilevel"/>
    <w:tmpl w:val="FB1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7D289A"/>
    <w:multiLevelType w:val="hybridMultilevel"/>
    <w:tmpl w:val="7F14C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7D318AF"/>
    <w:multiLevelType w:val="hybridMultilevel"/>
    <w:tmpl w:val="39E46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A0F6DBE"/>
    <w:multiLevelType w:val="hybridMultilevel"/>
    <w:tmpl w:val="B7420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E46292F"/>
    <w:multiLevelType w:val="hybridMultilevel"/>
    <w:tmpl w:val="77684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4"/>
  </w:num>
  <w:num w:numId="4">
    <w:abstractNumId w:val="26"/>
  </w:num>
  <w:num w:numId="5">
    <w:abstractNumId w:val="0"/>
  </w:num>
  <w:num w:numId="6">
    <w:abstractNumId w:val="2"/>
  </w:num>
  <w:num w:numId="7">
    <w:abstractNumId w:val="32"/>
  </w:num>
  <w:num w:numId="8">
    <w:abstractNumId w:val="6"/>
  </w:num>
  <w:num w:numId="9">
    <w:abstractNumId w:val="28"/>
  </w:num>
  <w:num w:numId="10">
    <w:abstractNumId w:val="11"/>
  </w:num>
  <w:num w:numId="11">
    <w:abstractNumId w:val="13"/>
  </w:num>
  <w:num w:numId="12">
    <w:abstractNumId w:val="1"/>
  </w:num>
  <w:num w:numId="13">
    <w:abstractNumId w:val="25"/>
  </w:num>
  <w:num w:numId="14">
    <w:abstractNumId w:val="23"/>
  </w:num>
  <w:num w:numId="15">
    <w:abstractNumId w:val="19"/>
  </w:num>
  <w:num w:numId="16">
    <w:abstractNumId w:val="33"/>
  </w:num>
  <w:num w:numId="17">
    <w:abstractNumId w:val="31"/>
  </w:num>
  <w:num w:numId="18">
    <w:abstractNumId w:val="27"/>
  </w:num>
  <w:num w:numId="19">
    <w:abstractNumId w:val="9"/>
  </w:num>
  <w:num w:numId="20">
    <w:abstractNumId w:val="15"/>
  </w:num>
  <w:num w:numId="21">
    <w:abstractNumId w:val="17"/>
  </w:num>
  <w:num w:numId="22">
    <w:abstractNumId w:val="4"/>
  </w:num>
  <w:num w:numId="23">
    <w:abstractNumId w:val="5"/>
  </w:num>
  <w:num w:numId="24">
    <w:abstractNumId w:val="8"/>
  </w:num>
  <w:num w:numId="25">
    <w:abstractNumId w:val="3"/>
  </w:num>
  <w:num w:numId="26">
    <w:abstractNumId w:val="30"/>
  </w:num>
  <w:num w:numId="27">
    <w:abstractNumId w:val="21"/>
  </w:num>
  <w:num w:numId="28">
    <w:abstractNumId w:val="10"/>
  </w:num>
  <w:num w:numId="29">
    <w:abstractNumId w:val="12"/>
  </w:num>
  <w:num w:numId="30">
    <w:abstractNumId w:val="22"/>
  </w:num>
  <w:num w:numId="31">
    <w:abstractNumId w:val="16"/>
  </w:num>
  <w:num w:numId="32">
    <w:abstractNumId w:val="24"/>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BF"/>
    <w:rsid w:val="00017052"/>
    <w:rsid w:val="00031ACC"/>
    <w:rsid w:val="000366DD"/>
    <w:rsid w:val="000558E8"/>
    <w:rsid w:val="00060F24"/>
    <w:rsid w:val="0007122E"/>
    <w:rsid w:val="00083BDA"/>
    <w:rsid w:val="000845C0"/>
    <w:rsid w:val="00092FFE"/>
    <w:rsid w:val="000B64CE"/>
    <w:rsid w:val="000B7EA8"/>
    <w:rsid w:val="000C1E85"/>
    <w:rsid w:val="000E09B0"/>
    <w:rsid w:val="000E1070"/>
    <w:rsid w:val="000E175E"/>
    <w:rsid w:val="000E52A6"/>
    <w:rsid w:val="000E6969"/>
    <w:rsid w:val="000F325F"/>
    <w:rsid w:val="000F5FE8"/>
    <w:rsid w:val="00106CA2"/>
    <w:rsid w:val="0014686E"/>
    <w:rsid w:val="00157645"/>
    <w:rsid w:val="00173088"/>
    <w:rsid w:val="00182719"/>
    <w:rsid w:val="00191675"/>
    <w:rsid w:val="001A3611"/>
    <w:rsid w:val="001A5AB2"/>
    <w:rsid w:val="001A70DC"/>
    <w:rsid w:val="001C20C2"/>
    <w:rsid w:val="001C6B0A"/>
    <w:rsid w:val="001C6DA6"/>
    <w:rsid w:val="001D5452"/>
    <w:rsid w:val="001F33B1"/>
    <w:rsid w:val="002053C5"/>
    <w:rsid w:val="00205A16"/>
    <w:rsid w:val="00206521"/>
    <w:rsid w:val="00230867"/>
    <w:rsid w:val="0023164D"/>
    <w:rsid w:val="00231B6D"/>
    <w:rsid w:val="00242211"/>
    <w:rsid w:val="00243E1E"/>
    <w:rsid w:val="00253F15"/>
    <w:rsid w:val="00270361"/>
    <w:rsid w:val="00280046"/>
    <w:rsid w:val="002849A6"/>
    <w:rsid w:val="002851D8"/>
    <w:rsid w:val="002969A0"/>
    <w:rsid w:val="00296C90"/>
    <w:rsid w:val="002A7C15"/>
    <w:rsid w:val="002B3232"/>
    <w:rsid w:val="002B347E"/>
    <w:rsid w:val="002B3C72"/>
    <w:rsid w:val="002E791E"/>
    <w:rsid w:val="002F59E9"/>
    <w:rsid w:val="003000A2"/>
    <w:rsid w:val="00314AB0"/>
    <w:rsid w:val="00325A8A"/>
    <w:rsid w:val="003363C0"/>
    <w:rsid w:val="00336E8C"/>
    <w:rsid w:val="00337BF5"/>
    <w:rsid w:val="00344674"/>
    <w:rsid w:val="00345066"/>
    <w:rsid w:val="00347598"/>
    <w:rsid w:val="00366821"/>
    <w:rsid w:val="00371377"/>
    <w:rsid w:val="0038057A"/>
    <w:rsid w:val="00384F85"/>
    <w:rsid w:val="00387789"/>
    <w:rsid w:val="00393710"/>
    <w:rsid w:val="003B178E"/>
    <w:rsid w:val="003B6D40"/>
    <w:rsid w:val="003C79A5"/>
    <w:rsid w:val="003D104A"/>
    <w:rsid w:val="003F6ACB"/>
    <w:rsid w:val="00403B36"/>
    <w:rsid w:val="00412081"/>
    <w:rsid w:val="00412366"/>
    <w:rsid w:val="00417133"/>
    <w:rsid w:val="00447015"/>
    <w:rsid w:val="004501B0"/>
    <w:rsid w:val="00464C2D"/>
    <w:rsid w:val="004714BD"/>
    <w:rsid w:val="00486681"/>
    <w:rsid w:val="0049121C"/>
    <w:rsid w:val="004B4671"/>
    <w:rsid w:val="004C066F"/>
    <w:rsid w:val="004C4F18"/>
    <w:rsid w:val="004D2689"/>
    <w:rsid w:val="004D3AA6"/>
    <w:rsid w:val="004E487A"/>
    <w:rsid w:val="005057DA"/>
    <w:rsid w:val="00506F9F"/>
    <w:rsid w:val="00522F4F"/>
    <w:rsid w:val="00527FC7"/>
    <w:rsid w:val="005331B4"/>
    <w:rsid w:val="005417A6"/>
    <w:rsid w:val="00544024"/>
    <w:rsid w:val="00546CFC"/>
    <w:rsid w:val="005517EC"/>
    <w:rsid w:val="00572968"/>
    <w:rsid w:val="0057478C"/>
    <w:rsid w:val="005950CC"/>
    <w:rsid w:val="005B265C"/>
    <w:rsid w:val="005C5CD2"/>
    <w:rsid w:val="005C7AA2"/>
    <w:rsid w:val="005D5440"/>
    <w:rsid w:val="005E279E"/>
    <w:rsid w:val="005E489A"/>
    <w:rsid w:val="005E5BE0"/>
    <w:rsid w:val="005F5ECA"/>
    <w:rsid w:val="0060184E"/>
    <w:rsid w:val="00605708"/>
    <w:rsid w:val="00612914"/>
    <w:rsid w:val="00612EE3"/>
    <w:rsid w:val="00615935"/>
    <w:rsid w:val="00617700"/>
    <w:rsid w:val="00632387"/>
    <w:rsid w:val="00634C84"/>
    <w:rsid w:val="00635225"/>
    <w:rsid w:val="006354FD"/>
    <w:rsid w:val="006615AF"/>
    <w:rsid w:val="0066267D"/>
    <w:rsid w:val="00685674"/>
    <w:rsid w:val="006868F4"/>
    <w:rsid w:val="00692127"/>
    <w:rsid w:val="006A7694"/>
    <w:rsid w:val="006B7517"/>
    <w:rsid w:val="006C623B"/>
    <w:rsid w:val="006D431F"/>
    <w:rsid w:val="006E558C"/>
    <w:rsid w:val="006E55F4"/>
    <w:rsid w:val="0070181F"/>
    <w:rsid w:val="00706C9A"/>
    <w:rsid w:val="00711EB0"/>
    <w:rsid w:val="0073599E"/>
    <w:rsid w:val="00763117"/>
    <w:rsid w:val="00776320"/>
    <w:rsid w:val="0077780F"/>
    <w:rsid w:val="00780927"/>
    <w:rsid w:val="00787E6C"/>
    <w:rsid w:val="007B4425"/>
    <w:rsid w:val="007F6F0A"/>
    <w:rsid w:val="008036E3"/>
    <w:rsid w:val="00815A4C"/>
    <w:rsid w:val="008233C2"/>
    <w:rsid w:val="008258E6"/>
    <w:rsid w:val="008357D7"/>
    <w:rsid w:val="008504ED"/>
    <w:rsid w:val="00874AB7"/>
    <w:rsid w:val="0088104D"/>
    <w:rsid w:val="008819F9"/>
    <w:rsid w:val="00881D74"/>
    <w:rsid w:val="00883EB6"/>
    <w:rsid w:val="008B1D8E"/>
    <w:rsid w:val="008C31EB"/>
    <w:rsid w:val="008C35AC"/>
    <w:rsid w:val="008E0D31"/>
    <w:rsid w:val="008E197E"/>
    <w:rsid w:val="00905494"/>
    <w:rsid w:val="0092099D"/>
    <w:rsid w:val="00922717"/>
    <w:rsid w:val="009359F1"/>
    <w:rsid w:val="00955368"/>
    <w:rsid w:val="009609D9"/>
    <w:rsid w:val="00963629"/>
    <w:rsid w:val="00980CA8"/>
    <w:rsid w:val="00982E00"/>
    <w:rsid w:val="009855EA"/>
    <w:rsid w:val="009A6828"/>
    <w:rsid w:val="009A754D"/>
    <w:rsid w:val="009B6DB6"/>
    <w:rsid w:val="009B6EF1"/>
    <w:rsid w:val="009C2FFF"/>
    <w:rsid w:val="009C3851"/>
    <w:rsid w:val="009C56BF"/>
    <w:rsid w:val="009F2395"/>
    <w:rsid w:val="009F467A"/>
    <w:rsid w:val="00A02A41"/>
    <w:rsid w:val="00A07ECD"/>
    <w:rsid w:val="00A20DD3"/>
    <w:rsid w:val="00A215E7"/>
    <w:rsid w:val="00A27A34"/>
    <w:rsid w:val="00A36335"/>
    <w:rsid w:val="00A51113"/>
    <w:rsid w:val="00A53439"/>
    <w:rsid w:val="00A53D3E"/>
    <w:rsid w:val="00A54AC4"/>
    <w:rsid w:val="00A5751C"/>
    <w:rsid w:val="00A61457"/>
    <w:rsid w:val="00A62C41"/>
    <w:rsid w:val="00A71E6E"/>
    <w:rsid w:val="00A83C6A"/>
    <w:rsid w:val="00A914C3"/>
    <w:rsid w:val="00A92907"/>
    <w:rsid w:val="00A934B9"/>
    <w:rsid w:val="00AA4F98"/>
    <w:rsid w:val="00AA6C2F"/>
    <w:rsid w:val="00AB63F0"/>
    <w:rsid w:val="00AB7F75"/>
    <w:rsid w:val="00AC1D1F"/>
    <w:rsid w:val="00AD7B37"/>
    <w:rsid w:val="00AE3161"/>
    <w:rsid w:val="00AE5A3E"/>
    <w:rsid w:val="00AF678F"/>
    <w:rsid w:val="00AF7B2E"/>
    <w:rsid w:val="00B02A30"/>
    <w:rsid w:val="00B04621"/>
    <w:rsid w:val="00B128C2"/>
    <w:rsid w:val="00B16E54"/>
    <w:rsid w:val="00B239E9"/>
    <w:rsid w:val="00B505BE"/>
    <w:rsid w:val="00B54C65"/>
    <w:rsid w:val="00B63E3A"/>
    <w:rsid w:val="00B70FCA"/>
    <w:rsid w:val="00B75DD2"/>
    <w:rsid w:val="00B75E1D"/>
    <w:rsid w:val="00B765A6"/>
    <w:rsid w:val="00BD1282"/>
    <w:rsid w:val="00BD5441"/>
    <w:rsid w:val="00BF0B28"/>
    <w:rsid w:val="00BF604A"/>
    <w:rsid w:val="00C01C90"/>
    <w:rsid w:val="00C0751A"/>
    <w:rsid w:val="00C12DC9"/>
    <w:rsid w:val="00C21721"/>
    <w:rsid w:val="00C246B4"/>
    <w:rsid w:val="00C25507"/>
    <w:rsid w:val="00C2778A"/>
    <w:rsid w:val="00C3732D"/>
    <w:rsid w:val="00C74740"/>
    <w:rsid w:val="00C77EAA"/>
    <w:rsid w:val="00CA175D"/>
    <w:rsid w:val="00CA17FE"/>
    <w:rsid w:val="00CA214B"/>
    <w:rsid w:val="00CA7844"/>
    <w:rsid w:val="00CB32AD"/>
    <w:rsid w:val="00CC07B3"/>
    <w:rsid w:val="00CC1DCA"/>
    <w:rsid w:val="00CC7F6B"/>
    <w:rsid w:val="00CD4039"/>
    <w:rsid w:val="00CE044E"/>
    <w:rsid w:val="00CE28A7"/>
    <w:rsid w:val="00CE3A82"/>
    <w:rsid w:val="00CE78E2"/>
    <w:rsid w:val="00D10E89"/>
    <w:rsid w:val="00D1263F"/>
    <w:rsid w:val="00D2101C"/>
    <w:rsid w:val="00D32705"/>
    <w:rsid w:val="00D36700"/>
    <w:rsid w:val="00D4318E"/>
    <w:rsid w:val="00D554BA"/>
    <w:rsid w:val="00D65EAA"/>
    <w:rsid w:val="00D9302A"/>
    <w:rsid w:val="00D9705C"/>
    <w:rsid w:val="00DA035B"/>
    <w:rsid w:val="00DA07BA"/>
    <w:rsid w:val="00DA1882"/>
    <w:rsid w:val="00DA4274"/>
    <w:rsid w:val="00DA60AC"/>
    <w:rsid w:val="00DB2CF8"/>
    <w:rsid w:val="00DB3057"/>
    <w:rsid w:val="00DB3E23"/>
    <w:rsid w:val="00DF0C62"/>
    <w:rsid w:val="00DF0E33"/>
    <w:rsid w:val="00E00476"/>
    <w:rsid w:val="00E05DA0"/>
    <w:rsid w:val="00E10571"/>
    <w:rsid w:val="00E257DB"/>
    <w:rsid w:val="00E266C4"/>
    <w:rsid w:val="00E3229D"/>
    <w:rsid w:val="00E3260B"/>
    <w:rsid w:val="00E3527D"/>
    <w:rsid w:val="00E4286C"/>
    <w:rsid w:val="00E45919"/>
    <w:rsid w:val="00E533A8"/>
    <w:rsid w:val="00E5377B"/>
    <w:rsid w:val="00E54E4D"/>
    <w:rsid w:val="00E60BAB"/>
    <w:rsid w:val="00E6102B"/>
    <w:rsid w:val="00E71142"/>
    <w:rsid w:val="00E7185A"/>
    <w:rsid w:val="00E82CBB"/>
    <w:rsid w:val="00E913CC"/>
    <w:rsid w:val="00E91A2E"/>
    <w:rsid w:val="00E96ECA"/>
    <w:rsid w:val="00EB3C8D"/>
    <w:rsid w:val="00EB6BFD"/>
    <w:rsid w:val="00ED32AF"/>
    <w:rsid w:val="00EF0B5C"/>
    <w:rsid w:val="00F02F42"/>
    <w:rsid w:val="00F0653F"/>
    <w:rsid w:val="00F0722B"/>
    <w:rsid w:val="00F1564F"/>
    <w:rsid w:val="00F34004"/>
    <w:rsid w:val="00F84851"/>
    <w:rsid w:val="00F869D8"/>
    <w:rsid w:val="00F879BE"/>
    <w:rsid w:val="00F95C60"/>
    <w:rsid w:val="00FA41EB"/>
    <w:rsid w:val="00FA7A0F"/>
    <w:rsid w:val="00FB297F"/>
    <w:rsid w:val="00FC303D"/>
    <w:rsid w:val="00FC507A"/>
    <w:rsid w:val="00FC6361"/>
    <w:rsid w:val="00FD0589"/>
    <w:rsid w:val="00FE12A9"/>
    <w:rsid w:val="00FF0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22B"/>
  </w:style>
  <w:style w:type="paragraph" w:styleId="Footer">
    <w:name w:val="footer"/>
    <w:basedOn w:val="Normal"/>
    <w:link w:val="FooterChar"/>
    <w:uiPriority w:val="99"/>
    <w:unhideWhenUsed/>
    <w:rsid w:val="00F07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22B"/>
  </w:style>
  <w:style w:type="paragraph" w:styleId="BalloonText">
    <w:name w:val="Balloon Text"/>
    <w:basedOn w:val="Normal"/>
    <w:link w:val="BalloonTextChar"/>
    <w:uiPriority w:val="99"/>
    <w:semiHidden/>
    <w:unhideWhenUsed/>
    <w:rsid w:val="00A9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4B9"/>
    <w:rPr>
      <w:rFonts w:ascii="Tahoma" w:hAnsi="Tahoma" w:cs="Tahoma"/>
      <w:sz w:val="16"/>
      <w:szCs w:val="16"/>
    </w:rPr>
  </w:style>
  <w:style w:type="paragraph" w:styleId="ListParagraph">
    <w:name w:val="List Paragraph"/>
    <w:basedOn w:val="Normal"/>
    <w:uiPriority w:val="34"/>
    <w:qFormat/>
    <w:rsid w:val="00E4286C"/>
    <w:pPr>
      <w:ind w:left="720"/>
      <w:contextualSpacing/>
    </w:pPr>
    <w:rPr>
      <w:rFonts w:ascii="Calibri" w:eastAsia="Calibri" w:hAnsi="Calibri" w:cs="Times New Roman"/>
    </w:rPr>
  </w:style>
  <w:style w:type="table" w:styleId="TableGrid">
    <w:name w:val="Table Grid"/>
    <w:basedOn w:val="TableNormal"/>
    <w:uiPriority w:val="59"/>
    <w:rsid w:val="00E42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3A82"/>
    <w:rPr>
      <w:color w:val="0000FF" w:themeColor="hyperlink"/>
      <w:u w:val="single"/>
    </w:rPr>
  </w:style>
  <w:style w:type="character" w:styleId="FollowedHyperlink">
    <w:name w:val="FollowedHyperlink"/>
    <w:basedOn w:val="DefaultParagraphFont"/>
    <w:uiPriority w:val="99"/>
    <w:semiHidden/>
    <w:unhideWhenUsed/>
    <w:rsid w:val="006E558C"/>
    <w:rPr>
      <w:color w:val="800080" w:themeColor="followedHyperlink"/>
      <w:u w:val="single"/>
    </w:rPr>
  </w:style>
  <w:style w:type="character" w:customStyle="1" w:styleId="screen-name4">
    <w:name w:val="screen-name4"/>
    <w:basedOn w:val="DefaultParagraphFont"/>
    <w:rsid w:val="00157645"/>
  </w:style>
  <w:style w:type="character" w:customStyle="1" w:styleId="st">
    <w:name w:val="st"/>
    <w:basedOn w:val="DefaultParagraphFont"/>
    <w:rsid w:val="005C5C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22B"/>
  </w:style>
  <w:style w:type="paragraph" w:styleId="Footer">
    <w:name w:val="footer"/>
    <w:basedOn w:val="Normal"/>
    <w:link w:val="FooterChar"/>
    <w:uiPriority w:val="99"/>
    <w:unhideWhenUsed/>
    <w:rsid w:val="00F07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22B"/>
  </w:style>
  <w:style w:type="paragraph" w:styleId="BalloonText">
    <w:name w:val="Balloon Text"/>
    <w:basedOn w:val="Normal"/>
    <w:link w:val="BalloonTextChar"/>
    <w:uiPriority w:val="99"/>
    <w:semiHidden/>
    <w:unhideWhenUsed/>
    <w:rsid w:val="00A9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4B9"/>
    <w:rPr>
      <w:rFonts w:ascii="Tahoma" w:hAnsi="Tahoma" w:cs="Tahoma"/>
      <w:sz w:val="16"/>
      <w:szCs w:val="16"/>
    </w:rPr>
  </w:style>
  <w:style w:type="paragraph" w:styleId="ListParagraph">
    <w:name w:val="List Paragraph"/>
    <w:basedOn w:val="Normal"/>
    <w:uiPriority w:val="34"/>
    <w:qFormat/>
    <w:rsid w:val="00E4286C"/>
    <w:pPr>
      <w:ind w:left="720"/>
      <w:contextualSpacing/>
    </w:pPr>
    <w:rPr>
      <w:rFonts w:ascii="Calibri" w:eastAsia="Calibri" w:hAnsi="Calibri" w:cs="Times New Roman"/>
    </w:rPr>
  </w:style>
  <w:style w:type="table" w:styleId="TableGrid">
    <w:name w:val="Table Grid"/>
    <w:basedOn w:val="TableNormal"/>
    <w:uiPriority w:val="59"/>
    <w:rsid w:val="00E42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3A82"/>
    <w:rPr>
      <w:color w:val="0000FF" w:themeColor="hyperlink"/>
      <w:u w:val="single"/>
    </w:rPr>
  </w:style>
  <w:style w:type="character" w:styleId="FollowedHyperlink">
    <w:name w:val="FollowedHyperlink"/>
    <w:basedOn w:val="DefaultParagraphFont"/>
    <w:uiPriority w:val="99"/>
    <w:semiHidden/>
    <w:unhideWhenUsed/>
    <w:rsid w:val="006E558C"/>
    <w:rPr>
      <w:color w:val="800080" w:themeColor="followedHyperlink"/>
      <w:u w:val="single"/>
    </w:rPr>
  </w:style>
  <w:style w:type="character" w:customStyle="1" w:styleId="screen-name4">
    <w:name w:val="screen-name4"/>
    <w:basedOn w:val="DefaultParagraphFont"/>
    <w:rsid w:val="00157645"/>
  </w:style>
  <w:style w:type="character" w:customStyle="1" w:styleId="st">
    <w:name w:val="st"/>
    <w:basedOn w:val="DefaultParagraphFont"/>
    <w:rsid w:val="005C5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8724">
      <w:bodyDiv w:val="1"/>
      <w:marLeft w:val="0"/>
      <w:marRight w:val="0"/>
      <w:marTop w:val="0"/>
      <w:marBottom w:val="0"/>
      <w:divBdr>
        <w:top w:val="none" w:sz="0" w:space="0" w:color="auto"/>
        <w:left w:val="none" w:sz="0" w:space="0" w:color="auto"/>
        <w:bottom w:val="none" w:sz="0" w:space="0" w:color="auto"/>
        <w:right w:val="none" w:sz="0" w:space="0" w:color="auto"/>
      </w:divBdr>
      <w:divsChild>
        <w:div w:id="130052164">
          <w:marLeft w:val="0"/>
          <w:marRight w:val="0"/>
          <w:marTop w:val="0"/>
          <w:marBottom w:val="0"/>
          <w:divBdr>
            <w:top w:val="none" w:sz="0" w:space="0" w:color="auto"/>
            <w:left w:val="none" w:sz="0" w:space="0" w:color="auto"/>
            <w:bottom w:val="none" w:sz="0" w:space="0" w:color="auto"/>
            <w:right w:val="none" w:sz="0" w:space="0" w:color="auto"/>
          </w:divBdr>
          <w:divsChild>
            <w:div w:id="1198666242">
              <w:marLeft w:val="0"/>
              <w:marRight w:val="0"/>
              <w:marTop w:val="0"/>
              <w:marBottom w:val="0"/>
              <w:divBdr>
                <w:top w:val="none" w:sz="0" w:space="0" w:color="auto"/>
                <w:left w:val="none" w:sz="0" w:space="0" w:color="auto"/>
                <w:bottom w:val="none" w:sz="0" w:space="0" w:color="auto"/>
                <w:right w:val="none" w:sz="0" w:space="0" w:color="auto"/>
              </w:divBdr>
              <w:divsChild>
                <w:div w:id="2129348465">
                  <w:marLeft w:val="15"/>
                  <w:marRight w:val="15"/>
                  <w:marTop w:val="0"/>
                  <w:marBottom w:val="0"/>
                  <w:divBdr>
                    <w:top w:val="single" w:sz="6" w:space="0" w:color="FFFFFF"/>
                    <w:left w:val="single" w:sz="6" w:space="0" w:color="FFFFFF"/>
                    <w:bottom w:val="single" w:sz="6" w:space="11" w:color="FFFFFF"/>
                    <w:right w:val="single" w:sz="6" w:space="0" w:color="FFFFFF"/>
                  </w:divBdr>
                  <w:divsChild>
                    <w:div w:id="1400207832">
                      <w:marLeft w:val="300"/>
                      <w:marRight w:val="300"/>
                      <w:marTop w:val="300"/>
                      <w:marBottom w:val="0"/>
                      <w:divBdr>
                        <w:top w:val="none" w:sz="0" w:space="0" w:color="auto"/>
                        <w:left w:val="none" w:sz="0" w:space="0" w:color="auto"/>
                        <w:bottom w:val="none" w:sz="0" w:space="0" w:color="auto"/>
                        <w:right w:val="none" w:sz="0" w:space="0" w:color="auto"/>
                      </w:divBdr>
                      <w:divsChild>
                        <w:div w:id="1033263926">
                          <w:marLeft w:val="0"/>
                          <w:marRight w:val="0"/>
                          <w:marTop w:val="0"/>
                          <w:marBottom w:val="0"/>
                          <w:divBdr>
                            <w:top w:val="none" w:sz="0" w:space="0" w:color="auto"/>
                            <w:left w:val="none" w:sz="0" w:space="0" w:color="auto"/>
                            <w:bottom w:val="none" w:sz="0" w:space="0" w:color="auto"/>
                            <w:right w:val="none" w:sz="0" w:space="0" w:color="auto"/>
                          </w:divBdr>
                          <w:divsChild>
                            <w:div w:id="1622345039">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sChild>
    </w:div>
    <w:div w:id="248389309">
      <w:bodyDiv w:val="1"/>
      <w:marLeft w:val="0"/>
      <w:marRight w:val="0"/>
      <w:marTop w:val="0"/>
      <w:marBottom w:val="0"/>
      <w:divBdr>
        <w:top w:val="none" w:sz="0" w:space="0" w:color="auto"/>
        <w:left w:val="none" w:sz="0" w:space="0" w:color="auto"/>
        <w:bottom w:val="none" w:sz="0" w:space="0" w:color="auto"/>
        <w:right w:val="none" w:sz="0" w:space="0" w:color="auto"/>
      </w:divBdr>
      <w:divsChild>
        <w:div w:id="1524124911">
          <w:marLeft w:val="0"/>
          <w:marRight w:val="0"/>
          <w:marTop w:val="0"/>
          <w:marBottom w:val="0"/>
          <w:divBdr>
            <w:top w:val="none" w:sz="0" w:space="0" w:color="auto"/>
            <w:left w:val="none" w:sz="0" w:space="0" w:color="auto"/>
            <w:bottom w:val="none" w:sz="0" w:space="0" w:color="auto"/>
            <w:right w:val="none" w:sz="0" w:space="0" w:color="auto"/>
          </w:divBdr>
          <w:divsChild>
            <w:div w:id="1546678239">
              <w:marLeft w:val="0"/>
              <w:marRight w:val="0"/>
              <w:marTop w:val="0"/>
              <w:marBottom w:val="0"/>
              <w:divBdr>
                <w:top w:val="none" w:sz="0" w:space="0" w:color="auto"/>
                <w:left w:val="none" w:sz="0" w:space="0" w:color="auto"/>
                <w:bottom w:val="none" w:sz="0" w:space="0" w:color="auto"/>
                <w:right w:val="none" w:sz="0" w:space="0" w:color="auto"/>
              </w:divBdr>
              <w:divsChild>
                <w:div w:id="17750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429036">
      <w:bodyDiv w:val="1"/>
      <w:marLeft w:val="0"/>
      <w:marRight w:val="0"/>
      <w:marTop w:val="0"/>
      <w:marBottom w:val="0"/>
      <w:divBdr>
        <w:top w:val="none" w:sz="0" w:space="0" w:color="auto"/>
        <w:left w:val="none" w:sz="0" w:space="0" w:color="auto"/>
        <w:bottom w:val="none" w:sz="0" w:space="0" w:color="auto"/>
        <w:right w:val="none" w:sz="0" w:space="0" w:color="auto"/>
      </w:divBdr>
      <w:divsChild>
        <w:div w:id="104812357">
          <w:marLeft w:val="0"/>
          <w:marRight w:val="0"/>
          <w:marTop w:val="0"/>
          <w:marBottom w:val="0"/>
          <w:divBdr>
            <w:top w:val="none" w:sz="0" w:space="0" w:color="auto"/>
            <w:left w:val="none" w:sz="0" w:space="0" w:color="auto"/>
            <w:bottom w:val="none" w:sz="0" w:space="0" w:color="auto"/>
            <w:right w:val="none" w:sz="0" w:space="0" w:color="auto"/>
          </w:divBdr>
          <w:divsChild>
            <w:div w:id="860239729">
              <w:marLeft w:val="0"/>
              <w:marRight w:val="0"/>
              <w:marTop w:val="0"/>
              <w:marBottom w:val="0"/>
              <w:divBdr>
                <w:top w:val="none" w:sz="0" w:space="0" w:color="auto"/>
                <w:left w:val="none" w:sz="0" w:space="0" w:color="auto"/>
                <w:bottom w:val="none" w:sz="0" w:space="0" w:color="auto"/>
                <w:right w:val="none" w:sz="0" w:space="0" w:color="auto"/>
              </w:divBdr>
              <w:divsChild>
                <w:div w:id="1725332300">
                  <w:marLeft w:val="0"/>
                  <w:marRight w:val="0"/>
                  <w:marTop w:val="0"/>
                  <w:marBottom w:val="0"/>
                  <w:divBdr>
                    <w:top w:val="none" w:sz="0" w:space="0" w:color="auto"/>
                    <w:left w:val="none" w:sz="0" w:space="0" w:color="auto"/>
                    <w:bottom w:val="none" w:sz="0" w:space="0" w:color="auto"/>
                    <w:right w:val="none" w:sz="0" w:space="0" w:color="auto"/>
                  </w:divBdr>
                  <w:divsChild>
                    <w:div w:id="1639064124">
                      <w:marLeft w:val="0"/>
                      <w:marRight w:val="0"/>
                      <w:marTop w:val="0"/>
                      <w:marBottom w:val="0"/>
                      <w:divBdr>
                        <w:top w:val="none" w:sz="0" w:space="0" w:color="auto"/>
                        <w:left w:val="none" w:sz="0" w:space="0" w:color="auto"/>
                        <w:bottom w:val="none" w:sz="0" w:space="0" w:color="auto"/>
                        <w:right w:val="none" w:sz="0" w:space="0" w:color="auto"/>
                      </w:divBdr>
                      <w:divsChild>
                        <w:div w:id="20448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002212">
      <w:bodyDiv w:val="1"/>
      <w:marLeft w:val="0"/>
      <w:marRight w:val="0"/>
      <w:marTop w:val="0"/>
      <w:marBottom w:val="0"/>
      <w:divBdr>
        <w:top w:val="none" w:sz="0" w:space="0" w:color="auto"/>
        <w:left w:val="none" w:sz="0" w:space="0" w:color="auto"/>
        <w:bottom w:val="none" w:sz="0" w:space="0" w:color="auto"/>
        <w:right w:val="none" w:sz="0" w:space="0" w:color="auto"/>
      </w:divBdr>
    </w:div>
    <w:div w:id="676151995">
      <w:bodyDiv w:val="1"/>
      <w:marLeft w:val="0"/>
      <w:marRight w:val="0"/>
      <w:marTop w:val="0"/>
      <w:marBottom w:val="0"/>
      <w:divBdr>
        <w:top w:val="none" w:sz="0" w:space="0" w:color="auto"/>
        <w:left w:val="none" w:sz="0" w:space="0" w:color="auto"/>
        <w:bottom w:val="none" w:sz="0" w:space="0" w:color="auto"/>
        <w:right w:val="none" w:sz="0" w:space="0" w:color="auto"/>
      </w:divBdr>
    </w:div>
    <w:div w:id="768280127">
      <w:bodyDiv w:val="1"/>
      <w:marLeft w:val="0"/>
      <w:marRight w:val="0"/>
      <w:marTop w:val="0"/>
      <w:marBottom w:val="0"/>
      <w:divBdr>
        <w:top w:val="none" w:sz="0" w:space="0" w:color="auto"/>
        <w:left w:val="none" w:sz="0" w:space="0" w:color="auto"/>
        <w:bottom w:val="none" w:sz="0" w:space="0" w:color="auto"/>
        <w:right w:val="none" w:sz="0" w:space="0" w:color="auto"/>
      </w:divBdr>
      <w:divsChild>
        <w:div w:id="523636047">
          <w:marLeft w:val="0"/>
          <w:marRight w:val="0"/>
          <w:marTop w:val="300"/>
          <w:marBottom w:val="300"/>
          <w:divBdr>
            <w:top w:val="none" w:sz="0" w:space="0" w:color="auto"/>
            <w:left w:val="none" w:sz="0" w:space="0" w:color="auto"/>
            <w:bottom w:val="none" w:sz="0" w:space="0" w:color="auto"/>
            <w:right w:val="none" w:sz="0" w:space="0" w:color="auto"/>
          </w:divBdr>
          <w:divsChild>
            <w:div w:id="824394581">
              <w:marLeft w:val="0"/>
              <w:marRight w:val="0"/>
              <w:marTop w:val="0"/>
              <w:marBottom w:val="0"/>
              <w:divBdr>
                <w:top w:val="none" w:sz="0" w:space="0" w:color="auto"/>
                <w:left w:val="none" w:sz="0" w:space="0" w:color="auto"/>
                <w:bottom w:val="none" w:sz="0" w:space="0" w:color="auto"/>
                <w:right w:val="none" w:sz="0" w:space="0" w:color="auto"/>
              </w:divBdr>
              <w:divsChild>
                <w:div w:id="30305919">
                  <w:marLeft w:val="150"/>
                  <w:marRight w:val="150"/>
                  <w:marTop w:val="150"/>
                  <w:marBottom w:val="150"/>
                  <w:divBdr>
                    <w:top w:val="none" w:sz="0" w:space="0" w:color="auto"/>
                    <w:left w:val="none" w:sz="0" w:space="0" w:color="auto"/>
                    <w:bottom w:val="none" w:sz="0" w:space="0" w:color="auto"/>
                    <w:right w:val="none" w:sz="0" w:space="0" w:color="auto"/>
                  </w:divBdr>
                  <w:divsChild>
                    <w:div w:id="1373842642">
                      <w:marLeft w:val="0"/>
                      <w:marRight w:val="0"/>
                      <w:marTop w:val="0"/>
                      <w:marBottom w:val="0"/>
                      <w:divBdr>
                        <w:top w:val="none" w:sz="0" w:space="0" w:color="auto"/>
                        <w:left w:val="none" w:sz="0" w:space="0" w:color="auto"/>
                        <w:bottom w:val="none" w:sz="0" w:space="0" w:color="auto"/>
                        <w:right w:val="none" w:sz="0" w:space="0" w:color="auto"/>
                      </w:divBdr>
                      <w:divsChild>
                        <w:div w:id="845438377">
                          <w:marLeft w:val="0"/>
                          <w:marRight w:val="0"/>
                          <w:marTop w:val="0"/>
                          <w:marBottom w:val="0"/>
                          <w:divBdr>
                            <w:top w:val="none" w:sz="0" w:space="0" w:color="auto"/>
                            <w:left w:val="none" w:sz="0" w:space="0" w:color="auto"/>
                            <w:bottom w:val="none" w:sz="0" w:space="0" w:color="auto"/>
                            <w:right w:val="none" w:sz="0" w:space="0" w:color="auto"/>
                          </w:divBdr>
                          <w:divsChild>
                            <w:div w:id="520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509634">
      <w:bodyDiv w:val="1"/>
      <w:marLeft w:val="0"/>
      <w:marRight w:val="0"/>
      <w:marTop w:val="0"/>
      <w:marBottom w:val="0"/>
      <w:divBdr>
        <w:top w:val="none" w:sz="0" w:space="0" w:color="auto"/>
        <w:left w:val="none" w:sz="0" w:space="0" w:color="auto"/>
        <w:bottom w:val="none" w:sz="0" w:space="0" w:color="auto"/>
        <w:right w:val="none" w:sz="0" w:space="0" w:color="auto"/>
      </w:divBdr>
      <w:divsChild>
        <w:div w:id="924338870">
          <w:marLeft w:val="216"/>
          <w:marRight w:val="216"/>
          <w:marTop w:val="336"/>
          <w:marBottom w:val="216"/>
          <w:divBdr>
            <w:top w:val="none" w:sz="0" w:space="0" w:color="auto"/>
            <w:left w:val="none" w:sz="0" w:space="0" w:color="auto"/>
            <w:bottom w:val="none" w:sz="0" w:space="0" w:color="auto"/>
            <w:right w:val="none" w:sz="0" w:space="0" w:color="auto"/>
          </w:divBdr>
          <w:divsChild>
            <w:div w:id="485785133">
              <w:marLeft w:val="2700"/>
              <w:marRight w:val="240"/>
              <w:marTop w:val="0"/>
              <w:marBottom w:val="0"/>
              <w:divBdr>
                <w:top w:val="none" w:sz="0" w:space="0" w:color="auto"/>
                <w:left w:val="none" w:sz="0" w:space="0" w:color="auto"/>
                <w:bottom w:val="none" w:sz="0" w:space="0" w:color="auto"/>
                <w:right w:val="none" w:sz="0" w:space="0" w:color="auto"/>
              </w:divBdr>
              <w:divsChild>
                <w:div w:id="412627712">
                  <w:marLeft w:val="0"/>
                  <w:marRight w:val="0"/>
                  <w:marTop w:val="0"/>
                  <w:marBottom w:val="0"/>
                  <w:divBdr>
                    <w:top w:val="none" w:sz="0" w:space="0" w:color="auto"/>
                    <w:left w:val="none" w:sz="0" w:space="0" w:color="auto"/>
                    <w:bottom w:val="none" w:sz="0" w:space="0" w:color="auto"/>
                    <w:right w:val="none" w:sz="0" w:space="0" w:color="auto"/>
                  </w:divBdr>
                  <w:divsChild>
                    <w:div w:id="211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859287">
      <w:bodyDiv w:val="1"/>
      <w:marLeft w:val="0"/>
      <w:marRight w:val="0"/>
      <w:marTop w:val="0"/>
      <w:marBottom w:val="0"/>
      <w:divBdr>
        <w:top w:val="none" w:sz="0" w:space="0" w:color="auto"/>
        <w:left w:val="none" w:sz="0" w:space="0" w:color="auto"/>
        <w:bottom w:val="none" w:sz="0" w:space="0" w:color="auto"/>
        <w:right w:val="none" w:sz="0" w:space="0" w:color="auto"/>
      </w:divBdr>
      <w:divsChild>
        <w:div w:id="879130024">
          <w:marLeft w:val="0"/>
          <w:marRight w:val="0"/>
          <w:marTop w:val="0"/>
          <w:marBottom w:val="0"/>
          <w:divBdr>
            <w:top w:val="none" w:sz="0" w:space="0" w:color="auto"/>
            <w:left w:val="none" w:sz="0" w:space="0" w:color="auto"/>
            <w:bottom w:val="none" w:sz="0" w:space="0" w:color="auto"/>
            <w:right w:val="none" w:sz="0" w:space="0" w:color="auto"/>
          </w:divBdr>
          <w:divsChild>
            <w:div w:id="500970518">
              <w:marLeft w:val="0"/>
              <w:marRight w:val="0"/>
              <w:marTop w:val="0"/>
              <w:marBottom w:val="0"/>
              <w:divBdr>
                <w:top w:val="none" w:sz="0" w:space="0" w:color="auto"/>
                <w:left w:val="none" w:sz="0" w:space="0" w:color="auto"/>
                <w:bottom w:val="none" w:sz="0" w:space="0" w:color="auto"/>
                <w:right w:val="none" w:sz="0" w:space="0" w:color="auto"/>
              </w:divBdr>
              <w:divsChild>
                <w:div w:id="825709625">
                  <w:marLeft w:val="0"/>
                  <w:marRight w:val="0"/>
                  <w:marTop w:val="0"/>
                  <w:marBottom w:val="0"/>
                  <w:divBdr>
                    <w:top w:val="none" w:sz="0" w:space="0" w:color="auto"/>
                    <w:left w:val="none" w:sz="0" w:space="0" w:color="auto"/>
                    <w:bottom w:val="none" w:sz="0" w:space="0" w:color="auto"/>
                    <w:right w:val="none" w:sz="0" w:space="0" w:color="auto"/>
                  </w:divBdr>
                  <w:divsChild>
                    <w:div w:id="1056321">
                      <w:marLeft w:val="0"/>
                      <w:marRight w:val="0"/>
                      <w:marTop w:val="0"/>
                      <w:marBottom w:val="0"/>
                      <w:divBdr>
                        <w:top w:val="single" w:sz="6" w:space="0" w:color="DCD9D9"/>
                        <w:left w:val="single" w:sz="6" w:space="0" w:color="DCD9D9"/>
                        <w:bottom w:val="single" w:sz="2" w:space="0" w:color="DCD9D9"/>
                        <w:right w:val="single" w:sz="6" w:space="0" w:color="DCD9D9"/>
                      </w:divBdr>
                      <w:divsChild>
                        <w:div w:id="143739679">
                          <w:marLeft w:val="0"/>
                          <w:marRight w:val="-100"/>
                          <w:marTop w:val="450"/>
                          <w:marBottom w:val="0"/>
                          <w:divBdr>
                            <w:top w:val="none" w:sz="0" w:space="0" w:color="auto"/>
                            <w:left w:val="none" w:sz="0" w:space="0" w:color="auto"/>
                            <w:bottom w:val="none" w:sz="0" w:space="0" w:color="auto"/>
                            <w:right w:val="none" w:sz="0" w:space="0" w:color="auto"/>
                          </w:divBdr>
                          <w:divsChild>
                            <w:div w:id="797184592">
                              <w:marLeft w:val="0"/>
                              <w:marRight w:val="0"/>
                              <w:marTop w:val="0"/>
                              <w:marBottom w:val="0"/>
                              <w:divBdr>
                                <w:top w:val="none" w:sz="0" w:space="0" w:color="auto"/>
                                <w:left w:val="none" w:sz="0" w:space="0" w:color="auto"/>
                                <w:bottom w:val="none" w:sz="0" w:space="0" w:color="auto"/>
                                <w:right w:val="none" w:sz="0" w:space="0" w:color="auto"/>
                              </w:divBdr>
                              <w:divsChild>
                                <w:div w:id="1115636141">
                                  <w:marLeft w:val="0"/>
                                  <w:marRight w:val="0"/>
                                  <w:marTop w:val="0"/>
                                  <w:marBottom w:val="0"/>
                                  <w:divBdr>
                                    <w:top w:val="none" w:sz="0" w:space="0" w:color="auto"/>
                                    <w:left w:val="none" w:sz="0" w:space="0" w:color="auto"/>
                                    <w:bottom w:val="none" w:sz="0" w:space="0" w:color="auto"/>
                                    <w:right w:val="none" w:sz="0" w:space="0" w:color="auto"/>
                                  </w:divBdr>
                                  <w:divsChild>
                                    <w:div w:id="741567023">
                                      <w:marLeft w:val="0"/>
                                      <w:marRight w:val="0"/>
                                      <w:marTop w:val="0"/>
                                      <w:marBottom w:val="0"/>
                                      <w:divBdr>
                                        <w:top w:val="none" w:sz="0" w:space="0" w:color="auto"/>
                                        <w:left w:val="none" w:sz="0" w:space="0" w:color="auto"/>
                                        <w:bottom w:val="none" w:sz="0" w:space="0" w:color="auto"/>
                                        <w:right w:val="none" w:sz="0" w:space="0" w:color="auto"/>
                                      </w:divBdr>
                                      <w:divsChild>
                                        <w:div w:id="1977635123">
                                          <w:marLeft w:val="0"/>
                                          <w:marRight w:val="0"/>
                                          <w:marTop w:val="0"/>
                                          <w:marBottom w:val="360"/>
                                          <w:divBdr>
                                            <w:top w:val="none" w:sz="0" w:space="0" w:color="auto"/>
                                            <w:left w:val="none" w:sz="0" w:space="0" w:color="auto"/>
                                            <w:bottom w:val="none" w:sz="0" w:space="0" w:color="auto"/>
                                            <w:right w:val="none" w:sz="0" w:space="0" w:color="auto"/>
                                          </w:divBdr>
                                          <w:divsChild>
                                            <w:div w:id="1199273281">
                                              <w:marLeft w:val="0"/>
                                              <w:marRight w:val="0"/>
                                              <w:marTop w:val="0"/>
                                              <w:marBottom w:val="0"/>
                                              <w:divBdr>
                                                <w:top w:val="none" w:sz="0" w:space="0" w:color="auto"/>
                                                <w:left w:val="none" w:sz="0" w:space="0" w:color="auto"/>
                                                <w:bottom w:val="none" w:sz="0" w:space="0" w:color="auto"/>
                                                <w:right w:val="none" w:sz="0" w:space="0" w:color="auto"/>
                                              </w:divBdr>
                                              <w:divsChild>
                                                <w:div w:id="1747800201">
                                                  <w:marLeft w:val="0"/>
                                                  <w:marRight w:val="0"/>
                                                  <w:marTop w:val="0"/>
                                                  <w:marBottom w:val="0"/>
                                                  <w:divBdr>
                                                    <w:top w:val="none" w:sz="0" w:space="0" w:color="auto"/>
                                                    <w:left w:val="none" w:sz="0" w:space="0" w:color="auto"/>
                                                    <w:bottom w:val="none" w:sz="0" w:space="0" w:color="auto"/>
                                                    <w:right w:val="none" w:sz="0" w:space="0" w:color="auto"/>
                                                  </w:divBdr>
                                                  <w:divsChild>
                                                    <w:div w:id="654533021">
                                                      <w:marLeft w:val="0"/>
                                                      <w:marRight w:val="0"/>
                                                      <w:marTop w:val="0"/>
                                                      <w:marBottom w:val="0"/>
                                                      <w:divBdr>
                                                        <w:top w:val="none" w:sz="0" w:space="0" w:color="auto"/>
                                                        <w:left w:val="none" w:sz="0" w:space="0" w:color="auto"/>
                                                        <w:bottom w:val="none" w:sz="0" w:space="0" w:color="auto"/>
                                                        <w:right w:val="none" w:sz="0" w:space="0" w:color="auto"/>
                                                      </w:divBdr>
                                                      <w:divsChild>
                                                        <w:div w:id="18623398">
                                                          <w:marLeft w:val="0"/>
                                                          <w:marRight w:val="0"/>
                                                          <w:marTop w:val="0"/>
                                                          <w:marBottom w:val="0"/>
                                                          <w:divBdr>
                                                            <w:top w:val="none" w:sz="0" w:space="0" w:color="auto"/>
                                                            <w:left w:val="none" w:sz="0" w:space="0" w:color="auto"/>
                                                            <w:bottom w:val="none" w:sz="0" w:space="0" w:color="auto"/>
                                                            <w:right w:val="none" w:sz="0" w:space="0" w:color="auto"/>
                                                          </w:divBdr>
                                                          <w:divsChild>
                                                            <w:div w:id="1039161203">
                                                              <w:marLeft w:val="0"/>
                                                              <w:marRight w:val="0"/>
                                                              <w:marTop w:val="0"/>
                                                              <w:marBottom w:val="0"/>
                                                              <w:divBdr>
                                                                <w:top w:val="none" w:sz="0" w:space="0" w:color="auto"/>
                                                                <w:left w:val="none" w:sz="0" w:space="0" w:color="auto"/>
                                                                <w:bottom w:val="none" w:sz="0" w:space="0" w:color="auto"/>
                                                                <w:right w:val="none" w:sz="0" w:space="0" w:color="auto"/>
                                                              </w:divBdr>
                                                              <w:divsChild>
                                                                <w:div w:id="562838520">
                                                                  <w:marLeft w:val="0"/>
                                                                  <w:marRight w:val="0"/>
                                                                  <w:marTop w:val="0"/>
                                                                  <w:marBottom w:val="0"/>
                                                                  <w:divBdr>
                                                                    <w:top w:val="none" w:sz="0" w:space="0" w:color="auto"/>
                                                                    <w:left w:val="none" w:sz="0" w:space="0" w:color="auto"/>
                                                                    <w:bottom w:val="none" w:sz="0" w:space="0" w:color="auto"/>
                                                                    <w:right w:val="none" w:sz="0" w:space="0" w:color="auto"/>
                                                                  </w:divBdr>
                                                                  <w:divsChild>
                                                                    <w:div w:id="1612011815">
                                                                      <w:marLeft w:val="0"/>
                                                                      <w:marRight w:val="0"/>
                                                                      <w:marTop w:val="0"/>
                                                                      <w:marBottom w:val="0"/>
                                                                      <w:divBdr>
                                                                        <w:top w:val="none" w:sz="0" w:space="0" w:color="auto"/>
                                                                        <w:left w:val="none" w:sz="0" w:space="0" w:color="auto"/>
                                                                        <w:bottom w:val="none" w:sz="0" w:space="0" w:color="auto"/>
                                                                        <w:right w:val="none" w:sz="0" w:space="0" w:color="auto"/>
                                                                      </w:divBdr>
                                                                    </w:div>
                                                                    <w:div w:id="1609698159">
                                                                      <w:marLeft w:val="0"/>
                                                                      <w:marRight w:val="0"/>
                                                                      <w:marTop w:val="0"/>
                                                                      <w:marBottom w:val="0"/>
                                                                      <w:divBdr>
                                                                        <w:top w:val="none" w:sz="0" w:space="0" w:color="auto"/>
                                                                        <w:left w:val="none" w:sz="0" w:space="0" w:color="auto"/>
                                                                        <w:bottom w:val="none" w:sz="0" w:space="0" w:color="auto"/>
                                                                        <w:right w:val="none" w:sz="0" w:space="0" w:color="auto"/>
                                                                      </w:divBdr>
                                                                    </w:div>
                                                                    <w:div w:id="965694462">
                                                                      <w:marLeft w:val="0"/>
                                                                      <w:marRight w:val="0"/>
                                                                      <w:marTop w:val="0"/>
                                                                      <w:marBottom w:val="0"/>
                                                                      <w:divBdr>
                                                                        <w:top w:val="none" w:sz="0" w:space="0" w:color="auto"/>
                                                                        <w:left w:val="none" w:sz="0" w:space="0" w:color="auto"/>
                                                                        <w:bottom w:val="none" w:sz="0" w:space="0" w:color="auto"/>
                                                                        <w:right w:val="none" w:sz="0" w:space="0" w:color="auto"/>
                                                                      </w:divBdr>
                                                                    </w:div>
                                                                    <w:div w:id="1182285777">
                                                                      <w:marLeft w:val="0"/>
                                                                      <w:marRight w:val="0"/>
                                                                      <w:marTop w:val="0"/>
                                                                      <w:marBottom w:val="0"/>
                                                                      <w:divBdr>
                                                                        <w:top w:val="none" w:sz="0" w:space="0" w:color="auto"/>
                                                                        <w:left w:val="none" w:sz="0" w:space="0" w:color="auto"/>
                                                                        <w:bottom w:val="none" w:sz="0" w:space="0" w:color="auto"/>
                                                                        <w:right w:val="none" w:sz="0" w:space="0" w:color="auto"/>
                                                                      </w:divBdr>
                                                                    </w:div>
                                                                    <w:div w:id="1162506650">
                                                                      <w:marLeft w:val="0"/>
                                                                      <w:marRight w:val="0"/>
                                                                      <w:marTop w:val="0"/>
                                                                      <w:marBottom w:val="0"/>
                                                                      <w:divBdr>
                                                                        <w:top w:val="none" w:sz="0" w:space="0" w:color="auto"/>
                                                                        <w:left w:val="none" w:sz="0" w:space="0" w:color="auto"/>
                                                                        <w:bottom w:val="none" w:sz="0" w:space="0" w:color="auto"/>
                                                                        <w:right w:val="none" w:sz="0" w:space="0" w:color="auto"/>
                                                                      </w:divBdr>
                                                                    </w:div>
                                                                    <w:div w:id="981731016">
                                                                      <w:marLeft w:val="0"/>
                                                                      <w:marRight w:val="0"/>
                                                                      <w:marTop w:val="0"/>
                                                                      <w:marBottom w:val="0"/>
                                                                      <w:divBdr>
                                                                        <w:top w:val="none" w:sz="0" w:space="0" w:color="auto"/>
                                                                        <w:left w:val="none" w:sz="0" w:space="0" w:color="auto"/>
                                                                        <w:bottom w:val="none" w:sz="0" w:space="0" w:color="auto"/>
                                                                        <w:right w:val="none" w:sz="0" w:space="0" w:color="auto"/>
                                                                      </w:divBdr>
                                                                    </w:div>
                                                                    <w:div w:id="9995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1108274">
      <w:bodyDiv w:val="1"/>
      <w:marLeft w:val="0"/>
      <w:marRight w:val="0"/>
      <w:marTop w:val="0"/>
      <w:marBottom w:val="0"/>
      <w:divBdr>
        <w:top w:val="none" w:sz="0" w:space="0" w:color="auto"/>
        <w:left w:val="none" w:sz="0" w:space="0" w:color="auto"/>
        <w:bottom w:val="none" w:sz="0" w:space="0" w:color="auto"/>
        <w:right w:val="none" w:sz="0" w:space="0" w:color="auto"/>
      </w:divBdr>
    </w:div>
    <w:div w:id="1877812075">
      <w:bodyDiv w:val="1"/>
      <w:marLeft w:val="0"/>
      <w:marRight w:val="0"/>
      <w:marTop w:val="0"/>
      <w:marBottom w:val="0"/>
      <w:divBdr>
        <w:top w:val="none" w:sz="0" w:space="0" w:color="auto"/>
        <w:left w:val="none" w:sz="0" w:space="0" w:color="auto"/>
        <w:bottom w:val="none" w:sz="0" w:space="0" w:color="auto"/>
        <w:right w:val="none" w:sz="0" w:space="0" w:color="auto"/>
      </w:divBdr>
      <w:divsChild>
        <w:div w:id="1226572089">
          <w:marLeft w:val="0"/>
          <w:marRight w:val="0"/>
          <w:marTop w:val="0"/>
          <w:marBottom w:val="0"/>
          <w:divBdr>
            <w:top w:val="none" w:sz="0" w:space="0" w:color="auto"/>
            <w:left w:val="none" w:sz="0" w:space="0" w:color="auto"/>
            <w:bottom w:val="none" w:sz="0" w:space="0" w:color="auto"/>
            <w:right w:val="none" w:sz="0" w:space="0" w:color="auto"/>
          </w:divBdr>
          <w:divsChild>
            <w:div w:id="707294582">
              <w:marLeft w:val="0"/>
              <w:marRight w:val="0"/>
              <w:marTop w:val="0"/>
              <w:marBottom w:val="0"/>
              <w:divBdr>
                <w:top w:val="none" w:sz="0" w:space="0" w:color="auto"/>
                <w:left w:val="none" w:sz="0" w:space="0" w:color="auto"/>
                <w:bottom w:val="none" w:sz="0" w:space="0" w:color="auto"/>
                <w:right w:val="none" w:sz="0" w:space="0" w:color="auto"/>
              </w:divBdr>
              <w:divsChild>
                <w:div w:id="1874034187">
                  <w:marLeft w:val="0"/>
                  <w:marRight w:val="0"/>
                  <w:marTop w:val="0"/>
                  <w:marBottom w:val="0"/>
                  <w:divBdr>
                    <w:top w:val="none" w:sz="0" w:space="0" w:color="auto"/>
                    <w:left w:val="none" w:sz="0" w:space="0" w:color="auto"/>
                    <w:bottom w:val="none" w:sz="0" w:space="0" w:color="auto"/>
                    <w:right w:val="none" w:sz="0" w:space="0" w:color="auto"/>
                  </w:divBdr>
                  <w:divsChild>
                    <w:div w:id="1493789943">
                      <w:marLeft w:val="0"/>
                      <w:marRight w:val="0"/>
                      <w:marTop w:val="0"/>
                      <w:marBottom w:val="0"/>
                      <w:divBdr>
                        <w:top w:val="none" w:sz="0" w:space="0" w:color="auto"/>
                        <w:left w:val="none" w:sz="0" w:space="0" w:color="auto"/>
                        <w:bottom w:val="none" w:sz="0" w:space="0" w:color="auto"/>
                        <w:right w:val="none" w:sz="0" w:space="0" w:color="auto"/>
                      </w:divBdr>
                      <w:divsChild>
                        <w:div w:id="1181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2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facebook.com/#!/pages/Real-Estate-Institute-of-Australia-REIA/304742799577937?fref=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witter.com/REIANationa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facebook.com/pages/Real-Estate-Institute-of-Australia-REIA/304742799577937?fref=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witter.com/REIANationa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B3EF-8876-488D-9C8D-1AD48D999812}">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7DA5074-5227-4655-845E-86C2C5F09B85}">
  <ds:schemaRefs>
    <ds:schemaRef ds:uri="http://schemas.microsoft.com/sharepoint/events"/>
  </ds:schemaRefs>
</ds:datastoreItem>
</file>

<file path=customXml/itemProps3.xml><?xml version="1.0" encoding="utf-8"?>
<ds:datastoreItem xmlns:ds="http://schemas.openxmlformats.org/officeDocument/2006/customXml" ds:itemID="{9228EF8D-AC6A-4DBD-9B59-32A40CAF293D}">
  <ds:schemaRefs>
    <ds:schemaRef ds:uri="http://schemas.microsoft.com/office/2006/metadata/customXsn"/>
  </ds:schemaRefs>
</ds:datastoreItem>
</file>

<file path=customXml/itemProps4.xml><?xml version="1.0" encoding="utf-8"?>
<ds:datastoreItem xmlns:ds="http://schemas.openxmlformats.org/officeDocument/2006/customXml" ds:itemID="{76A39F91-FB53-410A-BD1C-BE51F0AD439A}">
  <ds:schemaRefs>
    <ds:schemaRef ds:uri="http://schemas.microsoft.com/sharepoint/v3/contenttype/forms"/>
  </ds:schemaRefs>
</ds:datastoreItem>
</file>

<file path=customXml/itemProps5.xml><?xml version="1.0" encoding="utf-8"?>
<ds:datastoreItem xmlns:ds="http://schemas.openxmlformats.org/officeDocument/2006/customXml" ds:itemID="{58BE568F-822F-4708-8FB4-1FAAD6AF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5FFE53F9-440B-4D72-A969-BD26CE89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40 - Real Estate Institute of Australia (REIA)  - Mutual Recognition Schemes - Commissioned study</vt:lpstr>
    </vt:vector>
  </TitlesOfParts>
  <Company>Real Estate Institute of Australia (REIA) </Company>
  <LinksUpToDate>false</LinksUpToDate>
  <CharactersWithSpaces>13906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Real Estate Institute of Australia (REIA)  - Mutual Recognition Schemes - Commissioned study</dc:title>
  <dc:creator>Real Estate Institute of Australia (REIA) </dc:creator>
  <cp:lastModifiedBy>Productivity Commission</cp:lastModifiedBy>
  <cp:revision>4</cp:revision>
  <cp:lastPrinted>2015-03-02T23:33:00Z</cp:lastPrinted>
  <dcterms:created xsi:type="dcterms:W3CDTF">2015-03-05T03:50:00Z</dcterms:created>
  <dcterms:modified xsi:type="dcterms:W3CDTF">2015-03-05T04:57:00Z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y fmtid="{D5CDD505-2E9C-101B-9397-08002B2CF9AE}" pid="3" name="Order">
    <vt:r8>4800</vt:r8>
  </property>
  <property fmtid="{D5CDD505-2E9C-101B-9397-08002B2CF9AE}" pid="4" name="RecordPoint_WorkflowType">
    <vt:lpwstr/>
  </property>
  <property fmtid="{D5CDD505-2E9C-101B-9397-08002B2CF9AE}" pid="5" name="RecordPoint_ActiveItemSiteId">
    <vt:lpwstr/>
  </property>
  <property fmtid="{D5CDD505-2E9C-101B-9397-08002B2CF9AE}" pid="6" name="RecordPoint_ActiveItemListId">
    <vt:lpwstr/>
  </property>
  <property fmtid="{D5CDD505-2E9C-101B-9397-08002B2CF9AE}" pid="7" name="RecordPoint_ActiveItemUniqueId">
    <vt:lpwstr/>
  </property>
  <property fmtid="{D5CDD505-2E9C-101B-9397-08002B2CF9AE}" pid="8" name="RecordPoint_ActiveItemWebId">
    <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
  </property>
</Properties>
</file>