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A71" w:rsidRDefault="00596A71" w:rsidP="00596A71">
      <w:pPr>
        <w:spacing w:before="360" w:after="360"/>
      </w:pPr>
      <w:r>
        <w:t>13 March 2015</w:t>
      </w:r>
    </w:p>
    <w:p w:rsidR="00596A71" w:rsidRDefault="00596A71" w:rsidP="00596A71">
      <w:pPr>
        <w:spacing w:before="0" w:after="0"/>
      </w:pPr>
      <w:r>
        <w:t>Workplace Relations Inquiry</w:t>
      </w:r>
    </w:p>
    <w:p w:rsidR="00596A71" w:rsidRDefault="00596A71" w:rsidP="00596A71">
      <w:pPr>
        <w:spacing w:before="0" w:after="0"/>
      </w:pPr>
      <w:r>
        <w:t>Productivity Commission</w:t>
      </w:r>
    </w:p>
    <w:p w:rsidR="00596A71" w:rsidRDefault="00596A71" w:rsidP="00596A71">
      <w:pPr>
        <w:spacing w:before="0" w:after="0"/>
      </w:pPr>
      <w:r>
        <w:t>GPO Box 1428</w:t>
      </w:r>
    </w:p>
    <w:p w:rsidR="00596A71" w:rsidRDefault="00596A71" w:rsidP="00596A71">
      <w:pPr>
        <w:spacing w:before="0" w:after="0"/>
      </w:pPr>
      <w:r>
        <w:t>Canberra City ACT 2601</w:t>
      </w:r>
    </w:p>
    <w:p w:rsidR="00596A71" w:rsidRDefault="00596A71" w:rsidP="00596A71">
      <w:r w:rsidRPr="005C2BA2">
        <w:t>Dea</w:t>
      </w:r>
      <w:r>
        <w:t>r Chair,</w:t>
      </w:r>
    </w:p>
    <w:p w:rsidR="00596A71" w:rsidRDefault="00596A71" w:rsidP="00596A71">
      <w:pPr>
        <w:rPr>
          <w:b/>
        </w:rPr>
      </w:pPr>
      <w:r>
        <w:rPr>
          <w:b/>
        </w:rPr>
        <w:t>Workplace Relations Inquiry</w:t>
      </w:r>
    </w:p>
    <w:p w:rsidR="00596A71" w:rsidRDefault="00596A71" w:rsidP="00596A71">
      <w:r>
        <w:t>The Australian Human Rights Commission (the Commission) welcomes the Productivity Commission’s inquiry into the Workplace Relations Framework.</w:t>
      </w:r>
    </w:p>
    <w:p w:rsidR="00596A71" w:rsidRDefault="00596A71" w:rsidP="00596A71">
      <w:r>
        <w:t>The Commission is Australia’s national human rights institution. The Commission conducts a range of advocacy activities that relate to improving the protection and promotion of human rights in Australia’s workplace relations framework, including submissions to government, research reports, and education programs.</w:t>
      </w:r>
    </w:p>
    <w:p w:rsidR="00596A71" w:rsidRDefault="00596A71" w:rsidP="00596A71">
      <w:r>
        <w:t>The Commission’s submission is limited to identifying previous submissions and research most relevant to the current inquiry. While the information provided is not restricted to matters identified in the Productivity Commission’s Issues Papers, it is most relevant to the matters raised in Issue Paper 2: Safety Nets and Issue Paper 4: Employee Protections.</w:t>
      </w:r>
    </w:p>
    <w:p w:rsidR="00596A71" w:rsidRDefault="00596A71" w:rsidP="00596A71">
      <w:r>
        <w:t>The Commission welcomes the opportunity to make contributions to the Inquiry as it progresses.</w:t>
      </w:r>
    </w:p>
    <w:p w:rsidR="00596A71" w:rsidRDefault="00596A71" w:rsidP="00596A71">
      <w:pPr>
        <w:rPr>
          <w:b/>
          <w:i/>
        </w:rPr>
      </w:pPr>
      <w:r>
        <w:rPr>
          <w:b/>
          <w:i/>
        </w:rPr>
        <w:t>Previous submissions</w:t>
      </w:r>
    </w:p>
    <w:p w:rsidR="00596A71" w:rsidRPr="00563D0B" w:rsidRDefault="00596A71" w:rsidP="00596A71">
      <w:pPr>
        <w:rPr>
          <w:b/>
          <w:i/>
        </w:rPr>
      </w:pPr>
      <w:r>
        <w:t xml:space="preserve">The Commission has previously provided comments on Australia’s workplace relations framework through submissions to Parliament and government relating to the </w:t>
      </w:r>
      <w:r>
        <w:rPr>
          <w:i/>
        </w:rPr>
        <w:t>Fair Work Act 2009</w:t>
      </w:r>
      <w:r>
        <w:t xml:space="preserve"> (</w:t>
      </w:r>
      <w:proofErr w:type="spellStart"/>
      <w:r>
        <w:t>Cth</w:t>
      </w:r>
      <w:proofErr w:type="spellEnd"/>
      <w:r>
        <w:t>). These submissions are attached.</w:t>
      </w:r>
    </w:p>
    <w:p w:rsidR="00596A71" w:rsidRPr="007E0085" w:rsidRDefault="00E54D26" w:rsidP="00596A71">
      <w:pPr>
        <w:pStyle w:val="ListParagraph"/>
        <w:numPr>
          <w:ilvl w:val="0"/>
          <w:numId w:val="36"/>
        </w:numPr>
        <w:rPr>
          <w:rFonts w:cs="Arial"/>
          <w:color w:val="000000"/>
          <w:lang w:eastAsia="en-US"/>
        </w:rPr>
      </w:pPr>
      <w:hyperlink r:id="rId8" w:history="1">
        <w:r w:rsidR="00596A71" w:rsidRPr="007E0085">
          <w:rPr>
            <w:rStyle w:val="Hyperlink"/>
            <w:rFonts w:cs="Arial"/>
            <w:lang w:eastAsia="en-US"/>
          </w:rPr>
          <w:t>Submission to the House Standing Committee on Education and Employment Inquiry into the Fair Work Amendment Bill 2013</w:t>
        </w:r>
      </w:hyperlink>
      <w:r w:rsidR="00596A71" w:rsidRPr="007E0085">
        <w:rPr>
          <w:rFonts w:cs="Arial"/>
          <w:color w:val="0000FF"/>
          <w:lang w:eastAsia="en-US"/>
        </w:rPr>
        <w:t xml:space="preserve"> </w:t>
      </w:r>
      <w:r w:rsidR="00596A71" w:rsidRPr="007E0085">
        <w:rPr>
          <w:rFonts w:cs="Arial"/>
          <w:lang w:eastAsia="en-US"/>
        </w:rPr>
        <w:t>an</w:t>
      </w:r>
      <w:r w:rsidR="00596A71">
        <w:rPr>
          <w:rFonts w:cs="Arial"/>
          <w:lang w:eastAsia="en-US"/>
        </w:rPr>
        <w:t xml:space="preserve">d the </w:t>
      </w:r>
      <w:hyperlink r:id="rId9" w:history="1">
        <w:r w:rsidR="00596A71" w:rsidRPr="007E0085">
          <w:rPr>
            <w:rStyle w:val="Hyperlink"/>
            <w:rFonts w:cs="Arial"/>
            <w:lang w:eastAsia="en-US"/>
          </w:rPr>
          <w:t>Senate Standing Committee on Education, Employment and Workplace Relations</w:t>
        </w:r>
      </w:hyperlink>
      <w:r w:rsidR="00596A71" w:rsidRPr="007E0085">
        <w:rPr>
          <w:rFonts w:cs="Arial"/>
          <w:color w:val="000000"/>
          <w:lang w:eastAsia="en-US"/>
        </w:rPr>
        <w:t xml:space="preserve"> (18 April 2013)</w:t>
      </w:r>
    </w:p>
    <w:p w:rsidR="00596A71" w:rsidRPr="007E0085" w:rsidRDefault="00E54D26" w:rsidP="00596A71">
      <w:pPr>
        <w:numPr>
          <w:ilvl w:val="0"/>
          <w:numId w:val="36"/>
        </w:numPr>
        <w:spacing w:after="0"/>
        <w:rPr>
          <w:rFonts w:eastAsia="Calibri" w:cs="Arial"/>
          <w:lang w:eastAsia="en-US"/>
        </w:rPr>
      </w:pPr>
      <w:hyperlink r:id="rId10" w:history="1">
        <w:r w:rsidR="00596A71" w:rsidRPr="007E0085">
          <w:rPr>
            <w:rStyle w:val="Hyperlink"/>
            <w:rFonts w:cs="Arial"/>
            <w:lang w:eastAsia="en-US"/>
          </w:rPr>
          <w:t>Submission to the Department of Education, Employment and Workplace Relations in its Post Implementation Review of the Fair Work Act 2009</w:t>
        </w:r>
        <w:r w:rsidR="00596A71" w:rsidRPr="007E0085">
          <w:rPr>
            <w:rStyle w:val="Hyperlink"/>
            <w:rFonts w:ascii="Calibri" w:eastAsia="Calibri" w:hAnsi="Calibri" w:cs="Calibri"/>
            <w:lang w:eastAsia="en-US"/>
          </w:rPr>
          <w:t> </w:t>
        </w:r>
      </w:hyperlink>
      <w:r w:rsidR="00596A71" w:rsidRPr="007E0085">
        <w:rPr>
          <w:rFonts w:eastAsia="Calibri" w:cs="Arial"/>
          <w:color w:val="000000"/>
          <w:lang w:eastAsia="en-US"/>
        </w:rPr>
        <w:t>(12 March 2012)</w:t>
      </w:r>
    </w:p>
    <w:p w:rsidR="00596A71" w:rsidRPr="007E0085" w:rsidRDefault="00E54D26" w:rsidP="00596A71">
      <w:pPr>
        <w:numPr>
          <w:ilvl w:val="0"/>
          <w:numId w:val="36"/>
        </w:numPr>
        <w:spacing w:after="0"/>
        <w:rPr>
          <w:rFonts w:eastAsia="Calibri" w:cs="Arial"/>
          <w:lang w:eastAsia="en-US"/>
        </w:rPr>
      </w:pPr>
      <w:hyperlink r:id="rId11" w:history="1">
        <w:r w:rsidR="00596A71" w:rsidRPr="007E0085">
          <w:rPr>
            <w:rFonts w:eastAsia="Calibri" w:cs="Arial"/>
            <w:color w:val="0000FF"/>
            <w:u w:val="single"/>
            <w:lang w:eastAsia="en-US"/>
          </w:rPr>
          <w:t>Submission to the Senate Education, Employment and Workplace Relations Committee Inquiry into the Fair Work Bill 2008</w:t>
        </w:r>
      </w:hyperlink>
      <w:r w:rsidR="00596A71" w:rsidRPr="007E0085">
        <w:rPr>
          <w:rFonts w:ascii="Calibri" w:eastAsia="Calibri" w:hAnsi="Calibri" w:cs="Calibri"/>
          <w:color w:val="000000"/>
          <w:u w:val="single"/>
          <w:lang w:eastAsia="en-US"/>
        </w:rPr>
        <w:t> </w:t>
      </w:r>
      <w:r w:rsidR="00596A71" w:rsidRPr="007E0085">
        <w:rPr>
          <w:rFonts w:eastAsia="Calibri" w:cs="Arial"/>
          <w:color w:val="000000"/>
          <w:lang w:eastAsia="en-US"/>
        </w:rPr>
        <w:t>(23 January 2009)</w:t>
      </w:r>
    </w:p>
    <w:p w:rsidR="00596A71" w:rsidRPr="000B546F" w:rsidRDefault="00596A71" w:rsidP="00596A71">
      <w:pPr>
        <w:spacing w:after="0"/>
        <w:rPr>
          <w:rFonts w:eastAsia="Calibri" w:cs="Arial"/>
          <w:color w:val="000000"/>
          <w:lang w:eastAsia="en-US"/>
        </w:rPr>
      </w:pPr>
      <w:r w:rsidRPr="000B546F">
        <w:rPr>
          <w:rFonts w:eastAsia="Calibri" w:cs="Arial"/>
          <w:color w:val="000000"/>
          <w:lang w:eastAsia="en-US"/>
        </w:rPr>
        <w:t>In addition to drawing the Productivity Commission’s attention to the recommendations in the above submissions, the Commission further notes the following submissions covering issues of bullying, harassment and discrimination:</w:t>
      </w:r>
    </w:p>
    <w:p w:rsidR="00596A71" w:rsidRPr="000B546F" w:rsidRDefault="00E54D26" w:rsidP="00596A71">
      <w:pPr>
        <w:numPr>
          <w:ilvl w:val="0"/>
          <w:numId w:val="37"/>
        </w:numPr>
        <w:spacing w:after="0"/>
        <w:rPr>
          <w:rFonts w:eastAsia="Calibri" w:cs="Arial"/>
          <w:color w:val="000000"/>
          <w:lang w:eastAsia="en-US"/>
        </w:rPr>
      </w:pPr>
      <w:hyperlink r:id="rId12" w:history="1">
        <w:r w:rsidR="00596A71" w:rsidRPr="00D03CF5">
          <w:rPr>
            <w:rStyle w:val="Hyperlink"/>
            <w:rFonts w:cs="Arial"/>
            <w:lang w:val="en"/>
          </w:rPr>
          <w:t xml:space="preserve">Supplementary Submission to the Attorney-General’s Department on the Consolidation of Commonwealth Discrimination law </w:t>
        </w:r>
        <w:r w:rsidR="00596A71">
          <w:rPr>
            <w:rStyle w:val="Hyperlink"/>
            <w:rFonts w:cs="Arial"/>
            <w:lang w:val="en"/>
          </w:rPr>
          <w:t xml:space="preserve">- </w:t>
        </w:r>
        <w:r w:rsidR="00596A71" w:rsidRPr="00D03CF5">
          <w:rPr>
            <w:rStyle w:val="Hyperlink"/>
            <w:rFonts w:cs="Arial"/>
            <w:lang w:val="en"/>
          </w:rPr>
          <w:t>Domestic and family violence</w:t>
        </w:r>
      </w:hyperlink>
      <w:r w:rsidR="00596A71" w:rsidRPr="000B546F">
        <w:rPr>
          <w:rFonts w:cs="Arial"/>
          <w:lang w:val="en"/>
        </w:rPr>
        <w:t xml:space="preserve"> (23 January 2012)</w:t>
      </w:r>
    </w:p>
    <w:p w:rsidR="00596A71" w:rsidRPr="00313D65" w:rsidRDefault="00E54D26" w:rsidP="00596A71">
      <w:pPr>
        <w:numPr>
          <w:ilvl w:val="0"/>
          <w:numId w:val="37"/>
        </w:numPr>
        <w:spacing w:after="0"/>
        <w:rPr>
          <w:rFonts w:eastAsia="Calibri" w:cs="Arial"/>
          <w:color w:val="000000"/>
          <w:lang w:eastAsia="en-US"/>
        </w:rPr>
      </w:pPr>
      <w:hyperlink r:id="rId13" w:history="1">
        <w:r w:rsidR="00596A71" w:rsidRPr="00D03CF5">
          <w:rPr>
            <w:rStyle w:val="Hyperlink"/>
          </w:rPr>
          <w:t xml:space="preserve">Submission to the Attorney-General’s Department on the </w:t>
        </w:r>
        <w:r w:rsidR="00596A71" w:rsidRPr="00D03CF5">
          <w:rPr>
            <w:rStyle w:val="Hyperlink"/>
            <w:rFonts w:cs="Arial"/>
            <w:lang w:val="en"/>
          </w:rPr>
          <w:t>Consolidation of Commonwealth Discrimination law</w:t>
        </w:r>
      </w:hyperlink>
      <w:r w:rsidR="00596A71">
        <w:rPr>
          <w:rFonts w:cs="Arial"/>
          <w:lang w:val="en"/>
        </w:rPr>
        <w:t xml:space="preserve"> (6 </w:t>
      </w:r>
      <w:r w:rsidR="00596A71" w:rsidRPr="000B546F">
        <w:rPr>
          <w:rFonts w:cs="Arial"/>
          <w:lang w:val="en"/>
        </w:rPr>
        <w:t>December 2011)</w:t>
      </w:r>
    </w:p>
    <w:p w:rsidR="00596A71" w:rsidRPr="00620E3D" w:rsidRDefault="00596A71" w:rsidP="00596A71">
      <w:pPr>
        <w:rPr>
          <w:b/>
          <w:i/>
        </w:rPr>
      </w:pPr>
      <w:r>
        <w:rPr>
          <w:b/>
          <w:i/>
        </w:rPr>
        <w:t>Commission research and reports</w:t>
      </w:r>
    </w:p>
    <w:p w:rsidR="00596A71" w:rsidRPr="00620E3D" w:rsidRDefault="00596A71" w:rsidP="00596A71">
      <w:pPr>
        <w:spacing w:before="0" w:after="0"/>
        <w:rPr>
          <w:rFonts w:eastAsia="Calibri" w:cs="Arial"/>
          <w:lang w:eastAsia="en-US"/>
        </w:rPr>
      </w:pPr>
      <w:r w:rsidRPr="00620E3D">
        <w:rPr>
          <w:rFonts w:eastAsia="Calibri" w:cs="Arial"/>
          <w:lang w:eastAsia="en-US"/>
        </w:rPr>
        <w:t xml:space="preserve">The Commission has made a number of recommendations aimed at improving </w:t>
      </w:r>
      <w:r>
        <w:rPr>
          <w:rFonts w:eastAsia="Calibri" w:cs="Arial"/>
          <w:lang w:eastAsia="en-US"/>
        </w:rPr>
        <w:t xml:space="preserve">the </w:t>
      </w:r>
      <w:r w:rsidRPr="00620E3D">
        <w:rPr>
          <w:rFonts w:eastAsia="Calibri" w:cs="Arial"/>
          <w:lang w:eastAsia="en-US"/>
        </w:rPr>
        <w:t>workplace relations</w:t>
      </w:r>
      <w:r>
        <w:rPr>
          <w:rFonts w:eastAsia="Calibri" w:cs="Arial"/>
          <w:lang w:eastAsia="en-US"/>
        </w:rPr>
        <w:t xml:space="preserve"> framework</w:t>
      </w:r>
      <w:r w:rsidRPr="00620E3D">
        <w:rPr>
          <w:rFonts w:eastAsia="Calibri" w:cs="Arial"/>
          <w:lang w:eastAsia="en-US"/>
        </w:rPr>
        <w:t xml:space="preserve"> in recent research and reports. </w:t>
      </w:r>
    </w:p>
    <w:p w:rsidR="00596A71" w:rsidRPr="00621EE5" w:rsidRDefault="00596A71" w:rsidP="00596A71">
      <w:pPr>
        <w:numPr>
          <w:ilvl w:val="0"/>
          <w:numId w:val="31"/>
        </w:numPr>
        <w:spacing w:after="0"/>
        <w:rPr>
          <w:rFonts w:eastAsia="Calibri" w:cs="Arial"/>
          <w:i/>
          <w:lang w:eastAsia="en-US"/>
        </w:rPr>
      </w:pPr>
      <w:r w:rsidRPr="00620E3D">
        <w:rPr>
          <w:rFonts w:eastAsia="Calibri" w:cs="Arial"/>
          <w:i/>
          <w:iCs/>
          <w:lang w:eastAsia="en-US"/>
        </w:rPr>
        <w:t>Supporting Working Parents: Pregnancy and Return to Work National Review Report</w:t>
      </w:r>
    </w:p>
    <w:p w:rsidR="00596A71" w:rsidRDefault="00596A71" w:rsidP="00596A71">
      <w:pPr>
        <w:spacing w:after="0"/>
        <w:rPr>
          <w:rFonts w:eastAsia="MS Mincho" w:cs="Arial"/>
        </w:rPr>
      </w:pPr>
      <w:r>
        <w:rPr>
          <w:rFonts w:eastAsia="Calibri" w:cs="Arial"/>
          <w:lang w:eastAsia="en-US"/>
        </w:rPr>
        <w:t xml:space="preserve">The Commission’s 2014 report </w:t>
      </w:r>
      <w:r>
        <w:rPr>
          <w:rFonts w:eastAsia="Calibri" w:cs="Arial"/>
          <w:i/>
          <w:lang w:eastAsia="en-US"/>
        </w:rPr>
        <w:t>Supporting Working Parents: Pregnancy and Return to Work National Review Report</w:t>
      </w:r>
      <w:r>
        <w:rPr>
          <w:rFonts w:eastAsia="Calibri"/>
        </w:rPr>
        <w:t xml:space="preserve"> made recommendations that </w:t>
      </w:r>
      <w:r w:rsidRPr="00EC5D15">
        <w:rPr>
          <w:rFonts w:eastAsia="MS Mincho" w:cs="Arial"/>
        </w:rPr>
        <w:t xml:space="preserve">identify key strategies and actions for: </w:t>
      </w:r>
    </w:p>
    <w:p w:rsidR="00596A71" w:rsidRPr="00EC5D15" w:rsidRDefault="00596A71" w:rsidP="00596A71">
      <w:pPr>
        <w:spacing w:before="0" w:after="0"/>
        <w:rPr>
          <w:rFonts w:eastAsia="MS Mincho" w:cs="Arial"/>
        </w:rPr>
      </w:pPr>
    </w:p>
    <w:p w:rsidR="00596A71" w:rsidRPr="00EC5D15" w:rsidRDefault="00596A71" w:rsidP="00596A71">
      <w:pPr>
        <w:numPr>
          <w:ilvl w:val="0"/>
          <w:numId w:val="32"/>
        </w:numPr>
        <w:spacing w:before="0" w:after="0"/>
        <w:contextualSpacing/>
        <w:rPr>
          <w:rFonts w:cs="Arial"/>
        </w:rPr>
      </w:pPr>
      <w:r w:rsidRPr="00EC5D15">
        <w:rPr>
          <w:rFonts w:cs="Arial"/>
        </w:rPr>
        <w:t xml:space="preserve">addressing the high prevalence of discrimination; </w:t>
      </w:r>
    </w:p>
    <w:p w:rsidR="00596A71" w:rsidRPr="00EC5D15" w:rsidRDefault="00596A71" w:rsidP="00596A71">
      <w:pPr>
        <w:numPr>
          <w:ilvl w:val="0"/>
          <w:numId w:val="32"/>
        </w:numPr>
        <w:spacing w:before="0" w:after="0"/>
        <w:contextualSpacing/>
        <w:rPr>
          <w:rFonts w:cs="Arial"/>
        </w:rPr>
      </w:pPr>
      <w:r w:rsidRPr="00EC5D15">
        <w:rPr>
          <w:rFonts w:cs="Arial"/>
        </w:rPr>
        <w:t xml:space="preserve">strengthening the adequacy of existing laws, policies, procedures and practices; </w:t>
      </w:r>
    </w:p>
    <w:p w:rsidR="00596A71" w:rsidRPr="00EC5D15" w:rsidRDefault="00596A71" w:rsidP="00596A71">
      <w:pPr>
        <w:numPr>
          <w:ilvl w:val="0"/>
          <w:numId w:val="32"/>
        </w:numPr>
        <w:spacing w:before="0" w:after="0"/>
        <w:contextualSpacing/>
        <w:rPr>
          <w:rFonts w:cs="Arial"/>
        </w:rPr>
      </w:pPr>
      <w:r w:rsidRPr="00EC5D15">
        <w:rPr>
          <w:rFonts w:cs="Arial"/>
        </w:rPr>
        <w:t xml:space="preserve">promoting leading approaches; and </w:t>
      </w:r>
    </w:p>
    <w:p w:rsidR="00596A71" w:rsidRDefault="00596A71" w:rsidP="00596A71">
      <w:pPr>
        <w:numPr>
          <w:ilvl w:val="0"/>
          <w:numId w:val="32"/>
        </w:numPr>
        <w:spacing w:before="0" w:after="0"/>
        <w:contextualSpacing/>
        <w:rPr>
          <w:rFonts w:cs="Arial"/>
        </w:rPr>
      </w:pPr>
      <w:proofErr w:type="gramStart"/>
      <w:r w:rsidRPr="00EC5D15">
        <w:rPr>
          <w:rFonts w:cs="Arial"/>
        </w:rPr>
        <w:t>identifying</w:t>
      </w:r>
      <w:proofErr w:type="gramEnd"/>
      <w:r w:rsidRPr="00EC5D15">
        <w:rPr>
          <w:rFonts w:cs="Arial"/>
        </w:rPr>
        <w:t xml:space="preserve"> focus areas for further monitoring, evaluation and research. </w:t>
      </w:r>
    </w:p>
    <w:p w:rsidR="00596A71" w:rsidRDefault="00596A71" w:rsidP="00596A71">
      <w:pPr>
        <w:spacing w:before="0" w:after="0"/>
        <w:contextualSpacing/>
        <w:rPr>
          <w:rFonts w:cs="Arial"/>
        </w:rPr>
      </w:pPr>
    </w:p>
    <w:p w:rsidR="00596A71" w:rsidRPr="00C52D8E" w:rsidRDefault="00596A71" w:rsidP="00596A71">
      <w:pPr>
        <w:spacing w:before="0" w:after="0"/>
        <w:contextualSpacing/>
        <w:rPr>
          <w:rFonts w:cs="Arial"/>
        </w:rPr>
      </w:pPr>
      <w:r>
        <w:rPr>
          <w:rFonts w:cs="Arial"/>
        </w:rPr>
        <w:t>In particular recommendation 3 of the Report recommended that government a</w:t>
      </w:r>
      <w:r w:rsidRPr="00C52D8E">
        <w:rPr>
          <w:rFonts w:eastAsia="MS Mincho" w:cs="Arial"/>
        </w:rPr>
        <w:t>ddress gaps in the protection of rights within the current l</w:t>
      </w:r>
      <w:r>
        <w:rPr>
          <w:rFonts w:eastAsia="MS Mincho" w:cs="Arial"/>
        </w:rPr>
        <w:t>egislative and policy framework by:</w:t>
      </w:r>
      <w:r w:rsidRPr="00C52D8E">
        <w:t xml:space="preserve"> strengthening the ‘right to request’ provisions under s 65 of the </w:t>
      </w:r>
      <w:r w:rsidRPr="00C52D8E">
        <w:rPr>
          <w:i/>
        </w:rPr>
        <w:t>Fair Work Act 2009</w:t>
      </w:r>
      <w:r w:rsidRPr="00C52D8E">
        <w:t xml:space="preserve"> (</w:t>
      </w:r>
      <w:proofErr w:type="spellStart"/>
      <w:r w:rsidRPr="00C52D8E">
        <w:t>Cth</w:t>
      </w:r>
      <w:proofErr w:type="spellEnd"/>
      <w:r w:rsidRPr="00C52D8E">
        <w:t>) (FWA) by:</w:t>
      </w:r>
    </w:p>
    <w:p w:rsidR="00596A71" w:rsidRPr="00C52D8E" w:rsidRDefault="00596A71" w:rsidP="00596A71">
      <w:pPr>
        <w:pStyle w:val="ListParagraph"/>
        <w:numPr>
          <w:ilvl w:val="0"/>
          <w:numId w:val="32"/>
        </w:numPr>
        <w:autoSpaceDE w:val="0"/>
        <w:autoSpaceDN w:val="0"/>
        <w:adjustRightInd w:val="0"/>
        <w:rPr>
          <w:rFonts w:cs="Arial"/>
        </w:rPr>
      </w:pPr>
      <w:r w:rsidRPr="00C52D8E">
        <w:t>removing the qualification requirements in section 65(2)(a) of the FWA (</w:t>
      </w:r>
      <w:proofErr w:type="spellStart"/>
      <w:r w:rsidRPr="00C52D8E">
        <w:t>ie</w:t>
      </w:r>
      <w:proofErr w:type="spellEnd"/>
      <w:r w:rsidRPr="00C52D8E">
        <w:t xml:space="preserve"> the requirements for 12 months continuous service)</w:t>
      </w:r>
    </w:p>
    <w:p w:rsidR="00596A71" w:rsidRPr="00C52D8E" w:rsidRDefault="00596A71" w:rsidP="00596A71">
      <w:pPr>
        <w:pStyle w:val="ListParagraph"/>
        <w:numPr>
          <w:ilvl w:val="0"/>
          <w:numId w:val="32"/>
        </w:numPr>
        <w:autoSpaceDE w:val="0"/>
        <w:autoSpaceDN w:val="0"/>
        <w:adjustRightInd w:val="0"/>
        <w:rPr>
          <w:rFonts w:cs="Arial"/>
        </w:rPr>
      </w:pPr>
      <w:r w:rsidRPr="00C52D8E">
        <w:t>introducing a positive duty on employers to reasonably accommodate a request for flexible working arrangements</w:t>
      </w:r>
    </w:p>
    <w:p w:rsidR="00596A71" w:rsidRPr="00C52D8E" w:rsidRDefault="00596A71" w:rsidP="00596A71">
      <w:pPr>
        <w:pStyle w:val="ListParagraph"/>
        <w:numPr>
          <w:ilvl w:val="0"/>
          <w:numId w:val="32"/>
        </w:numPr>
        <w:autoSpaceDE w:val="0"/>
        <w:autoSpaceDN w:val="0"/>
        <w:adjustRightInd w:val="0"/>
        <w:rPr>
          <w:rFonts w:cs="Arial"/>
        </w:rPr>
      </w:pPr>
      <w:r w:rsidRPr="00C52D8E">
        <w:rPr>
          <w:color w:val="000000"/>
        </w:rPr>
        <w:t>establishing a procedural appeals process through the Fair Work Commission for decisions related to the right to request flexible working arrangements to ensure processes set out in the FWA have been complied with.</w:t>
      </w:r>
      <w:r w:rsidRPr="00C52D8E">
        <w:rPr>
          <w:rFonts w:cs="Arial"/>
          <w:color w:val="000000"/>
        </w:rPr>
        <w:t xml:space="preserve"> </w:t>
      </w:r>
    </w:p>
    <w:p w:rsidR="00596A71" w:rsidRDefault="00596A71" w:rsidP="00596A71">
      <w:pPr>
        <w:pStyle w:val="ListParagraph"/>
        <w:numPr>
          <w:ilvl w:val="0"/>
          <w:numId w:val="32"/>
        </w:numPr>
        <w:autoSpaceDE w:val="0"/>
        <w:autoSpaceDN w:val="0"/>
        <w:adjustRightInd w:val="0"/>
        <w:rPr>
          <w:rFonts w:cs="Arial"/>
        </w:rPr>
      </w:pPr>
      <w:r w:rsidRPr="00C52D8E">
        <w:rPr>
          <w:rFonts w:cs="Arial"/>
        </w:rPr>
        <w:t>clarifying the provisions under the National Employment Standards of FWA to:</w:t>
      </w:r>
    </w:p>
    <w:p w:rsidR="00596A71" w:rsidRDefault="00596A71" w:rsidP="00596A71">
      <w:pPr>
        <w:pStyle w:val="ListParagraph"/>
        <w:numPr>
          <w:ilvl w:val="1"/>
          <w:numId w:val="32"/>
        </w:numPr>
        <w:autoSpaceDE w:val="0"/>
        <w:autoSpaceDN w:val="0"/>
        <w:adjustRightInd w:val="0"/>
        <w:rPr>
          <w:rFonts w:cs="Arial"/>
        </w:rPr>
      </w:pPr>
      <w:r w:rsidRPr="00C52D8E">
        <w:rPr>
          <w:rFonts w:cs="Arial"/>
        </w:rPr>
        <w:t xml:space="preserve">allow employees to use existing personal/carer leave entitlements under s97 of the FWA to attend prenatal appointments (including IVF) </w:t>
      </w:r>
    </w:p>
    <w:p w:rsidR="00596A71" w:rsidRDefault="00596A71" w:rsidP="00596A71">
      <w:pPr>
        <w:pStyle w:val="ListParagraph"/>
        <w:numPr>
          <w:ilvl w:val="1"/>
          <w:numId w:val="32"/>
        </w:numPr>
        <w:autoSpaceDE w:val="0"/>
        <w:autoSpaceDN w:val="0"/>
        <w:adjustRightInd w:val="0"/>
        <w:rPr>
          <w:rFonts w:cs="Arial"/>
        </w:rPr>
      </w:pPr>
      <w:proofErr w:type="gramStart"/>
      <w:r w:rsidRPr="00C52D8E">
        <w:rPr>
          <w:rFonts w:cs="Arial"/>
        </w:rPr>
        <w:t>allow</w:t>
      </w:r>
      <w:proofErr w:type="gramEnd"/>
      <w:r w:rsidRPr="00C52D8E">
        <w:rPr>
          <w:rFonts w:cs="Arial"/>
        </w:rPr>
        <w:t xml:space="preserve"> employee breaks from work for the purposes of breastfeeding or expressing.</w:t>
      </w:r>
    </w:p>
    <w:p w:rsidR="00596A71" w:rsidRDefault="00596A71" w:rsidP="00596A71">
      <w:pPr>
        <w:pStyle w:val="ListParagraph"/>
        <w:autoSpaceDE w:val="0"/>
        <w:autoSpaceDN w:val="0"/>
        <w:adjustRightInd w:val="0"/>
        <w:ind w:left="0"/>
        <w:rPr>
          <w:rFonts w:cs="Arial"/>
        </w:rPr>
      </w:pPr>
    </w:p>
    <w:p w:rsidR="00596A71" w:rsidRPr="00853F57" w:rsidRDefault="00596A71" w:rsidP="00596A71">
      <w:pPr>
        <w:pStyle w:val="ListParagraph"/>
        <w:autoSpaceDE w:val="0"/>
        <w:autoSpaceDN w:val="0"/>
        <w:adjustRightInd w:val="0"/>
        <w:ind w:left="0"/>
        <w:rPr>
          <w:rFonts w:cs="Arial"/>
        </w:rPr>
      </w:pPr>
      <w:r>
        <w:rPr>
          <w:rFonts w:cs="Arial"/>
        </w:rPr>
        <w:lastRenderedPageBreak/>
        <w:t xml:space="preserve">The report is available at: </w:t>
      </w:r>
      <w:hyperlink r:id="rId14" w:history="1">
        <w:r w:rsidRPr="00C51C48">
          <w:rPr>
            <w:rStyle w:val="Hyperlink"/>
            <w:rFonts w:cs="Arial"/>
          </w:rPr>
          <w:t>https://www.humanrights.gov.au/our-work/sex-discrimination/projects/supporting-working-parents-pregnancy-and-return-work-national</w:t>
        </w:r>
      </w:hyperlink>
      <w:r w:rsidRPr="00EA6758">
        <w:rPr>
          <w:rFonts w:cs="Arial"/>
        </w:rPr>
        <w:t xml:space="preserve">. </w:t>
      </w:r>
    </w:p>
    <w:p w:rsidR="00596A71" w:rsidRDefault="00596A71" w:rsidP="00596A71">
      <w:pPr>
        <w:numPr>
          <w:ilvl w:val="0"/>
          <w:numId w:val="31"/>
        </w:numPr>
        <w:spacing w:after="0"/>
        <w:rPr>
          <w:rFonts w:eastAsia="Calibri" w:cs="Arial"/>
          <w:i/>
          <w:lang w:eastAsia="en-US"/>
        </w:rPr>
      </w:pPr>
      <w:r>
        <w:rPr>
          <w:rFonts w:eastAsia="Calibri" w:cs="Arial"/>
          <w:i/>
          <w:lang w:eastAsia="en-US"/>
        </w:rPr>
        <w:t>Investing in Care: Recognising and valuing those who care</w:t>
      </w:r>
    </w:p>
    <w:p w:rsidR="00596A71" w:rsidRDefault="00596A71" w:rsidP="00596A71">
      <w:pPr>
        <w:spacing w:after="0"/>
        <w:rPr>
          <w:rFonts w:cs="Arial"/>
          <w:bCs/>
        </w:rPr>
      </w:pPr>
      <w:r w:rsidRPr="00620E3D">
        <w:rPr>
          <w:rFonts w:cs="Arial"/>
        </w:rPr>
        <w:t xml:space="preserve">The Commission’s 2014 report </w:t>
      </w:r>
      <w:proofErr w:type="gramStart"/>
      <w:r w:rsidRPr="00620E3D">
        <w:rPr>
          <w:rFonts w:cs="Arial"/>
        </w:rPr>
        <w:t>Investing</w:t>
      </w:r>
      <w:proofErr w:type="gramEnd"/>
      <w:r w:rsidRPr="00620E3D">
        <w:rPr>
          <w:rFonts w:cs="Arial"/>
        </w:rPr>
        <w:t xml:space="preserve"> in Care identified and examined 11 reform options for recognising and valuing unpaid caring work.  </w:t>
      </w:r>
      <w:r w:rsidRPr="00620E3D">
        <w:rPr>
          <w:rFonts w:cs="Arial"/>
          <w:bCs/>
        </w:rPr>
        <w:t xml:space="preserve">The Commission identified the following changes to employment laws and regulations as possible options for reform. </w:t>
      </w:r>
    </w:p>
    <w:p w:rsidR="00596A71" w:rsidRPr="000E3E88" w:rsidRDefault="00596A71" w:rsidP="00596A71">
      <w:pPr>
        <w:spacing w:after="0"/>
        <w:ind w:left="720"/>
        <w:rPr>
          <w:rFonts w:cs="Arial"/>
          <w:b/>
          <w:bCs/>
        </w:rPr>
      </w:pPr>
      <w:r w:rsidRPr="000E3E88">
        <w:rPr>
          <w:rFonts w:cs="Arial"/>
          <w:b/>
          <w:bCs/>
        </w:rPr>
        <w:t>Option for reform 3: Fair Work Act 2009</w:t>
      </w:r>
    </w:p>
    <w:p w:rsidR="00596A71" w:rsidRPr="000E3E88" w:rsidRDefault="00596A71" w:rsidP="00596A71">
      <w:pPr>
        <w:spacing w:after="0"/>
        <w:ind w:left="720"/>
        <w:rPr>
          <w:rFonts w:cs="Arial"/>
          <w:bCs/>
        </w:rPr>
      </w:pPr>
      <w:r w:rsidRPr="000E3E88">
        <w:rPr>
          <w:rFonts w:cs="Arial"/>
          <w:bCs/>
        </w:rPr>
        <w:t>Amend the Fair Work Act 2009 (</w:t>
      </w:r>
      <w:proofErr w:type="spellStart"/>
      <w:r w:rsidRPr="000E3E88">
        <w:rPr>
          <w:rFonts w:cs="Arial"/>
          <w:bCs/>
        </w:rPr>
        <w:t>Cth</w:t>
      </w:r>
      <w:proofErr w:type="spellEnd"/>
      <w:r w:rsidRPr="000E3E88">
        <w:rPr>
          <w:rFonts w:cs="Arial"/>
          <w:bCs/>
        </w:rPr>
        <w:t xml:space="preserve">) to: </w:t>
      </w:r>
    </w:p>
    <w:p w:rsidR="00596A71" w:rsidRPr="000E3E88" w:rsidRDefault="00596A71" w:rsidP="00596A71">
      <w:pPr>
        <w:numPr>
          <w:ilvl w:val="0"/>
          <w:numId w:val="33"/>
        </w:numPr>
        <w:spacing w:before="0" w:after="0"/>
        <w:ind w:left="1440"/>
        <w:rPr>
          <w:rFonts w:cs="Arial"/>
          <w:bCs/>
        </w:rPr>
      </w:pPr>
      <w:r w:rsidRPr="000E3E88">
        <w:rPr>
          <w:rFonts w:cs="Arial"/>
          <w:bCs/>
        </w:rPr>
        <w:t>Extend the right to request flexible work arrangements to include parents of children of all ages and to encompass all forms of family and carer responsibilities such as disability and elder care;</w:t>
      </w:r>
    </w:p>
    <w:p w:rsidR="00596A71" w:rsidRPr="000E3E88" w:rsidRDefault="00596A71" w:rsidP="00596A71">
      <w:pPr>
        <w:numPr>
          <w:ilvl w:val="0"/>
          <w:numId w:val="33"/>
        </w:numPr>
        <w:spacing w:before="0" w:after="0"/>
        <w:ind w:left="1440"/>
        <w:rPr>
          <w:rFonts w:cs="Arial"/>
          <w:bCs/>
        </w:rPr>
      </w:pPr>
      <w:r w:rsidRPr="000E3E88">
        <w:rPr>
          <w:rFonts w:cs="Arial"/>
          <w:bCs/>
        </w:rPr>
        <w:t>Remove the qualification requirements that restrict the categories of employees who can make a request for flexible working arrangements;</w:t>
      </w:r>
    </w:p>
    <w:p w:rsidR="00596A71" w:rsidRPr="000E3E88" w:rsidRDefault="00596A71" w:rsidP="00596A71">
      <w:pPr>
        <w:numPr>
          <w:ilvl w:val="0"/>
          <w:numId w:val="33"/>
        </w:numPr>
        <w:spacing w:before="0" w:after="0"/>
        <w:ind w:left="1440"/>
        <w:rPr>
          <w:rFonts w:cs="Arial"/>
          <w:bCs/>
        </w:rPr>
      </w:pPr>
      <w:r w:rsidRPr="000E3E88">
        <w:rPr>
          <w:rFonts w:cs="Arial"/>
          <w:bCs/>
        </w:rPr>
        <w:t>Place a duty on employers to reasonably accommodate a request for flexible working arrangements;</w:t>
      </w:r>
    </w:p>
    <w:p w:rsidR="00596A71" w:rsidRPr="008B0686" w:rsidRDefault="00596A71" w:rsidP="00596A71">
      <w:pPr>
        <w:numPr>
          <w:ilvl w:val="0"/>
          <w:numId w:val="33"/>
        </w:numPr>
        <w:spacing w:before="0" w:after="0"/>
        <w:ind w:left="1440"/>
        <w:rPr>
          <w:rFonts w:cs="Arial"/>
          <w:bCs/>
        </w:rPr>
      </w:pPr>
      <w:r w:rsidRPr="000E3E88">
        <w:rPr>
          <w:rFonts w:cs="Arial"/>
          <w:bCs/>
        </w:rPr>
        <w:t>Establish a procedural appeals process through Fair Work Australia for right to request flexible work decisions.</w:t>
      </w:r>
    </w:p>
    <w:p w:rsidR="00596A71" w:rsidRPr="000E3E88" w:rsidRDefault="00596A71" w:rsidP="00596A71">
      <w:pPr>
        <w:spacing w:after="0"/>
        <w:ind w:left="720"/>
        <w:rPr>
          <w:rFonts w:cs="Arial"/>
          <w:b/>
          <w:bCs/>
        </w:rPr>
      </w:pPr>
      <w:r>
        <w:rPr>
          <w:rFonts w:cs="Arial"/>
          <w:b/>
          <w:bCs/>
        </w:rPr>
        <w:t xml:space="preserve">Option for reform 4: </w:t>
      </w:r>
      <w:r w:rsidRPr="000E3E88">
        <w:rPr>
          <w:rFonts w:cs="Arial"/>
          <w:b/>
          <w:bCs/>
        </w:rPr>
        <w:t>Carer’s leave</w:t>
      </w:r>
    </w:p>
    <w:p w:rsidR="00596A71" w:rsidRPr="000E3E88" w:rsidRDefault="00596A71" w:rsidP="00596A71">
      <w:pPr>
        <w:spacing w:after="0"/>
        <w:ind w:left="720"/>
        <w:rPr>
          <w:rFonts w:cs="Arial"/>
          <w:bCs/>
        </w:rPr>
      </w:pPr>
      <w:r w:rsidRPr="000E3E88">
        <w:rPr>
          <w:rFonts w:cs="Arial"/>
          <w:bCs/>
        </w:rPr>
        <w:t>Amend the National Employment Standards to:</w:t>
      </w:r>
    </w:p>
    <w:p w:rsidR="00596A71" w:rsidRPr="000E3E88" w:rsidRDefault="00596A71" w:rsidP="00596A71">
      <w:pPr>
        <w:numPr>
          <w:ilvl w:val="0"/>
          <w:numId w:val="34"/>
        </w:numPr>
        <w:spacing w:before="0" w:after="0"/>
        <w:ind w:left="1440"/>
        <w:rPr>
          <w:rFonts w:cs="Arial"/>
          <w:bCs/>
        </w:rPr>
      </w:pPr>
      <w:r w:rsidRPr="000E3E88">
        <w:rPr>
          <w:rFonts w:cs="Arial"/>
          <w:bCs/>
        </w:rPr>
        <w:t>Provide for additional carer’s leave, separate from personal leave, specifically for carer responsibilities only;</w:t>
      </w:r>
    </w:p>
    <w:p w:rsidR="00596A71" w:rsidRPr="000E3E88" w:rsidRDefault="00596A71" w:rsidP="00596A71">
      <w:pPr>
        <w:numPr>
          <w:ilvl w:val="0"/>
          <w:numId w:val="34"/>
        </w:numPr>
        <w:spacing w:before="0" w:after="0"/>
        <w:ind w:left="1440"/>
        <w:rPr>
          <w:rFonts w:cs="Arial"/>
          <w:bCs/>
        </w:rPr>
      </w:pPr>
      <w:r w:rsidRPr="000E3E88">
        <w:rPr>
          <w:rFonts w:cs="Arial"/>
          <w:bCs/>
        </w:rPr>
        <w:t>Extend eligibility of access to carer’s leave to cover all employees;</w:t>
      </w:r>
    </w:p>
    <w:p w:rsidR="00596A71" w:rsidRPr="000E3E88" w:rsidRDefault="00596A71" w:rsidP="00596A71">
      <w:pPr>
        <w:numPr>
          <w:ilvl w:val="0"/>
          <w:numId w:val="34"/>
        </w:numPr>
        <w:spacing w:before="0" w:after="0"/>
        <w:ind w:left="1440"/>
        <w:rPr>
          <w:rFonts w:cs="Arial"/>
          <w:bCs/>
        </w:rPr>
      </w:pPr>
      <w:r w:rsidRPr="000E3E88">
        <w:rPr>
          <w:rFonts w:cs="Arial"/>
          <w:bCs/>
        </w:rPr>
        <w:t>Provide for job-protected unpaid leave for palliative care;</w:t>
      </w:r>
    </w:p>
    <w:p w:rsidR="00596A71" w:rsidRDefault="00596A71" w:rsidP="00596A71">
      <w:pPr>
        <w:numPr>
          <w:ilvl w:val="0"/>
          <w:numId w:val="34"/>
        </w:numPr>
        <w:spacing w:before="0" w:after="0"/>
        <w:ind w:left="1440"/>
        <w:rPr>
          <w:rFonts w:cs="Arial"/>
          <w:bCs/>
        </w:rPr>
      </w:pPr>
      <w:r w:rsidRPr="000E3E88">
        <w:rPr>
          <w:rFonts w:cs="Arial"/>
          <w:bCs/>
        </w:rPr>
        <w:t>Extend the definition of caring responsibilities in carer’s leave to include kinship relationships.</w:t>
      </w:r>
    </w:p>
    <w:p w:rsidR="00596A71" w:rsidRDefault="00596A71" w:rsidP="00596A71">
      <w:pPr>
        <w:rPr>
          <w:rStyle w:val="Hyperlink"/>
          <w:rFonts w:cs="Arial"/>
          <w:color w:val="auto"/>
          <w:u w:val="none"/>
        </w:rPr>
      </w:pPr>
      <w:r>
        <w:rPr>
          <w:rFonts w:cs="Arial"/>
        </w:rPr>
        <w:t xml:space="preserve">The report is available at: </w:t>
      </w:r>
      <w:hyperlink r:id="rId15" w:history="1">
        <w:r w:rsidRPr="00C51C48">
          <w:rPr>
            <w:rStyle w:val="Hyperlink"/>
            <w:rFonts w:cs="Arial"/>
          </w:rPr>
          <w:t>https://www.humanrights.gov.au/our-work/sex-discrimination/projects/investing-care-recognising-and-valuing-those-who-care</w:t>
        </w:r>
      </w:hyperlink>
      <w:r w:rsidRPr="00C51C48">
        <w:rPr>
          <w:rStyle w:val="Hyperlink"/>
          <w:rFonts w:cs="Arial"/>
          <w:color w:val="auto"/>
          <w:u w:val="none"/>
        </w:rPr>
        <w:t>.</w:t>
      </w:r>
    </w:p>
    <w:p w:rsidR="00CE2D63" w:rsidRPr="009F7239" w:rsidRDefault="00765D27" w:rsidP="00596A71">
      <w:pPr>
        <w:rPr>
          <w:rStyle w:val="Hyperlink"/>
          <w:rFonts w:cs="Arial"/>
          <w:color w:val="auto"/>
          <w:u w:val="none"/>
        </w:rPr>
      </w:pPr>
      <w:r>
        <w:rPr>
          <w:rStyle w:val="Hyperlink"/>
          <w:rFonts w:cs="Arial"/>
          <w:color w:val="auto"/>
          <w:u w:val="none"/>
        </w:rPr>
        <w:t xml:space="preserve">The Commission </w:t>
      </w:r>
      <w:r w:rsidR="006C53AB">
        <w:rPr>
          <w:rStyle w:val="Hyperlink"/>
          <w:rFonts w:cs="Arial"/>
          <w:color w:val="auto"/>
          <w:u w:val="none"/>
        </w:rPr>
        <w:t xml:space="preserve">further notes the </w:t>
      </w:r>
      <w:r w:rsidR="00E87CD7">
        <w:rPr>
          <w:rStyle w:val="Hyperlink"/>
          <w:rFonts w:cs="Arial"/>
          <w:color w:val="auto"/>
          <w:u w:val="none"/>
        </w:rPr>
        <w:t xml:space="preserve">2013 report of the </w:t>
      </w:r>
      <w:r w:rsidR="006C53AB">
        <w:rPr>
          <w:rStyle w:val="Hyperlink"/>
          <w:rFonts w:cs="Arial"/>
          <w:color w:val="auto"/>
          <w:u w:val="none"/>
        </w:rPr>
        <w:t>Au</w:t>
      </w:r>
      <w:r w:rsidR="00E87CD7">
        <w:rPr>
          <w:rStyle w:val="Hyperlink"/>
          <w:rFonts w:cs="Arial"/>
          <w:color w:val="auto"/>
          <w:u w:val="none"/>
        </w:rPr>
        <w:t>stralian Law Reform Commission’s review into Commonwealth legal barriers to older persons participating in the workforce or other productive work</w:t>
      </w:r>
      <w:r w:rsidR="007E3598">
        <w:rPr>
          <w:rStyle w:val="Hyperlink"/>
          <w:rFonts w:cs="Arial"/>
          <w:color w:val="auto"/>
          <w:u w:val="none"/>
        </w:rPr>
        <w:t>:</w:t>
      </w:r>
      <w:r w:rsidR="00E87CD7">
        <w:rPr>
          <w:rStyle w:val="Hyperlink"/>
          <w:rFonts w:cs="Arial"/>
          <w:color w:val="auto"/>
          <w:u w:val="none"/>
        </w:rPr>
        <w:t xml:space="preserve"> </w:t>
      </w:r>
      <w:r w:rsidR="006C53AB" w:rsidRPr="00E87CD7">
        <w:rPr>
          <w:rStyle w:val="Hyperlink"/>
          <w:rFonts w:cs="Arial"/>
          <w:i/>
          <w:color w:val="auto"/>
          <w:u w:val="none"/>
        </w:rPr>
        <w:t>Access All Ages – Older Workers and Commonwealth laws</w:t>
      </w:r>
      <w:r w:rsidR="00A07E44">
        <w:rPr>
          <w:rStyle w:val="Hyperlink"/>
          <w:rFonts w:cs="Arial"/>
          <w:color w:val="auto"/>
          <w:u w:val="none"/>
        </w:rPr>
        <w:t xml:space="preserve">. </w:t>
      </w:r>
      <w:r w:rsidR="00E87CD7">
        <w:rPr>
          <w:rStyle w:val="Hyperlink"/>
          <w:rFonts w:cs="Arial"/>
          <w:color w:val="auto"/>
          <w:u w:val="none"/>
        </w:rPr>
        <w:t xml:space="preserve">Age Discrimination Commissioner the Hon Susan Ryan AO </w:t>
      </w:r>
      <w:r w:rsidR="00223B88">
        <w:rPr>
          <w:rStyle w:val="Hyperlink"/>
          <w:rFonts w:cs="Arial"/>
          <w:color w:val="auto"/>
          <w:u w:val="none"/>
        </w:rPr>
        <w:t>acted</w:t>
      </w:r>
      <w:r w:rsidR="00E87CD7">
        <w:rPr>
          <w:rStyle w:val="Hyperlink"/>
          <w:rFonts w:cs="Arial"/>
          <w:color w:val="auto"/>
          <w:u w:val="none"/>
        </w:rPr>
        <w:t xml:space="preserve"> a</w:t>
      </w:r>
      <w:r w:rsidR="00223B88">
        <w:rPr>
          <w:rStyle w:val="Hyperlink"/>
          <w:rFonts w:cs="Arial"/>
          <w:color w:val="auto"/>
          <w:u w:val="none"/>
        </w:rPr>
        <w:t>s a</w:t>
      </w:r>
      <w:r w:rsidR="00E87CD7">
        <w:rPr>
          <w:rStyle w:val="Hyperlink"/>
          <w:rFonts w:cs="Arial"/>
          <w:color w:val="auto"/>
          <w:u w:val="none"/>
        </w:rPr>
        <w:t xml:space="preserve"> Part-time</w:t>
      </w:r>
      <w:r w:rsidR="007E3598">
        <w:rPr>
          <w:rStyle w:val="Hyperlink"/>
          <w:rFonts w:cs="Arial"/>
          <w:color w:val="auto"/>
          <w:u w:val="none"/>
        </w:rPr>
        <w:t xml:space="preserve"> Commissioner </w:t>
      </w:r>
      <w:r w:rsidR="00B8733C">
        <w:rPr>
          <w:rStyle w:val="Hyperlink"/>
          <w:rFonts w:cs="Arial"/>
          <w:color w:val="auto"/>
          <w:u w:val="none"/>
        </w:rPr>
        <w:t>on</w:t>
      </w:r>
      <w:r w:rsidR="00E87CD7">
        <w:rPr>
          <w:rStyle w:val="Hyperlink"/>
          <w:rFonts w:cs="Arial"/>
          <w:color w:val="auto"/>
          <w:u w:val="none"/>
        </w:rPr>
        <w:t xml:space="preserve"> </w:t>
      </w:r>
      <w:r w:rsidR="00CE2D63">
        <w:rPr>
          <w:rStyle w:val="Hyperlink"/>
          <w:rFonts w:cs="Arial"/>
          <w:color w:val="auto"/>
          <w:u w:val="none"/>
        </w:rPr>
        <w:t>t</w:t>
      </w:r>
      <w:r w:rsidR="00226DD4">
        <w:rPr>
          <w:rStyle w:val="Hyperlink"/>
          <w:rFonts w:cs="Arial"/>
          <w:color w:val="auto"/>
          <w:u w:val="none"/>
        </w:rPr>
        <w:t>his</w:t>
      </w:r>
      <w:r w:rsidR="00E87CD7">
        <w:rPr>
          <w:rStyle w:val="Hyperlink"/>
          <w:rFonts w:cs="Arial"/>
          <w:color w:val="auto"/>
          <w:u w:val="none"/>
        </w:rPr>
        <w:t xml:space="preserve"> Inquiry.</w:t>
      </w:r>
      <w:r w:rsidR="00FB3D95">
        <w:rPr>
          <w:rStyle w:val="Hyperlink"/>
          <w:rFonts w:cs="Arial"/>
          <w:color w:val="auto"/>
          <w:u w:val="none"/>
        </w:rPr>
        <w:t xml:space="preserve"> Chapter 4 of the report </w:t>
      </w:r>
      <w:r w:rsidR="00AB5E78">
        <w:rPr>
          <w:rStyle w:val="Hyperlink"/>
          <w:rFonts w:cs="Arial"/>
          <w:color w:val="auto"/>
          <w:u w:val="none"/>
        </w:rPr>
        <w:t>includes</w:t>
      </w:r>
      <w:r w:rsidR="00FB3D95">
        <w:rPr>
          <w:rStyle w:val="Hyperlink"/>
          <w:rFonts w:cs="Arial"/>
          <w:color w:val="auto"/>
          <w:u w:val="none"/>
        </w:rPr>
        <w:t xml:space="preserve"> comment and recommendations related to the </w:t>
      </w:r>
      <w:r w:rsidR="009F7239">
        <w:rPr>
          <w:rStyle w:val="Hyperlink"/>
          <w:rFonts w:cs="Arial"/>
          <w:color w:val="auto"/>
          <w:u w:val="none"/>
        </w:rPr>
        <w:t>employment relations framework.</w:t>
      </w:r>
    </w:p>
    <w:p w:rsidR="007E3598" w:rsidRPr="006C53AB" w:rsidRDefault="007E3598" w:rsidP="00596A71">
      <w:r>
        <w:rPr>
          <w:rStyle w:val="Hyperlink"/>
          <w:rFonts w:cs="Arial"/>
          <w:color w:val="auto"/>
          <w:u w:val="none"/>
        </w:rPr>
        <w:t xml:space="preserve">The report is available at: </w:t>
      </w:r>
      <w:hyperlink r:id="rId16" w:history="1">
        <w:r w:rsidRPr="00680FB5">
          <w:rPr>
            <w:rStyle w:val="Hyperlink"/>
            <w:rFonts w:cs="Arial"/>
          </w:rPr>
          <w:t>http://www.alrc.gov.au/publications/access-all-ages-report120</w:t>
        </w:r>
      </w:hyperlink>
      <w:r>
        <w:rPr>
          <w:rStyle w:val="Hyperlink"/>
          <w:rFonts w:cs="Arial"/>
          <w:color w:val="auto"/>
          <w:u w:val="none"/>
        </w:rPr>
        <w:t>.</w:t>
      </w:r>
    </w:p>
    <w:p w:rsidR="00596A71" w:rsidRPr="000B546F" w:rsidRDefault="00596A71" w:rsidP="00596A71">
      <w:pPr>
        <w:pStyle w:val="Default"/>
        <w:rPr>
          <w:rFonts w:ascii="Arial" w:hAnsi="Arial" w:cs="Arial"/>
        </w:rPr>
      </w:pPr>
      <w:r w:rsidRPr="000B546F">
        <w:rPr>
          <w:rFonts w:ascii="Arial" w:hAnsi="Arial" w:cs="Arial"/>
        </w:rPr>
        <w:t>The Commission has also produced a range of resource materials, toolkits and guides for employers on how to flexibly manage and engage with their employees, particularly in relation to pregnancy, parental leave return to work after parental leave and supporting employees</w:t>
      </w:r>
      <w:r>
        <w:rPr>
          <w:rFonts w:ascii="Arial" w:hAnsi="Arial" w:cs="Arial"/>
        </w:rPr>
        <w:t>’</w:t>
      </w:r>
      <w:r w:rsidRPr="000B546F">
        <w:rPr>
          <w:rFonts w:ascii="Arial" w:hAnsi="Arial" w:cs="Arial"/>
        </w:rPr>
        <w:t xml:space="preserve"> unpaid caring responsibilities for children, family </w:t>
      </w:r>
      <w:r w:rsidRPr="000B546F">
        <w:rPr>
          <w:rFonts w:ascii="Arial" w:hAnsi="Arial" w:cs="Arial"/>
        </w:rPr>
        <w:lastRenderedPageBreak/>
        <w:t>members or friends with disability, chronic illness or frailty due to older age. These resources include:</w:t>
      </w:r>
    </w:p>
    <w:p w:rsidR="00596A71" w:rsidRPr="000B546F" w:rsidRDefault="00596A71" w:rsidP="00596A71">
      <w:pPr>
        <w:pStyle w:val="Default"/>
        <w:rPr>
          <w:rFonts w:ascii="Arial" w:hAnsi="Arial" w:cs="Arial"/>
        </w:rPr>
      </w:pPr>
    </w:p>
    <w:p w:rsidR="00596A71" w:rsidRPr="00464253" w:rsidRDefault="00596A71" w:rsidP="00596A71">
      <w:pPr>
        <w:pStyle w:val="Default"/>
        <w:numPr>
          <w:ilvl w:val="0"/>
          <w:numId w:val="35"/>
        </w:numPr>
        <w:rPr>
          <w:rFonts w:ascii="Arial" w:hAnsi="Arial" w:cs="Arial"/>
        </w:rPr>
      </w:pPr>
      <w:r>
        <w:rPr>
          <w:rFonts w:ascii="Arial" w:hAnsi="Arial" w:cs="Arial"/>
          <w:i/>
        </w:rPr>
        <w:t>Good Practice, Good Business</w:t>
      </w:r>
      <w:r>
        <w:rPr>
          <w:rFonts w:ascii="Arial" w:hAnsi="Arial" w:cs="Arial"/>
          <w:i/>
        </w:rPr>
        <w:br/>
      </w:r>
      <w:r>
        <w:rPr>
          <w:rFonts w:ascii="Arial" w:hAnsi="Arial" w:cs="Arial"/>
        </w:rPr>
        <w:t>(</w:t>
      </w:r>
      <w:hyperlink r:id="rId17" w:history="1">
        <w:r w:rsidRPr="00BC15E6">
          <w:rPr>
            <w:rStyle w:val="Hyperlink"/>
            <w:rFonts w:ascii="Arial" w:hAnsi="Arial" w:cs="Arial"/>
          </w:rPr>
          <w:t>https://www.humanrights.gov.au/employers/good-practice-good-business-factsheets</w:t>
        </w:r>
      </w:hyperlink>
      <w:r>
        <w:rPr>
          <w:rFonts w:ascii="Arial" w:hAnsi="Arial" w:cs="Arial"/>
        </w:rPr>
        <w:t>)</w:t>
      </w:r>
    </w:p>
    <w:p w:rsidR="00596A71" w:rsidRPr="000B546F" w:rsidRDefault="00596A71" w:rsidP="00596A71">
      <w:pPr>
        <w:pStyle w:val="Default"/>
        <w:numPr>
          <w:ilvl w:val="0"/>
          <w:numId w:val="35"/>
        </w:numPr>
        <w:rPr>
          <w:rFonts w:ascii="Arial" w:hAnsi="Arial" w:cs="Arial"/>
        </w:rPr>
      </w:pPr>
      <w:r w:rsidRPr="000B546F">
        <w:rPr>
          <w:rFonts w:ascii="Arial" w:hAnsi="Arial" w:cs="Arial"/>
          <w:i/>
        </w:rPr>
        <w:t>Supporting carers in the workplace: A toolkit</w:t>
      </w:r>
      <w:r w:rsidRPr="000B546F">
        <w:rPr>
          <w:rFonts w:ascii="Arial" w:hAnsi="Arial" w:cs="Arial"/>
        </w:rPr>
        <w:t xml:space="preserve"> (</w:t>
      </w:r>
      <w:hyperlink r:id="rId18" w:history="1">
        <w:r w:rsidRPr="000B546F">
          <w:rPr>
            <w:rStyle w:val="Hyperlink"/>
            <w:rFonts w:ascii="Arial" w:hAnsi="Arial" w:cs="Arial"/>
          </w:rPr>
          <w:t>https://www.humanrights.gov.au/sites/default/files/UnpaidCaringToolkit_2013.pdf</w:t>
        </w:r>
      </w:hyperlink>
      <w:r w:rsidRPr="000B546F">
        <w:rPr>
          <w:rFonts w:ascii="Arial" w:hAnsi="Arial" w:cs="Arial"/>
        </w:rPr>
        <w:t>)</w:t>
      </w:r>
    </w:p>
    <w:p w:rsidR="00596A71" w:rsidRPr="000B546F" w:rsidRDefault="00596A71" w:rsidP="00596A71">
      <w:pPr>
        <w:pStyle w:val="Default"/>
        <w:numPr>
          <w:ilvl w:val="0"/>
          <w:numId w:val="35"/>
        </w:numPr>
        <w:rPr>
          <w:rFonts w:ascii="Arial" w:hAnsi="Arial" w:cs="Arial"/>
        </w:rPr>
      </w:pPr>
      <w:r w:rsidRPr="000B546F">
        <w:rPr>
          <w:rFonts w:ascii="Arial" w:hAnsi="Arial" w:cs="Arial"/>
          <w:i/>
          <w:lang w:val="en"/>
        </w:rPr>
        <w:t>Women in male-dominated industries: A toolkit of strategies</w:t>
      </w:r>
      <w:r w:rsidRPr="000B546F">
        <w:rPr>
          <w:rFonts w:ascii="Arial" w:hAnsi="Arial" w:cs="Arial"/>
          <w:lang w:val="en"/>
        </w:rPr>
        <w:t xml:space="preserve"> (</w:t>
      </w:r>
      <w:hyperlink r:id="rId19" w:history="1">
        <w:r w:rsidRPr="000B546F">
          <w:rPr>
            <w:rStyle w:val="Hyperlink"/>
            <w:rFonts w:ascii="Arial" w:hAnsi="Arial" w:cs="Arial"/>
            <w:lang w:val="en"/>
          </w:rPr>
          <w:t>https://www.humanrights.gov.au/our-work/sex-discrimination/projects/women-male-dominated-industries-toolkit-strategies</w:t>
        </w:r>
      </w:hyperlink>
      <w:r w:rsidRPr="000B546F">
        <w:rPr>
          <w:rFonts w:ascii="Arial" w:hAnsi="Arial" w:cs="Arial"/>
          <w:lang w:val="en"/>
        </w:rPr>
        <w:t>)</w:t>
      </w:r>
    </w:p>
    <w:p w:rsidR="00596A71" w:rsidRPr="0000067A" w:rsidRDefault="00596A71" w:rsidP="00596A71">
      <w:pPr>
        <w:pStyle w:val="Default"/>
        <w:numPr>
          <w:ilvl w:val="0"/>
          <w:numId w:val="35"/>
        </w:numPr>
        <w:rPr>
          <w:rFonts w:ascii="Arial" w:hAnsi="Arial" w:cs="Arial"/>
        </w:rPr>
      </w:pPr>
      <w:r w:rsidRPr="00313D65">
        <w:rPr>
          <w:rFonts w:ascii="Arial" w:hAnsi="Arial" w:cs="Arial"/>
          <w:i/>
          <w:lang w:val="en"/>
        </w:rPr>
        <w:t xml:space="preserve">Report on the Review into the Treatment of Women at the Australian </w:t>
      </w:r>
      <w:proofErr w:type="spellStart"/>
      <w:r w:rsidRPr="00313D65">
        <w:rPr>
          <w:rFonts w:ascii="Arial" w:hAnsi="Arial" w:cs="Arial"/>
          <w:i/>
          <w:lang w:val="en"/>
        </w:rPr>
        <w:t>Defence</w:t>
      </w:r>
      <w:proofErr w:type="spellEnd"/>
      <w:r w:rsidRPr="00313D65">
        <w:rPr>
          <w:rFonts w:ascii="Arial" w:hAnsi="Arial" w:cs="Arial"/>
          <w:i/>
          <w:lang w:val="en"/>
        </w:rPr>
        <w:t xml:space="preserve"> Force, Phase Two of the Review into the treatment of women in the Australian </w:t>
      </w:r>
      <w:proofErr w:type="spellStart"/>
      <w:r w:rsidRPr="00313D65">
        <w:rPr>
          <w:rFonts w:ascii="Arial" w:hAnsi="Arial" w:cs="Arial"/>
          <w:i/>
          <w:lang w:val="en"/>
        </w:rPr>
        <w:t>Defence</w:t>
      </w:r>
      <w:proofErr w:type="spellEnd"/>
      <w:r w:rsidRPr="00313D65">
        <w:rPr>
          <w:rFonts w:ascii="Arial" w:hAnsi="Arial" w:cs="Arial"/>
          <w:i/>
          <w:lang w:val="en"/>
        </w:rPr>
        <w:t xml:space="preserve"> Force</w:t>
      </w:r>
      <w:r w:rsidRPr="000B546F">
        <w:rPr>
          <w:rFonts w:ascii="Arial" w:hAnsi="Arial" w:cs="Arial"/>
          <w:color w:val="333333"/>
          <w:lang w:val="en"/>
        </w:rPr>
        <w:t xml:space="preserve"> </w:t>
      </w:r>
      <w:r>
        <w:rPr>
          <w:rFonts w:ascii="Arial" w:hAnsi="Arial" w:cs="Arial"/>
          <w:color w:val="333333"/>
          <w:lang w:val="en"/>
        </w:rPr>
        <w:t xml:space="preserve">(Chapter 6) </w:t>
      </w:r>
      <w:r w:rsidRPr="000B546F">
        <w:rPr>
          <w:rFonts w:ascii="Arial" w:hAnsi="Arial" w:cs="Arial"/>
          <w:color w:val="333333"/>
          <w:lang w:val="en"/>
        </w:rPr>
        <w:t>(</w:t>
      </w:r>
      <w:hyperlink r:id="rId20" w:history="1">
        <w:r w:rsidRPr="000B546F">
          <w:rPr>
            <w:rStyle w:val="Hyperlink"/>
            <w:rFonts w:ascii="Arial" w:hAnsi="Arial" w:cs="Arial"/>
            <w:lang w:val="en"/>
          </w:rPr>
          <w:t>https://defencereview.humanrights.gov.au/report-review-treatment-women-australian-defence-force</w:t>
        </w:r>
      </w:hyperlink>
      <w:r w:rsidRPr="000B546F">
        <w:rPr>
          <w:rFonts w:ascii="Arial" w:hAnsi="Arial" w:cs="Arial"/>
          <w:color w:val="333333"/>
          <w:lang w:val="en"/>
        </w:rPr>
        <w:t>).</w:t>
      </w:r>
    </w:p>
    <w:p w:rsidR="00596A71" w:rsidRDefault="00596A71" w:rsidP="00596A71">
      <w:r>
        <w:t>We look forward to engaging with the Inquiry team as the review unfolds. Please do not hesitate to contact the Commission for further information.</w:t>
      </w:r>
    </w:p>
    <w:p w:rsidR="00754E90" w:rsidRDefault="00754E90" w:rsidP="00596A71"/>
    <w:p w:rsidR="00A4438B" w:rsidRDefault="00596A71" w:rsidP="00596A71">
      <w:r w:rsidRPr="005C2BA2">
        <w:t>Yours sincerely,</w:t>
      </w:r>
    </w:p>
    <w:p w:rsidR="00A4438B" w:rsidRDefault="00A4438B" w:rsidP="009709E5">
      <w:pPr>
        <w:spacing w:before="0" w:after="0"/>
      </w:pPr>
    </w:p>
    <w:p w:rsidR="00C00546" w:rsidRDefault="00C00546" w:rsidP="009709E5">
      <w:pPr>
        <w:spacing w:before="0" w:after="0"/>
      </w:pPr>
    </w:p>
    <w:p w:rsidR="00C00546" w:rsidRDefault="00C00546" w:rsidP="009709E5">
      <w:pPr>
        <w:spacing w:before="0" w:after="0"/>
      </w:pPr>
    </w:p>
    <w:p w:rsidR="00FC3F0C" w:rsidRPr="005C2BA2" w:rsidRDefault="009709E5" w:rsidP="00FC3F0C">
      <w:pPr>
        <w:pStyle w:val="AddressBlock"/>
        <w:spacing w:before="0"/>
      </w:pPr>
      <w:r>
        <w:t>Elizabeth Broderick</w:t>
      </w:r>
    </w:p>
    <w:p w:rsidR="009709E5" w:rsidRPr="006245D6" w:rsidRDefault="00490E63" w:rsidP="00490E63">
      <w:pPr>
        <w:pStyle w:val="AddressBlock"/>
        <w:spacing w:before="0"/>
        <w:rPr>
          <w:b/>
        </w:rPr>
      </w:pPr>
      <w:r>
        <w:rPr>
          <w:b/>
        </w:rPr>
        <w:t>Sex Discrimination Commissioner</w:t>
      </w:r>
    </w:p>
    <w:p w:rsidR="00FC3F0C" w:rsidRPr="009709E5" w:rsidRDefault="00FC3F0C" w:rsidP="009709E5">
      <w:pPr>
        <w:spacing w:before="0" w:after="0"/>
      </w:pPr>
    </w:p>
    <w:p w:rsidR="00F67D3F" w:rsidRPr="0047100E" w:rsidRDefault="00F67D3F" w:rsidP="009709E5">
      <w:pPr>
        <w:spacing w:before="0" w:after="0"/>
        <w:rPr>
          <w:lang w:val="de-DE"/>
        </w:rPr>
      </w:pPr>
    </w:p>
    <w:p w:rsidR="006E2FE7" w:rsidRPr="0047100E" w:rsidRDefault="006E2FE7" w:rsidP="009709E5">
      <w:pPr>
        <w:spacing w:before="0" w:after="0"/>
        <w:rPr>
          <w:lang w:val="de-DE"/>
        </w:rPr>
      </w:pPr>
      <w:bookmarkStart w:id="0" w:name="_GoBack"/>
      <w:bookmarkEnd w:id="0"/>
    </w:p>
    <w:sectPr w:rsidR="006E2FE7" w:rsidRPr="0047100E" w:rsidSect="002932DC">
      <w:headerReference w:type="default" r:id="rId21"/>
      <w:footerReference w:type="default" r:id="rId22"/>
      <w:headerReference w:type="first" r:id="rId23"/>
      <w:footerReference w:type="first" r:id="rId24"/>
      <w:endnotePr>
        <w:numFmt w:val="decimal"/>
      </w:endnotePr>
      <w:pgSz w:w="11906" w:h="16838" w:code="9"/>
      <w:pgMar w:top="1134" w:right="1418" w:bottom="1531" w:left="1418" w:header="90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6A2" w:rsidRDefault="00E646A2" w:rsidP="00F14C6D">
      <w:r>
        <w:separator/>
      </w:r>
    </w:p>
  </w:endnote>
  <w:endnote w:type="continuationSeparator" w:id="0">
    <w:p w:rsidR="00E646A2" w:rsidRDefault="00E646A2" w:rsidP="00F1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Neue-Light">
    <w:altName w:val="Helvetica 45 Ligh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9CF" w:rsidRPr="0090165F" w:rsidRDefault="009929CF" w:rsidP="00162A8D">
    <w:pPr>
      <w:pStyle w:val="Footer"/>
      <w:jc w:val="right"/>
    </w:pPr>
    <w:r w:rsidRPr="0090165F">
      <w:fldChar w:fldCharType="begin"/>
    </w:r>
    <w:r w:rsidRPr="0090165F">
      <w:instrText xml:space="preserve"> PAGE   \* MERGEFORMAT </w:instrText>
    </w:r>
    <w:r w:rsidRPr="0090165F">
      <w:fldChar w:fldCharType="separate"/>
    </w:r>
    <w:r w:rsidR="00E54D26">
      <w:rPr>
        <w:noProof/>
      </w:rPr>
      <w:t>4</w:t>
    </w:r>
    <w:r w:rsidRPr="0090165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808080"/>
        <w:left w:val="single" w:sz="2" w:space="0" w:color="808080"/>
        <w:bottom w:val="single" w:sz="2" w:space="0" w:color="808080"/>
        <w:right w:val="single" w:sz="2" w:space="0" w:color="808080"/>
      </w:tblBorders>
      <w:tblLayout w:type="fixed"/>
      <w:tblLook w:val="00A0" w:firstRow="1" w:lastRow="0" w:firstColumn="1" w:lastColumn="0" w:noHBand="0" w:noVBand="0"/>
    </w:tblPr>
    <w:tblGrid>
      <w:gridCol w:w="1793"/>
      <w:gridCol w:w="2143"/>
      <w:gridCol w:w="1701"/>
      <w:gridCol w:w="2551"/>
      <w:gridCol w:w="1667"/>
    </w:tblGrid>
    <w:tr w:rsidR="009929CF" w:rsidRPr="008D1634" w:rsidTr="00C87F1C">
      <w:tc>
        <w:tcPr>
          <w:tcW w:w="1793" w:type="dxa"/>
          <w:tcBorders>
            <w:top w:val="single" w:sz="2" w:space="0" w:color="808080"/>
            <w:left w:val="nil"/>
            <w:bottom w:val="nil"/>
            <w:right w:val="nil"/>
          </w:tcBorders>
        </w:tcPr>
        <w:p w:rsidR="009929CF" w:rsidRDefault="009929CF" w:rsidP="00A312FF">
          <w:pPr>
            <w:widowControl w:val="0"/>
            <w:tabs>
              <w:tab w:val="left" w:pos="5830"/>
            </w:tabs>
            <w:autoSpaceDE w:val="0"/>
            <w:autoSpaceDN w:val="0"/>
            <w:adjustRightInd w:val="0"/>
            <w:spacing w:before="0" w:after="0" w:line="80" w:lineRule="exact"/>
            <w:ind w:right="159"/>
            <w:textAlignment w:val="center"/>
            <w:rPr>
              <w:rFonts w:cs="HelveticaNeue-Light"/>
              <w:sz w:val="16"/>
              <w:szCs w:val="16"/>
              <w:lang w:val="en-US" w:bidi="en-US"/>
            </w:rPr>
          </w:pPr>
        </w:p>
        <w:p w:rsidR="009929CF" w:rsidRDefault="009929CF" w:rsidP="00A312FF">
          <w:pPr>
            <w:widowControl w:val="0"/>
            <w:tabs>
              <w:tab w:val="left" w:pos="5830"/>
            </w:tabs>
            <w:autoSpaceDE w:val="0"/>
            <w:autoSpaceDN w:val="0"/>
            <w:adjustRightInd w:val="0"/>
            <w:spacing w:before="0" w:after="0" w:line="288" w:lineRule="auto"/>
            <w:ind w:right="159"/>
            <w:textAlignment w:val="center"/>
            <w:rPr>
              <w:rFonts w:cs="HelveticaNeue-Light"/>
              <w:sz w:val="16"/>
              <w:szCs w:val="16"/>
              <w:lang w:val="en-US" w:bidi="en-US"/>
            </w:rPr>
          </w:pPr>
          <w:r>
            <w:rPr>
              <w:rFonts w:cs="HelveticaNeue-Light"/>
              <w:sz w:val="16"/>
              <w:szCs w:val="16"/>
              <w:lang w:val="en-US" w:bidi="en-US"/>
            </w:rPr>
            <w:t>Australian</w:t>
          </w:r>
        </w:p>
        <w:p w:rsidR="009929CF" w:rsidRDefault="009929CF" w:rsidP="00A312FF">
          <w:pPr>
            <w:widowControl w:val="0"/>
            <w:tabs>
              <w:tab w:val="left" w:pos="5830"/>
            </w:tabs>
            <w:autoSpaceDE w:val="0"/>
            <w:autoSpaceDN w:val="0"/>
            <w:adjustRightInd w:val="0"/>
            <w:spacing w:before="0" w:after="0" w:line="288" w:lineRule="auto"/>
            <w:ind w:right="159"/>
            <w:textAlignment w:val="center"/>
            <w:rPr>
              <w:rFonts w:cs="HelveticaNeue-Light"/>
              <w:sz w:val="16"/>
              <w:szCs w:val="16"/>
              <w:lang w:val="en-US" w:bidi="en-US"/>
            </w:rPr>
          </w:pPr>
          <w:r>
            <w:rPr>
              <w:rFonts w:cs="HelveticaNeue-Light"/>
              <w:sz w:val="16"/>
              <w:szCs w:val="16"/>
              <w:lang w:val="en-US" w:bidi="en-US"/>
            </w:rPr>
            <w:t>Human Rights</w:t>
          </w:r>
        </w:p>
        <w:p w:rsidR="009929CF" w:rsidRDefault="009929CF" w:rsidP="00A312FF">
          <w:pPr>
            <w:widowControl w:val="0"/>
            <w:tabs>
              <w:tab w:val="left" w:pos="5830"/>
            </w:tabs>
            <w:autoSpaceDE w:val="0"/>
            <w:autoSpaceDN w:val="0"/>
            <w:adjustRightInd w:val="0"/>
            <w:spacing w:before="0" w:after="0" w:line="288" w:lineRule="auto"/>
            <w:ind w:right="159"/>
            <w:textAlignment w:val="center"/>
            <w:rPr>
              <w:rFonts w:cs="HelveticaNeue-Light"/>
              <w:sz w:val="16"/>
              <w:szCs w:val="16"/>
              <w:lang w:val="en-US" w:bidi="en-US"/>
            </w:rPr>
          </w:pPr>
          <w:r>
            <w:rPr>
              <w:rFonts w:cs="HelveticaNeue-Light"/>
              <w:sz w:val="16"/>
              <w:szCs w:val="16"/>
              <w:lang w:val="en-US" w:bidi="en-US"/>
            </w:rPr>
            <w:t>Commission</w:t>
          </w:r>
        </w:p>
        <w:p w:rsidR="009929CF" w:rsidRPr="008D1634" w:rsidRDefault="009929CF" w:rsidP="005B50D7">
          <w:pPr>
            <w:widowControl w:val="0"/>
            <w:tabs>
              <w:tab w:val="left" w:pos="5830"/>
            </w:tabs>
            <w:autoSpaceDE w:val="0"/>
            <w:autoSpaceDN w:val="0"/>
            <w:adjustRightInd w:val="0"/>
            <w:spacing w:before="0" w:after="0" w:line="288" w:lineRule="auto"/>
            <w:ind w:right="17"/>
            <w:textAlignment w:val="center"/>
            <w:rPr>
              <w:rFonts w:cs="HelveticaNeue-Light"/>
              <w:sz w:val="16"/>
              <w:szCs w:val="16"/>
              <w:lang w:val="en-US" w:bidi="en-US"/>
            </w:rPr>
          </w:pPr>
          <w:r w:rsidRPr="008D1634">
            <w:rPr>
              <w:rFonts w:cs="HelveticaNeue-Light"/>
              <w:sz w:val="16"/>
              <w:szCs w:val="16"/>
              <w:lang w:val="en-US" w:bidi="en-US"/>
            </w:rPr>
            <w:t>ABN 47 996 232 602</w:t>
          </w:r>
        </w:p>
      </w:tc>
      <w:tc>
        <w:tcPr>
          <w:tcW w:w="2143" w:type="dxa"/>
          <w:tcBorders>
            <w:top w:val="single" w:sz="2" w:space="0" w:color="808080"/>
            <w:left w:val="nil"/>
            <w:bottom w:val="nil"/>
            <w:right w:val="nil"/>
          </w:tcBorders>
        </w:tcPr>
        <w:p w:rsidR="009929CF" w:rsidRPr="008D1634" w:rsidRDefault="009929CF" w:rsidP="005B50D7">
          <w:pPr>
            <w:widowControl w:val="0"/>
            <w:tabs>
              <w:tab w:val="left" w:pos="5830"/>
            </w:tabs>
            <w:autoSpaceDE w:val="0"/>
            <w:autoSpaceDN w:val="0"/>
            <w:adjustRightInd w:val="0"/>
            <w:spacing w:before="0" w:after="0" w:line="80" w:lineRule="exact"/>
            <w:ind w:right="159"/>
            <w:textAlignment w:val="center"/>
            <w:rPr>
              <w:rFonts w:cs="HelveticaNeue-Light"/>
              <w:sz w:val="16"/>
              <w:szCs w:val="16"/>
              <w:lang w:val="en-US" w:bidi="en-US"/>
            </w:rPr>
          </w:pPr>
        </w:p>
        <w:p w:rsidR="009929CF" w:rsidRPr="008D1634" w:rsidRDefault="009929CF" w:rsidP="003A6426">
          <w:pPr>
            <w:widowControl w:val="0"/>
            <w:tabs>
              <w:tab w:val="left" w:pos="5830"/>
            </w:tabs>
            <w:autoSpaceDE w:val="0"/>
            <w:autoSpaceDN w:val="0"/>
            <w:adjustRightInd w:val="0"/>
            <w:spacing w:before="0" w:after="0" w:line="288" w:lineRule="auto"/>
            <w:ind w:right="176"/>
            <w:jc w:val="both"/>
            <w:textAlignment w:val="center"/>
            <w:rPr>
              <w:rFonts w:cs="HelveticaNeue-Light"/>
              <w:sz w:val="16"/>
              <w:szCs w:val="16"/>
              <w:lang w:val="en-US" w:bidi="en-US"/>
            </w:rPr>
          </w:pPr>
          <w:r>
            <w:rPr>
              <w:rFonts w:cs="HelveticaNeue-Light"/>
              <w:sz w:val="16"/>
              <w:szCs w:val="16"/>
              <w:lang w:val="en-US" w:bidi="en-US"/>
            </w:rPr>
            <w:t xml:space="preserve">Level </w:t>
          </w:r>
          <w:r>
            <w:rPr>
              <w:rFonts w:cs="HelveticaNeue-Light" w:hint="eastAsia"/>
              <w:sz w:val="16"/>
              <w:szCs w:val="16"/>
              <w:lang w:val="en-US" w:eastAsia="zh-CN" w:bidi="en-US"/>
            </w:rPr>
            <w:t>3</w:t>
          </w:r>
          <w:r w:rsidRPr="008D1634">
            <w:rPr>
              <w:rFonts w:cs="HelveticaNeue-Light"/>
              <w:sz w:val="16"/>
              <w:szCs w:val="16"/>
              <w:lang w:val="en-US" w:bidi="en-US"/>
            </w:rPr>
            <w:t xml:space="preserve"> </w:t>
          </w:r>
        </w:p>
        <w:p w:rsidR="009929CF" w:rsidRPr="008D1634" w:rsidRDefault="009929CF" w:rsidP="003A6426">
          <w:pPr>
            <w:widowControl w:val="0"/>
            <w:tabs>
              <w:tab w:val="left" w:pos="5830"/>
            </w:tabs>
            <w:autoSpaceDE w:val="0"/>
            <w:autoSpaceDN w:val="0"/>
            <w:adjustRightInd w:val="0"/>
            <w:spacing w:before="0" w:after="0" w:line="288" w:lineRule="auto"/>
            <w:ind w:right="176"/>
            <w:jc w:val="both"/>
            <w:textAlignment w:val="center"/>
            <w:rPr>
              <w:rFonts w:cs="HelveticaNeue-Light"/>
              <w:sz w:val="16"/>
              <w:szCs w:val="16"/>
              <w:lang w:val="en-US" w:bidi="en-US"/>
            </w:rPr>
          </w:pPr>
          <w:r>
            <w:rPr>
              <w:rFonts w:cs="HelveticaNeue-Light"/>
              <w:sz w:val="16"/>
              <w:szCs w:val="16"/>
              <w:lang w:val="en-US" w:bidi="en-US"/>
            </w:rPr>
            <w:t>1</w:t>
          </w:r>
          <w:r>
            <w:rPr>
              <w:rFonts w:cs="HelveticaNeue-Light" w:hint="eastAsia"/>
              <w:sz w:val="16"/>
              <w:szCs w:val="16"/>
              <w:lang w:val="en-US" w:eastAsia="zh-CN" w:bidi="en-US"/>
            </w:rPr>
            <w:t>75</w:t>
          </w:r>
          <w:r w:rsidRPr="008D1634">
            <w:rPr>
              <w:rFonts w:cs="HelveticaNeue-Light"/>
              <w:sz w:val="16"/>
              <w:szCs w:val="16"/>
              <w:lang w:val="en-US" w:bidi="en-US"/>
            </w:rPr>
            <w:t xml:space="preserve"> </w:t>
          </w:r>
          <w:r>
            <w:rPr>
              <w:rFonts w:cs="HelveticaNeue-Light" w:hint="eastAsia"/>
              <w:sz w:val="16"/>
              <w:szCs w:val="16"/>
              <w:lang w:val="en-US" w:eastAsia="zh-CN" w:bidi="en-US"/>
            </w:rPr>
            <w:t>Pitt</w:t>
          </w:r>
          <w:r w:rsidRPr="008D1634">
            <w:rPr>
              <w:rFonts w:cs="HelveticaNeue-Light"/>
              <w:sz w:val="16"/>
              <w:szCs w:val="16"/>
              <w:lang w:val="en-US" w:bidi="en-US"/>
            </w:rPr>
            <w:t xml:space="preserve"> Street</w:t>
          </w:r>
        </w:p>
        <w:p w:rsidR="009929CF" w:rsidRPr="008D1634" w:rsidRDefault="009929CF" w:rsidP="003A6426">
          <w:pPr>
            <w:widowControl w:val="0"/>
            <w:tabs>
              <w:tab w:val="left" w:pos="5830"/>
            </w:tabs>
            <w:autoSpaceDE w:val="0"/>
            <w:autoSpaceDN w:val="0"/>
            <w:adjustRightInd w:val="0"/>
            <w:spacing w:before="0" w:after="0" w:line="288" w:lineRule="auto"/>
            <w:ind w:right="176"/>
            <w:jc w:val="both"/>
            <w:textAlignment w:val="center"/>
            <w:rPr>
              <w:rFonts w:cs="HelveticaNeue-Light"/>
              <w:sz w:val="16"/>
              <w:szCs w:val="16"/>
              <w:lang w:val="en-US" w:bidi="en-US"/>
            </w:rPr>
          </w:pPr>
          <w:r w:rsidRPr="008D1634">
            <w:rPr>
              <w:rFonts w:cs="HelveticaNeue-Light"/>
              <w:sz w:val="16"/>
              <w:szCs w:val="16"/>
              <w:lang w:val="en-US" w:bidi="en-US"/>
            </w:rPr>
            <w:t>Sydney NSW 200</w:t>
          </w:r>
          <w:r>
            <w:rPr>
              <w:rFonts w:cs="HelveticaNeue-Light" w:hint="eastAsia"/>
              <w:sz w:val="16"/>
              <w:szCs w:val="16"/>
              <w:lang w:val="en-US" w:eastAsia="zh-CN" w:bidi="en-US"/>
            </w:rPr>
            <w:t>0</w:t>
          </w:r>
        </w:p>
      </w:tc>
      <w:tc>
        <w:tcPr>
          <w:tcW w:w="1701" w:type="dxa"/>
          <w:tcBorders>
            <w:top w:val="single" w:sz="2" w:space="0" w:color="808080"/>
            <w:left w:val="nil"/>
            <w:bottom w:val="nil"/>
          </w:tcBorders>
        </w:tcPr>
        <w:p w:rsidR="009929CF" w:rsidRPr="008D1634" w:rsidRDefault="009929CF" w:rsidP="005B50D7">
          <w:pPr>
            <w:widowControl w:val="0"/>
            <w:tabs>
              <w:tab w:val="left" w:pos="5830"/>
            </w:tabs>
            <w:autoSpaceDE w:val="0"/>
            <w:autoSpaceDN w:val="0"/>
            <w:adjustRightInd w:val="0"/>
            <w:spacing w:before="0" w:after="0" w:line="80" w:lineRule="exact"/>
            <w:ind w:right="159"/>
            <w:textAlignment w:val="center"/>
            <w:rPr>
              <w:rFonts w:cs="HelveticaNeue-Light"/>
              <w:sz w:val="16"/>
              <w:szCs w:val="16"/>
              <w:lang w:val="en-US" w:bidi="en-US"/>
            </w:rPr>
          </w:pPr>
        </w:p>
        <w:p w:rsidR="009929CF" w:rsidRPr="008D1634" w:rsidRDefault="009929CF" w:rsidP="005B50D7">
          <w:pPr>
            <w:widowControl w:val="0"/>
            <w:tabs>
              <w:tab w:val="left" w:pos="5830"/>
            </w:tabs>
            <w:autoSpaceDE w:val="0"/>
            <w:autoSpaceDN w:val="0"/>
            <w:adjustRightInd w:val="0"/>
            <w:spacing w:before="0" w:after="0" w:line="288" w:lineRule="auto"/>
            <w:ind w:right="360"/>
            <w:textAlignment w:val="center"/>
            <w:rPr>
              <w:rFonts w:cs="HelveticaNeue-Light"/>
              <w:sz w:val="16"/>
              <w:szCs w:val="16"/>
              <w:lang w:val="en-US" w:bidi="en-US"/>
            </w:rPr>
          </w:pPr>
          <w:r w:rsidRPr="008D1634">
            <w:rPr>
              <w:rFonts w:cs="HelveticaNeue-Light"/>
              <w:sz w:val="16"/>
              <w:szCs w:val="16"/>
              <w:lang w:val="en-US" w:bidi="en-US"/>
            </w:rPr>
            <w:t xml:space="preserve">GPO </w:t>
          </w:r>
          <w:smartTag w:uri="urn:schemas-microsoft-com:office:smarttags" w:element="address">
            <w:smartTag w:uri="urn:schemas-microsoft-com:office:smarttags" w:element="Street">
              <w:r w:rsidRPr="008D1634">
                <w:rPr>
                  <w:rFonts w:cs="HelveticaNeue-Light"/>
                  <w:sz w:val="16"/>
                  <w:szCs w:val="16"/>
                  <w:lang w:val="en-US" w:bidi="en-US"/>
                </w:rPr>
                <w:t>Box</w:t>
              </w:r>
            </w:smartTag>
            <w:r w:rsidRPr="008D1634">
              <w:rPr>
                <w:rFonts w:cs="HelveticaNeue-Light"/>
                <w:sz w:val="16"/>
                <w:szCs w:val="16"/>
                <w:lang w:val="en-US" w:bidi="en-US"/>
              </w:rPr>
              <w:t xml:space="preserve"> 5218</w:t>
            </w:r>
          </w:smartTag>
        </w:p>
        <w:p w:rsidR="009929CF" w:rsidRPr="008D1634" w:rsidRDefault="009929CF" w:rsidP="005B50D7">
          <w:pPr>
            <w:widowControl w:val="0"/>
            <w:tabs>
              <w:tab w:val="left" w:pos="5830"/>
            </w:tabs>
            <w:autoSpaceDE w:val="0"/>
            <w:autoSpaceDN w:val="0"/>
            <w:adjustRightInd w:val="0"/>
            <w:spacing w:before="0" w:after="0" w:line="288" w:lineRule="auto"/>
            <w:ind w:right="34"/>
            <w:textAlignment w:val="center"/>
            <w:rPr>
              <w:rFonts w:cs="HelveticaNeue-Light"/>
              <w:sz w:val="16"/>
              <w:szCs w:val="16"/>
              <w:lang w:val="en-US" w:bidi="en-US"/>
            </w:rPr>
          </w:pPr>
          <w:smartTag w:uri="urn:schemas-microsoft-com:office:smarttags" w:element="place">
            <w:smartTag w:uri="urn:schemas-microsoft-com:office:smarttags" w:element="City">
              <w:r w:rsidRPr="008D1634">
                <w:rPr>
                  <w:rFonts w:cs="HelveticaNeue-Light"/>
                  <w:sz w:val="16"/>
                  <w:szCs w:val="16"/>
                  <w:lang w:val="en-US" w:bidi="en-US"/>
                </w:rPr>
                <w:t>Sydney</w:t>
              </w:r>
            </w:smartTag>
          </w:smartTag>
          <w:r w:rsidRPr="008D1634">
            <w:rPr>
              <w:rFonts w:cs="HelveticaNeue-Light"/>
              <w:sz w:val="16"/>
              <w:szCs w:val="16"/>
              <w:lang w:val="en-US" w:bidi="en-US"/>
            </w:rPr>
            <w:t xml:space="preserve"> NSW 2001</w:t>
          </w:r>
        </w:p>
      </w:tc>
      <w:tc>
        <w:tcPr>
          <w:tcW w:w="2551" w:type="dxa"/>
          <w:tcBorders>
            <w:top w:val="single" w:sz="2" w:space="0" w:color="808080"/>
            <w:bottom w:val="nil"/>
          </w:tcBorders>
        </w:tcPr>
        <w:p w:rsidR="009929CF" w:rsidRPr="008D1634" w:rsidRDefault="009929CF" w:rsidP="005B50D7">
          <w:pPr>
            <w:widowControl w:val="0"/>
            <w:tabs>
              <w:tab w:val="left" w:pos="5830"/>
            </w:tabs>
            <w:autoSpaceDE w:val="0"/>
            <w:autoSpaceDN w:val="0"/>
            <w:adjustRightInd w:val="0"/>
            <w:spacing w:before="0" w:after="0" w:line="80" w:lineRule="exact"/>
            <w:ind w:right="159"/>
            <w:textAlignment w:val="center"/>
            <w:rPr>
              <w:rFonts w:cs="HelveticaNeue-Light"/>
              <w:sz w:val="16"/>
              <w:szCs w:val="16"/>
              <w:lang w:val="en-US" w:bidi="en-US"/>
            </w:rPr>
          </w:pPr>
        </w:p>
        <w:p w:rsidR="009929CF" w:rsidRPr="008D1634" w:rsidRDefault="009929CF" w:rsidP="005B50D7">
          <w:pPr>
            <w:widowControl w:val="0"/>
            <w:tabs>
              <w:tab w:val="left" w:pos="5830"/>
            </w:tabs>
            <w:autoSpaceDE w:val="0"/>
            <w:autoSpaceDN w:val="0"/>
            <w:adjustRightInd w:val="0"/>
            <w:spacing w:before="0" w:after="0" w:line="288" w:lineRule="auto"/>
            <w:ind w:right="360"/>
            <w:textAlignment w:val="center"/>
            <w:rPr>
              <w:rFonts w:cs="HelveticaNeue-Light"/>
              <w:sz w:val="16"/>
              <w:szCs w:val="16"/>
              <w:lang w:val="en-US" w:bidi="en-US"/>
            </w:rPr>
          </w:pPr>
          <w:r w:rsidRPr="008D1634">
            <w:rPr>
              <w:rFonts w:cs="HelveticaNeue-Light"/>
              <w:sz w:val="16"/>
              <w:szCs w:val="16"/>
              <w:lang w:val="en-US" w:bidi="en-US"/>
            </w:rPr>
            <w:t>General enquiries</w:t>
          </w:r>
        </w:p>
        <w:p w:rsidR="009929CF" w:rsidRPr="008D1634" w:rsidRDefault="009929CF" w:rsidP="005B50D7">
          <w:pPr>
            <w:widowControl w:val="0"/>
            <w:tabs>
              <w:tab w:val="left" w:pos="5830"/>
            </w:tabs>
            <w:autoSpaceDE w:val="0"/>
            <w:autoSpaceDN w:val="0"/>
            <w:adjustRightInd w:val="0"/>
            <w:spacing w:before="0" w:after="0" w:line="288" w:lineRule="auto"/>
            <w:ind w:right="360"/>
            <w:textAlignment w:val="center"/>
            <w:rPr>
              <w:rFonts w:cs="HelveticaNeue-Light"/>
              <w:sz w:val="16"/>
              <w:szCs w:val="16"/>
              <w:lang w:val="en-US" w:bidi="en-US"/>
            </w:rPr>
          </w:pPr>
          <w:r w:rsidRPr="008D1634">
            <w:rPr>
              <w:rFonts w:cs="HelveticaNeue-Light"/>
              <w:sz w:val="16"/>
              <w:szCs w:val="16"/>
              <w:lang w:val="en-US" w:bidi="en-US"/>
            </w:rPr>
            <w:t xml:space="preserve">Complaints </w:t>
          </w:r>
          <w:proofErr w:type="spellStart"/>
          <w:r w:rsidRPr="008D1634">
            <w:rPr>
              <w:rFonts w:cs="HelveticaNeue-Light"/>
              <w:sz w:val="16"/>
              <w:szCs w:val="16"/>
              <w:lang w:val="en-US" w:bidi="en-US"/>
            </w:rPr>
            <w:t>infoline</w:t>
          </w:r>
          <w:proofErr w:type="spellEnd"/>
        </w:p>
        <w:p w:rsidR="009929CF" w:rsidRPr="008D1634" w:rsidRDefault="009929CF" w:rsidP="005B50D7">
          <w:pPr>
            <w:widowControl w:val="0"/>
            <w:tabs>
              <w:tab w:val="left" w:pos="5830"/>
            </w:tabs>
            <w:autoSpaceDE w:val="0"/>
            <w:autoSpaceDN w:val="0"/>
            <w:adjustRightInd w:val="0"/>
            <w:spacing w:before="0" w:after="0" w:line="288" w:lineRule="auto"/>
            <w:ind w:right="360"/>
            <w:textAlignment w:val="center"/>
            <w:rPr>
              <w:rFonts w:cs="HelveticaNeue-Light"/>
              <w:sz w:val="16"/>
              <w:szCs w:val="16"/>
              <w:lang w:val="en-US" w:bidi="en-US"/>
            </w:rPr>
          </w:pPr>
          <w:r w:rsidRPr="008D1634">
            <w:rPr>
              <w:rFonts w:cs="HelveticaNeue-Light"/>
              <w:sz w:val="16"/>
              <w:szCs w:val="16"/>
              <w:lang w:val="en-US" w:bidi="en-US"/>
            </w:rPr>
            <w:t>TTY</w:t>
          </w:r>
        </w:p>
        <w:p w:rsidR="009929CF" w:rsidRPr="008D1634" w:rsidRDefault="009929CF" w:rsidP="005B50D7">
          <w:pPr>
            <w:widowControl w:val="0"/>
            <w:tabs>
              <w:tab w:val="left" w:pos="5830"/>
            </w:tabs>
            <w:autoSpaceDE w:val="0"/>
            <w:autoSpaceDN w:val="0"/>
            <w:adjustRightInd w:val="0"/>
            <w:spacing w:before="0" w:after="0" w:line="288" w:lineRule="auto"/>
            <w:ind w:right="360"/>
            <w:textAlignment w:val="center"/>
            <w:rPr>
              <w:rFonts w:cs="HelveticaNeue-Light"/>
              <w:sz w:val="16"/>
              <w:szCs w:val="16"/>
              <w:lang w:val="en-US" w:bidi="en-US"/>
            </w:rPr>
          </w:pPr>
          <w:r w:rsidRPr="008D1634">
            <w:rPr>
              <w:rFonts w:cs="HelveticaNeue-Light"/>
              <w:sz w:val="16"/>
              <w:szCs w:val="16"/>
              <w:lang w:val="en-US" w:bidi="en-US"/>
            </w:rPr>
            <w:t>www.humanrights.gov.au</w:t>
          </w:r>
        </w:p>
      </w:tc>
      <w:tc>
        <w:tcPr>
          <w:tcW w:w="1667" w:type="dxa"/>
          <w:tcBorders>
            <w:top w:val="single" w:sz="2" w:space="0" w:color="808080"/>
            <w:bottom w:val="nil"/>
            <w:right w:val="nil"/>
          </w:tcBorders>
        </w:tcPr>
        <w:p w:rsidR="009929CF" w:rsidRPr="008D1634" w:rsidRDefault="009929CF" w:rsidP="005B50D7">
          <w:pPr>
            <w:widowControl w:val="0"/>
            <w:tabs>
              <w:tab w:val="left" w:pos="5830"/>
            </w:tabs>
            <w:autoSpaceDE w:val="0"/>
            <w:autoSpaceDN w:val="0"/>
            <w:adjustRightInd w:val="0"/>
            <w:spacing w:before="0" w:after="0" w:line="80" w:lineRule="exact"/>
            <w:ind w:right="159"/>
            <w:textAlignment w:val="center"/>
            <w:rPr>
              <w:rFonts w:cs="HelveticaNeue-Light"/>
              <w:sz w:val="16"/>
              <w:szCs w:val="16"/>
              <w:lang w:val="en-US" w:bidi="en-US"/>
            </w:rPr>
          </w:pPr>
        </w:p>
        <w:p w:rsidR="009929CF" w:rsidRPr="008D1634" w:rsidRDefault="009929CF" w:rsidP="005B50D7">
          <w:pPr>
            <w:widowControl w:val="0"/>
            <w:tabs>
              <w:tab w:val="left" w:pos="5830"/>
            </w:tabs>
            <w:autoSpaceDE w:val="0"/>
            <w:autoSpaceDN w:val="0"/>
            <w:adjustRightInd w:val="0"/>
            <w:spacing w:before="0" w:after="0" w:line="288" w:lineRule="auto"/>
            <w:ind w:right="360"/>
            <w:textAlignment w:val="center"/>
            <w:rPr>
              <w:rFonts w:cs="HelveticaNeue-Light"/>
              <w:sz w:val="16"/>
              <w:szCs w:val="16"/>
              <w:lang w:val="en-US" w:bidi="en-US"/>
            </w:rPr>
          </w:pPr>
          <w:r w:rsidRPr="008D1634">
            <w:rPr>
              <w:rFonts w:cs="HelveticaNeue-Light"/>
              <w:sz w:val="16"/>
              <w:szCs w:val="16"/>
              <w:lang w:val="en-US" w:bidi="en-US"/>
            </w:rPr>
            <w:t>1300 369 711</w:t>
          </w:r>
        </w:p>
        <w:p w:rsidR="009929CF" w:rsidRPr="008D1634" w:rsidRDefault="009929CF" w:rsidP="005B50D7">
          <w:pPr>
            <w:widowControl w:val="0"/>
            <w:tabs>
              <w:tab w:val="left" w:pos="5830"/>
            </w:tabs>
            <w:autoSpaceDE w:val="0"/>
            <w:autoSpaceDN w:val="0"/>
            <w:adjustRightInd w:val="0"/>
            <w:spacing w:before="0" w:after="0" w:line="288" w:lineRule="auto"/>
            <w:ind w:right="360"/>
            <w:textAlignment w:val="center"/>
            <w:rPr>
              <w:rFonts w:cs="HelveticaNeue-Light"/>
              <w:sz w:val="16"/>
              <w:szCs w:val="16"/>
              <w:lang w:val="en-US" w:bidi="en-US"/>
            </w:rPr>
          </w:pPr>
          <w:r w:rsidRPr="008D1634">
            <w:rPr>
              <w:rFonts w:cs="HelveticaNeue-Light"/>
              <w:sz w:val="16"/>
              <w:szCs w:val="16"/>
              <w:lang w:val="en-US" w:bidi="en-US"/>
            </w:rPr>
            <w:t>1300 656 419</w:t>
          </w:r>
        </w:p>
        <w:p w:rsidR="009929CF" w:rsidRPr="008D1634" w:rsidRDefault="009929CF" w:rsidP="005B50D7">
          <w:pPr>
            <w:widowControl w:val="0"/>
            <w:tabs>
              <w:tab w:val="left" w:pos="5830"/>
            </w:tabs>
            <w:autoSpaceDE w:val="0"/>
            <w:autoSpaceDN w:val="0"/>
            <w:adjustRightInd w:val="0"/>
            <w:spacing w:before="0" w:after="0" w:line="288" w:lineRule="auto"/>
            <w:ind w:right="360"/>
            <w:textAlignment w:val="center"/>
            <w:rPr>
              <w:rFonts w:cs="HelveticaNeue-Light"/>
              <w:sz w:val="16"/>
              <w:lang w:val="en-US"/>
            </w:rPr>
          </w:pPr>
          <w:r w:rsidRPr="008D1634">
            <w:rPr>
              <w:rFonts w:cs="HelveticaNeue-Light"/>
              <w:sz w:val="16"/>
              <w:szCs w:val="16"/>
              <w:lang w:val="en-US" w:bidi="en-US"/>
            </w:rPr>
            <w:t>1800 620 241</w:t>
          </w:r>
        </w:p>
      </w:tc>
    </w:tr>
  </w:tbl>
  <w:p w:rsidR="009929CF" w:rsidRPr="001B25B3" w:rsidRDefault="009929CF" w:rsidP="002D0C4F">
    <w:pPr>
      <w:pStyle w:val="Footer"/>
      <w:spacing w:before="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6A2" w:rsidRDefault="00E646A2" w:rsidP="00F14C6D">
      <w:r>
        <w:separator/>
      </w:r>
    </w:p>
  </w:footnote>
  <w:footnote w:type="continuationSeparator" w:id="0">
    <w:p w:rsidR="00E646A2" w:rsidRDefault="00E646A2" w:rsidP="00F14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9CF" w:rsidRDefault="009929CF" w:rsidP="00C71D32">
    <w:pPr>
      <w:pStyle w:val="Header"/>
      <w:spacing w:before="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05" w:type="dxa"/>
      <w:tblLayout w:type="fixed"/>
      <w:tblLook w:val="00A0" w:firstRow="1" w:lastRow="0" w:firstColumn="1" w:lastColumn="0" w:noHBand="0" w:noVBand="0"/>
    </w:tblPr>
    <w:tblGrid>
      <w:gridCol w:w="3652"/>
      <w:gridCol w:w="301"/>
      <w:gridCol w:w="5152"/>
    </w:tblGrid>
    <w:tr w:rsidR="009929CF" w:rsidRPr="00F67D3F" w:rsidTr="00672637">
      <w:trPr>
        <w:trHeight w:val="1603"/>
      </w:trPr>
      <w:tc>
        <w:tcPr>
          <w:tcW w:w="3652" w:type="dxa"/>
        </w:tcPr>
        <w:p w:rsidR="009929CF" w:rsidRPr="008D1634" w:rsidRDefault="00E54D26" w:rsidP="00331013">
          <w:pPr>
            <w:pStyle w:val="Header"/>
            <w:tabs>
              <w:tab w:val="left" w:pos="4686"/>
              <w:tab w:val="left" w:pos="7088"/>
              <w:tab w:val="left" w:pos="7242"/>
            </w:tabs>
            <w:jc w:val="center"/>
            <w:rPr>
              <w:rFonts w:cs="ArialMT"/>
              <w:b/>
              <w:color w:val="000000"/>
              <w:spacing w:val="-20"/>
              <w:sz w:val="32"/>
              <w:lang w:val="en-US" w:eastAsia="en-US" w:bidi="en-US"/>
            </w:rPr>
          </w:pPr>
          <w:r>
            <w:rPr>
              <w:rFonts w:cs="ArialMT"/>
              <w:b/>
              <w:color w:val="000000"/>
              <w:spacing w:val="-20"/>
              <w:sz w:val="32"/>
              <w:lang w:val="en-US" w:eastAsia="en-US" w:bidi="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4.15pt;height:59.45pt">
                <v:imagedata r:id="rId1" o:title="AHRC-l"/>
              </v:shape>
            </w:pict>
          </w:r>
        </w:p>
      </w:tc>
      <w:tc>
        <w:tcPr>
          <w:tcW w:w="301" w:type="dxa"/>
          <w:vAlign w:val="center"/>
        </w:tcPr>
        <w:p w:rsidR="009929CF" w:rsidRPr="008D1634" w:rsidRDefault="009929CF" w:rsidP="00331013">
          <w:pPr>
            <w:spacing w:before="0" w:after="0" w:line="210" w:lineRule="exact"/>
            <w:rPr>
              <w:rFonts w:cs="ArialMT"/>
              <w:i/>
              <w:color w:val="808080"/>
              <w:sz w:val="17"/>
              <w:lang w:val="en-US" w:eastAsia="en-US" w:bidi="en-US"/>
            </w:rPr>
          </w:pPr>
        </w:p>
      </w:tc>
      <w:tc>
        <w:tcPr>
          <w:tcW w:w="5152" w:type="dxa"/>
        </w:tcPr>
        <w:p w:rsidR="009929CF" w:rsidRDefault="009929CF" w:rsidP="00C22712">
          <w:pPr>
            <w:pStyle w:val="LogoType"/>
            <w:pBdr>
              <w:bottom w:val="none" w:sz="0" w:space="0" w:color="auto"/>
            </w:pBdr>
            <w:spacing w:before="0" w:after="0" w:line="240" w:lineRule="auto"/>
            <w:jc w:val="right"/>
            <w:rPr>
              <w:color w:val="646464"/>
              <w:spacing w:val="0"/>
              <w:kern w:val="144"/>
              <w:sz w:val="24"/>
              <w:lang w:val="en-US" w:eastAsia="en-US" w:bidi="en-US"/>
            </w:rPr>
          </w:pPr>
        </w:p>
        <w:p w:rsidR="009929CF" w:rsidRDefault="009929CF" w:rsidP="00490E63">
          <w:pPr>
            <w:pStyle w:val="LogoType"/>
            <w:pBdr>
              <w:bottom w:val="none" w:sz="0" w:space="0" w:color="auto"/>
            </w:pBdr>
            <w:spacing w:before="0" w:after="0" w:line="240" w:lineRule="auto"/>
            <w:jc w:val="right"/>
            <w:rPr>
              <w:color w:val="646464"/>
              <w:spacing w:val="0"/>
              <w:kern w:val="144"/>
              <w:sz w:val="24"/>
              <w:lang w:val="en-US" w:eastAsia="en-US" w:bidi="en-US"/>
            </w:rPr>
          </w:pPr>
        </w:p>
        <w:p w:rsidR="009929CF" w:rsidRPr="00F67D3F" w:rsidRDefault="009929CF" w:rsidP="00490E63">
          <w:pPr>
            <w:pStyle w:val="LogoType"/>
            <w:pBdr>
              <w:bottom w:val="none" w:sz="0" w:space="0" w:color="auto"/>
            </w:pBdr>
            <w:spacing w:before="0" w:after="0" w:line="240" w:lineRule="auto"/>
            <w:jc w:val="right"/>
            <w:rPr>
              <w:color w:val="646464"/>
              <w:spacing w:val="0"/>
              <w:kern w:val="144"/>
              <w:sz w:val="24"/>
              <w:lang w:val="en-US" w:eastAsia="en-US" w:bidi="en-US"/>
            </w:rPr>
          </w:pPr>
          <w:r>
            <w:rPr>
              <w:color w:val="646464"/>
              <w:spacing w:val="0"/>
              <w:kern w:val="144"/>
              <w:sz w:val="24"/>
              <w:lang w:val="en-US" w:eastAsia="en-US" w:bidi="en-US"/>
            </w:rPr>
            <w:t>Sex Discrimination Commissioner</w:t>
          </w:r>
        </w:p>
        <w:p w:rsidR="009929CF" w:rsidRPr="00F67D3F" w:rsidRDefault="00E54D26" w:rsidP="00F67D3F">
          <w:pPr>
            <w:pStyle w:val="LogoType"/>
            <w:pBdr>
              <w:bottom w:val="none" w:sz="0" w:space="0" w:color="auto"/>
            </w:pBdr>
            <w:spacing w:before="120" w:after="80" w:line="240" w:lineRule="auto"/>
            <w:jc w:val="right"/>
            <w:rPr>
              <w:spacing w:val="0"/>
              <w:kern w:val="144"/>
              <w:sz w:val="24"/>
              <w:lang w:val="en-US" w:eastAsia="en-US" w:bidi="en-US"/>
            </w:rPr>
          </w:pPr>
          <w:r>
            <w:rPr>
              <w:noProof/>
              <w:color w:val="646464"/>
              <w:spacing w:val="0"/>
              <w:kern w:val="144"/>
              <w:sz w:val="24"/>
            </w:rPr>
            <w:pict>
              <v:line id="_x0000_s2053" style="position:absolute;left:0;text-align:left;z-index:251657728" from="51.55pt,2.95pt" to="251.85pt,2.95pt" strokecolor="#5f5f5f"/>
            </w:pict>
          </w:r>
          <w:r w:rsidR="009929CF">
            <w:rPr>
              <w:color w:val="646464"/>
              <w:spacing w:val="0"/>
              <w:kern w:val="144"/>
              <w:sz w:val="24"/>
              <w:lang w:val="en-US" w:eastAsia="en-US" w:bidi="en-US"/>
            </w:rPr>
            <w:t>Elizabeth Broderick</w:t>
          </w:r>
        </w:p>
      </w:tc>
    </w:tr>
  </w:tbl>
  <w:p w:rsidR="009929CF" w:rsidRPr="006E2FE7" w:rsidRDefault="009929CF">
    <w:pPr>
      <w:pStyle w:val="Header"/>
      <w:rPr>
        <w:color w:val="73737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9C29C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4">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5">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10">
    <w:nsid w:val="FFFFFF89"/>
    <w:multiLevelType w:val="singleLevel"/>
    <w:tmpl w:val="8D00DF86"/>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FFFFFFFE"/>
    <w:multiLevelType w:val="singleLevel"/>
    <w:tmpl w:val="6C009348"/>
    <w:lvl w:ilvl="0">
      <w:numFmt w:val="decimal"/>
      <w:pStyle w:val="Dash"/>
      <w:lvlText w:val="*"/>
      <w:lvlJc w:val="left"/>
    </w:lvl>
  </w:abstractNum>
  <w:abstractNum w:abstractNumId="12">
    <w:nsid w:val="0C863101"/>
    <w:multiLevelType w:val="hybridMultilevel"/>
    <w:tmpl w:val="837A4D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1190064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8E83806"/>
    <w:multiLevelType w:val="hybridMultilevel"/>
    <w:tmpl w:val="DB8E72FE"/>
    <w:lvl w:ilvl="0" w:tplc="0C090001">
      <w:start w:val="1"/>
      <w:numFmt w:val="bullet"/>
      <w:lvlText w:val=""/>
      <w:lvlJc w:val="left"/>
      <w:pPr>
        <w:ind w:left="854" w:hanging="360"/>
      </w:pPr>
      <w:rPr>
        <w:rFonts w:ascii="Symbol" w:hAnsi="Symbol" w:hint="default"/>
      </w:rPr>
    </w:lvl>
    <w:lvl w:ilvl="1" w:tplc="0C090003" w:tentative="1">
      <w:start w:val="1"/>
      <w:numFmt w:val="bullet"/>
      <w:lvlText w:val="o"/>
      <w:lvlJc w:val="left"/>
      <w:pPr>
        <w:ind w:left="1574" w:hanging="360"/>
      </w:pPr>
      <w:rPr>
        <w:rFonts w:ascii="Courier New" w:hAnsi="Courier New" w:cs="Courier New" w:hint="default"/>
      </w:rPr>
    </w:lvl>
    <w:lvl w:ilvl="2" w:tplc="0C090005" w:tentative="1">
      <w:start w:val="1"/>
      <w:numFmt w:val="bullet"/>
      <w:lvlText w:val=""/>
      <w:lvlJc w:val="left"/>
      <w:pPr>
        <w:ind w:left="2294" w:hanging="360"/>
      </w:pPr>
      <w:rPr>
        <w:rFonts w:ascii="Wingdings" w:hAnsi="Wingdings" w:hint="default"/>
      </w:rPr>
    </w:lvl>
    <w:lvl w:ilvl="3" w:tplc="0C090001" w:tentative="1">
      <w:start w:val="1"/>
      <w:numFmt w:val="bullet"/>
      <w:lvlText w:val=""/>
      <w:lvlJc w:val="left"/>
      <w:pPr>
        <w:ind w:left="3014" w:hanging="360"/>
      </w:pPr>
      <w:rPr>
        <w:rFonts w:ascii="Symbol" w:hAnsi="Symbol" w:hint="default"/>
      </w:rPr>
    </w:lvl>
    <w:lvl w:ilvl="4" w:tplc="0C090003" w:tentative="1">
      <w:start w:val="1"/>
      <w:numFmt w:val="bullet"/>
      <w:lvlText w:val="o"/>
      <w:lvlJc w:val="left"/>
      <w:pPr>
        <w:ind w:left="3734" w:hanging="360"/>
      </w:pPr>
      <w:rPr>
        <w:rFonts w:ascii="Courier New" w:hAnsi="Courier New" w:cs="Courier New" w:hint="default"/>
      </w:rPr>
    </w:lvl>
    <w:lvl w:ilvl="5" w:tplc="0C090005" w:tentative="1">
      <w:start w:val="1"/>
      <w:numFmt w:val="bullet"/>
      <w:lvlText w:val=""/>
      <w:lvlJc w:val="left"/>
      <w:pPr>
        <w:ind w:left="4454" w:hanging="360"/>
      </w:pPr>
      <w:rPr>
        <w:rFonts w:ascii="Wingdings" w:hAnsi="Wingdings" w:hint="default"/>
      </w:rPr>
    </w:lvl>
    <w:lvl w:ilvl="6" w:tplc="0C090001" w:tentative="1">
      <w:start w:val="1"/>
      <w:numFmt w:val="bullet"/>
      <w:lvlText w:val=""/>
      <w:lvlJc w:val="left"/>
      <w:pPr>
        <w:ind w:left="5174" w:hanging="360"/>
      </w:pPr>
      <w:rPr>
        <w:rFonts w:ascii="Symbol" w:hAnsi="Symbol" w:hint="default"/>
      </w:rPr>
    </w:lvl>
    <w:lvl w:ilvl="7" w:tplc="0C090003" w:tentative="1">
      <w:start w:val="1"/>
      <w:numFmt w:val="bullet"/>
      <w:lvlText w:val="o"/>
      <w:lvlJc w:val="left"/>
      <w:pPr>
        <w:ind w:left="5894" w:hanging="360"/>
      </w:pPr>
      <w:rPr>
        <w:rFonts w:ascii="Courier New" w:hAnsi="Courier New" w:cs="Courier New" w:hint="default"/>
      </w:rPr>
    </w:lvl>
    <w:lvl w:ilvl="8" w:tplc="0C090005" w:tentative="1">
      <w:start w:val="1"/>
      <w:numFmt w:val="bullet"/>
      <w:lvlText w:val=""/>
      <w:lvlJc w:val="left"/>
      <w:pPr>
        <w:ind w:left="6614" w:hanging="360"/>
      </w:pPr>
      <w:rPr>
        <w:rFonts w:ascii="Wingdings" w:hAnsi="Wingdings" w:hint="default"/>
      </w:rPr>
    </w:lvl>
  </w:abstractNum>
  <w:abstractNum w:abstractNumId="15">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82130BC"/>
    <w:multiLevelType w:val="hybridMultilevel"/>
    <w:tmpl w:val="2848B230"/>
    <w:lvl w:ilvl="0" w:tplc="82BE52F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87970A2"/>
    <w:multiLevelType w:val="hybridMultilevel"/>
    <w:tmpl w:val="485EA6EA"/>
    <w:lvl w:ilvl="0" w:tplc="C3DC8B7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DA42AF3"/>
    <w:multiLevelType w:val="hybridMultilevel"/>
    <w:tmpl w:val="DBE8E38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49031F4"/>
    <w:multiLevelType w:val="hybridMultilevel"/>
    <w:tmpl w:val="19508716"/>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3D80AF8"/>
    <w:multiLevelType w:val="hybridMultilevel"/>
    <w:tmpl w:val="0C3480A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9FF7A73"/>
    <w:multiLevelType w:val="multilevel"/>
    <w:tmpl w:val="75C8E294"/>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23">
    <w:nsid w:val="4BD206EB"/>
    <w:multiLevelType w:val="hybridMultilevel"/>
    <w:tmpl w:val="0764027E"/>
    <w:lvl w:ilvl="0" w:tplc="1F684BD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nsid w:val="4FC33B71"/>
    <w:multiLevelType w:val="hybridMultilevel"/>
    <w:tmpl w:val="6FBA9208"/>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6">
    <w:nsid w:val="539D7D54"/>
    <w:multiLevelType w:val="hybridMultilevel"/>
    <w:tmpl w:val="065E8C4E"/>
    <w:lvl w:ilvl="0" w:tplc="4BF216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40D4F1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5CB72B15"/>
    <w:multiLevelType w:val="hybridMultilevel"/>
    <w:tmpl w:val="34727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2C32163"/>
    <w:multiLevelType w:val="hybridMultilevel"/>
    <w:tmpl w:val="23A28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343539E"/>
    <w:multiLevelType w:val="hybridMultilevel"/>
    <w:tmpl w:val="5110461E"/>
    <w:lvl w:ilvl="0" w:tplc="0C090001">
      <w:start w:val="1"/>
      <w:numFmt w:val="bullet"/>
      <w:lvlText w:val=""/>
      <w:lvlJc w:val="left"/>
      <w:pPr>
        <w:tabs>
          <w:tab w:val="num" w:pos="1080"/>
        </w:tabs>
        <w:ind w:left="1080" w:hanging="360"/>
      </w:pPr>
      <w:rPr>
        <w:rFonts w:ascii="Symbol" w:hAnsi="Symbol"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1">
    <w:nsid w:val="6F057106"/>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729C1E5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7DD1B4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7"/>
  </w:num>
  <w:num w:numId="2">
    <w:abstractNumId w:val="22"/>
  </w:num>
  <w:num w:numId="3">
    <w:abstractNumId w:val="26"/>
  </w:num>
  <w:num w:numId="4">
    <w:abstractNumId w:val="16"/>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8"/>
  </w:num>
  <w:num w:numId="9">
    <w:abstractNumId w:val="7"/>
  </w:num>
  <w:num w:numId="10">
    <w:abstractNumId w:val="6"/>
  </w:num>
  <w:num w:numId="11">
    <w:abstractNumId w:val="5"/>
  </w:num>
  <w:num w:numId="12">
    <w:abstractNumId w:val="9"/>
  </w:num>
  <w:num w:numId="13">
    <w:abstractNumId w:val="2"/>
  </w:num>
  <w:num w:numId="14">
    <w:abstractNumId w:val="1"/>
  </w:num>
  <w:num w:numId="15">
    <w:abstractNumId w:val="4"/>
  </w:num>
  <w:num w:numId="16">
    <w:abstractNumId w:val="3"/>
  </w:num>
  <w:num w:numId="17">
    <w:abstractNumId w:val="24"/>
  </w:num>
  <w:num w:numId="18">
    <w:abstractNumId w:val="20"/>
  </w:num>
  <w:num w:numId="19">
    <w:abstractNumId w:val="15"/>
  </w:num>
  <w:num w:numId="20">
    <w:abstractNumId w:val="0"/>
  </w:num>
  <w:num w:numId="21">
    <w:abstractNumId w:val="11"/>
    <w:lvlOverride w:ilvl="0">
      <w:lvl w:ilvl="0">
        <w:start w:val="1"/>
        <w:numFmt w:val="bullet"/>
        <w:pStyle w:val="Dash"/>
        <w:lvlText w:val=""/>
        <w:legacy w:legacy="1" w:legacySpace="0" w:legacyIndent="397"/>
        <w:lvlJc w:val="left"/>
        <w:pPr>
          <w:ind w:left="681" w:hanging="397"/>
        </w:pPr>
        <w:rPr>
          <w:rFonts w:ascii="Symbol" w:hAnsi="Symbol" w:hint="default"/>
          <w:sz w:val="24"/>
        </w:rPr>
      </w:lvl>
    </w:lvlOverride>
  </w:num>
  <w:num w:numId="22">
    <w:abstractNumId w:val="31"/>
  </w:num>
  <w:num w:numId="23">
    <w:abstractNumId w:val="32"/>
  </w:num>
  <w:num w:numId="24">
    <w:abstractNumId w:val="33"/>
  </w:num>
  <w:num w:numId="25">
    <w:abstractNumId w:val="13"/>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30"/>
  </w:num>
  <w:num w:numId="31">
    <w:abstractNumId w:val="23"/>
  </w:num>
  <w:num w:numId="32">
    <w:abstractNumId w:val="12"/>
  </w:num>
  <w:num w:numId="33">
    <w:abstractNumId w:val="21"/>
  </w:num>
  <w:num w:numId="34">
    <w:abstractNumId w:val="18"/>
  </w:num>
  <w:num w:numId="35">
    <w:abstractNumId w:val="14"/>
  </w:num>
  <w:num w:numId="36">
    <w:abstractNumId w:val="29"/>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120"/>
  <w:displayHorizontalDrawingGridEvery w:val="2"/>
  <w:characterSpacingControl w:val="doNotCompress"/>
  <w:hdrShapeDefaults>
    <o:shapedefaults v:ext="edit" spidmax="2055">
      <o:colormru v:ext="edit" colors="#5f5f5f"/>
    </o:shapedefaults>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6A71"/>
    <w:rsid w:val="00000871"/>
    <w:rsid w:val="00031A24"/>
    <w:rsid w:val="00041650"/>
    <w:rsid w:val="00051E9B"/>
    <w:rsid w:val="000579B1"/>
    <w:rsid w:val="000642C5"/>
    <w:rsid w:val="00074B3E"/>
    <w:rsid w:val="00075A4D"/>
    <w:rsid w:val="000B0A5D"/>
    <w:rsid w:val="000B53EE"/>
    <w:rsid w:val="000E38FA"/>
    <w:rsid w:val="00123209"/>
    <w:rsid w:val="001373D3"/>
    <w:rsid w:val="00162A8D"/>
    <w:rsid w:val="001662B6"/>
    <w:rsid w:val="00176220"/>
    <w:rsid w:val="00181378"/>
    <w:rsid w:val="001B0353"/>
    <w:rsid w:val="001B25B3"/>
    <w:rsid w:val="001C7AA6"/>
    <w:rsid w:val="001E195B"/>
    <w:rsid w:val="001F110E"/>
    <w:rsid w:val="001F2BBB"/>
    <w:rsid w:val="00201544"/>
    <w:rsid w:val="00201EFE"/>
    <w:rsid w:val="00214DBF"/>
    <w:rsid w:val="00215015"/>
    <w:rsid w:val="00223B88"/>
    <w:rsid w:val="00226DD4"/>
    <w:rsid w:val="0024557E"/>
    <w:rsid w:val="002932DC"/>
    <w:rsid w:val="002D0C4F"/>
    <w:rsid w:val="002D54E2"/>
    <w:rsid w:val="002E1678"/>
    <w:rsid w:val="00310ED4"/>
    <w:rsid w:val="0031492A"/>
    <w:rsid w:val="00316C1A"/>
    <w:rsid w:val="00331013"/>
    <w:rsid w:val="003341CA"/>
    <w:rsid w:val="003731B3"/>
    <w:rsid w:val="003A6426"/>
    <w:rsid w:val="003C3D19"/>
    <w:rsid w:val="003C5EEB"/>
    <w:rsid w:val="003E7C58"/>
    <w:rsid w:val="00436828"/>
    <w:rsid w:val="0044690C"/>
    <w:rsid w:val="004510B9"/>
    <w:rsid w:val="0047100E"/>
    <w:rsid w:val="00474063"/>
    <w:rsid w:val="00484F87"/>
    <w:rsid w:val="00490E63"/>
    <w:rsid w:val="004B3F64"/>
    <w:rsid w:val="004D6BC5"/>
    <w:rsid w:val="004E4F81"/>
    <w:rsid w:val="00513540"/>
    <w:rsid w:val="00570FA8"/>
    <w:rsid w:val="005722E0"/>
    <w:rsid w:val="0057396F"/>
    <w:rsid w:val="005747B5"/>
    <w:rsid w:val="00596A71"/>
    <w:rsid w:val="005B50D7"/>
    <w:rsid w:val="005D1F34"/>
    <w:rsid w:val="005F36BE"/>
    <w:rsid w:val="005F7015"/>
    <w:rsid w:val="0061324D"/>
    <w:rsid w:val="00643CC4"/>
    <w:rsid w:val="00672637"/>
    <w:rsid w:val="00683698"/>
    <w:rsid w:val="00690436"/>
    <w:rsid w:val="006A6BB3"/>
    <w:rsid w:val="006B2544"/>
    <w:rsid w:val="006C53AB"/>
    <w:rsid w:val="006C5F8E"/>
    <w:rsid w:val="006C6741"/>
    <w:rsid w:val="006D5EE5"/>
    <w:rsid w:val="006E2FE7"/>
    <w:rsid w:val="006F1E65"/>
    <w:rsid w:val="00740E26"/>
    <w:rsid w:val="00754E90"/>
    <w:rsid w:val="007606CC"/>
    <w:rsid w:val="00765D27"/>
    <w:rsid w:val="00770DCB"/>
    <w:rsid w:val="00775485"/>
    <w:rsid w:val="007A4AF6"/>
    <w:rsid w:val="007E3598"/>
    <w:rsid w:val="00815463"/>
    <w:rsid w:val="008724DE"/>
    <w:rsid w:val="00893110"/>
    <w:rsid w:val="008A66C0"/>
    <w:rsid w:val="008B3662"/>
    <w:rsid w:val="008B4C13"/>
    <w:rsid w:val="008D0418"/>
    <w:rsid w:val="008D6140"/>
    <w:rsid w:val="008E3D60"/>
    <w:rsid w:val="008E675D"/>
    <w:rsid w:val="0090165F"/>
    <w:rsid w:val="00966C2F"/>
    <w:rsid w:val="009709E5"/>
    <w:rsid w:val="00974980"/>
    <w:rsid w:val="009929CF"/>
    <w:rsid w:val="009B03DA"/>
    <w:rsid w:val="009F7239"/>
    <w:rsid w:val="00A01D78"/>
    <w:rsid w:val="00A0406E"/>
    <w:rsid w:val="00A07E44"/>
    <w:rsid w:val="00A312FF"/>
    <w:rsid w:val="00A32F15"/>
    <w:rsid w:val="00A41355"/>
    <w:rsid w:val="00A43B92"/>
    <w:rsid w:val="00A4438B"/>
    <w:rsid w:val="00A5443C"/>
    <w:rsid w:val="00A6179E"/>
    <w:rsid w:val="00A90A64"/>
    <w:rsid w:val="00A9225B"/>
    <w:rsid w:val="00AB5E78"/>
    <w:rsid w:val="00B0666A"/>
    <w:rsid w:val="00B10447"/>
    <w:rsid w:val="00B15F40"/>
    <w:rsid w:val="00B277E0"/>
    <w:rsid w:val="00B36914"/>
    <w:rsid w:val="00B53A65"/>
    <w:rsid w:val="00B8733C"/>
    <w:rsid w:val="00BA262D"/>
    <w:rsid w:val="00BD400C"/>
    <w:rsid w:val="00BF1C1B"/>
    <w:rsid w:val="00C00546"/>
    <w:rsid w:val="00C22712"/>
    <w:rsid w:val="00C25BDA"/>
    <w:rsid w:val="00C407F5"/>
    <w:rsid w:val="00C52035"/>
    <w:rsid w:val="00C71D32"/>
    <w:rsid w:val="00C82009"/>
    <w:rsid w:val="00C86B6D"/>
    <w:rsid w:val="00C87F1C"/>
    <w:rsid w:val="00CA0D78"/>
    <w:rsid w:val="00CB68EF"/>
    <w:rsid w:val="00CE2D63"/>
    <w:rsid w:val="00D1390E"/>
    <w:rsid w:val="00D41C6C"/>
    <w:rsid w:val="00D52509"/>
    <w:rsid w:val="00D65207"/>
    <w:rsid w:val="00D65C76"/>
    <w:rsid w:val="00DA2F73"/>
    <w:rsid w:val="00DC462F"/>
    <w:rsid w:val="00DE047A"/>
    <w:rsid w:val="00E05AE7"/>
    <w:rsid w:val="00E14A38"/>
    <w:rsid w:val="00E24FA3"/>
    <w:rsid w:val="00E36B41"/>
    <w:rsid w:val="00E45954"/>
    <w:rsid w:val="00E54D26"/>
    <w:rsid w:val="00E57F61"/>
    <w:rsid w:val="00E646A2"/>
    <w:rsid w:val="00E87CD7"/>
    <w:rsid w:val="00EE50BC"/>
    <w:rsid w:val="00EF1261"/>
    <w:rsid w:val="00F10F87"/>
    <w:rsid w:val="00F14C6D"/>
    <w:rsid w:val="00F36924"/>
    <w:rsid w:val="00F67D3F"/>
    <w:rsid w:val="00FA6159"/>
    <w:rsid w:val="00FB3D95"/>
    <w:rsid w:val="00FB625D"/>
    <w:rsid w:val="00FC3F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5">
      <o:colormru v:ext="edit" colors="#5f5f5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lsdException w:name="toc 5" w:locked="1"/>
    <w:lsdException w:name="toc 6" w:locked="1"/>
    <w:lsdException w:name="toc 7" w:locked="1"/>
    <w:lsdException w:name="toc 8" w:locked="1"/>
    <w:lsdException w:name="toc 9" w:locked="1"/>
    <w:lsdException w:name="Normal Inden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page number"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uiPriority="99"/>
    <w:lsdException w:name="FollowedHyperlink" w:locked="1"/>
    <w:lsdException w:name="Strong"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4510B9"/>
    <w:pPr>
      <w:spacing w:before="240" w:after="240"/>
    </w:pPr>
    <w:rPr>
      <w:rFonts w:ascii="Arial" w:hAnsi="Arial"/>
      <w:sz w:val="24"/>
      <w:szCs w:val="24"/>
    </w:rPr>
  </w:style>
  <w:style w:type="paragraph" w:styleId="Heading1">
    <w:name w:val="heading 1"/>
    <w:basedOn w:val="Normal"/>
    <w:next w:val="Normal"/>
    <w:link w:val="Heading1Char"/>
    <w:qFormat/>
    <w:rsid w:val="008D6140"/>
    <w:pPr>
      <w:keepNext/>
      <w:keepLines/>
      <w:numPr>
        <w:numId w:val="2"/>
      </w:numPr>
      <w:spacing w:before="360"/>
      <w:outlineLvl w:val="0"/>
    </w:pPr>
    <w:rPr>
      <w:b/>
      <w:bCs/>
      <w:sz w:val="28"/>
      <w:szCs w:val="28"/>
    </w:rPr>
  </w:style>
  <w:style w:type="paragraph" w:styleId="Heading2">
    <w:name w:val="heading 2"/>
    <w:basedOn w:val="Heading1"/>
    <w:next w:val="Normal"/>
    <w:link w:val="Heading2Char"/>
    <w:qFormat/>
    <w:rsid w:val="00D65207"/>
    <w:pPr>
      <w:numPr>
        <w:ilvl w:val="1"/>
      </w:numPr>
      <w:outlineLvl w:val="1"/>
    </w:pPr>
    <w:rPr>
      <w:bCs w:val="0"/>
      <w:i/>
      <w:color w:val="000000"/>
      <w:szCs w:val="26"/>
    </w:rPr>
  </w:style>
  <w:style w:type="paragraph" w:styleId="Heading3">
    <w:name w:val="heading 3"/>
    <w:basedOn w:val="Heading2"/>
    <w:next w:val="Normal"/>
    <w:link w:val="Heading3Char"/>
    <w:qFormat/>
    <w:rsid w:val="00D65207"/>
    <w:pPr>
      <w:numPr>
        <w:ilvl w:val="2"/>
      </w:numPr>
      <w:outlineLvl w:val="2"/>
    </w:pPr>
    <w:rPr>
      <w:b w:val="0"/>
      <w:bCs/>
      <w:color w:val="auto"/>
      <w:sz w:val="24"/>
    </w:rPr>
  </w:style>
  <w:style w:type="paragraph" w:styleId="Heading4">
    <w:name w:val="heading 4"/>
    <w:basedOn w:val="Heading3"/>
    <w:next w:val="Normal"/>
    <w:link w:val="Heading4Char"/>
    <w:qFormat/>
    <w:rsid w:val="00D65207"/>
    <w:pPr>
      <w:numPr>
        <w:ilvl w:val="3"/>
      </w:numPr>
      <w:outlineLvl w:val="3"/>
    </w:pPr>
    <w:rPr>
      <w:bCs w:val="0"/>
      <w:i w:val="0"/>
      <w:iCs/>
    </w:rPr>
  </w:style>
  <w:style w:type="paragraph" w:styleId="Heading5">
    <w:name w:val="heading 5"/>
    <w:basedOn w:val="Normal"/>
    <w:next w:val="Normal"/>
    <w:link w:val="Heading5Char"/>
    <w:qFormat/>
    <w:locked/>
    <w:rsid w:val="00D65207"/>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qFormat/>
    <w:locked/>
    <w:rsid w:val="00D65207"/>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qFormat/>
    <w:locked/>
    <w:rsid w:val="00D65207"/>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qFormat/>
    <w:locked/>
    <w:rsid w:val="00D65207"/>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qFormat/>
    <w:locked/>
    <w:rsid w:val="00D65207"/>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D6140"/>
    <w:rPr>
      <w:rFonts w:ascii="Arial" w:hAnsi="Arial"/>
      <w:b/>
      <w:bCs/>
      <w:sz w:val="28"/>
      <w:szCs w:val="28"/>
      <w:lang w:val="en-AU" w:eastAsia="en-AU" w:bidi="ar-SA"/>
    </w:rPr>
  </w:style>
  <w:style w:type="character" w:customStyle="1" w:styleId="Heading2Char">
    <w:name w:val="Heading 2 Char"/>
    <w:link w:val="Heading2"/>
    <w:rsid w:val="00D65207"/>
    <w:rPr>
      <w:rFonts w:ascii="Arial" w:hAnsi="Arial"/>
      <w:b/>
      <w:i/>
      <w:color w:val="000000"/>
      <w:sz w:val="24"/>
      <w:szCs w:val="26"/>
      <w:lang w:val="en-AU" w:eastAsia="en-AU" w:bidi="ar-SA"/>
    </w:rPr>
  </w:style>
  <w:style w:type="character" w:customStyle="1" w:styleId="Heading3Char">
    <w:name w:val="Heading 3 Char"/>
    <w:link w:val="Heading3"/>
    <w:rsid w:val="00D65207"/>
    <w:rPr>
      <w:rFonts w:ascii="Arial" w:hAnsi="Arial"/>
      <w:bCs/>
      <w:i/>
      <w:sz w:val="24"/>
      <w:szCs w:val="26"/>
      <w:lang w:val="en-AU" w:eastAsia="en-AU" w:bidi="ar-SA"/>
    </w:rPr>
  </w:style>
  <w:style w:type="character" w:customStyle="1" w:styleId="Heading4Char">
    <w:name w:val="Heading 4 Char"/>
    <w:link w:val="Heading4"/>
    <w:rsid w:val="00D65207"/>
    <w:rPr>
      <w:rFonts w:ascii="Arial" w:hAnsi="Arial"/>
      <w:iCs/>
      <w:sz w:val="24"/>
      <w:szCs w:val="26"/>
      <w:lang w:val="en-AU" w:eastAsia="en-AU" w:bidi="ar-SA"/>
    </w:rPr>
  </w:style>
  <w:style w:type="character" w:styleId="Strong">
    <w:name w:val="Strong"/>
    <w:qFormat/>
    <w:locked/>
    <w:rsid w:val="000B0A5D"/>
    <w:rPr>
      <w:b/>
      <w:bCs/>
    </w:rPr>
  </w:style>
  <w:style w:type="character" w:customStyle="1" w:styleId="Heading5Char">
    <w:name w:val="Heading 5 Char"/>
    <w:link w:val="Heading5"/>
    <w:semiHidden/>
    <w:rsid w:val="00D65207"/>
    <w:rPr>
      <w:rFonts w:ascii="Cambria" w:hAnsi="Cambria"/>
      <w:color w:val="243F60"/>
      <w:sz w:val="24"/>
      <w:szCs w:val="24"/>
      <w:lang w:val="en-AU" w:eastAsia="en-AU" w:bidi="ar-SA"/>
    </w:rPr>
  </w:style>
  <w:style w:type="character" w:customStyle="1" w:styleId="Heading6Char">
    <w:name w:val="Heading 6 Char"/>
    <w:link w:val="Heading6"/>
    <w:semiHidden/>
    <w:rsid w:val="00D65207"/>
    <w:rPr>
      <w:rFonts w:ascii="Cambria" w:hAnsi="Cambria"/>
      <w:i/>
      <w:iCs/>
      <w:color w:val="243F60"/>
      <w:sz w:val="24"/>
      <w:szCs w:val="24"/>
      <w:lang w:val="en-AU" w:eastAsia="en-AU" w:bidi="ar-SA"/>
    </w:rPr>
  </w:style>
  <w:style w:type="character" w:customStyle="1" w:styleId="Heading7Char">
    <w:name w:val="Heading 7 Char"/>
    <w:link w:val="Heading7"/>
    <w:semiHidden/>
    <w:rsid w:val="00D65207"/>
    <w:rPr>
      <w:rFonts w:ascii="Cambria" w:hAnsi="Cambria"/>
      <w:i/>
      <w:iCs/>
      <w:color w:val="404040"/>
      <w:sz w:val="24"/>
      <w:szCs w:val="24"/>
      <w:lang w:val="en-AU" w:eastAsia="en-AU" w:bidi="ar-SA"/>
    </w:rPr>
  </w:style>
  <w:style w:type="character" w:customStyle="1" w:styleId="Heading8Char">
    <w:name w:val="Heading 8 Char"/>
    <w:link w:val="Heading8"/>
    <w:semiHidden/>
    <w:rsid w:val="00D65207"/>
    <w:rPr>
      <w:rFonts w:ascii="Cambria" w:hAnsi="Cambria"/>
      <w:color w:val="404040"/>
      <w:lang w:val="en-AU" w:eastAsia="en-AU" w:bidi="ar-SA"/>
    </w:rPr>
  </w:style>
  <w:style w:type="character" w:customStyle="1" w:styleId="Heading9Char">
    <w:name w:val="Heading 9 Char"/>
    <w:link w:val="Heading9"/>
    <w:semiHidden/>
    <w:rsid w:val="00D65207"/>
    <w:rPr>
      <w:rFonts w:ascii="Cambria" w:hAnsi="Cambria"/>
      <w:i/>
      <w:iCs/>
      <w:color w:val="404040"/>
      <w:lang w:val="en-AU" w:eastAsia="en-AU" w:bidi="ar-SA"/>
    </w:rPr>
  </w:style>
  <w:style w:type="paragraph" w:styleId="Header">
    <w:name w:val="header"/>
    <w:basedOn w:val="Normal"/>
    <w:link w:val="HeaderChar"/>
    <w:semiHidden/>
    <w:rsid w:val="0090165F"/>
    <w:pPr>
      <w:tabs>
        <w:tab w:val="center" w:pos="4513"/>
        <w:tab w:val="right" w:pos="9026"/>
      </w:tabs>
      <w:spacing w:after="0"/>
    </w:pPr>
    <w:rPr>
      <w:sz w:val="22"/>
    </w:rPr>
  </w:style>
  <w:style w:type="character" w:customStyle="1" w:styleId="HeaderChar">
    <w:name w:val="Header Char"/>
    <w:link w:val="Header"/>
    <w:rsid w:val="0090165F"/>
    <w:rPr>
      <w:rFonts w:ascii="Arial" w:hAnsi="Arial"/>
      <w:sz w:val="22"/>
      <w:szCs w:val="24"/>
      <w:lang w:val="en-AU" w:eastAsia="en-AU" w:bidi="ar-SA"/>
    </w:rPr>
  </w:style>
  <w:style w:type="paragraph" w:styleId="Footer">
    <w:name w:val="footer"/>
    <w:basedOn w:val="Normal"/>
    <w:link w:val="FooterChar"/>
    <w:uiPriority w:val="99"/>
    <w:semiHidden/>
    <w:rsid w:val="00B277E0"/>
    <w:pPr>
      <w:tabs>
        <w:tab w:val="center" w:pos="4513"/>
        <w:tab w:val="right" w:pos="9026"/>
      </w:tabs>
      <w:spacing w:after="0"/>
    </w:pPr>
    <w:rPr>
      <w:sz w:val="22"/>
    </w:rPr>
  </w:style>
  <w:style w:type="character" w:customStyle="1" w:styleId="FooterChar">
    <w:name w:val="Footer Char"/>
    <w:link w:val="Footer"/>
    <w:uiPriority w:val="99"/>
    <w:rsid w:val="00B277E0"/>
    <w:rPr>
      <w:rFonts w:ascii="Arial" w:hAnsi="Arial"/>
      <w:sz w:val="22"/>
      <w:szCs w:val="24"/>
      <w:lang w:val="en-AU" w:eastAsia="en-AU" w:bidi="ar-SA"/>
    </w:rPr>
  </w:style>
  <w:style w:type="paragraph" w:styleId="TOC3">
    <w:name w:val="toc 3"/>
    <w:basedOn w:val="Normal"/>
    <w:next w:val="Normal"/>
    <w:autoRedefine/>
    <w:uiPriority w:val="39"/>
    <w:semiHidden/>
    <w:qFormat/>
    <w:locked/>
    <w:rsid w:val="008B3662"/>
    <w:pPr>
      <w:tabs>
        <w:tab w:val="right" w:leader="dot" w:pos="9060"/>
      </w:tabs>
      <w:spacing w:before="0" w:after="0"/>
      <w:ind w:left="1202" w:hanging="720"/>
    </w:pPr>
    <w:rPr>
      <w:rFonts w:eastAsia="MS Mincho" w:cs="Arial"/>
      <w:i/>
      <w:noProof/>
    </w:rPr>
  </w:style>
  <w:style w:type="character" w:styleId="PlaceholderText">
    <w:name w:val="Placeholder Text"/>
    <w:uiPriority w:val="99"/>
    <w:semiHidden/>
    <w:locked/>
    <w:rsid w:val="005D1F34"/>
    <w:rPr>
      <w:color w:val="808080"/>
    </w:rPr>
  </w:style>
  <w:style w:type="paragraph" w:styleId="ListContinue4">
    <w:name w:val="List Continue 4"/>
    <w:basedOn w:val="Normal"/>
    <w:semiHidden/>
    <w:locked/>
    <w:rsid w:val="0090165F"/>
    <w:pPr>
      <w:spacing w:after="120"/>
      <w:ind w:left="1132"/>
    </w:pPr>
  </w:style>
  <w:style w:type="numbering" w:styleId="111111">
    <w:name w:val="Outline List 2"/>
    <w:basedOn w:val="NoList"/>
    <w:semiHidden/>
    <w:locked/>
    <w:rsid w:val="00E45954"/>
    <w:pPr>
      <w:numPr>
        <w:numId w:val="17"/>
      </w:numPr>
    </w:pPr>
  </w:style>
  <w:style w:type="paragraph" w:styleId="TOC1">
    <w:name w:val="toc 1"/>
    <w:basedOn w:val="Normal"/>
    <w:next w:val="Normal"/>
    <w:autoRedefine/>
    <w:uiPriority w:val="39"/>
    <w:semiHidden/>
    <w:qFormat/>
    <w:locked/>
    <w:rsid w:val="008B3662"/>
    <w:pPr>
      <w:tabs>
        <w:tab w:val="right" w:leader="dot" w:pos="9060"/>
      </w:tabs>
      <w:spacing w:after="0"/>
      <w:ind w:left="720" w:hanging="720"/>
    </w:pPr>
    <w:rPr>
      <w:b/>
      <w:noProof/>
      <w:sz w:val="28"/>
    </w:rPr>
  </w:style>
  <w:style w:type="paragraph" w:styleId="TOC2">
    <w:name w:val="toc 2"/>
    <w:basedOn w:val="Normal"/>
    <w:next w:val="Normal"/>
    <w:autoRedefine/>
    <w:uiPriority w:val="39"/>
    <w:semiHidden/>
    <w:qFormat/>
    <w:locked/>
    <w:rsid w:val="008B3662"/>
    <w:pPr>
      <w:tabs>
        <w:tab w:val="right" w:leader="dot" w:pos="9060"/>
      </w:tabs>
      <w:spacing w:before="0" w:after="0"/>
      <w:ind w:left="958" w:hanging="720"/>
    </w:pPr>
    <w:rPr>
      <w:b/>
      <w:i/>
      <w:noProof/>
    </w:rPr>
  </w:style>
  <w:style w:type="paragraph" w:styleId="TOC4">
    <w:name w:val="toc 4"/>
    <w:basedOn w:val="Normal"/>
    <w:next w:val="Normal"/>
    <w:autoRedefine/>
    <w:uiPriority w:val="39"/>
    <w:semiHidden/>
    <w:locked/>
    <w:rsid w:val="001373D3"/>
    <w:pPr>
      <w:tabs>
        <w:tab w:val="left" w:pos="1440"/>
        <w:tab w:val="right" w:leader="dot" w:pos="9060"/>
      </w:tabs>
      <w:spacing w:before="0" w:after="0"/>
      <w:ind w:left="1440" w:hanging="720"/>
    </w:pPr>
    <w:rPr>
      <w:noProof/>
    </w:rPr>
  </w:style>
  <w:style w:type="character" w:styleId="Hyperlink">
    <w:name w:val="Hyperlink"/>
    <w:uiPriority w:val="99"/>
    <w:unhideWhenUsed/>
    <w:locked/>
    <w:rsid w:val="0024557E"/>
    <w:rPr>
      <w:color w:val="0000FF"/>
      <w:u w:val="single"/>
    </w:rPr>
  </w:style>
  <w:style w:type="paragraph" w:styleId="TOCHeading">
    <w:name w:val="TOC Heading"/>
    <w:basedOn w:val="Normal"/>
    <w:next w:val="Normal"/>
    <w:uiPriority w:val="39"/>
    <w:qFormat/>
    <w:locked/>
    <w:rsid w:val="003731B3"/>
    <w:pPr>
      <w:spacing w:before="480" w:after="0" w:line="276" w:lineRule="auto"/>
    </w:pPr>
    <w:rPr>
      <w:b/>
      <w:color w:val="000000"/>
      <w:sz w:val="28"/>
      <w:lang w:val="en-US" w:eastAsia="en-US"/>
    </w:rPr>
  </w:style>
  <w:style w:type="paragraph" w:styleId="EndnoteText">
    <w:name w:val="endnote text"/>
    <w:basedOn w:val="Normal"/>
    <w:link w:val="EndnoteTextChar1"/>
    <w:semiHidden/>
    <w:rsid w:val="004B3F64"/>
    <w:pPr>
      <w:spacing w:before="0" w:after="0"/>
    </w:pPr>
    <w:rPr>
      <w:sz w:val="20"/>
      <w:szCs w:val="20"/>
    </w:rPr>
  </w:style>
  <w:style w:type="character" w:customStyle="1" w:styleId="EndnoteTextChar1">
    <w:name w:val="Endnote Text Char1"/>
    <w:link w:val="EndnoteText"/>
    <w:rsid w:val="004B3F64"/>
    <w:rPr>
      <w:rFonts w:ascii="Arial" w:hAnsi="Arial"/>
      <w:lang w:val="en-AU" w:eastAsia="en-AU" w:bidi="ar-SA"/>
    </w:rPr>
  </w:style>
  <w:style w:type="character" w:styleId="EndnoteReference">
    <w:name w:val="endnote reference"/>
    <w:semiHidden/>
    <w:rsid w:val="004510B9"/>
    <w:rPr>
      <w:rFonts w:ascii="Arial" w:hAnsi="Arial"/>
      <w:sz w:val="20"/>
      <w:vertAlign w:val="superscript"/>
    </w:rPr>
  </w:style>
  <w:style w:type="numbering" w:styleId="1ai">
    <w:name w:val="Outline List 1"/>
    <w:basedOn w:val="NoList"/>
    <w:semiHidden/>
    <w:locked/>
    <w:rsid w:val="00E45954"/>
    <w:pPr>
      <w:numPr>
        <w:numId w:val="18"/>
      </w:numPr>
    </w:pPr>
  </w:style>
  <w:style w:type="numbering" w:styleId="ArticleSection">
    <w:name w:val="Outline List 3"/>
    <w:basedOn w:val="NoList"/>
    <w:semiHidden/>
    <w:locked/>
    <w:rsid w:val="00E45954"/>
    <w:pPr>
      <w:numPr>
        <w:numId w:val="19"/>
      </w:numPr>
    </w:pPr>
  </w:style>
  <w:style w:type="paragraph" w:styleId="BlockText">
    <w:name w:val="Block Text"/>
    <w:basedOn w:val="Normal"/>
    <w:semiHidden/>
    <w:locked/>
    <w:rsid w:val="00E45954"/>
    <w:pPr>
      <w:spacing w:after="120"/>
      <w:ind w:left="1440" w:right="1440"/>
    </w:pPr>
  </w:style>
  <w:style w:type="paragraph" w:styleId="BodyText">
    <w:name w:val="Body Text"/>
    <w:basedOn w:val="Normal"/>
    <w:semiHidden/>
    <w:locked/>
    <w:rsid w:val="00E45954"/>
    <w:pPr>
      <w:spacing w:after="120"/>
    </w:pPr>
  </w:style>
  <w:style w:type="paragraph" w:styleId="BodyText2">
    <w:name w:val="Body Text 2"/>
    <w:basedOn w:val="Normal"/>
    <w:semiHidden/>
    <w:locked/>
    <w:rsid w:val="00E45954"/>
    <w:pPr>
      <w:spacing w:after="120" w:line="480" w:lineRule="auto"/>
    </w:pPr>
  </w:style>
  <w:style w:type="paragraph" w:styleId="BodyText3">
    <w:name w:val="Body Text 3"/>
    <w:basedOn w:val="Normal"/>
    <w:semiHidden/>
    <w:locked/>
    <w:rsid w:val="00E45954"/>
    <w:pPr>
      <w:spacing w:after="120"/>
    </w:pPr>
    <w:rPr>
      <w:sz w:val="16"/>
      <w:szCs w:val="16"/>
    </w:rPr>
  </w:style>
  <w:style w:type="paragraph" w:styleId="BodyTextFirstIndent">
    <w:name w:val="Body Text First Indent"/>
    <w:basedOn w:val="BodyText"/>
    <w:semiHidden/>
    <w:locked/>
    <w:rsid w:val="00E45954"/>
    <w:pPr>
      <w:ind w:firstLine="210"/>
    </w:pPr>
  </w:style>
  <w:style w:type="paragraph" w:styleId="BodyTextIndent">
    <w:name w:val="Body Text Indent"/>
    <w:basedOn w:val="Normal"/>
    <w:semiHidden/>
    <w:locked/>
    <w:rsid w:val="00E45954"/>
    <w:pPr>
      <w:spacing w:after="120"/>
      <w:ind w:left="283"/>
    </w:pPr>
  </w:style>
  <w:style w:type="paragraph" w:styleId="BodyTextFirstIndent2">
    <w:name w:val="Body Text First Indent 2"/>
    <w:basedOn w:val="BodyTextIndent"/>
    <w:semiHidden/>
    <w:locked/>
    <w:rsid w:val="00E45954"/>
    <w:pPr>
      <w:ind w:firstLine="210"/>
    </w:pPr>
  </w:style>
  <w:style w:type="paragraph" w:styleId="BodyTextIndent2">
    <w:name w:val="Body Text Indent 2"/>
    <w:basedOn w:val="Normal"/>
    <w:semiHidden/>
    <w:locked/>
    <w:rsid w:val="00E45954"/>
    <w:pPr>
      <w:spacing w:after="120" w:line="480" w:lineRule="auto"/>
      <w:ind w:left="283"/>
    </w:pPr>
  </w:style>
  <w:style w:type="paragraph" w:styleId="BodyTextIndent3">
    <w:name w:val="Body Text Indent 3"/>
    <w:basedOn w:val="Normal"/>
    <w:semiHidden/>
    <w:locked/>
    <w:rsid w:val="00E45954"/>
    <w:pPr>
      <w:spacing w:after="120"/>
      <w:ind w:left="283"/>
    </w:pPr>
    <w:rPr>
      <w:sz w:val="16"/>
      <w:szCs w:val="16"/>
    </w:rPr>
  </w:style>
  <w:style w:type="paragraph" w:styleId="Closing">
    <w:name w:val="Closing"/>
    <w:basedOn w:val="Normal"/>
    <w:semiHidden/>
    <w:locked/>
    <w:rsid w:val="00E45954"/>
    <w:pPr>
      <w:ind w:left="4252"/>
    </w:pPr>
  </w:style>
  <w:style w:type="paragraph" w:styleId="Date">
    <w:name w:val="Date"/>
    <w:basedOn w:val="Normal"/>
    <w:next w:val="Normal"/>
    <w:semiHidden/>
    <w:locked/>
    <w:rsid w:val="00E45954"/>
  </w:style>
  <w:style w:type="paragraph" w:styleId="E-mailSignature">
    <w:name w:val="E-mail Signature"/>
    <w:basedOn w:val="Normal"/>
    <w:semiHidden/>
    <w:locked/>
    <w:rsid w:val="00E45954"/>
  </w:style>
  <w:style w:type="character" w:styleId="Emphasis">
    <w:name w:val="Emphasis"/>
    <w:qFormat/>
    <w:locked/>
    <w:rsid w:val="00E45954"/>
    <w:rPr>
      <w:i/>
      <w:iCs/>
    </w:rPr>
  </w:style>
  <w:style w:type="paragraph" w:styleId="EnvelopeAddress">
    <w:name w:val="envelope address"/>
    <w:basedOn w:val="Normal"/>
    <w:semiHidden/>
    <w:locked/>
    <w:rsid w:val="00436828"/>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locked/>
    <w:rsid w:val="00E45954"/>
    <w:rPr>
      <w:rFonts w:cs="Arial"/>
      <w:sz w:val="20"/>
      <w:szCs w:val="20"/>
    </w:rPr>
  </w:style>
  <w:style w:type="character" w:styleId="FootnoteReference">
    <w:name w:val="footnote reference"/>
    <w:semiHidden/>
    <w:rsid w:val="004510B9"/>
    <w:rPr>
      <w:rFonts w:ascii="Arial" w:hAnsi="Arial"/>
      <w:sz w:val="20"/>
      <w:vertAlign w:val="superscript"/>
    </w:rPr>
  </w:style>
  <w:style w:type="paragraph" w:styleId="FootnoteText">
    <w:name w:val="footnote text"/>
    <w:basedOn w:val="Normal"/>
    <w:semiHidden/>
    <w:rsid w:val="004B3F64"/>
    <w:pPr>
      <w:spacing w:before="0" w:after="0"/>
    </w:pPr>
    <w:rPr>
      <w:sz w:val="20"/>
      <w:szCs w:val="20"/>
    </w:rPr>
  </w:style>
  <w:style w:type="character" w:styleId="HTMLAcronym">
    <w:name w:val="HTML Acronym"/>
    <w:basedOn w:val="DefaultParagraphFont"/>
    <w:semiHidden/>
    <w:locked/>
    <w:rsid w:val="00E45954"/>
  </w:style>
  <w:style w:type="paragraph" w:styleId="HTMLAddress">
    <w:name w:val="HTML Address"/>
    <w:basedOn w:val="Normal"/>
    <w:semiHidden/>
    <w:locked/>
    <w:rsid w:val="00E45954"/>
    <w:rPr>
      <w:i/>
      <w:iCs/>
    </w:rPr>
  </w:style>
  <w:style w:type="character" w:styleId="HTMLCite">
    <w:name w:val="HTML Cite"/>
    <w:semiHidden/>
    <w:locked/>
    <w:rsid w:val="00E45954"/>
    <w:rPr>
      <w:i/>
      <w:iCs/>
    </w:rPr>
  </w:style>
  <w:style w:type="character" w:styleId="HTMLCode">
    <w:name w:val="HTML Code"/>
    <w:semiHidden/>
    <w:locked/>
    <w:rsid w:val="00E45954"/>
    <w:rPr>
      <w:rFonts w:ascii="Courier New" w:hAnsi="Courier New" w:cs="Courier New"/>
      <w:sz w:val="20"/>
      <w:szCs w:val="20"/>
    </w:rPr>
  </w:style>
  <w:style w:type="character" w:styleId="HTMLDefinition">
    <w:name w:val="HTML Definition"/>
    <w:semiHidden/>
    <w:locked/>
    <w:rsid w:val="00E45954"/>
    <w:rPr>
      <w:i/>
      <w:iCs/>
    </w:rPr>
  </w:style>
  <w:style w:type="character" w:styleId="HTMLKeyboard">
    <w:name w:val="HTML Keyboard"/>
    <w:semiHidden/>
    <w:locked/>
    <w:rsid w:val="00E45954"/>
    <w:rPr>
      <w:rFonts w:ascii="Courier New" w:hAnsi="Courier New" w:cs="Courier New"/>
      <w:sz w:val="20"/>
      <w:szCs w:val="20"/>
    </w:rPr>
  </w:style>
  <w:style w:type="paragraph" w:styleId="HTMLPreformatted">
    <w:name w:val="HTML Preformatted"/>
    <w:basedOn w:val="Normal"/>
    <w:semiHidden/>
    <w:locked/>
    <w:rsid w:val="00E45954"/>
    <w:rPr>
      <w:rFonts w:ascii="Courier New" w:hAnsi="Courier New" w:cs="Courier New"/>
      <w:sz w:val="20"/>
      <w:szCs w:val="20"/>
    </w:rPr>
  </w:style>
  <w:style w:type="character" w:styleId="HTMLSample">
    <w:name w:val="HTML Sample"/>
    <w:semiHidden/>
    <w:locked/>
    <w:rsid w:val="00E45954"/>
    <w:rPr>
      <w:rFonts w:ascii="Courier New" w:hAnsi="Courier New" w:cs="Courier New"/>
    </w:rPr>
  </w:style>
  <w:style w:type="character" w:styleId="HTMLTypewriter">
    <w:name w:val="HTML Typewriter"/>
    <w:semiHidden/>
    <w:locked/>
    <w:rsid w:val="00E45954"/>
    <w:rPr>
      <w:rFonts w:ascii="Courier New" w:hAnsi="Courier New" w:cs="Courier New"/>
      <w:sz w:val="20"/>
      <w:szCs w:val="20"/>
    </w:rPr>
  </w:style>
  <w:style w:type="character" w:styleId="HTMLVariable">
    <w:name w:val="HTML Variable"/>
    <w:semiHidden/>
    <w:locked/>
    <w:rsid w:val="00E45954"/>
    <w:rPr>
      <w:i/>
      <w:iCs/>
    </w:rPr>
  </w:style>
  <w:style w:type="character" w:styleId="LineNumber">
    <w:name w:val="line number"/>
    <w:basedOn w:val="DefaultParagraphFont"/>
    <w:semiHidden/>
    <w:locked/>
    <w:rsid w:val="00E45954"/>
  </w:style>
  <w:style w:type="paragraph" w:styleId="List">
    <w:name w:val="List"/>
    <w:basedOn w:val="Normal"/>
    <w:semiHidden/>
    <w:locked/>
    <w:rsid w:val="00E45954"/>
    <w:pPr>
      <w:ind w:left="283" w:hanging="283"/>
    </w:pPr>
  </w:style>
  <w:style w:type="paragraph" w:styleId="List2">
    <w:name w:val="List 2"/>
    <w:basedOn w:val="Normal"/>
    <w:semiHidden/>
    <w:locked/>
    <w:rsid w:val="00E45954"/>
    <w:pPr>
      <w:ind w:left="566" w:hanging="283"/>
    </w:pPr>
  </w:style>
  <w:style w:type="paragraph" w:styleId="List3">
    <w:name w:val="List 3"/>
    <w:basedOn w:val="Normal"/>
    <w:semiHidden/>
    <w:locked/>
    <w:rsid w:val="00E45954"/>
    <w:pPr>
      <w:ind w:left="849" w:hanging="283"/>
    </w:pPr>
  </w:style>
  <w:style w:type="paragraph" w:styleId="List4">
    <w:name w:val="List 4"/>
    <w:basedOn w:val="Normal"/>
    <w:semiHidden/>
    <w:locked/>
    <w:rsid w:val="00E45954"/>
    <w:pPr>
      <w:ind w:left="1132" w:hanging="283"/>
    </w:pPr>
  </w:style>
  <w:style w:type="paragraph" w:styleId="List5">
    <w:name w:val="List 5"/>
    <w:basedOn w:val="Normal"/>
    <w:semiHidden/>
    <w:locked/>
    <w:rsid w:val="00E45954"/>
    <w:pPr>
      <w:ind w:left="1415" w:hanging="283"/>
    </w:pPr>
  </w:style>
  <w:style w:type="paragraph" w:styleId="ListBullet">
    <w:name w:val="List Bullet"/>
    <w:basedOn w:val="Normal"/>
    <w:semiHidden/>
    <w:locked/>
    <w:rsid w:val="00E45954"/>
    <w:pPr>
      <w:numPr>
        <w:numId w:val="7"/>
      </w:numPr>
    </w:pPr>
  </w:style>
  <w:style w:type="paragraph" w:styleId="ListBullet2">
    <w:name w:val="List Bullet 2"/>
    <w:basedOn w:val="Normal"/>
    <w:semiHidden/>
    <w:locked/>
    <w:rsid w:val="00E45954"/>
    <w:pPr>
      <w:numPr>
        <w:numId w:val="8"/>
      </w:numPr>
    </w:pPr>
  </w:style>
  <w:style w:type="paragraph" w:styleId="ListBullet3">
    <w:name w:val="List Bullet 3"/>
    <w:basedOn w:val="Normal"/>
    <w:semiHidden/>
    <w:locked/>
    <w:rsid w:val="00E45954"/>
    <w:pPr>
      <w:numPr>
        <w:numId w:val="9"/>
      </w:numPr>
    </w:pPr>
  </w:style>
  <w:style w:type="paragraph" w:styleId="ListBullet4">
    <w:name w:val="List Bullet 4"/>
    <w:basedOn w:val="Normal"/>
    <w:semiHidden/>
    <w:locked/>
    <w:rsid w:val="00E45954"/>
    <w:pPr>
      <w:numPr>
        <w:numId w:val="10"/>
      </w:numPr>
    </w:pPr>
  </w:style>
  <w:style w:type="paragraph" w:styleId="ListBullet5">
    <w:name w:val="List Bullet 5"/>
    <w:basedOn w:val="Normal"/>
    <w:semiHidden/>
    <w:locked/>
    <w:rsid w:val="00E45954"/>
    <w:pPr>
      <w:numPr>
        <w:numId w:val="11"/>
      </w:numPr>
    </w:pPr>
  </w:style>
  <w:style w:type="paragraph" w:styleId="ListContinue">
    <w:name w:val="List Continue"/>
    <w:basedOn w:val="Normal"/>
    <w:semiHidden/>
    <w:locked/>
    <w:rsid w:val="00E45954"/>
    <w:pPr>
      <w:spacing w:after="120"/>
      <w:ind w:left="283"/>
    </w:pPr>
  </w:style>
  <w:style w:type="paragraph" w:styleId="ListContinue2">
    <w:name w:val="List Continue 2"/>
    <w:basedOn w:val="Normal"/>
    <w:semiHidden/>
    <w:locked/>
    <w:rsid w:val="00E45954"/>
    <w:pPr>
      <w:spacing w:after="120"/>
      <w:ind w:left="566"/>
    </w:pPr>
  </w:style>
  <w:style w:type="paragraph" w:styleId="ListContinue3">
    <w:name w:val="List Continue 3"/>
    <w:basedOn w:val="Normal"/>
    <w:semiHidden/>
    <w:locked/>
    <w:rsid w:val="00E45954"/>
    <w:pPr>
      <w:spacing w:after="120"/>
      <w:ind w:left="849"/>
    </w:pPr>
  </w:style>
  <w:style w:type="paragraph" w:styleId="ListContinue5">
    <w:name w:val="List Continue 5"/>
    <w:basedOn w:val="Normal"/>
    <w:semiHidden/>
    <w:locked/>
    <w:rsid w:val="00E45954"/>
    <w:pPr>
      <w:spacing w:after="120"/>
      <w:ind w:left="1415"/>
    </w:pPr>
  </w:style>
  <w:style w:type="paragraph" w:styleId="ListNumber">
    <w:name w:val="List Number"/>
    <w:basedOn w:val="Normal"/>
    <w:semiHidden/>
    <w:locked/>
    <w:rsid w:val="00E45954"/>
    <w:pPr>
      <w:numPr>
        <w:numId w:val="12"/>
      </w:numPr>
    </w:pPr>
  </w:style>
  <w:style w:type="paragraph" w:styleId="ListNumber2">
    <w:name w:val="List Number 2"/>
    <w:basedOn w:val="Normal"/>
    <w:semiHidden/>
    <w:locked/>
    <w:rsid w:val="00E45954"/>
    <w:pPr>
      <w:numPr>
        <w:numId w:val="15"/>
      </w:numPr>
    </w:pPr>
  </w:style>
  <w:style w:type="paragraph" w:styleId="ListNumber3">
    <w:name w:val="List Number 3"/>
    <w:basedOn w:val="Normal"/>
    <w:semiHidden/>
    <w:locked/>
    <w:rsid w:val="00E45954"/>
    <w:pPr>
      <w:numPr>
        <w:numId w:val="16"/>
      </w:numPr>
    </w:pPr>
  </w:style>
  <w:style w:type="paragraph" w:styleId="ListNumber4">
    <w:name w:val="List Number 4"/>
    <w:basedOn w:val="Normal"/>
    <w:semiHidden/>
    <w:locked/>
    <w:rsid w:val="00E45954"/>
    <w:pPr>
      <w:numPr>
        <w:numId w:val="13"/>
      </w:numPr>
    </w:pPr>
  </w:style>
  <w:style w:type="paragraph" w:styleId="ListNumber5">
    <w:name w:val="List Number 5"/>
    <w:basedOn w:val="Normal"/>
    <w:semiHidden/>
    <w:locked/>
    <w:rsid w:val="00E45954"/>
    <w:pPr>
      <w:numPr>
        <w:numId w:val="14"/>
      </w:numPr>
    </w:pPr>
  </w:style>
  <w:style w:type="paragraph" w:styleId="MessageHeader">
    <w:name w:val="Message Header"/>
    <w:basedOn w:val="Normal"/>
    <w:semiHidden/>
    <w:locked/>
    <w:rsid w:val="00E4595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locked/>
    <w:rsid w:val="00E45954"/>
    <w:rPr>
      <w:rFonts w:ascii="Times New Roman" w:hAnsi="Times New Roman"/>
    </w:rPr>
  </w:style>
  <w:style w:type="paragraph" w:styleId="NormalIndent">
    <w:name w:val="Normal Indent"/>
    <w:basedOn w:val="Normal"/>
    <w:semiHidden/>
    <w:locked/>
    <w:rsid w:val="00E45954"/>
    <w:pPr>
      <w:ind w:left="720"/>
    </w:pPr>
  </w:style>
  <w:style w:type="paragraph" w:styleId="NoteHeading">
    <w:name w:val="Note Heading"/>
    <w:basedOn w:val="Normal"/>
    <w:next w:val="Normal"/>
    <w:semiHidden/>
    <w:locked/>
    <w:rsid w:val="00E45954"/>
  </w:style>
  <w:style w:type="character" w:styleId="PageNumber">
    <w:name w:val="page number"/>
    <w:basedOn w:val="DefaultParagraphFont"/>
    <w:semiHidden/>
    <w:locked/>
    <w:rsid w:val="00E45954"/>
  </w:style>
  <w:style w:type="paragraph" w:styleId="PlainText">
    <w:name w:val="Plain Text"/>
    <w:basedOn w:val="Normal"/>
    <w:semiHidden/>
    <w:locked/>
    <w:rsid w:val="00E45954"/>
    <w:rPr>
      <w:rFonts w:ascii="Courier New" w:hAnsi="Courier New" w:cs="Courier New"/>
      <w:sz w:val="20"/>
      <w:szCs w:val="20"/>
    </w:rPr>
  </w:style>
  <w:style w:type="paragraph" w:styleId="Salutation">
    <w:name w:val="Salutation"/>
    <w:basedOn w:val="Normal"/>
    <w:next w:val="Normal"/>
    <w:semiHidden/>
    <w:locked/>
    <w:rsid w:val="00E45954"/>
  </w:style>
  <w:style w:type="paragraph" w:styleId="Signature">
    <w:name w:val="Signature"/>
    <w:basedOn w:val="Normal"/>
    <w:semiHidden/>
    <w:locked/>
    <w:rsid w:val="00E45954"/>
    <w:pPr>
      <w:ind w:left="4252"/>
    </w:pPr>
  </w:style>
  <w:style w:type="paragraph" w:styleId="Subtitle">
    <w:name w:val="Subtitle"/>
    <w:basedOn w:val="Normal"/>
    <w:qFormat/>
    <w:locked/>
    <w:rsid w:val="00E45954"/>
    <w:pPr>
      <w:spacing w:after="60"/>
      <w:jc w:val="center"/>
      <w:outlineLvl w:val="1"/>
    </w:pPr>
    <w:rPr>
      <w:rFonts w:cs="Arial"/>
    </w:rPr>
  </w:style>
  <w:style w:type="table" w:styleId="Table3Deffects1">
    <w:name w:val="Table 3D effects 1"/>
    <w:basedOn w:val="TableNormal"/>
    <w:semiHidden/>
    <w:locked/>
    <w:rsid w:val="00E45954"/>
    <w:pPr>
      <w:spacing w:after="24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locked/>
    <w:rsid w:val="00E45954"/>
    <w:pPr>
      <w:spacing w:after="24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locked/>
    <w:rsid w:val="00E45954"/>
    <w:pPr>
      <w:spacing w:after="60"/>
      <w:jc w:val="center"/>
      <w:outlineLvl w:val="0"/>
    </w:pPr>
    <w:rPr>
      <w:rFonts w:cs="Arial"/>
      <w:b/>
      <w:bCs/>
      <w:kern w:val="28"/>
      <w:sz w:val="32"/>
      <w:szCs w:val="32"/>
    </w:rPr>
  </w:style>
  <w:style w:type="character" w:styleId="FollowedHyperlink">
    <w:name w:val="FollowedHyperlink"/>
    <w:semiHidden/>
    <w:locked/>
    <w:rsid w:val="00E45954"/>
    <w:rPr>
      <w:color w:val="800080"/>
      <w:u w:val="single"/>
    </w:rPr>
  </w:style>
  <w:style w:type="paragraph" w:customStyle="1" w:styleId="AddressBlock">
    <w:name w:val="Address Block"/>
    <w:basedOn w:val="BodyText"/>
    <w:semiHidden/>
    <w:rsid w:val="00000871"/>
    <w:pPr>
      <w:keepNext/>
      <w:keepLines/>
      <w:spacing w:after="0"/>
    </w:pPr>
    <w:rPr>
      <w:rFonts w:cs="ArialMT"/>
      <w:lang w:val="en-US" w:bidi="en-US"/>
    </w:rPr>
  </w:style>
  <w:style w:type="paragraph" w:customStyle="1" w:styleId="Contactdetails">
    <w:name w:val="Contact details"/>
    <w:basedOn w:val="Normal"/>
    <w:semiHidden/>
    <w:rsid w:val="00000871"/>
    <w:pPr>
      <w:keepNext/>
      <w:keepLines/>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10" w:lineRule="exact"/>
    </w:pPr>
    <w:rPr>
      <w:rFonts w:ascii="ArialMT" w:hAnsi="ArialMT" w:cs="ArialMT"/>
      <w:sz w:val="20"/>
      <w:lang w:val="en-US" w:bidi="en-US"/>
    </w:rPr>
  </w:style>
  <w:style w:type="paragraph" w:customStyle="1" w:styleId="OurRef">
    <w:name w:val="Our Ref:"/>
    <w:basedOn w:val="BodyText"/>
    <w:semiHidden/>
    <w:rsid w:val="00000871"/>
    <w:pPr>
      <w:spacing w:after="193"/>
    </w:pPr>
    <w:rPr>
      <w:rFonts w:cs="ArialMT"/>
      <w:lang w:val="en-US" w:bidi="en-US"/>
    </w:rPr>
  </w:style>
  <w:style w:type="paragraph" w:customStyle="1" w:styleId="NameInsert">
    <w:name w:val="Name Insert"/>
    <w:basedOn w:val="BodyText"/>
    <w:semiHidden/>
    <w:rsid w:val="00000871"/>
    <w:rPr>
      <w:lang w:val="en-US" w:bidi="en-US"/>
    </w:rPr>
  </w:style>
  <w:style w:type="paragraph" w:customStyle="1" w:styleId="Dash">
    <w:name w:val="Dash"/>
    <w:basedOn w:val="Normal"/>
    <w:semiHidden/>
    <w:rsid w:val="00000871"/>
    <w:pPr>
      <w:numPr>
        <w:numId w:val="21"/>
      </w:numPr>
      <w:tabs>
        <w:tab w:val="num" w:pos="360"/>
      </w:tabs>
      <w:spacing w:before="20" w:after="20"/>
      <w:ind w:left="0" w:firstLine="0"/>
    </w:pPr>
  </w:style>
  <w:style w:type="paragraph" w:customStyle="1" w:styleId="HeaderFooter">
    <w:name w:val="Header &amp; Footer"/>
    <w:basedOn w:val="Normal"/>
    <w:semiHidden/>
    <w:rsid w:val="00000871"/>
    <w:pPr>
      <w:spacing w:line="200" w:lineRule="exact"/>
    </w:pPr>
    <w:rPr>
      <w:rFonts w:cs="ArialMT"/>
      <w:sz w:val="16"/>
    </w:rPr>
  </w:style>
  <w:style w:type="paragraph" w:customStyle="1" w:styleId="LogoType">
    <w:name w:val="Logo Type"/>
    <w:basedOn w:val="Header"/>
    <w:semiHidden/>
    <w:rsid w:val="00000871"/>
    <w:pPr>
      <w:pBdr>
        <w:bottom w:val="single" w:sz="4" w:space="4" w:color="auto"/>
      </w:pBdr>
      <w:tabs>
        <w:tab w:val="clear" w:pos="4513"/>
        <w:tab w:val="clear" w:pos="9026"/>
        <w:tab w:val="left" w:pos="4686"/>
        <w:tab w:val="left" w:pos="7088"/>
        <w:tab w:val="left" w:pos="7242"/>
      </w:tabs>
      <w:spacing w:after="240" w:line="320" w:lineRule="exact"/>
    </w:pPr>
    <w:rPr>
      <w:rFonts w:cs="ArialMT"/>
      <w:b/>
      <w:color w:val="808080"/>
      <w:spacing w:val="-20"/>
      <w:sz w:val="32"/>
    </w:rPr>
  </w:style>
  <w:style w:type="character" w:customStyle="1" w:styleId="CharChar">
    <w:name w:val="Char Char"/>
    <w:semiHidden/>
    <w:locked/>
    <w:rsid w:val="00215015"/>
    <w:rPr>
      <w:rFonts w:ascii="Arial" w:hAnsi="Arial" w:cs="Arial"/>
      <w:lang w:val="en-AU" w:eastAsia="en-AU" w:bidi="ar-SA"/>
    </w:rPr>
  </w:style>
  <w:style w:type="character" w:customStyle="1" w:styleId="EndnoteTextChar">
    <w:name w:val="Endnote Text Char"/>
    <w:semiHidden/>
    <w:locked/>
    <w:rsid w:val="0061324D"/>
    <w:rPr>
      <w:rFonts w:ascii="Arial" w:hAnsi="Arial"/>
      <w:lang w:bidi="ar-SA"/>
    </w:rPr>
  </w:style>
  <w:style w:type="paragraph" w:styleId="BalloonText">
    <w:name w:val="Balloon Text"/>
    <w:basedOn w:val="Normal"/>
    <w:semiHidden/>
    <w:locked/>
    <w:rsid w:val="006E2FE7"/>
    <w:rPr>
      <w:rFonts w:ascii="Tahoma" w:hAnsi="Tahoma" w:cs="Tahoma"/>
      <w:sz w:val="16"/>
      <w:szCs w:val="16"/>
    </w:rPr>
  </w:style>
  <w:style w:type="paragraph" w:styleId="ListParagraph">
    <w:name w:val="List Paragraph"/>
    <w:basedOn w:val="Normal"/>
    <w:uiPriority w:val="34"/>
    <w:qFormat/>
    <w:rsid w:val="00596A71"/>
    <w:pPr>
      <w:ind w:left="720"/>
      <w:contextualSpacing/>
    </w:pPr>
  </w:style>
  <w:style w:type="paragraph" w:customStyle="1" w:styleId="Default">
    <w:name w:val="Default"/>
    <w:rsid w:val="00596A71"/>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ArticleSection"/>
    <w:pPr>
      <w:numPr>
        <w:numId w:val="19"/>
      </w:numPr>
    </w:pPr>
  </w:style>
  <w:style w:type="numbering" w:customStyle="1" w:styleId="Heading2Char">
    <w:name w:val="1ai"/>
    <w:pPr>
      <w:numPr>
        <w:numId w:val="18"/>
      </w:numPr>
    </w:pPr>
  </w:style>
  <w:style w:type="numbering" w:customStyle="1" w:styleId="Heading3Char">
    <w:name w:val="111111"/>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672306">
      <w:bodyDiv w:val="1"/>
      <w:marLeft w:val="0"/>
      <w:marRight w:val="0"/>
      <w:marTop w:val="0"/>
      <w:marBottom w:val="0"/>
      <w:divBdr>
        <w:top w:val="none" w:sz="0" w:space="0" w:color="auto"/>
        <w:left w:val="none" w:sz="0" w:space="0" w:color="auto"/>
        <w:bottom w:val="none" w:sz="0" w:space="0" w:color="auto"/>
        <w:right w:val="none" w:sz="0" w:space="0" w:color="auto"/>
      </w:divBdr>
    </w:div>
    <w:div w:id="575360405">
      <w:bodyDiv w:val="1"/>
      <w:marLeft w:val="0"/>
      <w:marRight w:val="0"/>
      <w:marTop w:val="0"/>
      <w:marBottom w:val="0"/>
      <w:divBdr>
        <w:top w:val="none" w:sz="0" w:space="0" w:color="auto"/>
        <w:left w:val="none" w:sz="0" w:space="0" w:color="auto"/>
        <w:bottom w:val="none" w:sz="0" w:space="0" w:color="auto"/>
        <w:right w:val="none" w:sz="0" w:space="0" w:color="auto"/>
      </w:divBdr>
    </w:div>
    <w:div w:id="1157497970">
      <w:bodyDiv w:val="1"/>
      <w:marLeft w:val="0"/>
      <w:marRight w:val="0"/>
      <w:marTop w:val="0"/>
      <w:marBottom w:val="0"/>
      <w:divBdr>
        <w:top w:val="none" w:sz="0" w:space="0" w:color="auto"/>
        <w:left w:val="none" w:sz="0" w:space="0" w:color="auto"/>
        <w:bottom w:val="none" w:sz="0" w:space="0" w:color="auto"/>
        <w:right w:val="none" w:sz="0" w:space="0" w:color="auto"/>
      </w:divBdr>
    </w:div>
    <w:div w:id="198747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umanrights.gov.au/submissions/fair-work-amendment-bill-2013" TargetMode="External"/><Relationship Id="rId13" Type="http://schemas.openxmlformats.org/officeDocument/2006/relationships/hyperlink" Target="https://www.humanrights.gov.au/submissions/consolidation-commonwealth-discrimination-law" TargetMode="External"/><Relationship Id="rId18" Type="http://schemas.openxmlformats.org/officeDocument/2006/relationships/hyperlink" Target="https://www.humanrights.gov.au/sites/default/files/UnpaidCaringToolkit_2013.pdf"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humanrights.gov.au/legal/submissions/2012/20120123_consolidation.html" TargetMode="External"/><Relationship Id="rId17" Type="http://schemas.openxmlformats.org/officeDocument/2006/relationships/hyperlink" Target="https://www.humanrights.gov.au/employers/good-practice-good-business-factsheet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lrc.gov.au/publications/access-all-ages-report120" TargetMode="External"/><Relationship Id="rId20" Type="http://schemas.openxmlformats.org/officeDocument/2006/relationships/hyperlink" Target="https://defencereview.humanrights.gov.au/report-review-treatment-women-australian-defence-forc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humanrights.gov.au/legal/submissions/2009/20090123_Fair_Work.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humanrights.gov.au/our-work/sex-discrimination/projects/investing-care-recognising-and-valuing-those-who-care" TargetMode="External"/><Relationship Id="rId23" Type="http://schemas.openxmlformats.org/officeDocument/2006/relationships/header" Target="header2.xml"/><Relationship Id="rId10" Type="http://schemas.openxmlformats.org/officeDocument/2006/relationships/hyperlink" Target="https://www.humanrights.gov.au/post-implementation-review-fair-work-act-2009" TargetMode="External"/><Relationship Id="rId19" Type="http://schemas.openxmlformats.org/officeDocument/2006/relationships/hyperlink" Target="https://www.humanrights.gov.au/our-work/sex-discrimination/projects/women-male-dominated-industries-toolkit-strategies" TargetMode="External"/><Relationship Id="rId4" Type="http://schemas.openxmlformats.org/officeDocument/2006/relationships/settings" Target="settings.xml"/><Relationship Id="rId9" Type="http://schemas.openxmlformats.org/officeDocument/2006/relationships/hyperlink" Target="https://www.humanrights.gov.au/submissions/fair-work-amendment-bill-2013-0" TargetMode="External"/><Relationship Id="rId14" Type="http://schemas.openxmlformats.org/officeDocument/2006/relationships/hyperlink" Target="https://www.humanrights.gov.au/our-work/sex-discrimination/projects/supporting-working-parents-pregnancy-and-return-work-national"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Submission 110 - Australian Human Rights Commission - Workplace Relations Framework - Public inquiry</vt:lpstr>
    </vt:vector>
  </TitlesOfParts>
  <Company>Australian Human Rights Commission </Company>
  <LinksUpToDate>false</LinksUpToDate>
  <CharactersWithSpaces>8940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110 - Australian Human Rights Commission - Workplace Relations Framework - Public inquiry</dc:title>
  <dc:creator>Australian Human Rights Commission </dc:creator>
  <cp:lastModifiedBy>Productivity Commission</cp:lastModifiedBy>
  <cp:revision>6</cp:revision>
  <cp:lastPrinted>2009-01-14T03:27:00Z</cp:lastPrinted>
  <dcterms:created xsi:type="dcterms:W3CDTF">2015-03-25T00:15:00Z</dcterms:created>
  <dcterms:modified xsi:type="dcterms:W3CDTF">2015-03-25T03:25:00Z</dcterms:modified>
</cp:coreProperties>
</file>