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C7FD0" w14:textId="77777777" w:rsidR="001F6407" w:rsidRDefault="00A431AC" w:rsidP="00A431AC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INTRODUCTION</w:t>
      </w:r>
    </w:p>
    <w:p w14:paraId="2C902841" w14:textId="77777777" w:rsidR="00A431AC" w:rsidRPr="00A47567" w:rsidRDefault="009A27C1" w:rsidP="00A431A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As I</w:t>
      </w:r>
      <w:r w:rsidR="00B67E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am a professional Harvester and Private </w:t>
      </w:r>
      <w:r w:rsidR="00B67EC3">
        <w:rPr>
          <w:rFonts w:ascii="Arial" w:hAnsi="Arial" w:cs="Arial"/>
          <w:sz w:val="20"/>
          <w:szCs w:val="20"/>
        </w:rPr>
        <w:t>Chiller</w:t>
      </w:r>
      <w:r>
        <w:rPr>
          <w:rFonts w:ascii="Arial" w:hAnsi="Arial" w:cs="Arial"/>
          <w:sz w:val="20"/>
          <w:szCs w:val="20"/>
        </w:rPr>
        <w:t xml:space="preserve"> operator of Kangaroo and have been for 40 plus </w:t>
      </w:r>
      <w:r w:rsidR="00B67EC3">
        <w:rPr>
          <w:rFonts w:ascii="Arial" w:hAnsi="Arial" w:cs="Arial"/>
          <w:sz w:val="20"/>
          <w:szCs w:val="20"/>
        </w:rPr>
        <w:t>years.</w:t>
      </w:r>
      <w:proofErr w:type="gramEnd"/>
      <w:r w:rsidR="00B67EC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67EC3">
        <w:rPr>
          <w:rFonts w:ascii="Arial" w:hAnsi="Arial" w:cs="Arial"/>
          <w:sz w:val="20"/>
          <w:szCs w:val="20"/>
        </w:rPr>
        <w:t>Also</w:t>
      </w:r>
      <w:r>
        <w:rPr>
          <w:rFonts w:ascii="Arial" w:hAnsi="Arial" w:cs="Arial"/>
          <w:sz w:val="20"/>
          <w:szCs w:val="20"/>
        </w:rPr>
        <w:t xml:space="preserve"> very industry orientated</w:t>
      </w:r>
      <w:r w:rsidR="00391809">
        <w:rPr>
          <w:rFonts w:ascii="Arial" w:hAnsi="Arial" w:cs="Arial"/>
          <w:sz w:val="20"/>
          <w:szCs w:val="20"/>
        </w:rPr>
        <w:t>.</w:t>
      </w:r>
      <w:proofErr w:type="gramEnd"/>
      <w:r w:rsidRPr="009A27C1">
        <w:t xml:space="preserve">  </w:t>
      </w:r>
      <w:proofErr w:type="gramStart"/>
      <w:r w:rsidRPr="009A27C1">
        <w:t xml:space="preserve">Am sending this in retrospect of the harvesting and transportation for the sale by harvesters like </w:t>
      </w:r>
      <w:r w:rsidR="00B67EC3" w:rsidRPr="009A27C1">
        <w:t>myself</w:t>
      </w:r>
      <w:r w:rsidRPr="009A27C1">
        <w:t xml:space="preserve"> of Kangaroo in border regions for Human Consumption overseas </w:t>
      </w:r>
      <w:r w:rsidR="00B67EC3" w:rsidRPr="009A27C1">
        <w:t>markets.</w:t>
      </w:r>
      <w:proofErr w:type="gramEnd"/>
      <w:r w:rsidR="00B67EC3" w:rsidRPr="009A27C1">
        <w:t xml:space="preserve"> As</w:t>
      </w:r>
      <w:r w:rsidRPr="009A27C1">
        <w:t xml:space="preserve"> the states involved require such harvested kangaroos to be sold in the state in which they were </w:t>
      </w:r>
      <w:r w:rsidR="00B67EC3" w:rsidRPr="009A27C1">
        <w:t>harvested, which</w:t>
      </w:r>
      <w:r w:rsidRPr="009A27C1">
        <w:t xml:space="preserve"> in most circumstances makes common sense where as in border towns like Goondiwindi-Boggabilla it doesn't make common sustainable sense from an industry and private operator prospective to run two fauna registered sites just a few </w:t>
      </w:r>
      <w:proofErr w:type="spellStart"/>
      <w:r w:rsidRPr="009A27C1">
        <w:t>klms</w:t>
      </w:r>
      <w:proofErr w:type="spellEnd"/>
      <w:r w:rsidRPr="009A27C1">
        <w:t xml:space="preserve"> apart as this industry is at an </w:t>
      </w:r>
      <w:r w:rsidR="00B67EC3" w:rsidRPr="009A27C1">
        <w:t>all-time</w:t>
      </w:r>
      <w:r w:rsidRPr="009A27C1">
        <w:t xml:space="preserve"> low and no signs of improvement for quite some time a penny saved is a penny made.</w:t>
      </w:r>
    </w:p>
    <w:p w14:paraId="3165095A" w14:textId="77777777" w:rsidR="009A27C1" w:rsidRPr="009A27C1" w:rsidRDefault="009A27C1" w:rsidP="00B67EC3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en-AU"/>
        </w:rPr>
      </w:pPr>
      <w:r w:rsidRPr="009A27C1">
        <w:rPr>
          <w:rFonts w:ascii="Arial" w:eastAsia="Times New Roman" w:hAnsi="Arial" w:cs="Arial"/>
          <w:sz w:val="44"/>
          <w:szCs w:val="44"/>
          <w:lang w:eastAsia="en-AU"/>
        </w:rPr>
        <w:t>My proposal</w:t>
      </w:r>
    </w:p>
    <w:p w14:paraId="0C247CF8" w14:textId="77777777" w:rsidR="00B67EC3" w:rsidRDefault="00B67EC3" w:rsidP="009A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EDADD34" w14:textId="77777777" w:rsidR="009A27C1" w:rsidRPr="009A27C1" w:rsidRDefault="009A27C1" w:rsidP="009A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A27C1">
        <w:rPr>
          <w:rFonts w:ascii="Times New Roman" w:eastAsia="Times New Roman" w:hAnsi="Times New Roman" w:cs="Times New Roman"/>
          <w:sz w:val="24"/>
          <w:szCs w:val="24"/>
          <w:lang w:eastAsia="en-AU"/>
        </w:rPr>
        <w:t>&gt;Dual Registered sites where as a NSW Fauna site can be registered in QLD to align with an already registered QLD Fauna site or visa versa which ever suits</w:t>
      </w:r>
    </w:p>
    <w:p w14:paraId="5D650D0C" w14:textId="77777777" w:rsidR="009A27C1" w:rsidRPr="009A27C1" w:rsidRDefault="009A27C1" w:rsidP="009A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A27C1">
        <w:rPr>
          <w:rFonts w:ascii="Times New Roman" w:eastAsia="Times New Roman" w:hAnsi="Times New Roman" w:cs="Times New Roman"/>
          <w:sz w:val="24"/>
          <w:szCs w:val="24"/>
          <w:lang w:eastAsia="en-AU"/>
        </w:rPr>
        <w:t>&gt;Thus allowing the harvester to access these sites with his kangaroo to be sold tagged in line with state policy or legislation of which state Kangaroo was harvested.</w:t>
      </w:r>
    </w:p>
    <w:p w14:paraId="08B27AA0" w14:textId="77777777" w:rsidR="009A27C1" w:rsidRPr="009A27C1" w:rsidRDefault="009A27C1" w:rsidP="009A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A27C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&gt;This keeps site running costs down one site instead of two keeps site security to a maximum </w:t>
      </w:r>
      <w:proofErr w:type="gramStart"/>
      <w:r w:rsidRPr="009A27C1">
        <w:rPr>
          <w:rFonts w:ascii="Times New Roman" w:eastAsia="Times New Roman" w:hAnsi="Times New Roman" w:cs="Times New Roman"/>
          <w:sz w:val="24"/>
          <w:szCs w:val="24"/>
          <w:lang w:eastAsia="en-AU"/>
        </w:rPr>
        <w:t>no unmanned sites not watched</w:t>
      </w:r>
      <w:proofErr w:type="gramEnd"/>
      <w:r w:rsidRPr="009A27C1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421709DE" w14:textId="77777777" w:rsidR="009A27C1" w:rsidRPr="009A27C1" w:rsidRDefault="009A27C1" w:rsidP="009A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A27C1">
        <w:rPr>
          <w:rFonts w:ascii="Times New Roman" w:eastAsia="Times New Roman" w:hAnsi="Times New Roman" w:cs="Times New Roman"/>
          <w:sz w:val="24"/>
          <w:szCs w:val="24"/>
          <w:lang w:eastAsia="en-AU"/>
        </w:rPr>
        <w:t>&gt;One accreditation only needed as our accreditation is from Australian Standard AS4464:2007 Hygiene Production of Game Meat for Human Production and recognised Australia wide.</w:t>
      </w:r>
    </w:p>
    <w:p w14:paraId="08E256E7" w14:textId="77777777" w:rsidR="009A27C1" w:rsidRPr="009A27C1" w:rsidRDefault="009A27C1" w:rsidP="009A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A27C1">
        <w:rPr>
          <w:rFonts w:ascii="Times New Roman" w:eastAsia="Times New Roman" w:hAnsi="Times New Roman" w:cs="Times New Roman"/>
          <w:sz w:val="24"/>
          <w:szCs w:val="24"/>
          <w:lang w:eastAsia="en-AU"/>
        </w:rPr>
        <w:t>&gt;Also allowing Compliance officers from either state to have access to such sites to do compliance and prosecute where necessary.</w:t>
      </w:r>
    </w:p>
    <w:p w14:paraId="6E2C99CE" w14:textId="77777777" w:rsidR="009A27C1" w:rsidRDefault="009A27C1" w:rsidP="009A2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A27C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</w:t>
      </w:r>
      <w:proofErr w:type="spellStart"/>
      <w:r w:rsidRPr="009A27C1">
        <w:rPr>
          <w:rFonts w:ascii="Times New Roman" w:eastAsia="Times New Roman" w:hAnsi="Times New Roman" w:cs="Times New Roman"/>
          <w:sz w:val="24"/>
          <w:szCs w:val="24"/>
          <w:lang w:eastAsia="en-AU"/>
        </w:rPr>
        <w:t>Iam</w:t>
      </w:r>
      <w:proofErr w:type="spellEnd"/>
      <w:r w:rsidRPr="009A27C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private operator in this industry I know the cost of running these such sites first hand as I don’t have other entities with which to help </w:t>
      </w:r>
      <w:proofErr w:type="spellStart"/>
      <w:r w:rsidRPr="009A27C1">
        <w:rPr>
          <w:rFonts w:ascii="Times New Roman" w:eastAsia="Times New Roman" w:hAnsi="Times New Roman" w:cs="Times New Roman"/>
          <w:sz w:val="24"/>
          <w:szCs w:val="24"/>
          <w:lang w:eastAsia="en-AU"/>
        </w:rPr>
        <w:t>off set</w:t>
      </w:r>
      <w:proofErr w:type="spellEnd"/>
      <w:r w:rsidRPr="009A27C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costs just have to wear if the above is achievable the costs savings will be immense to the likes of myself and industry alike.</w:t>
      </w:r>
    </w:p>
    <w:p w14:paraId="40157563" w14:textId="77777777" w:rsidR="00391809" w:rsidRDefault="00391809" w:rsidP="003918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Legislation NSW</w:t>
      </w:r>
    </w:p>
    <w:p w14:paraId="1245330E" w14:textId="77777777" w:rsidR="00391809" w:rsidRPr="00BC3E31" w:rsidRDefault="00391809" w:rsidP="0039180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  <w:lang w:eastAsia="en-AU"/>
        </w:rPr>
      </w:pPr>
      <w:r w:rsidRPr="00BC3E31">
        <w:rPr>
          <w:rFonts w:ascii="Arial" w:eastAsia="Times New Roman" w:hAnsi="Arial" w:cs="Arial"/>
          <w:b/>
          <w:bCs/>
          <w:color w:val="000000"/>
          <w:sz w:val="29"/>
          <w:szCs w:val="29"/>
          <w:lang w:eastAsia="en-AU"/>
        </w:rPr>
        <w:t>National Parks and Wildlife Act 1974 No 80</w:t>
      </w:r>
    </w:p>
    <w:p w14:paraId="03C45CA2" w14:textId="77777777" w:rsidR="00391809" w:rsidRPr="00BC3E31" w:rsidRDefault="00391809" w:rsidP="00391809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BC3E31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Current version for 1 January 2015 to date (accessed 27 February 2015 at 11:09)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7"/>
        <w:gridCol w:w="2719"/>
      </w:tblGrid>
      <w:tr w:rsidR="00391809" w:rsidRPr="00BC3E31" w14:paraId="790D45F2" w14:textId="77777777" w:rsidTr="007D2AA4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25D57" w14:textId="77777777" w:rsidR="00391809" w:rsidRPr="00BC3E31" w:rsidRDefault="00836A0F" w:rsidP="007D2AA4">
            <w:pPr>
              <w:spacing w:after="0" w:line="240" w:lineRule="auto"/>
              <w:rPr>
                <w:rFonts w:ascii="Verdana" w:eastAsia="Times New Roman" w:hAnsi="Verdana" w:cs="Times New Roman"/>
                <w:color w:val="003399"/>
                <w:sz w:val="19"/>
                <w:szCs w:val="19"/>
                <w:lang w:eastAsia="en-AU"/>
              </w:rPr>
            </w:pPr>
            <w:hyperlink r:id="rId10" w:history="1">
              <w:r w:rsidR="00391809" w:rsidRPr="00BC3E31">
                <w:rPr>
                  <w:rFonts w:ascii="Verdana" w:eastAsia="Times New Roman" w:hAnsi="Verdana" w:cs="Times New Roman"/>
                  <w:color w:val="003399"/>
                  <w:sz w:val="19"/>
                  <w:szCs w:val="19"/>
                  <w:u w:val="single"/>
                  <w:lang w:eastAsia="en-AU"/>
                </w:rPr>
                <w:t>Part 9</w:t>
              </w:r>
            </w:hyperlink>
            <w:r w:rsidR="00391809" w:rsidRPr="00BC3E31">
              <w:rPr>
                <w:rFonts w:ascii="Verdana" w:eastAsia="Times New Roman" w:hAnsi="Verdana" w:cs="Times New Roman"/>
                <w:noProof/>
                <w:color w:val="003399"/>
                <w:sz w:val="19"/>
                <w:szCs w:val="19"/>
                <w:lang w:eastAsia="en-AU"/>
              </w:rPr>
              <mc:AlternateContent>
                <mc:Choice Requires="wps">
                  <w:drawing>
                    <wp:inline distT="0" distB="0" distL="0" distR="0" wp14:anchorId="4E24DCB4" wp14:editId="7733BC87">
                      <wp:extent cx="76200" cy="85725"/>
                      <wp:effectExtent l="0" t="0" r="0" b="0"/>
                      <wp:docPr id="1" name="Picture 1" descr="http://www.legislation.nsw.gov.au/images/bullet_breadcrumb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" cy="85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0006D80" id="Picture 1" o:spid="_x0000_s1026" alt="http://www.legislation.nsw.gov.au/images/bullet_breadcrumb.gif" style="width:6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1" w:history="1">
              <w:r w:rsidR="00391809" w:rsidRPr="00BC3E31">
                <w:rPr>
                  <w:rFonts w:ascii="Verdana" w:eastAsia="Times New Roman" w:hAnsi="Verdana" w:cs="Times New Roman"/>
                  <w:color w:val="003399"/>
                  <w:sz w:val="19"/>
                  <w:szCs w:val="19"/>
                  <w:u w:val="single"/>
                  <w:lang w:eastAsia="en-AU"/>
                </w:rPr>
                <w:t>Division 2</w:t>
              </w:r>
            </w:hyperlink>
            <w:r w:rsidR="00391809" w:rsidRPr="00BC3E31">
              <w:rPr>
                <w:rFonts w:ascii="Verdana" w:eastAsia="Times New Roman" w:hAnsi="Verdana" w:cs="Times New Roman"/>
                <w:noProof/>
                <w:color w:val="003399"/>
                <w:sz w:val="19"/>
                <w:szCs w:val="19"/>
                <w:lang w:eastAsia="en-AU"/>
              </w:rPr>
              <mc:AlternateContent>
                <mc:Choice Requires="wps">
                  <w:drawing>
                    <wp:inline distT="0" distB="0" distL="0" distR="0" wp14:anchorId="16D490C4" wp14:editId="73C25D22">
                      <wp:extent cx="76200" cy="85725"/>
                      <wp:effectExtent l="0" t="0" r="0" b="0"/>
                      <wp:docPr id="2" name="Picture 2" descr="http://www.legislation.nsw.gov.au/images/bullet_breadcrumb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" cy="85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FB26F67" id="Picture 2" o:spid="_x0000_s1026" alt="http://www.legislation.nsw.gov.au/images/bullet_breadcrumb.gif" style="width:6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391809" w:rsidRPr="00BC3E31">
              <w:rPr>
                <w:rFonts w:ascii="Verdana" w:eastAsia="Times New Roman" w:hAnsi="Verdana" w:cs="Times New Roman"/>
                <w:color w:val="003399"/>
                <w:sz w:val="19"/>
                <w:szCs w:val="19"/>
                <w:lang w:eastAsia="en-AU"/>
              </w:rPr>
              <w:t>Section 123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385B6" w14:textId="77777777" w:rsidR="00391809" w:rsidRPr="00BC3E31" w:rsidRDefault="00836A0F" w:rsidP="007D2A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AU"/>
              </w:rPr>
            </w:pPr>
            <w:hyperlink r:id="rId12" w:history="1">
              <w:r w:rsidR="00391809" w:rsidRPr="00BC3E31">
                <w:rPr>
                  <w:rFonts w:ascii="Verdana" w:eastAsia="Times New Roman" w:hAnsi="Verdana" w:cs="Times New Roman"/>
                  <w:color w:val="003399"/>
                  <w:sz w:val="19"/>
                  <w:szCs w:val="19"/>
                  <w:lang w:eastAsia="en-AU"/>
                </w:rPr>
                <w:t>&lt;&lt;</w:t>
              </w:r>
            </w:hyperlink>
            <w:r w:rsidR="00391809" w:rsidRPr="00BC3E31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AU"/>
              </w:rPr>
              <w:t> page </w:t>
            </w:r>
            <w:hyperlink r:id="rId13" w:history="1">
              <w:r w:rsidR="00391809" w:rsidRPr="00BC3E31">
                <w:rPr>
                  <w:rFonts w:ascii="Verdana" w:eastAsia="Times New Roman" w:hAnsi="Verdana" w:cs="Times New Roman"/>
                  <w:color w:val="003399"/>
                  <w:sz w:val="19"/>
                  <w:szCs w:val="19"/>
                  <w:lang w:eastAsia="en-AU"/>
                </w:rPr>
                <w:t>&gt;&gt;</w:t>
              </w:r>
            </w:hyperlink>
          </w:p>
        </w:tc>
      </w:tr>
    </w:tbl>
    <w:p w14:paraId="0D4142EA" w14:textId="77777777" w:rsidR="00391809" w:rsidRPr="00BC3E31" w:rsidRDefault="00391809" w:rsidP="00391809">
      <w:pPr>
        <w:spacing w:before="160" w:after="200" w:line="240" w:lineRule="auto"/>
        <w:ind w:left="340" w:hanging="340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BC3E3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en-AU"/>
        </w:rPr>
        <w:t>123</w:t>
      </w:r>
      <w:r w:rsidRPr="00BC3E31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  </w:t>
      </w:r>
      <w:r w:rsidRPr="00BC3E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Commercial fauna harvester’s licence</w:t>
      </w:r>
    </w:p>
    <w:p w14:paraId="1BB0B100" w14:textId="77777777" w:rsidR="00391809" w:rsidRPr="00BC3E31" w:rsidRDefault="00391809" w:rsidP="00391809">
      <w:pPr>
        <w:spacing w:after="0" w:line="240" w:lineRule="auto"/>
        <w:ind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3E3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(1)  The Director-General may issue a licence (in this Act referred to as a </w:t>
      </w:r>
      <w:r w:rsidRPr="00BC3E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commercial fauna harvester’s licence</w:t>
      </w:r>
      <w:r w:rsidRPr="00BC3E3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), authorising a person to harm fauna of a species named therein for the purposes of sale.</w:t>
      </w:r>
    </w:p>
    <w:p w14:paraId="648303FF" w14:textId="77777777" w:rsidR="00391809" w:rsidRPr="00BC3E31" w:rsidRDefault="00391809" w:rsidP="00391809">
      <w:pPr>
        <w:spacing w:after="0" w:line="240" w:lineRule="auto"/>
        <w:ind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3E3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(2)  A commercial fauna harvester’s licence does not, except in so far as the terms of the licence otherwise expressly provide, authorise the harming of fauna in a national park, historic site, state conservation area, regional park, nature reserve, karst conservation reserve, wildlife refuge, conservation area, wilderness area or area subject to a wilderness protection agreement.</w:t>
      </w:r>
    </w:p>
    <w:p w14:paraId="113D33EB" w14:textId="77777777" w:rsidR="00391809" w:rsidRDefault="00391809" w:rsidP="00391809">
      <w:pPr>
        <w:spacing w:after="0" w:line="240" w:lineRule="auto"/>
        <w:rPr>
          <w:rFonts w:eastAsia="Times New Roman" w:cs="Times New Roman"/>
          <w:sz w:val="20"/>
          <w:szCs w:val="20"/>
          <w:lang w:eastAsia="en-AU"/>
        </w:rPr>
      </w:pPr>
      <w:r w:rsidRPr="00BC3E3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(3)  A commercial fauna harvester’s licence must not be issued with respect to threatened</w:t>
      </w:r>
      <w:r w:rsidR="00A47567" w:rsidRPr="00A4756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A47567" w:rsidRPr="00BC3E3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species, populations or ecological communities</w:t>
      </w:r>
    </w:p>
    <w:p w14:paraId="73FD6F85" w14:textId="77777777" w:rsidR="00A47567" w:rsidRPr="00BC3E31" w:rsidRDefault="00A47567" w:rsidP="00A47567">
      <w:pPr>
        <w:spacing w:after="0" w:line="240" w:lineRule="auto"/>
        <w:ind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3E3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4)  A person licensed under subsection (1) must not, in connection with harming fauna for the purposes of sale, use any carcass chiller unless the chiller is:</w:t>
      </w:r>
    </w:p>
    <w:p w14:paraId="5CAC4783" w14:textId="77777777" w:rsidR="00A47567" w:rsidRPr="00BC3E31" w:rsidRDefault="00A47567" w:rsidP="00A47567">
      <w:pPr>
        <w:spacing w:after="0" w:line="240" w:lineRule="auto"/>
        <w:ind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3E3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(a)  </w:t>
      </w:r>
      <w:proofErr w:type="gramStart"/>
      <w:r w:rsidRPr="00BC3E3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registered</w:t>
      </w:r>
      <w:proofErr w:type="gramEnd"/>
      <w:r w:rsidRPr="00BC3E3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under this section, or</w:t>
      </w:r>
    </w:p>
    <w:p w14:paraId="584052B7" w14:textId="77777777" w:rsidR="00A47567" w:rsidRPr="00BC3E31" w:rsidRDefault="00A47567" w:rsidP="00A47567">
      <w:pPr>
        <w:spacing w:after="0" w:line="240" w:lineRule="auto"/>
        <w:ind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3E3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lastRenderedPageBreak/>
        <w:t>(b)  </w:t>
      </w:r>
      <w:proofErr w:type="gramStart"/>
      <w:r w:rsidRPr="00BC3E3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on</w:t>
      </w:r>
      <w:proofErr w:type="gramEnd"/>
      <w:r w:rsidRPr="00BC3E3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premises registered under section 124.</w:t>
      </w:r>
    </w:p>
    <w:p w14:paraId="36B2266D" w14:textId="77777777" w:rsidR="00A47567" w:rsidRPr="00BC3E31" w:rsidRDefault="00A47567" w:rsidP="00A47567">
      <w:pPr>
        <w:spacing w:after="0" w:line="240" w:lineRule="auto"/>
        <w:ind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3E3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(5)  The Director-General may issue registration certificates in respect of each carcass chiller that a person licensed under subsection (1) uses in connection with harming fauna for the purposes of sale.</w:t>
      </w:r>
    </w:p>
    <w:p w14:paraId="6B78E54F" w14:textId="77777777" w:rsidR="00A47567" w:rsidRPr="00BC3E31" w:rsidRDefault="00A47567" w:rsidP="00A47567">
      <w:pPr>
        <w:spacing w:after="0" w:line="240" w:lineRule="auto"/>
        <w:ind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BC3E3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(6)  In this section, </w:t>
      </w:r>
      <w:r w:rsidRPr="00BC3E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carcass chiller</w:t>
      </w:r>
      <w:r w:rsidRPr="00BC3E3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means any refrigeration container used for the storage of animal carcasses, and includes a refrigerated shipping container and a refrigerated truck or vehicle.</w:t>
      </w:r>
    </w:p>
    <w:p w14:paraId="07B47730" w14:textId="77777777" w:rsidR="004C0139" w:rsidRDefault="004C0139" w:rsidP="00540B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14D3306" w14:textId="77777777" w:rsidR="004C0139" w:rsidRDefault="004C0139" w:rsidP="00540B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9AB3033" w14:textId="77777777" w:rsidR="004C0139" w:rsidRDefault="004C0139" w:rsidP="00540B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CEE0905" w14:textId="77777777" w:rsidR="00391809" w:rsidRDefault="00540BC7" w:rsidP="00540BC7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en-AU"/>
        </w:rPr>
      </w:pPr>
      <w:bookmarkStart w:id="0" w:name="_GoBack"/>
      <w:bookmarkEnd w:id="0"/>
      <w:r>
        <w:rPr>
          <w:rFonts w:ascii="Arial" w:eastAsia="Times New Roman" w:hAnsi="Arial" w:cs="Arial"/>
          <w:sz w:val="44"/>
          <w:szCs w:val="44"/>
          <w:lang w:eastAsia="en-AU"/>
        </w:rPr>
        <w:t>SUMMURY</w:t>
      </w:r>
    </w:p>
    <w:p w14:paraId="72DCCD7E" w14:textId="77777777" w:rsidR="00540BC7" w:rsidRPr="00540BC7" w:rsidRDefault="00540BC7" w:rsidP="00540B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BC46252" w14:textId="77777777" w:rsidR="00391809" w:rsidRDefault="0072118D" w:rsidP="003918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As above</w:t>
      </w:r>
      <w:r w:rsidR="00B67EC3">
        <w:rPr>
          <w:rFonts w:ascii="Arial" w:eastAsia="Times New Roman" w:hAnsi="Arial" w:cs="Arial"/>
          <w:sz w:val="20"/>
          <w:szCs w:val="20"/>
          <w:lang w:eastAsia="en-AU"/>
        </w:rPr>
        <w:t xml:space="preserve"> as per attached letters and legislation and submission I believe dual registered would be an economical viable outcome for all industry participants.</w:t>
      </w:r>
    </w:p>
    <w:p w14:paraId="57FCADE4" w14:textId="77777777" w:rsidR="00B67EC3" w:rsidRDefault="00B67EC3" w:rsidP="003918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Cost Savings for all stakeholders in industry would be immense.</w:t>
      </w:r>
    </w:p>
    <w:p w14:paraId="13A7F652" w14:textId="77777777" w:rsidR="00B67EC3" w:rsidRDefault="008B6F3F" w:rsidP="003918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 xml:space="preserve">Strongest Support from Lawrence </w:t>
      </w:r>
      <w:proofErr w:type="spellStart"/>
      <w:r>
        <w:rPr>
          <w:rFonts w:ascii="Arial" w:eastAsia="Times New Roman" w:hAnsi="Arial" w:cs="Arial"/>
          <w:sz w:val="20"/>
          <w:szCs w:val="20"/>
          <w:lang w:eastAsia="en-AU"/>
        </w:rPr>
        <w:t>Springborg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M.P. Member Southern Downs QLD.</w:t>
      </w:r>
      <w:proofErr w:type="gramEnd"/>
    </w:p>
    <w:p w14:paraId="2DA1703F" w14:textId="77777777" w:rsidR="008B6F3F" w:rsidRDefault="008B6F3F" w:rsidP="003918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255BED2A" w14:textId="77777777" w:rsidR="00B67EC3" w:rsidRDefault="00B67EC3" w:rsidP="003918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Yours Sincerely</w:t>
      </w:r>
    </w:p>
    <w:p w14:paraId="52A63AA6" w14:textId="77777777" w:rsidR="00B67EC3" w:rsidRPr="0072118D" w:rsidRDefault="00B67EC3" w:rsidP="003918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Graham and Jane Mackney</w:t>
      </w:r>
    </w:p>
    <w:sectPr w:rsidR="00B67EC3" w:rsidRPr="00721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AC"/>
    <w:rsid w:val="001F6407"/>
    <w:rsid w:val="0026544A"/>
    <w:rsid w:val="00315919"/>
    <w:rsid w:val="00391809"/>
    <w:rsid w:val="004C0139"/>
    <w:rsid w:val="00540BC7"/>
    <w:rsid w:val="0072118D"/>
    <w:rsid w:val="00875795"/>
    <w:rsid w:val="008B6F3F"/>
    <w:rsid w:val="00992BEE"/>
    <w:rsid w:val="009A27C1"/>
    <w:rsid w:val="00A431AC"/>
    <w:rsid w:val="00A47567"/>
    <w:rsid w:val="00B67EC3"/>
    <w:rsid w:val="00BC3E31"/>
    <w:rsid w:val="00E115A0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0D37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8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4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45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1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34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3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egislation.nsw.gov.au/fragview/inforce/act+80+1974+pt.9-div.2-sec.123+0+N?fragid=328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legislation.nsw.gov.au/fragview/inforce/act+80+1974+pt.9-div.2-sec.123+0+N?fragid=3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gislation.nsw.gov.au/fragview/inforce/act+80+1974+pt.9-div.2+0+N?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hyperlink" Target="http://www.legislation.nsw.gov.au/fragview/inforce/act+80+1974+pt.9+0+N?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A833FE7E7401EC44AD764D8B2ED4316D" ma:contentTypeVersion="0" ma:contentTypeDescription="" ma:contentTypeScope="" ma:versionID="917f01163539354d6ed4e86ba3bb15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43a5b814b3e31d5e11590d7b9d41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9EF92-CF1F-4968-B2BF-53FE5AF0BA2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3CCCA4C-C052-4C3C-AB80-2B8C0FBA98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D51839-56DA-4F0D-A767-4D55C84C0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F6E888-DAC6-4A40-A677-3117B2B69471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B849AC6-0798-466E-8398-9CC63080B2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30 - Graham Mackney - Mutual Recognition Schemes - Commissioned study</vt:lpstr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30 - Graham Mackney - Mutual Recognition Schemes - Commissioned study</dc:title>
  <dc:creator>Graham Mackney</dc:creator>
  <cp:lastModifiedBy>Mark Pimperl</cp:lastModifiedBy>
  <cp:revision>6</cp:revision>
  <cp:lastPrinted>2015-03-01T03:54:00Z</cp:lastPrinted>
  <dcterms:created xsi:type="dcterms:W3CDTF">2015-03-02T22:49:00Z</dcterms:created>
  <dcterms:modified xsi:type="dcterms:W3CDTF">2015-03-03T23:48:00Z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0x01010066EDC8E18BFE9C418F00295EA55D44EA0015EE9FD84A134F42A8E78176E2093D4400A833FE7E7401EC44AD764D8B2ED4316D</vt:lpwstr>
  </property>
</Properties>
</file>