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AB350D" w14:textId="1E35B6FE" w:rsidR="00A32282" w:rsidRDefault="00A32282" w:rsidP="007B63AA">
      <w:pPr>
        <w:spacing w:after="0" w:line="360" w:lineRule="auto"/>
        <w:jc w:val="both"/>
        <w:rPr>
          <w:rFonts w:ascii="Arial" w:hAnsi="Arial" w:cs="Arial"/>
          <w:b/>
          <w:sz w:val="24"/>
          <w:szCs w:val="24"/>
        </w:rPr>
      </w:pPr>
      <w:bookmarkStart w:id="0" w:name="_GoBack"/>
      <w:bookmarkEnd w:id="0"/>
      <w:r>
        <w:rPr>
          <w:rFonts w:ascii="Arial" w:hAnsi="Arial" w:cs="Arial"/>
          <w:b/>
          <w:noProof/>
          <w:sz w:val="24"/>
          <w:szCs w:val="24"/>
          <w:lang w:eastAsia="en-AU"/>
        </w:rPr>
        <w:drawing>
          <wp:inline distT="0" distB="0" distL="0" distR="0" wp14:anchorId="4023086A" wp14:editId="07BD6D5A">
            <wp:extent cx="5731510" cy="8099187"/>
            <wp:effectExtent l="0" t="0" r="2540" b="0"/>
            <wp:docPr id="4" name="Picture 4" descr="C:\Users\admin\AppData\Local\Microsoft\Windows\INetCache\Content.Outlook\7NB54AL7\SUB 018 Workplace Relations Framewwork COVER D2-01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Outlook\7NB54AL7\SUB 018 Workplace Relations Framewwork COVER D2-01 (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8099187"/>
                    </a:xfrm>
                    <a:prstGeom prst="rect">
                      <a:avLst/>
                    </a:prstGeom>
                    <a:noFill/>
                    <a:ln>
                      <a:noFill/>
                    </a:ln>
                  </pic:spPr>
                </pic:pic>
              </a:graphicData>
            </a:graphic>
          </wp:inline>
        </w:drawing>
      </w:r>
    </w:p>
    <w:p w14:paraId="121F0207" w14:textId="77777777" w:rsidR="00A32282" w:rsidRDefault="00A32282" w:rsidP="007B63AA">
      <w:pPr>
        <w:spacing w:after="0" w:line="360" w:lineRule="auto"/>
        <w:jc w:val="both"/>
        <w:rPr>
          <w:rFonts w:ascii="Arial" w:hAnsi="Arial" w:cs="Arial"/>
          <w:b/>
          <w:sz w:val="24"/>
          <w:szCs w:val="24"/>
        </w:rPr>
      </w:pPr>
    </w:p>
    <w:p w14:paraId="4A9D72E6" w14:textId="77777777" w:rsidR="00A32282" w:rsidRDefault="00A32282" w:rsidP="007B63AA">
      <w:pPr>
        <w:spacing w:after="0" w:line="360" w:lineRule="auto"/>
        <w:jc w:val="both"/>
        <w:rPr>
          <w:rFonts w:ascii="Arial" w:hAnsi="Arial" w:cs="Arial"/>
          <w:b/>
          <w:sz w:val="24"/>
          <w:szCs w:val="24"/>
        </w:rPr>
      </w:pPr>
    </w:p>
    <w:p w14:paraId="54B7D43E" w14:textId="5C9EF7EB" w:rsidR="00A32282" w:rsidRDefault="00A32282" w:rsidP="007B63AA">
      <w:pPr>
        <w:spacing w:after="0" w:line="360" w:lineRule="auto"/>
        <w:jc w:val="both"/>
        <w:rPr>
          <w:rFonts w:ascii="Arial" w:hAnsi="Arial" w:cs="Arial"/>
          <w:b/>
          <w:sz w:val="24"/>
          <w:szCs w:val="24"/>
        </w:rPr>
      </w:pPr>
      <w:r>
        <w:rPr>
          <w:noProof/>
          <w:lang w:eastAsia="en-AU"/>
        </w:rPr>
        <w:lastRenderedPageBreak/>
        <w:drawing>
          <wp:anchor distT="0" distB="0" distL="114300" distR="114300" simplePos="0" relativeHeight="251659264" behindDoc="1" locked="0" layoutInCell="1" allowOverlap="1" wp14:anchorId="73B51F3A" wp14:editId="545BB0EB">
            <wp:simplePos x="0" y="0"/>
            <wp:positionH relativeFrom="column">
              <wp:posOffset>-390525</wp:posOffset>
            </wp:positionH>
            <wp:positionV relativeFrom="paragraph">
              <wp:posOffset>-683895</wp:posOffset>
            </wp:positionV>
            <wp:extent cx="6867525" cy="1181100"/>
            <wp:effectExtent l="0" t="0" r="9525" b="0"/>
            <wp:wrapThrough wrapText="bothSides">
              <wp:wrapPolygon edited="0">
                <wp:start x="0" y="0"/>
                <wp:lineTo x="0" y="21252"/>
                <wp:lineTo x="21570" y="21252"/>
                <wp:lineTo x="2157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lth-wcomp-PMS-2014.jpg"/>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6867525" cy="1181100"/>
                    </a:xfrm>
                    <a:prstGeom prst="rect">
                      <a:avLst/>
                    </a:prstGeom>
                    <a:ln>
                      <a:noFill/>
                    </a:ln>
                    <a:extLst>
                      <a:ext uri="{53640926-AAD7-44D8-BBD7-CCE9431645EC}">
                        <a14:shadowObscured xmlns:a14="http://schemas.microsoft.com/office/drawing/2010/main"/>
                      </a:ext>
                    </a:extLst>
                  </pic:spPr>
                </pic:pic>
              </a:graphicData>
            </a:graphic>
          </wp:anchor>
        </w:drawing>
      </w:r>
    </w:p>
    <w:p w14:paraId="7E338C30" w14:textId="0D464E85" w:rsidR="0031451B" w:rsidRDefault="0031451B" w:rsidP="007B63AA">
      <w:pPr>
        <w:spacing w:after="0" w:line="360" w:lineRule="auto"/>
        <w:jc w:val="both"/>
        <w:rPr>
          <w:rFonts w:ascii="Arial" w:hAnsi="Arial" w:cs="Arial"/>
          <w:b/>
          <w:sz w:val="24"/>
          <w:szCs w:val="24"/>
        </w:rPr>
      </w:pPr>
      <w:r>
        <w:rPr>
          <w:rFonts w:ascii="Arial" w:hAnsi="Arial" w:cs="Arial"/>
          <w:b/>
          <w:sz w:val="24"/>
          <w:szCs w:val="24"/>
        </w:rPr>
        <w:t>Background</w:t>
      </w:r>
    </w:p>
    <w:p w14:paraId="1A96161C" w14:textId="77777777" w:rsidR="0031451B" w:rsidRDefault="0031451B" w:rsidP="007B63AA">
      <w:pPr>
        <w:spacing w:after="0" w:line="360" w:lineRule="auto"/>
        <w:jc w:val="both"/>
        <w:rPr>
          <w:rFonts w:ascii="Arial" w:hAnsi="Arial" w:cs="Arial"/>
          <w:b/>
          <w:sz w:val="24"/>
          <w:szCs w:val="24"/>
        </w:rPr>
      </w:pPr>
    </w:p>
    <w:p w14:paraId="0BE1DCF9" w14:textId="77777777" w:rsidR="004F43DC" w:rsidRDefault="004F43DC" w:rsidP="004F43DC">
      <w:pPr>
        <w:spacing w:after="0"/>
        <w:rPr>
          <w:rFonts w:ascii="Arial" w:hAnsi="Arial" w:cs="Arial"/>
          <w:sz w:val="24"/>
          <w:szCs w:val="24"/>
        </w:rPr>
      </w:pPr>
      <w:r w:rsidRPr="00FA45F7">
        <w:rPr>
          <w:rFonts w:ascii="Arial" w:hAnsi="Arial" w:cs="Arial"/>
          <w:sz w:val="24"/>
          <w:szCs w:val="24"/>
        </w:rPr>
        <w:t xml:space="preserve">The Australian Workers’ Union (AWU) is an organisation registered under the </w:t>
      </w:r>
      <w:r w:rsidRPr="00FA45F7">
        <w:rPr>
          <w:rFonts w:ascii="Arial" w:hAnsi="Arial" w:cs="Arial"/>
          <w:i/>
          <w:sz w:val="24"/>
          <w:szCs w:val="24"/>
        </w:rPr>
        <w:t>Fair Work (Registered Organisations) Act 2009</w:t>
      </w:r>
      <w:r w:rsidRPr="00FA45F7">
        <w:rPr>
          <w:rFonts w:ascii="Arial" w:hAnsi="Arial" w:cs="Arial"/>
          <w:sz w:val="24"/>
          <w:szCs w:val="24"/>
        </w:rPr>
        <w:t xml:space="preserve"> (Organisation Code 002N).</w:t>
      </w:r>
      <w:r w:rsidRPr="00FA45F7">
        <w:rPr>
          <w:rStyle w:val="FootnoteReference"/>
          <w:rFonts w:ascii="Arial" w:hAnsi="Arial" w:cs="Arial"/>
          <w:sz w:val="24"/>
          <w:szCs w:val="24"/>
        </w:rPr>
        <w:footnoteReference w:id="1"/>
      </w:r>
      <w:r>
        <w:rPr>
          <w:rFonts w:ascii="Arial" w:hAnsi="Arial" w:cs="Arial"/>
          <w:sz w:val="24"/>
          <w:szCs w:val="24"/>
        </w:rPr>
        <w:t xml:space="preserve"> </w:t>
      </w:r>
    </w:p>
    <w:p w14:paraId="72E6EA63" w14:textId="77777777" w:rsidR="004F43DC" w:rsidRDefault="004F43DC" w:rsidP="004F43DC">
      <w:pPr>
        <w:spacing w:after="0"/>
        <w:rPr>
          <w:rFonts w:ascii="Arial" w:hAnsi="Arial" w:cs="Arial"/>
          <w:sz w:val="24"/>
          <w:szCs w:val="24"/>
        </w:rPr>
      </w:pPr>
    </w:p>
    <w:p w14:paraId="1FBABF12" w14:textId="77777777" w:rsidR="004F43DC" w:rsidRDefault="004F43DC" w:rsidP="004F43DC">
      <w:pPr>
        <w:spacing w:after="0"/>
        <w:rPr>
          <w:rFonts w:ascii="Arial" w:hAnsi="Arial" w:cs="Arial"/>
          <w:sz w:val="24"/>
          <w:szCs w:val="24"/>
        </w:rPr>
      </w:pPr>
      <w:r w:rsidRPr="00FA45F7">
        <w:rPr>
          <w:rFonts w:ascii="Arial" w:hAnsi="Arial" w:cs="Arial"/>
          <w:sz w:val="24"/>
          <w:szCs w:val="24"/>
        </w:rPr>
        <w:t xml:space="preserve">The AWU has approximately 120,000 members and has coverage of a wide range of industries including but not limited to: gas, steel, aluminium, glass, civil construction, </w:t>
      </w:r>
      <w:proofErr w:type="spellStart"/>
      <w:r w:rsidRPr="00FA45F7">
        <w:rPr>
          <w:rFonts w:ascii="Arial" w:hAnsi="Arial" w:cs="Arial"/>
          <w:sz w:val="24"/>
          <w:szCs w:val="24"/>
        </w:rPr>
        <w:t>metalliferous</w:t>
      </w:r>
      <w:proofErr w:type="spellEnd"/>
      <w:r w:rsidRPr="00FA45F7">
        <w:rPr>
          <w:rFonts w:ascii="Arial" w:hAnsi="Arial" w:cs="Arial"/>
          <w:sz w:val="24"/>
          <w:szCs w:val="24"/>
        </w:rPr>
        <w:t xml:space="preserve"> mining, oil refining, agricultural, aviation, cement and concrete products, nurseries, alpine resorts, asphalt, wine, aquaculture, seafood processing, sugar, </w:t>
      </w:r>
      <w:proofErr w:type="gramStart"/>
      <w:r w:rsidRPr="00FA45F7">
        <w:rPr>
          <w:rFonts w:ascii="Arial" w:hAnsi="Arial" w:cs="Arial"/>
          <w:sz w:val="24"/>
          <w:szCs w:val="24"/>
        </w:rPr>
        <w:t>quarrying</w:t>
      </w:r>
      <w:proofErr w:type="gramEnd"/>
      <w:r w:rsidRPr="00FA45F7">
        <w:rPr>
          <w:rFonts w:ascii="Arial" w:hAnsi="Arial" w:cs="Arial"/>
          <w:sz w:val="24"/>
          <w:szCs w:val="24"/>
        </w:rPr>
        <w:t>, pharmaceutical, hair and beauty and laundry</w:t>
      </w:r>
      <w:r>
        <w:rPr>
          <w:rFonts w:ascii="Arial" w:hAnsi="Arial" w:cs="Arial"/>
          <w:sz w:val="24"/>
          <w:szCs w:val="24"/>
        </w:rPr>
        <w:t xml:space="preserve"> workers</w:t>
      </w:r>
      <w:r w:rsidRPr="00FA45F7">
        <w:rPr>
          <w:rFonts w:ascii="Arial" w:hAnsi="Arial" w:cs="Arial"/>
          <w:sz w:val="24"/>
          <w:szCs w:val="24"/>
        </w:rPr>
        <w:t>.</w:t>
      </w:r>
      <w:r w:rsidRPr="00FA45F7">
        <w:rPr>
          <w:rStyle w:val="FootnoteReference"/>
          <w:rFonts w:ascii="Arial" w:hAnsi="Arial" w:cs="Arial"/>
          <w:sz w:val="24"/>
          <w:szCs w:val="24"/>
        </w:rPr>
        <w:footnoteReference w:id="2"/>
      </w:r>
    </w:p>
    <w:p w14:paraId="5A40C69E" w14:textId="77777777" w:rsidR="004F43DC" w:rsidRDefault="004F43DC" w:rsidP="004F43DC">
      <w:pPr>
        <w:spacing w:after="0"/>
        <w:rPr>
          <w:rFonts w:ascii="Arial" w:hAnsi="Arial" w:cs="Arial"/>
          <w:sz w:val="24"/>
          <w:szCs w:val="24"/>
        </w:rPr>
      </w:pPr>
      <w:r>
        <w:rPr>
          <w:rFonts w:ascii="Arial" w:hAnsi="Arial" w:cs="Arial"/>
          <w:sz w:val="24"/>
          <w:szCs w:val="24"/>
        </w:rPr>
        <w:br/>
        <w:t>The AWU relies upon and supports the comprehensive submissions of the Australian Council of Trade Unions (ACTU) to the Productivity Commission. These submissions do not address all the matters raised in the Issues Papers but focus upon some specific issues of importance to the AWU.  The matters</w:t>
      </w:r>
      <w:r w:rsidRPr="00FA45F7">
        <w:rPr>
          <w:rFonts w:ascii="Arial" w:hAnsi="Arial" w:cs="Arial"/>
          <w:sz w:val="24"/>
          <w:szCs w:val="24"/>
        </w:rPr>
        <w:t xml:space="preserve"> dealt</w:t>
      </w:r>
      <w:r>
        <w:rPr>
          <w:rFonts w:ascii="Arial" w:hAnsi="Arial" w:cs="Arial"/>
          <w:sz w:val="24"/>
          <w:szCs w:val="24"/>
        </w:rPr>
        <w:t xml:space="preserve"> with in these submissions are:</w:t>
      </w:r>
    </w:p>
    <w:p w14:paraId="02107444" w14:textId="77777777" w:rsidR="004F43DC" w:rsidRPr="00FA45F7" w:rsidRDefault="004F43DC" w:rsidP="004F43DC">
      <w:pPr>
        <w:spacing w:after="0"/>
        <w:rPr>
          <w:rFonts w:ascii="Arial" w:hAnsi="Arial" w:cs="Arial"/>
          <w:sz w:val="24"/>
          <w:szCs w:val="24"/>
        </w:rPr>
      </w:pPr>
    </w:p>
    <w:p w14:paraId="4C491883" w14:textId="77777777" w:rsidR="004F43DC" w:rsidRPr="00FA45F7" w:rsidRDefault="004F43DC" w:rsidP="004F43DC">
      <w:pPr>
        <w:spacing w:after="0"/>
        <w:rPr>
          <w:rFonts w:ascii="Arial" w:hAnsi="Arial" w:cs="Arial"/>
          <w:sz w:val="24"/>
          <w:szCs w:val="24"/>
          <w:u w:val="single"/>
        </w:rPr>
      </w:pPr>
      <w:r w:rsidRPr="00FA45F7">
        <w:rPr>
          <w:rFonts w:ascii="Arial" w:hAnsi="Arial" w:cs="Arial"/>
          <w:sz w:val="24"/>
          <w:szCs w:val="24"/>
          <w:u w:val="single"/>
        </w:rPr>
        <w:t xml:space="preserve">Issues Paper 1: The Inquiry in Context </w:t>
      </w:r>
    </w:p>
    <w:p w14:paraId="2B3E4232" w14:textId="77777777" w:rsidR="004F43DC" w:rsidRDefault="004F43DC" w:rsidP="004F43DC">
      <w:pPr>
        <w:pStyle w:val="ListParagraph"/>
        <w:spacing w:after="0"/>
        <w:ind w:left="1080"/>
        <w:rPr>
          <w:rFonts w:ascii="Arial" w:hAnsi="Arial" w:cs="Arial"/>
          <w:sz w:val="24"/>
          <w:szCs w:val="24"/>
        </w:rPr>
      </w:pPr>
    </w:p>
    <w:p w14:paraId="0E7E3229" w14:textId="77777777" w:rsidR="004F43DC" w:rsidRPr="00FA45F7" w:rsidRDefault="004F43DC" w:rsidP="004F43DC">
      <w:pPr>
        <w:pStyle w:val="ListParagraph"/>
        <w:numPr>
          <w:ilvl w:val="0"/>
          <w:numId w:val="7"/>
        </w:numPr>
        <w:spacing w:after="0"/>
        <w:rPr>
          <w:rFonts w:ascii="Arial" w:hAnsi="Arial" w:cs="Arial"/>
          <w:sz w:val="24"/>
          <w:szCs w:val="24"/>
        </w:rPr>
      </w:pPr>
      <w:r w:rsidRPr="00FA45F7">
        <w:rPr>
          <w:rFonts w:ascii="Arial" w:hAnsi="Arial" w:cs="Arial"/>
          <w:sz w:val="24"/>
          <w:szCs w:val="24"/>
        </w:rPr>
        <w:t>General points about the current workplace relations system (page 2)</w:t>
      </w:r>
    </w:p>
    <w:p w14:paraId="1A571900" w14:textId="77777777" w:rsidR="004F43DC" w:rsidRDefault="004F43DC" w:rsidP="004F43DC">
      <w:pPr>
        <w:spacing w:after="0"/>
        <w:rPr>
          <w:rFonts w:ascii="Arial" w:hAnsi="Arial" w:cs="Arial"/>
          <w:sz w:val="24"/>
          <w:szCs w:val="24"/>
        </w:rPr>
      </w:pPr>
    </w:p>
    <w:p w14:paraId="1A66E121" w14:textId="29039F14" w:rsidR="004F43DC" w:rsidRPr="00FA45F7" w:rsidRDefault="004F43DC" w:rsidP="004F43DC">
      <w:pPr>
        <w:spacing w:after="0"/>
        <w:rPr>
          <w:rFonts w:ascii="Arial" w:hAnsi="Arial" w:cs="Arial"/>
          <w:sz w:val="24"/>
          <w:szCs w:val="24"/>
          <w:u w:val="single"/>
        </w:rPr>
      </w:pPr>
      <w:r w:rsidRPr="00FA45F7">
        <w:rPr>
          <w:rFonts w:ascii="Arial" w:hAnsi="Arial" w:cs="Arial"/>
          <w:sz w:val="24"/>
          <w:szCs w:val="24"/>
          <w:u w:val="single"/>
        </w:rPr>
        <w:t xml:space="preserve">Issues Paper 2 – Safety Nets (page </w:t>
      </w:r>
      <w:r w:rsidR="00BC6528">
        <w:rPr>
          <w:rFonts w:ascii="Arial" w:hAnsi="Arial" w:cs="Arial"/>
          <w:sz w:val="24"/>
          <w:szCs w:val="24"/>
          <w:u w:val="single"/>
        </w:rPr>
        <w:t>8</w:t>
      </w:r>
      <w:r w:rsidRPr="00FA45F7">
        <w:rPr>
          <w:rFonts w:ascii="Arial" w:hAnsi="Arial" w:cs="Arial"/>
          <w:sz w:val="24"/>
          <w:szCs w:val="24"/>
          <w:u w:val="single"/>
        </w:rPr>
        <w:t>)</w:t>
      </w:r>
    </w:p>
    <w:p w14:paraId="77D77771" w14:textId="77777777" w:rsidR="004F43DC" w:rsidRDefault="004F43DC" w:rsidP="004F43DC">
      <w:pPr>
        <w:spacing w:after="0"/>
        <w:rPr>
          <w:rFonts w:ascii="Arial" w:hAnsi="Arial" w:cs="Arial"/>
          <w:sz w:val="24"/>
          <w:szCs w:val="24"/>
        </w:rPr>
      </w:pPr>
    </w:p>
    <w:p w14:paraId="200E1CB1" w14:textId="77777777" w:rsidR="004F43DC" w:rsidRDefault="004F43DC" w:rsidP="004F43DC">
      <w:pPr>
        <w:pStyle w:val="ListParagraph"/>
        <w:numPr>
          <w:ilvl w:val="0"/>
          <w:numId w:val="7"/>
        </w:numPr>
        <w:spacing w:after="0"/>
        <w:rPr>
          <w:rFonts w:ascii="Arial" w:hAnsi="Arial" w:cs="Arial"/>
          <w:sz w:val="24"/>
          <w:szCs w:val="24"/>
        </w:rPr>
      </w:pPr>
      <w:r>
        <w:rPr>
          <w:rFonts w:ascii="Arial" w:hAnsi="Arial" w:cs="Arial"/>
          <w:sz w:val="24"/>
          <w:szCs w:val="24"/>
        </w:rPr>
        <w:t>General comments</w:t>
      </w:r>
    </w:p>
    <w:p w14:paraId="586F88B1" w14:textId="77777777" w:rsidR="004F43DC" w:rsidRDefault="004F43DC" w:rsidP="004F43DC">
      <w:pPr>
        <w:pStyle w:val="ListParagraph"/>
        <w:numPr>
          <w:ilvl w:val="0"/>
          <w:numId w:val="7"/>
        </w:numPr>
        <w:spacing w:after="0"/>
        <w:rPr>
          <w:rFonts w:ascii="Arial" w:hAnsi="Arial" w:cs="Arial"/>
          <w:sz w:val="24"/>
          <w:szCs w:val="24"/>
        </w:rPr>
      </w:pPr>
      <w:r>
        <w:rPr>
          <w:rFonts w:ascii="Arial" w:hAnsi="Arial" w:cs="Arial"/>
          <w:sz w:val="24"/>
          <w:szCs w:val="24"/>
        </w:rPr>
        <w:t>Redundancy</w:t>
      </w:r>
    </w:p>
    <w:p w14:paraId="49DBD8B3" w14:textId="77777777" w:rsidR="004F43DC" w:rsidRDefault="004F43DC" w:rsidP="004F43DC">
      <w:pPr>
        <w:pStyle w:val="ListParagraph"/>
        <w:numPr>
          <w:ilvl w:val="0"/>
          <w:numId w:val="7"/>
        </w:numPr>
        <w:spacing w:after="0"/>
        <w:rPr>
          <w:rFonts w:ascii="Arial" w:hAnsi="Arial" w:cs="Arial"/>
          <w:sz w:val="24"/>
          <w:szCs w:val="24"/>
        </w:rPr>
      </w:pPr>
      <w:r>
        <w:rPr>
          <w:rFonts w:ascii="Arial" w:hAnsi="Arial" w:cs="Arial"/>
          <w:sz w:val="24"/>
          <w:szCs w:val="24"/>
        </w:rPr>
        <w:t>Long service leave</w:t>
      </w:r>
    </w:p>
    <w:p w14:paraId="1215222C" w14:textId="77777777" w:rsidR="004F43DC" w:rsidRPr="00FA45F7" w:rsidRDefault="004F43DC" w:rsidP="004F43DC">
      <w:pPr>
        <w:pStyle w:val="ListParagraph"/>
        <w:spacing w:after="0"/>
        <w:ind w:left="1080"/>
        <w:rPr>
          <w:rFonts w:ascii="Arial" w:hAnsi="Arial" w:cs="Arial"/>
          <w:sz w:val="24"/>
          <w:szCs w:val="24"/>
        </w:rPr>
      </w:pPr>
    </w:p>
    <w:p w14:paraId="4FCCAEFA" w14:textId="0AFA8C4C" w:rsidR="004F43DC" w:rsidRPr="00FA45F7" w:rsidRDefault="004F43DC" w:rsidP="004F43DC">
      <w:pPr>
        <w:spacing w:after="0"/>
        <w:rPr>
          <w:rFonts w:ascii="Arial" w:hAnsi="Arial" w:cs="Arial"/>
          <w:sz w:val="24"/>
          <w:szCs w:val="24"/>
          <w:u w:val="single"/>
        </w:rPr>
      </w:pPr>
      <w:r w:rsidRPr="00FA45F7">
        <w:rPr>
          <w:rFonts w:ascii="Arial" w:hAnsi="Arial" w:cs="Arial"/>
          <w:sz w:val="24"/>
          <w:szCs w:val="24"/>
          <w:u w:val="single"/>
        </w:rPr>
        <w:t>Issues Paper 3 - The Bargaining Framework (page 1</w:t>
      </w:r>
      <w:r w:rsidR="00BC6528">
        <w:rPr>
          <w:rFonts w:ascii="Arial" w:hAnsi="Arial" w:cs="Arial"/>
          <w:sz w:val="24"/>
          <w:szCs w:val="24"/>
          <w:u w:val="single"/>
        </w:rPr>
        <w:t>8</w:t>
      </w:r>
      <w:r w:rsidRPr="00FA45F7">
        <w:rPr>
          <w:rFonts w:ascii="Arial" w:hAnsi="Arial" w:cs="Arial"/>
          <w:sz w:val="24"/>
          <w:szCs w:val="24"/>
          <w:u w:val="single"/>
        </w:rPr>
        <w:t>)</w:t>
      </w:r>
      <w:r w:rsidR="00BC6528">
        <w:rPr>
          <w:rFonts w:ascii="Arial" w:hAnsi="Arial" w:cs="Arial"/>
          <w:sz w:val="24"/>
          <w:szCs w:val="24"/>
          <w:u w:val="single"/>
        </w:rPr>
        <w:t xml:space="preserve"> </w:t>
      </w:r>
    </w:p>
    <w:p w14:paraId="7A61811D" w14:textId="77777777" w:rsidR="004F43DC" w:rsidRDefault="004F43DC" w:rsidP="004F43DC">
      <w:pPr>
        <w:spacing w:after="0"/>
        <w:rPr>
          <w:rFonts w:ascii="Arial" w:hAnsi="Arial" w:cs="Arial"/>
          <w:sz w:val="24"/>
          <w:szCs w:val="24"/>
        </w:rPr>
      </w:pPr>
    </w:p>
    <w:p w14:paraId="09A31CA4" w14:textId="14F4C625" w:rsidR="004F43DC" w:rsidRPr="00FA45F7" w:rsidRDefault="004F43DC" w:rsidP="004F43DC">
      <w:pPr>
        <w:tabs>
          <w:tab w:val="left" w:pos="5820"/>
        </w:tabs>
        <w:spacing w:after="0"/>
        <w:rPr>
          <w:rFonts w:ascii="Arial" w:hAnsi="Arial" w:cs="Arial"/>
          <w:sz w:val="24"/>
          <w:szCs w:val="24"/>
          <w:u w:val="single"/>
        </w:rPr>
      </w:pPr>
      <w:r w:rsidRPr="00FA45F7">
        <w:rPr>
          <w:rFonts w:ascii="Arial" w:hAnsi="Arial" w:cs="Arial"/>
          <w:sz w:val="24"/>
          <w:szCs w:val="24"/>
          <w:u w:val="single"/>
        </w:rPr>
        <w:t>Issues Paper 4 – Employee Protections (page 3</w:t>
      </w:r>
      <w:r w:rsidR="00BC6528">
        <w:rPr>
          <w:rFonts w:ascii="Arial" w:hAnsi="Arial" w:cs="Arial"/>
          <w:sz w:val="24"/>
          <w:szCs w:val="24"/>
          <w:u w:val="single"/>
        </w:rPr>
        <w:t>7</w:t>
      </w:r>
      <w:r w:rsidRPr="00FA45F7">
        <w:rPr>
          <w:rFonts w:ascii="Arial" w:hAnsi="Arial" w:cs="Arial"/>
          <w:sz w:val="24"/>
          <w:szCs w:val="24"/>
          <w:u w:val="single"/>
        </w:rPr>
        <w:t>)</w:t>
      </w:r>
    </w:p>
    <w:p w14:paraId="518E70A8" w14:textId="77777777" w:rsidR="004F43DC" w:rsidRDefault="004F43DC" w:rsidP="004F43DC">
      <w:pPr>
        <w:spacing w:after="0"/>
        <w:rPr>
          <w:rFonts w:ascii="Arial" w:hAnsi="Arial" w:cs="Arial"/>
          <w:sz w:val="24"/>
          <w:szCs w:val="24"/>
        </w:rPr>
      </w:pPr>
    </w:p>
    <w:p w14:paraId="6084B5E5" w14:textId="77777777" w:rsidR="004F43DC" w:rsidRDefault="004F43DC" w:rsidP="004F43DC">
      <w:pPr>
        <w:pStyle w:val="ListParagraph"/>
        <w:numPr>
          <w:ilvl w:val="0"/>
          <w:numId w:val="7"/>
        </w:numPr>
        <w:spacing w:after="0"/>
        <w:rPr>
          <w:rFonts w:ascii="Arial" w:hAnsi="Arial" w:cs="Arial"/>
          <w:sz w:val="24"/>
          <w:szCs w:val="24"/>
        </w:rPr>
      </w:pPr>
      <w:r>
        <w:rPr>
          <w:rFonts w:ascii="Arial" w:hAnsi="Arial" w:cs="Arial"/>
          <w:sz w:val="24"/>
          <w:szCs w:val="24"/>
        </w:rPr>
        <w:t>Sham contracting</w:t>
      </w:r>
    </w:p>
    <w:p w14:paraId="5E42FC5D" w14:textId="77777777" w:rsidR="004F43DC" w:rsidRDefault="004F43DC" w:rsidP="004F43DC">
      <w:pPr>
        <w:pStyle w:val="ListParagraph"/>
        <w:numPr>
          <w:ilvl w:val="0"/>
          <w:numId w:val="7"/>
        </w:numPr>
        <w:spacing w:after="0"/>
        <w:rPr>
          <w:rFonts w:ascii="Arial" w:hAnsi="Arial" w:cs="Arial"/>
          <w:sz w:val="24"/>
          <w:szCs w:val="24"/>
        </w:rPr>
      </w:pPr>
      <w:r>
        <w:rPr>
          <w:rFonts w:ascii="Arial" w:hAnsi="Arial" w:cs="Arial"/>
          <w:sz w:val="24"/>
          <w:szCs w:val="24"/>
        </w:rPr>
        <w:t>General protections</w:t>
      </w:r>
    </w:p>
    <w:p w14:paraId="4AD86462" w14:textId="77777777" w:rsidR="004F43DC" w:rsidRPr="00E361E1" w:rsidRDefault="004F43DC" w:rsidP="004F43DC">
      <w:pPr>
        <w:spacing w:after="0"/>
        <w:rPr>
          <w:rFonts w:ascii="Arial" w:hAnsi="Arial" w:cs="Arial"/>
          <w:sz w:val="24"/>
          <w:szCs w:val="24"/>
        </w:rPr>
      </w:pPr>
    </w:p>
    <w:p w14:paraId="6A8FF351" w14:textId="0D624559" w:rsidR="004F43DC" w:rsidRPr="00FA45F7" w:rsidRDefault="004F43DC" w:rsidP="004F43DC">
      <w:pPr>
        <w:spacing w:after="0"/>
        <w:rPr>
          <w:rFonts w:ascii="Arial" w:hAnsi="Arial" w:cs="Arial"/>
          <w:sz w:val="24"/>
          <w:szCs w:val="24"/>
          <w:u w:val="single"/>
        </w:rPr>
      </w:pPr>
      <w:r w:rsidRPr="00FA45F7">
        <w:rPr>
          <w:rFonts w:ascii="Arial" w:hAnsi="Arial" w:cs="Arial"/>
          <w:sz w:val="24"/>
          <w:szCs w:val="24"/>
          <w:u w:val="single"/>
        </w:rPr>
        <w:t xml:space="preserve">Issues Paper 5 – Other Workplace Relations Issues (page </w:t>
      </w:r>
      <w:r w:rsidR="00BC6528">
        <w:rPr>
          <w:rFonts w:ascii="Arial" w:hAnsi="Arial" w:cs="Arial"/>
          <w:sz w:val="24"/>
          <w:szCs w:val="24"/>
          <w:u w:val="single"/>
        </w:rPr>
        <w:t>4</w:t>
      </w:r>
      <w:r w:rsidRPr="00FA45F7">
        <w:rPr>
          <w:rFonts w:ascii="Arial" w:hAnsi="Arial" w:cs="Arial"/>
          <w:sz w:val="24"/>
          <w:szCs w:val="24"/>
          <w:u w:val="single"/>
        </w:rPr>
        <w:t>7)</w:t>
      </w:r>
    </w:p>
    <w:p w14:paraId="2F7663F6" w14:textId="77777777" w:rsidR="004F43DC" w:rsidRDefault="004F43DC" w:rsidP="004F43DC">
      <w:pPr>
        <w:spacing w:after="0"/>
        <w:rPr>
          <w:rFonts w:ascii="Arial" w:hAnsi="Arial" w:cs="Arial"/>
          <w:sz w:val="24"/>
          <w:szCs w:val="24"/>
        </w:rPr>
      </w:pPr>
    </w:p>
    <w:p w14:paraId="632B5203" w14:textId="739FFDE2" w:rsidR="004F43DC" w:rsidRPr="00BC6528" w:rsidRDefault="004F43DC" w:rsidP="00BC6528">
      <w:pPr>
        <w:pStyle w:val="ListParagraph"/>
        <w:numPr>
          <w:ilvl w:val="0"/>
          <w:numId w:val="7"/>
        </w:numPr>
        <w:spacing w:after="0"/>
        <w:rPr>
          <w:rFonts w:ascii="Arial" w:hAnsi="Arial" w:cs="Arial"/>
          <w:b/>
          <w:sz w:val="28"/>
          <w:szCs w:val="28"/>
        </w:rPr>
      </w:pPr>
      <w:r>
        <w:rPr>
          <w:rFonts w:ascii="Arial" w:hAnsi="Arial" w:cs="Arial"/>
          <w:sz w:val="24"/>
          <w:szCs w:val="24"/>
        </w:rPr>
        <w:t>General points on institutions and compliance costs</w:t>
      </w:r>
    </w:p>
    <w:p w14:paraId="11D732D3" w14:textId="77777777" w:rsidR="00555859" w:rsidRDefault="00555859" w:rsidP="007B63AA">
      <w:pPr>
        <w:spacing w:after="0" w:line="360" w:lineRule="auto"/>
        <w:jc w:val="both"/>
        <w:rPr>
          <w:rFonts w:ascii="Arial" w:hAnsi="Arial" w:cs="Arial"/>
          <w:b/>
          <w:sz w:val="28"/>
          <w:szCs w:val="28"/>
        </w:rPr>
      </w:pPr>
      <w:r>
        <w:rPr>
          <w:rFonts w:ascii="Arial" w:hAnsi="Arial" w:cs="Arial"/>
          <w:b/>
          <w:sz w:val="28"/>
          <w:szCs w:val="28"/>
        </w:rPr>
        <w:lastRenderedPageBreak/>
        <w:t>ISSUES PAPER 1: THE INQUIRY IN CONTEXT</w:t>
      </w:r>
    </w:p>
    <w:p w14:paraId="07C58725" w14:textId="77777777" w:rsidR="00555859" w:rsidRDefault="00555859" w:rsidP="007B63AA">
      <w:pPr>
        <w:spacing w:after="0" w:line="360" w:lineRule="auto"/>
        <w:jc w:val="both"/>
        <w:rPr>
          <w:rFonts w:ascii="Arial" w:hAnsi="Arial" w:cs="Arial"/>
          <w:b/>
          <w:sz w:val="28"/>
          <w:szCs w:val="28"/>
        </w:rPr>
      </w:pPr>
    </w:p>
    <w:p w14:paraId="3FDE5CA6" w14:textId="77777777" w:rsidR="009D6577" w:rsidRPr="00555859" w:rsidRDefault="009D6577" w:rsidP="007B63AA">
      <w:pPr>
        <w:spacing w:after="0" w:line="360" w:lineRule="auto"/>
        <w:jc w:val="both"/>
        <w:rPr>
          <w:rFonts w:ascii="Arial" w:hAnsi="Arial" w:cs="Arial"/>
          <w:b/>
          <w:sz w:val="24"/>
          <w:szCs w:val="24"/>
        </w:rPr>
      </w:pPr>
      <w:r w:rsidRPr="00555859">
        <w:rPr>
          <w:rFonts w:ascii="Arial" w:hAnsi="Arial" w:cs="Arial"/>
          <w:b/>
          <w:sz w:val="24"/>
          <w:szCs w:val="24"/>
        </w:rPr>
        <w:t>GENERAL POINTS ABOUT THE CURRENT WORKPLACE RELATIONS SYSTEM</w:t>
      </w:r>
    </w:p>
    <w:p w14:paraId="50952DB6" w14:textId="77777777" w:rsidR="009D6577" w:rsidRDefault="009D6577" w:rsidP="007B63AA">
      <w:pPr>
        <w:spacing w:after="0" w:line="360" w:lineRule="auto"/>
        <w:jc w:val="both"/>
        <w:rPr>
          <w:rFonts w:ascii="Arial" w:hAnsi="Arial" w:cs="Arial"/>
          <w:b/>
          <w:sz w:val="28"/>
          <w:szCs w:val="28"/>
        </w:rPr>
      </w:pPr>
    </w:p>
    <w:p w14:paraId="06077E0E" w14:textId="77777777" w:rsidR="009D6577" w:rsidRPr="009D6577" w:rsidRDefault="009D6577" w:rsidP="007B63AA">
      <w:pPr>
        <w:spacing w:after="0" w:line="360" w:lineRule="auto"/>
        <w:jc w:val="both"/>
        <w:rPr>
          <w:rFonts w:ascii="Arial" w:hAnsi="Arial" w:cs="Arial"/>
          <w:b/>
          <w:sz w:val="24"/>
          <w:szCs w:val="24"/>
        </w:rPr>
      </w:pPr>
      <w:r>
        <w:rPr>
          <w:rFonts w:ascii="Arial" w:hAnsi="Arial" w:cs="Arial"/>
          <w:b/>
          <w:sz w:val="24"/>
          <w:szCs w:val="24"/>
        </w:rPr>
        <w:t>Current performance indicators</w:t>
      </w:r>
    </w:p>
    <w:p w14:paraId="687B97E1" w14:textId="77777777" w:rsidR="009D6577" w:rsidRDefault="009D6577" w:rsidP="007B63AA">
      <w:pPr>
        <w:spacing w:after="0" w:line="360" w:lineRule="auto"/>
        <w:jc w:val="both"/>
        <w:rPr>
          <w:rFonts w:ascii="Arial" w:hAnsi="Arial" w:cs="Arial"/>
          <w:b/>
          <w:sz w:val="28"/>
          <w:szCs w:val="28"/>
        </w:rPr>
      </w:pPr>
    </w:p>
    <w:p w14:paraId="687E86CD" w14:textId="77777777" w:rsidR="0031451B" w:rsidRDefault="002F333D" w:rsidP="007B63AA">
      <w:pPr>
        <w:pStyle w:val="ListParagraph"/>
        <w:numPr>
          <w:ilvl w:val="0"/>
          <w:numId w:val="3"/>
        </w:numPr>
        <w:spacing w:after="0" w:line="360" w:lineRule="auto"/>
        <w:jc w:val="both"/>
        <w:rPr>
          <w:rFonts w:ascii="Arial" w:hAnsi="Arial" w:cs="Arial"/>
          <w:sz w:val="24"/>
          <w:szCs w:val="24"/>
        </w:rPr>
      </w:pPr>
      <w:r>
        <w:rPr>
          <w:rFonts w:ascii="Arial" w:hAnsi="Arial" w:cs="Arial"/>
          <w:sz w:val="24"/>
          <w:szCs w:val="24"/>
        </w:rPr>
        <w:t>Th</w:t>
      </w:r>
      <w:r w:rsidR="00EC002A">
        <w:rPr>
          <w:rFonts w:ascii="Arial" w:hAnsi="Arial" w:cs="Arial"/>
          <w:sz w:val="24"/>
          <w:szCs w:val="24"/>
        </w:rPr>
        <w:t xml:space="preserve">e </w:t>
      </w:r>
      <w:r>
        <w:rPr>
          <w:rFonts w:ascii="Arial" w:hAnsi="Arial" w:cs="Arial"/>
          <w:sz w:val="24"/>
          <w:szCs w:val="24"/>
        </w:rPr>
        <w:t xml:space="preserve">following data </w:t>
      </w:r>
      <w:r w:rsidR="00255C0C">
        <w:rPr>
          <w:rFonts w:ascii="Arial" w:hAnsi="Arial" w:cs="Arial"/>
          <w:sz w:val="24"/>
          <w:szCs w:val="24"/>
        </w:rPr>
        <w:t xml:space="preserve">relates to matters identified in the Terms of Reference as relevant </w:t>
      </w:r>
      <w:r>
        <w:rPr>
          <w:rFonts w:ascii="Arial" w:hAnsi="Arial" w:cs="Arial"/>
          <w:sz w:val="24"/>
          <w:szCs w:val="24"/>
        </w:rPr>
        <w:t>to</w:t>
      </w:r>
      <w:r w:rsidR="00EC002A">
        <w:rPr>
          <w:rFonts w:ascii="Arial" w:hAnsi="Arial" w:cs="Arial"/>
          <w:sz w:val="24"/>
          <w:szCs w:val="24"/>
        </w:rPr>
        <w:t xml:space="preserve"> the Productivity Commission’s inquiry into the </w:t>
      </w:r>
      <w:r>
        <w:rPr>
          <w:rFonts w:ascii="Arial" w:hAnsi="Arial" w:cs="Arial"/>
          <w:sz w:val="24"/>
          <w:szCs w:val="24"/>
        </w:rPr>
        <w:t>workplace relations fr</w:t>
      </w:r>
      <w:r w:rsidR="00255C0C">
        <w:rPr>
          <w:rFonts w:ascii="Arial" w:hAnsi="Arial" w:cs="Arial"/>
          <w:sz w:val="24"/>
          <w:szCs w:val="24"/>
        </w:rPr>
        <w:t>amework</w:t>
      </w:r>
      <w:r>
        <w:rPr>
          <w:rFonts w:ascii="Arial" w:hAnsi="Arial" w:cs="Arial"/>
          <w:sz w:val="24"/>
          <w:szCs w:val="24"/>
        </w:rPr>
        <w:t xml:space="preserve">. </w:t>
      </w:r>
      <w:r w:rsidR="00EC002A">
        <w:rPr>
          <w:rFonts w:ascii="Arial" w:hAnsi="Arial" w:cs="Arial"/>
          <w:sz w:val="24"/>
          <w:szCs w:val="24"/>
        </w:rPr>
        <w:t xml:space="preserve"> </w:t>
      </w:r>
    </w:p>
    <w:p w14:paraId="59064E2C" w14:textId="77777777" w:rsidR="00EC002A" w:rsidRDefault="00EC002A" w:rsidP="007B63AA">
      <w:pPr>
        <w:pStyle w:val="ListParagraph"/>
        <w:spacing w:after="0" w:line="360" w:lineRule="auto"/>
        <w:jc w:val="both"/>
        <w:rPr>
          <w:rFonts w:ascii="Arial" w:hAnsi="Arial" w:cs="Arial"/>
          <w:sz w:val="24"/>
          <w:szCs w:val="24"/>
        </w:rPr>
      </w:pPr>
    </w:p>
    <w:p w14:paraId="61F1D6CF" w14:textId="77777777" w:rsidR="002F5180" w:rsidRPr="002F5180" w:rsidRDefault="002F5180" w:rsidP="007B63AA">
      <w:pPr>
        <w:spacing w:after="0" w:line="360" w:lineRule="auto"/>
        <w:jc w:val="both"/>
        <w:rPr>
          <w:rFonts w:ascii="Arial" w:hAnsi="Arial" w:cs="Arial"/>
          <w:sz w:val="24"/>
          <w:szCs w:val="24"/>
          <w:u w:val="single"/>
        </w:rPr>
      </w:pPr>
      <w:r>
        <w:rPr>
          <w:rFonts w:ascii="Arial" w:hAnsi="Arial" w:cs="Arial"/>
          <w:sz w:val="24"/>
          <w:szCs w:val="24"/>
          <w:u w:val="single"/>
        </w:rPr>
        <w:t>Productivity</w:t>
      </w:r>
    </w:p>
    <w:p w14:paraId="15CAA176" w14:textId="77777777" w:rsidR="002F5180" w:rsidRDefault="002F5180" w:rsidP="007B63AA">
      <w:pPr>
        <w:pStyle w:val="ListParagraph"/>
        <w:spacing w:after="0" w:line="360" w:lineRule="auto"/>
        <w:jc w:val="both"/>
        <w:rPr>
          <w:rFonts w:ascii="Arial" w:hAnsi="Arial" w:cs="Arial"/>
          <w:sz w:val="24"/>
          <w:szCs w:val="24"/>
        </w:rPr>
      </w:pPr>
    </w:p>
    <w:p w14:paraId="19A0F2AD" w14:textId="77777777" w:rsidR="00542A32" w:rsidRDefault="00FB427A" w:rsidP="007B63AA">
      <w:pPr>
        <w:pStyle w:val="ListParagraph"/>
        <w:numPr>
          <w:ilvl w:val="0"/>
          <w:numId w:val="3"/>
        </w:numPr>
        <w:spacing w:after="0" w:line="360" w:lineRule="auto"/>
        <w:jc w:val="both"/>
        <w:rPr>
          <w:rFonts w:ascii="Arial" w:hAnsi="Arial" w:cs="Arial"/>
          <w:sz w:val="24"/>
          <w:szCs w:val="24"/>
        </w:rPr>
      </w:pPr>
      <w:r>
        <w:rPr>
          <w:rFonts w:ascii="Arial" w:hAnsi="Arial" w:cs="Arial"/>
          <w:sz w:val="24"/>
          <w:szCs w:val="24"/>
        </w:rPr>
        <w:t xml:space="preserve">In Australia </w:t>
      </w:r>
      <w:r w:rsidR="002F333D">
        <w:rPr>
          <w:rFonts w:ascii="Arial" w:hAnsi="Arial" w:cs="Arial"/>
          <w:sz w:val="24"/>
          <w:szCs w:val="24"/>
        </w:rPr>
        <w:t>Gross Domestic Product (GDP) per hour worked increased by 1.7% from December 2013 until December 2014.</w:t>
      </w:r>
      <w:r w:rsidR="00542A32">
        <w:rPr>
          <w:rStyle w:val="FootnoteReference"/>
          <w:rFonts w:ascii="Arial" w:hAnsi="Arial" w:cs="Arial"/>
          <w:sz w:val="24"/>
          <w:szCs w:val="24"/>
        </w:rPr>
        <w:footnoteReference w:id="3"/>
      </w:r>
    </w:p>
    <w:p w14:paraId="4E8AA346" w14:textId="77777777" w:rsidR="00542A32" w:rsidRDefault="00542A32" w:rsidP="007B63AA">
      <w:pPr>
        <w:pStyle w:val="ListParagraph"/>
        <w:spacing w:after="0" w:line="360" w:lineRule="auto"/>
        <w:jc w:val="both"/>
        <w:rPr>
          <w:rFonts w:ascii="Arial" w:hAnsi="Arial" w:cs="Arial"/>
          <w:sz w:val="24"/>
          <w:szCs w:val="24"/>
        </w:rPr>
      </w:pPr>
    </w:p>
    <w:p w14:paraId="37A698C2" w14:textId="77777777" w:rsidR="00EC002A" w:rsidRPr="00EC002A" w:rsidRDefault="00542A32" w:rsidP="007B63AA">
      <w:pPr>
        <w:pStyle w:val="ListParagraph"/>
        <w:numPr>
          <w:ilvl w:val="0"/>
          <w:numId w:val="3"/>
        </w:numPr>
        <w:spacing w:after="0" w:line="360" w:lineRule="auto"/>
        <w:jc w:val="both"/>
        <w:rPr>
          <w:rFonts w:ascii="Arial" w:hAnsi="Arial" w:cs="Arial"/>
          <w:sz w:val="24"/>
          <w:szCs w:val="24"/>
        </w:rPr>
      </w:pPr>
      <w:r>
        <w:rPr>
          <w:rFonts w:ascii="Arial" w:hAnsi="Arial" w:cs="Arial"/>
          <w:sz w:val="24"/>
          <w:szCs w:val="24"/>
        </w:rPr>
        <w:t xml:space="preserve">Australia’s GDP per person employed was the highest amongst </w:t>
      </w:r>
      <w:r w:rsidR="00D41983">
        <w:rPr>
          <w:rFonts w:ascii="Arial" w:hAnsi="Arial" w:cs="Arial"/>
          <w:sz w:val="24"/>
          <w:szCs w:val="24"/>
        </w:rPr>
        <w:t xml:space="preserve">identified </w:t>
      </w:r>
      <w:r>
        <w:rPr>
          <w:rFonts w:ascii="Arial" w:hAnsi="Arial" w:cs="Arial"/>
          <w:sz w:val="24"/>
          <w:szCs w:val="24"/>
        </w:rPr>
        <w:t>Organisation for Economic Co-operation and Development (OECD) countries at the end of the third quarter in 2014.</w:t>
      </w:r>
      <w:r>
        <w:rPr>
          <w:rStyle w:val="FootnoteReference"/>
          <w:rFonts w:ascii="Arial" w:hAnsi="Arial" w:cs="Arial"/>
          <w:sz w:val="24"/>
          <w:szCs w:val="24"/>
        </w:rPr>
        <w:footnoteReference w:id="4"/>
      </w:r>
      <w:r w:rsidR="002F333D">
        <w:rPr>
          <w:rFonts w:ascii="Arial" w:hAnsi="Arial" w:cs="Arial"/>
          <w:sz w:val="24"/>
          <w:szCs w:val="24"/>
        </w:rPr>
        <w:t xml:space="preserve"> </w:t>
      </w:r>
    </w:p>
    <w:p w14:paraId="0D3F2CA3" w14:textId="77777777" w:rsidR="0031451B" w:rsidRDefault="0031451B" w:rsidP="007B63AA">
      <w:pPr>
        <w:spacing w:after="0" w:line="360" w:lineRule="auto"/>
        <w:jc w:val="both"/>
        <w:rPr>
          <w:rFonts w:ascii="Arial" w:hAnsi="Arial" w:cs="Arial"/>
          <w:b/>
          <w:sz w:val="24"/>
          <w:szCs w:val="24"/>
        </w:rPr>
      </w:pPr>
    </w:p>
    <w:p w14:paraId="4BA01ABE" w14:textId="77777777" w:rsidR="00542A32" w:rsidRPr="00542A32" w:rsidRDefault="00542A32" w:rsidP="007B63AA">
      <w:pPr>
        <w:spacing w:after="0" w:line="360" w:lineRule="auto"/>
        <w:jc w:val="both"/>
        <w:rPr>
          <w:rFonts w:ascii="Arial" w:hAnsi="Arial" w:cs="Arial"/>
          <w:sz w:val="24"/>
          <w:szCs w:val="24"/>
          <w:u w:val="single"/>
        </w:rPr>
      </w:pPr>
      <w:r>
        <w:rPr>
          <w:rFonts w:ascii="Arial" w:hAnsi="Arial" w:cs="Arial"/>
          <w:sz w:val="24"/>
          <w:szCs w:val="24"/>
          <w:u w:val="single"/>
        </w:rPr>
        <w:t>Wages growth</w:t>
      </w:r>
    </w:p>
    <w:p w14:paraId="582EC755" w14:textId="77777777" w:rsidR="00542A32" w:rsidRDefault="00542A32" w:rsidP="007B63AA">
      <w:pPr>
        <w:spacing w:after="0" w:line="360" w:lineRule="auto"/>
        <w:jc w:val="both"/>
        <w:rPr>
          <w:rFonts w:ascii="Arial" w:hAnsi="Arial" w:cs="Arial"/>
          <w:b/>
          <w:sz w:val="24"/>
          <w:szCs w:val="24"/>
        </w:rPr>
      </w:pPr>
    </w:p>
    <w:p w14:paraId="15A1FFB1" w14:textId="77777777" w:rsidR="002535DE" w:rsidRDefault="002535DE" w:rsidP="007B63AA">
      <w:pPr>
        <w:pStyle w:val="ListParagraph"/>
        <w:numPr>
          <w:ilvl w:val="0"/>
          <w:numId w:val="3"/>
        </w:numPr>
        <w:spacing w:after="0" w:line="360" w:lineRule="auto"/>
        <w:jc w:val="both"/>
        <w:rPr>
          <w:rFonts w:ascii="Arial" w:hAnsi="Arial" w:cs="Arial"/>
          <w:sz w:val="24"/>
          <w:szCs w:val="24"/>
        </w:rPr>
      </w:pPr>
      <w:r>
        <w:rPr>
          <w:rFonts w:ascii="Arial" w:hAnsi="Arial" w:cs="Arial"/>
          <w:sz w:val="24"/>
          <w:szCs w:val="24"/>
        </w:rPr>
        <w:t>The Australian Wage Price Index (WPI) increased by only 2.5% from December 2013 to December 2014.</w:t>
      </w:r>
      <w:r>
        <w:rPr>
          <w:rStyle w:val="FootnoteReference"/>
          <w:rFonts w:ascii="Arial" w:hAnsi="Arial" w:cs="Arial"/>
          <w:sz w:val="24"/>
          <w:szCs w:val="24"/>
        </w:rPr>
        <w:footnoteReference w:id="5"/>
      </w:r>
    </w:p>
    <w:p w14:paraId="02DAEDCA" w14:textId="77777777" w:rsidR="002535DE" w:rsidRDefault="002535DE" w:rsidP="007B63AA">
      <w:pPr>
        <w:pStyle w:val="ListParagraph"/>
        <w:spacing w:after="0" w:line="360" w:lineRule="auto"/>
        <w:jc w:val="both"/>
        <w:rPr>
          <w:rFonts w:ascii="Arial" w:hAnsi="Arial" w:cs="Arial"/>
          <w:sz w:val="24"/>
          <w:szCs w:val="24"/>
        </w:rPr>
      </w:pPr>
    </w:p>
    <w:p w14:paraId="23E1129C" w14:textId="77777777" w:rsidR="00542A32" w:rsidRPr="00542A32" w:rsidRDefault="002535DE" w:rsidP="007B63AA">
      <w:pPr>
        <w:pStyle w:val="ListParagraph"/>
        <w:numPr>
          <w:ilvl w:val="0"/>
          <w:numId w:val="3"/>
        </w:numPr>
        <w:spacing w:after="0" w:line="360" w:lineRule="auto"/>
        <w:jc w:val="both"/>
        <w:rPr>
          <w:rFonts w:ascii="Arial" w:hAnsi="Arial" w:cs="Arial"/>
          <w:sz w:val="24"/>
          <w:szCs w:val="24"/>
        </w:rPr>
      </w:pPr>
      <w:r>
        <w:rPr>
          <w:rFonts w:ascii="Arial" w:hAnsi="Arial" w:cs="Arial"/>
          <w:sz w:val="24"/>
          <w:szCs w:val="24"/>
        </w:rPr>
        <w:t>The All Groups Consumer Price Index (CPI) increased by 1.7% during the same December 2013 to December 2014 period.</w:t>
      </w:r>
      <w:r>
        <w:rPr>
          <w:rStyle w:val="FootnoteReference"/>
          <w:rFonts w:ascii="Arial" w:hAnsi="Arial" w:cs="Arial"/>
          <w:sz w:val="24"/>
          <w:szCs w:val="24"/>
        </w:rPr>
        <w:footnoteReference w:id="6"/>
      </w:r>
      <w:r>
        <w:rPr>
          <w:rFonts w:ascii="Arial" w:hAnsi="Arial" w:cs="Arial"/>
          <w:sz w:val="24"/>
          <w:szCs w:val="24"/>
        </w:rPr>
        <w:t xml:space="preserve"> </w:t>
      </w:r>
    </w:p>
    <w:p w14:paraId="0C93B54E" w14:textId="77777777" w:rsidR="00542A32" w:rsidRDefault="00542A32" w:rsidP="007B63AA">
      <w:pPr>
        <w:spacing w:after="0" w:line="360" w:lineRule="auto"/>
        <w:jc w:val="both"/>
        <w:rPr>
          <w:rFonts w:ascii="Arial" w:hAnsi="Arial" w:cs="Arial"/>
          <w:b/>
          <w:sz w:val="24"/>
          <w:szCs w:val="24"/>
        </w:rPr>
      </w:pPr>
    </w:p>
    <w:p w14:paraId="199F3885" w14:textId="77777777" w:rsidR="002535DE" w:rsidRPr="002535DE" w:rsidRDefault="002535DE" w:rsidP="007B63AA">
      <w:pPr>
        <w:spacing w:after="0" w:line="360" w:lineRule="auto"/>
        <w:jc w:val="both"/>
        <w:rPr>
          <w:rFonts w:ascii="Arial" w:hAnsi="Arial" w:cs="Arial"/>
          <w:sz w:val="24"/>
          <w:szCs w:val="24"/>
          <w:u w:val="single"/>
        </w:rPr>
      </w:pPr>
      <w:r>
        <w:rPr>
          <w:rFonts w:ascii="Arial" w:hAnsi="Arial" w:cs="Arial"/>
          <w:sz w:val="24"/>
          <w:szCs w:val="24"/>
          <w:u w:val="single"/>
        </w:rPr>
        <w:lastRenderedPageBreak/>
        <w:t>Days lost due to industrial action</w:t>
      </w:r>
    </w:p>
    <w:p w14:paraId="0C480F3A" w14:textId="77777777" w:rsidR="002535DE" w:rsidRDefault="002535DE" w:rsidP="007B63AA">
      <w:pPr>
        <w:spacing w:after="0" w:line="360" w:lineRule="auto"/>
        <w:jc w:val="both"/>
        <w:rPr>
          <w:rFonts w:ascii="Arial" w:hAnsi="Arial" w:cs="Arial"/>
          <w:b/>
          <w:sz w:val="24"/>
          <w:szCs w:val="24"/>
        </w:rPr>
      </w:pPr>
    </w:p>
    <w:p w14:paraId="437CCD6E" w14:textId="77777777" w:rsidR="00D41983" w:rsidRDefault="002535DE" w:rsidP="007B63AA">
      <w:pPr>
        <w:pStyle w:val="ListParagraph"/>
        <w:numPr>
          <w:ilvl w:val="0"/>
          <w:numId w:val="3"/>
        </w:numPr>
        <w:spacing w:line="360" w:lineRule="auto"/>
        <w:jc w:val="both"/>
        <w:rPr>
          <w:rFonts w:ascii="Arial" w:eastAsia="Times New Roman" w:hAnsi="Arial" w:cs="Arial"/>
          <w:iCs/>
          <w:color w:val="000000"/>
          <w:sz w:val="24"/>
          <w:szCs w:val="24"/>
          <w:shd w:val="clear" w:color="auto" w:fill="FFFFFF"/>
        </w:rPr>
      </w:pPr>
      <w:r w:rsidRPr="002535DE">
        <w:rPr>
          <w:rFonts w:ascii="Arial" w:eastAsia="Times New Roman" w:hAnsi="Arial" w:cs="Arial"/>
          <w:iCs/>
          <w:color w:val="000000"/>
          <w:sz w:val="24"/>
          <w:szCs w:val="24"/>
          <w:shd w:val="clear" w:color="auto" w:fill="FFFFFF"/>
        </w:rPr>
        <w:t>The table below shows a decrease of over 1,850% in the number of working days lost due to industrial activity in Australia over the past 30 years.</w:t>
      </w:r>
    </w:p>
    <w:p w14:paraId="25E1D8FE" w14:textId="77777777" w:rsidR="00D41983" w:rsidRDefault="00D41983" w:rsidP="007B63AA">
      <w:pPr>
        <w:pStyle w:val="ListParagraph"/>
        <w:spacing w:line="360" w:lineRule="auto"/>
        <w:jc w:val="both"/>
        <w:rPr>
          <w:rFonts w:ascii="Arial" w:eastAsia="Times New Roman" w:hAnsi="Arial" w:cs="Arial"/>
          <w:iCs/>
          <w:color w:val="000000"/>
          <w:sz w:val="24"/>
          <w:szCs w:val="24"/>
          <w:shd w:val="clear" w:color="auto" w:fill="FFFFFF"/>
        </w:rPr>
      </w:pPr>
    </w:p>
    <w:p w14:paraId="644E4E8E" w14:textId="77777777" w:rsidR="00895D98" w:rsidRPr="00255C0C" w:rsidRDefault="002535DE" w:rsidP="007B63AA">
      <w:pPr>
        <w:pStyle w:val="ListParagraph"/>
        <w:numPr>
          <w:ilvl w:val="0"/>
          <w:numId w:val="3"/>
        </w:numPr>
        <w:spacing w:line="360" w:lineRule="auto"/>
        <w:jc w:val="both"/>
        <w:rPr>
          <w:rFonts w:ascii="Arial" w:eastAsia="Times New Roman" w:hAnsi="Arial" w:cs="Arial"/>
          <w:iCs/>
          <w:color w:val="000000"/>
          <w:sz w:val="24"/>
          <w:szCs w:val="24"/>
          <w:shd w:val="clear" w:color="auto" w:fill="FFFFFF"/>
        </w:rPr>
      </w:pPr>
      <w:r w:rsidRPr="002535DE">
        <w:rPr>
          <w:rFonts w:ascii="Arial" w:eastAsia="Times New Roman" w:hAnsi="Arial" w:cs="Arial"/>
          <w:iCs/>
          <w:color w:val="000000"/>
          <w:sz w:val="24"/>
          <w:szCs w:val="24"/>
          <w:shd w:val="clear" w:color="auto" w:fill="FFFFFF"/>
        </w:rPr>
        <w:t>1,691,900 working days were lost due to industrial activity in 1983</w:t>
      </w:r>
      <w:r w:rsidRPr="002535DE">
        <w:rPr>
          <w:rStyle w:val="FootnoteReference"/>
          <w:rFonts w:ascii="Arial" w:eastAsia="Times New Roman" w:hAnsi="Arial" w:cs="Arial"/>
          <w:iCs/>
          <w:color w:val="000000"/>
          <w:sz w:val="24"/>
          <w:szCs w:val="24"/>
          <w:shd w:val="clear" w:color="auto" w:fill="FFFFFF"/>
        </w:rPr>
        <w:footnoteReference w:id="7"/>
      </w:r>
      <w:r w:rsidRPr="002535DE">
        <w:rPr>
          <w:rFonts w:ascii="Arial" w:eastAsia="Times New Roman" w:hAnsi="Arial" w:cs="Arial"/>
          <w:iCs/>
          <w:color w:val="000000"/>
          <w:sz w:val="24"/>
          <w:szCs w:val="24"/>
          <w:shd w:val="clear" w:color="auto" w:fill="FFFFFF"/>
        </w:rPr>
        <w:t xml:space="preserve"> compared to the 90,600 working days in the year ending September 2014,</w:t>
      </w:r>
      <w:r w:rsidRPr="002535DE">
        <w:rPr>
          <w:rStyle w:val="FootnoteReference"/>
          <w:rFonts w:ascii="Arial" w:eastAsia="Times New Roman" w:hAnsi="Arial" w:cs="Arial"/>
          <w:iCs/>
          <w:color w:val="000000"/>
          <w:sz w:val="24"/>
          <w:szCs w:val="24"/>
          <w:shd w:val="clear" w:color="auto" w:fill="FFFFFF"/>
        </w:rPr>
        <w:footnoteReference w:id="8"/>
      </w:r>
      <w:r w:rsidRPr="002535DE">
        <w:rPr>
          <w:rFonts w:ascii="Arial" w:eastAsia="Times New Roman" w:hAnsi="Arial" w:cs="Arial"/>
          <w:iCs/>
          <w:color w:val="000000"/>
          <w:sz w:val="24"/>
          <w:szCs w:val="24"/>
          <w:shd w:val="clear" w:color="auto" w:fill="FFFFFF"/>
        </w:rPr>
        <w:t xml:space="preserve"> despite increases in the number of working Australians.</w:t>
      </w:r>
    </w:p>
    <w:p w14:paraId="2B2885F6" w14:textId="77777777" w:rsidR="002535DE" w:rsidRPr="002535DE" w:rsidRDefault="00AE53C3" w:rsidP="007B63AA">
      <w:pPr>
        <w:spacing w:after="0" w:line="360" w:lineRule="auto"/>
        <w:jc w:val="both"/>
        <w:rPr>
          <w:rFonts w:ascii="Arial" w:hAnsi="Arial" w:cs="Arial"/>
          <w:sz w:val="24"/>
          <w:szCs w:val="24"/>
        </w:rPr>
      </w:pPr>
      <w:r>
        <w:rPr>
          <w:rFonts w:ascii="Arial" w:hAnsi="Arial" w:cs="Arial"/>
          <w:sz w:val="24"/>
          <w:szCs w:val="24"/>
        </w:rPr>
        <w:t xml:space="preserve">         </w:t>
      </w:r>
      <w:r w:rsidR="002535DE" w:rsidRPr="004314DB">
        <w:rPr>
          <w:rFonts w:ascii="Times New Roman" w:hAnsi="Times New Roman" w:cs="Times New Roman"/>
          <w:noProof/>
          <w:sz w:val="24"/>
          <w:szCs w:val="24"/>
          <w:lang w:eastAsia="en-AU"/>
        </w:rPr>
        <w:drawing>
          <wp:inline distT="0" distB="0" distL="0" distR="0" wp14:anchorId="5BC739A4" wp14:editId="04FB372D">
            <wp:extent cx="5270500" cy="3200400"/>
            <wp:effectExtent l="0" t="0" r="12700" b="2540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CA8092E" w14:textId="77777777" w:rsidR="00895D98" w:rsidRDefault="00895D98" w:rsidP="007B63AA">
      <w:pPr>
        <w:spacing w:after="0" w:line="360" w:lineRule="auto"/>
        <w:jc w:val="both"/>
        <w:rPr>
          <w:rFonts w:ascii="Arial" w:hAnsi="Arial" w:cs="Arial"/>
          <w:sz w:val="24"/>
          <w:szCs w:val="24"/>
        </w:rPr>
      </w:pPr>
    </w:p>
    <w:p w14:paraId="6575093E" w14:textId="77777777" w:rsidR="00895D98" w:rsidRPr="00255C0C" w:rsidRDefault="00255C0C" w:rsidP="007B63AA">
      <w:pPr>
        <w:spacing w:after="0" w:line="360" w:lineRule="auto"/>
        <w:jc w:val="both"/>
        <w:rPr>
          <w:rFonts w:ascii="Arial" w:hAnsi="Arial" w:cs="Arial"/>
          <w:sz w:val="24"/>
          <w:szCs w:val="24"/>
          <w:u w:val="single"/>
        </w:rPr>
      </w:pPr>
      <w:proofErr w:type="spellStart"/>
      <w:r>
        <w:rPr>
          <w:rFonts w:ascii="Arial" w:hAnsi="Arial" w:cs="Arial"/>
          <w:sz w:val="24"/>
          <w:szCs w:val="24"/>
          <w:u w:val="single"/>
        </w:rPr>
        <w:t>Casualisation</w:t>
      </w:r>
      <w:proofErr w:type="spellEnd"/>
      <w:r>
        <w:rPr>
          <w:rFonts w:ascii="Arial" w:hAnsi="Arial" w:cs="Arial"/>
          <w:sz w:val="24"/>
          <w:szCs w:val="24"/>
          <w:u w:val="single"/>
        </w:rPr>
        <w:t xml:space="preserve"> of the workforce</w:t>
      </w:r>
    </w:p>
    <w:p w14:paraId="55F08011" w14:textId="77777777" w:rsidR="00255C0C" w:rsidRDefault="00255C0C" w:rsidP="007B63AA">
      <w:pPr>
        <w:spacing w:after="0" w:line="360" w:lineRule="auto"/>
        <w:jc w:val="both"/>
        <w:rPr>
          <w:rFonts w:ascii="Arial" w:hAnsi="Arial" w:cs="Arial"/>
          <w:sz w:val="24"/>
          <w:szCs w:val="24"/>
        </w:rPr>
      </w:pPr>
    </w:p>
    <w:p w14:paraId="066DDF46" w14:textId="77777777" w:rsidR="00895D98" w:rsidRPr="00FB427A" w:rsidRDefault="00FB427A" w:rsidP="007B63AA">
      <w:pPr>
        <w:pStyle w:val="ListParagraph"/>
        <w:numPr>
          <w:ilvl w:val="0"/>
          <w:numId w:val="3"/>
        </w:numPr>
        <w:spacing w:after="0" w:line="360" w:lineRule="auto"/>
        <w:jc w:val="both"/>
        <w:rPr>
          <w:rFonts w:ascii="Arial" w:hAnsi="Arial" w:cs="Arial"/>
          <w:sz w:val="24"/>
          <w:szCs w:val="24"/>
        </w:rPr>
      </w:pPr>
      <w:r>
        <w:rPr>
          <w:rFonts w:ascii="Arial" w:hAnsi="Arial" w:cs="Arial"/>
          <w:sz w:val="24"/>
          <w:szCs w:val="24"/>
        </w:rPr>
        <w:t>Parliament of Australia figures indicate the prevalence of casual employment has remained high in the Australian economy for the last 20 years and has generally fluctuated from 22% to 25%.</w:t>
      </w:r>
      <w:r>
        <w:rPr>
          <w:rStyle w:val="FootnoteReference"/>
          <w:rFonts w:ascii="Arial" w:hAnsi="Arial" w:cs="Arial"/>
          <w:sz w:val="24"/>
          <w:szCs w:val="24"/>
        </w:rPr>
        <w:footnoteReference w:id="9"/>
      </w:r>
      <w:r>
        <w:rPr>
          <w:rFonts w:ascii="Arial" w:hAnsi="Arial" w:cs="Arial"/>
          <w:sz w:val="24"/>
          <w:szCs w:val="24"/>
        </w:rPr>
        <w:t xml:space="preserve"> </w:t>
      </w:r>
    </w:p>
    <w:p w14:paraId="401B44C4" w14:textId="77777777" w:rsidR="00895D98" w:rsidRDefault="00895D98" w:rsidP="007B63AA">
      <w:pPr>
        <w:spacing w:after="0" w:line="360" w:lineRule="auto"/>
        <w:jc w:val="both"/>
        <w:rPr>
          <w:rFonts w:ascii="Arial" w:hAnsi="Arial" w:cs="Arial"/>
          <w:sz w:val="24"/>
          <w:szCs w:val="24"/>
        </w:rPr>
      </w:pPr>
    </w:p>
    <w:p w14:paraId="7129DFDA" w14:textId="77777777" w:rsidR="00FB427A" w:rsidRDefault="00F25745" w:rsidP="007B63AA">
      <w:pPr>
        <w:spacing w:after="0" w:line="360" w:lineRule="auto"/>
        <w:jc w:val="both"/>
        <w:rPr>
          <w:rFonts w:ascii="Arial" w:hAnsi="Arial" w:cs="Arial"/>
          <w:b/>
          <w:sz w:val="24"/>
          <w:szCs w:val="24"/>
        </w:rPr>
      </w:pPr>
      <w:r>
        <w:rPr>
          <w:rFonts w:ascii="Arial" w:hAnsi="Arial" w:cs="Arial"/>
          <w:b/>
          <w:sz w:val="24"/>
          <w:szCs w:val="24"/>
        </w:rPr>
        <w:t>The shift of power in the workplace relations system</w:t>
      </w:r>
    </w:p>
    <w:p w14:paraId="6E7DA76D" w14:textId="77777777" w:rsidR="00FB427A" w:rsidRDefault="00FB427A" w:rsidP="007B63AA">
      <w:pPr>
        <w:spacing w:after="0" w:line="360" w:lineRule="auto"/>
        <w:jc w:val="both"/>
        <w:rPr>
          <w:rFonts w:ascii="Arial" w:hAnsi="Arial" w:cs="Arial"/>
          <w:b/>
          <w:sz w:val="24"/>
          <w:szCs w:val="24"/>
        </w:rPr>
      </w:pPr>
    </w:p>
    <w:p w14:paraId="658CFCE7" w14:textId="77777777" w:rsidR="00FB427A" w:rsidRDefault="00FB427A" w:rsidP="007B63AA">
      <w:pPr>
        <w:pStyle w:val="ListParagraph"/>
        <w:numPr>
          <w:ilvl w:val="0"/>
          <w:numId w:val="3"/>
        </w:numPr>
        <w:spacing w:after="0" w:line="360" w:lineRule="auto"/>
        <w:jc w:val="both"/>
        <w:rPr>
          <w:rFonts w:ascii="Arial" w:hAnsi="Arial" w:cs="Arial"/>
          <w:sz w:val="24"/>
          <w:szCs w:val="24"/>
        </w:rPr>
      </w:pPr>
      <w:r>
        <w:rPr>
          <w:rFonts w:ascii="Arial" w:hAnsi="Arial" w:cs="Arial"/>
          <w:sz w:val="24"/>
          <w:szCs w:val="24"/>
        </w:rPr>
        <w:t>These figures demonstrate that the current workplace relations system is producing significant benefits for employers and only modest gains for employees.</w:t>
      </w:r>
    </w:p>
    <w:p w14:paraId="6CCF10F1" w14:textId="77777777" w:rsidR="00FB427A" w:rsidRDefault="00FB427A" w:rsidP="007B63AA">
      <w:pPr>
        <w:pStyle w:val="ListParagraph"/>
        <w:spacing w:after="0" w:line="360" w:lineRule="auto"/>
        <w:jc w:val="both"/>
        <w:rPr>
          <w:rFonts w:ascii="Arial" w:hAnsi="Arial" w:cs="Arial"/>
          <w:sz w:val="24"/>
          <w:szCs w:val="24"/>
        </w:rPr>
      </w:pPr>
    </w:p>
    <w:p w14:paraId="5EC9E463" w14:textId="77777777" w:rsidR="001D4E82" w:rsidRDefault="00FB427A" w:rsidP="007B63AA">
      <w:pPr>
        <w:pStyle w:val="ListParagraph"/>
        <w:numPr>
          <w:ilvl w:val="0"/>
          <w:numId w:val="3"/>
        </w:numPr>
        <w:spacing w:after="0" w:line="360" w:lineRule="auto"/>
        <w:jc w:val="both"/>
        <w:rPr>
          <w:rFonts w:ascii="Arial" w:hAnsi="Arial" w:cs="Arial"/>
          <w:sz w:val="24"/>
          <w:szCs w:val="24"/>
        </w:rPr>
      </w:pPr>
      <w:r>
        <w:rPr>
          <w:rFonts w:ascii="Arial" w:hAnsi="Arial" w:cs="Arial"/>
          <w:sz w:val="24"/>
          <w:szCs w:val="24"/>
        </w:rPr>
        <w:t>Employers are benefitting from sound produc</w:t>
      </w:r>
      <w:r w:rsidR="001D4E82">
        <w:rPr>
          <w:rFonts w:ascii="Arial" w:hAnsi="Arial" w:cs="Arial"/>
          <w:sz w:val="24"/>
          <w:szCs w:val="24"/>
        </w:rPr>
        <w:t>tivity performance, minimal days lost due to industrial action and a high level of casual employment.</w:t>
      </w:r>
    </w:p>
    <w:p w14:paraId="024B871B" w14:textId="77777777" w:rsidR="001D4E82" w:rsidRPr="001D4E82" w:rsidRDefault="001D4E82" w:rsidP="007B63AA">
      <w:pPr>
        <w:pStyle w:val="ListParagraph"/>
        <w:spacing w:line="360" w:lineRule="auto"/>
        <w:jc w:val="both"/>
        <w:rPr>
          <w:rFonts w:ascii="Arial" w:hAnsi="Arial" w:cs="Arial"/>
          <w:sz w:val="24"/>
          <w:szCs w:val="24"/>
        </w:rPr>
      </w:pPr>
    </w:p>
    <w:p w14:paraId="268AC1D2" w14:textId="77777777" w:rsidR="001D4E82" w:rsidRDefault="001D4E82" w:rsidP="007B63AA">
      <w:pPr>
        <w:pStyle w:val="ListParagraph"/>
        <w:numPr>
          <w:ilvl w:val="0"/>
          <w:numId w:val="3"/>
        </w:numPr>
        <w:spacing w:after="0" w:line="360" w:lineRule="auto"/>
        <w:jc w:val="both"/>
        <w:rPr>
          <w:rFonts w:ascii="Arial" w:hAnsi="Arial" w:cs="Arial"/>
          <w:sz w:val="24"/>
          <w:szCs w:val="24"/>
        </w:rPr>
      </w:pPr>
      <w:r>
        <w:rPr>
          <w:rFonts w:ascii="Arial" w:hAnsi="Arial" w:cs="Arial"/>
          <w:sz w:val="24"/>
          <w:szCs w:val="24"/>
        </w:rPr>
        <w:t>Despite these improvements for employers, employees are on average receiving wage increases which are only barely above the level of inflation.</w:t>
      </w:r>
    </w:p>
    <w:p w14:paraId="343A52CF" w14:textId="77777777" w:rsidR="00372A4F" w:rsidRPr="00372A4F" w:rsidRDefault="00372A4F" w:rsidP="007B63AA">
      <w:pPr>
        <w:pStyle w:val="ListParagraph"/>
        <w:spacing w:line="360" w:lineRule="auto"/>
        <w:jc w:val="both"/>
        <w:rPr>
          <w:rFonts w:ascii="Arial" w:hAnsi="Arial" w:cs="Arial"/>
          <w:sz w:val="24"/>
          <w:szCs w:val="24"/>
        </w:rPr>
      </w:pPr>
    </w:p>
    <w:p w14:paraId="3C879E8C" w14:textId="77777777" w:rsidR="00372A4F" w:rsidRDefault="00372A4F" w:rsidP="007B63AA">
      <w:pPr>
        <w:pStyle w:val="ListParagraph"/>
        <w:numPr>
          <w:ilvl w:val="0"/>
          <w:numId w:val="3"/>
        </w:numPr>
        <w:spacing w:after="0" w:line="360" w:lineRule="auto"/>
        <w:jc w:val="both"/>
        <w:rPr>
          <w:rFonts w:ascii="Arial" w:hAnsi="Arial" w:cs="Arial"/>
          <w:sz w:val="24"/>
          <w:szCs w:val="24"/>
        </w:rPr>
      </w:pPr>
      <w:r>
        <w:rPr>
          <w:rFonts w:ascii="Arial" w:hAnsi="Arial" w:cs="Arial"/>
          <w:sz w:val="24"/>
          <w:szCs w:val="24"/>
        </w:rPr>
        <w:t>In addition, 14% of Australians are working what the OECD considers to be “very long hours”.</w:t>
      </w:r>
      <w:r>
        <w:rPr>
          <w:rStyle w:val="FootnoteReference"/>
          <w:rFonts w:ascii="Arial" w:hAnsi="Arial" w:cs="Arial"/>
          <w:sz w:val="24"/>
          <w:szCs w:val="24"/>
        </w:rPr>
        <w:footnoteReference w:id="10"/>
      </w:r>
      <w:r>
        <w:rPr>
          <w:rFonts w:ascii="Arial" w:hAnsi="Arial" w:cs="Arial"/>
          <w:sz w:val="24"/>
          <w:szCs w:val="24"/>
        </w:rPr>
        <w:t xml:space="preserve"> </w:t>
      </w:r>
    </w:p>
    <w:p w14:paraId="39DA4869" w14:textId="77777777" w:rsidR="001D4E82" w:rsidRPr="001D4E82" w:rsidRDefault="001D4E82" w:rsidP="007B63AA">
      <w:pPr>
        <w:pStyle w:val="ListParagraph"/>
        <w:spacing w:line="360" w:lineRule="auto"/>
        <w:jc w:val="both"/>
        <w:rPr>
          <w:rFonts w:ascii="Arial" w:hAnsi="Arial" w:cs="Arial"/>
          <w:sz w:val="24"/>
          <w:szCs w:val="24"/>
        </w:rPr>
      </w:pPr>
    </w:p>
    <w:p w14:paraId="0618BF09" w14:textId="77777777" w:rsidR="005D7303" w:rsidRDefault="00372A4F" w:rsidP="007B63AA">
      <w:pPr>
        <w:pStyle w:val="ListParagraph"/>
        <w:numPr>
          <w:ilvl w:val="0"/>
          <w:numId w:val="3"/>
        </w:numPr>
        <w:spacing w:after="0" w:line="360" w:lineRule="auto"/>
        <w:jc w:val="both"/>
        <w:rPr>
          <w:rFonts w:ascii="Arial" w:hAnsi="Arial" w:cs="Arial"/>
          <w:sz w:val="24"/>
          <w:szCs w:val="24"/>
        </w:rPr>
      </w:pPr>
      <w:r>
        <w:rPr>
          <w:rFonts w:ascii="Arial" w:hAnsi="Arial" w:cs="Arial"/>
          <w:sz w:val="24"/>
          <w:szCs w:val="24"/>
        </w:rPr>
        <w:t>The</w:t>
      </w:r>
      <w:r w:rsidR="001D4E82">
        <w:rPr>
          <w:rFonts w:ascii="Arial" w:hAnsi="Arial" w:cs="Arial"/>
          <w:sz w:val="24"/>
          <w:szCs w:val="24"/>
        </w:rPr>
        <w:t>s</w:t>
      </w:r>
      <w:r>
        <w:rPr>
          <w:rFonts w:ascii="Arial" w:hAnsi="Arial" w:cs="Arial"/>
          <w:sz w:val="24"/>
          <w:szCs w:val="24"/>
        </w:rPr>
        <w:t>e</w:t>
      </w:r>
      <w:r w:rsidR="001D4E82">
        <w:rPr>
          <w:rFonts w:ascii="Arial" w:hAnsi="Arial" w:cs="Arial"/>
          <w:sz w:val="24"/>
          <w:szCs w:val="24"/>
        </w:rPr>
        <w:t xml:space="preserve"> outcome</w:t>
      </w:r>
      <w:r>
        <w:rPr>
          <w:rFonts w:ascii="Arial" w:hAnsi="Arial" w:cs="Arial"/>
          <w:sz w:val="24"/>
          <w:szCs w:val="24"/>
        </w:rPr>
        <w:t>s indicate</w:t>
      </w:r>
      <w:r w:rsidR="001D4E82">
        <w:rPr>
          <w:rFonts w:ascii="Arial" w:hAnsi="Arial" w:cs="Arial"/>
          <w:sz w:val="24"/>
          <w:szCs w:val="24"/>
        </w:rPr>
        <w:t xml:space="preserve"> the curren</w:t>
      </w:r>
      <w:r>
        <w:rPr>
          <w:rFonts w:ascii="Arial" w:hAnsi="Arial" w:cs="Arial"/>
          <w:sz w:val="24"/>
          <w:szCs w:val="24"/>
        </w:rPr>
        <w:t>t workplace relations system is</w:t>
      </w:r>
      <w:r w:rsidR="005D7303">
        <w:rPr>
          <w:rFonts w:ascii="Arial" w:hAnsi="Arial" w:cs="Arial"/>
          <w:sz w:val="24"/>
          <w:szCs w:val="24"/>
        </w:rPr>
        <w:t xml:space="preserve"> unreasonably skewed in favour of employers.</w:t>
      </w:r>
    </w:p>
    <w:p w14:paraId="7E657C68" w14:textId="77777777" w:rsidR="005D7303" w:rsidRPr="005D7303" w:rsidRDefault="005D7303" w:rsidP="007B63AA">
      <w:pPr>
        <w:pStyle w:val="ListParagraph"/>
        <w:spacing w:line="360" w:lineRule="auto"/>
        <w:jc w:val="both"/>
        <w:rPr>
          <w:rFonts w:ascii="Arial" w:hAnsi="Arial" w:cs="Arial"/>
          <w:sz w:val="24"/>
          <w:szCs w:val="24"/>
        </w:rPr>
      </w:pPr>
    </w:p>
    <w:p w14:paraId="16628E35" w14:textId="71E3F38B" w:rsidR="005D7303" w:rsidRDefault="005D7303" w:rsidP="007B63AA">
      <w:pPr>
        <w:pStyle w:val="ListParagraph"/>
        <w:numPr>
          <w:ilvl w:val="0"/>
          <w:numId w:val="3"/>
        </w:numPr>
        <w:spacing w:after="0" w:line="360" w:lineRule="auto"/>
        <w:jc w:val="both"/>
        <w:rPr>
          <w:rFonts w:ascii="Arial" w:hAnsi="Arial" w:cs="Arial"/>
          <w:sz w:val="24"/>
          <w:szCs w:val="24"/>
        </w:rPr>
      </w:pPr>
      <w:r>
        <w:rPr>
          <w:rFonts w:ascii="Arial" w:hAnsi="Arial" w:cs="Arial"/>
          <w:sz w:val="24"/>
          <w:szCs w:val="24"/>
        </w:rPr>
        <w:t>The shift of power within the Australian workplace relations system in favour of employers is illustrated by the use of “</w:t>
      </w:r>
      <w:r w:rsidR="00A733A0">
        <w:rPr>
          <w:rFonts w:ascii="Arial" w:hAnsi="Arial" w:cs="Arial"/>
          <w:sz w:val="24"/>
          <w:szCs w:val="24"/>
        </w:rPr>
        <w:t>n</w:t>
      </w:r>
      <w:r>
        <w:rPr>
          <w:rFonts w:ascii="Arial" w:hAnsi="Arial" w:cs="Arial"/>
          <w:sz w:val="24"/>
          <w:szCs w:val="24"/>
        </w:rPr>
        <w:t xml:space="preserve">o extra claims” clauses. The Commission seeks comments on no extra claims provisions in Issues Paper 3. </w:t>
      </w:r>
    </w:p>
    <w:p w14:paraId="5DF6346F" w14:textId="77777777" w:rsidR="005D7303" w:rsidRPr="005D7303" w:rsidRDefault="005D7303" w:rsidP="007B63AA">
      <w:pPr>
        <w:pStyle w:val="ListParagraph"/>
        <w:spacing w:line="360" w:lineRule="auto"/>
        <w:jc w:val="both"/>
        <w:rPr>
          <w:rFonts w:ascii="Arial" w:hAnsi="Arial" w:cs="Arial"/>
          <w:sz w:val="24"/>
          <w:szCs w:val="24"/>
        </w:rPr>
      </w:pPr>
    </w:p>
    <w:p w14:paraId="49467478" w14:textId="77777777" w:rsidR="00BD5F0A" w:rsidRDefault="00BD5F0A" w:rsidP="007B63AA">
      <w:pPr>
        <w:pStyle w:val="ListParagraph"/>
        <w:numPr>
          <w:ilvl w:val="0"/>
          <w:numId w:val="3"/>
        </w:numPr>
        <w:spacing w:after="0" w:line="360" w:lineRule="auto"/>
        <w:jc w:val="both"/>
        <w:rPr>
          <w:rFonts w:ascii="Arial" w:hAnsi="Arial" w:cs="Arial"/>
          <w:sz w:val="24"/>
          <w:szCs w:val="24"/>
        </w:rPr>
      </w:pPr>
      <w:r>
        <w:rPr>
          <w:rFonts w:ascii="Arial" w:hAnsi="Arial" w:cs="Arial"/>
          <w:sz w:val="24"/>
          <w:szCs w:val="24"/>
        </w:rPr>
        <w:t xml:space="preserve">A Full Court of the Federal Court of Australia summarised the history of no extra claims provisions in </w:t>
      </w:r>
      <w:r>
        <w:rPr>
          <w:rFonts w:ascii="Arial" w:hAnsi="Arial" w:cs="Arial"/>
          <w:i/>
          <w:sz w:val="24"/>
          <w:szCs w:val="24"/>
        </w:rPr>
        <w:t xml:space="preserve">Toyota Motor Corporation Australia Limited v Marmara </w:t>
      </w:r>
      <w:r>
        <w:rPr>
          <w:rFonts w:ascii="Arial" w:hAnsi="Arial" w:cs="Arial"/>
          <w:sz w:val="24"/>
          <w:szCs w:val="24"/>
        </w:rPr>
        <w:t xml:space="preserve">[2014] FCAFC 84 from [38] to [56]. </w:t>
      </w:r>
    </w:p>
    <w:p w14:paraId="2EEEF9E2" w14:textId="77777777" w:rsidR="00BD5F0A" w:rsidRPr="00BD5F0A" w:rsidRDefault="00BD5F0A" w:rsidP="007B63AA">
      <w:pPr>
        <w:pStyle w:val="ListParagraph"/>
        <w:spacing w:line="360" w:lineRule="auto"/>
        <w:jc w:val="both"/>
        <w:rPr>
          <w:rFonts w:ascii="Arial" w:hAnsi="Arial" w:cs="Arial"/>
          <w:sz w:val="24"/>
          <w:szCs w:val="24"/>
        </w:rPr>
      </w:pPr>
    </w:p>
    <w:p w14:paraId="20F52839" w14:textId="77777777" w:rsidR="00F25745" w:rsidRDefault="00F25745" w:rsidP="007B63AA">
      <w:pPr>
        <w:pStyle w:val="ListParagraph"/>
        <w:numPr>
          <w:ilvl w:val="0"/>
          <w:numId w:val="3"/>
        </w:numPr>
        <w:spacing w:after="0" w:line="360" w:lineRule="auto"/>
        <w:jc w:val="both"/>
        <w:rPr>
          <w:rFonts w:ascii="Arial" w:hAnsi="Arial" w:cs="Arial"/>
          <w:sz w:val="24"/>
          <w:szCs w:val="24"/>
        </w:rPr>
      </w:pPr>
      <w:r>
        <w:rPr>
          <w:rFonts w:ascii="Arial" w:hAnsi="Arial" w:cs="Arial"/>
          <w:sz w:val="24"/>
          <w:szCs w:val="24"/>
        </w:rPr>
        <w:t>The Full Court stated in relation to the history of no extra claims provisions at [55]:</w:t>
      </w:r>
    </w:p>
    <w:p w14:paraId="7814D35E" w14:textId="77777777" w:rsidR="00F25745" w:rsidRPr="00F25745" w:rsidRDefault="00F25745" w:rsidP="007B63AA">
      <w:pPr>
        <w:pStyle w:val="ListParagraph"/>
        <w:spacing w:line="360" w:lineRule="auto"/>
        <w:jc w:val="both"/>
        <w:rPr>
          <w:rFonts w:ascii="Arial" w:hAnsi="Arial" w:cs="Arial"/>
          <w:sz w:val="24"/>
          <w:szCs w:val="24"/>
        </w:rPr>
      </w:pPr>
    </w:p>
    <w:p w14:paraId="51FDB3FC" w14:textId="77777777" w:rsidR="00FB427A" w:rsidRPr="00FB427A" w:rsidRDefault="00F25745" w:rsidP="007B63AA">
      <w:pPr>
        <w:pStyle w:val="ListParagraph"/>
        <w:spacing w:after="0" w:line="360" w:lineRule="auto"/>
        <w:ind w:left="1440"/>
        <w:jc w:val="both"/>
        <w:rPr>
          <w:rFonts w:ascii="Arial" w:hAnsi="Arial" w:cs="Arial"/>
          <w:sz w:val="24"/>
          <w:szCs w:val="24"/>
        </w:rPr>
      </w:pPr>
      <w:r>
        <w:rPr>
          <w:rFonts w:ascii="Arial" w:hAnsi="Arial" w:cs="Arial"/>
          <w:i/>
          <w:sz w:val="24"/>
          <w:szCs w:val="24"/>
        </w:rPr>
        <w:t xml:space="preserve">The purpose was to require the parties – usually the relevant union and its members – to foreswear any attempt to improve upon the wages, </w:t>
      </w:r>
      <w:r>
        <w:rPr>
          <w:rFonts w:ascii="Arial" w:hAnsi="Arial" w:cs="Arial"/>
          <w:i/>
          <w:sz w:val="24"/>
          <w:szCs w:val="24"/>
        </w:rPr>
        <w:lastRenderedPageBreak/>
        <w:t>conditions and other benefits for which the relevant industrial instrument provided</w:t>
      </w:r>
      <w:r w:rsidR="005D7303">
        <w:rPr>
          <w:rFonts w:ascii="Arial" w:hAnsi="Arial" w:cs="Arial"/>
          <w:sz w:val="24"/>
          <w:szCs w:val="24"/>
        </w:rPr>
        <w:t xml:space="preserve">  </w:t>
      </w:r>
      <w:r w:rsidR="001D4E82">
        <w:rPr>
          <w:rFonts w:ascii="Arial" w:hAnsi="Arial" w:cs="Arial"/>
          <w:sz w:val="24"/>
          <w:szCs w:val="24"/>
        </w:rPr>
        <w:t xml:space="preserve">   </w:t>
      </w:r>
      <w:r w:rsidR="00FB427A">
        <w:rPr>
          <w:rFonts w:ascii="Arial" w:hAnsi="Arial" w:cs="Arial"/>
          <w:sz w:val="24"/>
          <w:szCs w:val="24"/>
        </w:rPr>
        <w:t xml:space="preserve">    </w:t>
      </w:r>
    </w:p>
    <w:p w14:paraId="0CEEA7B0" w14:textId="77777777" w:rsidR="00FB427A" w:rsidRDefault="00FB427A" w:rsidP="007B63AA">
      <w:pPr>
        <w:pStyle w:val="ListParagraph"/>
        <w:spacing w:after="0" w:line="360" w:lineRule="auto"/>
        <w:jc w:val="both"/>
        <w:rPr>
          <w:rFonts w:ascii="Arial" w:hAnsi="Arial" w:cs="Arial"/>
          <w:sz w:val="24"/>
          <w:szCs w:val="24"/>
        </w:rPr>
      </w:pPr>
    </w:p>
    <w:p w14:paraId="3AA3B5F2" w14:textId="77777777" w:rsidR="00F25745" w:rsidRDefault="00F25745" w:rsidP="007B63AA">
      <w:pPr>
        <w:pStyle w:val="ListParagraph"/>
        <w:numPr>
          <w:ilvl w:val="0"/>
          <w:numId w:val="3"/>
        </w:numPr>
        <w:spacing w:after="0" w:line="360" w:lineRule="auto"/>
        <w:jc w:val="both"/>
        <w:rPr>
          <w:rFonts w:ascii="Arial" w:hAnsi="Arial" w:cs="Arial"/>
          <w:sz w:val="24"/>
          <w:szCs w:val="24"/>
        </w:rPr>
      </w:pPr>
      <w:r>
        <w:rPr>
          <w:rFonts w:ascii="Arial" w:hAnsi="Arial" w:cs="Arial"/>
          <w:sz w:val="24"/>
          <w:szCs w:val="24"/>
        </w:rPr>
        <w:t xml:space="preserve">However, as was the case in the </w:t>
      </w:r>
      <w:r>
        <w:rPr>
          <w:rFonts w:ascii="Arial" w:hAnsi="Arial" w:cs="Arial"/>
          <w:i/>
          <w:sz w:val="24"/>
          <w:szCs w:val="24"/>
        </w:rPr>
        <w:t xml:space="preserve">Toyota </w:t>
      </w:r>
      <w:r>
        <w:rPr>
          <w:rFonts w:ascii="Arial" w:hAnsi="Arial" w:cs="Arial"/>
          <w:sz w:val="24"/>
          <w:szCs w:val="24"/>
        </w:rPr>
        <w:t>litigation, no extra claims clauses are increasingly being relied upon by unions to prevent additional claims by employers during the term of an agreement.</w:t>
      </w:r>
      <w:r>
        <w:rPr>
          <w:rStyle w:val="FootnoteReference"/>
          <w:rFonts w:ascii="Arial" w:hAnsi="Arial" w:cs="Arial"/>
          <w:sz w:val="24"/>
          <w:szCs w:val="24"/>
        </w:rPr>
        <w:footnoteReference w:id="11"/>
      </w:r>
    </w:p>
    <w:p w14:paraId="3587E8CB" w14:textId="77777777" w:rsidR="00F25745" w:rsidRDefault="00F25745" w:rsidP="007B63AA">
      <w:pPr>
        <w:pStyle w:val="ListParagraph"/>
        <w:spacing w:after="0" w:line="360" w:lineRule="auto"/>
        <w:jc w:val="both"/>
        <w:rPr>
          <w:rFonts w:ascii="Arial" w:hAnsi="Arial" w:cs="Arial"/>
          <w:sz w:val="24"/>
          <w:szCs w:val="24"/>
        </w:rPr>
      </w:pPr>
    </w:p>
    <w:p w14:paraId="39FA9275" w14:textId="77777777" w:rsidR="00CD0EED" w:rsidRDefault="00CD0EED" w:rsidP="007B63AA">
      <w:pPr>
        <w:pStyle w:val="ListParagraph"/>
        <w:numPr>
          <w:ilvl w:val="0"/>
          <w:numId w:val="3"/>
        </w:numPr>
        <w:spacing w:after="0" w:line="360" w:lineRule="auto"/>
        <w:jc w:val="both"/>
        <w:rPr>
          <w:rFonts w:ascii="Arial" w:hAnsi="Arial" w:cs="Arial"/>
          <w:sz w:val="24"/>
          <w:szCs w:val="24"/>
        </w:rPr>
      </w:pPr>
      <w:r>
        <w:rPr>
          <w:rFonts w:ascii="Arial" w:hAnsi="Arial" w:cs="Arial"/>
          <w:sz w:val="24"/>
          <w:szCs w:val="24"/>
        </w:rPr>
        <w:t>The pursuit of additional claims by unions during the life of an agreement is generally no longer considered to be an option.</w:t>
      </w:r>
    </w:p>
    <w:p w14:paraId="5CD15CC2" w14:textId="77777777" w:rsidR="00CD0EED" w:rsidRPr="00CD0EED" w:rsidRDefault="00CD0EED" w:rsidP="007B63AA">
      <w:pPr>
        <w:pStyle w:val="ListParagraph"/>
        <w:spacing w:line="360" w:lineRule="auto"/>
        <w:jc w:val="both"/>
        <w:rPr>
          <w:rFonts w:ascii="Arial" w:hAnsi="Arial" w:cs="Arial"/>
          <w:sz w:val="24"/>
          <w:szCs w:val="24"/>
        </w:rPr>
      </w:pPr>
    </w:p>
    <w:p w14:paraId="66E0588A" w14:textId="77777777" w:rsidR="00CD0EED" w:rsidRDefault="00CD0EED" w:rsidP="007B63AA">
      <w:pPr>
        <w:pStyle w:val="ListParagraph"/>
        <w:numPr>
          <w:ilvl w:val="0"/>
          <w:numId w:val="3"/>
        </w:numPr>
        <w:spacing w:after="0" w:line="360" w:lineRule="auto"/>
        <w:jc w:val="both"/>
        <w:rPr>
          <w:rFonts w:ascii="Arial" w:hAnsi="Arial" w:cs="Arial"/>
          <w:sz w:val="24"/>
          <w:szCs w:val="24"/>
        </w:rPr>
      </w:pPr>
      <w:r>
        <w:rPr>
          <w:rFonts w:ascii="Arial" w:hAnsi="Arial" w:cs="Arial"/>
          <w:sz w:val="24"/>
          <w:szCs w:val="24"/>
        </w:rPr>
        <w:t xml:space="preserve">Another good example of where the power balance in the Australian workplace relations framework has shifted towards employers is in relation to right of entry provisions. </w:t>
      </w:r>
    </w:p>
    <w:p w14:paraId="47B18CB6" w14:textId="77777777" w:rsidR="00CD0EED" w:rsidRPr="00CD0EED" w:rsidRDefault="00CD0EED" w:rsidP="007B63AA">
      <w:pPr>
        <w:pStyle w:val="ListParagraph"/>
        <w:spacing w:line="360" w:lineRule="auto"/>
        <w:jc w:val="both"/>
        <w:rPr>
          <w:rFonts w:ascii="Arial" w:hAnsi="Arial" w:cs="Arial"/>
          <w:sz w:val="24"/>
          <w:szCs w:val="24"/>
        </w:rPr>
      </w:pPr>
    </w:p>
    <w:p w14:paraId="016FEF26" w14:textId="77777777" w:rsidR="00CD0EED" w:rsidRPr="00CD0EED" w:rsidRDefault="00CD0EED" w:rsidP="007B63AA">
      <w:pPr>
        <w:pStyle w:val="ListParagraph"/>
        <w:numPr>
          <w:ilvl w:val="0"/>
          <w:numId w:val="3"/>
        </w:numPr>
        <w:spacing w:after="0" w:line="360" w:lineRule="auto"/>
        <w:jc w:val="both"/>
        <w:rPr>
          <w:rFonts w:ascii="Arial" w:hAnsi="Arial" w:cs="Arial"/>
          <w:sz w:val="24"/>
          <w:szCs w:val="24"/>
        </w:rPr>
      </w:pPr>
      <w:r w:rsidRPr="00CD0EED">
        <w:rPr>
          <w:rFonts w:ascii="Arial" w:hAnsi="Arial" w:cs="Arial"/>
          <w:sz w:val="24"/>
          <w:szCs w:val="24"/>
        </w:rPr>
        <w:t xml:space="preserve">In 1973 the </w:t>
      </w:r>
      <w:r w:rsidRPr="00CD0EED">
        <w:rPr>
          <w:rFonts w:ascii="Arial" w:hAnsi="Arial" w:cs="Arial"/>
          <w:i/>
          <w:sz w:val="24"/>
          <w:szCs w:val="24"/>
        </w:rPr>
        <w:t xml:space="preserve">Conciliation and Arbitration Act 1904 </w:t>
      </w:r>
      <w:r w:rsidRPr="00CD0EED">
        <w:rPr>
          <w:rFonts w:ascii="Arial" w:hAnsi="Arial" w:cs="Arial"/>
          <w:sz w:val="24"/>
          <w:szCs w:val="24"/>
        </w:rPr>
        <w:t xml:space="preserve">was amended to include a single provision which prescribed a limited entry right for officials of federally registered unions who were not already covered by right of entry provisions in existing awards. </w:t>
      </w:r>
    </w:p>
    <w:p w14:paraId="3E362DCA" w14:textId="77777777" w:rsidR="00CD0EED" w:rsidRPr="00CD0EED" w:rsidRDefault="00CD0EED" w:rsidP="007B63AA">
      <w:pPr>
        <w:spacing w:after="0" w:line="360" w:lineRule="auto"/>
        <w:ind w:left="360"/>
        <w:jc w:val="both"/>
        <w:rPr>
          <w:rFonts w:ascii="Arial" w:hAnsi="Arial" w:cs="Arial"/>
          <w:sz w:val="24"/>
          <w:szCs w:val="24"/>
        </w:rPr>
      </w:pPr>
    </w:p>
    <w:p w14:paraId="3F8785EF" w14:textId="77777777" w:rsidR="00CD0EED" w:rsidRDefault="00CD0EED" w:rsidP="007B63AA">
      <w:pPr>
        <w:pStyle w:val="ListParagraph"/>
        <w:numPr>
          <w:ilvl w:val="0"/>
          <w:numId w:val="3"/>
        </w:numPr>
        <w:spacing w:after="0" w:line="360" w:lineRule="auto"/>
        <w:jc w:val="both"/>
        <w:rPr>
          <w:rFonts w:ascii="Arial" w:hAnsi="Arial" w:cs="Arial"/>
          <w:sz w:val="24"/>
          <w:szCs w:val="24"/>
        </w:rPr>
      </w:pPr>
      <w:r w:rsidRPr="00CD0EED">
        <w:rPr>
          <w:rFonts w:ascii="Arial" w:hAnsi="Arial" w:cs="Arial"/>
          <w:sz w:val="24"/>
          <w:szCs w:val="24"/>
        </w:rPr>
        <w:t xml:space="preserve">The legislative regulation of union right of entry has increased dramatically over the last 40 years to the extent that there were 42 different right of entry provisions under the </w:t>
      </w:r>
      <w:r w:rsidRPr="00CD0EED">
        <w:rPr>
          <w:rFonts w:ascii="Arial" w:hAnsi="Arial" w:cs="Arial"/>
          <w:i/>
          <w:sz w:val="24"/>
          <w:szCs w:val="24"/>
        </w:rPr>
        <w:t xml:space="preserve">Workplace Relations Act 1996 </w:t>
      </w:r>
      <w:r w:rsidRPr="00CD0EED">
        <w:rPr>
          <w:rFonts w:ascii="Arial" w:hAnsi="Arial" w:cs="Arial"/>
          <w:sz w:val="24"/>
          <w:szCs w:val="24"/>
        </w:rPr>
        <w:t xml:space="preserve">following the </w:t>
      </w:r>
      <w:proofErr w:type="spellStart"/>
      <w:r w:rsidRPr="00CD0EED">
        <w:rPr>
          <w:rFonts w:ascii="Arial" w:hAnsi="Arial" w:cs="Arial"/>
          <w:i/>
          <w:sz w:val="24"/>
          <w:szCs w:val="24"/>
        </w:rPr>
        <w:t>WorkChoices</w:t>
      </w:r>
      <w:proofErr w:type="spellEnd"/>
      <w:r w:rsidRPr="00CD0EED">
        <w:rPr>
          <w:rFonts w:ascii="Arial" w:hAnsi="Arial" w:cs="Arial"/>
          <w:i/>
          <w:sz w:val="24"/>
          <w:szCs w:val="24"/>
        </w:rPr>
        <w:t xml:space="preserve"> </w:t>
      </w:r>
      <w:r w:rsidRPr="00CD0EED">
        <w:rPr>
          <w:rFonts w:ascii="Arial" w:hAnsi="Arial" w:cs="Arial"/>
          <w:sz w:val="24"/>
          <w:szCs w:val="24"/>
        </w:rPr>
        <w:t xml:space="preserve">amendments. </w:t>
      </w:r>
      <w:r>
        <w:rPr>
          <w:rFonts w:ascii="Arial" w:hAnsi="Arial" w:cs="Arial"/>
          <w:sz w:val="24"/>
          <w:szCs w:val="24"/>
        </w:rPr>
        <w:t xml:space="preserve">Many of these have been retained under the </w:t>
      </w:r>
      <w:r>
        <w:rPr>
          <w:rFonts w:ascii="Arial" w:hAnsi="Arial" w:cs="Arial"/>
          <w:i/>
          <w:sz w:val="24"/>
          <w:szCs w:val="24"/>
        </w:rPr>
        <w:t>Fair Work Act 2009</w:t>
      </w:r>
      <w:r w:rsidR="000B252F">
        <w:rPr>
          <w:rFonts w:ascii="Arial" w:hAnsi="Arial" w:cs="Arial"/>
          <w:i/>
          <w:sz w:val="24"/>
          <w:szCs w:val="24"/>
        </w:rPr>
        <w:t xml:space="preserve"> </w:t>
      </w:r>
      <w:r w:rsidR="000B252F">
        <w:rPr>
          <w:rFonts w:ascii="Arial" w:hAnsi="Arial" w:cs="Arial"/>
          <w:sz w:val="24"/>
          <w:szCs w:val="24"/>
        </w:rPr>
        <w:t>(Act)</w:t>
      </w:r>
      <w:r>
        <w:rPr>
          <w:rFonts w:ascii="Arial" w:hAnsi="Arial" w:cs="Arial"/>
          <w:sz w:val="24"/>
          <w:szCs w:val="24"/>
        </w:rPr>
        <w:t>.</w:t>
      </w:r>
    </w:p>
    <w:p w14:paraId="4D2A082D" w14:textId="77777777" w:rsidR="00CD0EED" w:rsidRPr="00CD0EED" w:rsidRDefault="00CD0EED" w:rsidP="007B63AA">
      <w:pPr>
        <w:pStyle w:val="ListParagraph"/>
        <w:spacing w:line="360" w:lineRule="auto"/>
        <w:jc w:val="both"/>
        <w:rPr>
          <w:rFonts w:ascii="Arial" w:hAnsi="Arial" w:cs="Arial"/>
          <w:sz w:val="24"/>
          <w:szCs w:val="24"/>
        </w:rPr>
      </w:pPr>
    </w:p>
    <w:p w14:paraId="608884D5" w14:textId="4D4C1A62" w:rsidR="00493078" w:rsidRDefault="00BC6528" w:rsidP="007B63AA">
      <w:pPr>
        <w:pStyle w:val="ListParagraph"/>
        <w:numPr>
          <w:ilvl w:val="0"/>
          <w:numId w:val="3"/>
        </w:numPr>
        <w:spacing w:after="0" w:line="360" w:lineRule="auto"/>
        <w:jc w:val="both"/>
        <w:rPr>
          <w:rFonts w:ascii="Arial" w:hAnsi="Arial" w:cs="Arial"/>
          <w:sz w:val="24"/>
          <w:szCs w:val="24"/>
        </w:rPr>
      </w:pPr>
      <w:r>
        <w:rPr>
          <w:rFonts w:ascii="Arial" w:hAnsi="Arial" w:cs="Arial"/>
          <w:sz w:val="24"/>
          <w:szCs w:val="24"/>
        </w:rPr>
        <w:t>Further, t</w:t>
      </w:r>
      <w:r w:rsidR="00CD0EED" w:rsidRPr="00CD0EED">
        <w:rPr>
          <w:rFonts w:ascii="Arial" w:hAnsi="Arial" w:cs="Arial"/>
          <w:sz w:val="24"/>
          <w:szCs w:val="24"/>
        </w:rPr>
        <w:t xml:space="preserve">he International Trade Union Confederation’s (ITUC) Global Rights Index provides a range of information about the world’s worst countries for workers. </w:t>
      </w:r>
    </w:p>
    <w:p w14:paraId="705CBB17" w14:textId="77777777" w:rsidR="00493078" w:rsidRPr="00493078" w:rsidRDefault="00493078" w:rsidP="007B63AA">
      <w:pPr>
        <w:pStyle w:val="ListParagraph"/>
        <w:spacing w:line="360" w:lineRule="auto"/>
        <w:jc w:val="both"/>
        <w:rPr>
          <w:rFonts w:ascii="Arial" w:hAnsi="Arial" w:cs="Arial"/>
          <w:sz w:val="24"/>
          <w:szCs w:val="24"/>
        </w:rPr>
      </w:pPr>
    </w:p>
    <w:p w14:paraId="308247C9" w14:textId="77777777" w:rsidR="00493078" w:rsidRDefault="00493078" w:rsidP="007B63AA">
      <w:pPr>
        <w:pStyle w:val="ListParagraph"/>
        <w:numPr>
          <w:ilvl w:val="0"/>
          <w:numId w:val="3"/>
        </w:numPr>
        <w:spacing w:after="0" w:line="360" w:lineRule="auto"/>
        <w:jc w:val="both"/>
        <w:rPr>
          <w:rFonts w:ascii="Arial" w:hAnsi="Arial" w:cs="Arial"/>
          <w:sz w:val="24"/>
          <w:szCs w:val="24"/>
        </w:rPr>
      </w:pPr>
      <w:r>
        <w:rPr>
          <w:rFonts w:ascii="Arial" w:hAnsi="Arial" w:cs="Arial"/>
          <w:sz w:val="24"/>
          <w:szCs w:val="24"/>
        </w:rPr>
        <w:lastRenderedPageBreak/>
        <w:t>The 2014 edition</w:t>
      </w:r>
      <w:r w:rsidR="009D6577">
        <w:rPr>
          <w:rStyle w:val="FootnoteReference"/>
          <w:rFonts w:ascii="Arial" w:hAnsi="Arial" w:cs="Arial"/>
          <w:sz w:val="24"/>
          <w:szCs w:val="24"/>
        </w:rPr>
        <w:footnoteReference w:id="12"/>
      </w:r>
      <w:r>
        <w:rPr>
          <w:rFonts w:ascii="Arial" w:hAnsi="Arial" w:cs="Arial"/>
          <w:sz w:val="24"/>
          <w:szCs w:val="24"/>
        </w:rPr>
        <w:t xml:space="preserve"> gives countries</w:t>
      </w:r>
      <w:r w:rsidR="00CD0EED" w:rsidRPr="00493078">
        <w:rPr>
          <w:rFonts w:ascii="Arial" w:hAnsi="Arial" w:cs="Arial"/>
          <w:sz w:val="24"/>
          <w:szCs w:val="24"/>
        </w:rPr>
        <w:t xml:space="preserve"> a ranking of between 1 and 5+ with 1 being a country that has irregular violations of rights and 5+ being a country where there is no guarantee of rights due to the breakdown of the rule of law.</w:t>
      </w:r>
    </w:p>
    <w:p w14:paraId="1108A930" w14:textId="77777777" w:rsidR="00493078" w:rsidRPr="00493078" w:rsidRDefault="00493078" w:rsidP="007B63AA">
      <w:pPr>
        <w:pStyle w:val="ListParagraph"/>
        <w:spacing w:line="360" w:lineRule="auto"/>
        <w:jc w:val="both"/>
        <w:rPr>
          <w:rFonts w:ascii="Arial" w:hAnsi="Arial" w:cs="Arial"/>
          <w:sz w:val="24"/>
          <w:szCs w:val="24"/>
        </w:rPr>
      </w:pPr>
    </w:p>
    <w:p w14:paraId="144F4EA3" w14:textId="77777777" w:rsidR="00493078" w:rsidRDefault="00CD0EED" w:rsidP="007B63AA">
      <w:pPr>
        <w:pStyle w:val="ListParagraph"/>
        <w:numPr>
          <w:ilvl w:val="0"/>
          <w:numId w:val="3"/>
        </w:numPr>
        <w:spacing w:after="0" w:line="360" w:lineRule="auto"/>
        <w:jc w:val="both"/>
        <w:rPr>
          <w:rFonts w:ascii="Arial" w:hAnsi="Arial" w:cs="Arial"/>
          <w:sz w:val="24"/>
          <w:szCs w:val="24"/>
        </w:rPr>
      </w:pPr>
      <w:r w:rsidRPr="00493078">
        <w:rPr>
          <w:rFonts w:ascii="Arial" w:hAnsi="Arial" w:cs="Arial"/>
          <w:sz w:val="24"/>
          <w:szCs w:val="24"/>
        </w:rPr>
        <w:t>Australia received a ranking of 3 under this index in 2014. This means Australia has been assessed as a country where there are repeated violations of rights.</w:t>
      </w:r>
    </w:p>
    <w:p w14:paraId="41887F88" w14:textId="77777777" w:rsidR="00493078" w:rsidRPr="00493078" w:rsidRDefault="00493078" w:rsidP="007B63AA">
      <w:pPr>
        <w:pStyle w:val="ListParagraph"/>
        <w:spacing w:line="360" w:lineRule="auto"/>
        <w:jc w:val="both"/>
        <w:rPr>
          <w:rFonts w:ascii="Arial" w:hAnsi="Arial" w:cs="Arial"/>
          <w:sz w:val="24"/>
          <w:szCs w:val="24"/>
        </w:rPr>
      </w:pPr>
    </w:p>
    <w:p w14:paraId="2C9166B7" w14:textId="77777777" w:rsidR="00CD0EED" w:rsidRPr="00493078" w:rsidRDefault="00CD0EED" w:rsidP="007B63AA">
      <w:pPr>
        <w:pStyle w:val="ListParagraph"/>
        <w:numPr>
          <w:ilvl w:val="0"/>
          <w:numId w:val="3"/>
        </w:numPr>
        <w:spacing w:after="0" w:line="360" w:lineRule="auto"/>
        <w:jc w:val="both"/>
        <w:rPr>
          <w:rFonts w:ascii="Arial" w:hAnsi="Arial" w:cs="Arial"/>
          <w:sz w:val="24"/>
          <w:szCs w:val="24"/>
        </w:rPr>
      </w:pPr>
      <w:r w:rsidRPr="00493078">
        <w:rPr>
          <w:rFonts w:ascii="Arial" w:hAnsi="Arial" w:cs="Arial"/>
          <w:sz w:val="24"/>
          <w:szCs w:val="24"/>
        </w:rPr>
        <w:t>Countries that outperformed Australia in terms of working rights include:</w:t>
      </w:r>
    </w:p>
    <w:p w14:paraId="611E39F1" w14:textId="77777777" w:rsidR="00CD0EED" w:rsidRDefault="00CD0EED" w:rsidP="007B63AA">
      <w:pPr>
        <w:spacing w:after="0" w:line="360" w:lineRule="auto"/>
        <w:jc w:val="both"/>
        <w:rPr>
          <w:rFonts w:ascii="Arial" w:hAnsi="Arial" w:cs="Arial"/>
          <w:sz w:val="24"/>
          <w:szCs w:val="24"/>
        </w:rPr>
      </w:pPr>
    </w:p>
    <w:p w14:paraId="5FA1CCFB" w14:textId="77777777" w:rsidR="00CD0EED" w:rsidRDefault="00CD0EED" w:rsidP="007B63AA">
      <w:pPr>
        <w:pStyle w:val="ListParagraph"/>
        <w:numPr>
          <w:ilvl w:val="0"/>
          <w:numId w:val="5"/>
        </w:numPr>
        <w:spacing w:after="0" w:line="360" w:lineRule="auto"/>
        <w:jc w:val="both"/>
        <w:rPr>
          <w:rFonts w:ascii="Arial" w:hAnsi="Arial" w:cs="Arial"/>
          <w:sz w:val="24"/>
          <w:szCs w:val="24"/>
        </w:rPr>
      </w:pPr>
      <w:r>
        <w:rPr>
          <w:rFonts w:ascii="Arial" w:hAnsi="Arial" w:cs="Arial"/>
          <w:sz w:val="24"/>
          <w:szCs w:val="24"/>
        </w:rPr>
        <w:t>Angola</w:t>
      </w:r>
    </w:p>
    <w:p w14:paraId="5D41B1BE" w14:textId="77777777" w:rsidR="00CD0EED" w:rsidRDefault="00CD0EED" w:rsidP="007B63AA">
      <w:pPr>
        <w:pStyle w:val="ListParagraph"/>
        <w:numPr>
          <w:ilvl w:val="0"/>
          <w:numId w:val="5"/>
        </w:numPr>
        <w:spacing w:after="0" w:line="360" w:lineRule="auto"/>
        <w:jc w:val="both"/>
        <w:rPr>
          <w:rFonts w:ascii="Arial" w:hAnsi="Arial" w:cs="Arial"/>
          <w:sz w:val="24"/>
          <w:szCs w:val="24"/>
        </w:rPr>
      </w:pPr>
      <w:r>
        <w:rPr>
          <w:rFonts w:ascii="Arial" w:hAnsi="Arial" w:cs="Arial"/>
          <w:sz w:val="24"/>
          <w:szCs w:val="24"/>
        </w:rPr>
        <w:t>Cameroon</w:t>
      </w:r>
    </w:p>
    <w:p w14:paraId="3C4CA9D4" w14:textId="77777777" w:rsidR="00CD0EED" w:rsidRDefault="00CD0EED" w:rsidP="007B63AA">
      <w:pPr>
        <w:pStyle w:val="ListParagraph"/>
        <w:numPr>
          <w:ilvl w:val="0"/>
          <w:numId w:val="5"/>
        </w:numPr>
        <w:spacing w:after="0" w:line="360" w:lineRule="auto"/>
        <w:jc w:val="both"/>
        <w:rPr>
          <w:rFonts w:ascii="Arial" w:hAnsi="Arial" w:cs="Arial"/>
          <w:sz w:val="24"/>
          <w:szCs w:val="24"/>
        </w:rPr>
      </w:pPr>
      <w:r>
        <w:rPr>
          <w:rFonts w:ascii="Arial" w:hAnsi="Arial" w:cs="Arial"/>
          <w:sz w:val="24"/>
          <w:szCs w:val="24"/>
        </w:rPr>
        <w:t>Bosnia and Herzegovina</w:t>
      </w:r>
    </w:p>
    <w:p w14:paraId="641C01C1" w14:textId="77777777" w:rsidR="00CD0EED" w:rsidRDefault="00CD0EED" w:rsidP="007B63AA">
      <w:pPr>
        <w:pStyle w:val="ListParagraph"/>
        <w:numPr>
          <w:ilvl w:val="0"/>
          <w:numId w:val="5"/>
        </w:numPr>
        <w:spacing w:after="0" w:line="360" w:lineRule="auto"/>
        <w:jc w:val="both"/>
        <w:rPr>
          <w:rFonts w:ascii="Arial" w:hAnsi="Arial" w:cs="Arial"/>
          <w:sz w:val="24"/>
          <w:szCs w:val="24"/>
        </w:rPr>
      </w:pPr>
      <w:r>
        <w:rPr>
          <w:rFonts w:ascii="Arial" w:hAnsi="Arial" w:cs="Arial"/>
          <w:sz w:val="24"/>
          <w:szCs w:val="24"/>
        </w:rPr>
        <w:t>Jamaica</w:t>
      </w:r>
    </w:p>
    <w:p w14:paraId="217C3DDB" w14:textId="77777777" w:rsidR="00CD0EED" w:rsidRPr="00CD0EED" w:rsidRDefault="00CD0EED" w:rsidP="007B63AA">
      <w:pPr>
        <w:pStyle w:val="ListParagraph"/>
        <w:numPr>
          <w:ilvl w:val="0"/>
          <w:numId w:val="5"/>
        </w:numPr>
        <w:spacing w:after="0" w:line="360" w:lineRule="auto"/>
        <w:jc w:val="both"/>
        <w:rPr>
          <w:rFonts w:ascii="Arial" w:hAnsi="Arial" w:cs="Arial"/>
          <w:sz w:val="24"/>
          <w:szCs w:val="24"/>
        </w:rPr>
      </w:pPr>
      <w:r w:rsidRPr="00CD0EED">
        <w:rPr>
          <w:rFonts w:ascii="Arial" w:hAnsi="Arial" w:cs="Arial"/>
          <w:sz w:val="24"/>
          <w:szCs w:val="24"/>
        </w:rPr>
        <w:t>Dominican Republic</w:t>
      </w:r>
    </w:p>
    <w:p w14:paraId="365DADE3" w14:textId="77777777" w:rsidR="00CD0EED" w:rsidRDefault="00CD0EED" w:rsidP="007B63AA">
      <w:pPr>
        <w:pStyle w:val="ListParagraph"/>
        <w:numPr>
          <w:ilvl w:val="0"/>
          <w:numId w:val="5"/>
        </w:numPr>
        <w:spacing w:after="0" w:line="360" w:lineRule="auto"/>
        <w:jc w:val="both"/>
        <w:rPr>
          <w:rFonts w:ascii="Arial" w:hAnsi="Arial" w:cs="Arial"/>
          <w:sz w:val="24"/>
          <w:szCs w:val="24"/>
        </w:rPr>
      </w:pPr>
      <w:r>
        <w:rPr>
          <w:rFonts w:ascii="Arial" w:hAnsi="Arial" w:cs="Arial"/>
          <w:sz w:val="24"/>
          <w:szCs w:val="24"/>
        </w:rPr>
        <w:t>Russian Federation</w:t>
      </w:r>
    </w:p>
    <w:p w14:paraId="42E4A133" w14:textId="77777777" w:rsidR="00CD0EED" w:rsidRDefault="00CD0EED" w:rsidP="007B63AA">
      <w:pPr>
        <w:pStyle w:val="ListParagraph"/>
        <w:numPr>
          <w:ilvl w:val="0"/>
          <w:numId w:val="5"/>
        </w:numPr>
        <w:spacing w:after="0" w:line="360" w:lineRule="auto"/>
        <w:jc w:val="both"/>
        <w:rPr>
          <w:rFonts w:ascii="Arial" w:hAnsi="Arial" w:cs="Arial"/>
          <w:sz w:val="24"/>
          <w:szCs w:val="24"/>
        </w:rPr>
      </w:pPr>
      <w:r>
        <w:rPr>
          <w:rFonts w:ascii="Arial" w:hAnsi="Arial" w:cs="Arial"/>
          <w:sz w:val="24"/>
          <w:szCs w:val="24"/>
        </w:rPr>
        <w:t>Lithuania</w:t>
      </w:r>
    </w:p>
    <w:p w14:paraId="58090328" w14:textId="77777777" w:rsidR="00CD0EED" w:rsidRDefault="00CD0EED" w:rsidP="007B63AA">
      <w:pPr>
        <w:pStyle w:val="ListParagraph"/>
        <w:numPr>
          <w:ilvl w:val="0"/>
          <w:numId w:val="5"/>
        </w:numPr>
        <w:spacing w:after="0" w:line="360" w:lineRule="auto"/>
        <w:jc w:val="both"/>
        <w:rPr>
          <w:rFonts w:ascii="Arial" w:hAnsi="Arial" w:cs="Arial"/>
          <w:sz w:val="24"/>
          <w:szCs w:val="24"/>
        </w:rPr>
      </w:pPr>
      <w:r>
        <w:rPr>
          <w:rFonts w:ascii="Arial" w:hAnsi="Arial" w:cs="Arial"/>
          <w:sz w:val="24"/>
          <w:szCs w:val="24"/>
        </w:rPr>
        <w:t>Togo</w:t>
      </w:r>
    </w:p>
    <w:p w14:paraId="6CCB095E" w14:textId="77777777" w:rsidR="00CD0EED" w:rsidRDefault="00CD0EED" w:rsidP="007B63AA">
      <w:pPr>
        <w:pStyle w:val="ListParagraph"/>
        <w:numPr>
          <w:ilvl w:val="0"/>
          <w:numId w:val="5"/>
        </w:numPr>
        <w:spacing w:after="0" w:line="360" w:lineRule="auto"/>
        <w:jc w:val="both"/>
        <w:rPr>
          <w:rFonts w:ascii="Arial" w:hAnsi="Arial" w:cs="Arial"/>
          <w:sz w:val="24"/>
          <w:szCs w:val="24"/>
        </w:rPr>
      </w:pPr>
      <w:r>
        <w:rPr>
          <w:rFonts w:ascii="Arial" w:hAnsi="Arial" w:cs="Arial"/>
          <w:sz w:val="24"/>
          <w:szCs w:val="24"/>
        </w:rPr>
        <w:t>Rwanda</w:t>
      </w:r>
    </w:p>
    <w:p w14:paraId="4433544F" w14:textId="77777777" w:rsidR="00CD0EED" w:rsidRDefault="00CD0EED" w:rsidP="007B63AA">
      <w:pPr>
        <w:pStyle w:val="ListParagraph"/>
        <w:numPr>
          <w:ilvl w:val="0"/>
          <w:numId w:val="5"/>
        </w:numPr>
        <w:spacing w:after="0" w:line="360" w:lineRule="auto"/>
        <w:jc w:val="both"/>
        <w:rPr>
          <w:rFonts w:ascii="Arial" w:hAnsi="Arial" w:cs="Arial"/>
          <w:sz w:val="24"/>
          <w:szCs w:val="24"/>
        </w:rPr>
      </w:pPr>
      <w:r>
        <w:rPr>
          <w:rFonts w:ascii="Arial" w:hAnsi="Arial" w:cs="Arial"/>
          <w:sz w:val="24"/>
          <w:szCs w:val="24"/>
        </w:rPr>
        <w:t>Uruguay</w:t>
      </w:r>
    </w:p>
    <w:p w14:paraId="0036299A" w14:textId="77777777" w:rsidR="00CD0EED" w:rsidRDefault="00CD0EED" w:rsidP="007B63AA">
      <w:pPr>
        <w:pStyle w:val="ListParagraph"/>
        <w:numPr>
          <w:ilvl w:val="0"/>
          <w:numId w:val="5"/>
        </w:numPr>
        <w:spacing w:after="0" w:line="360" w:lineRule="auto"/>
        <w:jc w:val="both"/>
        <w:rPr>
          <w:rFonts w:ascii="Arial" w:hAnsi="Arial" w:cs="Arial"/>
          <w:sz w:val="24"/>
          <w:szCs w:val="24"/>
        </w:rPr>
      </w:pPr>
      <w:r>
        <w:rPr>
          <w:rFonts w:ascii="Arial" w:hAnsi="Arial" w:cs="Arial"/>
          <w:sz w:val="24"/>
          <w:szCs w:val="24"/>
        </w:rPr>
        <w:t>South Africa</w:t>
      </w:r>
    </w:p>
    <w:p w14:paraId="38E6B6B0" w14:textId="77777777" w:rsidR="00CD0EED" w:rsidRDefault="00CD0EED" w:rsidP="007B63AA">
      <w:pPr>
        <w:pStyle w:val="ListParagraph"/>
        <w:numPr>
          <w:ilvl w:val="0"/>
          <w:numId w:val="5"/>
        </w:numPr>
        <w:spacing w:after="0" w:line="360" w:lineRule="auto"/>
        <w:jc w:val="both"/>
        <w:rPr>
          <w:rFonts w:ascii="Arial" w:hAnsi="Arial" w:cs="Arial"/>
          <w:sz w:val="24"/>
          <w:szCs w:val="24"/>
        </w:rPr>
      </w:pPr>
      <w:r>
        <w:rPr>
          <w:rFonts w:ascii="Arial" w:hAnsi="Arial" w:cs="Arial"/>
          <w:sz w:val="24"/>
          <w:szCs w:val="24"/>
        </w:rPr>
        <w:t>New Zealand</w:t>
      </w:r>
    </w:p>
    <w:p w14:paraId="05FB4B32" w14:textId="77777777" w:rsidR="00CD0EED" w:rsidRDefault="00CD0EED" w:rsidP="007B63AA">
      <w:pPr>
        <w:spacing w:after="0" w:line="360" w:lineRule="auto"/>
        <w:jc w:val="both"/>
        <w:rPr>
          <w:rFonts w:ascii="Arial" w:hAnsi="Arial" w:cs="Arial"/>
          <w:sz w:val="24"/>
          <w:szCs w:val="24"/>
        </w:rPr>
      </w:pPr>
    </w:p>
    <w:p w14:paraId="14806315" w14:textId="77777777" w:rsidR="0013212F" w:rsidRDefault="0013212F" w:rsidP="007B63AA">
      <w:pPr>
        <w:spacing w:after="0" w:line="360" w:lineRule="auto"/>
        <w:jc w:val="both"/>
        <w:rPr>
          <w:rFonts w:ascii="Arial" w:hAnsi="Arial" w:cs="Arial"/>
          <w:b/>
          <w:sz w:val="24"/>
          <w:szCs w:val="24"/>
        </w:rPr>
      </w:pPr>
      <w:r>
        <w:rPr>
          <w:rFonts w:ascii="Arial" w:hAnsi="Arial" w:cs="Arial"/>
          <w:b/>
          <w:sz w:val="24"/>
          <w:szCs w:val="24"/>
        </w:rPr>
        <w:t>Conclusion</w:t>
      </w:r>
    </w:p>
    <w:p w14:paraId="1C65CCA9" w14:textId="77777777" w:rsidR="0013212F" w:rsidRDefault="0013212F" w:rsidP="007B63AA">
      <w:pPr>
        <w:spacing w:after="0" w:line="360" w:lineRule="auto"/>
        <w:jc w:val="both"/>
        <w:rPr>
          <w:rFonts w:ascii="Arial" w:hAnsi="Arial" w:cs="Arial"/>
          <w:b/>
          <w:sz w:val="24"/>
          <w:szCs w:val="24"/>
        </w:rPr>
      </w:pPr>
    </w:p>
    <w:p w14:paraId="0869336F" w14:textId="77777777" w:rsidR="0013212F" w:rsidRDefault="00214C1A" w:rsidP="007B63AA">
      <w:pPr>
        <w:pStyle w:val="ListParagraph"/>
        <w:numPr>
          <w:ilvl w:val="0"/>
          <w:numId w:val="3"/>
        </w:numPr>
        <w:spacing w:after="0" w:line="360" w:lineRule="auto"/>
        <w:jc w:val="both"/>
        <w:rPr>
          <w:rFonts w:ascii="Arial" w:hAnsi="Arial" w:cs="Arial"/>
          <w:sz w:val="24"/>
          <w:szCs w:val="24"/>
        </w:rPr>
      </w:pPr>
      <w:r>
        <w:rPr>
          <w:rFonts w:ascii="Arial" w:hAnsi="Arial" w:cs="Arial"/>
          <w:sz w:val="24"/>
          <w:szCs w:val="24"/>
        </w:rPr>
        <w:t xml:space="preserve">We submit </w:t>
      </w:r>
      <w:r w:rsidR="0013212F">
        <w:rPr>
          <w:rFonts w:ascii="Arial" w:hAnsi="Arial" w:cs="Arial"/>
          <w:sz w:val="24"/>
          <w:szCs w:val="24"/>
        </w:rPr>
        <w:t xml:space="preserve">the Commission should be reluctant to recommend any changes to the </w:t>
      </w:r>
      <w:r>
        <w:rPr>
          <w:rFonts w:ascii="Arial" w:hAnsi="Arial" w:cs="Arial"/>
          <w:sz w:val="24"/>
          <w:szCs w:val="24"/>
        </w:rPr>
        <w:t xml:space="preserve">current </w:t>
      </w:r>
      <w:r w:rsidR="0013212F">
        <w:rPr>
          <w:rFonts w:ascii="Arial" w:hAnsi="Arial" w:cs="Arial"/>
          <w:sz w:val="24"/>
          <w:szCs w:val="24"/>
        </w:rPr>
        <w:t xml:space="preserve">Australian workplace relations system which shift the balance of power any further in favour of employers. </w:t>
      </w:r>
    </w:p>
    <w:p w14:paraId="46E6DA1A" w14:textId="77777777" w:rsidR="0013212F" w:rsidRDefault="0013212F" w:rsidP="007B63AA">
      <w:pPr>
        <w:pStyle w:val="ListParagraph"/>
        <w:spacing w:after="0" w:line="360" w:lineRule="auto"/>
        <w:jc w:val="both"/>
        <w:rPr>
          <w:rFonts w:ascii="Arial" w:hAnsi="Arial" w:cs="Arial"/>
          <w:sz w:val="24"/>
          <w:szCs w:val="24"/>
        </w:rPr>
      </w:pPr>
    </w:p>
    <w:p w14:paraId="2149FACD" w14:textId="77777777" w:rsidR="00D41983" w:rsidRDefault="0013212F" w:rsidP="007B63AA">
      <w:pPr>
        <w:pStyle w:val="ListParagraph"/>
        <w:numPr>
          <w:ilvl w:val="0"/>
          <w:numId w:val="3"/>
        </w:numPr>
        <w:spacing w:after="0" w:line="360" w:lineRule="auto"/>
        <w:jc w:val="both"/>
        <w:rPr>
          <w:rFonts w:ascii="Arial" w:hAnsi="Arial" w:cs="Arial"/>
          <w:sz w:val="24"/>
          <w:szCs w:val="24"/>
        </w:rPr>
      </w:pPr>
      <w:r>
        <w:rPr>
          <w:rFonts w:ascii="Arial" w:hAnsi="Arial" w:cs="Arial"/>
          <w:sz w:val="24"/>
          <w:szCs w:val="24"/>
        </w:rPr>
        <w:t>The Australian public has previously demonstrated in the 2007 Federal election that there is a limit to how far they will allow this power imbalance to extend.</w:t>
      </w:r>
    </w:p>
    <w:p w14:paraId="2E275EC5" w14:textId="77777777" w:rsidR="00D41983" w:rsidRPr="00D41983" w:rsidRDefault="00D41983" w:rsidP="007B63AA">
      <w:pPr>
        <w:pStyle w:val="ListParagraph"/>
        <w:spacing w:line="360" w:lineRule="auto"/>
        <w:jc w:val="both"/>
        <w:rPr>
          <w:rFonts w:ascii="Arial" w:hAnsi="Arial" w:cs="Arial"/>
          <w:sz w:val="24"/>
          <w:szCs w:val="24"/>
        </w:rPr>
      </w:pPr>
    </w:p>
    <w:p w14:paraId="376B6C4E" w14:textId="77777777" w:rsidR="00D41983" w:rsidRDefault="00D41983" w:rsidP="007B63AA">
      <w:pPr>
        <w:pStyle w:val="ListParagraph"/>
        <w:numPr>
          <w:ilvl w:val="0"/>
          <w:numId w:val="3"/>
        </w:numPr>
        <w:spacing w:after="0" w:line="360" w:lineRule="auto"/>
        <w:jc w:val="both"/>
        <w:rPr>
          <w:rFonts w:ascii="Arial" w:hAnsi="Arial" w:cs="Arial"/>
          <w:sz w:val="24"/>
          <w:szCs w:val="24"/>
        </w:rPr>
      </w:pPr>
      <w:r>
        <w:rPr>
          <w:rFonts w:ascii="Arial" w:hAnsi="Arial" w:cs="Arial"/>
          <w:sz w:val="24"/>
          <w:szCs w:val="24"/>
        </w:rPr>
        <w:lastRenderedPageBreak/>
        <w:t xml:space="preserve">The current workplace relations system provides employers with ample scope to be successful. </w:t>
      </w:r>
    </w:p>
    <w:p w14:paraId="2F26C3C7" w14:textId="77777777" w:rsidR="00D41983" w:rsidRPr="00D41983" w:rsidRDefault="00D41983" w:rsidP="007B63AA">
      <w:pPr>
        <w:pStyle w:val="ListParagraph"/>
        <w:spacing w:line="360" w:lineRule="auto"/>
        <w:jc w:val="both"/>
        <w:rPr>
          <w:rFonts w:ascii="Arial" w:hAnsi="Arial" w:cs="Arial"/>
          <w:sz w:val="24"/>
          <w:szCs w:val="24"/>
        </w:rPr>
      </w:pPr>
    </w:p>
    <w:p w14:paraId="7D318228" w14:textId="77777777" w:rsidR="00D41983" w:rsidRDefault="00D41983" w:rsidP="007B63AA">
      <w:pPr>
        <w:pStyle w:val="ListParagraph"/>
        <w:numPr>
          <w:ilvl w:val="0"/>
          <w:numId w:val="3"/>
        </w:numPr>
        <w:spacing w:after="0" w:line="360" w:lineRule="auto"/>
        <w:jc w:val="both"/>
        <w:rPr>
          <w:rFonts w:ascii="Arial" w:hAnsi="Arial" w:cs="Arial"/>
          <w:sz w:val="24"/>
          <w:szCs w:val="24"/>
        </w:rPr>
      </w:pPr>
      <w:r>
        <w:rPr>
          <w:rFonts w:ascii="Arial" w:hAnsi="Arial" w:cs="Arial"/>
          <w:sz w:val="24"/>
          <w:szCs w:val="24"/>
        </w:rPr>
        <w:t xml:space="preserve">The ultimate success or failure of businesses will be determined by a range of factors other than the workplace relations system. </w:t>
      </w:r>
    </w:p>
    <w:p w14:paraId="6F5B22B4" w14:textId="77777777" w:rsidR="00D41983" w:rsidRPr="00D41983" w:rsidRDefault="00D41983" w:rsidP="007B63AA">
      <w:pPr>
        <w:pStyle w:val="ListParagraph"/>
        <w:spacing w:line="360" w:lineRule="auto"/>
        <w:jc w:val="both"/>
        <w:rPr>
          <w:rFonts w:ascii="Arial" w:hAnsi="Arial" w:cs="Arial"/>
          <w:sz w:val="24"/>
          <w:szCs w:val="24"/>
        </w:rPr>
      </w:pPr>
    </w:p>
    <w:p w14:paraId="164F3C11" w14:textId="77777777" w:rsidR="0013212F" w:rsidRPr="0013212F" w:rsidRDefault="00D41983" w:rsidP="007B63AA">
      <w:pPr>
        <w:pStyle w:val="ListParagraph"/>
        <w:numPr>
          <w:ilvl w:val="0"/>
          <w:numId w:val="3"/>
        </w:numPr>
        <w:spacing w:after="0" w:line="360" w:lineRule="auto"/>
        <w:jc w:val="both"/>
        <w:rPr>
          <w:rFonts w:ascii="Arial" w:hAnsi="Arial" w:cs="Arial"/>
          <w:sz w:val="24"/>
          <w:szCs w:val="24"/>
        </w:rPr>
      </w:pPr>
      <w:r>
        <w:rPr>
          <w:rFonts w:ascii="Arial" w:hAnsi="Arial" w:cs="Arial"/>
          <w:sz w:val="24"/>
          <w:szCs w:val="24"/>
        </w:rPr>
        <w:t xml:space="preserve">Australia would be better placed directing its resources and attention to these other factors. </w:t>
      </w:r>
      <w:r w:rsidR="0013212F">
        <w:rPr>
          <w:rFonts w:ascii="Arial" w:hAnsi="Arial" w:cs="Arial"/>
          <w:sz w:val="24"/>
          <w:szCs w:val="24"/>
        </w:rPr>
        <w:t xml:space="preserve"> </w:t>
      </w:r>
    </w:p>
    <w:p w14:paraId="78C02892" w14:textId="77777777" w:rsidR="00F25745" w:rsidRDefault="00CD0EED" w:rsidP="007B63AA">
      <w:pPr>
        <w:pStyle w:val="ListParagraph"/>
        <w:spacing w:after="0" w:line="360" w:lineRule="auto"/>
        <w:jc w:val="both"/>
        <w:rPr>
          <w:rFonts w:ascii="Arial" w:hAnsi="Arial" w:cs="Arial"/>
          <w:sz w:val="24"/>
          <w:szCs w:val="24"/>
        </w:rPr>
      </w:pPr>
      <w:r>
        <w:rPr>
          <w:rFonts w:ascii="Arial" w:hAnsi="Arial" w:cs="Arial"/>
          <w:sz w:val="24"/>
          <w:szCs w:val="24"/>
        </w:rPr>
        <w:t xml:space="preserve"> </w:t>
      </w:r>
      <w:r w:rsidR="00F25745">
        <w:rPr>
          <w:rFonts w:ascii="Arial" w:hAnsi="Arial" w:cs="Arial"/>
          <w:sz w:val="24"/>
          <w:szCs w:val="24"/>
        </w:rPr>
        <w:t xml:space="preserve">  </w:t>
      </w:r>
    </w:p>
    <w:p w14:paraId="7EE1656B" w14:textId="77777777" w:rsidR="006743A6" w:rsidRDefault="006743A6">
      <w:pPr>
        <w:rPr>
          <w:rFonts w:ascii="Arial" w:hAnsi="Arial" w:cs="Arial"/>
          <w:b/>
          <w:sz w:val="28"/>
          <w:szCs w:val="28"/>
        </w:rPr>
      </w:pPr>
      <w:r>
        <w:rPr>
          <w:rFonts w:ascii="Arial" w:hAnsi="Arial" w:cs="Arial"/>
          <w:b/>
          <w:sz w:val="28"/>
          <w:szCs w:val="28"/>
        </w:rPr>
        <w:br w:type="page"/>
      </w:r>
    </w:p>
    <w:p w14:paraId="27FCA7CB" w14:textId="77777777" w:rsidR="00372A4F" w:rsidRPr="00372A4F" w:rsidRDefault="00372A4F" w:rsidP="007B63AA">
      <w:pPr>
        <w:spacing w:after="0" w:line="360" w:lineRule="auto"/>
        <w:jc w:val="both"/>
        <w:rPr>
          <w:rFonts w:ascii="Arial" w:hAnsi="Arial" w:cs="Arial"/>
          <w:b/>
          <w:sz w:val="28"/>
          <w:szCs w:val="28"/>
        </w:rPr>
      </w:pPr>
      <w:r>
        <w:rPr>
          <w:rFonts w:ascii="Arial" w:hAnsi="Arial" w:cs="Arial"/>
          <w:b/>
          <w:sz w:val="28"/>
          <w:szCs w:val="28"/>
        </w:rPr>
        <w:lastRenderedPageBreak/>
        <w:t>ISSUES PAPER 2: SAFETY NETS</w:t>
      </w:r>
    </w:p>
    <w:p w14:paraId="22BDDC35" w14:textId="77777777" w:rsidR="00372A4F" w:rsidRDefault="00372A4F" w:rsidP="007B63AA">
      <w:pPr>
        <w:spacing w:after="0" w:line="360" w:lineRule="auto"/>
        <w:ind w:left="360"/>
        <w:jc w:val="both"/>
        <w:rPr>
          <w:rFonts w:ascii="Arial" w:hAnsi="Arial" w:cs="Arial"/>
          <w:sz w:val="24"/>
          <w:szCs w:val="24"/>
        </w:rPr>
      </w:pPr>
    </w:p>
    <w:p w14:paraId="68B59F57" w14:textId="77777777" w:rsidR="005E728E" w:rsidRPr="004E758D" w:rsidRDefault="005E728E" w:rsidP="007B63AA">
      <w:pPr>
        <w:widowControl w:val="0"/>
        <w:autoSpaceDE w:val="0"/>
        <w:autoSpaceDN w:val="0"/>
        <w:adjustRightInd w:val="0"/>
        <w:spacing w:after="0" w:line="360" w:lineRule="auto"/>
        <w:jc w:val="both"/>
        <w:rPr>
          <w:rFonts w:ascii="Arial" w:hAnsi="Arial" w:cs="Arial"/>
          <w:sz w:val="24"/>
          <w:szCs w:val="24"/>
          <w:u w:val="single"/>
        </w:rPr>
      </w:pPr>
      <w:r w:rsidRPr="004E758D">
        <w:rPr>
          <w:rFonts w:ascii="Arial" w:hAnsi="Arial" w:cs="Arial"/>
          <w:sz w:val="24"/>
          <w:szCs w:val="24"/>
          <w:u w:val="single"/>
        </w:rPr>
        <w:t>General comment on the safety net</w:t>
      </w:r>
    </w:p>
    <w:p w14:paraId="1AAEAE64" w14:textId="77777777" w:rsidR="005E728E" w:rsidRDefault="005E728E" w:rsidP="007B63AA">
      <w:pPr>
        <w:widowControl w:val="0"/>
        <w:autoSpaceDE w:val="0"/>
        <w:autoSpaceDN w:val="0"/>
        <w:adjustRightInd w:val="0"/>
        <w:spacing w:after="0" w:line="360" w:lineRule="auto"/>
        <w:jc w:val="both"/>
        <w:rPr>
          <w:rFonts w:ascii="Arial" w:hAnsi="Arial" w:cs="Arial"/>
          <w:b/>
          <w:sz w:val="24"/>
          <w:szCs w:val="24"/>
        </w:rPr>
      </w:pPr>
    </w:p>
    <w:p w14:paraId="3A64E761" w14:textId="77777777" w:rsidR="005E728E" w:rsidRDefault="005E728E" w:rsidP="007B63AA">
      <w:pPr>
        <w:pStyle w:val="ListParagraph"/>
        <w:widowControl w:val="0"/>
        <w:numPr>
          <w:ilvl w:val="0"/>
          <w:numId w:val="3"/>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The AWU believes the current safety net in Australia strikes a fair balance between the interests of employers and employees. </w:t>
      </w:r>
    </w:p>
    <w:p w14:paraId="4C0D3ECB" w14:textId="77777777" w:rsidR="005E728E" w:rsidRDefault="005E728E" w:rsidP="007B63AA">
      <w:pPr>
        <w:pStyle w:val="ListParagraph"/>
        <w:widowControl w:val="0"/>
        <w:autoSpaceDE w:val="0"/>
        <w:autoSpaceDN w:val="0"/>
        <w:adjustRightInd w:val="0"/>
        <w:spacing w:after="0" w:line="360" w:lineRule="auto"/>
        <w:jc w:val="both"/>
        <w:rPr>
          <w:rFonts w:ascii="Arial" w:hAnsi="Arial" w:cs="Arial"/>
          <w:sz w:val="24"/>
          <w:szCs w:val="24"/>
        </w:rPr>
      </w:pPr>
    </w:p>
    <w:p w14:paraId="332EC152" w14:textId="77777777" w:rsidR="005E728E" w:rsidRDefault="005E728E" w:rsidP="007B63AA">
      <w:pPr>
        <w:pStyle w:val="ListParagraph"/>
        <w:widowControl w:val="0"/>
        <w:numPr>
          <w:ilvl w:val="0"/>
          <w:numId w:val="3"/>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The National Employment Standards (NES) and modern awards provide employees with guaranteed minimum employment conditions which ensure they can maintain a reasonable standard of living. </w:t>
      </w:r>
    </w:p>
    <w:p w14:paraId="23BB3CE2" w14:textId="77777777" w:rsidR="005E728E" w:rsidRPr="005E728E" w:rsidRDefault="005E728E" w:rsidP="007B63AA">
      <w:pPr>
        <w:pStyle w:val="ListParagraph"/>
        <w:spacing w:line="360" w:lineRule="auto"/>
        <w:jc w:val="both"/>
        <w:rPr>
          <w:rFonts w:ascii="Arial" w:hAnsi="Arial" w:cs="Arial"/>
          <w:sz w:val="24"/>
          <w:szCs w:val="24"/>
        </w:rPr>
      </w:pPr>
    </w:p>
    <w:p w14:paraId="611B78A0" w14:textId="77777777" w:rsidR="005E728E" w:rsidRPr="004E758D" w:rsidRDefault="005E728E" w:rsidP="007B63AA">
      <w:pPr>
        <w:pStyle w:val="ListParagraph"/>
        <w:widowControl w:val="0"/>
        <w:numPr>
          <w:ilvl w:val="0"/>
          <w:numId w:val="3"/>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However, the NES and modern awards also provide employers with flexibility regarding the structuring of hours of work,</w:t>
      </w:r>
      <w:r w:rsidR="004E758D">
        <w:rPr>
          <w:rFonts w:ascii="Arial" w:hAnsi="Arial" w:cs="Arial"/>
          <w:sz w:val="24"/>
          <w:szCs w:val="24"/>
        </w:rPr>
        <w:t xml:space="preserve"> the use of casual labour, the ability to stand down employees, requiring evidence about forms of leave and requesting that employees work reasonable additional hours.</w:t>
      </w:r>
      <w:r w:rsidR="004E758D" w:rsidRPr="004E758D">
        <w:rPr>
          <w:rFonts w:ascii="Arial" w:hAnsi="Arial" w:cs="Arial"/>
          <w:sz w:val="24"/>
          <w:szCs w:val="24"/>
        </w:rPr>
        <w:t xml:space="preserve"> </w:t>
      </w:r>
      <w:r w:rsidRPr="004E758D">
        <w:rPr>
          <w:rFonts w:ascii="Arial" w:hAnsi="Arial" w:cs="Arial"/>
          <w:sz w:val="24"/>
          <w:szCs w:val="24"/>
        </w:rPr>
        <w:t xml:space="preserve">   </w:t>
      </w:r>
    </w:p>
    <w:p w14:paraId="75EF79BF" w14:textId="77777777" w:rsidR="005E728E" w:rsidRDefault="005E728E" w:rsidP="007B63AA">
      <w:pPr>
        <w:widowControl w:val="0"/>
        <w:autoSpaceDE w:val="0"/>
        <w:autoSpaceDN w:val="0"/>
        <w:adjustRightInd w:val="0"/>
        <w:spacing w:after="0" w:line="360" w:lineRule="auto"/>
        <w:jc w:val="both"/>
        <w:rPr>
          <w:rFonts w:ascii="Arial" w:hAnsi="Arial" w:cs="Arial"/>
          <w:b/>
          <w:sz w:val="24"/>
          <w:szCs w:val="24"/>
        </w:rPr>
      </w:pPr>
    </w:p>
    <w:p w14:paraId="7F1E9C9A" w14:textId="77777777" w:rsidR="004E758D" w:rsidRPr="004E758D" w:rsidRDefault="004E758D" w:rsidP="007B63AA">
      <w:pPr>
        <w:widowControl w:val="0"/>
        <w:autoSpaceDE w:val="0"/>
        <w:autoSpaceDN w:val="0"/>
        <w:adjustRightInd w:val="0"/>
        <w:spacing w:after="0" w:line="360" w:lineRule="auto"/>
        <w:jc w:val="both"/>
        <w:rPr>
          <w:rFonts w:ascii="Arial" w:hAnsi="Arial" w:cs="Arial"/>
          <w:sz w:val="24"/>
          <w:szCs w:val="24"/>
          <w:u w:val="single"/>
        </w:rPr>
      </w:pPr>
      <w:r w:rsidRPr="004E758D">
        <w:rPr>
          <w:rFonts w:ascii="Arial" w:hAnsi="Arial" w:cs="Arial"/>
          <w:sz w:val="24"/>
          <w:szCs w:val="24"/>
          <w:u w:val="single"/>
        </w:rPr>
        <w:t xml:space="preserve">Specific issues – redundancy </w:t>
      </w:r>
    </w:p>
    <w:p w14:paraId="546AC8D7" w14:textId="77777777" w:rsidR="004E758D" w:rsidRPr="004E758D" w:rsidRDefault="004E758D" w:rsidP="007B63AA">
      <w:pPr>
        <w:widowControl w:val="0"/>
        <w:autoSpaceDE w:val="0"/>
        <w:autoSpaceDN w:val="0"/>
        <w:adjustRightInd w:val="0"/>
        <w:spacing w:after="0" w:line="360" w:lineRule="auto"/>
        <w:jc w:val="both"/>
        <w:rPr>
          <w:rFonts w:ascii="Arial" w:hAnsi="Arial" w:cs="Arial"/>
          <w:sz w:val="24"/>
          <w:szCs w:val="24"/>
          <w:u w:val="single"/>
        </w:rPr>
      </w:pPr>
    </w:p>
    <w:p w14:paraId="1FA7B48D" w14:textId="77777777" w:rsidR="00AB2F15" w:rsidRPr="00AB2F15" w:rsidRDefault="00AB2F15" w:rsidP="007B63AA">
      <w:pPr>
        <w:widowControl w:val="0"/>
        <w:autoSpaceDE w:val="0"/>
        <w:autoSpaceDN w:val="0"/>
        <w:adjustRightInd w:val="0"/>
        <w:spacing w:after="0" w:line="360" w:lineRule="auto"/>
        <w:jc w:val="both"/>
        <w:rPr>
          <w:rFonts w:ascii="Arial" w:hAnsi="Arial" w:cs="Arial"/>
          <w:b/>
          <w:sz w:val="24"/>
          <w:szCs w:val="24"/>
        </w:rPr>
      </w:pPr>
      <w:r w:rsidRPr="00AB2F15">
        <w:rPr>
          <w:rFonts w:ascii="Arial" w:hAnsi="Arial" w:cs="Arial"/>
          <w:b/>
          <w:sz w:val="24"/>
          <w:szCs w:val="24"/>
        </w:rPr>
        <w:t>Redundancy and the Ordinary and Customary Turnover of Labour</w:t>
      </w:r>
    </w:p>
    <w:p w14:paraId="7FC653E5" w14:textId="77777777" w:rsidR="00AB2F15" w:rsidRPr="00AB2F15" w:rsidRDefault="00AB2F15" w:rsidP="007B63AA">
      <w:pPr>
        <w:widowControl w:val="0"/>
        <w:autoSpaceDE w:val="0"/>
        <w:autoSpaceDN w:val="0"/>
        <w:adjustRightInd w:val="0"/>
        <w:spacing w:after="0" w:line="360" w:lineRule="auto"/>
        <w:jc w:val="both"/>
        <w:rPr>
          <w:rFonts w:ascii="Arial" w:hAnsi="Arial" w:cs="Arial"/>
          <w:sz w:val="24"/>
          <w:szCs w:val="24"/>
        </w:rPr>
      </w:pPr>
    </w:p>
    <w:p w14:paraId="768D6DC0" w14:textId="77777777" w:rsidR="00AB2F15" w:rsidRDefault="00AB2F15" w:rsidP="007B63AA">
      <w:pPr>
        <w:pStyle w:val="ListParagraph"/>
        <w:widowControl w:val="0"/>
        <w:numPr>
          <w:ilvl w:val="0"/>
          <w:numId w:val="3"/>
        </w:numPr>
        <w:autoSpaceDE w:val="0"/>
        <w:autoSpaceDN w:val="0"/>
        <w:adjustRightInd w:val="0"/>
        <w:spacing w:after="0" w:line="360" w:lineRule="auto"/>
        <w:jc w:val="both"/>
        <w:rPr>
          <w:rFonts w:ascii="Arial" w:hAnsi="Arial" w:cs="Arial"/>
          <w:sz w:val="24"/>
          <w:szCs w:val="24"/>
        </w:rPr>
      </w:pPr>
      <w:r w:rsidRPr="00AB2F15">
        <w:rPr>
          <w:rFonts w:ascii="Arial" w:hAnsi="Arial" w:cs="Arial"/>
          <w:sz w:val="24"/>
          <w:szCs w:val="24"/>
        </w:rPr>
        <w:t xml:space="preserve">Section 119(1)(a) of the Act provides for an entitlement to redundancy pay in circumstances where an employee is terminated at the initiative of the employer because the employer no longer requires the job done by the employee to be done by anyone. </w:t>
      </w:r>
    </w:p>
    <w:p w14:paraId="2AB85ECE" w14:textId="77777777" w:rsidR="00AB2F15" w:rsidRDefault="00AB2F15" w:rsidP="007B63AA">
      <w:pPr>
        <w:pStyle w:val="ListParagraph"/>
        <w:widowControl w:val="0"/>
        <w:autoSpaceDE w:val="0"/>
        <w:autoSpaceDN w:val="0"/>
        <w:adjustRightInd w:val="0"/>
        <w:spacing w:after="0" w:line="360" w:lineRule="auto"/>
        <w:jc w:val="both"/>
        <w:rPr>
          <w:rFonts w:ascii="Arial" w:hAnsi="Arial" w:cs="Arial"/>
          <w:sz w:val="24"/>
          <w:szCs w:val="24"/>
        </w:rPr>
      </w:pPr>
    </w:p>
    <w:p w14:paraId="7E19C8A5" w14:textId="77777777" w:rsidR="00AB2F15" w:rsidRPr="00AB2F15" w:rsidRDefault="00AB2F15" w:rsidP="007B63AA">
      <w:pPr>
        <w:pStyle w:val="ListParagraph"/>
        <w:widowControl w:val="0"/>
        <w:numPr>
          <w:ilvl w:val="0"/>
          <w:numId w:val="3"/>
        </w:numPr>
        <w:autoSpaceDE w:val="0"/>
        <w:autoSpaceDN w:val="0"/>
        <w:adjustRightInd w:val="0"/>
        <w:spacing w:after="0" w:line="360" w:lineRule="auto"/>
        <w:jc w:val="both"/>
        <w:rPr>
          <w:rFonts w:ascii="Arial" w:hAnsi="Arial" w:cs="Arial"/>
          <w:sz w:val="24"/>
          <w:szCs w:val="24"/>
        </w:rPr>
      </w:pPr>
      <w:r w:rsidRPr="00AB2F15">
        <w:rPr>
          <w:rFonts w:ascii="Arial" w:hAnsi="Arial" w:cs="Arial"/>
          <w:sz w:val="24"/>
          <w:szCs w:val="24"/>
        </w:rPr>
        <w:t>However, an employee is not entitled to redundancy where the termination is due to the “ordinary and customary turnover of labour” (OCTL).</w:t>
      </w:r>
    </w:p>
    <w:p w14:paraId="3E334A8B" w14:textId="77777777" w:rsidR="00AB2F15" w:rsidRPr="00AB2F15" w:rsidRDefault="00AB2F15" w:rsidP="007B63AA">
      <w:pPr>
        <w:widowControl w:val="0"/>
        <w:autoSpaceDE w:val="0"/>
        <w:autoSpaceDN w:val="0"/>
        <w:adjustRightInd w:val="0"/>
        <w:spacing w:after="0" w:line="360" w:lineRule="auto"/>
        <w:jc w:val="both"/>
        <w:rPr>
          <w:rFonts w:ascii="Arial" w:hAnsi="Arial" w:cs="Arial"/>
          <w:sz w:val="24"/>
          <w:szCs w:val="24"/>
        </w:rPr>
      </w:pPr>
    </w:p>
    <w:p w14:paraId="50BF7FDA" w14:textId="5103122F" w:rsidR="00AB2F15" w:rsidRPr="00043A9C" w:rsidRDefault="00AB2F15" w:rsidP="007B63AA">
      <w:pPr>
        <w:pStyle w:val="ListParagraph"/>
        <w:widowControl w:val="0"/>
        <w:numPr>
          <w:ilvl w:val="0"/>
          <w:numId w:val="3"/>
        </w:numPr>
        <w:autoSpaceDE w:val="0"/>
        <w:autoSpaceDN w:val="0"/>
        <w:adjustRightInd w:val="0"/>
        <w:spacing w:after="0" w:line="360" w:lineRule="auto"/>
        <w:jc w:val="both"/>
        <w:rPr>
          <w:rFonts w:ascii="Arial" w:hAnsi="Arial" w:cs="Arial"/>
          <w:sz w:val="24"/>
          <w:szCs w:val="24"/>
        </w:rPr>
      </w:pPr>
      <w:r w:rsidRPr="00043A9C">
        <w:rPr>
          <w:rFonts w:ascii="Arial" w:hAnsi="Arial" w:cs="Arial"/>
          <w:sz w:val="24"/>
          <w:szCs w:val="24"/>
        </w:rPr>
        <w:t>The concept of OCTL is not new and existed in the common law before it was enshrined in workplace relations legislation.</w:t>
      </w:r>
      <w:r w:rsidRPr="00AB2F15">
        <w:rPr>
          <w:rStyle w:val="FootnoteReference"/>
          <w:rFonts w:ascii="Arial" w:hAnsi="Arial" w:cs="Arial"/>
          <w:sz w:val="24"/>
          <w:szCs w:val="24"/>
        </w:rPr>
        <w:footnoteReference w:id="13"/>
      </w:r>
      <w:r w:rsidRPr="00043A9C">
        <w:rPr>
          <w:rFonts w:ascii="Arial" w:hAnsi="Arial" w:cs="Arial"/>
          <w:sz w:val="24"/>
          <w:szCs w:val="24"/>
        </w:rPr>
        <w:t xml:space="preserve">  </w:t>
      </w:r>
      <w:r w:rsidRPr="00043A9C">
        <w:rPr>
          <w:rFonts w:ascii="Arial" w:hAnsi="Arial" w:cs="Arial"/>
          <w:i/>
          <w:sz w:val="24"/>
          <w:szCs w:val="24"/>
        </w:rPr>
        <w:t xml:space="preserve">In Re: F.W. </w:t>
      </w:r>
      <w:proofErr w:type="spellStart"/>
      <w:r w:rsidRPr="00043A9C">
        <w:rPr>
          <w:rFonts w:ascii="Arial" w:hAnsi="Arial" w:cs="Arial"/>
          <w:i/>
          <w:sz w:val="24"/>
          <w:szCs w:val="24"/>
        </w:rPr>
        <w:t>Hercus</w:t>
      </w:r>
      <w:proofErr w:type="spellEnd"/>
      <w:r w:rsidRPr="00043A9C">
        <w:rPr>
          <w:rFonts w:ascii="Arial" w:hAnsi="Arial" w:cs="Arial"/>
          <w:i/>
          <w:sz w:val="24"/>
          <w:szCs w:val="24"/>
        </w:rPr>
        <w:t xml:space="preserve"> Pty Ltd and Andrew John Short</w:t>
      </w:r>
      <w:r w:rsidRPr="00043A9C">
        <w:rPr>
          <w:rFonts w:ascii="Arial" w:hAnsi="Arial" w:cs="Arial"/>
          <w:sz w:val="24"/>
          <w:szCs w:val="24"/>
        </w:rPr>
        <w:t xml:space="preserve"> (</w:t>
      </w:r>
      <w:proofErr w:type="spellStart"/>
      <w:r w:rsidRPr="00043A9C">
        <w:rPr>
          <w:rFonts w:ascii="Arial" w:hAnsi="Arial" w:cs="Arial"/>
          <w:sz w:val="24"/>
          <w:szCs w:val="24"/>
        </w:rPr>
        <w:t>Hercus</w:t>
      </w:r>
      <w:proofErr w:type="spellEnd"/>
      <w:r w:rsidRPr="00043A9C">
        <w:rPr>
          <w:rFonts w:ascii="Arial" w:hAnsi="Arial" w:cs="Arial"/>
          <w:sz w:val="24"/>
          <w:szCs w:val="24"/>
        </w:rPr>
        <w:t>),</w:t>
      </w:r>
      <w:r w:rsidRPr="00AB2F15">
        <w:rPr>
          <w:rStyle w:val="FootnoteReference"/>
          <w:rFonts w:ascii="Arial" w:hAnsi="Arial" w:cs="Arial"/>
          <w:sz w:val="24"/>
          <w:szCs w:val="24"/>
        </w:rPr>
        <w:footnoteReference w:id="14"/>
      </w:r>
      <w:r w:rsidRPr="00043A9C">
        <w:rPr>
          <w:rFonts w:ascii="Arial" w:hAnsi="Arial" w:cs="Arial"/>
          <w:sz w:val="24"/>
          <w:szCs w:val="24"/>
        </w:rPr>
        <w:t xml:space="preserve"> Justice </w:t>
      </w:r>
      <w:proofErr w:type="spellStart"/>
      <w:r w:rsidRPr="00043A9C">
        <w:rPr>
          <w:rFonts w:ascii="Arial" w:hAnsi="Arial" w:cs="Arial"/>
          <w:sz w:val="24"/>
          <w:szCs w:val="24"/>
        </w:rPr>
        <w:t>O’Loughlin</w:t>
      </w:r>
      <w:proofErr w:type="spellEnd"/>
      <w:r w:rsidRPr="00043A9C">
        <w:rPr>
          <w:rFonts w:ascii="Arial" w:hAnsi="Arial" w:cs="Arial"/>
          <w:sz w:val="24"/>
          <w:szCs w:val="24"/>
        </w:rPr>
        <w:t xml:space="preserve"> made the following </w:t>
      </w:r>
      <w:r w:rsidRPr="00043A9C">
        <w:rPr>
          <w:rFonts w:ascii="Arial" w:hAnsi="Arial" w:cs="Arial"/>
          <w:sz w:val="24"/>
          <w:szCs w:val="24"/>
        </w:rPr>
        <w:lastRenderedPageBreak/>
        <w:t>comment:</w:t>
      </w:r>
    </w:p>
    <w:p w14:paraId="5D98A15D" w14:textId="77777777" w:rsidR="00AB2F15" w:rsidRPr="00AB2F15" w:rsidRDefault="00AB2F15" w:rsidP="007B63AA">
      <w:pPr>
        <w:widowControl w:val="0"/>
        <w:autoSpaceDE w:val="0"/>
        <w:autoSpaceDN w:val="0"/>
        <w:adjustRightInd w:val="0"/>
        <w:spacing w:after="0" w:line="360" w:lineRule="auto"/>
        <w:jc w:val="both"/>
        <w:rPr>
          <w:rFonts w:ascii="Arial" w:hAnsi="Arial" w:cs="Arial"/>
          <w:sz w:val="24"/>
          <w:szCs w:val="24"/>
        </w:rPr>
      </w:pPr>
    </w:p>
    <w:p w14:paraId="43735E74" w14:textId="77777777" w:rsidR="00AB2F15" w:rsidRPr="00AB2F15" w:rsidRDefault="00AB2F15" w:rsidP="007B63AA">
      <w:pPr>
        <w:spacing w:after="0" w:line="360" w:lineRule="auto"/>
        <w:ind w:left="1440"/>
        <w:jc w:val="both"/>
        <w:rPr>
          <w:rFonts w:ascii="Arial" w:eastAsia="Times New Roman" w:hAnsi="Arial" w:cs="Arial"/>
          <w:iCs/>
          <w:color w:val="000000"/>
          <w:sz w:val="24"/>
          <w:szCs w:val="24"/>
          <w:shd w:val="clear" w:color="auto" w:fill="FFFFFF"/>
        </w:rPr>
      </w:pPr>
      <w:r w:rsidRPr="00AB2F15">
        <w:rPr>
          <w:rFonts w:ascii="Arial" w:eastAsia="Times New Roman" w:hAnsi="Arial" w:cs="Arial"/>
          <w:iCs/>
          <w:color w:val="000000"/>
          <w:sz w:val="24"/>
          <w:szCs w:val="24"/>
          <w:shd w:val="clear" w:color="auto" w:fill="FFFFFF"/>
        </w:rPr>
        <w:t>“</w:t>
      </w:r>
      <w:r w:rsidRPr="00AB2F15">
        <w:rPr>
          <w:rFonts w:ascii="Arial" w:eastAsia="Times New Roman" w:hAnsi="Arial" w:cs="Arial"/>
          <w:i/>
          <w:iCs/>
          <w:color w:val="000000"/>
          <w:sz w:val="24"/>
          <w:szCs w:val="24"/>
          <w:shd w:val="clear" w:color="auto" w:fill="FFFFFF"/>
        </w:rPr>
        <w:t xml:space="preserve">In my opinion, the phrase </w:t>
      </w:r>
      <w:r w:rsidRPr="00AB2F15">
        <w:rPr>
          <w:rFonts w:ascii="Arial" w:eastAsia="Times New Roman" w:hAnsi="Arial" w:cs="Arial"/>
          <w:iCs/>
          <w:color w:val="000000"/>
          <w:sz w:val="24"/>
          <w:szCs w:val="24"/>
          <w:shd w:val="clear" w:color="auto" w:fill="FFFFFF"/>
        </w:rPr>
        <w:t>[the ordinary and customary turnover of labour]</w:t>
      </w:r>
      <w:r w:rsidRPr="00AB2F15">
        <w:rPr>
          <w:rFonts w:ascii="Arial" w:eastAsia="Times New Roman" w:hAnsi="Arial" w:cs="Arial"/>
          <w:i/>
          <w:iCs/>
          <w:color w:val="000000"/>
          <w:sz w:val="24"/>
          <w:szCs w:val="24"/>
          <w:shd w:val="clear" w:color="auto" w:fill="FFFFFF"/>
        </w:rPr>
        <w:t xml:space="preserve"> is intended to cover such employees as seasonal workers or those who, by virtue of the industry in which they work, know that their employment is intended to be of limited duration; sections of the building industry may, for example, fall into this category.”</w:t>
      </w:r>
      <w:r w:rsidRPr="00AB2F15">
        <w:rPr>
          <w:rStyle w:val="FootnoteReference"/>
          <w:rFonts w:ascii="Arial" w:eastAsia="Times New Roman" w:hAnsi="Arial" w:cs="Arial"/>
          <w:i/>
          <w:iCs/>
          <w:color w:val="000000"/>
          <w:sz w:val="24"/>
          <w:szCs w:val="24"/>
          <w:shd w:val="clear" w:color="auto" w:fill="FFFFFF"/>
        </w:rPr>
        <w:footnoteReference w:id="15"/>
      </w:r>
    </w:p>
    <w:p w14:paraId="3BFB50AC" w14:textId="77777777" w:rsidR="00AB2F15" w:rsidRPr="00AB2F15" w:rsidRDefault="00AB2F15" w:rsidP="007B63AA">
      <w:pPr>
        <w:widowControl w:val="0"/>
        <w:autoSpaceDE w:val="0"/>
        <w:autoSpaceDN w:val="0"/>
        <w:adjustRightInd w:val="0"/>
        <w:spacing w:after="0" w:line="360" w:lineRule="auto"/>
        <w:jc w:val="both"/>
        <w:rPr>
          <w:rFonts w:ascii="Arial" w:hAnsi="Arial" w:cs="Arial"/>
          <w:sz w:val="24"/>
          <w:szCs w:val="24"/>
        </w:rPr>
      </w:pPr>
    </w:p>
    <w:p w14:paraId="3352A9BB" w14:textId="77777777" w:rsidR="00AB2F15" w:rsidRPr="00043A9C" w:rsidRDefault="00AB2F15" w:rsidP="007B63AA">
      <w:pPr>
        <w:pStyle w:val="ListParagraph"/>
        <w:widowControl w:val="0"/>
        <w:numPr>
          <w:ilvl w:val="0"/>
          <w:numId w:val="3"/>
        </w:numPr>
        <w:autoSpaceDE w:val="0"/>
        <w:autoSpaceDN w:val="0"/>
        <w:adjustRightInd w:val="0"/>
        <w:spacing w:after="0" w:line="360" w:lineRule="auto"/>
        <w:jc w:val="both"/>
        <w:rPr>
          <w:rFonts w:ascii="Arial" w:hAnsi="Arial" w:cs="Arial"/>
          <w:sz w:val="24"/>
          <w:szCs w:val="24"/>
        </w:rPr>
      </w:pPr>
      <w:r w:rsidRPr="00043A9C">
        <w:rPr>
          <w:rFonts w:ascii="Arial" w:hAnsi="Arial" w:cs="Arial"/>
          <w:sz w:val="24"/>
          <w:szCs w:val="24"/>
        </w:rPr>
        <w:t>However, the Act provides that redundancy payments, regardless of whether they fall within the OCTL exception, do not apply to casual employees or employees who are “employed for a specified period of time, for a specified task, or for the duration of a specified season.”</w:t>
      </w:r>
      <w:r w:rsidRPr="00AB2F15">
        <w:rPr>
          <w:rStyle w:val="FootnoteReference"/>
          <w:rFonts w:ascii="Arial" w:hAnsi="Arial" w:cs="Arial"/>
          <w:sz w:val="24"/>
          <w:szCs w:val="24"/>
        </w:rPr>
        <w:footnoteReference w:id="16"/>
      </w:r>
      <w:r w:rsidRPr="00043A9C">
        <w:rPr>
          <w:rFonts w:ascii="Arial" w:hAnsi="Arial" w:cs="Arial"/>
          <w:sz w:val="24"/>
          <w:szCs w:val="24"/>
        </w:rPr>
        <w:t xml:space="preserve"> </w:t>
      </w:r>
    </w:p>
    <w:p w14:paraId="05463D35" w14:textId="77777777" w:rsidR="00AB2F15" w:rsidRPr="00AB2F15" w:rsidRDefault="00AB2F15" w:rsidP="007B63AA">
      <w:pPr>
        <w:widowControl w:val="0"/>
        <w:autoSpaceDE w:val="0"/>
        <w:autoSpaceDN w:val="0"/>
        <w:adjustRightInd w:val="0"/>
        <w:spacing w:after="0" w:line="360" w:lineRule="auto"/>
        <w:jc w:val="both"/>
        <w:rPr>
          <w:rFonts w:ascii="Arial" w:hAnsi="Arial" w:cs="Arial"/>
          <w:sz w:val="24"/>
          <w:szCs w:val="24"/>
        </w:rPr>
      </w:pPr>
    </w:p>
    <w:p w14:paraId="72A6DEA9" w14:textId="7DDD641F" w:rsidR="00AB2F15" w:rsidRPr="00043A9C" w:rsidRDefault="00AB2F15" w:rsidP="007B63AA">
      <w:pPr>
        <w:pStyle w:val="ListParagraph"/>
        <w:widowControl w:val="0"/>
        <w:numPr>
          <w:ilvl w:val="0"/>
          <w:numId w:val="3"/>
        </w:numPr>
        <w:autoSpaceDE w:val="0"/>
        <w:autoSpaceDN w:val="0"/>
        <w:adjustRightInd w:val="0"/>
        <w:spacing w:after="0" w:line="360" w:lineRule="auto"/>
        <w:jc w:val="both"/>
        <w:rPr>
          <w:rFonts w:ascii="Arial" w:hAnsi="Arial" w:cs="Arial"/>
          <w:sz w:val="24"/>
          <w:szCs w:val="24"/>
        </w:rPr>
      </w:pPr>
      <w:r w:rsidRPr="00043A9C">
        <w:rPr>
          <w:rFonts w:ascii="Arial" w:hAnsi="Arial" w:cs="Arial"/>
          <w:sz w:val="24"/>
          <w:szCs w:val="24"/>
        </w:rPr>
        <w:t>With this in mind, the circumstances in which redundancy entitlements will not be payable under the OCTL exception is uncertain, although employers are</w:t>
      </w:r>
      <w:r w:rsidR="0029419B">
        <w:rPr>
          <w:rFonts w:ascii="Arial" w:hAnsi="Arial" w:cs="Arial"/>
          <w:sz w:val="24"/>
          <w:szCs w:val="24"/>
        </w:rPr>
        <w:t xml:space="preserve"> now</w:t>
      </w:r>
      <w:r w:rsidRPr="00043A9C">
        <w:rPr>
          <w:rFonts w:ascii="Arial" w:hAnsi="Arial" w:cs="Arial"/>
          <w:sz w:val="24"/>
          <w:szCs w:val="24"/>
        </w:rPr>
        <w:t xml:space="preserve"> increasingly relying on the exception where a contract for services has been lost. The bulk of proceedings in the </w:t>
      </w:r>
      <w:r w:rsidR="00EC3448" w:rsidRPr="00701651">
        <w:rPr>
          <w:rFonts w:ascii="Arial" w:hAnsi="Arial" w:cs="Arial"/>
          <w:bCs/>
          <w:sz w:val="24"/>
          <w:szCs w:val="24"/>
        </w:rPr>
        <w:t>Fair Work Commission (FWC)</w:t>
      </w:r>
      <w:r w:rsidRPr="00043A9C">
        <w:rPr>
          <w:rFonts w:ascii="Arial" w:hAnsi="Arial" w:cs="Arial"/>
          <w:sz w:val="24"/>
          <w:szCs w:val="24"/>
        </w:rPr>
        <w:t xml:space="preserve">, regarding OCTL, have been </w:t>
      </w:r>
      <w:proofErr w:type="spellStart"/>
      <w:r w:rsidRPr="00043A9C">
        <w:rPr>
          <w:rFonts w:ascii="Arial" w:hAnsi="Arial" w:cs="Arial"/>
          <w:sz w:val="24"/>
          <w:szCs w:val="24"/>
        </w:rPr>
        <w:t>focussed</w:t>
      </w:r>
      <w:proofErr w:type="spellEnd"/>
      <w:r w:rsidRPr="00043A9C">
        <w:rPr>
          <w:rFonts w:ascii="Arial" w:hAnsi="Arial" w:cs="Arial"/>
          <w:sz w:val="24"/>
          <w:szCs w:val="24"/>
        </w:rPr>
        <w:t xml:space="preserve"> on whether the exception applies in these circumstances.</w:t>
      </w:r>
    </w:p>
    <w:p w14:paraId="06B8F362" w14:textId="77777777" w:rsidR="00AB2F15" w:rsidRPr="00AB2F15" w:rsidRDefault="00AB2F15" w:rsidP="007B63AA">
      <w:pPr>
        <w:widowControl w:val="0"/>
        <w:autoSpaceDE w:val="0"/>
        <w:autoSpaceDN w:val="0"/>
        <w:adjustRightInd w:val="0"/>
        <w:spacing w:after="0" w:line="360" w:lineRule="auto"/>
        <w:jc w:val="both"/>
        <w:rPr>
          <w:rFonts w:ascii="Arial" w:hAnsi="Arial" w:cs="Arial"/>
          <w:sz w:val="24"/>
          <w:szCs w:val="24"/>
        </w:rPr>
      </w:pPr>
    </w:p>
    <w:p w14:paraId="005D9EFE" w14:textId="4EB7C31F" w:rsidR="00AB2F15" w:rsidRPr="00043A9C" w:rsidRDefault="00AB2F15" w:rsidP="007B63AA">
      <w:pPr>
        <w:pStyle w:val="ListParagraph"/>
        <w:widowControl w:val="0"/>
        <w:numPr>
          <w:ilvl w:val="0"/>
          <w:numId w:val="3"/>
        </w:numPr>
        <w:autoSpaceDE w:val="0"/>
        <w:autoSpaceDN w:val="0"/>
        <w:adjustRightInd w:val="0"/>
        <w:spacing w:after="0" w:line="360" w:lineRule="auto"/>
        <w:jc w:val="both"/>
        <w:rPr>
          <w:rFonts w:ascii="Arial" w:hAnsi="Arial" w:cs="Arial"/>
          <w:sz w:val="24"/>
          <w:szCs w:val="24"/>
        </w:rPr>
      </w:pPr>
      <w:r w:rsidRPr="00043A9C">
        <w:rPr>
          <w:rFonts w:ascii="Arial" w:hAnsi="Arial" w:cs="Arial"/>
          <w:sz w:val="24"/>
          <w:szCs w:val="24"/>
        </w:rPr>
        <w:t xml:space="preserve">In </w:t>
      </w:r>
      <w:r w:rsidRPr="00043A9C">
        <w:rPr>
          <w:rFonts w:ascii="Arial" w:hAnsi="Arial" w:cs="Arial"/>
          <w:i/>
          <w:sz w:val="24"/>
          <w:szCs w:val="24"/>
        </w:rPr>
        <w:t>Fashion Fair Pty Limited v Department of Industrial Relations (Insp Rouse)</w:t>
      </w:r>
      <w:r w:rsidRPr="00AB2F15">
        <w:rPr>
          <w:rStyle w:val="FootnoteReference"/>
          <w:rFonts w:ascii="Arial" w:hAnsi="Arial" w:cs="Arial"/>
          <w:i/>
          <w:sz w:val="24"/>
          <w:szCs w:val="24"/>
        </w:rPr>
        <w:footnoteReference w:id="17"/>
      </w:r>
      <w:r w:rsidRPr="00043A9C">
        <w:rPr>
          <w:rFonts w:ascii="Arial" w:hAnsi="Arial" w:cs="Arial"/>
          <w:i/>
          <w:sz w:val="24"/>
          <w:szCs w:val="24"/>
        </w:rPr>
        <w:t xml:space="preserve"> </w:t>
      </w:r>
      <w:r w:rsidRPr="00043A9C">
        <w:rPr>
          <w:rFonts w:ascii="Arial" w:hAnsi="Arial" w:cs="Arial"/>
          <w:sz w:val="24"/>
          <w:szCs w:val="24"/>
        </w:rPr>
        <w:t xml:space="preserve">a </w:t>
      </w:r>
      <w:r w:rsidR="00BC6528">
        <w:rPr>
          <w:rFonts w:ascii="Arial" w:hAnsi="Arial" w:cs="Arial"/>
          <w:sz w:val="24"/>
          <w:szCs w:val="24"/>
        </w:rPr>
        <w:t>F</w:t>
      </w:r>
      <w:r w:rsidRPr="00043A9C">
        <w:rPr>
          <w:rFonts w:ascii="Arial" w:hAnsi="Arial" w:cs="Arial"/>
          <w:sz w:val="24"/>
          <w:szCs w:val="24"/>
        </w:rPr>
        <w:t xml:space="preserve">ull </w:t>
      </w:r>
      <w:r w:rsidR="00BC6528">
        <w:rPr>
          <w:rFonts w:ascii="Arial" w:hAnsi="Arial" w:cs="Arial"/>
          <w:sz w:val="24"/>
          <w:szCs w:val="24"/>
        </w:rPr>
        <w:t>B</w:t>
      </w:r>
      <w:r w:rsidRPr="00043A9C">
        <w:rPr>
          <w:rFonts w:ascii="Arial" w:hAnsi="Arial" w:cs="Arial"/>
          <w:sz w:val="24"/>
          <w:szCs w:val="24"/>
        </w:rPr>
        <w:t>ench of the New South Wales Industrial Relations Commission said:</w:t>
      </w:r>
    </w:p>
    <w:p w14:paraId="22A92614" w14:textId="77777777" w:rsidR="00AB2F15" w:rsidRPr="00AB2F15" w:rsidRDefault="00AB2F15" w:rsidP="007B63AA">
      <w:pPr>
        <w:widowControl w:val="0"/>
        <w:autoSpaceDE w:val="0"/>
        <w:autoSpaceDN w:val="0"/>
        <w:adjustRightInd w:val="0"/>
        <w:spacing w:after="0" w:line="360" w:lineRule="auto"/>
        <w:jc w:val="both"/>
        <w:rPr>
          <w:rFonts w:ascii="Arial" w:hAnsi="Arial" w:cs="Arial"/>
          <w:sz w:val="24"/>
          <w:szCs w:val="24"/>
        </w:rPr>
      </w:pPr>
    </w:p>
    <w:p w14:paraId="4E26A2C2" w14:textId="77777777" w:rsidR="00AB2F15" w:rsidRPr="00AB2F15" w:rsidRDefault="00AB2F15" w:rsidP="007B63AA">
      <w:pPr>
        <w:widowControl w:val="0"/>
        <w:autoSpaceDE w:val="0"/>
        <w:autoSpaceDN w:val="0"/>
        <w:adjustRightInd w:val="0"/>
        <w:spacing w:after="0" w:line="360" w:lineRule="auto"/>
        <w:ind w:left="1440"/>
        <w:jc w:val="both"/>
        <w:rPr>
          <w:rFonts w:ascii="Arial" w:hAnsi="Arial" w:cs="Arial"/>
          <w:sz w:val="24"/>
          <w:szCs w:val="24"/>
        </w:rPr>
      </w:pPr>
      <w:r w:rsidRPr="00AB2F15">
        <w:rPr>
          <w:rFonts w:ascii="Arial" w:eastAsia="Times New Roman" w:hAnsi="Arial" w:cs="Arial"/>
          <w:sz w:val="24"/>
          <w:szCs w:val="24"/>
        </w:rPr>
        <w:t>“</w:t>
      </w:r>
      <w:r w:rsidRPr="00AB2F15">
        <w:rPr>
          <w:rFonts w:ascii="Arial" w:eastAsia="Times New Roman" w:hAnsi="Arial" w:cs="Arial"/>
          <w:i/>
          <w:sz w:val="24"/>
          <w:szCs w:val="24"/>
        </w:rPr>
        <w:t xml:space="preserve">It has frequently been observed that whether an entitlement to redundancy or severance pay accrues upon termination depends upon whether there was "settled" expectation of continued employment or whether the employees were aware that their employment was for a specified period or task ... It is necessary to examine the circumstances of each case and the course of the dismissals (and also the cause of any loss of contract) to determine if the dismissals were truly part of the </w:t>
      </w:r>
      <w:r w:rsidRPr="00AB2F15">
        <w:rPr>
          <w:rFonts w:ascii="Arial" w:eastAsia="Times New Roman" w:hAnsi="Arial" w:cs="Arial"/>
          <w:i/>
          <w:sz w:val="24"/>
          <w:szCs w:val="24"/>
        </w:rPr>
        <w:lastRenderedPageBreak/>
        <w:t>ordinary and customary turnover of labour.</w:t>
      </w:r>
      <w:r w:rsidRPr="00AB2F15">
        <w:rPr>
          <w:rFonts w:ascii="Arial" w:eastAsia="Times New Roman" w:hAnsi="Arial" w:cs="Arial"/>
          <w:sz w:val="24"/>
          <w:szCs w:val="24"/>
        </w:rPr>
        <w:t>”</w:t>
      </w:r>
      <w:r w:rsidRPr="00AB2F15">
        <w:rPr>
          <w:rStyle w:val="FootnoteReference"/>
          <w:rFonts w:ascii="Arial" w:eastAsia="Times New Roman" w:hAnsi="Arial" w:cs="Arial"/>
          <w:sz w:val="24"/>
          <w:szCs w:val="24"/>
        </w:rPr>
        <w:footnoteReference w:id="18"/>
      </w:r>
    </w:p>
    <w:p w14:paraId="3B3EDE5E" w14:textId="77777777" w:rsidR="00AB2F15" w:rsidRPr="00AB2F15" w:rsidRDefault="00AB2F15" w:rsidP="007B63AA">
      <w:pPr>
        <w:widowControl w:val="0"/>
        <w:autoSpaceDE w:val="0"/>
        <w:autoSpaceDN w:val="0"/>
        <w:adjustRightInd w:val="0"/>
        <w:spacing w:after="0" w:line="360" w:lineRule="auto"/>
        <w:jc w:val="both"/>
        <w:rPr>
          <w:rFonts w:ascii="Arial" w:hAnsi="Arial" w:cs="Arial"/>
          <w:sz w:val="24"/>
          <w:szCs w:val="24"/>
        </w:rPr>
      </w:pPr>
    </w:p>
    <w:p w14:paraId="75E59995" w14:textId="77777777" w:rsidR="00AB2F15" w:rsidRPr="00043A9C" w:rsidRDefault="00AB2F15" w:rsidP="007B63AA">
      <w:pPr>
        <w:pStyle w:val="ListParagraph"/>
        <w:widowControl w:val="0"/>
        <w:numPr>
          <w:ilvl w:val="0"/>
          <w:numId w:val="3"/>
        </w:numPr>
        <w:autoSpaceDE w:val="0"/>
        <w:autoSpaceDN w:val="0"/>
        <w:adjustRightInd w:val="0"/>
        <w:spacing w:after="0" w:line="360" w:lineRule="auto"/>
        <w:jc w:val="both"/>
        <w:rPr>
          <w:rFonts w:ascii="Arial" w:hAnsi="Arial" w:cs="Arial"/>
          <w:sz w:val="24"/>
          <w:szCs w:val="24"/>
        </w:rPr>
      </w:pPr>
      <w:r w:rsidRPr="00043A9C">
        <w:rPr>
          <w:rFonts w:ascii="Arial" w:hAnsi="Arial" w:cs="Arial"/>
          <w:sz w:val="24"/>
          <w:szCs w:val="24"/>
        </w:rPr>
        <w:t xml:space="preserve">The principles have developed over time, and now include the following considerations: </w:t>
      </w:r>
    </w:p>
    <w:p w14:paraId="0441D661" w14:textId="77777777" w:rsidR="00AB2F15" w:rsidRPr="00AB2F15" w:rsidRDefault="00AB2F15" w:rsidP="007B63AA">
      <w:pPr>
        <w:widowControl w:val="0"/>
        <w:autoSpaceDE w:val="0"/>
        <w:autoSpaceDN w:val="0"/>
        <w:adjustRightInd w:val="0"/>
        <w:spacing w:after="0" w:line="360" w:lineRule="auto"/>
        <w:jc w:val="both"/>
        <w:rPr>
          <w:rFonts w:ascii="Arial" w:hAnsi="Arial" w:cs="Arial"/>
          <w:sz w:val="24"/>
          <w:szCs w:val="24"/>
        </w:rPr>
      </w:pPr>
    </w:p>
    <w:p w14:paraId="6CC9F46B" w14:textId="77777777" w:rsidR="00AB2F15" w:rsidRDefault="00AB2F15" w:rsidP="007B63AA">
      <w:pPr>
        <w:pStyle w:val="ListParagraph"/>
        <w:widowControl w:val="0"/>
        <w:numPr>
          <w:ilvl w:val="0"/>
          <w:numId w:val="8"/>
        </w:numPr>
        <w:autoSpaceDE w:val="0"/>
        <w:autoSpaceDN w:val="0"/>
        <w:adjustRightInd w:val="0"/>
        <w:spacing w:after="0" w:line="360" w:lineRule="auto"/>
        <w:jc w:val="both"/>
        <w:rPr>
          <w:rFonts w:ascii="Arial" w:hAnsi="Arial" w:cs="Arial"/>
          <w:sz w:val="24"/>
          <w:szCs w:val="24"/>
        </w:rPr>
      </w:pPr>
      <w:r w:rsidRPr="00AB2F15">
        <w:rPr>
          <w:rFonts w:ascii="Arial" w:hAnsi="Arial" w:cs="Arial"/>
          <w:sz w:val="24"/>
          <w:szCs w:val="24"/>
        </w:rPr>
        <w:t>Whether the employee knew the contract was of a limited duration,</w:t>
      </w:r>
      <w:r w:rsidRPr="00AB2F15">
        <w:rPr>
          <w:rStyle w:val="FootnoteReference"/>
          <w:rFonts w:ascii="Arial" w:hAnsi="Arial" w:cs="Arial"/>
          <w:sz w:val="24"/>
          <w:szCs w:val="24"/>
        </w:rPr>
        <w:footnoteReference w:id="19"/>
      </w:r>
    </w:p>
    <w:p w14:paraId="1AB29B05" w14:textId="77777777" w:rsidR="00043A9C" w:rsidRPr="00AB2F15" w:rsidRDefault="00043A9C" w:rsidP="007B63AA">
      <w:pPr>
        <w:pStyle w:val="ListParagraph"/>
        <w:widowControl w:val="0"/>
        <w:autoSpaceDE w:val="0"/>
        <w:autoSpaceDN w:val="0"/>
        <w:adjustRightInd w:val="0"/>
        <w:spacing w:after="0" w:line="360" w:lineRule="auto"/>
        <w:jc w:val="both"/>
        <w:rPr>
          <w:rFonts w:ascii="Arial" w:hAnsi="Arial" w:cs="Arial"/>
          <w:sz w:val="24"/>
          <w:szCs w:val="24"/>
        </w:rPr>
      </w:pPr>
    </w:p>
    <w:p w14:paraId="50F1C2E4" w14:textId="77777777" w:rsidR="0029419B" w:rsidRPr="0029419B" w:rsidRDefault="00AB2F15" w:rsidP="0029419B">
      <w:pPr>
        <w:pStyle w:val="ListParagraph"/>
        <w:widowControl w:val="0"/>
        <w:numPr>
          <w:ilvl w:val="0"/>
          <w:numId w:val="8"/>
        </w:numPr>
        <w:autoSpaceDE w:val="0"/>
        <w:autoSpaceDN w:val="0"/>
        <w:adjustRightInd w:val="0"/>
        <w:spacing w:after="0" w:line="360" w:lineRule="auto"/>
        <w:jc w:val="both"/>
        <w:rPr>
          <w:rFonts w:ascii="Arial" w:hAnsi="Arial" w:cs="Arial"/>
          <w:sz w:val="24"/>
          <w:szCs w:val="24"/>
        </w:rPr>
      </w:pPr>
      <w:r w:rsidRPr="00AB2F15">
        <w:rPr>
          <w:rFonts w:ascii="Arial" w:hAnsi="Arial" w:cs="Arial"/>
          <w:sz w:val="24"/>
          <w:szCs w:val="24"/>
        </w:rPr>
        <w:t>Whether the employee had a settled expectation of ongoing employment,</w:t>
      </w:r>
      <w:r w:rsidRPr="00AB2F15">
        <w:rPr>
          <w:rStyle w:val="FootnoteReference"/>
          <w:rFonts w:ascii="Arial" w:hAnsi="Arial" w:cs="Arial"/>
          <w:sz w:val="24"/>
          <w:szCs w:val="24"/>
        </w:rPr>
        <w:footnoteReference w:id="20"/>
      </w:r>
      <w:r w:rsidRPr="00AB2F15">
        <w:rPr>
          <w:rFonts w:ascii="Arial" w:hAnsi="Arial" w:cs="Arial"/>
          <w:sz w:val="24"/>
          <w:szCs w:val="24"/>
        </w:rPr>
        <w:t xml:space="preserve"> which includes the objective indicia:</w:t>
      </w:r>
    </w:p>
    <w:p w14:paraId="65CE87E2" w14:textId="77777777" w:rsidR="0029419B" w:rsidRPr="00AB2F15" w:rsidRDefault="0029419B" w:rsidP="0029419B">
      <w:pPr>
        <w:pStyle w:val="ListParagraph"/>
        <w:widowControl w:val="0"/>
        <w:autoSpaceDE w:val="0"/>
        <w:autoSpaceDN w:val="0"/>
        <w:adjustRightInd w:val="0"/>
        <w:spacing w:after="0" w:line="360" w:lineRule="auto"/>
        <w:ind w:left="786"/>
        <w:jc w:val="both"/>
        <w:rPr>
          <w:rFonts w:ascii="Arial" w:hAnsi="Arial" w:cs="Arial"/>
          <w:sz w:val="24"/>
          <w:szCs w:val="24"/>
        </w:rPr>
      </w:pPr>
    </w:p>
    <w:p w14:paraId="3F3FC7E3" w14:textId="77777777" w:rsidR="00AB2F15" w:rsidRDefault="00AB2F15" w:rsidP="007B63AA">
      <w:pPr>
        <w:pStyle w:val="ListParagraph"/>
        <w:widowControl w:val="0"/>
        <w:numPr>
          <w:ilvl w:val="1"/>
          <w:numId w:val="8"/>
        </w:numPr>
        <w:autoSpaceDE w:val="0"/>
        <w:autoSpaceDN w:val="0"/>
        <w:adjustRightInd w:val="0"/>
        <w:spacing w:after="0" w:line="360" w:lineRule="auto"/>
        <w:jc w:val="both"/>
        <w:rPr>
          <w:rFonts w:ascii="Arial" w:hAnsi="Arial" w:cs="Arial"/>
          <w:sz w:val="24"/>
          <w:szCs w:val="24"/>
        </w:rPr>
      </w:pPr>
      <w:r w:rsidRPr="00AB2F15">
        <w:rPr>
          <w:rFonts w:ascii="Arial" w:hAnsi="Arial" w:cs="Arial"/>
          <w:sz w:val="24"/>
          <w:szCs w:val="24"/>
        </w:rPr>
        <w:t>Length of the employee’s service,</w:t>
      </w:r>
      <w:r w:rsidRPr="00AB2F15">
        <w:rPr>
          <w:rStyle w:val="FootnoteReference"/>
          <w:rFonts w:ascii="Arial" w:hAnsi="Arial" w:cs="Arial"/>
          <w:sz w:val="24"/>
          <w:szCs w:val="24"/>
        </w:rPr>
        <w:footnoteReference w:id="21"/>
      </w:r>
      <w:r w:rsidRPr="00AB2F15">
        <w:rPr>
          <w:rFonts w:ascii="Arial" w:hAnsi="Arial" w:cs="Arial"/>
          <w:sz w:val="24"/>
          <w:szCs w:val="24"/>
        </w:rPr>
        <w:t xml:space="preserve"> and</w:t>
      </w:r>
    </w:p>
    <w:p w14:paraId="0CE420B1" w14:textId="77777777" w:rsidR="0029419B" w:rsidRPr="00AB2F15" w:rsidRDefault="0029419B" w:rsidP="0029419B">
      <w:pPr>
        <w:pStyle w:val="ListParagraph"/>
        <w:widowControl w:val="0"/>
        <w:autoSpaceDE w:val="0"/>
        <w:autoSpaceDN w:val="0"/>
        <w:adjustRightInd w:val="0"/>
        <w:spacing w:after="0" w:line="360" w:lineRule="auto"/>
        <w:ind w:left="1800"/>
        <w:jc w:val="both"/>
        <w:rPr>
          <w:rFonts w:ascii="Arial" w:hAnsi="Arial" w:cs="Arial"/>
          <w:sz w:val="24"/>
          <w:szCs w:val="24"/>
        </w:rPr>
      </w:pPr>
    </w:p>
    <w:p w14:paraId="26C6D5E2" w14:textId="3156EB4E" w:rsidR="00AB2F15" w:rsidRDefault="00AB2F15" w:rsidP="007B63AA">
      <w:pPr>
        <w:pStyle w:val="ListParagraph"/>
        <w:widowControl w:val="0"/>
        <w:numPr>
          <w:ilvl w:val="1"/>
          <w:numId w:val="8"/>
        </w:numPr>
        <w:autoSpaceDE w:val="0"/>
        <w:autoSpaceDN w:val="0"/>
        <w:adjustRightInd w:val="0"/>
        <w:spacing w:after="0" w:line="360" w:lineRule="auto"/>
        <w:jc w:val="both"/>
        <w:rPr>
          <w:rFonts w:ascii="Arial" w:hAnsi="Arial" w:cs="Arial"/>
          <w:sz w:val="24"/>
          <w:szCs w:val="24"/>
        </w:rPr>
      </w:pPr>
      <w:r w:rsidRPr="00AB2F15">
        <w:rPr>
          <w:rFonts w:ascii="Arial" w:hAnsi="Arial" w:cs="Arial"/>
          <w:sz w:val="24"/>
          <w:szCs w:val="24"/>
        </w:rPr>
        <w:t xml:space="preserve">Whether it is customary for </w:t>
      </w:r>
      <w:r w:rsidR="0029419B">
        <w:rPr>
          <w:rFonts w:ascii="Arial" w:hAnsi="Arial" w:cs="Arial"/>
          <w:sz w:val="24"/>
          <w:szCs w:val="24"/>
        </w:rPr>
        <w:t xml:space="preserve">the employer to retain </w:t>
      </w:r>
      <w:r w:rsidRPr="00AB2F15">
        <w:rPr>
          <w:rFonts w:ascii="Arial" w:hAnsi="Arial" w:cs="Arial"/>
          <w:sz w:val="24"/>
          <w:szCs w:val="24"/>
        </w:rPr>
        <w:t>labour when a contract is lost,</w:t>
      </w:r>
      <w:r w:rsidRPr="00AB2F15">
        <w:rPr>
          <w:rStyle w:val="FootnoteReference"/>
          <w:rFonts w:ascii="Arial" w:hAnsi="Arial" w:cs="Arial"/>
          <w:sz w:val="24"/>
          <w:szCs w:val="24"/>
        </w:rPr>
        <w:footnoteReference w:id="22"/>
      </w:r>
    </w:p>
    <w:p w14:paraId="3507FFB1" w14:textId="77777777" w:rsidR="0029419B" w:rsidRPr="00AB2F15" w:rsidRDefault="0029419B" w:rsidP="0029419B">
      <w:pPr>
        <w:pStyle w:val="ListParagraph"/>
        <w:widowControl w:val="0"/>
        <w:autoSpaceDE w:val="0"/>
        <w:autoSpaceDN w:val="0"/>
        <w:adjustRightInd w:val="0"/>
        <w:spacing w:after="0" w:line="360" w:lineRule="auto"/>
        <w:ind w:left="1800"/>
        <w:jc w:val="both"/>
        <w:rPr>
          <w:rFonts w:ascii="Arial" w:hAnsi="Arial" w:cs="Arial"/>
          <w:sz w:val="24"/>
          <w:szCs w:val="24"/>
        </w:rPr>
      </w:pPr>
    </w:p>
    <w:p w14:paraId="0EE8F2CF" w14:textId="77777777" w:rsidR="00AB2F15" w:rsidRDefault="00AB2F15" w:rsidP="007B63AA">
      <w:pPr>
        <w:pStyle w:val="ListParagraph"/>
        <w:widowControl w:val="0"/>
        <w:numPr>
          <w:ilvl w:val="0"/>
          <w:numId w:val="8"/>
        </w:numPr>
        <w:autoSpaceDE w:val="0"/>
        <w:autoSpaceDN w:val="0"/>
        <w:adjustRightInd w:val="0"/>
        <w:spacing w:after="0" w:line="360" w:lineRule="auto"/>
        <w:jc w:val="both"/>
        <w:rPr>
          <w:rFonts w:ascii="Arial" w:hAnsi="Arial" w:cs="Arial"/>
          <w:sz w:val="24"/>
          <w:szCs w:val="24"/>
        </w:rPr>
      </w:pPr>
      <w:r w:rsidRPr="00AB2F15">
        <w:rPr>
          <w:rFonts w:ascii="Arial" w:hAnsi="Arial" w:cs="Arial"/>
          <w:sz w:val="24"/>
          <w:szCs w:val="24"/>
        </w:rPr>
        <w:t>Whether the employer’s ability to retain labour is dependent on the winning or retaining of contracts,</w:t>
      </w:r>
      <w:r w:rsidRPr="00AB2F15">
        <w:rPr>
          <w:rStyle w:val="FootnoteReference"/>
          <w:rFonts w:ascii="Arial" w:hAnsi="Arial" w:cs="Arial"/>
          <w:sz w:val="24"/>
          <w:szCs w:val="24"/>
        </w:rPr>
        <w:footnoteReference w:id="23"/>
      </w:r>
    </w:p>
    <w:p w14:paraId="19B7A9F2" w14:textId="77777777" w:rsidR="00043A9C" w:rsidRPr="00AB2F15" w:rsidRDefault="00043A9C" w:rsidP="007B63AA">
      <w:pPr>
        <w:pStyle w:val="ListParagraph"/>
        <w:widowControl w:val="0"/>
        <w:autoSpaceDE w:val="0"/>
        <w:autoSpaceDN w:val="0"/>
        <w:adjustRightInd w:val="0"/>
        <w:spacing w:after="0" w:line="360" w:lineRule="auto"/>
        <w:jc w:val="both"/>
        <w:rPr>
          <w:rFonts w:ascii="Arial" w:hAnsi="Arial" w:cs="Arial"/>
          <w:sz w:val="24"/>
          <w:szCs w:val="24"/>
        </w:rPr>
      </w:pPr>
    </w:p>
    <w:p w14:paraId="35FF6BFA" w14:textId="77777777" w:rsidR="00AB2F15" w:rsidRDefault="00AB2F15" w:rsidP="007B63AA">
      <w:pPr>
        <w:pStyle w:val="ListParagraph"/>
        <w:widowControl w:val="0"/>
        <w:numPr>
          <w:ilvl w:val="0"/>
          <w:numId w:val="8"/>
        </w:numPr>
        <w:autoSpaceDE w:val="0"/>
        <w:autoSpaceDN w:val="0"/>
        <w:adjustRightInd w:val="0"/>
        <w:spacing w:after="0" w:line="360" w:lineRule="auto"/>
        <w:jc w:val="both"/>
        <w:rPr>
          <w:rFonts w:ascii="Arial" w:hAnsi="Arial" w:cs="Arial"/>
          <w:sz w:val="24"/>
          <w:szCs w:val="24"/>
        </w:rPr>
      </w:pPr>
      <w:r w:rsidRPr="00AB2F15">
        <w:rPr>
          <w:rFonts w:ascii="Arial" w:hAnsi="Arial" w:cs="Arial"/>
          <w:sz w:val="24"/>
          <w:szCs w:val="24"/>
        </w:rPr>
        <w:t>Whether the employer offered alternative employment (regardless of whether it was a suitable alternative),</w:t>
      </w:r>
      <w:r w:rsidRPr="00AB2F15">
        <w:rPr>
          <w:rStyle w:val="FootnoteReference"/>
          <w:rFonts w:ascii="Arial" w:hAnsi="Arial" w:cs="Arial"/>
          <w:sz w:val="24"/>
          <w:szCs w:val="24"/>
        </w:rPr>
        <w:footnoteReference w:id="24"/>
      </w:r>
      <w:r w:rsidRPr="00AB2F15">
        <w:rPr>
          <w:rFonts w:ascii="Arial" w:hAnsi="Arial" w:cs="Arial"/>
          <w:sz w:val="24"/>
          <w:szCs w:val="24"/>
        </w:rPr>
        <w:t xml:space="preserve"> and</w:t>
      </w:r>
    </w:p>
    <w:p w14:paraId="22DE1F1A" w14:textId="77777777" w:rsidR="00043A9C" w:rsidRPr="00043A9C" w:rsidRDefault="00043A9C" w:rsidP="007B63AA">
      <w:pPr>
        <w:widowControl w:val="0"/>
        <w:autoSpaceDE w:val="0"/>
        <w:autoSpaceDN w:val="0"/>
        <w:adjustRightInd w:val="0"/>
        <w:spacing w:after="0" w:line="360" w:lineRule="auto"/>
        <w:jc w:val="both"/>
        <w:rPr>
          <w:rFonts w:ascii="Arial" w:hAnsi="Arial" w:cs="Arial"/>
          <w:sz w:val="24"/>
          <w:szCs w:val="24"/>
        </w:rPr>
      </w:pPr>
    </w:p>
    <w:p w14:paraId="3E5BF4A6" w14:textId="77777777" w:rsidR="00AB2F15" w:rsidRPr="00AB2F15" w:rsidRDefault="00AB2F15" w:rsidP="007B63AA">
      <w:pPr>
        <w:pStyle w:val="ListParagraph"/>
        <w:widowControl w:val="0"/>
        <w:numPr>
          <w:ilvl w:val="0"/>
          <w:numId w:val="8"/>
        </w:numPr>
        <w:autoSpaceDE w:val="0"/>
        <w:autoSpaceDN w:val="0"/>
        <w:adjustRightInd w:val="0"/>
        <w:spacing w:after="0" w:line="360" w:lineRule="auto"/>
        <w:jc w:val="both"/>
        <w:rPr>
          <w:rFonts w:ascii="Arial" w:hAnsi="Arial" w:cs="Arial"/>
          <w:sz w:val="24"/>
          <w:szCs w:val="24"/>
        </w:rPr>
      </w:pPr>
      <w:r w:rsidRPr="00AB2F15">
        <w:rPr>
          <w:rFonts w:ascii="Arial" w:hAnsi="Arial" w:cs="Arial"/>
          <w:sz w:val="24"/>
          <w:szCs w:val="24"/>
        </w:rPr>
        <w:t xml:space="preserve">The cause of the loss of a contract, including whether the employer handed in the contract or made a legitimate attempt in the tendering </w:t>
      </w:r>
      <w:r w:rsidRPr="00AB2F15">
        <w:rPr>
          <w:rFonts w:ascii="Arial" w:hAnsi="Arial" w:cs="Arial"/>
          <w:sz w:val="24"/>
          <w:szCs w:val="24"/>
        </w:rPr>
        <w:lastRenderedPageBreak/>
        <w:t>process.</w:t>
      </w:r>
      <w:r w:rsidRPr="00AB2F15">
        <w:rPr>
          <w:rStyle w:val="FootnoteReference"/>
          <w:rFonts w:ascii="Arial" w:hAnsi="Arial" w:cs="Arial"/>
          <w:sz w:val="24"/>
          <w:szCs w:val="24"/>
        </w:rPr>
        <w:footnoteReference w:id="25"/>
      </w:r>
    </w:p>
    <w:p w14:paraId="68C553BA" w14:textId="77777777" w:rsidR="00AB2F15" w:rsidRPr="00AB2F15" w:rsidRDefault="00AB2F15" w:rsidP="007B63AA">
      <w:pPr>
        <w:widowControl w:val="0"/>
        <w:autoSpaceDE w:val="0"/>
        <w:autoSpaceDN w:val="0"/>
        <w:adjustRightInd w:val="0"/>
        <w:spacing w:after="0" w:line="360" w:lineRule="auto"/>
        <w:jc w:val="both"/>
        <w:rPr>
          <w:rFonts w:ascii="Arial" w:hAnsi="Arial" w:cs="Arial"/>
          <w:sz w:val="24"/>
          <w:szCs w:val="24"/>
        </w:rPr>
      </w:pPr>
    </w:p>
    <w:p w14:paraId="7529F516" w14:textId="001A6E65" w:rsidR="00AB2F15" w:rsidRPr="00043A9C" w:rsidRDefault="00AB2F15" w:rsidP="007B63AA">
      <w:pPr>
        <w:pStyle w:val="ListParagraph"/>
        <w:widowControl w:val="0"/>
        <w:numPr>
          <w:ilvl w:val="0"/>
          <w:numId w:val="3"/>
        </w:numPr>
        <w:autoSpaceDE w:val="0"/>
        <w:autoSpaceDN w:val="0"/>
        <w:adjustRightInd w:val="0"/>
        <w:spacing w:after="0" w:line="360" w:lineRule="auto"/>
        <w:jc w:val="both"/>
        <w:rPr>
          <w:rFonts w:ascii="Arial" w:hAnsi="Arial" w:cs="Arial"/>
          <w:sz w:val="24"/>
          <w:szCs w:val="24"/>
        </w:rPr>
      </w:pPr>
      <w:r w:rsidRPr="00043A9C">
        <w:rPr>
          <w:rFonts w:ascii="Arial" w:hAnsi="Arial" w:cs="Arial"/>
          <w:sz w:val="24"/>
          <w:szCs w:val="24"/>
        </w:rPr>
        <w:t xml:space="preserve">Relevantly, a </w:t>
      </w:r>
      <w:r w:rsidR="00BC6528">
        <w:rPr>
          <w:rFonts w:ascii="Arial" w:hAnsi="Arial" w:cs="Arial"/>
          <w:sz w:val="24"/>
          <w:szCs w:val="24"/>
        </w:rPr>
        <w:t>F</w:t>
      </w:r>
      <w:r w:rsidRPr="00043A9C">
        <w:rPr>
          <w:rFonts w:ascii="Arial" w:hAnsi="Arial" w:cs="Arial"/>
          <w:sz w:val="24"/>
          <w:szCs w:val="24"/>
        </w:rPr>
        <w:t xml:space="preserve">ull </w:t>
      </w:r>
      <w:r w:rsidR="00BC6528">
        <w:rPr>
          <w:rFonts w:ascii="Arial" w:hAnsi="Arial" w:cs="Arial"/>
          <w:sz w:val="24"/>
          <w:szCs w:val="24"/>
        </w:rPr>
        <w:t>B</w:t>
      </w:r>
      <w:r w:rsidRPr="00043A9C">
        <w:rPr>
          <w:rFonts w:ascii="Arial" w:hAnsi="Arial" w:cs="Arial"/>
          <w:sz w:val="24"/>
          <w:szCs w:val="24"/>
        </w:rPr>
        <w:t>ench of the FWC has recently found:</w:t>
      </w:r>
    </w:p>
    <w:p w14:paraId="65AC4A1F" w14:textId="77777777" w:rsidR="00AB2F15" w:rsidRPr="00AB2F15" w:rsidRDefault="00AB2F15" w:rsidP="007B63AA">
      <w:pPr>
        <w:widowControl w:val="0"/>
        <w:autoSpaceDE w:val="0"/>
        <w:autoSpaceDN w:val="0"/>
        <w:adjustRightInd w:val="0"/>
        <w:spacing w:after="0" w:line="360" w:lineRule="auto"/>
        <w:jc w:val="both"/>
        <w:rPr>
          <w:rFonts w:ascii="Arial" w:hAnsi="Arial" w:cs="Arial"/>
          <w:sz w:val="24"/>
          <w:szCs w:val="24"/>
        </w:rPr>
      </w:pPr>
    </w:p>
    <w:p w14:paraId="1DA46E4A" w14:textId="77777777" w:rsidR="00AB2F15" w:rsidRPr="00AB2F15" w:rsidRDefault="00AB2F15" w:rsidP="007B63AA">
      <w:pPr>
        <w:widowControl w:val="0"/>
        <w:autoSpaceDE w:val="0"/>
        <w:autoSpaceDN w:val="0"/>
        <w:adjustRightInd w:val="0"/>
        <w:spacing w:after="0" w:line="360" w:lineRule="auto"/>
        <w:ind w:left="1440"/>
        <w:jc w:val="both"/>
        <w:rPr>
          <w:rFonts w:ascii="Arial" w:hAnsi="Arial" w:cs="Arial"/>
          <w:sz w:val="24"/>
          <w:szCs w:val="24"/>
        </w:rPr>
      </w:pPr>
      <w:r w:rsidRPr="00AB2F15">
        <w:rPr>
          <w:rFonts w:ascii="Arial" w:hAnsi="Arial" w:cs="Arial"/>
          <w:sz w:val="24"/>
          <w:szCs w:val="24"/>
        </w:rPr>
        <w:t>“</w:t>
      </w:r>
      <w:r w:rsidRPr="00AB2F15">
        <w:rPr>
          <w:rFonts w:ascii="Arial" w:hAnsi="Arial" w:cs="Arial"/>
          <w:i/>
          <w:sz w:val="24"/>
          <w:szCs w:val="24"/>
        </w:rPr>
        <w:t>The meaning of the word ‘redundancy’ is not fixed and the term will take colour from its context. However, in any relevant context it is the abolition of a position which leads to that position being redundant. The cause of the abolition of the position – whether business restructure, technological advance, loss of contract/ordinary turnover or otherwise – is a separate matter, albeit one which may determine the entitlements of the redundant employee. Indeed the presence of the express exclusion in s.119 (and in the predecessor TCR case) demonstrates that the abolition of a position as a result of ordinary and customary turnover is a redundancy; albeit one that does not give rise to an entitlement to redundancy pay</w:t>
      </w:r>
      <w:r w:rsidRPr="00AB2F15">
        <w:rPr>
          <w:rFonts w:ascii="Arial" w:hAnsi="Arial" w:cs="Arial"/>
          <w:sz w:val="24"/>
          <w:szCs w:val="24"/>
        </w:rPr>
        <w:t>.”</w:t>
      </w:r>
      <w:r w:rsidRPr="00AB2F15">
        <w:rPr>
          <w:rStyle w:val="FootnoteReference"/>
          <w:rFonts w:ascii="Arial" w:hAnsi="Arial" w:cs="Arial"/>
          <w:sz w:val="24"/>
          <w:szCs w:val="24"/>
        </w:rPr>
        <w:footnoteReference w:id="26"/>
      </w:r>
      <w:r w:rsidRPr="00AB2F15">
        <w:rPr>
          <w:rFonts w:ascii="Arial" w:hAnsi="Arial" w:cs="Arial"/>
          <w:sz w:val="24"/>
          <w:szCs w:val="24"/>
        </w:rPr>
        <w:t xml:space="preserve"> </w:t>
      </w:r>
    </w:p>
    <w:p w14:paraId="4827DD5B" w14:textId="77777777" w:rsidR="00AB2F15" w:rsidRPr="00AB2F15" w:rsidRDefault="00AB2F15" w:rsidP="007B63AA">
      <w:pPr>
        <w:widowControl w:val="0"/>
        <w:autoSpaceDE w:val="0"/>
        <w:autoSpaceDN w:val="0"/>
        <w:adjustRightInd w:val="0"/>
        <w:spacing w:after="0" w:line="360" w:lineRule="auto"/>
        <w:jc w:val="both"/>
        <w:rPr>
          <w:rFonts w:ascii="Arial" w:hAnsi="Arial" w:cs="Arial"/>
          <w:sz w:val="24"/>
          <w:szCs w:val="24"/>
        </w:rPr>
      </w:pPr>
    </w:p>
    <w:p w14:paraId="3C63C90C" w14:textId="77777777" w:rsidR="00AB2F15" w:rsidRPr="00043A9C" w:rsidRDefault="00AB2F15" w:rsidP="007B63AA">
      <w:pPr>
        <w:pStyle w:val="ListParagraph"/>
        <w:widowControl w:val="0"/>
        <w:numPr>
          <w:ilvl w:val="0"/>
          <w:numId w:val="3"/>
        </w:numPr>
        <w:autoSpaceDE w:val="0"/>
        <w:autoSpaceDN w:val="0"/>
        <w:adjustRightInd w:val="0"/>
        <w:spacing w:after="0" w:line="360" w:lineRule="auto"/>
        <w:jc w:val="both"/>
        <w:rPr>
          <w:rFonts w:ascii="Arial" w:hAnsi="Arial" w:cs="Arial"/>
          <w:sz w:val="24"/>
          <w:szCs w:val="24"/>
        </w:rPr>
      </w:pPr>
      <w:r w:rsidRPr="00043A9C">
        <w:rPr>
          <w:rFonts w:ascii="Arial" w:hAnsi="Arial" w:cs="Arial"/>
          <w:sz w:val="24"/>
          <w:szCs w:val="24"/>
        </w:rPr>
        <w:t>This means that if an employee disputes the characterisation of their termination as part of the OCTL, they may be precluded from pursuing the matter through the unfair dismissal provisions, as the termination will still be a genuine redundancy.</w:t>
      </w:r>
      <w:r w:rsidRPr="00AB2F15">
        <w:rPr>
          <w:rStyle w:val="FootnoteReference"/>
          <w:rFonts w:ascii="Arial" w:hAnsi="Arial" w:cs="Arial"/>
          <w:sz w:val="24"/>
          <w:szCs w:val="24"/>
        </w:rPr>
        <w:footnoteReference w:id="27"/>
      </w:r>
    </w:p>
    <w:p w14:paraId="5B2494CB" w14:textId="77777777" w:rsidR="00AB2F15" w:rsidRPr="00AB2F15" w:rsidRDefault="00AB2F15" w:rsidP="007B63AA">
      <w:pPr>
        <w:widowControl w:val="0"/>
        <w:autoSpaceDE w:val="0"/>
        <w:autoSpaceDN w:val="0"/>
        <w:adjustRightInd w:val="0"/>
        <w:spacing w:after="0" w:line="360" w:lineRule="auto"/>
        <w:jc w:val="both"/>
        <w:rPr>
          <w:rFonts w:ascii="Arial" w:hAnsi="Arial" w:cs="Arial"/>
          <w:sz w:val="24"/>
          <w:szCs w:val="24"/>
        </w:rPr>
      </w:pPr>
    </w:p>
    <w:p w14:paraId="256D1BDF" w14:textId="77777777" w:rsidR="00AB2F15" w:rsidRPr="00043A9C" w:rsidRDefault="00AB2F15" w:rsidP="007B63AA">
      <w:pPr>
        <w:pStyle w:val="ListParagraph"/>
        <w:widowControl w:val="0"/>
        <w:numPr>
          <w:ilvl w:val="0"/>
          <w:numId w:val="3"/>
        </w:numPr>
        <w:autoSpaceDE w:val="0"/>
        <w:autoSpaceDN w:val="0"/>
        <w:adjustRightInd w:val="0"/>
        <w:spacing w:after="0" w:line="360" w:lineRule="auto"/>
        <w:jc w:val="both"/>
        <w:rPr>
          <w:rFonts w:ascii="Arial" w:hAnsi="Arial" w:cs="Arial"/>
          <w:sz w:val="24"/>
          <w:szCs w:val="24"/>
        </w:rPr>
      </w:pPr>
      <w:r w:rsidRPr="00043A9C">
        <w:rPr>
          <w:rFonts w:ascii="Arial" w:hAnsi="Arial" w:cs="Arial"/>
          <w:sz w:val="24"/>
          <w:szCs w:val="24"/>
        </w:rPr>
        <w:t>These developments pose a significant threat to the application of redundancy pay in all service industries. It is difficult to imagine a situation in which a company in the services industries does not rely on some form client contract to continue operations. Similar sentiments have been expressed in the context of OCTL decisions.</w:t>
      </w:r>
      <w:r w:rsidRPr="00AB2F15">
        <w:rPr>
          <w:rStyle w:val="FootnoteReference"/>
          <w:rFonts w:ascii="Arial" w:hAnsi="Arial" w:cs="Arial"/>
          <w:sz w:val="24"/>
          <w:szCs w:val="24"/>
        </w:rPr>
        <w:footnoteReference w:id="28"/>
      </w:r>
    </w:p>
    <w:p w14:paraId="65D2F19B" w14:textId="77777777" w:rsidR="00AB2F15" w:rsidRPr="00AB2F15" w:rsidRDefault="00AB2F15" w:rsidP="007B63AA">
      <w:pPr>
        <w:widowControl w:val="0"/>
        <w:autoSpaceDE w:val="0"/>
        <w:autoSpaceDN w:val="0"/>
        <w:adjustRightInd w:val="0"/>
        <w:spacing w:after="0" w:line="360" w:lineRule="auto"/>
        <w:jc w:val="both"/>
        <w:rPr>
          <w:rFonts w:ascii="Arial" w:hAnsi="Arial" w:cs="Arial"/>
          <w:sz w:val="24"/>
          <w:szCs w:val="24"/>
        </w:rPr>
      </w:pPr>
    </w:p>
    <w:p w14:paraId="688BBEF8" w14:textId="521818F9" w:rsidR="00AB2F15" w:rsidRPr="00043A9C" w:rsidRDefault="00AB2F15" w:rsidP="007B63AA">
      <w:pPr>
        <w:pStyle w:val="ListParagraph"/>
        <w:widowControl w:val="0"/>
        <w:numPr>
          <w:ilvl w:val="0"/>
          <w:numId w:val="3"/>
        </w:numPr>
        <w:autoSpaceDE w:val="0"/>
        <w:autoSpaceDN w:val="0"/>
        <w:adjustRightInd w:val="0"/>
        <w:spacing w:after="0" w:line="360" w:lineRule="auto"/>
        <w:jc w:val="both"/>
        <w:rPr>
          <w:rFonts w:ascii="Arial" w:hAnsi="Arial" w:cs="Arial"/>
          <w:sz w:val="24"/>
          <w:szCs w:val="24"/>
        </w:rPr>
      </w:pPr>
      <w:r w:rsidRPr="00043A9C">
        <w:rPr>
          <w:rFonts w:ascii="Arial" w:hAnsi="Arial" w:cs="Arial"/>
          <w:sz w:val="24"/>
          <w:szCs w:val="24"/>
        </w:rPr>
        <w:t xml:space="preserve">An increasing number of employers are drafting enterprise agreements and other employment documents to specifically include the OCTL exception, and </w:t>
      </w:r>
      <w:r w:rsidR="0029419B">
        <w:rPr>
          <w:rFonts w:ascii="Arial" w:hAnsi="Arial" w:cs="Arial"/>
          <w:sz w:val="24"/>
          <w:szCs w:val="24"/>
        </w:rPr>
        <w:lastRenderedPageBreak/>
        <w:t>are</w:t>
      </w:r>
      <w:r w:rsidRPr="00043A9C">
        <w:rPr>
          <w:rFonts w:ascii="Arial" w:hAnsi="Arial" w:cs="Arial"/>
          <w:sz w:val="24"/>
          <w:szCs w:val="24"/>
        </w:rPr>
        <w:t xml:space="preserve"> ensur</w:t>
      </w:r>
      <w:r w:rsidR="0029419B">
        <w:rPr>
          <w:rFonts w:ascii="Arial" w:hAnsi="Arial" w:cs="Arial"/>
          <w:sz w:val="24"/>
          <w:szCs w:val="24"/>
        </w:rPr>
        <w:t>ing</w:t>
      </w:r>
      <w:r w:rsidRPr="00043A9C">
        <w:rPr>
          <w:rFonts w:ascii="Arial" w:hAnsi="Arial" w:cs="Arial"/>
          <w:sz w:val="24"/>
          <w:szCs w:val="24"/>
        </w:rPr>
        <w:t xml:space="preserve"> that their employees are specifically informed that their continued employment is dependent solely on the maintenance of a particular contract.</w:t>
      </w:r>
      <w:r w:rsidRPr="00AB2F15">
        <w:rPr>
          <w:rStyle w:val="FootnoteReference"/>
          <w:rFonts w:ascii="Arial" w:hAnsi="Arial" w:cs="Arial"/>
          <w:sz w:val="24"/>
          <w:szCs w:val="24"/>
        </w:rPr>
        <w:footnoteReference w:id="29"/>
      </w:r>
      <w:r w:rsidRPr="00043A9C">
        <w:rPr>
          <w:rFonts w:ascii="Arial" w:hAnsi="Arial" w:cs="Arial"/>
          <w:sz w:val="24"/>
          <w:szCs w:val="24"/>
        </w:rPr>
        <w:t xml:space="preserve"> </w:t>
      </w:r>
    </w:p>
    <w:p w14:paraId="542A0D01" w14:textId="77777777" w:rsidR="00AB2F15" w:rsidRPr="00AB2F15" w:rsidRDefault="00AB2F15" w:rsidP="007B63AA">
      <w:pPr>
        <w:widowControl w:val="0"/>
        <w:autoSpaceDE w:val="0"/>
        <w:autoSpaceDN w:val="0"/>
        <w:adjustRightInd w:val="0"/>
        <w:spacing w:after="0" w:line="360" w:lineRule="auto"/>
        <w:jc w:val="both"/>
        <w:rPr>
          <w:rFonts w:ascii="Arial" w:hAnsi="Arial" w:cs="Arial"/>
          <w:sz w:val="24"/>
          <w:szCs w:val="24"/>
        </w:rPr>
      </w:pPr>
    </w:p>
    <w:p w14:paraId="6C41C231" w14:textId="77777777" w:rsidR="00AB2F15" w:rsidRPr="00043A9C" w:rsidRDefault="00AB2F15" w:rsidP="007B63AA">
      <w:pPr>
        <w:pStyle w:val="ListParagraph"/>
        <w:widowControl w:val="0"/>
        <w:numPr>
          <w:ilvl w:val="0"/>
          <w:numId w:val="3"/>
        </w:numPr>
        <w:autoSpaceDE w:val="0"/>
        <w:autoSpaceDN w:val="0"/>
        <w:adjustRightInd w:val="0"/>
        <w:spacing w:after="0" w:line="360" w:lineRule="auto"/>
        <w:jc w:val="both"/>
        <w:rPr>
          <w:rFonts w:ascii="Arial" w:hAnsi="Arial" w:cs="Arial"/>
          <w:sz w:val="24"/>
          <w:szCs w:val="24"/>
        </w:rPr>
      </w:pPr>
      <w:r w:rsidRPr="00043A9C">
        <w:rPr>
          <w:rFonts w:ascii="Arial" w:hAnsi="Arial" w:cs="Arial"/>
          <w:sz w:val="24"/>
          <w:szCs w:val="24"/>
        </w:rPr>
        <w:t>If this trend continues, taking into account the criteria for determining whether a termination is part of the OCTL, redundancy payments in the services industries will become more akin to a discretionary gratuity</w:t>
      </w:r>
      <w:r w:rsidR="0029419B">
        <w:rPr>
          <w:rFonts w:ascii="Arial" w:hAnsi="Arial" w:cs="Arial"/>
          <w:sz w:val="24"/>
          <w:szCs w:val="24"/>
        </w:rPr>
        <w:t>,</w:t>
      </w:r>
      <w:r w:rsidRPr="00043A9C">
        <w:rPr>
          <w:rFonts w:ascii="Arial" w:hAnsi="Arial" w:cs="Arial"/>
          <w:sz w:val="24"/>
          <w:szCs w:val="24"/>
        </w:rPr>
        <w:t xml:space="preserve"> rather than an entitlement. </w:t>
      </w:r>
    </w:p>
    <w:p w14:paraId="31C3C20B" w14:textId="77777777" w:rsidR="00AB2F15" w:rsidRPr="00AB2F15" w:rsidRDefault="00AB2F15" w:rsidP="007B63AA">
      <w:pPr>
        <w:widowControl w:val="0"/>
        <w:autoSpaceDE w:val="0"/>
        <w:autoSpaceDN w:val="0"/>
        <w:adjustRightInd w:val="0"/>
        <w:spacing w:after="0" w:line="360" w:lineRule="auto"/>
        <w:jc w:val="both"/>
        <w:rPr>
          <w:rFonts w:ascii="Arial" w:hAnsi="Arial" w:cs="Arial"/>
          <w:sz w:val="24"/>
          <w:szCs w:val="24"/>
        </w:rPr>
      </w:pPr>
    </w:p>
    <w:p w14:paraId="3DF7FDBB" w14:textId="77777777" w:rsidR="00AB2F15" w:rsidRPr="00043A9C" w:rsidRDefault="00AB2F15" w:rsidP="007B63AA">
      <w:pPr>
        <w:pStyle w:val="ListParagraph"/>
        <w:widowControl w:val="0"/>
        <w:numPr>
          <w:ilvl w:val="0"/>
          <w:numId w:val="3"/>
        </w:numPr>
        <w:autoSpaceDE w:val="0"/>
        <w:autoSpaceDN w:val="0"/>
        <w:adjustRightInd w:val="0"/>
        <w:spacing w:after="0" w:line="360" w:lineRule="auto"/>
        <w:jc w:val="both"/>
        <w:rPr>
          <w:rFonts w:ascii="Arial" w:hAnsi="Arial" w:cs="Arial"/>
          <w:sz w:val="24"/>
          <w:szCs w:val="24"/>
        </w:rPr>
      </w:pPr>
      <w:r w:rsidRPr="00043A9C">
        <w:rPr>
          <w:rFonts w:ascii="Arial" w:hAnsi="Arial" w:cs="Arial"/>
          <w:sz w:val="24"/>
          <w:szCs w:val="24"/>
        </w:rPr>
        <w:t xml:space="preserve">Provided a relevant employer makes a reasonable effort to find suitable alternative employment, it can avoid redundancy pay obligations simply by carefully drafting engagement documents. </w:t>
      </w:r>
    </w:p>
    <w:p w14:paraId="6DCDD1B0" w14:textId="77777777" w:rsidR="00AB2F15" w:rsidRPr="00AB2F15" w:rsidRDefault="00AB2F15" w:rsidP="007B63AA">
      <w:pPr>
        <w:widowControl w:val="0"/>
        <w:autoSpaceDE w:val="0"/>
        <w:autoSpaceDN w:val="0"/>
        <w:adjustRightInd w:val="0"/>
        <w:spacing w:after="0" w:line="360" w:lineRule="auto"/>
        <w:jc w:val="both"/>
        <w:rPr>
          <w:rFonts w:ascii="Arial" w:hAnsi="Arial" w:cs="Arial"/>
          <w:sz w:val="24"/>
          <w:szCs w:val="24"/>
        </w:rPr>
      </w:pPr>
    </w:p>
    <w:p w14:paraId="0BF23637" w14:textId="0182DC9B" w:rsidR="00AB2F15" w:rsidRPr="00555859" w:rsidRDefault="00AB2F15" w:rsidP="007B63AA">
      <w:pPr>
        <w:pStyle w:val="ListParagraph"/>
        <w:widowControl w:val="0"/>
        <w:numPr>
          <w:ilvl w:val="0"/>
          <w:numId w:val="3"/>
        </w:numPr>
        <w:autoSpaceDE w:val="0"/>
        <w:autoSpaceDN w:val="0"/>
        <w:adjustRightInd w:val="0"/>
        <w:spacing w:after="0" w:line="360" w:lineRule="auto"/>
        <w:jc w:val="both"/>
        <w:rPr>
          <w:rFonts w:ascii="Arial" w:hAnsi="Arial" w:cs="Arial"/>
          <w:sz w:val="24"/>
          <w:szCs w:val="24"/>
        </w:rPr>
      </w:pPr>
      <w:r w:rsidRPr="00555859">
        <w:rPr>
          <w:rFonts w:ascii="Arial" w:hAnsi="Arial" w:cs="Arial"/>
          <w:sz w:val="24"/>
          <w:szCs w:val="24"/>
        </w:rPr>
        <w:t>Further, the uncertainty about whether a termination is part of the OCTL means that employees may be unsure of their entitlements and may be reluctant to challenge an employer who incorrectly applies the exception and withholds redundancy payments.</w:t>
      </w:r>
    </w:p>
    <w:p w14:paraId="66169766" w14:textId="77777777" w:rsidR="00AB2F15" w:rsidRPr="00AB2F15" w:rsidRDefault="00AB2F15" w:rsidP="007B63AA">
      <w:pPr>
        <w:widowControl w:val="0"/>
        <w:autoSpaceDE w:val="0"/>
        <w:autoSpaceDN w:val="0"/>
        <w:adjustRightInd w:val="0"/>
        <w:spacing w:after="0" w:line="360" w:lineRule="auto"/>
        <w:jc w:val="both"/>
        <w:rPr>
          <w:rFonts w:ascii="Arial" w:hAnsi="Arial" w:cs="Arial"/>
          <w:sz w:val="24"/>
          <w:szCs w:val="24"/>
        </w:rPr>
      </w:pPr>
    </w:p>
    <w:p w14:paraId="0BBAFF79" w14:textId="77777777" w:rsidR="00AB2F15" w:rsidRPr="00AB2F15" w:rsidRDefault="00AB2F15" w:rsidP="007B63AA">
      <w:pPr>
        <w:widowControl w:val="0"/>
        <w:autoSpaceDE w:val="0"/>
        <w:autoSpaceDN w:val="0"/>
        <w:adjustRightInd w:val="0"/>
        <w:spacing w:after="0" w:line="360" w:lineRule="auto"/>
        <w:jc w:val="both"/>
        <w:rPr>
          <w:rFonts w:ascii="Arial" w:hAnsi="Arial" w:cs="Arial"/>
          <w:b/>
          <w:sz w:val="24"/>
          <w:szCs w:val="24"/>
        </w:rPr>
      </w:pPr>
      <w:r w:rsidRPr="00AB2F15">
        <w:rPr>
          <w:rFonts w:ascii="Arial" w:hAnsi="Arial" w:cs="Arial"/>
          <w:b/>
          <w:sz w:val="24"/>
          <w:szCs w:val="24"/>
        </w:rPr>
        <w:t>Removal of the OCTL exception in s. 119</w:t>
      </w:r>
    </w:p>
    <w:p w14:paraId="1FE76926" w14:textId="77777777" w:rsidR="00AB2F15" w:rsidRPr="00AB2F15" w:rsidRDefault="00AB2F15" w:rsidP="007B63AA">
      <w:pPr>
        <w:widowControl w:val="0"/>
        <w:autoSpaceDE w:val="0"/>
        <w:autoSpaceDN w:val="0"/>
        <w:adjustRightInd w:val="0"/>
        <w:spacing w:after="0" w:line="360" w:lineRule="auto"/>
        <w:jc w:val="both"/>
        <w:rPr>
          <w:rFonts w:ascii="Arial" w:hAnsi="Arial" w:cs="Arial"/>
          <w:sz w:val="24"/>
          <w:szCs w:val="24"/>
        </w:rPr>
      </w:pPr>
    </w:p>
    <w:p w14:paraId="0BB9A662" w14:textId="1455D91D" w:rsidR="00AB2F15" w:rsidRPr="00555859" w:rsidRDefault="00AB2F15" w:rsidP="007B63AA">
      <w:pPr>
        <w:pStyle w:val="ListParagraph"/>
        <w:widowControl w:val="0"/>
        <w:numPr>
          <w:ilvl w:val="0"/>
          <w:numId w:val="3"/>
        </w:numPr>
        <w:autoSpaceDE w:val="0"/>
        <w:autoSpaceDN w:val="0"/>
        <w:adjustRightInd w:val="0"/>
        <w:spacing w:after="0" w:line="360" w:lineRule="auto"/>
        <w:jc w:val="both"/>
        <w:rPr>
          <w:rFonts w:ascii="Arial" w:hAnsi="Arial" w:cs="Arial"/>
          <w:sz w:val="24"/>
          <w:szCs w:val="24"/>
        </w:rPr>
      </w:pPr>
      <w:r w:rsidRPr="00555859">
        <w:rPr>
          <w:rFonts w:ascii="Arial" w:hAnsi="Arial" w:cs="Arial"/>
          <w:sz w:val="24"/>
          <w:szCs w:val="24"/>
        </w:rPr>
        <w:t xml:space="preserve">We submit the OCTL exception in s. 119 should be removed. The traditional purpose of the exception, as outlined by </w:t>
      </w:r>
      <w:proofErr w:type="spellStart"/>
      <w:r w:rsidRPr="00555859">
        <w:rPr>
          <w:rFonts w:ascii="Arial" w:hAnsi="Arial" w:cs="Arial"/>
          <w:sz w:val="24"/>
          <w:szCs w:val="24"/>
        </w:rPr>
        <w:t>O’Loughlin</w:t>
      </w:r>
      <w:proofErr w:type="spellEnd"/>
      <w:r w:rsidRPr="00555859">
        <w:rPr>
          <w:rFonts w:ascii="Arial" w:hAnsi="Arial" w:cs="Arial"/>
          <w:sz w:val="24"/>
          <w:szCs w:val="24"/>
        </w:rPr>
        <w:t xml:space="preserve"> J in </w:t>
      </w:r>
      <w:proofErr w:type="spellStart"/>
      <w:r w:rsidRPr="00555859">
        <w:rPr>
          <w:rFonts w:ascii="Arial" w:hAnsi="Arial" w:cs="Arial"/>
          <w:i/>
          <w:sz w:val="24"/>
          <w:szCs w:val="24"/>
        </w:rPr>
        <w:t>Hercus</w:t>
      </w:r>
      <w:proofErr w:type="spellEnd"/>
      <w:r w:rsidRPr="00555859">
        <w:rPr>
          <w:rFonts w:ascii="Arial" w:hAnsi="Arial" w:cs="Arial"/>
          <w:sz w:val="24"/>
          <w:szCs w:val="24"/>
        </w:rPr>
        <w:t xml:space="preserve">, is sufficiently met by s. 123 of the Act, such that </w:t>
      </w:r>
      <w:r w:rsidR="0029419B">
        <w:rPr>
          <w:rFonts w:ascii="Arial" w:hAnsi="Arial" w:cs="Arial"/>
          <w:sz w:val="24"/>
          <w:szCs w:val="24"/>
        </w:rPr>
        <w:t>the exception</w:t>
      </w:r>
      <w:r w:rsidRPr="00555859">
        <w:rPr>
          <w:rFonts w:ascii="Arial" w:hAnsi="Arial" w:cs="Arial"/>
          <w:sz w:val="24"/>
          <w:szCs w:val="24"/>
        </w:rPr>
        <w:t xml:space="preserve"> in s. 119 is superfluous to that purpose.</w:t>
      </w:r>
    </w:p>
    <w:p w14:paraId="6C30AD54" w14:textId="77777777" w:rsidR="00AB2F15" w:rsidRPr="00AB2F15" w:rsidRDefault="00AB2F15" w:rsidP="007B63AA">
      <w:pPr>
        <w:widowControl w:val="0"/>
        <w:autoSpaceDE w:val="0"/>
        <w:autoSpaceDN w:val="0"/>
        <w:adjustRightInd w:val="0"/>
        <w:spacing w:after="0" w:line="360" w:lineRule="auto"/>
        <w:jc w:val="both"/>
        <w:rPr>
          <w:rFonts w:ascii="Arial" w:hAnsi="Arial" w:cs="Arial"/>
          <w:sz w:val="24"/>
          <w:szCs w:val="24"/>
        </w:rPr>
      </w:pPr>
    </w:p>
    <w:p w14:paraId="22766468" w14:textId="77777777" w:rsidR="00AB2F15" w:rsidRPr="00555859" w:rsidRDefault="00AB2F15" w:rsidP="007B63AA">
      <w:pPr>
        <w:pStyle w:val="ListParagraph"/>
        <w:widowControl w:val="0"/>
        <w:numPr>
          <w:ilvl w:val="0"/>
          <w:numId w:val="3"/>
        </w:numPr>
        <w:autoSpaceDE w:val="0"/>
        <w:autoSpaceDN w:val="0"/>
        <w:adjustRightInd w:val="0"/>
        <w:spacing w:after="0" w:line="360" w:lineRule="auto"/>
        <w:jc w:val="both"/>
        <w:rPr>
          <w:rFonts w:ascii="Arial" w:hAnsi="Arial" w:cs="Arial"/>
          <w:sz w:val="24"/>
          <w:szCs w:val="24"/>
        </w:rPr>
      </w:pPr>
      <w:r w:rsidRPr="00555859">
        <w:rPr>
          <w:rFonts w:ascii="Arial" w:hAnsi="Arial" w:cs="Arial"/>
          <w:sz w:val="24"/>
          <w:szCs w:val="24"/>
        </w:rPr>
        <w:t>While it is clear from the authorities that a determination of each case will be dependent on the facts, we submit the development of the OCTL principles has provided employers, particularly in the services industries, with an avenue to avoid redundancy payments in almost all circumstances, without alternative compensation for employees.</w:t>
      </w:r>
    </w:p>
    <w:p w14:paraId="32F6AB0B" w14:textId="77777777" w:rsidR="00AB2F15" w:rsidRPr="00AB2F15" w:rsidRDefault="00AB2F15" w:rsidP="007B63AA">
      <w:pPr>
        <w:widowControl w:val="0"/>
        <w:autoSpaceDE w:val="0"/>
        <w:autoSpaceDN w:val="0"/>
        <w:adjustRightInd w:val="0"/>
        <w:spacing w:after="0" w:line="360" w:lineRule="auto"/>
        <w:jc w:val="both"/>
        <w:rPr>
          <w:rFonts w:ascii="Arial" w:hAnsi="Arial" w:cs="Arial"/>
          <w:sz w:val="24"/>
          <w:szCs w:val="24"/>
        </w:rPr>
      </w:pPr>
    </w:p>
    <w:p w14:paraId="3C0CA6DA" w14:textId="77777777" w:rsidR="004E758D" w:rsidRPr="00555859" w:rsidRDefault="00AB2F15" w:rsidP="007B63AA">
      <w:pPr>
        <w:pStyle w:val="ListParagraph"/>
        <w:widowControl w:val="0"/>
        <w:numPr>
          <w:ilvl w:val="0"/>
          <w:numId w:val="3"/>
        </w:numPr>
        <w:autoSpaceDE w:val="0"/>
        <w:autoSpaceDN w:val="0"/>
        <w:adjustRightInd w:val="0"/>
        <w:spacing w:after="0" w:line="360" w:lineRule="auto"/>
        <w:jc w:val="both"/>
        <w:rPr>
          <w:rFonts w:ascii="Arial" w:hAnsi="Arial" w:cs="Arial"/>
          <w:sz w:val="24"/>
          <w:szCs w:val="24"/>
        </w:rPr>
      </w:pPr>
      <w:r w:rsidRPr="00555859">
        <w:rPr>
          <w:rFonts w:ascii="Arial" w:hAnsi="Arial" w:cs="Arial"/>
          <w:sz w:val="24"/>
          <w:szCs w:val="24"/>
        </w:rPr>
        <w:t xml:space="preserve">Employers will not be unfairly prejudiced by the removal of the OCTL </w:t>
      </w:r>
      <w:r w:rsidRPr="00555859">
        <w:rPr>
          <w:rFonts w:ascii="Arial" w:hAnsi="Arial" w:cs="Arial"/>
          <w:sz w:val="24"/>
          <w:szCs w:val="24"/>
        </w:rPr>
        <w:lastRenderedPageBreak/>
        <w:t xml:space="preserve">exception, as they may still engage employees under one of the exceptions in s. 123 of the Act, but in circumstances where the employee is certain of their entitlements and certain of the nature of their employment. </w:t>
      </w:r>
    </w:p>
    <w:p w14:paraId="4C69DB93" w14:textId="77777777" w:rsidR="00AB2F15" w:rsidRPr="004E758D" w:rsidRDefault="00AB2F15" w:rsidP="007B63AA">
      <w:pPr>
        <w:widowControl w:val="0"/>
        <w:autoSpaceDE w:val="0"/>
        <w:autoSpaceDN w:val="0"/>
        <w:adjustRightInd w:val="0"/>
        <w:spacing w:after="0" w:line="360" w:lineRule="auto"/>
        <w:jc w:val="both"/>
        <w:rPr>
          <w:rFonts w:ascii="Arial" w:hAnsi="Arial" w:cs="Arial"/>
          <w:sz w:val="24"/>
          <w:szCs w:val="24"/>
          <w:u w:val="single"/>
        </w:rPr>
      </w:pPr>
    </w:p>
    <w:p w14:paraId="14198334" w14:textId="77777777" w:rsidR="00372A4F" w:rsidRPr="004E758D" w:rsidRDefault="004E758D" w:rsidP="007B63AA">
      <w:pPr>
        <w:widowControl w:val="0"/>
        <w:autoSpaceDE w:val="0"/>
        <w:autoSpaceDN w:val="0"/>
        <w:adjustRightInd w:val="0"/>
        <w:spacing w:after="0" w:line="360" w:lineRule="auto"/>
        <w:jc w:val="both"/>
        <w:rPr>
          <w:rFonts w:ascii="Arial" w:hAnsi="Arial" w:cs="Arial"/>
          <w:sz w:val="24"/>
          <w:szCs w:val="24"/>
          <w:u w:val="single"/>
        </w:rPr>
      </w:pPr>
      <w:r w:rsidRPr="004E758D">
        <w:rPr>
          <w:rFonts w:ascii="Arial" w:hAnsi="Arial" w:cs="Arial"/>
          <w:sz w:val="24"/>
          <w:szCs w:val="24"/>
          <w:u w:val="single"/>
        </w:rPr>
        <w:t>Specific issues - long service l</w:t>
      </w:r>
      <w:r w:rsidR="00372A4F" w:rsidRPr="004E758D">
        <w:rPr>
          <w:rFonts w:ascii="Arial" w:hAnsi="Arial" w:cs="Arial"/>
          <w:sz w:val="24"/>
          <w:szCs w:val="24"/>
          <w:u w:val="single"/>
        </w:rPr>
        <w:t>eave</w:t>
      </w:r>
    </w:p>
    <w:p w14:paraId="31CB0B7A" w14:textId="77777777" w:rsidR="00372A4F" w:rsidRDefault="00372A4F" w:rsidP="007B63AA">
      <w:pPr>
        <w:widowControl w:val="0"/>
        <w:autoSpaceDE w:val="0"/>
        <w:autoSpaceDN w:val="0"/>
        <w:adjustRightInd w:val="0"/>
        <w:spacing w:after="0" w:line="360" w:lineRule="auto"/>
        <w:jc w:val="both"/>
        <w:rPr>
          <w:rFonts w:ascii="Arial" w:hAnsi="Arial" w:cs="Arial"/>
          <w:b/>
          <w:sz w:val="24"/>
          <w:szCs w:val="24"/>
        </w:rPr>
      </w:pPr>
    </w:p>
    <w:p w14:paraId="558419E4" w14:textId="77777777" w:rsidR="00372A4F" w:rsidRPr="004E758D" w:rsidRDefault="00372A4F" w:rsidP="007B63AA">
      <w:pPr>
        <w:widowControl w:val="0"/>
        <w:autoSpaceDE w:val="0"/>
        <w:autoSpaceDN w:val="0"/>
        <w:adjustRightInd w:val="0"/>
        <w:spacing w:after="0" w:line="360" w:lineRule="auto"/>
        <w:jc w:val="both"/>
        <w:rPr>
          <w:rFonts w:ascii="Arial" w:hAnsi="Arial" w:cs="Arial"/>
          <w:b/>
          <w:sz w:val="24"/>
          <w:szCs w:val="24"/>
        </w:rPr>
      </w:pPr>
      <w:r w:rsidRPr="004E758D">
        <w:rPr>
          <w:rFonts w:ascii="Arial" w:hAnsi="Arial" w:cs="Arial"/>
          <w:b/>
          <w:sz w:val="24"/>
          <w:szCs w:val="24"/>
        </w:rPr>
        <w:t>National standard</w:t>
      </w:r>
    </w:p>
    <w:p w14:paraId="47E2201C" w14:textId="77777777" w:rsidR="00372A4F" w:rsidRPr="00372A4F" w:rsidRDefault="00372A4F" w:rsidP="007B63AA">
      <w:pPr>
        <w:widowControl w:val="0"/>
        <w:autoSpaceDE w:val="0"/>
        <w:autoSpaceDN w:val="0"/>
        <w:adjustRightInd w:val="0"/>
        <w:spacing w:after="0" w:line="360" w:lineRule="auto"/>
        <w:jc w:val="both"/>
        <w:rPr>
          <w:rFonts w:ascii="Arial" w:hAnsi="Arial" w:cs="Arial"/>
          <w:b/>
          <w:sz w:val="24"/>
          <w:szCs w:val="24"/>
        </w:rPr>
      </w:pPr>
    </w:p>
    <w:p w14:paraId="48F6BBAC" w14:textId="77777777" w:rsidR="00372A4F" w:rsidRPr="00B86CA5" w:rsidRDefault="00372A4F" w:rsidP="007B63AA">
      <w:pPr>
        <w:pStyle w:val="ListParagraph"/>
        <w:widowControl w:val="0"/>
        <w:numPr>
          <w:ilvl w:val="0"/>
          <w:numId w:val="3"/>
        </w:numPr>
        <w:autoSpaceDE w:val="0"/>
        <w:autoSpaceDN w:val="0"/>
        <w:adjustRightInd w:val="0"/>
        <w:spacing w:after="0" w:line="360" w:lineRule="auto"/>
        <w:jc w:val="both"/>
        <w:rPr>
          <w:rFonts w:ascii="Arial" w:hAnsi="Arial" w:cs="Arial"/>
          <w:sz w:val="24"/>
          <w:szCs w:val="24"/>
        </w:rPr>
      </w:pPr>
      <w:r w:rsidRPr="00B86CA5">
        <w:rPr>
          <w:rFonts w:ascii="Arial" w:hAnsi="Arial" w:cs="Arial"/>
          <w:sz w:val="24"/>
          <w:szCs w:val="24"/>
        </w:rPr>
        <w:t>The</w:t>
      </w:r>
      <w:r w:rsidR="005E728E">
        <w:rPr>
          <w:rFonts w:ascii="Arial" w:hAnsi="Arial" w:cs="Arial"/>
          <w:sz w:val="24"/>
          <w:szCs w:val="24"/>
        </w:rPr>
        <w:t xml:space="preserve"> NES</w:t>
      </w:r>
      <w:r w:rsidRPr="00B86CA5">
        <w:rPr>
          <w:rFonts w:ascii="Arial" w:hAnsi="Arial" w:cs="Arial"/>
          <w:sz w:val="24"/>
          <w:szCs w:val="24"/>
        </w:rPr>
        <w:t xml:space="preserve"> provide for universal entitlements across all jurisdictions in Australia, including entitlements for annual leave, maternity leave, parental leave, sick leave, compassionate leave, etc. However, long service leave (LSL) entitlements are determined in different jurisdictions by state legislation.</w:t>
      </w:r>
    </w:p>
    <w:p w14:paraId="3C8A85BC" w14:textId="77777777" w:rsidR="00372A4F" w:rsidRPr="00372A4F" w:rsidRDefault="00372A4F" w:rsidP="007B63AA">
      <w:pPr>
        <w:widowControl w:val="0"/>
        <w:autoSpaceDE w:val="0"/>
        <w:autoSpaceDN w:val="0"/>
        <w:adjustRightInd w:val="0"/>
        <w:spacing w:after="0" w:line="360" w:lineRule="auto"/>
        <w:jc w:val="both"/>
        <w:rPr>
          <w:rFonts w:ascii="Arial" w:hAnsi="Arial" w:cs="Arial"/>
          <w:sz w:val="24"/>
          <w:szCs w:val="24"/>
        </w:rPr>
      </w:pPr>
    </w:p>
    <w:p w14:paraId="29394561" w14:textId="77777777" w:rsidR="00372A4F" w:rsidRPr="00B86CA5" w:rsidRDefault="00372A4F" w:rsidP="007B63AA">
      <w:pPr>
        <w:pStyle w:val="ListParagraph"/>
        <w:widowControl w:val="0"/>
        <w:numPr>
          <w:ilvl w:val="0"/>
          <w:numId w:val="3"/>
        </w:numPr>
        <w:autoSpaceDE w:val="0"/>
        <w:autoSpaceDN w:val="0"/>
        <w:adjustRightInd w:val="0"/>
        <w:spacing w:after="0" w:line="360" w:lineRule="auto"/>
        <w:jc w:val="both"/>
        <w:rPr>
          <w:rFonts w:ascii="Arial" w:hAnsi="Arial" w:cs="Arial"/>
          <w:sz w:val="24"/>
          <w:szCs w:val="24"/>
        </w:rPr>
      </w:pPr>
      <w:r w:rsidRPr="00B86CA5">
        <w:rPr>
          <w:rFonts w:ascii="Arial" w:hAnsi="Arial" w:cs="Arial"/>
          <w:sz w:val="24"/>
          <w:szCs w:val="24"/>
        </w:rPr>
        <w:t xml:space="preserve">There are currently eight legislative frameworks relating to long service leave operating across the various Australian jurisdictions. This makes the existing long service leave provisions in Australia </w:t>
      </w:r>
      <w:r w:rsidR="00B86CA5">
        <w:rPr>
          <w:rFonts w:ascii="Arial" w:hAnsi="Arial" w:cs="Arial"/>
          <w:sz w:val="24"/>
          <w:szCs w:val="24"/>
        </w:rPr>
        <w:t>highly complex and prescriptive:</w:t>
      </w:r>
    </w:p>
    <w:p w14:paraId="15276A0A" w14:textId="77777777" w:rsidR="00372A4F" w:rsidRPr="00372A4F" w:rsidRDefault="00372A4F" w:rsidP="007B63AA">
      <w:pPr>
        <w:widowControl w:val="0"/>
        <w:autoSpaceDE w:val="0"/>
        <w:autoSpaceDN w:val="0"/>
        <w:adjustRightInd w:val="0"/>
        <w:spacing w:line="240" w:lineRule="auto"/>
        <w:rPr>
          <w:rFonts w:ascii="Arial" w:hAnsi="Arial" w:cs="Arial"/>
          <w:sz w:val="24"/>
          <w:szCs w:val="24"/>
        </w:rPr>
      </w:pPr>
    </w:p>
    <w:tbl>
      <w:tblPr>
        <w:tblStyle w:val="TableGrid"/>
        <w:tblW w:w="0" w:type="auto"/>
        <w:tblLayout w:type="fixed"/>
        <w:tblLook w:val="04A0" w:firstRow="1" w:lastRow="0" w:firstColumn="1" w:lastColumn="0" w:noHBand="0" w:noVBand="1"/>
      </w:tblPr>
      <w:tblGrid>
        <w:gridCol w:w="1668"/>
        <w:gridCol w:w="2835"/>
        <w:gridCol w:w="4536"/>
      </w:tblGrid>
      <w:tr w:rsidR="00E518B1" w:rsidRPr="00372A4F" w14:paraId="398D6395" w14:textId="77777777" w:rsidTr="007B63AA">
        <w:tc>
          <w:tcPr>
            <w:tcW w:w="1668" w:type="dxa"/>
          </w:tcPr>
          <w:p w14:paraId="241BC645" w14:textId="77777777" w:rsidR="00372A4F" w:rsidRPr="00372A4F" w:rsidRDefault="00372A4F" w:rsidP="007B63AA">
            <w:pPr>
              <w:widowControl w:val="0"/>
              <w:autoSpaceDE w:val="0"/>
              <w:autoSpaceDN w:val="0"/>
              <w:adjustRightInd w:val="0"/>
              <w:rPr>
                <w:rFonts w:ascii="Arial" w:hAnsi="Arial" w:cs="Arial"/>
                <w:b/>
              </w:rPr>
            </w:pPr>
            <w:r w:rsidRPr="00372A4F">
              <w:rPr>
                <w:rFonts w:ascii="Arial" w:hAnsi="Arial" w:cs="Arial"/>
                <w:b/>
              </w:rPr>
              <w:t>Jurisdiction</w:t>
            </w:r>
          </w:p>
        </w:tc>
        <w:tc>
          <w:tcPr>
            <w:tcW w:w="2835" w:type="dxa"/>
          </w:tcPr>
          <w:p w14:paraId="5892073A" w14:textId="77777777" w:rsidR="00372A4F" w:rsidRPr="00372A4F" w:rsidRDefault="00372A4F" w:rsidP="007B63AA">
            <w:pPr>
              <w:widowControl w:val="0"/>
              <w:autoSpaceDE w:val="0"/>
              <w:autoSpaceDN w:val="0"/>
              <w:adjustRightInd w:val="0"/>
              <w:rPr>
                <w:rFonts w:ascii="Arial" w:hAnsi="Arial" w:cs="Arial"/>
                <w:b/>
              </w:rPr>
            </w:pPr>
            <w:r w:rsidRPr="00372A4F">
              <w:rPr>
                <w:rFonts w:ascii="Arial" w:hAnsi="Arial" w:cs="Arial"/>
                <w:b/>
              </w:rPr>
              <w:t>Current Legislation</w:t>
            </w:r>
          </w:p>
        </w:tc>
        <w:tc>
          <w:tcPr>
            <w:tcW w:w="4536" w:type="dxa"/>
          </w:tcPr>
          <w:p w14:paraId="752C24D1" w14:textId="77777777" w:rsidR="00372A4F" w:rsidRPr="00372A4F" w:rsidRDefault="00372A4F" w:rsidP="007B63AA">
            <w:pPr>
              <w:widowControl w:val="0"/>
              <w:autoSpaceDE w:val="0"/>
              <w:autoSpaceDN w:val="0"/>
              <w:adjustRightInd w:val="0"/>
              <w:rPr>
                <w:rFonts w:ascii="Arial" w:hAnsi="Arial" w:cs="Arial"/>
                <w:b/>
              </w:rPr>
            </w:pPr>
            <w:r w:rsidRPr="00372A4F">
              <w:rPr>
                <w:rFonts w:ascii="Arial" w:hAnsi="Arial" w:cs="Arial"/>
                <w:b/>
              </w:rPr>
              <w:t>Entitlement</w:t>
            </w:r>
          </w:p>
        </w:tc>
      </w:tr>
      <w:tr w:rsidR="00E518B1" w:rsidRPr="00372A4F" w14:paraId="0F6BBAB0" w14:textId="77777777" w:rsidTr="00E518B1">
        <w:tc>
          <w:tcPr>
            <w:tcW w:w="1668" w:type="dxa"/>
            <w:vAlign w:val="center"/>
          </w:tcPr>
          <w:p w14:paraId="00321623" w14:textId="77777777" w:rsidR="00372A4F" w:rsidRPr="00372A4F" w:rsidRDefault="00372A4F" w:rsidP="007B63AA">
            <w:pPr>
              <w:widowControl w:val="0"/>
              <w:autoSpaceDE w:val="0"/>
              <w:autoSpaceDN w:val="0"/>
              <w:adjustRightInd w:val="0"/>
              <w:spacing w:before="120" w:after="120"/>
              <w:rPr>
                <w:rFonts w:ascii="Arial" w:hAnsi="Arial" w:cs="Arial"/>
              </w:rPr>
            </w:pPr>
            <w:r w:rsidRPr="00372A4F">
              <w:rPr>
                <w:rFonts w:ascii="Arial" w:hAnsi="Arial" w:cs="Arial"/>
              </w:rPr>
              <w:t>NSW</w:t>
            </w:r>
          </w:p>
        </w:tc>
        <w:tc>
          <w:tcPr>
            <w:tcW w:w="2835" w:type="dxa"/>
            <w:vAlign w:val="center"/>
          </w:tcPr>
          <w:p w14:paraId="1C87E960" w14:textId="77777777" w:rsidR="00372A4F" w:rsidRPr="00372A4F" w:rsidRDefault="00372A4F" w:rsidP="007B63AA">
            <w:pPr>
              <w:widowControl w:val="0"/>
              <w:autoSpaceDE w:val="0"/>
              <w:autoSpaceDN w:val="0"/>
              <w:adjustRightInd w:val="0"/>
              <w:spacing w:before="120" w:after="120"/>
              <w:rPr>
                <w:rFonts w:ascii="Arial" w:hAnsi="Arial" w:cs="Arial"/>
              </w:rPr>
            </w:pPr>
            <w:r w:rsidRPr="00372A4F">
              <w:rPr>
                <w:rFonts w:ascii="Arial" w:eastAsia="Times New Roman" w:hAnsi="Arial" w:cs="Arial"/>
              </w:rPr>
              <w:t>Long Service Leave Act 1955</w:t>
            </w:r>
          </w:p>
        </w:tc>
        <w:tc>
          <w:tcPr>
            <w:tcW w:w="4536" w:type="dxa"/>
            <w:vAlign w:val="center"/>
          </w:tcPr>
          <w:p w14:paraId="2510C53F" w14:textId="77777777" w:rsidR="00372A4F" w:rsidRPr="00372A4F" w:rsidRDefault="00372A4F" w:rsidP="007B63AA">
            <w:pPr>
              <w:spacing w:before="120" w:after="120"/>
              <w:jc w:val="both"/>
              <w:rPr>
                <w:rFonts w:ascii="Arial" w:eastAsia="Times New Roman" w:hAnsi="Arial" w:cs="Arial"/>
              </w:rPr>
            </w:pPr>
            <w:r w:rsidRPr="00372A4F">
              <w:rPr>
                <w:rFonts w:ascii="Arial" w:eastAsia="Times New Roman" w:hAnsi="Arial" w:cs="Arial"/>
              </w:rPr>
              <w:t>2 months after 10 years’ service. Then 1 month leave for each subsequent 5 years’ service</w:t>
            </w:r>
          </w:p>
        </w:tc>
      </w:tr>
      <w:tr w:rsidR="00E518B1" w:rsidRPr="00372A4F" w14:paraId="75F785D2" w14:textId="77777777" w:rsidTr="00E518B1">
        <w:tc>
          <w:tcPr>
            <w:tcW w:w="1668" w:type="dxa"/>
            <w:vAlign w:val="center"/>
          </w:tcPr>
          <w:p w14:paraId="32E59947" w14:textId="77777777" w:rsidR="00372A4F" w:rsidRPr="00372A4F" w:rsidRDefault="00372A4F" w:rsidP="007B63AA">
            <w:pPr>
              <w:widowControl w:val="0"/>
              <w:autoSpaceDE w:val="0"/>
              <w:autoSpaceDN w:val="0"/>
              <w:adjustRightInd w:val="0"/>
              <w:spacing w:before="120" w:after="120"/>
              <w:rPr>
                <w:rFonts w:ascii="Arial" w:hAnsi="Arial" w:cs="Arial"/>
              </w:rPr>
            </w:pPr>
            <w:r w:rsidRPr="00372A4F">
              <w:rPr>
                <w:rFonts w:ascii="Arial" w:hAnsi="Arial" w:cs="Arial"/>
              </w:rPr>
              <w:t>NSW</w:t>
            </w:r>
          </w:p>
        </w:tc>
        <w:tc>
          <w:tcPr>
            <w:tcW w:w="2835" w:type="dxa"/>
            <w:vAlign w:val="center"/>
          </w:tcPr>
          <w:p w14:paraId="2D35FA22" w14:textId="77777777" w:rsidR="00372A4F" w:rsidRPr="00372A4F" w:rsidRDefault="00372A4F" w:rsidP="007B63AA">
            <w:pPr>
              <w:spacing w:before="120" w:after="120"/>
              <w:rPr>
                <w:rFonts w:ascii="Arial" w:eastAsia="Times New Roman" w:hAnsi="Arial" w:cs="Arial"/>
              </w:rPr>
            </w:pPr>
            <w:r w:rsidRPr="00372A4F">
              <w:rPr>
                <w:rFonts w:ascii="Arial" w:eastAsia="Times New Roman" w:hAnsi="Arial" w:cs="Arial"/>
              </w:rPr>
              <w:t>Long Service Leave (</w:t>
            </w:r>
            <w:proofErr w:type="spellStart"/>
            <w:r w:rsidRPr="00372A4F">
              <w:rPr>
                <w:rFonts w:ascii="Arial" w:eastAsia="Times New Roman" w:hAnsi="Arial" w:cs="Arial"/>
              </w:rPr>
              <w:t>Metalliferous</w:t>
            </w:r>
            <w:proofErr w:type="spellEnd"/>
            <w:r w:rsidRPr="00372A4F">
              <w:rPr>
                <w:rFonts w:ascii="Arial" w:eastAsia="Times New Roman" w:hAnsi="Arial" w:cs="Arial"/>
              </w:rPr>
              <w:t xml:space="preserve"> Mining Industry) Act 1963 No 48</w:t>
            </w:r>
          </w:p>
        </w:tc>
        <w:tc>
          <w:tcPr>
            <w:tcW w:w="4536" w:type="dxa"/>
            <w:vAlign w:val="center"/>
          </w:tcPr>
          <w:p w14:paraId="0AC9ACD1" w14:textId="77777777" w:rsidR="00372A4F" w:rsidRPr="00372A4F" w:rsidRDefault="00372A4F" w:rsidP="007B63AA">
            <w:pPr>
              <w:widowControl w:val="0"/>
              <w:autoSpaceDE w:val="0"/>
              <w:autoSpaceDN w:val="0"/>
              <w:adjustRightInd w:val="0"/>
              <w:spacing w:before="120" w:after="120"/>
              <w:jc w:val="both"/>
              <w:rPr>
                <w:rFonts w:ascii="Arial" w:hAnsi="Arial" w:cs="Arial"/>
              </w:rPr>
            </w:pPr>
            <w:r w:rsidRPr="00372A4F">
              <w:rPr>
                <w:rFonts w:ascii="Arial" w:eastAsia="Times New Roman" w:hAnsi="Arial" w:cs="Arial"/>
              </w:rPr>
              <w:t>3 months after each 10 years’ service.</w:t>
            </w:r>
          </w:p>
        </w:tc>
      </w:tr>
      <w:tr w:rsidR="00E518B1" w:rsidRPr="00372A4F" w14:paraId="022D7174" w14:textId="77777777" w:rsidTr="00E518B1">
        <w:tc>
          <w:tcPr>
            <w:tcW w:w="1668" w:type="dxa"/>
            <w:vAlign w:val="center"/>
          </w:tcPr>
          <w:p w14:paraId="33D5B676" w14:textId="77777777" w:rsidR="00372A4F" w:rsidRPr="00372A4F" w:rsidRDefault="00372A4F" w:rsidP="007B63AA">
            <w:pPr>
              <w:widowControl w:val="0"/>
              <w:autoSpaceDE w:val="0"/>
              <w:autoSpaceDN w:val="0"/>
              <w:adjustRightInd w:val="0"/>
              <w:spacing w:before="120" w:after="120"/>
              <w:rPr>
                <w:rFonts w:ascii="Arial" w:hAnsi="Arial" w:cs="Arial"/>
              </w:rPr>
            </w:pPr>
            <w:r w:rsidRPr="00372A4F">
              <w:rPr>
                <w:rFonts w:ascii="Arial" w:hAnsi="Arial" w:cs="Arial"/>
              </w:rPr>
              <w:t>VIC</w:t>
            </w:r>
          </w:p>
        </w:tc>
        <w:tc>
          <w:tcPr>
            <w:tcW w:w="2835" w:type="dxa"/>
            <w:vAlign w:val="center"/>
          </w:tcPr>
          <w:p w14:paraId="28C5995F" w14:textId="77777777" w:rsidR="00372A4F" w:rsidRPr="00372A4F" w:rsidRDefault="00372A4F" w:rsidP="007B63AA">
            <w:pPr>
              <w:widowControl w:val="0"/>
              <w:autoSpaceDE w:val="0"/>
              <w:autoSpaceDN w:val="0"/>
              <w:adjustRightInd w:val="0"/>
              <w:spacing w:before="120" w:after="120"/>
              <w:rPr>
                <w:rFonts w:ascii="Arial" w:hAnsi="Arial" w:cs="Arial"/>
              </w:rPr>
            </w:pPr>
            <w:r w:rsidRPr="00372A4F">
              <w:rPr>
                <w:rFonts w:ascii="Arial" w:eastAsia="Times New Roman" w:hAnsi="Arial" w:cs="Arial"/>
              </w:rPr>
              <w:t>Long Service Leave Act 1992</w:t>
            </w:r>
          </w:p>
        </w:tc>
        <w:tc>
          <w:tcPr>
            <w:tcW w:w="4536" w:type="dxa"/>
            <w:vAlign w:val="center"/>
          </w:tcPr>
          <w:p w14:paraId="3F999672" w14:textId="77777777" w:rsidR="00372A4F" w:rsidRPr="00372A4F" w:rsidRDefault="00372A4F" w:rsidP="007B63AA">
            <w:pPr>
              <w:spacing w:before="120" w:after="120"/>
              <w:jc w:val="both"/>
              <w:rPr>
                <w:rFonts w:ascii="Arial" w:eastAsia="Times New Roman" w:hAnsi="Arial" w:cs="Arial"/>
              </w:rPr>
            </w:pPr>
            <w:r w:rsidRPr="00372A4F">
              <w:rPr>
                <w:rFonts w:ascii="Arial" w:eastAsia="Times New Roman" w:hAnsi="Arial" w:cs="Arial"/>
              </w:rPr>
              <w:t>8.67 weeks after 10 years’ service. Then 4.33 weeks after each additional 5 years’ service</w:t>
            </w:r>
          </w:p>
        </w:tc>
      </w:tr>
      <w:tr w:rsidR="00E518B1" w:rsidRPr="00372A4F" w14:paraId="05A13CCE" w14:textId="77777777" w:rsidTr="00E518B1">
        <w:tc>
          <w:tcPr>
            <w:tcW w:w="1668" w:type="dxa"/>
            <w:vAlign w:val="center"/>
          </w:tcPr>
          <w:p w14:paraId="2466210B" w14:textId="77777777" w:rsidR="00372A4F" w:rsidRPr="00372A4F" w:rsidRDefault="00372A4F" w:rsidP="007B63AA">
            <w:pPr>
              <w:widowControl w:val="0"/>
              <w:autoSpaceDE w:val="0"/>
              <w:autoSpaceDN w:val="0"/>
              <w:adjustRightInd w:val="0"/>
              <w:spacing w:before="120" w:after="120"/>
              <w:rPr>
                <w:rFonts w:ascii="Arial" w:hAnsi="Arial" w:cs="Arial"/>
              </w:rPr>
            </w:pPr>
            <w:r w:rsidRPr="00372A4F">
              <w:rPr>
                <w:rFonts w:ascii="Arial" w:hAnsi="Arial" w:cs="Arial"/>
              </w:rPr>
              <w:t>QLD</w:t>
            </w:r>
          </w:p>
        </w:tc>
        <w:tc>
          <w:tcPr>
            <w:tcW w:w="2835" w:type="dxa"/>
            <w:vAlign w:val="center"/>
          </w:tcPr>
          <w:p w14:paraId="7D0E7BC9" w14:textId="77777777" w:rsidR="00372A4F" w:rsidRPr="00372A4F" w:rsidRDefault="00372A4F" w:rsidP="007B63AA">
            <w:pPr>
              <w:widowControl w:val="0"/>
              <w:autoSpaceDE w:val="0"/>
              <w:autoSpaceDN w:val="0"/>
              <w:adjustRightInd w:val="0"/>
              <w:spacing w:before="120" w:after="120"/>
              <w:rPr>
                <w:rFonts w:ascii="Arial" w:hAnsi="Arial" w:cs="Arial"/>
              </w:rPr>
            </w:pPr>
            <w:r w:rsidRPr="00372A4F">
              <w:rPr>
                <w:rFonts w:ascii="Arial" w:eastAsia="Times New Roman" w:hAnsi="Arial" w:cs="Arial"/>
              </w:rPr>
              <w:t>Industrial Relations Act 1999</w:t>
            </w:r>
          </w:p>
        </w:tc>
        <w:tc>
          <w:tcPr>
            <w:tcW w:w="4536" w:type="dxa"/>
            <w:vAlign w:val="center"/>
          </w:tcPr>
          <w:p w14:paraId="2FAFC83B" w14:textId="77777777" w:rsidR="00372A4F" w:rsidRPr="00372A4F" w:rsidRDefault="00372A4F" w:rsidP="007B63AA">
            <w:pPr>
              <w:spacing w:before="120" w:after="120"/>
              <w:jc w:val="both"/>
              <w:rPr>
                <w:rFonts w:ascii="Arial" w:eastAsia="Times New Roman" w:hAnsi="Arial" w:cs="Arial"/>
              </w:rPr>
            </w:pPr>
            <w:r w:rsidRPr="00372A4F">
              <w:rPr>
                <w:rFonts w:ascii="Arial" w:eastAsia="Times New Roman" w:hAnsi="Arial" w:cs="Arial"/>
              </w:rPr>
              <w:t>8.67 weeks leave after 10 years’ service. Then further leave after each additional 5 years’ service.</w:t>
            </w:r>
          </w:p>
        </w:tc>
      </w:tr>
      <w:tr w:rsidR="00E518B1" w:rsidRPr="00372A4F" w14:paraId="28F9AAA1" w14:textId="77777777" w:rsidTr="00E518B1">
        <w:tc>
          <w:tcPr>
            <w:tcW w:w="1668" w:type="dxa"/>
            <w:vAlign w:val="center"/>
          </w:tcPr>
          <w:p w14:paraId="15A65540" w14:textId="77777777" w:rsidR="00372A4F" w:rsidRPr="00372A4F" w:rsidRDefault="00372A4F" w:rsidP="007B63AA">
            <w:pPr>
              <w:widowControl w:val="0"/>
              <w:autoSpaceDE w:val="0"/>
              <w:autoSpaceDN w:val="0"/>
              <w:adjustRightInd w:val="0"/>
              <w:spacing w:before="120" w:after="120"/>
              <w:rPr>
                <w:rFonts w:ascii="Arial" w:hAnsi="Arial" w:cs="Arial"/>
              </w:rPr>
            </w:pPr>
            <w:r w:rsidRPr="00372A4F">
              <w:rPr>
                <w:rFonts w:ascii="Arial" w:hAnsi="Arial" w:cs="Arial"/>
              </w:rPr>
              <w:t>SA</w:t>
            </w:r>
          </w:p>
        </w:tc>
        <w:tc>
          <w:tcPr>
            <w:tcW w:w="2835" w:type="dxa"/>
            <w:vAlign w:val="center"/>
          </w:tcPr>
          <w:p w14:paraId="29212462" w14:textId="77777777" w:rsidR="00372A4F" w:rsidRPr="00372A4F" w:rsidRDefault="00372A4F" w:rsidP="007B63AA">
            <w:pPr>
              <w:widowControl w:val="0"/>
              <w:autoSpaceDE w:val="0"/>
              <w:autoSpaceDN w:val="0"/>
              <w:adjustRightInd w:val="0"/>
              <w:spacing w:before="120" w:after="120"/>
              <w:rPr>
                <w:rFonts w:ascii="Arial" w:hAnsi="Arial" w:cs="Arial"/>
              </w:rPr>
            </w:pPr>
            <w:r w:rsidRPr="00372A4F">
              <w:rPr>
                <w:rFonts w:ascii="Arial" w:eastAsia="Times New Roman" w:hAnsi="Arial" w:cs="Arial"/>
              </w:rPr>
              <w:t>Long Service Leave Act 1987</w:t>
            </w:r>
          </w:p>
        </w:tc>
        <w:tc>
          <w:tcPr>
            <w:tcW w:w="4536" w:type="dxa"/>
            <w:vAlign w:val="center"/>
          </w:tcPr>
          <w:p w14:paraId="777D9CEA" w14:textId="77777777" w:rsidR="00372A4F" w:rsidRPr="00372A4F" w:rsidRDefault="00372A4F" w:rsidP="007B63AA">
            <w:pPr>
              <w:spacing w:before="120" w:after="120"/>
              <w:jc w:val="both"/>
              <w:rPr>
                <w:rFonts w:ascii="Arial" w:eastAsia="Times New Roman" w:hAnsi="Arial" w:cs="Arial"/>
              </w:rPr>
            </w:pPr>
            <w:r w:rsidRPr="00372A4F">
              <w:rPr>
                <w:rFonts w:ascii="Arial" w:eastAsia="Times New Roman" w:hAnsi="Arial" w:cs="Arial"/>
              </w:rPr>
              <w:t>13 weeks leave after 10 years’ service. Then 1.3 weeks leave for each subsequent year.</w:t>
            </w:r>
          </w:p>
        </w:tc>
      </w:tr>
      <w:tr w:rsidR="00E518B1" w:rsidRPr="00372A4F" w14:paraId="78942E79" w14:textId="77777777" w:rsidTr="00E518B1">
        <w:tc>
          <w:tcPr>
            <w:tcW w:w="1668" w:type="dxa"/>
            <w:vAlign w:val="center"/>
          </w:tcPr>
          <w:p w14:paraId="0D13B271" w14:textId="77777777" w:rsidR="00372A4F" w:rsidRPr="00372A4F" w:rsidRDefault="00372A4F" w:rsidP="007B63AA">
            <w:pPr>
              <w:widowControl w:val="0"/>
              <w:autoSpaceDE w:val="0"/>
              <w:autoSpaceDN w:val="0"/>
              <w:adjustRightInd w:val="0"/>
              <w:spacing w:before="120" w:after="120"/>
              <w:rPr>
                <w:rFonts w:ascii="Arial" w:hAnsi="Arial" w:cs="Arial"/>
              </w:rPr>
            </w:pPr>
            <w:r w:rsidRPr="00372A4F">
              <w:rPr>
                <w:rFonts w:ascii="Arial" w:hAnsi="Arial" w:cs="Arial"/>
              </w:rPr>
              <w:t>WA</w:t>
            </w:r>
          </w:p>
        </w:tc>
        <w:tc>
          <w:tcPr>
            <w:tcW w:w="2835" w:type="dxa"/>
            <w:vAlign w:val="center"/>
          </w:tcPr>
          <w:p w14:paraId="47B14542" w14:textId="77777777" w:rsidR="00372A4F" w:rsidRPr="00372A4F" w:rsidRDefault="00372A4F" w:rsidP="007B63AA">
            <w:pPr>
              <w:widowControl w:val="0"/>
              <w:autoSpaceDE w:val="0"/>
              <w:autoSpaceDN w:val="0"/>
              <w:adjustRightInd w:val="0"/>
              <w:spacing w:before="120" w:after="120"/>
              <w:rPr>
                <w:rFonts w:ascii="Arial" w:hAnsi="Arial" w:cs="Arial"/>
              </w:rPr>
            </w:pPr>
            <w:r w:rsidRPr="00372A4F">
              <w:rPr>
                <w:rFonts w:ascii="Arial" w:eastAsia="Times New Roman" w:hAnsi="Arial" w:cs="Arial"/>
              </w:rPr>
              <w:t>Long Service Leave Act 1958</w:t>
            </w:r>
          </w:p>
        </w:tc>
        <w:tc>
          <w:tcPr>
            <w:tcW w:w="4536" w:type="dxa"/>
            <w:vAlign w:val="center"/>
          </w:tcPr>
          <w:p w14:paraId="76BAD542" w14:textId="77777777" w:rsidR="00372A4F" w:rsidRPr="00372A4F" w:rsidRDefault="00372A4F" w:rsidP="007B63AA">
            <w:pPr>
              <w:spacing w:before="120" w:after="120"/>
              <w:jc w:val="both"/>
              <w:rPr>
                <w:rFonts w:ascii="Arial" w:eastAsia="Times New Roman" w:hAnsi="Arial" w:cs="Arial"/>
              </w:rPr>
            </w:pPr>
            <w:r w:rsidRPr="00372A4F">
              <w:rPr>
                <w:rFonts w:ascii="Arial" w:eastAsia="Times New Roman" w:hAnsi="Arial" w:cs="Arial"/>
              </w:rPr>
              <w:t xml:space="preserve">8.67 weeks leave after 10 years’ service. Then 4.33 weeks leave after </w:t>
            </w:r>
            <w:r w:rsidRPr="00372A4F">
              <w:rPr>
                <w:rFonts w:ascii="Arial" w:eastAsia="Times New Roman" w:hAnsi="Arial" w:cs="Arial"/>
              </w:rPr>
              <w:lastRenderedPageBreak/>
              <w:t>additional 5 years’ service</w:t>
            </w:r>
          </w:p>
        </w:tc>
      </w:tr>
      <w:tr w:rsidR="00E518B1" w:rsidRPr="00372A4F" w14:paraId="5BDDCC7C" w14:textId="77777777" w:rsidTr="00E518B1">
        <w:tc>
          <w:tcPr>
            <w:tcW w:w="1668" w:type="dxa"/>
            <w:vAlign w:val="center"/>
          </w:tcPr>
          <w:p w14:paraId="67C7CE91" w14:textId="77777777" w:rsidR="00372A4F" w:rsidRPr="00372A4F" w:rsidRDefault="00372A4F" w:rsidP="007B63AA">
            <w:pPr>
              <w:widowControl w:val="0"/>
              <w:autoSpaceDE w:val="0"/>
              <w:autoSpaceDN w:val="0"/>
              <w:adjustRightInd w:val="0"/>
              <w:spacing w:before="120" w:after="120"/>
              <w:rPr>
                <w:rFonts w:ascii="Arial" w:hAnsi="Arial" w:cs="Arial"/>
              </w:rPr>
            </w:pPr>
            <w:r w:rsidRPr="00372A4F">
              <w:rPr>
                <w:rFonts w:ascii="Arial" w:hAnsi="Arial" w:cs="Arial"/>
              </w:rPr>
              <w:lastRenderedPageBreak/>
              <w:t>TAS</w:t>
            </w:r>
          </w:p>
        </w:tc>
        <w:tc>
          <w:tcPr>
            <w:tcW w:w="2835" w:type="dxa"/>
            <w:vAlign w:val="center"/>
          </w:tcPr>
          <w:p w14:paraId="774C7F31" w14:textId="77777777" w:rsidR="00372A4F" w:rsidRPr="00372A4F" w:rsidRDefault="00372A4F" w:rsidP="007B63AA">
            <w:pPr>
              <w:widowControl w:val="0"/>
              <w:autoSpaceDE w:val="0"/>
              <w:autoSpaceDN w:val="0"/>
              <w:adjustRightInd w:val="0"/>
              <w:spacing w:before="120" w:after="120"/>
              <w:rPr>
                <w:rFonts w:ascii="Arial" w:hAnsi="Arial" w:cs="Arial"/>
              </w:rPr>
            </w:pPr>
            <w:r w:rsidRPr="00372A4F">
              <w:rPr>
                <w:rFonts w:ascii="Arial" w:eastAsia="Times New Roman" w:hAnsi="Arial" w:cs="Arial"/>
              </w:rPr>
              <w:t>Long Service Leave Act 1976</w:t>
            </w:r>
          </w:p>
        </w:tc>
        <w:tc>
          <w:tcPr>
            <w:tcW w:w="4536" w:type="dxa"/>
            <w:vAlign w:val="center"/>
          </w:tcPr>
          <w:p w14:paraId="4CB877EE" w14:textId="77777777" w:rsidR="00372A4F" w:rsidRPr="00372A4F" w:rsidRDefault="00372A4F" w:rsidP="007B63AA">
            <w:pPr>
              <w:spacing w:before="120" w:after="120"/>
              <w:jc w:val="both"/>
              <w:rPr>
                <w:rFonts w:ascii="Arial" w:eastAsia="Times New Roman" w:hAnsi="Arial" w:cs="Arial"/>
              </w:rPr>
            </w:pPr>
            <w:r w:rsidRPr="00372A4F">
              <w:rPr>
                <w:rFonts w:ascii="Arial" w:eastAsia="Times New Roman" w:hAnsi="Arial" w:cs="Arial"/>
              </w:rPr>
              <w:t>8.67 weeks leave after 10 years’ service. Then 4.33 weeks leave for each additional 5 years employment</w:t>
            </w:r>
          </w:p>
        </w:tc>
      </w:tr>
      <w:tr w:rsidR="00E518B1" w:rsidRPr="00372A4F" w14:paraId="2F098881" w14:textId="77777777" w:rsidTr="00E518B1">
        <w:tc>
          <w:tcPr>
            <w:tcW w:w="1668" w:type="dxa"/>
            <w:vAlign w:val="center"/>
          </w:tcPr>
          <w:p w14:paraId="66FAA7E2" w14:textId="77777777" w:rsidR="00372A4F" w:rsidRPr="00372A4F" w:rsidRDefault="00372A4F" w:rsidP="007B63AA">
            <w:pPr>
              <w:widowControl w:val="0"/>
              <w:autoSpaceDE w:val="0"/>
              <w:autoSpaceDN w:val="0"/>
              <w:adjustRightInd w:val="0"/>
              <w:spacing w:before="120" w:after="120"/>
              <w:rPr>
                <w:rFonts w:ascii="Arial" w:hAnsi="Arial" w:cs="Arial"/>
              </w:rPr>
            </w:pPr>
            <w:r w:rsidRPr="00372A4F">
              <w:rPr>
                <w:rFonts w:ascii="Arial" w:hAnsi="Arial" w:cs="Arial"/>
              </w:rPr>
              <w:t>NT</w:t>
            </w:r>
          </w:p>
        </w:tc>
        <w:tc>
          <w:tcPr>
            <w:tcW w:w="2835" w:type="dxa"/>
            <w:vAlign w:val="center"/>
          </w:tcPr>
          <w:p w14:paraId="39076617" w14:textId="77777777" w:rsidR="00372A4F" w:rsidRPr="00372A4F" w:rsidRDefault="00372A4F" w:rsidP="007B63AA">
            <w:pPr>
              <w:widowControl w:val="0"/>
              <w:autoSpaceDE w:val="0"/>
              <w:autoSpaceDN w:val="0"/>
              <w:adjustRightInd w:val="0"/>
              <w:spacing w:before="120" w:after="120"/>
              <w:rPr>
                <w:rFonts w:ascii="Arial" w:hAnsi="Arial" w:cs="Arial"/>
              </w:rPr>
            </w:pPr>
            <w:r w:rsidRPr="00372A4F">
              <w:rPr>
                <w:rFonts w:ascii="Arial" w:eastAsia="Times New Roman" w:hAnsi="Arial" w:cs="Arial"/>
              </w:rPr>
              <w:t>Long Service Leave Act 1981</w:t>
            </w:r>
          </w:p>
        </w:tc>
        <w:tc>
          <w:tcPr>
            <w:tcW w:w="4536" w:type="dxa"/>
            <w:vAlign w:val="center"/>
          </w:tcPr>
          <w:p w14:paraId="6BE443CA" w14:textId="77777777" w:rsidR="00372A4F" w:rsidRPr="00372A4F" w:rsidRDefault="00372A4F" w:rsidP="007B63AA">
            <w:pPr>
              <w:spacing w:before="120" w:after="120"/>
              <w:jc w:val="both"/>
              <w:rPr>
                <w:rFonts w:ascii="Arial" w:eastAsia="Times New Roman" w:hAnsi="Arial" w:cs="Arial"/>
              </w:rPr>
            </w:pPr>
            <w:r w:rsidRPr="00372A4F">
              <w:rPr>
                <w:rFonts w:ascii="Arial" w:eastAsia="Times New Roman" w:hAnsi="Arial" w:cs="Arial"/>
              </w:rPr>
              <w:t>13 weeks leave after 10 years’ service. Then 6.5 weeks after each additional 5 years’ service</w:t>
            </w:r>
          </w:p>
        </w:tc>
      </w:tr>
      <w:tr w:rsidR="00E518B1" w:rsidRPr="00372A4F" w14:paraId="65D85878" w14:textId="77777777" w:rsidTr="00E518B1">
        <w:tc>
          <w:tcPr>
            <w:tcW w:w="1668" w:type="dxa"/>
            <w:vAlign w:val="center"/>
          </w:tcPr>
          <w:p w14:paraId="1BC69AE7" w14:textId="77777777" w:rsidR="00372A4F" w:rsidRPr="00372A4F" w:rsidRDefault="00372A4F" w:rsidP="007B63AA">
            <w:pPr>
              <w:widowControl w:val="0"/>
              <w:autoSpaceDE w:val="0"/>
              <w:autoSpaceDN w:val="0"/>
              <w:adjustRightInd w:val="0"/>
              <w:spacing w:before="120" w:after="120"/>
              <w:rPr>
                <w:rFonts w:ascii="Arial" w:hAnsi="Arial" w:cs="Arial"/>
              </w:rPr>
            </w:pPr>
            <w:r w:rsidRPr="00372A4F">
              <w:rPr>
                <w:rFonts w:ascii="Arial" w:hAnsi="Arial" w:cs="Arial"/>
              </w:rPr>
              <w:t>ACT</w:t>
            </w:r>
          </w:p>
        </w:tc>
        <w:tc>
          <w:tcPr>
            <w:tcW w:w="2835" w:type="dxa"/>
            <w:vAlign w:val="center"/>
          </w:tcPr>
          <w:p w14:paraId="2D3141D2" w14:textId="77777777" w:rsidR="00372A4F" w:rsidRPr="00372A4F" w:rsidRDefault="00372A4F" w:rsidP="007B63AA">
            <w:pPr>
              <w:widowControl w:val="0"/>
              <w:autoSpaceDE w:val="0"/>
              <w:autoSpaceDN w:val="0"/>
              <w:adjustRightInd w:val="0"/>
              <w:spacing w:before="120" w:after="120"/>
              <w:rPr>
                <w:rFonts w:ascii="Arial" w:hAnsi="Arial" w:cs="Arial"/>
              </w:rPr>
            </w:pPr>
            <w:r w:rsidRPr="00372A4F">
              <w:rPr>
                <w:rFonts w:ascii="Arial" w:eastAsia="Times New Roman" w:hAnsi="Arial" w:cs="Arial"/>
              </w:rPr>
              <w:t>Long Service Leave Act 1976</w:t>
            </w:r>
          </w:p>
        </w:tc>
        <w:tc>
          <w:tcPr>
            <w:tcW w:w="4536" w:type="dxa"/>
            <w:vAlign w:val="center"/>
          </w:tcPr>
          <w:p w14:paraId="55B6EE14" w14:textId="77777777" w:rsidR="00372A4F" w:rsidRPr="00372A4F" w:rsidRDefault="00372A4F" w:rsidP="007B63AA">
            <w:pPr>
              <w:spacing w:before="120" w:after="120"/>
              <w:jc w:val="both"/>
              <w:rPr>
                <w:rFonts w:ascii="Arial" w:eastAsia="Times New Roman" w:hAnsi="Arial" w:cs="Arial"/>
              </w:rPr>
            </w:pPr>
            <w:r w:rsidRPr="00372A4F">
              <w:rPr>
                <w:rFonts w:ascii="Arial" w:eastAsia="Times New Roman" w:hAnsi="Arial" w:cs="Arial"/>
              </w:rPr>
              <w:t>0.2 months leave for each year of service, with leave available to be taken after 7 years’ service</w:t>
            </w:r>
          </w:p>
        </w:tc>
      </w:tr>
    </w:tbl>
    <w:p w14:paraId="37C6E051" w14:textId="77777777" w:rsidR="00372A4F" w:rsidRPr="00372A4F" w:rsidRDefault="00372A4F" w:rsidP="00334A2D">
      <w:pPr>
        <w:pStyle w:val="Caption"/>
        <w:spacing w:before="120" w:line="360" w:lineRule="auto"/>
        <w:jc w:val="both"/>
        <w:rPr>
          <w:rFonts w:ascii="Arial" w:hAnsi="Arial" w:cs="Arial"/>
          <w:b w:val="0"/>
          <w:color w:val="auto"/>
          <w:sz w:val="24"/>
          <w:szCs w:val="24"/>
        </w:rPr>
      </w:pPr>
      <w:r w:rsidRPr="00372A4F">
        <w:rPr>
          <w:rFonts w:ascii="Arial" w:hAnsi="Arial" w:cs="Arial"/>
          <w:b w:val="0"/>
          <w:color w:val="auto"/>
          <w:sz w:val="24"/>
          <w:szCs w:val="24"/>
        </w:rPr>
        <w:t>NOTE: Service means continuous service with one employer.</w:t>
      </w:r>
    </w:p>
    <w:p w14:paraId="63984C67" w14:textId="77777777" w:rsidR="00372A4F" w:rsidRPr="00B86CA5" w:rsidRDefault="00372A4F" w:rsidP="007B63AA">
      <w:pPr>
        <w:pStyle w:val="ListParagraph"/>
        <w:widowControl w:val="0"/>
        <w:numPr>
          <w:ilvl w:val="0"/>
          <w:numId w:val="3"/>
        </w:numPr>
        <w:autoSpaceDE w:val="0"/>
        <w:autoSpaceDN w:val="0"/>
        <w:adjustRightInd w:val="0"/>
        <w:spacing w:after="0" w:line="360" w:lineRule="auto"/>
        <w:jc w:val="both"/>
        <w:rPr>
          <w:rFonts w:ascii="Arial" w:hAnsi="Arial" w:cs="Arial"/>
          <w:sz w:val="24"/>
          <w:szCs w:val="24"/>
        </w:rPr>
      </w:pPr>
      <w:r w:rsidRPr="00B86CA5">
        <w:rPr>
          <w:rFonts w:ascii="Arial" w:hAnsi="Arial" w:cs="Arial"/>
          <w:sz w:val="24"/>
          <w:szCs w:val="24"/>
        </w:rPr>
        <w:t>We support the adoption of a National standard for long service leave</w:t>
      </w:r>
      <w:r w:rsidR="00334A2D">
        <w:rPr>
          <w:rFonts w:ascii="Arial" w:hAnsi="Arial" w:cs="Arial"/>
          <w:sz w:val="24"/>
          <w:szCs w:val="24"/>
        </w:rPr>
        <w:t>,</w:t>
      </w:r>
      <w:r w:rsidRPr="00B86CA5">
        <w:rPr>
          <w:rFonts w:ascii="Arial" w:hAnsi="Arial" w:cs="Arial"/>
          <w:sz w:val="24"/>
          <w:szCs w:val="24"/>
        </w:rPr>
        <w:t xml:space="preserve"> which should be implemented in a manner that ensures no employees are disadvantaged. </w:t>
      </w:r>
    </w:p>
    <w:p w14:paraId="64B80879" w14:textId="77777777" w:rsidR="00372A4F" w:rsidRDefault="00372A4F" w:rsidP="007B63AA">
      <w:pPr>
        <w:widowControl w:val="0"/>
        <w:autoSpaceDE w:val="0"/>
        <w:autoSpaceDN w:val="0"/>
        <w:adjustRightInd w:val="0"/>
        <w:spacing w:after="0" w:line="360" w:lineRule="auto"/>
        <w:jc w:val="both"/>
        <w:rPr>
          <w:rFonts w:ascii="Arial" w:hAnsi="Arial" w:cs="Arial"/>
          <w:sz w:val="24"/>
          <w:szCs w:val="24"/>
        </w:rPr>
      </w:pPr>
    </w:p>
    <w:p w14:paraId="0329E9DF" w14:textId="77777777" w:rsidR="00372A4F" w:rsidRPr="004E758D" w:rsidRDefault="00372A4F" w:rsidP="007B63AA">
      <w:pPr>
        <w:widowControl w:val="0"/>
        <w:autoSpaceDE w:val="0"/>
        <w:autoSpaceDN w:val="0"/>
        <w:adjustRightInd w:val="0"/>
        <w:spacing w:after="0" w:line="360" w:lineRule="auto"/>
        <w:jc w:val="both"/>
        <w:rPr>
          <w:rFonts w:ascii="Arial" w:hAnsi="Arial" w:cs="Arial"/>
          <w:b/>
          <w:sz w:val="24"/>
          <w:szCs w:val="24"/>
        </w:rPr>
      </w:pPr>
      <w:r w:rsidRPr="004E758D">
        <w:rPr>
          <w:rFonts w:ascii="Arial" w:hAnsi="Arial" w:cs="Arial"/>
          <w:b/>
          <w:sz w:val="24"/>
          <w:szCs w:val="24"/>
        </w:rPr>
        <w:t>Portability of LSL entitlement</w:t>
      </w:r>
    </w:p>
    <w:p w14:paraId="79FDB04D" w14:textId="77777777" w:rsidR="00372A4F" w:rsidRDefault="00372A4F" w:rsidP="007B63AA">
      <w:pPr>
        <w:widowControl w:val="0"/>
        <w:autoSpaceDE w:val="0"/>
        <w:autoSpaceDN w:val="0"/>
        <w:adjustRightInd w:val="0"/>
        <w:spacing w:after="0" w:line="360" w:lineRule="auto"/>
        <w:jc w:val="both"/>
        <w:rPr>
          <w:rFonts w:ascii="Arial" w:hAnsi="Arial" w:cs="Arial"/>
          <w:sz w:val="24"/>
          <w:szCs w:val="24"/>
        </w:rPr>
      </w:pPr>
    </w:p>
    <w:p w14:paraId="14618532" w14:textId="77777777" w:rsidR="00372A4F" w:rsidRPr="00B86CA5" w:rsidRDefault="00372A4F" w:rsidP="007B63AA">
      <w:pPr>
        <w:pStyle w:val="ListParagraph"/>
        <w:widowControl w:val="0"/>
        <w:numPr>
          <w:ilvl w:val="0"/>
          <w:numId w:val="3"/>
        </w:numPr>
        <w:autoSpaceDE w:val="0"/>
        <w:autoSpaceDN w:val="0"/>
        <w:adjustRightInd w:val="0"/>
        <w:spacing w:after="0" w:line="360" w:lineRule="auto"/>
        <w:jc w:val="both"/>
        <w:rPr>
          <w:rFonts w:ascii="Arial" w:hAnsi="Arial" w:cs="Arial"/>
          <w:sz w:val="24"/>
          <w:szCs w:val="24"/>
        </w:rPr>
      </w:pPr>
      <w:r w:rsidRPr="00B86CA5">
        <w:rPr>
          <w:rFonts w:ascii="Arial" w:hAnsi="Arial" w:cs="Arial"/>
          <w:sz w:val="24"/>
          <w:szCs w:val="24"/>
        </w:rPr>
        <w:t>There has been a significant shift in the nature of the employment in Australia over the past 30 years. The following trends have emerged:</w:t>
      </w:r>
    </w:p>
    <w:p w14:paraId="7C3F8615" w14:textId="77777777" w:rsidR="00372A4F" w:rsidRPr="00372A4F" w:rsidRDefault="00372A4F" w:rsidP="007B63AA">
      <w:pPr>
        <w:widowControl w:val="0"/>
        <w:autoSpaceDE w:val="0"/>
        <w:autoSpaceDN w:val="0"/>
        <w:adjustRightInd w:val="0"/>
        <w:spacing w:after="0" w:line="360" w:lineRule="auto"/>
        <w:jc w:val="both"/>
        <w:rPr>
          <w:rFonts w:ascii="Arial" w:hAnsi="Arial" w:cs="Arial"/>
          <w:sz w:val="24"/>
          <w:szCs w:val="24"/>
        </w:rPr>
      </w:pPr>
    </w:p>
    <w:p w14:paraId="2C07D94D" w14:textId="77777777" w:rsidR="00372A4F" w:rsidRPr="00372A4F" w:rsidRDefault="00372A4F" w:rsidP="007B63AA">
      <w:pPr>
        <w:pStyle w:val="ListParagraph"/>
        <w:widowControl w:val="0"/>
        <w:numPr>
          <w:ilvl w:val="0"/>
          <w:numId w:val="8"/>
        </w:numPr>
        <w:autoSpaceDE w:val="0"/>
        <w:autoSpaceDN w:val="0"/>
        <w:adjustRightInd w:val="0"/>
        <w:spacing w:after="0" w:line="360" w:lineRule="auto"/>
        <w:jc w:val="both"/>
        <w:rPr>
          <w:rFonts w:ascii="Arial" w:hAnsi="Arial" w:cs="Arial"/>
          <w:sz w:val="24"/>
          <w:szCs w:val="24"/>
        </w:rPr>
      </w:pPr>
      <w:r w:rsidRPr="00372A4F">
        <w:rPr>
          <w:rFonts w:ascii="Arial" w:hAnsi="Arial" w:cs="Arial"/>
          <w:sz w:val="24"/>
          <w:szCs w:val="24"/>
        </w:rPr>
        <w:t>Australians are remaining in the workforce for an increasing length of time, reflecting increasing life expectancy;</w:t>
      </w:r>
    </w:p>
    <w:p w14:paraId="44283A9C" w14:textId="77777777" w:rsidR="00372A4F" w:rsidRPr="00372A4F" w:rsidRDefault="00372A4F" w:rsidP="007B63AA">
      <w:pPr>
        <w:pStyle w:val="ListParagraph"/>
        <w:widowControl w:val="0"/>
        <w:autoSpaceDE w:val="0"/>
        <w:autoSpaceDN w:val="0"/>
        <w:adjustRightInd w:val="0"/>
        <w:spacing w:after="0" w:line="360" w:lineRule="auto"/>
        <w:jc w:val="both"/>
        <w:rPr>
          <w:rFonts w:ascii="Arial" w:hAnsi="Arial" w:cs="Arial"/>
          <w:sz w:val="24"/>
          <w:szCs w:val="24"/>
        </w:rPr>
      </w:pPr>
    </w:p>
    <w:p w14:paraId="565D5221" w14:textId="77777777" w:rsidR="00372A4F" w:rsidRDefault="00372A4F" w:rsidP="007B63AA">
      <w:pPr>
        <w:pStyle w:val="ListParagraph"/>
        <w:widowControl w:val="0"/>
        <w:numPr>
          <w:ilvl w:val="0"/>
          <w:numId w:val="8"/>
        </w:numPr>
        <w:autoSpaceDE w:val="0"/>
        <w:autoSpaceDN w:val="0"/>
        <w:adjustRightInd w:val="0"/>
        <w:spacing w:after="0" w:line="360" w:lineRule="auto"/>
        <w:jc w:val="both"/>
        <w:rPr>
          <w:rFonts w:ascii="Arial" w:hAnsi="Arial" w:cs="Arial"/>
          <w:sz w:val="24"/>
          <w:szCs w:val="24"/>
        </w:rPr>
      </w:pPr>
      <w:r w:rsidRPr="00372A4F">
        <w:rPr>
          <w:rFonts w:ascii="Arial" w:hAnsi="Arial" w:cs="Arial"/>
          <w:sz w:val="24"/>
          <w:szCs w:val="24"/>
        </w:rPr>
        <w:t xml:space="preserve">Mobility amongst workers has increased, with almost 1 in 5 workers employed by their current employer for less than one year; </w:t>
      </w:r>
    </w:p>
    <w:p w14:paraId="5524A590" w14:textId="77777777" w:rsidR="00372A4F" w:rsidRPr="00372A4F" w:rsidRDefault="00372A4F" w:rsidP="007B63AA">
      <w:pPr>
        <w:widowControl w:val="0"/>
        <w:autoSpaceDE w:val="0"/>
        <w:autoSpaceDN w:val="0"/>
        <w:adjustRightInd w:val="0"/>
        <w:spacing w:after="0" w:line="360" w:lineRule="auto"/>
        <w:jc w:val="both"/>
        <w:rPr>
          <w:rFonts w:ascii="Arial" w:hAnsi="Arial" w:cs="Arial"/>
          <w:sz w:val="24"/>
          <w:szCs w:val="24"/>
        </w:rPr>
      </w:pPr>
    </w:p>
    <w:p w14:paraId="79F05C87" w14:textId="77777777" w:rsidR="00372A4F" w:rsidRPr="00372A4F" w:rsidRDefault="00372A4F" w:rsidP="007B63AA">
      <w:pPr>
        <w:pStyle w:val="ListParagraph"/>
        <w:widowControl w:val="0"/>
        <w:numPr>
          <w:ilvl w:val="0"/>
          <w:numId w:val="8"/>
        </w:numPr>
        <w:autoSpaceDE w:val="0"/>
        <w:autoSpaceDN w:val="0"/>
        <w:adjustRightInd w:val="0"/>
        <w:spacing w:after="0" w:line="360" w:lineRule="auto"/>
        <w:jc w:val="both"/>
        <w:rPr>
          <w:rFonts w:ascii="Arial" w:hAnsi="Arial" w:cs="Arial"/>
          <w:sz w:val="24"/>
          <w:szCs w:val="24"/>
        </w:rPr>
      </w:pPr>
      <w:r w:rsidRPr="00372A4F">
        <w:rPr>
          <w:rFonts w:ascii="Arial" w:hAnsi="Arial" w:cs="Arial"/>
          <w:sz w:val="24"/>
          <w:szCs w:val="24"/>
        </w:rPr>
        <w:t>Mobility differs across different industries, with the highest amongst sales, labourers, machine operators and drivers, and community and personal service workers (those industries which tend to have higher rates of casual and contract labour).</w:t>
      </w:r>
      <w:r w:rsidRPr="00372A4F">
        <w:rPr>
          <w:rStyle w:val="FootnoteReference"/>
          <w:rFonts w:ascii="Arial" w:hAnsi="Arial" w:cs="Arial"/>
          <w:sz w:val="24"/>
          <w:szCs w:val="24"/>
        </w:rPr>
        <w:footnoteReference w:id="30"/>
      </w:r>
      <w:r w:rsidRPr="00372A4F">
        <w:rPr>
          <w:rFonts w:ascii="Arial" w:hAnsi="Arial" w:cs="Arial"/>
          <w:sz w:val="24"/>
          <w:szCs w:val="24"/>
        </w:rPr>
        <w:t xml:space="preserve"> </w:t>
      </w:r>
    </w:p>
    <w:p w14:paraId="151A915F" w14:textId="77777777" w:rsidR="00372A4F" w:rsidRDefault="00372A4F" w:rsidP="007B63AA">
      <w:pPr>
        <w:widowControl w:val="0"/>
        <w:autoSpaceDE w:val="0"/>
        <w:autoSpaceDN w:val="0"/>
        <w:adjustRightInd w:val="0"/>
        <w:spacing w:after="0" w:line="360" w:lineRule="auto"/>
        <w:jc w:val="both"/>
        <w:rPr>
          <w:rFonts w:ascii="Arial" w:hAnsi="Arial" w:cs="Arial"/>
          <w:sz w:val="24"/>
          <w:szCs w:val="24"/>
        </w:rPr>
      </w:pPr>
    </w:p>
    <w:p w14:paraId="37479366" w14:textId="77777777" w:rsidR="00B86CA5" w:rsidRDefault="00372A4F" w:rsidP="007B63AA">
      <w:pPr>
        <w:pStyle w:val="ListParagraph"/>
        <w:widowControl w:val="0"/>
        <w:numPr>
          <w:ilvl w:val="0"/>
          <w:numId w:val="3"/>
        </w:numPr>
        <w:autoSpaceDE w:val="0"/>
        <w:autoSpaceDN w:val="0"/>
        <w:adjustRightInd w:val="0"/>
        <w:spacing w:after="0" w:line="360" w:lineRule="auto"/>
        <w:jc w:val="both"/>
        <w:rPr>
          <w:rFonts w:ascii="Arial" w:hAnsi="Arial" w:cs="Arial"/>
          <w:sz w:val="24"/>
          <w:szCs w:val="24"/>
        </w:rPr>
      </w:pPr>
      <w:r w:rsidRPr="00B86CA5">
        <w:rPr>
          <w:rFonts w:ascii="Arial" w:hAnsi="Arial" w:cs="Arial"/>
          <w:sz w:val="24"/>
          <w:szCs w:val="24"/>
        </w:rPr>
        <w:t xml:space="preserve">According to ABS data, approximately 67% of Australian workers are eligible </w:t>
      </w:r>
      <w:r w:rsidRPr="00B86CA5">
        <w:rPr>
          <w:rFonts w:ascii="Arial" w:hAnsi="Arial" w:cs="Arial"/>
          <w:sz w:val="24"/>
          <w:szCs w:val="24"/>
        </w:rPr>
        <w:lastRenderedPageBreak/>
        <w:t>for LSL</w:t>
      </w:r>
      <w:r w:rsidRPr="00372A4F">
        <w:rPr>
          <w:rStyle w:val="FootnoteReference"/>
          <w:rFonts w:ascii="Arial" w:hAnsi="Arial" w:cs="Arial"/>
          <w:sz w:val="24"/>
          <w:szCs w:val="24"/>
        </w:rPr>
        <w:footnoteReference w:id="31"/>
      </w:r>
      <w:r w:rsidRPr="00B86CA5">
        <w:rPr>
          <w:rFonts w:ascii="Arial" w:hAnsi="Arial" w:cs="Arial"/>
          <w:sz w:val="24"/>
          <w:szCs w:val="24"/>
        </w:rPr>
        <w:t xml:space="preserve">, but under the current arrangements, most will only become entitled to LSL if they remain with the same employer for more than 10 years. </w:t>
      </w:r>
    </w:p>
    <w:p w14:paraId="4FEE7823" w14:textId="77777777" w:rsidR="00B86CA5" w:rsidRDefault="00B86CA5" w:rsidP="007B63AA">
      <w:pPr>
        <w:pStyle w:val="ListParagraph"/>
        <w:widowControl w:val="0"/>
        <w:autoSpaceDE w:val="0"/>
        <w:autoSpaceDN w:val="0"/>
        <w:adjustRightInd w:val="0"/>
        <w:spacing w:after="0" w:line="360" w:lineRule="auto"/>
        <w:jc w:val="both"/>
        <w:rPr>
          <w:rFonts w:ascii="Arial" w:hAnsi="Arial" w:cs="Arial"/>
          <w:sz w:val="24"/>
          <w:szCs w:val="24"/>
        </w:rPr>
      </w:pPr>
    </w:p>
    <w:p w14:paraId="0A83A684" w14:textId="77777777" w:rsidR="00372A4F" w:rsidRPr="00B86CA5" w:rsidRDefault="00372A4F" w:rsidP="007B63AA">
      <w:pPr>
        <w:pStyle w:val="ListParagraph"/>
        <w:widowControl w:val="0"/>
        <w:numPr>
          <w:ilvl w:val="0"/>
          <w:numId w:val="3"/>
        </w:numPr>
        <w:autoSpaceDE w:val="0"/>
        <w:autoSpaceDN w:val="0"/>
        <w:adjustRightInd w:val="0"/>
        <w:spacing w:after="0" w:line="360" w:lineRule="auto"/>
        <w:jc w:val="both"/>
        <w:rPr>
          <w:rFonts w:ascii="Arial" w:hAnsi="Arial" w:cs="Arial"/>
          <w:sz w:val="24"/>
          <w:szCs w:val="24"/>
        </w:rPr>
      </w:pPr>
      <w:r w:rsidRPr="00B86CA5">
        <w:rPr>
          <w:rFonts w:ascii="Arial" w:hAnsi="Arial" w:cs="Arial"/>
          <w:sz w:val="24"/>
          <w:szCs w:val="24"/>
        </w:rPr>
        <w:t xml:space="preserve">Of all currently employed workers who have been in the workforce for at least 10 years, only 24.5% have been with their current employer for at least 10 years, whereas 45.9% have less than 10 years of service with their current employer. </w:t>
      </w:r>
    </w:p>
    <w:p w14:paraId="7797DA96" w14:textId="77777777" w:rsidR="00372A4F" w:rsidRPr="00372A4F" w:rsidRDefault="00372A4F" w:rsidP="007B63AA">
      <w:pPr>
        <w:widowControl w:val="0"/>
        <w:autoSpaceDE w:val="0"/>
        <w:autoSpaceDN w:val="0"/>
        <w:adjustRightInd w:val="0"/>
        <w:spacing w:after="0" w:line="360" w:lineRule="auto"/>
        <w:jc w:val="both"/>
        <w:rPr>
          <w:rFonts w:ascii="Arial" w:hAnsi="Arial" w:cs="Arial"/>
          <w:sz w:val="24"/>
          <w:szCs w:val="24"/>
        </w:rPr>
      </w:pPr>
    </w:p>
    <w:tbl>
      <w:tblPr>
        <w:tblStyle w:val="TableGrid"/>
        <w:tblW w:w="0" w:type="auto"/>
        <w:tblLook w:val="04A0" w:firstRow="1" w:lastRow="0" w:firstColumn="1" w:lastColumn="0" w:noHBand="0" w:noVBand="1"/>
      </w:tblPr>
      <w:tblGrid>
        <w:gridCol w:w="1526"/>
        <w:gridCol w:w="3544"/>
        <w:gridCol w:w="4110"/>
      </w:tblGrid>
      <w:tr w:rsidR="00372A4F" w:rsidRPr="00372A4F" w14:paraId="663214E4" w14:textId="77777777" w:rsidTr="007B63AA">
        <w:tc>
          <w:tcPr>
            <w:tcW w:w="1526" w:type="dxa"/>
            <w:vAlign w:val="center"/>
          </w:tcPr>
          <w:p w14:paraId="17A99505" w14:textId="77777777" w:rsidR="00372A4F" w:rsidRPr="00372A4F" w:rsidRDefault="00372A4F" w:rsidP="007B63AA">
            <w:pPr>
              <w:widowControl w:val="0"/>
              <w:autoSpaceDE w:val="0"/>
              <w:autoSpaceDN w:val="0"/>
              <w:adjustRightInd w:val="0"/>
              <w:spacing w:line="360" w:lineRule="auto"/>
              <w:jc w:val="both"/>
              <w:rPr>
                <w:rFonts w:ascii="Arial" w:hAnsi="Arial" w:cs="Arial"/>
              </w:rPr>
            </w:pPr>
          </w:p>
        </w:tc>
        <w:tc>
          <w:tcPr>
            <w:tcW w:w="3544" w:type="dxa"/>
            <w:vAlign w:val="center"/>
          </w:tcPr>
          <w:p w14:paraId="5FC6A347" w14:textId="77777777" w:rsidR="00372A4F" w:rsidRPr="00372A4F" w:rsidRDefault="00372A4F" w:rsidP="007B63AA">
            <w:pPr>
              <w:spacing w:before="120" w:after="120"/>
              <w:jc w:val="both"/>
              <w:rPr>
                <w:rFonts w:ascii="Arial" w:eastAsia="Times New Roman" w:hAnsi="Arial" w:cs="Arial"/>
              </w:rPr>
            </w:pPr>
            <w:r w:rsidRPr="00372A4F">
              <w:rPr>
                <w:rFonts w:ascii="Arial" w:eastAsia="Times New Roman" w:hAnsi="Arial" w:cs="Arial"/>
              </w:rPr>
              <w:t xml:space="preserve">Currently employed workers who have been with their current employer for at least 10 years </w:t>
            </w:r>
          </w:p>
        </w:tc>
        <w:tc>
          <w:tcPr>
            <w:tcW w:w="4110" w:type="dxa"/>
            <w:vAlign w:val="center"/>
          </w:tcPr>
          <w:p w14:paraId="6272B90D" w14:textId="77777777" w:rsidR="00372A4F" w:rsidRPr="00372A4F" w:rsidRDefault="00372A4F" w:rsidP="007B63AA">
            <w:pPr>
              <w:spacing w:before="120" w:after="120"/>
              <w:jc w:val="both"/>
              <w:rPr>
                <w:rFonts w:ascii="Arial" w:eastAsia="Times New Roman" w:hAnsi="Arial" w:cs="Arial"/>
              </w:rPr>
            </w:pPr>
            <w:r w:rsidRPr="00372A4F">
              <w:rPr>
                <w:rFonts w:ascii="Arial" w:eastAsia="Times New Roman" w:hAnsi="Arial" w:cs="Arial"/>
              </w:rPr>
              <w:t xml:space="preserve">Currently employed workers who have been in the workforce for at least 10 years but have less than 10 </w:t>
            </w:r>
            <w:proofErr w:type="spellStart"/>
            <w:r w:rsidRPr="00372A4F">
              <w:rPr>
                <w:rFonts w:ascii="Arial" w:eastAsia="Times New Roman" w:hAnsi="Arial" w:cs="Arial"/>
              </w:rPr>
              <w:t>years service</w:t>
            </w:r>
            <w:proofErr w:type="spellEnd"/>
            <w:r w:rsidRPr="00372A4F">
              <w:rPr>
                <w:rFonts w:ascii="Arial" w:eastAsia="Times New Roman" w:hAnsi="Arial" w:cs="Arial"/>
              </w:rPr>
              <w:t xml:space="preserve"> with current employer</w:t>
            </w:r>
          </w:p>
        </w:tc>
      </w:tr>
      <w:tr w:rsidR="00372A4F" w:rsidRPr="00372A4F" w14:paraId="55E19276" w14:textId="77777777" w:rsidTr="007B63AA">
        <w:tc>
          <w:tcPr>
            <w:tcW w:w="1526" w:type="dxa"/>
            <w:vAlign w:val="center"/>
          </w:tcPr>
          <w:p w14:paraId="2A58619F" w14:textId="77777777" w:rsidR="00372A4F" w:rsidRPr="00372A4F" w:rsidRDefault="00372A4F" w:rsidP="007B63AA">
            <w:pPr>
              <w:widowControl w:val="0"/>
              <w:autoSpaceDE w:val="0"/>
              <w:autoSpaceDN w:val="0"/>
              <w:adjustRightInd w:val="0"/>
              <w:spacing w:before="120" w:after="120"/>
              <w:jc w:val="center"/>
              <w:rPr>
                <w:rFonts w:ascii="Arial" w:hAnsi="Arial" w:cs="Arial"/>
                <w:b/>
              </w:rPr>
            </w:pPr>
            <w:r w:rsidRPr="00372A4F">
              <w:rPr>
                <w:rFonts w:ascii="Arial" w:hAnsi="Arial" w:cs="Arial"/>
                <w:b/>
              </w:rPr>
              <w:t>All</w:t>
            </w:r>
          </w:p>
        </w:tc>
        <w:tc>
          <w:tcPr>
            <w:tcW w:w="3544" w:type="dxa"/>
            <w:vAlign w:val="center"/>
          </w:tcPr>
          <w:p w14:paraId="1BA5CEBB" w14:textId="77777777" w:rsidR="00372A4F" w:rsidRPr="00372A4F" w:rsidRDefault="00372A4F" w:rsidP="007B63AA">
            <w:pPr>
              <w:widowControl w:val="0"/>
              <w:autoSpaceDE w:val="0"/>
              <w:autoSpaceDN w:val="0"/>
              <w:adjustRightInd w:val="0"/>
              <w:spacing w:before="120" w:after="120"/>
              <w:jc w:val="center"/>
              <w:rPr>
                <w:rFonts w:ascii="Arial" w:hAnsi="Arial" w:cs="Arial"/>
                <w:b/>
              </w:rPr>
            </w:pPr>
            <w:r w:rsidRPr="00372A4F">
              <w:rPr>
                <w:rFonts w:ascii="Arial" w:eastAsia="Times New Roman" w:hAnsi="Arial" w:cs="Arial"/>
                <w:b/>
              </w:rPr>
              <w:t>24.5%</w:t>
            </w:r>
          </w:p>
        </w:tc>
        <w:tc>
          <w:tcPr>
            <w:tcW w:w="4110" w:type="dxa"/>
            <w:vAlign w:val="center"/>
          </w:tcPr>
          <w:p w14:paraId="42F897BA" w14:textId="77777777" w:rsidR="00372A4F" w:rsidRPr="00372A4F" w:rsidRDefault="00372A4F" w:rsidP="007B63AA">
            <w:pPr>
              <w:widowControl w:val="0"/>
              <w:autoSpaceDE w:val="0"/>
              <w:autoSpaceDN w:val="0"/>
              <w:adjustRightInd w:val="0"/>
              <w:spacing w:before="120" w:after="120"/>
              <w:jc w:val="center"/>
              <w:rPr>
                <w:rFonts w:ascii="Arial" w:hAnsi="Arial" w:cs="Arial"/>
                <w:b/>
              </w:rPr>
            </w:pPr>
            <w:r w:rsidRPr="00372A4F">
              <w:rPr>
                <w:rFonts w:ascii="Arial" w:eastAsia="Times New Roman" w:hAnsi="Arial" w:cs="Arial"/>
                <w:b/>
              </w:rPr>
              <w:t>45.9%</w:t>
            </w:r>
          </w:p>
        </w:tc>
      </w:tr>
      <w:tr w:rsidR="00372A4F" w:rsidRPr="00372A4F" w14:paraId="6D7ED7D3" w14:textId="77777777" w:rsidTr="007B63AA">
        <w:tc>
          <w:tcPr>
            <w:tcW w:w="1526" w:type="dxa"/>
            <w:vAlign w:val="center"/>
          </w:tcPr>
          <w:p w14:paraId="49BC952E" w14:textId="77777777" w:rsidR="00372A4F" w:rsidRPr="00372A4F" w:rsidRDefault="00372A4F" w:rsidP="007B63AA">
            <w:pPr>
              <w:widowControl w:val="0"/>
              <w:autoSpaceDE w:val="0"/>
              <w:autoSpaceDN w:val="0"/>
              <w:adjustRightInd w:val="0"/>
              <w:spacing w:before="120" w:after="120"/>
              <w:jc w:val="center"/>
              <w:rPr>
                <w:rFonts w:ascii="Arial" w:hAnsi="Arial" w:cs="Arial"/>
                <w:b/>
              </w:rPr>
            </w:pPr>
            <w:r w:rsidRPr="00372A4F">
              <w:rPr>
                <w:rFonts w:ascii="Arial" w:hAnsi="Arial" w:cs="Arial"/>
                <w:b/>
              </w:rPr>
              <w:t>AGE</w:t>
            </w:r>
          </w:p>
        </w:tc>
        <w:tc>
          <w:tcPr>
            <w:tcW w:w="3544" w:type="dxa"/>
            <w:vAlign w:val="center"/>
          </w:tcPr>
          <w:p w14:paraId="62B3D728" w14:textId="77777777" w:rsidR="00372A4F" w:rsidRPr="00372A4F" w:rsidRDefault="00372A4F" w:rsidP="007B63AA">
            <w:pPr>
              <w:widowControl w:val="0"/>
              <w:autoSpaceDE w:val="0"/>
              <w:autoSpaceDN w:val="0"/>
              <w:adjustRightInd w:val="0"/>
              <w:spacing w:before="120" w:after="120"/>
              <w:jc w:val="center"/>
              <w:rPr>
                <w:rFonts w:ascii="Arial" w:hAnsi="Arial" w:cs="Arial"/>
              </w:rPr>
            </w:pPr>
          </w:p>
        </w:tc>
        <w:tc>
          <w:tcPr>
            <w:tcW w:w="4110" w:type="dxa"/>
            <w:vAlign w:val="center"/>
          </w:tcPr>
          <w:p w14:paraId="28520461" w14:textId="77777777" w:rsidR="00372A4F" w:rsidRPr="00372A4F" w:rsidRDefault="00372A4F" w:rsidP="007B63AA">
            <w:pPr>
              <w:widowControl w:val="0"/>
              <w:autoSpaceDE w:val="0"/>
              <w:autoSpaceDN w:val="0"/>
              <w:adjustRightInd w:val="0"/>
              <w:spacing w:before="120" w:after="120"/>
              <w:jc w:val="center"/>
              <w:rPr>
                <w:rFonts w:ascii="Arial" w:hAnsi="Arial" w:cs="Arial"/>
              </w:rPr>
            </w:pPr>
          </w:p>
        </w:tc>
      </w:tr>
      <w:tr w:rsidR="00372A4F" w:rsidRPr="00372A4F" w14:paraId="1C335BB8" w14:textId="77777777" w:rsidTr="007B63AA">
        <w:tc>
          <w:tcPr>
            <w:tcW w:w="1526" w:type="dxa"/>
            <w:vAlign w:val="center"/>
          </w:tcPr>
          <w:p w14:paraId="362AAAA5" w14:textId="77777777" w:rsidR="00372A4F" w:rsidRPr="00372A4F" w:rsidRDefault="00372A4F" w:rsidP="007B63AA">
            <w:pPr>
              <w:spacing w:before="120" w:after="120"/>
              <w:jc w:val="center"/>
              <w:rPr>
                <w:rFonts w:ascii="Arial" w:eastAsia="Times New Roman" w:hAnsi="Arial" w:cs="Arial"/>
              </w:rPr>
            </w:pPr>
            <w:r w:rsidRPr="00372A4F">
              <w:rPr>
                <w:rFonts w:ascii="Arial" w:eastAsia="Times New Roman" w:hAnsi="Arial" w:cs="Arial"/>
              </w:rPr>
              <w:t>15 to 24</w:t>
            </w:r>
          </w:p>
        </w:tc>
        <w:tc>
          <w:tcPr>
            <w:tcW w:w="3544" w:type="dxa"/>
            <w:vAlign w:val="center"/>
          </w:tcPr>
          <w:p w14:paraId="1DE1527C" w14:textId="77777777" w:rsidR="00372A4F" w:rsidRPr="00372A4F" w:rsidRDefault="00372A4F" w:rsidP="007B63AA">
            <w:pPr>
              <w:widowControl w:val="0"/>
              <w:autoSpaceDE w:val="0"/>
              <w:autoSpaceDN w:val="0"/>
              <w:adjustRightInd w:val="0"/>
              <w:spacing w:before="120" w:after="120"/>
              <w:jc w:val="center"/>
              <w:rPr>
                <w:rFonts w:ascii="Arial" w:hAnsi="Arial" w:cs="Arial"/>
              </w:rPr>
            </w:pPr>
            <w:r w:rsidRPr="00372A4F">
              <w:rPr>
                <w:rFonts w:ascii="Arial" w:hAnsi="Arial" w:cs="Arial"/>
              </w:rPr>
              <w:t>0.1%</w:t>
            </w:r>
          </w:p>
        </w:tc>
        <w:tc>
          <w:tcPr>
            <w:tcW w:w="4110" w:type="dxa"/>
            <w:vAlign w:val="center"/>
          </w:tcPr>
          <w:p w14:paraId="68263104" w14:textId="77777777" w:rsidR="00372A4F" w:rsidRPr="00372A4F" w:rsidRDefault="00372A4F" w:rsidP="007B63AA">
            <w:pPr>
              <w:widowControl w:val="0"/>
              <w:autoSpaceDE w:val="0"/>
              <w:autoSpaceDN w:val="0"/>
              <w:adjustRightInd w:val="0"/>
              <w:spacing w:before="120" w:after="120"/>
              <w:jc w:val="center"/>
              <w:rPr>
                <w:rFonts w:ascii="Arial" w:hAnsi="Arial" w:cs="Arial"/>
              </w:rPr>
            </w:pPr>
            <w:r w:rsidRPr="00372A4F">
              <w:rPr>
                <w:rFonts w:ascii="Arial" w:hAnsi="Arial" w:cs="Arial"/>
              </w:rPr>
              <w:t>0.0%</w:t>
            </w:r>
          </w:p>
        </w:tc>
      </w:tr>
      <w:tr w:rsidR="00372A4F" w:rsidRPr="00372A4F" w14:paraId="75E0C1D9" w14:textId="77777777" w:rsidTr="007B63AA">
        <w:tc>
          <w:tcPr>
            <w:tcW w:w="1526" w:type="dxa"/>
            <w:vAlign w:val="center"/>
          </w:tcPr>
          <w:p w14:paraId="79525F95" w14:textId="77777777" w:rsidR="00372A4F" w:rsidRPr="00372A4F" w:rsidRDefault="00372A4F" w:rsidP="007B63AA">
            <w:pPr>
              <w:spacing w:before="120" w:after="120"/>
              <w:jc w:val="center"/>
              <w:rPr>
                <w:rFonts w:ascii="Arial" w:eastAsia="Times New Roman" w:hAnsi="Arial" w:cs="Arial"/>
              </w:rPr>
            </w:pPr>
            <w:r w:rsidRPr="00372A4F">
              <w:rPr>
                <w:rFonts w:ascii="Arial" w:eastAsia="Times New Roman" w:hAnsi="Arial" w:cs="Arial"/>
              </w:rPr>
              <w:t>25 to 34</w:t>
            </w:r>
          </w:p>
        </w:tc>
        <w:tc>
          <w:tcPr>
            <w:tcW w:w="3544" w:type="dxa"/>
            <w:vAlign w:val="center"/>
          </w:tcPr>
          <w:p w14:paraId="6829CABE" w14:textId="77777777" w:rsidR="00372A4F" w:rsidRPr="00372A4F" w:rsidRDefault="00372A4F" w:rsidP="007B63AA">
            <w:pPr>
              <w:spacing w:before="120" w:after="120"/>
              <w:jc w:val="center"/>
              <w:rPr>
                <w:rFonts w:ascii="Arial" w:eastAsia="Times New Roman" w:hAnsi="Arial" w:cs="Arial"/>
              </w:rPr>
            </w:pPr>
            <w:r w:rsidRPr="00372A4F">
              <w:rPr>
                <w:rFonts w:ascii="Arial" w:eastAsia="Times New Roman" w:hAnsi="Arial" w:cs="Arial"/>
              </w:rPr>
              <w:t>7.9%</w:t>
            </w:r>
          </w:p>
        </w:tc>
        <w:tc>
          <w:tcPr>
            <w:tcW w:w="4110" w:type="dxa"/>
            <w:vAlign w:val="center"/>
          </w:tcPr>
          <w:p w14:paraId="2653BF5B" w14:textId="77777777" w:rsidR="00372A4F" w:rsidRPr="00372A4F" w:rsidRDefault="00372A4F" w:rsidP="007B63AA">
            <w:pPr>
              <w:spacing w:before="120" w:after="120"/>
              <w:jc w:val="center"/>
              <w:rPr>
                <w:rFonts w:ascii="Arial" w:eastAsia="Times New Roman" w:hAnsi="Arial" w:cs="Arial"/>
              </w:rPr>
            </w:pPr>
            <w:r w:rsidRPr="00372A4F">
              <w:rPr>
                <w:rFonts w:ascii="Arial" w:eastAsia="Times New Roman" w:hAnsi="Arial" w:cs="Arial"/>
              </w:rPr>
              <w:t>39.7%</w:t>
            </w:r>
          </w:p>
        </w:tc>
      </w:tr>
      <w:tr w:rsidR="00372A4F" w:rsidRPr="00372A4F" w14:paraId="6315B265" w14:textId="77777777" w:rsidTr="007B63AA">
        <w:tc>
          <w:tcPr>
            <w:tcW w:w="1526" w:type="dxa"/>
            <w:vAlign w:val="center"/>
          </w:tcPr>
          <w:p w14:paraId="4A79A016" w14:textId="77777777" w:rsidR="00372A4F" w:rsidRPr="00372A4F" w:rsidRDefault="00372A4F" w:rsidP="007B63AA">
            <w:pPr>
              <w:spacing w:before="120" w:after="120"/>
              <w:jc w:val="center"/>
              <w:rPr>
                <w:rFonts w:ascii="Arial" w:eastAsia="Times New Roman" w:hAnsi="Arial" w:cs="Arial"/>
              </w:rPr>
            </w:pPr>
            <w:r w:rsidRPr="00372A4F">
              <w:rPr>
                <w:rFonts w:ascii="Arial" w:eastAsia="Times New Roman" w:hAnsi="Arial" w:cs="Arial"/>
              </w:rPr>
              <w:t>35 to 44</w:t>
            </w:r>
          </w:p>
        </w:tc>
        <w:tc>
          <w:tcPr>
            <w:tcW w:w="3544" w:type="dxa"/>
            <w:vAlign w:val="center"/>
          </w:tcPr>
          <w:p w14:paraId="36FF4861" w14:textId="77777777" w:rsidR="00372A4F" w:rsidRPr="00372A4F" w:rsidRDefault="00372A4F" w:rsidP="007B63AA">
            <w:pPr>
              <w:spacing w:before="120" w:after="120"/>
              <w:jc w:val="center"/>
              <w:rPr>
                <w:rFonts w:ascii="Arial" w:eastAsia="Times New Roman" w:hAnsi="Arial" w:cs="Arial"/>
              </w:rPr>
            </w:pPr>
            <w:r w:rsidRPr="00372A4F">
              <w:rPr>
                <w:rFonts w:ascii="Arial" w:eastAsia="Times New Roman" w:hAnsi="Arial" w:cs="Arial"/>
              </w:rPr>
              <w:t>25.3%</w:t>
            </w:r>
          </w:p>
        </w:tc>
        <w:tc>
          <w:tcPr>
            <w:tcW w:w="4110" w:type="dxa"/>
            <w:vAlign w:val="center"/>
          </w:tcPr>
          <w:p w14:paraId="7A8889A7" w14:textId="77777777" w:rsidR="00372A4F" w:rsidRPr="00372A4F" w:rsidRDefault="00372A4F" w:rsidP="007B63AA">
            <w:pPr>
              <w:spacing w:before="120" w:after="120"/>
              <w:jc w:val="center"/>
              <w:rPr>
                <w:rFonts w:ascii="Arial" w:eastAsia="Times New Roman" w:hAnsi="Arial" w:cs="Arial"/>
              </w:rPr>
            </w:pPr>
            <w:r w:rsidRPr="00372A4F">
              <w:rPr>
                <w:rFonts w:ascii="Arial" w:eastAsia="Times New Roman" w:hAnsi="Arial" w:cs="Arial"/>
              </w:rPr>
              <w:t>69.8%</w:t>
            </w:r>
          </w:p>
        </w:tc>
      </w:tr>
      <w:tr w:rsidR="00372A4F" w:rsidRPr="00372A4F" w14:paraId="5334BF80" w14:textId="77777777" w:rsidTr="007B63AA">
        <w:tc>
          <w:tcPr>
            <w:tcW w:w="1526" w:type="dxa"/>
            <w:vAlign w:val="center"/>
          </w:tcPr>
          <w:p w14:paraId="5269A7BA" w14:textId="77777777" w:rsidR="00372A4F" w:rsidRPr="00372A4F" w:rsidRDefault="00372A4F" w:rsidP="007B63AA">
            <w:pPr>
              <w:spacing w:before="120" w:after="120"/>
              <w:jc w:val="center"/>
              <w:rPr>
                <w:rFonts w:ascii="Arial" w:eastAsia="Times New Roman" w:hAnsi="Arial" w:cs="Arial"/>
              </w:rPr>
            </w:pPr>
            <w:r w:rsidRPr="00372A4F">
              <w:rPr>
                <w:rFonts w:ascii="Arial" w:eastAsia="Times New Roman" w:hAnsi="Arial" w:cs="Arial"/>
              </w:rPr>
              <w:t>45 to 54</w:t>
            </w:r>
          </w:p>
        </w:tc>
        <w:tc>
          <w:tcPr>
            <w:tcW w:w="3544" w:type="dxa"/>
            <w:vAlign w:val="center"/>
          </w:tcPr>
          <w:p w14:paraId="3A547F02" w14:textId="77777777" w:rsidR="00372A4F" w:rsidRPr="00372A4F" w:rsidRDefault="00372A4F" w:rsidP="007B63AA">
            <w:pPr>
              <w:spacing w:before="120" w:after="120"/>
              <w:jc w:val="center"/>
              <w:rPr>
                <w:rFonts w:ascii="Arial" w:eastAsia="Times New Roman" w:hAnsi="Arial" w:cs="Arial"/>
              </w:rPr>
            </w:pPr>
            <w:r w:rsidRPr="00372A4F">
              <w:rPr>
                <w:rFonts w:ascii="Arial" w:eastAsia="Times New Roman" w:hAnsi="Arial" w:cs="Arial"/>
              </w:rPr>
              <w:t>39.1%</w:t>
            </w:r>
          </w:p>
        </w:tc>
        <w:tc>
          <w:tcPr>
            <w:tcW w:w="4110" w:type="dxa"/>
            <w:vAlign w:val="center"/>
          </w:tcPr>
          <w:p w14:paraId="569953E8" w14:textId="77777777" w:rsidR="00372A4F" w:rsidRPr="00372A4F" w:rsidRDefault="00372A4F" w:rsidP="007B63AA">
            <w:pPr>
              <w:spacing w:before="120" w:after="120"/>
              <w:jc w:val="center"/>
              <w:rPr>
                <w:rFonts w:ascii="Arial" w:eastAsia="Times New Roman" w:hAnsi="Arial" w:cs="Arial"/>
              </w:rPr>
            </w:pPr>
            <w:r w:rsidRPr="00372A4F">
              <w:rPr>
                <w:rFonts w:ascii="Arial" w:eastAsia="Times New Roman" w:hAnsi="Arial" w:cs="Arial"/>
              </w:rPr>
              <w:t>57.6%</w:t>
            </w:r>
          </w:p>
        </w:tc>
      </w:tr>
      <w:tr w:rsidR="00372A4F" w:rsidRPr="00372A4F" w14:paraId="73F99D67" w14:textId="77777777" w:rsidTr="007B63AA">
        <w:tc>
          <w:tcPr>
            <w:tcW w:w="1526" w:type="dxa"/>
            <w:vAlign w:val="center"/>
          </w:tcPr>
          <w:p w14:paraId="29A371A2" w14:textId="77777777" w:rsidR="00372A4F" w:rsidRPr="00372A4F" w:rsidRDefault="00372A4F" w:rsidP="007B63AA">
            <w:pPr>
              <w:spacing w:before="120" w:after="120"/>
              <w:jc w:val="center"/>
              <w:rPr>
                <w:rFonts w:ascii="Arial" w:eastAsia="Times New Roman" w:hAnsi="Arial" w:cs="Arial"/>
              </w:rPr>
            </w:pPr>
            <w:r w:rsidRPr="00372A4F">
              <w:rPr>
                <w:rFonts w:ascii="Arial" w:eastAsia="Times New Roman" w:hAnsi="Arial" w:cs="Arial"/>
              </w:rPr>
              <w:t>55 to 64</w:t>
            </w:r>
          </w:p>
        </w:tc>
        <w:tc>
          <w:tcPr>
            <w:tcW w:w="3544" w:type="dxa"/>
            <w:vAlign w:val="center"/>
          </w:tcPr>
          <w:p w14:paraId="7E4B2F69" w14:textId="77777777" w:rsidR="00372A4F" w:rsidRPr="00372A4F" w:rsidRDefault="00372A4F" w:rsidP="007B63AA">
            <w:pPr>
              <w:spacing w:before="120" w:after="120"/>
              <w:jc w:val="center"/>
              <w:rPr>
                <w:rFonts w:ascii="Arial" w:eastAsia="Times New Roman" w:hAnsi="Arial" w:cs="Arial"/>
              </w:rPr>
            </w:pPr>
            <w:r w:rsidRPr="00372A4F">
              <w:rPr>
                <w:rFonts w:ascii="Arial" w:eastAsia="Times New Roman" w:hAnsi="Arial" w:cs="Arial"/>
              </w:rPr>
              <w:t>51.7%</w:t>
            </w:r>
          </w:p>
        </w:tc>
        <w:tc>
          <w:tcPr>
            <w:tcW w:w="4110" w:type="dxa"/>
            <w:vAlign w:val="center"/>
          </w:tcPr>
          <w:p w14:paraId="2566CE00" w14:textId="77777777" w:rsidR="00372A4F" w:rsidRPr="00372A4F" w:rsidRDefault="00372A4F" w:rsidP="007B63AA">
            <w:pPr>
              <w:spacing w:before="120" w:after="120"/>
              <w:jc w:val="center"/>
              <w:rPr>
                <w:rFonts w:ascii="Arial" w:eastAsia="Times New Roman" w:hAnsi="Arial" w:cs="Arial"/>
              </w:rPr>
            </w:pPr>
            <w:r w:rsidRPr="00372A4F">
              <w:rPr>
                <w:rFonts w:ascii="Arial" w:eastAsia="Times New Roman" w:hAnsi="Arial" w:cs="Arial"/>
              </w:rPr>
              <w:t>46.6%</w:t>
            </w:r>
          </w:p>
        </w:tc>
      </w:tr>
      <w:tr w:rsidR="00372A4F" w:rsidRPr="00372A4F" w14:paraId="74BD6973" w14:textId="77777777" w:rsidTr="007B63AA">
        <w:tc>
          <w:tcPr>
            <w:tcW w:w="1526" w:type="dxa"/>
            <w:vAlign w:val="center"/>
          </w:tcPr>
          <w:p w14:paraId="4A187C97" w14:textId="77777777" w:rsidR="00372A4F" w:rsidRPr="00372A4F" w:rsidRDefault="00372A4F" w:rsidP="007B63AA">
            <w:pPr>
              <w:spacing w:before="120" w:after="120"/>
              <w:jc w:val="center"/>
              <w:rPr>
                <w:rFonts w:ascii="Arial" w:eastAsia="Times New Roman" w:hAnsi="Arial" w:cs="Arial"/>
              </w:rPr>
            </w:pPr>
            <w:r w:rsidRPr="00372A4F">
              <w:rPr>
                <w:rFonts w:ascii="Arial" w:eastAsia="Times New Roman" w:hAnsi="Arial" w:cs="Arial"/>
              </w:rPr>
              <w:t>65 and above</w:t>
            </w:r>
          </w:p>
        </w:tc>
        <w:tc>
          <w:tcPr>
            <w:tcW w:w="3544" w:type="dxa"/>
            <w:vAlign w:val="center"/>
          </w:tcPr>
          <w:p w14:paraId="28709695" w14:textId="77777777" w:rsidR="00372A4F" w:rsidRPr="00372A4F" w:rsidRDefault="00372A4F" w:rsidP="007B63AA">
            <w:pPr>
              <w:spacing w:before="120" w:after="120"/>
              <w:jc w:val="center"/>
              <w:rPr>
                <w:rFonts w:ascii="Arial" w:eastAsia="Times New Roman" w:hAnsi="Arial" w:cs="Arial"/>
              </w:rPr>
            </w:pPr>
            <w:r w:rsidRPr="00372A4F">
              <w:rPr>
                <w:rFonts w:ascii="Arial" w:eastAsia="Times New Roman" w:hAnsi="Arial" w:cs="Arial"/>
              </w:rPr>
              <w:t>65.6%</w:t>
            </w:r>
          </w:p>
        </w:tc>
        <w:tc>
          <w:tcPr>
            <w:tcW w:w="4110" w:type="dxa"/>
            <w:vAlign w:val="center"/>
          </w:tcPr>
          <w:p w14:paraId="024D90EC" w14:textId="77777777" w:rsidR="00372A4F" w:rsidRPr="00372A4F" w:rsidRDefault="00372A4F" w:rsidP="007B63AA">
            <w:pPr>
              <w:spacing w:before="120" w:after="120"/>
              <w:jc w:val="center"/>
              <w:rPr>
                <w:rFonts w:ascii="Arial" w:eastAsia="Times New Roman" w:hAnsi="Arial" w:cs="Arial"/>
              </w:rPr>
            </w:pPr>
            <w:r w:rsidRPr="00372A4F">
              <w:rPr>
                <w:rFonts w:ascii="Arial" w:eastAsia="Times New Roman" w:hAnsi="Arial" w:cs="Arial"/>
              </w:rPr>
              <w:t>32.4%</w:t>
            </w:r>
          </w:p>
        </w:tc>
      </w:tr>
    </w:tbl>
    <w:p w14:paraId="21835811" w14:textId="77777777" w:rsidR="00372A4F" w:rsidRPr="00372A4F" w:rsidRDefault="00372A4F" w:rsidP="007B63AA">
      <w:pPr>
        <w:widowControl w:val="0"/>
        <w:autoSpaceDE w:val="0"/>
        <w:autoSpaceDN w:val="0"/>
        <w:adjustRightInd w:val="0"/>
        <w:spacing w:before="120" w:after="0" w:line="360" w:lineRule="auto"/>
        <w:jc w:val="both"/>
        <w:rPr>
          <w:rFonts w:ascii="Arial" w:hAnsi="Arial" w:cs="Arial"/>
          <w:sz w:val="24"/>
          <w:szCs w:val="24"/>
        </w:rPr>
      </w:pPr>
      <w:r w:rsidRPr="00372A4F">
        <w:rPr>
          <w:rFonts w:ascii="Arial" w:hAnsi="Arial" w:cs="Arial"/>
          <w:sz w:val="24"/>
          <w:szCs w:val="24"/>
        </w:rPr>
        <w:t xml:space="preserve">Source: </w:t>
      </w:r>
      <w:proofErr w:type="spellStart"/>
      <w:r w:rsidRPr="00372A4F">
        <w:rPr>
          <w:rFonts w:ascii="Arial" w:hAnsi="Arial" w:cs="Arial"/>
          <w:sz w:val="24"/>
          <w:szCs w:val="24"/>
        </w:rPr>
        <w:t>McKell</w:t>
      </w:r>
      <w:proofErr w:type="spellEnd"/>
      <w:r w:rsidRPr="00372A4F">
        <w:rPr>
          <w:rFonts w:ascii="Arial" w:hAnsi="Arial" w:cs="Arial"/>
          <w:sz w:val="24"/>
          <w:szCs w:val="24"/>
        </w:rPr>
        <w:t xml:space="preserve"> Institute: </w:t>
      </w:r>
      <w:r w:rsidRPr="00372A4F">
        <w:rPr>
          <w:rFonts w:ascii="Arial" w:hAnsi="Arial" w:cs="Arial"/>
          <w:i/>
          <w:sz w:val="24"/>
          <w:szCs w:val="24"/>
        </w:rPr>
        <w:t>The Case for a National Portable Long Service Leave Scheme in Australia</w:t>
      </w:r>
      <w:r w:rsidRPr="00372A4F">
        <w:rPr>
          <w:rFonts w:ascii="Arial" w:hAnsi="Arial" w:cs="Arial"/>
          <w:sz w:val="24"/>
          <w:szCs w:val="24"/>
        </w:rPr>
        <w:t>: 20 June 2013</w:t>
      </w:r>
    </w:p>
    <w:p w14:paraId="46D65553" w14:textId="77777777" w:rsidR="00372A4F" w:rsidRDefault="00372A4F" w:rsidP="007B63AA">
      <w:pPr>
        <w:widowControl w:val="0"/>
        <w:autoSpaceDE w:val="0"/>
        <w:autoSpaceDN w:val="0"/>
        <w:adjustRightInd w:val="0"/>
        <w:spacing w:after="0" w:line="360" w:lineRule="auto"/>
        <w:jc w:val="both"/>
        <w:rPr>
          <w:rFonts w:ascii="Arial" w:hAnsi="Arial" w:cs="Arial"/>
          <w:sz w:val="24"/>
          <w:szCs w:val="24"/>
        </w:rPr>
      </w:pPr>
    </w:p>
    <w:p w14:paraId="27942021" w14:textId="77777777" w:rsidR="00372A4F" w:rsidRPr="00B86CA5" w:rsidRDefault="00372A4F" w:rsidP="007B63AA">
      <w:pPr>
        <w:pStyle w:val="ListParagraph"/>
        <w:widowControl w:val="0"/>
        <w:numPr>
          <w:ilvl w:val="0"/>
          <w:numId w:val="3"/>
        </w:numPr>
        <w:autoSpaceDE w:val="0"/>
        <w:autoSpaceDN w:val="0"/>
        <w:adjustRightInd w:val="0"/>
        <w:spacing w:after="0" w:line="360" w:lineRule="auto"/>
        <w:jc w:val="both"/>
        <w:rPr>
          <w:rFonts w:ascii="Arial" w:hAnsi="Arial" w:cs="Arial"/>
          <w:sz w:val="24"/>
          <w:szCs w:val="24"/>
        </w:rPr>
      </w:pPr>
      <w:r w:rsidRPr="00B86CA5">
        <w:rPr>
          <w:rFonts w:ascii="Arial" w:hAnsi="Arial" w:cs="Arial"/>
          <w:sz w:val="24"/>
          <w:szCs w:val="24"/>
        </w:rPr>
        <w:t>It is relevant to note that the industries in which mobility is high are also predominantly those that are more physically and/or emotionally demanding and which have a disproportionately high rate of work related illness and injury.</w:t>
      </w:r>
      <w:r w:rsidRPr="00372A4F">
        <w:rPr>
          <w:rStyle w:val="FootnoteReference"/>
          <w:rFonts w:ascii="Arial" w:hAnsi="Arial" w:cs="Arial"/>
          <w:sz w:val="24"/>
          <w:szCs w:val="24"/>
        </w:rPr>
        <w:footnoteReference w:id="32"/>
      </w:r>
    </w:p>
    <w:p w14:paraId="78A156B2" w14:textId="77777777" w:rsidR="00372A4F" w:rsidRDefault="00372A4F" w:rsidP="007B63AA">
      <w:pPr>
        <w:widowControl w:val="0"/>
        <w:autoSpaceDE w:val="0"/>
        <w:autoSpaceDN w:val="0"/>
        <w:adjustRightInd w:val="0"/>
        <w:spacing w:after="0" w:line="360" w:lineRule="auto"/>
        <w:jc w:val="both"/>
        <w:rPr>
          <w:rFonts w:ascii="Arial" w:hAnsi="Arial" w:cs="Arial"/>
          <w:sz w:val="24"/>
          <w:szCs w:val="24"/>
        </w:rPr>
      </w:pPr>
    </w:p>
    <w:p w14:paraId="6087DA28" w14:textId="77777777" w:rsidR="00372A4F" w:rsidRPr="00B86CA5" w:rsidRDefault="00372A4F" w:rsidP="007B63AA">
      <w:pPr>
        <w:pStyle w:val="ListParagraph"/>
        <w:widowControl w:val="0"/>
        <w:numPr>
          <w:ilvl w:val="0"/>
          <w:numId w:val="3"/>
        </w:numPr>
        <w:autoSpaceDE w:val="0"/>
        <w:autoSpaceDN w:val="0"/>
        <w:adjustRightInd w:val="0"/>
        <w:spacing w:after="0" w:line="360" w:lineRule="auto"/>
        <w:jc w:val="both"/>
        <w:rPr>
          <w:rFonts w:ascii="Arial" w:hAnsi="Arial" w:cs="Arial"/>
          <w:sz w:val="24"/>
          <w:szCs w:val="24"/>
        </w:rPr>
      </w:pPr>
      <w:r w:rsidRPr="00B86CA5">
        <w:rPr>
          <w:rFonts w:ascii="Arial" w:hAnsi="Arial" w:cs="Arial"/>
          <w:sz w:val="24"/>
          <w:szCs w:val="24"/>
        </w:rPr>
        <w:lastRenderedPageBreak/>
        <w:t>To combat the difficulties faced by many workers in these industries in qualifying for LSL entitlements, we recommend the introduction of additional portable contribution schemes.</w:t>
      </w:r>
    </w:p>
    <w:p w14:paraId="56C91529" w14:textId="77777777" w:rsidR="00372A4F" w:rsidRPr="00372A4F" w:rsidRDefault="00372A4F" w:rsidP="007B63AA">
      <w:pPr>
        <w:widowControl w:val="0"/>
        <w:autoSpaceDE w:val="0"/>
        <w:autoSpaceDN w:val="0"/>
        <w:adjustRightInd w:val="0"/>
        <w:spacing w:after="0" w:line="360" w:lineRule="auto"/>
        <w:jc w:val="both"/>
        <w:rPr>
          <w:rFonts w:ascii="Arial" w:hAnsi="Arial" w:cs="Arial"/>
          <w:sz w:val="24"/>
          <w:szCs w:val="24"/>
        </w:rPr>
      </w:pPr>
    </w:p>
    <w:p w14:paraId="7B3D9D8F" w14:textId="77777777" w:rsidR="00372A4F" w:rsidRPr="00B86CA5" w:rsidRDefault="00372A4F" w:rsidP="007B63AA">
      <w:pPr>
        <w:pStyle w:val="ListParagraph"/>
        <w:widowControl w:val="0"/>
        <w:numPr>
          <w:ilvl w:val="0"/>
          <w:numId w:val="3"/>
        </w:numPr>
        <w:autoSpaceDE w:val="0"/>
        <w:autoSpaceDN w:val="0"/>
        <w:adjustRightInd w:val="0"/>
        <w:spacing w:after="0" w:line="360" w:lineRule="auto"/>
        <w:jc w:val="both"/>
        <w:rPr>
          <w:rFonts w:ascii="Arial" w:hAnsi="Arial" w:cs="Arial"/>
          <w:sz w:val="24"/>
          <w:szCs w:val="24"/>
        </w:rPr>
      </w:pPr>
      <w:r w:rsidRPr="00B86CA5">
        <w:rPr>
          <w:rFonts w:ascii="Arial" w:hAnsi="Arial" w:cs="Arial"/>
          <w:sz w:val="24"/>
          <w:szCs w:val="24"/>
        </w:rPr>
        <w:t>Portable long service leave schemes already exist in a number of industries. These industry schemes present a good structural model that could be adopted to introduce portability at a National safety net level.</w:t>
      </w:r>
    </w:p>
    <w:p w14:paraId="05D264B9" w14:textId="77777777" w:rsidR="00372A4F" w:rsidRPr="00372A4F" w:rsidRDefault="00372A4F" w:rsidP="007B63AA">
      <w:pPr>
        <w:widowControl w:val="0"/>
        <w:autoSpaceDE w:val="0"/>
        <w:autoSpaceDN w:val="0"/>
        <w:adjustRightInd w:val="0"/>
        <w:spacing w:after="0" w:line="360" w:lineRule="auto"/>
        <w:jc w:val="both"/>
        <w:rPr>
          <w:rFonts w:ascii="Arial" w:hAnsi="Arial" w:cs="Arial"/>
          <w:sz w:val="24"/>
          <w:szCs w:val="24"/>
        </w:rPr>
      </w:pPr>
    </w:p>
    <w:p w14:paraId="736EC4BA" w14:textId="77777777" w:rsidR="00372A4F" w:rsidRPr="00B86CA5" w:rsidRDefault="00372A4F" w:rsidP="007B63AA">
      <w:pPr>
        <w:pStyle w:val="ListParagraph"/>
        <w:widowControl w:val="0"/>
        <w:numPr>
          <w:ilvl w:val="0"/>
          <w:numId w:val="3"/>
        </w:numPr>
        <w:autoSpaceDE w:val="0"/>
        <w:autoSpaceDN w:val="0"/>
        <w:adjustRightInd w:val="0"/>
        <w:spacing w:after="0" w:line="360" w:lineRule="auto"/>
        <w:jc w:val="both"/>
        <w:rPr>
          <w:rFonts w:ascii="Arial" w:hAnsi="Arial" w:cs="Arial"/>
          <w:sz w:val="24"/>
          <w:szCs w:val="24"/>
        </w:rPr>
      </w:pPr>
      <w:r w:rsidRPr="00B86CA5">
        <w:rPr>
          <w:rFonts w:ascii="Arial" w:hAnsi="Arial" w:cs="Arial"/>
          <w:sz w:val="24"/>
          <w:szCs w:val="24"/>
        </w:rPr>
        <w:t xml:space="preserve">The advantages of portability include: </w:t>
      </w:r>
    </w:p>
    <w:p w14:paraId="7B7E0442" w14:textId="77777777" w:rsidR="00372A4F" w:rsidRPr="00372A4F" w:rsidRDefault="00372A4F" w:rsidP="007B63AA">
      <w:pPr>
        <w:widowControl w:val="0"/>
        <w:autoSpaceDE w:val="0"/>
        <w:autoSpaceDN w:val="0"/>
        <w:adjustRightInd w:val="0"/>
        <w:spacing w:after="0" w:line="360" w:lineRule="auto"/>
        <w:jc w:val="both"/>
        <w:rPr>
          <w:rFonts w:ascii="Arial" w:hAnsi="Arial" w:cs="Arial"/>
          <w:sz w:val="24"/>
          <w:szCs w:val="24"/>
        </w:rPr>
      </w:pPr>
    </w:p>
    <w:p w14:paraId="2C765F60" w14:textId="3C76E6DB" w:rsidR="00372A4F" w:rsidRPr="00372A4F" w:rsidRDefault="00372A4F" w:rsidP="007B63AA">
      <w:pPr>
        <w:pStyle w:val="ListParagraph"/>
        <w:widowControl w:val="0"/>
        <w:numPr>
          <w:ilvl w:val="0"/>
          <w:numId w:val="8"/>
        </w:numPr>
        <w:autoSpaceDE w:val="0"/>
        <w:autoSpaceDN w:val="0"/>
        <w:adjustRightInd w:val="0"/>
        <w:spacing w:after="0" w:line="360" w:lineRule="auto"/>
        <w:jc w:val="both"/>
        <w:rPr>
          <w:rFonts w:ascii="Arial" w:hAnsi="Arial" w:cs="Arial"/>
          <w:sz w:val="24"/>
          <w:szCs w:val="24"/>
        </w:rPr>
      </w:pPr>
      <w:r w:rsidRPr="00372A4F">
        <w:rPr>
          <w:rFonts w:ascii="Arial" w:hAnsi="Arial" w:cs="Arial"/>
          <w:sz w:val="24"/>
          <w:szCs w:val="24"/>
        </w:rPr>
        <w:t xml:space="preserve">flexibility </w:t>
      </w:r>
      <w:r w:rsidR="00334A2D">
        <w:rPr>
          <w:rFonts w:ascii="Arial" w:hAnsi="Arial" w:cs="Arial"/>
          <w:sz w:val="24"/>
          <w:szCs w:val="24"/>
        </w:rPr>
        <w:t>for</w:t>
      </w:r>
      <w:r w:rsidRPr="00372A4F">
        <w:rPr>
          <w:rFonts w:ascii="Arial" w:hAnsi="Arial" w:cs="Arial"/>
          <w:sz w:val="24"/>
          <w:szCs w:val="24"/>
        </w:rPr>
        <w:t xml:space="preserve"> employees who may wish to take a break from physically and emotionally demanding roles to avoid burnout, which will have the effect of reducing workers compensation claims,</w:t>
      </w:r>
    </w:p>
    <w:p w14:paraId="5435A20B" w14:textId="77777777" w:rsidR="00372A4F" w:rsidRPr="00372A4F" w:rsidRDefault="00372A4F" w:rsidP="007B63AA">
      <w:pPr>
        <w:pStyle w:val="ListParagraph"/>
        <w:widowControl w:val="0"/>
        <w:autoSpaceDE w:val="0"/>
        <w:autoSpaceDN w:val="0"/>
        <w:adjustRightInd w:val="0"/>
        <w:spacing w:after="0" w:line="360" w:lineRule="auto"/>
        <w:jc w:val="both"/>
        <w:rPr>
          <w:rFonts w:ascii="Arial" w:hAnsi="Arial" w:cs="Arial"/>
          <w:sz w:val="24"/>
          <w:szCs w:val="24"/>
        </w:rPr>
      </w:pPr>
    </w:p>
    <w:p w14:paraId="2896545E" w14:textId="77777777" w:rsidR="00372A4F" w:rsidRPr="00372A4F" w:rsidRDefault="00372A4F" w:rsidP="007B63AA">
      <w:pPr>
        <w:pStyle w:val="ListParagraph"/>
        <w:widowControl w:val="0"/>
        <w:numPr>
          <w:ilvl w:val="0"/>
          <w:numId w:val="8"/>
        </w:numPr>
        <w:autoSpaceDE w:val="0"/>
        <w:autoSpaceDN w:val="0"/>
        <w:adjustRightInd w:val="0"/>
        <w:spacing w:after="0" w:line="360" w:lineRule="auto"/>
        <w:jc w:val="both"/>
        <w:rPr>
          <w:rFonts w:ascii="Arial" w:hAnsi="Arial" w:cs="Arial"/>
          <w:sz w:val="24"/>
          <w:szCs w:val="24"/>
        </w:rPr>
      </w:pPr>
      <w:r w:rsidRPr="00372A4F">
        <w:rPr>
          <w:rFonts w:ascii="Arial" w:hAnsi="Arial" w:cs="Arial"/>
          <w:sz w:val="24"/>
          <w:szCs w:val="24"/>
        </w:rPr>
        <w:t>equality for workers in industries with high rates of casual or contract labour, in which workers may find it difficult to reach the threshold length of service with one employer for LSL eligibility,</w:t>
      </w:r>
    </w:p>
    <w:p w14:paraId="2A2F61DB" w14:textId="77777777" w:rsidR="00372A4F" w:rsidRPr="00372A4F" w:rsidRDefault="00372A4F" w:rsidP="007B63AA">
      <w:pPr>
        <w:widowControl w:val="0"/>
        <w:autoSpaceDE w:val="0"/>
        <w:autoSpaceDN w:val="0"/>
        <w:adjustRightInd w:val="0"/>
        <w:spacing w:after="0" w:line="360" w:lineRule="auto"/>
        <w:jc w:val="both"/>
        <w:rPr>
          <w:rFonts w:ascii="Arial" w:hAnsi="Arial" w:cs="Arial"/>
          <w:sz w:val="24"/>
          <w:szCs w:val="24"/>
        </w:rPr>
      </w:pPr>
    </w:p>
    <w:p w14:paraId="76C9E1E0" w14:textId="3883432D" w:rsidR="00372A4F" w:rsidRDefault="00372A4F" w:rsidP="007B63AA">
      <w:pPr>
        <w:pStyle w:val="ListParagraph"/>
        <w:widowControl w:val="0"/>
        <w:numPr>
          <w:ilvl w:val="0"/>
          <w:numId w:val="8"/>
        </w:numPr>
        <w:autoSpaceDE w:val="0"/>
        <w:autoSpaceDN w:val="0"/>
        <w:adjustRightInd w:val="0"/>
        <w:spacing w:after="0" w:line="360" w:lineRule="auto"/>
        <w:jc w:val="both"/>
        <w:rPr>
          <w:rFonts w:ascii="Arial" w:hAnsi="Arial" w:cs="Arial"/>
          <w:sz w:val="24"/>
          <w:szCs w:val="24"/>
        </w:rPr>
      </w:pPr>
      <w:r w:rsidRPr="00372A4F">
        <w:rPr>
          <w:rFonts w:ascii="Arial" w:hAnsi="Arial" w:cs="Arial"/>
          <w:sz w:val="24"/>
          <w:szCs w:val="24"/>
        </w:rPr>
        <w:t xml:space="preserve">greater flexibility to workers who wish to move between employers or leave the workforce for short periods in order to care for family members, without having to </w:t>
      </w:r>
      <w:r w:rsidR="00334A2D" w:rsidRPr="00372A4F">
        <w:rPr>
          <w:rFonts w:ascii="Arial" w:hAnsi="Arial" w:cs="Arial"/>
          <w:sz w:val="24"/>
          <w:szCs w:val="24"/>
        </w:rPr>
        <w:t>for</w:t>
      </w:r>
      <w:r w:rsidR="00334A2D">
        <w:rPr>
          <w:rFonts w:ascii="Arial" w:hAnsi="Arial" w:cs="Arial"/>
          <w:sz w:val="24"/>
          <w:szCs w:val="24"/>
        </w:rPr>
        <w:t>feit</w:t>
      </w:r>
      <w:r w:rsidR="00334A2D" w:rsidRPr="00372A4F">
        <w:rPr>
          <w:rFonts w:ascii="Arial" w:hAnsi="Arial" w:cs="Arial"/>
          <w:sz w:val="24"/>
          <w:szCs w:val="24"/>
        </w:rPr>
        <w:t xml:space="preserve"> </w:t>
      </w:r>
      <w:r w:rsidRPr="00372A4F">
        <w:rPr>
          <w:rFonts w:ascii="Arial" w:hAnsi="Arial" w:cs="Arial"/>
          <w:sz w:val="24"/>
          <w:szCs w:val="24"/>
        </w:rPr>
        <w:t>accumulated LSL,</w:t>
      </w:r>
    </w:p>
    <w:p w14:paraId="39EB4DFB" w14:textId="77777777" w:rsidR="00372A4F" w:rsidRPr="00372A4F" w:rsidRDefault="00372A4F" w:rsidP="007B63AA">
      <w:pPr>
        <w:widowControl w:val="0"/>
        <w:autoSpaceDE w:val="0"/>
        <w:autoSpaceDN w:val="0"/>
        <w:adjustRightInd w:val="0"/>
        <w:spacing w:after="0" w:line="360" w:lineRule="auto"/>
        <w:jc w:val="both"/>
        <w:rPr>
          <w:rFonts w:ascii="Arial" w:hAnsi="Arial" w:cs="Arial"/>
          <w:sz w:val="24"/>
          <w:szCs w:val="24"/>
        </w:rPr>
      </w:pPr>
    </w:p>
    <w:p w14:paraId="131B568D" w14:textId="77777777" w:rsidR="00372A4F" w:rsidRPr="00372A4F" w:rsidRDefault="00372A4F" w:rsidP="007B63AA">
      <w:pPr>
        <w:pStyle w:val="ListParagraph"/>
        <w:widowControl w:val="0"/>
        <w:numPr>
          <w:ilvl w:val="0"/>
          <w:numId w:val="8"/>
        </w:numPr>
        <w:autoSpaceDE w:val="0"/>
        <w:autoSpaceDN w:val="0"/>
        <w:adjustRightInd w:val="0"/>
        <w:spacing w:after="0" w:line="360" w:lineRule="auto"/>
        <w:jc w:val="both"/>
        <w:rPr>
          <w:rFonts w:ascii="Arial" w:hAnsi="Arial" w:cs="Arial"/>
          <w:sz w:val="24"/>
          <w:szCs w:val="24"/>
        </w:rPr>
      </w:pPr>
      <w:r w:rsidRPr="00372A4F">
        <w:rPr>
          <w:rFonts w:ascii="Arial" w:hAnsi="Arial" w:cs="Arial"/>
          <w:sz w:val="24"/>
          <w:szCs w:val="24"/>
        </w:rPr>
        <w:t>greater scope for career enhancement and productivity in that employees will not be inclined to stay in a position longer than they would otherwise stay but for the forfeit of their accumulated LSL,</w:t>
      </w:r>
    </w:p>
    <w:p w14:paraId="1AD413D3" w14:textId="77777777" w:rsidR="00372A4F" w:rsidRPr="00372A4F" w:rsidRDefault="00372A4F" w:rsidP="007B63AA">
      <w:pPr>
        <w:widowControl w:val="0"/>
        <w:autoSpaceDE w:val="0"/>
        <w:autoSpaceDN w:val="0"/>
        <w:adjustRightInd w:val="0"/>
        <w:spacing w:after="0" w:line="360" w:lineRule="auto"/>
        <w:jc w:val="both"/>
        <w:rPr>
          <w:rFonts w:ascii="Arial" w:hAnsi="Arial" w:cs="Arial"/>
          <w:sz w:val="24"/>
          <w:szCs w:val="24"/>
        </w:rPr>
      </w:pPr>
    </w:p>
    <w:p w14:paraId="55094CC2" w14:textId="77777777" w:rsidR="00372A4F" w:rsidRPr="00372A4F" w:rsidRDefault="00372A4F" w:rsidP="007B63AA">
      <w:pPr>
        <w:pStyle w:val="ListParagraph"/>
        <w:widowControl w:val="0"/>
        <w:numPr>
          <w:ilvl w:val="0"/>
          <w:numId w:val="8"/>
        </w:numPr>
        <w:autoSpaceDE w:val="0"/>
        <w:autoSpaceDN w:val="0"/>
        <w:adjustRightInd w:val="0"/>
        <w:spacing w:after="0" w:line="360" w:lineRule="auto"/>
        <w:jc w:val="both"/>
        <w:rPr>
          <w:rFonts w:ascii="Arial" w:hAnsi="Arial" w:cs="Arial"/>
          <w:sz w:val="24"/>
          <w:szCs w:val="24"/>
        </w:rPr>
      </w:pPr>
      <w:proofErr w:type="gramStart"/>
      <w:r w:rsidRPr="00372A4F">
        <w:rPr>
          <w:rFonts w:ascii="Arial" w:hAnsi="Arial" w:cs="Arial"/>
          <w:sz w:val="24"/>
          <w:szCs w:val="24"/>
        </w:rPr>
        <w:t>reduced</w:t>
      </w:r>
      <w:proofErr w:type="gramEnd"/>
      <w:r w:rsidRPr="00372A4F">
        <w:rPr>
          <w:rFonts w:ascii="Arial" w:hAnsi="Arial" w:cs="Arial"/>
          <w:sz w:val="24"/>
          <w:szCs w:val="24"/>
        </w:rPr>
        <w:t xml:space="preserve"> non-compliance problems, as employers would pay into the fund as it accrues. It would also reduce the instances of employers terminating employees before they reach the LSL vesting threshold, and</w:t>
      </w:r>
    </w:p>
    <w:p w14:paraId="60D296C6" w14:textId="77777777" w:rsidR="00372A4F" w:rsidRPr="00372A4F" w:rsidRDefault="00372A4F" w:rsidP="007B63AA">
      <w:pPr>
        <w:widowControl w:val="0"/>
        <w:autoSpaceDE w:val="0"/>
        <w:autoSpaceDN w:val="0"/>
        <w:adjustRightInd w:val="0"/>
        <w:spacing w:after="0" w:line="360" w:lineRule="auto"/>
        <w:jc w:val="both"/>
        <w:rPr>
          <w:rFonts w:ascii="Arial" w:hAnsi="Arial" w:cs="Arial"/>
          <w:sz w:val="24"/>
          <w:szCs w:val="24"/>
        </w:rPr>
      </w:pPr>
    </w:p>
    <w:p w14:paraId="09EF2424" w14:textId="1EB4EEE4" w:rsidR="00372A4F" w:rsidRPr="00372A4F" w:rsidRDefault="007B63AA" w:rsidP="007B63AA">
      <w:pPr>
        <w:pStyle w:val="ListParagraph"/>
        <w:widowControl w:val="0"/>
        <w:numPr>
          <w:ilvl w:val="0"/>
          <w:numId w:val="8"/>
        </w:numPr>
        <w:autoSpaceDE w:val="0"/>
        <w:autoSpaceDN w:val="0"/>
        <w:adjustRightInd w:val="0"/>
        <w:spacing w:after="0" w:line="360" w:lineRule="auto"/>
        <w:jc w:val="both"/>
        <w:rPr>
          <w:rFonts w:ascii="Arial" w:hAnsi="Arial" w:cs="Arial"/>
          <w:sz w:val="24"/>
          <w:szCs w:val="24"/>
        </w:rPr>
      </w:pPr>
      <w:proofErr w:type="gramStart"/>
      <w:r>
        <w:rPr>
          <w:rFonts w:ascii="Arial" w:hAnsi="Arial" w:cs="Arial"/>
          <w:sz w:val="24"/>
          <w:szCs w:val="24"/>
        </w:rPr>
        <w:t>r</w:t>
      </w:r>
      <w:r w:rsidR="00372A4F" w:rsidRPr="00372A4F">
        <w:rPr>
          <w:rFonts w:ascii="Arial" w:hAnsi="Arial" w:cs="Arial"/>
          <w:sz w:val="24"/>
          <w:szCs w:val="24"/>
        </w:rPr>
        <w:t>educed</w:t>
      </w:r>
      <w:proofErr w:type="gramEnd"/>
      <w:r w:rsidR="00372A4F" w:rsidRPr="00372A4F">
        <w:rPr>
          <w:rFonts w:ascii="Arial" w:hAnsi="Arial" w:cs="Arial"/>
          <w:sz w:val="24"/>
          <w:szCs w:val="24"/>
        </w:rPr>
        <w:t xml:space="preserve"> administrative burden on employees, as the fund would provide for a majority of record keeping.</w:t>
      </w:r>
    </w:p>
    <w:p w14:paraId="364A365F" w14:textId="77777777" w:rsidR="00372A4F" w:rsidRPr="00372A4F" w:rsidRDefault="00372A4F" w:rsidP="007B63AA">
      <w:pPr>
        <w:widowControl w:val="0"/>
        <w:autoSpaceDE w:val="0"/>
        <w:autoSpaceDN w:val="0"/>
        <w:adjustRightInd w:val="0"/>
        <w:spacing w:after="0" w:line="360" w:lineRule="auto"/>
        <w:jc w:val="both"/>
        <w:rPr>
          <w:rFonts w:ascii="Arial" w:hAnsi="Arial" w:cs="Arial"/>
          <w:sz w:val="24"/>
          <w:szCs w:val="24"/>
        </w:rPr>
      </w:pPr>
    </w:p>
    <w:p w14:paraId="5814A451" w14:textId="77777777" w:rsidR="00372A4F" w:rsidRPr="00B86CA5" w:rsidRDefault="00372A4F" w:rsidP="007B63AA">
      <w:pPr>
        <w:pStyle w:val="ListParagraph"/>
        <w:widowControl w:val="0"/>
        <w:numPr>
          <w:ilvl w:val="0"/>
          <w:numId w:val="3"/>
        </w:numPr>
        <w:autoSpaceDE w:val="0"/>
        <w:autoSpaceDN w:val="0"/>
        <w:adjustRightInd w:val="0"/>
        <w:spacing w:after="0" w:line="360" w:lineRule="auto"/>
        <w:jc w:val="both"/>
        <w:rPr>
          <w:rFonts w:ascii="Arial" w:hAnsi="Arial" w:cs="Arial"/>
          <w:sz w:val="24"/>
          <w:szCs w:val="24"/>
        </w:rPr>
      </w:pPr>
      <w:r w:rsidRPr="00B86CA5">
        <w:rPr>
          <w:rFonts w:ascii="Arial" w:hAnsi="Arial" w:cs="Arial"/>
          <w:sz w:val="24"/>
          <w:szCs w:val="24"/>
        </w:rPr>
        <w:lastRenderedPageBreak/>
        <w:t>Further, national standards would provide greater flexibility for employment across different states and territories, and reduce the administrative burden for employers who operate across more than one jurisdiction.</w:t>
      </w:r>
    </w:p>
    <w:p w14:paraId="2AF08E0B" w14:textId="77777777" w:rsidR="00372A4F" w:rsidRDefault="00372A4F" w:rsidP="007B63AA">
      <w:pPr>
        <w:spacing w:after="0" w:line="360" w:lineRule="auto"/>
        <w:ind w:left="360"/>
        <w:jc w:val="both"/>
        <w:rPr>
          <w:rFonts w:ascii="Arial" w:hAnsi="Arial" w:cs="Arial"/>
          <w:sz w:val="24"/>
          <w:szCs w:val="24"/>
        </w:rPr>
      </w:pPr>
    </w:p>
    <w:p w14:paraId="698614EF" w14:textId="77777777" w:rsidR="00E518B1" w:rsidRDefault="00E518B1">
      <w:pPr>
        <w:rPr>
          <w:rFonts w:ascii="Arial" w:eastAsia="Times New Roman" w:hAnsi="Arial" w:cs="Arial"/>
          <w:b/>
          <w:bCs/>
          <w:sz w:val="28"/>
          <w:szCs w:val="28"/>
          <w:lang w:val="en-US"/>
        </w:rPr>
      </w:pPr>
      <w:r>
        <w:rPr>
          <w:rFonts w:ascii="Arial" w:hAnsi="Arial" w:cs="Arial"/>
          <w:b/>
          <w:sz w:val="28"/>
          <w:szCs w:val="28"/>
        </w:rPr>
        <w:br w:type="page"/>
      </w:r>
    </w:p>
    <w:p w14:paraId="57DE05F7" w14:textId="77777777" w:rsidR="00B86CA5" w:rsidRPr="00555859" w:rsidRDefault="00B86CA5" w:rsidP="007B63AA">
      <w:pPr>
        <w:pStyle w:val="awuHEAD"/>
        <w:spacing w:before="0" w:after="0" w:line="360" w:lineRule="auto"/>
        <w:jc w:val="both"/>
        <w:rPr>
          <w:rFonts w:ascii="Arial" w:hAnsi="Arial" w:cs="Arial"/>
          <w:b/>
          <w:color w:val="auto"/>
          <w:sz w:val="28"/>
          <w:szCs w:val="28"/>
        </w:rPr>
      </w:pPr>
      <w:r w:rsidRPr="00555859">
        <w:rPr>
          <w:rFonts w:ascii="Arial" w:hAnsi="Arial" w:cs="Arial"/>
          <w:b/>
          <w:color w:val="auto"/>
          <w:sz w:val="28"/>
          <w:szCs w:val="28"/>
        </w:rPr>
        <w:lastRenderedPageBreak/>
        <w:t>ISSUES PAPER 3: THE BARGAINING FRAMEWORK</w:t>
      </w:r>
    </w:p>
    <w:p w14:paraId="7B97B935" w14:textId="77777777" w:rsidR="00B86CA5" w:rsidRDefault="00B86CA5" w:rsidP="007B63AA">
      <w:pPr>
        <w:pStyle w:val="awuHEAD"/>
        <w:spacing w:before="0" w:after="0" w:line="360" w:lineRule="auto"/>
        <w:jc w:val="both"/>
        <w:rPr>
          <w:rFonts w:ascii="Arial" w:hAnsi="Arial" w:cs="Arial"/>
          <w:b/>
          <w:color w:val="666666"/>
          <w:szCs w:val="24"/>
        </w:rPr>
      </w:pPr>
    </w:p>
    <w:p w14:paraId="06A9165A" w14:textId="77777777" w:rsidR="00B86CA5" w:rsidRPr="00B86CA5" w:rsidRDefault="00B86CA5" w:rsidP="007B63AA">
      <w:pPr>
        <w:pStyle w:val="awuHEAD"/>
        <w:spacing w:before="0" w:after="0" w:line="360" w:lineRule="auto"/>
        <w:jc w:val="both"/>
        <w:rPr>
          <w:rFonts w:ascii="Arial" w:hAnsi="Arial" w:cs="Arial"/>
          <w:color w:val="666666"/>
          <w:szCs w:val="24"/>
          <w:u w:val="single"/>
        </w:rPr>
      </w:pPr>
      <w:r w:rsidRPr="00B86CA5">
        <w:rPr>
          <w:rFonts w:ascii="Arial" w:hAnsi="Arial" w:cs="Arial"/>
          <w:color w:val="auto"/>
          <w:szCs w:val="24"/>
          <w:u w:val="single"/>
        </w:rPr>
        <w:t>Bargaining and Industrial Disputes</w:t>
      </w:r>
    </w:p>
    <w:p w14:paraId="1FCB23FC" w14:textId="77777777" w:rsidR="00B86CA5" w:rsidRDefault="00B86CA5" w:rsidP="007B63AA">
      <w:pPr>
        <w:spacing w:after="0" w:line="360" w:lineRule="auto"/>
        <w:jc w:val="both"/>
        <w:rPr>
          <w:rFonts w:ascii="Arial" w:hAnsi="Arial" w:cs="Arial"/>
          <w:bCs/>
          <w:sz w:val="24"/>
          <w:szCs w:val="24"/>
        </w:rPr>
      </w:pPr>
    </w:p>
    <w:p w14:paraId="4F30313E" w14:textId="77777777" w:rsidR="00B86CA5" w:rsidRDefault="00B86CA5" w:rsidP="007B63AA">
      <w:pPr>
        <w:pStyle w:val="ListParagraph"/>
        <w:numPr>
          <w:ilvl w:val="0"/>
          <w:numId w:val="3"/>
        </w:numPr>
        <w:spacing w:after="0" w:line="360" w:lineRule="auto"/>
        <w:jc w:val="both"/>
        <w:rPr>
          <w:rFonts w:ascii="Arial" w:hAnsi="Arial" w:cs="Arial"/>
          <w:bCs/>
          <w:sz w:val="24"/>
          <w:szCs w:val="24"/>
        </w:rPr>
      </w:pPr>
      <w:r w:rsidRPr="00B86CA5">
        <w:rPr>
          <w:rFonts w:ascii="Arial" w:hAnsi="Arial" w:cs="Arial"/>
          <w:bCs/>
          <w:sz w:val="24"/>
          <w:szCs w:val="24"/>
        </w:rPr>
        <w:t>Australia’s current workplace relations (WR) framework is the product of many decades of development</w:t>
      </w:r>
      <w:r>
        <w:rPr>
          <w:rFonts w:ascii="Arial" w:hAnsi="Arial" w:cs="Arial"/>
          <w:bCs/>
          <w:sz w:val="24"/>
          <w:szCs w:val="24"/>
        </w:rPr>
        <w:t xml:space="preserve">. </w:t>
      </w:r>
    </w:p>
    <w:p w14:paraId="06DE084B" w14:textId="77777777" w:rsidR="00B86CA5" w:rsidRDefault="00B86CA5" w:rsidP="007B63AA">
      <w:pPr>
        <w:pStyle w:val="ListParagraph"/>
        <w:spacing w:after="0" w:line="360" w:lineRule="auto"/>
        <w:jc w:val="both"/>
        <w:rPr>
          <w:rFonts w:ascii="Arial" w:hAnsi="Arial" w:cs="Arial"/>
          <w:bCs/>
          <w:sz w:val="24"/>
          <w:szCs w:val="24"/>
        </w:rPr>
      </w:pPr>
    </w:p>
    <w:p w14:paraId="0EF0E6E3" w14:textId="77777777" w:rsidR="00B86CA5" w:rsidRDefault="00B86CA5" w:rsidP="007B63AA">
      <w:pPr>
        <w:pStyle w:val="ListParagraph"/>
        <w:numPr>
          <w:ilvl w:val="0"/>
          <w:numId w:val="3"/>
        </w:numPr>
        <w:spacing w:after="0" w:line="360" w:lineRule="auto"/>
        <w:jc w:val="both"/>
        <w:rPr>
          <w:rFonts w:ascii="Arial" w:hAnsi="Arial" w:cs="Arial"/>
          <w:bCs/>
          <w:sz w:val="24"/>
          <w:szCs w:val="24"/>
        </w:rPr>
      </w:pPr>
      <w:r w:rsidRPr="00B86CA5">
        <w:rPr>
          <w:rFonts w:ascii="Arial" w:hAnsi="Arial" w:cs="Arial"/>
          <w:bCs/>
          <w:sz w:val="24"/>
          <w:szCs w:val="24"/>
        </w:rPr>
        <w:t>It has evolved following tireless campaigning by unions and workers for the rightful, legal recognition of fair rights for workers, from learning from the marked, comprehensive failure and rejection of the Work Choices experiment and from understanding what role legislation can play on fairness and economic prosperity in our local communities.</w:t>
      </w:r>
    </w:p>
    <w:p w14:paraId="4AD64A70" w14:textId="77777777" w:rsidR="00B86CA5" w:rsidRDefault="00B86CA5" w:rsidP="007B63AA">
      <w:pPr>
        <w:pStyle w:val="ListParagraph"/>
        <w:spacing w:after="0" w:line="360" w:lineRule="auto"/>
        <w:jc w:val="both"/>
        <w:rPr>
          <w:rFonts w:ascii="Arial" w:hAnsi="Arial" w:cs="Arial"/>
          <w:bCs/>
          <w:sz w:val="24"/>
          <w:szCs w:val="24"/>
        </w:rPr>
      </w:pPr>
    </w:p>
    <w:p w14:paraId="19F27877" w14:textId="77777777" w:rsidR="00B86CA5" w:rsidRDefault="00B86CA5" w:rsidP="007B63AA">
      <w:pPr>
        <w:pStyle w:val="ListParagraph"/>
        <w:numPr>
          <w:ilvl w:val="0"/>
          <w:numId w:val="3"/>
        </w:numPr>
        <w:spacing w:after="0" w:line="360" w:lineRule="auto"/>
        <w:jc w:val="both"/>
        <w:rPr>
          <w:rFonts w:ascii="Arial" w:hAnsi="Arial" w:cs="Arial"/>
          <w:bCs/>
          <w:sz w:val="24"/>
          <w:szCs w:val="24"/>
        </w:rPr>
      </w:pPr>
      <w:r w:rsidRPr="00B86CA5">
        <w:rPr>
          <w:rFonts w:ascii="Arial" w:hAnsi="Arial" w:cs="Arial"/>
          <w:bCs/>
          <w:sz w:val="24"/>
          <w:szCs w:val="24"/>
        </w:rPr>
        <w:t xml:space="preserve">Indeed, Australia has come a long way and Australians should be proud of our present industrial </w:t>
      </w:r>
      <w:r>
        <w:rPr>
          <w:rFonts w:ascii="Arial" w:hAnsi="Arial" w:cs="Arial"/>
          <w:bCs/>
          <w:sz w:val="24"/>
          <w:szCs w:val="24"/>
        </w:rPr>
        <w:t>position.</w:t>
      </w:r>
    </w:p>
    <w:p w14:paraId="0604358A" w14:textId="77777777" w:rsidR="00B86CA5" w:rsidRPr="00B86CA5" w:rsidRDefault="00B86CA5" w:rsidP="007B63AA">
      <w:pPr>
        <w:pStyle w:val="ListParagraph"/>
        <w:spacing w:line="360" w:lineRule="auto"/>
        <w:jc w:val="both"/>
        <w:rPr>
          <w:rFonts w:ascii="Arial" w:hAnsi="Arial" w:cs="Arial"/>
          <w:bCs/>
          <w:sz w:val="24"/>
          <w:szCs w:val="24"/>
        </w:rPr>
      </w:pPr>
    </w:p>
    <w:p w14:paraId="6A86AD79" w14:textId="1E3D56A1" w:rsidR="00B86CA5" w:rsidRDefault="00B86CA5" w:rsidP="007B63AA">
      <w:pPr>
        <w:pStyle w:val="ListParagraph"/>
        <w:numPr>
          <w:ilvl w:val="0"/>
          <w:numId w:val="3"/>
        </w:numPr>
        <w:spacing w:after="0" w:line="360" w:lineRule="auto"/>
        <w:jc w:val="both"/>
        <w:rPr>
          <w:rFonts w:ascii="Arial" w:hAnsi="Arial" w:cs="Arial"/>
          <w:bCs/>
          <w:sz w:val="24"/>
          <w:szCs w:val="24"/>
        </w:rPr>
      </w:pPr>
      <w:r w:rsidRPr="00B86CA5">
        <w:rPr>
          <w:rFonts w:ascii="Arial" w:hAnsi="Arial" w:cs="Arial"/>
          <w:bCs/>
          <w:sz w:val="24"/>
          <w:szCs w:val="24"/>
        </w:rPr>
        <w:t>The current rules governing workplace relations, to which the enterprise bargaining and dispute resolution framework is central, reflect</w:t>
      </w:r>
      <w:r>
        <w:rPr>
          <w:rFonts w:ascii="Arial" w:hAnsi="Arial" w:cs="Arial"/>
          <w:bCs/>
          <w:sz w:val="24"/>
          <w:szCs w:val="24"/>
        </w:rPr>
        <w:t xml:space="preserve"> a maturing Australia. </w:t>
      </w:r>
    </w:p>
    <w:p w14:paraId="4BB9D997" w14:textId="77777777" w:rsidR="00B86CA5" w:rsidRPr="00B86CA5" w:rsidRDefault="00B86CA5" w:rsidP="007B63AA">
      <w:pPr>
        <w:pStyle w:val="ListParagraph"/>
        <w:spacing w:line="360" w:lineRule="auto"/>
        <w:jc w:val="both"/>
        <w:rPr>
          <w:rFonts w:ascii="Arial" w:hAnsi="Arial" w:cs="Arial"/>
          <w:bCs/>
          <w:sz w:val="24"/>
          <w:szCs w:val="24"/>
        </w:rPr>
      </w:pPr>
    </w:p>
    <w:p w14:paraId="33DD5F81" w14:textId="77777777" w:rsidR="00B86CA5" w:rsidRPr="00B86CA5" w:rsidRDefault="00B86CA5" w:rsidP="007B63AA">
      <w:pPr>
        <w:pStyle w:val="ListParagraph"/>
        <w:numPr>
          <w:ilvl w:val="0"/>
          <w:numId w:val="3"/>
        </w:numPr>
        <w:spacing w:after="0" w:line="360" w:lineRule="auto"/>
        <w:jc w:val="both"/>
        <w:rPr>
          <w:rFonts w:ascii="Arial" w:hAnsi="Arial" w:cs="Arial"/>
          <w:bCs/>
          <w:sz w:val="24"/>
          <w:szCs w:val="24"/>
        </w:rPr>
      </w:pPr>
      <w:r w:rsidRPr="00B86CA5">
        <w:rPr>
          <w:rFonts w:ascii="Arial" w:hAnsi="Arial" w:cs="Arial"/>
          <w:bCs/>
          <w:sz w:val="24"/>
          <w:szCs w:val="24"/>
        </w:rPr>
        <w:t xml:space="preserve">Seemingly, we had finally begun to understand the effectiveness of long-term policy approaches to economic growth and social cohesion, the danger that the pace of globalised economic forces can have on the very foundations and principles on which our communities are built, and therefore, the need to enshrine fairness in our industrial relations laws.  </w:t>
      </w:r>
    </w:p>
    <w:p w14:paraId="4EA5B60C" w14:textId="77777777" w:rsidR="00B86CA5" w:rsidRDefault="00B86CA5" w:rsidP="007B63AA">
      <w:pPr>
        <w:spacing w:after="0" w:line="360" w:lineRule="auto"/>
        <w:jc w:val="both"/>
        <w:rPr>
          <w:rFonts w:ascii="Arial" w:hAnsi="Arial" w:cs="Arial"/>
          <w:b/>
          <w:bCs/>
          <w:sz w:val="24"/>
          <w:szCs w:val="24"/>
        </w:rPr>
      </w:pPr>
    </w:p>
    <w:p w14:paraId="4645D090" w14:textId="77777777" w:rsidR="00B86CA5" w:rsidRPr="00B86CA5" w:rsidRDefault="00B86CA5" w:rsidP="007B63AA">
      <w:pPr>
        <w:spacing w:after="0" w:line="360" w:lineRule="auto"/>
        <w:jc w:val="both"/>
        <w:rPr>
          <w:rFonts w:ascii="Arial" w:hAnsi="Arial" w:cs="Arial"/>
          <w:bCs/>
          <w:sz w:val="24"/>
          <w:szCs w:val="24"/>
          <w:u w:val="single"/>
        </w:rPr>
      </w:pPr>
      <w:r w:rsidRPr="00B86CA5">
        <w:rPr>
          <w:rFonts w:ascii="Arial" w:hAnsi="Arial" w:cs="Arial"/>
          <w:bCs/>
          <w:sz w:val="24"/>
          <w:szCs w:val="24"/>
          <w:u w:val="single"/>
        </w:rPr>
        <w:t>The aims of the inquiry</w:t>
      </w:r>
    </w:p>
    <w:p w14:paraId="7F5EF4DB" w14:textId="77777777" w:rsidR="00B86CA5" w:rsidRDefault="00B86CA5" w:rsidP="007B63AA">
      <w:pPr>
        <w:spacing w:after="0" w:line="360" w:lineRule="auto"/>
        <w:jc w:val="both"/>
        <w:rPr>
          <w:rFonts w:ascii="Arial" w:hAnsi="Arial" w:cs="Arial"/>
          <w:bCs/>
          <w:sz w:val="24"/>
          <w:szCs w:val="24"/>
        </w:rPr>
      </w:pPr>
    </w:p>
    <w:p w14:paraId="78E47FE0" w14:textId="77777777" w:rsidR="00B86CA5" w:rsidRDefault="00B86CA5" w:rsidP="007B63AA">
      <w:pPr>
        <w:pStyle w:val="ListParagraph"/>
        <w:numPr>
          <w:ilvl w:val="0"/>
          <w:numId w:val="3"/>
        </w:numPr>
        <w:spacing w:after="0" w:line="360" w:lineRule="auto"/>
        <w:jc w:val="both"/>
        <w:rPr>
          <w:rFonts w:ascii="Arial" w:hAnsi="Arial" w:cs="Arial"/>
          <w:bCs/>
          <w:sz w:val="24"/>
          <w:szCs w:val="24"/>
        </w:rPr>
      </w:pPr>
      <w:r w:rsidRPr="00B86CA5">
        <w:rPr>
          <w:rFonts w:ascii="Arial" w:hAnsi="Arial" w:cs="Arial"/>
          <w:bCs/>
          <w:sz w:val="24"/>
          <w:szCs w:val="24"/>
        </w:rPr>
        <w:t>Despite this progress, the Productivity Commission has been asked by a Government – far out-of-touch with the millions of hardworking Australians it should represent – to yet again review key aspects of the bargaining and industrial framework.</w:t>
      </w:r>
      <w:r>
        <w:rPr>
          <w:rFonts w:ascii="Arial" w:hAnsi="Arial" w:cs="Arial"/>
          <w:bCs/>
          <w:sz w:val="24"/>
          <w:szCs w:val="24"/>
        </w:rPr>
        <w:t xml:space="preserve"> </w:t>
      </w:r>
    </w:p>
    <w:p w14:paraId="710A9A33" w14:textId="77777777" w:rsidR="00B86CA5" w:rsidRDefault="00B86CA5" w:rsidP="007B63AA">
      <w:pPr>
        <w:pStyle w:val="ListParagraph"/>
        <w:spacing w:after="0" w:line="360" w:lineRule="auto"/>
        <w:jc w:val="both"/>
        <w:rPr>
          <w:rFonts w:ascii="Arial" w:hAnsi="Arial" w:cs="Arial"/>
          <w:bCs/>
          <w:sz w:val="24"/>
          <w:szCs w:val="24"/>
        </w:rPr>
      </w:pPr>
    </w:p>
    <w:p w14:paraId="3ECA9109" w14:textId="77777777" w:rsidR="00B86CA5" w:rsidRDefault="00B86CA5" w:rsidP="007B63AA">
      <w:pPr>
        <w:pStyle w:val="ListParagraph"/>
        <w:numPr>
          <w:ilvl w:val="0"/>
          <w:numId w:val="3"/>
        </w:numPr>
        <w:spacing w:after="0" w:line="360" w:lineRule="auto"/>
        <w:jc w:val="both"/>
        <w:rPr>
          <w:rFonts w:ascii="Arial" w:hAnsi="Arial" w:cs="Arial"/>
          <w:bCs/>
          <w:sz w:val="24"/>
          <w:szCs w:val="24"/>
        </w:rPr>
      </w:pPr>
      <w:r w:rsidRPr="00B86CA5">
        <w:rPr>
          <w:rFonts w:ascii="Arial" w:hAnsi="Arial" w:cs="Arial"/>
          <w:bCs/>
          <w:sz w:val="24"/>
          <w:szCs w:val="24"/>
        </w:rPr>
        <w:lastRenderedPageBreak/>
        <w:t>Specifically, the issue of productivity has again resurfaced and the call to increase employers’ industrial powers has again been made.  More generally, it seeks to water down laws governing workplace fairness, which Australians overwhelmingly support, and reduce employee entitlements in favour of laws designed to financially benefit large business owners, shareholders, and multinational companies.</w:t>
      </w:r>
    </w:p>
    <w:p w14:paraId="7C2ADF81" w14:textId="77777777" w:rsidR="00B86CA5" w:rsidRPr="00B86CA5" w:rsidRDefault="00B86CA5" w:rsidP="007B63AA">
      <w:pPr>
        <w:pStyle w:val="ListParagraph"/>
        <w:spacing w:line="360" w:lineRule="auto"/>
        <w:jc w:val="both"/>
        <w:rPr>
          <w:rFonts w:ascii="Arial" w:hAnsi="Arial" w:cs="Arial"/>
          <w:bCs/>
          <w:sz w:val="24"/>
          <w:szCs w:val="24"/>
        </w:rPr>
      </w:pPr>
    </w:p>
    <w:p w14:paraId="13CD64E2" w14:textId="77777777" w:rsidR="00B86CA5" w:rsidRDefault="00B86CA5" w:rsidP="007B63AA">
      <w:pPr>
        <w:pStyle w:val="ListParagraph"/>
        <w:numPr>
          <w:ilvl w:val="0"/>
          <w:numId w:val="3"/>
        </w:numPr>
        <w:spacing w:after="0" w:line="360" w:lineRule="auto"/>
        <w:jc w:val="both"/>
        <w:rPr>
          <w:rFonts w:ascii="Arial" w:hAnsi="Arial" w:cs="Arial"/>
          <w:bCs/>
          <w:sz w:val="24"/>
          <w:szCs w:val="24"/>
        </w:rPr>
      </w:pPr>
      <w:r w:rsidRPr="00B86CA5">
        <w:rPr>
          <w:rFonts w:ascii="Arial" w:hAnsi="Arial" w:cs="Arial"/>
          <w:bCs/>
          <w:sz w:val="24"/>
          <w:szCs w:val="24"/>
        </w:rPr>
        <w:t>Nonetheless, the AWU asserts that mounting evidence demonstrates that the current bargaining and industrial framework is economically and socially responsible, and right for Australia.  The terms in which the Commission’s review has been framed only add further weight to this claim.</w:t>
      </w:r>
    </w:p>
    <w:p w14:paraId="49A3DFE2" w14:textId="77777777" w:rsidR="00B86CA5" w:rsidRPr="00B86CA5" w:rsidRDefault="00B86CA5" w:rsidP="007B63AA">
      <w:pPr>
        <w:pStyle w:val="ListParagraph"/>
        <w:spacing w:line="360" w:lineRule="auto"/>
        <w:jc w:val="both"/>
        <w:rPr>
          <w:rFonts w:ascii="Arial" w:hAnsi="Arial" w:cs="Arial"/>
          <w:bCs/>
          <w:sz w:val="24"/>
          <w:szCs w:val="24"/>
        </w:rPr>
      </w:pPr>
    </w:p>
    <w:p w14:paraId="2ED0BA45" w14:textId="77777777" w:rsidR="00B86CA5" w:rsidRDefault="00B86CA5" w:rsidP="007B63AA">
      <w:pPr>
        <w:pStyle w:val="ListParagraph"/>
        <w:numPr>
          <w:ilvl w:val="0"/>
          <w:numId w:val="3"/>
        </w:numPr>
        <w:spacing w:after="0" w:line="360" w:lineRule="auto"/>
        <w:jc w:val="both"/>
        <w:rPr>
          <w:rFonts w:ascii="Arial" w:hAnsi="Arial" w:cs="Arial"/>
          <w:bCs/>
          <w:sz w:val="24"/>
          <w:szCs w:val="24"/>
        </w:rPr>
      </w:pPr>
      <w:r w:rsidRPr="00B86CA5">
        <w:rPr>
          <w:rFonts w:ascii="Arial" w:hAnsi="Arial" w:cs="Arial"/>
          <w:bCs/>
          <w:sz w:val="24"/>
          <w:szCs w:val="24"/>
        </w:rPr>
        <w:t>For example, the inquiry is to “consider the type of system that might best suit the Australian community over the long-term”.  As discussed below in more detail, a system designed to do this will have to support and encourage businesses to invest in its workforce so that its management has the capability to drive innovation and its workers the skills to adapt to a changing economy.  This framework would help drive productivity.</w:t>
      </w:r>
    </w:p>
    <w:p w14:paraId="1886A264" w14:textId="77777777" w:rsidR="00B86CA5" w:rsidRPr="00B86CA5" w:rsidRDefault="00B86CA5" w:rsidP="007B63AA">
      <w:pPr>
        <w:pStyle w:val="ListParagraph"/>
        <w:spacing w:line="360" w:lineRule="auto"/>
        <w:jc w:val="both"/>
        <w:rPr>
          <w:rFonts w:ascii="Arial" w:hAnsi="Arial" w:cs="Arial"/>
          <w:bCs/>
          <w:sz w:val="24"/>
          <w:szCs w:val="24"/>
        </w:rPr>
      </w:pPr>
    </w:p>
    <w:p w14:paraId="00108816" w14:textId="32312200" w:rsidR="00B86CA5" w:rsidRDefault="00B86CA5" w:rsidP="007B63AA">
      <w:pPr>
        <w:pStyle w:val="ListParagraph"/>
        <w:numPr>
          <w:ilvl w:val="0"/>
          <w:numId w:val="3"/>
        </w:numPr>
        <w:spacing w:after="0" w:line="360" w:lineRule="auto"/>
        <w:jc w:val="both"/>
        <w:rPr>
          <w:rFonts w:ascii="Arial" w:hAnsi="Arial" w:cs="Arial"/>
          <w:bCs/>
          <w:sz w:val="24"/>
          <w:szCs w:val="24"/>
        </w:rPr>
      </w:pPr>
      <w:r w:rsidRPr="00B86CA5">
        <w:rPr>
          <w:rFonts w:ascii="Arial" w:hAnsi="Arial" w:cs="Arial"/>
          <w:bCs/>
          <w:sz w:val="24"/>
          <w:szCs w:val="24"/>
        </w:rPr>
        <w:t xml:space="preserve">The Commission is also seeking to review the </w:t>
      </w:r>
      <w:r w:rsidR="00334A2D">
        <w:rPr>
          <w:rFonts w:ascii="Arial" w:hAnsi="Arial" w:cs="Arial"/>
          <w:bCs/>
          <w:sz w:val="24"/>
          <w:szCs w:val="24"/>
        </w:rPr>
        <w:t xml:space="preserve">capacity of the </w:t>
      </w:r>
      <w:r w:rsidRPr="00B86CA5">
        <w:rPr>
          <w:rFonts w:ascii="Arial" w:hAnsi="Arial" w:cs="Arial"/>
          <w:bCs/>
          <w:sz w:val="24"/>
          <w:szCs w:val="24"/>
        </w:rPr>
        <w:t xml:space="preserve">bargaining and industrial disputes framework to adapt over the longer term to “changes in the global economy”.  This must include the growing pressure from large corporations to drive down Australia’s labour terms and conditions in an effort to compete with developing nations.  </w:t>
      </w:r>
    </w:p>
    <w:p w14:paraId="1541587C" w14:textId="77777777" w:rsidR="00B86CA5" w:rsidRPr="00B86CA5" w:rsidRDefault="00B86CA5" w:rsidP="007B63AA">
      <w:pPr>
        <w:pStyle w:val="ListParagraph"/>
        <w:spacing w:line="360" w:lineRule="auto"/>
        <w:jc w:val="both"/>
        <w:rPr>
          <w:rFonts w:ascii="Arial" w:hAnsi="Arial" w:cs="Arial"/>
          <w:bCs/>
          <w:sz w:val="24"/>
          <w:szCs w:val="24"/>
        </w:rPr>
      </w:pPr>
    </w:p>
    <w:p w14:paraId="06EC5223" w14:textId="77777777" w:rsidR="00B86CA5" w:rsidRDefault="00B86CA5" w:rsidP="007B63AA">
      <w:pPr>
        <w:pStyle w:val="ListParagraph"/>
        <w:numPr>
          <w:ilvl w:val="0"/>
          <w:numId w:val="3"/>
        </w:numPr>
        <w:spacing w:after="0" w:line="360" w:lineRule="auto"/>
        <w:jc w:val="both"/>
        <w:rPr>
          <w:rFonts w:ascii="Arial" w:hAnsi="Arial" w:cs="Arial"/>
          <w:bCs/>
          <w:sz w:val="24"/>
          <w:szCs w:val="24"/>
        </w:rPr>
      </w:pPr>
      <w:r w:rsidRPr="00B86CA5">
        <w:rPr>
          <w:rFonts w:ascii="Arial" w:hAnsi="Arial" w:cs="Arial"/>
          <w:bCs/>
          <w:sz w:val="24"/>
          <w:szCs w:val="24"/>
        </w:rPr>
        <w:t>A ‘race to the bottom’</w:t>
      </w:r>
      <w:r w:rsidRPr="00B86CA5">
        <w:rPr>
          <w:rStyle w:val="FootnoteReference"/>
          <w:rFonts w:ascii="Arial" w:hAnsi="Arial" w:cs="Arial"/>
          <w:bCs/>
          <w:sz w:val="24"/>
          <w:szCs w:val="24"/>
        </w:rPr>
        <w:footnoteReference w:id="33"/>
      </w:r>
      <w:r w:rsidRPr="00B86CA5">
        <w:rPr>
          <w:rFonts w:ascii="Arial" w:hAnsi="Arial" w:cs="Arial"/>
          <w:bCs/>
          <w:sz w:val="24"/>
          <w:szCs w:val="24"/>
        </w:rPr>
        <w:t xml:space="preserve"> is not an option for Australia – our commitment to fairness, our living standards and cohesive communities must be protected.  Indeed the Commission is right to extend this inquiry to looking at international examples of workplace legislation.  </w:t>
      </w:r>
    </w:p>
    <w:p w14:paraId="3317B59E" w14:textId="77777777" w:rsidR="00B86CA5" w:rsidRPr="00B86CA5" w:rsidRDefault="00B86CA5" w:rsidP="007B63AA">
      <w:pPr>
        <w:pStyle w:val="ListParagraph"/>
        <w:spacing w:line="360" w:lineRule="auto"/>
        <w:jc w:val="both"/>
        <w:rPr>
          <w:rFonts w:ascii="Arial" w:hAnsi="Arial" w:cs="Arial"/>
          <w:bCs/>
          <w:sz w:val="24"/>
          <w:szCs w:val="24"/>
        </w:rPr>
      </w:pPr>
    </w:p>
    <w:p w14:paraId="2F9F38D3" w14:textId="77777777" w:rsidR="00B86CA5" w:rsidRDefault="00B86CA5" w:rsidP="007B63AA">
      <w:pPr>
        <w:pStyle w:val="ListParagraph"/>
        <w:numPr>
          <w:ilvl w:val="0"/>
          <w:numId w:val="3"/>
        </w:numPr>
        <w:spacing w:after="0" w:line="360" w:lineRule="auto"/>
        <w:jc w:val="both"/>
        <w:rPr>
          <w:rFonts w:ascii="Arial" w:hAnsi="Arial" w:cs="Arial"/>
          <w:bCs/>
          <w:sz w:val="24"/>
          <w:szCs w:val="24"/>
        </w:rPr>
      </w:pPr>
      <w:r w:rsidRPr="00B86CA5">
        <w:rPr>
          <w:rFonts w:ascii="Arial" w:hAnsi="Arial" w:cs="Arial"/>
          <w:bCs/>
          <w:sz w:val="24"/>
          <w:szCs w:val="24"/>
        </w:rPr>
        <w:lastRenderedPageBreak/>
        <w:t>Those countries with weak legislation enable companies to exploit their workers, and in the worst cases, to force workers to work long hours in unsafe conditions and live in poverty.  A framework adapted to the global economy would prevent a ‘race to the bottom’.</w:t>
      </w:r>
    </w:p>
    <w:p w14:paraId="0A53B06D" w14:textId="77777777" w:rsidR="00B86CA5" w:rsidRPr="00B86CA5" w:rsidRDefault="00B86CA5" w:rsidP="007B63AA">
      <w:pPr>
        <w:pStyle w:val="ListParagraph"/>
        <w:spacing w:line="360" w:lineRule="auto"/>
        <w:jc w:val="both"/>
        <w:rPr>
          <w:rFonts w:ascii="Arial" w:hAnsi="Arial" w:cs="Arial"/>
          <w:bCs/>
          <w:sz w:val="24"/>
          <w:szCs w:val="24"/>
        </w:rPr>
      </w:pPr>
    </w:p>
    <w:p w14:paraId="47A3FACC" w14:textId="77777777" w:rsidR="00B86CA5" w:rsidRDefault="00B86CA5" w:rsidP="007B63AA">
      <w:pPr>
        <w:pStyle w:val="ListParagraph"/>
        <w:numPr>
          <w:ilvl w:val="0"/>
          <w:numId w:val="3"/>
        </w:numPr>
        <w:spacing w:after="0" w:line="360" w:lineRule="auto"/>
        <w:jc w:val="both"/>
        <w:rPr>
          <w:rFonts w:ascii="Arial" w:hAnsi="Arial" w:cs="Arial"/>
          <w:bCs/>
          <w:sz w:val="24"/>
          <w:szCs w:val="24"/>
        </w:rPr>
      </w:pPr>
      <w:r w:rsidRPr="00B86CA5">
        <w:rPr>
          <w:rFonts w:ascii="Arial" w:hAnsi="Arial" w:cs="Arial"/>
          <w:bCs/>
          <w:sz w:val="24"/>
          <w:szCs w:val="24"/>
        </w:rPr>
        <w:t xml:space="preserve">It is the AWU’s belief that Australia’s current bargaining and industrial dispute framework addresses the inherent power imbalance that exists between employers and workers to do exactly what the Commission has expressed that it should: “regulate how employers and employees can bargain for </w:t>
      </w:r>
      <w:r w:rsidRPr="00B86CA5">
        <w:rPr>
          <w:rFonts w:ascii="Arial" w:hAnsi="Arial" w:cs="Arial"/>
          <w:b/>
          <w:bCs/>
          <w:i/>
          <w:sz w:val="24"/>
          <w:szCs w:val="24"/>
        </w:rPr>
        <w:t>better conditions</w:t>
      </w:r>
      <w:r w:rsidRPr="00B86CA5">
        <w:rPr>
          <w:rFonts w:ascii="Arial" w:hAnsi="Arial" w:cs="Arial"/>
          <w:bCs/>
          <w:sz w:val="24"/>
          <w:szCs w:val="24"/>
        </w:rPr>
        <w:t xml:space="preserve">”.  </w:t>
      </w:r>
    </w:p>
    <w:p w14:paraId="78D93C99" w14:textId="77777777" w:rsidR="00B86CA5" w:rsidRPr="00B86CA5" w:rsidRDefault="00B86CA5" w:rsidP="007B63AA">
      <w:pPr>
        <w:pStyle w:val="ListParagraph"/>
        <w:spacing w:line="360" w:lineRule="auto"/>
        <w:jc w:val="both"/>
        <w:rPr>
          <w:rFonts w:ascii="Arial" w:hAnsi="Arial" w:cs="Arial"/>
          <w:bCs/>
          <w:sz w:val="24"/>
          <w:szCs w:val="24"/>
        </w:rPr>
      </w:pPr>
    </w:p>
    <w:p w14:paraId="40F6A747" w14:textId="77777777" w:rsidR="00B86CA5" w:rsidRDefault="00B86CA5" w:rsidP="007B63AA">
      <w:pPr>
        <w:pStyle w:val="ListParagraph"/>
        <w:numPr>
          <w:ilvl w:val="0"/>
          <w:numId w:val="3"/>
        </w:numPr>
        <w:spacing w:after="0" w:line="360" w:lineRule="auto"/>
        <w:jc w:val="both"/>
        <w:rPr>
          <w:rFonts w:ascii="Arial" w:hAnsi="Arial" w:cs="Arial"/>
          <w:bCs/>
          <w:sz w:val="24"/>
          <w:szCs w:val="24"/>
        </w:rPr>
      </w:pPr>
      <w:r w:rsidRPr="00B86CA5">
        <w:rPr>
          <w:rFonts w:ascii="Arial" w:hAnsi="Arial" w:cs="Arial"/>
          <w:bCs/>
          <w:sz w:val="24"/>
          <w:szCs w:val="24"/>
        </w:rPr>
        <w:t xml:space="preserve">In our submission below, we explain why the current system addresses the Commission’s overarching concern and delivers “bargaining arrangements [that] allow </w:t>
      </w:r>
      <w:r w:rsidRPr="00B86CA5">
        <w:rPr>
          <w:rFonts w:ascii="Arial" w:hAnsi="Arial" w:cs="Arial"/>
          <w:bCs/>
          <w:i/>
          <w:sz w:val="24"/>
          <w:szCs w:val="24"/>
        </w:rPr>
        <w:t>employees</w:t>
      </w:r>
      <w:r w:rsidRPr="00B86CA5">
        <w:rPr>
          <w:rFonts w:ascii="Arial" w:hAnsi="Arial" w:cs="Arial"/>
          <w:bCs/>
          <w:sz w:val="24"/>
          <w:szCs w:val="24"/>
        </w:rPr>
        <w:t xml:space="preserve"> and </w:t>
      </w:r>
      <w:r w:rsidRPr="00B86CA5">
        <w:rPr>
          <w:rFonts w:ascii="Arial" w:hAnsi="Arial" w:cs="Arial"/>
          <w:bCs/>
          <w:i/>
          <w:sz w:val="24"/>
          <w:szCs w:val="24"/>
        </w:rPr>
        <w:t>employers</w:t>
      </w:r>
      <w:r w:rsidRPr="00B86CA5">
        <w:rPr>
          <w:rFonts w:ascii="Arial" w:hAnsi="Arial" w:cs="Arial"/>
          <w:bCs/>
          <w:sz w:val="24"/>
          <w:szCs w:val="24"/>
        </w:rPr>
        <w:t xml:space="preserve"> to genuinely craft arrangements suited to them”.</w:t>
      </w:r>
    </w:p>
    <w:p w14:paraId="517C25A2" w14:textId="77777777" w:rsidR="00B86CA5" w:rsidRPr="0089667C" w:rsidRDefault="00B86CA5" w:rsidP="007B63AA">
      <w:pPr>
        <w:spacing w:after="0" w:line="360" w:lineRule="auto"/>
        <w:jc w:val="both"/>
        <w:rPr>
          <w:rFonts w:ascii="Arial" w:hAnsi="Arial" w:cs="Arial"/>
          <w:bCs/>
          <w:sz w:val="24"/>
          <w:szCs w:val="24"/>
        </w:rPr>
      </w:pPr>
      <w:r w:rsidRPr="00B86CA5">
        <w:rPr>
          <w:rFonts w:ascii="Arial" w:hAnsi="Arial" w:cs="Arial"/>
          <w:bCs/>
          <w:sz w:val="24"/>
          <w:szCs w:val="24"/>
        </w:rPr>
        <w:t xml:space="preserve">   </w:t>
      </w:r>
    </w:p>
    <w:p w14:paraId="22BCA5B3" w14:textId="77777777" w:rsidR="00B86CA5" w:rsidRPr="00B86CA5" w:rsidRDefault="00B86CA5" w:rsidP="007B63AA">
      <w:pPr>
        <w:spacing w:after="0" w:line="360" w:lineRule="auto"/>
        <w:jc w:val="both"/>
        <w:rPr>
          <w:rFonts w:ascii="Arial" w:hAnsi="Arial" w:cs="Arial"/>
          <w:bCs/>
          <w:sz w:val="24"/>
          <w:szCs w:val="24"/>
          <w:u w:val="single"/>
        </w:rPr>
      </w:pPr>
      <w:r w:rsidRPr="00B86CA5">
        <w:rPr>
          <w:rFonts w:ascii="Arial" w:hAnsi="Arial" w:cs="Arial"/>
          <w:bCs/>
          <w:sz w:val="24"/>
          <w:szCs w:val="24"/>
          <w:u w:val="single"/>
        </w:rPr>
        <w:t>Procedural steps and minimum conditions</w:t>
      </w:r>
    </w:p>
    <w:p w14:paraId="3A2D8271" w14:textId="77777777" w:rsidR="00B86CA5" w:rsidRDefault="00B86CA5" w:rsidP="007B63AA">
      <w:pPr>
        <w:spacing w:after="0" w:line="360" w:lineRule="auto"/>
        <w:jc w:val="both"/>
        <w:rPr>
          <w:rFonts w:ascii="Arial" w:hAnsi="Arial" w:cs="Arial"/>
          <w:bCs/>
          <w:sz w:val="24"/>
          <w:szCs w:val="24"/>
        </w:rPr>
      </w:pPr>
    </w:p>
    <w:p w14:paraId="7EF20EA6" w14:textId="45726351" w:rsidR="00B86CA5" w:rsidRDefault="00B86CA5" w:rsidP="007B63AA">
      <w:pPr>
        <w:pStyle w:val="ListParagraph"/>
        <w:numPr>
          <w:ilvl w:val="0"/>
          <w:numId w:val="3"/>
        </w:numPr>
        <w:spacing w:after="0" w:line="360" w:lineRule="auto"/>
        <w:jc w:val="both"/>
        <w:rPr>
          <w:rFonts w:ascii="Arial" w:hAnsi="Arial" w:cs="Arial"/>
          <w:bCs/>
          <w:sz w:val="24"/>
          <w:szCs w:val="24"/>
        </w:rPr>
      </w:pPr>
      <w:r w:rsidRPr="00B86CA5">
        <w:rPr>
          <w:rFonts w:ascii="Arial" w:hAnsi="Arial" w:cs="Arial"/>
          <w:bCs/>
          <w:sz w:val="24"/>
          <w:szCs w:val="24"/>
        </w:rPr>
        <w:t xml:space="preserve">The </w:t>
      </w:r>
      <w:r w:rsidR="00E518B1">
        <w:rPr>
          <w:rFonts w:ascii="Arial" w:hAnsi="Arial" w:cs="Arial"/>
          <w:bCs/>
          <w:sz w:val="24"/>
          <w:szCs w:val="24"/>
        </w:rPr>
        <w:t>A</w:t>
      </w:r>
      <w:r w:rsidR="000B252F">
        <w:rPr>
          <w:rFonts w:ascii="Arial" w:hAnsi="Arial" w:cs="Arial"/>
          <w:bCs/>
          <w:sz w:val="24"/>
          <w:szCs w:val="24"/>
        </w:rPr>
        <w:t>ct</w:t>
      </w:r>
      <w:r w:rsidRPr="00B86CA5">
        <w:rPr>
          <w:rFonts w:ascii="Arial" w:hAnsi="Arial" w:cs="Arial"/>
          <w:bCs/>
          <w:sz w:val="24"/>
          <w:szCs w:val="24"/>
        </w:rPr>
        <w:t xml:space="preserve"> sets out procedural steps for employers to take before they can ask employees to approve an enterprise agreement, alongside a set of obligations that they must adhere to in terms of basic rights and provisions for their workers.  </w:t>
      </w:r>
    </w:p>
    <w:p w14:paraId="27290233" w14:textId="77777777" w:rsidR="00B86CA5" w:rsidRDefault="00B86CA5" w:rsidP="007B63AA">
      <w:pPr>
        <w:pStyle w:val="ListParagraph"/>
        <w:spacing w:after="0" w:line="360" w:lineRule="auto"/>
        <w:jc w:val="both"/>
        <w:rPr>
          <w:rFonts w:ascii="Arial" w:hAnsi="Arial" w:cs="Arial"/>
          <w:bCs/>
          <w:sz w:val="24"/>
          <w:szCs w:val="24"/>
        </w:rPr>
      </w:pPr>
    </w:p>
    <w:p w14:paraId="6B4616CC" w14:textId="77777777" w:rsidR="00B86CA5" w:rsidRDefault="00B86CA5" w:rsidP="007B63AA">
      <w:pPr>
        <w:pStyle w:val="ListParagraph"/>
        <w:numPr>
          <w:ilvl w:val="0"/>
          <w:numId w:val="3"/>
        </w:numPr>
        <w:spacing w:after="0" w:line="360" w:lineRule="auto"/>
        <w:jc w:val="both"/>
        <w:rPr>
          <w:rFonts w:ascii="Arial" w:hAnsi="Arial" w:cs="Arial"/>
          <w:bCs/>
          <w:sz w:val="24"/>
          <w:szCs w:val="24"/>
        </w:rPr>
      </w:pPr>
      <w:r w:rsidRPr="00B86CA5">
        <w:rPr>
          <w:rFonts w:ascii="Arial" w:hAnsi="Arial" w:cs="Arial"/>
          <w:bCs/>
          <w:sz w:val="24"/>
          <w:szCs w:val="24"/>
        </w:rPr>
        <w:t xml:space="preserve">These include the recognition of representatives of employees, time limits for </w:t>
      </w:r>
      <w:proofErr w:type="spellStart"/>
      <w:r w:rsidRPr="00B86CA5">
        <w:rPr>
          <w:rFonts w:ascii="Arial" w:hAnsi="Arial" w:cs="Arial"/>
          <w:bCs/>
          <w:sz w:val="24"/>
          <w:szCs w:val="24"/>
        </w:rPr>
        <w:t>lodgement</w:t>
      </w:r>
      <w:proofErr w:type="spellEnd"/>
      <w:r w:rsidRPr="00B86CA5">
        <w:rPr>
          <w:rFonts w:ascii="Arial" w:hAnsi="Arial" w:cs="Arial"/>
          <w:bCs/>
          <w:sz w:val="24"/>
          <w:szCs w:val="24"/>
        </w:rPr>
        <w:t>, provisions to establish informed consent by parties to the agreement, an obligation to bargain in good faith, and compliance with the National Employment Standards (NES) and minimum conditions as per relevant awards.</w:t>
      </w:r>
      <w:r w:rsidRPr="00B86CA5">
        <w:rPr>
          <w:rStyle w:val="FootnoteReference"/>
          <w:rFonts w:ascii="Arial" w:hAnsi="Arial" w:cs="Arial"/>
          <w:bCs/>
          <w:sz w:val="24"/>
          <w:szCs w:val="24"/>
        </w:rPr>
        <w:footnoteReference w:id="34"/>
      </w:r>
    </w:p>
    <w:p w14:paraId="7AE579C1" w14:textId="77777777" w:rsidR="00B86CA5" w:rsidRPr="00B86CA5" w:rsidRDefault="00B86CA5" w:rsidP="007B63AA">
      <w:pPr>
        <w:pStyle w:val="ListParagraph"/>
        <w:spacing w:line="360" w:lineRule="auto"/>
        <w:jc w:val="both"/>
        <w:rPr>
          <w:rFonts w:ascii="Arial" w:hAnsi="Arial" w:cs="Arial"/>
          <w:bCs/>
          <w:sz w:val="24"/>
          <w:szCs w:val="24"/>
        </w:rPr>
      </w:pPr>
    </w:p>
    <w:p w14:paraId="507CE5D0" w14:textId="5058E8A6" w:rsidR="00B86CA5" w:rsidRDefault="00B86CA5" w:rsidP="007B63AA">
      <w:pPr>
        <w:pStyle w:val="ListParagraph"/>
        <w:numPr>
          <w:ilvl w:val="0"/>
          <w:numId w:val="3"/>
        </w:numPr>
        <w:spacing w:after="0" w:line="360" w:lineRule="auto"/>
        <w:jc w:val="both"/>
        <w:rPr>
          <w:rFonts w:ascii="Arial" w:hAnsi="Arial" w:cs="Arial"/>
          <w:bCs/>
          <w:sz w:val="24"/>
          <w:szCs w:val="24"/>
        </w:rPr>
      </w:pPr>
      <w:r w:rsidRPr="00B86CA5">
        <w:rPr>
          <w:rFonts w:ascii="Arial" w:hAnsi="Arial" w:cs="Arial"/>
          <w:bCs/>
          <w:sz w:val="24"/>
          <w:szCs w:val="24"/>
        </w:rPr>
        <w:t xml:space="preserve">The procedural steps establish the ‘rules of the game’ so that all parties know what to expect throughout the bargaining process.  They are rules that have been carefully considered and agreed to by each party during the development </w:t>
      </w:r>
      <w:r w:rsidRPr="00B86CA5">
        <w:rPr>
          <w:rFonts w:ascii="Arial" w:hAnsi="Arial" w:cs="Arial"/>
          <w:bCs/>
          <w:sz w:val="24"/>
          <w:szCs w:val="24"/>
        </w:rPr>
        <w:lastRenderedPageBreak/>
        <w:t xml:space="preserve">of the </w:t>
      </w:r>
      <w:r w:rsidR="00E518B1">
        <w:rPr>
          <w:rFonts w:ascii="Arial" w:hAnsi="Arial" w:cs="Arial"/>
          <w:bCs/>
          <w:sz w:val="24"/>
          <w:szCs w:val="24"/>
        </w:rPr>
        <w:t>A</w:t>
      </w:r>
      <w:r w:rsidR="000B252F">
        <w:rPr>
          <w:rFonts w:ascii="Arial" w:hAnsi="Arial" w:cs="Arial"/>
          <w:bCs/>
          <w:sz w:val="24"/>
          <w:szCs w:val="24"/>
        </w:rPr>
        <w:t>ct</w:t>
      </w:r>
      <w:r w:rsidRPr="00B86CA5">
        <w:rPr>
          <w:rFonts w:ascii="Arial" w:hAnsi="Arial" w:cs="Arial"/>
          <w:bCs/>
          <w:sz w:val="24"/>
          <w:szCs w:val="24"/>
        </w:rPr>
        <w:t xml:space="preserve"> and proceeding legislation, and which therefore facilitate smooth, effective and </w:t>
      </w:r>
      <w:proofErr w:type="spellStart"/>
      <w:r w:rsidRPr="00B86CA5">
        <w:rPr>
          <w:rFonts w:ascii="Arial" w:hAnsi="Arial" w:cs="Arial"/>
          <w:bCs/>
          <w:sz w:val="24"/>
          <w:szCs w:val="24"/>
        </w:rPr>
        <w:t>amical</w:t>
      </w:r>
      <w:proofErr w:type="spellEnd"/>
      <w:r w:rsidRPr="00B86CA5">
        <w:rPr>
          <w:rFonts w:ascii="Arial" w:hAnsi="Arial" w:cs="Arial"/>
          <w:bCs/>
          <w:sz w:val="24"/>
          <w:szCs w:val="24"/>
        </w:rPr>
        <w:t xml:space="preserve"> bargaining negotiations.  Clear and mutually agreed, these rules underpin the industrial relations system in Australia.</w:t>
      </w:r>
    </w:p>
    <w:p w14:paraId="62892A69" w14:textId="77777777" w:rsidR="00B86CA5" w:rsidRPr="00B86CA5" w:rsidRDefault="00B86CA5" w:rsidP="007B63AA">
      <w:pPr>
        <w:pStyle w:val="ListParagraph"/>
        <w:spacing w:line="360" w:lineRule="auto"/>
        <w:jc w:val="both"/>
        <w:rPr>
          <w:rFonts w:ascii="Arial" w:hAnsi="Arial" w:cs="Arial"/>
          <w:bCs/>
          <w:sz w:val="24"/>
          <w:szCs w:val="24"/>
        </w:rPr>
      </w:pPr>
    </w:p>
    <w:p w14:paraId="432CF3C8" w14:textId="7DE21A6B" w:rsidR="00BA0EBA" w:rsidRDefault="00B86CA5" w:rsidP="007B63AA">
      <w:pPr>
        <w:pStyle w:val="ListParagraph"/>
        <w:numPr>
          <w:ilvl w:val="0"/>
          <w:numId w:val="3"/>
        </w:numPr>
        <w:spacing w:after="0" w:line="360" w:lineRule="auto"/>
        <w:jc w:val="both"/>
        <w:rPr>
          <w:rFonts w:ascii="Arial" w:hAnsi="Arial" w:cs="Arial"/>
          <w:bCs/>
          <w:sz w:val="24"/>
          <w:szCs w:val="24"/>
        </w:rPr>
      </w:pPr>
      <w:r w:rsidRPr="00B86CA5">
        <w:rPr>
          <w:rFonts w:ascii="Arial" w:hAnsi="Arial" w:cs="Arial"/>
          <w:bCs/>
          <w:sz w:val="24"/>
          <w:szCs w:val="24"/>
        </w:rPr>
        <w:t xml:space="preserve">The NES consist of ten minimum conditions of employment that all 'National System Employers' must provide to their employees, including weekly working </w:t>
      </w:r>
      <w:proofErr w:type="gramStart"/>
      <w:r w:rsidRPr="00B86CA5">
        <w:rPr>
          <w:rFonts w:ascii="Arial" w:hAnsi="Arial" w:cs="Arial"/>
          <w:bCs/>
          <w:sz w:val="24"/>
          <w:szCs w:val="24"/>
        </w:rPr>
        <w:t>hours,</w:t>
      </w:r>
      <w:proofErr w:type="gramEnd"/>
      <w:r w:rsidRPr="00B86CA5">
        <w:rPr>
          <w:rFonts w:ascii="Arial" w:hAnsi="Arial" w:cs="Arial"/>
          <w:bCs/>
          <w:sz w:val="24"/>
          <w:szCs w:val="24"/>
        </w:rPr>
        <w:t xml:space="preserve"> staff leave entitlements, termination and redundancy pay</w:t>
      </w:r>
      <w:r w:rsidR="00B451FB">
        <w:rPr>
          <w:rFonts w:ascii="Arial" w:hAnsi="Arial" w:cs="Arial"/>
          <w:bCs/>
          <w:sz w:val="24"/>
          <w:szCs w:val="24"/>
        </w:rPr>
        <w:t>.</w:t>
      </w:r>
      <w:r w:rsidRPr="00B86CA5">
        <w:rPr>
          <w:rFonts w:ascii="Arial" w:hAnsi="Arial" w:cs="Arial"/>
          <w:bCs/>
          <w:sz w:val="24"/>
          <w:szCs w:val="24"/>
        </w:rPr>
        <w:t xml:space="preserve"> </w:t>
      </w:r>
      <w:r w:rsidR="00B451FB">
        <w:rPr>
          <w:rFonts w:ascii="Arial" w:hAnsi="Arial" w:cs="Arial"/>
          <w:bCs/>
          <w:sz w:val="24"/>
          <w:szCs w:val="24"/>
        </w:rPr>
        <w:t>These</w:t>
      </w:r>
      <w:r w:rsidRPr="00B86CA5">
        <w:rPr>
          <w:rFonts w:ascii="Arial" w:hAnsi="Arial" w:cs="Arial"/>
          <w:bCs/>
          <w:sz w:val="24"/>
          <w:szCs w:val="24"/>
        </w:rPr>
        <w:t xml:space="preserve"> sit alongside minimum award conditions.  </w:t>
      </w:r>
    </w:p>
    <w:p w14:paraId="2E91203D" w14:textId="77777777" w:rsidR="00BA0EBA" w:rsidRPr="00BA0EBA" w:rsidRDefault="00BA0EBA" w:rsidP="007B63AA">
      <w:pPr>
        <w:pStyle w:val="ListParagraph"/>
        <w:spacing w:line="360" w:lineRule="auto"/>
        <w:jc w:val="both"/>
        <w:rPr>
          <w:rFonts w:ascii="Arial" w:hAnsi="Arial" w:cs="Arial"/>
          <w:bCs/>
          <w:sz w:val="24"/>
          <w:szCs w:val="24"/>
        </w:rPr>
      </w:pPr>
    </w:p>
    <w:p w14:paraId="108EA32C" w14:textId="661C6D36" w:rsidR="00BA0EBA" w:rsidRDefault="00B86CA5" w:rsidP="007B63AA">
      <w:pPr>
        <w:pStyle w:val="ListParagraph"/>
        <w:numPr>
          <w:ilvl w:val="0"/>
          <w:numId w:val="3"/>
        </w:numPr>
        <w:spacing w:after="0" w:line="360" w:lineRule="auto"/>
        <w:jc w:val="both"/>
        <w:rPr>
          <w:rFonts w:ascii="Arial" w:hAnsi="Arial" w:cs="Arial"/>
          <w:bCs/>
          <w:sz w:val="24"/>
          <w:szCs w:val="24"/>
        </w:rPr>
      </w:pPr>
      <w:r w:rsidRPr="00B86CA5">
        <w:rPr>
          <w:rFonts w:ascii="Arial" w:hAnsi="Arial" w:cs="Arial"/>
          <w:bCs/>
          <w:sz w:val="24"/>
          <w:szCs w:val="24"/>
        </w:rPr>
        <w:t>Debates on minimum conditions ultimately affect lower paid workers</w:t>
      </w:r>
      <w:r w:rsidR="00B451FB">
        <w:rPr>
          <w:rFonts w:ascii="Arial" w:hAnsi="Arial" w:cs="Arial"/>
          <w:bCs/>
          <w:sz w:val="24"/>
          <w:szCs w:val="24"/>
        </w:rPr>
        <w:t xml:space="preserve">. Minimum conditions exist </w:t>
      </w:r>
      <w:r w:rsidRPr="00B86CA5">
        <w:rPr>
          <w:rFonts w:ascii="Arial" w:hAnsi="Arial" w:cs="Arial"/>
          <w:bCs/>
          <w:sz w:val="24"/>
          <w:szCs w:val="24"/>
        </w:rPr>
        <w:t xml:space="preserve">to safeguard against the exploitation of vulnerable workers.  </w:t>
      </w:r>
    </w:p>
    <w:p w14:paraId="4B168EBF" w14:textId="77777777" w:rsidR="00BA0EBA" w:rsidRPr="00BA0EBA" w:rsidRDefault="00BA0EBA" w:rsidP="007B63AA">
      <w:pPr>
        <w:pStyle w:val="ListParagraph"/>
        <w:spacing w:line="360" w:lineRule="auto"/>
        <w:jc w:val="both"/>
        <w:rPr>
          <w:rFonts w:ascii="Arial" w:hAnsi="Arial" w:cs="Arial"/>
          <w:bCs/>
          <w:sz w:val="24"/>
          <w:szCs w:val="24"/>
        </w:rPr>
      </w:pPr>
    </w:p>
    <w:p w14:paraId="3B6F2555" w14:textId="77777777" w:rsidR="00BA0EBA" w:rsidRDefault="00B86CA5" w:rsidP="007B63AA">
      <w:pPr>
        <w:pStyle w:val="ListParagraph"/>
        <w:numPr>
          <w:ilvl w:val="0"/>
          <w:numId w:val="3"/>
        </w:numPr>
        <w:spacing w:after="0" w:line="360" w:lineRule="auto"/>
        <w:jc w:val="both"/>
        <w:rPr>
          <w:rFonts w:ascii="Arial" w:hAnsi="Arial" w:cs="Arial"/>
          <w:bCs/>
          <w:sz w:val="24"/>
          <w:szCs w:val="24"/>
        </w:rPr>
      </w:pPr>
      <w:r w:rsidRPr="00B86CA5">
        <w:rPr>
          <w:rFonts w:ascii="Arial" w:hAnsi="Arial" w:cs="Arial"/>
          <w:bCs/>
          <w:sz w:val="24"/>
          <w:szCs w:val="24"/>
        </w:rPr>
        <w:t>For example, in Australia the minimum wage does not just protect young and</w:t>
      </w:r>
      <w:r w:rsidR="00BA0EBA">
        <w:rPr>
          <w:rFonts w:ascii="Arial" w:hAnsi="Arial" w:cs="Arial"/>
          <w:bCs/>
          <w:sz w:val="24"/>
          <w:szCs w:val="24"/>
        </w:rPr>
        <w:t xml:space="preserve"> transient workers; </w:t>
      </w:r>
      <w:r w:rsidRPr="00B86CA5">
        <w:rPr>
          <w:rFonts w:ascii="Arial" w:hAnsi="Arial" w:cs="Arial"/>
          <w:bCs/>
          <w:sz w:val="24"/>
          <w:szCs w:val="24"/>
        </w:rPr>
        <w:t>it protects a significant proportion of older adults whose lives have been spent working in low paid employment.</w:t>
      </w:r>
      <w:r w:rsidRPr="00B86CA5">
        <w:rPr>
          <w:rStyle w:val="FootnoteReference"/>
          <w:rFonts w:ascii="Arial" w:hAnsi="Arial" w:cs="Arial"/>
          <w:bCs/>
          <w:sz w:val="24"/>
          <w:szCs w:val="24"/>
        </w:rPr>
        <w:footnoteReference w:id="35"/>
      </w:r>
      <w:r w:rsidRPr="00B86CA5">
        <w:rPr>
          <w:rFonts w:ascii="Arial" w:hAnsi="Arial" w:cs="Arial"/>
          <w:bCs/>
          <w:sz w:val="24"/>
          <w:szCs w:val="24"/>
        </w:rPr>
        <w:t xml:space="preserve"> </w:t>
      </w:r>
    </w:p>
    <w:p w14:paraId="31F7EF98" w14:textId="77777777" w:rsidR="00BA0EBA" w:rsidRPr="00BA0EBA" w:rsidRDefault="00BA0EBA" w:rsidP="007B63AA">
      <w:pPr>
        <w:pStyle w:val="ListParagraph"/>
        <w:spacing w:line="360" w:lineRule="auto"/>
        <w:jc w:val="both"/>
        <w:rPr>
          <w:rFonts w:ascii="Arial" w:hAnsi="Arial" w:cs="Arial"/>
          <w:bCs/>
          <w:sz w:val="24"/>
          <w:szCs w:val="24"/>
        </w:rPr>
      </w:pPr>
    </w:p>
    <w:p w14:paraId="0FAF5929" w14:textId="77777777" w:rsidR="00BA0EBA" w:rsidRDefault="00B86CA5" w:rsidP="007B63AA">
      <w:pPr>
        <w:pStyle w:val="ListParagraph"/>
        <w:numPr>
          <w:ilvl w:val="0"/>
          <w:numId w:val="3"/>
        </w:numPr>
        <w:spacing w:after="0" w:line="360" w:lineRule="auto"/>
        <w:jc w:val="both"/>
        <w:rPr>
          <w:rFonts w:ascii="Arial" w:hAnsi="Arial" w:cs="Arial"/>
          <w:bCs/>
          <w:sz w:val="24"/>
          <w:szCs w:val="24"/>
        </w:rPr>
      </w:pPr>
      <w:r w:rsidRPr="00B86CA5">
        <w:rPr>
          <w:rFonts w:ascii="Arial" w:hAnsi="Arial" w:cs="Arial"/>
          <w:bCs/>
          <w:sz w:val="24"/>
          <w:szCs w:val="24"/>
        </w:rPr>
        <w:t>Penalty rates have been put in place as a fairer exchange for the loss of valuable time workers could have spent with their families, friends or recuperating during public holidays.  They reflect a fair work contract that Australians understand, respect and expect.</w:t>
      </w:r>
    </w:p>
    <w:p w14:paraId="54FC438C" w14:textId="77777777" w:rsidR="00BA0EBA" w:rsidRPr="00BA0EBA" w:rsidRDefault="00BA0EBA" w:rsidP="007B63AA">
      <w:pPr>
        <w:pStyle w:val="ListParagraph"/>
        <w:spacing w:line="360" w:lineRule="auto"/>
        <w:jc w:val="both"/>
        <w:rPr>
          <w:rFonts w:ascii="Arial" w:hAnsi="Arial" w:cs="Arial"/>
          <w:bCs/>
          <w:sz w:val="24"/>
          <w:szCs w:val="24"/>
        </w:rPr>
      </w:pPr>
    </w:p>
    <w:p w14:paraId="6CB840E7" w14:textId="77777777" w:rsidR="00BA0EBA" w:rsidRDefault="00B86CA5" w:rsidP="007B63AA">
      <w:pPr>
        <w:pStyle w:val="ListParagraph"/>
        <w:numPr>
          <w:ilvl w:val="0"/>
          <w:numId w:val="3"/>
        </w:numPr>
        <w:spacing w:after="0" w:line="360" w:lineRule="auto"/>
        <w:jc w:val="both"/>
        <w:rPr>
          <w:rFonts w:ascii="Arial" w:hAnsi="Arial" w:cs="Arial"/>
          <w:bCs/>
          <w:sz w:val="24"/>
          <w:szCs w:val="24"/>
        </w:rPr>
      </w:pPr>
      <w:r w:rsidRPr="00BA0EBA">
        <w:rPr>
          <w:rFonts w:ascii="Arial" w:hAnsi="Arial" w:cs="Arial"/>
          <w:bCs/>
          <w:sz w:val="24"/>
          <w:szCs w:val="24"/>
        </w:rPr>
        <w:t xml:space="preserve">Since every employer must meet them, these minimum conditions establish a fair playing field for all employers.  </w:t>
      </w:r>
    </w:p>
    <w:p w14:paraId="739EBF19" w14:textId="77777777" w:rsidR="00BA0EBA" w:rsidRPr="00BA0EBA" w:rsidRDefault="00BA0EBA" w:rsidP="007B63AA">
      <w:pPr>
        <w:pStyle w:val="ListParagraph"/>
        <w:spacing w:line="360" w:lineRule="auto"/>
        <w:jc w:val="both"/>
        <w:rPr>
          <w:rFonts w:ascii="Arial" w:hAnsi="Arial" w:cs="Arial"/>
          <w:bCs/>
          <w:sz w:val="24"/>
          <w:szCs w:val="24"/>
        </w:rPr>
      </w:pPr>
    </w:p>
    <w:p w14:paraId="2C16128D" w14:textId="77777777" w:rsidR="00BA0EBA" w:rsidRDefault="00B86CA5" w:rsidP="007B63AA">
      <w:pPr>
        <w:pStyle w:val="ListParagraph"/>
        <w:numPr>
          <w:ilvl w:val="0"/>
          <w:numId w:val="3"/>
        </w:numPr>
        <w:spacing w:after="0" w:line="360" w:lineRule="auto"/>
        <w:jc w:val="both"/>
        <w:rPr>
          <w:rFonts w:ascii="Arial" w:hAnsi="Arial" w:cs="Arial"/>
          <w:bCs/>
          <w:sz w:val="24"/>
          <w:szCs w:val="24"/>
        </w:rPr>
      </w:pPr>
      <w:r w:rsidRPr="00BA0EBA">
        <w:rPr>
          <w:rFonts w:ascii="Arial" w:hAnsi="Arial" w:cs="Arial"/>
          <w:bCs/>
          <w:sz w:val="24"/>
          <w:szCs w:val="24"/>
        </w:rPr>
        <w:t xml:space="preserve">They help ensure that, for example, Australian businesses cannot be ‘out-competed’ by multinational companies who might seek to strip away certain worker entitlements in an effort to become more profitable.  </w:t>
      </w:r>
    </w:p>
    <w:p w14:paraId="65D2776C" w14:textId="77777777" w:rsidR="00BA0EBA" w:rsidRPr="00BA0EBA" w:rsidRDefault="00BA0EBA" w:rsidP="007B63AA">
      <w:pPr>
        <w:pStyle w:val="ListParagraph"/>
        <w:spacing w:line="360" w:lineRule="auto"/>
        <w:jc w:val="both"/>
        <w:rPr>
          <w:rFonts w:ascii="Arial" w:hAnsi="Arial" w:cs="Arial"/>
          <w:bCs/>
          <w:sz w:val="24"/>
          <w:szCs w:val="24"/>
        </w:rPr>
      </w:pPr>
    </w:p>
    <w:p w14:paraId="563C6005" w14:textId="6B96917F" w:rsidR="00701651" w:rsidRDefault="00B86CA5" w:rsidP="007B63AA">
      <w:pPr>
        <w:pStyle w:val="ListParagraph"/>
        <w:numPr>
          <w:ilvl w:val="0"/>
          <w:numId w:val="3"/>
        </w:numPr>
        <w:spacing w:after="0" w:line="360" w:lineRule="auto"/>
        <w:jc w:val="both"/>
        <w:rPr>
          <w:rFonts w:ascii="Arial" w:hAnsi="Arial" w:cs="Arial"/>
          <w:bCs/>
          <w:sz w:val="24"/>
          <w:szCs w:val="24"/>
        </w:rPr>
      </w:pPr>
      <w:r w:rsidRPr="00BA0EBA">
        <w:rPr>
          <w:rFonts w:ascii="Arial" w:hAnsi="Arial" w:cs="Arial"/>
          <w:bCs/>
          <w:sz w:val="24"/>
          <w:szCs w:val="24"/>
        </w:rPr>
        <w:t xml:space="preserve">They are also fair for employees by ensuring key aspects of their employment are guaranteed, regardless of their employer. Importantly, these conditions represent a minimum safety net which - having been developed and agreed </w:t>
      </w:r>
      <w:r w:rsidRPr="00BA0EBA">
        <w:rPr>
          <w:rFonts w:ascii="Arial" w:hAnsi="Arial" w:cs="Arial"/>
          <w:bCs/>
          <w:sz w:val="24"/>
          <w:szCs w:val="24"/>
        </w:rPr>
        <w:lastRenderedPageBreak/>
        <w:t xml:space="preserve">over time - reflect the founding principles of Australian communities around fairness, which Australians overwhelmingly endorsed following their outright rejection of the ‘Unfair Work Act’; Work Choices.  </w:t>
      </w:r>
    </w:p>
    <w:p w14:paraId="653C8E55" w14:textId="77777777" w:rsidR="00701651" w:rsidRPr="00701651" w:rsidRDefault="00701651" w:rsidP="007B63AA">
      <w:pPr>
        <w:pStyle w:val="ListParagraph"/>
        <w:spacing w:line="360" w:lineRule="auto"/>
        <w:jc w:val="both"/>
        <w:rPr>
          <w:rFonts w:ascii="Arial" w:hAnsi="Arial" w:cs="Arial"/>
          <w:bCs/>
          <w:sz w:val="24"/>
          <w:szCs w:val="24"/>
        </w:rPr>
      </w:pPr>
    </w:p>
    <w:p w14:paraId="5F2D5002" w14:textId="77777777" w:rsidR="002E39FD" w:rsidRDefault="00B86CA5" w:rsidP="007B63AA">
      <w:pPr>
        <w:pStyle w:val="ListParagraph"/>
        <w:numPr>
          <w:ilvl w:val="0"/>
          <w:numId w:val="3"/>
        </w:numPr>
        <w:spacing w:after="0" w:line="360" w:lineRule="auto"/>
        <w:jc w:val="both"/>
        <w:rPr>
          <w:rFonts w:ascii="Arial" w:hAnsi="Arial" w:cs="Arial"/>
          <w:bCs/>
          <w:sz w:val="24"/>
          <w:szCs w:val="24"/>
        </w:rPr>
      </w:pPr>
      <w:r w:rsidRPr="00BA0EBA">
        <w:rPr>
          <w:rFonts w:ascii="Arial" w:hAnsi="Arial" w:cs="Arial"/>
          <w:bCs/>
          <w:sz w:val="24"/>
          <w:szCs w:val="24"/>
        </w:rPr>
        <w:t xml:space="preserve">It is right that all parties, including those who move to set up business here or to work here, must adhere to and benefit from them.      </w:t>
      </w:r>
    </w:p>
    <w:p w14:paraId="6863439A" w14:textId="77777777" w:rsidR="002E39FD" w:rsidRPr="002E39FD" w:rsidRDefault="002E39FD" w:rsidP="007B63AA">
      <w:pPr>
        <w:spacing w:after="0" w:line="360" w:lineRule="auto"/>
        <w:jc w:val="both"/>
        <w:rPr>
          <w:rFonts w:ascii="Arial" w:hAnsi="Arial" w:cs="Arial"/>
          <w:bCs/>
          <w:sz w:val="24"/>
          <w:szCs w:val="24"/>
        </w:rPr>
      </w:pPr>
    </w:p>
    <w:p w14:paraId="432553D8" w14:textId="77777777" w:rsidR="00B86CA5" w:rsidRPr="00B86CA5" w:rsidRDefault="00B86CA5" w:rsidP="007B63AA">
      <w:pPr>
        <w:spacing w:after="0" w:line="360" w:lineRule="auto"/>
        <w:jc w:val="both"/>
        <w:rPr>
          <w:rFonts w:ascii="Arial" w:hAnsi="Arial" w:cs="Arial"/>
          <w:bCs/>
          <w:sz w:val="24"/>
          <w:szCs w:val="24"/>
          <w:u w:val="single"/>
        </w:rPr>
      </w:pPr>
      <w:r w:rsidRPr="00B86CA5">
        <w:rPr>
          <w:rFonts w:ascii="Arial" w:hAnsi="Arial" w:cs="Arial"/>
          <w:bCs/>
          <w:sz w:val="24"/>
          <w:szCs w:val="24"/>
          <w:u w:val="single"/>
        </w:rPr>
        <w:t>Greenfield Sites</w:t>
      </w:r>
    </w:p>
    <w:p w14:paraId="0A0E6AB3" w14:textId="77777777" w:rsidR="00BA0EBA" w:rsidRDefault="00BA0EBA" w:rsidP="007B63AA">
      <w:pPr>
        <w:spacing w:after="0" w:line="360" w:lineRule="auto"/>
        <w:jc w:val="both"/>
        <w:rPr>
          <w:rFonts w:ascii="Arial" w:hAnsi="Arial" w:cs="Arial"/>
          <w:bCs/>
          <w:sz w:val="24"/>
          <w:szCs w:val="24"/>
        </w:rPr>
      </w:pPr>
    </w:p>
    <w:p w14:paraId="662017B6" w14:textId="77777777" w:rsidR="00701651" w:rsidRDefault="00701651" w:rsidP="007B63AA">
      <w:pPr>
        <w:pStyle w:val="ListParagraph"/>
        <w:numPr>
          <w:ilvl w:val="0"/>
          <w:numId w:val="3"/>
        </w:numPr>
        <w:spacing w:after="0" w:line="360" w:lineRule="auto"/>
        <w:jc w:val="both"/>
        <w:rPr>
          <w:rFonts w:ascii="Arial" w:hAnsi="Arial" w:cs="Arial"/>
          <w:bCs/>
          <w:sz w:val="24"/>
          <w:szCs w:val="24"/>
        </w:rPr>
      </w:pPr>
      <w:r>
        <w:rPr>
          <w:rFonts w:ascii="Arial" w:hAnsi="Arial" w:cs="Arial"/>
          <w:bCs/>
          <w:sz w:val="24"/>
          <w:szCs w:val="24"/>
        </w:rPr>
        <w:t>For these same reasons, i</w:t>
      </w:r>
      <w:r w:rsidR="00B86CA5" w:rsidRPr="00701651">
        <w:rPr>
          <w:rFonts w:ascii="Arial" w:hAnsi="Arial" w:cs="Arial"/>
          <w:bCs/>
          <w:sz w:val="24"/>
          <w:szCs w:val="24"/>
        </w:rPr>
        <w:t xml:space="preserve">t is right that current regulatory structures do not allow employers to unilaterally determine the conditions for future employees in new work sites.  </w:t>
      </w:r>
    </w:p>
    <w:p w14:paraId="783A9447" w14:textId="77777777" w:rsidR="00701651" w:rsidRDefault="00701651" w:rsidP="007B63AA">
      <w:pPr>
        <w:pStyle w:val="ListParagraph"/>
        <w:spacing w:after="0" w:line="360" w:lineRule="auto"/>
        <w:jc w:val="both"/>
        <w:rPr>
          <w:rFonts w:ascii="Arial" w:hAnsi="Arial" w:cs="Arial"/>
          <w:bCs/>
          <w:sz w:val="24"/>
          <w:szCs w:val="24"/>
        </w:rPr>
      </w:pPr>
    </w:p>
    <w:p w14:paraId="7A576EF6" w14:textId="77777777" w:rsidR="00701651" w:rsidRDefault="00B86CA5" w:rsidP="007B63AA">
      <w:pPr>
        <w:pStyle w:val="ListParagraph"/>
        <w:numPr>
          <w:ilvl w:val="0"/>
          <w:numId w:val="3"/>
        </w:numPr>
        <w:spacing w:after="0" w:line="360" w:lineRule="auto"/>
        <w:jc w:val="both"/>
        <w:rPr>
          <w:rFonts w:ascii="Arial" w:hAnsi="Arial" w:cs="Arial"/>
          <w:bCs/>
          <w:sz w:val="24"/>
          <w:szCs w:val="24"/>
        </w:rPr>
      </w:pPr>
      <w:r w:rsidRPr="00701651">
        <w:rPr>
          <w:rFonts w:ascii="Arial" w:hAnsi="Arial" w:cs="Arial"/>
          <w:bCs/>
          <w:sz w:val="24"/>
          <w:szCs w:val="24"/>
        </w:rPr>
        <w:t>By having to negotiate Greenfield agreements with relevant employee representatives, certain checks and balances ensure that no employer can ‘out-compete’ other local employers through slashing workers’ terms and conditions.  Instead the new employer must apply and respect not just the rules of the game, but also the incremental and mutually agreed conditions that have been formalised in the industry locally.</w:t>
      </w:r>
    </w:p>
    <w:p w14:paraId="0748C749" w14:textId="77777777" w:rsidR="00701651" w:rsidRPr="00701651" w:rsidRDefault="00701651" w:rsidP="007B63AA">
      <w:pPr>
        <w:pStyle w:val="ListParagraph"/>
        <w:spacing w:line="360" w:lineRule="auto"/>
        <w:jc w:val="both"/>
        <w:rPr>
          <w:rFonts w:ascii="Arial" w:hAnsi="Arial" w:cs="Arial"/>
          <w:bCs/>
          <w:sz w:val="24"/>
          <w:szCs w:val="24"/>
        </w:rPr>
      </w:pPr>
    </w:p>
    <w:p w14:paraId="0E11EF00" w14:textId="77777777" w:rsidR="00701651" w:rsidRDefault="00B86CA5" w:rsidP="007B63AA">
      <w:pPr>
        <w:pStyle w:val="ListParagraph"/>
        <w:numPr>
          <w:ilvl w:val="0"/>
          <w:numId w:val="3"/>
        </w:numPr>
        <w:spacing w:after="0" w:line="360" w:lineRule="auto"/>
        <w:jc w:val="both"/>
        <w:rPr>
          <w:rFonts w:ascii="Arial" w:hAnsi="Arial" w:cs="Arial"/>
          <w:bCs/>
          <w:sz w:val="24"/>
          <w:szCs w:val="24"/>
        </w:rPr>
      </w:pPr>
      <w:r w:rsidRPr="00701651">
        <w:rPr>
          <w:rFonts w:ascii="Arial" w:hAnsi="Arial" w:cs="Arial"/>
          <w:bCs/>
          <w:sz w:val="24"/>
          <w:szCs w:val="24"/>
        </w:rPr>
        <w:t>The AWU sees the certainty of new employers having to follow these rules as not just fair for the local communities the employer is setting up in or just for the existing local employers that the new employer may tender against, but also as helpful fixed costs that any investor into the project can expect.</w:t>
      </w:r>
    </w:p>
    <w:p w14:paraId="610A7E4F" w14:textId="77777777" w:rsidR="00701651" w:rsidRPr="00701651" w:rsidRDefault="00701651" w:rsidP="007B63AA">
      <w:pPr>
        <w:pStyle w:val="ListParagraph"/>
        <w:spacing w:line="360" w:lineRule="auto"/>
        <w:jc w:val="both"/>
        <w:rPr>
          <w:rFonts w:ascii="Arial" w:hAnsi="Arial" w:cs="Arial"/>
          <w:bCs/>
          <w:sz w:val="24"/>
          <w:szCs w:val="24"/>
        </w:rPr>
      </w:pPr>
    </w:p>
    <w:p w14:paraId="6A9C7616" w14:textId="77777777" w:rsidR="00701651" w:rsidRDefault="00B86CA5" w:rsidP="007B63AA">
      <w:pPr>
        <w:pStyle w:val="ListParagraph"/>
        <w:numPr>
          <w:ilvl w:val="0"/>
          <w:numId w:val="3"/>
        </w:numPr>
        <w:spacing w:after="0" w:line="360" w:lineRule="auto"/>
        <w:jc w:val="both"/>
        <w:rPr>
          <w:rFonts w:ascii="Arial" w:hAnsi="Arial" w:cs="Arial"/>
          <w:bCs/>
          <w:sz w:val="24"/>
          <w:szCs w:val="24"/>
        </w:rPr>
      </w:pPr>
      <w:r w:rsidRPr="00701651">
        <w:rPr>
          <w:rFonts w:ascii="Arial" w:hAnsi="Arial" w:cs="Arial"/>
          <w:bCs/>
          <w:sz w:val="24"/>
          <w:szCs w:val="24"/>
        </w:rPr>
        <w:t>Indeed, to enable a new employer to unilaterally determine conditions at Greenfield sites would only mean that employment costs down the line become hard to forecast if the employees’ conditions are out of kilter with those of their peers – workers will rightly expect and ask for the same as their peers and their conditions will have to increase.</w:t>
      </w:r>
    </w:p>
    <w:p w14:paraId="0F6B1E95" w14:textId="77777777" w:rsidR="00701651" w:rsidRPr="00701651" w:rsidRDefault="00701651" w:rsidP="007B63AA">
      <w:pPr>
        <w:pStyle w:val="ListParagraph"/>
        <w:spacing w:line="360" w:lineRule="auto"/>
        <w:jc w:val="both"/>
        <w:rPr>
          <w:rFonts w:ascii="Arial" w:hAnsi="Arial" w:cs="Arial"/>
          <w:bCs/>
          <w:sz w:val="24"/>
          <w:szCs w:val="24"/>
        </w:rPr>
      </w:pPr>
    </w:p>
    <w:p w14:paraId="1B8105E2" w14:textId="77777777" w:rsidR="00701651" w:rsidRDefault="00B86CA5" w:rsidP="007B63AA">
      <w:pPr>
        <w:pStyle w:val="ListParagraph"/>
        <w:numPr>
          <w:ilvl w:val="0"/>
          <w:numId w:val="3"/>
        </w:numPr>
        <w:spacing w:after="0" w:line="360" w:lineRule="auto"/>
        <w:jc w:val="both"/>
        <w:rPr>
          <w:rFonts w:ascii="Arial" w:hAnsi="Arial" w:cs="Arial"/>
          <w:bCs/>
          <w:sz w:val="24"/>
          <w:szCs w:val="24"/>
        </w:rPr>
      </w:pPr>
      <w:r w:rsidRPr="00701651">
        <w:rPr>
          <w:rFonts w:ascii="Arial" w:hAnsi="Arial" w:cs="Arial"/>
          <w:bCs/>
          <w:sz w:val="24"/>
          <w:szCs w:val="24"/>
        </w:rPr>
        <w:t xml:space="preserve">In addition, it is simply not acceptable that the only parties to profit for short-term construction contracts are the employer and investor.  Many remote and </w:t>
      </w:r>
      <w:r w:rsidRPr="00701651">
        <w:rPr>
          <w:rFonts w:ascii="Arial" w:hAnsi="Arial" w:cs="Arial"/>
          <w:bCs/>
          <w:sz w:val="24"/>
          <w:szCs w:val="24"/>
        </w:rPr>
        <w:lastRenderedPageBreak/>
        <w:t xml:space="preserve">rural communities depend on short-term construction projects and they must benefit fairly from its inception.  </w:t>
      </w:r>
    </w:p>
    <w:p w14:paraId="3FCB7B14" w14:textId="77777777" w:rsidR="00701651" w:rsidRPr="00701651" w:rsidRDefault="00701651" w:rsidP="007B63AA">
      <w:pPr>
        <w:pStyle w:val="ListParagraph"/>
        <w:spacing w:line="360" w:lineRule="auto"/>
        <w:jc w:val="both"/>
        <w:rPr>
          <w:rFonts w:ascii="Arial" w:hAnsi="Arial" w:cs="Arial"/>
          <w:bCs/>
          <w:sz w:val="24"/>
          <w:szCs w:val="24"/>
        </w:rPr>
      </w:pPr>
    </w:p>
    <w:p w14:paraId="7C3D8F25" w14:textId="77777777" w:rsidR="00701651" w:rsidRDefault="00B86CA5" w:rsidP="007B63AA">
      <w:pPr>
        <w:pStyle w:val="ListParagraph"/>
        <w:numPr>
          <w:ilvl w:val="0"/>
          <w:numId w:val="3"/>
        </w:numPr>
        <w:spacing w:after="0" w:line="360" w:lineRule="auto"/>
        <w:jc w:val="both"/>
        <w:rPr>
          <w:rFonts w:ascii="Arial" w:hAnsi="Arial" w:cs="Arial"/>
          <w:bCs/>
          <w:sz w:val="24"/>
          <w:szCs w:val="24"/>
        </w:rPr>
      </w:pPr>
      <w:r w:rsidRPr="00701651">
        <w:rPr>
          <w:rFonts w:ascii="Arial" w:hAnsi="Arial" w:cs="Arial"/>
          <w:bCs/>
          <w:sz w:val="24"/>
          <w:szCs w:val="24"/>
        </w:rPr>
        <w:t>The AWU does not accept that major project investment is adversely affected by fair terms and conditions for workers.  It is an assertion often made by the owners of multinational mining companies, yet regardless of our fair work regulation these same owners still invest in Australia and draw significant profits from these projects.</w:t>
      </w:r>
      <w:r w:rsidRPr="00B86CA5">
        <w:rPr>
          <w:rStyle w:val="FootnoteReference"/>
          <w:rFonts w:ascii="Arial" w:hAnsi="Arial" w:cs="Arial"/>
          <w:bCs/>
          <w:sz w:val="24"/>
          <w:szCs w:val="24"/>
        </w:rPr>
        <w:footnoteReference w:id="36"/>
      </w:r>
      <w:r w:rsidRPr="00701651">
        <w:rPr>
          <w:rFonts w:ascii="Arial" w:hAnsi="Arial" w:cs="Arial"/>
          <w:bCs/>
          <w:sz w:val="24"/>
          <w:szCs w:val="24"/>
        </w:rPr>
        <w:t xml:space="preserve"> </w:t>
      </w:r>
    </w:p>
    <w:p w14:paraId="60A97952" w14:textId="77777777" w:rsidR="00701651" w:rsidRPr="00701651" w:rsidRDefault="00701651" w:rsidP="007B63AA">
      <w:pPr>
        <w:pStyle w:val="ListParagraph"/>
        <w:spacing w:line="360" w:lineRule="auto"/>
        <w:jc w:val="both"/>
        <w:rPr>
          <w:rFonts w:ascii="Arial" w:hAnsi="Arial" w:cs="Arial"/>
          <w:bCs/>
          <w:sz w:val="24"/>
          <w:szCs w:val="24"/>
        </w:rPr>
      </w:pPr>
    </w:p>
    <w:p w14:paraId="60A03ACB" w14:textId="0A58B006" w:rsidR="00B86CA5" w:rsidRPr="00701651" w:rsidRDefault="00B86CA5" w:rsidP="007B63AA">
      <w:pPr>
        <w:pStyle w:val="ListParagraph"/>
        <w:numPr>
          <w:ilvl w:val="0"/>
          <w:numId w:val="3"/>
        </w:numPr>
        <w:spacing w:after="0" w:line="360" w:lineRule="auto"/>
        <w:jc w:val="both"/>
        <w:rPr>
          <w:rFonts w:ascii="Arial" w:hAnsi="Arial" w:cs="Arial"/>
          <w:bCs/>
          <w:sz w:val="24"/>
          <w:szCs w:val="24"/>
        </w:rPr>
      </w:pPr>
      <w:r w:rsidRPr="00701651">
        <w:rPr>
          <w:rFonts w:ascii="Arial" w:hAnsi="Arial" w:cs="Arial"/>
          <w:bCs/>
          <w:sz w:val="24"/>
          <w:szCs w:val="24"/>
        </w:rPr>
        <w:t xml:space="preserve">Moreover, </w:t>
      </w:r>
      <w:r w:rsidR="00B451FB">
        <w:rPr>
          <w:rFonts w:ascii="Arial" w:hAnsi="Arial" w:cs="Arial"/>
          <w:bCs/>
          <w:sz w:val="24"/>
          <w:szCs w:val="24"/>
        </w:rPr>
        <w:t>G</w:t>
      </w:r>
      <w:r w:rsidRPr="00701651">
        <w:rPr>
          <w:rFonts w:ascii="Arial" w:hAnsi="Arial" w:cs="Arial"/>
          <w:bCs/>
          <w:sz w:val="24"/>
          <w:szCs w:val="24"/>
        </w:rPr>
        <w:t xml:space="preserve">reenfield agreements often cover high-risk industries such as construction, mining and engineering, further compounding the need for well-developed worker protections and appropriate reward.         </w:t>
      </w:r>
    </w:p>
    <w:p w14:paraId="7DFC6F2F" w14:textId="77777777" w:rsidR="00701651" w:rsidRDefault="00701651" w:rsidP="007B63AA">
      <w:pPr>
        <w:spacing w:after="0" w:line="360" w:lineRule="auto"/>
        <w:jc w:val="both"/>
        <w:rPr>
          <w:rFonts w:ascii="Arial" w:hAnsi="Arial" w:cs="Arial"/>
          <w:b/>
          <w:bCs/>
          <w:sz w:val="24"/>
          <w:szCs w:val="24"/>
        </w:rPr>
      </w:pPr>
    </w:p>
    <w:p w14:paraId="58425E6D" w14:textId="77777777" w:rsidR="00B86CA5" w:rsidRDefault="00B86CA5" w:rsidP="007B63AA">
      <w:pPr>
        <w:spacing w:after="0" w:line="360" w:lineRule="auto"/>
        <w:jc w:val="both"/>
        <w:rPr>
          <w:rFonts w:ascii="Arial" w:hAnsi="Arial" w:cs="Arial"/>
          <w:bCs/>
          <w:sz w:val="24"/>
          <w:szCs w:val="24"/>
          <w:u w:val="single"/>
        </w:rPr>
      </w:pPr>
      <w:r w:rsidRPr="00701651">
        <w:rPr>
          <w:rFonts w:ascii="Arial" w:hAnsi="Arial" w:cs="Arial"/>
          <w:bCs/>
          <w:sz w:val="24"/>
          <w:szCs w:val="24"/>
          <w:u w:val="single"/>
        </w:rPr>
        <w:t>Restrictions on agreement content</w:t>
      </w:r>
    </w:p>
    <w:p w14:paraId="052D5B49" w14:textId="77777777" w:rsidR="00E56CF1" w:rsidRPr="00701651" w:rsidRDefault="00E56CF1" w:rsidP="007B63AA">
      <w:pPr>
        <w:spacing w:after="0" w:line="360" w:lineRule="auto"/>
        <w:jc w:val="both"/>
        <w:rPr>
          <w:rFonts w:ascii="Arial" w:hAnsi="Arial" w:cs="Arial"/>
          <w:bCs/>
          <w:sz w:val="24"/>
          <w:szCs w:val="24"/>
          <w:u w:val="single"/>
        </w:rPr>
      </w:pPr>
    </w:p>
    <w:p w14:paraId="3813B146" w14:textId="77777777" w:rsidR="00701651" w:rsidRDefault="00B86CA5" w:rsidP="007B63AA">
      <w:pPr>
        <w:pStyle w:val="ListParagraph"/>
        <w:numPr>
          <w:ilvl w:val="0"/>
          <w:numId w:val="3"/>
        </w:numPr>
        <w:spacing w:after="0" w:line="360" w:lineRule="auto"/>
        <w:jc w:val="both"/>
        <w:rPr>
          <w:rFonts w:ascii="Arial" w:hAnsi="Arial" w:cs="Arial"/>
          <w:bCs/>
          <w:sz w:val="24"/>
          <w:szCs w:val="24"/>
        </w:rPr>
      </w:pPr>
      <w:r w:rsidRPr="00701651">
        <w:rPr>
          <w:rFonts w:ascii="Arial" w:hAnsi="Arial" w:cs="Arial"/>
          <w:bCs/>
          <w:sz w:val="24"/>
          <w:szCs w:val="24"/>
        </w:rPr>
        <w:t>The re-emergence of the debate on permitted matters, as seen by this Inquiry’s sole focus on permitted matters in relation to the employee/union-employer relationship only, can be seen as no other than a continued, ideologically-driven effort by the Coalition to legislate for the weakening and/or eradication of unions.</w:t>
      </w:r>
    </w:p>
    <w:p w14:paraId="66849548" w14:textId="77777777" w:rsidR="00701651" w:rsidRDefault="00701651" w:rsidP="007B63AA">
      <w:pPr>
        <w:pStyle w:val="ListParagraph"/>
        <w:spacing w:after="0" w:line="360" w:lineRule="auto"/>
        <w:jc w:val="both"/>
        <w:rPr>
          <w:rFonts w:ascii="Arial" w:hAnsi="Arial" w:cs="Arial"/>
          <w:bCs/>
          <w:sz w:val="24"/>
          <w:szCs w:val="24"/>
        </w:rPr>
      </w:pPr>
    </w:p>
    <w:p w14:paraId="075FD69B" w14:textId="77777777" w:rsidR="00701651" w:rsidRDefault="00B86CA5" w:rsidP="007B63AA">
      <w:pPr>
        <w:pStyle w:val="ListParagraph"/>
        <w:numPr>
          <w:ilvl w:val="0"/>
          <w:numId w:val="3"/>
        </w:numPr>
        <w:spacing w:after="0" w:line="360" w:lineRule="auto"/>
        <w:jc w:val="both"/>
        <w:rPr>
          <w:rFonts w:ascii="Arial" w:hAnsi="Arial" w:cs="Arial"/>
          <w:bCs/>
          <w:sz w:val="24"/>
          <w:szCs w:val="24"/>
        </w:rPr>
      </w:pPr>
      <w:r w:rsidRPr="00701651">
        <w:rPr>
          <w:rFonts w:ascii="Arial" w:hAnsi="Arial" w:cs="Arial"/>
          <w:bCs/>
          <w:sz w:val="24"/>
          <w:szCs w:val="24"/>
        </w:rPr>
        <w:t xml:space="preserve">The AWU is deeply saddened that the Coalition Government continues to fail to value or respect: </w:t>
      </w:r>
    </w:p>
    <w:p w14:paraId="02B8BDEC" w14:textId="77777777" w:rsidR="00701651" w:rsidRPr="00701651" w:rsidRDefault="00701651" w:rsidP="007B63AA">
      <w:pPr>
        <w:pStyle w:val="ListParagraph"/>
        <w:spacing w:line="360" w:lineRule="auto"/>
        <w:jc w:val="both"/>
        <w:rPr>
          <w:rFonts w:ascii="Arial" w:hAnsi="Arial" w:cs="Arial"/>
          <w:bCs/>
          <w:sz w:val="24"/>
          <w:szCs w:val="24"/>
        </w:rPr>
      </w:pPr>
    </w:p>
    <w:p w14:paraId="045AB066" w14:textId="77777777" w:rsidR="00701651" w:rsidRDefault="00B86CA5" w:rsidP="007B63AA">
      <w:pPr>
        <w:pStyle w:val="ListParagraph"/>
        <w:spacing w:after="0" w:line="360" w:lineRule="auto"/>
        <w:jc w:val="both"/>
        <w:rPr>
          <w:rFonts w:ascii="Arial" w:hAnsi="Arial" w:cs="Arial"/>
          <w:bCs/>
          <w:sz w:val="24"/>
          <w:szCs w:val="24"/>
        </w:rPr>
      </w:pPr>
      <w:r w:rsidRPr="00701651">
        <w:rPr>
          <w:rFonts w:ascii="Arial" w:hAnsi="Arial" w:cs="Arial"/>
          <w:bCs/>
          <w:sz w:val="24"/>
          <w:szCs w:val="24"/>
        </w:rPr>
        <w:t>1) the work that unions do in ensuring that Australian workers are afforded fair terms and conditions - essential for the creation of prosperous and self-sustaining communities as well as for national prosperity and revenue raising</w:t>
      </w:r>
      <w:r w:rsidR="00701651">
        <w:rPr>
          <w:rFonts w:ascii="Arial" w:hAnsi="Arial" w:cs="Arial"/>
          <w:bCs/>
          <w:sz w:val="24"/>
          <w:szCs w:val="24"/>
        </w:rPr>
        <w:t xml:space="preserve">; </w:t>
      </w:r>
      <w:r w:rsidRPr="00701651">
        <w:rPr>
          <w:rFonts w:ascii="Arial" w:hAnsi="Arial" w:cs="Arial"/>
          <w:bCs/>
          <w:sz w:val="24"/>
          <w:szCs w:val="24"/>
        </w:rPr>
        <w:t xml:space="preserve">and </w:t>
      </w:r>
    </w:p>
    <w:p w14:paraId="262DEC3C" w14:textId="77777777" w:rsidR="00701651" w:rsidRDefault="00701651" w:rsidP="007B63AA">
      <w:pPr>
        <w:pStyle w:val="ListParagraph"/>
        <w:spacing w:after="0" w:line="360" w:lineRule="auto"/>
        <w:jc w:val="both"/>
        <w:rPr>
          <w:rFonts w:ascii="Arial" w:hAnsi="Arial" w:cs="Arial"/>
          <w:bCs/>
          <w:sz w:val="24"/>
          <w:szCs w:val="24"/>
        </w:rPr>
      </w:pPr>
    </w:p>
    <w:p w14:paraId="4ACC8697" w14:textId="77777777" w:rsidR="00701651" w:rsidRDefault="00B86CA5" w:rsidP="007B63AA">
      <w:pPr>
        <w:pStyle w:val="ListParagraph"/>
        <w:spacing w:after="0" w:line="360" w:lineRule="auto"/>
        <w:jc w:val="both"/>
        <w:rPr>
          <w:rFonts w:ascii="Arial" w:hAnsi="Arial" w:cs="Arial"/>
          <w:bCs/>
          <w:sz w:val="24"/>
          <w:szCs w:val="24"/>
        </w:rPr>
      </w:pPr>
      <w:r w:rsidRPr="00701651">
        <w:rPr>
          <w:rFonts w:ascii="Arial" w:hAnsi="Arial" w:cs="Arial"/>
          <w:bCs/>
          <w:sz w:val="24"/>
          <w:szCs w:val="24"/>
        </w:rPr>
        <w:t xml:space="preserve">2) </w:t>
      </w:r>
      <w:proofErr w:type="gramStart"/>
      <w:r w:rsidRPr="00701651">
        <w:rPr>
          <w:rFonts w:ascii="Arial" w:hAnsi="Arial" w:cs="Arial"/>
          <w:bCs/>
          <w:sz w:val="24"/>
          <w:szCs w:val="24"/>
        </w:rPr>
        <w:t>the</w:t>
      </w:r>
      <w:proofErr w:type="gramEnd"/>
      <w:r w:rsidRPr="00701651">
        <w:rPr>
          <w:rFonts w:ascii="Arial" w:hAnsi="Arial" w:cs="Arial"/>
          <w:bCs/>
          <w:sz w:val="24"/>
          <w:szCs w:val="24"/>
        </w:rPr>
        <w:t xml:space="preserve"> choice of Australians to affiliate and be represented by a union and thereby, for example, choose payroll deductions to pay their fees.  </w:t>
      </w:r>
    </w:p>
    <w:p w14:paraId="2354206B" w14:textId="77777777" w:rsidR="00701651" w:rsidRDefault="00701651" w:rsidP="007B63AA">
      <w:pPr>
        <w:pStyle w:val="ListParagraph"/>
        <w:spacing w:after="0" w:line="360" w:lineRule="auto"/>
        <w:jc w:val="both"/>
        <w:rPr>
          <w:rFonts w:ascii="Arial" w:hAnsi="Arial" w:cs="Arial"/>
          <w:bCs/>
          <w:sz w:val="24"/>
          <w:szCs w:val="24"/>
        </w:rPr>
      </w:pPr>
    </w:p>
    <w:p w14:paraId="6D6C64A9" w14:textId="77777777" w:rsidR="00701651" w:rsidRDefault="00B86CA5" w:rsidP="007B63AA">
      <w:pPr>
        <w:pStyle w:val="ListParagraph"/>
        <w:numPr>
          <w:ilvl w:val="0"/>
          <w:numId w:val="3"/>
        </w:numPr>
        <w:spacing w:after="0" w:line="360" w:lineRule="auto"/>
        <w:jc w:val="both"/>
        <w:rPr>
          <w:rFonts w:ascii="Arial" w:hAnsi="Arial" w:cs="Arial"/>
          <w:bCs/>
          <w:sz w:val="24"/>
          <w:szCs w:val="24"/>
        </w:rPr>
      </w:pPr>
      <w:r w:rsidRPr="00701651">
        <w:rPr>
          <w:rFonts w:ascii="Arial" w:hAnsi="Arial" w:cs="Arial"/>
          <w:bCs/>
          <w:sz w:val="24"/>
          <w:szCs w:val="24"/>
        </w:rPr>
        <w:t>In a globalised commercial world, unions have never been so vital for the preservation and promotion of Australian values, communities and workers’ terms and conditions.</w:t>
      </w:r>
    </w:p>
    <w:p w14:paraId="725EA5A5" w14:textId="77777777" w:rsidR="00701651" w:rsidRDefault="00701651" w:rsidP="007B63AA">
      <w:pPr>
        <w:pStyle w:val="ListParagraph"/>
        <w:spacing w:after="0" w:line="360" w:lineRule="auto"/>
        <w:jc w:val="both"/>
        <w:rPr>
          <w:rFonts w:ascii="Arial" w:hAnsi="Arial" w:cs="Arial"/>
          <w:bCs/>
          <w:sz w:val="24"/>
          <w:szCs w:val="24"/>
        </w:rPr>
      </w:pPr>
    </w:p>
    <w:p w14:paraId="3405ADB1" w14:textId="77777777" w:rsidR="00701651" w:rsidRDefault="00B86CA5" w:rsidP="007B63AA">
      <w:pPr>
        <w:pStyle w:val="ListParagraph"/>
        <w:numPr>
          <w:ilvl w:val="0"/>
          <w:numId w:val="3"/>
        </w:numPr>
        <w:spacing w:after="0" w:line="360" w:lineRule="auto"/>
        <w:jc w:val="both"/>
        <w:rPr>
          <w:rFonts w:ascii="Arial" w:hAnsi="Arial" w:cs="Arial"/>
          <w:bCs/>
          <w:sz w:val="24"/>
          <w:szCs w:val="24"/>
        </w:rPr>
      </w:pPr>
      <w:r w:rsidRPr="00701651">
        <w:rPr>
          <w:rFonts w:ascii="Arial" w:hAnsi="Arial" w:cs="Arial"/>
          <w:bCs/>
          <w:sz w:val="24"/>
          <w:szCs w:val="24"/>
        </w:rPr>
        <w:t>Research shows that government policies discouraging unions do little to change our economic performance, but they do affect the distribution of power or income distribution (see below section for a further discussion on the implications of income inequality on the Australian economy), and hence fairness.</w:t>
      </w:r>
      <w:r w:rsidRPr="00B86CA5">
        <w:rPr>
          <w:rStyle w:val="FootnoteReference"/>
          <w:rFonts w:ascii="Arial" w:hAnsi="Arial" w:cs="Arial"/>
          <w:bCs/>
          <w:sz w:val="24"/>
          <w:szCs w:val="24"/>
        </w:rPr>
        <w:footnoteReference w:id="37"/>
      </w:r>
      <w:r w:rsidRPr="00701651">
        <w:rPr>
          <w:rFonts w:ascii="Arial" w:hAnsi="Arial" w:cs="Arial"/>
          <w:bCs/>
          <w:sz w:val="24"/>
          <w:szCs w:val="24"/>
        </w:rPr>
        <w:t xml:space="preserve">  </w:t>
      </w:r>
    </w:p>
    <w:p w14:paraId="58E537CA" w14:textId="77777777" w:rsidR="00701651" w:rsidRPr="00701651" w:rsidRDefault="00701651" w:rsidP="007B63AA">
      <w:pPr>
        <w:pStyle w:val="ListParagraph"/>
        <w:spacing w:line="360" w:lineRule="auto"/>
        <w:jc w:val="both"/>
        <w:rPr>
          <w:rFonts w:ascii="Arial" w:hAnsi="Arial" w:cs="Arial"/>
          <w:bCs/>
          <w:sz w:val="24"/>
          <w:szCs w:val="24"/>
        </w:rPr>
      </w:pPr>
    </w:p>
    <w:p w14:paraId="6C9A2E13" w14:textId="77777777" w:rsidR="00701651" w:rsidRDefault="00B86CA5" w:rsidP="007B63AA">
      <w:pPr>
        <w:pStyle w:val="ListParagraph"/>
        <w:numPr>
          <w:ilvl w:val="0"/>
          <w:numId w:val="3"/>
        </w:numPr>
        <w:spacing w:after="0" w:line="360" w:lineRule="auto"/>
        <w:jc w:val="both"/>
        <w:rPr>
          <w:rFonts w:ascii="Arial" w:hAnsi="Arial" w:cs="Arial"/>
          <w:bCs/>
          <w:sz w:val="24"/>
          <w:szCs w:val="24"/>
        </w:rPr>
      </w:pPr>
      <w:r w:rsidRPr="00701651">
        <w:rPr>
          <w:rFonts w:ascii="Arial" w:hAnsi="Arial" w:cs="Arial"/>
          <w:bCs/>
          <w:sz w:val="24"/>
          <w:szCs w:val="24"/>
        </w:rPr>
        <w:t>In addition, equipping employees with the means to have their say and appropriately respecting and rewarding their contributions has been found to benefit business productivity as “there is a greater incentive to actively participate in productivity enhancing changes when you have a reasonable belief that you will benefit from them”.</w:t>
      </w:r>
      <w:r w:rsidRPr="00B86CA5">
        <w:rPr>
          <w:rStyle w:val="FootnoteReference"/>
          <w:rFonts w:ascii="Arial" w:hAnsi="Arial" w:cs="Arial"/>
          <w:bCs/>
          <w:sz w:val="24"/>
          <w:szCs w:val="24"/>
        </w:rPr>
        <w:footnoteReference w:id="38"/>
      </w:r>
    </w:p>
    <w:p w14:paraId="71E68C1B" w14:textId="77777777" w:rsidR="00701651" w:rsidRPr="00701651" w:rsidRDefault="00701651" w:rsidP="007B63AA">
      <w:pPr>
        <w:pStyle w:val="ListParagraph"/>
        <w:spacing w:line="360" w:lineRule="auto"/>
        <w:jc w:val="both"/>
        <w:rPr>
          <w:rFonts w:ascii="Arial" w:hAnsi="Arial" w:cs="Arial"/>
          <w:bCs/>
          <w:sz w:val="24"/>
          <w:szCs w:val="24"/>
        </w:rPr>
      </w:pPr>
    </w:p>
    <w:p w14:paraId="3499D5BB" w14:textId="77777777" w:rsidR="00701651" w:rsidRDefault="00B86CA5" w:rsidP="007B63AA">
      <w:pPr>
        <w:pStyle w:val="ListParagraph"/>
        <w:numPr>
          <w:ilvl w:val="0"/>
          <w:numId w:val="3"/>
        </w:numPr>
        <w:spacing w:after="0" w:line="360" w:lineRule="auto"/>
        <w:jc w:val="both"/>
        <w:rPr>
          <w:rFonts w:ascii="Arial" w:hAnsi="Arial" w:cs="Arial"/>
          <w:bCs/>
          <w:sz w:val="24"/>
          <w:szCs w:val="24"/>
        </w:rPr>
      </w:pPr>
      <w:r w:rsidRPr="00701651">
        <w:rPr>
          <w:rFonts w:ascii="Arial" w:hAnsi="Arial" w:cs="Arial"/>
          <w:bCs/>
          <w:sz w:val="24"/>
          <w:szCs w:val="24"/>
        </w:rPr>
        <w:t>In 2012, the Department of Education, Employment and Workplace Relations commissioned research that compared workplaces, which performed well on employee satisfaction, wellbeing and commitment, with workplaces that were not performing as well.</w:t>
      </w:r>
      <w:r w:rsidRPr="00B86CA5">
        <w:rPr>
          <w:rStyle w:val="FootnoteReference"/>
          <w:rFonts w:ascii="Arial" w:hAnsi="Arial" w:cs="Arial"/>
          <w:bCs/>
          <w:sz w:val="24"/>
          <w:szCs w:val="24"/>
        </w:rPr>
        <w:footnoteReference w:id="39"/>
      </w:r>
      <w:r w:rsidRPr="00701651">
        <w:rPr>
          <w:rFonts w:ascii="Arial" w:hAnsi="Arial" w:cs="Arial"/>
          <w:bCs/>
          <w:sz w:val="24"/>
          <w:szCs w:val="24"/>
        </w:rPr>
        <w:t xml:space="preserve">  </w:t>
      </w:r>
    </w:p>
    <w:p w14:paraId="0CA92C65" w14:textId="77777777" w:rsidR="00701651" w:rsidRPr="00701651" w:rsidRDefault="00701651" w:rsidP="007B63AA">
      <w:pPr>
        <w:pStyle w:val="ListParagraph"/>
        <w:spacing w:line="360" w:lineRule="auto"/>
        <w:jc w:val="both"/>
        <w:rPr>
          <w:rFonts w:ascii="Arial" w:hAnsi="Arial" w:cs="Arial"/>
          <w:bCs/>
          <w:sz w:val="24"/>
          <w:szCs w:val="24"/>
        </w:rPr>
      </w:pPr>
    </w:p>
    <w:p w14:paraId="5118E0C7" w14:textId="77777777" w:rsidR="00B86CA5" w:rsidRPr="00701651" w:rsidRDefault="00B86CA5" w:rsidP="007B63AA">
      <w:pPr>
        <w:pStyle w:val="ListParagraph"/>
        <w:numPr>
          <w:ilvl w:val="0"/>
          <w:numId w:val="3"/>
        </w:numPr>
        <w:spacing w:after="0" w:line="360" w:lineRule="auto"/>
        <w:jc w:val="both"/>
        <w:rPr>
          <w:rFonts w:ascii="Arial" w:hAnsi="Arial" w:cs="Arial"/>
          <w:bCs/>
          <w:sz w:val="24"/>
          <w:szCs w:val="24"/>
        </w:rPr>
      </w:pPr>
      <w:r w:rsidRPr="00701651">
        <w:rPr>
          <w:rFonts w:ascii="Arial" w:hAnsi="Arial" w:cs="Arial"/>
          <w:bCs/>
          <w:sz w:val="24"/>
          <w:szCs w:val="24"/>
        </w:rPr>
        <w:t xml:space="preserve">The results were conclusive:    </w:t>
      </w:r>
    </w:p>
    <w:p w14:paraId="42741413" w14:textId="77777777" w:rsidR="00701651" w:rsidRDefault="00701651" w:rsidP="007B63AA">
      <w:pPr>
        <w:pStyle w:val="NormalWeb"/>
        <w:shd w:val="clear" w:color="auto" w:fill="FEFEFE"/>
        <w:spacing w:before="0" w:beforeAutospacing="0" w:after="0" w:afterAutospacing="0" w:line="360" w:lineRule="auto"/>
        <w:ind w:left="567" w:right="567"/>
        <w:jc w:val="both"/>
        <w:rPr>
          <w:rFonts w:ascii="Arial" w:hAnsi="Arial" w:cs="Arial"/>
          <w:bCs/>
        </w:rPr>
      </w:pPr>
    </w:p>
    <w:p w14:paraId="7A32F850" w14:textId="77777777" w:rsidR="00B86CA5" w:rsidRPr="00B86CA5" w:rsidRDefault="00B86CA5" w:rsidP="007B63AA">
      <w:pPr>
        <w:pStyle w:val="NormalWeb"/>
        <w:shd w:val="clear" w:color="auto" w:fill="FEFEFE"/>
        <w:spacing w:before="0" w:beforeAutospacing="0" w:after="0" w:afterAutospacing="0" w:line="360" w:lineRule="auto"/>
        <w:ind w:left="1440" w:right="567"/>
        <w:jc w:val="both"/>
        <w:rPr>
          <w:rFonts w:ascii="Arial" w:hAnsi="Arial" w:cs="Arial"/>
          <w:bCs/>
        </w:rPr>
      </w:pPr>
      <w:r w:rsidRPr="00B86CA5">
        <w:rPr>
          <w:rFonts w:ascii="Arial" w:hAnsi="Arial" w:cs="Arial"/>
          <w:bCs/>
        </w:rPr>
        <w:t xml:space="preserve">“The high-performing workplaces were 12 per cent more productive than the low-performing. They had 23 per cent less staff turnover. They spent 30 per cent more time with their employees. Their average profit margin ratio was 15 per cent </w:t>
      </w:r>
      <w:r w:rsidRPr="00B86CA5">
        <w:rPr>
          <w:rFonts w:ascii="Arial" w:hAnsi="Arial" w:cs="Arial"/>
          <w:bCs/>
        </w:rPr>
        <w:lastRenderedPageBreak/>
        <w:t>compared with 5 per cent in the low-performing workplaces, amounting to a $40,000 difference per full-time employee a year”.</w:t>
      </w:r>
    </w:p>
    <w:p w14:paraId="106D05FC" w14:textId="77777777" w:rsidR="00701651" w:rsidRDefault="00701651" w:rsidP="007B63AA">
      <w:pPr>
        <w:spacing w:after="0" w:line="360" w:lineRule="auto"/>
        <w:jc w:val="both"/>
        <w:rPr>
          <w:rFonts w:ascii="Arial" w:hAnsi="Arial" w:cs="Arial"/>
          <w:bCs/>
          <w:sz w:val="24"/>
          <w:szCs w:val="24"/>
        </w:rPr>
      </w:pPr>
    </w:p>
    <w:p w14:paraId="418B3DD5" w14:textId="77777777" w:rsidR="00701651" w:rsidRDefault="00B86CA5" w:rsidP="007B63AA">
      <w:pPr>
        <w:pStyle w:val="ListParagraph"/>
        <w:numPr>
          <w:ilvl w:val="0"/>
          <w:numId w:val="3"/>
        </w:numPr>
        <w:spacing w:after="0" w:line="360" w:lineRule="auto"/>
        <w:jc w:val="both"/>
        <w:rPr>
          <w:rFonts w:ascii="Arial" w:hAnsi="Arial" w:cs="Arial"/>
          <w:bCs/>
          <w:sz w:val="24"/>
          <w:szCs w:val="24"/>
        </w:rPr>
      </w:pPr>
      <w:r w:rsidRPr="00701651">
        <w:rPr>
          <w:rFonts w:ascii="Arial" w:hAnsi="Arial" w:cs="Arial"/>
          <w:bCs/>
          <w:sz w:val="24"/>
          <w:szCs w:val="24"/>
        </w:rPr>
        <w:t>Fair workplace laws do not just reflect a socially responsible approach to ind</w:t>
      </w:r>
      <w:r w:rsidR="0089667C">
        <w:rPr>
          <w:rFonts w:ascii="Arial" w:hAnsi="Arial" w:cs="Arial"/>
          <w:bCs/>
          <w:sz w:val="24"/>
          <w:szCs w:val="24"/>
        </w:rPr>
        <w:t xml:space="preserve">ustrial and community relations - </w:t>
      </w:r>
      <w:r w:rsidRPr="00701651">
        <w:rPr>
          <w:rFonts w:ascii="Arial" w:hAnsi="Arial" w:cs="Arial"/>
          <w:bCs/>
          <w:sz w:val="24"/>
          <w:szCs w:val="24"/>
        </w:rPr>
        <w:t xml:space="preserve">they </w:t>
      </w:r>
      <w:r w:rsidR="0089667C">
        <w:rPr>
          <w:rFonts w:ascii="Arial" w:hAnsi="Arial" w:cs="Arial"/>
          <w:bCs/>
          <w:sz w:val="24"/>
          <w:szCs w:val="24"/>
        </w:rPr>
        <w:t xml:space="preserve">also </w:t>
      </w:r>
      <w:r w:rsidRPr="00701651">
        <w:rPr>
          <w:rFonts w:ascii="Arial" w:hAnsi="Arial" w:cs="Arial"/>
          <w:bCs/>
          <w:sz w:val="24"/>
          <w:szCs w:val="24"/>
        </w:rPr>
        <w:t>reflect an econom</w:t>
      </w:r>
      <w:r w:rsidR="0089667C">
        <w:rPr>
          <w:rFonts w:ascii="Arial" w:hAnsi="Arial" w:cs="Arial"/>
          <w:bCs/>
          <w:sz w:val="24"/>
          <w:szCs w:val="24"/>
        </w:rPr>
        <w:t>ically responsible approach</w:t>
      </w:r>
      <w:r w:rsidRPr="00701651">
        <w:rPr>
          <w:rFonts w:ascii="Arial" w:hAnsi="Arial" w:cs="Arial"/>
          <w:bCs/>
          <w:sz w:val="24"/>
          <w:szCs w:val="24"/>
        </w:rPr>
        <w:t xml:space="preserve">.  </w:t>
      </w:r>
    </w:p>
    <w:p w14:paraId="15CFF171" w14:textId="77777777" w:rsidR="00701651" w:rsidRDefault="00701651" w:rsidP="007B63AA">
      <w:pPr>
        <w:pStyle w:val="ListParagraph"/>
        <w:spacing w:after="0" w:line="360" w:lineRule="auto"/>
        <w:jc w:val="both"/>
        <w:rPr>
          <w:rFonts w:ascii="Arial" w:hAnsi="Arial" w:cs="Arial"/>
          <w:bCs/>
          <w:sz w:val="24"/>
          <w:szCs w:val="24"/>
        </w:rPr>
      </w:pPr>
    </w:p>
    <w:p w14:paraId="656E4674" w14:textId="77777777" w:rsidR="00701651" w:rsidRDefault="00B86CA5" w:rsidP="007B63AA">
      <w:pPr>
        <w:pStyle w:val="ListParagraph"/>
        <w:numPr>
          <w:ilvl w:val="0"/>
          <w:numId w:val="3"/>
        </w:numPr>
        <w:spacing w:after="0" w:line="360" w:lineRule="auto"/>
        <w:jc w:val="both"/>
        <w:rPr>
          <w:rFonts w:ascii="Arial" w:hAnsi="Arial" w:cs="Arial"/>
          <w:bCs/>
          <w:sz w:val="24"/>
          <w:szCs w:val="24"/>
        </w:rPr>
      </w:pPr>
      <w:r w:rsidRPr="00701651">
        <w:rPr>
          <w:rFonts w:ascii="Arial" w:hAnsi="Arial" w:cs="Arial"/>
          <w:bCs/>
          <w:sz w:val="24"/>
          <w:szCs w:val="24"/>
        </w:rPr>
        <w:t>From as far back as 1984 unions were found to have a direct, positive correlation with productivity, by for example, helping to reduce resignation rates, improve workers’ morale and develop more efficient working practices.</w:t>
      </w:r>
      <w:r w:rsidRPr="00B86CA5">
        <w:rPr>
          <w:rStyle w:val="FootnoteReference"/>
          <w:rFonts w:ascii="Arial" w:hAnsi="Arial" w:cs="Arial"/>
          <w:bCs/>
          <w:sz w:val="24"/>
          <w:szCs w:val="24"/>
        </w:rPr>
        <w:footnoteReference w:id="40"/>
      </w:r>
      <w:r w:rsidRPr="00701651">
        <w:rPr>
          <w:rFonts w:ascii="Arial" w:hAnsi="Arial" w:cs="Arial"/>
          <w:bCs/>
          <w:sz w:val="24"/>
          <w:szCs w:val="24"/>
        </w:rPr>
        <w:t xml:space="preserve"> </w:t>
      </w:r>
    </w:p>
    <w:p w14:paraId="5291B824" w14:textId="77777777" w:rsidR="00701651" w:rsidRPr="00701651" w:rsidRDefault="00701651" w:rsidP="007B63AA">
      <w:pPr>
        <w:pStyle w:val="ListParagraph"/>
        <w:spacing w:line="360" w:lineRule="auto"/>
        <w:jc w:val="both"/>
        <w:rPr>
          <w:rFonts w:ascii="Arial" w:hAnsi="Arial" w:cs="Arial"/>
          <w:bCs/>
          <w:sz w:val="24"/>
          <w:szCs w:val="24"/>
        </w:rPr>
      </w:pPr>
    </w:p>
    <w:p w14:paraId="3B521B6A" w14:textId="77777777" w:rsidR="00701651" w:rsidRDefault="00B86CA5" w:rsidP="007B63AA">
      <w:pPr>
        <w:pStyle w:val="ListParagraph"/>
        <w:numPr>
          <w:ilvl w:val="0"/>
          <w:numId w:val="3"/>
        </w:numPr>
        <w:spacing w:after="0" w:line="360" w:lineRule="auto"/>
        <w:jc w:val="both"/>
        <w:rPr>
          <w:rFonts w:ascii="Arial" w:hAnsi="Arial" w:cs="Arial"/>
          <w:bCs/>
          <w:sz w:val="24"/>
          <w:szCs w:val="24"/>
        </w:rPr>
      </w:pPr>
      <w:r w:rsidRPr="00701651">
        <w:rPr>
          <w:rFonts w:ascii="Arial" w:hAnsi="Arial" w:cs="Arial"/>
          <w:bCs/>
          <w:sz w:val="24"/>
          <w:szCs w:val="24"/>
        </w:rPr>
        <w:t>The AWU makes no bones about the work we will continue to do to defend key minimum conditions and rights and prevent a ‘race-to-the-bottom’.</w:t>
      </w:r>
    </w:p>
    <w:p w14:paraId="57F27F48" w14:textId="77777777" w:rsidR="00701651" w:rsidRPr="00701651" w:rsidRDefault="00701651" w:rsidP="007B63AA">
      <w:pPr>
        <w:pStyle w:val="ListParagraph"/>
        <w:spacing w:line="360" w:lineRule="auto"/>
        <w:jc w:val="both"/>
        <w:rPr>
          <w:rFonts w:ascii="Arial" w:hAnsi="Arial" w:cs="Arial"/>
          <w:bCs/>
          <w:sz w:val="24"/>
          <w:szCs w:val="24"/>
        </w:rPr>
      </w:pPr>
    </w:p>
    <w:p w14:paraId="0D09DBD4" w14:textId="77777777" w:rsidR="00701651" w:rsidRDefault="00B86CA5" w:rsidP="007B63AA">
      <w:pPr>
        <w:pStyle w:val="ListParagraph"/>
        <w:numPr>
          <w:ilvl w:val="0"/>
          <w:numId w:val="3"/>
        </w:numPr>
        <w:spacing w:after="0" w:line="360" w:lineRule="auto"/>
        <w:jc w:val="both"/>
        <w:rPr>
          <w:rFonts w:ascii="Arial" w:hAnsi="Arial" w:cs="Arial"/>
          <w:bCs/>
          <w:sz w:val="24"/>
          <w:szCs w:val="24"/>
        </w:rPr>
      </w:pPr>
      <w:r w:rsidRPr="00701651">
        <w:rPr>
          <w:rFonts w:ascii="Arial" w:hAnsi="Arial" w:cs="Arial"/>
          <w:bCs/>
          <w:sz w:val="24"/>
          <w:szCs w:val="24"/>
        </w:rPr>
        <w:t xml:space="preserve">Legislation should be in place – as it is currently – to enable trade unions to exist and to “bargain for </w:t>
      </w:r>
      <w:r w:rsidRPr="00701651">
        <w:rPr>
          <w:rFonts w:ascii="Arial" w:hAnsi="Arial" w:cs="Arial"/>
          <w:b/>
          <w:bCs/>
          <w:i/>
          <w:sz w:val="24"/>
          <w:szCs w:val="24"/>
        </w:rPr>
        <w:t>better conditions</w:t>
      </w:r>
      <w:r w:rsidRPr="00701651">
        <w:rPr>
          <w:rFonts w:ascii="Arial" w:hAnsi="Arial" w:cs="Arial"/>
          <w:bCs/>
          <w:sz w:val="24"/>
          <w:szCs w:val="24"/>
        </w:rPr>
        <w:t xml:space="preserve">”.   The Coalition’s approach of restricting matters pertaining to the employment relationship is outdated, illogical and highly prescriptive.  </w:t>
      </w:r>
    </w:p>
    <w:p w14:paraId="4E43125B" w14:textId="77777777" w:rsidR="00701651" w:rsidRPr="00701651" w:rsidRDefault="00701651" w:rsidP="007B63AA">
      <w:pPr>
        <w:pStyle w:val="ListParagraph"/>
        <w:spacing w:line="360" w:lineRule="auto"/>
        <w:jc w:val="both"/>
        <w:rPr>
          <w:rFonts w:ascii="Arial" w:hAnsi="Arial" w:cs="Arial"/>
          <w:bCs/>
          <w:sz w:val="24"/>
          <w:szCs w:val="24"/>
        </w:rPr>
      </w:pPr>
    </w:p>
    <w:p w14:paraId="7E240BB1" w14:textId="77777777" w:rsidR="00701651" w:rsidRDefault="00B86CA5" w:rsidP="007B63AA">
      <w:pPr>
        <w:pStyle w:val="ListParagraph"/>
        <w:numPr>
          <w:ilvl w:val="0"/>
          <w:numId w:val="3"/>
        </w:numPr>
        <w:spacing w:after="0" w:line="360" w:lineRule="auto"/>
        <w:jc w:val="both"/>
        <w:rPr>
          <w:rFonts w:ascii="Arial" w:hAnsi="Arial" w:cs="Arial"/>
          <w:bCs/>
          <w:sz w:val="24"/>
          <w:szCs w:val="24"/>
        </w:rPr>
      </w:pPr>
      <w:r w:rsidRPr="00701651">
        <w:rPr>
          <w:rFonts w:ascii="Arial" w:hAnsi="Arial" w:cs="Arial"/>
          <w:bCs/>
          <w:sz w:val="24"/>
          <w:szCs w:val="24"/>
        </w:rPr>
        <w:t xml:space="preserve">Why should legislation be developed so that employers do not have to accommodate employees who wish to belong to unions or provide training for their workforce? How would such legislation help develop harmonious and productive workplaces?  </w:t>
      </w:r>
    </w:p>
    <w:p w14:paraId="47E16EF3" w14:textId="77777777" w:rsidR="00701651" w:rsidRPr="00701651" w:rsidRDefault="00701651" w:rsidP="007B63AA">
      <w:pPr>
        <w:pStyle w:val="ListParagraph"/>
        <w:spacing w:line="360" w:lineRule="auto"/>
        <w:jc w:val="both"/>
        <w:rPr>
          <w:rFonts w:ascii="Arial" w:hAnsi="Arial" w:cs="Arial"/>
          <w:bCs/>
          <w:sz w:val="24"/>
          <w:szCs w:val="24"/>
        </w:rPr>
      </w:pPr>
    </w:p>
    <w:p w14:paraId="2E6A3E9D" w14:textId="77777777" w:rsidR="00701651" w:rsidRDefault="00B86CA5" w:rsidP="007B63AA">
      <w:pPr>
        <w:pStyle w:val="ListParagraph"/>
        <w:numPr>
          <w:ilvl w:val="0"/>
          <w:numId w:val="3"/>
        </w:numPr>
        <w:spacing w:after="0" w:line="360" w:lineRule="auto"/>
        <w:jc w:val="both"/>
        <w:rPr>
          <w:rFonts w:ascii="Arial" w:hAnsi="Arial" w:cs="Arial"/>
          <w:bCs/>
          <w:sz w:val="24"/>
          <w:szCs w:val="24"/>
        </w:rPr>
      </w:pPr>
      <w:r w:rsidRPr="00701651">
        <w:rPr>
          <w:rFonts w:ascii="Arial" w:hAnsi="Arial" w:cs="Arial"/>
          <w:bCs/>
          <w:sz w:val="24"/>
          <w:szCs w:val="24"/>
        </w:rPr>
        <w:t>It makes no sense to make training a non-allowable matter, for example, given it is mutually beneficial for employers and employees to equip them to adapt and provide better, more productive services.  At the same time, it makes no sense that employees are prevented from bargaining for better job security or for restrictions on the use of contractors.</w:t>
      </w:r>
    </w:p>
    <w:p w14:paraId="3CF0DAD0" w14:textId="77777777" w:rsidR="00701651" w:rsidRPr="00701651" w:rsidRDefault="00701651" w:rsidP="007B63AA">
      <w:pPr>
        <w:pStyle w:val="ListParagraph"/>
        <w:spacing w:line="360" w:lineRule="auto"/>
        <w:jc w:val="both"/>
        <w:rPr>
          <w:rFonts w:ascii="Arial" w:hAnsi="Arial" w:cs="Arial"/>
          <w:bCs/>
          <w:sz w:val="24"/>
          <w:szCs w:val="24"/>
        </w:rPr>
      </w:pPr>
    </w:p>
    <w:p w14:paraId="7F0725DD" w14:textId="77777777" w:rsidR="00B86CA5" w:rsidRPr="00701651" w:rsidRDefault="00B86CA5" w:rsidP="007B63AA">
      <w:pPr>
        <w:pStyle w:val="ListParagraph"/>
        <w:numPr>
          <w:ilvl w:val="0"/>
          <w:numId w:val="3"/>
        </w:numPr>
        <w:spacing w:after="0" w:line="360" w:lineRule="auto"/>
        <w:jc w:val="both"/>
        <w:rPr>
          <w:rFonts w:ascii="Arial" w:hAnsi="Arial" w:cs="Arial"/>
          <w:bCs/>
          <w:sz w:val="24"/>
          <w:szCs w:val="24"/>
        </w:rPr>
      </w:pPr>
      <w:r w:rsidRPr="00701651">
        <w:rPr>
          <w:rFonts w:ascii="Arial" w:hAnsi="Arial" w:cs="Arial"/>
          <w:bCs/>
          <w:sz w:val="24"/>
          <w:szCs w:val="24"/>
        </w:rPr>
        <w:lastRenderedPageBreak/>
        <w:t xml:space="preserve">In addition, the process of bargaining requires that there be provisions to bargain for, and if legislation is to enable employers “to genuinely craft arrangements suited to them” then it must be as non-prescriptive as possible, so that they can have a broad range of provisions from which they can draw.  </w:t>
      </w:r>
    </w:p>
    <w:p w14:paraId="50449A5A" w14:textId="77777777" w:rsidR="00701651" w:rsidRDefault="00701651" w:rsidP="007B63AA">
      <w:pPr>
        <w:spacing w:after="0" w:line="360" w:lineRule="auto"/>
        <w:jc w:val="both"/>
        <w:rPr>
          <w:rFonts w:ascii="Arial" w:hAnsi="Arial" w:cs="Arial"/>
          <w:b/>
          <w:bCs/>
          <w:sz w:val="24"/>
          <w:szCs w:val="24"/>
        </w:rPr>
      </w:pPr>
    </w:p>
    <w:p w14:paraId="72E24D54" w14:textId="77777777" w:rsidR="00B86CA5" w:rsidRPr="00701651" w:rsidRDefault="00B86CA5" w:rsidP="007B63AA">
      <w:pPr>
        <w:spacing w:after="0" w:line="360" w:lineRule="auto"/>
        <w:jc w:val="both"/>
        <w:rPr>
          <w:rFonts w:ascii="Arial" w:hAnsi="Arial" w:cs="Arial"/>
          <w:bCs/>
          <w:sz w:val="24"/>
          <w:szCs w:val="24"/>
          <w:u w:val="single"/>
        </w:rPr>
      </w:pPr>
      <w:r w:rsidRPr="00701651">
        <w:rPr>
          <w:rFonts w:ascii="Arial" w:hAnsi="Arial" w:cs="Arial"/>
          <w:bCs/>
          <w:sz w:val="24"/>
          <w:szCs w:val="24"/>
          <w:u w:val="single"/>
        </w:rPr>
        <w:t xml:space="preserve">Agreements need to make employees ‘better off overall’ </w:t>
      </w:r>
    </w:p>
    <w:p w14:paraId="6EBD7929" w14:textId="77777777" w:rsidR="00701651" w:rsidRDefault="00701651" w:rsidP="007B63AA">
      <w:pPr>
        <w:spacing w:after="0" w:line="360" w:lineRule="auto"/>
        <w:jc w:val="both"/>
        <w:rPr>
          <w:rFonts w:ascii="Arial" w:hAnsi="Arial" w:cs="Arial"/>
          <w:bCs/>
          <w:sz w:val="24"/>
          <w:szCs w:val="24"/>
        </w:rPr>
      </w:pPr>
    </w:p>
    <w:p w14:paraId="75DE1E97" w14:textId="77777777" w:rsidR="00701651" w:rsidRDefault="00B86CA5" w:rsidP="007B63AA">
      <w:pPr>
        <w:pStyle w:val="ListParagraph"/>
        <w:numPr>
          <w:ilvl w:val="0"/>
          <w:numId w:val="3"/>
        </w:numPr>
        <w:spacing w:after="0" w:line="360" w:lineRule="auto"/>
        <w:jc w:val="both"/>
        <w:rPr>
          <w:rFonts w:ascii="Arial" w:hAnsi="Arial" w:cs="Arial"/>
          <w:bCs/>
          <w:sz w:val="24"/>
          <w:szCs w:val="24"/>
        </w:rPr>
      </w:pPr>
      <w:r w:rsidRPr="00701651">
        <w:rPr>
          <w:rFonts w:ascii="Arial" w:hAnsi="Arial" w:cs="Arial"/>
          <w:bCs/>
          <w:sz w:val="24"/>
          <w:szCs w:val="24"/>
        </w:rPr>
        <w:t xml:space="preserve">The AWU firmly believes that the requirement that agreements need to make employees ‘better off overall’ (BOOT) must remain in place.  </w:t>
      </w:r>
    </w:p>
    <w:p w14:paraId="65487B11" w14:textId="77777777" w:rsidR="00701651" w:rsidRDefault="00701651" w:rsidP="007B63AA">
      <w:pPr>
        <w:pStyle w:val="ListParagraph"/>
        <w:spacing w:after="0" w:line="360" w:lineRule="auto"/>
        <w:jc w:val="both"/>
        <w:rPr>
          <w:rFonts w:ascii="Arial" w:hAnsi="Arial" w:cs="Arial"/>
          <w:bCs/>
          <w:sz w:val="24"/>
          <w:szCs w:val="24"/>
        </w:rPr>
      </w:pPr>
    </w:p>
    <w:p w14:paraId="28A630E4" w14:textId="77777777" w:rsidR="00B86CA5" w:rsidRPr="00701651" w:rsidRDefault="00B86CA5" w:rsidP="007B63AA">
      <w:pPr>
        <w:pStyle w:val="ListParagraph"/>
        <w:numPr>
          <w:ilvl w:val="0"/>
          <w:numId w:val="3"/>
        </w:numPr>
        <w:spacing w:after="0" w:line="360" w:lineRule="auto"/>
        <w:jc w:val="both"/>
        <w:rPr>
          <w:rFonts w:ascii="Arial" w:hAnsi="Arial" w:cs="Arial"/>
          <w:bCs/>
          <w:sz w:val="24"/>
          <w:szCs w:val="24"/>
        </w:rPr>
      </w:pPr>
      <w:r w:rsidRPr="00701651">
        <w:rPr>
          <w:rFonts w:ascii="Arial" w:hAnsi="Arial" w:cs="Arial"/>
          <w:bCs/>
          <w:sz w:val="24"/>
          <w:szCs w:val="24"/>
        </w:rPr>
        <w:t xml:space="preserve">Firstly, this measure directly responds to one of this Inquiry’s chief concerns that regulation must determine “how employers and employees can bargain for </w:t>
      </w:r>
      <w:r w:rsidRPr="00701651">
        <w:rPr>
          <w:rFonts w:ascii="Arial" w:hAnsi="Arial" w:cs="Arial"/>
          <w:b/>
          <w:bCs/>
          <w:i/>
          <w:sz w:val="24"/>
          <w:szCs w:val="24"/>
        </w:rPr>
        <w:t>better conditions</w:t>
      </w:r>
      <w:r w:rsidRPr="00701651">
        <w:rPr>
          <w:rFonts w:ascii="Arial" w:hAnsi="Arial" w:cs="Arial"/>
          <w:bCs/>
          <w:sz w:val="24"/>
          <w:szCs w:val="24"/>
        </w:rPr>
        <w:t xml:space="preserve">” and importantly, goes some way to address the staggering, increasing inequality in Australia, which has been found to be bad for Australia’s economy. </w:t>
      </w:r>
      <w:r w:rsidRPr="00B86CA5">
        <w:rPr>
          <w:rStyle w:val="FootnoteReference"/>
          <w:rFonts w:ascii="Arial" w:hAnsi="Arial" w:cs="Arial"/>
          <w:bCs/>
          <w:sz w:val="24"/>
          <w:szCs w:val="24"/>
        </w:rPr>
        <w:footnoteReference w:id="41"/>
      </w:r>
      <w:r w:rsidRPr="00701651">
        <w:rPr>
          <w:rFonts w:ascii="Arial" w:hAnsi="Arial" w:cs="Arial"/>
          <w:bCs/>
          <w:sz w:val="24"/>
          <w:szCs w:val="24"/>
        </w:rPr>
        <w:t xml:space="preserve"> Indeed, evidence demonstrates that rules promoting inequality in industrial legislation are a significant part of the problem.</w:t>
      </w:r>
      <w:r w:rsidRPr="00B86CA5">
        <w:rPr>
          <w:rStyle w:val="FootnoteReference"/>
          <w:rFonts w:ascii="Arial" w:hAnsi="Arial" w:cs="Arial"/>
          <w:bCs/>
          <w:sz w:val="24"/>
          <w:szCs w:val="24"/>
        </w:rPr>
        <w:footnoteReference w:id="42"/>
      </w:r>
    </w:p>
    <w:p w14:paraId="0AAE5C05" w14:textId="77777777" w:rsidR="00701651" w:rsidRDefault="00701651" w:rsidP="007B63AA">
      <w:pPr>
        <w:spacing w:after="0" w:line="360" w:lineRule="auto"/>
        <w:jc w:val="both"/>
        <w:rPr>
          <w:rFonts w:ascii="Arial" w:hAnsi="Arial" w:cs="Arial"/>
          <w:bCs/>
          <w:sz w:val="24"/>
          <w:szCs w:val="24"/>
        </w:rPr>
      </w:pPr>
    </w:p>
    <w:p w14:paraId="5E0CE057" w14:textId="77777777" w:rsidR="00701651" w:rsidRDefault="00B86CA5" w:rsidP="007B63AA">
      <w:pPr>
        <w:pStyle w:val="ListParagraph"/>
        <w:numPr>
          <w:ilvl w:val="0"/>
          <w:numId w:val="3"/>
        </w:numPr>
        <w:spacing w:after="0" w:line="360" w:lineRule="auto"/>
        <w:jc w:val="both"/>
        <w:rPr>
          <w:rFonts w:ascii="Arial" w:hAnsi="Arial" w:cs="Arial"/>
          <w:bCs/>
          <w:sz w:val="24"/>
          <w:szCs w:val="24"/>
        </w:rPr>
      </w:pPr>
      <w:r w:rsidRPr="00701651">
        <w:rPr>
          <w:rFonts w:ascii="Arial" w:hAnsi="Arial" w:cs="Arial"/>
          <w:bCs/>
          <w:sz w:val="24"/>
          <w:szCs w:val="24"/>
        </w:rPr>
        <w:t>The International Monetary Fund has conducted research over the last 50 years and found that “more unequal countries tend to have lower and less durable economic growth”.</w:t>
      </w:r>
      <w:r w:rsidRPr="00B86CA5">
        <w:rPr>
          <w:rStyle w:val="FootnoteReference"/>
          <w:rFonts w:ascii="Arial" w:hAnsi="Arial" w:cs="Arial"/>
          <w:bCs/>
          <w:sz w:val="24"/>
          <w:szCs w:val="24"/>
        </w:rPr>
        <w:footnoteReference w:id="43"/>
      </w:r>
      <w:r w:rsidRPr="00701651">
        <w:rPr>
          <w:rFonts w:ascii="Arial" w:hAnsi="Arial" w:cs="Arial"/>
          <w:bCs/>
          <w:sz w:val="24"/>
          <w:szCs w:val="24"/>
        </w:rPr>
        <w:t xml:space="preserve">  </w:t>
      </w:r>
    </w:p>
    <w:p w14:paraId="2F07501C" w14:textId="77777777" w:rsidR="00701651" w:rsidRPr="00701651" w:rsidRDefault="00701651" w:rsidP="007B63AA">
      <w:pPr>
        <w:pStyle w:val="ListParagraph"/>
        <w:spacing w:line="360" w:lineRule="auto"/>
        <w:jc w:val="both"/>
        <w:rPr>
          <w:rFonts w:ascii="Arial" w:hAnsi="Arial" w:cs="Arial"/>
          <w:bCs/>
          <w:sz w:val="24"/>
          <w:szCs w:val="24"/>
        </w:rPr>
      </w:pPr>
    </w:p>
    <w:p w14:paraId="4699083B" w14:textId="77777777" w:rsidR="00B86CA5" w:rsidRPr="00701651" w:rsidRDefault="00B86CA5" w:rsidP="007B63AA">
      <w:pPr>
        <w:pStyle w:val="ListParagraph"/>
        <w:numPr>
          <w:ilvl w:val="0"/>
          <w:numId w:val="3"/>
        </w:numPr>
        <w:spacing w:after="0" w:line="360" w:lineRule="auto"/>
        <w:jc w:val="both"/>
        <w:rPr>
          <w:rFonts w:ascii="Arial" w:hAnsi="Arial" w:cs="Arial"/>
          <w:bCs/>
          <w:sz w:val="24"/>
          <w:szCs w:val="24"/>
        </w:rPr>
      </w:pPr>
      <w:r w:rsidRPr="00701651">
        <w:rPr>
          <w:rFonts w:ascii="Arial" w:hAnsi="Arial" w:cs="Arial"/>
          <w:bCs/>
          <w:sz w:val="24"/>
          <w:szCs w:val="24"/>
        </w:rPr>
        <w:t>The Organisation for Economic Cooperation and Development (OECD) shows that in 2002, just 13.8% of Australian workers were low paid,</w:t>
      </w:r>
      <w:r w:rsidRPr="00701651">
        <w:rPr>
          <w:rStyle w:val="FootnoteReference"/>
          <w:rFonts w:ascii="Arial" w:hAnsi="Arial" w:cs="Arial"/>
          <w:bCs/>
          <w:sz w:val="24"/>
          <w:szCs w:val="24"/>
        </w:rPr>
        <w:t xml:space="preserve"> </w:t>
      </w:r>
      <w:r w:rsidRPr="00B86CA5">
        <w:rPr>
          <w:rStyle w:val="FootnoteReference"/>
          <w:rFonts w:ascii="Arial" w:hAnsi="Arial" w:cs="Arial"/>
          <w:bCs/>
          <w:sz w:val="24"/>
          <w:szCs w:val="24"/>
        </w:rPr>
        <w:footnoteReference w:id="44"/>
      </w:r>
      <w:r w:rsidRPr="00701651">
        <w:rPr>
          <w:rFonts w:ascii="Arial" w:hAnsi="Arial" w:cs="Arial"/>
          <w:bCs/>
          <w:sz w:val="24"/>
          <w:szCs w:val="24"/>
        </w:rPr>
        <w:t xml:space="preserve"> much lower than the OECD average of 17.2%.</w:t>
      </w:r>
      <w:r w:rsidRPr="00B86CA5">
        <w:rPr>
          <w:rStyle w:val="FootnoteReference"/>
          <w:rFonts w:ascii="Arial" w:hAnsi="Arial" w:cs="Arial"/>
          <w:bCs/>
          <w:sz w:val="24"/>
          <w:szCs w:val="24"/>
        </w:rPr>
        <w:footnoteReference w:id="45"/>
      </w:r>
      <w:r w:rsidRPr="00701651">
        <w:rPr>
          <w:rFonts w:ascii="Arial" w:hAnsi="Arial" w:cs="Arial"/>
          <w:bCs/>
          <w:sz w:val="24"/>
          <w:szCs w:val="24"/>
        </w:rPr>
        <w:t xml:space="preserve"> Yet by 2012, the percentage of low paid Australian workers had risen to 18.9% – the biggest rise in the OECD over that period – whilst the OECD average had fallen to 16.3%.  This is despite Australia having a better performing economy than its peers over this time.  </w:t>
      </w:r>
    </w:p>
    <w:p w14:paraId="77DD92E7" w14:textId="77777777" w:rsidR="00701651" w:rsidRDefault="00701651" w:rsidP="007B63AA">
      <w:pPr>
        <w:spacing w:after="0" w:line="360" w:lineRule="auto"/>
        <w:jc w:val="both"/>
        <w:rPr>
          <w:rFonts w:ascii="Arial" w:hAnsi="Arial" w:cs="Arial"/>
          <w:bCs/>
          <w:sz w:val="24"/>
          <w:szCs w:val="24"/>
        </w:rPr>
      </w:pPr>
    </w:p>
    <w:p w14:paraId="0A598F19" w14:textId="07658577" w:rsidR="00701651" w:rsidRDefault="00B86CA5" w:rsidP="007B63AA">
      <w:pPr>
        <w:pStyle w:val="ListParagraph"/>
        <w:numPr>
          <w:ilvl w:val="0"/>
          <w:numId w:val="3"/>
        </w:numPr>
        <w:spacing w:after="0" w:line="360" w:lineRule="auto"/>
        <w:jc w:val="both"/>
        <w:rPr>
          <w:rFonts w:ascii="Arial" w:hAnsi="Arial" w:cs="Arial"/>
          <w:bCs/>
          <w:sz w:val="24"/>
          <w:szCs w:val="24"/>
        </w:rPr>
      </w:pPr>
      <w:r w:rsidRPr="00701651">
        <w:rPr>
          <w:rFonts w:ascii="Arial" w:hAnsi="Arial" w:cs="Arial"/>
          <w:bCs/>
          <w:sz w:val="24"/>
          <w:szCs w:val="24"/>
        </w:rPr>
        <w:t>More recently, Oxfam released a report on Australia “Still the Lucky Country?” in which it reveals that the richest 1% of Australians own the same wealth as the bottom 60%.</w:t>
      </w:r>
      <w:r w:rsidRPr="00B86CA5">
        <w:rPr>
          <w:rStyle w:val="FootnoteReference"/>
          <w:rFonts w:ascii="Arial" w:hAnsi="Arial" w:cs="Arial"/>
          <w:bCs/>
          <w:sz w:val="24"/>
          <w:szCs w:val="24"/>
        </w:rPr>
        <w:footnoteReference w:id="46"/>
      </w:r>
      <w:r w:rsidRPr="00701651">
        <w:rPr>
          <w:rFonts w:ascii="Arial" w:hAnsi="Arial" w:cs="Arial"/>
          <w:bCs/>
          <w:sz w:val="24"/>
          <w:szCs w:val="24"/>
        </w:rPr>
        <w:t xml:space="preserve"> Indeed, Australia’s richest person owns more than the bottom 10% of the population combined (2.27 million people) whilst the nine richest individuals own more than the bottom 20% (4.54 million people).</w:t>
      </w:r>
      <w:r w:rsidRPr="00B86CA5">
        <w:rPr>
          <w:rStyle w:val="FootnoteReference"/>
          <w:rFonts w:ascii="Arial" w:hAnsi="Arial" w:cs="Arial"/>
          <w:bCs/>
          <w:sz w:val="24"/>
          <w:szCs w:val="24"/>
        </w:rPr>
        <w:footnoteReference w:id="47"/>
      </w:r>
      <w:r w:rsidRPr="00701651">
        <w:rPr>
          <w:rFonts w:ascii="Arial" w:hAnsi="Arial" w:cs="Arial"/>
          <w:bCs/>
          <w:sz w:val="24"/>
          <w:szCs w:val="24"/>
        </w:rPr>
        <w:t xml:space="preserve">  </w:t>
      </w:r>
    </w:p>
    <w:p w14:paraId="28D36A34" w14:textId="77777777" w:rsidR="00701651" w:rsidRPr="00701651" w:rsidRDefault="00701651" w:rsidP="007B63AA">
      <w:pPr>
        <w:pStyle w:val="ListParagraph"/>
        <w:spacing w:line="360" w:lineRule="auto"/>
        <w:jc w:val="both"/>
        <w:rPr>
          <w:rFonts w:ascii="Arial" w:hAnsi="Arial" w:cs="Arial"/>
          <w:bCs/>
          <w:sz w:val="24"/>
          <w:szCs w:val="24"/>
        </w:rPr>
      </w:pPr>
    </w:p>
    <w:p w14:paraId="519E289A" w14:textId="77777777" w:rsidR="00701651" w:rsidRDefault="00B86CA5" w:rsidP="007B63AA">
      <w:pPr>
        <w:pStyle w:val="ListParagraph"/>
        <w:numPr>
          <w:ilvl w:val="0"/>
          <w:numId w:val="3"/>
        </w:numPr>
        <w:spacing w:after="0" w:line="360" w:lineRule="auto"/>
        <w:jc w:val="both"/>
        <w:rPr>
          <w:rFonts w:ascii="Arial" w:hAnsi="Arial" w:cs="Arial"/>
          <w:bCs/>
          <w:sz w:val="24"/>
          <w:szCs w:val="24"/>
        </w:rPr>
      </w:pPr>
      <w:r w:rsidRPr="00701651">
        <w:rPr>
          <w:rFonts w:ascii="Arial" w:hAnsi="Arial" w:cs="Arial"/>
          <w:bCs/>
          <w:sz w:val="24"/>
          <w:szCs w:val="24"/>
        </w:rPr>
        <w:t xml:space="preserve">Last year, the IMF’s Managing Director, Christine </w:t>
      </w:r>
      <w:proofErr w:type="spellStart"/>
      <w:r w:rsidRPr="00701651">
        <w:rPr>
          <w:rFonts w:ascii="Arial" w:hAnsi="Arial" w:cs="Arial"/>
          <w:bCs/>
          <w:sz w:val="24"/>
          <w:szCs w:val="24"/>
        </w:rPr>
        <w:t>Lagarde</w:t>
      </w:r>
      <w:proofErr w:type="spellEnd"/>
      <w:r w:rsidR="00F5350A">
        <w:rPr>
          <w:rFonts w:ascii="Arial" w:hAnsi="Arial" w:cs="Arial"/>
          <w:bCs/>
          <w:sz w:val="24"/>
          <w:szCs w:val="24"/>
        </w:rPr>
        <w:t>,</w:t>
      </w:r>
      <w:r w:rsidRPr="00701651">
        <w:rPr>
          <w:rFonts w:ascii="Arial" w:hAnsi="Arial" w:cs="Arial"/>
          <w:bCs/>
          <w:sz w:val="24"/>
          <w:szCs w:val="24"/>
        </w:rPr>
        <w:t xml:space="preserve"> warned us of the importance of “making sure that growth is more inclusive and that the rules of the game lead to a level playing field—favouring the many, not just the few; prizing broad participation over narrow patronage”.</w:t>
      </w:r>
      <w:r w:rsidRPr="00701651">
        <w:rPr>
          <w:rStyle w:val="FootnoteReference"/>
          <w:rFonts w:ascii="Arial" w:hAnsi="Arial" w:cs="Arial"/>
          <w:bCs/>
          <w:sz w:val="24"/>
          <w:szCs w:val="24"/>
        </w:rPr>
        <w:t xml:space="preserve"> </w:t>
      </w:r>
      <w:r w:rsidRPr="00B86CA5">
        <w:rPr>
          <w:rStyle w:val="FootnoteReference"/>
          <w:rFonts w:ascii="Arial" w:hAnsi="Arial" w:cs="Arial"/>
          <w:bCs/>
          <w:sz w:val="24"/>
          <w:szCs w:val="24"/>
        </w:rPr>
        <w:footnoteReference w:id="48"/>
      </w:r>
      <w:r w:rsidRPr="00701651">
        <w:rPr>
          <w:rFonts w:ascii="Arial" w:hAnsi="Arial" w:cs="Arial"/>
          <w:bCs/>
          <w:sz w:val="24"/>
          <w:szCs w:val="24"/>
        </w:rPr>
        <w:t xml:space="preserve">  She continued calling for greater regulation and closer supervision of business undertakings, stating: “If we want capitalism to do its job—enabling as many people as possible to participate and benefit from the economy—then it needs to be more inclusive. That means addressing extreme income disparity.</w:t>
      </w:r>
      <w:r w:rsidRPr="00B86CA5">
        <w:rPr>
          <w:rStyle w:val="FootnoteReference"/>
          <w:rFonts w:ascii="Arial" w:hAnsi="Arial" w:cs="Arial"/>
          <w:bCs/>
          <w:sz w:val="24"/>
          <w:szCs w:val="24"/>
        </w:rPr>
        <w:footnoteReference w:id="49"/>
      </w:r>
      <w:r w:rsidRPr="00701651">
        <w:rPr>
          <w:rFonts w:ascii="Arial" w:hAnsi="Arial" w:cs="Arial"/>
          <w:bCs/>
          <w:sz w:val="24"/>
          <w:szCs w:val="24"/>
        </w:rPr>
        <w:t xml:space="preserve"> </w:t>
      </w:r>
    </w:p>
    <w:p w14:paraId="3B88825F" w14:textId="77777777" w:rsidR="00701651" w:rsidRPr="00701651" w:rsidRDefault="00701651" w:rsidP="007B63AA">
      <w:pPr>
        <w:pStyle w:val="ListParagraph"/>
        <w:spacing w:line="360" w:lineRule="auto"/>
        <w:jc w:val="both"/>
        <w:rPr>
          <w:rFonts w:ascii="Arial" w:hAnsi="Arial" w:cs="Arial"/>
          <w:bCs/>
          <w:sz w:val="24"/>
          <w:szCs w:val="24"/>
        </w:rPr>
      </w:pPr>
    </w:p>
    <w:p w14:paraId="7EFE5BF6" w14:textId="5CBDCAF2" w:rsidR="00B86CA5" w:rsidRPr="00701651" w:rsidRDefault="00B86CA5" w:rsidP="007B63AA">
      <w:pPr>
        <w:pStyle w:val="ListParagraph"/>
        <w:numPr>
          <w:ilvl w:val="0"/>
          <w:numId w:val="3"/>
        </w:numPr>
        <w:spacing w:after="0" w:line="360" w:lineRule="auto"/>
        <w:jc w:val="both"/>
        <w:rPr>
          <w:rFonts w:ascii="Arial" w:hAnsi="Arial" w:cs="Arial"/>
          <w:bCs/>
          <w:sz w:val="24"/>
          <w:szCs w:val="24"/>
        </w:rPr>
      </w:pPr>
      <w:r w:rsidRPr="00701651">
        <w:rPr>
          <w:rFonts w:ascii="Arial" w:hAnsi="Arial" w:cs="Arial"/>
          <w:bCs/>
          <w:sz w:val="24"/>
          <w:szCs w:val="24"/>
        </w:rPr>
        <w:t xml:space="preserve">The Australian Government must learn from the analysis of the GFC and seek to regulate our economy so that all Australians can profit from their hard work.  The BOOT test is an important example of how legislation can help address inequality and it must be retained.  </w:t>
      </w:r>
    </w:p>
    <w:p w14:paraId="7F1AEA51" w14:textId="77777777" w:rsidR="00701651" w:rsidRDefault="00701651" w:rsidP="007B63AA">
      <w:pPr>
        <w:spacing w:after="0" w:line="360" w:lineRule="auto"/>
        <w:jc w:val="both"/>
        <w:rPr>
          <w:rFonts w:ascii="Arial" w:hAnsi="Arial" w:cs="Arial"/>
          <w:bCs/>
          <w:sz w:val="24"/>
          <w:szCs w:val="24"/>
        </w:rPr>
      </w:pPr>
    </w:p>
    <w:p w14:paraId="469C32AA" w14:textId="5A6D2C30" w:rsidR="00B86CA5" w:rsidRPr="00701651" w:rsidRDefault="00B86CA5" w:rsidP="007B63AA">
      <w:pPr>
        <w:pStyle w:val="ListParagraph"/>
        <w:numPr>
          <w:ilvl w:val="0"/>
          <w:numId w:val="3"/>
        </w:numPr>
        <w:spacing w:after="0" w:line="360" w:lineRule="auto"/>
        <w:jc w:val="both"/>
        <w:rPr>
          <w:rFonts w:ascii="Arial" w:hAnsi="Arial" w:cs="Arial"/>
          <w:bCs/>
          <w:sz w:val="24"/>
          <w:szCs w:val="24"/>
        </w:rPr>
      </w:pPr>
      <w:r w:rsidRPr="00701651">
        <w:rPr>
          <w:rFonts w:ascii="Arial" w:hAnsi="Arial" w:cs="Arial"/>
          <w:bCs/>
          <w:sz w:val="24"/>
          <w:szCs w:val="24"/>
        </w:rPr>
        <w:t xml:space="preserve">Secondly, sufficient flexibility already </w:t>
      </w:r>
      <w:r w:rsidR="00F5350A">
        <w:rPr>
          <w:rFonts w:ascii="Arial" w:hAnsi="Arial" w:cs="Arial"/>
          <w:bCs/>
          <w:sz w:val="24"/>
          <w:szCs w:val="24"/>
        </w:rPr>
        <w:t xml:space="preserve">exists </w:t>
      </w:r>
      <w:r w:rsidRPr="00701651">
        <w:rPr>
          <w:rFonts w:ascii="Arial" w:hAnsi="Arial" w:cs="Arial"/>
          <w:bCs/>
          <w:sz w:val="24"/>
          <w:szCs w:val="24"/>
        </w:rPr>
        <w:t>in the current system to accommodate “exceptional circumstances”, such as short-term financial crises, whereby the FWC may approve an agreement that does not pass the BOOT test.</w:t>
      </w:r>
      <w:r w:rsidRPr="00B86CA5">
        <w:rPr>
          <w:rStyle w:val="FootnoteReference"/>
          <w:rFonts w:ascii="Arial" w:hAnsi="Arial" w:cs="Arial"/>
          <w:bCs/>
          <w:sz w:val="24"/>
          <w:szCs w:val="24"/>
        </w:rPr>
        <w:footnoteReference w:id="50"/>
      </w:r>
      <w:r w:rsidRPr="00701651">
        <w:rPr>
          <w:rFonts w:ascii="Arial" w:hAnsi="Arial" w:cs="Arial"/>
          <w:bCs/>
          <w:sz w:val="24"/>
          <w:szCs w:val="24"/>
        </w:rPr>
        <w:t xml:space="preserve"> </w:t>
      </w:r>
    </w:p>
    <w:p w14:paraId="71508CBB" w14:textId="77777777" w:rsidR="00701651" w:rsidRDefault="00701651" w:rsidP="007B63AA">
      <w:pPr>
        <w:spacing w:after="0" w:line="360" w:lineRule="auto"/>
        <w:jc w:val="both"/>
        <w:rPr>
          <w:rFonts w:ascii="Arial" w:hAnsi="Arial" w:cs="Arial"/>
          <w:bCs/>
          <w:sz w:val="24"/>
          <w:szCs w:val="24"/>
        </w:rPr>
      </w:pPr>
    </w:p>
    <w:p w14:paraId="3A33CE21" w14:textId="77777777" w:rsidR="00701651" w:rsidRDefault="00B86CA5" w:rsidP="007B63AA">
      <w:pPr>
        <w:pStyle w:val="ListParagraph"/>
        <w:numPr>
          <w:ilvl w:val="0"/>
          <w:numId w:val="3"/>
        </w:numPr>
        <w:spacing w:after="0" w:line="360" w:lineRule="auto"/>
        <w:jc w:val="both"/>
        <w:rPr>
          <w:rFonts w:ascii="Arial" w:hAnsi="Arial" w:cs="Arial"/>
          <w:bCs/>
          <w:sz w:val="24"/>
          <w:szCs w:val="24"/>
        </w:rPr>
      </w:pPr>
      <w:r w:rsidRPr="00701651">
        <w:rPr>
          <w:rFonts w:ascii="Arial" w:hAnsi="Arial" w:cs="Arial"/>
          <w:bCs/>
          <w:sz w:val="24"/>
          <w:szCs w:val="24"/>
        </w:rPr>
        <w:t xml:space="preserve">Finally, the AWU also strongly believes that </w:t>
      </w:r>
      <w:r w:rsidR="00F5350A">
        <w:rPr>
          <w:rFonts w:ascii="Arial" w:hAnsi="Arial" w:cs="Arial"/>
          <w:bCs/>
          <w:sz w:val="24"/>
          <w:szCs w:val="24"/>
        </w:rPr>
        <w:t xml:space="preserve">the </w:t>
      </w:r>
      <w:r w:rsidRPr="00701651">
        <w:rPr>
          <w:rFonts w:ascii="Arial" w:hAnsi="Arial" w:cs="Arial"/>
          <w:bCs/>
          <w:sz w:val="24"/>
          <w:szCs w:val="24"/>
        </w:rPr>
        <w:t xml:space="preserve">BOOT should be met for all employees subject to the agreement, rather than focus on the collective welfare improvement of employees.  </w:t>
      </w:r>
    </w:p>
    <w:p w14:paraId="7077ACEA" w14:textId="77777777" w:rsidR="00701651" w:rsidRPr="00701651" w:rsidRDefault="00701651" w:rsidP="007B63AA">
      <w:pPr>
        <w:pStyle w:val="ListParagraph"/>
        <w:spacing w:line="360" w:lineRule="auto"/>
        <w:jc w:val="both"/>
        <w:rPr>
          <w:rFonts w:ascii="Arial" w:hAnsi="Arial" w:cs="Arial"/>
          <w:bCs/>
          <w:sz w:val="24"/>
          <w:szCs w:val="24"/>
        </w:rPr>
      </w:pPr>
    </w:p>
    <w:p w14:paraId="3A31808C" w14:textId="77777777" w:rsidR="00B86CA5" w:rsidRPr="00701651" w:rsidRDefault="00B86CA5" w:rsidP="007B63AA">
      <w:pPr>
        <w:pStyle w:val="ListParagraph"/>
        <w:numPr>
          <w:ilvl w:val="0"/>
          <w:numId w:val="3"/>
        </w:numPr>
        <w:spacing w:after="0" w:line="360" w:lineRule="auto"/>
        <w:jc w:val="both"/>
        <w:rPr>
          <w:rFonts w:ascii="Arial" w:hAnsi="Arial" w:cs="Arial"/>
          <w:bCs/>
          <w:sz w:val="24"/>
          <w:szCs w:val="24"/>
        </w:rPr>
      </w:pPr>
      <w:r w:rsidRPr="00701651">
        <w:rPr>
          <w:rFonts w:ascii="Arial" w:hAnsi="Arial" w:cs="Arial"/>
          <w:bCs/>
          <w:sz w:val="24"/>
          <w:szCs w:val="24"/>
        </w:rPr>
        <w:t xml:space="preserve">Notwithstanding the fact that if the agreement meets the former, it will also meet the latter, the latter alone would simply not be fair; a focus on collective welfare could result in collective welfare improvements overall that hide losses to individual employees whilst others benefit at their expense. </w:t>
      </w:r>
    </w:p>
    <w:p w14:paraId="181D584C" w14:textId="77777777" w:rsidR="00701651" w:rsidRDefault="00701651" w:rsidP="007B63AA">
      <w:pPr>
        <w:spacing w:after="0" w:line="360" w:lineRule="auto"/>
        <w:jc w:val="both"/>
        <w:rPr>
          <w:rFonts w:ascii="Arial" w:hAnsi="Arial" w:cs="Arial"/>
          <w:b/>
          <w:bCs/>
          <w:sz w:val="24"/>
          <w:szCs w:val="24"/>
        </w:rPr>
      </w:pPr>
    </w:p>
    <w:p w14:paraId="38D1227E" w14:textId="77777777" w:rsidR="00B86CA5" w:rsidRPr="00701651" w:rsidRDefault="00B86CA5" w:rsidP="007B63AA">
      <w:pPr>
        <w:spacing w:after="0" w:line="360" w:lineRule="auto"/>
        <w:jc w:val="both"/>
        <w:rPr>
          <w:rFonts w:ascii="Arial" w:hAnsi="Arial" w:cs="Arial"/>
          <w:bCs/>
          <w:sz w:val="24"/>
          <w:szCs w:val="24"/>
          <w:u w:val="single"/>
        </w:rPr>
      </w:pPr>
      <w:r w:rsidRPr="00701651">
        <w:rPr>
          <w:rFonts w:ascii="Arial" w:hAnsi="Arial" w:cs="Arial"/>
          <w:bCs/>
          <w:sz w:val="24"/>
          <w:szCs w:val="24"/>
          <w:u w:val="single"/>
        </w:rPr>
        <w:t>Requirements to con</w:t>
      </w:r>
      <w:r w:rsidR="00701651" w:rsidRPr="00701651">
        <w:rPr>
          <w:rFonts w:ascii="Arial" w:hAnsi="Arial" w:cs="Arial"/>
          <w:bCs/>
          <w:sz w:val="24"/>
          <w:szCs w:val="24"/>
          <w:u w:val="single"/>
        </w:rPr>
        <w:t>sider productivity improvements</w:t>
      </w:r>
    </w:p>
    <w:p w14:paraId="4A250F2B" w14:textId="77777777" w:rsidR="00701651" w:rsidRDefault="00701651" w:rsidP="007B63AA">
      <w:pPr>
        <w:spacing w:after="0" w:line="360" w:lineRule="auto"/>
        <w:jc w:val="both"/>
        <w:rPr>
          <w:rFonts w:ascii="Arial" w:hAnsi="Arial" w:cs="Arial"/>
          <w:bCs/>
          <w:sz w:val="24"/>
          <w:szCs w:val="24"/>
        </w:rPr>
      </w:pPr>
    </w:p>
    <w:p w14:paraId="0AC3C4D5" w14:textId="77777777" w:rsidR="00B86CA5" w:rsidRPr="00701651" w:rsidRDefault="00B86CA5" w:rsidP="007B63AA">
      <w:pPr>
        <w:pStyle w:val="ListParagraph"/>
        <w:numPr>
          <w:ilvl w:val="0"/>
          <w:numId w:val="3"/>
        </w:numPr>
        <w:spacing w:after="0" w:line="360" w:lineRule="auto"/>
        <w:jc w:val="both"/>
        <w:rPr>
          <w:rFonts w:ascii="Arial" w:hAnsi="Arial" w:cs="Arial"/>
          <w:bCs/>
          <w:sz w:val="24"/>
          <w:szCs w:val="24"/>
        </w:rPr>
      </w:pPr>
      <w:r w:rsidRPr="00701651">
        <w:rPr>
          <w:rFonts w:ascii="Arial" w:hAnsi="Arial" w:cs="Arial"/>
          <w:bCs/>
          <w:sz w:val="24"/>
          <w:szCs w:val="24"/>
        </w:rPr>
        <w:t xml:space="preserve">There are many reasons why the AWU believes that the Inquiry has not appropriately framed its discussion on the bargaining framework and productivity improvements.  </w:t>
      </w:r>
    </w:p>
    <w:p w14:paraId="1362DB8D" w14:textId="77777777" w:rsidR="00701651" w:rsidRDefault="00701651" w:rsidP="007B63AA">
      <w:pPr>
        <w:spacing w:after="0" w:line="360" w:lineRule="auto"/>
        <w:jc w:val="both"/>
        <w:rPr>
          <w:rFonts w:ascii="Arial" w:hAnsi="Arial" w:cs="Arial"/>
          <w:bCs/>
          <w:sz w:val="24"/>
          <w:szCs w:val="24"/>
        </w:rPr>
      </w:pPr>
    </w:p>
    <w:p w14:paraId="528D5E3A" w14:textId="77777777" w:rsidR="00701651" w:rsidRDefault="00B86CA5" w:rsidP="007B63AA">
      <w:pPr>
        <w:pStyle w:val="ListParagraph"/>
        <w:numPr>
          <w:ilvl w:val="0"/>
          <w:numId w:val="3"/>
        </w:numPr>
        <w:spacing w:after="0" w:line="360" w:lineRule="auto"/>
        <w:jc w:val="both"/>
        <w:rPr>
          <w:rFonts w:ascii="Arial" w:hAnsi="Arial" w:cs="Arial"/>
          <w:bCs/>
          <w:sz w:val="24"/>
          <w:szCs w:val="24"/>
        </w:rPr>
      </w:pPr>
      <w:r w:rsidRPr="00701651">
        <w:rPr>
          <w:rFonts w:ascii="Arial" w:hAnsi="Arial" w:cs="Arial"/>
          <w:bCs/>
          <w:sz w:val="24"/>
          <w:szCs w:val="24"/>
        </w:rPr>
        <w:t xml:space="preserve">Firstly, the Inquiry has applied the Government’s blinkered view on industrial relations and productivity – the neoclassical belief that the work unions and industrial legislation perform in defending workers’ rights and fighting for fair terms and conditions is in some way contrary to the economic success of Australia’s businesses.  </w:t>
      </w:r>
    </w:p>
    <w:p w14:paraId="1464C525" w14:textId="77777777" w:rsidR="00701651" w:rsidRPr="00701651" w:rsidRDefault="00701651" w:rsidP="007B63AA">
      <w:pPr>
        <w:pStyle w:val="ListParagraph"/>
        <w:spacing w:line="360" w:lineRule="auto"/>
        <w:jc w:val="both"/>
        <w:rPr>
          <w:rFonts w:ascii="Arial" w:hAnsi="Arial" w:cs="Arial"/>
          <w:bCs/>
          <w:sz w:val="24"/>
          <w:szCs w:val="24"/>
        </w:rPr>
      </w:pPr>
    </w:p>
    <w:p w14:paraId="78EBC965" w14:textId="77777777" w:rsidR="00F5350A" w:rsidRPr="00F5350A" w:rsidRDefault="00B86CA5" w:rsidP="00F5350A">
      <w:pPr>
        <w:pStyle w:val="ListParagraph"/>
        <w:numPr>
          <w:ilvl w:val="0"/>
          <w:numId w:val="3"/>
        </w:numPr>
        <w:spacing w:after="0" w:line="360" w:lineRule="auto"/>
        <w:jc w:val="both"/>
        <w:rPr>
          <w:rFonts w:ascii="Arial" w:hAnsi="Arial" w:cs="Arial"/>
          <w:bCs/>
          <w:sz w:val="24"/>
          <w:szCs w:val="24"/>
        </w:rPr>
      </w:pPr>
      <w:r w:rsidRPr="00701651">
        <w:rPr>
          <w:rFonts w:ascii="Arial" w:hAnsi="Arial" w:cs="Arial"/>
          <w:bCs/>
          <w:sz w:val="24"/>
          <w:szCs w:val="24"/>
        </w:rPr>
        <w:t xml:space="preserve">As discussed above, research shows that Australia’s increasingly unequal society is likely to jeopardise our economic prosperity, as well as community cohesion and democracy in the long-term.  </w:t>
      </w:r>
    </w:p>
    <w:p w14:paraId="089A274C" w14:textId="77777777" w:rsidR="00F5350A" w:rsidRPr="00701651" w:rsidRDefault="00F5350A" w:rsidP="00F5350A">
      <w:pPr>
        <w:pStyle w:val="ListParagraph"/>
        <w:spacing w:after="0" w:line="360" w:lineRule="auto"/>
        <w:ind w:left="604"/>
        <w:jc w:val="both"/>
        <w:rPr>
          <w:rFonts w:ascii="Arial" w:hAnsi="Arial" w:cs="Arial"/>
          <w:bCs/>
          <w:sz w:val="24"/>
          <w:szCs w:val="24"/>
        </w:rPr>
      </w:pPr>
    </w:p>
    <w:p w14:paraId="1CE24EFA" w14:textId="77777777" w:rsidR="00701651" w:rsidRPr="00701651" w:rsidRDefault="00B86CA5" w:rsidP="007B63AA">
      <w:pPr>
        <w:pStyle w:val="ListParagraph"/>
        <w:numPr>
          <w:ilvl w:val="0"/>
          <w:numId w:val="3"/>
        </w:numPr>
        <w:spacing w:after="0" w:line="360" w:lineRule="auto"/>
        <w:jc w:val="both"/>
        <w:rPr>
          <w:rFonts w:ascii="Arial" w:hAnsi="Arial" w:cs="Arial"/>
          <w:bCs/>
          <w:sz w:val="24"/>
          <w:szCs w:val="24"/>
        </w:rPr>
      </w:pPr>
      <w:r w:rsidRPr="00701651">
        <w:rPr>
          <w:rFonts w:ascii="Arial" w:hAnsi="Arial" w:cs="Arial"/>
          <w:bCs/>
          <w:sz w:val="24"/>
          <w:szCs w:val="24"/>
        </w:rPr>
        <w:t xml:space="preserve">Rather than facilitate a ‘race-to-the-bottom’ as advocated by short-sighted business interests, Government and its agencies should ensure that not only are appropriate safeguards in place to protect the most vulnerable, but that industrial relations legislation supports employers to build engaged, satisfied, skilled and innovative workforces.  </w:t>
      </w:r>
    </w:p>
    <w:p w14:paraId="30FC816C" w14:textId="77777777" w:rsidR="00701651" w:rsidRDefault="00701651" w:rsidP="007B63AA">
      <w:pPr>
        <w:spacing w:after="0" w:line="360" w:lineRule="auto"/>
        <w:jc w:val="both"/>
        <w:rPr>
          <w:rFonts w:ascii="Arial" w:hAnsi="Arial" w:cs="Arial"/>
          <w:bCs/>
          <w:sz w:val="24"/>
          <w:szCs w:val="24"/>
        </w:rPr>
      </w:pPr>
    </w:p>
    <w:p w14:paraId="61FDD357" w14:textId="77777777" w:rsidR="00B86CA5" w:rsidRPr="00701651" w:rsidRDefault="00B86CA5" w:rsidP="007B63AA">
      <w:pPr>
        <w:pStyle w:val="ListParagraph"/>
        <w:numPr>
          <w:ilvl w:val="0"/>
          <w:numId w:val="3"/>
        </w:numPr>
        <w:spacing w:after="0" w:line="360" w:lineRule="auto"/>
        <w:jc w:val="both"/>
        <w:rPr>
          <w:rFonts w:ascii="Arial" w:hAnsi="Arial" w:cs="Arial"/>
          <w:bCs/>
          <w:sz w:val="24"/>
          <w:szCs w:val="24"/>
        </w:rPr>
      </w:pPr>
      <w:r w:rsidRPr="00701651">
        <w:rPr>
          <w:rFonts w:ascii="Arial" w:hAnsi="Arial" w:cs="Arial"/>
          <w:bCs/>
          <w:sz w:val="24"/>
          <w:szCs w:val="24"/>
        </w:rPr>
        <w:t xml:space="preserve">This is important not just for the </w:t>
      </w:r>
      <w:proofErr w:type="spellStart"/>
      <w:r w:rsidRPr="00701651">
        <w:rPr>
          <w:rFonts w:ascii="Arial" w:hAnsi="Arial" w:cs="Arial"/>
          <w:bCs/>
          <w:sz w:val="24"/>
          <w:szCs w:val="24"/>
        </w:rPr>
        <w:t>well-being</w:t>
      </w:r>
      <w:proofErr w:type="spellEnd"/>
      <w:r w:rsidRPr="00701651">
        <w:rPr>
          <w:rFonts w:ascii="Arial" w:hAnsi="Arial" w:cs="Arial"/>
          <w:bCs/>
          <w:sz w:val="24"/>
          <w:szCs w:val="24"/>
        </w:rPr>
        <w:t xml:space="preserve"> of the workers and communities concerned, but for the long-term prosperity and productivity of Australia.  </w:t>
      </w:r>
    </w:p>
    <w:p w14:paraId="61A198E7" w14:textId="77777777" w:rsidR="00701651" w:rsidRDefault="00701651" w:rsidP="007B63AA">
      <w:pPr>
        <w:spacing w:after="0" w:line="360" w:lineRule="auto"/>
        <w:jc w:val="both"/>
        <w:rPr>
          <w:rFonts w:ascii="Arial" w:hAnsi="Arial" w:cs="Arial"/>
          <w:bCs/>
          <w:sz w:val="24"/>
          <w:szCs w:val="24"/>
        </w:rPr>
      </w:pPr>
    </w:p>
    <w:p w14:paraId="0F73D021" w14:textId="77777777" w:rsidR="00B86CA5" w:rsidRDefault="00B86CA5" w:rsidP="007B63AA">
      <w:pPr>
        <w:pStyle w:val="ListParagraph"/>
        <w:numPr>
          <w:ilvl w:val="0"/>
          <w:numId w:val="3"/>
        </w:numPr>
        <w:spacing w:after="0" w:line="360" w:lineRule="auto"/>
        <w:jc w:val="both"/>
        <w:rPr>
          <w:rFonts w:ascii="Arial" w:hAnsi="Arial" w:cs="Arial"/>
          <w:bCs/>
          <w:sz w:val="24"/>
          <w:szCs w:val="24"/>
        </w:rPr>
      </w:pPr>
      <w:r w:rsidRPr="00701651">
        <w:rPr>
          <w:rFonts w:ascii="Arial" w:hAnsi="Arial" w:cs="Arial"/>
          <w:bCs/>
          <w:sz w:val="24"/>
          <w:szCs w:val="24"/>
        </w:rPr>
        <w:t xml:space="preserve">Much research exists around why an engaged, satisfied, skilled and innovative workforce is good for economic productivity.  In addition to the research </w:t>
      </w:r>
      <w:r w:rsidRPr="00701651">
        <w:rPr>
          <w:rFonts w:ascii="Arial" w:hAnsi="Arial" w:cs="Arial"/>
          <w:bCs/>
          <w:sz w:val="24"/>
          <w:szCs w:val="24"/>
        </w:rPr>
        <w:lastRenderedPageBreak/>
        <w:t>conducted by the Department of Education, Employment and Workplace Relations mentioned above, outlined below are findings of some key reports:</w:t>
      </w:r>
    </w:p>
    <w:p w14:paraId="69043F47" w14:textId="77777777" w:rsidR="00701651" w:rsidRPr="00701651" w:rsidRDefault="00701651" w:rsidP="007B63AA">
      <w:pPr>
        <w:spacing w:after="0" w:line="360" w:lineRule="auto"/>
        <w:jc w:val="both"/>
        <w:rPr>
          <w:rFonts w:ascii="Arial" w:hAnsi="Arial" w:cs="Arial"/>
          <w:bCs/>
          <w:sz w:val="24"/>
          <w:szCs w:val="24"/>
        </w:rPr>
      </w:pPr>
    </w:p>
    <w:p w14:paraId="62FC76F5" w14:textId="77777777" w:rsidR="00B86CA5" w:rsidRDefault="00B86CA5" w:rsidP="007B63AA">
      <w:pPr>
        <w:numPr>
          <w:ilvl w:val="0"/>
          <w:numId w:val="10"/>
        </w:numPr>
        <w:spacing w:after="0" w:line="360" w:lineRule="auto"/>
        <w:jc w:val="both"/>
        <w:rPr>
          <w:rFonts w:ascii="Arial" w:hAnsi="Arial" w:cs="Arial"/>
          <w:bCs/>
          <w:sz w:val="24"/>
          <w:szCs w:val="24"/>
        </w:rPr>
      </w:pPr>
      <w:r w:rsidRPr="00B86CA5">
        <w:rPr>
          <w:rFonts w:ascii="Arial" w:hAnsi="Arial" w:cs="Arial"/>
          <w:bCs/>
          <w:sz w:val="24"/>
          <w:szCs w:val="24"/>
        </w:rPr>
        <w:t>Commissioned in 2008 by the UK Labour Government as an investigation into how to improve UK competiveness and performance following the global financial crisis, the MacLeod Report ‘Engage for Success’ concluded that effective employer engagement would result in “a step-change in workplace performance and in employee wellbeing”, which would result in “a triple win: for the individual at work, the enterprise or service, and for the country as a whole”.</w:t>
      </w:r>
      <w:r w:rsidRPr="00B86CA5">
        <w:rPr>
          <w:rStyle w:val="FootnoteReference"/>
          <w:rFonts w:ascii="Arial" w:hAnsi="Arial" w:cs="Arial"/>
          <w:bCs/>
          <w:sz w:val="24"/>
          <w:szCs w:val="24"/>
        </w:rPr>
        <w:footnoteReference w:id="51"/>
      </w:r>
      <w:r w:rsidRPr="00B86CA5">
        <w:rPr>
          <w:rFonts w:ascii="Arial" w:hAnsi="Arial" w:cs="Arial"/>
          <w:bCs/>
          <w:sz w:val="24"/>
          <w:szCs w:val="24"/>
        </w:rPr>
        <w:t xml:space="preserve"> </w:t>
      </w:r>
    </w:p>
    <w:p w14:paraId="0A6C91FD" w14:textId="77777777" w:rsidR="00AF30C0" w:rsidRDefault="00AF30C0" w:rsidP="00AF30C0">
      <w:pPr>
        <w:spacing w:after="0" w:line="360" w:lineRule="auto"/>
        <w:ind w:left="1070"/>
        <w:jc w:val="both"/>
        <w:rPr>
          <w:rFonts w:ascii="Arial" w:hAnsi="Arial" w:cs="Arial"/>
          <w:bCs/>
          <w:sz w:val="24"/>
          <w:szCs w:val="24"/>
        </w:rPr>
      </w:pPr>
    </w:p>
    <w:p w14:paraId="0229497E" w14:textId="0F051677" w:rsidR="00B86CA5" w:rsidRDefault="00B86CA5" w:rsidP="00AF30C0">
      <w:pPr>
        <w:numPr>
          <w:ilvl w:val="0"/>
          <w:numId w:val="10"/>
        </w:numPr>
        <w:spacing w:after="0" w:line="360" w:lineRule="auto"/>
        <w:jc w:val="both"/>
        <w:rPr>
          <w:rFonts w:ascii="Arial" w:hAnsi="Arial" w:cs="Arial"/>
          <w:bCs/>
          <w:sz w:val="24"/>
          <w:szCs w:val="24"/>
        </w:rPr>
      </w:pPr>
      <w:r w:rsidRPr="00B86CA5">
        <w:rPr>
          <w:rFonts w:ascii="Arial" w:hAnsi="Arial" w:cs="Arial"/>
          <w:bCs/>
          <w:sz w:val="24"/>
          <w:szCs w:val="24"/>
        </w:rPr>
        <w:t xml:space="preserve">According to research by the </w:t>
      </w:r>
      <w:proofErr w:type="spellStart"/>
      <w:r w:rsidRPr="00B86CA5">
        <w:rPr>
          <w:rFonts w:ascii="Arial" w:hAnsi="Arial" w:cs="Arial"/>
          <w:bCs/>
          <w:sz w:val="24"/>
          <w:szCs w:val="24"/>
        </w:rPr>
        <w:t>McKell</w:t>
      </w:r>
      <w:proofErr w:type="spellEnd"/>
      <w:r w:rsidRPr="00B86CA5">
        <w:rPr>
          <w:rFonts w:ascii="Arial" w:hAnsi="Arial" w:cs="Arial"/>
          <w:bCs/>
          <w:sz w:val="24"/>
          <w:szCs w:val="24"/>
        </w:rPr>
        <w:t xml:space="preserve"> Institute in 2012</w:t>
      </w:r>
      <w:r w:rsidR="00F5350A">
        <w:rPr>
          <w:rFonts w:ascii="Arial" w:hAnsi="Arial" w:cs="Arial"/>
          <w:bCs/>
          <w:sz w:val="24"/>
          <w:szCs w:val="24"/>
        </w:rPr>
        <w:t>,</w:t>
      </w:r>
      <w:r w:rsidRPr="00B86CA5">
        <w:rPr>
          <w:rFonts w:ascii="Arial" w:hAnsi="Arial" w:cs="Arial"/>
          <w:bCs/>
          <w:sz w:val="24"/>
          <w:szCs w:val="24"/>
        </w:rPr>
        <w:t xml:space="preserve"> Government, industry and trade unions should “look to innovate, improve management capability and focus on workforce development and </w:t>
      </w:r>
      <w:proofErr w:type="spellStart"/>
      <w:r w:rsidRPr="00B86CA5">
        <w:rPr>
          <w:rFonts w:ascii="Arial" w:hAnsi="Arial" w:cs="Arial"/>
          <w:bCs/>
          <w:sz w:val="24"/>
          <w:szCs w:val="24"/>
        </w:rPr>
        <w:t>upskilling</w:t>
      </w:r>
      <w:proofErr w:type="spellEnd"/>
      <w:r w:rsidRPr="00B86CA5">
        <w:rPr>
          <w:rFonts w:ascii="Arial" w:hAnsi="Arial" w:cs="Arial"/>
          <w:bCs/>
          <w:sz w:val="24"/>
          <w:szCs w:val="24"/>
        </w:rPr>
        <w:t xml:space="preserve"> in order to deliver long-term productivity growth.” The report describes a recurrent fundamental policy choice – the ‘low road’ of “narrow cost-cutting and an unwinnable race to the bottom”, or the ‘high road’ of “longer term dynamic efficiency gains in a knowledge-based high wage, high productivity economy</w:t>
      </w:r>
      <w:r w:rsidR="00BC6528">
        <w:rPr>
          <w:rFonts w:ascii="Arial" w:hAnsi="Arial" w:cs="Arial"/>
          <w:bCs/>
          <w:sz w:val="24"/>
          <w:szCs w:val="24"/>
        </w:rPr>
        <w:t>”</w:t>
      </w:r>
      <w:r w:rsidRPr="00B86CA5">
        <w:rPr>
          <w:rFonts w:ascii="Arial" w:hAnsi="Arial" w:cs="Arial"/>
          <w:bCs/>
          <w:sz w:val="24"/>
          <w:szCs w:val="24"/>
        </w:rPr>
        <w:t xml:space="preserve">.  The report revealed how Australia lags behind its international peers in terms of investing in research and innovation, in improving its management capability and in workforce development and skills.  Investments </w:t>
      </w:r>
      <w:r w:rsidR="00F5350A">
        <w:rPr>
          <w:rFonts w:ascii="Arial" w:hAnsi="Arial" w:cs="Arial"/>
          <w:bCs/>
          <w:sz w:val="24"/>
          <w:szCs w:val="24"/>
        </w:rPr>
        <w:t xml:space="preserve">were </w:t>
      </w:r>
      <w:r w:rsidRPr="00B86CA5">
        <w:rPr>
          <w:rFonts w:ascii="Arial" w:hAnsi="Arial" w:cs="Arial"/>
          <w:bCs/>
          <w:sz w:val="24"/>
          <w:szCs w:val="24"/>
        </w:rPr>
        <w:t>found to be vital for long-term productivity gains.</w:t>
      </w:r>
      <w:r w:rsidR="00AF30C0">
        <w:rPr>
          <w:rFonts w:ascii="Arial" w:hAnsi="Arial" w:cs="Arial"/>
          <w:bCs/>
          <w:sz w:val="24"/>
          <w:szCs w:val="24"/>
        </w:rPr>
        <w:t xml:space="preserve"> </w:t>
      </w:r>
      <w:r w:rsidRPr="00B86CA5">
        <w:rPr>
          <w:rFonts w:ascii="Arial" w:hAnsi="Arial" w:cs="Arial"/>
          <w:bCs/>
          <w:sz w:val="24"/>
          <w:szCs w:val="24"/>
        </w:rPr>
        <w:t>As an example, its research showed that in Australia</w:t>
      </w:r>
      <w:r w:rsidR="00337FBE">
        <w:rPr>
          <w:rFonts w:ascii="Arial" w:hAnsi="Arial" w:cs="Arial"/>
          <w:bCs/>
          <w:sz w:val="24"/>
          <w:szCs w:val="24"/>
        </w:rPr>
        <w:t>,</w:t>
      </w:r>
      <w:r w:rsidRPr="00B86CA5">
        <w:rPr>
          <w:rFonts w:ascii="Arial" w:hAnsi="Arial" w:cs="Arial"/>
          <w:bCs/>
          <w:sz w:val="24"/>
          <w:szCs w:val="24"/>
        </w:rPr>
        <w:t xml:space="preserve"> superior management performance was positively correlated with “enhanced management sales, productivity, market valuation and employment growth”.  </w:t>
      </w:r>
    </w:p>
    <w:p w14:paraId="04F50B31" w14:textId="77777777" w:rsidR="00701651" w:rsidRPr="00B86CA5" w:rsidRDefault="00701651" w:rsidP="007B63AA">
      <w:pPr>
        <w:spacing w:after="0" w:line="360" w:lineRule="auto"/>
        <w:ind w:left="720"/>
        <w:jc w:val="both"/>
        <w:rPr>
          <w:rFonts w:ascii="Arial" w:hAnsi="Arial" w:cs="Arial"/>
          <w:bCs/>
          <w:sz w:val="24"/>
          <w:szCs w:val="24"/>
        </w:rPr>
      </w:pPr>
    </w:p>
    <w:p w14:paraId="47BB14EB" w14:textId="77777777" w:rsidR="00B86CA5" w:rsidRPr="00B86CA5" w:rsidRDefault="00B86CA5" w:rsidP="007B63AA">
      <w:pPr>
        <w:numPr>
          <w:ilvl w:val="0"/>
          <w:numId w:val="10"/>
        </w:numPr>
        <w:spacing w:after="0" w:line="360" w:lineRule="auto"/>
        <w:jc w:val="both"/>
        <w:rPr>
          <w:rFonts w:ascii="Arial" w:hAnsi="Arial" w:cs="Arial"/>
          <w:bCs/>
          <w:sz w:val="24"/>
          <w:szCs w:val="24"/>
        </w:rPr>
      </w:pPr>
      <w:r w:rsidRPr="00B86CA5">
        <w:rPr>
          <w:rFonts w:ascii="Arial" w:hAnsi="Arial" w:cs="Arial"/>
          <w:bCs/>
          <w:sz w:val="24"/>
          <w:szCs w:val="24"/>
        </w:rPr>
        <w:t xml:space="preserve">A 2009 report by Carol Gill on High Performance Work Practices (HPWP) demonstrates that Australian businesses are failing to appropriately invest in HPWP to the detriment of their competiveness.  Gill showed how short-term profit interests often trumped a company’s long-term interests, and acted as barriers to applying an ‘invest-to-save” approach.  Investing in the workforce </w:t>
      </w:r>
      <w:r w:rsidRPr="00B86CA5">
        <w:rPr>
          <w:rFonts w:ascii="Arial" w:hAnsi="Arial" w:cs="Arial"/>
          <w:bCs/>
          <w:sz w:val="24"/>
          <w:szCs w:val="24"/>
        </w:rPr>
        <w:lastRenderedPageBreak/>
        <w:t>was a key HPWP that companies were deterred in making, as their competitors were failing to do so also or, for instance, management were unwilling to delegate their power.  Interestingly, her research revealed that HPWP are more likely to be present in union workplaces and critically, that productivity gains from HPWP were significantly higher when a union was present, with no productivity boost from HPWP when no union was present.</w:t>
      </w:r>
    </w:p>
    <w:p w14:paraId="6F1E5C17" w14:textId="77777777" w:rsidR="00B86CA5" w:rsidRPr="00B86CA5" w:rsidRDefault="00B86CA5" w:rsidP="007B63AA">
      <w:pPr>
        <w:spacing w:after="0" w:line="360" w:lineRule="auto"/>
        <w:jc w:val="both"/>
        <w:rPr>
          <w:rFonts w:ascii="Arial" w:hAnsi="Arial" w:cs="Arial"/>
          <w:bCs/>
          <w:sz w:val="24"/>
          <w:szCs w:val="24"/>
        </w:rPr>
      </w:pPr>
    </w:p>
    <w:p w14:paraId="7ABFE260" w14:textId="77777777" w:rsidR="00701651" w:rsidRDefault="00701651" w:rsidP="007B63AA">
      <w:pPr>
        <w:pStyle w:val="ListParagraph"/>
        <w:numPr>
          <w:ilvl w:val="0"/>
          <w:numId w:val="3"/>
        </w:numPr>
        <w:spacing w:after="0" w:line="360" w:lineRule="auto"/>
        <w:jc w:val="both"/>
        <w:rPr>
          <w:rFonts w:ascii="Arial" w:hAnsi="Arial" w:cs="Arial"/>
          <w:bCs/>
          <w:sz w:val="24"/>
          <w:szCs w:val="24"/>
        </w:rPr>
      </w:pPr>
      <w:r>
        <w:rPr>
          <w:rFonts w:ascii="Arial" w:hAnsi="Arial" w:cs="Arial"/>
          <w:bCs/>
          <w:sz w:val="24"/>
          <w:szCs w:val="24"/>
        </w:rPr>
        <w:t xml:space="preserve">The AWU </w:t>
      </w:r>
      <w:r w:rsidR="00B86CA5" w:rsidRPr="00701651">
        <w:rPr>
          <w:rFonts w:ascii="Arial" w:hAnsi="Arial" w:cs="Arial"/>
          <w:bCs/>
          <w:sz w:val="24"/>
          <w:szCs w:val="24"/>
        </w:rPr>
        <w:t>urge</w:t>
      </w:r>
      <w:r>
        <w:rPr>
          <w:rFonts w:ascii="Arial" w:hAnsi="Arial" w:cs="Arial"/>
          <w:bCs/>
          <w:sz w:val="24"/>
          <w:szCs w:val="24"/>
        </w:rPr>
        <w:t>s</w:t>
      </w:r>
      <w:r w:rsidR="00B86CA5" w:rsidRPr="00701651">
        <w:rPr>
          <w:rFonts w:ascii="Arial" w:hAnsi="Arial" w:cs="Arial"/>
          <w:bCs/>
          <w:sz w:val="24"/>
          <w:szCs w:val="24"/>
        </w:rPr>
        <w:t xml:space="preserve"> the Inquiry to seriously look at the mounting research on this issue and consider how the Australian Government, its agencies and legislation can support businesses to deliver long-term productivity, which is beneficial for employers, employees and communities, addresses staggering rising income inequality and will better prepare Australian companies - through research, innovation, management and workforce training investment - to compete globally.  </w:t>
      </w:r>
    </w:p>
    <w:p w14:paraId="2E5C7F2D" w14:textId="77777777" w:rsidR="00701651" w:rsidRDefault="00701651" w:rsidP="007B63AA">
      <w:pPr>
        <w:pStyle w:val="ListParagraph"/>
        <w:spacing w:after="0" w:line="360" w:lineRule="auto"/>
        <w:jc w:val="both"/>
        <w:rPr>
          <w:rFonts w:ascii="Arial" w:hAnsi="Arial" w:cs="Arial"/>
          <w:bCs/>
          <w:sz w:val="24"/>
          <w:szCs w:val="24"/>
        </w:rPr>
      </w:pPr>
    </w:p>
    <w:p w14:paraId="2D87B665" w14:textId="5C56D0DF" w:rsidR="00B86CA5" w:rsidRPr="00701651" w:rsidRDefault="00B86CA5" w:rsidP="007B63AA">
      <w:pPr>
        <w:pStyle w:val="ListParagraph"/>
        <w:numPr>
          <w:ilvl w:val="0"/>
          <w:numId w:val="3"/>
        </w:numPr>
        <w:spacing w:after="0" w:line="360" w:lineRule="auto"/>
        <w:jc w:val="both"/>
        <w:rPr>
          <w:rFonts w:ascii="Arial" w:hAnsi="Arial" w:cs="Arial"/>
          <w:bCs/>
          <w:sz w:val="24"/>
          <w:szCs w:val="24"/>
        </w:rPr>
      </w:pPr>
      <w:r w:rsidRPr="00701651">
        <w:rPr>
          <w:rFonts w:ascii="Arial" w:hAnsi="Arial" w:cs="Arial"/>
          <w:bCs/>
          <w:sz w:val="24"/>
          <w:szCs w:val="24"/>
        </w:rPr>
        <w:t>It must consider that industrial relations legislation is not</w:t>
      </w:r>
      <w:r w:rsidR="00337FBE">
        <w:rPr>
          <w:rFonts w:ascii="Arial" w:hAnsi="Arial" w:cs="Arial"/>
          <w:bCs/>
          <w:sz w:val="24"/>
          <w:szCs w:val="24"/>
        </w:rPr>
        <w:t>,</w:t>
      </w:r>
      <w:r w:rsidRPr="00701651">
        <w:rPr>
          <w:rFonts w:ascii="Arial" w:hAnsi="Arial" w:cs="Arial"/>
          <w:bCs/>
          <w:sz w:val="24"/>
          <w:szCs w:val="24"/>
        </w:rPr>
        <w:t xml:space="preserve"> and cannot</w:t>
      </w:r>
      <w:r w:rsidR="00337FBE">
        <w:rPr>
          <w:rFonts w:ascii="Arial" w:hAnsi="Arial" w:cs="Arial"/>
          <w:bCs/>
          <w:sz w:val="24"/>
          <w:szCs w:val="24"/>
        </w:rPr>
        <w:t>,</w:t>
      </w:r>
      <w:r w:rsidRPr="00701651">
        <w:rPr>
          <w:rFonts w:ascii="Arial" w:hAnsi="Arial" w:cs="Arial"/>
          <w:bCs/>
          <w:sz w:val="24"/>
          <w:szCs w:val="24"/>
        </w:rPr>
        <w:t xml:space="preserve"> become the driving force of productivity.  A multi-agency approach to tackling these issues will be needed.     </w:t>
      </w:r>
    </w:p>
    <w:p w14:paraId="4A6CFA63" w14:textId="77777777" w:rsidR="00701651" w:rsidRDefault="00701651" w:rsidP="007B63AA">
      <w:pPr>
        <w:spacing w:after="0" w:line="360" w:lineRule="auto"/>
        <w:jc w:val="both"/>
        <w:rPr>
          <w:rFonts w:ascii="Arial" w:hAnsi="Arial" w:cs="Arial"/>
          <w:bCs/>
          <w:sz w:val="24"/>
          <w:szCs w:val="24"/>
        </w:rPr>
      </w:pPr>
    </w:p>
    <w:p w14:paraId="51CE7C8F" w14:textId="77777777" w:rsidR="00701651" w:rsidRDefault="00B86CA5" w:rsidP="007B63AA">
      <w:pPr>
        <w:pStyle w:val="ListParagraph"/>
        <w:numPr>
          <w:ilvl w:val="0"/>
          <w:numId w:val="3"/>
        </w:numPr>
        <w:spacing w:after="0" w:line="360" w:lineRule="auto"/>
        <w:jc w:val="both"/>
        <w:rPr>
          <w:rFonts w:ascii="Arial" w:hAnsi="Arial" w:cs="Arial"/>
          <w:bCs/>
          <w:sz w:val="24"/>
          <w:szCs w:val="24"/>
        </w:rPr>
      </w:pPr>
      <w:r w:rsidRPr="00701651">
        <w:rPr>
          <w:rFonts w:ascii="Arial" w:hAnsi="Arial" w:cs="Arial"/>
          <w:bCs/>
          <w:sz w:val="24"/>
          <w:szCs w:val="24"/>
        </w:rPr>
        <w:t xml:space="preserve">Not only have critical aspects of how legislation can support productivity improvements been overlooked by this Inquiry, but the Government’s proposal of introducing rules that require discussion of productivity improvements as part of the bargaining process is inconsistent with the argument (made by the Government and some employers) that they require flexibility in legislation and less regulation.  </w:t>
      </w:r>
    </w:p>
    <w:p w14:paraId="798D568F" w14:textId="77777777" w:rsidR="00701651" w:rsidRPr="00701651" w:rsidRDefault="00701651" w:rsidP="007B63AA">
      <w:pPr>
        <w:pStyle w:val="ListParagraph"/>
        <w:spacing w:line="360" w:lineRule="auto"/>
        <w:jc w:val="both"/>
        <w:rPr>
          <w:rFonts w:ascii="Arial" w:hAnsi="Arial" w:cs="Arial"/>
          <w:bCs/>
          <w:sz w:val="24"/>
          <w:szCs w:val="24"/>
        </w:rPr>
      </w:pPr>
    </w:p>
    <w:p w14:paraId="3E3E9945" w14:textId="0997E663" w:rsidR="00B86CA5" w:rsidRPr="00701651" w:rsidRDefault="00B86CA5" w:rsidP="007B63AA">
      <w:pPr>
        <w:pStyle w:val="ListParagraph"/>
        <w:numPr>
          <w:ilvl w:val="0"/>
          <w:numId w:val="3"/>
        </w:numPr>
        <w:spacing w:after="0" w:line="360" w:lineRule="auto"/>
        <w:jc w:val="both"/>
        <w:rPr>
          <w:rFonts w:ascii="Arial" w:hAnsi="Arial" w:cs="Arial"/>
          <w:bCs/>
          <w:sz w:val="24"/>
          <w:szCs w:val="24"/>
        </w:rPr>
      </w:pPr>
      <w:r w:rsidRPr="00701651">
        <w:rPr>
          <w:rFonts w:ascii="Arial" w:hAnsi="Arial" w:cs="Arial"/>
          <w:bCs/>
          <w:sz w:val="24"/>
          <w:szCs w:val="24"/>
        </w:rPr>
        <w:t xml:space="preserve">How would prescribing what must be discussed during bargaining negotiations help meet this end, or the stated chief concern of this Inquiry to develop “bargaining arrangements [that] allow </w:t>
      </w:r>
      <w:r w:rsidRPr="00701651">
        <w:rPr>
          <w:rFonts w:ascii="Arial" w:hAnsi="Arial" w:cs="Arial"/>
          <w:bCs/>
          <w:i/>
          <w:sz w:val="24"/>
          <w:szCs w:val="24"/>
        </w:rPr>
        <w:t>employees</w:t>
      </w:r>
      <w:r w:rsidRPr="00701651">
        <w:rPr>
          <w:rFonts w:ascii="Arial" w:hAnsi="Arial" w:cs="Arial"/>
          <w:bCs/>
          <w:sz w:val="24"/>
          <w:szCs w:val="24"/>
        </w:rPr>
        <w:t xml:space="preserve"> and </w:t>
      </w:r>
      <w:r w:rsidRPr="00701651">
        <w:rPr>
          <w:rFonts w:ascii="Arial" w:hAnsi="Arial" w:cs="Arial"/>
          <w:bCs/>
          <w:i/>
          <w:sz w:val="24"/>
          <w:szCs w:val="24"/>
        </w:rPr>
        <w:t>employers</w:t>
      </w:r>
      <w:r w:rsidRPr="00701651">
        <w:rPr>
          <w:rFonts w:ascii="Arial" w:hAnsi="Arial" w:cs="Arial"/>
          <w:bCs/>
          <w:sz w:val="24"/>
          <w:szCs w:val="24"/>
        </w:rPr>
        <w:t xml:space="preserve"> to genuinely craft arrangements suited to them”? </w:t>
      </w:r>
    </w:p>
    <w:p w14:paraId="028AC682" w14:textId="77777777" w:rsidR="00701651" w:rsidRDefault="00701651" w:rsidP="007B63AA">
      <w:pPr>
        <w:spacing w:after="0" w:line="360" w:lineRule="auto"/>
        <w:jc w:val="both"/>
        <w:rPr>
          <w:rFonts w:ascii="Arial" w:hAnsi="Arial" w:cs="Arial"/>
          <w:bCs/>
          <w:sz w:val="24"/>
          <w:szCs w:val="24"/>
        </w:rPr>
      </w:pPr>
    </w:p>
    <w:p w14:paraId="20EE25EC" w14:textId="77777777" w:rsidR="00701651" w:rsidRDefault="00B86CA5" w:rsidP="007B63AA">
      <w:pPr>
        <w:pStyle w:val="ListParagraph"/>
        <w:numPr>
          <w:ilvl w:val="0"/>
          <w:numId w:val="3"/>
        </w:numPr>
        <w:spacing w:after="0" w:line="360" w:lineRule="auto"/>
        <w:jc w:val="both"/>
        <w:rPr>
          <w:rFonts w:ascii="Arial" w:hAnsi="Arial" w:cs="Arial"/>
          <w:bCs/>
          <w:sz w:val="24"/>
          <w:szCs w:val="24"/>
        </w:rPr>
      </w:pPr>
      <w:r w:rsidRPr="00701651">
        <w:rPr>
          <w:rFonts w:ascii="Arial" w:hAnsi="Arial" w:cs="Arial"/>
          <w:bCs/>
          <w:sz w:val="24"/>
          <w:szCs w:val="24"/>
        </w:rPr>
        <w:t>Furthermore</w:t>
      </w:r>
      <w:r w:rsidR="00337FBE">
        <w:rPr>
          <w:rFonts w:ascii="Arial" w:hAnsi="Arial" w:cs="Arial"/>
          <w:bCs/>
          <w:sz w:val="24"/>
          <w:szCs w:val="24"/>
        </w:rPr>
        <w:t>,</w:t>
      </w:r>
      <w:r w:rsidRPr="00701651">
        <w:rPr>
          <w:rFonts w:ascii="Arial" w:hAnsi="Arial" w:cs="Arial"/>
          <w:bCs/>
          <w:sz w:val="24"/>
          <w:szCs w:val="24"/>
        </w:rPr>
        <w:t xml:space="preserve"> as the Inquiry notes, even though agreements can contain clauses that specify commitments to productivity improvements under current </w:t>
      </w:r>
      <w:r w:rsidRPr="00701651">
        <w:rPr>
          <w:rFonts w:ascii="Arial" w:hAnsi="Arial" w:cs="Arial"/>
          <w:bCs/>
          <w:sz w:val="24"/>
          <w:szCs w:val="24"/>
        </w:rPr>
        <w:lastRenderedPageBreak/>
        <w:t xml:space="preserve">legislation, only one third of agreements include specific productivity measures and around half make general commitments to such measures.  </w:t>
      </w:r>
    </w:p>
    <w:p w14:paraId="6B318728" w14:textId="77777777" w:rsidR="00701651" w:rsidRPr="00701651" w:rsidRDefault="00701651" w:rsidP="007B63AA">
      <w:pPr>
        <w:pStyle w:val="ListParagraph"/>
        <w:spacing w:line="360" w:lineRule="auto"/>
        <w:jc w:val="both"/>
        <w:rPr>
          <w:rFonts w:ascii="Arial" w:hAnsi="Arial" w:cs="Arial"/>
          <w:bCs/>
          <w:sz w:val="24"/>
          <w:szCs w:val="24"/>
        </w:rPr>
      </w:pPr>
    </w:p>
    <w:p w14:paraId="661AF1C1" w14:textId="77777777" w:rsidR="00701651" w:rsidRDefault="00B86CA5" w:rsidP="007B63AA">
      <w:pPr>
        <w:pStyle w:val="ListParagraph"/>
        <w:numPr>
          <w:ilvl w:val="0"/>
          <w:numId w:val="3"/>
        </w:numPr>
        <w:spacing w:after="0" w:line="360" w:lineRule="auto"/>
        <w:jc w:val="both"/>
        <w:rPr>
          <w:rFonts w:ascii="Arial" w:hAnsi="Arial" w:cs="Arial"/>
          <w:bCs/>
          <w:sz w:val="24"/>
          <w:szCs w:val="24"/>
        </w:rPr>
      </w:pPr>
      <w:r w:rsidRPr="00701651">
        <w:rPr>
          <w:rFonts w:ascii="Arial" w:hAnsi="Arial" w:cs="Arial"/>
          <w:bCs/>
          <w:sz w:val="24"/>
          <w:szCs w:val="24"/>
        </w:rPr>
        <w:t>The AWU is perplexed by the Inquiry’s inference that for some reason this non-mandatory element is inappropriate</w:t>
      </w:r>
      <w:r w:rsidR="00337FBE">
        <w:rPr>
          <w:rFonts w:ascii="Arial" w:hAnsi="Arial" w:cs="Arial"/>
          <w:bCs/>
          <w:sz w:val="24"/>
          <w:szCs w:val="24"/>
        </w:rPr>
        <w:t>,</w:t>
      </w:r>
      <w:r w:rsidRPr="00701651">
        <w:rPr>
          <w:rFonts w:ascii="Arial" w:hAnsi="Arial" w:cs="Arial"/>
          <w:bCs/>
          <w:sz w:val="24"/>
          <w:szCs w:val="24"/>
        </w:rPr>
        <w:t xml:space="preserve"> and by the question posed implying incentives under the normal operation of a business are insufficient to improve productivity.  </w:t>
      </w:r>
    </w:p>
    <w:p w14:paraId="32B96C6E" w14:textId="77777777" w:rsidR="00701651" w:rsidRPr="00701651" w:rsidRDefault="00701651" w:rsidP="007B63AA">
      <w:pPr>
        <w:pStyle w:val="ListParagraph"/>
        <w:spacing w:line="360" w:lineRule="auto"/>
        <w:jc w:val="both"/>
        <w:rPr>
          <w:rFonts w:ascii="Arial" w:hAnsi="Arial" w:cs="Arial"/>
          <w:bCs/>
          <w:sz w:val="24"/>
          <w:szCs w:val="24"/>
        </w:rPr>
      </w:pPr>
    </w:p>
    <w:p w14:paraId="0E818058" w14:textId="423A84A7" w:rsidR="00B86CA5" w:rsidRPr="00701651" w:rsidRDefault="00B86CA5" w:rsidP="007B63AA">
      <w:pPr>
        <w:pStyle w:val="ListParagraph"/>
        <w:numPr>
          <w:ilvl w:val="0"/>
          <w:numId w:val="3"/>
        </w:numPr>
        <w:spacing w:after="0" w:line="360" w:lineRule="auto"/>
        <w:jc w:val="both"/>
        <w:rPr>
          <w:rFonts w:ascii="Arial" w:hAnsi="Arial" w:cs="Arial"/>
          <w:bCs/>
          <w:sz w:val="24"/>
          <w:szCs w:val="24"/>
        </w:rPr>
      </w:pPr>
      <w:r w:rsidRPr="00701651">
        <w:rPr>
          <w:rFonts w:ascii="Arial" w:hAnsi="Arial" w:cs="Arial"/>
          <w:bCs/>
          <w:sz w:val="24"/>
          <w:szCs w:val="24"/>
        </w:rPr>
        <w:t xml:space="preserve">The suggestion is made that the business community “has sometimes expressed concern that agreements do not give enough emphasis to productivity”.  Yet it is currently in their gift to be able to negotiate productivity improvements into agreements should they wish – as the Inquiry will be aware good faith bargaining does not mean that parties have to make concessions during bargaining or agree on the terms to be included in an agreement.  </w:t>
      </w:r>
    </w:p>
    <w:p w14:paraId="19257548" w14:textId="77777777" w:rsidR="00701651" w:rsidRDefault="00701651" w:rsidP="007B63AA">
      <w:pPr>
        <w:spacing w:after="0" w:line="360" w:lineRule="auto"/>
        <w:jc w:val="both"/>
        <w:rPr>
          <w:rFonts w:ascii="Arial" w:hAnsi="Arial" w:cs="Arial"/>
          <w:bCs/>
          <w:sz w:val="24"/>
          <w:szCs w:val="24"/>
        </w:rPr>
      </w:pPr>
    </w:p>
    <w:p w14:paraId="4D10FF4E" w14:textId="77777777" w:rsidR="00701651" w:rsidRDefault="00B86CA5" w:rsidP="007B63AA">
      <w:pPr>
        <w:pStyle w:val="ListParagraph"/>
        <w:numPr>
          <w:ilvl w:val="0"/>
          <w:numId w:val="3"/>
        </w:numPr>
        <w:spacing w:after="0" w:line="360" w:lineRule="auto"/>
        <w:jc w:val="both"/>
        <w:rPr>
          <w:rFonts w:ascii="Arial" w:hAnsi="Arial" w:cs="Arial"/>
          <w:bCs/>
          <w:sz w:val="24"/>
          <w:szCs w:val="24"/>
        </w:rPr>
      </w:pPr>
      <w:r w:rsidRPr="00701651">
        <w:rPr>
          <w:rFonts w:ascii="Arial" w:hAnsi="Arial" w:cs="Arial"/>
          <w:bCs/>
          <w:sz w:val="24"/>
          <w:szCs w:val="24"/>
        </w:rPr>
        <w:t>Finally, notable by its absence is any discussion of the fact that labour productivity has been rising faster under the Fair Work system than it did under Work Choices.</w:t>
      </w:r>
      <w:r w:rsidRPr="00B86CA5">
        <w:rPr>
          <w:rStyle w:val="FootnoteReference"/>
          <w:rFonts w:ascii="Arial" w:hAnsi="Arial" w:cs="Arial"/>
          <w:bCs/>
          <w:sz w:val="24"/>
          <w:szCs w:val="24"/>
        </w:rPr>
        <w:footnoteReference w:id="52"/>
      </w:r>
      <w:r w:rsidRPr="00701651">
        <w:rPr>
          <w:rFonts w:ascii="Arial" w:hAnsi="Arial" w:cs="Arial"/>
          <w:bCs/>
          <w:sz w:val="24"/>
          <w:szCs w:val="24"/>
        </w:rPr>
        <w:t xml:space="preserve">   In fact, labour productivity growth in 2012 was the strongest in a decade, with Australian workers generating an average of $53 per hour they work, well above the OECD average of US$46 per hour. </w:t>
      </w:r>
      <w:r w:rsidRPr="00B86CA5">
        <w:rPr>
          <w:rStyle w:val="FootnoteReference"/>
          <w:rFonts w:ascii="Arial" w:hAnsi="Arial" w:cs="Arial"/>
          <w:bCs/>
          <w:sz w:val="24"/>
          <w:szCs w:val="24"/>
        </w:rPr>
        <w:footnoteReference w:id="53"/>
      </w:r>
      <w:r w:rsidRPr="00701651">
        <w:rPr>
          <w:rFonts w:ascii="Arial" w:hAnsi="Arial" w:cs="Arial"/>
          <w:bCs/>
          <w:sz w:val="24"/>
          <w:szCs w:val="24"/>
        </w:rPr>
        <w:t xml:space="preserve">  Over the past five years, Australian labour productivity has grown faster than productivity in any G7 country, including the US</w:t>
      </w:r>
      <w:r w:rsidR="00337FBE">
        <w:rPr>
          <w:rFonts w:ascii="Arial" w:hAnsi="Arial" w:cs="Arial"/>
          <w:bCs/>
          <w:sz w:val="24"/>
          <w:szCs w:val="24"/>
        </w:rPr>
        <w:t>,</w:t>
      </w:r>
      <w:r w:rsidRPr="00701651">
        <w:rPr>
          <w:rFonts w:ascii="Arial" w:hAnsi="Arial" w:cs="Arial"/>
          <w:bCs/>
          <w:sz w:val="24"/>
          <w:szCs w:val="24"/>
        </w:rPr>
        <w:t xml:space="preserve"> and has been more than twice the OECD average.</w:t>
      </w:r>
      <w:r w:rsidRPr="00B86CA5">
        <w:rPr>
          <w:rStyle w:val="FootnoteReference"/>
          <w:rFonts w:ascii="Arial" w:hAnsi="Arial" w:cs="Arial"/>
          <w:bCs/>
          <w:sz w:val="24"/>
          <w:szCs w:val="24"/>
        </w:rPr>
        <w:footnoteReference w:id="54"/>
      </w:r>
      <w:r w:rsidRPr="00701651">
        <w:rPr>
          <w:rFonts w:ascii="Arial" w:hAnsi="Arial" w:cs="Arial"/>
          <w:bCs/>
          <w:sz w:val="24"/>
          <w:szCs w:val="24"/>
        </w:rPr>
        <w:t xml:space="preserve">  </w:t>
      </w:r>
    </w:p>
    <w:p w14:paraId="201F3D5D" w14:textId="77777777" w:rsidR="00701651" w:rsidRPr="00701651" w:rsidRDefault="00701651" w:rsidP="007B63AA">
      <w:pPr>
        <w:pStyle w:val="ListParagraph"/>
        <w:spacing w:line="360" w:lineRule="auto"/>
        <w:jc w:val="both"/>
        <w:rPr>
          <w:rFonts w:ascii="Arial" w:hAnsi="Arial" w:cs="Arial"/>
          <w:bCs/>
          <w:sz w:val="24"/>
          <w:szCs w:val="24"/>
        </w:rPr>
      </w:pPr>
    </w:p>
    <w:p w14:paraId="6981CD15" w14:textId="77777777" w:rsidR="00701651" w:rsidRDefault="00B86CA5" w:rsidP="007B63AA">
      <w:pPr>
        <w:pStyle w:val="ListParagraph"/>
        <w:numPr>
          <w:ilvl w:val="0"/>
          <w:numId w:val="3"/>
        </w:numPr>
        <w:spacing w:after="0" w:line="360" w:lineRule="auto"/>
        <w:jc w:val="both"/>
        <w:rPr>
          <w:rFonts w:ascii="Arial" w:hAnsi="Arial" w:cs="Arial"/>
          <w:bCs/>
          <w:sz w:val="24"/>
          <w:szCs w:val="24"/>
        </w:rPr>
      </w:pPr>
      <w:r w:rsidRPr="00701651">
        <w:rPr>
          <w:rFonts w:ascii="Arial" w:hAnsi="Arial" w:cs="Arial"/>
          <w:bCs/>
          <w:sz w:val="24"/>
          <w:szCs w:val="24"/>
        </w:rPr>
        <w:t>For this reason, the AWU is extremely confused why the Inquiry and the Australian Government are looking to reduce labour laws as a way to increase productivity, when clearly current legislation has not hindered its growth.</w:t>
      </w:r>
    </w:p>
    <w:p w14:paraId="33A59697" w14:textId="77777777" w:rsidR="00B86CA5" w:rsidRPr="00701651" w:rsidRDefault="00B86CA5" w:rsidP="007B63AA">
      <w:pPr>
        <w:spacing w:after="0" w:line="360" w:lineRule="auto"/>
        <w:jc w:val="both"/>
        <w:rPr>
          <w:rFonts w:ascii="Arial" w:hAnsi="Arial" w:cs="Arial"/>
          <w:bCs/>
          <w:sz w:val="24"/>
          <w:szCs w:val="24"/>
        </w:rPr>
      </w:pPr>
      <w:r w:rsidRPr="00701651">
        <w:rPr>
          <w:rFonts w:ascii="Arial" w:hAnsi="Arial" w:cs="Arial"/>
          <w:bCs/>
          <w:sz w:val="24"/>
          <w:szCs w:val="24"/>
        </w:rPr>
        <w:t xml:space="preserve">        </w:t>
      </w:r>
    </w:p>
    <w:p w14:paraId="728EF146" w14:textId="77777777" w:rsidR="00B86CA5" w:rsidRPr="00701651" w:rsidRDefault="00B86CA5" w:rsidP="007B63AA">
      <w:pPr>
        <w:spacing w:after="0" w:line="360" w:lineRule="auto"/>
        <w:jc w:val="both"/>
        <w:rPr>
          <w:rFonts w:ascii="Arial" w:hAnsi="Arial" w:cs="Arial"/>
          <w:bCs/>
          <w:sz w:val="24"/>
          <w:szCs w:val="24"/>
          <w:u w:val="single"/>
        </w:rPr>
      </w:pPr>
      <w:r w:rsidRPr="00701651">
        <w:rPr>
          <w:rFonts w:ascii="Arial" w:hAnsi="Arial" w:cs="Arial"/>
          <w:bCs/>
          <w:sz w:val="24"/>
          <w:szCs w:val="24"/>
          <w:u w:val="single"/>
        </w:rPr>
        <w:t xml:space="preserve">Requiring parties to bargain in good faith  </w:t>
      </w:r>
    </w:p>
    <w:p w14:paraId="70CB0323" w14:textId="77777777" w:rsidR="00701651" w:rsidRDefault="00701651" w:rsidP="007B63AA">
      <w:pPr>
        <w:spacing w:after="0" w:line="360" w:lineRule="auto"/>
        <w:jc w:val="both"/>
        <w:rPr>
          <w:rFonts w:ascii="Arial" w:hAnsi="Arial" w:cs="Arial"/>
          <w:bCs/>
          <w:sz w:val="24"/>
          <w:szCs w:val="24"/>
        </w:rPr>
      </w:pPr>
    </w:p>
    <w:p w14:paraId="37444788" w14:textId="77777777" w:rsidR="00B86CA5" w:rsidRDefault="00B86CA5" w:rsidP="007B63AA">
      <w:pPr>
        <w:pStyle w:val="ListParagraph"/>
        <w:numPr>
          <w:ilvl w:val="0"/>
          <w:numId w:val="3"/>
        </w:numPr>
        <w:spacing w:after="0" w:line="360" w:lineRule="auto"/>
        <w:jc w:val="both"/>
        <w:rPr>
          <w:rFonts w:ascii="Arial" w:hAnsi="Arial" w:cs="Arial"/>
          <w:bCs/>
          <w:sz w:val="24"/>
          <w:szCs w:val="24"/>
        </w:rPr>
      </w:pPr>
      <w:r w:rsidRPr="000B402A">
        <w:rPr>
          <w:rFonts w:ascii="Arial" w:hAnsi="Arial" w:cs="Arial"/>
          <w:bCs/>
          <w:sz w:val="24"/>
          <w:szCs w:val="24"/>
        </w:rPr>
        <w:lastRenderedPageBreak/>
        <w:t>The six good faith bargaining requirements include</w:t>
      </w:r>
      <w:r w:rsidRPr="00B86CA5">
        <w:rPr>
          <w:rStyle w:val="FootnoteReference"/>
          <w:rFonts w:ascii="Arial" w:hAnsi="Arial" w:cs="Arial"/>
          <w:bCs/>
          <w:sz w:val="24"/>
          <w:szCs w:val="24"/>
        </w:rPr>
        <w:footnoteReference w:id="55"/>
      </w:r>
      <w:r w:rsidRPr="000B402A">
        <w:rPr>
          <w:rFonts w:ascii="Arial" w:hAnsi="Arial" w:cs="Arial"/>
          <w:bCs/>
          <w:sz w:val="24"/>
          <w:szCs w:val="24"/>
        </w:rPr>
        <w:t>:</w:t>
      </w:r>
    </w:p>
    <w:p w14:paraId="517902F3" w14:textId="77777777" w:rsidR="000B402A" w:rsidRPr="000B402A" w:rsidRDefault="000B402A" w:rsidP="007B63AA">
      <w:pPr>
        <w:pStyle w:val="ListParagraph"/>
        <w:spacing w:after="0" w:line="360" w:lineRule="auto"/>
        <w:jc w:val="both"/>
        <w:rPr>
          <w:rFonts w:ascii="Arial" w:hAnsi="Arial" w:cs="Arial"/>
          <w:bCs/>
          <w:sz w:val="24"/>
          <w:szCs w:val="24"/>
        </w:rPr>
      </w:pPr>
    </w:p>
    <w:p w14:paraId="2A72F640" w14:textId="77777777" w:rsidR="00B86CA5" w:rsidRDefault="00B86CA5" w:rsidP="007B63AA">
      <w:pPr>
        <w:numPr>
          <w:ilvl w:val="0"/>
          <w:numId w:val="9"/>
        </w:numPr>
        <w:spacing w:after="0" w:line="360" w:lineRule="auto"/>
        <w:jc w:val="both"/>
        <w:rPr>
          <w:rFonts w:ascii="Arial" w:hAnsi="Arial" w:cs="Arial"/>
          <w:bCs/>
          <w:sz w:val="24"/>
          <w:szCs w:val="24"/>
        </w:rPr>
      </w:pPr>
      <w:r w:rsidRPr="00B86CA5">
        <w:rPr>
          <w:rFonts w:ascii="Arial" w:hAnsi="Arial" w:cs="Arial"/>
          <w:bCs/>
          <w:sz w:val="24"/>
          <w:szCs w:val="24"/>
        </w:rPr>
        <w:t>Attending and participating in meetings at reasonable times</w:t>
      </w:r>
    </w:p>
    <w:p w14:paraId="175DC427" w14:textId="77777777" w:rsidR="000B402A" w:rsidRPr="00B86CA5" w:rsidRDefault="000B402A" w:rsidP="007B63AA">
      <w:pPr>
        <w:spacing w:after="0" w:line="360" w:lineRule="auto"/>
        <w:ind w:left="720"/>
        <w:jc w:val="both"/>
        <w:rPr>
          <w:rFonts w:ascii="Arial" w:hAnsi="Arial" w:cs="Arial"/>
          <w:bCs/>
          <w:sz w:val="24"/>
          <w:szCs w:val="24"/>
        </w:rPr>
      </w:pPr>
    </w:p>
    <w:p w14:paraId="033AC9EA" w14:textId="77777777" w:rsidR="00B86CA5" w:rsidRDefault="00B86CA5" w:rsidP="007B63AA">
      <w:pPr>
        <w:numPr>
          <w:ilvl w:val="0"/>
          <w:numId w:val="9"/>
        </w:numPr>
        <w:spacing w:after="0" w:line="360" w:lineRule="auto"/>
        <w:jc w:val="both"/>
        <w:rPr>
          <w:rFonts w:ascii="Arial" w:hAnsi="Arial" w:cs="Arial"/>
          <w:bCs/>
          <w:sz w:val="24"/>
          <w:szCs w:val="24"/>
        </w:rPr>
      </w:pPr>
      <w:r w:rsidRPr="00B86CA5">
        <w:rPr>
          <w:rFonts w:ascii="Arial" w:hAnsi="Arial" w:cs="Arial"/>
          <w:bCs/>
          <w:sz w:val="24"/>
          <w:szCs w:val="24"/>
        </w:rPr>
        <w:t>Disclosing relevant information (other than confidential or commercially sensitive information) in a timely manner</w:t>
      </w:r>
    </w:p>
    <w:p w14:paraId="0160BCE6" w14:textId="77777777" w:rsidR="000B402A" w:rsidRPr="00B86CA5" w:rsidRDefault="000B402A" w:rsidP="007B63AA">
      <w:pPr>
        <w:spacing w:after="0" w:line="360" w:lineRule="auto"/>
        <w:jc w:val="both"/>
        <w:rPr>
          <w:rFonts w:ascii="Arial" w:hAnsi="Arial" w:cs="Arial"/>
          <w:bCs/>
          <w:sz w:val="24"/>
          <w:szCs w:val="24"/>
        </w:rPr>
      </w:pPr>
    </w:p>
    <w:p w14:paraId="773B8172" w14:textId="77777777" w:rsidR="00B86CA5" w:rsidRDefault="00B86CA5" w:rsidP="007B63AA">
      <w:pPr>
        <w:numPr>
          <w:ilvl w:val="0"/>
          <w:numId w:val="9"/>
        </w:numPr>
        <w:spacing w:after="0" w:line="360" w:lineRule="auto"/>
        <w:jc w:val="both"/>
        <w:rPr>
          <w:rFonts w:ascii="Arial" w:hAnsi="Arial" w:cs="Arial"/>
          <w:bCs/>
          <w:sz w:val="24"/>
          <w:szCs w:val="24"/>
        </w:rPr>
      </w:pPr>
      <w:r w:rsidRPr="00B86CA5">
        <w:rPr>
          <w:rFonts w:ascii="Arial" w:hAnsi="Arial" w:cs="Arial"/>
          <w:bCs/>
          <w:sz w:val="24"/>
          <w:szCs w:val="24"/>
        </w:rPr>
        <w:t>Responding to proposals made by bargaining representatives for the agreement, and giving reasons for the bargaining representatives’ responses to those proposals</w:t>
      </w:r>
    </w:p>
    <w:p w14:paraId="40E1E499" w14:textId="77777777" w:rsidR="000B402A" w:rsidRPr="00B86CA5" w:rsidRDefault="000B402A" w:rsidP="007B63AA">
      <w:pPr>
        <w:spacing w:after="0" w:line="360" w:lineRule="auto"/>
        <w:jc w:val="both"/>
        <w:rPr>
          <w:rFonts w:ascii="Arial" w:hAnsi="Arial" w:cs="Arial"/>
          <w:bCs/>
          <w:sz w:val="24"/>
          <w:szCs w:val="24"/>
        </w:rPr>
      </w:pPr>
    </w:p>
    <w:p w14:paraId="350BA7DC" w14:textId="77777777" w:rsidR="00B86CA5" w:rsidRPr="00B86CA5" w:rsidRDefault="00B86CA5" w:rsidP="007B63AA">
      <w:pPr>
        <w:numPr>
          <w:ilvl w:val="0"/>
          <w:numId w:val="9"/>
        </w:numPr>
        <w:spacing w:after="0" w:line="360" w:lineRule="auto"/>
        <w:jc w:val="both"/>
        <w:rPr>
          <w:rFonts w:ascii="Arial" w:hAnsi="Arial" w:cs="Arial"/>
          <w:bCs/>
          <w:sz w:val="24"/>
          <w:szCs w:val="24"/>
        </w:rPr>
      </w:pPr>
      <w:r w:rsidRPr="00B86CA5">
        <w:rPr>
          <w:rFonts w:ascii="Arial" w:hAnsi="Arial" w:cs="Arial"/>
          <w:bCs/>
          <w:sz w:val="24"/>
          <w:szCs w:val="24"/>
        </w:rPr>
        <w:t>Giving genuine consideration to the proposals of other bargaining representatives for the agreement, and giving reasons for the bargaining representatives responses to those proposals</w:t>
      </w:r>
    </w:p>
    <w:p w14:paraId="1B337A71" w14:textId="77777777" w:rsidR="00B86CA5" w:rsidRDefault="00B86CA5" w:rsidP="007B63AA">
      <w:pPr>
        <w:numPr>
          <w:ilvl w:val="0"/>
          <w:numId w:val="9"/>
        </w:numPr>
        <w:spacing w:after="0" w:line="360" w:lineRule="auto"/>
        <w:jc w:val="both"/>
        <w:rPr>
          <w:rFonts w:ascii="Arial" w:hAnsi="Arial" w:cs="Arial"/>
          <w:bCs/>
          <w:sz w:val="24"/>
          <w:szCs w:val="24"/>
        </w:rPr>
      </w:pPr>
      <w:r w:rsidRPr="00B86CA5">
        <w:rPr>
          <w:rFonts w:ascii="Arial" w:hAnsi="Arial" w:cs="Arial"/>
          <w:bCs/>
          <w:sz w:val="24"/>
          <w:szCs w:val="24"/>
        </w:rPr>
        <w:t xml:space="preserve">Refraining from capricious or unfair conduct that undermines freedom of association or collective bargaining </w:t>
      </w:r>
    </w:p>
    <w:p w14:paraId="20ECFA86" w14:textId="77777777" w:rsidR="000B402A" w:rsidRPr="00B86CA5" w:rsidRDefault="000B402A" w:rsidP="007B63AA">
      <w:pPr>
        <w:spacing w:after="0" w:line="360" w:lineRule="auto"/>
        <w:jc w:val="both"/>
        <w:rPr>
          <w:rFonts w:ascii="Arial" w:hAnsi="Arial" w:cs="Arial"/>
          <w:bCs/>
          <w:sz w:val="24"/>
          <w:szCs w:val="24"/>
        </w:rPr>
      </w:pPr>
    </w:p>
    <w:p w14:paraId="3E53A65F" w14:textId="77777777" w:rsidR="00B86CA5" w:rsidRPr="00B86CA5" w:rsidRDefault="00B86CA5" w:rsidP="007B63AA">
      <w:pPr>
        <w:numPr>
          <w:ilvl w:val="0"/>
          <w:numId w:val="9"/>
        </w:numPr>
        <w:spacing w:after="0" w:line="360" w:lineRule="auto"/>
        <w:jc w:val="both"/>
        <w:rPr>
          <w:rFonts w:ascii="Arial" w:hAnsi="Arial" w:cs="Arial"/>
          <w:bCs/>
          <w:sz w:val="24"/>
          <w:szCs w:val="24"/>
        </w:rPr>
      </w:pPr>
      <w:r w:rsidRPr="00B86CA5">
        <w:rPr>
          <w:rFonts w:ascii="Arial" w:hAnsi="Arial" w:cs="Arial"/>
          <w:bCs/>
          <w:sz w:val="24"/>
          <w:szCs w:val="24"/>
        </w:rPr>
        <w:t>Recognising and bargaining with the other bargaining representatives for the agreement</w:t>
      </w:r>
    </w:p>
    <w:p w14:paraId="2A224D20" w14:textId="77777777" w:rsidR="000B402A" w:rsidRDefault="000B402A" w:rsidP="007B63AA">
      <w:pPr>
        <w:spacing w:after="0" w:line="360" w:lineRule="auto"/>
        <w:jc w:val="both"/>
        <w:rPr>
          <w:rFonts w:ascii="Arial" w:hAnsi="Arial" w:cs="Arial"/>
          <w:bCs/>
          <w:sz w:val="24"/>
          <w:szCs w:val="24"/>
        </w:rPr>
      </w:pPr>
    </w:p>
    <w:p w14:paraId="00F58A76" w14:textId="59FFDD7A" w:rsidR="000B402A" w:rsidRDefault="00B86CA5" w:rsidP="007B63AA">
      <w:pPr>
        <w:pStyle w:val="ListParagraph"/>
        <w:numPr>
          <w:ilvl w:val="0"/>
          <w:numId w:val="3"/>
        </w:numPr>
        <w:spacing w:after="0" w:line="360" w:lineRule="auto"/>
        <w:jc w:val="both"/>
        <w:rPr>
          <w:rFonts w:ascii="Arial" w:hAnsi="Arial" w:cs="Arial"/>
          <w:bCs/>
          <w:sz w:val="24"/>
          <w:szCs w:val="24"/>
        </w:rPr>
      </w:pPr>
      <w:r w:rsidRPr="000B402A">
        <w:rPr>
          <w:rFonts w:ascii="Arial" w:hAnsi="Arial" w:cs="Arial"/>
          <w:bCs/>
          <w:sz w:val="24"/>
          <w:szCs w:val="24"/>
        </w:rPr>
        <w:t>The AWU believes that these requirements help facilitate bargaining negotiations and</w:t>
      </w:r>
      <w:r w:rsidR="001525AD">
        <w:rPr>
          <w:rFonts w:ascii="Arial" w:hAnsi="Arial" w:cs="Arial"/>
          <w:bCs/>
          <w:sz w:val="24"/>
          <w:szCs w:val="24"/>
        </w:rPr>
        <w:t>,</w:t>
      </w:r>
      <w:r w:rsidRPr="000B402A">
        <w:rPr>
          <w:rFonts w:ascii="Arial" w:hAnsi="Arial" w:cs="Arial"/>
          <w:bCs/>
          <w:sz w:val="24"/>
          <w:szCs w:val="24"/>
        </w:rPr>
        <w:t xml:space="preserve"> where concerns exist that good faith </w:t>
      </w:r>
      <w:r w:rsidR="001525AD">
        <w:rPr>
          <w:rFonts w:ascii="Arial" w:hAnsi="Arial" w:cs="Arial"/>
          <w:bCs/>
          <w:sz w:val="24"/>
          <w:szCs w:val="24"/>
        </w:rPr>
        <w:t xml:space="preserve">bargaining </w:t>
      </w:r>
      <w:r w:rsidRPr="000B402A">
        <w:rPr>
          <w:rFonts w:ascii="Arial" w:hAnsi="Arial" w:cs="Arial"/>
          <w:bCs/>
          <w:sz w:val="24"/>
          <w:szCs w:val="24"/>
        </w:rPr>
        <w:t>requirements are not being met</w:t>
      </w:r>
      <w:r w:rsidR="001525AD">
        <w:rPr>
          <w:rFonts w:ascii="Arial" w:hAnsi="Arial" w:cs="Arial"/>
          <w:bCs/>
          <w:sz w:val="24"/>
          <w:szCs w:val="24"/>
        </w:rPr>
        <w:t>,</w:t>
      </w:r>
      <w:r w:rsidRPr="000B402A">
        <w:rPr>
          <w:rFonts w:ascii="Arial" w:hAnsi="Arial" w:cs="Arial"/>
          <w:bCs/>
          <w:sz w:val="24"/>
          <w:szCs w:val="24"/>
        </w:rPr>
        <w:t xml:space="preserve"> that there are appropriate measures in place for the FWC to act. </w:t>
      </w:r>
    </w:p>
    <w:p w14:paraId="66CD8F6E" w14:textId="77777777" w:rsidR="000B402A" w:rsidRDefault="00B86CA5" w:rsidP="007B63AA">
      <w:pPr>
        <w:pStyle w:val="ListParagraph"/>
        <w:spacing w:after="0" w:line="360" w:lineRule="auto"/>
        <w:jc w:val="both"/>
        <w:rPr>
          <w:rFonts w:ascii="Arial" w:hAnsi="Arial" w:cs="Arial"/>
          <w:bCs/>
          <w:sz w:val="24"/>
          <w:szCs w:val="24"/>
        </w:rPr>
      </w:pPr>
      <w:r w:rsidRPr="000B402A">
        <w:rPr>
          <w:rFonts w:ascii="Arial" w:hAnsi="Arial" w:cs="Arial"/>
          <w:bCs/>
          <w:sz w:val="24"/>
          <w:szCs w:val="24"/>
        </w:rPr>
        <w:t xml:space="preserve"> </w:t>
      </w:r>
    </w:p>
    <w:p w14:paraId="77046280" w14:textId="77777777" w:rsidR="000B402A" w:rsidRDefault="00B86CA5" w:rsidP="007B63AA">
      <w:pPr>
        <w:pStyle w:val="ListParagraph"/>
        <w:numPr>
          <w:ilvl w:val="0"/>
          <w:numId w:val="3"/>
        </w:numPr>
        <w:spacing w:after="0" w:line="360" w:lineRule="auto"/>
        <w:jc w:val="both"/>
        <w:rPr>
          <w:rFonts w:ascii="Arial" w:hAnsi="Arial" w:cs="Arial"/>
          <w:bCs/>
          <w:sz w:val="24"/>
          <w:szCs w:val="24"/>
        </w:rPr>
      </w:pPr>
      <w:r w:rsidRPr="000B402A">
        <w:rPr>
          <w:rFonts w:ascii="Arial" w:hAnsi="Arial" w:cs="Arial"/>
          <w:bCs/>
          <w:sz w:val="24"/>
          <w:szCs w:val="24"/>
        </w:rPr>
        <w:t>The AWU is struggling to understand on what basis any changes to these requirements would be necessary, with only a very loose reference being made by the Inquiry to a general debate on the issue during the 2012 Review.</w:t>
      </w:r>
    </w:p>
    <w:p w14:paraId="7E43B13F" w14:textId="77777777" w:rsidR="00B86CA5" w:rsidRPr="000B402A" w:rsidRDefault="00B86CA5" w:rsidP="007B63AA">
      <w:pPr>
        <w:spacing w:after="0" w:line="360" w:lineRule="auto"/>
        <w:jc w:val="both"/>
        <w:rPr>
          <w:rFonts w:ascii="Arial" w:hAnsi="Arial" w:cs="Arial"/>
          <w:bCs/>
          <w:sz w:val="24"/>
          <w:szCs w:val="24"/>
        </w:rPr>
      </w:pPr>
      <w:r w:rsidRPr="000B402A">
        <w:rPr>
          <w:rFonts w:ascii="Arial" w:hAnsi="Arial" w:cs="Arial"/>
          <w:bCs/>
          <w:sz w:val="24"/>
          <w:szCs w:val="24"/>
        </w:rPr>
        <w:t xml:space="preserve">        </w:t>
      </w:r>
    </w:p>
    <w:p w14:paraId="05F3BBB2" w14:textId="77777777" w:rsidR="00B86CA5" w:rsidRPr="004E758D" w:rsidRDefault="00B86CA5" w:rsidP="007B63AA">
      <w:pPr>
        <w:spacing w:after="0" w:line="360" w:lineRule="auto"/>
        <w:jc w:val="both"/>
        <w:rPr>
          <w:rFonts w:ascii="Arial" w:hAnsi="Arial" w:cs="Arial"/>
          <w:bCs/>
          <w:sz w:val="24"/>
          <w:szCs w:val="24"/>
          <w:u w:val="single"/>
        </w:rPr>
      </w:pPr>
      <w:r w:rsidRPr="004E758D">
        <w:rPr>
          <w:rFonts w:ascii="Arial" w:hAnsi="Arial" w:cs="Arial"/>
          <w:bCs/>
          <w:sz w:val="24"/>
          <w:szCs w:val="24"/>
          <w:u w:val="single"/>
        </w:rPr>
        <w:t>Individual Flexibility Arrangements</w:t>
      </w:r>
    </w:p>
    <w:p w14:paraId="72744E3D" w14:textId="77777777" w:rsidR="000B402A" w:rsidRDefault="000B402A" w:rsidP="007B63AA">
      <w:pPr>
        <w:spacing w:after="0" w:line="360" w:lineRule="auto"/>
        <w:jc w:val="both"/>
        <w:rPr>
          <w:rFonts w:ascii="Arial" w:hAnsi="Arial" w:cs="Arial"/>
          <w:bCs/>
          <w:sz w:val="24"/>
          <w:szCs w:val="24"/>
        </w:rPr>
      </w:pPr>
    </w:p>
    <w:p w14:paraId="72EA6B4D" w14:textId="77777777" w:rsidR="000B402A" w:rsidRDefault="00B86CA5" w:rsidP="007B63AA">
      <w:pPr>
        <w:pStyle w:val="ListParagraph"/>
        <w:numPr>
          <w:ilvl w:val="0"/>
          <w:numId w:val="3"/>
        </w:numPr>
        <w:spacing w:after="0" w:line="360" w:lineRule="auto"/>
        <w:jc w:val="both"/>
        <w:rPr>
          <w:rFonts w:ascii="Arial" w:hAnsi="Arial" w:cs="Arial"/>
          <w:bCs/>
          <w:sz w:val="24"/>
          <w:szCs w:val="24"/>
        </w:rPr>
      </w:pPr>
      <w:r w:rsidRPr="000B402A">
        <w:rPr>
          <w:rFonts w:ascii="Arial" w:hAnsi="Arial" w:cs="Arial"/>
          <w:bCs/>
          <w:sz w:val="24"/>
          <w:szCs w:val="24"/>
        </w:rPr>
        <w:lastRenderedPageBreak/>
        <w:t>The AWU is not clear what the alleged problem is that the Inquiry is seeking to resolve through its work in relation to IFAs.  As noted by the Inquiry, 90% of employers do not have a single IFA with many employers having not heard of IFAs, whilst “the evidence suggests that most employers do not use IFAs because they see no need for them (51%) or have had not request from an employee (33%)”.</w:t>
      </w:r>
      <w:r w:rsidRPr="00B86CA5">
        <w:rPr>
          <w:rStyle w:val="FootnoteReference"/>
          <w:rFonts w:ascii="Arial" w:hAnsi="Arial" w:cs="Arial"/>
          <w:bCs/>
          <w:sz w:val="24"/>
          <w:szCs w:val="24"/>
        </w:rPr>
        <w:footnoteReference w:id="56"/>
      </w:r>
      <w:r w:rsidRPr="000B402A">
        <w:rPr>
          <w:rFonts w:ascii="Arial" w:hAnsi="Arial" w:cs="Arial"/>
          <w:bCs/>
          <w:sz w:val="24"/>
          <w:szCs w:val="24"/>
        </w:rPr>
        <w:t xml:space="preserve">  </w:t>
      </w:r>
    </w:p>
    <w:p w14:paraId="26234D9A" w14:textId="77777777" w:rsidR="000B402A" w:rsidRDefault="000B402A" w:rsidP="007B63AA">
      <w:pPr>
        <w:pStyle w:val="ListParagraph"/>
        <w:spacing w:after="0" w:line="360" w:lineRule="auto"/>
        <w:jc w:val="both"/>
        <w:rPr>
          <w:rFonts w:ascii="Arial" w:hAnsi="Arial" w:cs="Arial"/>
          <w:bCs/>
          <w:sz w:val="24"/>
          <w:szCs w:val="24"/>
        </w:rPr>
      </w:pPr>
    </w:p>
    <w:p w14:paraId="3364E4B0" w14:textId="77777777" w:rsidR="000B402A" w:rsidRDefault="00B86CA5" w:rsidP="007B63AA">
      <w:pPr>
        <w:pStyle w:val="ListParagraph"/>
        <w:numPr>
          <w:ilvl w:val="0"/>
          <w:numId w:val="3"/>
        </w:numPr>
        <w:spacing w:after="0" w:line="360" w:lineRule="auto"/>
        <w:jc w:val="both"/>
        <w:rPr>
          <w:rFonts w:ascii="Arial" w:hAnsi="Arial" w:cs="Arial"/>
          <w:bCs/>
          <w:sz w:val="24"/>
          <w:szCs w:val="24"/>
        </w:rPr>
      </w:pPr>
      <w:r w:rsidRPr="000B402A">
        <w:rPr>
          <w:rFonts w:ascii="Arial" w:hAnsi="Arial" w:cs="Arial"/>
          <w:bCs/>
          <w:sz w:val="24"/>
          <w:szCs w:val="24"/>
        </w:rPr>
        <w:t>Less than 1% of employers think IFA provisions are too inflexible.</w:t>
      </w:r>
      <w:r w:rsidRPr="00B86CA5">
        <w:rPr>
          <w:rStyle w:val="FootnoteReference"/>
          <w:rFonts w:ascii="Arial" w:hAnsi="Arial" w:cs="Arial"/>
          <w:bCs/>
          <w:sz w:val="24"/>
          <w:szCs w:val="24"/>
        </w:rPr>
        <w:footnoteReference w:id="57"/>
      </w:r>
      <w:r w:rsidRPr="000B402A">
        <w:rPr>
          <w:rFonts w:ascii="Arial" w:hAnsi="Arial" w:cs="Arial"/>
          <w:bCs/>
          <w:sz w:val="24"/>
          <w:szCs w:val="24"/>
        </w:rPr>
        <w:t xml:space="preserve">   When faced with such statistics, the AWU is surprised that the Inquiry is not instead considering whether IFAs are in fact obsolete and, therefore, still necessary.</w:t>
      </w:r>
    </w:p>
    <w:p w14:paraId="40A60250" w14:textId="77777777" w:rsidR="00B86CA5" w:rsidRPr="000B402A" w:rsidRDefault="00B86CA5" w:rsidP="007B63AA">
      <w:pPr>
        <w:spacing w:after="0" w:line="360" w:lineRule="auto"/>
        <w:jc w:val="both"/>
        <w:rPr>
          <w:rFonts w:ascii="Arial" w:hAnsi="Arial" w:cs="Arial"/>
          <w:bCs/>
          <w:sz w:val="24"/>
          <w:szCs w:val="24"/>
        </w:rPr>
      </w:pPr>
      <w:r w:rsidRPr="000B402A">
        <w:rPr>
          <w:rFonts w:ascii="Arial" w:hAnsi="Arial" w:cs="Arial"/>
          <w:bCs/>
          <w:sz w:val="24"/>
          <w:szCs w:val="24"/>
        </w:rPr>
        <w:t xml:space="preserve"> </w:t>
      </w:r>
    </w:p>
    <w:p w14:paraId="3BB390C1" w14:textId="77777777" w:rsidR="000B402A" w:rsidRDefault="00B86CA5" w:rsidP="007B63AA">
      <w:pPr>
        <w:pStyle w:val="ListParagraph"/>
        <w:numPr>
          <w:ilvl w:val="0"/>
          <w:numId w:val="3"/>
        </w:numPr>
        <w:shd w:val="clear" w:color="auto" w:fill="FFFFFF"/>
        <w:spacing w:after="0" w:line="360" w:lineRule="auto"/>
        <w:jc w:val="both"/>
        <w:textAlignment w:val="baseline"/>
        <w:rPr>
          <w:rFonts w:ascii="Arial" w:hAnsi="Arial" w:cs="Arial"/>
          <w:bCs/>
          <w:sz w:val="24"/>
          <w:szCs w:val="24"/>
        </w:rPr>
      </w:pPr>
      <w:r w:rsidRPr="000B402A">
        <w:rPr>
          <w:rFonts w:ascii="Arial" w:hAnsi="Arial" w:cs="Arial"/>
          <w:bCs/>
          <w:sz w:val="24"/>
          <w:szCs w:val="24"/>
        </w:rPr>
        <w:t>More worryingly, the Inquiry seems to be intently focusing on how to facilitate the uptake of IFAs but has completely overlooked many concerns that currently exist around IFAs, which have emerged following the FWC’s survey in 2011.</w:t>
      </w:r>
      <w:r w:rsidRPr="00B86CA5">
        <w:rPr>
          <w:rStyle w:val="FootnoteReference"/>
          <w:rFonts w:ascii="Arial" w:hAnsi="Arial" w:cs="Arial"/>
          <w:bCs/>
          <w:sz w:val="24"/>
          <w:szCs w:val="24"/>
        </w:rPr>
        <w:footnoteReference w:id="58"/>
      </w:r>
      <w:r w:rsidRPr="000B402A">
        <w:rPr>
          <w:rFonts w:ascii="Arial" w:hAnsi="Arial" w:cs="Arial"/>
          <w:bCs/>
          <w:sz w:val="24"/>
          <w:szCs w:val="24"/>
        </w:rPr>
        <w:t xml:space="preserve">  </w:t>
      </w:r>
    </w:p>
    <w:p w14:paraId="72C4FFD8" w14:textId="77777777" w:rsidR="000B402A" w:rsidRPr="000B402A" w:rsidRDefault="000B402A" w:rsidP="007B63AA">
      <w:pPr>
        <w:pStyle w:val="ListParagraph"/>
        <w:spacing w:line="360" w:lineRule="auto"/>
        <w:jc w:val="both"/>
        <w:rPr>
          <w:rFonts w:ascii="Arial" w:hAnsi="Arial" w:cs="Arial"/>
          <w:bCs/>
          <w:sz w:val="24"/>
          <w:szCs w:val="24"/>
        </w:rPr>
      </w:pPr>
    </w:p>
    <w:p w14:paraId="0A980978" w14:textId="53326874" w:rsidR="000B402A" w:rsidRDefault="00B86CA5" w:rsidP="007B63AA">
      <w:pPr>
        <w:pStyle w:val="ListParagraph"/>
        <w:numPr>
          <w:ilvl w:val="0"/>
          <w:numId w:val="3"/>
        </w:numPr>
        <w:shd w:val="clear" w:color="auto" w:fill="FFFFFF"/>
        <w:spacing w:after="0" w:line="360" w:lineRule="auto"/>
        <w:jc w:val="both"/>
        <w:textAlignment w:val="baseline"/>
        <w:rPr>
          <w:rFonts w:ascii="Arial" w:hAnsi="Arial" w:cs="Arial"/>
          <w:bCs/>
          <w:sz w:val="24"/>
          <w:szCs w:val="24"/>
        </w:rPr>
      </w:pPr>
      <w:r w:rsidRPr="000B402A">
        <w:rPr>
          <w:rFonts w:ascii="Arial" w:hAnsi="Arial" w:cs="Arial"/>
          <w:bCs/>
          <w:sz w:val="24"/>
          <w:szCs w:val="24"/>
        </w:rPr>
        <w:t xml:space="preserve">Firstly, most IFAs are initiated by employers, not employees, and of particular concern – many employees were required to sign them as a condition of getting or keeping their job.  Not only is the latter a breach of the </w:t>
      </w:r>
      <w:r w:rsidR="00E518B1">
        <w:rPr>
          <w:rFonts w:ascii="Arial" w:hAnsi="Arial" w:cs="Arial"/>
          <w:bCs/>
          <w:sz w:val="24"/>
          <w:szCs w:val="24"/>
        </w:rPr>
        <w:t>Act</w:t>
      </w:r>
      <w:r w:rsidRPr="000B402A">
        <w:rPr>
          <w:rFonts w:ascii="Arial" w:hAnsi="Arial" w:cs="Arial"/>
          <w:bCs/>
          <w:sz w:val="24"/>
          <w:szCs w:val="24"/>
        </w:rPr>
        <w:t xml:space="preserve">, but as many as half the employers who used IFAs were found to take this approach.   </w:t>
      </w:r>
    </w:p>
    <w:p w14:paraId="05AFE7C9" w14:textId="77777777" w:rsidR="000B402A" w:rsidRPr="000B402A" w:rsidRDefault="000B402A" w:rsidP="007B63AA">
      <w:pPr>
        <w:pStyle w:val="ListParagraph"/>
        <w:spacing w:line="360" w:lineRule="auto"/>
        <w:jc w:val="both"/>
        <w:rPr>
          <w:rFonts w:ascii="Arial" w:hAnsi="Arial" w:cs="Arial"/>
          <w:bCs/>
          <w:sz w:val="24"/>
          <w:szCs w:val="24"/>
        </w:rPr>
      </w:pPr>
    </w:p>
    <w:p w14:paraId="485BBD6C" w14:textId="77777777" w:rsidR="000B402A" w:rsidRPr="000B402A" w:rsidRDefault="00B86CA5" w:rsidP="007B63AA">
      <w:pPr>
        <w:pStyle w:val="ListParagraph"/>
        <w:numPr>
          <w:ilvl w:val="0"/>
          <w:numId w:val="3"/>
        </w:numPr>
        <w:shd w:val="clear" w:color="auto" w:fill="FFFFFF"/>
        <w:spacing w:after="0" w:line="360" w:lineRule="auto"/>
        <w:jc w:val="both"/>
        <w:textAlignment w:val="baseline"/>
        <w:rPr>
          <w:rFonts w:ascii="Arial" w:hAnsi="Arial" w:cs="Arial"/>
          <w:bCs/>
          <w:sz w:val="24"/>
          <w:szCs w:val="24"/>
        </w:rPr>
      </w:pPr>
      <w:r w:rsidRPr="000B402A">
        <w:rPr>
          <w:rFonts w:ascii="Arial" w:hAnsi="Arial" w:cs="Arial"/>
          <w:bCs/>
          <w:sz w:val="24"/>
          <w:szCs w:val="24"/>
        </w:rPr>
        <w:t>In addition, it is alleged that many employers use IFAs (three quarters of them) to formalise previously informal/ illegal practices</w:t>
      </w:r>
      <w:r w:rsidRPr="000B402A">
        <w:rPr>
          <w:rFonts w:ascii="Arial" w:eastAsia="Times New Roman" w:hAnsi="Arial" w:cs="Arial"/>
          <w:color w:val="444444"/>
          <w:sz w:val="24"/>
          <w:szCs w:val="24"/>
          <w:lang w:eastAsia="en-AU"/>
        </w:rPr>
        <w:t>.</w:t>
      </w:r>
      <w:r w:rsidRPr="00B86CA5">
        <w:rPr>
          <w:rStyle w:val="FootnoteReference"/>
          <w:rFonts w:ascii="Arial" w:eastAsia="Times New Roman" w:hAnsi="Arial" w:cs="Arial"/>
          <w:color w:val="444444"/>
          <w:sz w:val="24"/>
          <w:szCs w:val="24"/>
          <w:lang w:eastAsia="en-AU"/>
        </w:rPr>
        <w:footnoteReference w:id="59"/>
      </w:r>
      <w:r w:rsidRPr="000B402A">
        <w:rPr>
          <w:rFonts w:ascii="Arial" w:eastAsia="Times New Roman" w:hAnsi="Arial" w:cs="Arial"/>
          <w:color w:val="444444"/>
          <w:sz w:val="24"/>
          <w:szCs w:val="24"/>
          <w:lang w:eastAsia="en-AU"/>
        </w:rPr>
        <w:t xml:space="preserve">  </w:t>
      </w:r>
    </w:p>
    <w:p w14:paraId="027EA2F1" w14:textId="77777777" w:rsidR="000B402A" w:rsidRPr="000B402A" w:rsidRDefault="000B402A" w:rsidP="007B63AA">
      <w:pPr>
        <w:pStyle w:val="ListParagraph"/>
        <w:spacing w:line="360" w:lineRule="auto"/>
        <w:jc w:val="both"/>
        <w:rPr>
          <w:rFonts w:ascii="Arial" w:hAnsi="Arial" w:cs="Arial"/>
          <w:bCs/>
          <w:sz w:val="24"/>
          <w:szCs w:val="24"/>
        </w:rPr>
      </w:pPr>
    </w:p>
    <w:p w14:paraId="4F3DAEB3" w14:textId="77777777" w:rsidR="00B86CA5" w:rsidRPr="000B402A" w:rsidRDefault="00B86CA5" w:rsidP="007B63AA">
      <w:pPr>
        <w:pStyle w:val="ListParagraph"/>
        <w:numPr>
          <w:ilvl w:val="0"/>
          <w:numId w:val="3"/>
        </w:numPr>
        <w:shd w:val="clear" w:color="auto" w:fill="FFFFFF"/>
        <w:spacing w:after="0" w:line="360" w:lineRule="auto"/>
        <w:jc w:val="both"/>
        <w:textAlignment w:val="baseline"/>
        <w:rPr>
          <w:rFonts w:ascii="Arial" w:hAnsi="Arial" w:cs="Arial"/>
          <w:bCs/>
          <w:sz w:val="24"/>
          <w:szCs w:val="24"/>
        </w:rPr>
      </w:pPr>
      <w:r w:rsidRPr="000B402A">
        <w:rPr>
          <w:rFonts w:ascii="Arial" w:hAnsi="Arial" w:cs="Arial"/>
          <w:bCs/>
          <w:sz w:val="24"/>
          <w:szCs w:val="24"/>
        </w:rPr>
        <w:t xml:space="preserve">The AWU would ask that the Inquiry urgently looks into these findings and assesses what can be done to ensure that employers are not forcing workers to accept IFAs.  There appears to be gap in the scrutiny of these practices, with many of the agreements made behind closed doors (particularly in non-unionised workplaces) and the Inquiry must consider how they can be better regulated.  </w:t>
      </w:r>
    </w:p>
    <w:p w14:paraId="0C63D6E2" w14:textId="77777777" w:rsidR="00B86CA5" w:rsidRPr="00B86CA5" w:rsidRDefault="00B86CA5" w:rsidP="007B63AA">
      <w:pPr>
        <w:spacing w:after="0" w:line="360" w:lineRule="auto"/>
        <w:jc w:val="both"/>
        <w:rPr>
          <w:rFonts w:ascii="Arial" w:hAnsi="Arial" w:cs="Arial"/>
          <w:bCs/>
          <w:sz w:val="24"/>
          <w:szCs w:val="24"/>
        </w:rPr>
      </w:pPr>
      <w:r w:rsidRPr="00B86CA5">
        <w:rPr>
          <w:rFonts w:ascii="Arial" w:hAnsi="Arial" w:cs="Arial"/>
          <w:bCs/>
          <w:sz w:val="24"/>
          <w:szCs w:val="24"/>
        </w:rPr>
        <w:t xml:space="preserve">     </w:t>
      </w:r>
    </w:p>
    <w:p w14:paraId="6D375C03" w14:textId="77777777" w:rsidR="000B402A" w:rsidRDefault="00B86CA5" w:rsidP="007B63AA">
      <w:pPr>
        <w:pStyle w:val="ListParagraph"/>
        <w:numPr>
          <w:ilvl w:val="0"/>
          <w:numId w:val="3"/>
        </w:numPr>
        <w:spacing w:after="0" w:line="360" w:lineRule="auto"/>
        <w:jc w:val="both"/>
        <w:rPr>
          <w:rFonts w:ascii="Arial" w:hAnsi="Arial" w:cs="Arial"/>
          <w:bCs/>
          <w:sz w:val="24"/>
          <w:szCs w:val="24"/>
        </w:rPr>
      </w:pPr>
      <w:r w:rsidRPr="000B402A">
        <w:rPr>
          <w:rFonts w:ascii="Arial" w:hAnsi="Arial" w:cs="Arial"/>
          <w:bCs/>
          <w:sz w:val="24"/>
          <w:szCs w:val="24"/>
        </w:rPr>
        <w:lastRenderedPageBreak/>
        <w:t xml:space="preserve">The AWU firmly believes that no amendments should be made to IFAs to facilitate the reduction of entitlements by employers or to make them harder for employees to rescind.  </w:t>
      </w:r>
    </w:p>
    <w:p w14:paraId="7FD1DCF7" w14:textId="77777777" w:rsidR="000B402A" w:rsidRPr="000B402A" w:rsidRDefault="000B402A" w:rsidP="007B63AA">
      <w:pPr>
        <w:pStyle w:val="ListParagraph"/>
        <w:spacing w:line="360" w:lineRule="auto"/>
        <w:jc w:val="both"/>
        <w:rPr>
          <w:rFonts w:ascii="Arial" w:hAnsi="Arial" w:cs="Arial"/>
          <w:bCs/>
          <w:sz w:val="24"/>
          <w:szCs w:val="24"/>
        </w:rPr>
      </w:pPr>
    </w:p>
    <w:p w14:paraId="3116F5EE" w14:textId="77777777" w:rsidR="000B402A" w:rsidRDefault="00B86CA5" w:rsidP="007B63AA">
      <w:pPr>
        <w:pStyle w:val="ListParagraph"/>
        <w:numPr>
          <w:ilvl w:val="0"/>
          <w:numId w:val="3"/>
        </w:numPr>
        <w:spacing w:after="0" w:line="360" w:lineRule="auto"/>
        <w:jc w:val="both"/>
        <w:rPr>
          <w:rFonts w:ascii="Arial" w:hAnsi="Arial" w:cs="Arial"/>
          <w:bCs/>
          <w:sz w:val="24"/>
          <w:szCs w:val="24"/>
        </w:rPr>
      </w:pPr>
      <w:r w:rsidRPr="000B402A">
        <w:rPr>
          <w:rFonts w:ascii="Arial" w:hAnsi="Arial" w:cs="Arial"/>
          <w:bCs/>
          <w:sz w:val="24"/>
          <w:szCs w:val="24"/>
        </w:rPr>
        <w:t>The BOOT test must not only be applied to IFAs, but IFAs should be also assessed to ensure that they are meeting the BOOT test requirements.</w:t>
      </w:r>
    </w:p>
    <w:p w14:paraId="58E56B39" w14:textId="77777777" w:rsidR="000B402A" w:rsidRPr="000B402A" w:rsidRDefault="000B402A" w:rsidP="007B63AA">
      <w:pPr>
        <w:pStyle w:val="ListParagraph"/>
        <w:spacing w:line="360" w:lineRule="auto"/>
        <w:jc w:val="both"/>
        <w:rPr>
          <w:rFonts w:ascii="Arial" w:hAnsi="Arial" w:cs="Arial"/>
          <w:bCs/>
          <w:sz w:val="24"/>
          <w:szCs w:val="24"/>
        </w:rPr>
      </w:pPr>
    </w:p>
    <w:p w14:paraId="744F59A6" w14:textId="77777777" w:rsidR="00B86CA5" w:rsidRPr="000B402A" w:rsidRDefault="000B402A" w:rsidP="007B63AA">
      <w:pPr>
        <w:pStyle w:val="ListParagraph"/>
        <w:numPr>
          <w:ilvl w:val="0"/>
          <w:numId w:val="3"/>
        </w:numPr>
        <w:spacing w:after="0" w:line="360" w:lineRule="auto"/>
        <w:jc w:val="both"/>
        <w:rPr>
          <w:rFonts w:ascii="Arial" w:hAnsi="Arial" w:cs="Arial"/>
          <w:bCs/>
          <w:sz w:val="24"/>
          <w:szCs w:val="24"/>
        </w:rPr>
      </w:pPr>
      <w:r>
        <w:rPr>
          <w:rFonts w:ascii="Arial" w:hAnsi="Arial" w:cs="Arial"/>
          <w:bCs/>
          <w:sz w:val="24"/>
          <w:szCs w:val="24"/>
        </w:rPr>
        <w:t xml:space="preserve"> </w:t>
      </w:r>
      <w:r w:rsidR="00B86CA5" w:rsidRPr="000B402A">
        <w:rPr>
          <w:rFonts w:ascii="Arial" w:hAnsi="Arial" w:cs="Arial"/>
          <w:bCs/>
          <w:sz w:val="24"/>
          <w:szCs w:val="24"/>
        </w:rPr>
        <w:t xml:space="preserve">That employees are better off overall when accepting an IFA is crucial to the integrity of the entire fair work system, and the FWC or other agency must robustly enforce this element for the protection of all workers’ rights.       </w:t>
      </w:r>
    </w:p>
    <w:p w14:paraId="232F1D62" w14:textId="77777777" w:rsidR="000B402A" w:rsidRDefault="000B402A" w:rsidP="007B63AA">
      <w:pPr>
        <w:pStyle w:val="awuHEAD"/>
        <w:spacing w:before="0" w:after="0" w:line="360" w:lineRule="auto"/>
        <w:jc w:val="both"/>
        <w:rPr>
          <w:rFonts w:ascii="Arial" w:hAnsi="Arial" w:cs="Arial"/>
          <w:b/>
          <w:color w:val="666666"/>
          <w:szCs w:val="24"/>
        </w:rPr>
      </w:pPr>
    </w:p>
    <w:p w14:paraId="6186F79D" w14:textId="77777777" w:rsidR="00B86CA5" w:rsidRPr="000B402A" w:rsidRDefault="00B86CA5" w:rsidP="007B63AA">
      <w:pPr>
        <w:pStyle w:val="awuHEAD"/>
        <w:spacing w:before="0" w:after="0" w:line="360" w:lineRule="auto"/>
        <w:jc w:val="both"/>
        <w:rPr>
          <w:rFonts w:ascii="Arial" w:hAnsi="Arial" w:cs="Arial"/>
          <w:color w:val="auto"/>
          <w:szCs w:val="24"/>
          <w:u w:val="single"/>
        </w:rPr>
      </w:pPr>
      <w:r w:rsidRPr="000B402A">
        <w:rPr>
          <w:rFonts w:ascii="Arial" w:hAnsi="Arial" w:cs="Arial"/>
          <w:color w:val="auto"/>
          <w:szCs w:val="24"/>
          <w:u w:val="single"/>
        </w:rPr>
        <w:t>Industrial action associated with enterprise bargaining</w:t>
      </w:r>
    </w:p>
    <w:p w14:paraId="11D63906" w14:textId="77777777" w:rsidR="000B402A" w:rsidRDefault="000B402A" w:rsidP="007B63AA">
      <w:pPr>
        <w:spacing w:after="0" w:line="360" w:lineRule="auto"/>
        <w:jc w:val="both"/>
        <w:rPr>
          <w:rFonts w:ascii="Arial" w:hAnsi="Arial" w:cs="Arial"/>
          <w:bCs/>
          <w:sz w:val="24"/>
          <w:szCs w:val="24"/>
        </w:rPr>
      </w:pPr>
    </w:p>
    <w:p w14:paraId="62565FBD" w14:textId="77777777" w:rsidR="000B402A" w:rsidRDefault="00B86CA5" w:rsidP="007B63AA">
      <w:pPr>
        <w:pStyle w:val="ListParagraph"/>
        <w:numPr>
          <w:ilvl w:val="0"/>
          <w:numId w:val="3"/>
        </w:numPr>
        <w:spacing w:after="0" w:line="360" w:lineRule="auto"/>
        <w:jc w:val="both"/>
        <w:rPr>
          <w:rFonts w:ascii="Arial" w:hAnsi="Arial" w:cs="Arial"/>
          <w:bCs/>
          <w:sz w:val="24"/>
          <w:szCs w:val="24"/>
        </w:rPr>
      </w:pPr>
      <w:r w:rsidRPr="000B402A">
        <w:rPr>
          <w:rFonts w:ascii="Arial" w:hAnsi="Arial" w:cs="Arial"/>
          <w:bCs/>
          <w:sz w:val="24"/>
          <w:szCs w:val="24"/>
        </w:rPr>
        <w:t xml:space="preserve">Whilst the AWU fully supports the Inquiry’s assertion that “industrial action is one of the most important forms of bargaining muscle flexed by… employees and their representatives”, the assertion that this applies to employers also is risible. </w:t>
      </w:r>
    </w:p>
    <w:p w14:paraId="26A3B738" w14:textId="77777777" w:rsidR="000B402A" w:rsidRDefault="00B86CA5" w:rsidP="007B63AA">
      <w:pPr>
        <w:pStyle w:val="ListParagraph"/>
        <w:spacing w:after="0" w:line="360" w:lineRule="auto"/>
        <w:jc w:val="both"/>
        <w:rPr>
          <w:rFonts w:ascii="Arial" w:hAnsi="Arial" w:cs="Arial"/>
          <w:bCs/>
          <w:sz w:val="24"/>
          <w:szCs w:val="24"/>
        </w:rPr>
      </w:pPr>
      <w:r w:rsidRPr="000B402A">
        <w:rPr>
          <w:rFonts w:ascii="Arial" w:hAnsi="Arial" w:cs="Arial"/>
          <w:bCs/>
          <w:sz w:val="24"/>
          <w:szCs w:val="24"/>
        </w:rPr>
        <w:t xml:space="preserve"> </w:t>
      </w:r>
    </w:p>
    <w:p w14:paraId="71B8A5D9" w14:textId="77777777" w:rsidR="000B402A" w:rsidRDefault="00B86CA5" w:rsidP="007B63AA">
      <w:pPr>
        <w:pStyle w:val="ListParagraph"/>
        <w:numPr>
          <w:ilvl w:val="0"/>
          <w:numId w:val="3"/>
        </w:numPr>
        <w:spacing w:after="0" w:line="360" w:lineRule="auto"/>
        <w:jc w:val="both"/>
        <w:rPr>
          <w:rFonts w:ascii="Arial" w:hAnsi="Arial" w:cs="Arial"/>
          <w:bCs/>
          <w:sz w:val="24"/>
          <w:szCs w:val="24"/>
        </w:rPr>
      </w:pPr>
      <w:r w:rsidRPr="000B402A">
        <w:rPr>
          <w:rFonts w:ascii="Arial" w:hAnsi="Arial" w:cs="Arial"/>
          <w:bCs/>
          <w:sz w:val="24"/>
          <w:szCs w:val="24"/>
        </w:rPr>
        <w:t xml:space="preserve">Employers by their very nature have all the cards stacked in their favour.  It is for this very reason that unions came to be and legislation was put into place to protect workers from employers, who too often put profit-making before the wellbeing and safety of their workers.  </w:t>
      </w:r>
    </w:p>
    <w:p w14:paraId="53BF731C" w14:textId="77777777" w:rsidR="000B402A" w:rsidRPr="000B402A" w:rsidRDefault="000B402A" w:rsidP="007B63AA">
      <w:pPr>
        <w:pStyle w:val="ListParagraph"/>
        <w:spacing w:line="360" w:lineRule="auto"/>
        <w:jc w:val="both"/>
        <w:rPr>
          <w:rFonts w:ascii="Arial" w:hAnsi="Arial" w:cs="Arial"/>
          <w:bCs/>
          <w:sz w:val="24"/>
          <w:szCs w:val="24"/>
        </w:rPr>
      </w:pPr>
    </w:p>
    <w:p w14:paraId="72AFEDFB" w14:textId="77777777" w:rsidR="000B402A" w:rsidRDefault="00B86CA5" w:rsidP="007B63AA">
      <w:pPr>
        <w:pStyle w:val="ListParagraph"/>
        <w:numPr>
          <w:ilvl w:val="0"/>
          <w:numId w:val="3"/>
        </w:numPr>
        <w:spacing w:after="0" w:line="360" w:lineRule="auto"/>
        <w:jc w:val="both"/>
        <w:rPr>
          <w:rFonts w:ascii="Arial" w:hAnsi="Arial" w:cs="Arial"/>
          <w:bCs/>
          <w:sz w:val="24"/>
          <w:szCs w:val="24"/>
        </w:rPr>
      </w:pPr>
      <w:r w:rsidRPr="000B402A">
        <w:rPr>
          <w:rFonts w:ascii="Arial" w:hAnsi="Arial" w:cs="Arial"/>
          <w:bCs/>
          <w:sz w:val="24"/>
          <w:szCs w:val="24"/>
        </w:rPr>
        <w:t xml:space="preserve">Indeed, the power of employers has grown given today’s globalised economy so that employers can now either directly threaten industrially advanced and well-regulated economies with the withdrawal of their investment to low-waged economies, with poor health and safety and workers’ rights or refer to international competition as a reason for the need to reduce workers’ terms and conditions.  </w:t>
      </w:r>
    </w:p>
    <w:p w14:paraId="6249BD34" w14:textId="77777777" w:rsidR="000B402A" w:rsidRPr="000B402A" w:rsidRDefault="000B402A" w:rsidP="007B63AA">
      <w:pPr>
        <w:pStyle w:val="ListParagraph"/>
        <w:spacing w:line="360" w:lineRule="auto"/>
        <w:jc w:val="both"/>
        <w:rPr>
          <w:rFonts w:ascii="Arial" w:hAnsi="Arial" w:cs="Arial"/>
          <w:bCs/>
          <w:sz w:val="24"/>
          <w:szCs w:val="24"/>
        </w:rPr>
      </w:pPr>
    </w:p>
    <w:p w14:paraId="41EC5A05" w14:textId="77777777" w:rsidR="00B86CA5" w:rsidRPr="000B402A" w:rsidRDefault="00B86CA5" w:rsidP="007B63AA">
      <w:pPr>
        <w:pStyle w:val="ListParagraph"/>
        <w:numPr>
          <w:ilvl w:val="0"/>
          <w:numId w:val="3"/>
        </w:numPr>
        <w:spacing w:after="0" w:line="360" w:lineRule="auto"/>
        <w:jc w:val="both"/>
        <w:rPr>
          <w:rFonts w:ascii="Arial" w:hAnsi="Arial" w:cs="Arial"/>
          <w:bCs/>
          <w:sz w:val="24"/>
          <w:szCs w:val="24"/>
        </w:rPr>
      </w:pPr>
      <w:r w:rsidRPr="000B402A">
        <w:rPr>
          <w:rFonts w:ascii="Arial" w:hAnsi="Arial" w:cs="Arial"/>
          <w:bCs/>
          <w:sz w:val="24"/>
          <w:szCs w:val="24"/>
        </w:rPr>
        <w:t xml:space="preserve">Unions and industrial action legislation has never been so integral to the fair working of today’s economy, and legislation must not be weakened in favour of employers seeking a ‘race to the bottom’.          </w:t>
      </w:r>
    </w:p>
    <w:p w14:paraId="23463B66" w14:textId="77777777" w:rsidR="000B402A" w:rsidRDefault="000B402A" w:rsidP="007B63AA">
      <w:pPr>
        <w:spacing w:after="0" w:line="360" w:lineRule="auto"/>
        <w:jc w:val="both"/>
        <w:rPr>
          <w:rFonts w:ascii="Arial" w:hAnsi="Arial" w:cs="Arial"/>
          <w:bCs/>
          <w:sz w:val="24"/>
          <w:szCs w:val="24"/>
        </w:rPr>
      </w:pPr>
    </w:p>
    <w:p w14:paraId="586179C4" w14:textId="77777777" w:rsidR="001504A7" w:rsidRDefault="00B86CA5" w:rsidP="007B63AA">
      <w:pPr>
        <w:pStyle w:val="ListParagraph"/>
        <w:numPr>
          <w:ilvl w:val="0"/>
          <w:numId w:val="3"/>
        </w:numPr>
        <w:spacing w:after="0" w:line="360" w:lineRule="auto"/>
        <w:jc w:val="both"/>
        <w:rPr>
          <w:rFonts w:ascii="Arial" w:hAnsi="Arial" w:cs="Arial"/>
          <w:bCs/>
          <w:sz w:val="24"/>
          <w:szCs w:val="24"/>
        </w:rPr>
      </w:pPr>
      <w:r w:rsidRPr="000B402A">
        <w:rPr>
          <w:rFonts w:ascii="Arial" w:hAnsi="Arial" w:cs="Arial"/>
          <w:bCs/>
          <w:sz w:val="24"/>
          <w:szCs w:val="24"/>
        </w:rPr>
        <w:lastRenderedPageBreak/>
        <w:t>The AWU does not therefore believe that employers need “a wider set of options in bargaining that mirror those available to employees” and is concerned by the Inquiry’s efforts to suggest employee industrial action options are wider than the reality: “some forms of industrial action may not show up in ABS estimates”.</w:t>
      </w:r>
      <w:r w:rsidRPr="00B86CA5">
        <w:rPr>
          <w:rStyle w:val="FootnoteReference"/>
          <w:rFonts w:ascii="Arial" w:hAnsi="Arial" w:cs="Arial"/>
          <w:bCs/>
          <w:sz w:val="24"/>
          <w:szCs w:val="24"/>
        </w:rPr>
        <w:footnoteReference w:id="60"/>
      </w:r>
      <w:r w:rsidRPr="000B402A">
        <w:rPr>
          <w:rFonts w:ascii="Arial" w:hAnsi="Arial" w:cs="Arial"/>
          <w:bCs/>
          <w:sz w:val="24"/>
          <w:szCs w:val="24"/>
        </w:rPr>
        <w:t xml:space="preserve">  </w:t>
      </w:r>
    </w:p>
    <w:p w14:paraId="2E893982" w14:textId="77777777" w:rsidR="001504A7" w:rsidRPr="001504A7" w:rsidRDefault="001504A7" w:rsidP="007B63AA">
      <w:pPr>
        <w:pStyle w:val="ListParagraph"/>
        <w:spacing w:line="360" w:lineRule="auto"/>
        <w:jc w:val="both"/>
        <w:rPr>
          <w:rFonts w:ascii="Arial" w:hAnsi="Arial" w:cs="Arial"/>
          <w:bCs/>
          <w:sz w:val="24"/>
          <w:szCs w:val="24"/>
        </w:rPr>
      </w:pPr>
    </w:p>
    <w:p w14:paraId="616FF9E1" w14:textId="77777777" w:rsidR="001504A7" w:rsidRDefault="00B86CA5" w:rsidP="007B63AA">
      <w:pPr>
        <w:pStyle w:val="ListParagraph"/>
        <w:numPr>
          <w:ilvl w:val="0"/>
          <w:numId w:val="3"/>
        </w:numPr>
        <w:spacing w:after="0" w:line="360" w:lineRule="auto"/>
        <w:jc w:val="both"/>
        <w:rPr>
          <w:rFonts w:ascii="Arial" w:hAnsi="Arial" w:cs="Arial"/>
          <w:bCs/>
          <w:sz w:val="24"/>
          <w:szCs w:val="24"/>
        </w:rPr>
      </w:pPr>
      <w:r w:rsidRPr="000B402A">
        <w:rPr>
          <w:rFonts w:ascii="Arial" w:hAnsi="Arial" w:cs="Arial"/>
          <w:bCs/>
          <w:sz w:val="24"/>
          <w:szCs w:val="24"/>
        </w:rPr>
        <w:t xml:space="preserve">Not only is this wildly speculative but how can the Inquiry </w:t>
      </w:r>
      <w:proofErr w:type="gramStart"/>
      <w:r w:rsidRPr="000B402A">
        <w:rPr>
          <w:rFonts w:ascii="Arial" w:hAnsi="Arial" w:cs="Arial"/>
          <w:bCs/>
          <w:sz w:val="24"/>
          <w:szCs w:val="24"/>
        </w:rPr>
        <w:t>make</w:t>
      </w:r>
      <w:proofErr w:type="gramEnd"/>
      <w:r w:rsidRPr="000B402A">
        <w:rPr>
          <w:rFonts w:ascii="Arial" w:hAnsi="Arial" w:cs="Arial"/>
          <w:bCs/>
          <w:sz w:val="24"/>
          <w:szCs w:val="24"/>
        </w:rPr>
        <w:t xml:space="preserve"> this assertion yet then fail to suggest that employers may use informal industrial action options also?  </w:t>
      </w:r>
    </w:p>
    <w:p w14:paraId="1FD21BC9" w14:textId="77777777" w:rsidR="001504A7" w:rsidRPr="001504A7" w:rsidRDefault="001504A7" w:rsidP="007B63AA">
      <w:pPr>
        <w:pStyle w:val="ListParagraph"/>
        <w:spacing w:line="360" w:lineRule="auto"/>
        <w:jc w:val="both"/>
        <w:rPr>
          <w:rFonts w:ascii="Arial" w:hAnsi="Arial" w:cs="Arial"/>
          <w:bCs/>
          <w:sz w:val="24"/>
          <w:szCs w:val="24"/>
        </w:rPr>
      </w:pPr>
    </w:p>
    <w:p w14:paraId="5A80A8D6" w14:textId="77777777" w:rsidR="00B86CA5" w:rsidRDefault="00B86CA5" w:rsidP="007B63AA">
      <w:pPr>
        <w:pStyle w:val="ListParagraph"/>
        <w:numPr>
          <w:ilvl w:val="0"/>
          <w:numId w:val="3"/>
        </w:numPr>
        <w:spacing w:after="0" w:line="360" w:lineRule="auto"/>
        <w:jc w:val="both"/>
        <w:rPr>
          <w:rFonts w:ascii="Arial" w:hAnsi="Arial" w:cs="Arial"/>
          <w:bCs/>
          <w:sz w:val="24"/>
          <w:szCs w:val="24"/>
        </w:rPr>
      </w:pPr>
      <w:r w:rsidRPr="000B402A">
        <w:rPr>
          <w:rFonts w:ascii="Arial" w:hAnsi="Arial" w:cs="Arial"/>
          <w:bCs/>
          <w:sz w:val="24"/>
          <w:szCs w:val="24"/>
        </w:rPr>
        <w:t>Indeed, the AWU is concerned that the Inquiry is failing to understand some very fundamental aspects of employer-employee relationships in Australia.</w:t>
      </w:r>
    </w:p>
    <w:p w14:paraId="14DA0A23" w14:textId="77777777" w:rsidR="001504A7" w:rsidRPr="001504A7" w:rsidRDefault="001504A7" w:rsidP="007B63AA">
      <w:pPr>
        <w:spacing w:after="0" w:line="360" w:lineRule="auto"/>
        <w:jc w:val="both"/>
        <w:rPr>
          <w:rFonts w:ascii="Arial" w:hAnsi="Arial" w:cs="Arial"/>
          <w:bCs/>
          <w:sz w:val="24"/>
          <w:szCs w:val="24"/>
        </w:rPr>
      </w:pPr>
    </w:p>
    <w:p w14:paraId="0BC3A5E1" w14:textId="77777777" w:rsidR="00B86CA5" w:rsidRPr="001504A7" w:rsidRDefault="00B86CA5" w:rsidP="007B63AA">
      <w:pPr>
        <w:spacing w:after="0" w:line="360" w:lineRule="auto"/>
        <w:jc w:val="both"/>
        <w:rPr>
          <w:rFonts w:ascii="Arial" w:hAnsi="Arial" w:cs="Arial"/>
          <w:bCs/>
          <w:sz w:val="24"/>
          <w:szCs w:val="24"/>
          <w:u w:val="single"/>
        </w:rPr>
      </w:pPr>
      <w:r w:rsidRPr="001504A7">
        <w:rPr>
          <w:rFonts w:ascii="Arial" w:hAnsi="Arial" w:cs="Arial"/>
          <w:bCs/>
          <w:sz w:val="24"/>
          <w:szCs w:val="24"/>
          <w:u w:val="single"/>
        </w:rPr>
        <w:t>Tak</w:t>
      </w:r>
      <w:r w:rsidR="001504A7" w:rsidRPr="001504A7">
        <w:rPr>
          <w:rFonts w:ascii="Arial" w:hAnsi="Arial" w:cs="Arial"/>
          <w:bCs/>
          <w:sz w:val="24"/>
          <w:szCs w:val="24"/>
          <w:u w:val="single"/>
        </w:rPr>
        <w:t>ing protected industrial action - e</w:t>
      </w:r>
      <w:r w:rsidRPr="001504A7">
        <w:rPr>
          <w:rFonts w:ascii="Arial" w:hAnsi="Arial" w:cs="Arial"/>
          <w:bCs/>
          <w:sz w:val="24"/>
          <w:szCs w:val="24"/>
          <w:u w:val="single"/>
        </w:rPr>
        <w:t>mployee protected action</w:t>
      </w:r>
    </w:p>
    <w:p w14:paraId="6BBF4EF3" w14:textId="77777777" w:rsidR="001504A7" w:rsidRDefault="001504A7" w:rsidP="007B63AA">
      <w:pPr>
        <w:spacing w:after="0" w:line="360" w:lineRule="auto"/>
        <w:jc w:val="both"/>
        <w:rPr>
          <w:rFonts w:ascii="Arial" w:hAnsi="Arial" w:cs="Arial"/>
          <w:bCs/>
          <w:sz w:val="24"/>
          <w:szCs w:val="24"/>
        </w:rPr>
      </w:pPr>
    </w:p>
    <w:p w14:paraId="2544B28C" w14:textId="77777777" w:rsidR="001504A7" w:rsidRDefault="00B86CA5" w:rsidP="007B63AA">
      <w:pPr>
        <w:pStyle w:val="ListParagraph"/>
        <w:numPr>
          <w:ilvl w:val="0"/>
          <w:numId w:val="3"/>
        </w:numPr>
        <w:spacing w:after="0" w:line="360" w:lineRule="auto"/>
        <w:jc w:val="both"/>
        <w:rPr>
          <w:rFonts w:ascii="Arial" w:hAnsi="Arial" w:cs="Arial"/>
          <w:bCs/>
          <w:sz w:val="24"/>
          <w:szCs w:val="24"/>
        </w:rPr>
      </w:pPr>
      <w:r w:rsidRPr="001504A7">
        <w:rPr>
          <w:rFonts w:ascii="Arial" w:hAnsi="Arial" w:cs="Arial"/>
          <w:bCs/>
          <w:sz w:val="24"/>
          <w:szCs w:val="24"/>
        </w:rPr>
        <w:t xml:space="preserve">The AWU would like to see more streamlined bureaucratic processes in relation to secret ballots for protected industrial action. </w:t>
      </w:r>
      <w:r w:rsidR="001504A7">
        <w:rPr>
          <w:rFonts w:ascii="Arial" w:hAnsi="Arial" w:cs="Arial"/>
          <w:bCs/>
          <w:sz w:val="24"/>
          <w:szCs w:val="24"/>
        </w:rPr>
        <w:br/>
      </w:r>
      <w:r w:rsidRPr="001504A7">
        <w:rPr>
          <w:rFonts w:ascii="Arial" w:hAnsi="Arial" w:cs="Arial"/>
          <w:bCs/>
          <w:sz w:val="24"/>
          <w:szCs w:val="24"/>
        </w:rPr>
        <w:t xml:space="preserve"> </w:t>
      </w:r>
    </w:p>
    <w:p w14:paraId="5782587C" w14:textId="77777777" w:rsidR="00B86CA5" w:rsidRPr="001504A7" w:rsidRDefault="00B86CA5" w:rsidP="007B63AA">
      <w:pPr>
        <w:pStyle w:val="ListParagraph"/>
        <w:numPr>
          <w:ilvl w:val="0"/>
          <w:numId w:val="3"/>
        </w:numPr>
        <w:spacing w:after="0" w:line="360" w:lineRule="auto"/>
        <w:jc w:val="both"/>
        <w:rPr>
          <w:rFonts w:ascii="Arial" w:hAnsi="Arial" w:cs="Arial"/>
          <w:bCs/>
          <w:sz w:val="24"/>
          <w:szCs w:val="24"/>
        </w:rPr>
      </w:pPr>
      <w:r w:rsidRPr="001504A7">
        <w:rPr>
          <w:rFonts w:ascii="Arial" w:hAnsi="Arial" w:cs="Arial"/>
          <w:bCs/>
          <w:sz w:val="24"/>
          <w:szCs w:val="24"/>
        </w:rPr>
        <w:t>This would not lead to an increase in industrial action but rather make the bargaining process more efficient, which is beneficial for both employers and employees.</w:t>
      </w:r>
      <w:r w:rsidRPr="00B86CA5">
        <w:rPr>
          <w:rStyle w:val="FootnoteReference"/>
          <w:rFonts w:ascii="Arial" w:hAnsi="Arial" w:cs="Arial"/>
          <w:bCs/>
          <w:sz w:val="24"/>
          <w:szCs w:val="24"/>
        </w:rPr>
        <w:footnoteReference w:id="61"/>
      </w:r>
      <w:r w:rsidRPr="001504A7">
        <w:rPr>
          <w:rFonts w:ascii="Arial" w:hAnsi="Arial" w:cs="Arial"/>
          <w:bCs/>
          <w:sz w:val="24"/>
          <w:szCs w:val="24"/>
        </w:rPr>
        <w:t xml:space="preserve"> </w:t>
      </w:r>
    </w:p>
    <w:p w14:paraId="3E896CA8" w14:textId="77777777" w:rsidR="001504A7" w:rsidRDefault="001504A7" w:rsidP="007B63AA">
      <w:pPr>
        <w:spacing w:after="0" w:line="360" w:lineRule="auto"/>
        <w:jc w:val="both"/>
        <w:rPr>
          <w:rFonts w:ascii="Arial" w:hAnsi="Arial" w:cs="Arial"/>
          <w:b/>
          <w:bCs/>
          <w:sz w:val="24"/>
          <w:szCs w:val="24"/>
        </w:rPr>
      </w:pPr>
    </w:p>
    <w:p w14:paraId="391A3A2E" w14:textId="77777777" w:rsidR="00B86CA5" w:rsidRPr="001504A7" w:rsidRDefault="00B86CA5" w:rsidP="007B63AA">
      <w:pPr>
        <w:spacing w:after="0" w:line="360" w:lineRule="auto"/>
        <w:jc w:val="both"/>
        <w:rPr>
          <w:rFonts w:ascii="Arial" w:hAnsi="Arial" w:cs="Arial"/>
          <w:bCs/>
          <w:sz w:val="24"/>
          <w:szCs w:val="24"/>
          <w:u w:val="single"/>
        </w:rPr>
      </w:pPr>
      <w:r w:rsidRPr="001504A7">
        <w:rPr>
          <w:rFonts w:ascii="Arial" w:hAnsi="Arial" w:cs="Arial"/>
          <w:bCs/>
          <w:sz w:val="24"/>
          <w:szCs w:val="24"/>
          <w:u w:val="single"/>
        </w:rPr>
        <w:t>Limited conciliation and arbitration</w:t>
      </w:r>
    </w:p>
    <w:p w14:paraId="3E36C5B0" w14:textId="77777777" w:rsidR="001504A7" w:rsidRDefault="001504A7" w:rsidP="007B63AA">
      <w:pPr>
        <w:spacing w:after="0" w:line="360" w:lineRule="auto"/>
        <w:jc w:val="both"/>
        <w:rPr>
          <w:rFonts w:ascii="Arial" w:hAnsi="Arial" w:cs="Arial"/>
          <w:bCs/>
          <w:sz w:val="24"/>
          <w:szCs w:val="24"/>
        </w:rPr>
      </w:pPr>
    </w:p>
    <w:p w14:paraId="564AB5A5" w14:textId="77777777" w:rsidR="001504A7" w:rsidRDefault="00B86CA5" w:rsidP="007B63AA">
      <w:pPr>
        <w:pStyle w:val="ListParagraph"/>
        <w:numPr>
          <w:ilvl w:val="0"/>
          <w:numId w:val="3"/>
        </w:numPr>
        <w:spacing w:after="0" w:line="360" w:lineRule="auto"/>
        <w:jc w:val="both"/>
        <w:rPr>
          <w:rFonts w:ascii="Arial" w:hAnsi="Arial" w:cs="Arial"/>
          <w:bCs/>
          <w:sz w:val="24"/>
          <w:szCs w:val="24"/>
        </w:rPr>
      </w:pPr>
      <w:r w:rsidRPr="001504A7">
        <w:rPr>
          <w:rFonts w:ascii="Arial" w:hAnsi="Arial" w:cs="Arial"/>
          <w:bCs/>
          <w:sz w:val="24"/>
          <w:szCs w:val="24"/>
        </w:rPr>
        <w:t>Any changes the Fair Work Commission’s (FWC) powers, particularly enabling the FWC to apply greater discretion or subjectivity in relation to specific cases, must be grounded by the FWC’s strict independence from the Government.</w:t>
      </w:r>
    </w:p>
    <w:p w14:paraId="0B276A70" w14:textId="77777777" w:rsidR="00B86CA5" w:rsidRPr="001504A7" w:rsidRDefault="00B86CA5" w:rsidP="007B63AA">
      <w:pPr>
        <w:pStyle w:val="ListParagraph"/>
        <w:spacing w:after="0" w:line="360" w:lineRule="auto"/>
        <w:jc w:val="both"/>
        <w:rPr>
          <w:rFonts w:ascii="Arial" w:hAnsi="Arial" w:cs="Arial"/>
          <w:bCs/>
          <w:sz w:val="24"/>
          <w:szCs w:val="24"/>
        </w:rPr>
      </w:pPr>
      <w:r w:rsidRPr="001504A7">
        <w:rPr>
          <w:rFonts w:ascii="Arial" w:hAnsi="Arial" w:cs="Arial"/>
          <w:bCs/>
          <w:sz w:val="24"/>
          <w:szCs w:val="24"/>
        </w:rPr>
        <w:t xml:space="preserve">   </w:t>
      </w:r>
    </w:p>
    <w:p w14:paraId="022B08F5" w14:textId="77777777" w:rsidR="00B86CA5" w:rsidRPr="00CE07E3" w:rsidRDefault="00B86CA5" w:rsidP="007B63AA">
      <w:pPr>
        <w:spacing w:after="0" w:line="360" w:lineRule="auto"/>
        <w:jc w:val="both"/>
        <w:rPr>
          <w:rFonts w:ascii="Arial" w:hAnsi="Arial" w:cs="Arial"/>
          <w:sz w:val="24"/>
          <w:szCs w:val="24"/>
          <w:u w:val="single"/>
        </w:rPr>
      </w:pPr>
      <w:r w:rsidRPr="00CE07E3">
        <w:rPr>
          <w:rFonts w:ascii="Arial" w:hAnsi="Arial" w:cs="Arial"/>
          <w:sz w:val="24"/>
          <w:szCs w:val="24"/>
          <w:u w:val="single"/>
        </w:rPr>
        <w:t>Individual arrangements outside enterprise agreements</w:t>
      </w:r>
    </w:p>
    <w:p w14:paraId="4803504E" w14:textId="77777777" w:rsidR="001504A7" w:rsidRDefault="001504A7" w:rsidP="007B63AA">
      <w:pPr>
        <w:spacing w:after="0" w:line="360" w:lineRule="auto"/>
        <w:jc w:val="both"/>
        <w:rPr>
          <w:rFonts w:ascii="Arial" w:hAnsi="Arial" w:cs="Arial"/>
          <w:bCs/>
          <w:sz w:val="24"/>
          <w:szCs w:val="24"/>
        </w:rPr>
      </w:pPr>
    </w:p>
    <w:p w14:paraId="422CAE1C" w14:textId="77777777" w:rsidR="001504A7" w:rsidRDefault="00B86CA5" w:rsidP="007B63AA">
      <w:pPr>
        <w:pStyle w:val="ListParagraph"/>
        <w:numPr>
          <w:ilvl w:val="0"/>
          <w:numId w:val="3"/>
        </w:numPr>
        <w:spacing w:after="0" w:line="360" w:lineRule="auto"/>
        <w:jc w:val="both"/>
        <w:rPr>
          <w:rFonts w:ascii="Arial" w:hAnsi="Arial" w:cs="Arial"/>
          <w:bCs/>
          <w:sz w:val="24"/>
          <w:szCs w:val="24"/>
        </w:rPr>
      </w:pPr>
      <w:r w:rsidRPr="001504A7">
        <w:rPr>
          <w:rFonts w:ascii="Arial" w:hAnsi="Arial" w:cs="Arial"/>
          <w:bCs/>
          <w:sz w:val="24"/>
          <w:szCs w:val="24"/>
        </w:rPr>
        <w:lastRenderedPageBreak/>
        <w:t xml:space="preserve">Further to the discussion above on IFAs, the AWU does not believe that legislation should seek to promote or encourage the use of individual arrangements outside enterprise agreements.  </w:t>
      </w:r>
    </w:p>
    <w:p w14:paraId="4720369F" w14:textId="77777777" w:rsidR="001525AD" w:rsidRDefault="001525AD" w:rsidP="001525AD">
      <w:pPr>
        <w:pStyle w:val="ListParagraph"/>
        <w:spacing w:after="0" w:line="360" w:lineRule="auto"/>
        <w:ind w:left="604"/>
        <w:jc w:val="both"/>
        <w:rPr>
          <w:rFonts w:ascii="Arial" w:hAnsi="Arial" w:cs="Arial"/>
          <w:bCs/>
          <w:sz w:val="24"/>
          <w:szCs w:val="24"/>
        </w:rPr>
      </w:pPr>
    </w:p>
    <w:p w14:paraId="39DC526B" w14:textId="3BDC10E5" w:rsidR="00B86CA5" w:rsidRPr="001504A7" w:rsidRDefault="00B86CA5" w:rsidP="007B63AA">
      <w:pPr>
        <w:pStyle w:val="ListParagraph"/>
        <w:numPr>
          <w:ilvl w:val="0"/>
          <w:numId w:val="3"/>
        </w:numPr>
        <w:spacing w:after="0" w:line="360" w:lineRule="auto"/>
        <w:jc w:val="both"/>
        <w:rPr>
          <w:rFonts w:ascii="Arial" w:hAnsi="Arial" w:cs="Arial"/>
          <w:bCs/>
          <w:sz w:val="24"/>
          <w:szCs w:val="24"/>
        </w:rPr>
      </w:pPr>
      <w:r w:rsidRPr="001504A7">
        <w:rPr>
          <w:rFonts w:ascii="Arial" w:hAnsi="Arial" w:cs="Arial"/>
          <w:bCs/>
          <w:sz w:val="24"/>
          <w:szCs w:val="24"/>
        </w:rPr>
        <w:t>Divisive by their very nature, they do not help to foster engaged workplaces</w:t>
      </w:r>
      <w:r w:rsidR="00BC6528">
        <w:rPr>
          <w:rFonts w:ascii="Arial" w:hAnsi="Arial" w:cs="Arial"/>
          <w:bCs/>
          <w:sz w:val="24"/>
          <w:szCs w:val="24"/>
        </w:rPr>
        <w:t>,</w:t>
      </w:r>
      <w:r w:rsidRPr="001504A7">
        <w:rPr>
          <w:rFonts w:ascii="Arial" w:hAnsi="Arial" w:cs="Arial"/>
          <w:bCs/>
          <w:sz w:val="24"/>
          <w:szCs w:val="24"/>
        </w:rPr>
        <w:t xml:space="preserve"> which help </w:t>
      </w:r>
      <w:r w:rsidR="00BC6528">
        <w:rPr>
          <w:rFonts w:ascii="Arial" w:hAnsi="Arial" w:cs="Arial"/>
          <w:bCs/>
          <w:sz w:val="24"/>
          <w:szCs w:val="24"/>
        </w:rPr>
        <w:t xml:space="preserve">to </w:t>
      </w:r>
      <w:r w:rsidRPr="001504A7">
        <w:rPr>
          <w:rFonts w:ascii="Arial" w:hAnsi="Arial" w:cs="Arial"/>
          <w:bCs/>
          <w:sz w:val="24"/>
          <w:szCs w:val="24"/>
        </w:rPr>
        <w:t xml:space="preserve">drive productivity.  The current legislation as it stands allows sufficient flexibility for business and employees seeking to establish individual </w:t>
      </w:r>
      <w:r w:rsidR="00BC6528">
        <w:rPr>
          <w:rFonts w:ascii="Arial" w:hAnsi="Arial" w:cs="Arial"/>
          <w:bCs/>
          <w:sz w:val="24"/>
          <w:szCs w:val="24"/>
        </w:rPr>
        <w:t>arrangements</w:t>
      </w:r>
      <w:r w:rsidRPr="001504A7">
        <w:rPr>
          <w:rFonts w:ascii="Arial" w:hAnsi="Arial" w:cs="Arial"/>
          <w:bCs/>
          <w:sz w:val="24"/>
          <w:szCs w:val="24"/>
        </w:rPr>
        <w:t xml:space="preserve">, although the Inquiry must urgently look into whether some employers using IFAs are currently breaching the </w:t>
      </w:r>
      <w:r w:rsidR="00E518B1">
        <w:rPr>
          <w:rFonts w:ascii="Arial" w:hAnsi="Arial" w:cs="Arial"/>
          <w:bCs/>
          <w:sz w:val="24"/>
          <w:szCs w:val="24"/>
        </w:rPr>
        <w:t>Act</w:t>
      </w:r>
      <w:r w:rsidRPr="001504A7">
        <w:rPr>
          <w:rFonts w:ascii="Arial" w:hAnsi="Arial" w:cs="Arial"/>
          <w:bCs/>
          <w:sz w:val="24"/>
          <w:szCs w:val="24"/>
        </w:rPr>
        <w:t xml:space="preserve"> requirements.</w:t>
      </w:r>
    </w:p>
    <w:p w14:paraId="5452B8D9" w14:textId="77777777" w:rsidR="001504A7" w:rsidRDefault="001504A7" w:rsidP="007B63AA">
      <w:pPr>
        <w:spacing w:after="0" w:line="360" w:lineRule="auto"/>
        <w:jc w:val="both"/>
        <w:rPr>
          <w:rFonts w:ascii="Arial" w:hAnsi="Arial" w:cs="Arial"/>
          <w:bCs/>
          <w:sz w:val="24"/>
          <w:szCs w:val="24"/>
        </w:rPr>
      </w:pPr>
    </w:p>
    <w:p w14:paraId="048A3ED8" w14:textId="0480ED53" w:rsidR="001504A7" w:rsidRDefault="00B86CA5" w:rsidP="007B63AA">
      <w:pPr>
        <w:pStyle w:val="ListParagraph"/>
        <w:numPr>
          <w:ilvl w:val="0"/>
          <w:numId w:val="3"/>
        </w:numPr>
        <w:spacing w:after="0" w:line="360" w:lineRule="auto"/>
        <w:jc w:val="both"/>
        <w:rPr>
          <w:rFonts w:ascii="Arial" w:hAnsi="Arial" w:cs="Arial"/>
          <w:bCs/>
          <w:sz w:val="24"/>
          <w:szCs w:val="24"/>
        </w:rPr>
      </w:pPr>
      <w:r w:rsidRPr="001504A7">
        <w:rPr>
          <w:rFonts w:ascii="Arial" w:hAnsi="Arial" w:cs="Arial"/>
          <w:bCs/>
          <w:sz w:val="24"/>
          <w:szCs w:val="24"/>
        </w:rPr>
        <w:t xml:space="preserve">The AWU reiterates the evidence above that shows an employer’s provision of and investment in workforce training will afford it greater flexibility and adaptability to economic uncertainties, better innovation and improved productivity than any individually negotiated employee </w:t>
      </w:r>
      <w:r w:rsidR="00BC6528">
        <w:rPr>
          <w:rFonts w:ascii="Arial" w:hAnsi="Arial" w:cs="Arial"/>
          <w:bCs/>
          <w:sz w:val="24"/>
          <w:szCs w:val="24"/>
        </w:rPr>
        <w:t>arrangement</w:t>
      </w:r>
      <w:r w:rsidRPr="001504A7">
        <w:rPr>
          <w:rFonts w:ascii="Arial" w:hAnsi="Arial" w:cs="Arial"/>
          <w:bCs/>
          <w:sz w:val="24"/>
          <w:szCs w:val="24"/>
        </w:rPr>
        <w:t xml:space="preserve">.  </w:t>
      </w:r>
    </w:p>
    <w:p w14:paraId="4699880F" w14:textId="77777777" w:rsidR="001504A7" w:rsidRPr="001504A7" w:rsidRDefault="001504A7" w:rsidP="007B63AA">
      <w:pPr>
        <w:pStyle w:val="ListParagraph"/>
        <w:spacing w:line="360" w:lineRule="auto"/>
        <w:jc w:val="both"/>
        <w:rPr>
          <w:rFonts w:ascii="Arial" w:hAnsi="Arial" w:cs="Arial"/>
          <w:bCs/>
          <w:sz w:val="24"/>
          <w:szCs w:val="24"/>
        </w:rPr>
      </w:pPr>
    </w:p>
    <w:p w14:paraId="0B058C02" w14:textId="77777777" w:rsidR="00B86CA5" w:rsidRPr="001504A7" w:rsidRDefault="00B86CA5" w:rsidP="007B63AA">
      <w:pPr>
        <w:pStyle w:val="ListParagraph"/>
        <w:numPr>
          <w:ilvl w:val="0"/>
          <w:numId w:val="3"/>
        </w:numPr>
        <w:spacing w:after="0" w:line="360" w:lineRule="auto"/>
        <w:jc w:val="both"/>
        <w:rPr>
          <w:rFonts w:ascii="Arial" w:hAnsi="Arial" w:cs="Arial"/>
          <w:bCs/>
          <w:sz w:val="24"/>
          <w:szCs w:val="24"/>
        </w:rPr>
      </w:pPr>
      <w:r w:rsidRPr="001504A7">
        <w:rPr>
          <w:rFonts w:ascii="Arial" w:hAnsi="Arial" w:cs="Arial"/>
          <w:bCs/>
          <w:sz w:val="24"/>
          <w:szCs w:val="24"/>
        </w:rPr>
        <w:t xml:space="preserve">It requires an abandonment of short-termism by employers and the AWU would strongly urge the Inquiry to support employers in applying a long-term approach to business planning and success.     </w:t>
      </w:r>
    </w:p>
    <w:p w14:paraId="6ED8D30F" w14:textId="77777777" w:rsidR="00372A4F" w:rsidRDefault="00372A4F" w:rsidP="007B63AA">
      <w:pPr>
        <w:spacing w:line="360" w:lineRule="auto"/>
        <w:ind w:left="360"/>
        <w:jc w:val="both"/>
        <w:rPr>
          <w:rFonts w:ascii="Arial" w:hAnsi="Arial" w:cs="Arial"/>
          <w:sz w:val="24"/>
          <w:szCs w:val="24"/>
        </w:rPr>
      </w:pPr>
    </w:p>
    <w:p w14:paraId="0F25D858" w14:textId="77777777" w:rsidR="00AF30C0" w:rsidRDefault="00AF30C0">
      <w:pPr>
        <w:rPr>
          <w:rFonts w:ascii="Arial" w:hAnsi="Arial" w:cs="Arial"/>
          <w:b/>
          <w:sz w:val="28"/>
          <w:szCs w:val="28"/>
        </w:rPr>
      </w:pPr>
      <w:r>
        <w:rPr>
          <w:rFonts w:ascii="Arial" w:hAnsi="Arial" w:cs="Arial"/>
          <w:b/>
          <w:sz w:val="28"/>
          <w:szCs w:val="28"/>
        </w:rPr>
        <w:br w:type="page"/>
      </w:r>
    </w:p>
    <w:p w14:paraId="39E95F0B" w14:textId="77777777" w:rsidR="00CE07E3" w:rsidRDefault="00CE07E3" w:rsidP="007B63AA">
      <w:pPr>
        <w:spacing w:after="0" w:line="360" w:lineRule="auto"/>
        <w:jc w:val="both"/>
        <w:rPr>
          <w:rFonts w:ascii="Arial" w:hAnsi="Arial" w:cs="Arial"/>
          <w:b/>
          <w:sz w:val="28"/>
          <w:szCs w:val="28"/>
        </w:rPr>
      </w:pPr>
      <w:r>
        <w:rPr>
          <w:rFonts w:ascii="Arial" w:hAnsi="Arial" w:cs="Arial"/>
          <w:b/>
          <w:sz w:val="28"/>
          <w:szCs w:val="28"/>
        </w:rPr>
        <w:lastRenderedPageBreak/>
        <w:t>ISSUES PAPER 4: EMPLOYEE PROTECTIONS</w:t>
      </w:r>
    </w:p>
    <w:p w14:paraId="48EFEFE1" w14:textId="77777777" w:rsidR="00CE07E3" w:rsidRDefault="00CE07E3" w:rsidP="007B63AA">
      <w:pPr>
        <w:spacing w:after="0" w:line="360" w:lineRule="auto"/>
        <w:jc w:val="both"/>
        <w:rPr>
          <w:rFonts w:ascii="Arial" w:hAnsi="Arial" w:cs="Arial"/>
          <w:b/>
          <w:sz w:val="28"/>
          <w:szCs w:val="28"/>
        </w:rPr>
      </w:pPr>
    </w:p>
    <w:p w14:paraId="37D25E22" w14:textId="77777777" w:rsidR="00CE07E3" w:rsidRPr="004E758D" w:rsidRDefault="004E758D" w:rsidP="00AF30C0">
      <w:pPr>
        <w:widowControl w:val="0"/>
        <w:autoSpaceDE w:val="0"/>
        <w:autoSpaceDN w:val="0"/>
        <w:adjustRightInd w:val="0"/>
        <w:spacing w:after="0" w:line="360" w:lineRule="auto"/>
        <w:jc w:val="both"/>
        <w:rPr>
          <w:rFonts w:ascii="Arial" w:hAnsi="Arial" w:cs="Arial"/>
          <w:b/>
          <w:sz w:val="24"/>
          <w:szCs w:val="24"/>
        </w:rPr>
      </w:pPr>
      <w:r>
        <w:rPr>
          <w:rFonts w:ascii="Arial" w:hAnsi="Arial" w:cs="Arial"/>
          <w:b/>
          <w:sz w:val="24"/>
          <w:szCs w:val="24"/>
        </w:rPr>
        <w:t xml:space="preserve">Specific issue: </w:t>
      </w:r>
      <w:r w:rsidR="00CE07E3" w:rsidRPr="004E758D">
        <w:rPr>
          <w:rFonts w:ascii="Arial" w:hAnsi="Arial" w:cs="Arial"/>
          <w:b/>
          <w:sz w:val="24"/>
          <w:szCs w:val="24"/>
        </w:rPr>
        <w:t>Are the current provisions in the Fair Work Act sufficient to discourage sham contracting?</w:t>
      </w:r>
    </w:p>
    <w:p w14:paraId="1C721E90" w14:textId="77777777" w:rsidR="00CE07E3" w:rsidRPr="004E758D" w:rsidRDefault="00CE07E3" w:rsidP="00AF30C0">
      <w:pPr>
        <w:widowControl w:val="0"/>
        <w:autoSpaceDE w:val="0"/>
        <w:autoSpaceDN w:val="0"/>
        <w:adjustRightInd w:val="0"/>
        <w:spacing w:after="0" w:line="360" w:lineRule="auto"/>
        <w:jc w:val="both"/>
        <w:rPr>
          <w:rFonts w:ascii="Arial" w:hAnsi="Arial" w:cs="Arial"/>
          <w:b/>
          <w:sz w:val="24"/>
          <w:szCs w:val="24"/>
        </w:rPr>
      </w:pPr>
    </w:p>
    <w:p w14:paraId="610B367A" w14:textId="77777777" w:rsidR="00CE07E3" w:rsidRPr="00CE07E3" w:rsidRDefault="00CE07E3" w:rsidP="00AF30C0">
      <w:pPr>
        <w:widowControl w:val="0"/>
        <w:autoSpaceDE w:val="0"/>
        <w:autoSpaceDN w:val="0"/>
        <w:adjustRightInd w:val="0"/>
        <w:spacing w:after="0" w:line="360" w:lineRule="auto"/>
        <w:jc w:val="both"/>
        <w:rPr>
          <w:rFonts w:ascii="Arial" w:hAnsi="Arial" w:cs="Arial"/>
          <w:sz w:val="24"/>
          <w:szCs w:val="24"/>
          <w:u w:val="single"/>
        </w:rPr>
      </w:pPr>
      <w:r w:rsidRPr="00CE07E3">
        <w:rPr>
          <w:rFonts w:ascii="Arial" w:hAnsi="Arial" w:cs="Arial"/>
          <w:sz w:val="24"/>
          <w:szCs w:val="24"/>
          <w:u w:val="single"/>
        </w:rPr>
        <w:t>s. 357 - Misrepresenting Employment as Independent Contracting Arrangement</w:t>
      </w:r>
    </w:p>
    <w:p w14:paraId="0635E10F" w14:textId="77777777" w:rsidR="00CE07E3" w:rsidRPr="00CE07E3" w:rsidRDefault="00CE07E3" w:rsidP="00AF30C0">
      <w:pPr>
        <w:widowControl w:val="0"/>
        <w:autoSpaceDE w:val="0"/>
        <w:autoSpaceDN w:val="0"/>
        <w:adjustRightInd w:val="0"/>
        <w:spacing w:after="0" w:line="360" w:lineRule="auto"/>
        <w:jc w:val="both"/>
        <w:rPr>
          <w:rFonts w:ascii="Arial" w:hAnsi="Arial" w:cs="Arial"/>
          <w:sz w:val="24"/>
          <w:szCs w:val="24"/>
        </w:rPr>
      </w:pPr>
    </w:p>
    <w:p w14:paraId="5C079DCA" w14:textId="77777777" w:rsidR="00CE07E3" w:rsidRDefault="00CE07E3" w:rsidP="00AF30C0">
      <w:pPr>
        <w:pStyle w:val="ListParagraph"/>
        <w:widowControl w:val="0"/>
        <w:numPr>
          <w:ilvl w:val="0"/>
          <w:numId w:val="3"/>
        </w:numPr>
        <w:autoSpaceDE w:val="0"/>
        <w:autoSpaceDN w:val="0"/>
        <w:adjustRightInd w:val="0"/>
        <w:spacing w:after="0" w:line="360" w:lineRule="auto"/>
        <w:jc w:val="both"/>
        <w:rPr>
          <w:rFonts w:ascii="Arial" w:hAnsi="Arial" w:cs="Arial"/>
          <w:sz w:val="24"/>
          <w:szCs w:val="24"/>
        </w:rPr>
      </w:pPr>
      <w:r w:rsidRPr="00CE07E3">
        <w:rPr>
          <w:rFonts w:ascii="Arial" w:hAnsi="Arial" w:cs="Arial"/>
          <w:sz w:val="24"/>
          <w:szCs w:val="24"/>
        </w:rPr>
        <w:t xml:space="preserve">An employer who engages an employee as an independent contractor avoids statutory obligations like superannuation payments, annual leave, sick leave, leave loading etc., which the employer is otherwise obliged to provide to an employee. </w:t>
      </w:r>
    </w:p>
    <w:p w14:paraId="2B3D4811" w14:textId="77777777" w:rsidR="00CE07E3" w:rsidRDefault="00CE07E3" w:rsidP="00AF30C0">
      <w:pPr>
        <w:pStyle w:val="ListParagraph"/>
        <w:widowControl w:val="0"/>
        <w:autoSpaceDE w:val="0"/>
        <w:autoSpaceDN w:val="0"/>
        <w:adjustRightInd w:val="0"/>
        <w:spacing w:after="0" w:line="360" w:lineRule="auto"/>
        <w:jc w:val="both"/>
        <w:rPr>
          <w:rFonts w:ascii="Arial" w:hAnsi="Arial" w:cs="Arial"/>
          <w:sz w:val="24"/>
          <w:szCs w:val="24"/>
        </w:rPr>
      </w:pPr>
    </w:p>
    <w:p w14:paraId="69028D6A" w14:textId="77777777" w:rsidR="00CE07E3" w:rsidRPr="00CE07E3" w:rsidRDefault="00CE07E3" w:rsidP="00AF30C0">
      <w:pPr>
        <w:pStyle w:val="ListParagraph"/>
        <w:widowControl w:val="0"/>
        <w:numPr>
          <w:ilvl w:val="0"/>
          <w:numId w:val="3"/>
        </w:numPr>
        <w:autoSpaceDE w:val="0"/>
        <w:autoSpaceDN w:val="0"/>
        <w:adjustRightInd w:val="0"/>
        <w:spacing w:after="0" w:line="360" w:lineRule="auto"/>
        <w:jc w:val="both"/>
        <w:rPr>
          <w:rFonts w:ascii="Arial" w:hAnsi="Arial" w:cs="Arial"/>
          <w:sz w:val="24"/>
          <w:szCs w:val="24"/>
        </w:rPr>
      </w:pPr>
      <w:r w:rsidRPr="00CE07E3">
        <w:rPr>
          <w:rFonts w:ascii="Arial" w:hAnsi="Arial" w:cs="Arial"/>
          <w:sz w:val="24"/>
          <w:szCs w:val="24"/>
        </w:rPr>
        <w:t xml:space="preserve">The </w:t>
      </w:r>
      <w:r w:rsidR="00E518B1">
        <w:rPr>
          <w:rFonts w:ascii="Arial" w:hAnsi="Arial" w:cs="Arial"/>
          <w:sz w:val="24"/>
          <w:szCs w:val="24"/>
        </w:rPr>
        <w:t>Fair Work Ombudsman (</w:t>
      </w:r>
      <w:r w:rsidRPr="00CE07E3">
        <w:rPr>
          <w:rFonts w:ascii="Arial" w:hAnsi="Arial" w:cs="Arial"/>
          <w:sz w:val="24"/>
          <w:szCs w:val="24"/>
        </w:rPr>
        <w:t>FWO</w:t>
      </w:r>
      <w:r w:rsidR="00E518B1">
        <w:rPr>
          <w:rFonts w:ascii="Arial" w:hAnsi="Arial" w:cs="Arial"/>
          <w:sz w:val="24"/>
          <w:szCs w:val="24"/>
        </w:rPr>
        <w:t>)</w:t>
      </w:r>
      <w:r w:rsidRPr="00CE07E3">
        <w:rPr>
          <w:rFonts w:ascii="Arial" w:hAnsi="Arial" w:cs="Arial"/>
          <w:sz w:val="24"/>
          <w:szCs w:val="24"/>
        </w:rPr>
        <w:t xml:space="preserve"> targeted sham contracting in 2011 and identified the </w:t>
      </w:r>
      <w:r w:rsidRPr="00CE07E3">
        <w:rPr>
          <w:rFonts w:ascii="Arial" w:hAnsi="Arial" w:cs="Arial"/>
          <w:sz w:val="24"/>
          <w:szCs w:val="24"/>
          <w:lang w:val="en-US"/>
        </w:rPr>
        <w:t xml:space="preserve">cleaning services, hair and beauty, and call </w:t>
      </w:r>
      <w:proofErr w:type="spellStart"/>
      <w:r w:rsidRPr="00CE07E3">
        <w:rPr>
          <w:rFonts w:ascii="Arial" w:hAnsi="Arial" w:cs="Arial"/>
          <w:sz w:val="24"/>
          <w:szCs w:val="24"/>
          <w:lang w:val="en-US"/>
        </w:rPr>
        <w:t>centre</w:t>
      </w:r>
      <w:proofErr w:type="spellEnd"/>
      <w:r w:rsidRPr="00CE07E3">
        <w:rPr>
          <w:rFonts w:ascii="Arial" w:hAnsi="Arial" w:cs="Arial"/>
          <w:sz w:val="24"/>
          <w:szCs w:val="24"/>
          <w:lang w:val="en-US"/>
        </w:rPr>
        <w:t xml:space="preserve"> industries</w:t>
      </w:r>
      <w:r w:rsidRPr="00CE07E3">
        <w:rPr>
          <w:rStyle w:val="FootnoteReference"/>
          <w:rFonts w:ascii="Arial" w:hAnsi="Arial" w:cs="Arial"/>
          <w:sz w:val="24"/>
          <w:szCs w:val="24"/>
        </w:rPr>
        <w:footnoteReference w:id="62"/>
      </w:r>
      <w:r w:rsidRPr="00CE07E3">
        <w:rPr>
          <w:rFonts w:ascii="Arial" w:hAnsi="Arial" w:cs="Arial"/>
          <w:sz w:val="24"/>
          <w:szCs w:val="24"/>
          <w:lang w:val="en-US"/>
        </w:rPr>
        <w:t xml:space="preserve"> as those in which sham contracting is most prevalent. </w:t>
      </w:r>
      <w:r w:rsidRPr="00CE07E3">
        <w:rPr>
          <w:rFonts w:ascii="Arial" w:hAnsi="Arial" w:cs="Arial"/>
          <w:sz w:val="24"/>
          <w:szCs w:val="24"/>
        </w:rPr>
        <w:t>These are industries with some of the lowest paid and most vulnerable employees in Australia.</w:t>
      </w:r>
    </w:p>
    <w:p w14:paraId="21F80229" w14:textId="77777777" w:rsidR="00CE07E3" w:rsidRPr="00CE07E3" w:rsidRDefault="00CE07E3" w:rsidP="00AF30C0">
      <w:pPr>
        <w:widowControl w:val="0"/>
        <w:autoSpaceDE w:val="0"/>
        <w:autoSpaceDN w:val="0"/>
        <w:adjustRightInd w:val="0"/>
        <w:spacing w:after="0" w:line="360" w:lineRule="auto"/>
        <w:jc w:val="both"/>
        <w:rPr>
          <w:rFonts w:ascii="Arial" w:hAnsi="Arial" w:cs="Arial"/>
          <w:sz w:val="24"/>
          <w:szCs w:val="24"/>
        </w:rPr>
      </w:pPr>
    </w:p>
    <w:p w14:paraId="4277B2E4" w14:textId="77777777" w:rsidR="00CE07E3" w:rsidRDefault="00CE07E3" w:rsidP="00AF30C0">
      <w:pPr>
        <w:pStyle w:val="ListParagraph"/>
        <w:widowControl w:val="0"/>
        <w:numPr>
          <w:ilvl w:val="0"/>
          <w:numId w:val="3"/>
        </w:numPr>
        <w:autoSpaceDE w:val="0"/>
        <w:autoSpaceDN w:val="0"/>
        <w:adjustRightInd w:val="0"/>
        <w:spacing w:after="0" w:line="360" w:lineRule="auto"/>
        <w:jc w:val="both"/>
        <w:rPr>
          <w:rFonts w:ascii="Arial" w:hAnsi="Arial" w:cs="Arial"/>
          <w:sz w:val="24"/>
          <w:szCs w:val="24"/>
        </w:rPr>
      </w:pPr>
      <w:r w:rsidRPr="00CE07E3">
        <w:rPr>
          <w:rFonts w:ascii="Arial" w:hAnsi="Arial" w:cs="Arial"/>
          <w:sz w:val="24"/>
          <w:szCs w:val="24"/>
        </w:rPr>
        <w:t>Section 357(1) does not prohibit employers engaging employees as independent contractors, only the making of representations to an individual who is, or should be an employee, that they are an independent contractor.</w:t>
      </w:r>
    </w:p>
    <w:p w14:paraId="0516A00F" w14:textId="77777777" w:rsidR="00CE07E3" w:rsidRPr="00CE07E3" w:rsidRDefault="00CE07E3" w:rsidP="00AF30C0">
      <w:pPr>
        <w:pStyle w:val="ListParagraph"/>
        <w:spacing w:line="360" w:lineRule="auto"/>
        <w:jc w:val="both"/>
        <w:rPr>
          <w:rFonts w:ascii="Arial" w:hAnsi="Arial" w:cs="Arial"/>
          <w:sz w:val="24"/>
          <w:szCs w:val="24"/>
        </w:rPr>
      </w:pPr>
    </w:p>
    <w:p w14:paraId="50072103" w14:textId="77777777" w:rsidR="00CE07E3" w:rsidRPr="00CE07E3" w:rsidRDefault="00CE07E3" w:rsidP="00AF30C0">
      <w:pPr>
        <w:pStyle w:val="ListParagraph"/>
        <w:widowControl w:val="0"/>
        <w:numPr>
          <w:ilvl w:val="0"/>
          <w:numId w:val="3"/>
        </w:numPr>
        <w:autoSpaceDE w:val="0"/>
        <w:autoSpaceDN w:val="0"/>
        <w:adjustRightInd w:val="0"/>
        <w:spacing w:after="0" w:line="360" w:lineRule="auto"/>
        <w:jc w:val="both"/>
        <w:rPr>
          <w:rFonts w:ascii="Arial" w:hAnsi="Arial" w:cs="Arial"/>
          <w:sz w:val="24"/>
          <w:szCs w:val="24"/>
        </w:rPr>
      </w:pPr>
      <w:r w:rsidRPr="00CE07E3">
        <w:rPr>
          <w:rFonts w:ascii="Arial" w:hAnsi="Arial" w:cs="Arial"/>
          <w:sz w:val="24"/>
          <w:szCs w:val="24"/>
        </w:rPr>
        <w:t xml:space="preserve"> However, a defence to s. 357(1) is available to an employer who makes such a representation but:</w:t>
      </w:r>
    </w:p>
    <w:p w14:paraId="3C8A4775" w14:textId="77777777" w:rsidR="00CE07E3" w:rsidRPr="00CE07E3" w:rsidRDefault="00CE07E3" w:rsidP="00AF30C0">
      <w:pPr>
        <w:widowControl w:val="0"/>
        <w:autoSpaceDE w:val="0"/>
        <w:autoSpaceDN w:val="0"/>
        <w:adjustRightInd w:val="0"/>
        <w:spacing w:after="0" w:line="360" w:lineRule="auto"/>
        <w:jc w:val="both"/>
        <w:rPr>
          <w:rFonts w:ascii="Arial" w:hAnsi="Arial" w:cs="Arial"/>
          <w:sz w:val="24"/>
          <w:szCs w:val="24"/>
        </w:rPr>
      </w:pPr>
    </w:p>
    <w:p w14:paraId="1FE42567" w14:textId="77777777" w:rsidR="00CE07E3" w:rsidRPr="00CE07E3" w:rsidRDefault="00CE07E3" w:rsidP="00AF30C0">
      <w:pPr>
        <w:pStyle w:val="ListParagraph"/>
        <w:widowControl w:val="0"/>
        <w:numPr>
          <w:ilvl w:val="0"/>
          <w:numId w:val="11"/>
        </w:numPr>
        <w:autoSpaceDE w:val="0"/>
        <w:autoSpaceDN w:val="0"/>
        <w:adjustRightInd w:val="0"/>
        <w:spacing w:after="0" w:line="360" w:lineRule="auto"/>
        <w:jc w:val="both"/>
        <w:rPr>
          <w:rFonts w:ascii="Arial" w:hAnsi="Arial" w:cs="Arial"/>
          <w:i/>
          <w:sz w:val="24"/>
          <w:szCs w:val="24"/>
        </w:rPr>
      </w:pPr>
      <w:r w:rsidRPr="00CE07E3">
        <w:rPr>
          <w:rFonts w:ascii="Arial" w:hAnsi="Arial" w:cs="Arial"/>
          <w:i/>
          <w:sz w:val="24"/>
          <w:szCs w:val="24"/>
        </w:rPr>
        <w:t xml:space="preserve">did not know; and </w:t>
      </w:r>
    </w:p>
    <w:p w14:paraId="0E7BA85A" w14:textId="77777777" w:rsidR="00CE07E3" w:rsidRPr="00CE07E3" w:rsidRDefault="00CE07E3" w:rsidP="00AF30C0">
      <w:pPr>
        <w:pStyle w:val="ListParagraph"/>
        <w:widowControl w:val="0"/>
        <w:numPr>
          <w:ilvl w:val="0"/>
          <w:numId w:val="11"/>
        </w:numPr>
        <w:autoSpaceDE w:val="0"/>
        <w:autoSpaceDN w:val="0"/>
        <w:adjustRightInd w:val="0"/>
        <w:spacing w:after="0" w:line="360" w:lineRule="auto"/>
        <w:jc w:val="both"/>
        <w:rPr>
          <w:rFonts w:ascii="Arial" w:hAnsi="Arial" w:cs="Arial"/>
          <w:i/>
          <w:sz w:val="24"/>
          <w:szCs w:val="24"/>
        </w:rPr>
      </w:pPr>
      <w:r w:rsidRPr="00CE07E3">
        <w:rPr>
          <w:rFonts w:ascii="Arial" w:hAnsi="Arial" w:cs="Arial"/>
          <w:i/>
          <w:sz w:val="24"/>
          <w:szCs w:val="24"/>
        </w:rPr>
        <w:t xml:space="preserve">was not reckless as to whether; </w:t>
      </w:r>
    </w:p>
    <w:p w14:paraId="38F6468F" w14:textId="77777777" w:rsidR="00CE07E3" w:rsidRPr="00CE07E3" w:rsidRDefault="00CE07E3" w:rsidP="00AF30C0">
      <w:pPr>
        <w:widowControl w:val="0"/>
        <w:autoSpaceDE w:val="0"/>
        <w:autoSpaceDN w:val="0"/>
        <w:adjustRightInd w:val="0"/>
        <w:spacing w:after="0" w:line="360" w:lineRule="auto"/>
        <w:jc w:val="both"/>
        <w:rPr>
          <w:rFonts w:ascii="Arial" w:hAnsi="Arial" w:cs="Arial"/>
          <w:sz w:val="24"/>
          <w:szCs w:val="24"/>
        </w:rPr>
      </w:pPr>
    </w:p>
    <w:p w14:paraId="5AFDA8D3" w14:textId="77777777" w:rsidR="00CE07E3" w:rsidRDefault="00CE07E3" w:rsidP="001525AD">
      <w:pPr>
        <w:widowControl w:val="0"/>
        <w:autoSpaceDE w:val="0"/>
        <w:autoSpaceDN w:val="0"/>
        <w:adjustRightInd w:val="0"/>
        <w:spacing w:after="0" w:line="360" w:lineRule="auto"/>
        <w:ind w:firstLine="604"/>
        <w:jc w:val="both"/>
        <w:rPr>
          <w:rFonts w:ascii="Arial" w:hAnsi="Arial" w:cs="Arial"/>
          <w:sz w:val="24"/>
          <w:szCs w:val="24"/>
        </w:rPr>
      </w:pPr>
      <w:proofErr w:type="gramStart"/>
      <w:r w:rsidRPr="00CE07E3">
        <w:rPr>
          <w:rFonts w:ascii="Arial" w:hAnsi="Arial" w:cs="Arial"/>
          <w:sz w:val="24"/>
          <w:szCs w:val="24"/>
        </w:rPr>
        <w:t>the</w:t>
      </w:r>
      <w:proofErr w:type="gramEnd"/>
      <w:r w:rsidRPr="00CE07E3">
        <w:rPr>
          <w:rFonts w:ascii="Arial" w:hAnsi="Arial" w:cs="Arial"/>
          <w:sz w:val="24"/>
          <w:szCs w:val="24"/>
        </w:rPr>
        <w:t xml:space="preserve"> individual was an employee and not an independent contractor.</w:t>
      </w:r>
      <w:r w:rsidRPr="00CE07E3">
        <w:rPr>
          <w:rStyle w:val="FootnoteReference"/>
          <w:rFonts w:ascii="Arial" w:hAnsi="Arial" w:cs="Arial"/>
          <w:sz w:val="24"/>
          <w:szCs w:val="24"/>
        </w:rPr>
        <w:footnoteReference w:id="63"/>
      </w:r>
    </w:p>
    <w:p w14:paraId="50428E6D" w14:textId="77777777" w:rsidR="00CE07E3" w:rsidRDefault="00CE07E3" w:rsidP="00AF30C0">
      <w:pPr>
        <w:widowControl w:val="0"/>
        <w:autoSpaceDE w:val="0"/>
        <w:autoSpaceDN w:val="0"/>
        <w:adjustRightInd w:val="0"/>
        <w:spacing w:after="0" w:line="360" w:lineRule="auto"/>
        <w:jc w:val="both"/>
        <w:rPr>
          <w:rFonts w:ascii="Arial" w:hAnsi="Arial" w:cs="Arial"/>
          <w:sz w:val="24"/>
          <w:szCs w:val="24"/>
        </w:rPr>
      </w:pPr>
      <w:r w:rsidRPr="00CE07E3">
        <w:rPr>
          <w:rFonts w:ascii="Arial" w:hAnsi="Arial" w:cs="Arial"/>
          <w:sz w:val="24"/>
          <w:szCs w:val="24"/>
        </w:rPr>
        <w:t xml:space="preserve"> </w:t>
      </w:r>
    </w:p>
    <w:p w14:paraId="245EDB65" w14:textId="46D195AD" w:rsidR="00CE07E3" w:rsidRPr="00CE07E3" w:rsidRDefault="00CE07E3" w:rsidP="00AF30C0">
      <w:pPr>
        <w:pStyle w:val="ListParagraph"/>
        <w:widowControl w:val="0"/>
        <w:numPr>
          <w:ilvl w:val="0"/>
          <w:numId w:val="3"/>
        </w:numPr>
        <w:autoSpaceDE w:val="0"/>
        <w:autoSpaceDN w:val="0"/>
        <w:adjustRightInd w:val="0"/>
        <w:spacing w:after="0" w:line="360" w:lineRule="auto"/>
        <w:jc w:val="both"/>
        <w:rPr>
          <w:rFonts w:ascii="Arial" w:hAnsi="Arial" w:cs="Arial"/>
          <w:sz w:val="24"/>
          <w:szCs w:val="24"/>
        </w:rPr>
      </w:pPr>
      <w:r w:rsidRPr="00CE07E3">
        <w:rPr>
          <w:rFonts w:ascii="Arial" w:hAnsi="Arial" w:cs="Arial"/>
          <w:sz w:val="24"/>
          <w:szCs w:val="24"/>
        </w:rPr>
        <w:lastRenderedPageBreak/>
        <w:t>There are three distinct problems we have identified with the defence in s. 357(2) of the Act</w:t>
      </w:r>
      <w:r w:rsidR="001525AD">
        <w:rPr>
          <w:rFonts w:ascii="Arial" w:hAnsi="Arial" w:cs="Arial"/>
          <w:sz w:val="24"/>
          <w:szCs w:val="24"/>
        </w:rPr>
        <w:t>,</w:t>
      </w:r>
      <w:r w:rsidRPr="00CE07E3">
        <w:rPr>
          <w:rFonts w:ascii="Arial" w:hAnsi="Arial" w:cs="Arial"/>
          <w:sz w:val="24"/>
          <w:szCs w:val="24"/>
        </w:rPr>
        <w:t xml:space="preserve"> that invariably provide employers a valid legislative defence in all but the most blatant and egregious </w:t>
      </w:r>
      <w:r w:rsidR="001525AD">
        <w:rPr>
          <w:rFonts w:ascii="Arial" w:hAnsi="Arial" w:cs="Arial"/>
          <w:sz w:val="24"/>
          <w:szCs w:val="24"/>
        </w:rPr>
        <w:t xml:space="preserve">of </w:t>
      </w:r>
      <w:r w:rsidRPr="00CE07E3">
        <w:rPr>
          <w:rFonts w:ascii="Arial" w:hAnsi="Arial" w:cs="Arial"/>
          <w:sz w:val="24"/>
          <w:szCs w:val="24"/>
        </w:rPr>
        <w:t>breaches:</w:t>
      </w:r>
    </w:p>
    <w:p w14:paraId="66136577" w14:textId="77777777" w:rsidR="00CE07E3" w:rsidRPr="00CE07E3" w:rsidRDefault="00CE07E3" w:rsidP="00AF30C0">
      <w:pPr>
        <w:widowControl w:val="0"/>
        <w:autoSpaceDE w:val="0"/>
        <w:autoSpaceDN w:val="0"/>
        <w:adjustRightInd w:val="0"/>
        <w:spacing w:after="0" w:line="360" w:lineRule="auto"/>
        <w:jc w:val="both"/>
        <w:rPr>
          <w:rFonts w:ascii="Arial" w:hAnsi="Arial" w:cs="Arial"/>
          <w:sz w:val="24"/>
          <w:szCs w:val="24"/>
        </w:rPr>
      </w:pPr>
    </w:p>
    <w:p w14:paraId="112873C7" w14:textId="77777777" w:rsidR="00CE07E3" w:rsidRDefault="00CE07E3" w:rsidP="00AF30C0">
      <w:pPr>
        <w:pStyle w:val="ListParagraph"/>
        <w:widowControl w:val="0"/>
        <w:numPr>
          <w:ilvl w:val="0"/>
          <w:numId w:val="12"/>
        </w:numPr>
        <w:autoSpaceDE w:val="0"/>
        <w:autoSpaceDN w:val="0"/>
        <w:adjustRightInd w:val="0"/>
        <w:spacing w:after="0" w:line="360" w:lineRule="auto"/>
        <w:jc w:val="both"/>
        <w:rPr>
          <w:rFonts w:ascii="Arial" w:hAnsi="Arial" w:cs="Arial"/>
          <w:sz w:val="24"/>
          <w:szCs w:val="24"/>
        </w:rPr>
      </w:pPr>
      <w:r w:rsidRPr="00CE07E3">
        <w:rPr>
          <w:rFonts w:ascii="Arial" w:hAnsi="Arial" w:cs="Arial"/>
          <w:sz w:val="24"/>
          <w:szCs w:val="24"/>
        </w:rPr>
        <w:t>There is no clear de</w:t>
      </w:r>
      <w:r>
        <w:rPr>
          <w:rFonts w:ascii="Arial" w:hAnsi="Arial" w:cs="Arial"/>
          <w:sz w:val="24"/>
          <w:szCs w:val="24"/>
        </w:rPr>
        <w:t xml:space="preserve">finition of the term “reckless”; </w:t>
      </w:r>
    </w:p>
    <w:p w14:paraId="57EE6232" w14:textId="77777777" w:rsidR="00CE07E3" w:rsidRPr="00CE07E3" w:rsidRDefault="00CE07E3" w:rsidP="00AF30C0">
      <w:pPr>
        <w:pStyle w:val="ListParagraph"/>
        <w:widowControl w:val="0"/>
        <w:autoSpaceDE w:val="0"/>
        <w:autoSpaceDN w:val="0"/>
        <w:adjustRightInd w:val="0"/>
        <w:spacing w:after="0" w:line="360" w:lineRule="auto"/>
        <w:jc w:val="both"/>
        <w:rPr>
          <w:rFonts w:ascii="Arial" w:hAnsi="Arial" w:cs="Arial"/>
          <w:sz w:val="24"/>
          <w:szCs w:val="24"/>
        </w:rPr>
      </w:pPr>
    </w:p>
    <w:p w14:paraId="6F3A0E40" w14:textId="77777777" w:rsidR="00CE07E3" w:rsidRDefault="00CE07E3" w:rsidP="00AF30C0">
      <w:pPr>
        <w:pStyle w:val="ListParagraph"/>
        <w:widowControl w:val="0"/>
        <w:numPr>
          <w:ilvl w:val="0"/>
          <w:numId w:val="12"/>
        </w:numPr>
        <w:autoSpaceDE w:val="0"/>
        <w:autoSpaceDN w:val="0"/>
        <w:adjustRightInd w:val="0"/>
        <w:spacing w:after="0" w:line="360" w:lineRule="auto"/>
        <w:jc w:val="both"/>
        <w:rPr>
          <w:rFonts w:ascii="Arial" w:hAnsi="Arial" w:cs="Arial"/>
          <w:sz w:val="24"/>
          <w:szCs w:val="24"/>
        </w:rPr>
      </w:pPr>
      <w:r w:rsidRPr="00CE07E3">
        <w:rPr>
          <w:rFonts w:ascii="Arial" w:hAnsi="Arial" w:cs="Arial"/>
          <w:sz w:val="24"/>
          <w:szCs w:val="24"/>
        </w:rPr>
        <w:t>Once the employer relies on the subjective defence, the onus of proving the employer knew or was reckless, rests with the person alle</w:t>
      </w:r>
      <w:r>
        <w:rPr>
          <w:rFonts w:ascii="Arial" w:hAnsi="Arial" w:cs="Arial"/>
          <w:sz w:val="24"/>
          <w:szCs w:val="24"/>
        </w:rPr>
        <w:t>ging the breach;</w:t>
      </w:r>
      <w:r w:rsidRPr="00CE07E3">
        <w:rPr>
          <w:rFonts w:ascii="Arial" w:hAnsi="Arial" w:cs="Arial"/>
          <w:sz w:val="24"/>
          <w:szCs w:val="24"/>
        </w:rPr>
        <w:t xml:space="preserve"> and</w:t>
      </w:r>
    </w:p>
    <w:p w14:paraId="21419148" w14:textId="77777777" w:rsidR="00CE07E3" w:rsidRPr="00CE07E3" w:rsidRDefault="00CE07E3" w:rsidP="00AF30C0">
      <w:pPr>
        <w:widowControl w:val="0"/>
        <w:autoSpaceDE w:val="0"/>
        <w:autoSpaceDN w:val="0"/>
        <w:adjustRightInd w:val="0"/>
        <w:spacing w:after="0" w:line="360" w:lineRule="auto"/>
        <w:jc w:val="both"/>
        <w:rPr>
          <w:rFonts w:ascii="Arial" w:hAnsi="Arial" w:cs="Arial"/>
          <w:sz w:val="24"/>
          <w:szCs w:val="24"/>
        </w:rPr>
      </w:pPr>
    </w:p>
    <w:p w14:paraId="6B6F3D83" w14:textId="77777777" w:rsidR="00CE07E3" w:rsidRPr="00CE07E3" w:rsidRDefault="00CE07E3" w:rsidP="00AF30C0">
      <w:pPr>
        <w:pStyle w:val="ListParagraph"/>
        <w:widowControl w:val="0"/>
        <w:numPr>
          <w:ilvl w:val="0"/>
          <w:numId w:val="12"/>
        </w:numPr>
        <w:autoSpaceDE w:val="0"/>
        <w:autoSpaceDN w:val="0"/>
        <w:adjustRightInd w:val="0"/>
        <w:spacing w:after="0" w:line="360" w:lineRule="auto"/>
        <w:jc w:val="both"/>
        <w:rPr>
          <w:rFonts w:ascii="Arial" w:hAnsi="Arial" w:cs="Arial"/>
          <w:sz w:val="24"/>
          <w:szCs w:val="24"/>
        </w:rPr>
      </w:pPr>
      <w:r w:rsidRPr="00CE07E3">
        <w:rPr>
          <w:rFonts w:ascii="Arial" w:hAnsi="Arial" w:cs="Arial"/>
          <w:sz w:val="24"/>
          <w:szCs w:val="24"/>
        </w:rPr>
        <w:t>The defences are made out on purely subjective grounds.</w:t>
      </w:r>
    </w:p>
    <w:p w14:paraId="2597B9EF" w14:textId="77777777" w:rsidR="00CE07E3" w:rsidRPr="00CE07E3" w:rsidRDefault="00CE07E3" w:rsidP="00AF30C0">
      <w:pPr>
        <w:widowControl w:val="0"/>
        <w:autoSpaceDE w:val="0"/>
        <w:autoSpaceDN w:val="0"/>
        <w:adjustRightInd w:val="0"/>
        <w:spacing w:after="0" w:line="360" w:lineRule="auto"/>
        <w:jc w:val="both"/>
        <w:rPr>
          <w:rFonts w:ascii="Arial" w:hAnsi="Arial" w:cs="Arial"/>
          <w:sz w:val="24"/>
          <w:szCs w:val="24"/>
        </w:rPr>
      </w:pPr>
    </w:p>
    <w:p w14:paraId="48C4DCAA" w14:textId="77777777" w:rsidR="00CE07E3" w:rsidRPr="00CE07E3" w:rsidRDefault="00CE07E3" w:rsidP="00AF30C0">
      <w:pPr>
        <w:widowControl w:val="0"/>
        <w:autoSpaceDE w:val="0"/>
        <w:autoSpaceDN w:val="0"/>
        <w:adjustRightInd w:val="0"/>
        <w:spacing w:after="0" w:line="360" w:lineRule="auto"/>
        <w:jc w:val="both"/>
        <w:rPr>
          <w:rFonts w:ascii="Arial" w:hAnsi="Arial" w:cs="Arial"/>
          <w:sz w:val="24"/>
          <w:szCs w:val="24"/>
          <w:u w:val="single"/>
        </w:rPr>
      </w:pPr>
      <w:r w:rsidRPr="00CE07E3">
        <w:rPr>
          <w:rFonts w:ascii="Arial" w:hAnsi="Arial" w:cs="Arial"/>
          <w:sz w:val="24"/>
          <w:szCs w:val="24"/>
          <w:u w:val="single"/>
        </w:rPr>
        <w:t>1. Definition of the term “reckless”:</w:t>
      </w:r>
    </w:p>
    <w:p w14:paraId="4352539A" w14:textId="77777777" w:rsidR="00CE07E3" w:rsidRPr="00CE07E3" w:rsidRDefault="00CE07E3" w:rsidP="00AF30C0">
      <w:pPr>
        <w:widowControl w:val="0"/>
        <w:autoSpaceDE w:val="0"/>
        <w:autoSpaceDN w:val="0"/>
        <w:adjustRightInd w:val="0"/>
        <w:spacing w:after="0" w:line="360" w:lineRule="auto"/>
        <w:jc w:val="both"/>
        <w:rPr>
          <w:rFonts w:ascii="Arial" w:hAnsi="Arial" w:cs="Arial"/>
          <w:sz w:val="24"/>
          <w:szCs w:val="24"/>
        </w:rPr>
      </w:pPr>
    </w:p>
    <w:p w14:paraId="485E1FB9" w14:textId="7167F95E" w:rsidR="00CE07E3" w:rsidRDefault="00CE07E3" w:rsidP="00AF30C0">
      <w:pPr>
        <w:pStyle w:val="ListParagraph"/>
        <w:widowControl w:val="0"/>
        <w:numPr>
          <w:ilvl w:val="0"/>
          <w:numId w:val="3"/>
        </w:numPr>
        <w:autoSpaceDE w:val="0"/>
        <w:autoSpaceDN w:val="0"/>
        <w:adjustRightInd w:val="0"/>
        <w:spacing w:after="0" w:line="360" w:lineRule="auto"/>
        <w:jc w:val="both"/>
        <w:rPr>
          <w:rFonts w:ascii="Arial" w:hAnsi="Arial" w:cs="Arial"/>
          <w:sz w:val="24"/>
          <w:szCs w:val="24"/>
        </w:rPr>
      </w:pPr>
      <w:r w:rsidRPr="00CE07E3">
        <w:rPr>
          <w:rFonts w:ascii="Arial" w:hAnsi="Arial" w:cs="Arial"/>
          <w:sz w:val="24"/>
          <w:szCs w:val="24"/>
        </w:rPr>
        <w:t>The sham contracting provisions of the Act are intended to broadly mirror those that existed in the W</w:t>
      </w:r>
      <w:r w:rsidR="000B252F">
        <w:rPr>
          <w:rFonts w:ascii="Arial" w:hAnsi="Arial" w:cs="Arial"/>
          <w:sz w:val="24"/>
          <w:szCs w:val="24"/>
        </w:rPr>
        <w:t xml:space="preserve">orkplace </w:t>
      </w:r>
      <w:r w:rsidRPr="00CE07E3">
        <w:rPr>
          <w:rFonts w:ascii="Arial" w:hAnsi="Arial" w:cs="Arial"/>
          <w:sz w:val="24"/>
          <w:szCs w:val="24"/>
        </w:rPr>
        <w:t>R</w:t>
      </w:r>
      <w:r w:rsidR="000B252F">
        <w:rPr>
          <w:rFonts w:ascii="Arial" w:hAnsi="Arial" w:cs="Arial"/>
          <w:sz w:val="24"/>
          <w:szCs w:val="24"/>
        </w:rPr>
        <w:t>elations</w:t>
      </w:r>
      <w:r w:rsidRPr="00CE07E3">
        <w:rPr>
          <w:rFonts w:ascii="Arial" w:hAnsi="Arial" w:cs="Arial"/>
          <w:sz w:val="24"/>
          <w:szCs w:val="24"/>
        </w:rPr>
        <w:t xml:space="preserve"> Act</w:t>
      </w:r>
      <w:r w:rsidR="000B252F">
        <w:rPr>
          <w:rFonts w:ascii="Arial" w:hAnsi="Arial" w:cs="Arial"/>
          <w:sz w:val="24"/>
          <w:szCs w:val="24"/>
        </w:rPr>
        <w:t xml:space="preserve"> 1996 (WR Act)</w:t>
      </w:r>
      <w:r w:rsidRPr="00CE07E3">
        <w:rPr>
          <w:rFonts w:ascii="Arial" w:hAnsi="Arial" w:cs="Arial"/>
          <w:sz w:val="24"/>
          <w:szCs w:val="24"/>
        </w:rPr>
        <w:t>,</w:t>
      </w:r>
      <w:r w:rsidRPr="00CE07E3">
        <w:rPr>
          <w:rStyle w:val="FootnoteReference"/>
          <w:rFonts w:ascii="Arial" w:hAnsi="Arial" w:cs="Arial"/>
          <w:sz w:val="24"/>
          <w:szCs w:val="24"/>
        </w:rPr>
        <w:footnoteReference w:id="64"/>
      </w:r>
      <w:r w:rsidRPr="00CE07E3">
        <w:rPr>
          <w:rFonts w:ascii="Arial" w:hAnsi="Arial" w:cs="Arial"/>
          <w:sz w:val="24"/>
          <w:szCs w:val="24"/>
        </w:rPr>
        <w:t xml:space="preserve"> in which the government stipulated that: ‘Recklessness will take its common law meaning as the Commonwealth Criminal Code does not apply to the civil remedy provisions in the WR Act’.</w:t>
      </w:r>
      <w:r w:rsidRPr="00CE07E3">
        <w:rPr>
          <w:rStyle w:val="FootnoteReference"/>
          <w:rFonts w:ascii="Arial" w:hAnsi="Arial" w:cs="Arial"/>
          <w:sz w:val="24"/>
          <w:szCs w:val="24"/>
        </w:rPr>
        <w:footnoteReference w:id="65"/>
      </w:r>
    </w:p>
    <w:p w14:paraId="5DF3E1CF" w14:textId="77777777" w:rsidR="00CE07E3" w:rsidRDefault="00CE07E3" w:rsidP="00AF30C0">
      <w:pPr>
        <w:pStyle w:val="ListParagraph"/>
        <w:widowControl w:val="0"/>
        <w:autoSpaceDE w:val="0"/>
        <w:autoSpaceDN w:val="0"/>
        <w:adjustRightInd w:val="0"/>
        <w:spacing w:after="0" w:line="360" w:lineRule="auto"/>
        <w:jc w:val="both"/>
        <w:rPr>
          <w:rFonts w:ascii="Arial" w:hAnsi="Arial" w:cs="Arial"/>
          <w:sz w:val="24"/>
          <w:szCs w:val="24"/>
        </w:rPr>
      </w:pPr>
    </w:p>
    <w:p w14:paraId="702AA7B9" w14:textId="3CD67E17" w:rsidR="00CE07E3" w:rsidRPr="00CE07E3" w:rsidRDefault="00CE07E3" w:rsidP="00AF30C0">
      <w:pPr>
        <w:pStyle w:val="ListParagraph"/>
        <w:widowControl w:val="0"/>
        <w:numPr>
          <w:ilvl w:val="0"/>
          <w:numId w:val="3"/>
        </w:numPr>
        <w:autoSpaceDE w:val="0"/>
        <w:autoSpaceDN w:val="0"/>
        <w:adjustRightInd w:val="0"/>
        <w:spacing w:after="0" w:line="360" w:lineRule="auto"/>
        <w:jc w:val="both"/>
        <w:rPr>
          <w:rFonts w:ascii="Arial" w:hAnsi="Arial" w:cs="Arial"/>
          <w:sz w:val="24"/>
          <w:szCs w:val="24"/>
        </w:rPr>
      </w:pPr>
      <w:r w:rsidRPr="00CE07E3">
        <w:rPr>
          <w:rFonts w:ascii="Arial" w:hAnsi="Arial" w:cs="Arial"/>
          <w:sz w:val="24"/>
          <w:szCs w:val="24"/>
        </w:rPr>
        <w:t xml:space="preserve"> As the term “reckless” is not defined in the Act, a relevant court must rely on the common law for guidance. </w:t>
      </w:r>
    </w:p>
    <w:p w14:paraId="2F716922" w14:textId="77777777" w:rsidR="00CE07E3" w:rsidRPr="00CE07E3" w:rsidRDefault="00CE07E3" w:rsidP="00AF30C0">
      <w:pPr>
        <w:widowControl w:val="0"/>
        <w:autoSpaceDE w:val="0"/>
        <w:autoSpaceDN w:val="0"/>
        <w:adjustRightInd w:val="0"/>
        <w:spacing w:after="0" w:line="360" w:lineRule="auto"/>
        <w:jc w:val="both"/>
        <w:rPr>
          <w:rFonts w:ascii="Arial" w:hAnsi="Arial" w:cs="Arial"/>
          <w:sz w:val="24"/>
          <w:szCs w:val="24"/>
        </w:rPr>
      </w:pPr>
    </w:p>
    <w:p w14:paraId="2CDAF9D2" w14:textId="77777777" w:rsidR="00CE07E3" w:rsidRPr="00CE07E3" w:rsidRDefault="00CE07E3" w:rsidP="00AF30C0">
      <w:pPr>
        <w:pStyle w:val="ListParagraph"/>
        <w:widowControl w:val="0"/>
        <w:numPr>
          <w:ilvl w:val="0"/>
          <w:numId w:val="3"/>
        </w:numPr>
        <w:autoSpaceDE w:val="0"/>
        <w:autoSpaceDN w:val="0"/>
        <w:adjustRightInd w:val="0"/>
        <w:spacing w:after="0" w:line="360" w:lineRule="auto"/>
        <w:jc w:val="both"/>
        <w:rPr>
          <w:rFonts w:ascii="Arial" w:hAnsi="Arial" w:cs="Arial"/>
          <w:sz w:val="24"/>
          <w:szCs w:val="24"/>
        </w:rPr>
      </w:pPr>
      <w:r w:rsidRPr="00CE07E3">
        <w:rPr>
          <w:rFonts w:ascii="Arial" w:hAnsi="Arial" w:cs="Arial"/>
          <w:sz w:val="24"/>
          <w:szCs w:val="24"/>
        </w:rPr>
        <w:t>However, the term “reckless” has a number of different definitions across civil law, depending on the cause of action</w:t>
      </w:r>
      <w:r w:rsidRPr="00CE07E3">
        <w:rPr>
          <w:rStyle w:val="FootnoteReference"/>
          <w:rFonts w:ascii="Arial" w:hAnsi="Arial" w:cs="Arial"/>
          <w:sz w:val="24"/>
          <w:szCs w:val="24"/>
        </w:rPr>
        <w:footnoteReference w:id="66"/>
      </w:r>
      <w:r w:rsidRPr="00CE07E3">
        <w:rPr>
          <w:rFonts w:ascii="Arial" w:hAnsi="Arial" w:cs="Arial"/>
          <w:sz w:val="24"/>
          <w:szCs w:val="24"/>
        </w:rPr>
        <w:t xml:space="preserve"> and while the meaning is settled in the context of the criminal law, that settled meaning cannot apply to a breach of the sham contracting provisions</w:t>
      </w:r>
      <w:r w:rsidR="001525AD">
        <w:rPr>
          <w:rFonts w:ascii="Arial" w:hAnsi="Arial" w:cs="Arial"/>
          <w:sz w:val="24"/>
          <w:szCs w:val="24"/>
        </w:rPr>
        <w:t>,</w:t>
      </w:r>
      <w:r w:rsidRPr="00CE07E3">
        <w:rPr>
          <w:rFonts w:ascii="Arial" w:hAnsi="Arial" w:cs="Arial"/>
          <w:sz w:val="24"/>
          <w:szCs w:val="24"/>
        </w:rPr>
        <w:t xml:space="preserve"> because it is not an offence.</w:t>
      </w:r>
      <w:r w:rsidRPr="00CE07E3">
        <w:rPr>
          <w:rStyle w:val="FootnoteReference"/>
          <w:rFonts w:ascii="Arial" w:hAnsi="Arial" w:cs="Arial"/>
          <w:sz w:val="24"/>
          <w:szCs w:val="24"/>
        </w:rPr>
        <w:footnoteReference w:id="67"/>
      </w:r>
    </w:p>
    <w:p w14:paraId="67AEB72B" w14:textId="77777777" w:rsidR="00CE07E3" w:rsidRPr="00CE07E3" w:rsidRDefault="00CE07E3" w:rsidP="00AF30C0">
      <w:pPr>
        <w:widowControl w:val="0"/>
        <w:autoSpaceDE w:val="0"/>
        <w:autoSpaceDN w:val="0"/>
        <w:adjustRightInd w:val="0"/>
        <w:spacing w:after="0" w:line="360" w:lineRule="auto"/>
        <w:jc w:val="both"/>
        <w:rPr>
          <w:rFonts w:ascii="Arial" w:hAnsi="Arial" w:cs="Arial"/>
          <w:sz w:val="24"/>
          <w:szCs w:val="24"/>
        </w:rPr>
      </w:pPr>
    </w:p>
    <w:p w14:paraId="34B5CA35" w14:textId="7AA031E3" w:rsidR="00CE07E3" w:rsidRPr="00CE07E3" w:rsidRDefault="00CE07E3" w:rsidP="00AF30C0">
      <w:pPr>
        <w:pStyle w:val="ListParagraph"/>
        <w:widowControl w:val="0"/>
        <w:numPr>
          <w:ilvl w:val="0"/>
          <w:numId w:val="3"/>
        </w:numPr>
        <w:autoSpaceDE w:val="0"/>
        <w:autoSpaceDN w:val="0"/>
        <w:adjustRightInd w:val="0"/>
        <w:spacing w:after="0" w:line="360" w:lineRule="auto"/>
        <w:jc w:val="both"/>
        <w:rPr>
          <w:rFonts w:ascii="Arial" w:hAnsi="Arial" w:cs="Arial"/>
          <w:sz w:val="24"/>
          <w:szCs w:val="24"/>
        </w:rPr>
      </w:pPr>
      <w:r w:rsidRPr="00CE07E3">
        <w:rPr>
          <w:rFonts w:ascii="Arial" w:hAnsi="Arial" w:cs="Arial"/>
          <w:sz w:val="24"/>
          <w:szCs w:val="24"/>
        </w:rPr>
        <w:lastRenderedPageBreak/>
        <w:t xml:space="preserve">It is yet to be settled which, if any, of the civil law definitions of the term “reckless” should apply to s. 357. In </w:t>
      </w:r>
      <w:r w:rsidRPr="00CE07E3">
        <w:rPr>
          <w:rFonts w:ascii="Arial" w:hAnsi="Arial" w:cs="Arial"/>
          <w:i/>
          <w:sz w:val="24"/>
          <w:szCs w:val="24"/>
        </w:rPr>
        <w:t xml:space="preserve">CFMEU v </w:t>
      </w:r>
      <w:proofErr w:type="spellStart"/>
      <w:r w:rsidRPr="00CE07E3">
        <w:rPr>
          <w:rFonts w:ascii="Arial" w:hAnsi="Arial" w:cs="Arial"/>
          <w:i/>
          <w:sz w:val="24"/>
          <w:szCs w:val="24"/>
        </w:rPr>
        <w:t>Nubrick</w:t>
      </w:r>
      <w:proofErr w:type="spellEnd"/>
      <w:r w:rsidRPr="00CE07E3">
        <w:rPr>
          <w:rFonts w:ascii="Arial" w:hAnsi="Arial" w:cs="Arial"/>
          <w:i/>
          <w:sz w:val="24"/>
          <w:szCs w:val="24"/>
        </w:rPr>
        <w:t xml:space="preserve"> Pty Ltd</w:t>
      </w:r>
      <w:r w:rsidRPr="00CE07E3">
        <w:rPr>
          <w:rFonts w:ascii="Arial" w:hAnsi="Arial" w:cs="Arial"/>
          <w:sz w:val="24"/>
          <w:szCs w:val="24"/>
        </w:rPr>
        <w:t>,</w:t>
      </w:r>
      <w:r w:rsidRPr="00CE07E3">
        <w:rPr>
          <w:rStyle w:val="FootnoteReference"/>
          <w:rFonts w:ascii="Arial" w:hAnsi="Arial" w:cs="Arial"/>
          <w:sz w:val="24"/>
          <w:szCs w:val="24"/>
        </w:rPr>
        <w:footnoteReference w:id="68"/>
      </w:r>
      <w:r w:rsidRPr="00CE07E3">
        <w:rPr>
          <w:rFonts w:ascii="Arial" w:hAnsi="Arial" w:cs="Arial"/>
          <w:sz w:val="24"/>
          <w:szCs w:val="24"/>
        </w:rPr>
        <w:t xml:space="preserve"> the union relied on an existing definition that applies in the context of insurance policies, while the employer did not rely on a</w:t>
      </w:r>
      <w:r w:rsidR="001525AD">
        <w:rPr>
          <w:rFonts w:ascii="Arial" w:hAnsi="Arial" w:cs="Arial"/>
          <w:sz w:val="24"/>
          <w:szCs w:val="24"/>
        </w:rPr>
        <w:t>ny</w:t>
      </w:r>
      <w:r w:rsidRPr="00CE07E3">
        <w:rPr>
          <w:rFonts w:ascii="Arial" w:hAnsi="Arial" w:cs="Arial"/>
          <w:sz w:val="24"/>
          <w:szCs w:val="24"/>
        </w:rPr>
        <w:t xml:space="preserve"> particular definition but referred to </w:t>
      </w:r>
      <w:r w:rsidR="002C4517">
        <w:rPr>
          <w:rFonts w:ascii="Arial" w:hAnsi="Arial" w:cs="Arial"/>
          <w:sz w:val="24"/>
          <w:szCs w:val="24"/>
        </w:rPr>
        <w:t xml:space="preserve">the </w:t>
      </w:r>
      <w:r w:rsidRPr="00CE07E3">
        <w:rPr>
          <w:rFonts w:ascii="Arial" w:hAnsi="Arial" w:cs="Arial"/>
          <w:sz w:val="24"/>
          <w:szCs w:val="24"/>
        </w:rPr>
        <w:t xml:space="preserve">observations made by the High Court in </w:t>
      </w:r>
      <w:proofErr w:type="spellStart"/>
      <w:r w:rsidRPr="00CE07E3">
        <w:rPr>
          <w:rFonts w:ascii="Arial" w:hAnsi="Arial" w:cs="Arial"/>
          <w:i/>
          <w:sz w:val="24"/>
          <w:szCs w:val="24"/>
        </w:rPr>
        <w:t>Banditt</w:t>
      </w:r>
      <w:proofErr w:type="spellEnd"/>
      <w:r w:rsidRPr="00CE07E3">
        <w:rPr>
          <w:rFonts w:ascii="Arial" w:hAnsi="Arial" w:cs="Arial"/>
          <w:i/>
          <w:sz w:val="24"/>
          <w:szCs w:val="24"/>
        </w:rPr>
        <w:t xml:space="preserve"> v R</w:t>
      </w:r>
      <w:r w:rsidR="002C4517">
        <w:rPr>
          <w:rFonts w:ascii="Arial" w:hAnsi="Arial" w:cs="Arial"/>
          <w:i/>
          <w:sz w:val="24"/>
          <w:szCs w:val="24"/>
        </w:rPr>
        <w:t>.</w:t>
      </w:r>
      <w:r w:rsidRPr="00CE07E3">
        <w:rPr>
          <w:rStyle w:val="FootnoteReference"/>
          <w:rFonts w:ascii="Arial" w:hAnsi="Arial" w:cs="Arial"/>
          <w:sz w:val="24"/>
          <w:szCs w:val="24"/>
        </w:rPr>
        <w:footnoteReference w:id="69"/>
      </w:r>
      <w:r w:rsidRPr="00CE07E3">
        <w:rPr>
          <w:rFonts w:ascii="Arial" w:hAnsi="Arial" w:cs="Arial"/>
          <w:sz w:val="24"/>
          <w:szCs w:val="24"/>
        </w:rPr>
        <w:t xml:space="preserve"> </w:t>
      </w:r>
      <w:r w:rsidR="002C4517">
        <w:rPr>
          <w:rFonts w:ascii="Arial" w:hAnsi="Arial" w:cs="Arial"/>
          <w:sz w:val="24"/>
          <w:szCs w:val="24"/>
        </w:rPr>
        <w:t xml:space="preserve">However, </w:t>
      </w:r>
      <w:r w:rsidRPr="00CE07E3">
        <w:rPr>
          <w:rFonts w:ascii="Arial" w:hAnsi="Arial" w:cs="Arial"/>
          <w:sz w:val="24"/>
          <w:szCs w:val="24"/>
        </w:rPr>
        <w:t xml:space="preserve">the court did not ultimately decide what definition should apply as it found the employer was not reckless under any definition. </w:t>
      </w:r>
    </w:p>
    <w:p w14:paraId="3D1B2813" w14:textId="77777777" w:rsidR="00CE07E3" w:rsidRPr="00CE07E3" w:rsidRDefault="00CE07E3" w:rsidP="00AF30C0">
      <w:pPr>
        <w:widowControl w:val="0"/>
        <w:autoSpaceDE w:val="0"/>
        <w:autoSpaceDN w:val="0"/>
        <w:adjustRightInd w:val="0"/>
        <w:spacing w:after="0" w:line="360" w:lineRule="auto"/>
        <w:jc w:val="both"/>
        <w:rPr>
          <w:rFonts w:ascii="Arial" w:hAnsi="Arial" w:cs="Arial"/>
          <w:sz w:val="24"/>
          <w:szCs w:val="24"/>
        </w:rPr>
      </w:pPr>
    </w:p>
    <w:p w14:paraId="55DD2C0E" w14:textId="77777777" w:rsidR="00CE07E3" w:rsidRPr="00CE07E3" w:rsidRDefault="00CE07E3" w:rsidP="00AF30C0">
      <w:pPr>
        <w:pStyle w:val="ListParagraph"/>
        <w:widowControl w:val="0"/>
        <w:numPr>
          <w:ilvl w:val="0"/>
          <w:numId w:val="3"/>
        </w:numPr>
        <w:autoSpaceDE w:val="0"/>
        <w:autoSpaceDN w:val="0"/>
        <w:adjustRightInd w:val="0"/>
        <w:spacing w:after="0" w:line="360" w:lineRule="auto"/>
        <w:jc w:val="both"/>
        <w:rPr>
          <w:rFonts w:ascii="Arial" w:hAnsi="Arial" w:cs="Arial"/>
          <w:sz w:val="24"/>
          <w:szCs w:val="24"/>
        </w:rPr>
      </w:pPr>
      <w:r w:rsidRPr="00CE07E3">
        <w:rPr>
          <w:rFonts w:ascii="Arial" w:hAnsi="Arial" w:cs="Arial"/>
          <w:sz w:val="24"/>
          <w:szCs w:val="24"/>
        </w:rPr>
        <w:t>It is essential that the obligations imposed on employers be clear, particularly because s. 357(1) is a civil penalty provision.</w:t>
      </w:r>
      <w:r w:rsidRPr="00CE07E3">
        <w:rPr>
          <w:rStyle w:val="FootnoteReference"/>
          <w:rFonts w:ascii="Arial" w:hAnsi="Arial" w:cs="Arial"/>
          <w:sz w:val="24"/>
          <w:szCs w:val="24"/>
        </w:rPr>
        <w:footnoteReference w:id="70"/>
      </w:r>
      <w:r w:rsidRPr="00CE07E3">
        <w:rPr>
          <w:rFonts w:ascii="Arial" w:hAnsi="Arial" w:cs="Arial"/>
          <w:sz w:val="24"/>
          <w:szCs w:val="24"/>
        </w:rPr>
        <w:t xml:space="preserve"> </w:t>
      </w:r>
      <w:r w:rsidR="002C4517">
        <w:rPr>
          <w:rFonts w:ascii="Arial" w:hAnsi="Arial" w:cs="Arial"/>
          <w:sz w:val="24"/>
          <w:szCs w:val="24"/>
        </w:rPr>
        <w:t>The absence of a clear definition of the term “reckless” means that both employers and employees cannot be sure of their rights and obligations under s. 357.</w:t>
      </w:r>
    </w:p>
    <w:p w14:paraId="20EFF60C" w14:textId="77777777" w:rsidR="00CE07E3" w:rsidRPr="00CE07E3" w:rsidRDefault="00CE07E3" w:rsidP="00AF30C0">
      <w:pPr>
        <w:widowControl w:val="0"/>
        <w:autoSpaceDE w:val="0"/>
        <w:autoSpaceDN w:val="0"/>
        <w:adjustRightInd w:val="0"/>
        <w:spacing w:after="0" w:line="360" w:lineRule="auto"/>
        <w:jc w:val="both"/>
        <w:rPr>
          <w:rFonts w:ascii="Arial" w:hAnsi="Arial" w:cs="Arial"/>
          <w:sz w:val="24"/>
          <w:szCs w:val="24"/>
        </w:rPr>
      </w:pPr>
    </w:p>
    <w:p w14:paraId="30BEDF7C" w14:textId="77777777" w:rsidR="00CE07E3" w:rsidRPr="00CE07E3" w:rsidRDefault="00CE07E3" w:rsidP="00AF30C0">
      <w:pPr>
        <w:widowControl w:val="0"/>
        <w:autoSpaceDE w:val="0"/>
        <w:autoSpaceDN w:val="0"/>
        <w:adjustRightInd w:val="0"/>
        <w:spacing w:after="0" w:line="360" w:lineRule="auto"/>
        <w:jc w:val="both"/>
        <w:rPr>
          <w:rFonts w:ascii="Arial" w:hAnsi="Arial" w:cs="Arial"/>
          <w:sz w:val="24"/>
          <w:szCs w:val="24"/>
          <w:u w:val="single"/>
        </w:rPr>
      </w:pPr>
      <w:r w:rsidRPr="00CE07E3">
        <w:rPr>
          <w:rFonts w:ascii="Arial" w:hAnsi="Arial" w:cs="Arial"/>
          <w:sz w:val="24"/>
          <w:szCs w:val="24"/>
          <w:u w:val="single"/>
        </w:rPr>
        <w:t>2. Onus of proving the defence</w:t>
      </w:r>
    </w:p>
    <w:p w14:paraId="25906992" w14:textId="77777777" w:rsidR="00CE07E3" w:rsidRPr="00CE07E3" w:rsidRDefault="00CE07E3" w:rsidP="00AF30C0">
      <w:pPr>
        <w:widowControl w:val="0"/>
        <w:autoSpaceDE w:val="0"/>
        <w:autoSpaceDN w:val="0"/>
        <w:adjustRightInd w:val="0"/>
        <w:spacing w:after="0" w:line="360" w:lineRule="auto"/>
        <w:jc w:val="both"/>
        <w:rPr>
          <w:rFonts w:ascii="Arial" w:hAnsi="Arial" w:cs="Arial"/>
          <w:sz w:val="24"/>
          <w:szCs w:val="24"/>
        </w:rPr>
      </w:pPr>
    </w:p>
    <w:p w14:paraId="302ED17E" w14:textId="77777777" w:rsidR="00CE07E3" w:rsidRPr="00CE07E3" w:rsidRDefault="00CE07E3" w:rsidP="00AF30C0">
      <w:pPr>
        <w:pStyle w:val="ListParagraph"/>
        <w:widowControl w:val="0"/>
        <w:numPr>
          <w:ilvl w:val="0"/>
          <w:numId w:val="3"/>
        </w:numPr>
        <w:autoSpaceDE w:val="0"/>
        <w:autoSpaceDN w:val="0"/>
        <w:adjustRightInd w:val="0"/>
        <w:spacing w:after="0" w:line="360" w:lineRule="auto"/>
        <w:jc w:val="both"/>
        <w:rPr>
          <w:rFonts w:ascii="Arial" w:hAnsi="Arial" w:cs="Arial"/>
          <w:sz w:val="24"/>
          <w:szCs w:val="24"/>
        </w:rPr>
      </w:pPr>
      <w:r w:rsidRPr="00CE07E3">
        <w:rPr>
          <w:rFonts w:ascii="Arial" w:hAnsi="Arial" w:cs="Arial"/>
          <w:sz w:val="24"/>
          <w:szCs w:val="24"/>
        </w:rPr>
        <w:t>The onus of proving the defence in s. 357(2) rests with the employer. In practice, however, the person alleging the breach will likely be required to provide evidence that the employer actually knew.</w:t>
      </w:r>
    </w:p>
    <w:p w14:paraId="0F27A53E" w14:textId="77777777" w:rsidR="00CE07E3" w:rsidRPr="00CE07E3" w:rsidRDefault="00CE07E3" w:rsidP="00AF30C0">
      <w:pPr>
        <w:widowControl w:val="0"/>
        <w:autoSpaceDE w:val="0"/>
        <w:autoSpaceDN w:val="0"/>
        <w:adjustRightInd w:val="0"/>
        <w:spacing w:after="0" w:line="360" w:lineRule="auto"/>
        <w:jc w:val="both"/>
        <w:rPr>
          <w:rFonts w:ascii="Arial" w:hAnsi="Arial" w:cs="Arial"/>
          <w:sz w:val="24"/>
          <w:szCs w:val="24"/>
        </w:rPr>
      </w:pPr>
    </w:p>
    <w:p w14:paraId="7EFB0686" w14:textId="109860F1" w:rsidR="00CE07E3" w:rsidRPr="00CE07E3" w:rsidRDefault="00CE07E3" w:rsidP="00AF30C0">
      <w:pPr>
        <w:pStyle w:val="ListParagraph"/>
        <w:widowControl w:val="0"/>
        <w:numPr>
          <w:ilvl w:val="0"/>
          <w:numId w:val="3"/>
        </w:numPr>
        <w:autoSpaceDE w:val="0"/>
        <w:autoSpaceDN w:val="0"/>
        <w:adjustRightInd w:val="0"/>
        <w:spacing w:after="0" w:line="360" w:lineRule="auto"/>
        <w:jc w:val="both"/>
        <w:rPr>
          <w:rFonts w:ascii="Arial" w:hAnsi="Arial" w:cs="Arial"/>
          <w:sz w:val="24"/>
          <w:szCs w:val="24"/>
        </w:rPr>
      </w:pPr>
      <w:r w:rsidRPr="00CE07E3">
        <w:rPr>
          <w:rFonts w:ascii="Arial" w:hAnsi="Arial" w:cs="Arial"/>
          <w:sz w:val="24"/>
          <w:szCs w:val="24"/>
        </w:rPr>
        <w:t xml:space="preserve">Following the principles outlined in the High Court decision in </w:t>
      </w:r>
      <w:r w:rsidRPr="00CE07E3">
        <w:rPr>
          <w:rFonts w:ascii="Arial" w:hAnsi="Arial" w:cs="Arial"/>
          <w:i/>
          <w:sz w:val="24"/>
          <w:szCs w:val="24"/>
        </w:rPr>
        <w:t>Barclay</w:t>
      </w:r>
      <w:r w:rsidRPr="00CE07E3">
        <w:rPr>
          <w:rFonts w:ascii="Arial" w:hAnsi="Arial" w:cs="Arial"/>
          <w:sz w:val="24"/>
          <w:szCs w:val="24"/>
        </w:rPr>
        <w:t>,</w:t>
      </w:r>
      <w:r w:rsidRPr="00CE07E3">
        <w:rPr>
          <w:rStyle w:val="FootnoteReference"/>
          <w:rFonts w:ascii="Arial" w:hAnsi="Arial" w:cs="Arial"/>
          <w:sz w:val="24"/>
          <w:szCs w:val="24"/>
        </w:rPr>
        <w:footnoteReference w:id="71"/>
      </w:r>
      <w:r w:rsidRPr="00CE07E3">
        <w:rPr>
          <w:rFonts w:ascii="Arial" w:hAnsi="Arial" w:cs="Arial"/>
          <w:sz w:val="24"/>
          <w:szCs w:val="24"/>
        </w:rPr>
        <w:t xml:space="preserve"> an employer may give evidence that they simply did not know the</w:t>
      </w:r>
      <w:r w:rsidR="002C4517">
        <w:rPr>
          <w:rFonts w:ascii="Arial" w:hAnsi="Arial" w:cs="Arial"/>
          <w:sz w:val="24"/>
          <w:szCs w:val="24"/>
        </w:rPr>
        <w:t xml:space="preserve"> representations they made were false </w:t>
      </w:r>
      <w:r w:rsidRPr="00CE07E3">
        <w:rPr>
          <w:rFonts w:ascii="Arial" w:hAnsi="Arial" w:cs="Arial"/>
          <w:sz w:val="24"/>
          <w:szCs w:val="24"/>
        </w:rPr>
        <w:t xml:space="preserve">and, if that evidence is accepted by the court, the employer will be taken to have discharged the onus of proof. </w:t>
      </w:r>
    </w:p>
    <w:p w14:paraId="7F363C0F" w14:textId="77777777" w:rsidR="00CE07E3" w:rsidRPr="00CE07E3" w:rsidRDefault="00CE07E3" w:rsidP="00AF30C0">
      <w:pPr>
        <w:widowControl w:val="0"/>
        <w:autoSpaceDE w:val="0"/>
        <w:autoSpaceDN w:val="0"/>
        <w:adjustRightInd w:val="0"/>
        <w:spacing w:after="0" w:line="360" w:lineRule="auto"/>
        <w:jc w:val="both"/>
        <w:rPr>
          <w:rFonts w:ascii="Arial" w:hAnsi="Arial" w:cs="Arial"/>
          <w:sz w:val="24"/>
          <w:szCs w:val="24"/>
        </w:rPr>
      </w:pPr>
    </w:p>
    <w:p w14:paraId="5EAB158A" w14:textId="60B23275" w:rsidR="00CE07E3" w:rsidRDefault="00CE07E3" w:rsidP="00AF30C0">
      <w:pPr>
        <w:pStyle w:val="ListParagraph"/>
        <w:widowControl w:val="0"/>
        <w:numPr>
          <w:ilvl w:val="0"/>
          <w:numId w:val="3"/>
        </w:numPr>
        <w:autoSpaceDE w:val="0"/>
        <w:autoSpaceDN w:val="0"/>
        <w:adjustRightInd w:val="0"/>
        <w:spacing w:after="0" w:line="360" w:lineRule="auto"/>
        <w:jc w:val="both"/>
        <w:rPr>
          <w:rFonts w:ascii="Arial" w:hAnsi="Arial" w:cs="Arial"/>
          <w:sz w:val="24"/>
          <w:szCs w:val="24"/>
        </w:rPr>
      </w:pPr>
      <w:r w:rsidRPr="00CE07E3">
        <w:rPr>
          <w:rFonts w:ascii="Arial" w:hAnsi="Arial" w:cs="Arial"/>
          <w:sz w:val="24"/>
          <w:szCs w:val="24"/>
        </w:rPr>
        <w:t xml:space="preserve">Therefore, unless the employer makes admissions, it is up to the person alleging that the employer knew or was reckless in making the misrepresentations (the Applicant), to adduce evidence of the employer’s knowledge. </w:t>
      </w:r>
    </w:p>
    <w:p w14:paraId="64664658" w14:textId="77777777" w:rsidR="00CE07E3" w:rsidRPr="00CE07E3" w:rsidRDefault="00CE07E3" w:rsidP="00AF30C0">
      <w:pPr>
        <w:pStyle w:val="ListParagraph"/>
        <w:spacing w:line="360" w:lineRule="auto"/>
        <w:jc w:val="both"/>
        <w:rPr>
          <w:rFonts w:ascii="Arial" w:hAnsi="Arial" w:cs="Arial"/>
          <w:sz w:val="24"/>
          <w:szCs w:val="24"/>
        </w:rPr>
      </w:pPr>
    </w:p>
    <w:p w14:paraId="42A5776F" w14:textId="77777777" w:rsidR="00CE07E3" w:rsidRPr="00CE07E3" w:rsidRDefault="00CE07E3" w:rsidP="00AF30C0">
      <w:pPr>
        <w:pStyle w:val="ListParagraph"/>
        <w:widowControl w:val="0"/>
        <w:numPr>
          <w:ilvl w:val="0"/>
          <w:numId w:val="3"/>
        </w:numPr>
        <w:autoSpaceDE w:val="0"/>
        <w:autoSpaceDN w:val="0"/>
        <w:adjustRightInd w:val="0"/>
        <w:spacing w:after="0" w:line="360" w:lineRule="auto"/>
        <w:jc w:val="both"/>
        <w:rPr>
          <w:rFonts w:ascii="Arial" w:hAnsi="Arial" w:cs="Arial"/>
          <w:sz w:val="24"/>
          <w:szCs w:val="24"/>
        </w:rPr>
      </w:pPr>
      <w:r w:rsidRPr="00CE07E3">
        <w:rPr>
          <w:rFonts w:ascii="Arial" w:hAnsi="Arial" w:cs="Arial"/>
          <w:sz w:val="24"/>
          <w:szCs w:val="24"/>
        </w:rPr>
        <w:t xml:space="preserve">This is highlighted by the recent decision in </w:t>
      </w:r>
      <w:r w:rsidRPr="00CE07E3">
        <w:rPr>
          <w:rFonts w:ascii="Arial" w:hAnsi="Arial" w:cs="Arial"/>
          <w:i/>
          <w:sz w:val="24"/>
          <w:szCs w:val="24"/>
        </w:rPr>
        <w:t xml:space="preserve">Director of the Fair Work Building </w:t>
      </w:r>
      <w:r w:rsidRPr="00CE07E3">
        <w:rPr>
          <w:rFonts w:ascii="Arial" w:hAnsi="Arial" w:cs="Arial"/>
          <w:i/>
          <w:sz w:val="24"/>
          <w:szCs w:val="24"/>
        </w:rPr>
        <w:lastRenderedPageBreak/>
        <w:t xml:space="preserve">Industry Inspectorate v </w:t>
      </w:r>
      <w:proofErr w:type="spellStart"/>
      <w:r w:rsidRPr="00CE07E3">
        <w:rPr>
          <w:rFonts w:ascii="Arial" w:hAnsi="Arial" w:cs="Arial"/>
          <w:i/>
          <w:sz w:val="24"/>
          <w:szCs w:val="24"/>
        </w:rPr>
        <w:t>Bavco</w:t>
      </w:r>
      <w:proofErr w:type="spellEnd"/>
      <w:r w:rsidRPr="00CE07E3">
        <w:rPr>
          <w:rFonts w:ascii="Arial" w:hAnsi="Arial" w:cs="Arial"/>
          <w:i/>
          <w:sz w:val="24"/>
          <w:szCs w:val="24"/>
        </w:rPr>
        <w:t xml:space="preserve"> Pty Ltd &amp; </w:t>
      </w:r>
      <w:proofErr w:type="spellStart"/>
      <w:r w:rsidRPr="00CE07E3">
        <w:rPr>
          <w:rFonts w:ascii="Arial" w:hAnsi="Arial" w:cs="Arial"/>
          <w:i/>
          <w:sz w:val="24"/>
          <w:szCs w:val="24"/>
        </w:rPr>
        <w:t>Ors</w:t>
      </w:r>
      <w:proofErr w:type="spellEnd"/>
      <w:r w:rsidRPr="00CE07E3">
        <w:rPr>
          <w:rFonts w:ascii="Arial" w:hAnsi="Arial" w:cs="Arial"/>
          <w:i/>
          <w:sz w:val="24"/>
          <w:szCs w:val="24"/>
        </w:rPr>
        <w:t xml:space="preserve"> (No.2)</w:t>
      </w:r>
      <w:r w:rsidR="002C4517">
        <w:rPr>
          <w:rStyle w:val="FootnoteReference"/>
          <w:rFonts w:ascii="Arial" w:hAnsi="Arial" w:cs="Arial"/>
          <w:i/>
          <w:sz w:val="24"/>
          <w:szCs w:val="24"/>
        </w:rPr>
        <w:footnoteReference w:id="72"/>
      </w:r>
      <w:r w:rsidRPr="00CE07E3">
        <w:rPr>
          <w:rFonts w:ascii="Arial" w:hAnsi="Arial" w:cs="Arial"/>
          <w:sz w:val="24"/>
          <w:szCs w:val="24"/>
        </w:rPr>
        <w:t xml:space="preserve"> in which the Federal Circuit Court listed the three potentially relevant classes of evidence from which a person’s knowledge may be inferred:</w:t>
      </w:r>
    </w:p>
    <w:p w14:paraId="60E3B284" w14:textId="77777777" w:rsidR="00CE07E3" w:rsidRPr="00CE07E3" w:rsidRDefault="00CE07E3" w:rsidP="00AF30C0">
      <w:pPr>
        <w:widowControl w:val="0"/>
        <w:autoSpaceDE w:val="0"/>
        <w:autoSpaceDN w:val="0"/>
        <w:adjustRightInd w:val="0"/>
        <w:spacing w:after="0" w:line="360" w:lineRule="auto"/>
        <w:jc w:val="both"/>
        <w:rPr>
          <w:rFonts w:ascii="Arial" w:hAnsi="Arial" w:cs="Arial"/>
          <w:sz w:val="24"/>
          <w:szCs w:val="24"/>
        </w:rPr>
      </w:pPr>
    </w:p>
    <w:p w14:paraId="1A445FF3" w14:textId="77777777" w:rsidR="00CE07E3" w:rsidRDefault="00CE07E3" w:rsidP="00AF30C0">
      <w:pPr>
        <w:pStyle w:val="ListParagraph"/>
        <w:widowControl w:val="0"/>
        <w:numPr>
          <w:ilvl w:val="0"/>
          <w:numId w:val="8"/>
        </w:numPr>
        <w:autoSpaceDE w:val="0"/>
        <w:autoSpaceDN w:val="0"/>
        <w:adjustRightInd w:val="0"/>
        <w:spacing w:after="0" w:line="360" w:lineRule="auto"/>
        <w:jc w:val="both"/>
        <w:rPr>
          <w:rFonts w:ascii="Arial" w:hAnsi="Arial" w:cs="Arial"/>
          <w:i/>
          <w:sz w:val="24"/>
          <w:szCs w:val="24"/>
        </w:rPr>
      </w:pPr>
      <w:r w:rsidRPr="00CE07E3">
        <w:rPr>
          <w:rFonts w:ascii="Arial" w:hAnsi="Arial" w:cs="Arial"/>
          <w:i/>
          <w:sz w:val="24"/>
          <w:szCs w:val="24"/>
        </w:rPr>
        <w:t>One is the conduct or behaviour of the person who is alleged to have knowledge. A generalisation that is applied to such evidence is that the manner in which a person acts is a reflection of a person’s state of mind. At least in some circumstances, then, it is possible to rationally infer from a persons’ behaviour the state of mind that has produced it.</w:t>
      </w:r>
    </w:p>
    <w:p w14:paraId="4C21B9A1" w14:textId="77777777" w:rsidR="00CE07E3" w:rsidRPr="00CE07E3" w:rsidRDefault="00CE07E3" w:rsidP="00AF30C0">
      <w:pPr>
        <w:pStyle w:val="ListParagraph"/>
        <w:widowControl w:val="0"/>
        <w:autoSpaceDE w:val="0"/>
        <w:autoSpaceDN w:val="0"/>
        <w:adjustRightInd w:val="0"/>
        <w:spacing w:after="0" w:line="360" w:lineRule="auto"/>
        <w:jc w:val="both"/>
        <w:rPr>
          <w:rFonts w:ascii="Arial" w:hAnsi="Arial" w:cs="Arial"/>
          <w:i/>
          <w:sz w:val="24"/>
          <w:szCs w:val="24"/>
        </w:rPr>
      </w:pPr>
      <w:r w:rsidRPr="00CE07E3">
        <w:rPr>
          <w:rFonts w:ascii="Arial" w:hAnsi="Arial" w:cs="Arial"/>
          <w:i/>
          <w:sz w:val="24"/>
          <w:szCs w:val="24"/>
        </w:rPr>
        <w:t xml:space="preserve"> </w:t>
      </w:r>
    </w:p>
    <w:p w14:paraId="44DB32D9" w14:textId="77777777" w:rsidR="00CE07E3" w:rsidRDefault="00CE07E3" w:rsidP="00AF30C0">
      <w:pPr>
        <w:pStyle w:val="ListParagraph"/>
        <w:widowControl w:val="0"/>
        <w:numPr>
          <w:ilvl w:val="0"/>
          <w:numId w:val="8"/>
        </w:numPr>
        <w:autoSpaceDE w:val="0"/>
        <w:autoSpaceDN w:val="0"/>
        <w:adjustRightInd w:val="0"/>
        <w:spacing w:after="0" w:line="360" w:lineRule="auto"/>
        <w:jc w:val="both"/>
        <w:rPr>
          <w:rFonts w:ascii="Arial" w:hAnsi="Arial" w:cs="Arial"/>
          <w:i/>
          <w:sz w:val="24"/>
          <w:szCs w:val="24"/>
        </w:rPr>
      </w:pPr>
      <w:r w:rsidRPr="00CE07E3">
        <w:rPr>
          <w:rFonts w:ascii="Arial" w:hAnsi="Arial" w:cs="Arial"/>
          <w:i/>
          <w:sz w:val="24"/>
          <w:szCs w:val="24"/>
        </w:rPr>
        <w:t>A second class of evidence is external circumstances; that is, circumstances that are likely to bring to the persons’ mind the matters about which it is alleged the person has knowledge. Examples include evidence of direct exposure to the fact, the making of a communication to the person about the fact, and reputation about the existence of a fact.</w:t>
      </w:r>
    </w:p>
    <w:p w14:paraId="283A951C" w14:textId="77777777" w:rsidR="00CE07E3" w:rsidRPr="00CE07E3" w:rsidRDefault="00CE07E3" w:rsidP="00AF30C0">
      <w:pPr>
        <w:widowControl w:val="0"/>
        <w:autoSpaceDE w:val="0"/>
        <w:autoSpaceDN w:val="0"/>
        <w:adjustRightInd w:val="0"/>
        <w:spacing w:after="0" w:line="360" w:lineRule="auto"/>
        <w:jc w:val="both"/>
        <w:rPr>
          <w:rFonts w:ascii="Arial" w:hAnsi="Arial" w:cs="Arial"/>
          <w:i/>
          <w:sz w:val="24"/>
          <w:szCs w:val="24"/>
        </w:rPr>
      </w:pPr>
      <w:r w:rsidRPr="00CE07E3">
        <w:rPr>
          <w:rFonts w:ascii="Arial" w:hAnsi="Arial" w:cs="Arial"/>
          <w:i/>
          <w:sz w:val="24"/>
          <w:szCs w:val="24"/>
        </w:rPr>
        <w:t xml:space="preserve"> </w:t>
      </w:r>
    </w:p>
    <w:p w14:paraId="6A772AB0" w14:textId="77777777" w:rsidR="00CE07E3" w:rsidRPr="00CE07E3" w:rsidRDefault="00CE07E3" w:rsidP="00AF30C0">
      <w:pPr>
        <w:pStyle w:val="ListParagraph"/>
        <w:widowControl w:val="0"/>
        <w:numPr>
          <w:ilvl w:val="0"/>
          <w:numId w:val="8"/>
        </w:numPr>
        <w:autoSpaceDE w:val="0"/>
        <w:autoSpaceDN w:val="0"/>
        <w:adjustRightInd w:val="0"/>
        <w:spacing w:after="0" w:line="360" w:lineRule="auto"/>
        <w:jc w:val="both"/>
        <w:rPr>
          <w:rFonts w:ascii="Arial" w:hAnsi="Arial" w:cs="Arial"/>
          <w:sz w:val="24"/>
          <w:szCs w:val="24"/>
        </w:rPr>
      </w:pPr>
      <w:r w:rsidRPr="00CE07E3">
        <w:rPr>
          <w:rFonts w:ascii="Arial" w:hAnsi="Arial" w:cs="Arial"/>
          <w:i/>
          <w:sz w:val="24"/>
          <w:szCs w:val="24"/>
        </w:rPr>
        <w:t>And a third class of evidence is that which shows a person had knowledge of a fact at a time before or after the time at which it is necessary to prove that person had that knowledge. Knowing a fact at one point in time may be a basis for inferring knowledge of the fact at a later or earlier time</w:t>
      </w:r>
      <w:r w:rsidRPr="00CE07E3">
        <w:rPr>
          <w:rFonts w:ascii="Arial" w:hAnsi="Arial" w:cs="Arial"/>
          <w:sz w:val="24"/>
          <w:szCs w:val="24"/>
        </w:rPr>
        <w:t>.</w:t>
      </w:r>
      <w:r w:rsidRPr="00CE07E3">
        <w:rPr>
          <w:rStyle w:val="FootnoteReference"/>
          <w:rFonts w:ascii="Arial" w:hAnsi="Arial" w:cs="Arial"/>
          <w:sz w:val="24"/>
          <w:szCs w:val="24"/>
        </w:rPr>
        <w:footnoteReference w:id="73"/>
      </w:r>
    </w:p>
    <w:p w14:paraId="78AD81C5" w14:textId="77777777" w:rsidR="00CE07E3" w:rsidRPr="00CE07E3" w:rsidRDefault="00CE07E3" w:rsidP="00AF30C0">
      <w:pPr>
        <w:widowControl w:val="0"/>
        <w:autoSpaceDE w:val="0"/>
        <w:autoSpaceDN w:val="0"/>
        <w:adjustRightInd w:val="0"/>
        <w:spacing w:after="0" w:line="360" w:lineRule="auto"/>
        <w:jc w:val="both"/>
        <w:rPr>
          <w:rFonts w:ascii="Arial" w:hAnsi="Arial" w:cs="Arial"/>
          <w:sz w:val="24"/>
          <w:szCs w:val="24"/>
        </w:rPr>
      </w:pPr>
    </w:p>
    <w:p w14:paraId="3358489F" w14:textId="77777777" w:rsidR="00CE07E3" w:rsidRPr="00CE07E3" w:rsidRDefault="00CE07E3" w:rsidP="00AF30C0">
      <w:pPr>
        <w:pStyle w:val="ListParagraph"/>
        <w:widowControl w:val="0"/>
        <w:numPr>
          <w:ilvl w:val="0"/>
          <w:numId w:val="3"/>
        </w:numPr>
        <w:autoSpaceDE w:val="0"/>
        <w:autoSpaceDN w:val="0"/>
        <w:adjustRightInd w:val="0"/>
        <w:spacing w:after="0" w:line="360" w:lineRule="auto"/>
        <w:jc w:val="both"/>
        <w:rPr>
          <w:rFonts w:ascii="Arial" w:hAnsi="Arial" w:cs="Arial"/>
          <w:sz w:val="24"/>
          <w:szCs w:val="24"/>
        </w:rPr>
      </w:pPr>
      <w:r w:rsidRPr="00CE07E3">
        <w:rPr>
          <w:rFonts w:ascii="Arial" w:hAnsi="Arial" w:cs="Arial"/>
          <w:sz w:val="24"/>
          <w:szCs w:val="24"/>
        </w:rPr>
        <w:t>These elements put the onus back on the Applicant to adduce evidence of the employer’s likely knowledge of particular facts, such that a court may determine that the employer knew or was reckless in making the representations.</w:t>
      </w:r>
    </w:p>
    <w:p w14:paraId="5CE6BE85" w14:textId="77777777" w:rsidR="00CE07E3" w:rsidRPr="00CE07E3" w:rsidRDefault="00CE07E3" w:rsidP="00AF30C0">
      <w:pPr>
        <w:widowControl w:val="0"/>
        <w:autoSpaceDE w:val="0"/>
        <w:autoSpaceDN w:val="0"/>
        <w:adjustRightInd w:val="0"/>
        <w:spacing w:after="0" w:line="360" w:lineRule="auto"/>
        <w:jc w:val="both"/>
        <w:rPr>
          <w:rFonts w:ascii="Arial" w:hAnsi="Arial" w:cs="Arial"/>
          <w:sz w:val="24"/>
          <w:szCs w:val="24"/>
        </w:rPr>
      </w:pPr>
    </w:p>
    <w:p w14:paraId="1B27EE74" w14:textId="77777777" w:rsidR="00CE07E3" w:rsidRPr="00CE07E3" w:rsidRDefault="00CE07E3" w:rsidP="00AF30C0">
      <w:pPr>
        <w:pStyle w:val="ListParagraph"/>
        <w:widowControl w:val="0"/>
        <w:numPr>
          <w:ilvl w:val="0"/>
          <w:numId w:val="3"/>
        </w:numPr>
        <w:autoSpaceDE w:val="0"/>
        <w:autoSpaceDN w:val="0"/>
        <w:adjustRightInd w:val="0"/>
        <w:spacing w:after="0" w:line="360" w:lineRule="auto"/>
        <w:jc w:val="both"/>
        <w:rPr>
          <w:rFonts w:ascii="Arial" w:hAnsi="Arial" w:cs="Arial"/>
          <w:sz w:val="24"/>
          <w:szCs w:val="24"/>
        </w:rPr>
      </w:pPr>
      <w:r w:rsidRPr="00CE07E3">
        <w:rPr>
          <w:rFonts w:ascii="Arial" w:hAnsi="Arial" w:cs="Arial"/>
          <w:sz w:val="24"/>
          <w:szCs w:val="24"/>
        </w:rPr>
        <w:t>This is a particularly difficult hurdle to overcome for an Applicant</w:t>
      </w:r>
      <w:r w:rsidR="002C4517">
        <w:rPr>
          <w:rFonts w:ascii="Arial" w:hAnsi="Arial" w:cs="Arial"/>
          <w:sz w:val="24"/>
          <w:szCs w:val="24"/>
        </w:rPr>
        <w:t>,</w:t>
      </w:r>
      <w:r w:rsidRPr="00CE07E3">
        <w:rPr>
          <w:rFonts w:ascii="Arial" w:hAnsi="Arial" w:cs="Arial"/>
          <w:sz w:val="24"/>
          <w:szCs w:val="24"/>
        </w:rPr>
        <w:t xml:space="preserve"> and provides an employer with an almost assured defence, except in the most flagrant of breaches.</w:t>
      </w:r>
    </w:p>
    <w:p w14:paraId="65F38E76" w14:textId="77777777" w:rsidR="00CE07E3" w:rsidRPr="00CE07E3" w:rsidRDefault="00CE07E3" w:rsidP="00AF30C0">
      <w:pPr>
        <w:widowControl w:val="0"/>
        <w:autoSpaceDE w:val="0"/>
        <w:autoSpaceDN w:val="0"/>
        <w:adjustRightInd w:val="0"/>
        <w:spacing w:after="0" w:line="360" w:lineRule="auto"/>
        <w:jc w:val="both"/>
        <w:rPr>
          <w:rFonts w:ascii="Arial" w:hAnsi="Arial" w:cs="Arial"/>
          <w:sz w:val="24"/>
          <w:szCs w:val="24"/>
        </w:rPr>
      </w:pPr>
    </w:p>
    <w:p w14:paraId="4BAD3928" w14:textId="77777777" w:rsidR="00CE07E3" w:rsidRPr="00CE07E3" w:rsidRDefault="00CE07E3" w:rsidP="00AF30C0">
      <w:pPr>
        <w:widowControl w:val="0"/>
        <w:autoSpaceDE w:val="0"/>
        <w:autoSpaceDN w:val="0"/>
        <w:adjustRightInd w:val="0"/>
        <w:spacing w:after="0" w:line="360" w:lineRule="auto"/>
        <w:jc w:val="both"/>
        <w:rPr>
          <w:rFonts w:ascii="Arial" w:hAnsi="Arial" w:cs="Arial"/>
          <w:sz w:val="24"/>
          <w:szCs w:val="24"/>
          <w:u w:val="single"/>
        </w:rPr>
      </w:pPr>
      <w:r w:rsidRPr="00CE07E3">
        <w:rPr>
          <w:rFonts w:ascii="Arial" w:hAnsi="Arial" w:cs="Arial"/>
          <w:sz w:val="24"/>
          <w:szCs w:val="24"/>
          <w:u w:val="single"/>
        </w:rPr>
        <w:lastRenderedPageBreak/>
        <w:t>3. The subjective nature of the defence</w:t>
      </w:r>
    </w:p>
    <w:p w14:paraId="4F7689C6" w14:textId="77777777" w:rsidR="00CE07E3" w:rsidRPr="00CE07E3" w:rsidRDefault="00CE07E3" w:rsidP="00AF30C0">
      <w:pPr>
        <w:widowControl w:val="0"/>
        <w:autoSpaceDE w:val="0"/>
        <w:autoSpaceDN w:val="0"/>
        <w:adjustRightInd w:val="0"/>
        <w:spacing w:after="0" w:line="360" w:lineRule="auto"/>
        <w:jc w:val="both"/>
        <w:rPr>
          <w:rFonts w:ascii="Arial" w:hAnsi="Arial" w:cs="Arial"/>
          <w:sz w:val="24"/>
          <w:szCs w:val="24"/>
        </w:rPr>
      </w:pPr>
    </w:p>
    <w:p w14:paraId="11904D65" w14:textId="77777777" w:rsidR="00CE07E3" w:rsidRPr="00CE07E3" w:rsidRDefault="00CE07E3" w:rsidP="00AF30C0">
      <w:pPr>
        <w:pStyle w:val="ListParagraph"/>
        <w:widowControl w:val="0"/>
        <w:numPr>
          <w:ilvl w:val="0"/>
          <w:numId w:val="3"/>
        </w:numPr>
        <w:autoSpaceDE w:val="0"/>
        <w:autoSpaceDN w:val="0"/>
        <w:adjustRightInd w:val="0"/>
        <w:spacing w:after="0" w:line="360" w:lineRule="auto"/>
        <w:jc w:val="both"/>
        <w:rPr>
          <w:rFonts w:ascii="Arial" w:hAnsi="Arial" w:cs="Arial"/>
          <w:sz w:val="24"/>
          <w:szCs w:val="24"/>
        </w:rPr>
      </w:pPr>
      <w:r w:rsidRPr="00CE07E3">
        <w:rPr>
          <w:rFonts w:ascii="Arial" w:hAnsi="Arial" w:cs="Arial"/>
          <w:sz w:val="24"/>
          <w:szCs w:val="24"/>
        </w:rPr>
        <w:t xml:space="preserve">The defence in s. 357(2) has two limbs, both of which apply subjective tests. In deciding whether a defence to a breach of s. 357(1) exists, the court must only consider what the employer knew, not what a </w:t>
      </w:r>
      <w:r w:rsidRPr="00CE07E3">
        <w:rPr>
          <w:rFonts w:ascii="Arial" w:hAnsi="Arial" w:cs="Arial"/>
          <w:sz w:val="24"/>
          <w:szCs w:val="24"/>
          <w:u w:val="single"/>
        </w:rPr>
        <w:t>reasonable</w:t>
      </w:r>
      <w:r w:rsidRPr="00CE07E3">
        <w:rPr>
          <w:rFonts w:ascii="Arial" w:hAnsi="Arial" w:cs="Arial"/>
          <w:sz w:val="24"/>
          <w:szCs w:val="24"/>
        </w:rPr>
        <w:t xml:space="preserve"> person should know. </w:t>
      </w:r>
    </w:p>
    <w:p w14:paraId="67F5D4B6" w14:textId="77777777" w:rsidR="00CE07E3" w:rsidRPr="00CE07E3" w:rsidRDefault="00CE07E3" w:rsidP="00AF30C0">
      <w:pPr>
        <w:widowControl w:val="0"/>
        <w:autoSpaceDE w:val="0"/>
        <w:autoSpaceDN w:val="0"/>
        <w:adjustRightInd w:val="0"/>
        <w:spacing w:after="0" w:line="360" w:lineRule="auto"/>
        <w:jc w:val="both"/>
        <w:rPr>
          <w:rFonts w:ascii="Arial" w:hAnsi="Arial" w:cs="Arial"/>
          <w:sz w:val="24"/>
          <w:szCs w:val="24"/>
        </w:rPr>
      </w:pPr>
    </w:p>
    <w:p w14:paraId="5CEE2CB9" w14:textId="77777777" w:rsidR="00CE07E3" w:rsidRPr="00CE07E3" w:rsidRDefault="00CE07E3" w:rsidP="00AF30C0">
      <w:pPr>
        <w:pStyle w:val="ListParagraph"/>
        <w:widowControl w:val="0"/>
        <w:numPr>
          <w:ilvl w:val="0"/>
          <w:numId w:val="3"/>
        </w:numPr>
        <w:autoSpaceDE w:val="0"/>
        <w:autoSpaceDN w:val="0"/>
        <w:adjustRightInd w:val="0"/>
        <w:spacing w:after="0" w:line="360" w:lineRule="auto"/>
        <w:jc w:val="both"/>
        <w:rPr>
          <w:rFonts w:ascii="Arial" w:hAnsi="Arial" w:cs="Arial"/>
          <w:sz w:val="24"/>
          <w:szCs w:val="24"/>
        </w:rPr>
      </w:pPr>
      <w:r w:rsidRPr="00CE07E3">
        <w:rPr>
          <w:rFonts w:ascii="Arial" w:hAnsi="Arial" w:cs="Arial"/>
          <w:sz w:val="24"/>
          <w:szCs w:val="24"/>
        </w:rPr>
        <w:t xml:space="preserve">The subjective nature of this defence encourages an employer to be ignorant of the law surrounding independent contractors and/or covert when proposing changes in the workplace, rather than including and consulting </w:t>
      </w:r>
      <w:r w:rsidR="002C4517">
        <w:rPr>
          <w:rFonts w:ascii="Arial" w:hAnsi="Arial" w:cs="Arial"/>
          <w:sz w:val="24"/>
          <w:szCs w:val="24"/>
        </w:rPr>
        <w:t xml:space="preserve">with </w:t>
      </w:r>
      <w:r w:rsidRPr="00CE07E3">
        <w:rPr>
          <w:rFonts w:ascii="Arial" w:hAnsi="Arial" w:cs="Arial"/>
          <w:sz w:val="24"/>
          <w:szCs w:val="24"/>
        </w:rPr>
        <w:t xml:space="preserve">employees. The less an employer knows (or can be proven to know) about the operation and existence of laws relating to independent contractors, the less likely they will be found to have breached the provisions of the Act. </w:t>
      </w:r>
    </w:p>
    <w:p w14:paraId="3836908C" w14:textId="77777777" w:rsidR="00CE07E3" w:rsidRPr="00CE07E3" w:rsidRDefault="00CE07E3" w:rsidP="00AF30C0">
      <w:pPr>
        <w:widowControl w:val="0"/>
        <w:autoSpaceDE w:val="0"/>
        <w:autoSpaceDN w:val="0"/>
        <w:adjustRightInd w:val="0"/>
        <w:spacing w:after="0" w:line="360" w:lineRule="auto"/>
        <w:jc w:val="both"/>
        <w:rPr>
          <w:rFonts w:ascii="Arial" w:hAnsi="Arial" w:cs="Arial"/>
          <w:sz w:val="24"/>
          <w:szCs w:val="24"/>
        </w:rPr>
      </w:pPr>
    </w:p>
    <w:p w14:paraId="20540E72" w14:textId="77777777" w:rsidR="00CE07E3" w:rsidRPr="00CE07E3" w:rsidRDefault="00CE07E3" w:rsidP="00AF30C0">
      <w:pPr>
        <w:pStyle w:val="ListParagraph"/>
        <w:widowControl w:val="0"/>
        <w:numPr>
          <w:ilvl w:val="0"/>
          <w:numId w:val="3"/>
        </w:numPr>
        <w:autoSpaceDE w:val="0"/>
        <w:autoSpaceDN w:val="0"/>
        <w:adjustRightInd w:val="0"/>
        <w:spacing w:after="0" w:line="360" w:lineRule="auto"/>
        <w:jc w:val="both"/>
        <w:rPr>
          <w:rFonts w:ascii="Arial" w:hAnsi="Arial" w:cs="Arial"/>
          <w:sz w:val="24"/>
          <w:szCs w:val="24"/>
        </w:rPr>
      </w:pPr>
      <w:r w:rsidRPr="00CE07E3">
        <w:rPr>
          <w:rFonts w:ascii="Arial" w:hAnsi="Arial" w:cs="Arial"/>
          <w:sz w:val="24"/>
          <w:szCs w:val="24"/>
        </w:rPr>
        <w:t>The concept of reasonableness would introduce an objective element to the test for recklessness in the sham contracting provisions. This objective test is well understood by the courts and is the test for recklessness for the common law tort of negligence,</w:t>
      </w:r>
      <w:r w:rsidRPr="00CE07E3">
        <w:rPr>
          <w:rStyle w:val="FootnoteReference"/>
          <w:rFonts w:ascii="Arial" w:hAnsi="Arial" w:cs="Arial"/>
          <w:sz w:val="24"/>
          <w:szCs w:val="24"/>
        </w:rPr>
        <w:footnoteReference w:id="74"/>
      </w:r>
      <w:r w:rsidRPr="00CE07E3">
        <w:rPr>
          <w:rFonts w:ascii="Arial" w:hAnsi="Arial" w:cs="Arial"/>
          <w:sz w:val="24"/>
          <w:szCs w:val="24"/>
        </w:rPr>
        <w:t xml:space="preserve"> as well as a director’s duty to not trade whilst insolvent.</w:t>
      </w:r>
      <w:r w:rsidRPr="00CE07E3">
        <w:rPr>
          <w:rStyle w:val="FootnoteReference"/>
          <w:rFonts w:ascii="Arial" w:hAnsi="Arial" w:cs="Arial"/>
          <w:sz w:val="24"/>
          <w:szCs w:val="24"/>
        </w:rPr>
        <w:footnoteReference w:id="75"/>
      </w:r>
    </w:p>
    <w:p w14:paraId="53BAFF1C" w14:textId="77777777" w:rsidR="00CE07E3" w:rsidRPr="00CE07E3" w:rsidRDefault="00CE07E3" w:rsidP="00AF30C0">
      <w:pPr>
        <w:widowControl w:val="0"/>
        <w:autoSpaceDE w:val="0"/>
        <w:autoSpaceDN w:val="0"/>
        <w:adjustRightInd w:val="0"/>
        <w:spacing w:after="0" w:line="360" w:lineRule="auto"/>
        <w:jc w:val="both"/>
        <w:rPr>
          <w:rFonts w:ascii="Arial" w:hAnsi="Arial" w:cs="Arial"/>
          <w:sz w:val="24"/>
          <w:szCs w:val="24"/>
        </w:rPr>
      </w:pPr>
    </w:p>
    <w:p w14:paraId="47D9AAE4" w14:textId="77777777" w:rsidR="00CE07E3" w:rsidRPr="00CE07E3" w:rsidRDefault="00CE07E3" w:rsidP="00AF30C0">
      <w:pPr>
        <w:pStyle w:val="ListParagraph"/>
        <w:widowControl w:val="0"/>
        <w:numPr>
          <w:ilvl w:val="0"/>
          <w:numId w:val="3"/>
        </w:numPr>
        <w:autoSpaceDE w:val="0"/>
        <w:autoSpaceDN w:val="0"/>
        <w:adjustRightInd w:val="0"/>
        <w:spacing w:after="0" w:line="360" w:lineRule="auto"/>
        <w:jc w:val="both"/>
        <w:rPr>
          <w:rFonts w:ascii="Arial" w:hAnsi="Arial" w:cs="Arial"/>
          <w:sz w:val="24"/>
          <w:szCs w:val="24"/>
        </w:rPr>
      </w:pPr>
      <w:r w:rsidRPr="00CE07E3">
        <w:rPr>
          <w:rFonts w:ascii="Arial" w:hAnsi="Arial" w:cs="Arial"/>
          <w:sz w:val="24"/>
          <w:szCs w:val="24"/>
        </w:rPr>
        <w:t xml:space="preserve">As such, we propose the following amendment of subclause 375(2): </w:t>
      </w:r>
    </w:p>
    <w:p w14:paraId="047DBEE1" w14:textId="77777777" w:rsidR="00CE07E3" w:rsidRPr="00CE07E3" w:rsidRDefault="00CE07E3" w:rsidP="00AF30C0">
      <w:pPr>
        <w:widowControl w:val="0"/>
        <w:autoSpaceDE w:val="0"/>
        <w:autoSpaceDN w:val="0"/>
        <w:adjustRightInd w:val="0"/>
        <w:spacing w:after="0" w:line="360" w:lineRule="auto"/>
        <w:jc w:val="both"/>
        <w:rPr>
          <w:rFonts w:ascii="Arial" w:hAnsi="Arial" w:cs="Arial"/>
          <w:sz w:val="24"/>
          <w:szCs w:val="24"/>
        </w:rPr>
      </w:pPr>
    </w:p>
    <w:p w14:paraId="67106D3E" w14:textId="77777777" w:rsidR="00CE07E3" w:rsidRPr="00CE07E3" w:rsidRDefault="00CE07E3" w:rsidP="00AF30C0">
      <w:pPr>
        <w:widowControl w:val="0"/>
        <w:autoSpaceDE w:val="0"/>
        <w:autoSpaceDN w:val="0"/>
        <w:adjustRightInd w:val="0"/>
        <w:spacing w:after="0" w:line="360" w:lineRule="auto"/>
        <w:ind w:left="720"/>
        <w:jc w:val="both"/>
        <w:rPr>
          <w:rFonts w:ascii="Arial" w:hAnsi="Arial" w:cs="Arial"/>
          <w:i/>
          <w:sz w:val="24"/>
          <w:szCs w:val="24"/>
        </w:rPr>
      </w:pPr>
      <w:r w:rsidRPr="00CE07E3">
        <w:rPr>
          <w:rFonts w:ascii="Arial" w:hAnsi="Arial" w:cs="Arial"/>
          <w:i/>
          <w:sz w:val="24"/>
          <w:szCs w:val="24"/>
        </w:rPr>
        <w:t xml:space="preserve">Subsection (1) does not apply if the employer proves that, when the representation was made, the employer: </w:t>
      </w:r>
    </w:p>
    <w:p w14:paraId="7C3BC381" w14:textId="77777777" w:rsidR="00CE07E3" w:rsidRPr="00CE07E3" w:rsidRDefault="00CE07E3" w:rsidP="00AF30C0">
      <w:pPr>
        <w:pStyle w:val="ListParagraph"/>
        <w:widowControl w:val="0"/>
        <w:autoSpaceDE w:val="0"/>
        <w:autoSpaceDN w:val="0"/>
        <w:adjustRightInd w:val="0"/>
        <w:spacing w:after="0" w:line="360" w:lineRule="auto"/>
        <w:ind w:left="1080"/>
        <w:jc w:val="both"/>
        <w:rPr>
          <w:rFonts w:ascii="Arial" w:hAnsi="Arial" w:cs="Arial"/>
          <w:i/>
          <w:sz w:val="24"/>
          <w:szCs w:val="24"/>
        </w:rPr>
      </w:pPr>
    </w:p>
    <w:p w14:paraId="1BC81FDB" w14:textId="77777777" w:rsidR="00CE07E3" w:rsidRPr="00CE07E3" w:rsidRDefault="00CE07E3" w:rsidP="00AF30C0">
      <w:pPr>
        <w:pStyle w:val="ListParagraph"/>
        <w:widowControl w:val="0"/>
        <w:numPr>
          <w:ilvl w:val="1"/>
          <w:numId w:val="13"/>
        </w:numPr>
        <w:autoSpaceDE w:val="0"/>
        <w:autoSpaceDN w:val="0"/>
        <w:adjustRightInd w:val="0"/>
        <w:spacing w:after="0" w:line="360" w:lineRule="auto"/>
        <w:jc w:val="both"/>
        <w:rPr>
          <w:rFonts w:ascii="Arial" w:hAnsi="Arial" w:cs="Arial"/>
          <w:i/>
          <w:sz w:val="24"/>
          <w:szCs w:val="24"/>
        </w:rPr>
      </w:pPr>
      <w:r w:rsidRPr="00CE07E3">
        <w:rPr>
          <w:rFonts w:ascii="Arial" w:hAnsi="Arial" w:cs="Arial"/>
          <w:i/>
          <w:sz w:val="24"/>
          <w:szCs w:val="24"/>
        </w:rPr>
        <w:t xml:space="preserve">did not know;  </w:t>
      </w:r>
    </w:p>
    <w:p w14:paraId="677ACEED" w14:textId="77777777" w:rsidR="00CE07E3" w:rsidRPr="00CE07E3" w:rsidRDefault="00CE07E3" w:rsidP="00AF30C0">
      <w:pPr>
        <w:pStyle w:val="ListParagraph"/>
        <w:widowControl w:val="0"/>
        <w:numPr>
          <w:ilvl w:val="1"/>
          <w:numId w:val="13"/>
        </w:numPr>
        <w:autoSpaceDE w:val="0"/>
        <w:autoSpaceDN w:val="0"/>
        <w:adjustRightInd w:val="0"/>
        <w:spacing w:after="0" w:line="360" w:lineRule="auto"/>
        <w:jc w:val="both"/>
        <w:rPr>
          <w:rFonts w:ascii="Arial" w:hAnsi="Arial" w:cs="Arial"/>
          <w:i/>
          <w:sz w:val="24"/>
          <w:szCs w:val="24"/>
          <w:u w:val="single"/>
        </w:rPr>
      </w:pPr>
      <w:r w:rsidRPr="00CE07E3">
        <w:rPr>
          <w:rFonts w:ascii="Arial" w:hAnsi="Arial" w:cs="Arial"/>
          <w:i/>
          <w:sz w:val="24"/>
          <w:szCs w:val="24"/>
          <w:u w:val="single"/>
        </w:rPr>
        <w:t>could not reasonably be expected to know; and</w:t>
      </w:r>
    </w:p>
    <w:p w14:paraId="6D61470A" w14:textId="77777777" w:rsidR="00CE07E3" w:rsidRPr="00CE07E3" w:rsidRDefault="00CE07E3" w:rsidP="00AF30C0">
      <w:pPr>
        <w:pStyle w:val="ListParagraph"/>
        <w:widowControl w:val="0"/>
        <w:numPr>
          <w:ilvl w:val="1"/>
          <w:numId w:val="13"/>
        </w:numPr>
        <w:autoSpaceDE w:val="0"/>
        <w:autoSpaceDN w:val="0"/>
        <w:adjustRightInd w:val="0"/>
        <w:spacing w:after="0" w:line="360" w:lineRule="auto"/>
        <w:jc w:val="both"/>
        <w:rPr>
          <w:rFonts w:ascii="Arial" w:hAnsi="Arial" w:cs="Arial"/>
          <w:i/>
          <w:sz w:val="24"/>
          <w:szCs w:val="24"/>
        </w:rPr>
      </w:pPr>
      <w:r w:rsidRPr="00CE07E3">
        <w:rPr>
          <w:rFonts w:ascii="Arial" w:hAnsi="Arial" w:cs="Arial"/>
          <w:i/>
          <w:sz w:val="24"/>
          <w:szCs w:val="24"/>
        </w:rPr>
        <w:t>was not reckless as to whether;</w:t>
      </w:r>
    </w:p>
    <w:p w14:paraId="47EF4EE2" w14:textId="77777777" w:rsidR="00CE07E3" w:rsidRPr="00CE07E3" w:rsidRDefault="00CE07E3" w:rsidP="00AF30C0">
      <w:pPr>
        <w:pStyle w:val="ListParagraph"/>
        <w:widowControl w:val="0"/>
        <w:autoSpaceDE w:val="0"/>
        <w:autoSpaceDN w:val="0"/>
        <w:adjustRightInd w:val="0"/>
        <w:spacing w:after="0" w:line="360" w:lineRule="auto"/>
        <w:ind w:left="1800"/>
        <w:jc w:val="both"/>
        <w:rPr>
          <w:rFonts w:ascii="Arial" w:hAnsi="Arial" w:cs="Arial"/>
          <w:i/>
          <w:sz w:val="24"/>
          <w:szCs w:val="24"/>
        </w:rPr>
      </w:pPr>
    </w:p>
    <w:p w14:paraId="42B1FE81" w14:textId="77777777" w:rsidR="00CE07E3" w:rsidRPr="00CE07E3" w:rsidRDefault="00CE07E3" w:rsidP="00AF30C0">
      <w:pPr>
        <w:widowControl w:val="0"/>
        <w:autoSpaceDE w:val="0"/>
        <w:autoSpaceDN w:val="0"/>
        <w:adjustRightInd w:val="0"/>
        <w:spacing w:after="0" w:line="360" w:lineRule="auto"/>
        <w:ind w:firstLine="720"/>
        <w:jc w:val="both"/>
        <w:rPr>
          <w:rFonts w:ascii="Arial" w:hAnsi="Arial" w:cs="Arial"/>
          <w:i/>
          <w:sz w:val="24"/>
          <w:szCs w:val="24"/>
        </w:rPr>
      </w:pPr>
      <w:proofErr w:type="gramStart"/>
      <w:r w:rsidRPr="00CE07E3">
        <w:rPr>
          <w:rFonts w:ascii="Arial" w:hAnsi="Arial" w:cs="Arial"/>
          <w:i/>
          <w:sz w:val="24"/>
          <w:szCs w:val="24"/>
        </w:rPr>
        <w:t>the</w:t>
      </w:r>
      <w:proofErr w:type="gramEnd"/>
      <w:r w:rsidRPr="00CE07E3">
        <w:rPr>
          <w:rFonts w:ascii="Arial" w:hAnsi="Arial" w:cs="Arial"/>
          <w:i/>
          <w:sz w:val="24"/>
          <w:szCs w:val="24"/>
        </w:rPr>
        <w:t xml:space="preserve"> contract was a contract of employment rather than a contract for services. </w:t>
      </w:r>
    </w:p>
    <w:p w14:paraId="417D82DD" w14:textId="77777777" w:rsidR="00CE07E3" w:rsidRPr="00CE07E3" w:rsidRDefault="00CE07E3" w:rsidP="00AF30C0">
      <w:pPr>
        <w:widowControl w:val="0"/>
        <w:autoSpaceDE w:val="0"/>
        <w:autoSpaceDN w:val="0"/>
        <w:adjustRightInd w:val="0"/>
        <w:spacing w:after="0" w:line="360" w:lineRule="auto"/>
        <w:jc w:val="both"/>
        <w:rPr>
          <w:rFonts w:ascii="Arial" w:hAnsi="Arial" w:cs="Arial"/>
          <w:sz w:val="24"/>
          <w:szCs w:val="24"/>
        </w:rPr>
      </w:pPr>
    </w:p>
    <w:p w14:paraId="071236A0" w14:textId="77777777" w:rsidR="002C4517" w:rsidRDefault="00CE07E3" w:rsidP="00AF30C0">
      <w:pPr>
        <w:pStyle w:val="ListParagraph"/>
        <w:widowControl w:val="0"/>
        <w:numPr>
          <w:ilvl w:val="0"/>
          <w:numId w:val="3"/>
        </w:numPr>
        <w:autoSpaceDE w:val="0"/>
        <w:autoSpaceDN w:val="0"/>
        <w:adjustRightInd w:val="0"/>
        <w:spacing w:after="0" w:line="360" w:lineRule="auto"/>
        <w:jc w:val="both"/>
        <w:rPr>
          <w:rFonts w:ascii="Arial" w:hAnsi="Arial" w:cs="Arial"/>
          <w:sz w:val="24"/>
          <w:szCs w:val="24"/>
        </w:rPr>
      </w:pPr>
      <w:r w:rsidRPr="00CE07E3">
        <w:rPr>
          <w:rFonts w:ascii="Arial" w:hAnsi="Arial" w:cs="Arial"/>
          <w:sz w:val="24"/>
          <w:szCs w:val="24"/>
        </w:rPr>
        <w:t xml:space="preserve">This amendment would provide clarity as to the definition of the term “reckless” </w:t>
      </w:r>
      <w:r w:rsidRPr="00CE07E3">
        <w:rPr>
          <w:rFonts w:ascii="Arial" w:hAnsi="Arial" w:cs="Arial"/>
          <w:sz w:val="24"/>
          <w:szCs w:val="24"/>
        </w:rPr>
        <w:lastRenderedPageBreak/>
        <w:t>in the context of the sham contracting provisions, as it would be possible for the courts to adopt a fixed common law definition. Thus, it would clarify the obligations imposed on employers</w:t>
      </w:r>
      <w:r w:rsidR="002C4517">
        <w:rPr>
          <w:rFonts w:ascii="Arial" w:hAnsi="Arial" w:cs="Arial"/>
          <w:sz w:val="24"/>
          <w:szCs w:val="24"/>
        </w:rPr>
        <w:t>, and the rights afforded employees,</w:t>
      </w:r>
      <w:r w:rsidRPr="00CE07E3">
        <w:rPr>
          <w:rFonts w:ascii="Arial" w:hAnsi="Arial" w:cs="Arial"/>
          <w:sz w:val="24"/>
          <w:szCs w:val="24"/>
        </w:rPr>
        <w:t xml:space="preserve"> by these provisions. </w:t>
      </w:r>
    </w:p>
    <w:p w14:paraId="60C63F89" w14:textId="77777777" w:rsidR="002C4517" w:rsidRDefault="002C4517" w:rsidP="002C4517">
      <w:pPr>
        <w:pStyle w:val="ListParagraph"/>
        <w:widowControl w:val="0"/>
        <w:autoSpaceDE w:val="0"/>
        <w:autoSpaceDN w:val="0"/>
        <w:adjustRightInd w:val="0"/>
        <w:spacing w:after="0" w:line="360" w:lineRule="auto"/>
        <w:ind w:left="604"/>
        <w:jc w:val="both"/>
        <w:rPr>
          <w:rFonts w:ascii="Arial" w:hAnsi="Arial" w:cs="Arial"/>
          <w:sz w:val="24"/>
          <w:szCs w:val="24"/>
        </w:rPr>
      </w:pPr>
    </w:p>
    <w:p w14:paraId="30805971" w14:textId="77777777" w:rsidR="00CE07E3" w:rsidRPr="00CE07E3" w:rsidRDefault="00CE07E3" w:rsidP="00AF30C0">
      <w:pPr>
        <w:pStyle w:val="ListParagraph"/>
        <w:widowControl w:val="0"/>
        <w:numPr>
          <w:ilvl w:val="0"/>
          <w:numId w:val="3"/>
        </w:numPr>
        <w:autoSpaceDE w:val="0"/>
        <w:autoSpaceDN w:val="0"/>
        <w:adjustRightInd w:val="0"/>
        <w:spacing w:after="0" w:line="360" w:lineRule="auto"/>
        <w:jc w:val="both"/>
        <w:rPr>
          <w:rFonts w:ascii="Arial" w:hAnsi="Arial" w:cs="Arial"/>
          <w:sz w:val="24"/>
          <w:szCs w:val="24"/>
        </w:rPr>
      </w:pPr>
      <w:r w:rsidRPr="00CE07E3">
        <w:rPr>
          <w:rFonts w:ascii="Arial" w:hAnsi="Arial" w:cs="Arial"/>
          <w:sz w:val="24"/>
          <w:szCs w:val="24"/>
        </w:rPr>
        <w:t xml:space="preserve">Further, the amendment would put the evidential burden back on the employer to prove the reasonableness of their belief, which we submit is fairer than requiring an Applicant to provide evidence of surrounding circumstances from which a court may infer an employer’s knowledge. </w:t>
      </w:r>
    </w:p>
    <w:p w14:paraId="46F40264" w14:textId="77777777" w:rsidR="00CE07E3" w:rsidRPr="00CE07E3" w:rsidRDefault="00CE07E3" w:rsidP="00AF30C0">
      <w:pPr>
        <w:widowControl w:val="0"/>
        <w:autoSpaceDE w:val="0"/>
        <w:autoSpaceDN w:val="0"/>
        <w:adjustRightInd w:val="0"/>
        <w:spacing w:after="0" w:line="360" w:lineRule="auto"/>
        <w:jc w:val="both"/>
        <w:rPr>
          <w:rFonts w:ascii="Arial" w:hAnsi="Arial" w:cs="Arial"/>
          <w:sz w:val="24"/>
          <w:szCs w:val="24"/>
        </w:rPr>
      </w:pPr>
    </w:p>
    <w:p w14:paraId="1A0C94F7" w14:textId="77777777" w:rsidR="00CE07E3" w:rsidRPr="00CE07E3" w:rsidRDefault="00CE07E3" w:rsidP="00AF30C0">
      <w:pPr>
        <w:pStyle w:val="ListParagraph"/>
        <w:widowControl w:val="0"/>
        <w:numPr>
          <w:ilvl w:val="0"/>
          <w:numId w:val="3"/>
        </w:numPr>
        <w:autoSpaceDE w:val="0"/>
        <w:autoSpaceDN w:val="0"/>
        <w:adjustRightInd w:val="0"/>
        <w:spacing w:after="0" w:line="360" w:lineRule="auto"/>
        <w:jc w:val="both"/>
        <w:rPr>
          <w:rFonts w:ascii="Arial" w:hAnsi="Arial" w:cs="Arial"/>
          <w:sz w:val="24"/>
          <w:szCs w:val="24"/>
        </w:rPr>
      </w:pPr>
      <w:r w:rsidRPr="00CE07E3">
        <w:rPr>
          <w:rFonts w:ascii="Arial" w:hAnsi="Arial" w:cs="Arial"/>
          <w:sz w:val="24"/>
          <w:szCs w:val="24"/>
        </w:rPr>
        <w:t>It is true that the Act applies the subjective test for recklessness on employers in other provisions,</w:t>
      </w:r>
      <w:r w:rsidRPr="00CE07E3">
        <w:rPr>
          <w:rStyle w:val="FootnoteReference"/>
          <w:rFonts w:ascii="Arial" w:hAnsi="Arial" w:cs="Arial"/>
          <w:sz w:val="24"/>
          <w:szCs w:val="24"/>
        </w:rPr>
        <w:footnoteReference w:id="76"/>
      </w:r>
      <w:r w:rsidRPr="00CE07E3">
        <w:rPr>
          <w:rFonts w:ascii="Arial" w:hAnsi="Arial" w:cs="Arial"/>
          <w:sz w:val="24"/>
          <w:szCs w:val="24"/>
        </w:rPr>
        <w:t xml:space="preserve"> but we believe that clarity and practicality must take precedence over legislative consistency. Further, the concept of reasonableness already exists in the Act,</w:t>
      </w:r>
      <w:r w:rsidRPr="00CE07E3">
        <w:rPr>
          <w:rStyle w:val="FootnoteReference"/>
          <w:rFonts w:ascii="Arial" w:hAnsi="Arial" w:cs="Arial"/>
          <w:sz w:val="24"/>
          <w:szCs w:val="24"/>
        </w:rPr>
        <w:footnoteReference w:id="77"/>
      </w:r>
      <w:r w:rsidRPr="00CE07E3">
        <w:rPr>
          <w:rFonts w:ascii="Arial" w:hAnsi="Arial" w:cs="Arial"/>
          <w:sz w:val="24"/>
          <w:szCs w:val="24"/>
        </w:rPr>
        <w:t xml:space="preserve"> which is evidence that an objective standard can be effectively used.</w:t>
      </w:r>
    </w:p>
    <w:p w14:paraId="6FBB8B03" w14:textId="77777777" w:rsidR="00CE07E3" w:rsidRPr="00CE07E3" w:rsidRDefault="00CE07E3" w:rsidP="00AF30C0">
      <w:pPr>
        <w:widowControl w:val="0"/>
        <w:autoSpaceDE w:val="0"/>
        <w:autoSpaceDN w:val="0"/>
        <w:adjustRightInd w:val="0"/>
        <w:spacing w:after="0" w:line="360" w:lineRule="auto"/>
        <w:jc w:val="both"/>
        <w:rPr>
          <w:rFonts w:ascii="Arial" w:hAnsi="Arial" w:cs="Arial"/>
          <w:sz w:val="24"/>
          <w:szCs w:val="24"/>
        </w:rPr>
      </w:pPr>
    </w:p>
    <w:p w14:paraId="08D0F6A4" w14:textId="2F468C7E" w:rsidR="00CE07E3" w:rsidRPr="00CE07E3" w:rsidRDefault="00CE07E3" w:rsidP="00AF30C0">
      <w:pPr>
        <w:pStyle w:val="ListParagraph"/>
        <w:widowControl w:val="0"/>
        <w:numPr>
          <w:ilvl w:val="0"/>
          <w:numId w:val="3"/>
        </w:numPr>
        <w:autoSpaceDE w:val="0"/>
        <w:autoSpaceDN w:val="0"/>
        <w:adjustRightInd w:val="0"/>
        <w:spacing w:after="0" w:line="360" w:lineRule="auto"/>
        <w:jc w:val="both"/>
        <w:rPr>
          <w:rFonts w:ascii="Arial" w:hAnsi="Arial" w:cs="Arial"/>
          <w:sz w:val="24"/>
          <w:szCs w:val="24"/>
        </w:rPr>
      </w:pPr>
      <w:r w:rsidRPr="00CE07E3">
        <w:rPr>
          <w:rFonts w:ascii="Arial" w:hAnsi="Arial" w:cs="Arial"/>
          <w:sz w:val="24"/>
          <w:szCs w:val="24"/>
        </w:rPr>
        <w:t xml:space="preserve">In the context of striking a balance between the protection of employee interests (particularly low-paid, vulnerable employees) and not punishing employers who have made a legitimate attempt to engage independent contractors under the law, an objective standard of the reasonableness of an employer’s </w:t>
      </w:r>
      <w:proofErr w:type="gramStart"/>
      <w:r w:rsidRPr="00CE07E3">
        <w:rPr>
          <w:rFonts w:ascii="Arial" w:hAnsi="Arial" w:cs="Arial"/>
          <w:sz w:val="24"/>
          <w:szCs w:val="24"/>
        </w:rPr>
        <w:t>knowledge,</w:t>
      </w:r>
      <w:proofErr w:type="gramEnd"/>
      <w:r w:rsidRPr="00CE07E3">
        <w:rPr>
          <w:rFonts w:ascii="Arial" w:hAnsi="Arial" w:cs="Arial"/>
          <w:sz w:val="24"/>
          <w:szCs w:val="24"/>
        </w:rPr>
        <w:t xml:space="preserve"> is appropriate.</w:t>
      </w:r>
    </w:p>
    <w:p w14:paraId="5392B17E" w14:textId="77777777" w:rsidR="00CE07E3" w:rsidRPr="00CE07E3" w:rsidRDefault="00CE07E3" w:rsidP="00AF30C0">
      <w:pPr>
        <w:widowControl w:val="0"/>
        <w:autoSpaceDE w:val="0"/>
        <w:autoSpaceDN w:val="0"/>
        <w:adjustRightInd w:val="0"/>
        <w:spacing w:after="0" w:line="360" w:lineRule="auto"/>
        <w:jc w:val="both"/>
        <w:rPr>
          <w:rFonts w:ascii="Arial" w:hAnsi="Arial" w:cs="Arial"/>
          <w:sz w:val="24"/>
          <w:szCs w:val="24"/>
        </w:rPr>
      </w:pPr>
    </w:p>
    <w:p w14:paraId="3DB0064A" w14:textId="77777777" w:rsidR="00CE07E3" w:rsidRPr="00CE07E3" w:rsidRDefault="00CE07E3" w:rsidP="00AF30C0">
      <w:pPr>
        <w:widowControl w:val="0"/>
        <w:autoSpaceDE w:val="0"/>
        <w:autoSpaceDN w:val="0"/>
        <w:adjustRightInd w:val="0"/>
        <w:spacing w:after="0" w:line="360" w:lineRule="auto"/>
        <w:jc w:val="both"/>
        <w:rPr>
          <w:rFonts w:ascii="Arial" w:hAnsi="Arial" w:cs="Arial"/>
          <w:sz w:val="24"/>
          <w:szCs w:val="24"/>
          <w:u w:val="single"/>
        </w:rPr>
      </w:pPr>
      <w:r w:rsidRPr="00CE07E3">
        <w:rPr>
          <w:rFonts w:ascii="Arial" w:hAnsi="Arial" w:cs="Arial"/>
          <w:sz w:val="24"/>
          <w:szCs w:val="24"/>
          <w:u w:val="single"/>
        </w:rPr>
        <w:t>s. 358 - Dismissing to Engage as Independent Contractor</w:t>
      </w:r>
    </w:p>
    <w:p w14:paraId="24EE24B8" w14:textId="77777777" w:rsidR="00CE07E3" w:rsidRPr="00CE07E3" w:rsidRDefault="00CE07E3" w:rsidP="00AF30C0">
      <w:pPr>
        <w:widowControl w:val="0"/>
        <w:autoSpaceDE w:val="0"/>
        <w:autoSpaceDN w:val="0"/>
        <w:adjustRightInd w:val="0"/>
        <w:spacing w:after="0" w:line="360" w:lineRule="auto"/>
        <w:jc w:val="both"/>
        <w:rPr>
          <w:rFonts w:ascii="Arial" w:hAnsi="Arial" w:cs="Arial"/>
          <w:b/>
          <w:sz w:val="24"/>
          <w:szCs w:val="24"/>
        </w:rPr>
      </w:pPr>
    </w:p>
    <w:p w14:paraId="5F036688" w14:textId="540A89BF" w:rsidR="00CE07E3" w:rsidRDefault="00CE07E3" w:rsidP="00AF30C0">
      <w:pPr>
        <w:pStyle w:val="ListParagraph"/>
        <w:widowControl w:val="0"/>
        <w:numPr>
          <w:ilvl w:val="0"/>
          <w:numId w:val="3"/>
        </w:numPr>
        <w:autoSpaceDE w:val="0"/>
        <w:autoSpaceDN w:val="0"/>
        <w:adjustRightInd w:val="0"/>
        <w:spacing w:after="0" w:line="360" w:lineRule="auto"/>
        <w:jc w:val="both"/>
        <w:rPr>
          <w:rFonts w:ascii="Arial" w:hAnsi="Arial" w:cs="Arial"/>
          <w:sz w:val="24"/>
          <w:szCs w:val="24"/>
        </w:rPr>
      </w:pPr>
      <w:r w:rsidRPr="00CE07E3">
        <w:rPr>
          <w:rFonts w:ascii="Arial" w:hAnsi="Arial" w:cs="Arial"/>
          <w:sz w:val="24"/>
          <w:szCs w:val="24"/>
        </w:rPr>
        <w:t xml:space="preserve">A determination of whether an individual is an employee or an independent contractor is not a simple </w:t>
      </w:r>
      <w:proofErr w:type="gramStart"/>
      <w:r w:rsidRPr="00CE07E3">
        <w:rPr>
          <w:rFonts w:ascii="Arial" w:hAnsi="Arial" w:cs="Arial"/>
          <w:sz w:val="24"/>
          <w:szCs w:val="24"/>
        </w:rPr>
        <w:t>matter,</w:t>
      </w:r>
      <w:proofErr w:type="gramEnd"/>
      <w:r w:rsidRPr="00CE07E3">
        <w:rPr>
          <w:rFonts w:ascii="Arial" w:hAnsi="Arial" w:cs="Arial"/>
          <w:sz w:val="24"/>
          <w:szCs w:val="24"/>
        </w:rPr>
        <w:t xml:space="preserve"> it involves complex considerations about, among others, the nature of the relationship between the parties, the work performed and any agreement between the parties. </w:t>
      </w:r>
    </w:p>
    <w:p w14:paraId="20815862" w14:textId="77777777" w:rsidR="00CE07E3" w:rsidRDefault="00CE07E3" w:rsidP="00AF30C0">
      <w:pPr>
        <w:pStyle w:val="ListParagraph"/>
        <w:widowControl w:val="0"/>
        <w:autoSpaceDE w:val="0"/>
        <w:autoSpaceDN w:val="0"/>
        <w:adjustRightInd w:val="0"/>
        <w:spacing w:after="0" w:line="360" w:lineRule="auto"/>
        <w:jc w:val="both"/>
        <w:rPr>
          <w:rFonts w:ascii="Arial" w:hAnsi="Arial" w:cs="Arial"/>
          <w:sz w:val="24"/>
          <w:szCs w:val="24"/>
        </w:rPr>
      </w:pPr>
    </w:p>
    <w:p w14:paraId="1D286D70" w14:textId="77777777" w:rsidR="00CE07E3" w:rsidRPr="00CE07E3" w:rsidRDefault="00CE07E3" w:rsidP="00AF30C0">
      <w:pPr>
        <w:pStyle w:val="ListParagraph"/>
        <w:widowControl w:val="0"/>
        <w:numPr>
          <w:ilvl w:val="0"/>
          <w:numId w:val="3"/>
        </w:numPr>
        <w:autoSpaceDE w:val="0"/>
        <w:autoSpaceDN w:val="0"/>
        <w:adjustRightInd w:val="0"/>
        <w:spacing w:after="0" w:line="360" w:lineRule="auto"/>
        <w:jc w:val="both"/>
        <w:rPr>
          <w:rFonts w:ascii="Arial" w:hAnsi="Arial" w:cs="Arial"/>
          <w:sz w:val="24"/>
          <w:szCs w:val="24"/>
        </w:rPr>
      </w:pPr>
      <w:r w:rsidRPr="00CE07E3">
        <w:rPr>
          <w:rFonts w:ascii="Arial" w:hAnsi="Arial" w:cs="Arial"/>
          <w:sz w:val="24"/>
          <w:szCs w:val="24"/>
        </w:rPr>
        <w:t xml:space="preserve">A state of the law governing the determination of whether an individual is an </w:t>
      </w:r>
      <w:r w:rsidRPr="00CE07E3">
        <w:rPr>
          <w:rFonts w:ascii="Arial" w:hAnsi="Arial" w:cs="Arial"/>
          <w:sz w:val="24"/>
          <w:szCs w:val="24"/>
        </w:rPr>
        <w:lastRenderedPageBreak/>
        <w:t xml:space="preserve">employee or an independent contractor can be found in </w:t>
      </w:r>
      <w:r w:rsidRPr="00CE07E3">
        <w:rPr>
          <w:rFonts w:ascii="Arial" w:hAnsi="Arial" w:cs="Arial"/>
          <w:i/>
          <w:sz w:val="24"/>
          <w:szCs w:val="24"/>
        </w:rPr>
        <w:t xml:space="preserve">Hollis v </w:t>
      </w:r>
      <w:proofErr w:type="spellStart"/>
      <w:r w:rsidRPr="00CE07E3">
        <w:rPr>
          <w:rFonts w:ascii="Arial" w:hAnsi="Arial" w:cs="Arial"/>
          <w:i/>
          <w:sz w:val="24"/>
          <w:szCs w:val="24"/>
        </w:rPr>
        <w:t>Vabu</w:t>
      </w:r>
      <w:proofErr w:type="spellEnd"/>
      <w:r w:rsidRPr="00CE07E3">
        <w:rPr>
          <w:rFonts w:ascii="Arial" w:hAnsi="Arial" w:cs="Arial"/>
          <w:sz w:val="24"/>
          <w:szCs w:val="24"/>
        </w:rPr>
        <w:t>.</w:t>
      </w:r>
      <w:r w:rsidRPr="00CE07E3">
        <w:rPr>
          <w:rStyle w:val="FootnoteReference"/>
          <w:rFonts w:ascii="Arial" w:hAnsi="Arial" w:cs="Arial"/>
          <w:sz w:val="24"/>
          <w:szCs w:val="24"/>
        </w:rPr>
        <w:footnoteReference w:id="78"/>
      </w:r>
    </w:p>
    <w:p w14:paraId="32FB2041" w14:textId="77777777" w:rsidR="00CE07E3" w:rsidRPr="00CE07E3" w:rsidRDefault="00CE07E3" w:rsidP="00AF30C0">
      <w:pPr>
        <w:widowControl w:val="0"/>
        <w:autoSpaceDE w:val="0"/>
        <w:autoSpaceDN w:val="0"/>
        <w:adjustRightInd w:val="0"/>
        <w:spacing w:after="0" w:line="360" w:lineRule="auto"/>
        <w:jc w:val="both"/>
        <w:rPr>
          <w:rFonts w:ascii="Arial" w:hAnsi="Arial" w:cs="Arial"/>
          <w:sz w:val="24"/>
          <w:szCs w:val="24"/>
        </w:rPr>
      </w:pPr>
    </w:p>
    <w:p w14:paraId="67112ACA" w14:textId="77777777" w:rsidR="00CE07E3" w:rsidRPr="00CE07E3" w:rsidRDefault="00CE07E3" w:rsidP="00AF30C0">
      <w:pPr>
        <w:pStyle w:val="ListParagraph"/>
        <w:widowControl w:val="0"/>
        <w:numPr>
          <w:ilvl w:val="0"/>
          <w:numId w:val="3"/>
        </w:numPr>
        <w:autoSpaceDE w:val="0"/>
        <w:autoSpaceDN w:val="0"/>
        <w:adjustRightInd w:val="0"/>
        <w:spacing w:after="0" w:line="360" w:lineRule="auto"/>
        <w:jc w:val="both"/>
        <w:rPr>
          <w:rFonts w:ascii="Arial" w:hAnsi="Arial" w:cs="Arial"/>
          <w:sz w:val="24"/>
          <w:szCs w:val="24"/>
        </w:rPr>
      </w:pPr>
      <w:r w:rsidRPr="00CE07E3">
        <w:rPr>
          <w:rFonts w:ascii="Arial" w:hAnsi="Arial" w:cs="Arial"/>
          <w:sz w:val="24"/>
          <w:szCs w:val="24"/>
        </w:rPr>
        <w:t xml:space="preserve">This High Court decision shows that it may not be clear, even to experienced members of the court, whether or not a particular individual is an employee or an independent contractor. </w:t>
      </w:r>
    </w:p>
    <w:p w14:paraId="18A364AC" w14:textId="77777777" w:rsidR="00CE07E3" w:rsidRPr="00CE07E3" w:rsidRDefault="00CE07E3" w:rsidP="00AF30C0">
      <w:pPr>
        <w:widowControl w:val="0"/>
        <w:autoSpaceDE w:val="0"/>
        <w:autoSpaceDN w:val="0"/>
        <w:adjustRightInd w:val="0"/>
        <w:spacing w:after="0" w:line="360" w:lineRule="auto"/>
        <w:jc w:val="both"/>
        <w:rPr>
          <w:rFonts w:ascii="Arial" w:hAnsi="Arial" w:cs="Arial"/>
          <w:sz w:val="24"/>
          <w:szCs w:val="24"/>
        </w:rPr>
      </w:pPr>
    </w:p>
    <w:p w14:paraId="4F59D36E" w14:textId="335359BA" w:rsidR="00CE07E3" w:rsidRDefault="00CE07E3" w:rsidP="00AF30C0">
      <w:pPr>
        <w:pStyle w:val="ListParagraph"/>
        <w:widowControl w:val="0"/>
        <w:numPr>
          <w:ilvl w:val="0"/>
          <w:numId w:val="3"/>
        </w:numPr>
        <w:autoSpaceDE w:val="0"/>
        <w:autoSpaceDN w:val="0"/>
        <w:adjustRightInd w:val="0"/>
        <w:spacing w:after="0" w:line="360" w:lineRule="auto"/>
        <w:jc w:val="both"/>
        <w:rPr>
          <w:rFonts w:ascii="Arial" w:hAnsi="Arial" w:cs="Arial"/>
          <w:sz w:val="24"/>
          <w:szCs w:val="24"/>
        </w:rPr>
      </w:pPr>
      <w:r w:rsidRPr="00CE07E3">
        <w:rPr>
          <w:rFonts w:ascii="Arial" w:hAnsi="Arial" w:cs="Arial"/>
          <w:sz w:val="24"/>
          <w:szCs w:val="24"/>
        </w:rPr>
        <w:t>Nevertheless, an employee who is dismissed and re-engaged as an independent contractor</w:t>
      </w:r>
      <w:r w:rsidR="002C4517">
        <w:rPr>
          <w:rFonts w:ascii="Arial" w:hAnsi="Arial" w:cs="Arial"/>
          <w:sz w:val="24"/>
          <w:szCs w:val="24"/>
        </w:rPr>
        <w:t xml:space="preserve"> to</w:t>
      </w:r>
      <w:r w:rsidRPr="00CE07E3">
        <w:rPr>
          <w:rFonts w:ascii="Arial" w:hAnsi="Arial" w:cs="Arial"/>
          <w:sz w:val="24"/>
          <w:szCs w:val="24"/>
        </w:rPr>
        <w:t xml:space="preserve"> perform the same or similar </w:t>
      </w:r>
      <w:r w:rsidR="00EC3448" w:rsidRPr="00CE07E3">
        <w:rPr>
          <w:rFonts w:ascii="Arial" w:hAnsi="Arial" w:cs="Arial"/>
          <w:sz w:val="24"/>
          <w:szCs w:val="24"/>
        </w:rPr>
        <w:t>work</w:t>
      </w:r>
      <w:r w:rsidRPr="00CE07E3">
        <w:rPr>
          <w:rFonts w:ascii="Arial" w:hAnsi="Arial" w:cs="Arial"/>
          <w:sz w:val="24"/>
          <w:szCs w:val="24"/>
        </w:rPr>
        <w:t xml:space="preserve"> has only 21 days from the date of the dismissal to make an application seeking remedy.</w:t>
      </w:r>
      <w:r w:rsidRPr="00CE07E3">
        <w:rPr>
          <w:rStyle w:val="FootnoteReference"/>
          <w:rFonts w:ascii="Arial" w:hAnsi="Arial" w:cs="Arial"/>
          <w:sz w:val="24"/>
          <w:szCs w:val="24"/>
        </w:rPr>
        <w:footnoteReference w:id="79"/>
      </w:r>
      <w:r w:rsidRPr="00CE07E3">
        <w:rPr>
          <w:rFonts w:ascii="Arial" w:hAnsi="Arial" w:cs="Arial"/>
          <w:sz w:val="24"/>
          <w:szCs w:val="24"/>
        </w:rPr>
        <w:t xml:space="preserve"> </w:t>
      </w:r>
    </w:p>
    <w:p w14:paraId="4410FE99" w14:textId="77777777" w:rsidR="00CE07E3" w:rsidRPr="00CE07E3" w:rsidRDefault="00CE07E3" w:rsidP="00AF30C0">
      <w:pPr>
        <w:pStyle w:val="ListParagraph"/>
        <w:spacing w:line="360" w:lineRule="auto"/>
        <w:jc w:val="both"/>
        <w:rPr>
          <w:rFonts w:ascii="Arial" w:hAnsi="Arial" w:cs="Arial"/>
          <w:sz w:val="24"/>
          <w:szCs w:val="24"/>
        </w:rPr>
      </w:pPr>
    </w:p>
    <w:p w14:paraId="5B04130A" w14:textId="77777777" w:rsidR="00CE07E3" w:rsidRPr="00CE07E3" w:rsidRDefault="00CE07E3" w:rsidP="00AF30C0">
      <w:pPr>
        <w:pStyle w:val="ListParagraph"/>
        <w:widowControl w:val="0"/>
        <w:numPr>
          <w:ilvl w:val="0"/>
          <w:numId w:val="3"/>
        </w:numPr>
        <w:autoSpaceDE w:val="0"/>
        <w:autoSpaceDN w:val="0"/>
        <w:adjustRightInd w:val="0"/>
        <w:spacing w:after="0" w:line="360" w:lineRule="auto"/>
        <w:jc w:val="both"/>
        <w:rPr>
          <w:rFonts w:ascii="Arial" w:hAnsi="Arial" w:cs="Arial"/>
          <w:sz w:val="24"/>
          <w:szCs w:val="24"/>
        </w:rPr>
      </w:pPr>
      <w:r w:rsidRPr="00CE07E3">
        <w:rPr>
          <w:rFonts w:ascii="Arial" w:hAnsi="Arial" w:cs="Arial"/>
          <w:sz w:val="24"/>
          <w:szCs w:val="24"/>
        </w:rPr>
        <w:t>Such a timeframe for making an application is inappropriate for sham contracting. It may take weeks before a worker realises that by becoming an independent contractor they are in a substantially less beneficial position than they were as an employee, by which time, they will no longer be eligible to make an application.</w:t>
      </w:r>
    </w:p>
    <w:p w14:paraId="465B5035" w14:textId="77777777" w:rsidR="00CE07E3" w:rsidRPr="00CE07E3" w:rsidRDefault="00CE07E3" w:rsidP="00AF30C0">
      <w:pPr>
        <w:widowControl w:val="0"/>
        <w:autoSpaceDE w:val="0"/>
        <w:autoSpaceDN w:val="0"/>
        <w:adjustRightInd w:val="0"/>
        <w:spacing w:after="0" w:line="360" w:lineRule="auto"/>
        <w:jc w:val="both"/>
        <w:rPr>
          <w:rFonts w:ascii="Arial" w:hAnsi="Arial" w:cs="Arial"/>
          <w:sz w:val="24"/>
          <w:szCs w:val="24"/>
        </w:rPr>
      </w:pPr>
    </w:p>
    <w:p w14:paraId="3820D879" w14:textId="77777777" w:rsidR="00CE07E3" w:rsidRPr="00CE07E3" w:rsidRDefault="00CE07E3" w:rsidP="00AF30C0">
      <w:pPr>
        <w:pStyle w:val="ListParagraph"/>
        <w:widowControl w:val="0"/>
        <w:numPr>
          <w:ilvl w:val="0"/>
          <w:numId w:val="3"/>
        </w:numPr>
        <w:autoSpaceDE w:val="0"/>
        <w:autoSpaceDN w:val="0"/>
        <w:adjustRightInd w:val="0"/>
        <w:spacing w:after="0" w:line="360" w:lineRule="auto"/>
        <w:jc w:val="both"/>
        <w:rPr>
          <w:rFonts w:ascii="Arial" w:hAnsi="Arial" w:cs="Arial"/>
          <w:sz w:val="24"/>
          <w:szCs w:val="24"/>
        </w:rPr>
      </w:pPr>
      <w:r w:rsidRPr="00CE07E3">
        <w:rPr>
          <w:rFonts w:ascii="Arial" w:hAnsi="Arial" w:cs="Arial"/>
          <w:sz w:val="24"/>
          <w:szCs w:val="24"/>
        </w:rPr>
        <w:t>Further, the term “dismissal” is defined in the Act as a situation where:</w:t>
      </w:r>
    </w:p>
    <w:p w14:paraId="5F1D5DEA" w14:textId="77777777" w:rsidR="00CE07E3" w:rsidRPr="00CE07E3" w:rsidRDefault="00CE07E3" w:rsidP="00AF30C0">
      <w:pPr>
        <w:widowControl w:val="0"/>
        <w:autoSpaceDE w:val="0"/>
        <w:autoSpaceDN w:val="0"/>
        <w:adjustRightInd w:val="0"/>
        <w:spacing w:after="0" w:line="360" w:lineRule="auto"/>
        <w:jc w:val="both"/>
        <w:rPr>
          <w:rFonts w:ascii="Arial" w:hAnsi="Arial" w:cs="Arial"/>
          <w:sz w:val="24"/>
          <w:szCs w:val="24"/>
        </w:rPr>
      </w:pPr>
    </w:p>
    <w:p w14:paraId="04A8D08C" w14:textId="77777777" w:rsidR="00CE07E3" w:rsidRDefault="00CE07E3" w:rsidP="00AF30C0">
      <w:pPr>
        <w:pStyle w:val="ListParagraph"/>
        <w:widowControl w:val="0"/>
        <w:numPr>
          <w:ilvl w:val="0"/>
          <w:numId w:val="8"/>
        </w:numPr>
        <w:autoSpaceDE w:val="0"/>
        <w:autoSpaceDN w:val="0"/>
        <w:adjustRightInd w:val="0"/>
        <w:spacing w:after="0" w:line="360" w:lineRule="auto"/>
        <w:jc w:val="both"/>
        <w:rPr>
          <w:rFonts w:ascii="Arial" w:hAnsi="Arial" w:cs="Arial"/>
          <w:i/>
          <w:sz w:val="24"/>
          <w:szCs w:val="24"/>
        </w:rPr>
      </w:pPr>
      <w:r w:rsidRPr="00CE07E3">
        <w:rPr>
          <w:rFonts w:ascii="Arial" w:hAnsi="Arial" w:cs="Arial"/>
          <w:i/>
          <w:sz w:val="24"/>
          <w:szCs w:val="24"/>
        </w:rPr>
        <w:t>a person’s employment has been terminated at the employer’s initiative, or</w:t>
      </w:r>
    </w:p>
    <w:p w14:paraId="5B554BF9" w14:textId="77777777" w:rsidR="00EC3448" w:rsidRPr="00CE07E3" w:rsidRDefault="00EC3448" w:rsidP="00EC3448">
      <w:pPr>
        <w:pStyle w:val="ListParagraph"/>
        <w:widowControl w:val="0"/>
        <w:autoSpaceDE w:val="0"/>
        <w:autoSpaceDN w:val="0"/>
        <w:adjustRightInd w:val="0"/>
        <w:spacing w:after="0" w:line="360" w:lineRule="auto"/>
        <w:ind w:left="786"/>
        <w:jc w:val="both"/>
        <w:rPr>
          <w:rFonts w:ascii="Arial" w:hAnsi="Arial" w:cs="Arial"/>
          <w:i/>
          <w:sz w:val="24"/>
          <w:szCs w:val="24"/>
        </w:rPr>
      </w:pPr>
    </w:p>
    <w:p w14:paraId="72506360" w14:textId="77777777" w:rsidR="00CE07E3" w:rsidRPr="00CE07E3" w:rsidRDefault="00CE07E3" w:rsidP="00AF30C0">
      <w:pPr>
        <w:pStyle w:val="ListParagraph"/>
        <w:widowControl w:val="0"/>
        <w:numPr>
          <w:ilvl w:val="0"/>
          <w:numId w:val="8"/>
        </w:numPr>
        <w:autoSpaceDE w:val="0"/>
        <w:autoSpaceDN w:val="0"/>
        <w:adjustRightInd w:val="0"/>
        <w:spacing w:after="0" w:line="360" w:lineRule="auto"/>
        <w:jc w:val="both"/>
        <w:rPr>
          <w:rFonts w:ascii="Arial" w:hAnsi="Arial" w:cs="Arial"/>
          <w:sz w:val="24"/>
          <w:szCs w:val="24"/>
        </w:rPr>
      </w:pPr>
      <w:proofErr w:type="gramStart"/>
      <w:r w:rsidRPr="00CE07E3">
        <w:rPr>
          <w:rFonts w:ascii="Arial" w:hAnsi="Arial" w:cs="Arial"/>
          <w:i/>
          <w:sz w:val="24"/>
          <w:szCs w:val="24"/>
        </w:rPr>
        <w:t>a</w:t>
      </w:r>
      <w:proofErr w:type="gramEnd"/>
      <w:r w:rsidRPr="00CE07E3">
        <w:rPr>
          <w:rFonts w:ascii="Arial" w:hAnsi="Arial" w:cs="Arial"/>
          <w:i/>
          <w:sz w:val="24"/>
          <w:szCs w:val="24"/>
        </w:rPr>
        <w:t xml:space="preserve"> person was forced to resign because of the conduct or course of conduct engaged in by the employer</w:t>
      </w:r>
      <w:r w:rsidRPr="00CE07E3">
        <w:rPr>
          <w:rFonts w:ascii="Arial" w:hAnsi="Arial" w:cs="Arial"/>
          <w:sz w:val="24"/>
          <w:szCs w:val="24"/>
        </w:rPr>
        <w:t>.</w:t>
      </w:r>
      <w:r w:rsidRPr="00CE07E3">
        <w:rPr>
          <w:rStyle w:val="FootnoteReference"/>
          <w:rFonts w:ascii="Arial" w:hAnsi="Arial" w:cs="Arial"/>
          <w:sz w:val="24"/>
          <w:szCs w:val="24"/>
        </w:rPr>
        <w:footnoteReference w:id="80"/>
      </w:r>
    </w:p>
    <w:p w14:paraId="11014480" w14:textId="77777777" w:rsidR="00CE07E3" w:rsidRPr="00CE07E3" w:rsidRDefault="00CE07E3" w:rsidP="00AF30C0">
      <w:pPr>
        <w:pStyle w:val="ListParagraph"/>
        <w:widowControl w:val="0"/>
        <w:autoSpaceDE w:val="0"/>
        <w:autoSpaceDN w:val="0"/>
        <w:adjustRightInd w:val="0"/>
        <w:spacing w:after="0" w:line="360" w:lineRule="auto"/>
        <w:jc w:val="both"/>
        <w:rPr>
          <w:rFonts w:ascii="Arial" w:hAnsi="Arial" w:cs="Arial"/>
          <w:sz w:val="24"/>
          <w:szCs w:val="24"/>
        </w:rPr>
      </w:pPr>
    </w:p>
    <w:p w14:paraId="78ADA841" w14:textId="77777777" w:rsidR="00CE07E3" w:rsidRPr="00CE07E3" w:rsidRDefault="00CE07E3" w:rsidP="00AF30C0">
      <w:pPr>
        <w:pStyle w:val="ListParagraph"/>
        <w:widowControl w:val="0"/>
        <w:numPr>
          <w:ilvl w:val="0"/>
          <w:numId w:val="3"/>
        </w:numPr>
        <w:autoSpaceDE w:val="0"/>
        <w:autoSpaceDN w:val="0"/>
        <w:adjustRightInd w:val="0"/>
        <w:spacing w:after="0" w:line="360" w:lineRule="auto"/>
        <w:jc w:val="both"/>
        <w:rPr>
          <w:rFonts w:ascii="Arial" w:hAnsi="Arial" w:cs="Arial"/>
          <w:sz w:val="24"/>
          <w:szCs w:val="24"/>
        </w:rPr>
      </w:pPr>
      <w:r w:rsidRPr="00CE07E3">
        <w:rPr>
          <w:rFonts w:ascii="Arial" w:hAnsi="Arial" w:cs="Arial"/>
          <w:sz w:val="24"/>
          <w:szCs w:val="24"/>
        </w:rPr>
        <w:t xml:space="preserve">However, this definition does not encompass situations where an employee has been pressured to “agree” to resign in order to be engaged as an independent contractor. For example, an employer may apply undue pressure on an employee seeking flexibility in their working arrangements in order to care for their family to resign and be reengaged as an independent contractor </w:t>
      </w:r>
      <w:r w:rsidRPr="00CE07E3">
        <w:rPr>
          <w:rFonts w:ascii="Arial" w:hAnsi="Arial" w:cs="Arial"/>
          <w:sz w:val="24"/>
          <w:szCs w:val="24"/>
        </w:rPr>
        <w:lastRenderedPageBreak/>
        <w:t>performing the same or similar work. An employee who agrees to be terminated or resigns would not be eligible for relief under s. 358, as there is no dismissal.</w:t>
      </w:r>
    </w:p>
    <w:p w14:paraId="391CC9F0" w14:textId="77777777" w:rsidR="00CE07E3" w:rsidRPr="00CE07E3" w:rsidRDefault="00CE07E3" w:rsidP="00AF30C0">
      <w:pPr>
        <w:widowControl w:val="0"/>
        <w:autoSpaceDE w:val="0"/>
        <w:autoSpaceDN w:val="0"/>
        <w:adjustRightInd w:val="0"/>
        <w:spacing w:after="0" w:line="360" w:lineRule="auto"/>
        <w:jc w:val="both"/>
        <w:rPr>
          <w:rFonts w:ascii="Arial" w:hAnsi="Arial" w:cs="Arial"/>
          <w:sz w:val="24"/>
          <w:szCs w:val="24"/>
        </w:rPr>
      </w:pPr>
    </w:p>
    <w:p w14:paraId="207BCDA3" w14:textId="1FA5F948" w:rsidR="00CE07E3" w:rsidRPr="00CE07E3" w:rsidRDefault="00CE07E3" w:rsidP="00AF30C0">
      <w:pPr>
        <w:pStyle w:val="ListParagraph"/>
        <w:widowControl w:val="0"/>
        <w:numPr>
          <w:ilvl w:val="0"/>
          <w:numId w:val="3"/>
        </w:numPr>
        <w:autoSpaceDE w:val="0"/>
        <w:autoSpaceDN w:val="0"/>
        <w:adjustRightInd w:val="0"/>
        <w:spacing w:after="0" w:line="360" w:lineRule="auto"/>
        <w:jc w:val="both"/>
        <w:rPr>
          <w:rFonts w:ascii="Arial" w:hAnsi="Arial" w:cs="Arial"/>
          <w:sz w:val="24"/>
          <w:szCs w:val="24"/>
        </w:rPr>
      </w:pPr>
      <w:r w:rsidRPr="00CE07E3">
        <w:rPr>
          <w:rFonts w:ascii="Arial" w:hAnsi="Arial" w:cs="Arial"/>
          <w:sz w:val="24"/>
          <w:szCs w:val="24"/>
        </w:rPr>
        <w:t xml:space="preserve">To remedy these anomalies, we recommend s. 358 be amended to allow relief in circumstances where an employer has </w:t>
      </w:r>
      <w:r w:rsidRPr="00A43228">
        <w:rPr>
          <w:rFonts w:ascii="Arial" w:hAnsi="Arial" w:cs="Arial"/>
          <w:sz w:val="24"/>
          <w:szCs w:val="24"/>
          <w:u w:val="single"/>
        </w:rPr>
        <w:t>unduly influenced</w:t>
      </w:r>
      <w:r w:rsidRPr="00CE07E3">
        <w:rPr>
          <w:rFonts w:ascii="Arial" w:hAnsi="Arial" w:cs="Arial"/>
          <w:sz w:val="24"/>
          <w:szCs w:val="24"/>
        </w:rPr>
        <w:t xml:space="preserve"> or applied </w:t>
      </w:r>
      <w:r w:rsidRPr="00A43228">
        <w:rPr>
          <w:rFonts w:ascii="Arial" w:hAnsi="Arial" w:cs="Arial"/>
          <w:sz w:val="24"/>
          <w:szCs w:val="24"/>
          <w:u w:val="single"/>
        </w:rPr>
        <w:t>undue pressure</w:t>
      </w:r>
      <w:r w:rsidRPr="00CE07E3">
        <w:rPr>
          <w:rFonts w:ascii="Arial" w:hAnsi="Arial" w:cs="Arial"/>
          <w:sz w:val="24"/>
          <w:szCs w:val="24"/>
        </w:rPr>
        <w:t xml:space="preserve"> on an employee to agree to termination or resignation.</w:t>
      </w:r>
    </w:p>
    <w:p w14:paraId="488CAAB3" w14:textId="77777777" w:rsidR="00CE07E3" w:rsidRPr="00CE07E3" w:rsidRDefault="00CE07E3" w:rsidP="00AF30C0">
      <w:pPr>
        <w:widowControl w:val="0"/>
        <w:autoSpaceDE w:val="0"/>
        <w:autoSpaceDN w:val="0"/>
        <w:adjustRightInd w:val="0"/>
        <w:spacing w:after="0" w:line="360" w:lineRule="auto"/>
        <w:jc w:val="both"/>
        <w:rPr>
          <w:rFonts w:ascii="Arial" w:hAnsi="Arial" w:cs="Arial"/>
          <w:sz w:val="24"/>
          <w:szCs w:val="24"/>
        </w:rPr>
      </w:pPr>
    </w:p>
    <w:p w14:paraId="577D6F9D" w14:textId="77777777" w:rsidR="00CE07E3" w:rsidRPr="00CE07E3" w:rsidRDefault="00CE07E3" w:rsidP="00AF30C0">
      <w:pPr>
        <w:pStyle w:val="ListParagraph"/>
        <w:widowControl w:val="0"/>
        <w:numPr>
          <w:ilvl w:val="0"/>
          <w:numId w:val="3"/>
        </w:numPr>
        <w:autoSpaceDE w:val="0"/>
        <w:autoSpaceDN w:val="0"/>
        <w:adjustRightInd w:val="0"/>
        <w:spacing w:after="0" w:line="360" w:lineRule="auto"/>
        <w:jc w:val="both"/>
        <w:rPr>
          <w:rFonts w:ascii="Arial" w:hAnsi="Arial" w:cs="Arial"/>
          <w:sz w:val="24"/>
          <w:szCs w:val="24"/>
        </w:rPr>
      </w:pPr>
      <w:r w:rsidRPr="00CE07E3">
        <w:rPr>
          <w:rFonts w:ascii="Arial" w:hAnsi="Arial" w:cs="Arial"/>
          <w:sz w:val="24"/>
          <w:szCs w:val="24"/>
        </w:rPr>
        <w:t>Further, we recommend an extension of the 21-day limit in which to make an application for relief, due to the complex nature of the determination of whether an employee has in fact been improperly engaged as an independent contractor.</w:t>
      </w:r>
    </w:p>
    <w:p w14:paraId="022FCB08" w14:textId="77777777" w:rsidR="00CE07E3" w:rsidRPr="00CE07E3" w:rsidRDefault="00CE07E3" w:rsidP="00AF30C0">
      <w:pPr>
        <w:widowControl w:val="0"/>
        <w:autoSpaceDE w:val="0"/>
        <w:autoSpaceDN w:val="0"/>
        <w:adjustRightInd w:val="0"/>
        <w:spacing w:after="0" w:line="360" w:lineRule="auto"/>
        <w:jc w:val="both"/>
        <w:rPr>
          <w:rFonts w:ascii="Arial" w:hAnsi="Arial" w:cs="Arial"/>
          <w:sz w:val="24"/>
          <w:szCs w:val="24"/>
        </w:rPr>
      </w:pPr>
    </w:p>
    <w:p w14:paraId="7E8CA215" w14:textId="77777777" w:rsidR="00CE07E3" w:rsidRPr="00CE07E3" w:rsidRDefault="00CE07E3" w:rsidP="00AF30C0">
      <w:pPr>
        <w:widowControl w:val="0"/>
        <w:autoSpaceDE w:val="0"/>
        <w:autoSpaceDN w:val="0"/>
        <w:adjustRightInd w:val="0"/>
        <w:spacing w:after="0" w:line="360" w:lineRule="auto"/>
        <w:jc w:val="both"/>
        <w:rPr>
          <w:rFonts w:ascii="Arial" w:hAnsi="Arial" w:cs="Arial"/>
          <w:sz w:val="24"/>
          <w:szCs w:val="24"/>
          <w:u w:val="single"/>
        </w:rPr>
      </w:pPr>
      <w:r w:rsidRPr="00CE07E3">
        <w:rPr>
          <w:rFonts w:ascii="Arial" w:hAnsi="Arial" w:cs="Arial"/>
          <w:sz w:val="24"/>
          <w:szCs w:val="24"/>
          <w:u w:val="single"/>
        </w:rPr>
        <w:t>s. 359: Misrepresentations to engage as Independent Contractor</w:t>
      </w:r>
    </w:p>
    <w:p w14:paraId="7432F7F7" w14:textId="77777777" w:rsidR="00CE07E3" w:rsidRPr="00CE07E3" w:rsidRDefault="00CE07E3" w:rsidP="00AF30C0">
      <w:pPr>
        <w:widowControl w:val="0"/>
        <w:autoSpaceDE w:val="0"/>
        <w:autoSpaceDN w:val="0"/>
        <w:adjustRightInd w:val="0"/>
        <w:spacing w:after="0" w:line="360" w:lineRule="auto"/>
        <w:jc w:val="both"/>
        <w:rPr>
          <w:rFonts w:ascii="Arial" w:hAnsi="Arial" w:cs="Arial"/>
          <w:sz w:val="24"/>
          <w:szCs w:val="24"/>
        </w:rPr>
      </w:pPr>
    </w:p>
    <w:p w14:paraId="625FA4B5" w14:textId="77777777" w:rsidR="00CE07E3" w:rsidRPr="00CE07E3" w:rsidRDefault="00CE07E3" w:rsidP="00AF30C0">
      <w:pPr>
        <w:pStyle w:val="ListParagraph"/>
        <w:widowControl w:val="0"/>
        <w:numPr>
          <w:ilvl w:val="0"/>
          <w:numId w:val="3"/>
        </w:numPr>
        <w:autoSpaceDE w:val="0"/>
        <w:autoSpaceDN w:val="0"/>
        <w:adjustRightInd w:val="0"/>
        <w:spacing w:after="0" w:line="360" w:lineRule="auto"/>
        <w:jc w:val="both"/>
        <w:rPr>
          <w:rFonts w:ascii="Arial" w:hAnsi="Arial" w:cs="Arial"/>
          <w:sz w:val="24"/>
          <w:szCs w:val="24"/>
        </w:rPr>
      </w:pPr>
      <w:r w:rsidRPr="00CE07E3">
        <w:rPr>
          <w:rFonts w:ascii="Arial" w:hAnsi="Arial" w:cs="Arial"/>
          <w:sz w:val="24"/>
          <w:szCs w:val="24"/>
        </w:rPr>
        <w:t xml:space="preserve">Similar issues arise under this section as those in s. 357(2) (discussed above). In order to be in breach of this provision, the employer must </w:t>
      </w:r>
      <w:r w:rsidRPr="00A43228">
        <w:rPr>
          <w:rFonts w:ascii="Arial" w:hAnsi="Arial" w:cs="Arial"/>
          <w:sz w:val="24"/>
          <w:szCs w:val="24"/>
          <w:u w:val="single"/>
        </w:rPr>
        <w:t>actually know</w:t>
      </w:r>
      <w:r w:rsidRPr="00CE07E3">
        <w:rPr>
          <w:rFonts w:ascii="Arial" w:hAnsi="Arial" w:cs="Arial"/>
          <w:sz w:val="24"/>
          <w:szCs w:val="24"/>
        </w:rPr>
        <w:t xml:space="preserve"> that the representations they made were false. This is a purely subjective test and does not even include an element of recklessness. </w:t>
      </w:r>
    </w:p>
    <w:p w14:paraId="0A3E95D7" w14:textId="77777777" w:rsidR="00CE07E3" w:rsidRPr="00CE07E3" w:rsidRDefault="00CE07E3" w:rsidP="00AF30C0">
      <w:pPr>
        <w:widowControl w:val="0"/>
        <w:autoSpaceDE w:val="0"/>
        <w:autoSpaceDN w:val="0"/>
        <w:adjustRightInd w:val="0"/>
        <w:spacing w:after="0" w:line="360" w:lineRule="auto"/>
        <w:jc w:val="both"/>
        <w:rPr>
          <w:rFonts w:ascii="Arial" w:hAnsi="Arial" w:cs="Arial"/>
          <w:sz w:val="24"/>
          <w:szCs w:val="24"/>
        </w:rPr>
      </w:pPr>
    </w:p>
    <w:p w14:paraId="1E0703AB" w14:textId="77777777" w:rsidR="00CE07E3" w:rsidRPr="00CE07E3" w:rsidRDefault="00CE07E3" w:rsidP="00AF30C0">
      <w:pPr>
        <w:pStyle w:val="ListParagraph"/>
        <w:widowControl w:val="0"/>
        <w:numPr>
          <w:ilvl w:val="0"/>
          <w:numId w:val="3"/>
        </w:numPr>
        <w:autoSpaceDE w:val="0"/>
        <w:autoSpaceDN w:val="0"/>
        <w:adjustRightInd w:val="0"/>
        <w:spacing w:after="0" w:line="360" w:lineRule="auto"/>
        <w:jc w:val="both"/>
        <w:rPr>
          <w:rFonts w:ascii="Arial" w:hAnsi="Arial" w:cs="Arial"/>
          <w:sz w:val="24"/>
          <w:szCs w:val="24"/>
        </w:rPr>
      </w:pPr>
      <w:r w:rsidRPr="00CE07E3">
        <w:rPr>
          <w:rFonts w:ascii="Arial" w:hAnsi="Arial" w:cs="Arial"/>
          <w:sz w:val="24"/>
          <w:szCs w:val="24"/>
        </w:rPr>
        <w:t>Like s. 357(2), this provision also encourages ignorance of the law. Further, after the decision in Barclay</w:t>
      </w:r>
      <w:r w:rsidRPr="00CE07E3">
        <w:rPr>
          <w:rStyle w:val="FootnoteReference"/>
          <w:rFonts w:ascii="Arial" w:hAnsi="Arial" w:cs="Arial"/>
          <w:sz w:val="24"/>
          <w:szCs w:val="24"/>
        </w:rPr>
        <w:footnoteReference w:id="81"/>
      </w:r>
      <w:r w:rsidRPr="00CE07E3">
        <w:rPr>
          <w:rFonts w:ascii="Arial" w:hAnsi="Arial" w:cs="Arial"/>
          <w:sz w:val="24"/>
          <w:szCs w:val="24"/>
        </w:rPr>
        <w:t xml:space="preserve"> (also discussed above), unless the employer makes admissions, the practical onus of proving the employer knew, rests with the Applicant.</w:t>
      </w:r>
    </w:p>
    <w:p w14:paraId="0E247132" w14:textId="77777777" w:rsidR="00CE07E3" w:rsidRPr="00CE07E3" w:rsidRDefault="00CE07E3" w:rsidP="00AF30C0">
      <w:pPr>
        <w:widowControl w:val="0"/>
        <w:autoSpaceDE w:val="0"/>
        <w:autoSpaceDN w:val="0"/>
        <w:adjustRightInd w:val="0"/>
        <w:spacing w:after="0" w:line="360" w:lineRule="auto"/>
        <w:jc w:val="both"/>
        <w:rPr>
          <w:rFonts w:ascii="Arial" w:hAnsi="Arial" w:cs="Arial"/>
          <w:sz w:val="24"/>
          <w:szCs w:val="24"/>
        </w:rPr>
      </w:pPr>
    </w:p>
    <w:p w14:paraId="271735E0" w14:textId="77777777" w:rsidR="00CE07E3" w:rsidRPr="00CE07E3" w:rsidRDefault="00CE07E3" w:rsidP="00AF30C0">
      <w:pPr>
        <w:pStyle w:val="ListParagraph"/>
        <w:widowControl w:val="0"/>
        <w:numPr>
          <w:ilvl w:val="0"/>
          <w:numId w:val="3"/>
        </w:numPr>
        <w:autoSpaceDE w:val="0"/>
        <w:autoSpaceDN w:val="0"/>
        <w:adjustRightInd w:val="0"/>
        <w:spacing w:after="0" w:line="360" w:lineRule="auto"/>
        <w:jc w:val="both"/>
        <w:rPr>
          <w:rFonts w:ascii="Arial" w:hAnsi="Arial" w:cs="Arial"/>
          <w:sz w:val="24"/>
          <w:szCs w:val="24"/>
        </w:rPr>
      </w:pPr>
      <w:r w:rsidRPr="00CE07E3">
        <w:rPr>
          <w:rFonts w:ascii="Arial" w:hAnsi="Arial" w:cs="Arial"/>
          <w:sz w:val="24"/>
          <w:szCs w:val="24"/>
        </w:rPr>
        <w:t xml:space="preserve">We recommend the addition of an objective test for the determination of whether a statement was false. The inclusion of a test for reasonableness would encourage employers to seek advice or do their own research before making such statements to employees, and would encourage an appropriate level of prudence in their dealing with employees. </w:t>
      </w:r>
    </w:p>
    <w:p w14:paraId="407A9A62" w14:textId="77777777" w:rsidR="00CE07E3" w:rsidRPr="00CE07E3" w:rsidRDefault="00CE07E3" w:rsidP="00AF30C0">
      <w:pPr>
        <w:widowControl w:val="0"/>
        <w:autoSpaceDE w:val="0"/>
        <w:autoSpaceDN w:val="0"/>
        <w:adjustRightInd w:val="0"/>
        <w:spacing w:after="0" w:line="360" w:lineRule="auto"/>
        <w:jc w:val="both"/>
        <w:rPr>
          <w:rFonts w:ascii="Arial" w:hAnsi="Arial" w:cs="Arial"/>
          <w:sz w:val="24"/>
          <w:szCs w:val="24"/>
        </w:rPr>
      </w:pPr>
    </w:p>
    <w:p w14:paraId="3A816A6F" w14:textId="77777777" w:rsidR="00CE07E3" w:rsidRPr="00CE07E3" w:rsidRDefault="00CE07E3" w:rsidP="00AF30C0">
      <w:pPr>
        <w:pStyle w:val="ListParagraph"/>
        <w:widowControl w:val="0"/>
        <w:numPr>
          <w:ilvl w:val="0"/>
          <w:numId w:val="3"/>
        </w:numPr>
        <w:autoSpaceDE w:val="0"/>
        <w:autoSpaceDN w:val="0"/>
        <w:adjustRightInd w:val="0"/>
        <w:spacing w:after="0" w:line="360" w:lineRule="auto"/>
        <w:jc w:val="both"/>
        <w:rPr>
          <w:rFonts w:ascii="Arial" w:hAnsi="Arial" w:cs="Arial"/>
          <w:sz w:val="24"/>
          <w:szCs w:val="24"/>
        </w:rPr>
      </w:pPr>
      <w:r w:rsidRPr="00CE07E3">
        <w:rPr>
          <w:rFonts w:ascii="Arial" w:hAnsi="Arial" w:cs="Arial"/>
          <w:sz w:val="24"/>
          <w:szCs w:val="24"/>
        </w:rPr>
        <w:t>As such, we recommend s. 359 be amended to:</w:t>
      </w:r>
    </w:p>
    <w:p w14:paraId="11DCED15" w14:textId="77777777" w:rsidR="00CE07E3" w:rsidRPr="00CE07E3" w:rsidRDefault="00CE07E3" w:rsidP="00AF30C0">
      <w:pPr>
        <w:widowControl w:val="0"/>
        <w:autoSpaceDE w:val="0"/>
        <w:autoSpaceDN w:val="0"/>
        <w:adjustRightInd w:val="0"/>
        <w:spacing w:after="0" w:line="360" w:lineRule="auto"/>
        <w:jc w:val="both"/>
        <w:rPr>
          <w:rFonts w:ascii="Arial" w:hAnsi="Arial" w:cs="Arial"/>
          <w:sz w:val="24"/>
          <w:szCs w:val="24"/>
        </w:rPr>
      </w:pPr>
    </w:p>
    <w:p w14:paraId="6380006A" w14:textId="77777777" w:rsidR="00CE07E3" w:rsidRPr="00CE07E3" w:rsidRDefault="00CE07E3" w:rsidP="00AF30C0">
      <w:pPr>
        <w:widowControl w:val="0"/>
        <w:autoSpaceDE w:val="0"/>
        <w:autoSpaceDN w:val="0"/>
        <w:adjustRightInd w:val="0"/>
        <w:spacing w:after="0" w:line="360" w:lineRule="auto"/>
        <w:ind w:left="720"/>
        <w:jc w:val="both"/>
        <w:rPr>
          <w:rFonts w:ascii="Arial" w:hAnsi="Arial" w:cs="Arial"/>
          <w:i/>
          <w:sz w:val="24"/>
          <w:szCs w:val="24"/>
        </w:rPr>
      </w:pPr>
      <w:r w:rsidRPr="00CE07E3">
        <w:rPr>
          <w:rFonts w:ascii="Arial" w:hAnsi="Arial" w:cs="Arial"/>
          <w:i/>
          <w:sz w:val="24"/>
          <w:szCs w:val="24"/>
        </w:rPr>
        <w:t xml:space="preserve">A person (the employer) that employs, or has at any time employed, an individual to perform particular work must not make a statement that the employer knows, </w:t>
      </w:r>
      <w:r w:rsidRPr="00CE07E3">
        <w:rPr>
          <w:rFonts w:ascii="Arial" w:hAnsi="Arial" w:cs="Arial"/>
          <w:i/>
          <w:sz w:val="24"/>
          <w:szCs w:val="24"/>
          <w:u w:val="single"/>
        </w:rPr>
        <w:t>or ought reasonably know</w:t>
      </w:r>
      <w:r w:rsidRPr="00CE07E3">
        <w:rPr>
          <w:rFonts w:ascii="Arial" w:hAnsi="Arial" w:cs="Arial"/>
          <w:i/>
          <w:sz w:val="24"/>
          <w:szCs w:val="24"/>
        </w:rPr>
        <w:t>, is false in order to persuade or influence the individual to enter into a contract for services under which the individual will perform, as an independent contractor, the same, or substantially the same, work for the employer.</w:t>
      </w:r>
    </w:p>
    <w:p w14:paraId="409CCEC8" w14:textId="77777777" w:rsidR="00CE07E3" w:rsidRDefault="00CE07E3" w:rsidP="006743A6">
      <w:pPr>
        <w:widowControl w:val="0"/>
        <w:autoSpaceDE w:val="0"/>
        <w:autoSpaceDN w:val="0"/>
        <w:adjustRightInd w:val="0"/>
        <w:spacing w:after="0" w:line="360" w:lineRule="auto"/>
        <w:jc w:val="both"/>
        <w:rPr>
          <w:rFonts w:ascii="Times New Roman" w:hAnsi="Times New Roman" w:cs="Times New Roman"/>
        </w:rPr>
      </w:pPr>
    </w:p>
    <w:p w14:paraId="5AB59430" w14:textId="77777777" w:rsidR="003B4741" w:rsidRPr="003B4741" w:rsidRDefault="003B4741" w:rsidP="00E518B1">
      <w:pPr>
        <w:widowControl w:val="0"/>
        <w:autoSpaceDE w:val="0"/>
        <w:autoSpaceDN w:val="0"/>
        <w:adjustRightInd w:val="0"/>
        <w:spacing w:after="0" w:line="360" w:lineRule="auto"/>
        <w:jc w:val="both"/>
        <w:rPr>
          <w:rFonts w:ascii="Arial" w:hAnsi="Arial" w:cs="Arial"/>
          <w:b/>
          <w:sz w:val="24"/>
          <w:szCs w:val="24"/>
        </w:rPr>
      </w:pPr>
      <w:r>
        <w:rPr>
          <w:rFonts w:ascii="Arial" w:hAnsi="Arial" w:cs="Arial"/>
          <w:b/>
          <w:sz w:val="24"/>
          <w:szCs w:val="24"/>
        </w:rPr>
        <w:t>Specific issue: General protections</w:t>
      </w:r>
    </w:p>
    <w:p w14:paraId="0302E4DC" w14:textId="77777777" w:rsidR="00CE07E3" w:rsidRDefault="00CE07E3" w:rsidP="00AF30C0">
      <w:pPr>
        <w:spacing w:after="0" w:line="360" w:lineRule="auto"/>
        <w:jc w:val="both"/>
        <w:rPr>
          <w:rFonts w:ascii="Arial" w:hAnsi="Arial" w:cs="Arial"/>
          <w:sz w:val="24"/>
          <w:szCs w:val="24"/>
        </w:rPr>
      </w:pPr>
    </w:p>
    <w:p w14:paraId="21128339" w14:textId="77777777" w:rsidR="003B4741" w:rsidRDefault="003B4741" w:rsidP="00AF30C0">
      <w:pPr>
        <w:pStyle w:val="ListParagraph"/>
        <w:numPr>
          <w:ilvl w:val="0"/>
          <w:numId w:val="3"/>
        </w:numPr>
        <w:spacing w:after="0" w:line="360" w:lineRule="auto"/>
        <w:jc w:val="both"/>
        <w:rPr>
          <w:rFonts w:ascii="Arial" w:hAnsi="Arial" w:cs="Arial"/>
          <w:sz w:val="24"/>
          <w:szCs w:val="24"/>
        </w:rPr>
      </w:pPr>
      <w:r>
        <w:rPr>
          <w:rFonts w:ascii="Arial" w:hAnsi="Arial" w:cs="Arial"/>
          <w:sz w:val="24"/>
          <w:szCs w:val="24"/>
        </w:rPr>
        <w:t xml:space="preserve">We note that attempts have been made to increase the scope for the Fair Work Commission to determine general protections disputes. </w:t>
      </w:r>
    </w:p>
    <w:p w14:paraId="5E40D722" w14:textId="77777777" w:rsidR="003B4741" w:rsidRDefault="003B4741" w:rsidP="00AF30C0">
      <w:pPr>
        <w:pStyle w:val="ListParagraph"/>
        <w:spacing w:after="0" w:line="360" w:lineRule="auto"/>
        <w:jc w:val="both"/>
        <w:rPr>
          <w:rFonts w:ascii="Arial" w:hAnsi="Arial" w:cs="Arial"/>
          <w:sz w:val="24"/>
          <w:szCs w:val="24"/>
        </w:rPr>
      </w:pPr>
    </w:p>
    <w:p w14:paraId="788A1162" w14:textId="77777777" w:rsidR="003B4741" w:rsidRDefault="003B4741" w:rsidP="00AF30C0">
      <w:pPr>
        <w:pStyle w:val="ListParagraph"/>
        <w:numPr>
          <w:ilvl w:val="0"/>
          <w:numId w:val="3"/>
        </w:numPr>
        <w:spacing w:after="0" w:line="360" w:lineRule="auto"/>
        <w:jc w:val="both"/>
        <w:rPr>
          <w:rFonts w:ascii="Arial" w:hAnsi="Arial" w:cs="Arial"/>
          <w:sz w:val="24"/>
          <w:szCs w:val="24"/>
        </w:rPr>
      </w:pPr>
      <w:r>
        <w:rPr>
          <w:rFonts w:ascii="Arial" w:hAnsi="Arial" w:cs="Arial"/>
          <w:sz w:val="24"/>
          <w:szCs w:val="24"/>
        </w:rPr>
        <w:t>The Fair Work Commission can now arbitrate general protections disputes if both parties agree.</w:t>
      </w:r>
      <w:r>
        <w:rPr>
          <w:rStyle w:val="FootnoteReference"/>
          <w:rFonts w:ascii="Arial" w:hAnsi="Arial" w:cs="Arial"/>
          <w:sz w:val="24"/>
          <w:szCs w:val="24"/>
        </w:rPr>
        <w:footnoteReference w:id="82"/>
      </w:r>
    </w:p>
    <w:p w14:paraId="63C9DB3B" w14:textId="77777777" w:rsidR="003B4741" w:rsidRPr="003B4741" w:rsidRDefault="003B4741" w:rsidP="00AF30C0">
      <w:pPr>
        <w:pStyle w:val="ListParagraph"/>
        <w:spacing w:line="360" w:lineRule="auto"/>
        <w:jc w:val="both"/>
        <w:rPr>
          <w:rFonts w:ascii="Arial" w:hAnsi="Arial" w:cs="Arial"/>
          <w:sz w:val="24"/>
          <w:szCs w:val="24"/>
        </w:rPr>
      </w:pPr>
    </w:p>
    <w:p w14:paraId="51EC3F5F" w14:textId="77777777" w:rsidR="003B4741" w:rsidRDefault="003B4741" w:rsidP="00AF30C0">
      <w:pPr>
        <w:pStyle w:val="ListParagraph"/>
        <w:numPr>
          <w:ilvl w:val="0"/>
          <w:numId w:val="3"/>
        </w:numPr>
        <w:spacing w:after="0" w:line="360" w:lineRule="auto"/>
        <w:jc w:val="both"/>
        <w:rPr>
          <w:rFonts w:ascii="Arial" w:hAnsi="Arial" w:cs="Arial"/>
          <w:sz w:val="24"/>
          <w:szCs w:val="24"/>
        </w:rPr>
      </w:pPr>
      <w:r>
        <w:rPr>
          <w:rFonts w:ascii="Arial" w:hAnsi="Arial" w:cs="Arial"/>
          <w:sz w:val="24"/>
          <w:szCs w:val="24"/>
        </w:rPr>
        <w:t xml:space="preserve">However, the normal course of action is still for general protections matters to be determined in the Federal Court or Federal Circuit Court. </w:t>
      </w:r>
    </w:p>
    <w:p w14:paraId="6F4810A7" w14:textId="77777777" w:rsidR="003B4741" w:rsidRPr="003B4741" w:rsidRDefault="003B4741" w:rsidP="00AF30C0">
      <w:pPr>
        <w:pStyle w:val="ListParagraph"/>
        <w:spacing w:line="360" w:lineRule="auto"/>
        <w:jc w:val="both"/>
        <w:rPr>
          <w:rFonts w:ascii="Arial" w:hAnsi="Arial" w:cs="Arial"/>
          <w:sz w:val="24"/>
          <w:szCs w:val="24"/>
        </w:rPr>
      </w:pPr>
    </w:p>
    <w:p w14:paraId="3AB3BB26" w14:textId="77777777" w:rsidR="003B4741" w:rsidRDefault="003B4741" w:rsidP="00AF30C0">
      <w:pPr>
        <w:pStyle w:val="ListParagraph"/>
        <w:numPr>
          <w:ilvl w:val="0"/>
          <w:numId w:val="3"/>
        </w:numPr>
        <w:spacing w:after="0" w:line="360" w:lineRule="auto"/>
        <w:jc w:val="both"/>
        <w:rPr>
          <w:rFonts w:ascii="Arial" w:hAnsi="Arial" w:cs="Arial"/>
          <w:sz w:val="24"/>
          <w:szCs w:val="24"/>
        </w:rPr>
      </w:pPr>
      <w:r>
        <w:rPr>
          <w:rFonts w:ascii="Arial" w:hAnsi="Arial" w:cs="Arial"/>
          <w:sz w:val="24"/>
          <w:szCs w:val="24"/>
        </w:rPr>
        <w:t>Our experience is that this operates as a disincentive to employees prosecuting applications because of the inevitable time and expense involved in having the matter determined in a Federal Court.</w:t>
      </w:r>
    </w:p>
    <w:p w14:paraId="1C1F6A9D" w14:textId="77777777" w:rsidR="003B4741" w:rsidRPr="003B4741" w:rsidRDefault="003B4741" w:rsidP="00AF30C0">
      <w:pPr>
        <w:pStyle w:val="ListParagraph"/>
        <w:spacing w:line="360" w:lineRule="auto"/>
        <w:jc w:val="both"/>
        <w:rPr>
          <w:rFonts w:ascii="Arial" w:hAnsi="Arial" w:cs="Arial"/>
          <w:sz w:val="24"/>
          <w:szCs w:val="24"/>
        </w:rPr>
      </w:pPr>
    </w:p>
    <w:p w14:paraId="7C49B949" w14:textId="1B9FBD27" w:rsidR="004C4337" w:rsidRDefault="004C4337" w:rsidP="00AF30C0">
      <w:pPr>
        <w:pStyle w:val="ListParagraph"/>
        <w:numPr>
          <w:ilvl w:val="0"/>
          <w:numId w:val="3"/>
        </w:numPr>
        <w:spacing w:after="0" w:line="360" w:lineRule="auto"/>
        <w:jc w:val="both"/>
        <w:rPr>
          <w:rFonts w:ascii="Arial" w:hAnsi="Arial" w:cs="Arial"/>
          <w:sz w:val="24"/>
          <w:szCs w:val="24"/>
        </w:rPr>
      </w:pPr>
      <w:r>
        <w:rPr>
          <w:rFonts w:ascii="Arial" w:hAnsi="Arial" w:cs="Arial"/>
          <w:sz w:val="24"/>
          <w:szCs w:val="24"/>
        </w:rPr>
        <w:t xml:space="preserve">We note an object of the </w:t>
      </w:r>
      <w:r w:rsidR="000B252F" w:rsidRPr="00AF30C0">
        <w:rPr>
          <w:rFonts w:ascii="Arial" w:hAnsi="Arial" w:cs="Arial"/>
          <w:sz w:val="24"/>
          <w:szCs w:val="24"/>
        </w:rPr>
        <w:t>Act</w:t>
      </w:r>
      <w:r>
        <w:rPr>
          <w:rFonts w:ascii="Arial" w:hAnsi="Arial" w:cs="Arial"/>
          <w:i/>
          <w:sz w:val="24"/>
          <w:szCs w:val="24"/>
        </w:rPr>
        <w:t xml:space="preserve"> </w:t>
      </w:r>
      <w:r>
        <w:rPr>
          <w:rFonts w:ascii="Arial" w:hAnsi="Arial" w:cs="Arial"/>
          <w:sz w:val="24"/>
          <w:szCs w:val="24"/>
        </w:rPr>
        <w:t>is</w:t>
      </w:r>
      <w:r>
        <w:rPr>
          <w:rStyle w:val="FootnoteReference"/>
          <w:rFonts w:ascii="Arial" w:hAnsi="Arial" w:cs="Arial"/>
          <w:sz w:val="24"/>
          <w:szCs w:val="24"/>
        </w:rPr>
        <w:footnoteReference w:id="83"/>
      </w:r>
      <w:r>
        <w:rPr>
          <w:rFonts w:ascii="Arial" w:hAnsi="Arial" w:cs="Arial"/>
          <w:sz w:val="24"/>
          <w:szCs w:val="24"/>
        </w:rPr>
        <w:t>:</w:t>
      </w:r>
    </w:p>
    <w:p w14:paraId="335624D3" w14:textId="77777777" w:rsidR="004C4337" w:rsidRDefault="004C4337" w:rsidP="00AF30C0">
      <w:pPr>
        <w:pStyle w:val="ListParagraph"/>
        <w:spacing w:line="360" w:lineRule="auto"/>
        <w:jc w:val="both"/>
        <w:rPr>
          <w:rFonts w:ascii="Arial" w:hAnsi="Arial" w:cs="Arial"/>
          <w:sz w:val="24"/>
          <w:szCs w:val="24"/>
        </w:rPr>
      </w:pPr>
    </w:p>
    <w:p w14:paraId="0ACF7D82" w14:textId="77777777" w:rsidR="004C4337" w:rsidRPr="00AF30C0" w:rsidRDefault="00AF30C0" w:rsidP="00AF30C0">
      <w:pPr>
        <w:spacing w:line="360" w:lineRule="auto"/>
        <w:ind w:left="1324"/>
        <w:jc w:val="both"/>
        <w:rPr>
          <w:rFonts w:ascii="Arial" w:hAnsi="Arial" w:cs="Arial"/>
          <w:sz w:val="24"/>
          <w:szCs w:val="24"/>
        </w:rPr>
      </w:pPr>
      <w:r>
        <w:rPr>
          <w:rFonts w:ascii="Arial" w:hAnsi="Arial" w:cs="Arial"/>
          <w:i/>
          <w:sz w:val="24"/>
          <w:szCs w:val="24"/>
        </w:rPr>
        <w:t>“</w:t>
      </w:r>
      <w:r w:rsidR="004C4337" w:rsidRPr="00AF30C0">
        <w:rPr>
          <w:rFonts w:ascii="Arial" w:hAnsi="Arial" w:cs="Arial"/>
          <w:i/>
          <w:sz w:val="24"/>
          <w:szCs w:val="24"/>
        </w:rPr>
        <w:t xml:space="preserve">enabling fairness and representation at work and the prevention of discrimination by recognising the right to freedom of association and the right to be represented, protecting against unfair treatment and discrimination, </w:t>
      </w:r>
      <w:r w:rsidR="004C4337" w:rsidRPr="00AF30C0">
        <w:rPr>
          <w:rFonts w:ascii="Arial" w:hAnsi="Arial" w:cs="Arial"/>
          <w:i/>
          <w:sz w:val="24"/>
          <w:szCs w:val="24"/>
          <w:u w:val="single"/>
        </w:rPr>
        <w:t>providing accessible and effective procedures to resolve grievances and disputes and providing effective compliance mechanisms</w:t>
      </w:r>
      <w:r w:rsidR="004C4337" w:rsidRPr="00AF30C0">
        <w:rPr>
          <w:rFonts w:ascii="Arial" w:hAnsi="Arial" w:cs="Arial"/>
          <w:i/>
          <w:sz w:val="24"/>
          <w:szCs w:val="24"/>
        </w:rPr>
        <w:t>…</w:t>
      </w:r>
      <w:r>
        <w:rPr>
          <w:rFonts w:ascii="Arial" w:hAnsi="Arial" w:cs="Arial"/>
          <w:i/>
          <w:sz w:val="24"/>
          <w:szCs w:val="24"/>
        </w:rPr>
        <w:t>”</w:t>
      </w:r>
      <w:r w:rsidR="004C4337" w:rsidRPr="00AF30C0">
        <w:rPr>
          <w:rFonts w:ascii="Arial" w:hAnsi="Arial" w:cs="Arial"/>
          <w:i/>
          <w:sz w:val="24"/>
          <w:szCs w:val="24"/>
        </w:rPr>
        <w:t xml:space="preserve">   </w:t>
      </w:r>
      <w:r w:rsidR="004C4337" w:rsidRPr="00AF30C0">
        <w:rPr>
          <w:rFonts w:ascii="Arial" w:hAnsi="Arial" w:cs="Arial"/>
          <w:sz w:val="24"/>
          <w:szCs w:val="24"/>
        </w:rPr>
        <w:t>(</w:t>
      </w:r>
      <w:proofErr w:type="gramStart"/>
      <w:r w:rsidR="004C4337" w:rsidRPr="00AF30C0">
        <w:rPr>
          <w:rFonts w:ascii="Arial" w:hAnsi="Arial" w:cs="Arial"/>
          <w:sz w:val="24"/>
          <w:szCs w:val="24"/>
        </w:rPr>
        <w:t>our</w:t>
      </w:r>
      <w:proofErr w:type="gramEnd"/>
      <w:r w:rsidR="004C4337" w:rsidRPr="00AF30C0">
        <w:rPr>
          <w:rFonts w:ascii="Arial" w:hAnsi="Arial" w:cs="Arial"/>
          <w:sz w:val="24"/>
          <w:szCs w:val="24"/>
        </w:rPr>
        <w:t xml:space="preserve"> emphasis)</w:t>
      </w:r>
    </w:p>
    <w:p w14:paraId="550EA94F" w14:textId="77777777" w:rsidR="003B4741" w:rsidRDefault="004C4337" w:rsidP="00AF30C0">
      <w:pPr>
        <w:spacing w:after="0" w:line="360" w:lineRule="auto"/>
        <w:ind w:left="360"/>
        <w:jc w:val="both"/>
        <w:rPr>
          <w:rFonts w:ascii="Arial" w:hAnsi="Arial" w:cs="Arial"/>
          <w:sz w:val="24"/>
          <w:szCs w:val="24"/>
        </w:rPr>
      </w:pPr>
      <w:r w:rsidRPr="004C4337">
        <w:rPr>
          <w:rFonts w:ascii="Arial" w:hAnsi="Arial" w:cs="Arial"/>
          <w:sz w:val="24"/>
          <w:szCs w:val="24"/>
        </w:rPr>
        <w:lastRenderedPageBreak/>
        <w:t xml:space="preserve"> </w:t>
      </w:r>
      <w:r w:rsidR="00F43AF8" w:rsidRPr="004C4337">
        <w:rPr>
          <w:rFonts w:ascii="Arial" w:hAnsi="Arial" w:cs="Arial"/>
          <w:sz w:val="24"/>
          <w:szCs w:val="24"/>
        </w:rPr>
        <w:t xml:space="preserve"> </w:t>
      </w:r>
      <w:r w:rsidR="003B4741" w:rsidRPr="004C4337">
        <w:rPr>
          <w:rFonts w:ascii="Arial" w:hAnsi="Arial" w:cs="Arial"/>
          <w:sz w:val="24"/>
          <w:szCs w:val="24"/>
        </w:rPr>
        <w:t xml:space="preserve">    </w:t>
      </w:r>
    </w:p>
    <w:p w14:paraId="2E8227AC" w14:textId="77777777" w:rsidR="004C4337" w:rsidRPr="004C4337" w:rsidRDefault="004C4337" w:rsidP="00AF30C0">
      <w:pPr>
        <w:pStyle w:val="ListParagraph"/>
        <w:numPr>
          <w:ilvl w:val="0"/>
          <w:numId w:val="3"/>
        </w:numPr>
        <w:spacing w:after="0" w:line="360" w:lineRule="auto"/>
        <w:jc w:val="both"/>
        <w:rPr>
          <w:rFonts w:ascii="Arial" w:hAnsi="Arial" w:cs="Arial"/>
          <w:sz w:val="24"/>
          <w:szCs w:val="24"/>
        </w:rPr>
      </w:pPr>
      <w:r>
        <w:rPr>
          <w:rFonts w:ascii="Arial" w:hAnsi="Arial" w:cs="Arial"/>
          <w:sz w:val="24"/>
          <w:szCs w:val="24"/>
        </w:rPr>
        <w:t xml:space="preserve">We submit this object will be better achieved if the scope for the Fair Work Commission to deal with general protections disputes is further expanded. </w:t>
      </w:r>
    </w:p>
    <w:p w14:paraId="5238C182" w14:textId="77777777" w:rsidR="00EC3448" w:rsidRDefault="00EC3448">
      <w:pPr>
        <w:rPr>
          <w:rFonts w:ascii="Arial" w:eastAsia="Times New Roman" w:hAnsi="Arial" w:cs="Arial"/>
          <w:b/>
          <w:bCs/>
          <w:sz w:val="28"/>
          <w:szCs w:val="28"/>
          <w:lang w:val="en-US"/>
        </w:rPr>
      </w:pPr>
      <w:r>
        <w:rPr>
          <w:rFonts w:ascii="Arial" w:hAnsi="Arial" w:cs="Arial"/>
          <w:b/>
          <w:sz w:val="28"/>
          <w:szCs w:val="28"/>
        </w:rPr>
        <w:br w:type="page"/>
      </w:r>
    </w:p>
    <w:p w14:paraId="666471C4" w14:textId="77777777" w:rsidR="002E39FD" w:rsidRPr="00555859" w:rsidRDefault="002E39FD" w:rsidP="00AF30C0">
      <w:pPr>
        <w:pStyle w:val="awuHEAD"/>
        <w:spacing w:before="0" w:after="0" w:line="360" w:lineRule="auto"/>
        <w:jc w:val="both"/>
        <w:rPr>
          <w:rFonts w:ascii="Arial" w:hAnsi="Arial" w:cs="Arial"/>
          <w:b/>
          <w:color w:val="auto"/>
          <w:sz w:val="28"/>
          <w:szCs w:val="28"/>
        </w:rPr>
      </w:pPr>
      <w:r w:rsidRPr="00555859">
        <w:rPr>
          <w:rFonts w:ascii="Arial" w:hAnsi="Arial" w:cs="Arial"/>
          <w:b/>
          <w:color w:val="auto"/>
          <w:sz w:val="28"/>
          <w:szCs w:val="28"/>
        </w:rPr>
        <w:lastRenderedPageBreak/>
        <w:t>ISSUES PAPER 5: OTHER WORKPLACE RELATIONS ISSUES</w:t>
      </w:r>
    </w:p>
    <w:p w14:paraId="366D485E" w14:textId="77777777" w:rsidR="002E39FD" w:rsidRDefault="002E39FD" w:rsidP="00AF30C0">
      <w:pPr>
        <w:pStyle w:val="awuHEAD"/>
        <w:spacing w:before="0" w:after="0" w:line="360" w:lineRule="auto"/>
        <w:jc w:val="both"/>
        <w:rPr>
          <w:rFonts w:ascii="Arial" w:hAnsi="Arial" w:cs="Arial"/>
          <w:b/>
          <w:color w:val="auto"/>
          <w:szCs w:val="24"/>
        </w:rPr>
      </w:pPr>
    </w:p>
    <w:p w14:paraId="197E01A9" w14:textId="77777777" w:rsidR="0016396C" w:rsidRDefault="0016396C" w:rsidP="00AF30C0">
      <w:pPr>
        <w:pStyle w:val="awuHEAD"/>
        <w:spacing w:before="0" w:after="0" w:line="360" w:lineRule="auto"/>
        <w:jc w:val="both"/>
        <w:rPr>
          <w:rFonts w:ascii="Arial" w:hAnsi="Arial" w:cs="Arial"/>
          <w:color w:val="auto"/>
          <w:szCs w:val="24"/>
          <w:u w:val="single"/>
        </w:rPr>
      </w:pPr>
      <w:r>
        <w:rPr>
          <w:rFonts w:ascii="Arial" w:hAnsi="Arial" w:cs="Arial"/>
          <w:color w:val="auto"/>
          <w:szCs w:val="24"/>
          <w:u w:val="single"/>
        </w:rPr>
        <w:t>General points</w:t>
      </w:r>
      <w:r w:rsidR="008F7116">
        <w:rPr>
          <w:rFonts w:ascii="Arial" w:hAnsi="Arial" w:cs="Arial"/>
          <w:color w:val="auto"/>
          <w:szCs w:val="24"/>
          <w:u w:val="single"/>
        </w:rPr>
        <w:t xml:space="preserve"> on institutions and compliance costs</w:t>
      </w:r>
    </w:p>
    <w:p w14:paraId="12127D20" w14:textId="77777777" w:rsidR="0016396C" w:rsidRDefault="0016396C" w:rsidP="00AF30C0">
      <w:pPr>
        <w:pStyle w:val="awuHEAD"/>
        <w:spacing w:before="0" w:after="0" w:line="360" w:lineRule="auto"/>
        <w:jc w:val="both"/>
        <w:rPr>
          <w:rFonts w:ascii="Arial" w:hAnsi="Arial" w:cs="Arial"/>
          <w:color w:val="auto"/>
          <w:szCs w:val="24"/>
          <w:u w:val="single"/>
        </w:rPr>
      </w:pPr>
    </w:p>
    <w:p w14:paraId="6A56E819" w14:textId="77777777" w:rsidR="0016396C" w:rsidRPr="00555859" w:rsidRDefault="0016396C" w:rsidP="00AF30C0">
      <w:pPr>
        <w:pStyle w:val="awuHEAD"/>
        <w:numPr>
          <w:ilvl w:val="0"/>
          <w:numId w:val="3"/>
        </w:numPr>
        <w:spacing w:before="0" w:after="0" w:line="360" w:lineRule="auto"/>
        <w:ind w:right="95"/>
        <w:jc w:val="both"/>
        <w:rPr>
          <w:rFonts w:ascii="Arial" w:hAnsi="Arial" w:cs="Arial"/>
          <w:color w:val="auto"/>
          <w:szCs w:val="24"/>
          <w:u w:val="single"/>
        </w:rPr>
      </w:pPr>
      <w:r w:rsidRPr="00555859">
        <w:rPr>
          <w:rFonts w:ascii="Arial" w:hAnsi="Arial" w:cs="Arial"/>
          <w:color w:val="auto"/>
          <w:szCs w:val="24"/>
        </w:rPr>
        <w:t xml:space="preserve">We note Issues Paper 1 refers to declining rates of union membership as potentially providing an impetus for further change to the workplace relations system. </w:t>
      </w:r>
    </w:p>
    <w:p w14:paraId="2312FF1F" w14:textId="77777777" w:rsidR="0016396C" w:rsidRPr="00555859" w:rsidRDefault="0016396C" w:rsidP="00AF30C0">
      <w:pPr>
        <w:pStyle w:val="awuHEAD"/>
        <w:spacing w:before="0" w:after="0" w:line="360" w:lineRule="auto"/>
        <w:ind w:left="720" w:right="95"/>
        <w:jc w:val="both"/>
        <w:rPr>
          <w:rFonts w:ascii="Arial" w:hAnsi="Arial" w:cs="Arial"/>
          <w:color w:val="auto"/>
          <w:szCs w:val="24"/>
          <w:u w:val="single"/>
        </w:rPr>
      </w:pPr>
    </w:p>
    <w:p w14:paraId="2AD1FB4A" w14:textId="77777777" w:rsidR="0016396C" w:rsidRPr="00555859" w:rsidRDefault="0016396C" w:rsidP="00AF30C0">
      <w:pPr>
        <w:pStyle w:val="awuHEAD"/>
        <w:numPr>
          <w:ilvl w:val="0"/>
          <w:numId w:val="3"/>
        </w:numPr>
        <w:spacing w:before="0" w:after="0" w:line="360" w:lineRule="auto"/>
        <w:ind w:right="95"/>
        <w:jc w:val="both"/>
        <w:rPr>
          <w:rFonts w:ascii="Arial" w:hAnsi="Arial" w:cs="Arial"/>
          <w:color w:val="auto"/>
          <w:szCs w:val="24"/>
          <w:u w:val="single"/>
        </w:rPr>
      </w:pPr>
      <w:r w:rsidRPr="00555859">
        <w:rPr>
          <w:rFonts w:ascii="Arial" w:hAnsi="Arial" w:cs="Arial"/>
          <w:color w:val="auto"/>
          <w:szCs w:val="24"/>
        </w:rPr>
        <w:t>Unfortunately, this is not a new phenomenon and institutional adjustments have already been made.</w:t>
      </w:r>
    </w:p>
    <w:p w14:paraId="54A2141B" w14:textId="77777777" w:rsidR="0016396C" w:rsidRPr="00555859" w:rsidRDefault="0016396C" w:rsidP="00AF30C0">
      <w:pPr>
        <w:pStyle w:val="ListParagraph"/>
        <w:spacing w:after="0" w:line="360" w:lineRule="auto"/>
        <w:ind w:right="95"/>
        <w:jc w:val="both"/>
        <w:rPr>
          <w:rFonts w:ascii="Arial" w:hAnsi="Arial" w:cs="Arial"/>
          <w:sz w:val="24"/>
          <w:szCs w:val="24"/>
          <w:u w:val="single"/>
        </w:rPr>
      </w:pPr>
    </w:p>
    <w:p w14:paraId="68EA41EC" w14:textId="5A283278" w:rsidR="0016396C" w:rsidRPr="00555859" w:rsidRDefault="0016396C" w:rsidP="00AF30C0">
      <w:pPr>
        <w:pStyle w:val="awuHEAD"/>
        <w:numPr>
          <w:ilvl w:val="0"/>
          <w:numId w:val="3"/>
        </w:numPr>
        <w:spacing w:before="0" w:after="0" w:line="360" w:lineRule="auto"/>
        <w:ind w:right="95"/>
        <w:jc w:val="both"/>
        <w:rPr>
          <w:rFonts w:ascii="Arial" w:hAnsi="Arial" w:cs="Arial"/>
          <w:color w:val="auto"/>
          <w:szCs w:val="24"/>
          <w:u w:val="single"/>
        </w:rPr>
      </w:pPr>
      <w:r w:rsidRPr="00555859">
        <w:rPr>
          <w:rFonts w:ascii="Arial" w:hAnsi="Arial" w:cs="Arial"/>
          <w:color w:val="auto"/>
          <w:szCs w:val="24"/>
        </w:rPr>
        <w:t xml:space="preserve">Specifically, the role of the Fair Work Ombudsman has become prominent and the Fair Work Commission has had to adopt procedures that take into account an increased </w:t>
      </w:r>
      <w:r w:rsidR="00EC3448">
        <w:rPr>
          <w:rFonts w:ascii="Arial" w:hAnsi="Arial" w:cs="Arial"/>
          <w:color w:val="auto"/>
          <w:szCs w:val="24"/>
        </w:rPr>
        <w:t>number</w:t>
      </w:r>
      <w:r w:rsidR="00EC3448" w:rsidRPr="00555859">
        <w:rPr>
          <w:rFonts w:ascii="Arial" w:hAnsi="Arial" w:cs="Arial"/>
          <w:color w:val="auto"/>
          <w:szCs w:val="24"/>
        </w:rPr>
        <w:t xml:space="preserve"> </w:t>
      </w:r>
      <w:r w:rsidRPr="00555859">
        <w:rPr>
          <w:rFonts w:ascii="Arial" w:hAnsi="Arial" w:cs="Arial"/>
          <w:color w:val="auto"/>
          <w:szCs w:val="24"/>
        </w:rPr>
        <w:t xml:space="preserve">of self-represented litigants. </w:t>
      </w:r>
    </w:p>
    <w:p w14:paraId="7DEFED12" w14:textId="77777777" w:rsidR="0016396C" w:rsidRPr="00555859" w:rsidRDefault="0016396C" w:rsidP="00AF30C0">
      <w:pPr>
        <w:pStyle w:val="ListParagraph"/>
        <w:spacing w:after="0" w:line="360" w:lineRule="auto"/>
        <w:ind w:right="95"/>
        <w:jc w:val="both"/>
        <w:rPr>
          <w:rFonts w:ascii="Arial" w:hAnsi="Arial" w:cs="Arial"/>
          <w:sz w:val="24"/>
          <w:szCs w:val="24"/>
        </w:rPr>
      </w:pPr>
    </w:p>
    <w:p w14:paraId="7866D2C8" w14:textId="77777777" w:rsidR="008F7116" w:rsidRPr="00555859" w:rsidRDefault="0016396C" w:rsidP="00AF30C0">
      <w:pPr>
        <w:pStyle w:val="awuHEAD"/>
        <w:numPr>
          <w:ilvl w:val="0"/>
          <w:numId w:val="3"/>
        </w:numPr>
        <w:spacing w:before="0" w:after="0" w:line="360" w:lineRule="auto"/>
        <w:ind w:right="95"/>
        <w:jc w:val="both"/>
        <w:rPr>
          <w:rFonts w:ascii="Arial" w:hAnsi="Arial" w:cs="Arial"/>
          <w:color w:val="auto"/>
          <w:szCs w:val="24"/>
          <w:u w:val="single"/>
        </w:rPr>
      </w:pPr>
      <w:r w:rsidRPr="00555859">
        <w:rPr>
          <w:rFonts w:ascii="Arial" w:hAnsi="Arial" w:cs="Arial"/>
          <w:color w:val="auto"/>
          <w:szCs w:val="24"/>
        </w:rPr>
        <w:t xml:space="preserve">For example, the </w:t>
      </w:r>
      <w:r w:rsidR="008F7116" w:rsidRPr="00555859">
        <w:rPr>
          <w:rFonts w:ascii="Arial" w:hAnsi="Arial" w:cs="Arial"/>
          <w:color w:val="auto"/>
          <w:szCs w:val="24"/>
        </w:rPr>
        <w:t xml:space="preserve">Fair Work </w:t>
      </w:r>
      <w:r w:rsidRPr="00555859">
        <w:rPr>
          <w:rFonts w:ascii="Arial" w:hAnsi="Arial" w:cs="Arial"/>
          <w:color w:val="auto"/>
          <w:szCs w:val="24"/>
        </w:rPr>
        <w:t xml:space="preserve">Commission has developed </w:t>
      </w:r>
      <w:proofErr w:type="spellStart"/>
      <w:r w:rsidRPr="00555859">
        <w:rPr>
          <w:rFonts w:ascii="Arial" w:hAnsi="Arial" w:cs="Arial"/>
          <w:color w:val="auto"/>
          <w:szCs w:val="24"/>
        </w:rPr>
        <w:t>Benchbooks</w:t>
      </w:r>
      <w:proofErr w:type="spellEnd"/>
      <w:r w:rsidRPr="00555859">
        <w:rPr>
          <w:rFonts w:ascii="Arial" w:hAnsi="Arial" w:cs="Arial"/>
          <w:color w:val="auto"/>
          <w:szCs w:val="24"/>
        </w:rPr>
        <w:t xml:space="preserve"> which provide simple but detailed legal information on subjects such as unfair dismissal</w:t>
      </w:r>
      <w:r w:rsidR="008F7116" w:rsidRPr="00555859">
        <w:rPr>
          <w:rFonts w:ascii="Arial" w:hAnsi="Arial" w:cs="Arial"/>
          <w:color w:val="auto"/>
          <w:szCs w:val="24"/>
        </w:rPr>
        <w:t>, general protections and bullying.</w:t>
      </w:r>
      <w:r w:rsidR="008F7116" w:rsidRPr="00555859">
        <w:rPr>
          <w:rStyle w:val="FootnoteReference"/>
          <w:rFonts w:ascii="Arial" w:hAnsi="Arial" w:cs="Arial"/>
          <w:color w:val="auto"/>
          <w:szCs w:val="24"/>
        </w:rPr>
        <w:footnoteReference w:id="84"/>
      </w:r>
    </w:p>
    <w:p w14:paraId="1BB13D9E" w14:textId="77777777" w:rsidR="008F7116" w:rsidRPr="00555859" w:rsidRDefault="008F7116" w:rsidP="00AF30C0">
      <w:pPr>
        <w:pStyle w:val="ListParagraph"/>
        <w:spacing w:after="0" w:line="360" w:lineRule="auto"/>
        <w:ind w:right="95"/>
        <w:jc w:val="both"/>
        <w:rPr>
          <w:rFonts w:ascii="Arial" w:hAnsi="Arial" w:cs="Arial"/>
          <w:sz w:val="24"/>
          <w:szCs w:val="24"/>
        </w:rPr>
      </w:pPr>
    </w:p>
    <w:p w14:paraId="79958CB8" w14:textId="77777777" w:rsidR="008F7116" w:rsidRPr="00555859" w:rsidRDefault="008F7116" w:rsidP="00AF30C0">
      <w:pPr>
        <w:pStyle w:val="awuHEAD"/>
        <w:numPr>
          <w:ilvl w:val="0"/>
          <w:numId w:val="3"/>
        </w:numPr>
        <w:spacing w:before="0" w:after="0" w:line="360" w:lineRule="auto"/>
        <w:ind w:right="95"/>
        <w:jc w:val="both"/>
        <w:rPr>
          <w:rFonts w:ascii="Arial" w:hAnsi="Arial" w:cs="Arial"/>
          <w:color w:val="auto"/>
          <w:szCs w:val="24"/>
          <w:u w:val="single"/>
        </w:rPr>
      </w:pPr>
      <w:r w:rsidRPr="00555859">
        <w:rPr>
          <w:rFonts w:ascii="Arial" w:hAnsi="Arial" w:cs="Arial"/>
          <w:color w:val="auto"/>
          <w:szCs w:val="24"/>
        </w:rPr>
        <w:t xml:space="preserve">It is apparent that the Fair Work Commission has been devoting considerable resources in recent times to trying to make the workplace relations system simpler and more accessible for all participants.  </w:t>
      </w:r>
    </w:p>
    <w:p w14:paraId="79446321" w14:textId="77777777" w:rsidR="008F7116" w:rsidRPr="00555859" w:rsidRDefault="008F7116" w:rsidP="00AF30C0">
      <w:pPr>
        <w:pStyle w:val="ListParagraph"/>
        <w:spacing w:after="0" w:line="360" w:lineRule="auto"/>
        <w:ind w:right="95"/>
        <w:jc w:val="both"/>
        <w:rPr>
          <w:rFonts w:ascii="Arial" w:hAnsi="Arial" w:cs="Arial"/>
          <w:sz w:val="24"/>
          <w:szCs w:val="24"/>
        </w:rPr>
      </w:pPr>
    </w:p>
    <w:p w14:paraId="4F9BE598" w14:textId="41498200" w:rsidR="008F7116" w:rsidRPr="00555859" w:rsidRDefault="008F7116" w:rsidP="00AF30C0">
      <w:pPr>
        <w:pStyle w:val="awuHEAD"/>
        <w:numPr>
          <w:ilvl w:val="0"/>
          <w:numId w:val="3"/>
        </w:numPr>
        <w:spacing w:before="0" w:after="0" w:line="360" w:lineRule="auto"/>
        <w:ind w:right="95"/>
        <w:jc w:val="both"/>
        <w:rPr>
          <w:rFonts w:ascii="Arial" w:hAnsi="Arial" w:cs="Arial"/>
          <w:color w:val="auto"/>
          <w:szCs w:val="24"/>
          <w:u w:val="single"/>
        </w:rPr>
      </w:pPr>
      <w:r w:rsidRPr="00555859">
        <w:rPr>
          <w:rFonts w:ascii="Arial" w:hAnsi="Arial" w:cs="Arial"/>
          <w:color w:val="auto"/>
          <w:szCs w:val="24"/>
        </w:rPr>
        <w:t>This has been demonstrated via their comprehensive approach to the modern award</w:t>
      </w:r>
      <w:r w:rsidR="00BC6528">
        <w:rPr>
          <w:rFonts w:ascii="Arial" w:hAnsi="Arial" w:cs="Arial"/>
          <w:color w:val="auto"/>
          <w:szCs w:val="24"/>
        </w:rPr>
        <w:t>s</w:t>
      </w:r>
      <w:r w:rsidRPr="00555859">
        <w:rPr>
          <w:rFonts w:ascii="Arial" w:hAnsi="Arial" w:cs="Arial"/>
          <w:color w:val="auto"/>
          <w:szCs w:val="24"/>
        </w:rPr>
        <w:t xml:space="preserve"> review, the development of </w:t>
      </w:r>
      <w:proofErr w:type="spellStart"/>
      <w:r w:rsidRPr="00555859">
        <w:rPr>
          <w:rFonts w:ascii="Arial" w:hAnsi="Arial" w:cs="Arial"/>
          <w:color w:val="auto"/>
          <w:szCs w:val="24"/>
        </w:rPr>
        <w:t>Benchbooks</w:t>
      </w:r>
      <w:proofErr w:type="spellEnd"/>
      <w:r w:rsidRPr="00555859">
        <w:rPr>
          <w:rFonts w:ascii="Arial" w:hAnsi="Arial" w:cs="Arial"/>
          <w:color w:val="auto"/>
          <w:szCs w:val="24"/>
        </w:rPr>
        <w:t xml:space="preserve"> and continuous improvement processes regarding their website and internal Commission processes.</w:t>
      </w:r>
    </w:p>
    <w:p w14:paraId="2AC3D4C2" w14:textId="77777777" w:rsidR="008F7116" w:rsidRPr="00555859" w:rsidRDefault="008F7116" w:rsidP="00AF30C0">
      <w:pPr>
        <w:pStyle w:val="ListParagraph"/>
        <w:spacing w:after="0" w:line="360" w:lineRule="auto"/>
        <w:ind w:right="95"/>
        <w:jc w:val="both"/>
        <w:rPr>
          <w:rFonts w:ascii="Arial" w:hAnsi="Arial" w:cs="Arial"/>
          <w:sz w:val="24"/>
          <w:szCs w:val="24"/>
        </w:rPr>
      </w:pPr>
    </w:p>
    <w:p w14:paraId="35C5D677" w14:textId="77777777" w:rsidR="003B4741" w:rsidRPr="00555859" w:rsidRDefault="003B4741" w:rsidP="00AF30C0">
      <w:pPr>
        <w:pStyle w:val="awuHEAD"/>
        <w:numPr>
          <w:ilvl w:val="0"/>
          <w:numId w:val="3"/>
        </w:numPr>
        <w:spacing w:before="0" w:after="0" w:line="360" w:lineRule="auto"/>
        <w:ind w:right="95"/>
        <w:jc w:val="both"/>
        <w:rPr>
          <w:rFonts w:ascii="Arial" w:hAnsi="Arial" w:cs="Arial"/>
          <w:color w:val="auto"/>
          <w:szCs w:val="24"/>
          <w:u w:val="single"/>
        </w:rPr>
      </w:pPr>
      <w:r w:rsidRPr="00555859">
        <w:rPr>
          <w:rFonts w:ascii="Arial" w:hAnsi="Arial" w:cs="Arial"/>
          <w:color w:val="auto"/>
          <w:szCs w:val="24"/>
        </w:rPr>
        <w:t>In these circumstances, there does not appear to be any reason for the Productivity Commission to recommend a departure from the current course.</w:t>
      </w:r>
    </w:p>
    <w:p w14:paraId="75345531" w14:textId="77777777" w:rsidR="002E39FD" w:rsidRDefault="002E39FD" w:rsidP="00A32282">
      <w:pPr>
        <w:spacing w:after="0" w:line="360" w:lineRule="auto"/>
        <w:ind w:right="95"/>
        <w:jc w:val="both"/>
        <w:rPr>
          <w:rFonts w:ascii="Arial" w:hAnsi="Arial" w:cs="Arial"/>
          <w:sz w:val="24"/>
          <w:szCs w:val="24"/>
        </w:rPr>
      </w:pPr>
    </w:p>
    <w:p w14:paraId="1FB33EE4" w14:textId="3A807ADC" w:rsidR="00A32282" w:rsidRPr="00A32282" w:rsidRDefault="00A32282" w:rsidP="00A32282">
      <w:pPr>
        <w:spacing w:after="0" w:line="360" w:lineRule="auto"/>
        <w:ind w:right="95"/>
        <w:jc w:val="both"/>
        <w:rPr>
          <w:b/>
        </w:rPr>
      </w:pPr>
      <w:r>
        <w:rPr>
          <w:rFonts w:ascii="Arial" w:hAnsi="Arial" w:cs="Arial"/>
          <w:b/>
          <w:sz w:val="24"/>
          <w:szCs w:val="24"/>
        </w:rPr>
        <w:t>END</w:t>
      </w:r>
    </w:p>
    <w:sectPr w:rsidR="00A32282" w:rsidRPr="00A32282">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8882AC" w14:textId="77777777" w:rsidR="005769E5" w:rsidRDefault="005769E5" w:rsidP="00EC002A">
      <w:pPr>
        <w:spacing w:after="0" w:line="240" w:lineRule="auto"/>
      </w:pPr>
      <w:r>
        <w:separator/>
      </w:r>
    </w:p>
  </w:endnote>
  <w:endnote w:type="continuationSeparator" w:id="0">
    <w:p w14:paraId="14861353" w14:textId="77777777" w:rsidR="005769E5" w:rsidRDefault="005769E5" w:rsidP="00EC0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auto"/>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GoudyOlSt BT">
    <w:altName w:val="Georgia"/>
    <w:charset w:val="00"/>
    <w:family w:val="roman"/>
    <w:pitch w:val="variable"/>
    <w:sig w:usb0="00000001" w:usb1="00000000" w:usb2="00000000" w:usb3="00000000" w:csb0="0000001B"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1319336"/>
      <w:docPartObj>
        <w:docPartGallery w:val="Page Numbers (Bottom of Page)"/>
        <w:docPartUnique/>
      </w:docPartObj>
    </w:sdtPr>
    <w:sdtEndPr>
      <w:rPr>
        <w:noProof/>
      </w:rPr>
    </w:sdtEndPr>
    <w:sdtContent>
      <w:p w14:paraId="27081FCC" w14:textId="77777777" w:rsidR="00EC3448" w:rsidRDefault="00EC3448">
        <w:pPr>
          <w:pStyle w:val="Footer"/>
          <w:jc w:val="right"/>
        </w:pPr>
        <w:r>
          <w:fldChar w:fldCharType="begin"/>
        </w:r>
        <w:r>
          <w:instrText xml:space="preserve"> PAGE   \* MERGEFORMAT </w:instrText>
        </w:r>
        <w:r>
          <w:fldChar w:fldCharType="separate"/>
        </w:r>
        <w:r w:rsidR="00541A28">
          <w:rPr>
            <w:noProof/>
          </w:rPr>
          <w:t>1</w:t>
        </w:r>
        <w:r>
          <w:rPr>
            <w:noProof/>
          </w:rPr>
          <w:fldChar w:fldCharType="end"/>
        </w:r>
      </w:p>
    </w:sdtContent>
  </w:sdt>
  <w:p w14:paraId="7DB88D9A" w14:textId="77777777" w:rsidR="00EC3448" w:rsidRDefault="00EC34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BFC022" w14:textId="77777777" w:rsidR="005769E5" w:rsidRDefault="005769E5" w:rsidP="00EC002A">
      <w:pPr>
        <w:spacing w:after="0" w:line="240" w:lineRule="auto"/>
      </w:pPr>
      <w:r>
        <w:separator/>
      </w:r>
    </w:p>
  </w:footnote>
  <w:footnote w:type="continuationSeparator" w:id="0">
    <w:p w14:paraId="42B5923C" w14:textId="77777777" w:rsidR="005769E5" w:rsidRDefault="005769E5" w:rsidP="00EC002A">
      <w:pPr>
        <w:spacing w:after="0" w:line="240" w:lineRule="auto"/>
      </w:pPr>
      <w:r>
        <w:continuationSeparator/>
      </w:r>
    </w:p>
  </w:footnote>
  <w:footnote w:id="1">
    <w:p w14:paraId="0FF636B4" w14:textId="77777777" w:rsidR="004F43DC" w:rsidRPr="00EC002A" w:rsidRDefault="004F43DC" w:rsidP="004F43DC">
      <w:pPr>
        <w:pStyle w:val="FootnoteText"/>
        <w:rPr>
          <w:lang w:val="en-US"/>
        </w:rPr>
      </w:pPr>
      <w:r>
        <w:rPr>
          <w:rStyle w:val="FootnoteReference"/>
        </w:rPr>
        <w:footnoteRef/>
      </w:r>
      <w:r>
        <w:t xml:space="preserve"> </w:t>
      </w:r>
      <w:r>
        <w:rPr>
          <w:lang w:val="en-US"/>
        </w:rPr>
        <w:t xml:space="preserve">See </w:t>
      </w:r>
      <w:hyperlink r:id="rId1" w:history="1">
        <w:r w:rsidRPr="005E0C14">
          <w:rPr>
            <w:rStyle w:val="Hyperlink"/>
            <w:lang w:val="en-US"/>
          </w:rPr>
          <w:t>https://www.fwc.gov.au/registered-organisations/find-registered-organisations</w:t>
        </w:r>
      </w:hyperlink>
      <w:r>
        <w:rPr>
          <w:lang w:val="en-US"/>
        </w:rPr>
        <w:t xml:space="preserve"> </w:t>
      </w:r>
    </w:p>
  </w:footnote>
  <w:footnote w:id="2">
    <w:p w14:paraId="739D434C" w14:textId="77777777" w:rsidR="004F43DC" w:rsidRPr="00EC002A" w:rsidRDefault="004F43DC" w:rsidP="004F43DC">
      <w:pPr>
        <w:pStyle w:val="FootnoteText"/>
        <w:rPr>
          <w:lang w:val="en-US"/>
        </w:rPr>
      </w:pPr>
      <w:r>
        <w:rPr>
          <w:rStyle w:val="FootnoteReference"/>
        </w:rPr>
        <w:footnoteRef/>
      </w:r>
      <w:r>
        <w:t xml:space="preserve"> </w:t>
      </w:r>
      <w:r>
        <w:rPr>
          <w:lang w:val="en-US"/>
        </w:rPr>
        <w:t xml:space="preserve">See </w:t>
      </w:r>
      <w:hyperlink r:id="rId2" w:history="1">
        <w:r w:rsidRPr="005E0C14">
          <w:rPr>
            <w:rStyle w:val="Hyperlink"/>
            <w:lang w:val="en-US"/>
          </w:rPr>
          <w:t>http://www.e-airc.gov.au/002N/</w:t>
        </w:r>
      </w:hyperlink>
      <w:r>
        <w:rPr>
          <w:lang w:val="en-US"/>
        </w:rPr>
        <w:t xml:space="preserve"> </w:t>
      </w:r>
    </w:p>
  </w:footnote>
  <w:footnote w:id="3">
    <w:p w14:paraId="278462E2" w14:textId="77777777" w:rsidR="00EC3448" w:rsidRPr="007B63AA" w:rsidRDefault="00EC3448" w:rsidP="007B63AA">
      <w:pPr>
        <w:pStyle w:val="FootnoteText"/>
        <w:spacing w:line="360" w:lineRule="auto"/>
        <w:rPr>
          <w:rFonts w:ascii="Arial" w:hAnsi="Arial" w:cs="Arial"/>
          <w:lang w:val="en-US"/>
        </w:rPr>
      </w:pPr>
      <w:r w:rsidRPr="007B63AA">
        <w:rPr>
          <w:rStyle w:val="FootnoteReference"/>
          <w:rFonts w:ascii="Arial" w:hAnsi="Arial" w:cs="Arial"/>
        </w:rPr>
        <w:footnoteRef/>
      </w:r>
      <w:r w:rsidRPr="007B63AA">
        <w:rPr>
          <w:rFonts w:ascii="Arial" w:hAnsi="Arial" w:cs="Arial"/>
        </w:rPr>
        <w:t xml:space="preserve"> </w:t>
      </w:r>
      <w:r w:rsidRPr="007B63AA">
        <w:rPr>
          <w:rFonts w:ascii="Arial" w:hAnsi="Arial" w:cs="Arial"/>
          <w:lang w:val="en-US"/>
        </w:rPr>
        <w:t xml:space="preserve">See </w:t>
      </w:r>
      <w:hyperlink r:id="rId3" w:history="1">
        <w:r w:rsidRPr="007B63AA">
          <w:rPr>
            <w:rStyle w:val="Hyperlink"/>
            <w:rFonts w:ascii="Arial" w:hAnsi="Arial" w:cs="Arial"/>
            <w:lang w:val="en-US"/>
          </w:rPr>
          <w:t>http://www.ausstats.abs.gov.au/ausstats/meisubs.nsf/0/D428E24B8D92FE97CA257DFD000D4618/$File/52060_dec%202014.pdf</w:t>
        </w:r>
      </w:hyperlink>
      <w:r w:rsidRPr="007B63AA">
        <w:rPr>
          <w:rFonts w:ascii="Arial" w:hAnsi="Arial" w:cs="Arial"/>
          <w:lang w:val="en-US"/>
        </w:rPr>
        <w:t xml:space="preserve"> </w:t>
      </w:r>
    </w:p>
  </w:footnote>
  <w:footnote w:id="4">
    <w:p w14:paraId="1CD2407C" w14:textId="77777777" w:rsidR="00EC3448" w:rsidRPr="007B63AA" w:rsidRDefault="00EC3448" w:rsidP="007B63AA">
      <w:pPr>
        <w:pStyle w:val="FootnoteText"/>
        <w:spacing w:line="360" w:lineRule="auto"/>
        <w:rPr>
          <w:rFonts w:ascii="Arial" w:hAnsi="Arial" w:cs="Arial"/>
          <w:lang w:val="en-US"/>
        </w:rPr>
      </w:pPr>
      <w:r w:rsidRPr="007B63AA">
        <w:rPr>
          <w:rStyle w:val="FootnoteReference"/>
          <w:rFonts w:ascii="Arial" w:hAnsi="Arial" w:cs="Arial"/>
        </w:rPr>
        <w:footnoteRef/>
      </w:r>
      <w:r w:rsidRPr="007B63AA">
        <w:rPr>
          <w:rFonts w:ascii="Arial" w:hAnsi="Arial" w:cs="Arial"/>
        </w:rPr>
        <w:t xml:space="preserve"> See </w:t>
      </w:r>
      <w:hyperlink r:id="rId4" w:history="1">
        <w:r w:rsidRPr="007B63AA">
          <w:rPr>
            <w:rStyle w:val="Hyperlink"/>
            <w:rFonts w:ascii="Arial" w:hAnsi="Arial" w:cs="Arial"/>
          </w:rPr>
          <w:t>http://stats.oecd.org/Index.aspx?DataSetCode=ULC_EEQ</w:t>
        </w:r>
      </w:hyperlink>
      <w:r w:rsidRPr="007B63AA">
        <w:rPr>
          <w:rFonts w:ascii="Arial" w:hAnsi="Arial" w:cs="Arial"/>
        </w:rPr>
        <w:t xml:space="preserve">  </w:t>
      </w:r>
    </w:p>
  </w:footnote>
  <w:footnote w:id="5">
    <w:p w14:paraId="49009A5B" w14:textId="77777777" w:rsidR="00EC3448" w:rsidRPr="007B63AA" w:rsidRDefault="00EC3448" w:rsidP="007B63AA">
      <w:pPr>
        <w:pStyle w:val="FootnoteText"/>
        <w:spacing w:line="360" w:lineRule="auto"/>
        <w:rPr>
          <w:rFonts w:ascii="Arial" w:hAnsi="Arial" w:cs="Arial"/>
          <w:lang w:val="en-US"/>
        </w:rPr>
      </w:pPr>
      <w:r w:rsidRPr="007B63AA">
        <w:rPr>
          <w:rStyle w:val="FootnoteReference"/>
          <w:rFonts w:ascii="Arial" w:hAnsi="Arial" w:cs="Arial"/>
        </w:rPr>
        <w:footnoteRef/>
      </w:r>
      <w:r w:rsidRPr="007B63AA">
        <w:rPr>
          <w:rFonts w:ascii="Arial" w:hAnsi="Arial" w:cs="Arial"/>
        </w:rPr>
        <w:t xml:space="preserve"> </w:t>
      </w:r>
      <w:r w:rsidRPr="007B63AA">
        <w:rPr>
          <w:rFonts w:ascii="Arial" w:hAnsi="Arial" w:cs="Arial"/>
          <w:lang w:val="en-US"/>
        </w:rPr>
        <w:t xml:space="preserve">See </w:t>
      </w:r>
      <w:hyperlink r:id="rId5" w:history="1">
        <w:r w:rsidRPr="007B63AA">
          <w:rPr>
            <w:rStyle w:val="Hyperlink"/>
            <w:rFonts w:ascii="Arial" w:hAnsi="Arial" w:cs="Arial"/>
            <w:lang w:val="en-US"/>
          </w:rPr>
          <w:t>http://www.abs.gov.au/ausstats/abs@.nsf/mf/6345.0</w:t>
        </w:r>
      </w:hyperlink>
      <w:r w:rsidRPr="007B63AA">
        <w:rPr>
          <w:rFonts w:ascii="Arial" w:hAnsi="Arial" w:cs="Arial"/>
          <w:lang w:val="en-US"/>
        </w:rPr>
        <w:t xml:space="preserve"> </w:t>
      </w:r>
    </w:p>
  </w:footnote>
  <w:footnote w:id="6">
    <w:p w14:paraId="372E6F93" w14:textId="77777777" w:rsidR="00EC3448" w:rsidRPr="007B63AA" w:rsidRDefault="00EC3448" w:rsidP="007B63AA">
      <w:pPr>
        <w:pStyle w:val="FootnoteText"/>
        <w:spacing w:line="360" w:lineRule="auto"/>
        <w:rPr>
          <w:rFonts w:ascii="Arial" w:hAnsi="Arial" w:cs="Arial"/>
          <w:lang w:val="en-US"/>
        </w:rPr>
      </w:pPr>
      <w:r w:rsidRPr="007B63AA">
        <w:rPr>
          <w:rStyle w:val="FootnoteReference"/>
          <w:rFonts w:ascii="Arial" w:hAnsi="Arial" w:cs="Arial"/>
        </w:rPr>
        <w:footnoteRef/>
      </w:r>
      <w:r w:rsidRPr="007B63AA">
        <w:rPr>
          <w:rFonts w:ascii="Arial" w:hAnsi="Arial" w:cs="Arial"/>
        </w:rPr>
        <w:t xml:space="preserve"> </w:t>
      </w:r>
      <w:r w:rsidRPr="007B63AA">
        <w:rPr>
          <w:rFonts w:ascii="Arial" w:hAnsi="Arial" w:cs="Arial"/>
          <w:lang w:val="en-US"/>
        </w:rPr>
        <w:t xml:space="preserve">See </w:t>
      </w:r>
      <w:hyperlink r:id="rId6" w:history="1">
        <w:r w:rsidRPr="007B63AA">
          <w:rPr>
            <w:rStyle w:val="Hyperlink"/>
            <w:rFonts w:ascii="Arial" w:hAnsi="Arial" w:cs="Arial"/>
            <w:lang w:val="en-US"/>
          </w:rPr>
          <w:t>http://www.abs.gov.au/ausstats/abs@.nsf/mf/6401.0</w:t>
        </w:r>
      </w:hyperlink>
      <w:r w:rsidRPr="007B63AA">
        <w:rPr>
          <w:rFonts w:ascii="Arial" w:hAnsi="Arial" w:cs="Arial"/>
          <w:lang w:val="en-US"/>
        </w:rPr>
        <w:t xml:space="preserve"> </w:t>
      </w:r>
    </w:p>
  </w:footnote>
  <w:footnote w:id="7">
    <w:p w14:paraId="0B7B1E11" w14:textId="77777777" w:rsidR="00EC3448" w:rsidRPr="00AE53C3" w:rsidRDefault="00EC3448" w:rsidP="006743A6">
      <w:pPr>
        <w:pStyle w:val="FootnoteText"/>
        <w:spacing w:line="360" w:lineRule="auto"/>
        <w:jc w:val="both"/>
        <w:rPr>
          <w:rFonts w:ascii="Arial" w:hAnsi="Arial" w:cs="Arial"/>
        </w:rPr>
      </w:pPr>
      <w:r w:rsidRPr="00AE53C3">
        <w:rPr>
          <w:rStyle w:val="FootnoteReference"/>
          <w:rFonts w:ascii="Arial" w:hAnsi="Arial" w:cs="Arial"/>
        </w:rPr>
        <w:footnoteRef/>
      </w:r>
      <w:r w:rsidRPr="00AE53C3">
        <w:rPr>
          <w:rFonts w:ascii="Arial" w:hAnsi="Arial" w:cs="Arial"/>
        </w:rPr>
        <w:t xml:space="preserve"> Macintyre S &amp; </w:t>
      </w:r>
      <w:proofErr w:type="spellStart"/>
      <w:r w:rsidRPr="00AE53C3">
        <w:rPr>
          <w:rFonts w:ascii="Arial" w:hAnsi="Arial" w:cs="Arial"/>
        </w:rPr>
        <w:t>Issac</w:t>
      </w:r>
      <w:proofErr w:type="spellEnd"/>
      <w:r w:rsidRPr="00AE53C3">
        <w:rPr>
          <w:rFonts w:ascii="Arial" w:hAnsi="Arial" w:cs="Arial"/>
        </w:rPr>
        <w:t xml:space="preserve"> J, </w:t>
      </w:r>
      <w:r w:rsidRPr="00AE53C3">
        <w:rPr>
          <w:rFonts w:ascii="Arial" w:hAnsi="Arial" w:cs="Arial"/>
          <w:i/>
        </w:rPr>
        <w:t>The New Province for Law and Order: 100 Years of Australian Industrial Conciliation and Arbitration</w:t>
      </w:r>
      <w:r w:rsidRPr="00AE53C3">
        <w:rPr>
          <w:rFonts w:ascii="Arial" w:hAnsi="Arial" w:cs="Arial"/>
        </w:rPr>
        <w:t>, Cambridge University Press, 21 Sep 2004</w:t>
      </w:r>
    </w:p>
  </w:footnote>
  <w:footnote w:id="8">
    <w:p w14:paraId="0D3D267B" w14:textId="77777777" w:rsidR="00EC3448" w:rsidRPr="00AE53C3" w:rsidRDefault="00EC3448" w:rsidP="006743A6">
      <w:pPr>
        <w:pStyle w:val="FootnoteText"/>
        <w:spacing w:line="360" w:lineRule="auto"/>
        <w:jc w:val="both"/>
        <w:rPr>
          <w:rFonts w:ascii="Arial" w:hAnsi="Arial" w:cs="Arial"/>
        </w:rPr>
      </w:pPr>
      <w:r w:rsidRPr="00AE53C3">
        <w:rPr>
          <w:rStyle w:val="FootnoteReference"/>
          <w:rFonts w:ascii="Arial" w:hAnsi="Arial" w:cs="Arial"/>
        </w:rPr>
        <w:footnoteRef/>
      </w:r>
      <w:r w:rsidRPr="00AE53C3">
        <w:rPr>
          <w:rFonts w:ascii="Arial" w:hAnsi="Arial" w:cs="Arial"/>
        </w:rPr>
        <w:t xml:space="preserve"> Australian Bureau of Statistics, Industrial Disputes, Australia, Sept 2014, Catalogue No. 6321.0.55.001</w:t>
      </w:r>
    </w:p>
  </w:footnote>
  <w:footnote w:id="9">
    <w:p w14:paraId="7DF9E7EA" w14:textId="77777777" w:rsidR="00EC3448" w:rsidRPr="007B63AA" w:rsidRDefault="00EC3448" w:rsidP="007B63AA">
      <w:pPr>
        <w:pStyle w:val="FootnoteText"/>
        <w:spacing w:line="360" w:lineRule="auto"/>
        <w:rPr>
          <w:rFonts w:ascii="Arial" w:hAnsi="Arial" w:cs="Arial"/>
          <w:lang w:val="en-US"/>
        </w:rPr>
      </w:pPr>
      <w:r w:rsidRPr="007B63AA">
        <w:rPr>
          <w:rStyle w:val="FootnoteReference"/>
          <w:rFonts w:ascii="Arial" w:hAnsi="Arial" w:cs="Arial"/>
        </w:rPr>
        <w:footnoteRef/>
      </w:r>
      <w:r w:rsidRPr="007B63AA">
        <w:rPr>
          <w:rFonts w:ascii="Arial" w:hAnsi="Arial" w:cs="Arial"/>
        </w:rPr>
        <w:t xml:space="preserve"> See </w:t>
      </w:r>
      <w:hyperlink r:id="rId7" w:history="1">
        <w:r w:rsidRPr="007B63AA">
          <w:rPr>
            <w:rStyle w:val="Hyperlink"/>
            <w:rFonts w:ascii="Arial" w:hAnsi="Arial" w:cs="Arial"/>
          </w:rPr>
          <w:t>http://www.aph.gov.au/About_Parliament/Parliamentary_Departments/Parliamentary_Library/pubs/rp/rp1415/Quick_Guides/CasualEmploy</w:t>
        </w:r>
      </w:hyperlink>
      <w:r w:rsidRPr="007B63AA">
        <w:rPr>
          <w:rFonts w:ascii="Arial" w:hAnsi="Arial" w:cs="Arial"/>
        </w:rPr>
        <w:t xml:space="preserve"> </w:t>
      </w:r>
    </w:p>
  </w:footnote>
  <w:footnote w:id="10">
    <w:p w14:paraId="7742F4CA" w14:textId="77777777" w:rsidR="00EC3448" w:rsidRPr="007B63AA" w:rsidRDefault="00EC3448" w:rsidP="007B63AA">
      <w:pPr>
        <w:pStyle w:val="FootnoteText"/>
        <w:spacing w:line="360" w:lineRule="auto"/>
        <w:rPr>
          <w:rFonts w:ascii="Arial" w:hAnsi="Arial" w:cs="Arial"/>
          <w:lang w:val="en-US"/>
        </w:rPr>
      </w:pPr>
      <w:r w:rsidRPr="007B63AA">
        <w:rPr>
          <w:rStyle w:val="FootnoteReference"/>
          <w:rFonts w:ascii="Arial" w:hAnsi="Arial" w:cs="Arial"/>
        </w:rPr>
        <w:footnoteRef/>
      </w:r>
      <w:r w:rsidRPr="007B63AA">
        <w:rPr>
          <w:rFonts w:ascii="Arial" w:hAnsi="Arial" w:cs="Arial"/>
        </w:rPr>
        <w:t xml:space="preserve"> </w:t>
      </w:r>
      <w:r w:rsidRPr="007B63AA">
        <w:rPr>
          <w:rFonts w:ascii="Arial" w:hAnsi="Arial" w:cs="Arial"/>
          <w:lang w:val="en-US"/>
        </w:rPr>
        <w:t xml:space="preserve">See </w:t>
      </w:r>
      <w:hyperlink r:id="rId8" w:history="1">
        <w:r w:rsidRPr="007B63AA">
          <w:rPr>
            <w:rStyle w:val="Hyperlink"/>
            <w:rFonts w:ascii="Arial" w:hAnsi="Arial" w:cs="Arial"/>
            <w:lang w:val="en-US"/>
          </w:rPr>
          <w:t>http://www.oecdbetterlifeindex.org/countries/australia/</w:t>
        </w:r>
      </w:hyperlink>
      <w:r w:rsidRPr="007B63AA">
        <w:rPr>
          <w:rFonts w:ascii="Arial" w:hAnsi="Arial" w:cs="Arial"/>
          <w:lang w:val="en-US"/>
        </w:rPr>
        <w:t xml:space="preserve"> </w:t>
      </w:r>
    </w:p>
  </w:footnote>
  <w:footnote w:id="11">
    <w:p w14:paraId="5EB5E217" w14:textId="5064B498" w:rsidR="00EC3448" w:rsidRPr="007B63AA" w:rsidRDefault="00EC3448" w:rsidP="007B63AA">
      <w:pPr>
        <w:pStyle w:val="FootnoteText"/>
        <w:spacing w:line="360" w:lineRule="auto"/>
        <w:rPr>
          <w:rFonts w:ascii="Arial" w:hAnsi="Arial" w:cs="Arial"/>
          <w:lang w:val="en-US"/>
        </w:rPr>
      </w:pPr>
      <w:r w:rsidRPr="007B63AA">
        <w:rPr>
          <w:rStyle w:val="FootnoteReference"/>
          <w:rFonts w:ascii="Arial" w:hAnsi="Arial" w:cs="Arial"/>
        </w:rPr>
        <w:footnoteRef/>
      </w:r>
      <w:r w:rsidRPr="007B63AA">
        <w:rPr>
          <w:rFonts w:ascii="Arial" w:hAnsi="Arial" w:cs="Arial"/>
        </w:rPr>
        <w:t xml:space="preserve"> For examples, </w:t>
      </w:r>
      <w:r w:rsidRPr="007B63AA">
        <w:rPr>
          <w:rFonts w:ascii="Arial" w:hAnsi="Arial" w:cs="Arial"/>
          <w:lang w:val="en-US"/>
        </w:rPr>
        <w:t xml:space="preserve">see </w:t>
      </w:r>
      <w:r w:rsidRPr="007B63AA">
        <w:rPr>
          <w:rFonts w:ascii="Arial" w:hAnsi="Arial" w:cs="Arial"/>
          <w:i/>
        </w:rPr>
        <w:t>Australian Municipal, Administrative, Clerical and Services Union v North East Water</w:t>
      </w:r>
      <w:r w:rsidRPr="007B63AA">
        <w:rPr>
          <w:rFonts w:ascii="Arial" w:hAnsi="Arial" w:cs="Arial"/>
        </w:rPr>
        <w:t xml:space="preserve"> [2014] FWC 6922; </w:t>
      </w:r>
      <w:r w:rsidRPr="007B63AA">
        <w:rPr>
          <w:rFonts w:ascii="Arial" w:hAnsi="Arial" w:cs="Arial"/>
          <w:i/>
        </w:rPr>
        <w:t>CEPU, AMWU v Fonterra Australia Pty Ltd</w:t>
      </w:r>
      <w:r w:rsidRPr="007B63AA">
        <w:rPr>
          <w:rFonts w:ascii="Arial" w:hAnsi="Arial" w:cs="Arial"/>
        </w:rPr>
        <w:t xml:space="preserve"> [2015] FWC 1486 (4 March 2015); </w:t>
      </w:r>
      <w:r w:rsidRPr="007B63AA">
        <w:rPr>
          <w:rFonts w:ascii="Arial" w:hAnsi="Arial" w:cs="Arial"/>
          <w:i/>
        </w:rPr>
        <w:t xml:space="preserve">United Voice v Foster’s Australia Limited t/a Carlton and United Breweries Limited </w:t>
      </w:r>
      <w:r w:rsidRPr="007B63AA">
        <w:rPr>
          <w:rFonts w:ascii="Arial" w:hAnsi="Arial" w:cs="Arial"/>
        </w:rPr>
        <w:t>[2014] FWCFB 4104</w:t>
      </w:r>
      <w:r>
        <w:rPr>
          <w:rFonts w:ascii="Arial" w:hAnsi="Arial" w:cs="Arial"/>
          <w:i/>
        </w:rPr>
        <w:t>;</w:t>
      </w:r>
      <w:r w:rsidRPr="007B63AA">
        <w:rPr>
          <w:rFonts w:ascii="Arial" w:hAnsi="Arial" w:cs="Arial"/>
        </w:rPr>
        <w:t xml:space="preserve"> </w:t>
      </w:r>
      <w:r w:rsidRPr="007B63AA">
        <w:rPr>
          <w:rFonts w:ascii="Arial" w:hAnsi="Arial" w:cs="Arial"/>
          <w:i/>
        </w:rPr>
        <w:t>Aurora Energy Pty Ltd</w:t>
      </w:r>
      <w:r w:rsidRPr="007B63AA">
        <w:rPr>
          <w:rFonts w:ascii="Arial" w:hAnsi="Arial" w:cs="Arial"/>
        </w:rPr>
        <w:t xml:space="preserve"> [2014] FWCA 1580 (6 March 2014)</w:t>
      </w:r>
    </w:p>
  </w:footnote>
  <w:footnote w:id="12">
    <w:p w14:paraId="02AF7E2D" w14:textId="77777777" w:rsidR="00EC3448" w:rsidRPr="007B63AA" w:rsidRDefault="00EC3448" w:rsidP="007B63AA">
      <w:pPr>
        <w:pStyle w:val="FootnoteText"/>
        <w:spacing w:line="360" w:lineRule="auto"/>
        <w:rPr>
          <w:rFonts w:ascii="Arial" w:hAnsi="Arial" w:cs="Arial"/>
          <w:lang w:val="en-US"/>
        </w:rPr>
      </w:pPr>
      <w:r w:rsidRPr="007B63AA">
        <w:rPr>
          <w:rStyle w:val="FootnoteReference"/>
          <w:rFonts w:ascii="Arial" w:hAnsi="Arial" w:cs="Arial"/>
        </w:rPr>
        <w:footnoteRef/>
      </w:r>
      <w:r w:rsidRPr="007B63AA">
        <w:rPr>
          <w:rFonts w:ascii="Arial" w:hAnsi="Arial" w:cs="Arial"/>
        </w:rPr>
        <w:t xml:space="preserve"> </w:t>
      </w:r>
      <w:r w:rsidRPr="007B63AA">
        <w:rPr>
          <w:rFonts w:ascii="Arial" w:hAnsi="Arial" w:cs="Arial"/>
          <w:lang w:val="en-US"/>
        </w:rPr>
        <w:t xml:space="preserve">See </w:t>
      </w:r>
      <w:hyperlink r:id="rId9" w:history="1">
        <w:r w:rsidRPr="007B63AA">
          <w:rPr>
            <w:rStyle w:val="Hyperlink"/>
            <w:rFonts w:ascii="Arial" w:hAnsi="Arial" w:cs="Arial"/>
            <w:lang w:val="en-US"/>
          </w:rPr>
          <w:t>http://www.ituc-csi.org/IMG/pdf/survey_ra_2014_eng_v2.pdf</w:t>
        </w:r>
      </w:hyperlink>
      <w:r w:rsidRPr="007B63AA">
        <w:rPr>
          <w:rFonts w:ascii="Arial" w:hAnsi="Arial" w:cs="Arial"/>
          <w:lang w:val="en-US"/>
        </w:rPr>
        <w:t xml:space="preserve"> </w:t>
      </w:r>
    </w:p>
  </w:footnote>
  <w:footnote w:id="13">
    <w:p w14:paraId="21883474" w14:textId="77777777" w:rsidR="00EC3448" w:rsidRPr="00A43228" w:rsidRDefault="00EC3448" w:rsidP="006743A6">
      <w:pPr>
        <w:pStyle w:val="FootnoteText"/>
        <w:spacing w:line="360" w:lineRule="auto"/>
        <w:rPr>
          <w:rFonts w:ascii="Arial" w:hAnsi="Arial" w:cs="Arial"/>
          <w:lang w:val="en-US"/>
        </w:rPr>
      </w:pPr>
      <w:r w:rsidRPr="00A43228">
        <w:rPr>
          <w:rStyle w:val="FootnoteReference"/>
          <w:rFonts w:ascii="Arial" w:hAnsi="Arial" w:cs="Arial"/>
        </w:rPr>
        <w:footnoteRef/>
      </w:r>
      <w:r w:rsidRPr="00A43228">
        <w:rPr>
          <w:rFonts w:ascii="Arial" w:hAnsi="Arial" w:cs="Arial"/>
        </w:rPr>
        <w:t xml:space="preserve"> See for example [1984] AIRC 132</w:t>
      </w:r>
    </w:p>
  </w:footnote>
  <w:footnote w:id="14">
    <w:p w14:paraId="01511126" w14:textId="77777777" w:rsidR="00EC3448" w:rsidRPr="00A43228" w:rsidRDefault="00EC3448" w:rsidP="006743A6">
      <w:pPr>
        <w:pStyle w:val="FootnoteText"/>
        <w:spacing w:line="360" w:lineRule="auto"/>
        <w:rPr>
          <w:rFonts w:ascii="Arial" w:hAnsi="Arial" w:cs="Arial"/>
          <w:lang w:val="en-US"/>
        </w:rPr>
      </w:pPr>
      <w:r w:rsidRPr="00A43228">
        <w:rPr>
          <w:rStyle w:val="FootnoteReference"/>
          <w:rFonts w:ascii="Arial" w:hAnsi="Arial" w:cs="Arial"/>
        </w:rPr>
        <w:footnoteRef/>
      </w:r>
      <w:r w:rsidRPr="00A43228">
        <w:rPr>
          <w:rFonts w:ascii="Arial" w:hAnsi="Arial" w:cs="Arial"/>
        </w:rPr>
        <w:t xml:space="preserve"> [1992] FCA 246</w:t>
      </w:r>
    </w:p>
  </w:footnote>
  <w:footnote w:id="15">
    <w:p w14:paraId="1E0BA278" w14:textId="77777777" w:rsidR="00EC3448" w:rsidRPr="00A43228" w:rsidRDefault="00EC3448" w:rsidP="006743A6">
      <w:pPr>
        <w:pStyle w:val="FootnoteText"/>
        <w:spacing w:line="360" w:lineRule="auto"/>
        <w:rPr>
          <w:rFonts w:ascii="Arial" w:hAnsi="Arial" w:cs="Arial"/>
          <w:lang w:val="en-US"/>
        </w:rPr>
      </w:pPr>
      <w:r w:rsidRPr="00A43228">
        <w:rPr>
          <w:rStyle w:val="FootnoteReference"/>
          <w:rFonts w:ascii="Arial" w:hAnsi="Arial" w:cs="Arial"/>
        </w:rPr>
        <w:footnoteRef/>
      </w:r>
      <w:r w:rsidRPr="00A43228">
        <w:rPr>
          <w:rFonts w:ascii="Arial" w:hAnsi="Arial" w:cs="Arial"/>
        </w:rPr>
        <w:t xml:space="preserve"> </w:t>
      </w:r>
      <w:r w:rsidRPr="00A43228">
        <w:rPr>
          <w:rFonts w:ascii="Arial" w:hAnsi="Arial" w:cs="Arial"/>
          <w:lang w:val="en-US"/>
        </w:rPr>
        <w:t>ibid at [7]</w:t>
      </w:r>
    </w:p>
  </w:footnote>
  <w:footnote w:id="16">
    <w:p w14:paraId="3F6489E5" w14:textId="77777777" w:rsidR="00EC3448" w:rsidRPr="00A43228" w:rsidRDefault="00EC3448" w:rsidP="006743A6">
      <w:pPr>
        <w:pStyle w:val="FootnoteText"/>
        <w:spacing w:line="360" w:lineRule="auto"/>
        <w:rPr>
          <w:rFonts w:ascii="Arial" w:hAnsi="Arial" w:cs="Arial"/>
          <w:lang w:val="en-US"/>
        </w:rPr>
      </w:pPr>
      <w:r w:rsidRPr="00A43228">
        <w:rPr>
          <w:rStyle w:val="FootnoteReference"/>
          <w:rFonts w:ascii="Arial" w:hAnsi="Arial" w:cs="Arial"/>
        </w:rPr>
        <w:footnoteRef/>
      </w:r>
      <w:r w:rsidRPr="00A43228">
        <w:rPr>
          <w:rFonts w:ascii="Arial" w:hAnsi="Arial" w:cs="Arial"/>
        </w:rPr>
        <w:t xml:space="preserve"> </w:t>
      </w:r>
      <w:r w:rsidRPr="00A43228">
        <w:rPr>
          <w:rFonts w:ascii="Arial" w:hAnsi="Arial" w:cs="Arial"/>
          <w:lang w:val="en-US"/>
        </w:rPr>
        <w:t>FW Act, s. 123(1)(a) and (c)</w:t>
      </w:r>
    </w:p>
  </w:footnote>
  <w:footnote w:id="17">
    <w:p w14:paraId="0F0AF34B" w14:textId="77777777" w:rsidR="00EC3448" w:rsidRPr="00A43228" w:rsidRDefault="00EC3448" w:rsidP="006743A6">
      <w:pPr>
        <w:pStyle w:val="FootnoteText"/>
        <w:spacing w:line="360" w:lineRule="auto"/>
        <w:rPr>
          <w:rFonts w:ascii="Arial" w:hAnsi="Arial" w:cs="Arial"/>
          <w:lang w:val="en-US"/>
        </w:rPr>
      </w:pPr>
      <w:r w:rsidRPr="00A43228">
        <w:rPr>
          <w:rStyle w:val="FootnoteReference"/>
          <w:rFonts w:ascii="Arial" w:hAnsi="Arial" w:cs="Arial"/>
        </w:rPr>
        <w:footnoteRef/>
      </w:r>
      <w:r w:rsidRPr="00A43228">
        <w:rPr>
          <w:rFonts w:ascii="Arial" w:hAnsi="Arial" w:cs="Arial"/>
        </w:rPr>
        <w:t xml:space="preserve"> [1999] </w:t>
      </w:r>
      <w:proofErr w:type="spellStart"/>
      <w:r w:rsidRPr="00A43228">
        <w:rPr>
          <w:rFonts w:ascii="Arial" w:hAnsi="Arial" w:cs="Arial"/>
        </w:rPr>
        <w:t>NSWIRComm</w:t>
      </w:r>
      <w:proofErr w:type="spellEnd"/>
      <w:r w:rsidRPr="00A43228">
        <w:rPr>
          <w:rFonts w:ascii="Arial" w:hAnsi="Arial" w:cs="Arial"/>
        </w:rPr>
        <w:t xml:space="preserve"> 560</w:t>
      </w:r>
    </w:p>
  </w:footnote>
  <w:footnote w:id="18">
    <w:p w14:paraId="32243EFE" w14:textId="77777777" w:rsidR="00EC3448" w:rsidRPr="00A43228" w:rsidRDefault="00EC3448" w:rsidP="006743A6">
      <w:pPr>
        <w:pStyle w:val="FootnoteText"/>
        <w:spacing w:line="360" w:lineRule="auto"/>
        <w:rPr>
          <w:rFonts w:ascii="Arial" w:hAnsi="Arial" w:cs="Arial"/>
          <w:lang w:val="en-US"/>
        </w:rPr>
      </w:pPr>
      <w:r w:rsidRPr="00A43228">
        <w:rPr>
          <w:rStyle w:val="FootnoteReference"/>
          <w:rFonts w:ascii="Arial" w:hAnsi="Arial" w:cs="Arial"/>
        </w:rPr>
        <w:footnoteRef/>
      </w:r>
      <w:r w:rsidRPr="00A43228">
        <w:rPr>
          <w:rFonts w:ascii="Arial" w:hAnsi="Arial" w:cs="Arial"/>
        </w:rPr>
        <w:t xml:space="preserve"> </w:t>
      </w:r>
      <w:r w:rsidRPr="00A43228">
        <w:rPr>
          <w:rFonts w:ascii="Arial" w:hAnsi="Arial" w:cs="Arial"/>
          <w:lang w:val="en-US"/>
        </w:rPr>
        <w:t xml:space="preserve">Ibid at </w:t>
      </w:r>
      <w:proofErr w:type="spellStart"/>
      <w:r w:rsidRPr="00A43228">
        <w:rPr>
          <w:rFonts w:ascii="Arial" w:hAnsi="Arial" w:cs="Arial"/>
          <w:lang w:val="en-US"/>
        </w:rPr>
        <w:t>pg</w:t>
      </w:r>
      <w:proofErr w:type="spellEnd"/>
      <w:r w:rsidRPr="00A43228">
        <w:rPr>
          <w:rFonts w:ascii="Arial" w:hAnsi="Arial" w:cs="Arial"/>
          <w:lang w:val="en-US"/>
        </w:rPr>
        <w:t xml:space="preserve"> 20-21</w:t>
      </w:r>
    </w:p>
  </w:footnote>
  <w:footnote w:id="19">
    <w:p w14:paraId="33915956" w14:textId="77777777" w:rsidR="00EC3448" w:rsidRPr="00A43228" w:rsidRDefault="00EC3448" w:rsidP="006743A6">
      <w:pPr>
        <w:pStyle w:val="FootnoteText"/>
        <w:spacing w:line="360" w:lineRule="auto"/>
        <w:rPr>
          <w:rFonts w:ascii="Arial" w:hAnsi="Arial" w:cs="Arial"/>
          <w:lang w:val="en-US"/>
        </w:rPr>
      </w:pPr>
      <w:r w:rsidRPr="00A43228">
        <w:rPr>
          <w:rStyle w:val="FootnoteReference"/>
          <w:rFonts w:ascii="Arial" w:hAnsi="Arial" w:cs="Arial"/>
        </w:rPr>
        <w:footnoteRef/>
      </w:r>
      <w:r w:rsidRPr="00A43228">
        <w:rPr>
          <w:rFonts w:ascii="Arial" w:hAnsi="Arial" w:cs="Arial"/>
        </w:rPr>
        <w:t xml:space="preserve"> </w:t>
      </w:r>
      <w:r w:rsidRPr="00A43228">
        <w:rPr>
          <w:rFonts w:ascii="Arial" w:hAnsi="Arial" w:cs="Arial"/>
          <w:i/>
        </w:rPr>
        <w:t>Fashion Fair Pty Limited v Department of Industrial Relations (Insp Rouse)</w:t>
      </w:r>
      <w:r w:rsidRPr="00A43228">
        <w:rPr>
          <w:rFonts w:ascii="Arial" w:hAnsi="Arial" w:cs="Arial"/>
        </w:rPr>
        <w:t xml:space="preserve"> [1999] </w:t>
      </w:r>
      <w:proofErr w:type="spellStart"/>
      <w:r w:rsidRPr="00A43228">
        <w:rPr>
          <w:rFonts w:ascii="Arial" w:hAnsi="Arial" w:cs="Arial"/>
        </w:rPr>
        <w:t>NSWIRComm</w:t>
      </w:r>
      <w:proofErr w:type="spellEnd"/>
      <w:r w:rsidRPr="00A43228">
        <w:rPr>
          <w:rFonts w:ascii="Arial" w:hAnsi="Arial" w:cs="Arial"/>
        </w:rPr>
        <w:t xml:space="preserve"> 560; </w:t>
      </w:r>
      <w:r w:rsidRPr="00A43228">
        <w:rPr>
          <w:rFonts w:ascii="Arial" w:hAnsi="Arial" w:cs="Arial"/>
          <w:i/>
        </w:rPr>
        <w:t>Transport Workers' Union v Veolia Environmental Service (Australia) Pty Ltd</w:t>
      </w:r>
      <w:r w:rsidRPr="00A43228">
        <w:rPr>
          <w:rFonts w:ascii="Arial" w:hAnsi="Arial" w:cs="Arial"/>
        </w:rPr>
        <w:t xml:space="preserve"> [2013] </w:t>
      </w:r>
      <w:proofErr w:type="spellStart"/>
      <w:r w:rsidRPr="00A43228">
        <w:rPr>
          <w:rFonts w:ascii="Arial" w:hAnsi="Arial" w:cs="Arial"/>
        </w:rPr>
        <w:t>NSWIRComm</w:t>
      </w:r>
      <w:proofErr w:type="spellEnd"/>
      <w:r w:rsidRPr="00A43228">
        <w:rPr>
          <w:rFonts w:ascii="Arial" w:hAnsi="Arial" w:cs="Arial"/>
        </w:rPr>
        <w:t xml:space="preserve"> 22;</w:t>
      </w:r>
      <w:r w:rsidRPr="00A43228">
        <w:rPr>
          <w:rFonts w:ascii="Arial" w:hAnsi="Arial" w:cs="Arial"/>
          <w:i/>
        </w:rPr>
        <w:t xml:space="preserve"> AMEPKU v James Engineering Pty Ltd </w:t>
      </w:r>
      <w:r w:rsidRPr="00A43228">
        <w:rPr>
          <w:rFonts w:ascii="Arial" w:hAnsi="Arial" w:cs="Arial"/>
        </w:rPr>
        <w:t xml:space="preserve">[2000] </w:t>
      </w:r>
      <w:proofErr w:type="spellStart"/>
      <w:r w:rsidRPr="00A43228">
        <w:rPr>
          <w:rFonts w:ascii="Arial" w:hAnsi="Arial" w:cs="Arial"/>
        </w:rPr>
        <w:t>QIRComm</w:t>
      </w:r>
      <w:proofErr w:type="spellEnd"/>
      <w:r w:rsidRPr="00A43228">
        <w:rPr>
          <w:rFonts w:ascii="Arial" w:hAnsi="Arial" w:cs="Arial"/>
        </w:rPr>
        <w:t xml:space="preserve"> 163</w:t>
      </w:r>
    </w:p>
  </w:footnote>
  <w:footnote w:id="20">
    <w:p w14:paraId="6A1D0185" w14:textId="77777777" w:rsidR="00EC3448" w:rsidRPr="00A43228" w:rsidRDefault="00EC3448" w:rsidP="00E518B1">
      <w:pPr>
        <w:pStyle w:val="FootnoteText"/>
        <w:spacing w:line="360" w:lineRule="auto"/>
        <w:rPr>
          <w:rFonts w:ascii="Arial" w:hAnsi="Arial" w:cs="Arial"/>
          <w:lang w:val="en-US"/>
        </w:rPr>
      </w:pPr>
      <w:r w:rsidRPr="00A43228">
        <w:rPr>
          <w:rStyle w:val="FootnoteReference"/>
          <w:rFonts w:ascii="Arial" w:hAnsi="Arial" w:cs="Arial"/>
        </w:rPr>
        <w:footnoteRef/>
      </w:r>
      <w:r w:rsidRPr="00A43228">
        <w:rPr>
          <w:rFonts w:ascii="Arial" w:hAnsi="Arial" w:cs="Arial"/>
        </w:rPr>
        <w:t xml:space="preserve"> </w:t>
      </w:r>
      <w:r w:rsidRPr="00A43228">
        <w:rPr>
          <w:rFonts w:ascii="Arial" w:hAnsi="Arial" w:cs="Arial"/>
          <w:lang w:val="en-US"/>
        </w:rPr>
        <w:t>ibid</w:t>
      </w:r>
    </w:p>
  </w:footnote>
  <w:footnote w:id="21">
    <w:p w14:paraId="75D03DE1" w14:textId="77777777" w:rsidR="00EC3448" w:rsidRPr="00A43228" w:rsidRDefault="00EC3448" w:rsidP="00E518B1">
      <w:pPr>
        <w:pStyle w:val="FootnoteText"/>
        <w:spacing w:line="360" w:lineRule="auto"/>
        <w:rPr>
          <w:rFonts w:ascii="Arial" w:hAnsi="Arial" w:cs="Arial"/>
          <w:lang w:val="en-US"/>
        </w:rPr>
      </w:pPr>
      <w:r w:rsidRPr="00A43228">
        <w:rPr>
          <w:rStyle w:val="FootnoteReference"/>
          <w:rFonts w:ascii="Arial" w:hAnsi="Arial" w:cs="Arial"/>
        </w:rPr>
        <w:footnoteRef/>
      </w:r>
      <w:r w:rsidRPr="00A43228">
        <w:rPr>
          <w:rFonts w:ascii="Arial" w:hAnsi="Arial" w:cs="Arial"/>
        </w:rPr>
        <w:t xml:space="preserve"> </w:t>
      </w:r>
      <w:r w:rsidRPr="00A43228">
        <w:rPr>
          <w:rFonts w:ascii="Arial" w:hAnsi="Arial" w:cs="Arial"/>
          <w:i/>
        </w:rPr>
        <w:t>Australian Liquor, Hospitality and Miscellaneous Workers Union (Tasmanian Branch) v Chubb Security Tasmania</w:t>
      </w:r>
      <w:r w:rsidRPr="00A43228">
        <w:rPr>
          <w:rFonts w:ascii="Arial" w:hAnsi="Arial" w:cs="Arial"/>
        </w:rPr>
        <w:t xml:space="preserve"> (T6038 of 1996); </w:t>
      </w:r>
      <w:r w:rsidRPr="00A43228">
        <w:rPr>
          <w:rFonts w:ascii="Arial" w:hAnsi="Arial" w:cs="Arial"/>
          <w:i/>
        </w:rPr>
        <w:t xml:space="preserve">Re: F.W. </w:t>
      </w:r>
      <w:proofErr w:type="spellStart"/>
      <w:r w:rsidRPr="00A43228">
        <w:rPr>
          <w:rFonts w:ascii="Arial" w:hAnsi="Arial" w:cs="Arial"/>
          <w:i/>
        </w:rPr>
        <w:t>Hercus</w:t>
      </w:r>
      <w:proofErr w:type="spellEnd"/>
      <w:r w:rsidRPr="00A43228">
        <w:rPr>
          <w:rFonts w:ascii="Arial" w:hAnsi="Arial" w:cs="Arial"/>
          <w:i/>
        </w:rPr>
        <w:t xml:space="preserve"> Pty Ltd and Andrew John Short</w:t>
      </w:r>
      <w:r w:rsidRPr="00A43228">
        <w:rPr>
          <w:rFonts w:ascii="Arial" w:hAnsi="Arial" w:cs="Arial"/>
        </w:rPr>
        <w:t xml:space="preserve">  [1992] FCA 246</w:t>
      </w:r>
    </w:p>
  </w:footnote>
  <w:footnote w:id="22">
    <w:p w14:paraId="50E2D686" w14:textId="77777777" w:rsidR="00EC3448" w:rsidRPr="00A43228" w:rsidRDefault="00EC3448" w:rsidP="00E518B1">
      <w:pPr>
        <w:pStyle w:val="FootnoteText"/>
        <w:spacing w:line="360" w:lineRule="auto"/>
        <w:rPr>
          <w:rFonts w:ascii="Arial" w:hAnsi="Arial" w:cs="Arial"/>
          <w:lang w:val="en-US"/>
        </w:rPr>
      </w:pPr>
      <w:r w:rsidRPr="00A43228">
        <w:rPr>
          <w:rStyle w:val="FootnoteReference"/>
          <w:rFonts w:ascii="Arial" w:hAnsi="Arial" w:cs="Arial"/>
        </w:rPr>
        <w:footnoteRef/>
      </w:r>
      <w:r w:rsidRPr="00A43228">
        <w:rPr>
          <w:rFonts w:ascii="Arial" w:hAnsi="Arial" w:cs="Arial"/>
        </w:rPr>
        <w:t xml:space="preserve"> </w:t>
      </w:r>
      <w:r w:rsidRPr="00A43228">
        <w:rPr>
          <w:rFonts w:ascii="Arial" w:hAnsi="Arial" w:cs="Arial"/>
          <w:i/>
        </w:rPr>
        <w:t>Transport Workers' Union v Veolia Environmental Service (Australia) Pty Ltd</w:t>
      </w:r>
      <w:r w:rsidRPr="00A43228">
        <w:rPr>
          <w:rFonts w:ascii="Arial" w:hAnsi="Arial" w:cs="Arial"/>
        </w:rPr>
        <w:t xml:space="preserve"> [2013] </w:t>
      </w:r>
      <w:proofErr w:type="spellStart"/>
      <w:r w:rsidRPr="00A43228">
        <w:rPr>
          <w:rFonts w:ascii="Arial" w:hAnsi="Arial" w:cs="Arial"/>
        </w:rPr>
        <w:t>NSWIRComm</w:t>
      </w:r>
      <w:proofErr w:type="spellEnd"/>
      <w:r w:rsidRPr="00A43228">
        <w:rPr>
          <w:rFonts w:ascii="Arial" w:hAnsi="Arial" w:cs="Arial"/>
        </w:rPr>
        <w:t xml:space="preserve"> 22; </w:t>
      </w:r>
      <w:r w:rsidRPr="00A43228">
        <w:rPr>
          <w:rFonts w:ascii="Arial" w:hAnsi="Arial" w:cs="Arial"/>
          <w:i/>
        </w:rPr>
        <w:t>AMEPKU v James Engineering Pty Ltd</w:t>
      </w:r>
      <w:r w:rsidRPr="00A43228">
        <w:rPr>
          <w:rFonts w:ascii="Arial" w:hAnsi="Arial" w:cs="Arial"/>
        </w:rPr>
        <w:t xml:space="preserve"> [2000] </w:t>
      </w:r>
      <w:proofErr w:type="spellStart"/>
      <w:r w:rsidRPr="00A43228">
        <w:rPr>
          <w:rFonts w:ascii="Arial" w:hAnsi="Arial" w:cs="Arial"/>
        </w:rPr>
        <w:t>QIRComm</w:t>
      </w:r>
      <w:proofErr w:type="spellEnd"/>
      <w:r w:rsidRPr="00A43228">
        <w:rPr>
          <w:rFonts w:ascii="Arial" w:hAnsi="Arial" w:cs="Arial"/>
        </w:rPr>
        <w:t xml:space="preserve"> 163</w:t>
      </w:r>
    </w:p>
  </w:footnote>
  <w:footnote w:id="23">
    <w:p w14:paraId="294CC133" w14:textId="77777777" w:rsidR="00EC3448" w:rsidRPr="00A43228" w:rsidRDefault="00EC3448" w:rsidP="00E518B1">
      <w:pPr>
        <w:pStyle w:val="FootnoteText"/>
        <w:spacing w:line="360" w:lineRule="auto"/>
        <w:rPr>
          <w:rFonts w:ascii="Arial" w:hAnsi="Arial" w:cs="Arial"/>
          <w:lang w:val="en-US"/>
        </w:rPr>
      </w:pPr>
      <w:r w:rsidRPr="00A43228">
        <w:rPr>
          <w:rStyle w:val="FootnoteReference"/>
          <w:rFonts w:ascii="Arial" w:hAnsi="Arial" w:cs="Arial"/>
        </w:rPr>
        <w:footnoteRef/>
      </w:r>
      <w:r w:rsidRPr="00A43228">
        <w:rPr>
          <w:rFonts w:ascii="Arial" w:hAnsi="Arial" w:cs="Arial"/>
        </w:rPr>
        <w:t xml:space="preserve"> </w:t>
      </w:r>
      <w:proofErr w:type="spellStart"/>
      <w:r w:rsidRPr="00A43228">
        <w:rPr>
          <w:rFonts w:ascii="Arial" w:hAnsi="Arial" w:cs="Arial"/>
          <w:i/>
          <w:lang w:val="en-US"/>
        </w:rPr>
        <w:t>Kilsby</w:t>
      </w:r>
      <w:proofErr w:type="spellEnd"/>
      <w:r w:rsidRPr="00A43228">
        <w:rPr>
          <w:rFonts w:ascii="Arial" w:hAnsi="Arial" w:cs="Arial"/>
          <w:i/>
          <w:lang w:val="en-US"/>
        </w:rPr>
        <w:t xml:space="preserve"> v MSS Security Pty Limited</w:t>
      </w:r>
      <w:r w:rsidRPr="00A43228">
        <w:rPr>
          <w:rFonts w:ascii="Arial" w:hAnsi="Arial" w:cs="Arial"/>
          <w:lang w:val="en-US"/>
        </w:rPr>
        <w:t xml:space="preserve"> [2014] FWC 7475</w:t>
      </w:r>
    </w:p>
  </w:footnote>
  <w:footnote w:id="24">
    <w:p w14:paraId="009C984C" w14:textId="073D46B5" w:rsidR="00EC3448" w:rsidRPr="00A43228" w:rsidRDefault="00EC3448" w:rsidP="00E518B1">
      <w:pPr>
        <w:pStyle w:val="FootnoteText"/>
        <w:spacing w:line="360" w:lineRule="auto"/>
        <w:rPr>
          <w:rFonts w:ascii="Arial" w:hAnsi="Arial" w:cs="Arial"/>
          <w:lang w:val="en-US"/>
        </w:rPr>
      </w:pPr>
      <w:r w:rsidRPr="00A43228">
        <w:rPr>
          <w:rStyle w:val="FootnoteReference"/>
          <w:rFonts w:ascii="Arial" w:hAnsi="Arial" w:cs="Arial"/>
        </w:rPr>
        <w:footnoteRef/>
      </w:r>
      <w:r w:rsidRPr="00A43228">
        <w:rPr>
          <w:rFonts w:ascii="Arial" w:hAnsi="Arial" w:cs="Arial"/>
        </w:rPr>
        <w:t xml:space="preserve"> </w:t>
      </w:r>
      <w:r w:rsidR="00B907B8">
        <w:rPr>
          <w:rFonts w:ascii="Arial" w:hAnsi="Arial" w:cs="Arial"/>
          <w:lang w:val="en-US"/>
        </w:rPr>
        <w:t>Ibid</w:t>
      </w:r>
    </w:p>
  </w:footnote>
  <w:footnote w:id="25">
    <w:p w14:paraId="128B5C20" w14:textId="77777777" w:rsidR="00EC3448" w:rsidRPr="00A43228" w:rsidRDefault="00EC3448" w:rsidP="00E518B1">
      <w:pPr>
        <w:pStyle w:val="FootnoteText"/>
        <w:spacing w:line="360" w:lineRule="auto"/>
        <w:rPr>
          <w:rFonts w:ascii="Arial" w:hAnsi="Arial" w:cs="Arial"/>
          <w:lang w:val="en-US"/>
        </w:rPr>
      </w:pPr>
      <w:r w:rsidRPr="00A43228">
        <w:rPr>
          <w:rStyle w:val="FootnoteReference"/>
          <w:rFonts w:ascii="Arial" w:hAnsi="Arial" w:cs="Arial"/>
        </w:rPr>
        <w:footnoteRef/>
      </w:r>
      <w:r w:rsidRPr="00A43228">
        <w:rPr>
          <w:rFonts w:ascii="Arial" w:hAnsi="Arial" w:cs="Arial"/>
        </w:rPr>
        <w:t xml:space="preserve"> </w:t>
      </w:r>
      <w:r w:rsidRPr="00A43228">
        <w:rPr>
          <w:rFonts w:ascii="Arial" w:hAnsi="Arial" w:cs="Arial"/>
          <w:i/>
        </w:rPr>
        <w:t>DIR v Delaware North (Australia) Pty Ltd</w:t>
      </w:r>
      <w:r w:rsidRPr="00A43228">
        <w:rPr>
          <w:rFonts w:ascii="Arial" w:hAnsi="Arial" w:cs="Arial"/>
        </w:rPr>
        <w:t xml:space="preserve"> (2002) 171 QGIG 395</w:t>
      </w:r>
    </w:p>
  </w:footnote>
  <w:footnote w:id="26">
    <w:p w14:paraId="0759FA2B" w14:textId="77777777" w:rsidR="00EC3448" w:rsidRPr="00A43228" w:rsidRDefault="00EC3448" w:rsidP="00E518B1">
      <w:pPr>
        <w:pStyle w:val="FootnoteText"/>
        <w:spacing w:line="360" w:lineRule="auto"/>
        <w:rPr>
          <w:rFonts w:ascii="Arial" w:hAnsi="Arial" w:cs="Arial"/>
          <w:lang w:val="en-US"/>
        </w:rPr>
      </w:pPr>
      <w:r w:rsidRPr="00A43228">
        <w:rPr>
          <w:rStyle w:val="FootnoteReference"/>
          <w:rFonts w:ascii="Arial" w:hAnsi="Arial" w:cs="Arial"/>
        </w:rPr>
        <w:footnoteRef/>
      </w:r>
      <w:r w:rsidRPr="00A43228">
        <w:rPr>
          <w:rFonts w:ascii="Arial" w:hAnsi="Arial" w:cs="Arial"/>
        </w:rPr>
        <w:t xml:space="preserve"> </w:t>
      </w:r>
      <w:r w:rsidRPr="00A43228">
        <w:rPr>
          <w:rFonts w:ascii="Arial" w:hAnsi="Arial" w:cs="Arial"/>
          <w:i/>
        </w:rPr>
        <w:t>CFMEU; CEPU; and AMWU v Spotless Facility Services Pty Ltd</w:t>
      </w:r>
      <w:r w:rsidRPr="00A43228">
        <w:rPr>
          <w:rFonts w:ascii="Arial" w:hAnsi="Arial" w:cs="Arial"/>
        </w:rPr>
        <w:t xml:space="preserve"> [2015] FWCFB 1162 at [66]</w:t>
      </w:r>
    </w:p>
  </w:footnote>
  <w:footnote w:id="27">
    <w:p w14:paraId="21DEE7A0" w14:textId="77777777" w:rsidR="00EC3448" w:rsidRPr="00A43228" w:rsidRDefault="00EC3448" w:rsidP="00E518B1">
      <w:pPr>
        <w:pStyle w:val="FootnoteText"/>
        <w:spacing w:line="360" w:lineRule="auto"/>
        <w:rPr>
          <w:rFonts w:ascii="Arial" w:hAnsi="Arial" w:cs="Arial"/>
          <w:lang w:val="en-US"/>
        </w:rPr>
      </w:pPr>
      <w:r w:rsidRPr="00A43228">
        <w:rPr>
          <w:rStyle w:val="FootnoteReference"/>
          <w:rFonts w:ascii="Arial" w:hAnsi="Arial" w:cs="Arial"/>
        </w:rPr>
        <w:footnoteRef/>
      </w:r>
      <w:r w:rsidRPr="00A43228">
        <w:rPr>
          <w:rFonts w:ascii="Arial" w:hAnsi="Arial" w:cs="Arial"/>
        </w:rPr>
        <w:t xml:space="preserve"> </w:t>
      </w:r>
      <w:r w:rsidRPr="00A43228">
        <w:rPr>
          <w:rFonts w:ascii="Arial" w:hAnsi="Arial" w:cs="Arial"/>
          <w:lang w:val="en-US"/>
        </w:rPr>
        <w:t>FW Act, s. 385(d)</w:t>
      </w:r>
    </w:p>
  </w:footnote>
  <w:footnote w:id="28">
    <w:p w14:paraId="7F68B675" w14:textId="77777777" w:rsidR="00EC3448" w:rsidRPr="00A43228" w:rsidRDefault="00EC3448" w:rsidP="00E518B1">
      <w:pPr>
        <w:pStyle w:val="FootnoteText"/>
        <w:spacing w:line="360" w:lineRule="auto"/>
        <w:rPr>
          <w:rFonts w:ascii="Arial" w:hAnsi="Arial" w:cs="Arial"/>
          <w:lang w:val="en-US"/>
        </w:rPr>
      </w:pPr>
      <w:r w:rsidRPr="00A43228">
        <w:rPr>
          <w:rStyle w:val="FootnoteReference"/>
          <w:rFonts w:ascii="Arial" w:hAnsi="Arial" w:cs="Arial"/>
        </w:rPr>
        <w:footnoteRef/>
      </w:r>
      <w:r w:rsidRPr="00A43228">
        <w:rPr>
          <w:rFonts w:ascii="Arial" w:hAnsi="Arial" w:cs="Arial"/>
        </w:rPr>
        <w:t xml:space="preserve"> See: </w:t>
      </w:r>
      <w:r w:rsidRPr="00A43228">
        <w:rPr>
          <w:rFonts w:ascii="Arial" w:hAnsi="Arial" w:cs="Arial"/>
          <w:i/>
        </w:rPr>
        <w:t>Transport Workers' Union v Veolia Environmental Service (Australia) Pty Ltd</w:t>
      </w:r>
      <w:r w:rsidRPr="00A43228">
        <w:rPr>
          <w:rFonts w:ascii="Arial" w:hAnsi="Arial" w:cs="Arial"/>
        </w:rPr>
        <w:t xml:space="preserve"> [2013] </w:t>
      </w:r>
      <w:proofErr w:type="spellStart"/>
      <w:r w:rsidRPr="00A43228">
        <w:rPr>
          <w:rFonts w:ascii="Arial" w:hAnsi="Arial" w:cs="Arial"/>
        </w:rPr>
        <w:t>NSWIRComm</w:t>
      </w:r>
      <w:proofErr w:type="spellEnd"/>
      <w:r w:rsidRPr="00A43228">
        <w:rPr>
          <w:rFonts w:ascii="Arial" w:hAnsi="Arial" w:cs="Arial"/>
        </w:rPr>
        <w:t xml:space="preserve"> 22 at [76] per </w:t>
      </w:r>
      <w:proofErr w:type="spellStart"/>
      <w:r w:rsidRPr="00A43228">
        <w:rPr>
          <w:rFonts w:ascii="Arial" w:hAnsi="Arial" w:cs="Arial"/>
        </w:rPr>
        <w:t>Haylen</w:t>
      </w:r>
      <w:proofErr w:type="spellEnd"/>
      <w:r w:rsidRPr="00A43228">
        <w:rPr>
          <w:rFonts w:ascii="Arial" w:hAnsi="Arial" w:cs="Arial"/>
        </w:rPr>
        <w:t xml:space="preserve"> J</w:t>
      </w:r>
    </w:p>
  </w:footnote>
  <w:footnote w:id="29">
    <w:p w14:paraId="6F2C9A14" w14:textId="77777777" w:rsidR="00EC3448" w:rsidRPr="00A43228" w:rsidRDefault="00EC3448" w:rsidP="00E518B1">
      <w:pPr>
        <w:pStyle w:val="FootnoteText"/>
        <w:spacing w:line="360" w:lineRule="auto"/>
        <w:rPr>
          <w:rFonts w:ascii="Arial" w:hAnsi="Arial" w:cs="Arial"/>
          <w:lang w:val="en-US"/>
        </w:rPr>
      </w:pPr>
      <w:r w:rsidRPr="00A43228">
        <w:rPr>
          <w:rStyle w:val="FootnoteReference"/>
          <w:rFonts w:ascii="Arial" w:hAnsi="Arial" w:cs="Arial"/>
        </w:rPr>
        <w:footnoteRef/>
      </w:r>
      <w:r w:rsidRPr="00A43228">
        <w:rPr>
          <w:rFonts w:ascii="Arial" w:hAnsi="Arial" w:cs="Arial"/>
        </w:rPr>
        <w:t xml:space="preserve"> </w:t>
      </w:r>
      <w:r w:rsidRPr="00A43228">
        <w:rPr>
          <w:rFonts w:ascii="Arial" w:hAnsi="Arial" w:cs="Arial"/>
          <w:lang w:val="en-US"/>
        </w:rPr>
        <w:t xml:space="preserve">for example: </w:t>
      </w:r>
      <w:proofErr w:type="spellStart"/>
      <w:r w:rsidRPr="00A43228">
        <w:rPr>
          <w:rFonts w:ascii="Arial" w:hAnsi="Arial" w:cs="Arial"/>
          <w:i/>
          <w:lang w:val="en-US"/>
        </w:rPr>
        <w:t>Kilsby</w:t>
      </w:r>
      <w:proofErr w:type="spellEnd"/>
      <w:r w:rsidRPr="00A43228">
        <w:rPr>
          <w:rFonts w:ascii="Arial" w:hAnsi="Arial" w:cs="Arial"/>
          <w:i/>
          <w:lang w:val="en-US"/>
        </w:rPr>
        <w:t xml:space="preserve"> v MSS Security Pty Limited</w:t>
      </w:r>
      <w:r w:rsidRPr="00A43228">
        <w:rPr>
          <w:rFonts w:ascii="Arial" w:hAnsi="Arial" w:cs="Arial"/>
          <w:lang w:val="en-US"/>
        </w:rPr>
        <w:t xml:space="preserve"> [2014] FWC 7475; </w:t>
      </w:r>
      <w:r w:rsidRPr="00A43228">
        <w:rPr>
          <w:rFonts w:ascii="Arial" w:hAnsi="Arial" w:cs="Arial"/>
          <w:i/>
          <w:lang w:val="en-US"/>
        </w:rPr>
        <w:t>Delta Coal Mining Pty Limited</w:t>
      </w:r>
      <w:r w:rsidRPr="00A43228">
        <w:rPr>
          <w:rFonts w:ascii="Arial" w:hAnsi="Arial" w:cs="Arial"/>
          <w:lang w:val="en-US"/>
        </w:rPr>
        <w:t xml:space="preserve"> [2014] FWC 3697</w:t>
      </w:r>
    </w:p>
  </w:footnote>
  <w:footnote w:id="30">
    <w:p w14:paraId="1D1FE555" w14:textId="77777777" w:rsidR="00EC3448" w:rsidRPr="00A43228" w:rsidRDefault="00EC3448" w:rsidP="00E518B1">
      <w:pPr>
        <w:pStyle w:val="FootnoteText"/>
        <w:spacing w:line="360" w:lineRule="auto"/>
        <w:rPr>
          <w:rFonts w:ascii="Arial" w:hAnsi="Arial" w:cs="Arial"/>
          <w:lang w:val="en-US"/>
        </w:rPr>
      </w:pPr>
      <w:r w:rsidRPr="00A43228">
        <w:rPr>
          <w:rStyle w:val="FootnoteReference"/>
          <w:rFonts w:ascii="Arial" w:hAnsi="Arial" w:cs="Arial"/>
        </w:rPr>
        <w:footnoteRef/>
      </w:r>
      <w:r w:rsidRPr="00A43228">
        <w:rPr>
          <w:rFonts w:ascii="Arial" w:hAnsi="Arial" w:cs="Arial"/>
        </w:rPr>
        <w:t xml:space="preserve"> </w:t>
      </w:r>
      <w:proofErr w:type="spellStart"/>
      <w:r w:rsidRPr="00A43228">
        <w:rPr>
          <w:rFonts w:ascii="Arial" w:hAnsi="Arial" w:cs="Arial"/>
        </w:rPr>
        <w:t>McKell</w:t>
      </w:r>
      <w:proofErr w:type="spellEnd"/>
      <w:r w:rsidRPr="00A43228">
        <w:rPr>
          <w:rFonts w:ascii="Arial" w:hAnsi="Arial" w:cs="Arial"/>
        </w:rPr>
        <w:t xml:space="preserve"> Institute; </w:t>
      </w:r>
      <w:r w:rsidRPr="00A43228">
        <w:rPr>
          <w:rFonts w:ascii="Arial" w:hAnsi="Arial" w:cs="Arial"/>
          <w:i/>
        </w:rPr>
        <w:t>The Case for a National Portable Long Service Leave Scheme in Australia</w:t>
      </w:r>
      <w:r w:rsidRPr="00A43228">
        <w:rPr>
          <w:rFonts w:ascii="Arial" w:hAnsi="Arial" w:cs="Arial"/>
        </w:rPr>
        <w:t>; 20 June 2013</w:t>
      </w:r>
    </w:p>
  </w:footnote>
  <w:footnote w:id="31">
    <w:p w14:paraId="6BADAF4A" w14:textId="54CE4979" w:rsidR="00EC3448" w:rsidRPr="00A43228" w:rsidRDefault="00EC3448" w:rsidP="00E518B1">
      <w:pPr>
        <w:pStyle w:val="FootnoteText"/>
        <w:spacing w:line="360" w:lineRule="auto"/>
        <w:rPr>
          <w:rFonts w:ascii="Arial" w:hAnsi="Arial" w:cs="Arial"/>
          <w:lang w:val="en-US"/>
        </w:rPr>
      </w:pPr>
      <w:r w:rsidRPr="00A43228">
        <w:rPr>
          <w:rStyle w:val="FootnoteReference"/>
          <w:rFonts w:ascii="Arial" w:hAnsi="Arial" w:cs="Arial"/>
        </w:rPr>
        <w:footnoteRef/>
      </w:r>
      <w:r w:rsidRPr="00A43228">
        <w:rPr>
          <w:rFonts w:ascii="Arial" w:hAnsi="Arial" w:cs="Arial"/>
        </w:rPr>
        <w:t xml:space="preserve"> </w:t>
      </w:r>
      <w:r w:rsidR="00B907B8">
        <w:rPr>
          <w:rFonts w:ascii="Arial" w:hAnsi="Arial" w:cs="Arial"/>
          <w:lang w:val="en-US"/>
        </w:rPr>
        <w:t>I</w:t>
      </w:r>
      <w:r>
        <w:rPr>
          <w:rFonts w:ascii="Arial" w:hAnsi="Arial" w:cs="Arial"/>
          <w:lang w:val="en-US"/>
        </w:rPr>
        <w:t>bid</w:t>
      </w:r>
    </w:p>
  </w:footnote>
  <w:footnote w:id="32">
    <w:p w14:paraId="012A99AE" w14:textId="77777777" w:rsidR="00EC3448" w:rsidRPr="007B63AA" w:rsidRDefault="00EC3448" w:rsidP="007B63AA">
      <w:pPr>
        <w:spacing w:line="360" w:lineRule="auto"/>
        <w:rPr>
          <w:rFonts w:ascii="Times New Roman" w:hAnsi="Times New Roman" w:cs="Times New Roman"/>
          <w:lang w:val="en-US"/>
        </w:rPr>
      </w:pPr>
      <w:r w:rsidRPr="007B63AA">
        <w:rPr>
          <w:rStyle w:val="FootnoteReference"/>
          <w:rFonts w:ascii="Arial" w:hAnsi="Arial" w:cs="Arial"/>
          <w:sz w:val="20"/>
          <w:szCs w:val="20"/>
        </w:rPr>
        <w:footnoteRef/>
      </w:r>
      <w:r w:rsidRPr="007B63AA">
        <w:rPr>
          <w:rFonts w:ascii="Arial" w:hAnsi="Arial" w:cs="Arial"/>
          <w:sz w:val="20"/>
          <w:szCs w:val="20"/>
        </w:rPr>
        <w:t xml:space="preserve"> </w:t>
      </w:r>
      <w:proofErr w:type="gramStart"/>
      <w:r w:rsidRPr="007B63AA">
        <w:rPr>
          <w:rFonts w:ascii="Arial" w:eastAsia="Times New Roman" w:hAnsi="Arial" w:cs="Arial"/>
          <w:i/>
          <w:sz w:val="20"/>
          <w:szCs w:val="20"/>
        </w:rPr>
        <w:t>Compendium of Workers’ Compensation Statistics, Australia 2009-10</w:t>
      </w:r>
      <w:r w:rsidRPr="007B63AA">
        <w:rPr>
          <w:rFonts w:ascii="Arial" w:eastAsia="Times New Roman" w:hAnsi="Arial" w:cs="Arial"/>
          <w:sz w:val="20"/>
          <w:szCs w:val="20"/>
        </w:rPr>
        <w:t>, Safe Work Australia, 2012, p6.</w:t>
      </w:r>
      <w:proofErr w:type="gramEnd"/>
    </w:p>
  </w:footnote>
  <w:footnote w:id="33">
    <w:p w14:paraId="5A565BFC" w14:textId="08E577E2" w:rsidR="00EC3448" w:rsidRPr="007B63AA" w:rsidRDefault="00EC3448" w:rsidP="007B63AA">
      <w:pPr>
        <w:pStyle w:val="FootnoteText"/>
        <w:spacing w:line="360" w:lineRule="auto"/>
        <w:rPr>
          <w:rFonts w:ascii="Arial" w:hAnsi="Arial" w:cs="Arial"/>
        </w:rPr>
      </w:pPr>
      <w:r w:rsidRPr="007B63AA">
        <w:rPr>
          <w:rStyle w:val="FootnoteReference"/>
          <w:rFonts w:ascii="Arial" w:hAnsi="Arial" w:cs="Arial"/>
        </w:rPr>
        <w:footnoteRef/>
      </w:r>
      <w:r w:rsidRPr="007B63AA">
        <w:rPr>
          <w:rFonts w:ascii="Arial" w:hAnsi="Arial" w:cs="Arial"/>
        </w:rPr>
        <w:t xml:space="preserve"> A race that, for example, Walmart in America (</w:t>
      </w:r>
      <w:hyperlink r:id="rId10" w:history="1">
        <w:r w:rsidRPr="007B63AA">
          <w:rPr>
            <w:rStyle w:val="Hyperlink"/>
            <w:rFonts w:ascii="Arial" w:hAnsi="Arial" w:cs="Arial"/>
          </w:rPr>
          <w:t>http://makingchangeatwalmart.org/about/</w:t>
        </w:r>
      </w:hyperlink>
      <w:r w:rsidRPr="007B63AA">
        <w:rPr>
          <w:rFonts w:ascii="Arial" w:hAnsi="Arial" w:cs="Arial"/>
        </w:rPr>
        <w:t>) and Apple in China (http://www.bbc.com/news/business-30532463) have been leading</w:t>
      </w:r>
    </w:p>
    <w:p w14:paraId="3E13C018" w14:textId="77777777" w:rsidR="00EC3448" w:rsidRPr="007B63AA" w:rsidRDefault="00EC3448" w:rsidP="007B63AA">
      <w:pPr>
        <w:pStyle w:val="FootnoteText"/>
        <w:spacing w:line="360" w:lineRule="auto"/>
        <w:rPr>
          <w:rFonts w:ascii="Arial" w:hAnsi="Arial" w:cs="Arial"/>
        </w:rPr>
      </w:pPr>
    </w:p>
  </w:footnote>
  <w:footnote w:id="34">
    <w:p w14:paraId="16BD2D17" w14:textId="6634D32B" w:rsidR="00EC3448" w:rsidRPr="007B63AA" w:rsidRDefault="00EC3448" w:rsidP="007B63AA">
      <w:pPr>
        <w:pStyle w:val="FootnoteText"/>
        <w:spacing w:line="360" w:lineRule="auto"/>
        <w:rPr>
          <w:rFonts w:ascii="Arial" w:hAnsi="Arial" w:cs="Arial"/>
        </w:rPr>
      </w:pPr>
      <w:r w:rsidRPr="007B63AA">
        <w:rPr>
          <w:rStyle w:val="FootnoteReference"/>
          <w:rFonts w:ascii="Arial" w:hAnsi="Arial" w:cs="Arial"/>
        </w:rPr>
        <w:footnoteRef/>
      </w:r>
      <w:r w:rsidRPr="007B63AA">
        <w:rPr>
          <w:rFonts w:ascii="Arial" w:hAnsi="Arial" w:cs="Arial"/>
        </w:rPr>
        <w:t xml:space="preserve"> </w:t>
      </w:r>
      <w:r>
        <w:rPr>
          <w:rFonts w:ascii="Arial" w:hAnsi="Arial" w:cs="Arial"/>
        </w:rPr>
        <w:t>FW Act</w:t>
      </w:r>
      <w:r w:rsidRPr="007B63AA">
        <w:rPr>
          <w:rFonts w:ascii="Arial" w:hAnsi="Arial" w:cs="Arial"/>
        </w:rPr>
        <w:t xml:space="preserve"> (Part 2-4)</w:t>
      </w:r>
    </w:p>
  </w:footnote>
  <w:footnote w:id="35">
    <w:p w14:paraId="7277930F" w14:textId="77777777" w:rsidR="00EC3448" w:rsidRPr="007B63AA" w:rsidRDefault="00EC3448" w:rsidP="007B63AA">
      <w:pPr>
        <w:pStyle w:val="FootnoteText"/>
        <w:spacing w:line="360" w:lineRule="auto"/>
        <w:rPr>
          <w:rFonts w:ascii="Arial" w:hAnsi="Arial" w:cs="Arial"/>
        </w:rPr>
      </w:pPr>
      <w:r w:rsidRPr="007B63AA">
        <w:rPr>
          <w:rStyle w:val="FootnoteReference"/>
          <w:rFonts w:ascii="Arial" w:hAnsi="Arial" w:cs="Arial"/>
        </w:rPr>
        <w:footnoteRef/>
      </w:r>
      <w:r w:rsidRPr="007B63AA">
        <w:rPr>
          <w:rFonts w:ascii="Arial" w:hAnsi="Arial" w:cs="Arial"/>
        </w:rPr>
        <w:t xml:space="preserve"> </w:t>
      </w:r>
      <w:hyperlink r:id="rId11" w:history="1">
        <w:r w:rsidRPr="007B63AA">
          <w:rPr>
            <w:rStyle w:val="Hyperlink"/>
            <w:rFonts w:ascii="Arial" w:hAnsi="Arial" w:cs="Arial"/>
          </w:rPr>
          <w:t>http://www.theguardian.com/business/grogonomics/2015/jan/28/inequality-should-be-at-the-forefront-of-a-debate-on-the-minimum-wage</w:t>
        </w:r>
      </w:hyperlink>
    </w:p>
  </w:footnote>
  <w:footnote w:id="36">
    <w:p w14:paraId="7051A021" w14:textId="77777777" w:rsidR="00EC3448" w:rsidRPr="007B63AA" w:rsidRDefault="00EC3448" w:rsidP="007B63AA">
      <w:pPr>
        <w:pStyle w:val="FootnoteText"/>
        <w:spacing w:line="360" w:lineRule="auto"/>
        <w:rPr>
          <w:rFonts w:ascii="Arial" w:hAnsi="Arial" w:cs="Arial"/>
        </w:rPr>
      </w:pPr>
      <w:r w:rsidRPr="007B63AA">
        <w:rPr>
          <w:rStyle w:val="FootnoteReference"/>
          <w:rFonts w:ascii="Arial" w:hAnsi="Arial" w:cs="Arial"/>
        </w:rPr>
        <w:footnoteRef/>
      </w:r>
      <w:r w:rsidRPr="007B63AA">
        <w:rPr>
          <w:rFonts w:ascii="Arial" w:hAnsi="Arial" w:cs="Arial"/>
        </w:rPr>
        <w:t xml:space="preserve"> </w:t>
      </w:r>
      <w:hyperlink r:id="rId12" w:history="1">
        <w:r w:rsidRPr="007B63AA">
          <w:rPr>
            <w:rStyle w:val="Hyperlink"/>
            <w:rFonts w:ascii="Arial" w:hAnsi="Arial" w:cs="Arial"/>
          </w:rPr>
          <w:t>http://www.theguardian.com/business/grogonomics/2014/jul/31/business-leaders-should-stop-whinging-about-australias-competitiveness</w:t>
        </w:r>
      </w:hyperlink>
    </w:p>
  </w:footnote>
  <w:footnote w:id="37">
    <w:p w14:paraId="06791198" w14:textId="77777777" w:rsidR="00EC3448" w:rsidRPr="007B63AA" w:rsidRDefault="00EC3448" w:rsidP="007B63AA">
      <w:pPr>
        <w:pStyle w:val="FootnoteText"/>
        <w:spacing w:line="360" w:lineRule="auto"/>
        <w:rPr>
          <w:rFonts w:ascii="Arial" w:hAnsi="Arial" w:cs="Arial"/>
        </w:rPr>
      </w:pPr>
      <w:r w:rsidRPr="007B63AA">
        <w:rPr>
          <w:rStyle w:val="FootnoteReference"/>
          <w:rFonts w:ascii="Arial" w:hAnsi="Arial" w:cs="Arial"/>
        </w:rPr>
        <w:footnoteRef/>
      </w:r>
      <w:r w:rsidRPr="007B63AA">
        <w:rPr>
          <w:rFonts w:ascii="Arial" w:hAnsi="Arial" w:cs="Arial"/>
        </w:rPr>
        <w:t xml:space="preserve"> </w:t>
      </w:r>
      <w:hyperlink r:id="rId13" w:history="1">
        <w:r w:rsidRPr="007B63AA">
          <w:rPr>
            <w:rStyle w:val="Hyperlink"/>
            <w:rFonts w:ascii="Arial" w:hAnsi="Arial" w:cs="Arial"/>
          </w:rPr>
          <w:t>http://www98.griffith.edu.au/dspace/bitstream/handle/10072/49919/83134_1.pdf?sequence=1</w:t>
        </w:r>
      </w:hyperlink>
    </w:p>
  </w:footnote>
  <w:footnote w:id="38">
    <w:p w14:paraId="6DA4B494" w14:textId="77777777" w:rsidR="00EC3448" w:rsidRPr="007B63AA" w:rsidRDefault="00EC3448" w:rsidP="007B63AA">
      <w:pPr>
        <w:pStyle w:val="FootnoteText"/>
        <w:spacing w:line="360" w:lineRule="auto"/>
        <w:rPr>
          <w:rFonts w:ascii="Arial" w:hAnsi="Arial" w:cs="Arial"/>
        </w:rPr>
      </w:pPr>
      <w:r w:rsidRPr="007B63AA">
        <w:rPr>
          <w:rStyle w:val="FootnoteReference"/>
          <w:rFonts w:ascii="Arial" w:hAnsi="Arial" w:cs="Arial"/>
        </w:rPr>
        <w:footnoteRef/>
      </w:r>
      <w:hyperlink r:id="rId14" w:history="1">
        <w:r w:rsidRPr="007B63AA">
          <w:rPr>
            <w:rStyle w:val="Hyperlink"/>
            <w:rFonts w:ascii="Arial" w:hAnsi="Arial" w:cs="Arial"/>
          </w:rPr>
          <w:t>http://www.actu.org.au/Images/Dynamic/attachments/7852/Shrinking%20Slice%20of%20the%20Pie%202013%20Final.pdf</w:t>
        </w:r>
      </w:hyperlink>
    </w:p>
  </w:footnote>
  <w:footnote w:id="39">
    <w:p w14:paraId="62B09317" w14:textId="77777777" w:rsidR="00EC3448" w:rsidRPr="007B63AA" w:rsidRDefault="00EC3448" w:rsidP="007B63AA">
      <w:pPr>
        <w:pStyle w:val="FootnoteText"/>
        <w:spacing w:line="360" w:lineRule="auto"/>
        <w:rPr>
          <w:rFonts w:ascii="Arial" w:hAnsi="Arial" w:cs="Arial"/>
        </w:rPr>
      </w:pPr>
      <w:r w:rsidRPr="007B63AA">
        <w:rPr>
          <w:rStyle w:val="FootnoteReference"/>
          <w:rFonts w:ascii="Arial" w:hAnsi="Arial" w:cs="Arial"/>
        </w:rPr>
        <w:footnoteRef/>
      </w:r>
      <w:r w:rsidRPr="007B63AA">
        <w:rPr>
          <w:rFonts w:ascii="Arial" w:hAnsi="Arial" w:cs="Arial"/>
        </w:rPr>
        <w:t xml:space="preserve"> </w:t>
      </w:r>
      <w:hyperlink r:id="rId15" w:history="1">
        <w:r w:rsidRPr="007B63AA">
          <w:rPr>
            <w:rStyle w:val="Hyperlink"/>
            <w:rFonts w:ascii="Arial" w:hAnsi="Arial" w:cs="Arial"/>
          </w:rPr>
          <w:t>http://www.theaustralian.com.au/archive/national-affairs/creating-great-workplaces/story-fng387xs-1226504182811</w:t>
        </w:r>
      </w:hyperlink>
    </w:p>
  </w:footnote>
  <w:footnote w:id="40">
    <w:p w14:paraId="2B07C6FA" w14:textId="77777777" w:rsidR="00EC3448" w:rsidRPr="007B63AA" w:rsidRDefault="00EC3448" w:rsidP="007B63AA">
      <w:pPr>
        <w:pStyle w:val="FootnoteText"/>
        <w:spacing w:line="360" w:lineRule="auto"/>
        <w:rPr>
          <w:rFonts w:ascii="Arial" w:hAnsi="Arial" w:cs="Arial"/>
        </w:rPr>
      </w:pPr>
      <w:r w:rsidRPr="007B63AA">
        <w:rPr>
          <w:rStyle w:val="FootnoteReference"/>
          <w:rFonts w:ascii="Arial" w:hAnsi="Arial" w:cs="Arial"/>
        </w:rPr>
        <w:footnoteRef/>
      </w:r>
      <w:r w:rsidRPr="007B63AA">
        <w:rPr>
          <w:rFonts w:ascii="Arial" w:hAnsi="Arial" w:cs="Arial"/>
        </w:rPr>
        <w:t xml:space="preserve"> </w:t>
      </w:r>
      <w:proofErr w:type="gramStart"/>
      <w:r w:rsidRPr="007B63AA">
        <w:rPr>
          <w:rFonts w:ascii="Arial" w:hAnsi="Arial" w:cs="Arial"/>
        </w:rPr>
        <w:t xml:space="preserve">Freeman, Richard B. and James L. </w:t>
      </w:r>
      <w:proofErr w:type="spellStart"/>
      <w:r w:rsidRPr="007B63AA">
        <w:rPr>
          <w:rFonts w:ascii="Arial" w:hAnsi="Arial" w:cs="Arial"/>
        </w:rPr>
        <w:t>Medoff</w:t>
      </w:r>
      <w:proofErr w:type="spellEnd"/>
      <w:r w:rsidRPr="007B63AA">
        <w:rPr>
          <w:rFonts w:ascii="Arial" w:hAnsi="Arial" w:cs="Arial"/>
        </w:rPr>
        <w:t>.</w:t>
      </w:r>
      <w:proofErr w:type="gramEnd"/>
      <w:r w:rsidRPr="007B63AA">
        <w:rPr>
          <w:rFonts w:ascii="Arial" w:hAnsi="Arial" w:cs="Arial"/>
        </w:rPr>
        <w:t xml:space="preserve"> What Do Unions Do? New York: Basic Books, 1984. </w:t>
      </w:r>
      <w:proofErr w:type="gramStart"/>
      <w:r w:rsidRPr="007B63AA">
        <w:rPr>
          <w:rFonts w:ascii="Arial" w:hAnsi="Arial" w:cs="Arial"/>
        </w:rPr>
        <w:t>“Reply.”</w:t>
      </w:r>
      <w:proofErr w:type="gramEnd"/>
      <w:r w:rsidRPr="007B63AA">
        <w:rPr>
          <w:rFonts w:ascii="Arial" w:hAnsi="Arial" w:cs="Arial"/>
        </w:rPr>
        <w:t xml:space="preserve"> Industrial and </w:t>
      </w:r>
      <w:proofErr w:type="spellStart"/>
      <w:r w:rsidRPr="007B63AA">
        <w:rPr>
          <w:rFonts w:ascii="Arial" w:hAnsi="Arial" w:cs="Arial"/>
        </w:rPr>
        <w:t>Labor</w:t>
      </w:r>
      <w:proofErr w:type="spellEnd"/>
      <w:r w:rsidRPr="007B63AA">
        <w:rPr>
          <w:rFonts w:ascii="Arial" w:hAnsi="Arial" w:cs="Arial"/>
        </w:rPr>
        <w:t xml:space="preserve"> Relations Review 382 (January 1985): 259–63.</w:t>
      </w:r>
      <w:r w:rsidRPr="007B63AA">
        <w:rPr>
          <w:rFonts w:ascii="Arial" w:hAnsi="Arial" w:cs="Arial"/>
          <w:bCs/>
        </w:rPr>
        <w:t>)</w:t>
      </w:r>
    </w:p>
  </w:footnote>
  <w:footnote w:id="41">
    <w:p w14:paraId="646934B1" w14:textId="77777777" w:rsidR="00EC3448" w:rsidRPr="007B63AA" w:rsidRDefault="00EC3448" w:rsidP="007B63AA">
      <w:pPr>
        <w:pStyle w:val="FootnoteText"/>
        <w:spacing w:line="360" w:lineRule="auto"/>
        <w:rPr>
          <w:rFonts w:ascii="Arial" w:hAnsi="Arial" w:cs="Arial"/>
        </w:rPr>
      </w:pPr>
      <w:r w:rsidRPr="007B63AA">
        <w:rPr>
          <w:rStyle w:val="FootnoteReference"/>
          <w:rFonts w:ascii="Arial" w:hAnsi="Arial" w:cs="Arial"/>
        </w:rPr>
        <w:footnoteRef/>
      </w:r>
      <w:r w:rsidRPr="007B63AA">
        <w:rPr>
          <w:rFonts w:ascii="Arial" w:hAnsi="Arial" w:cs="Arial"/>
        </w:rPr>
        <w:t xml:space="preserve"> </w:t>
      </w:r>
      <w:hyperlink r:id="rId16" w:history="1">
        <w:r w:rsidRPr="007B63AA">
          <w:rPr>
            <w:rStyle w:val="Hyperlink"/>
            <w:rFonts w:ascii="Arial" w:hAnsi="Arial" w:cs="Arial"/>
          </w:rPr>
          <w:t>http://www.theguardian.com/commentisfree/2014/dec/22/the-liberals-review-of-workplace-relations-is-critical-to-unmaking-our-social-democracy</w:t>
        </w:r>
      </w:hyperlink>
    </w:p>
  </w:footnote>
  <w:footnote w:id="42">
    <w:p w14:paraId="33175C45" w14:textId="1396100F" w:rsidR="00EC3448" w:rsidRPr="007B63AA" w:rsidRDefault="00EC3448" w:rsidP="007B63AA">
      <w:pPr>
        <w:pStyle w:val="FootnoteText"/>
        <w:spacing w:line="360" w:lineRule="auto"/>
        <w:rPr>
          <w:rFonts w:ascii="Arial" w:hAnsi="Arial" w:cs="Arial"/>
        </w:rPr>
      </w:pPr>
      <w:r w:rsidRPr="007B63AA">
        <w:rPr>
          <w:rStyle w:val="FootnoteReference"/>
          <w:rFonts w:ascii="Arial" w:hAnsi="Arial" w:cs="Arial"/>
        </w:rPr>
        <w:footnoteRef/>
      </w:r>
      <w:r w:rsidRPr="007B63AA">
        <w:rPr>
          <w:rFonts w:ascii="Arial" w:hAnsi="Arial" w:cs="Arial"/>
        </w:rPr>
        <w:t xml:space="preserve"> </w:t>
      </w:r>
      <w:hyperlink r:id="rId17" w:history="1">
        <w:r w:rsidR="00B907B8">
          <w:rPr>
            <w:rStyle w:val="Hyperlink"/>
            <w:rFonts w:ascii="Arial" w:hAnsi="Arial" w:cs="Arial"/>
          </w:rPr>
          <w:t>Ibid</w:t>
        </w:r>
      </w:hyperlink>
    </w:p>
  </w:footnote>
  <w:footnote w:id="43">
    <w:p w14:paraId="223B811C" w14:textId="77777777" w:rsidR="00EC3448" w:rsidRPr="007B63AA" w:rsidRDefault="00EC3448" w:rsidP="007B63AA">
      <w:pPr>
        <w:pStyle w:val="FootnoteText"/>
        <w:spacing w:line="360" w:lineRule="auto"/>
        <w:rPr>
          <w:rFonts w:ascii="Arial" w:hAnsi="Arial" w:cs="Arial"/>
        </w:rPr>
      </w:pPr>
      <w:r w:rsidRPr="007B63AA">
        <w:rPr>
          <w:rStyle w:val="FootnoteReference"/>
          <w:rFonts w:ascii="Arial" w:hAnsi="Arial" w:cs="Arial"/>
        </w:rPr>
        <w:footnoteRef/>
      </w:r>
      <w:r w:rsidRPr="007B63AA">
        <w:rPr>
          <w:rFonts w:ascii="Arial" w:hAnsi="Arial" w:cs="Arial"/>
        </w:rPr>
        <w:t xml:space="preserve"> Ibid</w:t>
      </w:r>
    </w:p>
  </w:footnote>
  <w:footnote w:id="44">
    <w:p w14:paraId="5FD4D1EE" w14:textId="77777777" w:rsidR="00EC3448" w:rsidRPr="007B63AA" w:rsidRDefault="00EC3448" w:rsidP="007B63AA">
      <w:pPr>
        <w:pStyle w:val="FootnoteText"/>
        <w:spacing w:line="360" w:lineRule="auto"/>
        <w:rPr>
          <w:rFonts w:ascii="Arial" w:hAnsi="Arial" w:cs="Arial"/>
        </w:rPr>
      </w:pPr>
      <w:r w:rsidRPr="007B63AA">
        <w:rPr>
          <w:rStyle w:val="FootnoteReference"/>
          <w:rFonts w:ascii="Arial" w:hAnsi="Arial" w:cs="Arial"/>
        </w:rPr>
        <w:footnoteRef/>
      </w:r>
      <w:r w:rsidRPr="007B63AA">
        <w:rPr>
          <w:rFonts w:ascii="Arial" w:hAnsi="Arial" w:cs="Arial"/>
        </w:rPr>
        <w:t xml:space="preserve"> </w:t>
      </w:r>
      <w:r w:rsidRPr="007B63AA">
        <w:rPr>
          <w:rFonts w:ascii="Arial" w:hAnsi="Arial" w:cs="Arial"/>
          <w:bCs/>
        </w:rPr>
        <w:t>Defined as earning less than two-thirds the median wage</w:t>
      </w:r>
    </w:p>
  </w:footnote>
  <w:footnote w:id="45">
    <w:p w14:paraId="02869199" w14:textId="77777777" w:rsidR="00EC3448" w:rsidRPr="007B63AA" w:rsidRDefault="00EC3448" w:rsidP="007B63AA">
      <w:pPr>
        <w:pStyle w:val="FootnoteText"/>
        <w:spacing w:line="360" w:lineRule="auto"/>
        <w:rPr>
          <w:rFonts w:ascii="Arial" w:hAnsi="Arial" w:cs="Arial"/>
        </w:rPr>
      </w:pPr>
      <w:r w:rsidRPr="007B63AA">
        <w:rPr>
          <w:rStyle w:val="FootnoteReference"/>
          <w:rFonts w:ascii="Arial" w:hAnsi="Arial" w:cs="Arial"/>
        </w:rPr>
        <w:footnoteRef/>
      </w:r>
      <w:r w:rsidRPr="007B63AA">
        <w:rPr>
          <w:rFonts w:ascii="Arial" w:hAnsi="Arial" w:cs="Arial"/>
        </w:rPr>
        <w:t xml:space="preserve"> </w:t>
      </w:r>
      <w:hyperlink r:id="rId18" w:history="1">
        <w:r w:rsidRPr="007B63AA">
          <w:rPr>
            <w:rStyle w:val="Hyperlink"/>
            <w:rFonts w:ascii="Arial" w:hAnsi="Arial" w:cs="Arial"/>
          </w:rPr>
          <w:t>http://www.theguardian.com/business/grogonomics/2015/jan/28/inequality-should-be-at-the-forefront-of-a-debate-on-the-minimum-wage</w:t>
        </w:r>
      </w:hyperlink>
    </w:p>
  </w:footnote>
  <w:footnote w:id="46">
    <w:p w14:paraId="7F8C50E7" w14:textId="77777777" w:rsidR="00EC3448" w:rsidRPr="007B63AA" w:rsidRDefault="00EC3448" w:rsidP="007B63AA">
      <w:pPr>
        <w:pStyle w:val="FootnoteText"/>
        <w:spacing w:line="360" w:lineRule="auto"/>
        <w:rPr>
          <w:rFonts w:ascii="Arial" w:hAnsi="Arial" w:cs="Arial"/>
        </w:rPr>
      </w:pPr>
      <w:r w:rsidRPr="007B63AA">
        <w:rPr>
          <w:rStyle w:val="FootnoteReference"/>
          <w:rFonts w:ascii="Arial" w:hAnsi="Arial" w:cs="Arial"/>
        </w:rPr>
        <w:footnoteRef/>
      </w:r>
      <w:r w:rsidRPr="007B63AA">
        <w:rPr>
          <w:rFonts w:ascii="Arial" w:hAnsi="Arial" w:cs="Arial"/>
        </w:rPr>
        <w:t xml:space="preserve"> </w:t>
      </w:r>
      <w:hyperlink r:id="rId19" w:history="1">
        <w:r w:rsidRPr="007B63AA">
          <w:rPr>
            <w:rStyle w:val="Hyperlink"/>
            <w:rFonts w:ascii="Arial" w:hAnsi="Arial" w:cs="Arial"/>
          </w:rPr>
          <w:t>https://www.oxfam.org.au/wp-content/uploads/2014/06/2014-66-g20-report_fa_web-2.pdf</w:t>
        </w:r>
      </w:hyperlink>
    </w:p>
  </w:footnote>
  <w:footnote w:id="47">
    <w:p w14:paraId="4508A236" w14:textId="77777777" w:rsidR="00EC3448" w:rsidRPr="007B63AA" w:rsidRDefault="00EC3448" w:rsidP="007B63AA">
      <w:pPr>
        <w:pStyle w:val="FootnoteText"/>
        <w:spacing w:line="360" w:lineRule="auto"/>
        <w:rPr>
          <w:rFonts w:ascii="Arial" w:hAnsi="Arial" w:cs="Arial"/>
        </w:rPr>
      </w:pPr>
      <w:r w:rsidRPr="007B63AA">
        <w:rPr>
          <w:rStyle w:val="FootnoteReference"/>
          <w:rFonts w:ascii="Arial" w:hAnsi="Arial" w:cs="Arial"/>
        </w:rPr>
        <w:footnoteRef/>
      </w:r>
      <w:r w:rsidRPr="007B63AA">
        <w:rPr>
          <w:rFonts w:ascii="Arial" w:hAnsi="Arial" w:cs="Arial"/>
        </w:rPr>
        <w:t xml:space="preserve"> Ibid</w:t>
      </w:r>
    </w:p>
  </w:footnote>
  <w:footnote w:id="48">
    <w:p w14:paraId="7743B892" w14:textId="77777777" w:rsidR="00EC3448" w:rsidRPr="007B63AA" w:rsidRDefault="00EC3448" w:rsidP="007B63AA">
      <w:pPr>
        <w:pStyle w:val="FootnoteText"/>
        <w:spacing w:line="360" w:lineRule="auto"/>
        <w:rPr>
          <w:rFonts w:ascii="Arial" w:hAnsi="Arial" w:cs="Arial"/>
        </w:rPr>
      </w:pPr>
      <w:r w:rsidRPr="007B63AA">
        <w:rPr>
          <w:rStyle w:val="FootnoteReference"/>
          <w:rFonts w:ascii="Arial" w:hAnsi="Arial" w:cs="Arial"/>
        </w:rPr>
        <w:footnoteRef/>
      </w:r>
      <w:r w:rsidRPr="007B63AA">
        <w:rPr>
          <w:rFonts w:ascii="Arial" w:hAnsi="Arial" w:cs="Arial"/>
        </w:rPr>
        <w:t xml:space="preserve"> </w:t>
      </w:r>
      <w:hyperlink r:id="rId20" w:history="1">
        <w:r w:rsidRPr="007B63AA">
          <w:rPr>
            <w:rStyle w:val="Hyperlink"/>
            <w:rFonts w:ascii="Arial" w:hAnsi="Arial" w:cs="Arial"/>
          </w:rPr>
          <w:t>https://www.imf.org/external/np/speeches/2014/052714.htm</w:t>
        </w:r>
      </w:hyperlink>
    </w:p>
  </w:footnote>
  <w:footnote w:id="49">
    <w:p w14:paraId="7C0CB9C3" w14:textId="77777777" w:rsidR="00EC3448" w:rsidRPr="007B63AA" w:rsidRDefault="00EC3448" w:rsidP="007B63AA">
      <w:pPr>
        <w:pStyle w:val="FootnoteText"/>
        <w:spacing w:line="360" w:lineRule="auto"/>
        <w:rPr>
          <w:rFonts w:ascii="Arial" w:hAnsi="Arial" w:cs="Arial"/>
        </w:rPr>
      </w:pPr>
      <w:r w:rsidRPr="007B63AA">
        <w:rPr>
          <w:rStyle w:val="FootnoteReference"/>
          <w:rFonts w:ascii="Arial" w:hAnsi="Arial" w:cs="Arial"/>
        </w:rPr>
        <w:footnoteRef/>
      </w:r>
      <w:r w:rsidRPr="007B63AA">
        <w:rPr>
          <w:rFonts w:ascii="Arial" w:hAnsi="Arial" w:cs="Arial"/>
        </w:rPr>
        <w:t xml:space="preserve"> </w:t>
      </w:r>
      <w:hyperlink r:id="rId21" w:history="1">
        <w:r w:rsidRPr="00F5350A">
          <w:rPr>
            <w:rStyle w:val="Hyperlink"/>
            <w:rFonts w:ascii="Arial" w:hAnsi="Arial" w:cs="Arial"/>
            <w:color w:val="000000"/>
            <w:u w:val="none"/>
          </w:rPr>
          <w:t>Ibid</w:t>
        </w:r>
      </w:hyperlink>
    </w:p>
  </w:footnote>
  <w:footnote w:id="50">
    <w:p w14:paraId="0F3F7071" w14:textId="7EF2D774" w:rsidR="00EC3448" w:rsidRPr="007B63AA" w:rsidRDefault="00EC3448" w:rsidP="007B63AA">
      <w:pPr>
        <w:pStyle w:val="FootnoteText"/>
        <w:spacing w:line="360" w:lineRule="auto"/>
        <w:rPr>
          <w:rFonts w:ascii="Arial" w:hAnsi="Arial" w:cs="Arial"/>
        </w:rPr>
      </w:pPr>
      <w:r w:rsidRPr="007B63AA">
        <w:rPr>
          <w:rStyle w:val="FootnoteReference"/>
          <w:rFonts w:ascii="Arial" w:hAnsi="Arial" w:cs="Arial"/>
        </w:rPr>
        <w:footnoteRef/>
      </w:r>
      <w:r w:rsidRPr="007B63AA">
        <w:rPr>
          <w:rFonts w:ascii="Arial" w:hAnsi="Arial" w:cs="Arial"/>
        </w:rPr>
        <w:t xml:space="preserve"> </w:t>
      </w:r>
      <w:r>
        <w:rPr>
          <w:rFonts w:ascii="Arial" w:hAnsi="Arial" w:cs="Arial"/>
        </w:rPr>
        <w:t xml:space="preserve">FW Act, </w:t>
      </w:r>
      <w:r w:rsidRPr="007B63AA">
        <w:rPr>
          <w:rFonts w:ascii="Arial" w:hAnsi="Arial" w:cs="Arial"/>
          <w:bCs/>
        </w:rPr>
        <w:t xml:space="preserve">s.189 </w:t>
      </w:r>
    </w:p>
  </w:footnote>
  <w:footnote w:id="51">
    <w:p w14:paraId="0FC9699C" w14:textId="77777777" w:rsidR="00EC3448" w:rsidRPr="00AF30C0" w:rsidRDefault="00EC3448" w:rsidP="007B63AA">
      <w:pPr>
        <w:pStyle w:val="FootnoteText"/>
        <w:spacing w:line="360" w:lineRule="auto"/>
        <w:rPr>
          <w:rFonts w:ascii="Arial" w:hAnsi="Arial" w:cs="Arial"/>
        </w:rPr>
      </w:pPr>
      <w:r w:rsidRPr="00AF30C0">
        <w:rPr>
          <w:rStyle w:val="FootnoteReference"/>
          <w:rFonts w:ascii="Arial" w:hAnsi="Arial" w:cs="Arial"/>
        </w:rPr>
        <w:footnoteRef/>
      </w:r>
      <w:r w:rsidRPr="00AF30C0">
        <w:rPr>
          <w:rFonts w:ascii="Arial" w:hAnsi="Arial" w:cs="Arial"/>
        </w:rPr>
        <w:t xml:space="preserve"> </w:t>
      </w:r>
      <w:hyperlink r:id="rId22" w:anchor=".VOvvN_mUcSU" w:history="1">
        <w:r w:rsidRPr="00AF30C0">
          <w:rPr>
            <w:rStyle w:val="Hyperlink"/>
            <w:rFonts w:ascii="Arial" w:hAnsi="Arial" w:cs="Arial"/>
          </w:rPr>
          <w:t>http://www.engageforsuccess.org/ideas-tools/employee-engagement-the-macleod-report/#.VOvvN_mUcSU</w:t>
        </w:r>
      </w:hyperlink>
    </w:p>
  </w:footnote>
  <w:footnote w:id="52">
    <w:p w14:paraId="3CE52EE2" w14:textId="77777777" w:rsidR="00EC3448" w:rsidRPr="00AF30C0" w:rsidRDefault="00EC3448" w:rsidP="007B63AA">
      <w:pPr>
        <w:pStyle w:val="FootnoteText"/>
        <w:spacing w:line="360" w:lineRule="auto"/>
        <w:rPr>
          <w:rFonts w:ascii="Arial" w:hAnsi="Arial" w:cs="Arial"/>
        </w:rPr>
      </w:pPr>
      <w:r w:rsidRPr="00AF30C0">
        <w:rPr>
          <w:rStyle w:val="FootnoteReference"/>
          <w:rFonts w:ascii="Arial" w:hAnsi="Arial" w:cs="Arial"/>
        </w:rPr>
        <w:footnoteRef/>
      </w:r>
      <w:r w:rsidRPr="00AF30C0">
        <w:rPr>
          <w:rFonts w:ascii="Arial" w:hAnsi="Arial" w:cs="Arial"/>
        </w:rPr>
        <w:t xml:space="preserve"> </w:t>
      </w:r>
      <w:hyperlink r:id="rId23" w:history="1">
        <w:r w:rsidRPr="00AF30C0">
          <w:rPr>
            <w:rStyle w:val="Hyperlink"/>
            <w:rFonts w:ascii="Arial" w:hAnsi="Arial" w:cs="Arial"/>
            <w:shd w:val="clear" w:color="auto" w:fill="FFFFFF"/>
          </w:rPr>
          <w:t>http://www.theguardian.com/commentisfree/2014/dec/22/the-liberals-review-of-workplace-relations-is-critical-to-unmaking-our-social-democracy</w:t>
        </w:r>
      </w:hyperlink>
    </w:p>
  </w:footnote>
  <w:footnote w:id="53">
    <w:p w14:paraId="3F446A32" w14:textId="77777777" w:rsidR="00EC3448" w:rsidRPr="00AF30C0" w:rsidRDefault="00EC3448" w:rsidP="007B63AA">
      <w:pPr>
        <w:pStyle w:val="FootnoteText"/>
        <w:spacing w:line="360" w:lineRule="auto"/>
        <w:rPr>
          <w:rFonts w:ascii="Arial" w:hAnsi="Arial" w:cs="Arial"/>
          <w:b/>
        </w:rPr>
      </w:pPr>
      <w:r w:rsidRPr="00AF30C0">
        <w:rPr>
          <w:rStyle w:val="FootnoteReference"/>
          <w:rFonts w:ascii="Arial" w:hAnsi="Arial" w:cs="Arial"/>
        </w:rPr>
        <w:footnoteRef/>
      </w:r>
      <w:r w:rsidRPr="00AF30C0">
        <w:rPr>
          <w:rFonts w:ascii="Arial" w:hAnsi="Arial" w:cs="Arial"/>
        </w:rPr>
        <w:t xml:space="preserve"> </w:t>
      </w:r>
      <w:hyperlink r:id="rId24" w:history="1">
        <w:r w:rsidRPr="00AF30C0">
          <w:rPr>
            <w:rStyle w:val="Hyperlink"/>
            <w:rFonts w:ascii="Arial" w:hAnsi="Arial" w:cs="Arial"/>
          </w:rPr>
          <w:t>http://www.actu.org.au/Publications/EconomicBulletins/ACTUEconomicBulletinJuly2013.aspx</w:t>
        </w:r>
      </w:hyperlink>
    </w:p>
  </w:footnote>
  <w:footnote w:id="54">
    <w:p w14:paraId="3EAACEB0" w14:textId="77777777" w:rsidR="00EC3448" w:rsidRPr="00AF30C0" w:rsidRDefault="00EC3448" w:rsidP="007B63AA">
      <w:pPr>
        <w:pStyle w:val="FootnoteText"/>
        <w:spacing w:line="360" w:lineRule="auto"/>
        <w:rPr>
          <w:rFonts w:ascii="Arial" w:hAnsi="Arial" w:cs="Arial"/>
        </w:rPr>
      </w:pPr>
      <w:r w:rsidRPr="00AF30C0">
        <w:rPr>
          <w:rStyle w:val="FootnoteReference"/>
          <w:rFonts w:ascii="Arial" w:hAnsi="Arial" w:cs="Arial"/>
        </w:rPr>
        <w:footnoteRef/>
      </w:r>
      <w:r w:rsidRPr="00AF30C0">
        <w:rPr>
          <w:rFonts w:ascii="Arial" w:hAnsi="Arial" w:cs="Arial"/>
        </w:rPr>
        <w:t xml:space="preserve"> Ibid</w:t>
      </w:r>
    </w:p>
  </w:footnote>
  <w:footnote w:id="55">
    <w:p w14:paraId="39C81D90" w14:textId="5388E7FF" w:rsidR="00EC3448" w:rsidRPr="00AF30C0" w:rsidRDefault="00EC3448" w:rsidP="007B63AA">
      <w:pPr>
        <w:pStyle w:val="FootnoteText"/>
        <w:spacing w:line="360" w:lineRule="auto"/>
        <w:rPr>
          <w:rFonts w:ascii="Arial" w:hAnsi="Arial" w:cs="Arial"/>
        </w:rPr>
      </w:pPr>
      <w:r w:rsidRPr="00AF30C0">
        <w:rPr>
          <w:rStyle w:val="FootnoteReference"/>
          <w:rFonts w:ascii="Arial" w:hAnsi="Arial" w:cs="Arial"/>
        </w:rPr>
        <w:footnoteRef/>
      </w:r>
      <w:r w:rsidRPr="00AF30C0">
        <w:rPr>
          <w:rFonts w:ascii="Arial" w:hAnsi="Arial" w:cs="Arial"/>
        </w:rPr>
        <w:t xml:space="preserve"> </w:t>
      </w:r>
      <w:r>
        <w:rPr>
          <w:rFonts w:ascii="Arial" w:hAnsi="Arial" w:cs="Arial"/>
        </w:rPr>
        <w:t>FW Act, s</w:t>
      </w:r>
      <w:r w:rsidRPr="00AF30C0">
        <w:rPr>
          <w:rFonts w:ascii="Arial" w:hAnsi="Arial" w:cs="Arial"/>
        </w:rPr>
        <w:t>.</w:t>
      </w:r>
      <w:r>
        <w:rPr>
          <w:rFonts w:ascii="Arial" w:hAnsi="Arial" w:cs="Arial"/>
        </w:rPr>
        <w:t xml:space="preserve"> </w:t>
      </w:r>
      <w:r w:rsidRPr="00AF30C0">
        <w:rPr>
          <w:rFonts w:ascii="Arial" w:hAnsi="Arial" w:cs="Arial"/>
        </w:rPr>
        <w:t>228</w:t>
      </w:r>
    </w:p>
  </w:footnote>
  <w:footnote w:id="56">
    <w:p w14:paraId="4D22FF2B" w14:textId="77777777" w:rsidR="00EC3448" w:rsidRPr="00AF30C0" w:rsidRDefault="00EC3448" w:rsidP="007B63AA">
      <w:pPr>
        <w:pStyle w:val="FootnoteText"/>
        <w:spacing w:line="360" w:lineRule="auto"/>
        <w:rPr>
          <w:rFonts w:ascii="Arial" w:hAnsi="Arial" w:cs="Arial"/>
        </w:rPr>
      </w:pPr>
      <w:r w:rsidRPr="00AF30C0">
        <w:rPr>
          <w:rStyle w:val="FootnoteReference"/>
          <w:rFonts w:ascii="Arial" w:hAnsi="Arial" w:cs="Arial"/>
        </w:rPr>
        <w:footnoteRef/>
      </w:r>
      <w:r w:rsidRPr="00AF30C0">
        <w:rPr>
          <w:rFonts w:ascii="Arial" w:hAnsi="Arial" w:cs="Arial"/>
        </w:rPr>
        <w:t xml:space="preserve"> </w:t>
      </w:r>
      <w:hyperlink r:id="rId25" w:history="1">
        <w:r w:rsidRPr="00AF30C0">
          <w:rPr>
            <w:rStyle w:val="Hyperlink"/>
            <w:rFonts w:ascii="Arial" w:hAnsi="Arial" w:cs="Arial"/>
          </w:rPr>
          <w:t>http://www.pc.gov.au/inquiries/current/workplace-relations/issues</w:t>
        </w:r>
      </w:hyperlink>
    </w:p>
  </w:footnote>
  <w:footnote w:id="57">
    <w:p w14:paraId="52A3F700" w14:textId="77777777" w:rsidR="00EC3448" w:rsidRPr="00AF30C0" w:rsidRDefault="00EC3448" w:rsidP="007B63AA">
      <w:pPr>
        <w:pStyle w:val="FootnoteText"/>
        <w:spacing w:line="360" w:lineRule="auto"/>
        <w:rPr>
          <w:rFonts w:ascii="Arial" w:hAnsi="Arial" w:cs="Arial"/>
        </w:rPr>
      </w:pPr>
      <w:r w:rsidRPr="00AF30C0">
        <w:rPr>
          <w:rStyle w:val="FootnoteReference"/>
          <w:rFonts w:ascii="Arial" w:hAnsi="Arial" w:cs="Arial"/>
        </w:rPr>
        <w:footnoteRef/>
      </w:r>
      <w:r w:rsidRPr="00AF30C0">
        <w:rPr>
          <w:rFonts w:ascii="Arial" w:hAnsi="Arial" w:cs="Arial"/>
        </w:rPr>
        <w:t xml:space="preserve"> </w:t>
      </w:r>
      <w:hyperlink r:id="rId26" w:history="1">
        <w:r w:rsidRPr="00AF30C0">
          <w:rPr>
            <w:rStyle w:val="Hyperlink"/>
            <w:rFonts w:ascii="Arial" w:hAnsi="Arial" w:cs="Arial"/>
          </w:rPr>
          <w:t>https://www.fwc.gov.au/documents/documents/IFA.pdf</w:t>
        </w:r>
      </w:hyperlink>
    </w:p>
  </w:footnote>
  <w:footnote w:id="58">
    <w:p w14:paraId="7747A7CB" w14:textId="463909C9" w:rsidR="00EC3448" w:rsidRPr="00AF30C0" w:rsidRDefault="00EC3448" w:rsidP="007B63AA">
      <w:pPr>
        <w:pStyle w:val="FootnoteText"/>
        <w:spacing w:line="360" w:lineRule="auto"/>
        <w:rPr>
          <w:rFonts w:ascii="Arial" w:hAnsi="Arial" w:cs="Arial"/>
        </w:rPr>
      </w:pPr>
      <w:r w:rsidRPr="00AF30C0">
        <w:rPr>
          <w:rStyle w:val="FootnoteReference"/>
          <w:rFonts w:ascii="Arial" w:hAnsi="Arial" w:cs="Arial"/>
        </w:rPr>
        <w:footnoteRef/>
      </w:r>
      <w:r w:rsidRPr="00AF30C0">
        <w:rPr>
          <w:rFonts w:ascii="Arial" w:hAnsi="Arial" w:cs="Arial"/>
        </w:rPr>
        <w:t xml:space="preserve"> </w:t>
      </w:r>
      <w:hyperlink r:id="rId27" w:history="1">
        <w:r w:rsidR="00B907B8">
          <w:rPr>
            <w:rStyle w:val="Hyperlink"/>
            <w:rFonts w:ascii="Arial" w:hAnsi="Arial" w:cs="Arial"/>
          </w:rPr>
          <w:t>Ibid</w:t>
        </w:r>
      </w:hyperlink>
    </w:p>
  </w:footnote>
  <w:footnote w:id="59">
    <w:p w14:paraId="12FD0D10" w14:textId="77777777" w:rsidR="00EC3448" w:rsidRPr="00AF30C0" w:rsidRDefault="00EC3448" w:rsidP="007B63AA">
      <w:pPr>
        <w:pStyle w:val="FootnoteText"/>
        <w:spacing w:line="360" w:lineRule="auto"/>
        <w:rPr>
          <w:rFonts w:ascii="Arial" w:hAnsi="Arial" w:cs="Arial"/>
        </w:rPr>
      </w:pPr>
      <w:r w:rsidRPr="00AF30C0">
        <w:rPr>
          <w:rStyle w:val="FootnoteReference"/>
          <w:rFonts w:ascii="Arial" w:hAnsi="Arial" w:cs="Arial"/>
        </w:rPr>
        <w:footnoteRef/>
      </w:r>
      <w:r w:rsidRPr="00AF30C0">
        <w:rPr>
          <w:rFonts w:ascii="Arial" w:hAnsi="Arial" w:cs="Arial"/>
        </w:rPr>
        <w:t xml:space="preserve"> </w:t>
      </w:r>
      <w:hyperlink r:id="rId28" w:history="1">
        <w:r w:rsidRPr="00AF30C0">
          <w:rPr>
            <w:rStyle w:val="Hyperlink"/>
            <w:rFonts w:ascii="Arial" w:hAnsi="Arial" w:cs="Arial"/>
          </w:rPr>
          <w:t>http://www.miningaustralia.com.au/features/individual-contracts-come-back-but-don-t-mention-t</w:t>
        </w:r>
      </w:hyperlink>
    </w:p>
  </w:footnote>
  <w:footnote w:id="60">
    <w:p w14:paraId="10EACB19" w14:textId="77777777" w:rsidR="00EC3448" w:rsidRPr="00AF30C0" w:rsidRDefault="00EC3448" w:rsidP="007B63AA">
      <w:pPr>
        <w:pStyle w:val="FootnoteText"/>
        <w:spacing w:line="360" w:lineRule="auto"/>
        <w:rPr>
          <w:rFonts w:ascii="Arial" w:hAnsi="Arial" w:cs="Arial"/>
        </w:rPr>
      </w:pPr>
      <w:r w:rsidRPr="00AF30C0">
        <w:rPr>
          <w:rStyle w:val="FootnoteReference"/>
          <w:rFonts w:ascii="Arial" w:hAnsi="Arial" w:cs="Arial"/>
        </w:rPr>
        <w:footnoteRef/>
      </w:r>
      <w:r w:rsidRPr="00AF30C0">
        <w:rPr>
          <w:rFonts w:ascii="Arial" w:hAnsi="Arial" w:cs="Arial"/>
        </w:rPr>
        <w:t xml:space="preserve"> </w:t>
      </w:r>
      <w:hyperlink r:id="rId29" w:history="1">
        <w:r w:rsidRPr="00AF30C0">
          <w:rPr>
            <w:rStyle w:val="Hyperlink"/>
            <w:rFonts w:ascii="Arial" w:hAnsi="Arial" w:cs="Arial"/>
          </w:rPr>
          <w:t>http://www.pc.gov.au/inquiries/current/workplace-relations/issues</w:t>
        </w:r>
      </w:hyperlink>
    </w:p>
  </w:footnote>
  <w:footnote w:id="61">
    <w:p w14:paraId="1A7E3EF9" w14:textId="77777777" w:rsidR="00EC3448" w:rsidRPr="00AF30C0" w:rsidRDefault="00EC3448" w:rsidP="007B63AA">
      <w:pPr>
        <w:pStyle w:val="FootnoteText"/>
        <w:spacing w:line="360" w:lineRule="auto"/>
        <w:rPr>
          <w:rFonts w:ascii="Arial" w:hAnsi="Arial" w:cs="Arial"/>
        </w:rPr>
      </w:pPr>
      <w:r w:rsidRPr="00AF30C0">
        <w:rPr>
          <w:rStyle w:val="FootnoteReference"/>
          <w:rFonts w:ascii="Arial" w:hAnsi="Arial" w:cs="Arial"/>
        </w:rPr>
        <w:footnoteRef/>
      </w:r>
      <w:hyperlink r:id="rId30" w:history="1">
        <w:r w:rsidRPr="00AF30C0">
          <w:rPr>
            <w:rStyle w:val="Hyperlink"/>
            <w:rFonts w:ascii="Arial" w:hAnsi="Arial" w:cs="Arial"/>
          </w:rPr>
          <w:t>http://www.aph.gov.au/About_Parliament/Parliamentary_Departments/Parliamentary_Library/pubs/rp/RP0708/08rp33</w:t>
        </w:r>
      </w:hyperlink>
    </w:p>
  </w:footnote>
  <w:footnote w:id="62">
    <w:p w14:paraId="78429578" w14:textId="77777777" w:rsidR="00EC3448" w:rsidRPr="00AF30C0" w:rsidRDefault="00EC3448" w:rsidP="007B63AA">
      <w:pPr>
        <w:pStyle w:val="FootnoteText"/>
        <w:spacing w:line="360" w:lineRule="auto"/>
        <w:rPr>
          <w:rFonts w:ascii="Arial" w:hAnsi="Arial" w:cs="Arial"/>
          <w:lang w:val="en-US"/>
        </w:rPr>
      </w:pPr>
      <w:r w:rsidRPr="00AF30C0">
        <w:rPr>
          <w:rStyle w:val="FootnoteReference"/>
          <w:rFonts w:ascii="Arial" w:hAnsi="Arial" w:cs="Arial"/>
        </w:rPr>
        <w:footnoteRef/>
      </w:r>
      <w:r w:rsidRPr="00AF30C0">
        <w:rPr>
          <w:rFonts w:ascii="Arial" w:hAnsi="Arial" w:cs="Arial"/>
        </w:rPr>
        <w:t xml:space="preserve"> </w:t>
      </w:r>
      <w:r w:rsidRPr="00AF30C0">
        <w:rPr>
          <w:rFonts w:ascii="Arial" w:hAnsi="Arial" w:cs="Arial"/>
          <w:i/>
        </w:rPr>
        <w:t>Sham contracting and the misclassification of workers in the cleaning services, hair and beauty and call centre industries: Report on the preliminary outcomes of the Fair Work Ombudsman Sham Contracting Operational Intervention</w:t>
      </w:r>
      <w:r w:rsidRPr="00AF30C0">
        <w:rPr>
          <w:rFonts w:ascii="Arial" w:hAnsi="Arial" w:cs="Arial"/>
        </w:rPr>
        <w:t>, November 2011</w:t>
      </w:r>
    </w:p>
  </w:footnote>
  <w:footnote w:id="63">
    <w:p w14:paraId="2D6D1395" w14:textId="77777777" w:rsidR="00EC3448" w:rsidRPr="00AF30C0" w:rsidRDefault="00EC3448" w:rsidP="006743A6">
      <w:pPr>
        <w:pStyle w:val="FootnoteText"/>
        <w:spacing w:line="360" w:lineRule="auto"/>
        <w:rPr>
          <w:rFonts w:ascii="Arial" w:hAnsi="Arial" w:cs="Arial"/>
          <w:lang w:val="en-US"/>
        </w:rPr>
      </w:pPr>
      <w:r w:rsidRPr="00AF30C0">
        <w:rPr>
          <w:rStyle w:val="FootnoteReference"/>
          <w:rFonts w:ascii="Arial" w:hAnsi="Arial" w:cs="Arial"/>
        </w:rPr>
        <w:footnoteRef/>
      </w:r>
      <w:r w:rsidRPr="00AF30C0">
        <w:rPr>
          <w:rFonts w:ascii="Arial" w:hAnsi="Arial" w:cs="Arial"/>
        </w:rPr>
        <w:t xml:space="preserve"> </w:t>
      </w:r>
      <w:r w:rsidRPr="00AF30C0">
        <w:rPr>
          <w:rFonts w:ascii="Arial" w:hAnsi="Arial" w:cs="Arial"/>
          <w:lang w:val="en-US"/>
        </w:rPr>
        <w:t>FW Act, s. 357(2)</w:t>
      </w:r>
    </w:p>
  </w:footnote>
  <w:footnote w:id="64">
    <w:p w14:paraId="4C94FFB0" w14:textId="77777777" w:rsidR="00EC3448" w:rsidRPr="00AF30C0" w:rsidRDefault="00EC3448" w:rsidP="006743A6">
      <w:pPr>
        <w:pStyle w:val="FootnoteText"/>
        <w:spacing w:line="360" w:lineRule="auto"/>
        <w:rPr>
          <w:rFonts w:ascii="Arial" w:hAnsi="Arial" w:cs="Arial"/>
          <w:lang w:val="en-US"/>
        </w:rPr>
      </w:pPr>
      <w:r w:rsidRPr="00AF30C0">
        <w:rPr>
          <w:rStyle w:val="FootnoteReference"/>
          <w:rFonts w:ascii="Arial" w:hAnsi="Arial" w:cs="Arial"/>
        </w:rPr>
        <w:footnoteRef/>
      </w:r>
      <w:r w:rsidRPr="00AF30C0">
        <w:rPr>
          <w:rFonts w:ascii="Arial" w:hAnsi="Arial" w:cs="Arial"/>
        </w:rPr>
        <w:t xml:space="preserve"> </w:t>
      </w:r>
      <w:r w:rsidRPr="00AF30C0">
        <w:rPr>
          <w:rFonts w:ascii="Arial" w:hAnsi="Arial" w:cs="Arial"/>
          <w:lang w:val="en-US"/>
        </w:rPr>
        <w:t>Explanatory Memorandum to the Fair Work Bill 2008, item 1447</w:t>
      </w:r>
    </w:p>
  </w:footnote>
  <w:footnote w:id="65">
    <w:p w14:paraId="0B21E47F" w14:textId="77777777" w:rsidR="00EC3448" w:rsidRPr="00AF30C0" w:rsidRDefault="00EC3448" w:rsidP="00E518B1">
      <w:pPr>
        <w:pStyle w:val="FootnoteText"/>
        <w:spacing w:line="360" w:lineRule="auto"/>
        <w:rPr>
          <w:rFonts w:ascii="Arial" w:hAnsi="Arial" w:cs="Arial"/>
          <w:lang w:val="en-US"/>
        </w:rPr>
      </w:pPr>
      <w:r w:rsidRPr="00AF30C0">
        <w:rPr>
          <w:rStyle w:val="FootnoteReference"/>
          <w:rFonts w:ascii="Arial" w:hAnsi="Arial" w:cs="Arial"/>
        </w:rPr>
        <w:footnoteRef/>
      </w:r>
      <w:r w:rsidRPr="00AF30C0">
        <w:rPr>
          <w:rFonts w:ascii="Arial" w:hAnsi="Arial" w:cs="Arial"/>
        </w:rPr>
        <w:t xml:space="preserve"> Supplementary Explanatory Memorandum, Workplace Relations Legislation Amendment (Independent Contractors) Bill 2006, p 4</w:t>
      </w:r>
    </w:p>
  </w:footnote>
  <w:footnote w:id="66">
    <w:p w14:paraId="2E47A2A5" w14:textId="77777777" w:rsidR="00EC3448" w:rsidRPr="00AF30C0" w:rsidRDefault="00EC3448" w:rsidP="00E518B1">
      <w:pPr>
        <w:pStyle w:val="FootnoteText"/>
        <w:spacing w:line="360" w:lineRule="auto"/>
        <w:rPr>
          <w:rFonts w:ascii="Arial" w:hAnsi="Arial" w:cs="Arial"/>
          <w:lang w:val="en-US"/>
        </w:rPr>
      </w:pPr>
      <w:r w:rsidRPr="00AF30C0">
        <w:rPr>
          <w:rStyle w:val="FootnoteReference"/>
          <w:rFonts w:ascii="Arial" w:hAnsi="Arial" w:cs="Arial"/>
        </w:rPr>
        <w:footnoteRef/>
      </w:r>
      <w:r w:rsidRPr="00AF30C0">
        <w:rPr>
          <w:rFonts w:ascii="Arial" w:hAnsi="Arial" w:cs="Arial"/>
        </w:rPr>
        <w:t xml:space="preserve"> </w:t>
      </w:r>
      <w:r w:rsidRPr="00AF30C0">
        <w:rPr>
          <w:rFonts w:ascii="Arial" w:hAnsi="Arial" w:cs="Arial"/>
          <w:lang w:val="en-US"/>
        </w:rPr>
        <w:t xml:space="preserve">See commentary of </w:t>
      </w:r>
      <w:r w:rsidRPr="00AF30C0">
        <w:rPr>
          <w:rFonts w:ascii="Arial" w:hAnsi="Arial" w:cs="Arial"/>
        </w:rPr>
        <w:t xml:space="preserve">Justices </w:t>
      </w:r>
      <w:proofErr w:type="spellStart"/>
      <w:r w:rsidRPr="00AF30C0">
        <w:rPr>
          <w:rFonts w:ascii="Arial" w:hAnsi="Arial" w:cs="Arial"/>
        </w:rPr>
        <w:t>Gummow</w:t>
      </w:r>
      <w:proofErr w:type="spellEnd"/>
      <w:r w:rsidRPr="00AF30C0">
        <w:rPr>
          <w:rFonts w:ascii="Arial" w:hAnsi="Arial" w:cs="Arial"/>
        </w:rPr>
        <w:t xml:space="preserve">, Hayne and </w:t>
      </w:r>
      <w:proofErr w:type="spellStart"/>
      <w:r w:rsidRPr="00AF30C0">
        <w:rPr>
          <w:rFonts w:ascii="Arial" w:hAnsi="Arial" w:cs="Arial"/>
        </w:rPr>
        <w:t>Heydon</w:t>
      </w:r>
      <w:proofErr w:type="spellEnd"/>
      <w:r w:rsidRPr="00AF30C0">
        <w:rPr>
          <w:rFonts w:ascii="Arial" w:hAnsi="Arial" w:cs="Arial"/>
        </w:rPr>
        <w:t xml:space="preserve"> in </w:t>
      </w:r>
      <w:proofErr w:type="spellStart"/>
      <w:r w:rsidRPr="00AF30C0">
        <w:rPr>
          <w:rFonts w:ascii="Arial" w:hAnsi="Arial" w:cs="Arial"/>
          <w:i/>
        </w:rPr>
        <w:t>Banditt</w:t>
      </w:r>
      <w:proofErr w:type="spellEnd"/>
      <w:r w:rsidRPr="00AF30C0">
        <w:rPr>
          <w:rFonts w:ascii="Arial" w:hAnsi="Arial" w:cs="Arial"/>
          <w:i/>
        </w:rPr>
        <w:t xml:space="preserve"> v R </w:t>
      </w:r>
      <w:r w:rsidRPr="00AF30C0">
        <w:rPr>
          <w:rFonts w:ascii="Arial" w:hAnsi="Arial" w:cs="Arial"/>
        </w:rPr>
        <w:t>(2005) 224 CLR 262 at [1]–[2]</w:t>
      </w:r>
    </w:p>
  </w:footnote>
  <w:footnote w:id="67">
    <w:p w14:paraId="0D376ADD" w14:textId="77777777" w:rsidR="00EC3448" w:rsidRPr="00AF30C0" w:rsidRDefault="00EC3448" w:rsidP="00E518B1">
      <w:pPr>
        <w:pStyle w:val="FootnoteText"/>
        <w:spacing w:line="360" w:lineRule="auto"/>
        <w:rPr>
          <w:rFonts w:ascii="Arial" w:hAnsi="Arial" w:cs="Arial"/>
          <w:lang w:val="en-US"/>
        </w:rPr>
      </w:pPr>
      <w:r w:rsidRPr="00AF30C0">
        <w:rPr>
          <w:rStyle w:val="FootnoteReference"/>
          <w:rFonts w:ascii="Arial" w:hAnsi="Arial" w:cs="Arial"/>
        </w:rPr>
        <w:footnoteRef/>
      </w:r>
      <w:r w:rsidRPr="00AF30C0">
        <w:rPr>
          <w:rFonts w:ascii="Arial" w:hAnsi="Arial" w:cs="Arial"/>
        </w:rPr>
        <w:t xml:space="preserve"> FW Act, </w:t>
      </w:r>
      <w:r w:rsidRPr="00AF30C0">
        <w:rPr>
          <w:rFonts w:ascii="Arial" w:hAnsi="Arial" w:cs="Arial"/>
          <w:lang w:val="en-US"/>
        </w:rPr>
        <w:t>S. 549</w:t>
      </w:r>
    </w:p>
  </w:footnote>
  <w:footnote w:id="68">
    <w:p w14:paraId="220B4860" w14:textId="77777777" w:rsidR="00EC3448" w:rsidRPr="00AF30C0" w:rsidRDefault="00EC3448" w:rsidP="00E518B1">
      <w:pPr>
        <w:pStyle w:val="FootnoteText"/>
        <w:spacing w:line="360" w:lineRule="auto"/>
        <w:rPr>
          <w:rFonts w:ascii="Arial" w:hAnsi="Arial" w:cs="Arial"/>
          <w:lang w:val="en-US"/>
        </w:rPr>
      </w:pPr>
      <w:r w:rsidRPr="00AF30C0">
        <w:rPr>
          <w:rStyle w:val="FootnoteReference"/>
          <w:rFonts w:ascii="Arial" w:hAnsi="Arial" w:cs="Arial"/>
        </w:rPr>
        <w:footnoteRef/>
      </w:r>
      <w:r w:rsidRPr="00AF30C0">
        <w:rPr>
          <w:rFonts w:ascii="Arial" w:hAnsi="Arial" w:cs="Arial"/>
        </w:rPr>
        <w:t xml:space="preserve"> </w:t>
      </w:r>
      <w:r w:rsidRPr="00A43228">
        <w:t>[2009] FMCA 981</w:t>
      </w:r>
    </w:p>
  </w:footnote>
  <w:footnote w:id="69">
    <w:p w14:paraId="25E4452C" w14:textId="77777777" w:rsidR="00EC3448" w:rsidRPr="00AF30C0" w:rsidRDefault="00EC3448" w:rsidP="00E518B1">
      <w:pPr>
        <w:pStyle w:val="FootnoteText"/>
        <w:spacing w:line="360" w:lineRule="auto"/>
        <w:rPr>
          <w:rFonts w:ascii="Arial" w:hAnsi="Arial" w:cs="Arial"/>
          <w:lang w:val="en-US"/>
        </w:rPr>
      </w:pPr>
      <w:r w:rsidRPr="00AF30C0">
        <w:rPr>
          <w:rStyle w:val="FootnoteReference"/>
          <w:rFonts w:ascii="Arial" w:hAnsi="Arial" w:cs="Arial"/>
        </w:rPr>
        <w:footnoteRef/>
      </w:r>
      <w:r w:rsidRPr="00AF30C0">
        <w:rPr>
          <w:rFonts w:ascii="Arial" w:hAnsi="Arial" w:cs="Arial"/>
        </w:rPr>
        <w:t xml:space="preserve"> (2005) 224 CLR 262 at [1]–[2]</w:t>
      </w:r>
    </w:p>
  </w:footnote>
  <w:footnote w:id="70">
    <w:p w14:paraId="413E6899" w14:textId="1539504B" w:rsidR="00EC3448" w:rsidRPr="00AF30C0" w:rsidRDefault="00EC3448" w:rsidP="00E518B1">
      <w:pPr>
        <w:pStyle w:val="FootnoteText"/>
        <w:spacing w:line="360" w:lineRule="auto"/>
        <w:rPr>
          <w:rFonts w:ascii="Arial" w:hAnsi="Arial" w:cs="Arial"/>
          <w:lang w:val="en-US"/>
        </w:rPr>
      </w:pPr>
      <w:r w:rsidRPr="00AF30C0">
        <w:rPr>
          <w:rStyle w:val="FootnoteReference"/>
          <w:rFonts w:ascii="Arial" w:hAnsi="Arial" w:cs="Arial"/>
        </w:rPr>
        <w:footnoteRef/>
      </w:r>
      <w:r w:rsidRPr="00AF30C0">
        <w:rPr>
          <w:rFonts w:ascii="Arial" w:hAnsi="Arial" w:cs="Arial"/>
        </w:rPr>
        <w:t xml:space="preserve"> </w:t>
      </w:r>
      <w:r w:rsidRPr="00AF30C0">
        <w:rPr>
          <w:rFonts w:ascii="Arial" w:hAnsi="Arial" w:cs="Arial"/>
          <w:lang w:val="en-US"/>
        </w:rPr>
        <w:t>F</w:t>
      </w:r>
      <w:r>
        <w:rPr>
          <w:rFonts w:ascii="Arial" w:hAnsi="Arial" w:cs="Arial"/>
          <w:lang w:val="en-US"/>
        </w:rPr>
        <w:t>W Act</w:t>
      </w:r>
      <w:r w:rsidRPr="00AF30C0">
        <w:rPr>
          <w:rFonts w:ascii="Arial" w:hAnsi="Arial" w:cs="Arial"/>
          <w:lang w:val="en-US"/>
        </w:rPr>
        <w:t>, s. 539</w:t>
      </w:r>
    </w:p>
  </w:footnote>
  <w:footnote w:id="71">
    <w:p w14:paraId="123F9797" w14:textId="77777777" w:rsidR="00EC3448" w:rsidRPr="00AF30C0" w:rsidRDefault="00EC3448" w:rsidP="00E518B1">
      <w:pPr>
        <w:pStyle w:val="FootnoteText"/>
        <w:spacing w:line="360" w:lineRule="auto"/>
        <w:rPr>
          <w:rFonts w:ascii="Arial" w:hAnsi="Arial" w:cs="Arial"/>
          <w:lang w:val="en-US"/>
        </w:rPr>
      </w:pPr>
      <w:r w:rsidRPr="00AF30C0">
        <w:rPr>
          <w:rStyle w:val="FootnoteReference"/>
          <w:rFonts w:ascii="Arial" w:hAnsi="Arial" w:cs="Arial"/>
        </w:rPr>
        <w:footnoteRef/>
      </w:r>
      <w:r w:rsidRPr="00AF30C0">
        <w:rPr>
          <w:rFonts w:ascii="Arial" w:hAnsi="Arial" w:cs="Arial"/>
        </w:rPr>
        <w:t xml:space="preserve"> </w:t>
      </w:r>
      <w:proofErr w:type="gramStart"/>
      <w:r w:rsidRPr="00AF30C0">
        <w:rPr>
          <w:rFonts w:ascii="Arial" w:hAnsi="Arial" w:cs="Arial"/>
          <w:i/>
        </w:rPr>
        <w:t>Board of Bendigo Regional Institute of Technical and Further Education v Barclay</w:t>
      </w:r>
      <w:r w:rsidRPr="00AF30C0">
        <w:rPr>
          <w:rFonts w:ascii="Arial" w:hAnsi="Arial" w:cs="Arial"/>
        </w:rPr>
        <w:t xml:space="preserve"> [2012] HCA 32.</w:t>
      </w:r>
      <w:proofErr w:type="gramEnd"/>
      <w:r w:rsidRPr="00AF30C0">
        <w:rPr>
          <w:rFonts w:ascii="Arial" w:hAnsi="Arial" w:cs="Arial"/>
        </w:rPr>
        <w:t xml:space="preserve"> </w:t>
      </w:r>
    </w:p>
  </w:footnote>
  <w:footnote w:id="72">
    <w:p w14:paraId="2CA745D0" w14:textId="77777777" w:rsidR="00EC3448" w:rsidRPr="002C4517" w:rsidRDefault="00EC3448">
      <w:pPr>
        <w:pStyle w:val="FootnoteText"/>
      </w:pPr>
      <w:r>
        <w:rPr>
          <w:rStyle w:val="FootnoteReference"/>
        </w:rPr>
        <w:footnoteRef/>
      </w:r>
      <w:r>
        <w:t xml:space="preserve"> </w:t>
      </w:r>
      <w:r w:rsidRPr="00AF30C0">
        <w:rPr>
          <w:rFonts w:ascii="Arial" w:hAnsi="Arial" w:cs="Arial"/>
          <w:color w:val="000000"/>
        </w:rPr>
        <w:t>[2014] FCCA 2712</w:t>
      </w:r>
    </w:p>
  </w:footnote>
  <w:footnote w:id="73">
    <w:p w14:paraId="282DFAC1" w14:textId="52CA12C7" w:rsidR="00EC3448" w:rsidRPr="00AF30C0" w:rsidRDefault="00EC3448" w:rsidP="00E518B1">
      <w:pPr>
        <w:pStyle w:val="FootnoteText"/>
        <w:spacing w:line="360" w:lineRule="auto"/>
        <w:rPr>
          <w:rFonts w:ascii="Arial" w:hAnsi="Arial" w:cs="Arial"/>
          <w:lang w:val="en-US"/>
        </w:rPr>
      </w:pPr>
      <w:r w:rsidRPr="00AF30C0">
        <w:rPr>
          <w:rStyle w:val="FootnoteReference"/>
          <w:rFonts w:ascii="Arial" w:hAnsi="Arial" w:cs="Arial"/>
        </w:rPr>
        <w:footnoteRef/>
      </w:r>
      <w:r w:rsidRPr="00AF30C0">
        <w:rPr>
          <w:rFonts w:ascii="Arial" w:hAnsi="Arial" w:cs="Arial"/>
        </w:rPr>
        <w:t xml:space="preserve"> </w:t>
      </w:r>
      <w:r>
        <w:rPr>
          <w:rFonts w:ascii="Arial" w:hAnsi="Arial" w:cs="Arial"/>
          <w:color w:val="000000"/>
        </w:rPr>
        <w:t>Ibid</w:t>
      </w:r>
      <w:r w:rsidRPr="00AF30C0">
        <w:rPr>
          <w:rFonts w:ascii="Arial" w:hAnsi="Arial" w:cs="Arial"/>
          <w:color w:val="000000"/>
        </w:rPr>
        <w:t xml:space="preserve"> at [71]</w:t>
      </w:r>
    </w:p>
  </w:footnote>
  <w:footnote w:id="74">
    <w:p w14:paraId="06F98ED1" w14:textId="77777777" w:rsidR="00EC3448" w:rsidRPr="00AF30C0" w:rsidRDefault="00EC3448" w:rsidP="00E518B1">
      <w:pPr>
        <w:pStyle w:val="FootnoteText"/>
        <w:spacing w:line="360" w:lineRule="auto"/>
        <w:rPr>
          <w:rFonts w:ascii="Arial" w:hAnsi="Arial" w:cs="Arial"/>
          <w:lang w:val="en-US"/>
        </w:rPr>
      </w:pPr>
      <w:r w:rsidRPr="00AF30C0">
        <w:rPr>
          <w:rStyle w:val="FootnoteReference"/>
          <w:rFonts w:ascii="Arial" w:hAnsi="Arial" w:cs="Arial"/>
        </w:rPr>
        <w:footnoteRef/>
      </w:r>
      <w:r w:rsidRPr="00AF30C0">
        <w:rPr>
          <w:rFonts w:ascii="Arial" w:hAnsi="Arial" w:cs="Arial"/>
        </w:rPr>
        <w:t xml:space="preserve"> </w:t>
      </w:r>
      <w:proofErr w:type="spellStart"/>
      <w:r w:rsidRPr="00AF30C0">
        <w:rPr>
          <w:rFonts w:ascii="Arial" w:hAnsi="Arial" w:cs="Arial"/>
          <w:i/>
        </w:rPr>
        <w:t>Banditt</w:t>
      </w:r>
      <w:proofErr w:type="spellEnd"/>
      <w:r w:rsidRPr="00AF30C0">
        <w:rPr>
          <w:rFonts w:ascii="Arial" w:hAnsi="Arial" w:cs="Arial"/>
          <w:i/>
        </w:rPr>
        <w:t xml:space="preserve"> v R </w:t>
      </w:r>
      <w:r w:rsidRPr="00AF30C0">
        <w:rPr>
          <w:rFonts w:ascii="Arial" w:hAnsi="Arial" w:cs="Arial"/>
        </w:rPr>
        <w:t>(2005) 224 CLR 262 at [1]–[2]</w:t>
      </w:r>
    </w:p>
  </w:footnote>
  <w:footnote w:id="75">
    <w:p w14:paraId="2EE88D17" w14:textId="77777777" w:rsidR="00EC3448" w:rsidRPr="00AF30C0" w:rsidRDefault="00EC3448" w:rsidP="000B252F">
      <w:pPr>
        <w:pStyle w:val="FootnoteText"/>
        <w:spacing w:line="360" w:lineRule="auto"/>
        <w:rPr>
          <w:rFonts w:ascii="Arial" w:hAnsi="Arial" w:cs="Arial"/>
          <w:lang w:val="en-US"/>
        </w:rPr>
      </w:pPr>
      <w:r w:rsidRPr="00AF30C0">
        <w:rPr>
          <w:rStyle w:val="FootnoteReference"/>
          <w:rFonts w:ascii="Arial" w:hAnsi="Arial" w:cs="Arial"/>
        </w:rPr>
        <w:footnoteRef/>
      </w:r>
      <w:r w:rsidRPr="00AF30C0">
        <w:rPr>
          <w:rFonts w:ascii="Arial" w:hAnsi="Arial" w:cs="Arial"/>
        </w:rPr>
        <w:t xml:space="preserve"> </w:t>
      </w:r>
      <w:proofErr w:type="gramStart"/>
      <w:r w:rsidRPr="00AF30C0">
        <w:rPr>
          <w:rFonts w:ascii="Arial" w:hAnsi="Arial" w:cs="Arial"/>
          <w:i/>
        </w:rPr>
        <w:t>Corporations Act 2001</w:t>
      </w:r>
      <w:r w:rsidRPr="00AF30C0">
        <w:rPr>
          <w:rFonts w:ascii="Arial" w:hAnsi="Arial" w:cs="Arial"/>
        </w:rPr>
        <w:t xml:space="preserve"> (</w:t>
      </w:r>
      <w:proofErr w:type="spellStart"/>
      <w:r w:rsidRPr="00AF30C0">
        <w:rPr>
          <w:rFonts w:ascii="Arial" w:hAnsi="Arial" w:cs="Arial"/>
        </w:rPr>
        <w:t>Cth</w:t>
      </w:r>
      <w:proofErr w:type="spellEnd"/>
      <w:r w:rsidRPr="00AF30C0">
        <w:rPr>
          <w:rFonts w:ascii="Arial" w:hAnsi="Arial" w:cs="Arial"/>
        </w:rPr>
        <w:t>)</w:t>
      </w:r>
      <w:r w:rsidR="00B907B8">
        <w:rPr>
          <w:rFonts w:ascii="Arial" w:hAnsi="Arial" w:cs="Arial"/>
        </w:rPr>
        <w:t>,</w:t>
      </w:r>
      <w:r w:rsidRPr="00AF30C0">
        <w:rPr>
          <w:rFonts w:ascii="Arial" w:hAnsi="Arial" w:cs="Arial"/>
        </w:rPr>
        <w:t xml:space="preserve"> s 588G.</w:t>
      </w:r>
      <w:proofErr w:type="gramEnd"/>
    </w:p>
  </w:footnote>
  <w:footnote w:id="76">
    <w:p w14:paraId="2A7988CB" w14:textId="704862C6" w:rsidR="00EC3448" w:rsidRPr="00AF30C0" w:rsidRDefault="00EC3448" w:rsidP="000B252F">
      <w:pPr>
        <w:pStyle w:val="FootnoteText"/>
        <w:spacing w:line="360" w:lineRule="auto"/>
        <w:rPr>
          <w:rFonts w:ascii="Arial" w:hAnsi="Arial" w:cs="Arial"/>
          <w:lang w:val="en-US"/>
        </w:rPr>
      </w:pPr>
      <w:r w:rsidRPr="00AF30C0">
        <w:rPr>
          <w:rStyle w:val="FootnoteReference"/>
          <w:rFonts w:ascii="Arial" w:hAnsi="Arial" w:cs="Arial"/>
        </w:rPr>
        <w:footnoteRef/>
      </w:r>
      <w:r w:rsidRPr="00AF30C0">
        <w:rPr>
          <w:rFonts w:ascii="Arial" w:hAnsi="Arial" w:cs="Arial"/>
        </w:rPr>
        <w:t xml:space="preserve"> FW Act</w:t>
      </w:r>
      <w:r w:rsidRPr="00AF30C0">
        <w:rPr>
          <w:rFonts w:ascii="Arial" w:hAnsi="Arial" w:cs="Arial"/>
          <w:i/>
        </w:rPr>
        <w:t>,</w:t>
      </w:r>
      <w:r w:rsidRPr="00AF30C0">
        <w:rPr>
          <w:rFonts w:ascii="Arial" w:hAnsi="Arial" w:cs="Arial"/>
        </w:rPr>
        <w:t xml:space="preserve"> ss. 345 and 348</w:t>
      </w:r>
    </w:p>
  </w:footnote>
  <w:footnote w:id="77">
    <w:p w14:paraId="13819AA2" w14:textId="069414BD" w:rsidR="00EC3448" w:rsidRPr="00AF30C0" w:rsidRDefault="00EC3448" w:rsidP="000B252F">
      <w:pPr>
        <w:pStyle w:val="FootnoteText"/>
        <w:spacing w:line="360" w:lineRule="auto"/>
        <w:rPr>
          <w:rFonts w:ascii="Arial" w:hAnsi="Arial" w:cs="Arial"/>
          <w:lang w:val="en-US"/>
        </w:rPr>
      </w:pPr>
      <w:r w:rsidRPr="00AF30C0">
        <w:rPr>
          <w:rStyle w:val="FootnoteReference"/>
          <w:rFonts w:ascii="Arial" w:hAnsi="Arial" w:cs="Arial"/>
        </w:rPr>
        <w:footnoteRef/>
      </w:r>
      <w:r w:rsidRPr="00AF30C0">
        <w:rPr>
          <w:rFonts w:ascii="Arial" w:hAnsi="Arial" w:cs="Arial"/>
        </w:rPr>
        <w:t xml:space="preserve"> FW Act</w:t>
      </w:r>
      <w:r w:rsidRPr="00AF30C0">
        <w:rPr>
          <w:rFonts w:ascii="Arial" w:hAnsi="Arial" w:cs="Arial"/>
          <w:i/>
        </w:rPr>
        <w:t>,</w:t>
      </w:r>
      <w:r w:rsidRPr="00AF30C0">
        <w:rPr>
          <w:rFonts w:ascii="Arial" w:hAnsi="Arial" w:cs="Arial"/>
        </w:rPr>
        <w:t xml:space="preserve"> ss. 707, 708, 711, 715, 716 and 718</w:t>
      </w:r>
    </w:p>
  </w:footnote>
  <w:footnote w:id="78">
    <w:p w14:paraId="6E15E5E2" w14:textId="77777777" w:rsidR="00EC3448" w:rsidRPr="00AF30C0" w:rsidRDefault="00EC3448" w:rsidP="000B252F">
      <w:pPr>
        <w:pStyle w:val="FootnoteText"/>
        <w:spacing w:line="360" w:lineRule="auto"/>
        <w:rPr>
          <w:rFonts w:ascii="Arial" w:hAnsi="Arial" w:cs="Arial"/>
          <w:lang w:val="en-US"/>
        </w:rPr>
      </w:pPr>
      <w:r w:rsidRPr="00AF30C0">
        <w:rPr>
          <w:rStyle w:val="FootnoteReference"/>
          <w:rFonts w:ascii="Arial" w:hAnsi="Arial" w:cs="Arial"/>
        </w:rPr>
        <w:footnoteRef/>
      </w:r>
      <w:r w:rsidRPr="00AF30C0">
        <w:rPr>
          <w:rFonts w:ascii="Arial" w:hAnsi="Arial" w:cs="Arial"/>
        </w:rPr>
        <w:t xml:space="preserve"> [2001] HCA 44; 207 CLR 21</w:t>
      </w:r>
    </w:p>
  </w:footnote>
  <w:footnote w:id="79">
    <w:p w14:paraId="5920EF4F" w14:textId="79EC5898" w:rsidR="00EC3448" w:rsidRPr="00AF30C0" w:rsidRDefault="00EC3448" w:rsidP="000B252F">
      <w:pPr>
        <w:pStyle w:val="FootnoteText"/>
        <w:spacing w:line="360" w:lineRule="auto"/>
        <w:rPr>
          <w:rFonts w:ascii="Arial" w:hAnsi="Arial" w:cs="Arial"/>
          <w:lang w:val="en-US"/>
        </w:rPr>
      </w:pPr>
      <w:r w:rsidRPr="00AF30C0">
        <w:rPr>
          <w:rStyle w:val="FootnoteReference"/>
          <w:rFonts w:ascii="Arial" w:hAnsi="Arial" w:cs="Arial"/>
        </w:rPr>
        <w:footnoteRef/>
      </w:r>
      <w:r w:rsidRPr="00AF30C0">
        <w:rPr>
          <w:rFonts w:ascii="Arial" w:hAnsi="Arial" w:cs="Arial"/>
        </w:rPr>
        <w:t xml:space="preserve"> </w:t>
      </w:r>
      <w:r w:rsidRPr="00AF30C0">
        <w:rPr>
          <w:rFonts w:ascii="Arial" w:hAnsi="Arial" w:cs="Arial"/>
          <w:lang w:val="en-US"/>
        </w:rPr>
        <w:t>F</w:t>
      </w:r>
      <w:r w:rsidRPr="007B63AA">
        <w:rPr>
          <w:rFonts w:ascii="Arial" w:hAnsi="Arial" w:cs="Arial"/>
          <w:lang w:val="en-US"/>
        </w:rPr>
        <w:t>W Act</w:t>
      </w:r>
      <w:r w:rsidRPr="00AF30C0">
        <w:rPr>
          <w:rFonts w:ascii="Arial" w:hAnsi="Arial" w:cs="Arial"/>
          <w:lang w:val="en-US"/>
        </w:rPr>
        <w:t>, s. 366</w:t>
      </w:r>
    </w:p>
  </w:footnote>
  <w:footnote w:id="80">
    <w:p w14:paraId="5F898C3A" w14:textId="7B0FB96C" w:rsidR="00EC3448" w:rsidRPr="00AF30C0" w:rsidRDefault="00EC3448" w:rsidP="000B252F">
      <w:pPr>
        <w:pStyle w:val="FootnoteText"/>
        <w:spacing w:line="360" w:lineRule="auto"/>
        <w:rPr>
          <w:rFonts w:ascii="Arial" w:hAnsi="Arial" w:cs="Arial"/>
          <w:lang w:val="en-US"/>
        </w:rPr>
      </w:pPr>
      <w:r w:rsidRPr="00AF30C0">
        <w:rPr>
          <w:rStyle w:val="FootnoteReference"/>
          <w:rFonts w:ascii="Arial" w:hAnsi="Arial" w:cs="Arial"/>
        </w:rPr>
        <w:footnoteRef/>
      </w:r>
      <w:r w:rsidRPr="00AF30C0">
        <w:rPr>
          <w:rFonts w:ascii="Arial" w:hAnsi="Arial" w:cs="Arial"/>
        </w:rPr>
        <w:t xml:space="preserve"> </w:t>
      </w:r>
      <w:r>
        <w:rPr>
          <w:rFonts w:ascii="Arial" w:hAnsi="Arial" w:cs="Arial"/>
          <w:lang w:val="en-US"/>
        </w:rPr>
        <w:t>FW Act</w:t>
      </w:r>
      <w:r w:rsidRPr="00AF30C0">
        <w:rPr>
          <w:rFonts w:ascii="Arial" w:hAnsi="Arial" w:cs="Arial"/>
          <w:lang w:val="en-US"/>
        </w:rPr>
        <w:t xml:space="preserve">, s. 386. NOTE: While this definition is used only for determining whether an applicant is eligible for protection under the unfair dismissal provisions of the Act, it is likely to provide guidance for a court in an application made under s. 358. </w:t>
      </w:r>
    </w:p>
  </w:footnote>
  <w:footnote w:id="81">
    <w:p w14:paraId="3AD587CE" w14:textId="77777777" w:rsidR="00EC3448" w:rsidRPr="00AF30C0" w:rsidRDefault="00EC3448" w:rsidP="000B252F">
      <w:pPr>
        <w:pStyle w:val="FootnoteText"/>
        <w:spacing w:line="360" w:lineRule="auto"/>
        <w:rPr>
          <w:rFonts w:ascii="Arial" w:hAnsi="Arial" w:cs="Arial"/>
          <w:lang w:val="en-US"/>
        </w:rPr>
      </w:pPr>
      <w:r w:rsidRPr="00AF30C0">
        <w:rPr>
          <w:rStyle w:val="FootnoteReference"/>
          <w:rFonts w:ascii="Arial" w:hAnsi="Arial" w:cs="Arial"/>
        </w:rPr>
        <w:footnoteRef/>
      </w:r>
      <w:r w:rsidRPr="00AF30C0">
        <w:rPr>
          <w:rFonts w:ascii="Arial" w:hAnsi="Arial" w:cs="Arial"/>
        </w:rPr>
        <w:t xml:space="preserve"> </w:t>
      </w:r>
      <w:proofErr w:type="gramStart"/>
      <w:r w:rsidRPr="00AF30C0">
        <w:rPr>
          <w:rFonts w:ascii="Arial" w:hAnsi="Arial" w:cs="Arial"/>
          <w:i/>
        </w:rPr>
        <w:t>Board of Bendigo Regional Institute of Technical and Further Education v Barclay</w:t>
      </w:r>
      <w:r w:rsidRPr="00AF30C0">
        <w:rPr>
          <w:rFonts w:ascii="Arial" w:hAnsi="Arial" w:cs="Arial"/>
        </w:rPr>
        <w:t xml:space="preserve"> [2012] HCA 32.</w:t>
      </w:r>
      <w:proofErr w:type="gramEnd"/>
    </w:p>
  </w:footnote>
  <w:footnote w:id="82">
    <w:p w14:paraId="2CC7B18B" w14:textId="0D1A5D5E" w:rsidR="00EC3448" w:rsidRPr="00AF30C0" w:rsidRDefault="00EC3448" w:rsidP="00AF30C0">
      <w:pPr>
        <w:pStyle w:val="FootnoteText"/>
        <w:spacing w:line="360" w:lineRule="auto"/>
        <w:rPr>
          <w:rFonts w:ascii="Arial" w:hAnsi="Arial" w:cs="Arial"/>
          <w:i/>
          <w:lang w:val="en-US"/>
        </w:rPr>
      </w:pPr>
      <w:r w:rsidRPr="00AF30C0">
        <w:rPr>
          <w:rStyle w:val="FootnoteReference"/>
          <w:rFonts w:ascii="Arial" w:hAnsi="Arial" w:cs="Arial"/>
        </w:rPr>
        <w:footnoteRef/>
      </w:r>
      <w:r w:rsidRPr="00AF30C0">
        <w:rPr>
          <w:rFonts w:ascii="Arial" w:hAnsi="Arial" w:cs="Arial"/>
        </w:rPr>
        <w:t xml:space="preserve"> </w:t>
      </w:r>
      <w:r w:rsidRPr="00AF30C0">
        <w:rPr>
          <w:rFonts w:ascii="Arial" w:hAnsi="Arial" w:cs="Arial"/>
          <w:lang w:val="en-US"/>
        </w:rPr>
        <w:t xml:space="preserve">See </w:t>
      </w:r>
      <w:r>
        <w:rPr>
          <w:rFonts w:ascii="Arial" w:hAnsi="Arial" w:cs="Arial"/>
          <w:lang w:val="en-US"/>
        </w:rPr>
        <w:t xml:space="preserve">FW Act, </w:t>
      </w:r>
      <w:r w:rsidRPr="00AF30C0">
        <w:rPr>
          <w:rFonts w:ascii="Arial" w:hAnsi="Arial" w:cs="Arial"/>
          <w:lang w:val="en-US"/>
        </w:rPr>
        <w:t>s</w:t>
      </w:r>
      <w:r>
        <w:rPr>
          <w:rFonts w:ascii="Arial" w:hAnsi="Arial" w:cs="Arial"/>
          <w:lang w:val="en-US"/>
        </w:rPr>
        <w:t>.</w:t>
      </w:r>
      <w:r w:rsidRPr="00AF30C0">
        <w:rPr>
          <w:rFonts w:ascii="Arial" w:hAnsi="Arial" w:cs="Arial"/>
          <w:lang w:val="en-US"/>
        </w:rPr>
        <w:t xml:space="preserve"> 369</w:t>
      </w:r>
    </w:p>
  </w:footnote>
  <w:footnote w:id="83">
    <w:p w14:paraId="03F2F4D2" w14:textId="11037672" w:rsidR="00EC3448" w:rsidRPr="00AF30C0" w:rsidRDefault="00EC3448" w:rsidP="00AF30C0">
      <w:pPr>
        <w:pStyle w:val="FootnoteText"/>
        <w:spacing w:line="360" w:lineRule="auto"/>
        <w:rPr>
          <w:rFonts w:ascii="Arial" w:hAnsi="Arial" w:cs="Arial"/>
          <w:i/>
          <w:lang w:val="en-US"/>
        </w:rPr>
      </w:pPr>
      <w:r w:rsidRPr="00AF30C0">
        <w:rPr>
          <w:rStyle w:val="FootnoteReference"/>
          <w:rFonts w:ascii="Arial" w:hAnsi="Arial" w:cs="Arial"/>
        </w:rPr>
        <w:footnoteRef/>
      </w:r>
      <w:r w:rsidRPr="00AF30C0">
        <w:rPr>
          <w:rFonts w:ascii="Arial" w:hAnsi="Arial" w:cs="Arial"/>
        </w:rPr>
        <w:t xml:space="preserve"> </w:t>
      </w:r>
      <w:r w:rsidRPr="00AF30C0">
        <w:rPr>
          <w:rFonts w:ascii="Arial" w:hAnsi="Arial" w:cs="Arial"/>
          <w:lang w:val="en-US"/>
        </w:rPr>
        <w:t>See</w:t>
      </w:r>
      <w:r>
        <w:rPr>
          <w:rFonts w:ascii="Arial" w:hAnsi="Arial" w:cs="Arial"/>
          <w:lang w:val="en-US"/>
        </w:rPr>
        <w:t xml:space="preserve"> FW Act, </w:t>
      </w:r>
      <w:r w:rsidRPr="00AF30C0">
        <w:rPr>
          <w:rFonts w:ascii="Arial" w:hAnsi="Arial" w:cs="Arial"/>
          <w:lang w:val="en-US"/>
        </w:rPr>
        <w:t>s</w:t>
      </w:r>
      <w:r>
        <w:rPr>
          <w:rFonts w:ascii="Arial" w:hAnsi="Arial" w:cs="Arial"/>
          <w:lang w:val="en-US"/>
        </w:rPr>
        <w:t>.</w:t>
      </w:r>
      <w:r w:rsidRPr="00AF30C0">
        <w:rPr>
          <w:rFonts w:ascii="Arial" w:hAnsi="Arial" w:cs="Arial"/>
          <w:lang w:val="en-US"/>
        </w:rPr>
        <w:t xml:space="preserve"> 3(e)</w:t>
      </w:r>
    </w:p>
  </w:footnote>
  <w:footnote w:id="84">
    <w:p w14:paraId="1AA6CF2B" w14:textId="77777777" w:rsidR="00EC3448" w:rsidRPr="00AF30C0" w:rsidRDefault="00EC3448" w:rsidP="00AF30C0">
      <w:pPr>
        <w:pStyle w:val="FootnoteText"/>
        <w:spacing w:line="360" w:lineRule="auto"/>
        <w:rPr>
          <w:rFonts w:ascii="Arial" w:hAnsi="Arial" w:cs="Arial"/>
          <w:lang w:val="en-US"/>
        </w:rPr>
      </w:pPr>
      <w:r w:rsidRPr="00AF30C0">
        <w:rPr>
          <w:rStyle w:val="FootnoteReference"/>
          <w:rFonts w:ascii="Arial" w:hAnsi="Arial" w:cs="Arial"/>
        </w:rPr>
        <w:footnoteRef/>
      </w:r>
      <w:r w:rsidRPr="00AF30C0">
        <w:rPr>
          <w:rFonts w:ascii="Arial" w:hAnsi="Arial" w:cs="Arial"/>
        </w:rPr>
        <w:t xml:space="preserve"> </w:t>
      </w:r>
      <w:r w:rsidRPr="00AF30C0">
        <w:rPr>
          <w:rFonts w:ascii="Arial" w:hAnsi="Arial" w:cs="Arial"/>
          <w:lang w:val="en-US"/>
        </w:rPr>
        <w:t xml:space="preserve">See </w:t>
      </w:r>
      <w:hyperlink r:id="rId31" w:history="1">
        <w:r w:rsidRPr="00AF30C0">
          <w:rPr>
            <w:rStyle w:val="Hyperlink"/>
            <w:rFonts w:ascii="Arial" w:hAnsi="Arial" w:cs="Arial"/>
            <w:lang w:val="en-US"/>
          </w:rPr>
          <w:t>https://www.fwc.gov.au/creating-fair-workplaces/commission-engagement-strategy/international-engagement/resources</w:t>
        </w:r>
      </w:hyperlink>
      <w:r w:rsidRPr="00AF30C0">
        <w:rPr>
          <w:rFonts w:ascii="Arial" w:hAnsi="Arial" w:cs="Arial"/>
          <w:lang w:val="en-US"/>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141C1"/>
    <w:multiLevelType w:val="hybridMultilevel"/>
    <w:tmpl w:val="C8D05752"/>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
    <w:nsid w:val="0F0E431C"/>
    <w:multiLevelType w:val="hybridMultilevel"/>
    <w:tmpl w:val="452AAFDE"/>
    <w:lvl w:ilvl="0" w:tplc="08F02E14">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10C5107F"/>
    <w:multiLevelType w:val="hybridMultilevel"/>
    <w:tmpl w:val="2154D8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D1441C8"/>
    <w:multiLevelType w:val="hybridMultilevel"/>
    <w:tmpl w:val="0F186662"/>
    <w:lvl w:ilvl="0" w:tplc="04FA3E58">
      <w:start w:val="2"/>
      <w:numFmt w:val="bullet"/>
      <w:lvlText w:val=""/>
      <w:lvlJc w:val="left"/>
      <w:pPr>
        <w:ind w:left="1212" w:hanging="360"/>
      </w:pPr>
      <w:rPr>
        <w:rFonts w:ascii="Symbol" w:eastAsiaTheme="minorEastAsia" w:hAnsi="Symbol" w:cs="Times New Roman"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3E8417D"/>
    <w:multiLevelType w:val="hybridMultilevel"/>
    <w:tmpl w:val="1220BAC2"/>
    <w:lvl w:ilvl="0" w:tplc="0DD60A9A">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nsid w:val="279656CD"/>
    <w:multiLevelType w:val="multilevel"/>
    <w:tmpl w:val="5B08B65E"/>
    <w:lvl w:ilvl="0">
      <w:start w:val="1"/>
      <w:numFmt w:val="decimal"/>
      <w:lvlText w:val="%1."/>
      <w:lvlJc w:val="left"/>
      <w:pPr>
        <w:ind w:left="851" w:hanging="491"/>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80E6786"/>
    <w:multiLevelType w:val="hybridMultilevel"/>
    <w:tmpl w:val="F15619C8"/>
    <w:lvl w:ilvl="0" w:tplc="0FFCA776">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E9F142B"/>
    <w:multiLevelType w:val="hybridMultilevel"/>
    <w:tmpl w:val="CA2A52F6"/>
    <w:lvl w:ilvl="0" w:tplc="3ADEDCC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3AC4D3A"/>
    <w:multiLevelType w:val="hybridMultilevel"/>
    <w:tmpl w:val="A0EE51DC"/>
    <w:lvl w:ilvl="0" w:tplc="5E147EF8">
      <w:start w:val="1"/>
      <w:numFmt w:val="decimal"/>
      <w:lvlText w:val="%1."/>
      <w:lvlJc w:val="left"/>
      <w:pPr>
        <w:ind w:left="604" w:hanging="604"/>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51CF38FB"/>
    <w:multiLevelType w:val="hybridMultilevel"/>
    <w:tmpl w:val="4AFE595E"/>
    <w:name w:val="OutlineNumbers22"/>
    <w:lvl w:ilvl="0" w:tplc="04090019">
      <w:start w:val="1"/>
      <w:numFmt w:val="lowerLetter"/>
      <w:lvlText w:val="%1."/>
      <w:lvlJc w:val="left"/>
      <w:pPr>
        <w:ind w:left="1790" w:hanging="360"/>
      </w:pPr>
    </w:lvl>
    <w:lvl w:ilvl="1" w:tplc="04090019" w:tentative="1">
      <w:start w:val="1"/>
      <w:numFmt w:val="lowerLetter"/>
      <w:lvlText w:val="%2."/>
      <w:lvlJc w:val="left"/>
      <w:pPr>
        <w:ind w:left="2510" w:hanging="360"/>
      </w:pPr>
    </w:lvl>
    <w:lvl w:ilvl="2" w:tplc="0409001B" w:tentative="1">
      <w:start w:val="1"/>
      <w:numFmt w:val="lowerRoman"/>
      <w:lvlText w:val="%3."/>
      <w:lvlJc w:val="right"/>
      <w:pPr>
        <w:ind w:left="3230" w:hanging="180"/>
      </w:pPr>
    </w:lvl>
    <w:lvl w:ilvl="3" w:tplc="0409000F" w:tentative="1">
      <w:start w:val="1"/>
      <w:numFmt w:val="decimal"/>
      <w:lvlText w:val="%4."/>
      <w:lvlJc w:val="left"/>
      <w:pPr>
        <w:ind w:left="3950" w:hanging="360"/>
      </w:pPr>
    </w:lvl>
    <w:lvl w:ilvl="4" w:tplc="04090019" w:tentative="1">
      <w:start w:val="1"/>
      <w:numFmt w:val="lowerLetter"/>
      <w:lvlText w:val="%5."/>
      <w:lvlJc w:val="left"/>
      <w:pPr>
        <w:ind w:left="4670" w:hanging="360"/>
      </w:pPr>
    </w:lvl>
    <w:lvl w:ilvl="5" w:tplc="0409001B" w:tentative="1">
      <w:start w:val="1"/>
      <w:numFmt w:val="lowerRoman"/>
      <w:lvlText w:val="%6."/>
      <w:lvlJc w:val="right"/>
      <w:pPr>
        <w:ind w:left="5390" w:hanging="180"/>
      </w:pPr>
    </w:lvl>
    <w:lvl w:ilvl="6" w:tplc="0409000F" w:tentative="1">
      <w:start w:val="1"/>
      <w:numFmt w:val="decimal"/>
      <w:lvlText w:val="%7."/>
      <w:lvlJc w:val="left"/>
      <w:pPr>
        <w:ind w:left="6110" w:hanging="360"/>
      </w:pPr>
    </w:lvl>
    <w:lvl w:ilvl="7" w:tplc="04090019" w:tentative="1">
      <w:start w:val="1"/>
      <w:numFmt w:val="lowerLetter"/>
      <w:lvlText w:val="%8."/>
      <w:lvlJc w:val="left"/>
      <w:pPr>
        <w:ind w:left="6830" w:hanging="360"/>
      </w:pPr>
    </w:lvl>
    <w:lvl w:ilvl="8" w:tplc="0409001B" w:tentative="1">
      <w:start w:val="1"/>
      <w:numFmt w:val="lowerRoman"/>
      <w:lvlText w:val="%9."/>
      <w:lvlJc w:val="right"/>
      <w:pPr>
        <w:ind w:left="7550" w:hanging="180"/>
      </w:pPr>
    </w:lvl>
  </w:abstractNum>
  <w:abstractNum w:abstractNumId="10">
    <w:nsid w:val="57AD58D3"/>
    <w:multiLevelType w:val="hybridMultilevel"/>
    <w:tmpl w:val="DD3E40E0"/>
    <w:lvl w:ilvl="0" w:tplc="EE4C8D2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30E6E6A"/>
    <w:multiLevelType w:val="multilevel"/>
    <w:tmpl w:val="03F41BCA"/>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4A1350C"/>
    <w:multiLevelType w:val="hybridMultilevel"/>
    <w:tmpl w:val="534AA364"/>
    <w:lvl w:ilvl="0" w:tplc="5FFA70E4">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FF01274"/>
    <w:multiLevelType w:val="hybridMultilevel"/>
    <w:tmpl w:val="3B44259C"/>
    <w:lvl w:ilvl="0" w:tplc="0409000F">
      <w:start w:val="1"/>
      <w:numFmt w:val="decimal"/>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4">
    <w:nsid w:val="73FA190C"/>
    <w:multiLevelType w:val="hybridMultilevel"/>
    <w:tmpl w:val="F53A408E"/>
    <w:lvl w:ilvl="0" w:tplc="DB303ACC">
      <w:start w:val="1"/>
      <w:numFmt w:val="bullet"/>
      <w:pStyle w:val="Bulletform"/>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773F0B5E"/>
    <w:multiLevelType w:val="hybridMultilevel"/>
    <w:tmpl w:val="40685E3E"/>
    <w:lvl w:ilvl="0" w:tplc="1F1CD23E">
      <w:start w:val="17"/>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nsid w:val="7CDB2FAB"/>
    <w:multiLevelType w:val="multilevel"/>
    <w:tmpl w:val="A0EE51DC"/>
    <w:lvl w:ilvl="0">
      <w:start w:val="1"/>
      <w:numFmt w:val="decimal"/>
      <w:lvlText w:val="%1."/>
      <w:lvlJc w:val="left"/>
      <w:pPr>
        <w:ind w:left="604" w:hanging="604"/>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7"/>
  </w:num>
  <w:num w:numId="3">
    <w:abstractNumId w:val="8"/>
  </w:num>
  <w:num w:numId="4">
    <w:abstractNumId w:val="6"/>
  </w:num>
  <w:num w:numId="5">
    <w:abstractNumId w:val="15"/>
  </w:num>
  <w:num w:numId="6">
    <w:abstractNumId w:val="1"/>
  </w:num>
  <w:num w:numId="7">
    <w:abstractNumId w:val="4"/>
  </w:num>
  <w:num w:numId="8">
    <w:abstractNumId w:val="3"/>
  </w:num>
  <w:num w:numId="9">
    <w:abstractNumId w:val="2"/>
  </w:num>
  <w:num w:numId="10">
    <w:abstractNumId w:val="0"/>
  </w:num>
  <w:num w:numId="11">
    <w:abstractNumId w:val="9"/>
  </w:num>
  <w:num w:numId="12">
    <w:abstractNumId w:val="13"/>
  </w:num>
  <w:num w:numId="13">
    <w:abstractNumId w:val="10"/>
  </w:num>
  <w:num w:numId="14">
    <w:abstractNumId w:val="11"/>
  </w:num>
  <w:num w:numId="15">
    <w:abstractNumId w:val="5"/>
  </w:num>
  <w:num w:numId="16">
    <w:abstractNumId w:val="1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D98"/>
    <w:rsid w:val="00043A9C"/>
    <w:rsid w:val="000B252F"/>
    <w:rsid w:val="000B402A"/>
    <w:rsid w:val="0013212F"/>
    <w:rsid w:val="0013345C"/>
    <w:rsid w:val="001504A7"/>
    <w:rsid w:val="001525AD"/>
    <w:rsid w:val="0016396C"/>
    <w:rsid w:val="001D4E82"/>
    <w:rsid w:val="00212FC7"/>
    <w:rsid w:val="00214C1A"/>
    <w:rsid w:val="00226010"/>
    <w:rsid w:val="002535DE"/>
    <w:rsid w:val="00255C0C"/>
    <w:rsid w:val="0029419B"/>
    <w:rsid w:val="002C4517"/>
    <w:rsid w:val="002C7290"/>
    <w:rsid w:val="002E39FD"/>
    <w:rsid w:val="002F333D"/>
    <w:rsid w:val="002F5180"/>
    <w:rsid w:val="0031451B"/>
    <w:rsid w:val="00334A2D"/>
    <w:rsid w:val="00337FBE"/>
    <w:rsid w:val="00372A4F"/>
    <w:rsid w:val="003B4741"/>
    <w:rsid w:val="004201D8"/>
    <w:rsid w:val="00433593"/>
    <w:rsid w:val="00493078"/>
    <w:rsid w:val="004C4337"/>
    <w:rsid w:val="004E758D"/>
    <w:rsid w:val="004F43DC"/>
    <w:rsid w:val="00541A28"/>
    <w:rsid w:val="00542A32"/>
    <w:rsid w:val="00555859"/>
    <w:rsid w:val="005769E5"/>
    <w:rsid w:val="005D7303"/>
    <w:rsid w:val="005E728E"/>
    <w:rsid w:val="006264AC"/>
    <w:rsid w:val="006743A6"/>
    <w:rsid w:val="00701651"/>
    <w:rsid w:val="007437B4"/>
    <w:rsid w:val="007B63AA"/>
    <w:rsid w:val="007D0B3A"/>
    <w:rsid w:val="00864F85"/>
    <w:rsid w:val="00895D98"/>
    <w:rsid w:val="0089667C"/>
    <w:rsid w:val="008F7116"/>
    <w:rsid w:val="00925F8B"/>
    <w:rsid w:val="009A547E"/>
    <w:rsid w:val="009D6577"/>
    <w:rsid w:val="009E33F7"/>
    <w:rsid w:val="00A32282"/>
    <w:rsid w:val="00A43228"/>
    <w:rsid w:val="00A733A0"/>
    <w:rsid w:val="00AB2F15"/>
    <w:rsid w:val="00AB4625"/>
    <w:rsid w:val="00AE53C3"/>
    <w:rsid w:val="00AF30C0"/>
    <w:rsid w:val="00B22133"/>
    <w:rsid w:val="00B451FB"/>
    <w:rsid w:val="00B86CA5"/>
    <w:rsid w:val="00B907B8"/>
    <w:rsid w:val="00BA0EBA"/>
    <w:rsid w:val="00BC6528"/>
    <w:rsid w:val="00BD5F0A"/>
    <w:rsid w:val="00CD0EED"/>
    <w:rsid w:val="00CE07E3"/>
    <w:rsid w:val="00D27CBA"/>
    <w:rsid w:val="00D41983"/>
    <w:rsid w:val="00DB3E32"/>
    <w:rsid w:val="00E518B1"/>
    <w:rsid w:val="00E56CF1"/>
    <w:rsid w:val="00E84432"/>
    <w:rsid w:val="00EC002A"/>
    <w:rsid w:val="00EC3448"/>
    <w:rsid w:val="00F25745"/>
    <w:rsid w:val="00F43AF8"/>
    <w:rsid w:val="00F5350A"/>
    <w:rsid w:val="00F759AD"/>
    <w:rsid w:val="00FB427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E9E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5D98"/>
    <w:pPr>
      <w:ind w:left="720"/>
      <w:contextualSpacing/>
    </w:pPr>
  </w:style>
  <w:style w:type="paragraph" w:styleId="FootnoteText">
    <w:name w:val="footnote text"/>
    <w:basedOn w:val="Normal"/>
    <w:link w:val="FootnoteTextChar"/>
    <w:uiPriority w:val="99"/>
    <w:unhideWhenUsed/>
    <w:rsid w:val="00EC002A"/>
    <w:pPr>
      <w:spacing w:after="0" w:line="240" w:lineRule="auto"/>
    </w:pPr>
    <w:rPr>
      <w:sz w:val="20"/>
      <w:szCs w:val="20"/>
    </w:rPr>
  </w:style>
  <w:style w:type="character" w:customStyle="1" w:styleId="FootnoteTextChar">
    <w:name w:val="Footnote Text Char"/>
    <w:basedOn w:val="DefaultParagraphFont"/>
    <w:link w:val="FootnoteText"/>
    <w:uiPriority w:val="99"/>
    <w:rsid w:val="00EC002A"/>
    <w:rPr>
      <w:sz w:val="20"/>
      <w:szCs w:val="20"/>
    </w:rPr>
  </w:style>
  <w:style w:type="character" w:styleId="FootnoteReference">
    <w:name w:val="footnote reference"/>
    <w:basedOn w:val="DefaultParagraphFont"/>
    <w:uiPriority w:val="99"/>
    <w:unhideWhenUsed/>
    <w:rsid w:val="00EC002A"/>
    <w:rPr>
      <w:vertAlign w:val="superscript"/>
    </w:rPr>
  </w:style>
  <w:style w:type="character" w:styleId="Hyperlink">
    <w:name w:val="Hyperlink"/>
    <w:basedOn w:val="DefaultParagraphFont"/>
    <w:uiPriority w:val="99"/>
    <w:unhideWhenUsed/>
    <w:rsid w:val="00EC002A"/>
    <w:rPr>
      <w:color w:val="0000FF" w:themeColor="hyperlink"/>
      <w:u w:val="single"/>
    </w:rPr>
  </w:style>
  <w:style w:type="paragraph" w:styleId="BalloonText">
    <w:name w:val="Balloon Text"/>
    <w:basedOn w:val="Normal"/>
    <w:link w:val="BalloonTextChar"/>
    <w:uiPriority w:val="99"/>
    <w:semiHidden/>
    <w:unhideWhenUsed/>
    <w:rsid w:val="002535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35DE"/>
    <w:rPr>
      <w:rFonts w:ascii="Tahoma" w:hAnsi="Tahoma" w:cs="Tahoma"/>
      <w:sz w:val="16"/>
      <w:szCs w:val="16"/>
    </w:rPr>
  </w:style>
  <w:style w:type="table" w:styleId="TableGrid">
    <w:name w:val="Table Grid"/>
    <w:basedOn w:val="TableNormal"/>
    <w:rsid w:val="00372A4F"/>
    <w:pPr>
      <w:spacing w:after="0" w:line="240" w:lineRule="auto"/>
    </w:pPr>
    <w:rPr>
      <w:rFonts w:eastAsiaTheme="minorEastAsia"/>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372A4F"/>
    <w:pPr>
      <w:spacing w:line="240" w:lineRule="auto"/>
    </w:pPr>
    <w:rPr>
      <w:rFonts w:eastAsiaTheme="minorEastAsia"/>
      <w:b/>
      <w:bCs/>
      <w:color w:val="4F81BD" w:themeColor="accent1"/>
      <w:sz w:val="18"/>
      <w:szCs w:val="18"/>
    </w:rPr>
  </w:style>
  <w:style w:type="paragraph" w:customStyle="1" w:styleId="awuHEAD">
    <w:name w:val="awu HEAD"/>
    <w:qFormat/>
    <w:rsid w:val="00B86CA5"/>
    <w:pPr>
      <w:spacing w:before="480" w:after="280" w:line="240" w:lineRule="auto"/>
      <w:ind w:right="-397"/>
    </w:pPr>
    <w:rPr>
      <w:rFonts w:ascii="Arial Bold" w:eastAsia="Times New Roman" w:hAnsi="Arial Bold" w:cs="Helvetica"/>
      <w:bCs/>
      <w:color w:val="1A1A1A"/>
      <w:sz w:val="24"/>
      <w:szCs w:val="26"/>
      <w:lang w:val="en-US"/>
    </w:rPr>
  </w:style>
  <w:style w:type="paragraph" w:styleId="NormalWeb">
    <w:name w:val="Normal (Web)"/>
    <w:basedOn w:val="Normal"/>
    <w:uiPriority w:val="99"/>
    <w:unhideWhenUsed/>
    <w:rsid w:val="00B86CA5"/>
    <w:pPr>
      <w:spacing w:before="100" w:beforeAutospacing="1" w:after="100" w:afterAutospacing="1" w:line="240" w:lineRule="auto"/>
    </w:pPr>
    <w:rPr>
      <w:rFonts w:ascii="Times New Roman" w:eastAsia="Calibri" w:hAnsi="Times New Roman" w:cs="Times New Roman"/>
      <w:color w:val="000000"/>
      <w:sz w:val="24"/>
      <w:szCs w:val="24"/>
      <w:lang w:val="en-US"/>
    </w:rPr>
  </w:style>
  <w:style w:type="paragraph" w:styleId="Header">
    <w:name w:val="header"/>
    <w:basedOn w:val="Normal"/>
    <w:link w:val="HeaderChar"/>
    <w:uiPriority w:val="99"/>
    <w:unhideWhenUsed/>
    <w:rsid w:val="005E72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728E"/>
  </w:style>
  <w:style w:type="paragraph" w:styleId="Footer">
    <w:name w:val="footer"/>
    <w:basedOn w:val="Normal"/>
    <w:link w:val="FooterChar"/>
    <w:uiPriority w:val="99"/>
    <w:unhideWhenUsed/>
    <w:rsid w:val="005E72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728E"/>
  </w:style>
  <w:style w:type="character" w:styleId="CommentReference">
    <w:name w:val="annotation reference"/>
    <w:basedOn w:val="DefaultParagraphFont"/>
    <w:uiPriority w:val="99"/>
    <w:semiHidden/>
    <w:unhideWhenUsed/>
    <w:rsid w:val="000B252F"/>
    <w:rPr>
      <w:sz w:val="18"/>
      <w:szCs w:val="18"/>
    </w:rPr>
  </w:style>
  <w:style w:type="paragraph" w:styleId="CommentText">
    <w:name w:val="annotation text"/>
    <w:basedOn w:val="Normal"/>
    <w:link w:val="CommentTextChar"/>
    <w:uiPriority w:val="99"/>
    <w:semiHidden/>
    <w:unhideWhenUsed/>
    <w:rsid w:val="000B252F"/>
    <w:pPr>
      <w:spacing w:line="240" w:lineRule="auto"/>
    </w:pPr>
    <w:rPr>
      <w:sz w:val="24"/>
      <w:szCs w:val="24"/>
    </w:rPr>
  </w:style>
  <w:style w:type="character" w:customStyle="1" w:styleId="CommentTextChar">
    <w:name w:val="Comment Text Char"/>
    <w:basedOn w:val="DefaultParagraphFont"/>
    <w:link w:val="CommentText"/>
    <w:uiPriority w:val="99"/>
    <w:semiHidden/>
    <w:rsid w:val="000B252F"/>
    <w:rPr>
      <w:sz w:val="24"/>
      <w:szCs w:val="24"/>
    </w:rPr>
  </w:style>
  <w:style w:type="paragraph" w:styleId="CommentSubject">
    <w:name w:val="annotation subject"/>
    <w:basedOn w:val="CommentText"/>
    <w:next w:val="CommentText"/>
    <w:link w:val="CommentSubjectChar"/>
    <w:uiPriority w:val="99"/>
    <w:semiHidden/>
    <w:unhideWhenUsed/>
    <w:rsid w:val="000B252F"/>
    <w:rPr>
      <w:b/>
      <w:bCs/>
      <w:sz w:val="20"/>
      <w:szCs w:val="20"/>
    </w:rPr>
  </w:style>
  <w:style w:type="character" w:customStyle="1" w:styleId="CommentSubjectChar">
    <w:name w:val="Comment Subject Char"/>
    <w:basedOn w:val="CommentTextChar"/>
    <w:link w:val="CommentSubject"/>
    <w:uiPriority w:val="99"/>
    <w:semiHidden/>
    <w:rsid w:val="000B252F"/>
    <w:rPr>
      <w:b/>
      <w:bCs/>
      <w:sz w:val="20"/>
      <w:szCs w:val="20"/>
    </w:rPr>
  </w:style>
  <w:style w:type="character" w:styleId="FollowedHyperlink">
    <w:name w:val="FollowedHyperlink"/>
    <w:basedOn w:val="DefaultParagraphFont"/>
    <w:uiPriority w:val="99"/>
    <w:semiHidden/>
    <w:unhideWhenUsed/>
    <w:rsid w:val="007B63AA"/>
    <w:rPr>
      <w:color w:val="800080" w:themeColor="followedHyperlink"/>
      <w:u w:val="single"/>
    </w:rPr>
  </w:style>
  <w:style w:type="paragraph" w:customStyle="1" w:styleId="Bulletform">
    <w:name w:val="Bullet form"/>
    <w:basedOn w:val="Normal"/>
    <w:rsid w:val="00A32282"/>
    <w:pPr>
      <w:numPr>
        <w:numId w:val="17"/>
      </w:numPr>
      <w:spacing w:before="120" w:after="0" w:line="240" w:lineRule="auto"/>
      <w:ind w:left="714" w:hanging="357"/>
      <w:jc w:val="both"/>
    </w:pPr>
    <w:rPr>
      <w:rFonts w:ascii="GoudyOlSt BT" w:eastAsia="Times New Roman" w:hAnsi="GoudyOlSt BT" w:cs="Times New Roman"/>
      <w:sz w:val="24"/>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5D98"/>
    <w:pPr>
      <w:ind w:left="720"/>
      <w:contextualSpacing/>
    </w:pPr>
  </w:style>
  <w:style w:type="paragraph" w:styleId="FootnoteText">
    <w:name w:val="footnote text"/>
    <w:basedOn w:val="Normal"/>
    <w:link w:val="FootnoteTextChar"/>
    <w:uiPriority w:val="99"/>
    <w:unhideWhenUsed/>
    <w:rsid w:val="00EC002A"/>
    <w:pPr>
      <w:spacing w:after="0" w:line="240" w:lineRule="auto"/>
    </w:pPr>
    <w:rPr>
      <w:sz w:val="20"/>
      <w:szCs w:val="20"/>
    </w:rPr>
  </w:style>
  <w:style w:type="character" w:customStyle="1" w:styleId="FootnoteTextChar">
    <w:name w:val="Footnote Text Char"/>
    <w:basedOn w:val="DefaultParagraphFont"/>
    <w:link w:val="FootnoteText"/>
    <w:uiPriority w:val="99"/>
    <w:rsid w:val="00EC002A"/>
    <w:rPr>
      <w:sz w:val="20"/>
      <w:szCs w:val="20"/>
    </w:rPr>
  </w:style>
  <w:style w:type="character" w:styleId="FootnoteReference">
    <w:name w:val="footnote reference"/>
    <w:basedOn w:val="DefaultParagraphFont"/>
    <w:uiPriority w:val="99"/>
    <w:unhideWhenUsed/>
    <w:rsid w:val="00EC002A"/>
    <w:rPr>
      <w:vertAlign w:val="superscript"/>
    </w:rPr>
  </w:style>
  <w:style w:type="character" w:styleId="Hyperlink">
    <w:name w:val="Hyperlink"/>
    <w:basedOn w:val="DefaultParagraphFont"/>
    <w:uiPriority w:val="99"/>
    <w:unhideWhenUsed/>
    <w:rsid w:val="00EC002A"/>
    <w:rPr>
      <w:color w:val="0000FF" w:themeColor="hyperlink"/>
      <w:u w:val="single"/>
    </w:rPr>
  </w:style>
  <w:style w:type="paragraph" w:styleId="BalloonText">
    <w:name w:val="Balloon Text"/>
    <w:basedOn w:val="Normal"/>
    <w:link w:val="BalloonTextChar"/>
    <w:uiPriority w:val="99"/>
    <w:semiHidden/>
    <w:unhideWhenUsed/>
    <w:rsid w:val="002535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35DE"/>
    <w:rPr>
      <w:rFonts w:ascii="Tahoma" w:hAnsi="Tahoma" w:cs="Tahoma"/>
      <w:sz w:val="16"/>
      <w:szCs w:val="16"/>
    </w:rPr>
  </w:style>
  <w:style w:type="table" w:styleId="TableGrid">
    <w:name w:val="Table Grid"/>
    <w:basedOn w:val="TableNormal"/>
    <w:rsid w:val="00372A4F"/>
    <w:pPr>
      <w:spacing w:after="0" w:line="240" w:lineRule="auto"/>
    </w:pPr>
    <w:rPr>
      <w:rFonts w:eastAsiaTheme="minorEastAsia"/>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372A4F"/>
    <w:pPr>
      <w:spacing w:line="240" w:lineRule="auto"/>
    </w:pPr>
    <w:rPr>
      <w:rFonts w:eastAsiaTheme="minorEastAsia"/>
      <w:b/>
      <w:bCs/>
      <w:color w:val="4F81BD" w:themeColor="accent1"/>
      <w:sz w:val="18"/>
      <w:szCs w:val="18"/>
    </w:rPr>
  </w:style>
  <w:style w:type="paragraph" w:customStyle="1" w:styleId="awuHEAD">
    <w:name w:val="awu HEAD"/>
    <w:qFormat/>
    <w:rsid w:val="00B86CA5"/>
    <w:pPr>
      <w:spacing w:before="480" w:after="280" w:line="240" w:lineRule="auto"/>
      <w:ind w:right="-397"/>
    </w:pPr>
    <w:rPr>
      <w:rFonts w:ascii="Arial Bold" w:eastAsia="Times New Roman" w:hAnsi="Arial Bold" w:cs="Helvetica"/>
      <w:bCs/>
      <w:color w:val="1A1A1A"/>
      <w:sz w:val="24"/>
      <w:szCs w:val="26"/>
      <w:lang w:val="en-US"/>
    </w:rPr>
  </w:style>
  <w:style w:type="paragraph" w:styleId="NormalWeb">
    <w:name w:val="Normal (Web)"/>
    <w:basedOn w:val="Normal"/>
    <w:uiPriority w:val="99"/>
    <w:unhideWhenUsed/>
    <w:rsid w:val="00B86CA5"/>
    <w:pPr>
      <w:spacing w:before="100" w:beforeAutospacing="1" w:after="100" w:afterAutospacing="1" w:line="240" w:lineRule="auto"/>
    </w:pPr>
    <w:rPr>
      <w:rFonts w:ascii="Times New Roman" w:eastAsia="Calibri" w:hAnsi="Times New Roman" w:cs="Times New Roman"/>
      <w:color w:val="000000"/>
      <w:sz w:val="24"/>
      <w:szCs w:val="24"/>
      <w:lang w:val="en-US"/>
    </w:rPr>
  </w:style>
  <w:style w:type="paragraph" w:styleId="Header">
    <w:name w:val="header"/>
    <w:basedOn w:val="Normal"/>
    <w:link w:val="HeaderChar"/>
    <w:uiPriority w:val="99"/>
    <w:unhideWhenUsed/>
    <w:rsid w:val="005E72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728E"/>
  </w:style>
  <w:style w:type="paragraph" w:styleId="Footer">
    <w:name w:val="footer"/>
    <w:basedOn w:val="Normal"/>
    <w:link w:val="FooterChar"/>
    <w:uiPriority w:val="99"/>
    <w:unhideWhenUsed/>
    <w:rsid w:val="005E72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728E"/>
  </w:style>
  <w:style w:type="character" w:styleId="CommentReference">
    <w:name w:val="annotation reference"/>
    <w:basedOn w:val="DefaultParagraphFont"/>
    <w:uiPriority w:val="99"/>
    <w:semiHidden/>
    <w:unhideWhenUsed/>
    <w:rsid w:val="000B252F"/>
    <w:rPr>
      <w:sz w:val="18"/>
      <w:szCs w:val="18"/>
    </w:rPr>
  </w:style>
  <w:style w:type="paragraph" w:styleId="CommentText">
    <w:name w:val="annotation text"/>
    <w:basedOn w:val="Normal"/>
    <w:link w:val="CommentTextChar"/>
    <w:uiPriority w:val="99"/>
    <w:semiHidden/>
    <w:unhideWhenUsed/>
    <w:rsid w:val="000B252F"/>
    <w:pPr>
      <w:spacing w:line="240" w:lineRule="auto"/>
    </w:pPr>
    <w:rPr>
      <w:sz w:val="24"/>
      <w:szCs w:val="24"/>
    </w:rPr>
  </w:style>
  <w:style w:type="character" w:customStyle="1" w:styleId="CommentTextChar">
    <w:name w:val="Comment Text Char"/>
    <w:basedOn w:val="DefaultParagraphFont"/>
    <w:link w:val="CommentText"/>
    <w:uiPriority w:val="99"/>
    <w:semiHidden/>
    <w:rsid w:val="000B252F"/>
    <w:rPr>
      <w:sz w:val="24"/>
      <w:szCs w:val="24"/>
    </w:rPr>
  </w:style>
  <w:style w:type="paragraph" w:styleId="CommentSubject">
    <w:name w:val="annotation subject"/>
    <w:basedOn w:val="CommentText"/>
    <w:next w:val="CommentText"/>
    <w:link w:val="CommentSubjectChar"/>
    <w:uiPriority w:val="99"/>
    <w:semiHidden/>
    <w:unhideWhenUsed/>
    <w:rsid w:val="000B252F"/>
    <w:rPr>
      <w:b/>
      <w:bCs/>
      <w:sz w:val="20"/>
      <w:szCs w:val="20"/>
    </w:rPr>
  </w:style>
  <w:style w:type="character" w:customStyle="1" w:styleId="CommentSubjectChar">
    <w:name w:val="Comment Subject Char"/>
    <w:basedOn w:val="CommentTextChar"/>
    <w:link w:val="CommentSubject"/>
    <w:uiPriority w:val="99"/>
    <w:semiHidden/>
    <w:rsid w:val="000B252F"/>
    <w:rPr>
      <w:b/>
      <w:bCs/>
      <w:sz w:val="20"/>
      <w:szCs w:val="20"/>
    </w:rPr>
  </w:style>
  <w:style w:type="character" w:styleId="FollowedHyperlink">
    <w:name w:val="FollowedHyperlink"/>
    <w:basedOn w:val="DefaultParagraphFont"/>
    <w:uiPriority w:val="99"/>
    <w:semiHidden/>
    <w:unhideWhenUsed/>
    <w:rsid w:val="007B63AA"/>
    <w:rPr>
      <w:color w:val="800080" w:themeColor="followedHyperlink"/>
      <w:u w:val="single"/>
    </w:rPr>
  </w:style>
  <w:style w:type="paragraph" w:customStyle="1" w:styleId="Bulletform">
    <w:name w:val="Bullet form"/>
    <w:basedOn w:val="Normal"/>
    <w:rsid w:val="00A32282"/>
    <w:pPr>
      <w:numPr>
        <w:numId w:val="17"/>
      </w:numPr>
      <w:spacing w:before="120" w:after="0" w:line="240" w:lineRule="auto"/>
      <w:ind w:left="714" w:hanging="357"/>
      <w:jc w:val="both"/>
    </w:pPr>
    <w:rPr>
      <w:rFonts w:ascii="GoudyOlSt BT" w:eastAsia="Times New Roman" w:hAnsi="GoudyOlSt BT"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jpeg"/><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http://www.oecdbetterlifeindex.org/countries/australia/" TargetMode="External"/><Relationship Id="rId13" Type="http://schemas.openxmlformats.org/officeDocument/2006/relationships/hyperlink" Target="http://www98.griffith.edu.au/dspace/bitstream/handle/10072/49919/83134_1.pdf?sequence=1" TargetMode="External"/><Relationship Id="rId18" Type="http://schemas.openxmlformats.org/officeDocument/2006/relationships/hyperlink" Target="http://www.theguardian.com/business/grogonomics/2015/jan/28/inequality-should-be-at-the-forefront-of-a-debate-on-the-minimum-wage" TargetMode="External"/><Relationship Id="rId26" Type="http://schemas.openxmlformats.org/officeDocument/2006/relationships/hyperlink" Target="https://www.fwc.gov.au/documents/documents/IFA.pdf" TargetMode="External"/><Relationship Id="rId3" Type="http://schemas.openxmlformats.org/officeDocument/2006/relationships/hyperlink" Target="http://www.ausstats.abs.gov.au/ausstats/meisubs.nsf/0/D428E24B8D92FE97CA257DFD000D4618/$File/52060_dec%202014.pdf" TargetMode="External"/><Relationship Id="rId21" Type="http://schemas.openxmlformats.org/officeDocument/2006/relationships/hyperlink" Target="https://www.imf.org/external/np/speeches/2014/052714.htm" TargetMode="External"/><Relationship Id="rId7" Type="http://schemas.openxmlformats.org/officeDocument/2006/relationships/hyperlink" Target="http://www.aph.gov.au/About_Parliament/Parliamentary_Departments/Parliamentary_Library/pubs/rp/rp1415/Quick_Guides/CasualEmploy" TargetMode="External"/><Relationship Id="rId12" Type="http://schemas.openxmlformats.org/officeDocument/2006/relationships/hyperlink" Target="http://www.theguardian.com/business/grogonomics/2014/jul/31/business-leaders-should-stop-whinging-about-australias-competitiveness" TargetMode="External"/><Relationship Id="rId17" Type="http://schemas.openxmlformats.org/officeDocument/2006/relationships/hyperlink" Target="http://www.theguardian.com/commentisfree/2014/dec/22/the-liberals-review-of-workplace-relations-is-critical-to-unmaking-our-social-democracy" TargetMode="External"/><Relationship Id="rId25" Type="http://schemas.openxmlformats.org/officeDocument/2006/relationships/hyperlink" Target="http://www.pc.gov.au/inquiries/current/workplace-relations/issues" TargetMode="External"/><Relationship Id="rId2" Type="http://schemas.openxmlformats.org/officeDocument/2006/relationships/hyperlink" Target="http://www.e-airc.gov.au/002N/" TargetMode="External"/><Relationship Id="rId16" Type="http://schemas.openxmlformats.org/officeDocument/2006/relationships/hyperlink" Target="http://www.theguardian.com/commentisfree/2014/dec/22/the-liberals-review-of-workplace-relations-is-critical-to-unmaking-our-social-democracy" TargetMode="External"/><Relationship Id="rId20" Type="http://schemas.openxmlformats.org/officeDocument/2006/relationships/hyperlink" Target="https://www.imf.org/external/np/speeches/2014/052714.htm" TargetMode="External"/><Relationship Id="rId29" Type="http://schemas.openxmlformats.org/officeDocument/2006/relationships/hyperlink" Target="http://www.pc.gov.au/inquiries/current/workplace-relations/issues" TargetMode="External"/><Relationship Id="rId1" Type="http://schemas.openxmlformats.org/officeDocument/2006/relationships/hyperlink" Target="https://www.fwc.gov.au/registered-organisations/find-registered-organisations" TargetMode="External"/><Relationship Id="rId6" Type="http://schemas.openxmlformats.org/officeDocument/2006/relationships/hyperlink" Target="http://www.abs.gov.au/ausstats/abs@.nsf/mf/6401.0" TargetMode="External"/><Relationship Id="rId11" Type="http://schemas.openxmlformats.org/officeDocument/2006/relationships/hyperlink" Target="http://www.theguardian.com/business/grogonomics/2015/jan/28/inequality-should-be-at-the-forefront-of-a-debate-on-the-minimum-wage" TargetMode="External"/><Relationship Id="rId24" Type="http://schemas.openxmlformats.org/officeDocument/2006/relationships/hyperlink" Target="http://www.actu.org.au/Publications/EconomicBulletins/ACTUEconomicBulletinJuly2013.aspx" TargetMode="External"/><Relationship Id="rId5" Type="http://schemas.openxmlformats.org/officeDocument/2006/relationships/hyperlink" Target="http://www.abs.gov.au/ausstats/abs@.nsf/mf/6345.0" TargetMode="External"/><Relationship Id="rId15" Type="http://schemas.openxmlformats.org/officeDocument/2006/relationships/hyperlink" Target="http://www.theaustralian.com.au/archive/national-affairs/creating-great-workplaces/story-fng387xs-1226504182811" TargetMode="External"/><Relationship Id="rId23" Type="http://schemas.openxmlformats.org/officeDocument/2006/relationships/hyperlink" Target="http://www.theguardian.com/commentisfree/2014/dec/22/the-liberals-review-of-workplace-relations-is-critical-to-unmaking-our-social-democracy" TargetMode="External"/><Relationship Id="rId28" Type="http://schemas.openxmlformats.org/officeDocument/2006/relationships/hyperlink" Target="http://www.miningaustralia.com.au/features/individual-contracts-come-back-but-don-t-mention-t" TargetMode="External"/><Relationship Id="rId10" Type="http://schemas.openxmlformats.org/officeDocument/2006/relationships/hyperlink" Target="http://makingchangeatwalmart.org/about/" TargetMode="External"/><Relationship Id="rId19" Type="http://schemas.openxmlformats.org/officeDocument/2006/relationships/hyperlink" Target="https://www.oxfam.org.au/wp-content/uploads/2014/06/2014-66-g20-report_fa_web-2.pdf" TargetMode="External"/><Relationship Id="rId31" Type="http://schemas.openxmlformats.org/officeDocument/2006/relationships/hyperlink" Target="https://www.fwc.gov.au/creating-fair-workplaces/commission-engagement-strategy/international-engagement/resources" TargetMode="External"/><Relationship Id="rId4" Type="http://schemas.openxmlformats.org/officeDocument/2006/relationships/hyperlink" Target="http://stats.oecd.org/Index.aspx?DataSetCode=ULC_EEQ" TargetMode="External"/><Relationship Id="rId9" Type="http://schemas.openxmlformats.org/officeDocument/2006/relationships/hyperlink" Target="http://www.ituc-csi.org/IMG/pdf/survey_ra_2014_eng_v2.pdf" TargetMode="External"/><Relationship Id="rId14" Type="http://schemas.openxmlformats.org/officeDocument/2006/relationships/hyperlink" Target="http://www.actu.org.au/Images/Dynamic/attachments/7852/Shrinking%20Slice%20of%20the%20Pie%202013%20Final.pdf" TargetMode="External"/><Relationship Id="rId22" Type="http://schemas.openxmlformats.org/officeDocument/2006/relationships/hyperlink" Target="http://www.engageforsuccess.org/ideas-tools/employee-engagement-the-macleod-report/" TargetMode="External"/><Relationship Id="rId27" Type="http://schemas.openxmlformats.org/officeDocument/2006/relationships/hyperlink" Target="https://www.fwc.gov.au/documents/documents/IFA.pdf" TargetMode="External"/><Relationship Id="rId30" Type="http://schemas.openxmlformats.org/officeDocument/2006/relationships/hyperlink" Target="http://www.aph.gov.au/About_Parliament/Parliamentary_Departments/Parliamentary_Library/pubs/rp/RP0708/08rp33"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Workbook3"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latin typeface="Times New Roman"/>
                <a:cs typeface="Times New Roman"/>
              </a:rPr>
              <a:t>Working days lost due to Industrial</a:t>
            </a:r>
            <a:r>
              <a:rPr lang="en-US" baseline="0">
                <a:latin typeface="Times New Roman"/>
                <a:cs typeface="Times New Roman"/>
              </a:rPr>
              <a:t> Activity 1983 - 2014</a:t>
            </a:r>
            <a:endParaRPr lang="en-US">
              <a:latin typeface="Times New Roman"/>
              <a:cs typeface="Times New Roman"/>
            </a:endParaRPr>
          </a:p>
        </c:rich>
      </c:tx>
      <c:overlay val="0"/>
    </c:title>
    <c:autoTitleDeleted val="0"/>
    <c:plotArea>
      <c:layout/>
      <c:scatterChart>
        <c:scatterStyle val="lineMarker"/>
        <c:varyColors val="0"/>
        <c:ser>
          <c:idx val="0"/>
          <c:order val="0"/>
          <c:tx>
            <c:strRef>
              <c:f>Sheet1!$G$39</c:f>
              <c:strCache>
                <c:ptCount val="1"/>
                <c:pt idx="0">
                  <c:v>Days lost due to industrial disputes</c:v>
                </c:pt>
              </c:strCache>
            </c:strRef>
          </c:tx>
          <c:marker>
            <c:symbol val="none"/>
          </c:marker>
          <c:trendline>
            <c:trendlineType val="linear"/>
            <c:dispRSqr val="0"/>
            <c:dispEq val="0"/>
          </c:trendline>
          <c:xVal>
            <c:numRef>
              <c:f>Sheet1!$F$40:$F$71</c:f>
              <c:numCache>
                <c:formatCode>0</c:formatCode>
                <c:ptCount val="32"/>
                <c:pt idx="0">
                  <c:v>1983</c:v>
                </c:pt>
                <c:pt idx="1">
                  <c:v>1984</c:v>
                </c:pt>
                <c:pt idx="2">
                  <c:v>1985</c:v>
                </c:pt>
                <c:pt idx="3">
                  <c:v>1986</c:v>
                </c:pt>
                <c:pt idx="4">
                  <c:v>1987</c:v>
                </c:pt>
                <c:pt idx="5">
                  <c:v>1988</c:v>
                </c:pt>
                <c:pt idx="6">
                  <c:v>1989</c:v>
                </c:pt>
                <c:pt idx="7">
                  <c:v>1990</c:v>
                </c:pt>
                <c:pt idx="8">
                  <c:v>1991</c:v>
                </c:pt>
                <c:pt idx="9">
                  <c:v>1992</c:v>
                </c:pt>
                <c:pt idx="10">
                  <c:v>1993</c:v>
                </c:pt>
                <c:pt idx="11">
                  <c:v>1994</c:v>
                </c:pt>
                <c:pt idx="12">
                  <c:v>1995</c:v>
                </c:pt>
                <c:pt idx="13">
                  <c:v>1996</c:v>
                </c:pt>
                <c:pt idx="14">
                  <c:v>1997</c:v>
                </c:pt>
                <c:pt idx="15">
                  <c:v>1998</c:v>
                </c:pt>
                <c:pt idx="16">
                  <c:v>1999</c:v>
                </c:pt>
                <c:pt idx="17">
                  <c:v>2000</c:v>
                </c:pt>
                <c:pt idx="18">
                  <c:v>2001</c:v>
                </c:pt>
                <c:pt idx="19">
                  <c:v>2002</c:v>
                </c:pt>
                <c:pt idx="20">
                  <c:v>2003</c:v>
                </c:pt>
                <c:pt idx="21">
                  <c:v>2004</c:v>
                </c:pt>
                <c:pt idx="22">
                  <c:v>2005</c:v>
                </c:pt>
                <c:pt idx="23">
                  <c:v>2006</c:v>
                </c:pt>
                <c:pt idx="24">
                  <c:v>2007</c:v>
                </c:pt>
                <c:pt idx="25">
                  <c:v>2008</c:v>
                </c:pt>
                <c:pt idx="26">
                  <c:v>2009</c:v>
                </c:pt>
                <c:pt idx="27">
                  <c:v>2010</c:v>
                </c:pt>
                <c:pt idx="28">
                  <c:v>2011</c:v>
                </c:pt>
                <c:pt idx="29">
                  <c:v>2012</c:v>
                </c:pt>
                <c:pt idx="30">
                  <c:v>2013</c:v>
                </c:pt>
                <c:pt idx="31">
                  <c:v>2014</c:v>
                </c:pt>
              </c:numCache>
            </c:numRef>
          </c:xVal>
          <c:yVal>
            <c:numRef>
              <c:f>Sheet1!$G$40:$G$71</c:f>
              <c:numCache>
                <c:formatCode>General</c:formatCode>
                <c:ptCount val="32"/>
                <c:pt idx="0">
                  <c:v>1691900</c:v>
                </c:pt>
                <c:pt idx="1">
                  <c:v>1252200</c:v>
                </c:pt>
                <c:pt idx="2">
                  <c:v>1303900</c:v>
                </c:pt>
                <c:pt idx="3">
                  <c:v>1366200</c:v>
                </c:pt>
                <c:pt idx="4">
                  <c:v>1209500</c:v>
                </c:pt>
                <c:pt idx="5">
                  <c:v>1713700</c:v>
                </c:pt>
                <c:pt idx="6">
                  <c:v>1219800</c:v>
                </c:pt>
                <c:pt idx="7">
                  <c:v>1420300</c:v>
                </c:pt>
                <c:pt idx="8">
                  <c:v>1623100</c:v>
                </c:pt>
                <c:pt idx="9">
                  <c:v>943000</c:v>
                </c:pt>
                <c:pt idx="10">
                  <c:v>587300</c:v>
                </c:pt>
                <c:pt idx="11">
                  <c:v>514800</c:v>
                </c:pt>
                <c:pt idx="12">
                  <c:v>556700</c:v>
                </c:pt>
                <c:pt idx="13">
                  <c:v>931400</c:v>
                </c:pt>
                <c:pt idx="14">
                  <c:v>445300</c:v>
                </c:pt>
                <c:pt idx="15">
                  <c:v>612900</c:v>
                </c:pt>
                <c:pt idx="16">
                  <c:v>645700</c:v>
                </c:pt>
                <c:pt idx="17">
                  <c:v>460000</c:v>
                </c:pt>
                <c:pt idx="18">
                  <c:v>381500</c:v>
                </c:pt>
                <c:pt idx="19">
                  <c:v>247800</c:v>
                </c:pt>
                <c:pt idx="20">
                  <c:v>439400</c:v>
                </c:pt>
                <c:pt idx="21">
                  <c:v>379800</c:v>
                </c:pt>
                <c:pt idx="22">
                  <c:v>228300</c:v>
                </c:pt>
                <c:pt idx="23">
                  <c:v>132600</c:v>
                </c:pt>
                <c:pt idx="24">
                  <c:v>49700</c:v>
                </c:pt>
                <c:pt idx="25">
                  <c:v>196500</c:v>
                </c:pt>
                <c:pt idx="26">
                  <c:v>132700</c:v>
                </c:pt>
                <c:pt idx="27">
                  <c:v>126600</c:v>
                </c:pt>
                <c:pt idx="28">
                  <c:v>241500</c:v>
                </c:pt>
                <c:pt idx="29">
                  <c:v>273200</c:v>
                </c:pt>
                <c:pt idx="30">
                  <c:v>131000</c:v>
                </c:pt>
                <c:pt idx="31">
                  <c:v>90600</c:v>
                </c:pt>
              </c:numCache>
            </c:numRef>
          </c:yVal>
          <c:smooth val="0"/>
        </c:ser>
        <c:dLbls>
          <c:showLegendKey val="0"/>
          <c:showVal val="0"/>
          <c:showCatName val="0"/>
          <c:showSerName val="0"/>
          <c:showPercent val="0"/>
          <c:showBubbleSize val="0"/>
        </c:dLbls>
        <c:axId val="78429184"/>
        <c:axId val="86009728"/>
      </c:scatterChart>
      <c:valAx>
        <c:axId val="78429184"/>
        <c:scaling>
          <c:orientation val="minMax"/>
          <c:max val="2014"/>
          <c:min val="1983"/>
        </c:scaling>
        <c:delete val="0"/>
        <c:axPos val="b"/>
        <c:numFmt formatCode="0" sourceLinked="1"/>
        <c:majorTickMark val="out"/>
        <c:minorTickMark val="none"/>
        <c:tickLblPos val="nextTo"/>
        <c:txPr>
          <a:bodyPr rot="-4200000" vert="horz"/>
          <a:lstStyle/>
          <a:p>
            <a:pPr>
              <a:defRPr/>
            </a:pPr>
            <a:endParaRPr lang="en-US"/>
          </a:p>
        </c:txPr>
        <c:crossAx val="86009728"/>
        <c:crosses val="autoZero"/>
        <c:crossBetween val="midCat"/>
        <c:majorUnit val="2"/>
      </c:valAx>
      <c:valAx>
        <c:axId val="86009728"/>
        <c:scaling>
          <c:orientation val="minMax"/>
          <c:min val="0"/>
        </c:scaling>
        <c:delete val="0"/>
        <c:axPos val="l"/>
        <c:majorGridlines/>
        <c:numFmt formatCode="General" sourceLinked="1"/>
        <c:majorTickMark val="out"/>
        <c:minorTickMark val="none"/>
        <c:tickLblPos val="nextTo"/>
        <c:crossAx val="78429184"/>
        <c:crosses val="autoZero"/>
        <c:crossBetween val="midCat"/>
        <c:majorUnit val="200000"/>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7BB36CC35A97294094BC1A2ACF2426B4" ma:contentTypeVersion="0" ma:contentTypeDescription="" ma:contentTypeScope="" ma:versionID="cedbe9661cce4a3e69c965b7d474a555">
  <xsd:schema xmlns:xsd="http://www.w3.org/2001/XMLSchema" xmlns:xs="http://www.w3.org/2001/XMLSchema" xmlns:p="http://schemas.microsoft.com/office/2006/metadata/properties" targetNamespace="http://schemas.microsoft.com/office/2006/metadata/properties" ma:root="true" ma:fieldsID="3243a5b814b3e31d5e11590d7b9d41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B2875-1DCE-4561-B75A-A7E0B4943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61C028D-3C27-4B74-8920-F8C988F8BFF4}">
  <ds:schemaRefs>
    <ds:schemaRef ds:uri="http://schemas.microsoft.com/sharepoint/events"/>
  </ds:schemaRefs>
</ds:datastoreItem>
</file>

<file path=customXml/itemProps3.xml><?xml version="1.0" encoding="utf-8"?>
<ds:datastoreItem xmlns:ds="http://schemas.openxmlformats.org/officeDocument/2006/customXml" ds:itemID="{E46FED1D-931C-4DCD-9B0E-7329377D2A16}">
  <ds:schemaRefs>
    <ds:schemaRef ds:uri="http://schemas.microsoft.com/office/2006/metadata/customXsn"/>
  </ds:schemaRefs>
</ds:datastoreItem>
</file>

<file path=customXml/itemProps4.xml><?xml version="1.0" encoding="utf-8"?>
<ds:datastoreItem xmlns:ds="http://schemas.openxmlformats.org/officeDocument/2006/customXml" ds:itemID="{F764214D-77C3-476E-81A1-A0BB9285F44D}">
  <ds:schemaRefs>
    <ds:schemaRef ds:uri="http://schemas.microsoft.com/sharepoint/v3/contenttype/forms"/>
  </ds:schemaRefs>
</ds:datastoreItem>
</file>

<file path=customXml/itemProps5.xml><?xml version="1.0" encoding="utf-8"?>
<ds:datastoreItem xmlns:ds="http://schemas.openxmlformats.org/officeDocument/2006/customXml" ds:itemID="{90A75B7A-A2CA-41E6-AB4D-22C6A78F3B4E}">
  <ds:schemaRefs>
    <ds:schemaRef ds:uri="http://www.w3.org/XML/1998/namespace"/>
    <ds:schemaRef ds:uri="http://schemas.microsoft.com/office/infopath/2007/PartnerControls"/>
    <ds:schemaRef ds:uri="http://schemas.microsoft.com/office/2006/documentManagement/types"/>
    <ds:schemaRef ds:uri="http://purl.org/dc/dcmitype/"/>
    <ds:schemaRef ds:uri="http://purl.org/dc/elements/1.1/"/>
    <ds:schemaRef ds:uri="http://schemas.openxmlformats.org/package/2006/metadata/core-properties"/>
    <ds:schemaRef ds:uri="http://purl.org/dc/terms/"/>
    <ds:schemaRef ds:uri="http://schemas.microsoft.com/office/2006/metadata/properties"/>
  </ds:schemaRefs>
</ds:datastoreItem>
</file>

<file path=customXml/itemProps6.xml><?xml version="1.0" encoding="utf-8"?>
<ds:datastoreItem xmlns:ds="http://schemas.openxmlformats.org/officeDocument/2006/customXml" ds:itemID="{097605E7-0D25-4D2B-B5A2-C28B90D7C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48</Pages>
  <Words>10090</Words>
  <Characters>54387</Characters>
  <Application>Microsoft Office Word</Application>
  <DocSecurity>0</DocSecurity>
  <Lines>1394</Lines>
  <Paragraphs>447</Paragraphs>
  <ScaleCrop>false</ScaleCrop>
  <HeadingPairs>
    <vt:vector size="2" baseType="variant">
      <vt:variant>
        <vt:lpstr>Title</vt:lpstr>
      </vt:variant>
      <vt:variant>
        <vt:i4>1</vt:i4>
      </vt:variant>
    </vt:vector>
  </HeadingPairs>
  <TitlesOfParts>
    <vt:vector size="1" baseType="lpstr">
      <vt:lpstr>Submission 74 - The Australian Workers' Union (AWU) - Workplace Relations Framework - Public inquiry</vt:lpstr>
    </vt:vector>
  </TitlesOfParts>
  <Company>The Australian Workers' Union (AWU)</Company>
  <LinksUpToDate>false</LinksUpToDate>
  <CharactersWithSpaces>64030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74 - The Australian Workers' Union (AWU) - Workplace Relations Framework - Public inquiry</dc:title>
  <dc:creator>The Australian Workers' Union (AWU)</dc:creator>
  <cp:lastModifiedBy>Productivity Commission</cp:lastModifiedBy>
  <cp:revision>4</cp:revision>
  <cp:lastPrinted>2015-03-12T01:36:00Z</cp:lastPrinted>
  <dcterms:created xsi:type="dcterms:W3CDTF">2015-03-19T00:54:00Z</dcterms:created>
  <dcterms:modified xsi:type="dcterms:W3CDTF">2015-03-19T03:45:00Z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0x01010066EDC8E18BFE9C418F00295EA55D44EA0015EE9FD84A134F42A8E78176E2093D44007BB36CC35A97294094BC1A2ACF2426B4</vt:lpwstr>
  </property>
  <property fmtid="{D5CDD505-2E9C-101B-9397-08002B2CF9AE}" pid="3" name="RecordPoint_WorkflowType">
    <vt:lpwstr/>
  </property>
  <property fmtid="{D5CDD505-2E9C-101B-9397-08002B2CF9AE}" pid="4" name="RecordPoint_ActiveItemSiteId">
    <vt:lpwstr/>
  </property>
  <property fmtid="{D5CDD505-2E9C-101B-9397-08002B2CF9AE}" pid="5" name="RecordPoint_ActiveItemListId">
    <vt:lpwstr/>
  </property>
  <property fmtid="{D5CDD505-2E9C-101B-9397-08002B2CF9AE}" pid="6" name="RecordPoint_ActiveItemUniqueId">
    <vt:lpwstr/>
  </property>
  <property fmtid="{D5CDD505-2E9C-101B-9397-08002B2CF9AE}" pid="7" name="RecordPoint_ActiveItemWebId">
    <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ActiveItemMoved">
    <vt:lpwstr/>
  </property>
  <property fmtid="{D5CDD505-2E9C-101B-9397-08002B2CF9AE}" pid="11" name="RecordPoint_RecordFormat">
    <vt:lpwstr/>
  </property>
  <property fmtid="{D5CDD505-2E9C-101B-9397-08002B2CF9AE}" pid="12" name="RecordPoint_SubmissionCompleted">
    <vt:lpwstr/>
  </property>
</Properties>
</file>