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7C" w:rsidRDefault="00D3537C" w:rsidP="00EC1BA5">
      <w:pPr>
        <w:spacing w:after="0"/>
        <w:rPr>
          <w:b/>
          <w:sz w:val="32"/>
          <w:szCs w:val="32"/>
          <w:lang w:val="en-US"/>
        </w:rPr>
      </w:pPr>
      <w:bookmarkStart w:id="0" w:name="_GoBack"/>
      <w:bookmarkEnd w:id="0"/>
    </w:p>
    <w:p w:rsidR="00D3537C" w:rsidRPr="009F4851" w:rsidRDefault="00D3537C" w:rsidP="00D3537C">
      <w:pPr>
        <w:spacing w:after="0" w:line="240" w:lineRule="auto"/>
        <w:rPr>
          <w:rFonts w:ascii="Times New Roman" w:eastAsia="Times New Roman" w:hAnsi="Times New Roman" w:cs="Times New Roman"/>
          <w:sz w:val="24"/>
          <w:szCs w:val="24"/>
          <w:lang w:eastAsia="en-GB"/>
        </w:rPr>
      </w:pPr>
      <w:r w:rsidRPr="009F4851">
        <w:rPr>
          <w:rFonts w:ascii="Arial" w:eastAsia="Times New Roman" w:hAnsi="Arial" w:cs="Arial"/>
          <w:b/>
          <w:noProof/>
          <w:sz w:val="24"/>
          <w:szCs w:val="24"/>
          <w:u w:val="single"/>
          <w:lang w:eastAsia="en-AU"/>
        </w:rPr>
        <w:drawing>
          <wp:anchor distT="0" distB="0" distL="114300" distR="114300" simplePos="0" relativeHeight="251659264" behindDoc="0" locked="0" layoutInCell="1" allowOverlap="1" wp14:anchorId="734D0D07" wp14:editId="6DF9B675">
            <wp:simplePos x="0" y="0"/>
            <wp:positionH relativeFrom="column">
              <wp:posOffset>-191135</wp:posOffset>
            </wp:positionH>
            <wp:positionV relativeFrom="paragraph">
              <wp:posOffset>-278130</wp:posOffset>
            </wp:positionV>
            <wp:extent cx="1129665" cy="14630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66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37C" w:rsidRPr="009F4851" w:rsidRDefault="00D3537C" w:rsidP="00D3537C">
      <w:pPr>
        <w:spacing w:after="0" w:line="240" w:lineRule="auto"/>
        <w:rPr>
          <w:rFonts w:ascii="Arial" w:eastAsia="Times New Roman" w:hAnsi="Arial" w:cs="Arial"/>
          <w:b/>
          <w:sz w:val="24"/>
          <w:szCs w:val="24"/>
          <w:u w:val="single"/>
          <w:lang w:eastAsia="en-GB"/>
        </w:rPr>
      </w:pPr>
    </w:p>
    <w:p w:rsidR="00D3537C" w:rsidRPr="009F4851" w:rsidRDefault="00D3537C" w:rsidP="00D3537C">
      <w:pPr>
        <w:spacing w:after="0" w:line="240" w:lineRule="auto"/>
        <w:rPr>
          <w:rFonts w:ascii="Arial" w:eastAsia="Times New Roman" w:hAnsi="Arial" w:cs="Arial"/>
          <w:b/>
          <w:sz w:val="24"/>
          <w:szCs w:val="24"/>
          <w:u w:val="single"/>
          <w:lang w:eastAsia="en-GB"/>
        </w:rPr>
      </w:pPr>
    </w:p>
    <w:p w:rsidR="00D3537C" w:rsidRPr="009F4851" w:rsidRDefault="00FE11B2" w:rsidP="00D3537C">
      <w:pPr>
        <w:spacing w:after="0" w:line="240" w:lineRule="auto"/>
        <w:jc w:val="right"/>
        <w:outlineLvl w:val="0"/>
        <w:rPr>
          <w:rFonts w:ascii="Arial" w:eastAsia="Times New Roman" w:hAnsi="Arial" w:cs="Arial"/>
          <w:b/>
          <w:sz w:val="24"/>
          <w:szCs w:val="24"/>
          <w:u w:val="single"/>
          <w:lang w:eastAsia="en-GB"/>
        </w:rPr>
      </w:pPr>
      <w:r>
        <w:rPr>
          <w:rFonts w:ascii="Times New Roman" w:eastAsia="Times New Roman" w:hAnsi="Times New Roman" w:cstheme="minorHAnsi"/>
          <w:b/>
          <w:sz w:val="24"/>
          <w:szCs w:val="24"/>
          <w:u w:val="single"/>
          <w:lang w:eastAsia="en-GB"/>
        </w:rPr>
        <w:t xml:space="preserve">                                                    </w:t>
      </w:r>
      <w:r w:rsidR="00D3537C" w:rsidRPr="009F4851">
        <w:rPr>
          <w:rFonts w:ascii="Times New Roman" w:eastAsia="Times New Roman" w:hAnsi="Times New Roman" w:cstheme="minorHAnsi"/>
          <w:b/>
          <w:sz w:val="24"/>
          <w:szCs w:val="24"/>
          <w:u w:val="single"/>
          <w:lang w:eastAsia="en-GB"/>
        </w:rPr>
        <w:t xml:space="preserve"> </w:t>
      </w:r>
      <w:r w:rsidR="00D3537C" w:rsidRPr="009F4851">
        <w:rPr>
          <w:rFonts w:ascii="Arial" w:eastAsia="Times New Roman" w:hAnsi="Arial" w:cs="Arial"/>
          <w:b/>
          <w:sz w:val="24"/>
          <w:szCs w:val="24"/>
          <w:u w:val="single"/>
          <w:lang w:eastAsia="en-GB"/>
        </w:rPr>
        <w:t>Community and Public Sector Union</w:t>
      </w:r>
    </w:p>
    <w:p w:rsidR="00D3537C" w:rsidRDefault="0013488C" w:rsidP="00D3537C">
      <w:pPr>
        <w:tabs>
          <w:tab w:val="center" w:pos="4513"/>
          <w:tab w:val="left" w:pos="6156"/>
          <w:tab w:val="right" w:pos="9026"/>
        </w:tabs>
        <w:spacing w:after="0" w:line="240" w:lineRule="auto"/>
        <w:jc w:val="right"/>
        <w:outlineLvl w:val="0"/>
        <w:rPr>
          <w:rFonts w:ascii="Arial" w:eastAsia="Times New Roman" w:hAnsi="Arial" w:cs="Arial"/>
          <w:lang w:eastAsia="en-GB"/>
        </w:rPr>
      </w:pPr>
      <w:r>
        <w:rPr>
          <w:rFonts w:ascii="Arial" w:eastAsia="Times New Roman" w:hAnsi="Arial" w:cs="Arial"/>
          <w:lang w:eastAsia="en-GB"/>
        </w:rPr>
        <w:t xml:space="preserve">Nadine Flood </w:t>
      </w:r>
      <w:r w:rsidR="00D3537C">
        <w:rPr>
          <w:rFonts w:ascii="Arial" w:eastAsia="Times New Roman" w:hAnsi="Arial" w:cs="Arial"/>
          <w:lang w:eastAsia="en-GB"/>
        </w:rPr>
        <w:t xml:space="preserve">– </w:t>
      </w:r>
      <w:r>
        <w:rPr>
          <w:rFonts w:ascii="Arial" w:eastAsia="Times New Roman" w:hAnsi="Arial" w:cs="Arial"/>
          <w:lang w:eastAsia="en-GB"/>
        </w:rPr>
        <w:t>National Secretary</w:t>
      </w:r>
      <w:r w:rsidR="00D3537C">
        <w:rPr>
          <w:rFonts w:ascii="Arial" w:eastAsia="Times New Roman" w:hAnsi="Arial" w:cs="Arial"/>
          <w:lang w:eastAsia="en-GB"/>
        </w:rPr>
        <w:t xml:space="preserve"> </w:t>
      </w:r>
    </w:p>
    <w:p w:rsidR="00D3537C" w:rsidRPr="009F4851" w:rsidRDefault="00D3537C" w:rsidP="00D3537C">
      <w:pPr>
        <w:tabs>
          <w:tab w:val="center" w:pos="4513"/>
          <w:tab w:val="left" w:pos="6156"/>
          <w:tab w:val="right" w:pos="9026"/>
        </w:tabs>
        <w:spacing w:after="0" w:line="240" w:lineRule="auto"/>
        <w:jc w:val="center"/>
        <w:outlineLvl w:val="0"/>
        <w:rPr>
          <w:rFonts w:ascii="Arial" w:eastAsia="Times New Roman" w:hAnsi="Arial" w:cs="Arial"/>
          <w:lang w:eastAsia="en-GB"/>
        </w:rPr>
      </w:pPr>
    </w:p>
    <w:p w:rsidR="00D3537C" w:rsidRPr="009F4851" w:rsidRDefault="00D3537C" w:rsidP="00D3537C">
      <w:pPr>
        <w:spacing w:after="0" w:line="240" w:lineRule="auto"/>
        <w:rPr>
          <w:rFonts w:ascii="Times New Roman" w:eastAsia="Times New Roman" w:hAnsi="Times New Roman" w:cstheme="minorHAnsi"/>
          <w:color w:val="000080"/>
          <w:sz w:val="24"/>
          <w:szCs w:val="24"/>
          <w:lang w:val="en-US" w:eastAsia="en-GB"/>
        </w:rPr>
      </w:pPr>
    </w:p>
    <w:p w:rsidR="00D3537C" w:rsidRPr="009F4851" w:rsidRDefault="00D3537C" w:rsidP="00D3537C">
      <w:pPr>
        <w:spacing w:after="0" w:line="240" w:lineRule="auto"/>
        <w:rPr>
          <w:rFonts w:ascii="Times New Roman" w:eastAsia="Times New Roman" w:hAnsi="Times New Roman" w:cstheme="minorHAnsi"/>
          <w:sz w:val="24"/>
          <w:szCs w:val="24"/>
          <w:lang w:eastAsia="en-GB"/>
        </w:rPr>
      </w:pPr>
      <w:r w:rsidRPr="009F4851">
        <w:rPr>
          <w:rFonts w:ascii="Times New Roman" w:eastAsia="Times New Roman" w:hAnsi="Times New Roman" w:cstheme="minorHAnsi"/>
          <w:sz w:val="24"/>
          <w:szCs w:val="24"/>
          <w:lang w:eastAsia="en-GB"/>
        </w:rPr>
        <w:br/>
      </w:r>
      <w:r w:rsidR="00FF64FF">
        <w:rPr>
          <w:rFonts w:ascii="Times New Roman" w:eastAsia="Times New Roman" w:hAnsi="Times New Roman" w:cstheme="minorHAnsi"/>
          <w:sz w:val="24"/>
          <w:szCs w:val="24"/>
          <w:lang w:eastAsia="en-GB"/>
        </w:rPr>
        <w:t xml:space="preserve"> </w:t>
      </w:r>
    </w:p>
    <w:p w:rsidR="00D3537C" w:rsidRPr="009F4851" w:rsidRDefault="00D3537C" w:rsidP="00D3537C">
      <w:pPr>
        <w:spacing w:after="0" w:line="240" w:lineRule="auto"/>
        <w:rPr>
          <w:rFonts w:ascii="Times New Roman" w:eastAsia="Times New Roman" w:hAnsi="Times New Roman" w:cstheme="minorHAnsi"/>
          <w:sz w:val="24"/>
          <w:szCs w:val="24"/>
          <w:lang w:eastAsia="en-GB"/>
        </w:rPr>
      </w:pPr>
    </w:p>
    <w:p w:rsidR="00D3537C" w:rsidRPr="009F4851" w:rsidRDefault="00D3537C" w:rsidP="00D3537C">
      <w:pPr>
        <w:spacing w:after="0" w:line="240" w:lineRule="auto"/>
        <w:rPr>
          <w:rFonts w:ascii="Times New Roman" w:eastAsia="Times New Roman" w:hAnsi="Times New Roman" w:cstheme="minorHAnsi"/>
          <w:sz w:val="24"/>
          <w:szCs w:val="24"/>
          <w:lang w:eastAsia="en-GB"/>
        </w:rPr>
      </w:pPr>
    </w:p>
    <w:p w:rsidR="0013488C" w:rsidRPr="0013488C" w:rsidRDefault="0013488C">
      <w:pPr>
        <w:spacing w:after="0" w:line="240" w:lineRule="auto"/>
        <w:rPr>
          <w:rFonts w:ascii="Arial" w:eastAsia="Times New Roman" w:hAnsi="Arial" w:cs="Arial"/>
          <w:sz w:val="24"/>
          <w:szCs w:val="24"/>
          <w:lang w:eastAsia="en-GB"/>
        </w:rPr>
      </w:pPr>
      <w:r w:rsidRPr="0013488C">
        <w:rPr>
          <w:rFonts w:ascii="Arial" w:eastAsia="Times New Roman" w:hAnsi="Arial" w:cs="Arial"/>
          <w:sz w:val="24"/>
          <w:szCs w:val="24"/>
          <w:lang w:eastAsia="en-GB"/>
        </w:rPr>
        <w:t>Workplace Relations Framework</w:t>
      </w:r>
    </w:p>
    <w:p w:rsidR="0013488C" w:rsidRPr="0013488C" w:rsidRDefault="0013488C">
      <w:pPr>
        <w:spacing w:after="0" w:line="240" w:lineRule="auto"/>
        <w:rPr>
          <w:rFonts w:ascii="Arial" w:eastAsia="Times New Roman" w:hAnsi="Arial" w:cs="Arial"/>
          <w:sz w:val="24"/>
          <w:szCs w:val="24"/>
          <w:lang w:eastAsia="en-GB"/>
        </w:rPr>
      </w:pPr>
      <w:r w:rsidRPr="0013488C">
        <w:rPr>
          <w:rFonts w:ascii="Arial" w:eastAsia="Times New Roman" w:hAnsi="Arial" w:cs="Arial"/>
          <w:sz w:val="24"/>
          <w:szCs w:val="24"/>
          <w:lang w:eastAsia="en-GB"/>
        </w:rPr>
        <w:t>Productivity Commission</w:t>
      </w:r>
    </w:p>
    <w:p w:rsidR="0013488C" w:rsidRPr="0013488C" w:rsidRDefault="0013488C">
      <w:pPr>
        <w:spacing w:after="0" w:line="240" w:lineRule="auto"/>
        <w:rPr>
          <w:rFonts w:ascii="Arial" w:eastAsia="Times New Roman" w:hAnsi="Arial" w:cs="Arial"/>
          <w:sz w:val="24"/>
          <w:szCs w:val="24"/>
          <w:lang w:eastAsia="en-GB"/>
        </w:rPr>
      </w:pPr>
      <w:r w:rsidRPr="0013488C">
        <w:rPr>
          <w:rFonts w:ascii="Arial" w:eastAsia="Times New Roman" w:hAnsi="Arial" w:cs="Arial"/>
          <w:sz w:val="24"/>
          <w:szCs w:val="24"/>
          <w:lang w:eastAsia="en-GB"/>
        </w:rPr>
        <w:t>GPO Box 1428</w:t>
      </w:r>
    </w:p>
    <w:p w:rsidR="00D3537C" w:rsidRPr="0013488C" w:rsidRDefault="0013488C">
      <w:pPr>
        <w:spacing w:after="0" w:line="240" w:lineRule="auto"/>
        <w:rPr>
          <w:rFonts w:ascii="Arial" w:eastAsia="Times New Roman" w:hAnsi="Arial" w:cs="Arial"/>
          <w:sz w:val="24"/>
          <w:szCs w:val="24"/>
          <w:lang w:eastAsia="en-GB"/>
        </w:rPr>
      </w:pPr>
      <w:r w:rsidRPr="0013488C">
        <w:rPr>
          <w:rFonts w:ascii="Arial" w:eastAsia="Times New Roman" w:hAnsi="Arial" w:cs="Arial"/>
          <w:sz w:val="24"/>
          <w:szCs w:val="24"/>
          <w:lang w:eastAsia="en-GB"/>
        </w:rPr>
        <w:t>Canberra City ACT 2601</w:t>
      </w:r>
      <w:r w:rsidR="00D3537C" w:rsidRPr="0013488C">
        <w:rPr>
          <w:rFonts w:ascii="Arial" w:eastAsia="Times New Roman" w:hAnsi="Arial" w:cs="Arial"/>
          <w:sz w:val="24"/>
          <w:szCs w:val="24"/>
          <w:lang w:eastAsia="en-GB"/>
        </w:rPr>
        <w:t xml:space="preserve"> </w:t>
      </w:r>
    </w:p>
    <w:p w:rsidR="00D3537C" w:rsidRPr="0013488C" w:rsidRDefault="00D3537C">
      <w:pPr>
        <w:spacing w:after="0" w:line="240" w:lineRule="auto"/>
        <w:rPr>
          <w:rFonts w:ascii="Arial" w:eastAsia="Times New Roman" w:hAnsi="Arial" w:cs="Arial"/>
          <w:sz w:val="24"/>
          <w:szCs w:val="24"/>
          <w:lang w:eastAsia="en-GB"/>
        </w:rPr>
      </w:pPr>
    </w:p>
    <w:p w:rsidR="0013488C" w:rsidRPr="0013488C" w:rsidRDefault="0013488C">
      <w:pPr>
        <w:spacing w:after="0" w:line="240" w:lineRule="auto"/>
        <w:rPr>
          <w:rFonts w:ascii="Arial" w:eastAsia="Times New Roman" w:hAnsi="Arial" w:cs="Arial"/>
          <w:sz w:val="24"/>
          <w:szCs w:val="24"/>
          <w:lang w:eastAsia="en-GB"/>
        </w:rPr>
      </w:pPr>
      <w:r w:rsidRPr="0013488C">
        <w:rPr>
          <w:rFonts w:ascii="Arial" w:eastAsia="Times New Roman" w:hAnsi="Arial" w:cs="Arial"/>
          <w:sz w:val="24"/>
          <w:szCs w:val="24"/>
          <w:lang w:eastAsia="en-GB"/>
        </w:rPr>
        <w:t xml:space="preserve">Email: </w:t>
      </w:r>
      <w:hyperlink r:id="rId16" w:history="1">
        <w:r w:rsidR="00836F71" w:rsidRPr="008A7EAD">
          <w:rPr>
            <w:rStyle w:val="Hyperlink"/>
            <w:rFonts w:ascii="Arial" w:hAnsi="Arial" w:cs="Arial"/>
            <w:spacing w:val="7"/>
            <w:sz w:val="24"/>
            <w:szCs w:val="24"/>
          </w:rPr>
          <w:t>workplace.relations@pc.gov.au</w:t>
        </w:r>
      </w:hyperlink>
    </w:p>
    <w:p w:rsidR="00D3537C" w:rsidRPr="0013488C" w:rsidRDefault="00D3537C">
      <w:pPr>
        <w:tabs>
          <w:tab w:val="left" w:pos="6433"/>
        </w:tabs>
        <w:spacing w:after="0" w:line="240" w:lineRule="auto"/>
        <w:rPr>
          <w:rFonts w:ascii="Arial" w:eastAsia="Times New Roman" w:hAnsi="Arial" w:cs="Arial"/>
          <w:sz w:val="24"/>
          <w:szCs w:val="24"/>
          <w:lang w:val="en-US" w:eastAsia="en-GB"/>
        </w:rPr>
      </w:pPr>
      <w:r w:rsidRPr="0013488C">
        <w:rPr>
          <w:rFonts w:ascii="Arial" w:eastAsia="Times New Roman" w:hAnsi="Arial" w:cs="Arial"/>
          <w:sz w:val="24"/>
          <w:szCs w:val="24"/>
          <w:lang w:val="en-US" w:eastAsia="en-GB"/>
        </w:rPr>
        <w:tab/>
      </w:r>
    </w:p>
    <w:p w:rsidR="00D3537C" w:rsidRPr="0013488C" w:rsidRDefault="007803FB">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20</w:t>
      </w:r>
      <w:r w:rsidR="00786A43">
        <w:rPr>
          <w:rFonts w:ascii="Arial" w:eastAsia="Times New Roman" w:hAnsi="Arial" w:cs="Arial"/>
          <w:sz w:val="24"/>
          <w:szCs w:val="24"/>
          <w:lang w:val="en-US" w:eastAsia="en-GB"/>
        </w:rPr>
        <w:t xml:space="preserve"> </w:t>
      </w:r>
      <w:r w:rsidR="0013488C" w:rsidRPr="0013488C">
        <w:rPr>
          <w:rFonts w:ascii="Arial" w:eastAsia="Times New Roman" w:hAnsi="Arial" w:cs="Arial"/>
          <w:sz w:val="24"/>
          <w:szCs w:val="24"/>
          <w:lang w:val="en-US" w:eastAsia="en-GB"/>
        </w:rPr>
        <w:t>March 2015</w:t>
      </w:r>
      <w:r w:rsidR="00D3537C" w:rsidRPr="0013488C">
        <w:rPr>
          <w:rFonts w:ascii="Arial" w:eastAsia="Times New Roman" w:hAnsi="Arial" w:cs="Arial"/>
          <w:sz w:val="24"/>
          <w:szCs w:val="24"/>
          <w:lang w:val="en-US" w:eastAsia="en-GB"/>
        </w:rPr>
        <w:t xml:space="preserve"> </w:t>
      </w:r>
    </w:p>
    <w:p w:rsidR="00D3537C" w:rsidRPr="0013488C" w:rsidRDefault="00D3537C">
      <w:pPr>
        <w:spacing w:after="0" w:line="240" w:lineRule="auto"/>
        <w:jc w:val="both"/>
        <w:outlineLvl w:val="0"/>
        <w:rPr>
          <w:rFonts w:ascii="Arial" w:eastAsia="Times New Roman" w:hAnsi="Arial" w:cs="Arial"/>
          <w:sz w:val="24"/>
          <w:szCs w:val="24"/>
          <w:lang w:eastAsia="en-GB"/>
        </w:rPr>
      </w:pPr>
    </w:p>
    <w:p w:rsidR="00D3537C" w:rsidRPr="0013488C" w:rsidRDefault="00D3537C">
      <w:pPr>
        <w:spacing w:after="0" w:line="240" w:lineRule="auto"/>
        <w:jc w:val="both"/>
        <w:outlineLvl w:val="0"/>
        <w:rPr>
          <w:rFonts w:ascii="Arial" w:eastAsia="Times New Roman" w:hAnsi="Arial" w:cs="Arial"/>
          <w:sz w:val="24"/>
          <w:szCs w:val="24"/>
          <w:lang w:eastAsia="en-GB"/>
        </w:rPr>
      </w:pPr>
    </w:p>
    <w:p w:rsidR="00D3537C" w:rsidRPr="0013488C" w:rsidRDefault="00D3537C">
      <w:pPr>
        <w:spacing w:after="0" w:line="240" w:lineRule="auto"/>
        <w:jc w:val="both"/>
        <w:outlineLvl w:val="0"/>
        <w:rPr>
          <w:rFonts w:ascii="Arial" w:eastAsia="Times New Roman" w:hAnsi="Arial" w:cs="Arial"/>
          <w:sz w:val="24"/>
          <w:szCs w:val="24"/>
          <w:lang w:eastAsia="en-GB"/>
        </w:rPr>
      </w:pPr>
      <w:r w:rsidRPr="0013488C">
        <w:rPr>
          <w:rFonts w:ascii="Arial" w:eastAsia="Times New Roman" w:hAnsi="Arial" w:cs="Arial"/>
          <w:sz w:val="24"/>
          <w:szCs w:val="24"/>
          <w:lang w:eastAsia="en-GB"/>
        </w:rPr>
        <w:t xml:space="preserve">Dear </w:t>
      </w:r>
      <w:r w:rsidR="0013488C" w:rsidRPr="0013488C">
        <w:rPr>
          <w:rFonts w:ascii="Arial" w:eastAsia="Times New Roman" w:hAnsi="Arial" w:cs="Arial"/>
          <w:sz w:val="24"/>
          <w:szCs w:val="24"/>
          <w:lang w:eastAsia="en-GB"/>
        </w:rPr>
        <w:t>Sir/Madam</w:t>
      </w:r>
    </w:p>
    <w:p w:rsidR="00D3537C" w:rsidRPr="0013488C" w:rsidRDefault="00D3537C" w:rsidP="008A7EAD">
      <w:pPr>
        <w:tabs>
          <w:tab w:val="left" w:pos="960"/>
        </w:tabs>
        <w:spacing w:after="0" w:line="240" w:lineRule="auto"/>
        <w:jc w:val="both"/>
        <w:outlineLvl w:val="0"/>
        <w:rPr>
          <w:rFonts w:ascii="Arial" w:eastAsia="Times New Roman" w:hAnsi="Arial" w:cs="Arial"/>
          <w:b/>
          <w:sz w:val="24"/>
          <w:szCs w:val="24"/>
          <w:lang w:eastAsia="en-GB"/>
        </w:rPr>
      </w:pPr>
    </w:p>
    <w:p w:rsidR="00D3537C" w:rsidRPr="0013488C" w:rsidRDefault="0013488C">
      <w:pPr>
        <w:spacing w:after="0" w:line="240" w:lineRule="auto"/>
        <w:jc w:val="both"/>
        <w:outlineLvl w:val="0"/>
        <w:rPr>
          <w:rFonts w:ascii="Arial" w:eastAsia="Times New Roman" w:hAnsi="Arial" w:cs="Arial"/>
          <w:b/>
          <w:sz w:val="24"/>
          <w:szCs w:val="24"/>
          <w:lang w:eastAsia="en-GB"/>
        </w:rPr>
      </w:pPr>
      <w:r w:rsidRPr="0013488C">
        <w:rPr>
          <w:rFonts w:ascii="Arial" w:eastAsia="Times New Roman" w:hAnsi="Arial" w:cs="Arial"/>
          <w:b/>
          <w:sz w:val="24"/>
          <w:szCs w:val="24"/>
          <w:lang w:eastAsia="en-GB"/>
        </w:rPr>
        <w:t>Workplace Relations Framework</w:t>
      </w:r>
    </w:p>
    <w:p w:rsidR="00D3537C" w:rsidRPr="0013488C" w:rsidRDefault="00D3537C">
      <w:pPr>
        <w:spacing w:after="0" w:line="240" w:lineRule="auto"/>
        <w:jc w:val="both"/>
        <w:outlineLvl w:val="0"/>
        <w:rPr>
          <w:rFonts w:ascii="Arial" w:eastAsia="Times New Roman" w:hAnsi="Arial" w:cs="Arial"/>
          <w:b/>
          <w:sz w:val="24"/>
          <w:szCs w:val="24"/>
          <w:lang w:eastAsia="en-GB"/>
        </w:rPr>
      </w:pPr>
    </w:p>
    <w:p w:rsidR="00D3537C" w:rsidRPr="0013488C" w:rsidRDefault="00D3537C">
      <w:pPr>
        <w:spacing w:after="0" w:line="240" w:lineRule="auto"/>
        <w:rPr>
          <w:rFonts w:ascii="Arial" w:eastAsia="Times New Roman" w:hAnsi="Arial" w:cs="Arial"/>
          <w:i/>
          <w:sz w:val="24"/>
          <w:szCs w:val="24"/>
          <w:lang w:eastAsia="en-GB"/>
        </w:rPr>
      </w:pPr>
      <w:r w:rsidRPr="0013488C">
        <w:rPr>
          <w:rFonts w:ascii="Arial" w:eastAsia="Times New Roman" w:hAnsi="Arial" w:cs="Arial"/>
          <w:sz w:val="24"/>
          <w:szCs w:val="24"/>
          <w:lang w:val="en-US" w:eastAsia="en-GB"/>
        </w:rPr>
        <w:t>Please find attached the submission from the Community and Public Sector Union (PSU Group) to the</w:t>
      </w:r>
      <w:r w:rsidR="0013488C" w:rsidRPr="0013488C">
        <w:rPr>
          <w:rFonts w:ascii="Arial" w:eastAsia="Times New Roman" w:hAnsi="Arial" w:cs="Arial"/>
          <w:sz w:val="24"/>
          <w:szCs w:val="24"/>
          <w:lang w:val="en-US" w:eastAsia="en-GB"/>
        </w:rPr>
        <w:t xml:space="preserve"> public inquiry into the</w:t>
      </w:r>
      <w:r w:rsidRPr="0013488C">
        <w:rPr>
          <w:rFonts w:ascii="Arial" w:eastAsia="Times New Roman" w:hAnsi="Arial" w:cs="Arial"/>
          <w:sz w:val="24"/>
          <w:szCs w:val="24"/>
          <w:lang w:val="en-US" w:eastAsia="en-GB"/>
        </w:rPr>
        <w:t xml:space="preserve"> </w:t>
      </w:r>
      <w:r w:rsidR="0013488C" w:rsidRPr="0013488C">
        <w:rPr>
          <w:rFonts w:ascii="Arial" w:eastAsia="Times New Roman" w:hAnsi="Arial" w:cs="Arial"/>
          <w:sz w:val="24"/>
          <w:szCs w:val="24"/>
          <w:lang w:val="en-US" w:eastAsia="en-GB"/>
        </w:rPr>
        <w:t>workplace relations framework.</w:t>
      </w:r>
    </w:p>
    <w:p w:rsidR="00D3537C" w:rsidRPr="0013488C" w:rsidRDefault="00D3537C">
      <w:pPr>
        <w:spacing w:after="0" w:line="240" w:lineRule="auto"/>
        <w:rPr>
          <w:rFonts w:ascii="Arial" w:eastAsia="Times New Roman" w:hAnsi="Arial" w:cs="Arial"/>
          <w:sz w:val="24"/>
          <w:szCs w:val="24"/>
          <w:lang w:val="en-US" w:eastAsia="en-GB"/>
        </w:rPr>
      </w:pPr>
    </w:p>
    <w:p w:rsidR="0013488C" w:rsidRPr="008A7EAD" w:rsidRDefault="0013488C">
      <w:pPr>
        <w:autoSpaceDE w:val="0"/>
        <w:autoSpaceDN w:val="0"/>
        <w:adjustRightInd w:val="0"/>
        <w:spacing w:after="0" w:line="240" w:lineRule="auto"/>
        <w:jc w:val="both"/>
        <w:rPr>
          <w:rFonts w:ascii="Arial" w:hAnsi="Arial" w:cs="Arial"/>
          <w:sz w:val="24"/>
          <w:szCs w:val="24"/>
        </w:rPr>
      </w:pPr>
      <w:r w:rsidRPr="008A7EAD">
        <w:rPr>
          <w:rFonts w:ascii="Arial" w:hAnsi="Arial" w:cs="Arial"/>
          <w:sz w:val="24"/>
          <w:szCs w:val="24"/>
        </w:rPr>
        <w:t xml:space="preserve">For further information please contact </w:t>
      </w:r>
      <w:r w:rsidRPr="0013488C">
        <w:rPr>
          <w:rFonts w:ascii="Arial" w:hAnsi="Arial" w:cs="Arial"/>
          <w:sz w:val="24"/>
          <w:szCs w:val="24"/>
        </w:rPr>
        <w:t>Rebecca Fawcett</w:t>
      </w:r>
      <w:r w:rsidRPr="008A7EAD">
        <w:rPr>
          <w:rFonts w:ascii="Arial" w:hAnsi="Arial" w:cs="Arial"/>
          <w:sz w:val="24"/>
          <w:szCs w:val="24"/>
        </w:rPr>
        <w:t xml:space="preserve">, </w:t>
      </w:r>
      <w:r w:rsidRPr="0013488C">
        <w:rPr>
          <w:rFonts w:ascii="Arial" w:hAnsi="Arial" w:cs="Arial"/>
          <w:sz w:val="24"/>
          <w:szCs w:val="24"/>
        </w:rPr>
        <w:t>A</w:t>
      </w:r>
      <w:r w:rsidR="00E40612">
        <w:rPr>
          <w:rFonts w:ascii="Arial" w:hAnsi="Arial" w:cs="Arial"/>
          <w:sz w:val="24"/>
          <w:szCs w:val="24"/>
        </w:rPr>
        <w:t>cting</w:t>
      </w:r>
      <w:r w:rsidRPr="0013488C">
        <w:rPr>
          <w:rFonts w:ascii="Arial" w:hAnsi="Arial" w:cs="Arial"/>
          <w:sz w:val="24"/>
          <w:szCs w:val="24"/>
        </w:rPr>
        <w:t xml:space="preserve"> </w:t>
      </w:r>
      <w:r w:rsidRPr="008A7EAD">
        <w:rPr>
          <w:rFonts w:ascii="Arial" w:hAnsi="Arial" w:cs="Arial"/>
          <w:sz w:val="24"/>
          <w:szCs w:val="24"/>
        </w:rPr>
        <w:t xml:space="preserve">Director of </w:t>
      </w:r>
      <w:r w:rsidRPr="008A7EAD">
        <w:rPr>
          <w:rFonts w:ascii="Arial" w:hAnsi="Arial" w:cs="Arial"/>
          <w:sz w:val="24"/>
          <w:szCs w:val="24"/>
          <w:lang w:eastAsia="en-AU"/>
        </w:rPr>
        <w:t>Legal</w:t>
      </w:r>
      <w:r w:rsidR="00E40612">
        <w:rPr>
          <w:rFonts w:ascii="Arial" w:hAnsi="Arial" w:cs="Arial"/>
          <w:sz w:val="24"/>
          <w:szCs w:val="24"/>
          <w:lang w:eastAsia="en-AU"/>
        </w:rPr>
        <w:t xml:space="preserve"> and Industrial</w:t>
      </w:r>
      <w:r w:rsidRPr="008A7EAD">
        <w:rPr>
          <w:rFonts w:ascii="Arial" w:hAnsi="Arial" w:cs="Arial"/>
          <w:sz w:val="24"/>
          <w:szCs w:val="24"/>
          <w:lang w:eastAsia="en-AU"/>
        </w:rPr>
        <w:t xml:space="preserve"> </w:t>
      </w:r>
      <w:r w:rsidRPr="008A7EAD">
        <w:rPr>
          <w:rFonts w:ascii="Arial" w:hAnsi="Arial" w:cs="Arial"/>
          <w:sz w:val="24"/>
          <w:szCs w:val="24"/>
        </w:rPr>
        <w:t>via email.</w:t>
      </w:r>
    </w:p>
    <w:p w:rsidR="0013488C" w:rsidRPr="008A7EAD" w:rsidRDefault="0013488C">
      <w:pPr>
        <w:spacing w:after="0" w:line="240" w:lineRule="auto"/>
        <w:rPr>
          <w:rFonts w:ascii="Arial" w:hAnsi="Arial" w:cs="Arial"/>
          <w:sz w:val="24"/>
          <w:szCs w:val="24"/>
        </w:rPr>
      </w:pPr>
    </w:p>
    <w:p w:rsidR="0013488C" w:rsidRPr="008A7EAD" w:rsidRDefault="0013488C">
      <w:pPr>
        <w:spacing w:after="0" w:line="240" w:lineRule="auto"/>
        <w:rPr>
          <w:rFonts w:ascii="Arial" w:hAnsi="Arial" w:cs="Arial"/>
          <w:sz w:val="24"/>
          <w:szCs w:val="24"/>
        </w:rPr>
      </w:pPr>
      <w:r w:rsidRPr="008A7EAD">
        <w:rPr>
          <w:rFonts w:ascii="Arial" w:hAnsi="Arial" w:cs="Arial"/>
          <w:sz w:val="24"/>
          <w:szCs w:val="24"/>
        </w:rPr>
        <w:t>Yours sincerely</w:t>
      </w:r>
    </w:p>
    <w:p w:rsidR="0013488C" w:rsidRPr="008A7EAD" w:rsidRDefault="0013488C">
      <w:pPr>
        <w:spacing w:after="0" w:line="240" w:lineRule="auto"/>
        <w:rPr>
          <w:rFonts w:ascii="Arial" w:hAnsi="Arial" w:cs="Arial"/>
          <w:noProof/>
          <w:sz w:val="24"/>
          <w:szCs w:val="24"/>
        </w:rPr>
      </w:pPr>
    </w:p>
    <w:p w:rsidR="0013488C" w:rsidRDefault="0013488C">
      <w:pPr>
        <w:pStyle w:val="NormalWeb"/>
        <w:shd w:val="clear" w:color="auto" w:fill="FFFFFF"/>
        <w:autoSpaceDE w:val="0"/>
        <w:autoSpaceDN w:val="0"/>
        <w:adjustRightInd w:val="0"/>
        <w:spacing w:before="0" w:beforeAutospacing="0" w:after="0" w:afterAutospacing="0"/>
        <w:jc w:val="both"/>
        <w:rPr>
          <w:rFonts w:ascii="Arial" w:eastAsiaTheme="minorHAnsi" w:hAnsi="Arial" w:cs="Arial"/>
          <w:noProof/>
        </w:rPr>
      </w:pPr>
    </w:p>
    <w:p w:rsidR="0013488C" w:rsidRDefault="0013488C">
      <w:pPr>
        <w:pStyle w:val="NormalWeb"/>
        <w:shd w:val="clear" w:color="auto" w:fill="FFFFFF"/>
        <w:autoSpaceDE w:val="0"/>
        <w:autoSpaceDN w:val="0"/>
        <w:adjustRightInd w:val="0"/>
        <w:spacing w:before="0" w:beforeAutospacing="0" w:after="0" w:afterAutospacing="0"/>
        <w:jc w:val="both"/>
        <w:rPr>
          <w:rFonts w:ascii="Arial" w:eastAsiaTheme="minorHAnsi" w:hAnsi="Arial" w:cs="Arial"/>
          <w:noProof/>
        </w:rPr>
      </w:pPr>
    </w:p>
    <w:p w:rsidR="0013488C" w:rsidRPr="008A7EAD" w:rsidRDefault="0013488C">
      <w:pPr>
        <w:pStyle w:val="NormalWeb"/>
        <w:shd w:val="clear" w:color="auto" w:fill="FFFFFF"/>
        <w:autoSpaceDE w:val="0"/>
        <w:autoSpaceDN w:val="0"/>
        <w:adjustRightInd w:val="0"/>
        <w:spacing w:before="0" w:beforeAutospacing="0" w:after="0" w:afterAutospacing="0"/>
        <w:jc w:val="both"/>
        <w:rPr>
          <w:rFonts w:ascii="Arial" w:hAnsi="Arial" w:cs="Arial"/>
          <w:b/>
        </w:rPr>
      </w:pPr>
      <w:r w:rsidRPr="008A7EAD">
        <w:rPr>
          <w:rFonts w:ascii="Arial" w:hAnsi="Arial" w:cs="Arial"/>
        </w:rPr>
        <w:t>Nadine Flood</w:t>
      </w:r>
    </w:p>
    <w:p w:rsidR="00D3537C" w:rsidRDefault="0013488C" w:rsidP="008A7EAD">
      <w:pPr>
        <w:spacing w:after="0" w:line="240" w:lineRule="auto"/>
        <w:rPr>
          <w:b/>
          <w:bCs/>
          <w:sz w:val="44"/>
          <w:szCs w:val="44"/>
        </w:rPr>
        <w:sectPr w:rsidR="00D3537C" w:rsidSect="003B7A8E">
          <w:footerReference w:type="even" r:id="rId17"/>
          <w:footerReference w:type="default" r:id="rId18"/>
          <w:footerReference w:type="first" r:id="rId19"/>
          <w:pgSz w:w="11906" w:h="16838"/>
          <w:pgMar w:top="1440" w:right="1440" w:bottom="1440" w:left="1440" w:header="708" w:footer="708" w:gutter="0"/>
          <w:pgNumType w:start="0"/>
          <w:cols w:space="708"/>
          <w:titlePg/>
          <w:docGrid w:linePitch="360"/>
        </w:sectPr>
      </w:pPr>
      <w:r w:rsidRPr="008A7EAD">
        <w:rPr>
          <w:rFonts w:ascii="Arial" w:hAnsi="Arial" w:cs="Arial"/>
          <w:b/>
          <w:sz w:val="24"/>
          <w:szCs w:val="24"/>
        </w:rPr>
        <w:t xml:space="preserve">National Secretary </w:t>
      </w:r>
    </w:p>
    <w:p w:rsidR="00D3537C" w:rsidRDefault="00D3537C" w:rsidP="00D3537C">
      <w:pPr>
        <w:jc w:val="center"/>
        <w:rPr>
          <w:b/>
          <w:bCs/>
          <w:sz w:val="44"/>
          <w:szCs w:val="44"/>
        </w:rPr>
      </w:pPr>
    </w:p>
    <w:p w:rsidR="00D3537C" w:rsidRPr="00235893" w:rsidRDefault="00D3537C" w:rsidP="00D3537C">
      <w:pPr>
        <w:jc w:val="center"/>
        <w:rPr>
          <w:b/>
          <w:bCs/>
          <w:sz w:val="44"/>
          <w:szCs w:val="44"/>
        </w:rPr>
      </w:pPr>
    </w:p>
    <w:p w:rsidR="00D3537C" w:rsidRPr="00235893" w:rsidRDefault="00D3537C" w:rsidP="00D3537C">
      <w:pPr>
        <w:jc w:val="center"/>
        <w:rPr>
          <w:rFonts w:ascii="Arial" w:hAnsi="Arial" w:cs="Arial"/>
          <w:b/>
        </w:rPr>
      </w:pPr>
    </w:p>
    <w:p w:rsidR="00D3537C" w:rsidRPr="00235893" w:rsidRDefault="00D3537C" w:rsidP="00D3537C">
      <w:pPr>
        <w:jc w:val="center"/>
        <w:rPr>
          <w:rFonts w:ascii="Arial" w:hAnsi="Arial" w:cs="Arial"/>
          <w:b/>
          <w:sz w:val="32"/>
          <w:szCs w:val="32"/>
        </w:rPr>
      </w:pPr>
      <w:r w:rsidRPr="00235893">
        <w:rPr>
          <w:rFonts w:ascii="Arial" w:hAnsi="Arial" w:cs="Arial"/>
          <w:b/>
          <w:noProof/>
          <w:lang w:eastAsia="en-AU"/>
        </w:rPr>
        <w:drawing>
          <wp:inline distT="0" distB="0" distL="0" distR="0" wp14:anchorId="1FD99C85" wp14:editId="7A565116">
            <wp:extent cx="1839595" cy="2402840"/>
            <wp:effectExtent l="0" t="0" r="8255" b="0"/>
            <wp:docPr id="1" name="Picture 1" descr="CP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U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9595" cy="2402840"/>
                    </a:xfrm>
                    <a:prstGeom prst="rect">
                      <a:avLst/>
                    </a:prstGeom>
                    <a:noFill/>
                    <a:ln>
                      <a:noFill/>
                    </a:ln>
                  </pic:spPr>
                </pic:pic>
              </a:graphicData>
            </a:graphic>
          </wp:inline>
        </w:drawing>
      </w:r>
    </w:p>
    <w:p w:rsidR="00D3537C" w:rsidRPr="00235893" w:rsidRDefault="00D3537C" w:rsidP="00D3537C">
      <w:pPr>
        <w:jc w:val="center"/>
        <w:rPr>
          <w:rFonts w:ascii="Arial" w:hAnsi="Arial" w:cs="Arial"/>
          <w:b/>
          <w:sz w:val="32"/>
          <w:szCs w:val="32"/>
        </w:rPr>
      </w:pPr>
    </w:p>
    <w:p w:rsidR="00D3537C" w:rsidRPr="00235893" w:rsidRDefault="00D3537C" w:rsidP="00D3537C">
      <w:pPr>
        <w:jc w:val="center"/>
        <w:rPr>
          <w:rFonts w:ascii="Arial" w:hAnsi="Arial" w:cs="Arial"/>
          <w:b/>
          <w:sz w:val="32"/>
          <w:szCs w:val="32"/>
        </w:rPr>
      </w:pPr>
    </w:p>
    <w:p w:rsidR="00D3537C" w:rsidRPr="00235893" w:rsidRDefault="00D3537C" w:rsidP="00D3537C">
      <w:pPr>
        <w:pStyle w:val="Heading1"/>
        <w:jc w:val="center"/>
        <w:rPr>
          <w:color w:val="auto"/>
          <w:sz w:val="56"/>
          <w:szCs w:val="56"/>
        </w:rPr>
      </w:pPr>
      <w:bookmarkStart w:id="1" w:name="_Toc339874850"/>
      <w:bookmarkStart w:id="2" w:name="_Toc340665128"/>
      <w:bookmarkStart w:id="3" w:name="_Toc341271965"/>
      <w:bookmarkStart w:id="4" w:name="_Toc341947920"/>
      <w:bookmarkStart w:id="5" w:name="_Toc342317749"/>
      <w:bookmarkStart w:id="6" w:name="_Toc342552940"/>
      <w:r w:rsidRPr="00235893">
        <w:rPr>
          <w:color w:val="auto"/>
          <w:sz w:val="56"/>
          <w:szCs w:val="56"/>
        </w:rPr>
        <w:t>CPSU (PSU Group) Submission</w:t>
      </w:r>
      <w:bookmarkEnd w:id="1"/>
      <w:bookmarkEnd w:id="2"/>
      <w:bookmarkEnd w:id="3"/>
      <w:bookmarkEnd w:id="4"/>
      <w:bookmarkEnd w:id="5"/>
      <w:bookmarkEnd w:id="6"/>
    </w:p>
    <w:p w:rsidR="00D3537C" w:rsidRPr="00235893" w:rsidRDefault="00D3537C" w:rsidP="00D3537C">
      <w:pPr>
        <w:jc w:val="center"/>
        <w:rPr>
          <w:rFonts w:ascii="Arial" w:hAnsi="Arial" w:cs="Arial"/>
          <w:b/>
          <w:sz w:val="32"/>
          <w:szCs w:val="32"/>
        </w:rPr>
      </w:pPr>
    </w:p>
    <w:p w:rsidR="00D3537C" w:rsidRPr="00235893" w:rsidRDefault="00D3537C" w:rsidP="00D3537C">
      <w:pPr>
        <w:jc w:val="center"/>
        <w:rPr>
          <w:rFonts w:ascii="Arial" w:hAnsi="Arial" w:cs="Arial"/>
          <w:b/>
          <w:sz w:val="32"/>
          <w:szCs w:val="32"/>
        </w:rPr>
      </w:pPr>
    </w:p>
    <w:p w:rsidR="00D3537C" w:rsidRDefault="00D3537C" w:rsidP="00D3537C">
      <w:pPr>
        <w:pStyle w:val="greentext"/>
        <w:shd w:val="clear" w:color="auto" w:fill="FFFFFF"/>
        <w:jc w:val="center"/>
        <w:outlineLvl w:val="1"/>
        <w:rPr>
          <w:rFonts w:asciiTheme="minorHAnsi" w:hAnsiTheme="minorHAnsi" w:cstheme="minorHAnsi"/>
          <w:b/>
          <w:kern w:val="36"/>
          <w:sz w:val="56"/>
          <w:szCs w:val="56"/>
          <w:lang w:val="en"/>
        </w:rPr>
      </w:pPr>
      <w:r w:rsidRPr="000F6472">
        <w:rPr>
          <w:rFonts w:asciiTheme="minorHAnsi" w:hAnsiTheme="minorHAnsi" w:cstheme="minorHAnsi"/>
          <w:b/>
          <w:kern w:val="36"/>
          <w:sz w:val="56"/>
          <w:szCs w:val="56"/>
          <w:lang w:val="en"/>
        </w:rPr>
        <w:t xml:space="preserve">Inquiry into the </w:t>
      </w:r>
    </w:p>
    <w:p w:rsidR="00D3537C" w:rsidRPr="000F6472" w:rsidRDefault="00E95E64" w:rsidP="00D3537C">
      <w:pPr>
        <w:pStyle w:val="greentext"/>
        <w:shd w:val="clear" w:color="auto" w:fill="FFFFFF"/>
        <w:jc w:val="center"/>
        <w:outlineLvl w:val="1"/>
        <w:rPr>
          <w:rFonts w:asciiTheme="minorHAnsi" w:hAnsiTheme="minorHAnsi" w:cstheme="minorHAnsi"/>
          <w:b/>
          <w:kern w:val="36"/>
          <w:sz w:val="56"/>
          <w:szCs w:val="56"/>
          <w:lang w:val="en"/>
        </w:rPr>
      </w:pPr>
      <w:r>
        <w:rPr>
          <w:rFonts w:asciiTheme="minorHAnsi" w:hAnsiTheme="minorHAnsi" w:cstheme="minorHAnsi"/>
          <w:b/>
          <w:kern w:val="36"/>
          <w:sz w:val="56"/>
          <w:szCs w:val="56"/>
          <w:lang w:val="en"/>
        </w:rPr>
        <w:t>W</w:t>
      </w:r>
      <w:r w:rsidR="00D3537C">
        <w:rPr>
          <w:rFonts w:asciiTheme="minorHAnsi" w:hAnsiTheme="minorHAnsi" w:cstheme="minorHAnsi"/>
          <w:b/>
          <w:kern w:val="36"/>
          <w:sz w:val="56"/>
          <w:szCs w:val="56"/>
          <w:lang w:val="en"/>
        </w:rPr>
        <w:t xml:space="preserve">orkplace </w:t>
      </w:r>
      <w:r>
        <w:rPr>
          <w:rFonts w:asciiTheme="minorHAnsi" w:hAnsiTheme="minorHAnsi" w:cstheme="minorHAnsi"/>
          <w:b/>
          <w:kern w:val="36"/>
          <w:sz w:val="56"/>
          <w:szCs w:val="56"/>
          <w:lang w:val="en"/>
        </w:rPr>
        <w:t>R</w:t>
      </w:r>
      <w:r w:rsidR="00D3537C">
        <w:rPr>
          <w:rFonts w:asciiTheme="minorHAnsi" w:hAnsiTheme="minorHAnsi" w:cstheme="minorHAnsi"/>
          <w:b/>
          <w:kern w:val="36"/>
          <w:sz w:val="56"/>
          <w:szCs w:val="56"/>
          <w:lang w:val="en"/>
        </w:rPr>
        <w:t xml:space="preserve">elations </w:t>
      </w:r>
      <w:r>
        <w:rPr>
          <w:rFonts w:asciiTheme="minorHAnsi" w:hAnsiTheme="minorHAnsi" w:cstheme="minorHAnsi"/>
          <w:b/>
          <w:kern w:val="36"/>
          <w:sz w:val="56"/>
          <w:szCs w:val="56"/>
          <w:lang w:val="en"/>
        </w:rPr>
        <w:t>Framework</w:t>
      </w:r>
      <w:r w:rsidR="00D3537C">
        <w:rPr>
          <w:rFonts w:asciiTheme="minorHAnsi" w:hAnsiTheme="minorHAnsi" w:cstheme="minorHAnsi"/>
          <w:b/>
          <w:kern w:val="36"/>
          <w:sz w:val="56"/>
          <w:szCs w:val="56"/>
          <w:lang w:val="en"/>
        </w:rPr>
        <w:t xml:space="preserve"> </w:t>
      </w:r>
    </w:p>
    <w:p w:rsidR="00D3537C" w:rsidRDefault="00D3537C" w:rsidP="00D3537C">
      <w:pPr>
        <w:jc w:val="center"/>
        <w:rPr>
          <w:rFonts w:ascii="Arial" w:hAnsi="Arial" w:cs="Arial"/>
          <w:b/>
          <w:sz w:val="44"/>
          <w:szCs w:val="44"/>
        </w:rPr>
      </w:pPr>
      <w:r w:rsidRPr="00235893">
        <w:rPr>
          <w:sz w:val="32"/>
          <w:szCs w:val="32"/>
        </w:rPr>
        <w:br/>
      </w:r>
    </w:p>
    <w:p w:rsidR="00D3537C" w:rsidRPr="00235893" w:rsidRDefault="00D3537C" w:rsidP="00D3537C">
      <w:pPr>
        <w:jc w:val="right"/>
        <w:rPr>
          <w:rFonts w:cstheme="minorHAnsi"/>
          <w:sz w:val="44"/>
          <w:szCs w:val="44"/>
        </w:rPr>
        <w:sectPr w:rsidR="00D3537C" w:rsidRPr="00235893" w:rsidSect="003B7A8E">
          <w:footerReference w:type="first" r:id="rId21"/>
          <w:pgSz w:w="11906" w:h="16838"/>
          <w:pgMar w:top="1440" w:right="1800" w:bottom="1440" w:left="1800" w:header="708" w:footer="708" w:gutter="0"/>
          <w:pgNumType w:start="0"/>
          <w:cols w:space="708"/>
          <w:titlePg/>
          <w:docGrid w:linePitch="360"/>
        </w:sectPr>
      </w:pPr>
      <w:r>
        <w:rPr>
          <w:rFonts w:cstheme="minorHAnsi"/>
          <w:sz w:val="44"/>
          <w:szCs w:val="44"/>
        </w:rPr>
        <w:t>March 2015</w:t>
      </w:r>
    </w:p>
    <w:p w:rsidR="00282DFD" w:rsidRDefault="00282DFD" w:rsidP="00B83639">
      <w:pPr>
        <w:shd w:val="clear" w:color="auto" w:fill="FFFFFF"/>
        <w:spacing w:after="0"/>
        <w:jc w:val="both"/>
        <w:rPr>
          <w:rFonts w:asciiTheme="majorHAnsi" w:hAnsiTheme="majorHAnsi" w:cstheme="minorHAnsi"/>
          <w:b/>
          <w:sz w:val="28"/>
          <w:szCs w:val="28"/>
        </w:rPr>
      </w:pPr>
    </w:p>
    <w:p w:rsidR="00282DFD" w:rsidRDefault="00282DFD" w:rsidP="00B83639">
      <w:pPr>
        <w:shd w:val="clear" w:color="auto" w:fill="FFFFFF"/>
        <w:spacing w:after="0"/>
        <w:jc w:val="both"/>
        <w:rPr>
          <w:rFonts w:asciiTheme="majorHAnsi" w:hAnsiTheme="majorHAnsi" w:cstheme="minorHAnsi"/>
          <w:b/>
          <w:sz w:val="28"/>
          <w:szCs w:val="28"/>
        </w:rPr>
      </w:pPr>
    </w:p>
    <w:p w:rsidR="00696B32" w:rsidRDefault="00696B32" w:rsidP="00B83639">
      <w:pPr>
        <w:shd w:val="clear" w:color="auto" w:fill="FFFFFF"/>
        <w:spacing w:after="0"/>
        <w:jc w:val="both"/>
        <w:rPr>
          <w:rFonts w:asciiTheme="majorHAnsi" w:hAnsiTheme="majorHAnsi" w:cstheme="minorHAnsi"/>
          <w:b/>
          <w:sz w:val="28"/>
          <w:szCs w:val="28"/>
        </w:rPr>
      </w:pPr>
    </w:p>
    <w:p w:rsidR="001924D3" w:rsidRPr="00661CE3" w:rsidRDefault="001924D3" w:rsidP="00B83639">
      <w:pPr>
        <w:shd w:val="clear" w:color="auto" w:fill="FFFFFF"/>
        <w:spacing w:after="0"/>
        <w:jc w:val="both"/>
        <w:rPr>
          <w:rFonts w:asciiTheme="majorHAnsi" w:hAnsiTheme="majorHAnsi" w:cstheme="minorHAnsi"/>
          <w:b/>
          <w:sz w:val="28"/>
          <w:szCs w:val="28"/>
        </w:rPr>
      </w:pPr>
      <w:r w:rsidRPr="00661CE3">
        <w:rPr>
          <w:rFonts w:asciiTheme="majorHAnsi" w:hAnsiTheme="majorHAnsi" w:cstheme="minorHAnsi"/>
          <w:b/>
          <w:sz w:val="28"/>
          <w:szCs w:val="28"/>
        </w:rPr>
        <w:t xml:space="preserve">Introduction </w:t>
      </w:r>
    </w:p>
    <w:p w:rsidR="00FE26A5" w:rsidRDefault="00FE26A5" w:rsidP="00B83639">
      <w:pPr>
        <w:shd w:val="clear" w:color="auto" w:fill="FFFFFF"/>
        <w:spacing w:after="0"/>
        <w:jc w:val="both"/>
        <w:rPr>
          <w:rFonts w:cstheme="minorHAnsi"/>
        </w:rPr>
      </w:pPr>
    </w:p>
    <w:p w:rsidR="001924D3" w:rsidRDefault="001924D3" w:rsidP="00B83639">
      <w:pPr>
        <w:shd w:val="clear" w:color="auto" w:fill="FFFFFF"/>
        <w:spacing w:after="0"/>
        <w:jc w:val="both"/>
        <w:rPr>
          <w:rFonts w:cstheme="minorHAnsi"/>
        </w:rPr>
      </w:pPr>
      <w:r w:rsidRPr="000541D4">
        <w:rPr>
          <w:rFonts w:cstheme="minorHAnsi"/>
        </w:rPr>
        <w:t xml:space="preserve">The PSU Group of the Community and Public Sector Union (CPSU) is an active and </w:t>
      </w:r>
      <w:r>
        <w:rPr>
          <w:rFonts w:cstheme="minorHAnsi"/>
        </w:rPr>
        <w:t>effective</w:t>
      </w:r>
      <w:r w:rsidRPr="000541D4">
        <w:rPr>
          <w:rFonts w:cstheme="minorHAnsi"/>
        </w:rPr>
        <w:t xml:space="preserve"> union with approximately 55,000 members. The CPSU represents employees in Commonwealth government employment including the Australian Public Service (APS), </w:t>
      </w:r>
      <w:r>
        <w:rPr>
          <w:rFonts w:cstheme="minorHAnsi"/>
        </w:rPr>
        <w:t xml:space="preserve">as well as </w:t>
      </w:r>
      <w:r w:rsidRPr="000541D4">
        <w:rPr>
          <w:rFonts w:cstheme="minorHAnsi"/>
        </w:rPr>
        <w:t xml:space="preserve">the ACT Public Service, the </w:t>
      </w:r>
      <w:r>
        <w:rPr>
          <w:rFonts w:cstheme="minorHAnsi"/>
        </w:rPr>
        <w:t>NT</w:t>
      </w:r>
      <w:r w:rsidRPr="000541D4">
        <w:rPr>
          <w:rFonts w:cstheme="minorHAnsi"/>
        </w:rPr>
        <w:t xml:space="preserve"> Public Service, CSIRO, the telecommunications sector, call centres, employment services and broadcasting.</w:t>
      </w:r>
    </w:p>
    <w:p w:rsidR="00FE26A5" w:rsidRDefault="00FE26A5" w:rsidP="00B83639">
      <w:pPr>
        <w:shd w:val="clear" w:color="auto" w:fill="FFFFFF"/>
        <w:spacing w:after="0"/>
        <w:jc w:val="both"/>
        <w:rPr>
          <w:rFonts w:cstheme="minorHAnsi"/>
        </w:rPr>
      </w:pPr>
    </w:p>
    <w:p w:rsidR="001924D3" w:rsidRDefault="001924D3" w:rsidP="00B83639">
      <w:pPr>
        <w:shd w:val="clear" w:color="auto" w:fill="FFFFFF"/>
        <w:spacing w:after="0"/>
        <w:jc w:val="both"/>
        <w:rPr>
          <w:rFonts w:cstheme="minorHAnsi"/>
        </w:rPr>
      </w:pPr>
      <w:r>
        <w:rPr>
          <w:rFonts w:cstheme="minorHAnsi"/>
        </w:rPr>
        <w:t>The CPSU welcomes the opportunity to provide a submission to the</w:t>
      </w:r>
      <w:r w:rsidR="003D04F2">
        <w:rPr>
          <w:rFonts w:cstheme="minorHAnsi"/>
        </w:rPr>
        <w:t xml:space="preserve"> Productivity Commission Inquiry into the workplace relations framework.</w:t>
      </w:r>
    </w:p>
    <w:p w:rsidR="00B63AC3" w:rsidRDefault="00B63AC3" w:rsidP="00B83639">
      <w:pPr>
        <w:shd w:val="clear" w:color="auto" w:fill="FFFFFF"/>
        <w:spacing w:after="0"/>
        <w:jc w:val="both"/>
        <w:rPr>
          <w:rFonts w:cstheme="minorHAnsi"/>
        </w:rPr>
      </w:pPr>
    </w:p>
    <w:p w:rsidR="00AB1463" w:rsidRDefault="00AB1463" w:rsidP="00B83639">
      <w:pPr>
        <w:shd w:val="clear" w:color="auto" w:fill="FFFFFF"/>
        <w:spacing w:after="0"/>
        <w:jc w:val="both"/>
        <w:rPr>
          <w:rFonts w:cstheme="minorHAnsi"/>
        </w:rPr>
      </w:pPr>
      <w:r>
        <w:rPr>
          <w:rFonts w:cstheme="minorHAnsi"/>
        </w:rPr>
        <w:t xml:space="preserve">The </w:t>
      </w:r>
      <w:r w:rsidR="00735A1E">
        <w:rPr>
          <w:rFonts w:cstheme="minorHAnsi"/>
        </w:rPr>
        <w:t>CPSU supports</w:t>
      </w:r>
      <w:r w:rsidR="004B6421">
        <w:rPr>
          <w:rFonts w:cstheme="minorHAnsi"/>
        </w:rPr>
        <w:t xml:space="preserve"> fair workplace relations</w:t>
      </w:r>
      <w:r w:rsidR="00ED3782">
        <w:rPr>
          <w:rFonts w:cstheme="minorHAnsi"/>
        </w:rPr>
        <w:t xml:space="preserve"> </w:t>
      </w:r>
      <w:r w:rsidR="00655302">
        <w:rPr>
          <w:rFonts w:cstheme="minorHAnsi"/>
        </w:rPr>
        <w:t xml:space="preserve">that provide all </w:t>
      </w:r>
      <w:r w:rsidR="00D44132">
        <w:rPr>
          <w:rFonts w:cstheme="minorHAnsi"/>
        </w:rPr>
        <w:t>workers with pr</w:t>
      </w:r>
      <w:r w:rsidR="00336349">
        <w:rPr>
          <w:rFonts w:cstheme="minorHAnsi"/>
        </w:rPr>
        <w:t>otection at work</w:t>
      </w:r>
      <w:r w:rsidR="004269E0">
        <w:rPr>
          <w:rFonts w:cstheme="minorHAnsi"/>
        </w:rPr>
        <w:t xml:space="preserve"> and recognises</w:t>
      </w:r>
      <w:r w:rsidR="00655302">
        <w:rPr>
          <w:rFonts w:cstheme="minorHAnsi"/>
        </w:rPr>
        <w:t xml:space="preserve"> the</w:t>
      </w:r>
      <w:r w:rsidR="004269E0">
        <w:rPr>
          <w:rFonts w:cstheme="minorHAnsi"/>
        </w:rPr>
        <w:t>ir</w:t>
      </w:r>
      <w:r w:rsidR="00655302">
        <w:rPr>
          <w:rFonts w:cstheme="minorHAnsi"/>
        </w:rPr>
        <w:t xml:space="preserve"> </w:t>
      </w:r>
      <w:r w:rsidR="004B6421">
        <w:rPr>
          <w:rFonts w:cstheme="minorHAnsi"/>
        </w:rPr>
        <w:t>contribution</w:t>
      </w:r>
      <w:r w:rsidR="00CD30DC">
        <w:rPr>
          <w:rFonts w:cstheme="minorHAnsi"/>
        </w:rPr>
        <w:t xml:space="preserve"> to </w:t>
      </w:r>
      <w:r w:rsidR="004B6421">
        <w:rPr>
          <w:rFonts w:cstheme="minorHAnsi"/>
        </w:rPr>
        <w:t xml:space="preserve">the Australian community. </w:t>
      </w:r>
      <w:r w:rsidR="004269E0">
        <w:rPr>
          <w:rFonts w:cstheme="minorHAnsi"/>
        </w:rPr>
        <w:t xml:space="preserve"> </w:t>
      </w:r>
      <w:r w:rsidR="00B77BAB">
        <w:rPr>
          <w:rFonts w:cstheme="minorHAnsi"/>
        </w:rPr>
        <w:t xml:space="preserve">Collective </w:t>
      </w:r>
      <w:r w:rsidR="008525B4">
        <w:rPr>
          <w:rFonts w:cstheme="minorHAnsi"/>
        </w:rPr>
        <w:t>bargaining</w:t>
      </w:r>
      <w:r w:rsidR="00F103D3">
        <w:rPr>
          <w:rFonts w:cstheme="minorHAnsi"/>
        </w:rPr>
        <w:t xml:space="preserve">, a </w:t>
      </w:r>
      <w:r w:rsidR="00B77BAB">
        <w:rPr>
          <w:rFonts w:cstheme="minorHAnsi"/>
        </w:rPr>
        <w:t xml:space="preserve">strong safety net and legislatively protected </w:t>
      </w:r>
      <w:r w:rsidR="004B6421">
        <w:rPr>
          <w:rFonts w:cstheme="minorHAnsi"/>
        </w:rPr>
        <w:t xml:space="preserve">workplace </w:t>
      </w:r>
      <w:r w:rsidR="00B77BAB">
        <w:rPr>
          <w:rFonts w:cstheme="minorHAnsi"/>
        </w:rPr>
        <w:t>rights, including the</w:t>
      </w:r>
      <w:r w:rsidR="004B6421">
        <w:rPr>
          <w:rFonts w:cstheme="minorHAnsi"/>
        </w:rPr>
        <w:t xml:space="preserve"> right of workers</w:t>
      </w:r>
      <w:r w:rsidR="00B77BAB">
        <w:rPr>
          <w:rFonts w:cstheme="minorHAnsi"/>
        </w:rPr>
        <w:t xml:space="preserve"> to be represented</w:t>
      </w:r>
      <w:r w:rsidR="00973C8C">
        <w:rPr>
          <w:rFonts w:cstheme="minorHAnsi"/>
        </w:rPr>
        <w:t>,</w:t>
      </w:r>
      <w:r w:rsidR="00B77BAB">
        <w:rPr>
          <w:rFonts w:cstheme="minorHAnsi"/>
        </w:rPr>
        <w:t xml:space="preserve"> </w:t>
      </w:r>
      <w:r w:rsidR="004B6421">
        <w:rPr>
          <w:rFonts w:cstheme="minorHAnsi"/>
        </w:rPr>
        <w:t xml:space="preserve">are all key components. </w:t>
      </w:r>
    </w:p>
    <w:p w:rsidR="00735A1E" w:rsidRDefault="00735A1E" w:rsidP="00B83639">
      <w:pPr>
        <w:shd w:val="clear" w:color="auto" w:fill="FFFFFF"/>
        <w:spacing w:after="0"/>
        <w:jc w:val="both"/>
        <w:rPr>
          <w:rFonts w:cstheme="minorHAnsi"/>
        </w:rPr>
      </w:pPr>
    </w:p>
    <w:p w:rsidR="00735A1E" w:rsidRDefault="00651E1F" w:rsidP="00B83639">
      <w:pPr>
        <w:shd w:val="clear" w:color="auto" w:fill="FFFFFF"/>
        <w:spacing w:after="0"/>
        <w:jc w:val="both"/>
        <w:rPr>
          <w:rFonts w:cstheme="minorHAnsi"/>
        </w:rPr>
      </w:pPr>
      <w:r>
        <w:rPr>
          <w:rFonts w:cstheme="minorHAnsi"/>
        </w:rPr>
        <w:t xml:space="preserve">While it is a </w:t>
      </w:r>
      <w:r w:rsidR="00605359">
        <w:rPr>
          <w:rFonts w:cstheme="minorHAnsi"/>
        </w:rPr>
        <w:t>substantial</w:t>
      </w:r>
      <w:r>
        <w:rPr>
          <w:rFonts w:cstheme="minorHAnsi"/>
        </w:rPr>
        <w:t xml:space="preserve"> improvement on the </w:t>
      </w:r>
      <w:r w:rsidRPr="00696B32">
        <w:rPr>
          <w:rFonts w:cstheme="minorHAnsi"/>
          <w:i/>
        </w:rPr>
        <w:t>Workplace Relations Act 1996</w:t>
      </w:r>
      <w:r w:rsidR="00C87BF9" w:rsidRPr="00325D35">
        <w:rPr>
          <w:rStyle w:val="FootnoteReference"/>
          <w:rFonts w:asciiTheme="minorHAnsi" w:hAnsiTheme="minorHAnsi" w:cstheme="minorHAnsi"/>
        </w:rPr>
        <w:footnoteReference w:id="2"/>
      </w:r>
      <w:r>
        <w:rPr>
          <w:rFonts w:cstheme="minorHAnsi"/>
        </w:rPr>
        <w:t>, u</w:t>
      </w:r>
      <w:r w:rsidR="00735A1E">
        <w:rPr>
          <w:rFonts w:cstheme="minorHAnsi"/>
        </w:rPr>
        <w:t xml:space="preserve">nfortunately the </w:t>
      </w:r>
      <w:r w:rsidR="00655302" w:rsidRPr="008918ED">
        <w:rPr>
          <w:rFonts w:cstheme="minorHAnsi"/>
          <w:i/>
        </w:rPr>
        <w:t>Fair Work Act 200</w:t>
      </w:r>
      <w:r w:rsidR="00655302">
        <w:rPr>
          <w:rFonts w:cstheme="minorHAnsi"/>
          <w:i/>
        </w:rPr>
        <w:t>9</w:t>
      </w:r>
      <w:r w:rsidR="00655302" w:rsidRPr="0029366A">
        <w:rPr>
          <w:rStyle w:val="FootnoteReference"/>
          <w:rFonts w:asciiTheme="minorHAnsi" w:hAnsiTheme="minorHAnsi"/>
        </w:rPr>
        <w:footnoteReference w:id="3"/>
      </w:r>
      <w:r w:rsidR="00655302" w:rsidRPr="006607CD">
        <w:rPr>
          <w:rStyle w:val="FootnoteReference"/>
          <w:rFonts w:asciiTheme="minorHAnsi" w:hAnsiTheme="minorHAnsi" w:cstheme="minorHAnsi"/>
          <w:sz w:val="22"/>
          <w:vertAlign w:val="superscript"/>
        </w:rPr>
        <w:t xml:space="preserve"> </w:t>
      </w:r>
      <w:r w:rsidR="00655302">
        <w:rPr>
          <w:rFonts w:cstheme="minorHAnsi"/>
          <w:i/>
        </w:rPr>
        <w:t>(</w:t>
      </w:r>
      <w:r w:rsidR="00655302" w:rsidRPr="0089492C">
        <w:rPr>
          <w:rFonts w:cstheme="minorHAnsi"/>
        </w:rPr>
        <w:t>“the Act”</w:t>
      </w:r>
      <w:r w:rsidR="00655302">
        <w:rPr>
          <w:rFonts w:cstheme="minorHAnsi"/>
          <w:i/>
        </w:rPr>
        <w:t>)</w:t>
      </w:r>
      <w:r w:rsidR="00655302">
        <w:rPr>
          <w:rFonts w:cstheme="minorHAnsi"/>
        </w:rPr>
        <w:t xml:space="preserve"> </w:t>
      </w:r>
      <w:r w:rsidR="00735A1E">
        <w:rPr>
          <w:rFonts w:cstheme="minorHAnsi"/>
        </w:rPr>
        <w:t>has, on many occasions, fallen short of these ideals. All too often Australian workers have had to struggle to access collective bargaining and genuine negotiations with their</w:t>
      </w:r>
      <w:r w:rsidR="0078365B">
        <w:rPr>
          <w:rFonts w:cstheme="minorHAnsi"/>
        </w:rPr>
        <w:t xml:space="preserve"> employer</w:t>
      </w:r>
      <w:r w:rsidR="00F932A2">
        <w:rPr>
          <w:rFonts w:cstheme="minorHAnsi"/>
        </w:rPr>
        <w:t>s</w:t>
      </w:r>
      <w:r w:rsidR="0078365B">
        <w:rPr>
          <w:rFonts w:cstheme="minorHAnsi"/>
        </w:rPr>
        <w:t>. Even the right to representation</w:t>
      </w:r>
      <w:r w:rsidR="00735A1E">
        <w:rPr>
          <w:rFonts w:cstheme="minorHAnsi"/>
        </w:rPr>
        <w:t xml:space="preserve"> has been </w:t>
      </w:r>
      <w:r w:rsidR="0078365B">
        <w:rPr>
          <w:rFonts w:cstheme="minorHAnsi"/>
        </w:rPr>
        <w:t xml:space="preserve">challenged </w:t>
      </w:r>
      <w:r w:rsidR="00735A1E">
        <w:rPr>
          <w:rFonts w:cstheme="minorHAnsi"/>
        </w:rPr>
        <w:t>at every step, when it should be a</w:t>
      </w:r>
      <w:r w:rsidR="00F932A2">
        <w:rPr>
          <w:rFonts w:cstheme="minorHAnsi"/>
        </w:rPr>
        <w:t>n unquestioned</w:t>
      </w:r>
      <w:r w:rsidR="0007395F">
        <w:rPr>
          <w:rFonts w:cstheme="minorHAnsi"/>
        </w:rPr>
        <w:t>,</w:t>
      </w:r>
      <w:r w:rsidR="00F932A2">
        <w:rPr>
          <w:rFonts w:cstheme="minorHAnsi"/>
        </w:rPr>
        <w:t xml:space="preserve"> fundamental</w:t>
      </w:r>
      <w:r w:rsidR="00735A1E">
        <w:rPr>
          <w:rFonts w:cstheme="minorHAnsi"/>
        </w:rPr>
        <w:t xml:space="preserve"> component of the system. </w:t>
      </w:r>
      <w:r w:rsidR="00973C8C">
        <w:rPr>
          <w:rFonts w:cstheme="minorHAnsi"/>
        </w:rPr>
        <w:t xml:space="preserve"> </w:t>
      </w:r>
    </w:p>
    <w:p w:rsidR="00FE26A5" w:rsidRDefault="00FE26A5" w:rsidP="00B83639">
      <w:pPr>
        <w:shd w:val="clear" w:color="auto" w:fill="FFFFFF"/>
        <w:spacing w:after="0"/>
        <w:jc w:val="both"/>
        <w:rPr>
          <w:rFonts w:cstheme="minorHAnsi"/>
        </w:rPr>
      </w:pPr>
    </w:p>
    <w:p w:rsidR="0008041E" w:rsidRDefault="00AB1463" w:rsidP="00B83639">
      <w:pPr>
        <w:shd w:val="clear" w:color="auto" w:fill="FFFFFF"/>
        <w:spacing w:after="0"/>
        <w:jc w:val="both"/>
        <w:rPr>
          <w:rFonts w:cstheme="minorHAnsi"/>
        </w:rPr>
      </w:pPr>
      <w:r>
        <w:rPr>
          <w:rFonts w:cstheme="minorHAnsi"/>
        </w:rPr>
        <w:t xml:space="preserve">The issues faced by workers across the private sector and public sector areas in which CPSU members are </w:t>
      </w:r>
      <w:r w:rsidR="00973C8C">
        <w:rPr>
          <w:rFonts w:cstheme="minorHAnsi"/>
        </w:rPr>
        <w:t>employed illustrate</w:t>
      </w:r>
      <w:r w:rsidR="00C85E12">
        <w:rPr>
          <w:rFonts w:cstheme="minorHAnsi"/>
        </w:rPr>
        <w:t xml:space="preserve"> systemic </w:t>
      </w:r>
      <w:r w:rsidR="00667195">
        <w:rPr>
          <w:rFonts w:cstheme="minorHAnsi"/>
        </w:rPr>
        <w:t xml:space="preserve">weaknesses </w:t>
      </w:r>
      <w:r w:rsidR="00F932A2">
        <w:rPr>
          <w:rFonts w:cstheme="minorHAnsi"/>
        </w:rPr>
        <w:t>in</w:t>
      </w:r>
      <w:r w:rsidR="00667195">
        <w:rPr>
          <w:rFonts w:cstheme="minorHAnsi"/>
        </w:rPr>
        <w:t xml:space="preserve"> the </w:t>
      </w:r>
      <w:r w:rsidR="00C85E12">
        <w:rPr>
          <w:rFonts w:cstheme="minorHAnsi"/>
        </w:rPr>
        <w:t>workplace relations framewor</w:t>
      </w:r>
      <w:r w:rsidR="00C22C31">
        <w:rPr>
          <w:rFonts w:cstheme="minorHAnsi"/>
        </w:rPr>
        <w:t xml:space="preserve">k. </w:t>
      </w:r>
      <w:r w:rsidR="00A67462">
        <w:rPr>
          <w:rFonts w:cstheme="minorHAnsi"/>
        </w:rPr>
        <w:t>The CPSU submission addresses the</w:t>
      </w:r>
      <w:r w:rsidR="008E6A3F">
        <w:rPr>
          <w:rFonts w:cstheme="minorHAnsi"/>
        </w:rPr>
        <w:t xml:space="preserve">se issues with </w:t>
      </w:r>
      <w:r w:rsidR="007D68D1">
        <w:rPr>
          <w:rFonts w:cstheme="minorHAnsi"/>
        </w:rPr>
        <w:t>a focus on the matters raised in the Productivity Commission’s Issues Paper 3, which deals with</w:t>
      </w:r>
      <w:r w:rsidR="008E6A3F">
        <w:rPr>
          <w:rFonts w:cstheme="minorHAnsi"/>
        </w:rPr>
        <w:t xml:space="preserve"> the</w:t>
      </w:r>
      <w:r w:rsidR="0008041E">
        <w:rPr>
          <w:rFonts w:cstheme="minorHAnsi"/>
        </w:rPr>
        <w:t xml:space="preserve"> bargaining system established by the</w:t>
      </w:r>
      <w:r w:rsidR="008E6A3F">
        <w:rPr>
          <w:rFonts w:cstheme="minorHAnsi"/>
        </w:rPr>
        <w:t xml:space="preserve"> </w:t>
      </w:r>
      <w:r w:rsidR="0008041E">
        <w:rPr>
          <w:rFonts w:cstheme="minorHAnsi"/>
          <w:i/>
        </w:rPr>
        <w:t>Fair Work Act</w:t>
      </w:r>
      <w:r w:rsidR="0008041E">
        <w:rPr>
          <w:rFonts w:cstheme="minorHAnsi"/>
        </w:rPr>
        <w:t>.</w:t>
      </w:r>
      <w:r w:rsidR="00C90BBE">
        <w:rPr>
          <w:rFonts w:cstheme="minorHAnsi"/>
        </w:rPr>
        <w:t xml:space="preserve"> </w:t>
      </w:r>
      <w:r>
        <w:rPr>
          <w:rFonts w:cstheme="minorHAnsi"/>
        </w:rPr>
        <w:t>The</w:t>
      </w:r>
      <w:r w:rsidR="00AC7749">
        <w:rPr>
          <w:rFonts w:cstheme="minorHAnsi"/>
        </w:rPr>
        <w:t xml:space="preserve"> CPSU </w:t>
      </w:r>
      <w:r>
        <w:rPr>
          <w:rFonts w:cstheme="minorHAnsi"/>
        </w:rPr>
        <w:t xml:space="preserve">submission also </w:t>
      </w:r>
      <w:r w:rsidR="00C22C31">
        <w:rPr>
          <w:rFonts w:cstheme="minorHAnsi"/>
        </w:rPr>
        <w:t xml:space="preserve">highlights </w:t>
      </w:r>
      <w:r w:rsidR="00C85E12">
        <w:rPr>
          <w:rFonts w:cstheme="minorHAnsi"/>
        </w:rPr>
        <w:t xml:space="preserve">particular matters that arise for the public sector </w:t>
      </w:r>
      <w:r w:rsidR="00A775C1">
        <w:rPr>
          <w:rFonts w:cstheme="minorHAnsi"/>
        </w:rPr>
        <w:t>workforce in the federal system, canvassed in Issues Paper 5.</w:t>
      </w:r>
      <w:r w:rsidR="00C85E12">
        <w:rPr>
          <w:rFonts w:cstheme="minorHAnsi"/>
        </w:rPr>
        <w:t xml:space="preserve"> </w:t>
      </w:r>
      <w:r w:rsidR="00A775C1">
        <w:rPr>
          <w:rFonts w:cstheme="minorHAnsi"/>
        </w:rPr>
        <w:t xml:space="preserve"> The CPSU notes there is a </w:t>
      </w:r>
      <w:r w:rsidR="00C85E12">
        <w:rPr>
          <w:rFonts w:cstheme="minorHAnsi"/>
        </w:rPr>
        <w:t>strong public policy bas</w:t>
      </w:r>
      <w:r w:rsidR="00EF770F">
        <w:rPr>
          <w:rFonts w:cstheme="minorHAnsi"/>
        </w:rPr>
        <w:t>i</w:t>
      </w:r>
      <w:r w:rsidR="00C85E12">
        <w:rPr>
          <w:rFonts w:cstheme="minorHAnsi"/>
        </w:rPr>
        <w:t>s for merit review of certain administrative decisions taken in respect of public servic</w:t>
      </w:r>
      <w:r w:rsidR="0008041E">
        <w:rPr>
          <w:rFonts w:cstheme="minorHAnsi"/>
        </w:rPr>
        <w:t>e employment.</w:t>
      </w:r>
    </w:p>
    <w:p w:rsidR="0008041E" w:rsidRDefault="0008041E" w:rsidP="00B83639">
      <w:pPr>
        <w:shd w:val="clear" w:color="auto" w:fill="FFFFFF"/>
        <w:spacing w:after="0"/>
        <w:jc w:val="both"/>
        <w:rPr>
          <w:rFonts w:cstheme="minorHAnsi"/>
        </w:rPr>
      </w:pPr>
    </w:p>
    <w:p w:rsidR="001924D3" w:rsidRDefault="001924D3" w:rsidP="00B83639">
      <w:pPr>
        <w:shd w:val="clear" w:color="auto" w:fill="FFFFFF"/>
        <w:spacing w:after="0"/>
        <w:jc w:val="both"/>
        <w:rPr>
          <w:rFonts w:cstheme="minorHAnsi"/>
        </w:rPr>
      </w:pPr>
      <w:r>
        <w:rPr>
          <w:rFonts w:cstheme="minorHAnsi"/>
        </w:rPr>
        <w:t xml:space="preserve">The CPSU </w:t>
      </w:r>
      <w:r w:rsidR="001322B5">
        <w:rPr>
          <w:rFonts w:cstheme="minorHAnsi"/>
        </w:rPr>
        <w:t xml:space="preserve">also </w:t>
      </w:r>
      <w:r>
        <w:rPr>
          <w:rFonts w:cstheme="minorHAnsi"/>
        </w:rPr>
        <w:t xml:space="preserve">notes the ACTU is making a comprehensive submission to the Inquiry and endorses that submission. </w:t>
      </w:r>
    </w:p>
    <w:p w:rsidR="00FE26A5" w:rsidRDefault="00FE26A5" w:rsidP="00B83639">
      <w:pPr>
        <w:shd w:val="clear" w:color="auto" w:fill="FFFFFF"/>
        <w:spacing w:after="0"/>
        <w:jc w:val="both"/>
        <w:rPr>
          <w:rFonts w:cstheme="minorHAnsi"/>
          <w:b/>
        </w:rPr>
      </w:pPr>
    </w:p>
    <w:p w:rsidR="00B03967" w:rsidRDefault="00B03967" w:rsidP="00B83639">
      <w:pPr>
        <w:shd w:val="clear" w:color="auto" w:fill="FFFFFF"/>
        <w:spacing w:after="0"/>
        <w:jc w:val="both"/>
        <w:rPr>
          <w:rFonts w:asciiTheme="majorHAnsi" w:hAnsiTheme="majorHAnsi" w:cstheme="minorHAnsi"/>
          <w:b/>
          <w:sz w:val="28"/>
          <w:szCs w:val="28"/>
        </w:rPr>
      </w:pPr>
    </w:p>
    <w:p w:rsidR="00282DFD" w:rsidRDefault="00282DFD" w:rsidP="00B83639">
      <w:pPr>
        <w:shd w:val="clear" w:color="auto" w:fill="FFFFFF"/>
        <w:spacing w:after="0"/>
        <w:jc w:val="both"/>
        <w:rPr>
          <w:rFonts w:asciiTheme="majorHAnsi" w:hAnsiTheme="majorHAnsi" w:cstheme="minorHAnsi"/>
          <w:b/>
          <w:sz w:val="28"/>
          <w:szCs w:val="28"/>
        </w:rPr>
      </w:pPr>
    </w:p>
    <w:p w:rsidR="00282DFD" w:rsidRDefault="00282DFD" w:rsidP="00B83639">
      <w:pPr>
        <w:shd w:val="clear" w:color="auto" w:fill="FFFFFF"/>
        <w:spacing w:after="0"/>
        <w:jc w:val="both"/>
        <w:rPr>
          <w:rFonts w:asciiTheme="majorHAnsi" w:hAnsiTheme="majorHAnsi" w:cstheme="minorHAnsi"/>
          <w:b/>
          <w:sz w:val="28"/>
          <w:szCs w:val="28"/>
        </w:rPr>
      </w:pPr>
    </w:p>
    <w:p w:rsidR="009B60FA" w:rsidRDefault="009B60FA" w:rsidP="00B83639">
      <w:pPr>
        <w:shd w:val="clear" w:color="auto" w:fill="FFFFFF"/>
        <w:spacing w:after="0"/>
        <w:jc w:val="both"/>
        <w:rPr>
          <w:rFonts w:asciiTheme="majorHAnsi" w:hAnsiTheme="majorHAnsi" w:cstheme="minorHAnsi"/>
          <w:b/>
          <w:sz w:val="28"/>
          <w:szCs w:val="28"/>
        </w:rPr>
      </w:pPr>
      <w:r>
        <w:rPr>
          <w:rFonts w:asciiTheme="majorHAnsi" w:hAnsiTheme="majorHAnsi" w:cstheme="minorHAnsi"/>
          <w:b/>
          <w:sz w:val="28"/>
          <w:szCs w:val="28"/>
        </w:rPr>
        <w:t xml:space="preserve">The operation of the </w:t>
      </w:r>
      <w:r w:rsidRPr="004B44ED">
        <w:rPr>
          <w:rFonts w:asciiTheme="majorHAnsi" w:hAnsiTheme="majorHAnsi" w:cstheme="minorHAnsi"/>
          <w:b/>
          <w:i/>
          <w:sz w:val="28"/>
          <w:szCs w:val="28"/>
        </w:rPr>
        <w:t>Fair Work Act</w:t>
      </w:r>
      <w:r>
        <w:rPr>
          <w:rFonts w:asciiTheme="majorHAnsi" w:hAnsiTheme="majorHAnsi" w:cstheme="minorHAnsi"/>
          <w:b/>
          <w:sz w:val="28"/>
          <w:szCs w:val="28"/>
        </w:rPr>
        <w:t xml:space="preserve"> </w:t>
      </w:r>
    </w:p>
    <w:p w:rsidR="00D64F0E" w:rsidRDefault="00D64F0E" w:rsidP="00B83639">
      <w:pPr>
        <w:shd w:val="clear" w:color="auto" w:fill="FFFFFF"/>
        <w:spacing w:after="0"/>
        <w:jc w:val="both"/>
        <w:rPr>
          <w:rFonts w:cstheme="minorHAnsi"/>
        </w:rPr>
      </w:pPr>
    </w:p>
    <w:p w:rsidR="009B60FA" w:rsidRDefault="009B60FA" w:rsidP="00B83639">
      <w:pPr>
        <w:shd w:val="clear" w:color="auto" w:fill="FFFFFF"/>
        <w:spacing w:after="0"/>
        <w:jc w:val="both"/>
        <w:rPr>
          <w:rFonts w:cstheme="minorHAnsi"/>
        </w:rPr>
      </w:pPr>
      <w:r>
        <w:rPr>
          <w:rFonts w:cstheme="minorHAnsi"/>
        </w:rPr>
        <w:t xml:space="preserve">The </w:t>
      </w:r>
      <w:r w:rsidRPr="00621EA7">
        <w:rPr>
          <w:rFonts w:cstheme="minorHAnsi"/>
          <w:i/>
        </w:rPr>
        <w:t>Fair Work Act</w:t>
      </w:r>
      <w:r w:rsidR="0029366A">
        <w:rPr>
          <w:rFonts w:cstheme="minorHAnsi"/>
        </w:rPr>
        <w:t xml:space="preserve"> </w:t>
      </w:r>
      <w:r>
        <w:rPr>
          <w:rFonts w:cstheme="minorHAnsi"/>
        </w:rPr>
        <w:t xml:space="preserve">comprehensively changed the </w:t>
      </w:r>
      <w:r w:rsidR="00C25313" w:rsidRPr="00C25313">
        <w:rPr>
          <w:rFonts w:cstheme="minorHAnsi"/>
          <w:i/>
        </w:rPr>
        <w:t xml:space="preserve">Workplace </w:t>
      </w:r>
      <w:r w:rsidRPr="004B44ED">
        <w:rPr>
          <w:rFonts w:cstheme="minorHAnsi"/>
          <w:i/>
        </w:rPr>
        <w:t xml:space="preserve">Relations Act </w:t>
      </w:r>
      <w:proofErr w:type="gramStart"/>
      <w:r w:rsidRPr="004B44ED">
        <w:rPr>
          <w:rFonts w:cstheme="minorHAnsi"/>
          <w:i/>
        </w:rPr>
        <w:t>1996</w:t>
      </w:r>
      <w:r w:rsidR="00605359">
        <w:rPr>
          <w:rFonts w:cstheme="minorHAnsi"/>
          <w:i/>
        </w:rPr>
        <w:t xml:space="preserve"> </w:t>
      </w:r>
      <w:r>
        <w:rPr>
          <w:rFonts w:cstheme="minorHAnsi"/>
        </w:rPr>
        <w:t xml:space="preserve"> to</w:t>
      </w:r>
      <w:proofErr w:type="gramEnd"/>
      <w:r>
        <w:rPr>
          <w:rFonts w:cstheme="minorHAnsi"/>
        </w:rPr>
        <w:t xml:space="preserve"> improve bargaining, the safety net, and protections for employees at work.</w:t>
      </w:r>
    </w:p>
    <w:p w:rsidR="003811C7" w:rsidRDefault="003811C7" w:rsidP="00B83639">
      <w:pPr>
        <w:shd w:val="clear" w:color="auto" w:fill="FFFFFF"/>
        <w:spacing w:after="0"/>
        <w:jc w:val="both"/>
        <w:rPr>
          <w:rFonts w:cstheme="minorHAnsi"/>
        </w:rPr>
      </w:pPr>
    </w:p>
    <w:p w:rsidR="003811C7" w:rsidRDefault="003811C7" w:rsidP="00B83639">
      <w:pPr>
        <w:shd w:val="clear" w:color="auto" w:fill="FFFFFF"/>
        <w:spacing w:after="0"/>
        <w:jc w:val="both"/>
        <w:rPr>
          <w:rFonts w:cstheme="minorHAnsi"/>
        </w:rPr>
      </w:pPr>
      <w:r>
        <w:rPr>
          <w:rFonts w:cstheme="minorHAnsi"/>
        </w:rPr>
        <w:t xml:space="preserve">The </w:t>
      </w:r>
      <w:r w:rsidRPr="004B44ED">
        <w:rPr>
          <w:rFonts w:cstheme="minorHAnsi"/>
          <w:i/>
        </w:rPr>
        <w:t>Fair Work Act</w:t>
      </w:r>
      <w:r>
        <w:rPr>
          <w:rFonts w:cstheme="minorHAnsi"/>
        </w:rPr>
        <w:t xml:space="preserve"> aims to achieve this via:</w:t>
      </w:r>
    </w:p>
    <w:p w:rsidR="00055517" w:rsidRDefault="00055517" w:rsidP="00B83639">
      <w:pPr>
        <w:shd w:val="clear" w:color="auto" w:fill="FFFFFF"/>
        <w:spacing w:after="0"/>
        <w:jc w:val="both"/>
        <w:rPr>
          <w:rFonts w:cstheme="minorHAnsi"/>
        </w:rPr>
      </w:pPr>
    </w:p>
    <w:p w:rsidR="003811C7" w:rsidRDefault="003811C7" w:rsidP="004B44ED">
      <w:pPr>
        <w:pStyle w:val="ListParagraph"/>
        <w:numPr>
          <w:ilvl w:val="0"/>
          <w:numId w:val="22"/>
        </w:numPr>
        <w:shd w:val="clear" w:color="auto" w:fill="FFFFFF"/>
        <w:spacing w:after="0"/>
        <w:jc w:val="both"/>
        <w:rPr>
          <w:rFonts w:cstheme="minorHAnsi"/>
        </w:rPr>
      </w:pPr>
      <w:r>
        <w:rPr>
          <w:rFonts w:cstheme="minorHAnsi"/>
        </w:rPr>
        <w:t>The automatic recognition of the union as the bargaining representa</w:t>
      </w:r>
      <w:r w:rsidR="001F74EA">
        <w:rPr>
          <w:rFonts w:cstheme="minorHAnsi"/>
        </w:rPr>
        <w:t>tive for its members</w:t>
      </w:r>
      <w:r w:rsidR="00605359">
        <w:rPr>
          <w:rFonts w:cstheme="minorHAnsi"/>
        </w:rPr>
        <w:t xml:space="preserve"> </w:t>
      </w:r>
      <w:r w:rsidR="0063131E" w:rsidRPr="00BA64CD">
        <w:rPr>
          <w:rStyle w:val="FootnoteReference"/>
          <w:rFonts w:asciiTheme="minorHAnsi" w:hAnsiTheme="minorHAnsi" w:cstheme="minorHAnsi"/>
        </w:rPr>
        <w:footnoteReference w:id="4"/>
      </w:r>
      <w:r w:rsidR="00EA4A00">
        <w:rPr>
          <w:rFonts w:cstheme="minorHAnsi"/>
        </w:rPr>
        <w:t>;</w:t>
      </w:r>
      <w:r w:rsidR="001F74EA">
        <w:rPr>
          <w:rFonts w:cstheme="minorHAnsi"/>
        </w:rPr>
        <w:t xml:space="preserve"> </w:t>
      </w:r>
    </w:p>
    <w:p w:rsidR="003811C7" w:rsidRDefault="003811C7" w:rsidP="004B44ED">
      <w:pPr>
        <w:pStyle w:val="ListParagraph"/>
        <w:numPr>
          <w:ilvl w:val="0"/>
          <w:numId w:val="22"/>
        </w:numPr>
        <w:shd w:val="clear" w:color="auto" w:fill="FFFFFF"/>
        <w:spacing w:after="0"/>
        <w:jc w:val="both"/>
        <w:rPr>
          <w:rFonts w:cstheme="minorHAnsi"/>
        </w:rPr>
      </w:pPr>
      <w:r>
        <w:rPr>
          <w:rFonts w:cstheme="minorHAnsi"/>
        </w:rPr>
        <w:t>Good faith bargaining obligations and the potential for bargaining orders (including majority support and scope orders) to enforce those ri</w:t>
      </w:r>
      <w:r w:rsidR="00BA64CD">
        <w:rPr>
          <w:rFonts w:cstheme="minorHAnsi"/>
        </w:rPr>
        <w:t>ghts and obligations</w:t>
      </w:r>
      <w:r w:rsidR="00605359">
        <w:rPr>
          <w:rFonts w:cstheme="minorHAnsi"/>
        </w:rPr>
        <w:t xml:space="preserve"> </w:t>
      </w:r>
      <w:r w:rsidR="00BA64CD" w:rsidRPr="004675C1">
        <w:rPr>
          <w:rStyle w:val="FootnoteReference"/>
          <w:rFonts w:asciiTheme="minorHAnsi" w:hAnsiTheme="minorHAnsi" w:cstheme="minorHAnsi"/>
        </w:rPr>
        <w:footnoteReference w:id="5"/>
      </w:r>
      <w:r w:rsidR="00EA4A00">
        <w:rPr>
          <w:rFonts w:cstheme="minorHAnsi"/>
        </w:rPr>
        <w:t>;</w:t>
      </w:r>
    </w:p>
    <w:p w:rsidR="003811C7" w:rsidRDefault="003C7C17" w:rsidP="004B44ED">
      <w:pPr>
        <w:pStyle w:val="ListParagraph"/>
        <w:numPr>
          <w:ilvl w:val="0"/>
          <w:numId w:val="22"/>
        </w:numPr>
        <w:shd w:val="clear" w:color="auto" w:fill="FFFFFF"/>
        <w:spacing w:after="0"/>
        <w:jc w:val="both"/>
        <w:rPr>
          <w:rFonts w:cstheme="minorHAnsi"/>
        </w:rPr>
      </w:pPr>
      <w:r>
        <w:rPr>
          <w:rFonts w:cstheme="minorHAnsi"/>
        </w:rPr>
        <w:t>Removing statutory individual contracts which were often used to undercut wages and conditions in awards and collective agreements</w:t>
      </w:r>
      <w:r w:rsidR="00EA4A00">
        <w:rPr>
          <w:rFonts w:cstheme="minorHAnsi"/>
        </w:rPr>
        <w:t>;</w:t>
      </w:r>
    </w:p>
    <w:p w:rsidR="003C7C17" w:rsidRDefault="003C7C17" w:rsidP="004B44ED">
      <w:pPr>
        <w:pStyle w:val="ListParagraph"/>
        <w:numPr>
          <w:ilvl w:val="0"/>
          <w:numId w:val="22"/>
        </w:numPr>
        <w:shd w:val="clear" w:color="auto" w:fill="FFFFFF"/>
        <w:spacing w:after="0"/>
        <w:jc w:val="both"/>
        <w:rPr>
          <w:rFonts w:cstheme="minorHAnsi"/>
        </w:rPr>
      </w:pPr>
      <w:r>
        <w:rPr>
          <w:rFonts w:cstheme="minorHAnsi"/>
        </w:rPr>
        <w:t xml:space="preserve">Establishing general protections for employees to ensure they are free from adverse action because of their involvement in bargaining </w:t>
      </w:r>
      <w:r w:rsidR="001334F4">
        <w:rPr>
          <w:rFonts w:cstheme="minorHAnsi"/>
        </w:rPr>
        <w:t>or union activities</w:t>
      </w:r>
      <w:r w:rsidR="00605359">
        <w:rPr>
          <w:rFonts w:cstheme="minorHAnsi"/>
        </w:rPr>
        <w:t xml:space="preserve"> </w:t>
      </w:r>
      <w:r w:rsidR="001334F4" w:rsidRPr="004675C1">
        <w:rPr>
          <w:rStyle w:val="FootnoteReference"/>
          <w:rFonts w:asciiTheme="minorHAnsi" w:hAnsiTheme="minorHAnsi" w:cstheme="minorHAnsi"/>
        </w:rPr>
        <w:footnoteReference w:id="6"/>
      </w:r>
      <w:r w:rsidR="00EA4A00">
        <w:rPr>
          <w:rFonts w:cstheme="minorHAnsi"/>
        </w:rPr>
        <w:t>;</w:t>
      </w:r>
    </w:p>
    <w:p w:rsidR="00795B08" w:rsidRDefault="00795B08" w:rsidP="004B44ED">
      <w:pPr>
        <w:pStyle w:val="ListParagraph"/>
        <w:numPr>
          <w:ilvl w:val="0"/>
          <w:numId w:val="22"/>
        </w:numPr>
        <w:shd w:val="clear" w:color="auto" w:fill="FFFFFF"/>
        <w:spacing w:after="0"/>
        <w:jc w:val="both"/>
        <w:rPr>
          <w:rFonts w:cstheme="minorHAnsi"/>
        </w:rPr>
      </w:pPr>
      <w:r>
        <w:rPr>
          <w:rFonts w:cstheme="minorHAnsi"/>
        </w:rPr>
        <w:t>Restoring unfair dismissal remedies</w:t>
      </w:r>
      <w:r w:rsidR="00605359">
        <w:rPr>
          <w:rFonts w:cstheme="minorHAnsi"/>
        </w:rPr>
        <w:t xml:space="preserve"> </w:t>
      </w:r>
      <w:r w:rsidR="00C0662B" w:rsidRPr="004675C1">
        <w:rPr>
          <w:rStyle w:val="FootnoteReference"/>
          <w:rFonts w:asciiTheme="minorHAnsi" w:hAnsiTheme="minorHAnsi" w:cstheme="minorHAnsi"/>
        </w:rPr>
        <w:footnoteReference w:id="7"/>
      </w:r>
      <w:r w:rsidR="00EA4A00">
        <w:rPr>
          <w:rFonts w:cstheme="minorHAnsi"/>
        </w:rPr>
        <w:t>; and</w:t>
      </w:r>
    </w:p>
    <w:p w:rsidR="00795B08" w:rsidRDefault="00795B08" w:rsidP="004B44ED">
      <w:pPr>
        <w:pStyle w:val="ListParagraph"/>
        <w:numPr>
          <w:ilvl w:val="0"/>
          <w:numId w:val="22"/>
        </w:numPr>
        <w:shd w:val="clear" w:color="auto" w:fill="FFFFFF"/>
        <w:spacing w:after="0"/>
        <w:jc w:val="both"/>
        <w:rPr>
          <w:rFonts w:cstheme="minorHAnsi"/>
        </w:rPr>
      </w:pPr>
      <w:r>
        <w:rPr>
          <w:rFonts w:cstheme="minorHAnsi"/>
        </w:rPr>
        <w:t>Establishing the National Employment Standards</w:t>
      </w:r>
      <w:r w:rsidR="00605359">
        <w:rPr>
          <w:rFonts w:cstheme="minorHAnsi"/>
        </w:rPr>
        <w:t xml:space="preserve"> </w:t>
      </w:r>
      <w:r w:rsidR="00B30859" w:rsidRPr="004675C1">
        <w:rPr>
          <w:rStyle w:val="FootnoteReference"/>
          <w:rFonts w:asciiTheme="minorHAnsi" w:hAnsiTheme="minorHAnsi" w:cstheme="minorHAnsi"/>
        </w:rPr>
        <w:footnoteReference w:id="8"/>
      </w:r>
      <w:r>
        <w:rPr>
          <w:rFonts w:cstheme="minorHAnsi"/>
        </w:rPr>
        <w:t xml:space="preserve"> and </w:t>
      </w:r>
      <w:r w:rsidR="00E443E2">
        <w:rPr>
          <w:rFonts w:cstheme="minorHAnsi"/>
        </w:rPr>
        <w:t xml:space="preserve">reinstating the role of Awards in the safety </w:t>
      </w:r>
      <w:proofErr w:type="gramStart"/>
      <w:r w:rsidR="00E443E2">
        <w:rPr>
          <w:rFonts w:cstheme="minorHAnsi"/>
        </w:rPr>
        <w:t>net</w:t>
      </w:r>
      <w:r w:rsidR="00605359">
        <w:rPr>
          <w:rFonts w:cstheme="minorHAnsi"/>
        </w:rPr>
        <w:t xml:space="preserve"> </w:t>
      </w:r>
      <w:proofErr w:type="gramEnd"/>
      <w:r w:rsidR="00B30859" w:rsidRPr="004675C1">
        <w:rPr>
          <w:rStyle w:val="FootnoteReference"/>
          <w:rFonts w:asciiTheme="minorHAnsi" w:hAnsiTheme="minorHAnsi" w:cstheme="minorHAnsi"/>
        </w:rPr>
        <w:footnoteReference w:id="9"/>
      </w:r>
      <w:r w:rsidR="00EA4A00">
        <w:rPr>
          <w:rFonts w:cstheme="minorHAnsi"/>
        </w:rPr>
        <w:t>.</w:t>
      </w:r>
      <w:r w:rsidR="00740D63">
        <w:rPr>
          <w:rFonts w:cstheme="minorHAnsi"/>
        </w:rPr>
        <w:t xml:space="preserve"> </w:t>
      </w:r>
    </w:p>
    <w:p w:rsidR="00E90FDD" w:rsidRDefault="00E90FDD" w:rsidP="00E90FDD">
      <w:pPr>
        <w:shd w:val="clear" w:color="auto" w:fill="FFFFFF"/>
        <w:spacing w:after="0"/>
        <w:jc w:val="both"/>
        <w:rPr>
          <w:rFonts w:cstheme="minorHAnsi"/>
        </w:rPr>
      </w:pPr>
    </w:p>
    <w:p w:rsidR="00E90FDD" w:rsidRDefault="00E90FDD" w:rsidP="00E90FDD">
      <w:pPr>
        <w:shd w:val="clear" w:color="auto" w:fill="FFFFFF"/>
        <w:spacing w:after="0"/>
        <w:jc w:val="both"/>
        <w:rPr>
          <w:rFonts w:cstheme="minorHAnsi"/>
        </w:rPr>
      </w:pPr>
      <w:r>
        <w:rPr>
          <w:rFonts w:cstheme="minorHAnsi"/>
        </w:rPr>
        <w:t>The CPSU supports these elements of the system</w:t>
      </w:r>
      <w:r w:rsidR="00BF21CD">
        <w:rPr>
          <w:rFonts w:cstheme="minorHAnsi"/>
        </w:rPr>
        <w:t xml:space="preserve">. However, </w:t>
      </w:r>
      <w:r w:rsidR="00B067CF">
        <w:rPr>
          <w:rFonts w:cstheme="minorHAnsi"/>
        </w:rPr>
        <w:t xml:space="preserve">in too many instances </w:t>
      </w:r>
      <w:r w:rsidR="00BF21CD">
        <w:rPr>
          <w:rFonts w:cstheme="minorHAnsi"/>
        </w:rPr>
        <w:t xml:space="preserve">Australian workers </w:t>
      </w:r>
      <w:r w:rsidR="00B067CF">
        <w:rPr>
          <w:rFonts w:cstheme="minorHAnsi"/>
        </w:rPr>
        <w:t xml:space="preserve">have not </w:t>
      </w:r>
      <w:r w:rsidR="00BF21CD">
        <w:rPr>
          <w:rFonts w:cstheme="minorHAnsi"/>
        </w:rPr>
        <w:t>enjoy</w:t>
      </w:r>
      <w:r w:rsidR="00B067CF">
        <w:rPr>
          <w:rFonts w:cstheme="minorHAnsi"/>
        </w:rPr>
        <w:t>ed</w:t>
      </w:r>
      <w:r w:rsidR="00BF21CD">
        <w:rPr>
          <w:rFonts w:cstheme="minorHAnsi"/>
        </w:rPr>
        <w:t xml:space="preserve"> the full protection intended to be provided by the Act. </w:t>
      </w:r>
      <w:r w:rsidR="00E16685">
        <w:rPr>
          <w:rFonts w:cstheme="minorHAnsi"/>
        </w:rPr>
        <w:t xml:space="preserve">These cases demonstrate </w:t>
      </w:r>
      <w:r w:rsidR="00BF21CD">
        <w:rPr>
          <w:rFonts w:cstheme="minorHAnsi"/>
        </w:rPr>
        <w:t xml:space="preserve">the need to make substantial improvements to the </w:t>
      </w:r>
      <w:r w:rsidR="000E1211">
        <w:rPr>
          <w:rFonts w:cstheme="minorHAnsi"/>
        </w:rPr>
        <w:t>system</w:t>
      </w:r>
      <w:r w:rsidR="00BF21CD">
        <w:rPr>
          <w:rFonts w:cstheme="minorHAnsi"/>
        </w:rPr>
        <w:t xml:space="preserve">. </w:t>
      </w:r>
    </w:p>
    <w:p w:rsidR="00186E41" w:rsidRDefault="00186E41" w:rsidP="00E90FDD">
      <w:pPr>
        <w:shd w:val="clear" w:color="auto" w:fill="FFFFFF"/>
        <w:spacing w:after="0"/>
        <w:jc w:val="both"/>
        <w:rPr>
          <w:rFonts w:cstheme="minorHAnsi"/>
        </w:rPr>
      </w:pPr>
    </w:p>
    <w:p w:rsidR="00E90FDD" w:rsidRDefault="00E90FDD" w:rsidP="00B83639">
      <w:pPr>
        <w:shd w:val="clear" w:color="auto" w:fill="FFFFFF"/>
        <w:spacing w:after="0"/>
        <w:jc w:val="both"/>
        <w:rPr>
          <w:rFonts w:asciiTheme="majorHAnsi" w:hAnsiTheme="majorHAnsi" w:cstheme="minorHAnsi"/>
          <w:b/>
          <w:sz w:val="28"/>
          <w:szCs w:val="28"/>
        </w:rPr>
      </w:pPr>
    </w:p>
    <w:p w:rsidR="00220FB3" w:rsidRDefault="00220FB3" w:rsidP="00B83639">
      <w:pPr>
        <w:shd w:val="clear" w:color="auto" w:fill="FFFFFF"/>
        <w:spacing w:after="0"/>
        <w:jc w:val="both"/>
        <w:rPr>
          <w:rFonts w:asciiTheme="majorHAnsi" w:hAnsiTheme="majorHAnsi" w:cstheme="minorHAnsi"/>
          <w:b/>
          <w:sz w:val="28"/>
          <w:szCs w:val="28"/>
        </w:rPr>
      </w:pPr>
    </w:p>
    <w:p w:rsidR="00180F3F" w:rsidRPr="00661CE3" w:rsidRDefault="00180F3F" w:rsidP="00B83639">
      <w:pPr>
        <w:shd w:val="clear" w:color="auto" w:fill="FFFFFF"/>
        <w:spacing w:after="0"/>
        <w:jc w:val="both"/>
        <w:rPr>
          <w:rFonts w:asciiTheme="majorHAnsi" w:hAnsiTheme="majorHAnsi" w:cstheme="minorHAnsi"/>
          <w:b/>
          <w:sz w:val="28"/>
          <w:szCs w:val="28"/>
        </w:rPr>
      </w:pPr>
      <w:r w:rsidRPr="00661CE3">
        <w:rPr>
          <w:rFonts w:asciiTheme="majorHAnsi" w:hAnsiTheme="majorHAnsi" w:cstheme="minorHAnsi"/>
          <w:b/>
          <w:sz w:val="28"/>
          <w:szCs w:val="28"/>
        </w:rPr>
        <w:t xml:space="preserve">Bargaining under the </w:t>
      </w:r>
      <w:r w:rsidRPr="00786F6A">
        <w:rPr>
          <w:rFonts w:asciiTheme="majorHAnsi" w:hAnsiTheme="majorHAnsi" w:cstheme="minorHAnsi"/>
          <w:b/>
          <w:i/>
          <w:sz w:val="28"/>
          <w:szCs w:val="28"/>
        </w:rPr>
        <w:t>Fair Work Act</w:t>
      </w:r>
      <w:r w:rsidRPr="00661CE3">
        <w:rPr>
          <w:rFonts w:asciiTheme="majorHAnsi" w:hAnsiTheme="majorHAnsi" w:cstheme="minorHAnsi"/>
          <w:b/>
          <w:sz w:val="28"/>
          <w:szCs w:val="28"/>
        </w:rPr>
        <w:t xml:space="preserve"> </w:t>
      </w:r>
    </w:p>
    <w:p w:rsidR="00FE26A5" w:rsidRPr="00470917" w:rsidRDefault="00FE26A5" w:rsidP="00B83639">
      <w:pPr>
        <w:shd w:val="clear" w:color="auto" w:fill="FFFFFF"/>
        <w:spacing w:after="0"/>
        <w:jc w:val="both"/>
        <w:rPr>
          <w:rFonts w:cstheme="minorHAnsi"/>
          <w:b/>
        </w:rPr>
      </w:pPr>
    </w:p>
    <w:p w:rsidR="00EE6E88" w:rsidRDefault="00EE6E88" w:rsidP="00EE6E88">
      <w:pPr>
        <w:shd w:val="clear" w:color="auto" w:fill="FFFFFF"/>
        <w:spacing w:after="0"/>
        <w:jc w:val="both"/>
        <w:rPr>
          <w:rFonts w:cstheme="minorHAnsi"/>
        </w:rPr>
      </w:pPr>
      <w:r>
        <w:rPr>
          <w:rFonts w:cstheme="minorHAnsi"/>
        </w:rPr>
        <w:t xml:space="preserve">The </w:t>
      </w:r>
      <w:r w:rsidR="00655302" w:rsidRPr="00655302">
        <w:rPr>
          <w:rFonts w:cstheme="minorHAnsi"/>
        </w:rPr>
        <w:t>Act</w:t>
      </w:r>
      <w:r w:rsidR="00655302">
        <w:rPr>
          <w:rFonts w:cstheme="minorHAnsi"/>
          <w:i/>
        </w:rPr>
        <w:t xml:space="preserve"> </w:t>
      </w:r>
      <w:r>
        <w:rPr>
          <w:rFonts w:cstheme="minorHAnsi"/>
        </w:rPr>
        <w:t xml:space="preserve">provides a system of collective enterprise bargaining for national system </w:t>
      </w:r>
      <w:proofErr w:type="gramStart"/>
      <w:r>
        <w:rPr>
          <w:rFonts w:cstheme="minorHAnsi"/>
        </w:rPr>
        <w:t>employees</w:t>
      </w:r>
      <w:r w:rsidR="00605359">
        <w:rPr>
          <w:rFonts w:cstheme="minorHAnsi"/>
        </w:rPr>
        <w:t xml:space="preserve"> </w:t>
      </w:r>
      <w:proofErr w:type="gramEnd"/>
      <w:r w:rsidR="00CD6DBF" w:rsidRPr="00605359">
        <w:rPr>
          <w:rStyle w:val="FootnoteReference"/>
          <w:rFonts w:asciiTheme="minorHAnsi" w:hAnsiTheme="minorHAnsi" w:cstheme="minorHAnsi"/>
          <w:szCs w:val="20"/>
          <w:vertAlign w:val="superscript"/>
        </w:rPr>
        <w:footnoteReference w:id="10"/>
      </w:r>
      <w:r w:rsidR="00055517" w:rsidRPr="0029366A">
        <w:rPr>
          <w:rFonts w:cstheme="minorHAnsi"/>
          <w:sz w:val="20"/>
          <w:szCs w:val="20"/>
        </w:rPr>
        <w:t xml:space="preserve">, </w:t>
      </w:r>
      <w:r w:rsidR="00055517">
        <w:rPr>
          <w:rFonts w:cstheme="minorHAnsi"/>
        </w:rPr>
        <w:t xml:space="preserve">and </w:t>
      </w:r>
      <w:r>
        <w:rPr>
          <w:rFonts w:cstheme="minorHAnsi"/>
        </w:rPr>
        <w:t>recognition of the right of employees to bargain collectively for their wages and conditions</w:t>
      </w:r>
      <w:r w:rsidRPr="000559E8">
        <w:rPr>
          <w:rStyle w:val="FootnoteReference"/>
          <w:rFonts w:asciiTheme="minorHAnsi" w:hAnsiTheme="minorHAnsi" w:cstheme="minorHAnsi"/>
          <w:szCs w:val="20"/>
        </w:rPr>
        <w:footnoteReference w:id="11"/>
      </w:r>
      <w:r>
        <w:rPr>
          <w:rFonts w:cstheme="minorHAnsi"/>
        </w:rPr>
        <w:t>. The CPSU supports this legislatively enshrine</w:t>
      </w:r>
      <w:r w:rsidR="00A70580">
        <w:rPr>
          <w:rFonts w:cstheme="minorHAnsi"/>
        </w:rPr>
        <w:t xml:space="preserve">d right to collectively bargain. However, </w:t>
      </w:r>
      <w:r>
        <w:rPr>
          <w:rFonts w:cstheme="minorHAnsi"/>
        </w:rPr>
        <w:t xml:space="preserve">the provisions of the Act </w:t>
      </w:r>
      <w:r w:rsidR="00A70580">
        <w:rPr>
          <w:rFonts w:cstheme="minorHAnsi"/>
        </w:rPr>
        <w:t xml:space="preserve">that give effect to collective bargaining </w:t>
      </w:r>
      <w:r>
        <w:rPr>
          <w:rFonts w:cstheme="minorHAnsi"/>
        </w:rPr>
        <w:t xml:space="preserve">are </w:t>
      </w:r>
      <w:r w:rsidR="00197F01">
        <w:rPr>
          <w:rFonts w:cstheme="minorHAnsi"/>
        </w:rPr>
        <w:t>procedural in nature</w:t>
      </w:r>
      <w:r>
        <w:rPr>
          <w:rFonts w:cstheme="minorHAnsi"/>
        </w:rPr>
        <w:t xml:space="preserve"> </w:t>
      </w:r>
      <w:r w:rsidR="00197F01">
        <w:rPr>
          <w:rFonts w:cstheme="minorHAnsi"/>
        </w:rPr>
        <w:t xml:space="preserve">and </w:t>
      </w:r>
      <w:r>
        <w:rPr>
          <w:rFonts w:cstheme="minorHAnsi"/>
        </w:rPr>
        <w:t>do not necessarily assist the parties in reaching a bargaining outcome.</w:t>
      </w:r>
    </w:p>
    <w:p w:rsidR="00A70580" w:rsidRDefault="00A70580" w:rsidP="00EE6E88">
      <w:pPr>
        <w:shd w:val="clear" w:color="auto" w:fill="FFFFFF"/>
        <w:spacing w:after="0"/>
        <w:jc w:val="both"/>
        <w:rPr>
          <w:rFonts w:cstheme="minorHAnsi"/>
        </w:rPr>
      </w:pPr>
    </w:p>
    <w:p w:rsidR="00497B61" w:rsidRDefault="00497B61" w:rsidP="00EE6E88">
      <w:pPr>
        <w:shd w:val="clear" w:color="auto" w:fill="FFFFFF"/>
        <w:spacing w:after="0"/>
        <w:jc w:val="both"/>
        <w:rPr>
          <w:rFonts w:cstheme="minorHAnsi"/>
        </w:rPr>
      </w:pPr>
    </w:p>
    <w:p w:rsidR="00696B32" w:rsidRDefault="00696B32" w:rsidP="00EE6E88">
      <w:pPr>
        <w:shd w:val="clear" w:color="auto" w:fill="FFFFFF"/>
        <w:spacing w:after="0"/>
        <w:jc w:val="both"/>
        <w:rPr>
          <w:rFonts w:cstheme="minorHAnsi"/>
        </w:rPr>
      </w:pPr>
    </w:p>
    <w:p w:rsidR="00A70580" w:rsidRDefault="002B49DA" w:rsidP="00EE6E88">
      <w:pPr>
        <w:shd w:val="clear" w:color="auto" w:fill="FFFFFF"/>
        <w:spacing w:after="0"/>
        <w:jc w:val="both"/>
        <w:rPr>
          <w:rFonts w:cstheme="minorHAnsi"/>
        </w:rPr>
      </w:pPr>
      <w:r>
        <w:rPr>
          <w:rFonts w:cstheme="minorHAnsi"/>
        </w:rPr>
        <w:t xml:space="preserve">The difficulties faced by Australian workers in negotiating their pay and conditions include: </w:t>
      </w:r>
    </w:p>
    <w:p w:rsidR="00A70580" w:rsidRDefault="00A70580" w:rsidP="00EE6E88">
      <w:pPr>
        <w:shd w:val="clear" w:color="auto" w:fill="FFFFFF"/>
        <w:spacing w:after="0"/>
        <w:jc w:val="both"/>
        <w:rPr>
          <w:rFonts w:cstheme="minorHAnsi"/>
        </w:rPr>
      </w:pPr>
    </w:p>
    <w:p w:rsidR="00B578AD" w:rsidRDefault="00923F46" w:rsidP="00F57BDD">
      <w:pPr>
        <w:pStyle w:val="ListParagraph"/>
        <w:numPr>
          <w:ilvl w:val="0"/>
          <w:numId w:val="22"/>
        </w:numPr>
        <w:shd w:val="clear" w:color="auto" w:fill="FFFFFF"/>
        <w:spacing w:after="0"/>
        <w:jc w:val="both"/>
        <w:rPr>
          <w:rFonts w:cstheme="minorHAnsi"/>
        </w:rPr>
      </w:pPr>
      <w:r>
        <w:rPr>
          <w:rFonts w:cstheme="minorHAnsi"/>
        </w:rPr>
        <w:t>G</w:t>
      </w:r>
      <w:r w:rsidR="00F57BDD">
        <w:rPr>
          <w:rFonts w:cstheme="minorHAnsi"/>
        </w:rPr>
        <w:t>et</w:t>
      </w:r>
      <w:r w:rsidR="00C01D98">
        <w:rPr>
          <w:rFonts w:cstheme="minorHAnsi"/>
        </w:rPr>
        <w:t>ting</w:t>
      </w:r>
      <w:r w:rsidR="00F57BDD">
        <w:rPr>
          <w:rFonts w:cstheme="minorHAnsi"/>
        </w:rPr>
        <w:t xml:space="preserve"> bargaining started where the employer does not wish to negotiate</w:t>
      </w:r>
      <w:r w:rsidR="00EA4A00">
        <w:rPr>
          <w:rFonts w:cstheme="minorHAnsi"/>
        </w:rPr>
        <w:t>;</w:t>
      </w:r>
    </w:p>
    <w:p w:rsidR="00F57BDD" w:rsidRDefault="00C01D98" w:rsidP="00F57BDD">
      <w:pPr>
        <w:pStyle w:val="ListParagraph"/>
        <w:numPr>
          <w:ilvl w:val="0"/>
          <w:numId w:val="22"/>
        </w:numPr>
        <w:shd w:val="clear" w:color="auto" w:fill="FFFFFF"/>
        <w:spacing w:after="0"/>
        <w:jc w:val="both"/>
        <w:rPr>
          <w:rFonts w:cstheme="minorHAnsi"/>
        </w:rPr>
      </w:pPr>
      <w:r>
        <w:rPr>
          <w:rFonts w:cstheme="minorHAnsi"/>
        </w:rPr>
        <w:t>Resolving bargaining w</w:t>
      </w:r>
      <w:r w:rsidR="00F57BDD">
        <w:rPr>
          <w:rFonts w:cstheme="minorHAnsi"/>
        </w:rPr>
        <w:t>here an employer has no</w:t>
      </w:r>
      <w:r>
        <w:rPr>
          <w:rFonts w:cstheme="minorHAnsi"/>
        </w:rPr>
        <w:t xml:space="preserve"> interest in reaching agreement</w:t>
      </w:r>
      <w:r w:rsidR="00EA4A00">
        <w:rPr>
          <w:rFonts w:cstheme="minorHAnsi"/>
        </w:rPr>
        <w:t>;</w:t>
      </w:r>
      <w:r>
        <w:rPr>
          <w:rFonts w:cstheme="minorHAnsi"/>
        </w:rPr>
        <w:t xml:space="preserve"> </w:t>
      </w:r>
    </w:p>
    <w:p w:rsidR="00F57BDD" w:rsidRDefault="00923F46" w:rsidP="00F57BDD">
      <w:pPr>
        <w:pStyle w:val="ListParagraph"/>
        <w:numPr>
          <w:ilvl w:val="0"/>
          <w:numId w:val="22"/>
        </w:numPr>
        <w:shd w:val="clear" w:color="auto" w:fill="FFFFFF"/>
        <w:spacing w:after="0"/>
        <w:jc w:val="both"/>
        <w:rPr>
          <w:rFonts w:cstheme="minorHAnsi"/>
        </w:rPr>
      </w:pPr>
      <w:r>
        <w:rPr>
          <w:rFonts w:cstheme="minorHAnsi"/>
        </w:rPr>
        <w:t>Very l</w:t>
      </w:r>
      <w:r w:rsidR="00C01D98">
        <w:rPr>
          <w:rFonts w:cstheme="minorHAnsi"/>
        </w:rPr>
        <w:t xml:space="preserve">imited </w:t>
      </w:r>
      <w:r>
        <w:rPr>
          <w:rFonts w:cstheme="minorHAnsi"/>
        </w:rPr>
        <w:t xml:space="preserve">assistance from the </w:t>
      </w:r>
      <w:r w:rsidR="00F57BDD">
        <w:rPr>
          <w:rFonts w:cstheme="minorHAnsi"/>
        </w:rPr>
        <w:t xml:space="preserve">Fair Work Commission </w:t>
      </w:r>
      <w:r w:rsidR="00897EE5">
        <w:rPr>
          <w:rFonts w:cstheme="minorHAnsi"/>
        </w:rPr>
        <w:t>to resolve deadlock</w:t>
      </w:r>
      <w:r w:rsidR="00C87BF9">
        <w:rPr>
          <w:rFonts w:cstheme="minorHAnsi"/>
        </w:rPr>
        <w:t>s</w:t>
      </w:r>
      <w:r>
        <w:rPr>
          <w:rFonts w:cstheme="minorHAnsi"/>
        </w:rPr>
        <w:t xml:space="preserve"> in </w:t>
      </w:r>
      <w:r w:rsidR="00F57BDD">
        <w:rPr>
          <w:rFonts w:cstheme="minorHAnsi"/>
        </w:rPr>
        <w:t xml:space="preserve">bargaining </w:t>
      </w:r>
      <w:r w:rsidR="002E32F1">
        <w:rPr>
          <w:rFonts w:cstheme="minorHAnsi"/>
        </w:rPr>
        <w:t xml:space="preserve"> </w:t>
      </w:r>
    </w:p>
    <w:p w:rsidR="002E32F1" w:rsidRDefault="00923F46" w:rsidP="00F57BDD">
      <w:pPr>
        <w:pStyle w:val="ListParagraph"/>
        <w:numPr>
          <w:ilvl w:val="0"/>
          <w:numId w:val="22"/>
        </w:numPr>
        <w:shd w:val="clear" w:color="auto" w:fill="FFFFFF"/>
        <w:spacing w:after="0"/>
        <w:jc w:val="both"/>
        <w:rPr>
          <w:rFonts w:cstheme="minorHAnsi"/>
        </w:rPr>
      </w:pPr>
      <w:r>
        <w:rPr>
          <w:rFonts w:cstheme="minorHAnsi"/>
        </w:rPr>
        <w:t xml:space="preserve">Ensuring their basic right to be represented </w:t>
      </w:r>
      <w:r w:rsidR="00A0373D">
        <w:rPr>
          <w:rFonts w:cstheme="minorHAnsi"/>
        </w:rPr>
        <w:t>is respected</w:t>
      </w:r>
      <w:r w:rsidR="00EA4A00">
        <w:rPr>
          <w:rFonts w:cstheme="minorHAnsi"/>
        </w:rPr>
        <w:t>; and</w:t>
      </w:r>
    </w:p>
    <w:p w:rsidR="002E32F1" w:rsidRDefault="00A0373D" w:rsidP="00F57BDD">
      <w:pPr>
        <w:pStyle w:val="ListParagraph"/>
        <w:numPr>
          <w:ilvl w:val="0"/>
          <w:numId w:val="22"/>
        </w:numPr>
        <w:shd w:val="clear" w:color="auto" w:fill="FFFFFF"/>
        <w:spacing w:after="0"/>
        <w:jc w:val="both"/>
        <w:rPr>
          <w:rFonts w:cstheme="minorHAnsi"/>
        </w:rPr>
      </w:pPr>
      <w:r>
        <w:rPr>
          <w:rFonts w:cstheme="minorHAnsi"/>
        </w:rPr>
        <w:t>Limited options to pursue claims</w:t>
      </w:r>
      <w:r w:rsidR="00446D11">
        <w:rPr>
          <w:rFonts w:cstheme="minorHAnsi"/>
        </w:rPr>
        <w:t xml:space="preserve"> compared with the </w:t>
      </w:r>
      <w:r>
        <w:rPr>
          <w:rFonts w:cstheme="minorHAnsi"/>
        </w:rPr>
        <w:t>significant power wielded by employers</w:t>
      </w:r>
      <w:r w:rsidR="00EA4A00">
        <w:rPr>
          <w:rFonts w:cstheme="minorHAnsi"/>
        </w:rPr>
        <w:t>.</w:t>
      </w:r>
      <w:r w:rsidR="002E32F1">
        <w:rPr>
          <w:rFonts w:cstheme="minorHAnsi"/>
        </w:rPr>
        <w:t xml:space="preserve"> </w:t>
      </w:r>
    </w:p>
    <w:p w:rsidR="002E32F1" w:rsidRPr="00F57BDD" w:rsidRDefault="002E32F1" w:rsidP="002E32F1">
      <w:pPr>
        <w:pStyle w:val="ListParagraph"/>
        <w:shd w:val="clear" w:color="auto" w:fill="FFFFFF"/>
        <w:spacing w:after="0"/>
        <w:jc w:val="both"/>
        <w:rPr>
          <w:rFonts w:cstheme="minorHAnsi"/>
        </w:rPr>
      </w:pPr>
    </w:p>
    <w:p w:rsidR="00296071" w:rsidRDefault="007977EB" w:rsidP="00EE6E88">
      <w:pPr>
        <w:shd w:val="clear" w:color="auto" w:fill="FFFFFF"/>
        <w:spacing w:after="0"/>
        <w:jc w:val="both"/>
        <w:rPr>
          <w:rFonts w:cstheme="minorHAnsi"/>
        </w:rPr>
      </w:pPr>
      <w:r>
        <w:rPr>
          <w:rFonts w:cstheme="minorHAnsi"/>
        </w:rPr>
        <w:t>These issues are</w:t>
      </w:r>
      <w:r w:rsidR="006A0C10">
        <w:rPr>
          <w:rFonts w:cstheme="minorHAnsi"/>
        </w:rPr>
        <w:t xml:space="preserve"> being experienced by </w:t>
      </w:r>
      <w:r w:rsidR="00C87BF9">
        <w:rPr>
          <w:rFonts w:cstheme="minorHAnsi"/>
        </w:rPr>
        <w:t>many</w:t>
      </w:r>
      <w:r w:rsidR="002E32F1">
        <w:rPr>
          <w:rFonts w:cstheme="minorHAnsi"/>
        </w:rPr>
        <w:t xml:space="preserve"> CPSU members currently engaged in collective bargaining for agreements in the Commonwealth public sector. </w:t>
      </w:r>
      <w:r>
        <w:rPr>
          <w:rFonts w:cstheme="minorHAnsi"/>
        </w:rPr>
        <w:t xml:space="preserve">Bargaining is </w:t>
      </w:r>
      <w:r w:rsidR="00296071">
        <w:rPr>
          <w:rFonts w:cstheme="minorHAnsi"/>
        </w:rPr>
        <w:t xml:space="preserve">underway or imminent for </w:t>
      </w:r>
      <w:r w:rsidR="005278A6">
        <w:rPr>
          <w:rFonts w:cstheme="minorHAnsi"/>
        </w:rPr>
        <w:t>Australian Public Service (</w:t>
      </w:r>
      <w:r w:rsidR="00296071">
        <w:rPr>
          <w:rFonts w:cstheme="minorHAnsi"/>
        </w:rPr>
        <w:t>APS</w:t>
      </w:r>
      <w:r w:rsidR="005278A6">
        <w:rPr>
          <w:rFonts w:cstheme="minorHAnsi"/>
        </w:rPr>
        <w:t>)</w:t>
      </w:r>
      <w:r w:rsidR="00296071">
        <w:rPr>
          <w:rFonts w:cstheme="minorHAnsi"/>
        </w:rPr>
        <w:t xml:space="preserve"> employees in 109 agencies </w:t>
      </w:r>
      <w:r w:rsidR="006A0C10">
        <w:rPr>
          <w:rFonts w:cstheme="minorHAnsi"/>
        </w:rPr>
        <w:t xml:space="preserve">with </w:t>
      </w:r>
      <w:r w:rsidR="00296071">
        <w:rPr>
          <w:rFonts w:cstheme="minorHAnsi"/>
        </w:rPr>
        <w:t>enterprise agreement</w:t>
      </w:r>
      <w:r w:rsidR="00D74B54">
        <w:rPr>
          <w:rFonts w:cstheme="minorHAnsi"/>
        </w:rPr>
        <w:t>s</w:t>
      </w:r>
      <w:r w:rsidR="00296071">
        <w:rPr>
          <w:rFonts w:cstheme="minorHAnsi"/>
        </w:rPr>
        <w:t xml:space="preserve"> that expired on 30</w:t>
      </w:r>
      <w:r w:rsidR="00296071" w:rsidRPr="002C6763">
        <w:rPr>
          <w:rFonts w:cstheme="minorHAnsi"/>
          <w:vertAlign w:val="superscript"/>
        </w:rPr>
        <w:t>th</w:t>
      </w:r>
      <w:r w:rsidR="00296071">
        <w:rPr>
          <w:rFonts w:cstheme="minorHAnsi"/>
        </w:rPr>
        <w:t xml:space="preserve"> June 2014, and for many broader federal public sector workers, </w:t>
      </w:r>
      <w:r w:rsidR="006A0C10">
        <w:rPr>
          <w:rFonts w:cstheme="minorHAnsi"/>
        </w:rPr>
        <w:t>including</w:t>
      </w:r>
      <w:r w:rsidR="00296071">
        <w:rPr>
          <w:rFonts w:cstheme="minorHAnsi"/>
        </w:rPr>
        <w:t xml:space="preserve"> employees in ANSTO, CSIRO, SBS and ABS Interviewers. The CPSU is a bargaining representative in these negotiations. This submission draws on the current round of Commonwealth bargaining to highlight aspects of the </w:t>
      </w:r>
      <w:r w:rsidR="002E32F1">
        <w:rPr>
          <w:rFonts w:cstheme="minorHAnsi"/>
        </w:rPr>
        <w:t xml:space="preserve">bargaining </w:t>
      </w:r>
      <w:r w:rsidR="00296071">
        <w:rPr>
          <w:rFonts w:cstheme="minorHAnsi"/>
        </w:rPr>
        <w:t xml:space="preserve">system that should be improved. </w:t>
      </w:r>
    </w:p>
    <w:p w:rsidR="00EE6E88" w:rsidRDefault="00EE6E88" w:rsidP="00B83639">
      <w:pPr>
        <w:shd w:val="clear" w:color="auto" w:fill="FFFFFF"/>
        <w:spacing w:after="0"/>
        <w:jc w:val="both"/>
        <w:rPr>
          <w:rFonts w:cstheme="minorHAnsi"/>
        </w:rPr>
      </w:pPr>
    </w:p>
    <w:p w:rsidR="00A73A45" w:rsidRDefault="00A73A45" w:rsidP="00C25313">
      <w:pPr>
        <w:shd w:val="clear" w:color="auto" w:fill="FFFFFF"/>
        <w:spacing w:after="0"/>
        <w:jc w:val="both"/>
        <w:rPr>
          <w:rFonts w:asciiTheme="majorHAnsi" w:hAnsiTheme="majorHAnsi" w:cstheme="minorHAnsi"/>
          <w:b/>
          <w:sz w:val="28"/>
          <w:szCs w:val="28"/>
        </w:rPr>
      </w:pPr>
    </w:p>
    <w:p w:rsidR="00C25313" w:rsidRPr="009E2F47" w:rsidRDefault="00C25313" w:rsidP="00C25313">
      <w:pPr>
        <w:shd w:val="clear" w:color="auto" w:fill="FFFFFF"/>
        <w:spacing w:after="0"/>
        <w:jc w:val="both"/>
        <w:rPr>
          <w:rFonts w:asciiTheme="majorHAnsi" w:hAnsiTheme="majorHAnsi" w:cstheme="minorHAnsi"/>
          <w:b/>
          <w:sz w:val="28"/>
          <w:szCs w:val="28"/>
        </w:rPr>
      </w:pPr>
      <w:r w:rsidRPr="009E2F47">
        <w:rPr>
          <w:rFonts w:asciiTheme="majorHAnsi" w:hAnsiTheme="majorHAnsi" w:cstheme="minorHAnsi"/>
          <w:b/>
          <w:sz w:val="28"/>
          <w:szCs w:val="28"/>
        </w:rPr>
        <w:t xml:space="preserve">Good faith bargaining requirements </w:t>
      </w:r>
    </w:p>
    <w:p w:rsidR="00C25313" w:rsidRPr="005C168B" w:rsidRDefault="00C25313" w:rsidP="00C25313">
      <w:pPr>
        <w:shd w:val="clear" w:color="auto" w:fill="FFFFFF"/>
        <w:spacing w:after="0"/>
        <w:jc w:val="both"/>
        <w:rPr>
          <w:rFonts w:cstheme="minorHAnsi"/>
          <w:b/>
        </w:rPr>
      </w:pPr>
    </w:p>
    <w:p w:rsidR="00C25313" w:rsidRDefault="00C25313" w:rsidP="00C25313">
      <w:pPr>
        <w:shd w:val="clear" w:color="auto" w:fill="FFFFFF"/>
        <w:spacing w:after="0"/>
        <w:jc w:val="both"/>
        <w:rPr>
          <w:rFonts w:cstheme="minorHAnsi"/>
        </w:rPr>
      </w:pPr>
      <w:r>
        <w:rPr>
          <w:rFonts w:cstheme="minorHAnsi"/>
        </w:rPr>
        <w:t>In Issues Paper 3 the Productivity Commission seeks submissions on the extent to which the good faith bargaining requirements of the Act are operating effectively</w:t>
      </w:r>
      <w:r w:rsidRPr="00D173B6">
        <w:rPr>
          <w:rStyle w:val="FootnoteReference"/>
          <w:rFonts w:asciiTheme="minorHAnsi" w:hAnsiTheme="minorHAnsi" w:cstheme="minorHAnsi"/>
        </w:rPr>
        <w:footnoteReference w:id="12"/>
      </w:r>
      <w:r>
        <w:rPr>
          <w:rFonts w:cstheme="minorHAnsi"/>
        </w:rPr>
        <w:t xml:space="preserve">. </w:t>
      </w:r>
      <w:r w:rsidR="00E24B29">
        <w:rPr>
          <w:rFonts w:cstheme="minorHAnsi"/>
        </w:rPr>
        <w:t xml:space="preserve"> </w:t>
      </w:r>
      <w:r>
        <w:rPr>
          <w:rFonts w:cstheme="minorHAnsi"/>
        </w:rPr>
        <w:t xml:space="preserve">Although one of the objects of the </w:t>
      </w:r>
      <w:r w:rsidRPr="009901D2">
        <w:rPr>
          <w:rFonts w:cstheme="minorHAnsi"/>
          <w:i/>
        </w:rPr>
        <w:t>Fair Work Act</w:t>
      </w:r>
      <w:r>
        <w:rPr>
          <w:rFonts w:cstheme="minorHAnsi"/>
        </w:rPr>
        <w:t xml:space="preserve"> is the provision of “a simple, flexible framework that enables collective bargaining in good faith”</w:t>
      </w:r>
      <w:r w:rsidRPr="005537BD">
        <w:rPr>
          <w:rStyle w:val="FootnoteReference"/>
          <w:rFonts w:asciiTheme="minorHAnsi" w:hAnsiTheme="minorHAnsi" w:cstheme="minorHAnsi"/>
          <w:vertAlign w:val="superscript"/>
        </w:rPr>
        <w:footnoteReference w:id="13"/>
      </w:r>
      <w:r w:rsidR="00786D59">
        <w:rPr>
          <w:rFonts w:cstheme="minorHAnsi"/>
        </w:rPr>
        <w:t xml:space="preserve"> </w:t>
      </w:r>
      <w:r>
        <w:rPr>
          <w:rFonts w:cstheme="minorHAnsi"/>
        </w:rPr>
        <w:t xml:space="preserve">once bargaining commences it does not necessarily follow that employers will negotiate with the objective of reaching agreement and concluding bargaining. There is no obligation for the parties to put reasonable propositions with a view to reaching agreement. </w:t>
      </w:r>
    </w:p>
    <w:p w:rsidR="00C25313" w:rsidRDefault="00C25313" w:rsidP="00C25313">
      <w:pPr>
        <w:shd w:val="clear" w:color="auto" w:fill="FFFFFF"/>
        <w:spacing w:after="0"/>
        <w:jc w:val="both"/>
        <w:rPr>
          <w:rFonts w:cstheme="minorHAnsi"/>
        </w:rPr>
      </w:pPr>
    </w:p>
    <w:p w:rsidR="00C25313" w:rsidRDefault="00C25313" w:rsidP="00A0203A">
      <w:pPr>
        <w:shd w:val="clear" w:color="auto" w:fill="FFFFFF"/>
        <w:spacing w:after="0"/>
        <w:jc w:val="both"/>
        <w:rPr>
          <w:rFonts w:cstheme="minorHAnsi"/>
        </w:rPr>
      </w:pPr>
      <w:r>
        <w:rPr>
          <w:rFonts w:cstheme="minorHAnsi"/>
        </w:rPr>
        <w:t>The good faith bargaining requirements</w:t>
      </w:r>
      <w:r w:rsidRPr="005537BD">
        <w:rPr>
          <w:rStyle w:val="FootnoteReference"/>
          <w:rFonts w:asciiTheme="minorHAnsi" w:hAnsiTheme="minorHAnsi" w:cstheme="minorHAnsi"/>
          <w:vertAlign w:val="superscript"/>
        </w:rPr>
        <w:footnoteReference w:id="14"/>
      </w:r>
      <w:r w:rsidR="00B5386C">
        <w:rPr>
          <w:rFonts w:cstheme="minorHAnsi"/>
        </w:rPr>
        <w:t>are largely</w:t>
      </w:r>
      <w:r w:rsidR="00001507">
        <w:rPr>
          <w:rFonts w:cstheme="minorHAnsi"/>
        </w:rPr>
        <w:t xml:space="preserve"> procedural</w:t>
      </w:r>
      <w:r w:rsidR="00BC0F82">
        <w:rPr>
          <w:rFonts w:cstheme="minorHAnsi"/>
        </w:rPr>
        <w:t xml:space="preserve">, requiring bargaining representatives to participate in meetings, disclose relevant information, consider and respond to claims made by other bargaining representatives, recognise other bargaining representatives, and refrain from conduct that undermines freedom of association or collective </w:t>
      </w:r>
      <w:r w:rsidR="00A0203A">
        <w:rPr>
          <w:rFonts w:cstheme="minorHAnsi"/>
        </w:rPr>
        <w:t>bargaining</w:t>
      </w:r>
      <w:r w:rsidR="00D05C39" w:rsidRPr="0029366A">
        <w:rPr>
          <w:rStyle w:val="FootnoteReference"/>
          <w:rFonts w:asciiTheme="minorHAnsi" w:hAnsiTheme="minorHAnsi" w:cstheme="minorHAnsi"/>
          <w:sz w:val="18"/>
          <w:szCs w:val="18"/>
        </w:rPr>
        <w:footnoteReference w:id="15"/>
      </w:r>
      <w:r w:rsidR="003328D7">
        <w:rPr>
          <w:rFonts w:cstheme="minorHAnsi"/>
        </w:rPr>
        <w:t>.</w:t>
      </w:r>
      <w:r w:rsidR="002D408D">
        <w:rPr>
          <w:rFonts w:cstheme="minorHAnsi"/>
        </w:rPr>
        <w:t xml:space="preserve"> They do not require employers to genuinely try to reach agreement, and they provide little assistance where the employer has no intention of settling negotiations. </w:t>
      </w:r>
    </w:p>
    <w:p w:rsidR="00C25313" w:rsidRDefault="00C25313" w:rsidP="00C25313">
      <w:pPr>
        <w:pStyle w:val="ListParagraph"/>
        <w:shd w:val="clear" w:color="auto" w:fill="FFFFFF"/>
        <w:spacing w:after="0"/>
        <w:jc w:val="both"/>
        <w:rPr>
          <w:rFonts w:cstheme="minorHAnsi"/>
        </w:rPr>
      </w:pPr>
    </w:p>
    <w:p w:rsidR="004B7BF3" w:rsidRDefault="004F61D3" w:rsidP="004B7BF3">
      <w:pPr>
        <w:shd w:val="clear" w:color="auto" w:fill="FFFFFF"/>
        <w:spacing w:after="0"/>
        <w:jc w:val="both"/>
        <w:rPr>
          <w:rFonts w:cstheme="minorHAnsi"/>
        </w:rPr>
      </w:pPr>
      <w:r>
        <w:rPr>
          <w:rFonts w:cstheme="minorHAnsi"/>
        </w:rPr>
        <w:t xml:space="preserve">Bargaining in Commonwealth agencies is such a </w:t>
      </w:r>
      <w:r w:rsidR="00033A83">
        <w:rPr>
          <w:rFonts w:cstheme="minorHAnsi"/>
        </w:rPr>
        <w:t>situation</w:t>
      </w:r>
      <w:r w:rsidR="00C25313">
        <w:rPr>
          <w:rFonts w:cstheme="minorHAnsi"/>
        </w:rPr>
        <w:t xml:space="preserve">. </w:t>
      </w:r>
      <w:r w:rsidR="00D0003E">
        <w:rPr>
          <w:rFonts w:cstheme="minorHAnsi"/>
        </w:rPr>
        <w:t xml:space="preserve"> I</w:t>
      </w:r>
      <w:r w:rsidR="002F5507">
        <w:rPr>
          <w:rFonts w:cstheme="minorHAnsi"/>
        </w:rPr>
        <w:t xml:space="preserve">t has been </w:t>
      </w:r>
      <w:r w:rsidR="00C25313">
        <w:rPr>
          <w:rFonts w:cstheme="minorHAnsi"/>
        </w:rPr>
        <w:t xml:space="preserve">15 months since the CPSU first provided its bargaining claim to </w:t>
      </w:r>
      <w:r w:rsidR="000257D8">
        <w:rPr>
          <w:rFonts w:cstheme="minorHAnsi"/>
        </w:rPr>
        <w:t>APS agencies</w:t>
      </w:r>
      <w:r w:rsidR="00C25313">
        <w:rPr>
          <w:rFonts w:cstheme="minorHAnsi"/>
        </w:rPr>
        <w:t>, and not one enterprise agreement has been</w:t>
      </w:r>
      <w:r w:rsidR="00177FBD">
        <w:rPr>
          <w:rFonts w:cstheme="minorHAnsi"/>
        </w:rPr>
        <w:t xml:space="preserve"> </w:t>
      </w:r>
      <w:r w:rsidR="00177FBD">
        <w:rPr>
          <w:rFonts w:cstheme="minorHAnsi"/>
        </w:rPr>
        <w:lastRenderedPageBreak/>
        <w:t>settled.</w:t>
      </w:r>
      <w:r w:rsidR="00C25313">
        <w:rPr>
          <w:rFonts w:cstheme="minorHAnsi"/>
        </w:rPr>
        <w:t xml:space="preserve"> </w:t>
      </w:r>
      <w:r w:rsidR="004B7BF3">
        <w:rPr>
          <w:rFonts w:cstheme="minorHAnsi"/>
        </w:rPr>
        <w:t>Due to the</w:t>
      </w:r>
      <w:r w:rsidR="00033A83">
        <w:rPr>
          <w:rFonts w:cstheme="minorHAnsi"/>
        </w:rPr>
        <w:t xml:space="preserve"> very harsh</w:t>
      </w:r>
      <w:r w:rsidR="004B7BF3">
        <w:rPr>
          <w:rFonts w:cstheme="minorHAnsi"/>
        </w:rPr>
        <w:t xml:space="preserve"> approach to bargaining mandated by the Government, </w:t>
      </w:r>
      <w:r w:rsidR="000B3D2E">
        <w:rPr>
          <w:rFonts w:cstheme="minorHAnsi"/>
        </w:rPr>
        <w:t xml:space="preserve">APS </w:t>
      </w:r>
      <w:r w:rsidR="004B7BF3" w:rsidRPr="003A3733">
        <w:rPr>
          <w:rFonts w:cstheme="minorHAnsi"/>
        </w:rPr>
        <w:t xml:space="preserve">agencies have been unable to table </w:t>
      </w:r>
      <w:r w:rsidR="00F84C03">
        <w:rPr>
          <w:rFonts w:cstheme="minorHAnsi"/>
        </w:rPr>
        <w:t xml:space="preserve">acceptable </w:t>
      </w:r>
      <w:r w:rsidR="004B7BF3" w:rsidRPr="003A3733">
        <w:rPr>
          <w:rFonts w:cstheme="minorHAnsi"/>
        </w:rPr>
        <w:t>offers</w:t>
      </w:r>
      <w:r w:rsidR="00F84C03">
        <w:rPr>
          <w:rFonts w:cstheme="minorHAnsi"/>
        </w:rPr>
        <w:t xml:space="preserve">, and the </w:t>
      </w:r>
      <w:r w:rsidR="004B7BF3">
        <w:rPr>
          <w:rFonts w:cstheme="minorHAnsi"/>
        </w:rPr>
        <w:t xml:space="preserve">two agencies </w:t>
      </w:r>
      <w:r w:rsidR="00F84C03">
        <w:rPr>
          <w:rFonts w:cstheme="minorHAnsi"/>
        </w:rPr>
        <w:t xml:space="preserve">that </w:t>
      </w:r>
      <w:r w:rsidR="004B7BF3">
        <w:rPr>
          <w:rFonts w:cstheme="minorHAnsi"/>
        </w:rPr>
        <w:t>have submit</w:t>
      </w:r>
      <w:r w:rsidR="00342C5D">
        <w:rPr>
          <w:rFonts w:cstheme="minorHAnsi"/>
        </w:rPr>
        <w:t>ted</w:t>
      </w:r>
      <w:r w:rsidR="004B7BF3">
        <w:rPr>
          <w:rFonts w:cstheme="minorHAnsi"/>
        </w:rPr>
        <w:t xml:space="preserve"> proposals to a </w:t>
      </w:r>
      <w:r w:rsidR="00342C5D">
        <w:rPr>
          <w:rFonts w:cstheme="minorHAnsi"/>
        </w:rPr>
        <w:t>staff vote</w:t>
      </w:r>
      <w:r w:rsidR="00F84C03">
        <w:rPr>
          <w:rFonts w:cstheme="minorHAnsi"/>
        </w:rPr>
        <w:t xml:space="preserve"> have seen those proposals strongly opposed.</w:t>
      </w:r>
      <w:r w:rsidR="004B7BF3">
        <w:rPr>
          <w:rFonts w:cstheme="minorHAnsi"/>
        </w:rPr>
        <w:t xml:space="preserve">  In the Department of Employment, </w:t>
      </w:r>
      <w:r w:rsidR="004B7BF3" w:rsidRPr="00353F74">
        <w:rPr>
          <w:rFonts w:cstheme="minorHAnsi"/>
        </w:rPr>
        <w:t>95%</w:t>
      </w:r>
      <w:r w:rsidR="004B7BF3">
        <w:rPr>
          <w:rFonts w:cstheme="minorHAnsi"/>
        </w:rPr>
        <w:t xml:space="preserve"> of employees participating in the vote rejected the proposal. In the Australian Financial Security Authority, </w:t>
      </w:r>
      <w:r w:rsidR="004B7BF3" w:rsidRPr="00353F74">
        <w:rPr>
          <w:rFonts w:cstheme="minorHAnsi"/>
        </w:rPr>
        <w:t>82%</w:t>
      </w:r>
      <w:r w:rsidR="004B7BF3">
        <w:rPr>
          <w:rFonts w:cstheme="minorHAnsi"/>
        </w:rPr>
        <w:t xml:space="preserve"> of voting employees rejected the proposal. </w:t>
      </w:r>
    </w:p>
    <w:p w:rsidR="004B7BF3" w:rsidRDefault="004B7BF3" w:rsidP="00CB6A93">
      <w:pPr>
        <w:shd w:val="clear" w:color="auto" w:fill="FFFFFF"/>
        <w:spacing w:after="0"/>
        <w:jc w:val="both"/>
        <w:rPr>
          <w:rFonts w:cstheme="minorHAnsi"/>
        </w:rPr>
      </w:pPr>
    </w:p>
    <w:p w:rsidR="00342C5D" w:rsidRDefault="00D74B54">
      <w:pPr>
        <w:shd w:val="clear" w:color="auto" w:fill="FFFFFF"/>
        <w:spacing w:after="0"/>
        <w:jc w:val="both"/>
        <w:rPr>
          <w:rFonts w:cstheme="minorHAnsi"/>
        </w:rPr>
      </w:pPr>
      <w:r>
        <w:rPr>
          <w:rFonts w:cstheme="minorHAnsi"/>
        </w:rPr>
        <w:t>Nineteen</w:t>
      </w:r>
      <w:r w:rsidR="005E2EF7">
        <w:rPr>
          <w:rFonts w:cstheme="minorHAnsi"/>
        </w:rPr>
        <w:t xml:space="preserve"> APS agencies have now tabled pay proposals, and these proposals include very low pay offers in the order of </w:t>
      </w:r>
      <w:r w:rsidR="00342C5D">
        <w:rPr>
          <w:rFonts w:cstheme="minorHAnsi"/>
        </w:rPr>
        <w:t>0-1% p.a.</w:t>
      </w:r>
      <w:r w:rsidR="004A7810">
        <w:rPr>
          <w:rFonts w:cstheme="minorHAnsi"/>
        </w:rPr>
        <w:t xml:space="preserve"> </w:t>
      </w:r>
      <w:r w:rsidR="00CC517C">
        <w:rPr>
          <w:rFonts w:cstheme="minorHAnsi"/>
        </w:rPr>
        <w:t>with</w:t>
      </w:r>
      <w:r w:rsidR="00CB6A93">
        <w:rPr>
          <w:rFonts w:cstheme="minorHAnsi"/>
        </w:rPr>
        <w:t xml:space="preserve"> drastic r</w:t>
      </w:r>
      <w:r w:rsidR="00342C5D">
        <w:rPr>
          <w:rFonts w:cstheme="minorHAnsi"/>
        </w:rPr>
        <w:t>ights and conditions reductions, including</w:t>
      </w:r>
      <w:r w:rsidR="00952D8A">
        <w:rPr>
          <w:rFonts w:cstheme="minorHAnsi"/>
        </w:rPr>
        <w:t>, but not limited to</w:t>
      </w:r>
      <w:r w:rsidR="00342C5D">
        <w:rPr>
          <w:rFonts w:cstheme="minorHAnsi"/>
        </w:rPr>
        <w:t xml:space="preserve">: </w:t>
      </w:r>
    </w:p>
    <w:p w:rsidR="00300DC8" w:rsidRDefault="00300DC8" w:rsidP="00CB6A93">
      <w:pPr>
        <w:shd w:val="clear" w:color="auto" w:fill="FFFFFF"/>
        <w:spacing w:after="0"/>
        <w:jc w:val="both"/>
        <w:rPr>
          <w:rFonts w:cstheme="minorHAnsi"/>
        </w:rPr>
      </w:pPr>
    </w:p>
    <w:p w:rsidR="00342C5D" w:rsidRDefault="00342C5D" w:rsidP="00342C5D">
      <w:pPr>
        <w:pStyle w:val="ListParagraph"/>
        <w:numPr>
          <w:ilvl w:val="0"/>
          <w:numId w:val="22"/>
        </w:numPr>
        <w:shd w:val="clear" w:color="auto" w:fill="FFFFFF"/>
        <w:spacing w:after="0"/>
        <w:jc w:val="both"/>
        <w:rPr>
          <w:rFonts w:cstheme="minorHAnsi"/>
        </w:rPr>
      </w:pPr>
      <w:r>
        <w:rPr>
          <w:rFonts w:cstheme="minorHAnsi"/>
        </w:rPr>
        <w:t>Abolishing allowances</w:t>
      </w:r>
      <w:r w:rsidR="00EA4A00">
        <w:rPr>
          <w:rFonts w:cstheme="minorHAnsi"/>
        </w:rPr>
        <w:t>;</w:t>
      </w:r>
    </w:p>
    <w:p w:rsidR="00342C5D" w:rsidRDefault="00342C5D" w:rsidP="00342C5D">
      <w:pPr>
        <w:pStyle w:val="ListParagraph"/>
        <w:numPr>
          <w:ilvl w:val="0"/>
          <w:numId w:val="22"/>
        </w:numPr>
        <w:shd w:val="clear" w:color="auto" w:fill="FFFFFF"/>
        <w:spacing w:after="0"/>
        <w:jc w:val="both"/>
        <w:rPr>
          <w:rFonts w:cstheme="minorHAnsi"/>
        </w:rPr>
      </w:pPr>
      <w:r>
        <w:rPr>
          <w:rFonts w:cstheme="minorHAnsi"/>
        </w:rPr>
        <w:t>R</w:t>
      </w:r>
      <w:r w:rsidR="00CB6A93" w:rsidRPr="00342C5D">
        <w:rPr>
          <w:rFonts w:cstheme="minorHAnsi"/>
        </w:rPr>
        <w:t>educing personal/carers’ leave entit</w:t>
      </w:r>
      <w:r>
        <w:rPr>
          <w:rFonts w:cstheme="minorHAnsi"/>
        </w:rPr>
        <w:t>lements</w:t>
      </w:r>
      <w:r w:rsidR="00EA4A00">
        <w:rPr>
          <w:rFonts w:cstheme="minorHAnsi"/>
        </w:rPr>
        <w:t>;</w:t>
      </w:r>
    </w:p>
    <w:p w:rsidR="00342C5D" w:rsidRDefault="00342C5D" w:rsidP="00342C5D">
      <w:pPr>
        <w:pStyle w:val="ListParagraph"/>
        <w:numPr>
          <w:ilvl w:val="0"/>
          <w:numId w:val="22"/>
        </w:numPr>
        <w:shd w:val="clear" w:color="auto" w:fill="FFFFFF"/>
        <w:spacing w:after="0"/>
        <w:jc w:val="both"/>
        <w:rPr>
          <w:rFonts w:cstheme="minorHAnsi"/>
        </w:rPr>
      </w:pPr>
      <w:r>
        <w:rPr>
          <w:rFonts w:cstheme="minorHAnsi"/>
        </w:rPr>
        <w:t>Increasing working hours</w:t>
      </w:r>
      <w:r w:rsidR="00EA4A00">
        <w:rPr>
          <w:rFonts w:cstheme="minorHAnsi"/>
        </w:rPr>
        <w:t>;</w:t>
      </w:r>
    </w:p>
    <w:p w:rsidR="00342C5D" w:rsidRDefault="00342C5D" w:rsidP="00342C5D">
      <w:pPr>
        <w:pStyle w:val="ListParagraph"/>
        <w:numPr>
          <w:ilvl w:val="0"/>
          <w:numId w:val="22"/>
        </w:numPr>
        <w:shd w:val="clear" w:color="auto" w:fill="FFFFFF"/>
        <w:spacing w:after="0"/>
        <w:jc w:val="both"/>
        <w:rPr>
          <w:rFonts w:cstheme="minorHAnsi"/>
        </w:rPr>
      </w:pPr>
      <w:r>
        <w:rPr>
          <w:rFonts w:cstheme="minorHAnsi"/>
        </w:rPr>
        <w:t>F</w:t>
      </w:r>
      <w:r w:rsidR="00952D8A">
        <w:rPr>
          <w:rFonts w:cstheme="minorHAnsi"/>
        </w:rPr>
        <w:t>urther staff reductions</w:t>
      </w:r>
      <w:r w:rsidR="00EA4A00">
        <w:rPr>
          <w:rFonts w:cstheme="minorHAnsi"/>
        </w:rPr>
        <w:t>;</w:t>
      </w:r>
    </w:p>
    <w:p w:rsidR="00342C5D" w:rsidRDefault="007012F8" w:rsidP="00342C5D">
      <w:pPr>
        <w:pStyle w:val="ListParagraph"/>
        <w:numPr>
          <w:ilvl w:val="0"/>
          <w:numId w:val="22"/>
        </w:numPr>
        <w:shd w:val="clear" w:color="auto" w:fill="FFFFFF"/>
        <w:spacing w:after="0"/>
        <w:jc w:val="both"/>
        <w:rPr>
          <w:rFonts w:cstheme="minorHAnsi"/>
        </w:rPr>
      </w:pPr>
      <w:r>
        <w:rPr>
          <w:rFonts w:cstheme="minorHAnsi"/>
        </w:rPr>
        <w:t>Removal of the guaranteed employer superannuation contribution rate</w:t>
      </w:r>
      <w:r w:rsidR="00971A26">
        <w:rPr>
          <w:rFonts w:cstheme="minorHAnsi"/>
        </w:rPr>
        <w:t xml:space="preserve"> from the enterprise agreement</w:t>
      </w:r>
      <w:r w:rsidR="00EA4A00">
        <w:rPr>
          <w:rFonts w:cstheme="minorHAnsi"/>
        </w:rPr>
        <w:t>;</w:t>
      </w:r>
    </w:p>
    <w:p w:rsidR="00342C5D" w:rsidRDefault="007012F8" w:rsidP="00342C5D">
      <w:pPr>
        <w:pStyle w:val="ListParagraph"/>
        <w:numPr>
          <w:ilvl w:val="0"/>
          <w:numId w:val="22"/>
        </w:numPr>
        <w:shd w:val="clear" w:color="auto" w:fill="FFFFFF"/>
        <w:spacing w:after="0"/>
        <w:jc w:val="both"/>
        <w:rPr>
          <w:rFonts w:cstheme="minorHAnsi"/>
        </w:rPr>
      </w:pPr>
      <w:r>
        <w:rPr>
          <w:rFonts w:cstheme="minorHAnsi"/>
        </w:rPr>
        <w:t>Reduced access to flexible working arrangements</w:t>
      </w:r>
      <w:r w:rsidR="00EA4A00">
        <w:rPr>
          <w:rFonts w:cstheme="minorHAnsi"/>
        </w:rPr>
        <w:t>;</w:t>
      </w:r>
    </w:p>
    <w:p w:rsidR="007012F8" w:rsidRDefault="007012F8" w:rsidP="00342C5D">
      <w:pPr>
        <w:pStyle w:val="ListParagraph"/>
        <w:numPr>
          <w:ilvl w:val="0"/>
          <w:numId w:val="22"/>
        </w:numPr>
        <w:shd w:val="clear" w:color="auto" w:fill="FFFFFF"/>
        <w:spacing w:after="0"/>
        <w:jc w:val="both"/>
        <w:rPr>
          <w:rFonts w:cstheme="minorHAnsi"/>
        </w:rPr>
      </w:pPr>
      <w:r>
        <w:rPr>
          <w:rFonts w:cstheme="minorHAnsi"/>
        </w:rPr>
        <w:t>Reduced consultation and representation rights</w:t>
      </w:r>
      <w:r w:rsidR="00EA4A00">
        <w:rPr>
          <w:rFonts w:cstheme="minorHAnsi"/>
        </w:rPr>
        <w:t>; and</w:t>
      </w:r>
      <w:r>
        <w:rPr>
          <w:rFonts w:cstheme="minorHAnsi"/>
        </w:rPr>
        <w:t xml:space="preserve"> </w:t>
      </w:r>
    </w:p>
    <w:p w:rsidR="007012F8" w:rsidRDefault="007012F8" w:rsidP="00342C5D">
      <w:pPr>
        <w:pStyle w:val="ListParagraph"/>
        <w:numPr>
          <w:ilvl w:val="0"/>
          <w:numId w:val="22"/>
        </w:numPr>
        <w:shd w:val="clear" w:color="auto" w:fill="FFFFFF"/>
        <w:spacing w:after="0"/>
        <w:jc w:val="both"/>
        <w:rPr>
          <w:rFonts w:cstheme="minorHAnsi"/>
        </w:rPr>
      </w:pPr>
      <w:r>
        <w:rPr>
          <w:rFonts w:cstheme="minorHAnsi"/>
        </w:rPr>
        <w:t>Reduced job security protections</w:t>
      </w:r>
      <w:r w:rsidR="00EA4A00">
        <w:rPr>
          <w:rFonts w:cstheme="minorHAnsi"/>
        </w:rPr>
        <w:t>.</w:t>
      </w:r>
    </w:p>
    <w:p w:rsidR="004B7BF3" w:rsidRDefault="004B7BF3" w:rsidP="00CB6A93">
      <w:pPr>
        <w:shd w:val="clear" w:color="auto" w:fill="FFFFFF"/>
        <w:spacing w:after="0"/>
        <w:jc w:val="both"/>
        <w:rPr>
          <w:rFonts w:cstheme="minorHAnsi"/>
        </w:rPr>
      </w:pPr>
    </w:p>
    <w:p w:rsidR="00CC517C" w:rsidRDefault="00CC517C" w:rsidP="00CC517C">
      <w:pPr>
        <w:shd w:val="clear" w:color="auto" w:fill="FFFFFF"/>
        <w:spacing w:after="0"/>
        <w:jc w:val="both"/>
        <w:rPr>
          <w:rFonts w:cstheme="minorHAnsi"/>
        </w:rPr>
      </w:pPr>
      <w:r>
        <w:rPr>
          <w:rFonts w:cstheme="minorHAnsi"/>
        </w:rPr>
        <w:t>In some cases where increased working hours are proposed, the pay proposal would see the hourly rate of pay for employees’ reduced, thus reducing the actual take-home pay of part-time employees, overwhelmingly women</w:t>
      </w:r>
      <w:r w:rsidR="0029366A">
        <w:rPr>
          <w:rFonts w:cstheme="minorHAnsi"/>
        </w:rPr>
        <w:t xml:space="preserve">. </w:t>
      </w:r>
    </w:p>
    <w:p w:rsidR="00CC517C" w:rsidRDefault="00CC517C" w:rsidP="00CC517C">
      <w:pPr>
        <w:shd w:val="clear" w:color="auto" w:fill="FFFFFF"/>
        <w:spacing w:after="0"/>
        <w:jc w:val="both"/>
        <w:rPr>
          <w:rFonts w:cstheme="minorHAnsi"/>
        </w:rPr>
      </w:pPr>
    </w:p>
    <w:p w:rsidR="004B7BF3" w:rsidRDefault="007012F8" w:rsidP="00CC517C">
      <w:pPr>
        <w:shd w:val="clear" w:color="auto" w:fill="FFFFFF"/>
        <w:spacing w:after="0"/>
        <w:jc w:val="both"/>
        <w:rPr>
          <w:rFonts w:cstheme="minorHAnsi"/>
        </w:rPr>
      </w:pPr>
      <w:r>
        <w:rPr>
          <w:rFonts w:cstheme="minorHAnsi"/>
        </w:rPr>
        <w:t>The</w:t>
      </w:r>
      <w:r w:rsidR="00CC517C">
        <w:rPr>
          <w:rFonts w:cstheme="minorHAnsi"/>
        </w:rPr>
        <w:t>se</w:t>
      </w:r>
      <w:r>
        <w:rPr>
          <w:rFonts w:cstheme="minorHAnsi"/>
        </w:rPr>
        <w:t xml:space="preserve"> proposals are so injurious to employees’ rights and conditions that there is little prospect of public sector employees accepting them. </w:t>
      </w:r>
      <w:r w:rsidR="004B7BF3">
        <w:rPr>
          <w:rFonts w:cstheme="minorHAnsi"/>
        </w:rPr>
        <w:t xml:space="preserve">The perception among the APS workforce, and CPSU members and delegates, is that </w:t>
      </w:r>
      <w:r w:rsidR="009825AA">
        <w:rPr>
          <w:rFonts w:cstheme="minorHAnsi"/>
        </w:rPr>
        <w:t xml:space="preserve">the Government’s approach is so harsh and restrictive that </w:t>
      </w:r>
      <w:r w:rsidR="004B7BF3">
        <w:rPr>
          <w:rFonts w:cstheme="minorHAnsi"/>
        </w:rPr>
        <w:t>their agencies</w:t>
      </w:r>
      <w:r>
        <w:rPr>
          <w:rFonts w:cstheme="minorHAnsi"/>
        </w:rPr>
        <w:t xml:space="preserve"> have no power to negotiate acceptable terms, and </w:t>
      </w:r>
      <w:r w:rsidR="009825AA">
        <w:rPr>
          <w:rFonts w:cstheme="minorHAnsi"/>
        </w:rPr>
        <w:t xml:space="preserve">at this stage, </w:t>
      </w:r>
      <w:r>
        <w:rPr>
          <w:rFonts w:cstheme="minorHAnsi"/>
        </w:rPr>
        <w:t xml:space="preserve">there is no prospect of genuine negotiations. </w:t>
      </w:r>
    </w:p>
    <w:p w:rsidR="00CB6A93" w:rsidRDefault="00CB6A93" w:rsidP="00C25313">
      <w:pPr>
        <w:shd w:val="clear" w:color="auto" w:fill="FFFFFF"/>
        <w:spacing w:after="0"/>
        <w:jc w:val="both"/>
        <w:rPr>
          <w:rFonts w:cstheme="minorHAnsi"/>
        </w:rPr>
      </w:pPr>
    </w:p>
    <w:p w:rsidR="00104F81" w:rsidRDefault="002C5AB0" w:rsidP="00C25313">
      <w:pPr>
        <w:shd w:val="clear" w:color="auto" w:fill="FFFFFF"/>
        <w:spacing w:after="0"/>
        <w:jc w:val="both"/>
        <w:rPr>
          <w:rFonts w:cstheme="minorHAnsi"/>
        </w:rPr>
      </w:pPr>
      <w:r>
        <w:rPr>
          <w:rFonts w:cstheme="minorHAnsi"/>
        </w:rPr>
        <w:t xml:space="preserve">This underlines a significant weakness in the Act. </w:t>
      </w:r>
      <w:r w:rsidR="0098617C">
        <w:rPr>
          <w:rFonts w:cstheme="minorHAnsi"/>
        </w:rPr>
        <w:t xml:space="preserve">The situation in Commonwealth bargaining </w:t>
      </w:r>
      <w:r w:rsidR="00C92A86">
        <w:rPr>
          <w:rFonts w:cstheme="minorHAnsi"/>
        </w:rPr>
        <w:t>is</w:t>
      </w:r>
      <w:r w:rsidR="0098617C">
        <w:rPr>
          <w:rFonts w:cstheme="minorHAnsi"/>
        </w:rPr>
        <w:t xml:space="preserve"> not directly addressed by the </w:t>
      </w:r>
      <w:r>
        <w:rPr>
          <w:rFonts w:cstheme="minorHAnsi"/>
        </w:rPr>
        <w:t>good faith bargaining provisions</w:t>
      </w:r>
      <w:r w:rsidR="0098617C">
        <w:rPr>
          <w:rFonts w:cstheme="minorHAnsi"/>
        </w:rPr>
        <w:t>.</w:t>
      </w:r>
      <w:r w:rsidR="00DE592C">
        <w:rPr>
          <w:rFonts w:cstheme="minorHAnsi"/>
        </w:rPr>
        <w:t xml:space="preserve"> Instead, the good faith bargaining provisions provide a procedural check list that an employer can meet without ever having any intention of </w:t>
      </w:r>
      <w:r w:rsidR="00CC517C">
        <w:rPr>
          <w:rFonts w:cstheme="minorHAnsi"/>
        </w:rPr>
        <w:t xml:space="preserve">genuinely negotiating and </w:t>
      </w:r>
      <w:r w:rsidR="00DE592C">
        <w:rPr>
          <w:rFonts w:cstheme="minorHAnsi"/>
        </w:rPr>
        <w:t xml:space="preserve">reaching agreement with employees. The system needs to be significantly re-worked </w:t>
      </w:r>
      <w:r w:rsidR="00497B61">
        <w:rPr>
          <w:rFonts w:cstheme="minorHAnsi"/>
        </w:rPr>
        <w:t>so that it is</w:t>
      </w:r>
      <w:r w:rsidR="00DE592C">
        <w:rPr>
          <w:rFonts w:cstheme="minorHAnsi"/>
        </w:rPr>
        <w:t xml:space="preserve"> geared towards </w:t>
      </w:r>
      <w:r w:rsidR="00104F81">
        <w:rPr>
          <w:rFonts w:cstheme="minorHAnsi"/>
        </w:rPr>
        <w:t xml:space="preserve">genuine bargaining rather than </w:t>
      </w:r>
      <w:r w:rsidR="00DE592C">
        <w:rPr>
          <w:rFonts w:cstheme="minorHAnsi"/>
        </w:rPr>
        <w:t xml:space="preserve">mere compliance with procedure. </w:t>
      </w:r>
    </w:p>
    <w:p w:rsidR="00104F81" w:rsidRDefault="00104F81" w:rsidP="00321FE8">
      <w:pPr>
        <w:shd w:val="clear" w:color="auto" w:fill="FFFFFF"/>
        <w:spacing w:after="0"/>
        <w:jc w:val="both"/>
        <w:rPr>
          <w:rFonts w:cstheme="minorHAnsi"/>
          <w:b/>
          <w:i/>
        </w:rPr>
      </w:pPr>
    </w:p>
    <w:p w:rsidR="00F400AA" w:rsidRDefault="00F400A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29366A" w:rsidRDefault="0029366A" w:rsidP="00321FE8">
      <w:pPr>
        <w:shd w:val="clear" w:color="auto" w:fill="FFFFFF"/>
        <w:spacing w:after="0"/>
        <w:jc w:val="both"/>
        <w:rPr>
          <w:rFonts w:cstheme="minorHAnsi"/>
          <w:b/>
          <w:i/>
        </w:rPr>
      </w:pPr>
    </w:p>
    <w:p w:rsidR="00321FE8" w:rsidRPr="009E2F47" w:rsidRDefault="00321FE8" w:rsidP="00321FE8">
      <w:pPr>
        <w:shd w:val="clear" w:color="auto" w:fill="FFFFFF"/>
        <w:spacing w:after="0"/>
        <w:jc w:val="both"/>
        <w:rPr>
          <w:rFonts w:cstheme="minorHAnsi"/>
          <w:b/>
          <w:i/>
        </w:rPr>
      </w:pPr>
      <w:r w:rsidRPr="009E2F47">
        <w:rPr>
          <w:rFonts w:cstheme="minorHAnsi"/>
          <w:b/>
          <w:i/>
        </w:rPr>
        <w:lastRenderedPageBreak/>
        <w:t xml:space="preserve">Bargaining disputes </w:t>
      </w:r>
    </w:p>
    <w:p w:rsidR="00321FE8" w:rsidRPr="00AE3F4E" w:rsidRDefault="00321FE8" w:rsidP="00321FE8">
      <w:pPr>
        <w:shd w:val="clear" w:color="auto" w:fill="FFFFFF"/>
        <w:spacing w:after="0"/>
        <w:jc w:val="both"/>
        <w:rPr>
          <w:rFonts w:cstheme="minorHAnsi"/>
          <w:b/>
        </w:rPr>
      </w:pPr>
    </w:p>
    <w:p w:rsidR="00A74EA1" w:rsidRDefault="00321FE8" w:rsidP="00321FE8">
      <w:pPr>
        <w:shd w:val="clear" w:color="auto" w:fill="FFFFFF"/>
        <w:spacing w:after="0"/>
        <w:jc w:val="both"/>
        <w:rPr>
          <w:rFonts w:cstheme="minorHAnsi"/>
        </w:rPr>
      </w:pPr>
      <w:r>
        <w:rPr>
          <w:rFonts w:cstheme="minorHAnsi"/>
        </w:rPr>
        <w:t xml:space="preserve">The </w:t>
      </w:r>
      <w:r w:rsidR="0026293B">
        <w:rPr>
          <w:rFonts w:cstheme="minorHAnsi"/>
        </w:rPr>
        <w:t xml:space="preserve">Productivity </w:t>
      </w:r>
      <w:r>
        <w:rPr>
          <w:rFonts w:cstheme="minorHAnsi"/>
        </w:rPr>
        <w:t>Commission asks in Issues Paper 3 whether there should be any change to the Fair Work Commission’s conciliation and arbitration powers</w:t>
      </w:r>
      <w:r w:rsidRPr="00B22821">
        <w:rPr>
          <w:rStyle w:val="FootnoteReference"/>
          <w:rFonts w:asciiTheme="minorHAnsi" w:hAnsiTheme="minorHAnsi" w:cstheme="minorHAnsi"/>
        </w:rPr>
        <w:footnoteReference w:id="16"/>
      </w:r>
      <w:r>
        <w:rPr>
          <w:rFonts w:cstheme="minorHAnsi"/>
        </w:rPr>
        <w:t xml:space="preserve">.  </w:t>
      </w:r>
      <w:r w:rsidR="00A74EA1">
        <w:rPr>
          <w:rFonts w:cstheme="minorHAnsi"/>
        </w:rPr>
        <w:t xml:space="preserve">This issue is closely connected to the adequacy of the good faith bargaining procedures. </w:t>
      </w:r>
    </w:p>
    <w:p w:rsidR="00A74EA1" w:rsidRDefault="00A74EA1" w:rsidP="00321FE8">
      <w:pPr>
        <w:shd w:val="clear" w:color="auto" w:fill="FFFFFF"/>
        <w:spacing w:after="0"/>
        <w:jc w:val="both"/>
        <w:rPr>
          <w:rFonts w:cstheme="minorHAnsi"/>
        </w:rPr>
      </w:pPr>
    </w:p>
    <w:p w:rsidR="00A74EA1" w:rsidRDefault="005610F9" w:rsidP="00321FE8">
      <w:pPr>
        <w:shd w:val="clear" w:color="auto" w:fill="FFFFFF"/>
        <w:spacing w:after="0"/>
        <w:jc w:val="both"/>
        <w:rPr>
          <w:rFonts w:cstheme="minorHAnsi"/>
        </w:rPr>
      </w:pPr>
      <w:r>
        <w:rPr>
          <w:rFonts w:cstheme="minorHAnsi"/>
        </w:rPr>
        <w:t>The</w:t>
      </w:r>
      <w:r w:rsidR="00A74EA1">
        <w:rPr>
          <w:rFonts w:cstheme="minorHAnsi"/>
        </w:rPr>
        <w:t xml:space="preserve"> Fair Work Commission has a very limited role in resolving deadlocks in bargaining. </w:t>
      </w:r>
      <w:r w:rsidR="00786C0D">
        <w:rPr>
          <w:rFonts w:cstheme="minorHAnsi"/>
        </w:rPr>
        <w:t>The Commission can hear bargaining disputes, but its role is limited to conciliation unless the parties agree to arbitration</w:t>
      </w:r>
      <w:r w:rsidR="0026293B" w:rsidRPr="00326E8B">
        <w:rPr>
          <w:rStyle w:val="FootnoteReference"/>
          <w:rFonts w:asciiTheme="minorHAnsi" w:hAnsiTheme="minorHAnsi" w:cstheme="minorHAnsi"/>
        </w:rPr>
        <w:footnoteReference w:id="17"/>
      </w:r>
      <w:r w:rsidR="00786C0D">
        <w:rPr>
          <w:rFonts w:cstheme="minorHAnsi"/>
        </w:rPr>
        <w:t xml:space="preserve">. </w:t>
      </w:r>
      <w:r w:rsidR="00566224">
        <w:rPr>
          <w:rFonts w:cstheme="minorHAnsi"/>
        </w:rPr>
        <w:t xml:space="preserve"> An </w:t>
      </w:r>
      <w:r w:rsidR="00F818E5">
        <w:rPr>
          <w:rFonts w:cstheme="minorHAnsi"/>
        </w:rPr>
        <w:t xml:space="preserve">arbitrated outcome is only available in limited situations, </w:t>
      </w:r>
      <w:r w:rsidR="00566224">
        <w:rPr>
          <w:rFonts w:cstheme="minorHAnsi"/>
        </w:rPr>
        <w:t xml:space="preserve">including </w:t>
      </w:r>
      <w:r w:rsidR="005971A7">
        <w:rPr>
          <w:rFonts w:cstheme="minorHAnsi"/>
        </w:rPr>
        <w:t xml:space="preserve">where the Fair Work Commission makes a workplace determination following </w:t>
      </w:r>
      <w:r w:rsidR="00F818E5">
        <w:rPr>
          <w:rFonts w:cstheme="minorHAnsi"/>
        </w:rPr>
        <w:t>the terminat</w:t>
      </w:r>
      <w:r w:rsidR="004B483C">
        <w:rPr>
          <w:rFonts w:cstheme="minorHAnsi"/>
        </w:rPr>
        <w:t>ion of industrial action</w:t>
      </w:r>
      <w:r w:rsidR="004B483C" w:rsidRPr="00326E8B">
        <w:rPr>
          <w:rStyle w:val="FootnoteReference"/>
          <w:rFonts w:asciiTheme="minorHAnsi" w:hAnsiTheme="minorHAnsi" w:cstheme="minorHAnsi"/>
        </w:rPr>
        <w:footnoteReference w:id="18"/>
      </w:r>
      <w:r w:rsidR="00566224">
        <w:rPr>
          <w:rFonts w:cstheme="minorHAnsi"/>
        </w:rPr>
        <w:t>,</w:t>
      </w:r>
      <w:r w:rsidR="004B483C">
        <w:rPr>
          <w:rFonts w:cstheme="minorHAnsi"/>
        </w:rPr>
        <w:t xml:space="preserve"> </w:t>
      </w:r>
      <w:r w:rsidR="00A44B3D">
        <w:rPr>
          <w:rFonts w:cstheme="minorHAnsi"/>
        </w:rPr>
        <w:t>or where the Fair Work Commission makes a workplace determination following a serious breach declaration</w:t>
      </w:r>
      <w:r w:rsidR="001463B5" w:rsidRPr="00326E8B">
        <w:rPr>
          <w:rStyle w:val="FootnoteReference"/>
          <w:rFonts w:asciiTheme="minorHAnsi" w:hAnsiTheme="minorHAnsi" w:cstheme="minorHAnsi"/>
        </w:rPr>
        <w:footnoteReference w:id="19"/>
      </w:r>
      <w:r w:rsidR="00A44B3D">
        <w:rPr>
          <w:rFonts w:cstheme="minorHAnsi"/>
        </w:rPr>
        <w:t xml:space="preserve">. </w:t>
      </w:r>
      <w:r w:rsidR="00566224">
        <w:rPr>
          <w:rFonts w:cstheme="minorHAnsi"/>
        </w:rPr>
        <w:t xml:space="preserve"> T</w:t>
      </w:r>
      <w:r w:rsidR="00A44B3D">
        <w:rPr>
          <w:rFonts w:cstheme="minorHAnsi"/>
        </w:rPr>
        <w:t>his</w:t>
      </w:r>
      <w:r w:rsidR="0049506F">
        <w:rPr>
          <w:rFonts w:cstheme="minorHAnsi"/>
        </w:rPr>
        <w:t xml:space="preserve"> latter option</w:t>
      </w:r>
      <w:r w:rsidR="00A44B3D">
        <w:rPr>
          <w:rFonts w:cstheme="minorHAnsi"/>
        </w:rPr>
        <w:t xml:space="preserve"> is rarely available given that the good faith bargaining provisions are procedural only and can be met even where an employer has no intention of negotiating an outcome.</w:t>
      </w:r>
    </w:p>
    <w:p w:rsidR="00A74EA1" w:rsidRDefault="00A74EA1" w:rsidP="00321FE8">
      <w:pPr>
        <w:shd w:val="clear" w:color="auto" w:fill="FFFFFF"/>
        <w:spacing w:after="0"/>
        <w:jc w:val="both"/>
        <w:rPr>
          <w:rFonts w:cstheme="minorHAnsi"/>
        </w:rPr>
      </w:pPr>
    </w:p>
    <w:p w:rsidR="00321FE8" w:rsidRDefault="00321FE8" w:rsidP="00321FE8">
      <w:pPr>
        <w:shd w:val="clear" w:color="auto" w:fill="FFFFFF"/>
        <w:spacing w:after="0"/>
        <w:jc w:val="both"/>
        <w:rPr>
          <w:rFonts w:cstheme="minorHAnsi"/>
        </w:rPr>
      </w:pPr>
      <w:r w:rsidRPr="009E1A44">
        <w:rPr>
          <w:rFonts w:cstheme="minorHAnsi"/>
        </w:rPr>
        <w:t>The CPSU believes there is cause for a strong</w:t>
      </w:r>
      <w:r>
        <w:rPr>
          <w:rFonts w:cstheme="minorHAnsi"/>
        </w:rPr>
        <w:t>er</w:t>
      </w:r>
      <w:r w:rsidRPr="009E1A44">
        <w:rPr>
          <w:rFonts w:cstheme="minorHAnsi"/>
        </w:rPr>
        <w:t xml:space="preserve"> role for the Fair Work Commission to facilitate fair and genuine bargaining and to assist where bargaining is not proceeding in such a manner</w:t>
      </w:r>
      <w:r>
        <w:rPr>
          <w:rFonts w:cstheme="minorHAnsi"/>
        </w:rPr>
        <w:t xml:space="preserve">. The CPSU supports the role of the Fair Work Commission to resolve bargaining disputes through conciliation but notes that conciliation on its own can be limited if there is not clear recourse to arbitration. </w:t>
      </w:r>
      <w:r w:rsidR="001E0D63">
        <w:rPr>
          <w:rFonts w:cstheme="minorHAnsi"/>
        </w:rPr>
        <w:t xml:space="preserve">For example, if the deadlock in public sector bargaining was conciliated, it is unclear whether agencies would be able to agree to conciliated outcomes due to the constraints placed upon them by the Government’s policy. </w:t>
      </w:r>
    </w:p>
    <w:p w:rsidR="00321FE8" w:rsidRDefault="00321FE8" w:rsidP="00321FE8">
      <w:pPr>
        <w:shd w:val="clear" w:color="auto" w:fill="FFFFFF"/>
        <w:spacing w:after="0"/>
        <w:jc w:val="both"/>
        <w:rPr>
          <w:rFonts w:cstheme="minorHAnsi"/>
        </w:rPr>
      </w:pPr>
    </w:p>
    <w:p w:rsidR="00321FE8" w:rsidRDefault="00321FE8" w:rsidP="00321FE8">
      <w:pPr>
        <w:shd w:val="clear" w:color="auto" w:fill="FFFFFF"/>
        <w:spacing w:after="0"/>
        <w:jc w:val="both"/>
        <w:rPr>
          <w:rFonts w:cstheme="minorHAnsi"/>
        </w:rPr>
      </w:pPr>
      <w:r>
        <w:rPr>
          <w:rFonts w:cstheme="minorHAnsi"/>
        </w:rPr>
        <w:t xml:space="preserve">In this situation, the ability to access arbitration early in the process would be of assistance. The CPSU believes that this example supports a strong arbitral role for the Fair Work Commission to bring bargaining to a conclusion. </w:t>
      </w:r>
    </w:p>
    <w:p w:rsidR="00326E8B" w:rsidRDefault="00326E8B" w:rsidP="00321FE8">
      <w:pPr>
        <w:shd w:val="clear" w:color="auto" w:fill="FFFFFF"/>
        <w:spacing w:after="0"/>
        <w:jc w:val="both"/>
        <w:rPr>
          <w:rFonts w:cstheme="minorHAnsi"/>
        </w:rPr>
      </w:pPr>
    </w:p>
    <w:p w:rsidR="00326E8B" w:rsidRDefault="00326E8B" w:rsidP="00321FE8">
      <w:pPr>
        <w:shd w:val="clear" w:color="auto" w:fill="FFFFFF"/>
        <w:spacing w:after="0"/>
        <w:jc w:val="both"/>
        <w:rPr>
          <w:rFonts w:cstheme="minorHAnsi"/>
        </w:rPr>
      </w:pPr>
    </w:p>
    <w:p w:rsidR="009F478D" w:rsidRPr="00773645" w:rsidRDefault="009F478D" w:rsidP="009F478D">
      <w:pPr>
        <w:shd w:val="clear" w:color="auto" w:fill="FFFFFF"/>
        <w:spacing w:after="0"/>
        <w:jc w:val="both"/>
        <w:rPr>
          <w:rFonts w:asciiTheme="majorHAnsi" w:hAnsiTheme="majorHAnsi" w:cstheme="minorHAnsi"/>
          <w:b/>
          <w:sz w:val="28"/>
          <w:szCs w:val="28"/>
        </w:rPr>
      </w:pPr>
      <w:r w:rsidRPr="00184D46">
        <w:rPr>
          <w:rFonts w:asciiTheme="majorHAnsi" w:hAnsiTheme="majorHAnsi" w:cstheme="minorHAnsi"/>
          <w:b/>
          <w:sz w:val="28"/>
          <w:szCs w:val="28"/>
        </w:rPr>
        <w:t xml:space="preserve">Genuine </w:t>
      </w:r>
      <w:r w:rsidRPr="009F478D">
        <w:rPr>
          <w:rFonts w:asciiTheme="majorHAnsi" w:hAnsiTheme="majorHAnsi" w:cstheme="minorHAnsi"/>
          <w:b/>
          <w:sz w:val="28"/>
          <w:szCs w:val="28"/>
        </w:rPr>
        <w:t>bargaining</w:t>
      </w:r>
      <w:r w:rsidR="008028E8">
        <w:rPr>
          <w:rFonts w:asciiTheme="majorHAnsi" w:hAnsiTheme="majorHAnsi" w:cstheme="minorHAnsi"/>
          <w:b/>
          <w:sz w:val="28"/>
          <w:szCs w:val="28"/>
        </w:rPr>
        <w:t xml:space="preserve"> with the </w:t>
      </w:r>
      <w:proofErr w:type="spellStart"/>
      <w:r w:rsidR="008028E8">
        <w:rPr>
          <w:rFonts w:asciiTheme="majorHAnsi" w:hAnsiTheme="majorHAnsi" w:cstheme="minorHAnsi"/>
          <w:b/>
          <w:sz w:val="28"/>
          <w:szCs w:val="28"/>
        </w:rPr>
        <w:t>decision-maker</w:t>
      </w:r>
      <w:proofErr w:type="spellEnd"/>
      <w:r w:rsidRPr="009F478D">
        <w:rPr>
          <w:rFonts w:asciiTheme="majorHAnsi" w:hAnsiTheme="majorHAnsi" w:cstheme="minorHAnsi"/>
          <w:b/>
          <w:sz w:val="28"/>
          <w:szCs w:val="28"/>
        </w:rPr>
        <w:t xml:space="preserve"> </w:t>
      </w:r>
    </w:p>
    <w:p w:rsidR="009F478D" w:rsidRPr="00F70E67" w:rsidRDefault="009F478D" w:rsidP="009F478D">
      <w:pPr>
        <w:shd w:val="clear" w:color="auto" w:fill="FFFFFF"/>
        <w:spacing w:after="0"/>
        <w:jc w:val="both"/>
        <w:rPr>
          <w:rFonts w:cstheme="minorHAnsi"/>
          <w:b/>
        </w:rPr>
      </w:pPr>
    </w:p>
    <w:p w:rsidR="009F478D" w:rsidRDefault="002A1D5C" w:rsidP="009F478D">
      <w:pPr>
        <w:shd w:val="clear" w:color="auto" w:fill="FFFFFF"/>
        <w:spacing w:after="0"/>
        <w:jc w:val="both"/>
        <w:rPr>
          <w:rFonts w:cstheme="minorHAnsi"/>
        </w:rPr>
      </w:pPr>
      <w:r>
        <w:rPr>
          <w:rFonts w:cstheme="minorHAnsi"/>
        </w:rPr>
        <w:t xml:space="preserve">Australian workers have been denied access to genuine collective bargaining where enterprise bargaining has not </w:t>
      </w:r>
      <w:r w:rsidR="00B67D12">
        <w:rPr>
          <w:rFonts w:cstheme="minorHAnsi"/>
        </w:rPr>
        <w:t>required the</w:t>
      </w:r>
      <w:r>
        <w:rPr>
          <w:rFonts w:cstheme="minorHAnsi"/>
        </w:rPr>
        <w:t xml:space="preserve"> involvement </w:t>
      </w:r>
      <w:r w:rsidR="00B67D12">
        <w:rPr>
          <w:rFonts w:cstheme="minorHAnsi"/>
        </w:rPr>
        <w:t>of the decision</w:t>
      </w:r>
      <w:r w:rsidR="006C6BC2">
        <w:rPr>
          <w:rFonts w:cstheme="minorHAnsi"/>
        </w:rPr>
        <w:t xml:space="preserve"> </w:t>
      </w:r>
      <w:r w:rsidR="00B67D12">
        <w:rPr>
          <w:rFonts w:cstheme="minorHAnsi"/>
        </w:rPr>
        <w:t>maker</w:t>
      </w:r>
      <w:r>
        <w:rPr>
          <w:rFonts w:cstheme="minorHAnsi"/>
        </w:rPr>
        <w:t xml:space="preserve">. </w:t>
      </w:r>
      <w:r w:rsidR="009F478D">
        <w:rPr>
          <w:rFonts w:cstheme="minorHAnsi"/>
        </w:rPr>
        <w:t xml:space="preserve">Under the terms of the </w:t>
      </w:r>
      <w:r w:rsidR="009F478D" w:rsidRPr="004B44ED">
        <w:rPr>
          <w:rFonts w:cstheme="minorHAnsi"/>
          <w:i/>
        </w:rPr>
        <w:t>Fair Work Act</w:t>
      </w:r>
      <w:r w:rsidR="009F478D">
        <w:rPr>
          <w:rFonts w:cstheme="minorHAnsi"/>
        </w:rPr>
        <w:t xml:space="preserve"> collective bargaining takes pl</w:t>
      </w:r>
      <w:r w:rsidR="00E976FA">
        <w:rPr>
          <w:rFonts w:cstheme="minorHAnsi"/>
        </w:rPr>
        <w:t>ace at the enterprise level, yet it is often the case that th</w:t>
      </w:r>
      <w:r w:rsidR="00CC517C">
        <w:rPr>
          <w:rFonts w:cstheme="minorHAnsi"/>
        </w:rPr>
        <w:t xml:space="preserve">e ‘enterprise’ as defined in bargaining </w:t>
      </w:r>
      <w:r w:rsidR="00E976FA">
        <w:rPr>
          <w:rFonts w:cstheme="minorHAnsi"/>
        </w:rPr>
        <w:t xml:space="preserve">is not where </w:t>
      </w:r>
      <w:r w:rsidR="009F478D">
        <w:rPr>
          <w:rFonts w:cstheme="minorHAnsi"/>
        </w:rPr>
        <w:t>decision</w:t>
      </w:r>
      <w:r w:rsidR="006C6BC2">
        <w:rPr>
          <w:rFonts w:cstheme="minorHAnsi"/>
        </w:rPr>
        <w:t xml:space="preserve"> </w:t>
      </w:r>
      <w:r w:rsidR="009F478D">
        <w:rPr>
          <w:rFonts w:cstheme="minorHAnsi"/>
        </w:rPr>
        <w:t xml:space="preserve">making </w:t>
      </w:r>
      <w:r w:rsidR="00E976FA">
        <w:rPr>
          <w:rFonts w:cstheme="minorHAnsi"/>
        </w:rPr>
        <w:t>takes place</w:t>
      </w:r>
      <w:r w:rsidR="009F478D">
        <w:rPr>
          <w:rFonts w:cstheme="minorHAnsi"/>
        </w:rPr>
        <w:t xml:space="preserve">. If key decisions about bargaining are being made without negotiation, this undermines the Act’s objective to establish a fair system of collective bargaining.  </w:t>
      </w:r>
    </w:p>
    <w:p w:rsidR="009F478D" w:rsidRDefault="009F478D" w:rsidP="009F478D">
      <w:pPr>
        <w:shd w:val="clear" w:color="auto" w:fill="FFFFFF"/>
        <w:spacing w:after="0"/>
        <w:jc w:val="both"/>
        <w:rPr>
          <w:rFonts w:cstheme="minorHAnsi"/>
        </w:rPr>
      </w:pPr>
    </w:p>
    <w:p w:rsidR="009F478D" w:rsidRDefault="00112EE1" w:rsidP="009F478D">
      <w:pPr>
        <w:shd w:val="clear" w:color="auto" w:fill="FFFFFF"/>
        <w:spacing w:after="0"/>
        <w:jc w:val="both"/>
        <w:rPr>
          <w:rFonts w:cstheme="minorHAnsi"/>
        </w:rPr>
      </w:pPr>
      <w:r>
        <w:rPr>
          <w:rFonts w:cstheme="minorHAnsi"/>
        </w:rPr>
        <w:lastRenderedPageBreak/>
        <w:t xml:space="preserve">This is the case in bargaining in the federal public sector. </w:t>
      </w:r>
      <w:r w:rsidR="009F478D">
        <w:rPr>
          <w:rFonts w:cstheme="minorHAnsi"/>
        </w:rPr>
        <w:t>In Issues Paper 5 the Productivity Commission identifies that a unique feature of public sector bargaining is the situation in which negotiations for enterprise agreements occur at the agency</w:t>
      </w:r>
      <w:r w:rsidR="00CC517C">
        <w:rPr>
          <w:rFonts w:cstheme="minorHAnsi"/>
        </w:rPr>
        <w:t xml:space="preserve"> </w:t>
      </w:r>
      <w:r w:rsidR="009F478D">
        <w:rPr>
          <w:rFonts w:cstheme="minorHAnsi"/>
        </w:rPr>
        <w:t>level, whereas decisions affecting bargaining, for example the decision to approve a pay proposal, are driven centrally by the Government</w:t>
      </w:r>
      <w:r w:rsidR="009F478D" w:rsidRPr="000559E8">
        <w:rPr>
          <w:rStyle w:val="FootnoteReference"/>
          <w:rFonts w:asciiTheme="minorHAnsi" w:hAnsiTheme="minorHAnsi" w:cstheme="minorHAnsi"/>
          <w:szCs w:val="20"/>
        </w:rPr>
        <w:footnoteReference w:id="20"/>
      </w:r>
      <w:r w:rsidR="009F478D">
        <w:rPr>
          <w:rFonts w:cstheme="minorHAnsi"/>
        </w:rPr>
        <w:t xml:space="preserve">. </w:t>
      </w:r>
    </w:p>
    <w:p w:rsidR="009F478D" w:rsidRDefault="009F478D" w:rsidP="009F478D">
      <w:pPr>
        <w:shd w:val="clear" w:color="auto" w:fill="FFFFFF"/>
        <w:spacing w:after="0"/>
        <w:jc w:val="both"/>
        <w:rPr>
          <w:rFonts w:cstheme="minorHAnsi"/>
        </w:rPr>
      </w:pPr>
    </w:p>
    <w:p w:rsidR="009F478D" w:rsidRDefault="006E03A5" w:rsidP="009F478D">
      <w:pPr>
        <w:shd w:val="clear" w:color="auto" w:fill="FFFFFF"/>
        <w:spacing w:after="0"/>
        <w:jc w:val="both"/>
        <w:rPr>
          <w:rFonts w:cstheme="minorHAnsi"/>
        </w:rPr>
      </w:pPr>
      <w:r>
        <w:rPr>
          <w:rFonts w:cstheme="minorHAnsi"/>
        </w:rPr>
        <w:t xml:space="preserve">In </w:t>
      </w:r>
      <w:r w:rsidR="00DE1E0C">
        <w:rPr>
          <w:rFonts w:cstheme="minorHAnsi"/>
        </w:rPr>
        <w:t>Commonwealth bargaining</w:t>
      </w:r>
      <w:r>
        <w:rPr>
          <w:rFonts w:cstheme="minorHAnsi"/>
        </w:rPr>
        <w:t xml:space="preserve"> </w:t>
      </w:r>
      <w:r w:rsidR="00B31F2D">
        <w:rPr>
          <w:rFonts w:cstheme="minorHAnsi"/>
        </w:rPr>
        <w:t>n</w:t>
      </w:r>
      <w:r w:rsidR="009F478D">
        <w:rPr>
          <w:rFonts w:cstheme="minorHAnsi"/>
        </w:rPr>
        <w:t xml:space="preserve">egotiations take place in accordance with the terms of the Act, with the Commonwealth acting through agency management to negotiate agency-level enterprise agreements. Although the requirement for agencies to negotiate within the parameters set by the Government is not new, in previous bargaining rounds agencies were given a higher degree of autonomy to determine outcomes. In this round of Commonwealth bargaining agencies are constrained by the Government’s </w:t>
      </w:r>
      <w:r w:rsidR="006203F6">
        <w:rPr>
          <w:rFonts w:cstheme="minorHAnsi"/>
        </w:rPr>
        <w:t>p</w:t>
      </w:r>
      <w:r w:rsidR="009F478D">
        <w:rPr>
          <w:rFonts w:cstheme="minorHAnsi"/>
        </w:rPr>
        <w:t xml:space="preserve">olicy to such an extent that they are facing great difficulty formulating proposals to bring to the negotiating table. </w:t>
      </w:r>
    </w:p>
    <w:p w:rsidR="009F478D" w:rsidRDefault="009F478D" w:rsidP="009F478D">
      <w:pPr>
        <w:shd w:val="clear" w:color="auto" w:fill="FFFFFF"/>
        <w:spacing w:after="0"/>
        <w:jc w:val="both"/>
        <w:rPr>
          <w:rFonts w:cstheme="minorHAnsi"/>
        </w:rPr>
      </w:pPr>
    </w:p>
    <w:p w:rsidR="009F478D" w:rsidRDefault="009F478D" w:rsidP="009F478D">
      <w:pPr>
        <w:shd w:val="clear" w:color="auto" w:fill="FFFFFF"/>
        <w:spacing w:after="0"/>
        <w:jc w:val="both"/>
        <w:rPr>
          <w:rFonts w:cstheme="minorHAnsi"/>
        </w:rPr>
      </w:pPr>
      <w:r>
        <w:rPr>
          <w:rFonts w:cstheme="minorHAnsi"/>
        </w:rPr>
        <w:t xml:space="preserve">The Government is requiring all APS agencies and, where the Minister has the power to make a direction under the relevant legislation, broader public sector agencies, to apply the </w:t>
      </w:r>
      <w:r w:rsidRPr="00545FF6">
        <w:rPr>
          <w:rFonts w:cstheme="minorHAnsi"/>
          <w:i/>
        </w:rPr>
        <w:t>Australian Government Public Sector Workplace Bargaining policy</w:t>
      </w:r>
      <w:r>
        <w:rPr>
          <w:rFonts w:cstheme="minorHAnsi"/>
        </w:rPr>
        <w:t xml:space="preserve"> (“the Bargaining Policy”)</w:t>
      </w:r>
      <w:r w:rsidRPr="005F711B">
        <w:rPr>
          <w:rStyle w:val="FootnoteReference"/>
          <w:rFonts w:cstheme="minorHAnsi"/>
          <w:vertAlign w:val="superscript"/>
        </w:rPr>
        <w:t xml:space="preserve"> </w:t>
      </w:r>
      <w:r w:rsidRPr="000559E8">
        <w:rPr>
          <w:rStyle w:val="FootnoteReference"/>
          <w:rFonts w:asciiTheme="minorHAnsi" w:hAnsiTheme="minorHAnsi" w:cstheme="minorHAnsi"/>
          <w:szCs w:val="20"/>
          <w:vertAlign w:val="superscript"/>
        </w:rPr>
        <w:footnoteReference w:id="21"/>
      </w:r>
      <w:r>
        <w:rPr>
          <w:rFonts w:cstheme="minorHAnsi"/>
        </w:rPr>
        <w:t xml:space="preserve"> in the negotiation of agency-level enterprise agreements. The Bargaining Policy takes a very restrictive approach to bargaining, </w:t>
      </w:r>
      <w:r w:rsidR="00112EE1">
        <w:rPr>
          <w:rFonts w:cstheme="minorHAnsi"/>
        </w:rPr>
        <w:t>requiring</w:t>
      </w:r>
      <w:r>
        <w:rPr>
          <w:rFonts w:cstheme="minorHAnsi"/>
        </w:rPr>
        <w:t xml:space="preserve"> agencies to:</w:t>
      </w:r>
    </w:p>
    <w:p w:rsidR="009F478D" w:rsidRDefault="009F478D" w:rsidP="009F478D">
      <w:pPr>
        <w:shd w:val="clear" w:color="auto" w:fill="FFFFFF"/>
        <w:spacing w:after="0"/>
        <w:jc w:val="both"/>
        <w:rPr>
          <w:rFonts w:cstheme="minorHAnsi"/>
        </w:rPr>
      </w:pPr>
    </w:p>
    <w:p w:rsidR="009F478D" w:rsidRDefault="009F478D" w:rsidP="009F478D">
      <w:pPr>
        <w:pStyle w:val="ListParagraph"/>
        <w:numPr>
          <w:ilvl w:val="0"/>
          <w:numId w:val="16"/>
        </w:numPr>
        <w:shd w:val="clear" w:color="auto" w:fill="FFFFFF"/>
        <w:spacing w:after="0"/>
        <w:jc w:val="both"/>
        <w:rPr>
          <w:rFonts w:cstheme="minorHAnsi"/>
        </w:rPr>
      </w:pPr>
      <w:r>
        <w:rPr>
          <w:rFonts w:cstheme="minorHAnsi"/>
        </w:rPr>
        <w:t>Remove content from agreements</w:t>
      </w:r>
      <w:r w:rsidRPr="00326E8B">
        <w:rPr>
          <w:rStyle w:val="FootnoteReference"/>
          <w:rFonts w:asciiTheme="minorHAnsi" w:hAnsiTheme="minorHAnsi" w:cstheme="minorHAnsi"/>
          <w:vertAlign w:val="superscript"/>
        </w:rPr>
        <w:footnoteReference w:id="22"/>
      </w:r>
      <w:r>
        <w:rPr>
          <w:rFonts w:cstheme="minorHAnsi"/>
        </w:rPr>
        <w:t>,</w:t>
      </w:r>
      <w:r w:rsidRPr="007C0B90">
        <w:rPr>
          <w:rFonts w:cstheme="minorHAnsi"/>
        </w:rPr>
        <w:t xml:space="preserve"> </w:t>
      </w:r>
      <w:r w:rsidR="00145728">
        <w:rPr>
          <w:rFonts w:cstheme="minorHAnsi"/>
        </w:rPr>
        <w:t>w</w:t>
      </w:r>
      <w:r>
        <w:rPr>
          <w:rFonts w:cstheme="minorHAnsi"/>
        </w:rPr>
        <w:t xml:space="preserve">hich has </w:t>
      </w:r>
      <w:r w:rsidRPr="007C0B90">
        <w:rPr>
          <w:rFonts w:cstheme="minorHAnsi"/>
        </w:rPr>
        <w:t>seen agencies table enterprise agreements</w:t>
      </w:r>
      <w:r>
        <w:rPr>
          <w:rFonts w:cstheme="minorHAnsi"/>
        </w:rPr>
        <w:t xml:space="preserve"> that have been</w:t>
      </w:r>
      <w:r w:rsidRPr="007C0B90">
        <w:rPr>
          <w:rFonts w:cstheme="minorHAnsi"/>
        </w:rPr>
        <w:t xml:space="preserve"> </w:t>
      </w:r>
      <w:r w:rsidR="00F24B66">
        <w:rPr>
          <w:rFonts w:cstheme="minorHAnsi"/>
        </w:rPr>
        <w:t>reduced</w:t>
      </w:r>
      <w:r>
        <w:rPr>
          <w:rFonts w:cstheme="minorHAnsi"/>
        </w:rPr>
        <w:t xml:space="preserve"> by</w:t>
      </w:r>
      <w:r w:rsidRPr="007C0B90">
        <w:rPr>
          <w:rFonts w:cstheme="minorHAnsi"/>
        </w:rPr>
        <w:t xml:space="preserve"> </w:t>
      </w:r>
      <w:r>
        <w:rPr>
          <w:rFonts w:cstheme="minorHAnsi"/>
        </w:rPr>
        <w:t xml:space="preserve">up to </w:t>
      </w:r>
      <w:r w:rsidRPr="007C0B90">
        <w:rPr>
          <w:rFonts w:cstheme="minorHAnsi"/>
        </w:rPr>
        <w:t xml:space="preserve">half of </w:t>
      </w:r>
      <w:r>
        <w:rPr>
          <w:rFonts w:cstheme="minorHAnsi"/>
        </w:rPr>
        <w:t xml:space="preserve">the document’s </w:t>
      </w:r>
      <w:r w:rsidRPr="007C0B90">
        <w:rPr>
          <w:rFonts w:cstheme="minorHAnsi"/>
        </w:rPr>
        <w:t xml:space="preserve">current size, </w:t>
      </w:r>
      <w:r>
        <w:rPr>
          <w:rFonts w:cstheme="minorHAnsi"/>
        </w:rPr>
        <w:t xml:space="preserve">thereby </w:t>
      </w:r>
      <w:r w:rsidRPr="007C0B90">
        <w:rPr>
          <w:rFonts w:cstheme="minorHAnsi"/>
        </w:rPr>
        <w:t>removing important employee p</w:t>
      </w:r>
      <w:r>
        <w:rPr>
          <w:rFonts w:cstheme="minorHAnsi"/>
        </w:rPr>
        <w:t>rotections</w:t>
      </w:r>
      <w:r w:rsidR="002B4030">
        <w:rPr>
          <w:rFonts w:cstheme="minorHAnsi"/>
        </w:rPr>
        <w:t>;</w:t>
      </w:r>
      <w:r>
        <w:rPr>
          <w:rFonts w:cstheme="minorHAnsi"/>
        </w:rPr>
        <w:t xml:space="preserve"> </w:t>
      </w:r>
    </w:p>
    <w:p w:rsidR="009F478D" w:rsidRDefault="009F478D" w:rsidP="009F478D">
      <w:pPr>
        <w:pStyle w:val="ListParagraph"/>
        <w:shd w:val="clear" w:color="auto" w:fill="FFFFFF"/>
        <w:spacing w:after="0"/>
        <w:jc w:val="both"/>
        <w:rPr>
          <w:rFonts w:cstheme="minorHAnsi"/>
        </w:rPr>
      </w:pPr>
    </w:p>
    <w:p w:rsidR="009F478D" w:rsidRDefault="009F478D" w:rsidP="009F478D">
      <w:pPr>
        <w:pStyle w:val="ListParagraph"/>
        <w:numPr>
          <w:ilvl w:val="0"/>
          <w:numId w:val="16"/>
        </w:numPr>
        <w:shd w:val="clear" w:color="auto" w:fill="FFFFFF"/>
        <w:spacing w:after="0"/>
        <w:jc w:val="both"/>
        <w:rPr>
          <w:rFonts w:cstheme="minorHAnsi"/>
        </w:rPr>
      </w:pPr>
      <w:r>
        <w:rPr>
          <w:rFonts w:cstheme="minorHAnsi"/>
        </w:rPr>
        <w:t xml:space="preserve">Refuse </w:t>
      </w:r>
      <w:r w:rsidR="00CC517C">
        <w:rPr>
          <w:rFonts w:cstheme="minorHAnsi"/>
        </w:rPr>
        <w:t xml:space="preserve">any </w:t>
      </w:r>
      <w:r>
        <w:rPr>
          <w:rFonts w:cstheme="minorHAnsi"/>
        </w:rPr>
        <w:t>improvements to “core APS conditions” including hours of work, superannuation, leave arrangements, and redeployment, reduction and redundancy protections</w:t>
      </w:r>
      <w:r w:rsidRPr="00326E8B">
        <w:rPr>
          <w:rStyle w:val="FootnoteReference"/>
          <w:rFonts w:asciiTheme="minorHAnsi" w:hAnsiTheme="minorHAnsi" w:cstheme="minorHAnsi"/>
          <w:vertAlign w:val="superscript"/>
        </w:rPr>
        <w:footnoteReference w:id="23"/>
      </w:r>
      <w:r w:rsidR="002B4030">
        <w:rPr>
          <w:rFonts w:cstheme="minorHAnsi"/>
        </w:rPr>
        <w:t>;</w:t>
      </w:r>
      <w:r w:rsidRPr="007C0B90">
        <w:rPr>
          <w:rFonts w:cstheme="minorHAnsi"/>
        </w:rPr>
        <w:t xml:space="preserve"> </w:t>
      </w:r>
    </w:p>
    <w:p w:rsidR="009F478D" w:rsidRDefault="009F478D" w:rsidP="009F478D">
      <w:pPr>
        <w:pStyle w:val="ListParagraph"/>
        <w:shd w:val="clear" w:color="auto" w:fill="FFFFFF"/>
        <w:spacing w:after="0"/>
        <w:jc w:val="both"/>
        <w:rPr>
          <w:rFonts w:cstheme="minorHAnsi"/>
        </w:rPr>
      </w:pPr>
    </w:p>
    <w:p w:rsidR="009F478D" w:rsidRDefault="009F478D" w:rsidP="009F478D">
      <w:pPr>
        <w:pStyle w:val="ListParagraph"/>
        <w:numPr>
          <w:ilvl w:val="0"/>
          <w:numId w:val="16"/>
        </w:numPr>
        <w:shd w:val="clear" w:color="auto" w:fill="FFFFFF"/>
        <w:spacing w:after="0"/>
        <w:jc w:val="both"/>
        <w:rPr>
          <w:rFonts w:cstheme="minorHAnsi"/>
        </w:rPr>
      </w:pPr>
      <w:r>
        <w:rPr>
          <w:rFonts w:cstheme="minorHAnsi"/>
        </w:rPr>
        <w:t>Gain approval from the Public Service Commissioner (in consultation with the Secretar</w:t>
      </w:r>
      <w:r w:rsidR="00326E8B">
        <w:rPr>
          <w:rFonts w:cstheme="minorHAnsi"/>
        </w:rPr>
        <w:t>y of the Department of Finance)</w:t>
      </w:r>
      <w:r w:rsidRPr="00326E8B">
        <w:rPr>
          <w:rStyle w:val="FootnoteReference"/>
          <w:rFonts w:asciiTheme="minorHAnsi" w:hAnsiTheme="minorHAnsi" w:cstheme="minorHAnsi"/>
          <w:vertAlign w:val="superscript"/>
        </w:rPr>
        <w:footnoteReference w:id="24"/>
      </w:r>
      <w:r w:rsidR="00326E8B">
        <w:rPr>
          <w:rFonts w:cstheme="minorHAnsi"/>
        </w:rPr>
        <w:t>,</w:t>
      </w:r>
      <w:r>
        <w:rPr>
          <w:rFonts w:cstheme="minorHAnsi"/>
        </w:rPr>
        <w:t xml:space="preserve"> before discussing pay in bargaining, </w:t>
      </w:r>
      <w:r w:rsidR="00F24B66">
        <w:rPr>
          <w:rFonts w:cstheme="minorHAnsi"/>
        </w:rPr>
        <w:t>with the result</w:t>
      </w:r>
      <w:r>
        <w:rPr>
          <w:rFonts w:cstheme="minorHAnsi"/>
        </w:rPr>
        <w:t xml:space="preserve"> that agencies cannot genuinely negotiate on the matter of pay</w:t>
      </w:r>
      <w:r w:rsidR="002B4030">
        <w:rPr>
          <w:rFonts w:cstheme="minorHAnsi"/>
        </w:rPr>
        <w:t>; and</w:t>
      </w:r>
      <w:r>
        <w:rPr>
          <w:rFonts w:cstheme="minorHAnsi"/>
        </w:rPr>
        <w:t xml:space="preserve"> </w:t>
      </w:r>
    </w:p>
    <w:p w:rsidR="009F478D" w:rsidRDefault="009F478D" w:rsidP="009F478D">
      <w:pPr>
        <w:pStyle w:val="ListParagraph"/>
        <w:shd w:val="clear" w:color="auto" w:fill="FFFFFF"/>
        <w:spacing w:after="0"/>
        <w:jc w:val="both"/>
        <w:rPr>
          <w:rFonts w:cstheme="minorHAnsi"/>
        </w:rPr>
      </w:pPr>
    </w:p>
    <w:p w:rsidR="009F478D" w:rsidRDefault="009F478D" w:rsidP="009F478D">
      <w:pPr>
        <w:pStyle w:val="ListParagraph"/>
        <w:numPr>
          <w:ilvl w:val="0"/>
          <w:numId w:val="16"/>
        </w:numPr>
        <w:shd w:val="clear" w:color="auto" w:fill="FFFFFF"/>
        <w:spacing w:after="0"/>
        <w:jc w:val="both"/>
        <w:rPr>
          <w:rFonts w:cstheme="minorHAnsi"/>
        </w:rPr>
      </w:pPr>
      <w:r>
        <w:rPr>
          <w:rFonts w:cstheme="minorHAnsi"/>
        </w:rPr>
        <w:t xml:space="preserve">Apply a very narrow </w:t>
      </w:r>
      <w:r w:rsidR="00CC517C">
        <w:rPr>
          <w:rFonts w:cstheme="minorHAnsi"/>
        </w:rPr>
        <w:t xml:space="preserve">and skewed </w:t>
      </w:r>
      <w:r>
        <w:rPr>
          <w:rFonts w:cstheme="minorHAnsi"/>
        </w:rPr>
        <w:t>definition of producti</w:t>
      </w:r>
      <w:r w:rsidR="00D47DED">
        <w:rPr>
          <w:rFonts w:cstheme="minorHAnsi"/>
        </w:rPr>
        <w:t xml:space="preserve">vity to justify any pay proposal. This limits productivity improvements to cost </w:t>
      </w:r>
      <w:r>
        <w:rPr>
          <w:rFonts w:cstheme="minorHAnsi"/>
        </w:rPr>
        <w:t>offsets identified “through enterprise bargaining”</w:t>
      </w:r>
      <w:r w:rsidRPr="00AD05B3">
        <w:rPr>
          <w:rStyle w:val="FootnoteReference"/>
          <w:rFonts w:cstheme="minorHAnsi"/>
          <w:vertAlign w:val="superscript"/>
        </w:rPr>
        <w:t xml:space="preserve"> </w:t>
      </w:r>
      <w:r w:rsidRPr="00326E8B">
        <w:rPr>
          <w:rStyle w:val="FootnoteReference"/>
          <w:rFonts w:asciiTheme="minorHAnsi" w:hAnsiTheme="minorHAnsi" w:cstheme="minorHAnsi"/>
          <w:vertAlign w:val="superscript"/>
        </w:rPr>
        <w:footnoteReference w:id="25"/>
      </w:r>
      <w:r>
        <w:rPr>
          <w:rFonts w:cstheme="minorHAnsi"/>
        </w:rPr>
        <w:t xml:space="preserve">, </w:t>
      </w:r>
      <w:r w:rsidRPr="00CC517C">
        <w:rPr>
          <w:rFonts w:cstheme="minorHAnsi"/>
        </w:rPr>
        <w:t xml:space="preserve">interpreted by the Australian Public Service Commission (APSC) to require </w:t>
      </w:r>
      <w:r w:rsidR="00CC517C" w:rsidRPr="00CC517C">
        <w:rPr>
          <w:rFonts w:cstheme="minorHAnsi"/>
        </w:rPr>
        <w:t xml:space="preserve">reduction of </w:t>
      </w:r>
      <w:r w:rsidR="00CC517C" w:rsidRPr="00CC517C">
        <w:rPr>
          <w:rFonts w:cstheme="minorHAnsi"/>
        </w:rPr>
        <w:lastRenderedPageBreak/>
        <w:t xml:space="preserve">employees </w:t>
      </w:r>
      <w:r w:rsidRPr="00CC517C">
        <w:rPr>
          <w:rFonts w:cstheme="minorHAnsi"/>
        </w:rPr>
        <w:t>conditions</w:t>
      </w:r>
      <w:r w:rsidR="00CC517C" w:rsidRPr="00CC517C">
        <w:rPr>
          <w:rFonts w:cstheme="minorHAnsi"/>
        </w:rPr>
        <w:t xml:space="preserve">  and excluding genuine productivities delivered by employees </w:t>
      </w:r>
      <w:r w:rsidR="00CC517C" w:rsidRPr="0029366A">
        <w:rPr>
          <w:color w:val="000000"/>
          <w:lang w:val="en"/>
        </w:rPr>
        <w:t>through innovation, service improvements and workplace change</w:t>
      </w:r>
      <w:r w:rsidRPr="00CC517C">
        <w:rPr>
          <w:rFonts w:cstheme="minorHAnsi"/>
        </w:rPr>
        <w:t>.</w:t>
      </w:r>
      <w:r>
        <w:rPr>
          <w:rFonts w:cstheme="minorHAnsi"/>
        </w:rPr>
        <w:t xml:space="preserve"> </w:t>
      </w:r>
    </w:p>
    <w:p w:rsidR="00B31F2D" w:rsidRDefault="00B31F2D" w:rsidP="009F478D">
      <w:pPr>
        <w:shd w:val="clear" w:color="auto" w:fill="FFFFFF"/>
        <w:spacing w:after="0"/>
        <w:jc w:val="both"/>
        <w:rPr>
          <w:rFonts w:cstheme="minorHAnsi"/>
        </w:rPr>
      </w:pPr>
    </w:p>
    <w:p w:rsidR="009F478D" w:rsidRDefault="009F478D" w:rsidP="009F478D">
      <w:pPr>
        <w:shd w:val="clear" w:color="auto" w:fill="FFFFFF"/>
        <w:spacing w:after="0"/>
        <w:jc w:val="both"/>
        <w:rPr>
          <w:rFonts w:cstheme="minorHAnsi"/>
        </w:rPr>
      </w:pPr>
      <w:r>
        <w:rPr>
          <w:rFonts w:cstheme="minorHAnsi"/>
        </w:rPr>
        <w:t>This very restrictive approach to bargaining is not in keeping with the Act’s object of supporting cooperative workplace relations</w:t>
      </w:r>
      <w:r w:rsidRPr="00EF5889">
        <w:rPr>
          <w:rStyle w:val="FootnoteReference"/>
          <w:rFonts w:asciiTheme="minorHAnsi" w:hAnsiTheme="minorHAnsi" w:cstheme="minorHAnsi"/>
        </w:rPr>
        <w:footnoteReference w:id="26"/>
      </w:r>
      <w:r>
        <w:rPr>
          <w:rFonts w:cstheme="minorHAnsi"/>
        </w:rPr>
        <w:t xml:space="preserve">. </w:t>
      </w:r>
    </w:p>
    <w:p w:rsidR="009F478D" w:rsidRDefault="009F478D" w:rsidP="009F478D">
      <w:pPr>
        <w:shd w:val="clear" w:color="auto" w:fill="FFFFFF"/>
        <w:spacing w:after="0"/>
        <w:jc w:val="both"/>
        <w:rPr>
          <w:rFonts w:cstheme="minorHAnsi"/>
        </w:rPr>
      </w:pPr>
    </w:p>
    <w:p w:rsidR="009F478D" w:rsidRDefault="009F478D" w:rsidP="009F478D">
      <w:pPr>
        <w:shd w:val="clear" w:color="auto" w:fill="FFFFFF"/>
        <w:spacing w:after="0"/>
        <w:jc w:val="both"/>
        <w:rPr>
          <w:rFonts w:cstheme="minorHAnsi"/>
        </w:rPr>
      </w:pPr>
      <w:r>
        <w:rPr>
          <w:rFonts w:cstheme="minorHAnsi"/>
        </w:rPr>
        <w:t>The situation in Commonwealth bargaining u</w:t>
      </w:r>
      <w:r w:rsidR="00145728">
        <w:rPr>
          <w:rFonts w:cstheme="minorHAnsi"/>
        </w:rPr>
        <w:t>nderlines the limitations of</w:t>
      </w:r>
      <w:r>
        <w:rPr>
          <w:rFonts w:cstheme="minorHAnsi"/>
        </w:rPr>
        <w:t xml:space="preserve"> bargaining </w:t>
      </w:r>
      <w:r w:rsidR="00145728">
        <w:rPr>
          <w:rFonts w:cstheme="minorHAnsi"/>
        </w:rPr>
        <w:t xml:space="preserve">at the enterprise level </w:t>
      </w:r>
      <w:r>
        <w:rPr>
          <w:rFonts w:cstheme="minorHAnsi"/>
        </w:rPr>
        <w:t xml:space="preserve">established by the </w:t>
      </w:r>
      <w:r w:rsidRPr="00773645">
        <w:rPr>
          <w:rFonts w:cstheme="minorHAnsi"/>
          <w:i/>
        </w:rPr>
        <w:t>Fair Work Act</w:t>
      </w:r>
      <w:r w:rsidR="00145728">
        <w:rPr>
          <w:rFonts w:cstheme="minorHAnsi"/>
        </w:rPr>
        <w:t xml:space="preserve">. </w:t>
      </w:r>
      <w:r>
        <w:rPr>
          <w:rFonts w:cstheme="minorHAnsi"/>
        </w:rPr>
        <w:t xml:space="preserve">The CPSU </w:t>
      </w:r>
      <w:r w:rsidR="00145728">
        <w:rPr>
          <w:rFonts w:cstheme="minorHAnsi"/>
        </w:rPr>
        <w:t xml:space="preserve">also </w:t>
      </w:r>
      <w:r>
        <w:rPr>
          <w:rFonts w:cstheme="minorHAnsi"/>
        </w:rPr>
        <w:t>contends that stronger provisions supporting genuine bargaining</w:t>
      </w:r>
      <w:r w:rsidR="00145728">
        <w:rPr>
          <w:rFonts w:cstheme="minorHAnsi"/>
        </w:rPr>
        <w:t>, backed up by a clearer role for the Fair Work Commission to resolve deadlocks,</w:t>
      </w:r>
      <w:r>
        <w:rPr>
          <w:rFonts w:cstheme="minorHAnsi"/>
        </w:rPr>
        <w:t xml:space="preserve"> would be of assistance in limiting industrial disputation.   </w:t>
      </w:r>
    </w:p>
    <w:p w:rsidR="00282DFD" w:rsidRDefault="00282DFD" w:rsidP="009F478D">
      <w:pPr>
        <w:shd w:val="clear" w:color="auto" w:fill="FFFFFF"/>
        <w:spacing w:after="0"/>
        <w:jc w:val="both"/>
        <w:rPr>
          <w:rFonts w:cstheme="minorHAnsi"/>
        </w:rPr>
      </w:pPr>
    </w:p>
    <w:p w:rsidR="00282DFD" w:rsidRDefault="00282DFD" w:rsidP="009F478D">
      <w:pPr>
        <w:shd w:val="clear" w:color="auto" w:fill="FFFFFF"/>
        <w:spacing w:after="0"/>
        <w:jc w:val="both"/>
        <w:rPr>
          <w:rFonts w:cstheme="minorHAnsi"/>
        </w:rPr>
      </w:pPr>
    </w:p>
    <w:p w:rsidR="00696B32" w:rsidRDefault="00696B32" w:rsidP="009F478D">
      <w:pPr>
        <w:shd w:val="clear" w:color="auto" w:fill="FFFFFF"/>
        <w:spacing w:after="0"/>
        <w:jc w:val="both"/>
        <w:rPr>
          <w:rFonts w:cstheme="minorHAnsi"/>
        </w:rPr>
      </w:pPr>
    </w:p>
    <w:p w:rsidR="00C25313" w:rsidRPr="00B232EE" w:rsidRDefault="00C25313" w:rsidP="00C25313">
      <w:pPr>
        <w:shd w:val="clear" w:color="auto" w:fill="FFFFFF"/>
        <w:spacing w:after="0"/>
        <w:jc w:val="both"/>
        <w:rPr>
          <w:rFonts w:asciiTheme="majorHAnsi" w:hAnsiTheme="majorHAnsi" w:cstheme="minorHAnsi"/>
          <w:b/>
          <w:sz w:val="28"/>
          <w:szCs w:val="28"/>
        </w:rPr>
      </w:pPr>
      <w:r w:rsidRPr="00B232EE">
        <w:rPr>
          <w:rFonts w:asciiTheme="majorHAnsi" w:hAnsiTheme="majorHAnsi" w:cstheme="minorHAnsi"/>
          <w:b/>
          <w:sz w:val="28"/>
          <w:szCs w:val="28"/>
        </w:rPr>
        <w:t>Bargaining proces</w:t>
      </w:r>
      <w:r w:rsidR="00EE67F2">
        <w:rPr>
          <w:rFonts w:asciiTheme="majorHAnsi" w:hAnsiTheme="majorHAnsi" w:cstheme="minorHAnsi"/>
          <w:b/>
          <w:sz w:val="28"/>
          <w:szCs w:val="28"/>
        </w:rPr>
        <w:t>s</w:t>
      </w:r>
      <w:r w:rsidRPr="00B232EE">
        <w:rPr>
          <w:rFonts w:asciiTheme="majorHAnsi" w:hAnsiTheme="majorHAnsi" w:cstheme="minorHAnsi"/>
          <w:b/>
          <w:sz w:val="28"/>
          <w:szCs w:val="28"/>
        </w:rPr>
        <w:t xml:space="preserve">es: the commencement of bargaining </w:t>
      </w:r>
    </w:p>
    <w:p w:rsidR="00C25313" w:rsidRPr="00672D81" w:rsidRDefault="00C25313" w:rsidP="00C25313">
      <w:pPr>
        <w:shd w:val="clear" w:color="auto" w:fill="FFFFFF"/>
        <w:spacing w:after="0"/>
        <w:jc w:val="both"/>
        <w:rPr>
          <w:rFonts w:cstheme="minorHAnsi"/>
          <w:b/>
        </w:rPr>
      </w:pPr>
    </w:p>
    <w:p w:rsidR="00C25313" w:rsidRDefault="00041969" w:rsidP="00C25313">
      <w:pPr>
        <w:shd w:val="clear" w:color="auto" w:fill="FFFFFF"/>
        <w:spacing w:after="0"/>
        <w:jc w:val="both"/>
        <w:rPr>
          <w:rFonts w:cstheme="minorHAnsi"/>
        </w:rPr>
      </w:pPr>
      <w:r>
        <w:rPr>
          <w:rFonts w:cstheme="minorHAnsi"/>
        </w:rPr>
        <w:t>In Issues Paper 3</w:t>
      </w:r>
      <w:r w:rsidR="00C25313">
        <w:rPr>
          <w:rFonts w:cstheme="minorHAnsi"/>
        </w:rPr>
        <w:t xml:space="preserve"> the Productivity Commission asks whether there should be changes to the bargaining processes of the </w:t>
      </w:r>
      <w:r w:rsidR="00C25313">
        <w:rPr>
          <w:rFonts w:cstheme="minorHAnsi"/>
          <w:i/>
        </w:rPr>
        <w:t>Fair Work Act.</w:t>
      </w:r>
      <w:r w:rsidR="00C25313">
        <w:rPr>
          <w:rFonts w:cstheme="minorHAnsi"/>
        </w:rPr>
        <w:t xml:space="preserve"> The CPSU would </w:t>
      </w:r>
      <w:r w:rsidR="00FB2342">
        <w:rPr>
          <w:rFonts w:cstheme="minorHAnsi"/>
        </w:rPr>
        <w:t xml:space="preserve">oppose any measures to water down </w:t>
      </w:r>
      <w:r w:rsidR="001803F9">
        <w:rPr>
          <w:rFonts w:cstheme="minorHAnsi"/>
        </w:rPr>
        <w:t xml:space="preserve">the measures of the Act that support collective bargaining. On the contrary, </w:t>
      </w:r>
      <w:r w:rsidR="00C25313">
        <w:rPr>
          <w:rFonts w:cstheme="minorHAnsi"/>
        </w:rPr>
        <w:t>there is ca</w:t>
      </w:r>
      <w:r>
        <w:rPr>
          <w:rFonts w:cstheme="minorHAnsi"/>
        </w:rPr>
        <w:t>use to tighten those procedures</w:t>
      </w:r>
      <w:r w:rsidR="00C25313">
        <w:rPr>
          <w:rFonts w:cstheme="minorHAnsi"/>
        </w:rPr>
        <w:t xml:space="preserve">. </w:t>
      </w:r>
    </w:p>
    <w:p w:rsidR="00C25313" w:rsidRDefault="00C25313" w:rsidP="00C25313">
      <w:pPr>
        <w:shd w:val="clear" w:color="auto" w:fill="FFFFFF"/>
        <w:spacing w:after="0"/>
        <w:jc w:val="both"/>
        <w:rPr>
          <w:rFonts w:cstheme="minorHAnsi"/>
        </w:rPr>
      </w:pPr>
    </w:p>
    <w:p w:rsidR="00C25313" w:rsidRPr="007A0307" w:rsidRDefault="00C25313" w:rsidP="00C25313">
      <w:pPr>
        <w:shd w:val="clear" w:color="auto" w:fill="FFFFFF"/>
        <w:tabs>
          <w:tab w:val="left" w:pos="5387"/>
        </w:tabs>
        <w:spacing w:after="0"/>
        <w:jc w:val="both"/>
        <w:rPr>
          <w:rFonts w:cstheme="minorHAnsi"/>
        </w:rPr>
      </w:pPr>
      <w:r>
        <w:rPr>
          <w:rFonts w:cstheme="minorHAnsi"/>
        </w:rPr>
        <w:t xml:space="preserve">The CPSU </w:t>
      </w:r>
      <w:r w:rsidRPr="007A0307">
        <w:rPr>
          <w:rFonts w:cstheme="minorHAnsi"/>
        </w:rPr>
        <w:t xml:space="preserve">contends that the bargaining processes that currently exist do not adequately facilitate the commencement of bargaining where the </w:t>
      </w:r>
      <w:r>
        <w:rPr>
          <w:rFonts w:cstheme="minorHAnsi"/>
        </w:rPr>
        <w:t>employer is unnecessarily delaying</w:t>
      </w:r>
      <w:r w:rsidRPr="007A0307">
        <w:rPr>
          <w:rFonts w:cstheme="minorHAnsi"/>
        </w:rPr>
        <w:t xml:space="preserve"> the start </w:t>
      </w:r>
      <w:r>
        <w:rPr>
          <w:rFonts w:cstheme="minorHAnsi"/>
        </w:rPr>
        <w:t>of</w:t>
      </w:r>
      <w:r w:rsidRPr="007A0307">
        <w:rPr>
          <w:rFonts w:cstheme="minorHAnsi"/>
        </w:rPr>
        <w:t xml:space="preserve"> bargaining or is unwilling to commence at all. As the law stands, there is no prohibition on an employer delaying the commencement of negotiations. It is within the employer’s control to issue the Notice of Employee Representational Rights</w:t>
      </w:r>
      <w:r>
        <w:rPr>
          <w:rFonts w:cstheme="minorHAnsi"/>
        </w:rPr>
        <w:t xml:space="preserve"> (NERR)</w:t>
      </w:r>
      <w:r w:rsidRPr="007A0307">
        <w:rPr>
          <w:rFonts w:cstheme="minorHAnsi"/>
        </w:rPr>
        <w:t xml:space="preserve"> and to start negotiations</w:t>
      </w:r>
      <w:r w:rsidRPr="00E469A9">
        <w:rPr>
          <w:rStyle w:val="FootnoteReference"/>
          <w:rFonts w:asciiTheme="minorHAnsi" w:hAnsiTheme="minorHAnsi" w:cstheme="minorHAnsi"/>
          <w:szCs w:val="20"/>
          <w:vertAlign w:val="superscript"/>
        </w:rPr>
        <w:footnoteReference w:id="27"/>
      </w:r>
      <w:r w:rsidRPr="007A0307">
        <w:rPr>
          <w:rFonts w:cstheme="minorHAnsi"/>
        </w:rPr>
        <w:t>. This puts employees at a disadvantage</w:t>
      </w:r>
      <w:r>
        <w:rPr>
          <w:rFonts w:cstheme="minorHAnsi"/>
        </w:rPr>
        <w:t xml:space="preserve"> in bargaining</w:t>
      </w:r>
      <w:r w:rsidRPr="007A0307">
        <w:rPr>
          <w:rFonts w:cstheme="minorHAnsi"/>
        </w:rPr>
        <w:t xml:space="preserve">, </w:t>
      </w:r>
      <w:r w:rsidR="00890975" w:rsidRPr="007A0307">
        <w:rPr>
          <w:rFonts w:cstheme="minorHAnsi"/>
        </w:rPr>
        <w:t>including</w:t>
      </w:r>
      <w:r w:rsidRPr="007A0307">
        <w:rPr>
          <w:rFonts w:cstheme="minorHAnsi"/>
        </w:rPr>
        <w:t xml:space="preserve"> financial disadvantage arising from potentially long stretches without remuneration increases. </w:t>
      </w:r>
    </w:p>
    <w:p w:rsidR="00C25313" w:rsidRDefault="00C25313" w:rsidP="00C25313">
      <w:pPr>
        <w:shd w:val="clear" w:color="auto" w:fill="FFFFFF"/>
        <w:spacing w:after="0"/>
        <w:jc w:val="both"/>
        <w:rPr>
          <w:rFonts w:cstheme="minorHAnsi"/>
        </w:rPr>
      </w:pPr>
    </w:p>
    <w:p w:rsidR="00C25313" w:rsidRDefault="00C25313" w:rsidP="00C25313">
      <w:pPr>
        <w:shd w:val="clear" w:color="auto" w:fill="FFFFFF"/>
        <w:spacing w:after="0"/>
        <w:jc w:val="both"/>
        <w:rPr>
          <w:rFonts w:cstheme="minorHAnsi"/>
        </w:rPr>
      </w:pPr>
      <w:r>
        <w:rPr>
          <w:rFonts w:cstheme="minorHAnsi"/>
        </w:rPr>
        <w:t>An example of this problem resides in the current round of federal public sector bargaining. In December 2013, having surveyed its members and formulated a claim, the CPSU wrote to APS agencies requesting the commencement of bargaining so that negotiations could be concluded in time for replacement agreements to come in to force ahead of the 30</w:t>
      </w:r>
      <w:r w:rsidRPr="00AF2E1A">
        <w:rPr>
          <w:rFonts w:cstheme="minorHAnsi"/>
          <w:vertAlign w:val="superscript"/>
        </w:rPr>
        <w:t>th</w:t>
      </w:r>
      <w:r>
        <w:rPr>
          <w:rFonts w:cstheme="minorHAnsi"/>
        </w:rPr>
        <w:t xml:space="preserve"> June 2014 nominal expiry date (NED). </w:t>
      </w:r>
      <w:r w:rsidR="00E7186E">
        <w:rPr>
          <w:rFonts w:cstheme="minorHAnsi"/>
        </w:rPr>
        <w:t>However, t</w:t>
      </w:r>
      <w:r>
        <w:rPr>
          <w:rFonts w:cstheme="minorHAnsi"/>
        </w:rPr>
        <w:t xml:space="preserve">he Government delayed the release of its Bargaining Policy until 28 March 2014, preventing agencies from commencing negotiations until after that date. Agencies then took some time to issue NERRs, and at 30 June </w:t>
      </w:r>
      <w:r w:rsidRPr="005F4D06">
        <w:rPr>
          <w:rFonts w:cstheme="minorHAnsi"/>
        </w:rPr>
        <w:t xml:space="preserve">2014, only 5 </w:t>
      </w:r>
      <w:r>
        <w:rPr>
          <w:rFonts w:cstheme="minorHAnsi"/>
        </w:rPr>
        <w:t xml:space="preserve">APS agencies had done so. </w:t>
      </w:r>
      <w:r w:rsidR="00E7186E">
        <w:rPr>
          <w:rFonts w:cstheme="minorHAnsi"/>
        </w:rPr>
        <w:t xml:space="preserve">There was therefore a very substantial delay between the request from CPSU to negotiate and the commencement of formal bargaining. </w:t>
      </w:r>
    </w:p>
    <w:p w:rsidR="00C25313" w:rsidRDefault="00C25313" w:rsidP="00C25313">
      <w:pPr>
        <w:shd w:val="clear" w:color="auto" w:fill="FFFFFF"/>
        <w:spacing w:after="0"/>
        <w:jc w:val="both"/>
        <w:rPr>
          <w:rFonts w:cstheme="minorHAnsi"/>
        </w:rPr>
      </w:pPr>
    </w:p>
    <w:p w:rsidR="00C25313" w:rsidRDefault="00C25313" w:rsidP="00C25313">
      <w:pPr>
        <w:spacing w:after="0"/>
        <w:jc w:val="both"/>
        <w:rPr>
          <w:rFonts w:cstheme="minorHAnsi"/>
        </w:rPr>
      </w:pPr>
      <w:r w:rsidRPr="00DA0F4A">
        <w:rPr>
          <w:rFonts w:cstheme="minorHAnsi"/>
        </w:rPr>
        <w:t xml:space="preserve">These issues are not restricted to public sector bargaining. </w:t>
      </w:r>
      <w:r>
        <w:rPr>
          <w:rFonts w:cstheme="minorHAnsi"/>
        </w:rPr>
        <w:t xml:space="preserve">There are private sector employers that have delayed the start of bargaining or walked away entirely. For example, </w:t>
      </w:r>
      <w:r w:rsidRPr="00DA0F4A">
        <w:rPr>
          <w:rFonts w:eastAsia="Times New Roman"/>
        </w:rPr>
        <w:t>Red Bee</w:t>
      </w:r>
      <w:r>
        <w:rPr>
          <w:rFonts w:eastAsia="Times New Roman"/>
        </w:rPr>
        <w:t xml:space="preserve"> Media Australia</w:t>
      </w:r>
      <w:r w:rsidRPr="00DA0F4A">
        <w:rPr>
          <w:rFonts w:eastAsia="Times New Roman"/>
        </w:rPr>
        <w:t xml:space="preserve"> </w:t>
      </w:r>
      <w:r w:rsidRPr="00DA0F4A">
        <w:rPr>
          <w:rFonts w:eastAsia="Times New Roman"/>
        </w:rPr>
        <w:lastRenderedPageBreak/>
        <w:t xml:space="preserve">walked away from negotiations in 2010 and </w:t>
      </w:r>
      <w:r>
        <w:rPr>
          <w:rFonts w:eastAsia="Times New Roman"/>
        </w:rPr>
        <w:t xml:space="preserve">only agreed to start negotiations again in </w:t>
      </w:r>
      <w:r w:rsidRPr="00DA0F4A">
        <w:rPr>
          <w:rFonts w:eastAsia="Times New Roman"/>
        </w:rPr>
        <w:t>December 2014</w:t>
      </w:r>
      <w:r w:rsidR="00E7186E">
        <w:rPr>
          <w:rFonts w:eastAsia="Times New Roman"/>
        </w:rPr>
        <w:t>, an extraordinary four years later</w:t>
      </w:r>
      <w:r w:rsidRPr="00DA0F4A">
        <w:rPr>
          <w:rFonts w:eastAsia="Times New Roman"/>
        </w:rPr>
        <w:t>.</w:t>
      </w:r>
      <w:r>
        <w:rPr>
          <w:rFonts w:eastAsia="Times New Roman"/>
        </w:rPr>
        <w:t xml:space="preserve"> </w:t>
      </w:r>
    </w:p>
    <w:p w:rsidR="00C25313" w:rsidRDefault="00C25313" w:rsidP="00C25313">
      <w:pPr>
        <w:shd w:val="clear" w:color="auto" w:fill="FFFFFF"/>
        <w:spacing w:after="0" w:line="240" w:lineRule="auto"/>
        <w:jc w:val="both"/>
        <w:rPr>
          <w:rFonts w:cstheme="minorHAnsi"/>
        </w:rPr>
      </w:pPr>
    </w:p>
    <w:p w:rsidR="00C25313" w:rsidRDefault="00C25313" w:rsidP="00C25313">
      <w:pPr>
        <w:shd w:val="clear" w:color="auto" w:fill="FFFFFF"/>
        <w:spacing w:after="0"/>
        <w:jc w:val="both"/>
        <w:rPr>
          <w:rFonts w:cstheme="minorHAnsi"/>
        </w:rPr>
      </w:pPr>
      <w:r>
        <w:rPr>
          <w:rFonts w:cstheme="minorHAnsi"/>
        </w:rPr>
        <w:t>The mechanisms for employees to overcome delays to the start of negotiations or to overcome a refusal by an employer to negotiate are complex and time consuming. A bargaining representative seeking the commencement of bargaining may apply to the Fair Work Commission for a majority support determination</w:t>
      </w:r>
      <w:r w:rsidRPr="001774EB">
        <w:rPr>
          <w:rStyle w:val="FootnoteReference"/>
          <w:rFonts w:asciiTheme="minorHAnsi" w:hAnsiTheme="minorHAnsi" w:cstheme="minorHAnsi"/>
          <w:vertAlign w:val="superscript"/>
        </w:rPr>
        <w:footnoteReference w:id="28"/>
      </w:r>
      <w:r>
        <w:rPr>
          <w:rFonts w:cstheme="minorHAnsi"/>
        </w:rPr>
        <w:t xml:space="preserve"> such that the employer wo</w:t>
      </w:r>
      <w:r w:rsidR="00FD1BD2">
        <w:rPr>
          <w:rFonts w:cstheme="minorHAnsi"/>
        </w:rPr>
        <w:t>uld then be required to bargain</w:t>
      </w:r>
      <w:r>
        <w:rPr>
          <w:rFonts w:cstheme="minorHAnsi"/>
        </w:rPr>
        <w:t xml:space="preserve"> or be exposed to good faith bargaining orders</w:t>
      </w:r>
      <w:r w:rsidRPr="001774EB">
        <w:rPr>
          <w:rStyle w:val="FootnoteReference"/>
          <w:rFonts w:asciiTheme="minorHAnsi" w:hAnsiTheme="minorHAnsi" w:cstheme="minorHAnsi"/>
          <w:vertAlign w:val="superscript"/>
        </w:rPr>
        <w:footnoteReference w:id="29"/>
      </w:r>
      <w:r>
        <w:rPr>
          <w:rFonts w:cstheme="minorHAnsi"/>
        </w:rPr>
        <w:t>.</w:t>
      </w:r>
    </w:p>
    <w:p w:rsidR="00C25313" w:rsidRDefault="00C25313" w:rsidP="00C25313">
      <w:pPr>
        <w:shd w:val="clear" w:color="auto" w:fill="FFFFFF"/>
        <w:spacing w:after="0"/>
        <w:jc w:val="both"/>
        <w:rPr>
          <w:rFonts w:cstheme="minorHAnsi"/>
        </w:rPr>
      </w:pPr>
    </w:p>
    <w:p w:rsidR="00C25313" w:rsidRDefault="00C25313" w:rsidP="00C25313">
      <w:pPr>
        <w:shd w:val="clear" w:color="auto" w:fill="FFFFFF"/>
        <w:spacing w:after="0"/>
        <w:jc w:val="both"/>
        <w:rPr>
          <w:rFonts w:cstheme="minorHAnsi"/>
        </w:rPr>
      </w:pPr>
      <w:r>
        <w:rPr>
          <w:rFonts w:cstheme="minorHAnsi"/>
        </w:rPr>
        <w:t xml:space="preserve">However, the CPSU considers that obtaining a majority support determination to force the </w:t>
      </w:r>
      <w:r w:rsidRPr="00703DDE">
        <w:rPr>
          <w:rFonts w:cstheme="minorHAnsi"/>
        </w:rPr>
        <w:t xml:space="preserve">commencement of bargaining is too onerous and slow, and gives too much scope for employers to delay negotiations. For the determination to be made, the Fair Work Commission must be satisfied, among other </w:t>
      </w:r>
      <w:proofErr w:type="gramStart"/>
      <w:r w:rsidRPr="00703DDE">
        <w:rPr>
          <w:rFonts w:cstheme="minorHAnsi"/>
        </w:rPr>
        <w:t>requirements, that</w:t>
      </w:r>
      <w:proofErr w:type="gramEnd"/>
      <w:r w:rsidRPr="00703DDE">
        <w:rPr>
          <w:rFonts w:cstheme="minorHAnsi"/>
        </w:rPr>
        <w:t xml:space="preserve"> a majority of employees who are employed by the employer and who will be covered by the proposed agreement want to bargain</w:t>
      </w:r>
      <w:r w:rsidRPr="00BF6A1C">
        <w:rPr>
          <w:rStyle w:val="FootnoteReference"/>
          <w:rFonts w:asciiTheme="minorHAnsi" w:hAnsiTheme="minorHAnsi" w:cstheme="minorHAnsi"/>
          <w:szCs w:val="20"/>
          <w:vertAlign w:val="superscript"/>
        </w:rPr>
        <w:footnoteReference w:id="30"/>
      </w:r>
      <w:r w:rsidRPr="00703DDE">
        <w:rPr>
          <w:rFonts w:cstheme="minorHAnsi"/>
        </w:rPr>
        <w:t xml:space="preserve">. </w:t>
      </w:r>
    </w:p>
    <w:p w:rsidR="00C25313" w:rsidRDefault="00C25313" w:rsidP="00C25313">
      <w:pPr>
        <w:shd w:val="clear" w:color="auto" w:fill="FFFFFF"/>
        <w:spacing w:after="0"/>
        <w:jc w:val="both"/>
        <w:rPr>
          <w:rFonts w:cstheme="minorHAnsi"/>
        </w:rPr>
      </w:pPr>
    </w:p>
    <w:p w:rsidR="00C25313" w:rsidRPr="00703DDE" w:rsidRDefault="00C25313" w:rsidP="00C25313">
      <w:pPr>
        <w:shd w:val="clear" w:color="auto" w:fill="FFFFFF"/>
        <w:spacing w:after="0"/>
        <w:jc w:val="both"/>
        <w:rPr>
          <w:rFonts w:cstheme="minorHAnsi"/>
        </w:rPr>
      </w:pPr>
      <w:r w:rsidRPr="00703DDE">
        <w:rPr>
          <w:rFonts w:cstheme="minorHAnsi"/>
        </w:rPr>
        <w:t xml:space="preserve">This is a significant undertaking where there are a large number of employees. </w:t>
      </w:r>
      <w:r>
        <w:rPr>
          <w:rFonts w:cstheme="minorHAnsi"/>
        </w:rPr>
        <w:t xml:space="preserve"> In early 2014, in response to the delay to the start of bargaining, </w:t>
      </w:r>
      <w:r w:rsidRPr="00703DDE">
        <w:rPr>
          <w:rFonts w:cstheme="minorHAnsi"/>
        </w:rPr>
        <w:t xml:space="preserve">the CPSU commenced majority support activities in the </w:t>
      </w:r>
      <w:r w:rsidRPr="00703DDE">
        <w:rPr>
          <w:rFonts w:cstheme="minorHAnsi"/>
          <w:lang w:val="en-US"/>
        </w:rPr>
        <w:t>Department of Employment, the Department of Education, the Department of Veterans Affairs and the Department of Foreign Affairs and Trade</w:t>
      </w:r>
      <w:r w:rsidRPr="00703DDE">
        <w:rPr>
          <w:rFonts w:cstheme="minorHAnsi"/>
        </w:rPr>
        <w:t xml:space="preserve">. </w:t>
      </w:r>
      <w:r>
        <w:rPr>
          <w:rFonts w:cstheme="minorHAnsi"/>
        </w:rPr>
        <w:t>The Government avoided a</w:t>
      </w:r>
      <w:r w:rsidR="008A677A">
        <w:rPr>
          <w:rFonts w:cstheme="minorHAnsi"/>
        </w:rPr>
        <w:t>ny</w:t>
      </w:r>
      <w:r>
        <w:rPr>
          <w:rFonts w:cstheme="minorHAnsi"/>
        </w:rPr>
        <w:t xml:space="preserve"> majority support determination being </w:t>
      </w:r>
      <w:r w:rsidR="008A677A">
        <w:rPr>
          <w:rFonts w:cstheme="minorHAnsi"/>
        </w:rPr>
        <w:t>made</w:t>
      </w:r>
      <w:r>
        <w:rPr>
          <w:rFonts w:cstheme="minorHAnsi"/>
        </w:rPr>
        <w:t xml:space="preserve"> by </w:t>
      </w:r>
      <w:r w:rsidR="008A677A">
        <w:rPr>
          <w:rFonts w:cstheme="minorHAnsi"/>
        </w:rPr>
        <w:t>the Fair Work Commission</w:t>
      </w:r>
      <w:r>
        <w:rPr>
          <w:rFonts w:cstheme="minorHAnsi"/>
        </w:rPr>
        <w:t xml:space="preserve"> by releasing</w:t>
      </w:r>
      <w:r w:rsidRPr="00703DDE">
        <w:rPr>
          <w:rFonts w:cstheme="minorHAnsi"/>
        </w:rPr>
        <w:t xml:space="preserve"> the Bargaining Policy which </w:t>
      </w:r>
      <w:r>
        <w:rPr>
          <w:rFonts w:cstheme="minorHAnsi"/>
        </w:rPr>
        <w:t xml:space="preserve">then </w:t>
      </w:r>
      <w:r w:rsidRPr="00703DDE">
        <w:rPr>
          <w:rFonts w:cstheme="minorHAnsi"/>
        </w:rPr>
        <w:t xml:space="preserve">allowed agencies to commence negotiations and issue NERRs. </w:t>
      </w:r>
    </w:p>
    <w:p w:rsidR="00C25313" w:rsidRDefault="00C25313" w:rsidP="00C25313">
      <w:pPr>
        <w:shd w:val="clear" w:color="auto" w:fill="FFFFFF"/>
        <w:spacing w:after="0"/>
        <w:jc w:val="both"/>
        <w:rPr>
          <w:rFonts w:cstheme="minorHAnsi"/>
        </w:rPr>
      </w:pPr>
    </w:p>
    <w:p w:rsidR="00C25313" w:rsidRPr="00703DDE" w:rsidRDefault="00C25313" w:rsidP="00C25313">
      <w:pPr>
        <w:shd w:val="clear" w:color="auto" w:fill="FFFFFF"/>
        <w:spacing w:after="0"/>
        <w:jc w:val="both"/>
        <w:rPr>
          <w:rFonts w:cstheme="minorHAnsi"/>
        </w:rPr>
      </w:pPr>
      <w:r>
        <w:rPr>
          <w:rFonts w:cstheme="minorHAnsi"/>
        </w:rPr>
        <w:t xml:space="preserve">However, </w:t>
      </w:r>
      <w:r w:rsidRPr="00703DDE">
        <w:rPr>
          <w:rFonts w:cstheme="minorHAnsi"/>
        </w:rPr>
        <w:t>if the</w:t>
      </w:r>
      <w:r>
        <w:rPr>
          <w:rFonts w:cstheme="minorHAnsi"/>
        </w:rPr>
        <w:t xml:space="preserve"> Government had continued to delay and the CPSU sought a majority support determination from the </w:t>
      </w:r>
      <w:r w:rsidRPr="00703DDE">
        <w:rPr>
          <w:rFonts w:cstheme="minorHAnsi"/>
        </w:rPr>
        <w:t>Fair Work Commission</w:t>
      </w:r>
      <w:r w:rsidR="004969A4">
        <w:rPr>
          <w:rFonts w:cstheme="minorHAnsi"/>
        </w:rPr>
        <w:t xml:space="preserve"> for each APS agency</w:t>
      </w:r>
      <w:r w:rsidRPr="00703DDE">
        <w:rPr>
          <w:rFonts w:cstheme="minorHAnsi"/>
        </w:rPr>
        <w:t xml:space="preserve">, the </w:t>
      </w:r>
      <w:r>
        <w:rPr>
          <w:rFonts w:cstheme="minorHAnsi"/>
        </w:rPr>
        <w:t xml:space="preserve">Commission </w:t>
      </w:r>
      <w:r w:rsidRPr="00703DDE">
        <w:rPr>
          <w:rFonts w:cstheme="minorHAnsi"/>
        </w:rPr>
        <w:t xml:space="preserve">would have had to satisfy itself as to the preferences of </w:t>
      </w:r>
      <w:r w:rsidRPr="008A7EAD">
        <w:rPr>
          <w:rFonts w:cstheme="minorHAnsi"/>
          <w:shd w:val="clear" w:color="auto" w:fill="FFFFFF"/>
        </w:rPr>
        <w:t>159,126 public servants</w:t>
      </w:r>
      <w:r w:rsidRPr="00BF6A1C">
        <w:rPr>
          <w:rStyle w:val="FootnoteReference"/>
          <w:rFonts w:asciiTheme="minorHAnsi" w:hAnsiTheme="minorHAnsi" w:cstheme="minorHAnsi"/>
          <w:szCs w:val="20"/>
          <w:shd w:val="clear" w:color="auto" w:fill="FFFFFF"/>
          <w:vertAlign w:val="superscript"/>
        </w:rPr>
        <w:footnoteReference w:id="31"/>
      </w:r>
      <w:r w:rsidRPr="008A7EAD">
        <w:rPr>
          <w:rFonts w:cstheme="minorHAnsi"/>
          <w:shd w:val="clear" w:color="auto" w:fill="FFFFFF"/>
        </w:rPr>
        <w:t>.</w:t>
      </w:r>
      <w:r w:rsidRPr="00703DDE">
        <w:rPr>
          <w:rFonts w:cstheme="minorHAnsi"/>
        </w:rPr>
        <w:t xml:space="preserve"> Thi</w:t>
      </w:r>
      <w:r>
        <w:rPr>
          <w:rFonts w:cstheme="minorHAnsi"/>
        </w:rPr>
        <w:t xml:space="preserve">s process would have </w:t>
      </w:r>
      <w:r w:rsidRPr="00703DDE">
        <w:rPr>
          <w:rFonts w:cstheme="minorHAnsi"/>
        </w:rPr>
        <w:t>unfairly subject</w:t>
      </w:r>
      <w:r>
        <w:rPr>
          <w:rFonts w:cstheme="minorHAnsi"/>
        </w:rPr>
        <w:t>ed</w:t>
      </w:r>
      <w:r w:rsidRPr="00703DDE">
        <w:rPr>
          <w:rFonts w:cstheme="minorHAnsi"/>
        </w:rPr>
        <w:t xml:space="preserve"> employees to </w:t>
      </w:r>
      <w:r>
        <w:rPr>
          <w:rFonts w:cstheme="minorHAnsi"/>
        </w:rPr>
        <w:t xml:space="preserve">further </w:t>
      </w:r>
      <w:r w:rsidRPr="00703DDE">
        <w:rPr>
          <w:rFonts w:cstheme="minorHAnsi"/>
        </w:rPr>
        <w:t>unnecessary delays to the start of negotiations.</w:t>
      </w:r>
    </w:p>
    <w:p w:rsidR="00C25313" w:rsidRPr="00703DDE" w:rsidRDefault="00C25313" w:rsidP="00C25313">
      <w:pPr>
        <w:shd w:val="clear" w:color="auto" w:fill="FFFFFF"/>
        <w:spacing w:after="0"/>
        <w:jc w:val="both"/>
        <w:rPr>
          <w:rFonts w:cstheme="minorHAnsi"/>
        </w:rPr>
      </w:pPr>
    </w:p>
    <w:p w:rsidR="005923DF" w:rsidRDefault="005923DF" w:rsidP="00B83639">
      <w:pPr>
        <w:spacing w:after="0"/>
        <w:jc w:val="both"/>
        <w:rPr>
          <w:lang w:val="en-US"/>
        </w:rPr>
      </w:pPr>
      <w:r>
        <w:rPr>
          <w:lang w:val="en-US"/>
        </w:rPr>
        <w:t xml:space="preserve">Again, the point is made that </w:t>
      </w:r>
      <w:r w:rsidR="001A3339">
        <w:rPr>
          <w:lang w:val="en-US"/>
        </w:rPr>
        <w:t>provisions of the Act allow</w:t>
      </w:r>
      <w:r>
        <w:rPr>
          <w:lang w:val="en-US"/>
        </w:rPr>
        <w:t xml:space="preserve"> the employer to effectively drag </w:t>
      </w:r>
      <w:r w:rsidR="00B21456">
        <w:rPr>
          <w:lang w:val="en-US"/>
        </w:rPr>
        <w:t>out</w:t>
      </w:r>
      <w:r>
        <w:rPr>
          <w:lang w:val="en-US"/>
        </w:rPr>
        <w:t xml:space="preserve"> negotiations with no intention of engaging fairly or putting </w:t>
      </w:r>
      <w:r w:rsidR="00501A79">
        <w:rPr>
          <w:lang w:val="en-US"/>
        </w:rPr>
        <w:t xml:space="preserve">forward </w:t>
      </w:r>
      <w:r>
        <w:rPr>
          <w:lang w:val="en-US"/>
        </w:rPr>
        <w:t xml:space="preserve">proposals that would see bargaining be settled. </w:t>
      </w:r>
    </w:p>
    <w:p w:rsidR="00D17C1D" w:rsidRDefault="00D17C1D" w:rsidP="00B83639">
      <w:pPr>
        <w:spacing w:after="0"/>
        <w:jc w:val="both"/>
        <w:rPr>
          <w:i/>
          <w:lang w:val="en-US"/>
        </w:rPr>
      </w:pPr>
    </w:p>
    <w:p w:rsidR="005923DF" w:rsidRDefault="005923DF" w:rsidP="00B83639">
      <w:pPr>
        <w:spacing w:after="0"/>
        <w:jc w:val="both"/>
        <w:rPr>
          <w:i/>
          <w:lang w:val="en-US"/>
        </w:rPr>
      </w:pPr>
    </w:p>
    <w:p w:rsidR="0029366A" w:rsidRDefault="0029366A" w:rsidP="00B83639">
      <w:pPr>
        <w:spacing w:after="0"/>
        <w:jc w:val="both"/>
        <w:rPr>
          <w:i/>
          <w:lang w:val="en-US"/>
        </w:rPr>
      </w:pPr>
    </w:p>
    <w:p w:rsidR="0029366A" w:rsidRDefault="0029366A" w:rsidP="00B83639">
      <w:pPr>
        <w:spacing w:after="0"/>
        <w:jc w:val="both"/>
        <w:rPr>
          <w:i/>
          <w:lang w:val="en-US"/>
        </w:rPr>
      </w:pPr>
    </w:p>
    <w:p w:rsidR="0029366A" w:rsidRDefault="0029366A" w:rsidP="00B83639">
      <w:pPr>
        <w:spacing w:after="0"/>
        <w:jc w:val="both"/>
        <w:rPr>
          <w:i/>
          <w:lang w:val="en-US"/>
        </w:rPr>
      </w:pPr>
    </w:p>
    <w:p w:rsidR="0029366A" w:rsidRDefault="0029366A" w:rsidP="00B83639">
      <w:pPr>
        <w:spacing w:after="0"/>
        <w:jc w:val="both"/>
        <w:rPr>
          <w:i/>
          <w:lang w:val="en-US"/>
        </w:rPr>
      </w:pPr>
    </w:p>
    <w:p w:rsidR="0029366A" w:rsidRDefault="0029366A" w:rsidP="00B83639">
      <w:pPr>
        <w:spacing w:after="0"/>
        <w:jc w:val="both"/>
        <w:rPr>
          <w:i/>
          <w:lang w:val="en-US"/>
        </w:rPr>
      </w:pPr>
    </w:p>
    <w:p w:rsidR="00D17C1D" w:rsidRPr="004B44ED" w:rsidRDefault="004F2487" w:rsidP="00B83639">
      <w:pPr>
        <w:spacing w:after="0"/>
        <w:jc w:val="both"/>
        <w:rPr>
          <w:rFonts w:asciiTheme="majorHAnsi" w:hAnsiTheme="majorHAnsi"/>
          <w:b/>
          <w:sz w:val="28"/>
          <w:szCs w:val="28"/>
          <w:lang w:val="en-US"/>
        </w:rPr>
      </w:pPr>
      <w:r>
        <w:rPr>
          <w:rFonts w:asciiTheme="majorHAnsi" w:hAnsiTheme="majorHAnsi"/>
          <w:b/>
          <w:sz w:val="28"/>
          <w:szCs w:val="28"/>
          <w:lang w:val="en-US"/>
        </w:rPr>
        <w:lastRenderedPageBreak/>
        <w:t>A</w:t>
      </w:r>
      <w:r w:rsidR="00C21907">
        <w:rPr>
          <w:rFonts w:asciiTheme="majorHAnsi" w:hAnsiTheme="majorHAnsi"/>
          <w:b/>
          <w:sz w:val="28"/>
          <w:szCs w:val="28"/>
          <w:lang w:val="en-US"/>
        </w:rPr>
        <w:t xml:space="preserve">greement </w:t>
      </w:r>
      <w:r w:rsidR="00D17C1D" w:rsidRPr="004B44ED">
        <w:rPr>
          <w:rFonts w:asciiTheme="majorHAnsi" w:hAnsiTheme="majorHAnsi"/>
          <w:b/>
          <w:sz w:val="28"/>
          <w:szCs w:val="28"/>
          <w:lang w:val="en-US"/>
        </w:rPr>
        <w:t>content</w:t>
      </w:r>
    </w:p>
    <w:p w:rsidR="00D17C1D" w:rsidRDefault="00D17C1D" w:rsidP="00B83639">
      <w:pPr>
        <w:spacing w:after="0"/>
        <w:jc w:val="both"/>
        <w:rPr>
          <w:lang w:val="en-US"/>
        </w:rPr>
      </w:pPr>
    </w:p>
    <w:p w:rsidR="00575A99" w:rsidRDefault="006375A7" w:rsidP="0066093D">
      <w:pPr>
        <w:spacing w:after="0"/>
        <w:jc w:val="both"/>
        <w:rPr>
          <w:lang w:val="en-US"/>
        </w:rPr>
      </w:pPr>
      <w:r>
        <w:rPr>
          <w:lang w:val="en-US"/>
        </w:rPr>
        <w:t>T</w:t>
      </w:r>
      <w:r w:rsidR="006B5E84">
        <w:rPr>
          <w:lang w:val="en-US"/>
        </w:rPr>
        <w:t xml:space="preserve">he </w:t>
      </w:r>
      <w:r w:rsidR="006B5E84" w:rsidRPr="00077445">
        <w:rPr>
          <w:i/>
          <w:lang w:val="en-US"/>
        </w:rPr>
        <w:t>Fair Work Act</w:t>
      </w:r>
      <w:r w:rsidR="006B5E84">
        <w:rPr>
          <w:lang w:val="en-US"/>
        </w:rPr>
        <w:t xml:space="preserve"> places restrictions on agreement content, artificially limiting the matters that the parties can negotiate to “permitted matters”</w:t>
      </w:r>
      <w:r w:rsidR="007E58EA">
        <w:rPr>
          <w:lang w:val="en-US"/>
        </w:rPr>
        <w:t>, defined by the Act as matter</w:t>
      </w:r>
      <w:r w:rsidR="008A6DE7">
        <w:rPr>
          <w:lang w:val="en-US"/>
        </w:rPr>
        <w:t>s pertaining to the employer-</w:t>
      </w:r>
      <w:r w:rsidR="007E58EA">
        <w:rPr>
          <w:lang w:val="en-US"/>
        </w:rPr>
        <w:t xml:space="preserve">employee </w:t>
      </w:r>
      <w:r w:rsidR="008A6DE7">
        <w:rPr>
          <w:lang w:val="en-US"/>
        </w:rPr>
        <w:t xml:space="preserve">or the union-employer </w:t>
      </w:r>
      <w:r w:rsidR="007E58EA">
        <w:rPr>
          <w:lang w:val="en-US"/>
        </w:rPr>
        <w:t>relationship</w:t>
      </w:r>
      <w:r w:rsidR="007E58EA" w:rsidRPr="002B28D5">
        <w:rPr>
          <w:rStyle w:val="FootnoteReference"/>
          <w:rFonts w:asciiTheme="minorHAnsi" w:hAnsiTheme="minorHAnsi" w:cstheme="minorHAnsi"/>
          <w:lang w:val="en-US"/>
        </w:rPr>
        <w:footnoteReference w:id="32"/>
      </w:r>
      <w:r w:rsidR="00EB0B76">
        <w:rPr>
          <w:lang w:val="en-US"/>
        </w:rPr>
        <w:t>.</w:t>
      </w:r>
      <w:r w:rsidR="00BF621B">
        <w:rPr>
          <w:lang w:val="en-US"/>
        </w:rPr>
        <w:t xml:space="preserve"> </w:t>
      </w:r>
      <w:r w:rsidR="00575A99">
        <w:rPr>
          <w:lang w:val="en-US"/>
        </w:rPr>
        <w:t xml:space="preserve">The result is that there are a number of matters </w:t>
      </w:r>
      <w:r w:rsidR="00E7186E">
        <w:rPr>
          <w:lang w:val="en-US"/>
        </w:rPr>
        <w:t xml:space="preserve">important to workers and employers that they </w:t>
      </w:r>
      <w:r w:rsidR="00575A99">
        <w:rPr>
          <w:lang w:val="en-US"/>
        </w:rPr>
        <w:t xml:space="preserve">have been unable to negotiate about. </w:t>
      </w:r>
      <w:r w:rsidR="00BF621B">
        <w:rPr>
          <w:lang w:val="en-US"/>
        </w:rPr>
        <w:t xml:space="preserve"> </w:t>
      </w:r>
    </w:p>
    <w:p w:rsidR="0066093D" w:rsidRDefault="0066093D" w:rsidP="0066093D">
      <w:pPr>
        <w:spacing w:after="0"/>
        <w:jc w:val="both"/>
        <w:rPr>
          <w:lang w:val="en-US"/>
        </w:rPr>
      </w:pPr>
    </w:p>
    <w:p w:rsidR="0066093D" w:rsidRPr="0066093D" w:rsidRDefault="00AB14B9" w:rsidP="0066093D">
      <w:pPr>
        <w:spacing w:after="0"/>
        <w:jc w:val="both"/>
        <w:rPr>
          <w:lang w:val="en-US"/>
        </w:rPr>
      </w:pPr>
      <w:r>
        <w:rPr>
          <w:lang w:val="en-US"/>
        </w:rPr>
        <w:t>For</w:t>
      </w:r>
      <w:r w:rsidR="00575A99">
        <w:rPr>
          <w:lang w:val="en-US"/>
        </w:rPr>
        <w:t xml:space="preserve"> example there is limited scope for Australian workers to address the continued erosion of their job security in bargaining. The courts have interpreted the scope of the employee-employer </w:t>
      </w:r>
      <w:r w:rsidR="00072FE2">
        <w:rPr>
          <w:lang w:val="en-US"/>
        </w:rPr>
        <w:t>relationship narrowly</w:t>
      </w:r>
      <w:r w:rsidR="00B21456">
        <w:rPr>
          <w:lang w:val="en-US"/>
        </w:rPr>
        <w:t>,</w:t>
      </w:r>
      <w:r w:rsidR="00072FE2">
        <w:rPr>
          <w:lang w:val="en-US"/>
        </w:rPr>
        <w:t xml:space="preserve"> to prohibit</w:t>
      </w:r>
      <w:r w:rsidR="00575A99">
        <w:rPr>
          <w:lang w:val="en-US"/>
        </w:rPr>
        <w:t xml:space="preserve"> unions</w:t>
      </w:r>
      <w:r w:rsidR="00072FE2">
        <w:rPr>
          <w:lang w:val="en-US"/>
        </w:rPr>
        <w:t xml:space="preserve"> from seeking</w:t>
      </w:r>
      <w:r w:rsidR="00575A99">
        <w:rPr>
          <w:lang w:val="en-US"/>
        </w:rPr>
        <w:t xml:space="preserve"> to regulate the use of </w:t>
      </w:r>
      <w:proofErr w:type="spellStart"/>
      <w:r w:rsidR="00575A99">
        <w:rPr>
          <w:lang w:val="en-US"/>
        </w:rPr>
        <w:t>labour</w:t>
      </w:r>
      <w:proofErr w:type="spellEnd"/>
      <w:r w:rsidR="008A6DE7">
        <w:rPr>
          <w:lang w:val="en-US"/>
        </w:rPr>
        <w:t>-</w:t>
      </w:r>
      <w:r w:rsidR="00575A99">
        <w:rPr>
          <w:lang w:val="en-US"/>
        </w:rPr>
        <w:t xml:space="preserve">hire and contractors through agreements </w:t>
      </w:r>
      <w:r w:rsidR="008A6DE7">
        <w:rPr>
          <w:lang w:val="en-US"/>
        </w:rPr>
        <w:t xml:space="preserve">as a means of protecting permanent employment. </w:t>
      </w:r>
      <w:r w:rsidR="00213B47">
        <w:rPr>
          <w:lang w:val="en-US"/>
        </w:rPr>
        <w:t xml:space="preserve">Perversely, this limitation serves to </w:t>
      </w:r>
      <w:r w:rsidR="00AA6EE6">
        <w:rPr>
          <w:lang w:val="en-US"/>
        </w:rPr>
        <w:t>prevent</w:t>
      </w:r>
      <w:r w:rsidR="00213B47">
        <w:rPr>
          <w:lang w:val="en-US"/>
        </w:rPr>
        <w:t xml:space="preserve"> employers and employees negotiating initia</w:t>
      </w:r>
      <w:r w:rsidR="007F5AF6">
        <w:rPr>
          <w:lang w:val="en-US"/>
        </w:rPr>
        <w:t>tives that improve productivity</w:t>
      </w:r>
      <w:r w:rsidR="00213B47">
        <w:rPr>
          <w:lang w:val="en-US"/>
        </w:rPr>
        <w:t xml:space="preserve"> where those measures involve restricting the use of </w:t>
      </w:r>
      <w:proofErr w:type="spellStart"/>
      <w:r w:rsidR="00213B47">
        <w:rPr>
          <w:lang w:val="en-US"/>
        </w:rPr>
        <w:t>labour</w:t>
      </w:r>
      <w:proofErr w:type="spellEnd"/>
      <w:r w:rsidR="00426633">
        <w:rPr>
          <w:lang w:val="en-US"/>
        </w:rPr>
        <w:t>-</w:t>
      </w:r>
      <w:r w:rsidR="00213B47">
        <w:rPr>
          <w:lang w:val="en-US"/>
        </w:rPr>
        <w:t xml:space="preserve">hire and contractors. </w:t>
      </w:r>
      <w:r w:rsidR="00426633">
        <w:rPr>
          <w:lang w:val="en-US"/>
        </w:rPr>
        <w:t xml:space="preserve"> </w:t>
      </w:r>
      <w:r w:rsidR="00C20DE3">
        <w:rPr>
          <w:lang w:val="en-US"/>
        </w:rPr>
        <w:t xml:space="preserve"> </w:t>
      </w:r>
      <w:r w:rsidR="00575A99">
        <w:rPr>
          <w:lang w:val="en-US"/>
        </w:rPr>
        <w:t xml:space="preserve"> </w:t>
      </w:r>
    </w:p>
    <w:p w:rsidR="006375A7" w:rsidRDefault="006375A7" w:rsidP="00B83639">
      <w:pPr>
        <w:spacing w:after="0"/>
        <w:jc w:val="both"/>
        <w:rPr>
          <w:lang w:val="en-US"/>
        </w:rPr>
      </w:pPr>
    </w:p>
    <w:p w:rsidR="00696B32" w:rsidRDefault="00696B32" w:rsidP="00B83639">
      <w:pPr>
        <w:spacing w:after="0"/>
        <w:jc w:val="both"/>
        <w:rPr>
          <w:lang w:val="en-US"/>
        </w:rPr>
      </w:pPr>
    </w:p>
    <w:p w:rsidR="00B47657" w:rsidRDefault="00B47657" w:rsidP="00B83639">
      <w:pPr>
        <w:spacing w:after="0"/>
        <w:jc w:val="both"/>
        <w:rPr>
          <w:lang w:val="en-US"/>
        </w:rPr>
      </w:pPr>
    </w:p>
    <w:p w:rsidR="00C21243" w:rsidRPr="00C21243" w:rsidRDefault="00C21243" w:rsidP="00B83639">
      <w:pPr>
        <w:spacing w:after="0"/>
        <w:jc w:val="both"/>
        <w:rPr>
          <w:b/>
          <w:i/>
          <w:lang w:val="en-US"/>
        </w:rPr>
      </w:pPr>
      <w:r w:rsidRPr="00C21243">
        <w:rPr>
          <w:b/>
          <w:i/>
          <w:lang w:val="en-US"/>
        </w:rPr>
        <w:t>Removal of agreement content in Commonwealth bargaining</w:t>
      </w:r>
    </w:p>
    <w:p w:rsidR="00C21243" w:rsidRDefault="00C21243" w:rsidP="00B83639">
      <w:pPr>
        <w:spacing w:after="0"/>
        <w:jc w:val="both"/>
        <w:rPr>
          <w:lang w:val="en-US"/>
        </w:rPr>
      </w:pPr>
    </w:p>
    <w:p w:rsidR="00033FB6" w:rsidRDefault="00F517C1" w:rsidP="00B83639">
      <w:pPr>
        <w:spacing w:after="0"/>
        <w:jc w:val="both"/>
        <w:rPr>
          <w:lang w:val="en-US"/>
        </w:rPr>
      </w:pPr>
      <w:r>
        <w:rPr>
          <w:lang w:val="en-US"/>
        </w:rPr>
        <w:t xml:space="preserve">Current Government policy in relation to its public sector workforce takes restrictions </w:t>
      </w:r>
      <w:r w:rsidR="00B21456">
        <w:rPr>
          <w:lang w:val="en-US"/>
        </w:rPr>
        <w:t>to</w:t>
      </w:r>
      <w:r>
        <w:rPr>
          <w:lang w:val="en-US"/>
        </w:rPr>
        <w:t xml:space="preserve"> what can be negotiated even further. In Commonwealth bargaining, t</w:t>
      </w:r>
      <w:r w:rsidR="00265B9E">
        <w:rPr>
          <w:lang w:val="en-US"/>
        </w:rPr>
        <w:t xml:space="preserve">he Bargaining Policy requires agencies to remove </w:t>
      </w:r>
      <w:r>
        <w:rPr>
          <w:lang w:val="en-US"/>
        </w:rPr>
        <w:t xml:space="preserve">otherwise lawful, agreed </w:t>
      </w:r>
      <w:r w:rsidR="00265B9E">
        <w:rPr>
          <w:lang w:val="en-US"/>
        </w:rPr>
        <w:t xml:space="preserve">content from enterprise agreements. This includes content </w:t>
      </w:r>
      <w:r w:rsidR="0080614C">
        <w:rPr>
          <w:lang w:val="en-US"/>
        </w:rPr>
        <w:t>relating</w:t>
      </w:r>
      <w:r w:rsidR="00265B9E">
        <w:rPr>
          <w:lang w:val="en-US"/>
        </w:rPr>
        <w:t xml:space="preserve"> to “operational, implementation or administrative matters”</w:t>
      </w:r>
      <w:r w:rsidR="003C5F5F" w:rsidRPr="006F21BF">
        <w:rPr>
          <w:rStyle w:val="FootnoteReference"/>
          <w:rFonts w:asciiTheme="minorHAnsi" w:hAnsiTheme="minorHAnsi" w:cstheme="minorHAnsi"/>
          <w:szCs w:val="20"/>
          <w:lang w:val="en-US"/>
        </w:rPr>
        <w:footnoteReference w:id="33"/>
      </w:r>
      <w:r w:rsidR="00265B9E">
        <w:rPr>
          <w:lang w:val="en-US"/>
        </w:rPr>
        <w:t xml:space="preserve">. In practice, the APSC is requiring agencies to reduce documents </w:t>
      </w:r>
      <w:r w:rsidR="00DE5FD4">
        <w:rPr>
          <w:lang w:val="en-US"/>
        </w:rPr>
        <w:t xml:space="preserve">to half their current size in some cases, </w:t>
      </w:r>
      <w:r w:rsidR="00265B9E">
        <w:rPr>
          <w:lang w:val="en-US"/>
        </w:rPr>
        <w:t xml:space="preserve">thereby removing important employee protections. </w:t>
      </w:r>
      <w:r w:rsidR="009C5C17">
        <w:rPr>
          <w:lang w:val="en-US"/>
        </w:rPr>
        <w:t xml:space="preserve"> </w:t>
      </w:r>
      <w:r w:rsidR="009C5C17" w:rsidRPr="006A3D5D">
        <w:rPr>
          <w:lang w:val="en-US"/>
        </w:rPr>
        <w:t>This approach delivers no savings and no benefits</w:t>
      </w:r>
      <w:r w:rsidR="009C5C17">
        <w:rPr>
          <w:lang w:val="en-US"/>
        </w:rPr>
        <w:t xml:space="preserve"> to the employer or to employees</w:t>
      </w:r>
      <w:r w:rsidR="00E20EA0">
        <w:rPr>
          <w:lang w:val="en-US"/>
        </w:rPr>
        <w:t>, and has the potential to significantly undermine</w:t>
      </w:r>
      <w:r w:rsidR="00593064">
        <w:rPr>
          <w:lang w:val="en-US"/>
        </w:rPr>
        <w:t xml:space="preserve"> employee morale and</w:t>
      </w:r>
      <w:r w:rsidR="00E20EA0">
        <w:rPr>
          <w:lang w:val="en-US"/>
        </w:rPr>
        <w:t xml:space="preserve"> productivity in the federal public sector</w:t>
      </w:r>
      <w:r w:rsidR="009C5C17" w:rsidRPr="006A3D5D">
        <w:rPr>
          <w:lang w:val="en-US"/>
        </w:rPr>
        <w:t>.</w:t>
      </w:r>
    </w:p>
    <w:p w:rsidR="0073621B" w:rsidRDefault="0073621B" w:rsidP="00B83639">
      <w:pPr>
        <w:spacing w:after="0"/>
        <w:jc w:val="both"/>
        <w:rPr>
          <w:lang w:val="en-US"/>
        </w:rPr>
      </w:pPr>
    </w:p>
    <w:p w:rsidR="0073621B" w:rsidRDefault="0073621B" w:rsidP="0073621B">
      <w:pPr>
        <w:spacing w:after="0"/>
        <w:jc w:val="both"/>
        <w:rPr>
          <w:lang w:val="en-US"/>
        </w:rPr>
      </w:pPr>
      <w:r w:rsidRPr="006A3D5D">
        <w:rPr>
          <w:lang w:val="en-US"/>
        </w:rPr>
        <w:t>The content that is being removed from draft agreements includes</w:t>
      </w:r>
      <w:r>
        <w:rPr>
          <w:lang w:val="en-US"/>
        </w:rPr>
        <w:t>, but is not limited to, content relating to</w:t>
      </w:r>
      <w:r w:rsidRPr="006A3D5D">
        <w:rPr>
          <w:lang w:val="en-US"/>
        </w:rPr>
        <w:t xml:space="preserve">: </w:t>
      </w:r>
    </w:p>
    <w:p w:rsidR="004976F5" w:rsidRDefault="004976F5" w:rsidP="0073621B">
      <w:pPr>
        <w:spacing w:after="0"/>
        <w:jc w:val="both"/>
        <w:rPr>
          <w:lang w:val="en-US"/>
        </w:rPr>
      </w:pPr>
    </w:p>
    <w:p w:rsidR="0073621B" w:rsidRDefault="004976F5" w:rsidP="0073621B">
      <w:pPr>
        <w:pStyle w:val="ListParagraph"/>
        <w:numPr>
          <w:ilvl w:val="0"/>
          <w:numId w:val="16"/>
        </w:numPr>
        <w:spacing w:after="0"/>
        <w:jc w:val="both"/>
        <w:rPr>
          <w:lang w:val="en-US"/>
        </w:rPr>
      </w:pPr>
      <w:r>
        <w:rPr>
          <w:lang w:val="en-US"/>
        </w:rPr>
        <w:t>S</w:t>
      </w:r>
      <w:r w:rsidR="0073621B" w:rsidRPr="00AB027E">
        <w:rPr>
          <w:lang w:val="en-US"/>
        </w:rPr>
        <w:t>uper</w:t>
      </w:r>
      <w:r w:rsidR="0073621B">
        <w:rPr>
          <w:lang w:val="en-US"/>
        </w:rPr>
        <w:t>annuation protections</w:t>
      </w:r>
      <w:r w:rsidR="002B4030">
        <w:rPr>
          <w:lang w:val="en-US"/>
        </w:rPr>
        <w:t>;</w:t>
      </w:r>
    </w:p>
    <w:p w:rsidR="0073621B" w:rsidRDefault="004976F5" w:rsidP="0073621B">
      <w:pPr>
        <w:pStyle w:val="ListParagraph"/>
        <w:numPr>
          <w:ilvl w:val="0"/>
          <w:numId w:val="16"/>
        </w:numPr>
        <w:spacing w:after="0"/>
        <w:jc w:val="both"/>
        <w:rPr>
          <w:lang w:val="en-US"/>
        </w:rPr>
      </w:pPr>
      <w:r>
        <w:rPr>
          <w:lang w:val="en-US"/>
        </w:rPr>
        <w:t>J</w:t>
      </w:r>
      <w:r w:rsidR="0073621B">
        <w:rPr>
          <w:lang w:val="en-US"/>
        </w:rPr>
        <w:t>ob security measures</w:t>
      </w:r>
      <w:r w:rsidR="002B4030">
        <w:rPr>
          <w:lang w:val="en-US"/>
        </w:rPr>
        <w:t>;</w:t>
      </w:r>
    </w:p>
    <w:p w:rsidR="0073621B" w:rsidRDefault="004976F5" w:rsidP="0073621B">
      <w:pPr>
        <w:pStyle w:val="ListParagraph"/>
        <w:numPr>
          <w:ilvl w:val="0"/>
          <w:numId w:val="16"/>
        </w:numPr>
        <w:spacing w:after="0"/>
        <w:jc w:val="both"/>
        <w:rPr>
          <w:lang w:val="en-US"/>
        </w:rPr>
      </w:pPr>
      <w:r>
        <w:rPr>
          <w:lang w:val="en-US"/>
        </w:rPr>
        <w:t>C</w:t>
      </w:r>
      <w:r w:rsidR="0073621B">
        <w:rPr>
          <w:lang w:val="en-US"/>
        </w:rPr>
        <w:t>onsultation</w:t>
      </w:r>
      <w:r w:rsidR="002B4030">
        <w:rPr>
          <w:lang w:val="en-US"/>
        </w:rPr>
        <w:t>;</w:t>
      </w:r>
    </w:p>
    <w:p w:rsidR="0073621B" w:rsidRDefault="004976F5" w:rsidP="0073621B">
      <w:pPr>
        <w:pStyle w:val="ListParagraph"/>
        <w:numPr>
          <w:ilvl w:val="0"/>
          <w:numId w:val="16"/>
        </w:numPr>
        <w:spacing w:after="0"/>
        <w:jc w:val="both"/>
        <w:rPr>
          <w:lang w:val="en-US"/>
        </w:rPr>
      </w:pPr>
      <w:r>
        <w:rPr>
          <w:lang w:val="en-US"/>
        </w:rPr>
        <w:t>P</w:t>
      </w:r>
      <w:r w:rsidR="0073621B">
        <w:rPr>
          <w:lang w:val="en-US"/>
        </w:rPr>
        <w:t>erformance management</w:t>
      </w:r>
      <w:r w:rsidR="002B4030">
        <w:rPr>
          <w:lang w:val="en-US"/>
        </w:rPr>
        <w:t>;</w:t>
      </w:r>
    </w:p>
    <w:p w:rsidR="0073621B" w:rsidRDefault="004976F5" w:rsidP="0073621B">
      <w:pPr>
        <w:pStyle w:val="ListParagraph"/>
        <w:numPr>
          <w:ilvl w:val="0"/>
          <w:numId w:val="16"/>
        </w:numPr>
        <w:spacing w:after="0"/>
        <w:jc w:val="both"/>
        <w:rPr>
          <w:lang w:val="en-US"/>
        </w:rPr>
      </w:pPr>
      <w:r>
        <w:rPr>
          <w:lang w:val="en-US"/>
        </w:rPr>
        <w:t>T</w:t>
      </w:r>
      <w:r w:rsidR="0073621B" w:rsidRPr="00AB027E">
        <w:rPr>
          <w:lang w:val="en-US"/>
        </w:rPr>
        <w:t xml:space="preserve">he </w:t>
      </w:r>
      <w:r w:rsidR="0073621B">
        <w:rPr>
          <w:lang w:val="en-US"/>
        </w:rPr>
        <w:t>right to representation</w:t>
      </w:r>
      <w:r w:rsidR="002B4030">
        <w:rPr>
          <w:lang w:val="en-US"/>
        </w:rPr>
        <w:t>;</w:t>
      </w:r>
    </w:p>
    <w:p w:rsidR="0073621B" w:rsidRDefault="004976F5" w:rsidP="0073621B">
      <w:pPr>
        <w:pStyle w:val="ListParagraph"/>
        <w:numPr>
          <w:ilvl w:val="0"/>
          <w:numId w:val="16"/>
        </w:numPr>
        <w:spacing w:after="0"/>
        <w:jc w:val="both"/>
        <w:rPr>
          <w:lang w:val="en-US"/>
        </w:rPr>
      </w:pPr>
      <w:r>
        <w:rPr>
          <w:lang w:val="en-US"/>
        </w:rPr>
        <w:t>W</w:t>
      </w:r>
      <w:r w:rsidR="0073621B" w:rsidRPr="00AB027E">
        <w:rPr>
          <w:lang w:val="en-US"/>
        </w:rPr>
        <w:t xml:space="preserve">orkplace </w:t>
      </w:r>
      <w:r w:rsidR="0073621B">
        <w:rPr>
          <w:lang w:val="en-US"/>
        </w:rPr>
        <w:t>diversity clauses</w:t>
      </w:r>
      <w:r w:rsidR="002B4030">
        <w:rPr>
          <w:lang w:val="en-US"/>
        </w:rPr>
        <w:t>;</w:t>
      </w:r>
    </w:p>
    <w:p w:rsidR="0073621B" w:rsidRDefault="004976F5" w:rsidP="0073621B">
      <w:pPr>
        <w:pStyle w:val="ListParagraph"/>
        <w:numPr>
          <w:ilvl w:val="0"/>
          <w:numId w:val="16"/>
        </w:numPr>
        <w:spacing w:after="0"/>
        <w:jc w:val="both"/>
        <w:rPr>
          <w:lang w:val="en-US"/>
        </w:rPr>
      </w:pPr>
      <w:r>
        <w:rPr>
          <w:lang w:val="en-US"/>
        </w:rPr>
        <w:t>P</w:t>
      </w:r>
      <w:r w:rsidR="0073621B" w:rsidRPr="00AB027E">
        <w:rPr>
          <w:lang w:val="en-US"/>
        </w:rPr>
        <w:t>r</w:t>
      </w:r>
      <w:r w:rsidR="0073621B">
        <w:rPr>
          <w:lang w:val="en-US"/>
        </w:rPr>
        <w:t>otections for part time workers</w:t>
      </w:r>
      <w:r w:rsidR="002B4030">
        <w:rPr>
          <w:lang w:val="en-US"/>
        </w:rPr>
        <w:t>;</w:t>
      </w:r>
    </w:p>
    <w:p w:rsidR="00E933A3" w:rsidRDefault="00E933A3" w:rsidP="0073621B">
      <w:pPr>
        <w:pStyle w:val="ListParagraph"/>
        <w:numPr>
          <w:ilvl w:val="0"/>
          <w:numId w:val="16"/>
        </w:numPr>
        <w:spacing w:after="0"/>
        <w:jc w:val="both"/>
        <w:rPr>
          <w:lang w:val="en-US"/>
        </w:rPr>
      </w:pPr>
      <w:r>
        <w:rPr>
          <w:lang w:val="en-US"/>
        </w:rPr>
        <w:t>Flexible working arrangements</w:t>
      </w:r>
      <w:r w:rsidR="002B4030">
        <w:rPr>
          <w:lang w:val="en-US"/>
        </w:rPr>
        <w:t>;</w:t>
      </w:r>
    </w:p>
    <w:p w:rsidR="0073621B" w:rsidRDefault="004976F5" w:rsidP="0073621B">
      <w:pPr>
        <w:pStyle w:val="ListParagraph"/>
        <w:numPr>
          <w:ilvl w:val="0"/>
          <w:numId w:val="16"/>
        </w:numPr>
        <w:spacing w:after="0"/>
        <w:jc w:val="both"/>
        <w:rPr>
          <w:lang w:val="en-US"/>
        </w:rPr>
      </w:pPr>
      <w:r>
        <w:rPr>
          <w:lang w:val="en-US"/>
        </w:rPr>
        <w:t>P</w:t>
      </w:r>
      <w:r w:rsidR="0073621B" w:rsidRPr="00AB027E">
        <w:rPr>
          <w:lang w:val="en-US"/>
        </w:rPr>
        <w:t xml:space="preserve">rotections for </w:t>
      </w:r>
      <w:proofErr w:type="spellStart"/>
      <w:r w:rsidR="0073621B" w:rsidRPr="00AB027E">
        <w:rPr>
          <w:lang w:val="en-US"/>
        </w:rPr>
        <w:t>ros</w:t>
      </w:r>
      <w:r w:rsidR="00E933A3">
        <w:rPr>
          <w:lang w:val="en-US"/>
        </w:rPr>
        <w:t>tered</w:t>
      </w:r>
      <w:proofErr w:type="spellEnd"/>
      <w:r w:rsidR="00E933A3">
        <w:rPr>
          <w:lang w:val="en-US"/>
        </w:rPr>
        <w:t xml:space="preserve"> and shift work employees</w:t>
      </w:r>
      <w:r w:rsidR="002B4030">
        <w:rPr>
          <w:lang w:val="en-US"/>
        </w:rPr>
        <w:t>; and</w:t>
      </w:r>
    </w:p>
    <w:p w:rsidR="00E933A3" w:rsidRPr="00AB027E" w:rsidRDefault="00E933A3" w:rsidP="0073621B">
      <w:pPr>
        <w:pStyle w:val="ListParagraph"/>
        <w:numPr>
          <w:ilvl w:val="0"/>
          <w:numId w:val="16"/>
        </w:numPr>
        <w:spacing w:after="0"/>
        <w:jc w:val="both"/>
        <w:rPr>
          <w:lang w:val="en-US"/>
        </w:rPr>
      </w:pPr>
      <w:r>
        <w:rPr>
          <w:lang w:val="en-US"/>
        </w:rPr>
        <w:t>Workplace health and safety</w:t>
      </w:r>
      <w:r w:rsidR="002B4030">
        <w:rPr>
          <w:lang w:val="en-US"/>
        </w:rPr>
        <w:t>.</w:t>
      </w:r>
    </w:p>
    <w:p w:rsidR="00033FB6" w:rsidRDefault="00033FB6" w:rsidP="00B83639">
      <w:pPr>
        <w:spacing w:after="0"/>
        <w:jc w:val="both"/>
        <w:rPr>
          <w:lang w:val="en-US"/>
        </w:rPr>
      </w:pPr>
    </w:p>
    <w:p w:rsidR="00BC35E1" w:rsidRPr="006A3D5D" w:rsidRDefault="0073621B" w:rsidP="00B83639">
      <w:pPr>
        <w:spacing w:after="0"/>
        <w:jc w:val="both"/>
        <w:rPr>
          <w:lang w:val="en-US"/>
        </w:rPr>
      </w:pPr>
      <w:r>
        <w:rPr>
          <w:lang w:val="en-US"/>
        </w:rPr>
        <w:t>A</w:t>
      </w:r>
      <w:r w:rsidR="004B76D4" w:rsidRPr="006A3D5D">
        <w:rPr>
          <w:lang w:val="en-US"/>
        </w:rPr>
        <w:t xml:space="preserve">greements should contain employees’ rights and conditions. </w:t>
      </w:r>
      <w:r w:rsidR="00E7186E">
        <w:rPr>
          <w:lang w:val="en-US"/>
        </w:rPr>
        <w:t>This is an important protection of these rights.</w:t>
      </w:r>
      <w:r w:rsidR="004B76D4" w:rsidRPr="006A3D5D">
        <w:rPr>
          <w:lang w:val="en-US"/>
        </w:rPr>
        <w:t xml:space="preserve"> </w:t>
      </w:r>
      <w:r w:rsidR="00E83A1A">
        <w:rPr>
          <w:lang w:val="en-US"/>
        </w:rPr>
        <w:t xml:space="preserve">The </w:t>
      </w:r>
      <w:r w:rsidR="00CE6861">
        <w:rPr>
          <w:lang w:val="en-US"/>
        </w:rPr>
        <w:t xml:space="preserve">terms </w:t>
      </w:r>
      <w:r w:rsidR="00E83A1A">
        <w:rPr>
          <w:lang w:val="en-US"/>
        </w:rPr>
        <w:t xml:space="preserve">of an enterprise agreement </w:t>
      </w:r>
      <w:r w:rsidR="00CE6861">
        <w:rPr>
          <w:lang w:val="en-US"/>
        </w:rPr>
        <w:t xml:space="preserve">are subject to a </w:t>
      </w:r>
      <w:r w:rsidR="00491F68" w:rsidRPr="006A3D5D">
        <w:rPr>
          <w:lang w:val="en-US"/>
        </w:rPr>
        <w:t>dispute</w:t>
      </w:r>
      <w:r w:rsidR="00CE6861">
        <w:rPr>
          <w:lang w:val="en-US"/>
        </w:rPr>
        <w:t xml:space="preserve"> settlement procedure</w:t>
      </w:r>
      <w:r w:rsidR="009C5C17">
        <w:rPr>
          <w:lang w:val="en-US"/>
        </w:rPr>
        <w:t xml:space="preserve"> and can be enforced in the Fair Work Commission</w:t>
      </w:r>
      <w:r w:rsidR="00491F68" w:rsidRPr="006A3D5D">
        <w:rPr>
          <w:lang w:val="en-US"/>
        </w:rPr>
        <w:t xml:space="preserve">. </w:t>
      </w:r>
      <w:r w:rsidR="00BC35E1" w:rsidRPr="006A3D5D">
        <w:rPr>
          <w:lang w:val="en-US"/>
        </w:rPr>
        <w:t>Because having conditions</w:t>
      </w:r>
      <w:r w:rsidR="0069682C" w:rsidRPr="006A3D5D">
        <w:rPr>
          <w:lang w:val="en-US"/>
        </w:rPr>
        <w:t xml:space="preserve">, rights, </w:t>
      </w:r>
      <w:r w:rsidR="00FE26A5" w:rsidRPr="006A3D5D">
        <w:rPr>
          <w:lang w:val="en-US"/>
        </w:rPr>
        <w:t>and entitlements</w:t>
      </w:r>
      <w:r w:rsidR="0069682C" w:rsidRPr="006A3D5D">
        <w:rPr>
          <w:lang w:val="en-US"/>
        </w:rPr>
        <w:t xml:space="preserve"> </w:t>
      </w:r>
      <w:r w:rsidR="00E83A1A">
        <w:rPr>
          <w:lang w:val="en-US"/>
        </w:rPr>
        <w:t xml:space="preserve">enshrined </w:t>
      </w:r>
      <w:r w:rsidR="0069682C" w:rsidRPr="006A3D5D">
        <w:rPr>
          <w:lang w:val="en-US"/>
        </w:rPr>
        <w:t>in the</w:t>
      </w:r>
      <w:r w:rsidR="00E83A1A">
        <w:rPr>
          <w:lang w:val="en-US"/>
        </w:rPr>
        <w:t>ir</w:t>
      </w:r>
      <w:r w:rsidR="0069682C" w:rsidRPr="006A3D5D">
        <w:rPr>
          <w:lang w:val="en-US"/>
        </w:rPr>
        <w:t xml:space="preserve"> enterprise agreement</w:t>
      </w:r>
      <w:r w:rsidR="00E83A1A">
        <w:rPr>
          <w:lang w:val="en-US"/>
        </w:rPr>
        <w:t>s</w:t>
      </w:r>
      <w:r w:rsidR="0069682C" w:rsidRPr="006A3D5D">
        <w:rPr>
          <w:lang w:val="en-US"/>
        </w:rPr>
        <w:t xml:space="preserve"> is i</w:t>
      </w:r>
      <w:r w:rsidR="00BC35E1" w:rsidRPr="006A3D5D">
        <w:rPr>
          <w:lang w:val="en-US"/>
        </w:rPr>
        <w:t>mportant to workers,</w:t>
      </w:r>
      <w:r w:rsidR="00433509" w:rsidRPr="006A3D5D">
        <w:rPr>
          <w:lang w:val="en-US"/>
        </w:rPr>
        <w:t xml:space="preserve"> </w:t>
      </w:r>
      <w:r w:rsidR="00E83A1A">
        <w:rPr>
          <w:lang w:val="en-US"/>
        </w:rPr>
        <w:t>this</w:t>
      </w:r>
      <w:r w:rsidR="00BD53DF">
        <w:rPr>
          <w:lang w:val="en-US"/>
        </w:rPr>
        <w:t xml:space="preserve"> </w:t>
      </w:r>
      <w:r w:rsidR="00433509" w:rsidRPr="006A3D5D">
        <w:rPr>
          <w:lang w:val="en-US"/>
        </w:rPr>
        <w:t xml:space="preserve">is </w:t>
      </w:r>
      <w:r w:rsidR="00A51F02">
        <w:rPr>
          <w:lang w:val="en-US"/>
        </w:rPr>
        <w:t xml:space="preserve">currently </w:t>
      </w:r>
      <w:r w:rsidR="00433509" w:rsidRPr="006A3D5D">
        <w:rPr>
          <w:lang w:val="en-US"/>
        </w:rPr>
        <w:t xml:space="preserve">one of the most contentious issues in </w:t>
      </w:r>
      <w:r w:rsidR="00A51F02">
        <w:rPr>
          <w:lang w:val="en-US"/>
        </w:rPr>
        <w:t xml:space="preserve">Commonwealth </w:t>
      </w:r>
      <w:r w:rsidR="00433509" w:rsidRPr="006A3D5D">
        <w:rPr>
          <w:lang w:val="en-US"/>
        </w:rPr>
        <w:t xml:space="preserve">bargaining, and it </w:t>
      </w:r>
      <w:r w:rsidR="0069682C" w:rsidRPr="006A3D5D">
        <w:rPr>
          <w:lang w:val="en-US"/>
        </w:rPr>
        <w:t xml:space="preserve">stands in the way of </w:t>
      </w:r>
      <w:r w:rsidR="005C44F3">
        <w:rPr>
          <w:lang w:val="en-US"/>
        </w:rPr>
        <w:t>a resolution</w:t>
      </w:r>
      <w:r w:rsidR="0069682C" w:rsidRPr="006A3D5D">
        <w:rPr>
          <w:lang w:val="en-US"/>
        </w:rPr>
        <w:t xml:space="preserve">. </w:t>
      </w:r>
    </w:p>
    <w:p w:rsidR="004B76D4" w:rsidRPr="006A3D5D" w:rsidRDefault="004B76D4" w:rsidP="00B83639">
      <w:pPr>
        <w:spacing w:after="0"/>
        <w:jc w:val="both"/>
        <w:rPr>
          <w:lang w:val="en-US"/>
        </w:rPr>
      </w:pPr>
    </w:p>
    <w:p w:rsidR="00BC35E1" w:rsidRPr="006A3D5D" w:rsidRDefault="00491F68" w:rsidP="00B83639">
      <w:pPr>
        <w:spacing w:after="0"/>
        <w:jc w:val="both"/>
        <w:rPr>
          <w:lang w:val="en-US"/>
        </w:rPr>
      </w:pPr>
      <w:r w:rsidRPr="006A3D5D">
        <w:rPr>
          <w:lang w:val="en-US"/>
        </w:rPr>
        <w:t xml:space="preserve">Many public sector agencies </w:t>
      </w:r>
      <w:r w:rsidR="00C5684C">
        <w:rPr>
          <w:lang w:val="en-US"/>
        </w:rPr>
        <w:t xml:space="preserve">have indicated that removing content from enterprise agreements </w:t>
      </w:r>
      <w:r w:rsidRPr="006A3D5D">
        <w:rPr>
          <w:lang w:val="en-US"/>
        </w:rPr>
        <w:t>is not their preferred appro</w:t>
      </w:r>
      <w:r w:rsidR="00C5684C">
        <w:rPr>
          <w:lang w:val="en-US"/>
        </w:rPr>
        <w:t xml:space="preserve">ach to managing their workforce. </w:t>
      </w:r>
      <w:r w:rsidRPr="006A3D5D">
        <w:rPr>
          <w:lang w:val="en-US"/>
        </w:rPr>
        <w:t xml:space="preserve"> </w:t>
      </w:r>
      <w:r w:rsidR="00C5684C">
        <w:rPr>
          <w:lang w:val="en-US"/>
        </w:rPr>
        <w:t>H</w:t>
      </w:r>
      <w:r w:rsidRPr="006A3D5D">
        <w:rPr>
          <w:lang w:val="en-US"/>
        </w:rPr>
        <w:t>owever</w:t>
      </w:r>
      <w:r w:rsidR="00055DB5">
        <w:rPr>
          <w:lang w:val="en-US"/>
        </w:rPr>
        <w:t>,</w:t>
      </w:r>
      <w:r w:rsidRPr="006A3D5D">
        <w:rPr>
          <w:lang w:val="en-US"/>
        </w:rPr>
        <w:t xml:space="preserve"> the Bargaining Policy does not leave them free to retain agreement content if that is the preferred approach in that agency. </w:t>
      </w:r>
      <w:r w:rsidR="00C5684C">
        <w:rPr>
          <w:lang w:val="en-US"/>
        </w:rPr>
        <w:t xml:space="preserve">Because retaining employee protections is </w:t>
      </w:r>
      <w:r w:rsidR="0059776A">
        <w:rPr>
          <w:lang w:val="en-US"/>
        </w:rPr>
        <w:t>of great importance to</w:t>
      </w:r>
      <w:r w:rsidR="00C5684C">
        <w:rPr>
          <w:lang w:val="en-US"/>
        </w:rPr>
        <w:t xml:space="preserve"> workers, t</w:t>
      </w:r>
      <w:r w:rsidR="00C23354" w:rsidRPr="006A3D5D">
        <w:rPr>
          <w:lang w:val="en-US"/>
        </w:rPr>
        <w:t xml:space="preserve">he result is that public sector agencies are at a loss as to how to settle bargaining. </w:t>
      </w:r>
    </w:p>
    <w:p w:rsidR="003354AC" w:rsidRDefault="003354AC" w:rsidP="00B83639">
      <w:pPr>
        <w:spacing w:after="0"/>
        <w:jc w:val="both"/>
        <w:rPr>
          <w:i/>
          <w:lang w:val="en-US"/>
        </w:rPr>
      </w:pPr>
    </w:p>
    <w:p w:rsidR="004E0DB9" w:rsidRDefault="004E0DB9" w:rsidP="004E0DB9">
      <w:pPr>
        <w:shd w:val="clear" w:color="auto" w:fill="FFFFFF"/>
        <w:spacing w:after="0"/>
        <w:jc w:val="both"/>
        <w:rPr>
          <w:rFonts w:cstheme="minorHAnsi"/>
        </w:rPr>
      </w:pPr>
      <w:r>
        <w:rPr>
          <w:rFonts w:cstheme="minorHAnsi"/>
        </w:rPr>
        <w:t xml:space="preserve">The Act does not require employers to negotiate with the objective of concluding bargaining, and there is no obligation for the parties to put reasonable propositions with a view to reaching agreement. The decision of the Government to require agencies to remove content from enterprise agreements is effectively a decision not </w:t>
      </w:r>
      <w:r w:rsidR="00AC79E4">
        <w:rPr>
          <w:rFonts w:cstheme="minorHAnsi"/>
        </w:rPr>
        <w:t xml:space="preserve">to </w:t>
      </w:r>
      <w:r w:rsidR="000463D8">
        <w:rPr>
          <w:rFonts w:cstheme="minorHAnsi"/>
        </w:rPr>
        <w:t xml:space="preserve">genuinely bargain, </w:t>
      </w:r>
      <w:r w:rsidR="00801801">
        <w:rPr>
          <w:rFonts w:cstheme="minorHAnsi"/>
        </w:rPr>
        <w:t>given the importance that CPSU members and delegates place on retaining rights and protections in agreements.</w:t>
      </w:r>
      <w:r>
        <w:rPr>
          <w:rFonts w:cstheme="minorHAnsi"/>
        </w:rPr>
        <w:t xml:space="preserve"> </w:t>
      </w:r>
      <w:r w:rsidR="008C1DAF">
        <w:rPr>
          <w:rFonts w:cstheme="minorHAnsi"/>
        </w:rPr>
        <w:t xml:space="preserve"> </w:t>
      </w:r>
      <w:r w:rsidR="001A3339">
        <w:rPr>
          <w:rFonts w:cstheme="minorHAnsi"/>
        </w:rPr>
        <w:t xml:space="preserve">The </w:t>
      </w:r>
      <w:r w:rsidR="001A3339" w:rsidRPr="004B44ED">
        <w:rPr>
          <w:rFonts w:cstheme="minorHAnsi"/>
          <w:i/>
        </w:rPr>
        <w:t>Fair Work Act</w:t>
      </w:r>
      <w:r w:rsidR="001A3339">
        <w:rPr>
          <w:rFonts w:cstheme="minorHAnsi"/>
        </w:rPr>
        <w:t xml:space="preserve"> appears to offer little assistance in this situation. </w:t>
      </w:r>
    </w:p>
    <w:p w:rsidR="00876A16" w:rsidRDefault="00876A16" w:rsidP="004E0DB9">
      <w:pPr>
        <w:shd w:val="clear" w:color="auto" w:fill="FFFFFF"/>
        <w:spacing w:after="0"/>
        <w:jc w:val="both"/>
        <w:rPr>
          <w:rFonts w:cstheme="minorHAnsi"/>
        </w:rPr>
      </w:pPr>
    </w:p>
    <w:p w:rsidR="00C21243" w:rsidRDefault="00C21243" w:rsidP="004E0DB9">
      <w:pPr>
        <w:shd w:val="clear" w:color="auto" w:fill="FFFFFF"/>
        <w:spacing w:after="0"/>
        <w:jc w:val="both"/>
        <w:rPr>
          <w:rFonts w:cstheme="minorHAnsi"/>
        </w:rPr>
      </w:pPr>
    </w:p>
    <w:p w:rsidR="00B47657" w:rsidRDefault="00B47657" w:rsidP="004E0DB9">
      <w:pPr>
        <w:shd w:val="clear" w:color="auto" w:fill="FFFFFF"/>
        <w:spacing w:after="0"/>
        <w:jc w:val="both"/>
        <w:rPr>
          <w:rFonts w:cstheme="minorHAnsi"/>
        </w:rPr>
      </w:pPr>
    </w:p>
    <w:p w:rsidR="00CE56AC" w:rsidRPr="00FE3AEC" w:rsidRDefault="00CE56AC" w:rsidP="00CE56AC">
      <w:pPr>
        <w:jc w:val="both"/>
        <w:rPr>
          <w:rFonts w:cstheme="minorHAnsi"/>
          <w:b/>
          <w:i/>
          <w:lang w:val="en-US"/>
        </w:rPr>
      </w:pPr>
      <w:r w:rsidRPr="00FE3AEC">
        <w:rPr>
          <w:rFonts w:cstheme="minorHAnsi"/>
          <w:b/>
          <w:i/>
          <w:lang w:val="en-US"/>
        </w:rPr>
        <w:t>Model Consultation Term</w:t>
      </w:r>
    </w:p>
    <w:p w:rsidR="00CE56AC" w:rsidRPr="00FE3AEC" w:rsidRDefault="00CE56AC" w:rsidP="00DB455F">
      <w:pPr>
        <w:jc w:val="both"/>
        <w:rPr>
          <w:rFonts w:cstheme="minorHAnsi"/>
          <w:lang w:val="en-US"/>
        </w:rPr>
      </w:pPr>
      <w:r w:rsidRPr="00FE3AEC">
        <w:rPr>
          <w:rFonts w:cstheme="minorHAnsi"/>
          <w:lang w:val="en-US"/>
        </w:rPr>
        <w:t>The Act requires all enterprise agreements to include a consultation term</w:t>
      </w:r>
      <w:r w:rsidR="00612DF0">
        <w:rPr>
          <w:rFonts w:cstheme="minorHAnsi"/>
          <w:lang w:val="en-US"/>
        </w:rPr>
        <w:t>,</w:t>
      </w:r>
      <w:r w:rsidRPr="00FE3AEC">
        <w:rPr>
          <w:rFonts w:cstheme="minorHAnsi"/>
          <w:i/>
          <w:lang w:val="en-US"/>
        </w:rPr>
        <w:t xml:space="preserve"> </w:t>
      </w:r>
      <w:r w:rsidRPr="00FE3AEC">
        <w:rPr>
          <w:rFonts w:cstheme="minorHAnsi"/>
          <w:lang w:val="en-US"/>
        </w:rPr>
        <w:t>or in the absence of such a term</w:t>
      </w:r>
      <w:r w:rsidR="00612DF0">
        <w:rPr>
          <w:rFonts w:cstheme="minorHAnsi"/>
          <w:lang w:val="en-US"/>
        </w:rPr>
        <w:t>,</w:t>
      </w:r>
      <w:r w:rsidRPr="00FE3AEC">
        <w:rPr>
          <w:rFonts w:cstheme="minorHAnsi"/>
          <w:lang w:val="en-US"/>
        </w:rPr>
        <w:t xml:space="preserve"> the model consultation term</w:t>
      </w:r>
      <w:r w:rsidRPr="00FE3AEC">
        <w:rPr>
          <w:rFonts w:cstheme="minorHAnsi"/>
          <w:i/>
          <w:lang w:val="en-US"/>
        </w:rPr>
        <w:t xml:space="preserve"> </w:t>
      </w:r>
      <w:r w:rsidRPr="00FE3AEC">
        <w:rPr>
          <w:rFonts w:cstheme="minorHAnsi"/>
          <w:lang w:val="en-US"/>
        </w:rPr>
        <w:t xml:space="preserve">prescribed in the </w:t>
      </w:r>
      <w:r w:rsidRPr="00FE3AEC">
        <w:rPr>
          <w:rFonts w:cstheme="minorHAnsi"/>
          <w:i/>
          <w:lang w:val="en-US"/>
        </w:rPr>
        <w:t>Fair Work Regulations</w:t>
      </w:r>
      <w:r w:rsidR="00F80EF7" w:rsidRPr="002B28D5">
        <w:rPr>
          <w:rStyle w:val="FootnoteReference"/>
          <w:rFonts w:asciiTheme="minorHAnsi" w:hAnsiTheme="minorHAnsi" w:cstheme="minorHAnsi"/>
          <w:lang w:val="en-US"/>
        </w:rPr>
        <w:footnoteReference w:id="34"/>
      </w:r>
      <w:r w:rsidR="00C12ECD">
        <w:rPr>
          <w:rFonts w:cstheme="minorHAnsi"/>
          <w:i/>
          <w:lang w:val="en-US"/>
        </w:rPr>
        <w:t>.</w:t>
      </w:r>
    </w:p>
    <w:p w:rsidR="00CE56AC" w:rsidRPr="00FE3AEC" w:rsidRDefault="00FE3AEC" w:rsidP="00DB455F">
      <w:pPr>
        <w:jc w:val="both"/>
        <w:rPr>
          <w:rFonts w:cstheme="minorHAnsi"/>
          <w:lang w:val="en-US"/>
        </w:rPr>
      </w:pPr>
      <w:r>
        <w:rPr>
          <w:rFonts w:cstheme="minorHAnsi"/>
          <w:lang w:val="en-US"/>
        </w:rPr>
        <w:t xml:space="preserve">It is the CPSU position that </w:t>
      </w:r>
      <w:r w:rsidR="00CE56AC" w:rsidRPr="00FE3AEC">
        <w:rPr>
          <w:rFonts w:cstheme="minorHAnsi"/>
          <w:lang w:val="en-US"/>
        </w:rPr>
        <w:t xml:space="preserve">the model consultation term be amended so that it requires employers to consult with employees over any proposals for change in the workplace </w:t>
      </w:r>
      <w:r w:rsidR="00CE56AC" w:rsidRPr="0029366A">
        <w:rPr>
          <w:i/>
          <w:lang w:val="en-US"/>
        </w:rPr>
        <w:t>prior</w:t>
      </w:r>
      <w:r w:rsidR="00CE56AC" w:rsidRPr="00FE3AEC">
        <w:rPr>
          <w:rFonts w:cstheme="minorHAnsi"/>
          <w:lang w:val="en-US"/>
        </w:rPr>
        <w:t xml:space="preserve"> to the decision being made.</w:t>
      </w:r>
    </w:p>
    <w:p w:rsidR="00CE56AC" w:rsidRPr="00FE3AEC" w:rsidRDefault="00CE56AC" w:rsidP="006F3D20">
      <w:pPr>
        <w:jc w:val="both"/>
        <w:rPr>
          <w:rFonts w:cstheme="minorHAnsi"/>
          <w:lang w:val="en-US"/>
        </w:rPr>
      </w:pPr>
      <w:r w:rsidRPr="00FE3AEC">
        <w:rPr>
          <w:rFonts w:cstheme="minorHAnsi"/>
          <w:lang w:val="en-US"/>
        </w:rPr>
        <w:t xml:space="preserve">The model consultation term (if included in an enterprise agreement) obliges the employer to consult with employees only </w:t>
      </w:r>
      <w:r w:rsidRPr="00612DF0">
        <w:rPr>
          <w:rFonts w:cstheme="minorHAnsi"/>
          <w:i/>
          <w:lang w:val="en-US"/>
        </w:rPr>
        <w:t>after</w:t>
      </w:r>
      <w:r w:rsidRPr="00FE3AEC">
        <w:rPr>
          <w:rFonts w:cstheme="minorHAnsi"/>
          <w:lang w:val="en-US"/>
        </w:rPr>
        <w:t xml:space="preserve"> the employer has made a definite decision to introduce a major change to production, program </w:t>
      </w:r>
      <w:proofErr w:type="spellStart"/>
      <w:r w:rsidRPr="00FE3AEC">
        <w:rPr>
          <w:rFonts w:cstheme="minorHAnsi"/>
          <w:lang w:val="en-US"/>
        </w:rPr>
        <w:t>organi</w:t>
      </w:r>
      <w:r w:rsidR="00AC79E4">
        <w:rPr>
          <w:rFonts w:cstheme="minorHAnsi"/>
          <w:lang w:val="en-US"/>
        </w:rPr>
        <w:t>s</w:t>
      </w:r>
      <w:r w:rsidRPr="00FE3AEC">
        <w:rPr>
          <w:rFonts w:cstheme="minorHAnsi"/>
          <w:lang w:val="en-US"/>
        </w:rPr>
        <w:t>ation</w:t>
      </w:r>
      <w:proofErr w:type="spellEnd"/>
      <w:r w:rsidRPr="00FE3AEC">
        <w:rPr>
          <w:rFonts w:cstheme="minorHAnsi"/>
          <w:lang w:val="en-US"/>
        </w:rPr>
        <w:t>, structure or technology in relation to its enterprise.</w:t>
      </w:r>
    </w:p>
    <w:p w:rsidR="00CE56AC" w:rsidRPr="00FE3AEC" w:rsidRDefault="00FE3AEC" w:rsidP="00E41AEE">
      <w:pPr>
        <w:jc w:val="both"/>
        <w:rPr>
          <w:rFonts w:cstheme="minorHAnsi"/>
          <w:lang w:val="en-US"/>
        </w:rPr>
      </w:pPr>
      <w:r>
        <w:rPr>
          <w:rFonts w:cstheme="minorHAnsi"/>
          <w:lang w:val="en-US"/>
        </w:rPr>
        <w:t>The model</w:t>
      </w:r>
      <w:r w:rsidR="00CE56AC" w:rsidRPr="00FE3AEC">
        <w:rPr>
          <w:rFonts w:cstheme="minorHAnsi"/>
          <w:lang w:val="en-US"/>
        </w:rPr>
        <w:t xml:space="preserve"> consultation term is deficient for two reasons:</w:t>
      </w:r>
    </w:p>
    <w:p w:rsidR="00CE56AC" w:rsidRPr="00FE3AEC" w:rsidRDefault="00CE56AC" w:rsidP="00FE3AEC">
      <w:pPr>
        <w:pStyle w:val="ListParagraph"/>
        <w:numPr>
          <w:ilvl w:val="0"/>
          <w:numId w:val="24"/>
        </w:numPr>
        <w:jc w:val="both"/>
        <w:rPr>
          <w:rFonts w:cstheme="minorHAnsi"/>
          <w:lang w:val="en-US"/>
        </w:rPr>
      </w:pPr>
      <w:r w:rsidRPr="00FE3AEC">
        <w:rPr>
          <w:rFonts w:cstheme="minorHAnsi"/>
          <w:lang w:val="en-US"/>
        </w:rPr>
        <w:t xml:space="preserve">Consultation is only required if the employer has made a decision. </w:t>
      </w:r>
      <w:r w:rsidR="00634814">
        <w:rPr>
          <w:rFonts w:cstheme="minorHAnsi"/>
          <w:lang w:val="en-US"/>
        </w:rPr>
        <w:t>W</w:t>
      </w:r>
      <w:r w:rsidRPr="00FE3AEC">
        <w:rPr>
          <w:rFonts w:cstheme="minorHAnsi"/>
          <w:lang w:val="en-US"/>
        </w:rPr>
        <w:t>orkplace relations and productivity</w:t>
      </w:r>
      <w:r w:rsidR="00634814">
        <w:rPr>
          <w:rFonts w:cstheme="minorHAnsi"/>
          <w:lang w:val="en-US"/>
        </w:rPr>
        <w:t xml:space="preserve"> would be improved</w:t>
      </w:r>
      <w:r w:rsidRPr="00FE3AEC">
        <w:rPr>
          <w:rFonts w:cstheme="minorHAnsi"/>
          <w:lang w:val="en-US"/>
        </w:rPr>
        <w:t xml:space="preserve"> if consultation began in the lead up to the employer making a decision</w:t>
      </w:r>
      <w:r w:rsidR="00E7186E">
        <w:rPr>
          <w:rFonts w:cstheme="minorHAnsi"/>
          <w:lang w:val="en-US"/>
        </w:rPr>
        <w:t xml:space="preserve"> which could have a significant impact on employees</w:t>
      </w:r>
      <w:r w:rsidRPr="00FE3AEC">
        <w:rPr>
          <w:rFonts w:cstheme="minorHAnsi"/>
          <w:lang w:val="en-US"/>
        </w:rPr>
        <w:t>. The decision can be made</w:t>
      </w:r>
      <w:r w:rsidR="00E7186E">
        <w:rPr>
          <w:rFonts w:cstheme="minorHAnsi"/>
          <w:lang w:val="en-US"/>
        </w:rPr>
        <w:t xml:space="preserve"> by the employer</w:t>
      </w:r>
      <w:r w:rsidRPr="00FE3AEC">
        <w:rPr>
          <w:rFonts w:cstheme="minorHAnsi"/>
          <w:lang w:val="en-US"/>
        </w:rPr>
        <w:t xml:space="preserve"> after relevant input from the various stakeholders. Consultation after the decision is made is restricted to the effects of the decision and measures that may be taken </w:t>
      </w:r>
      <w:r w:rsidRPr="00FE3AEC">
        <w:rPr>
          <w:rFonts w:cstheme="minorHAnsi"/>
          <w:lang w:val="en-US"/>
        </w:rPr>
        <w:lastRenderedPageBreak/>
        <w:t xml:space="preserve">to mitigate the adverse effects of the change: rather than </w:t>
      </w:r>
      <w:r w:rsidR="00AC79E4">
        <w:rPr>
          <w:rFonts w:cstheme="minorHAnsi"/>
          <w:lang w:val="en-US"/>
        </w:rPr>
        <w:t>consultation</w:t>
      </w:r>
      <w:r w:rsidRPr="00FE3AEC">
        <w:rPr>
          <w:rFonts w:cstheme="minorHAnsi"/>
          <w:lang w:val="en-US"/>
        </w:rPr>
        <w:t xml:space="preserve"> as to what change is best suited to the enterprise and employees</w:t>
      </w:r>
      <w:r w:rsidR="002B4030">
        <w:rPr>
          <w:rFonts w:cstheme="minorHAnsi"/>
          <w:lang w:val="en-US"/>
        </w:rPr>
        <w:t>; and</w:t>
      </w:r>
    </w:p>
    <w:p w:rsidR="00CE56AC" w:rsidRPr="00FE3AEC" w:rsidRDefault="00CE56AC" w:rsidP="00CE56AC">
      <w:pPr>
        <w:pStyle w:val="ListParagraph"/>
        <w:jc w:val="both"/>
        <w:rPr>
          <w:rFonts w:cstheme="minorHAnsi"/>
          <w:lang w:val="en-US"/>
        </w:rPr>
      </w:pPr>
    </w:p>
    <w:p w:rsidR="00CE56AC" w:rsidRPr="00FE3AEC" w:rsidRDefault="00CE56AC" w:rsidP="00DB455F">
      <w:pPr>
        <w:pStyle w:val="ListParagraph"/>
        <w:numPr>
          <w:ilvl w:val="0"/>
          <w:numId w:val="24"/>
        </w:numPr>
        <w:jc w:val="both"/>
        <w:rPr>
          <w:rFonts w:cstheme="minorHAnsi"/>
          <w:lang w:val="en-US"/>
        </w:rPr>
      </w:pPr>
      <w:r w:rsidRPr="00FE3AEC">
        <w:rPr>
          <w:rFonts w:cstheme="minorHAnsi"/>
          <w:lang w:val="en-US"/>
        </w:rPr>
        <w:t xml:space="preserve">A decision to introduce a </w:t>
      </w:r>
      <w:r w:rsidRPr="00FE3AEC">
        <w:rPr>
          <w:rFonts w:cstheme="minorHAnsi"/>
          <w:i/>
          <w:lang w:val="en-US"/>
        </w:rPr>
        <w:t xml:space="preserve">major change </w:t>
      </w:r>
      <w:r w:rsidRPr="00FE3AEC">
        <w:rPr>
          <w:rFonts w:cstheme="minorHAnsi"/>
          <w:lang w:val="en-US"/>
        </w:rPr>
        <w:t xml:space="preserve">is necessary before consultation is required. This requirement that the change be </w:t>
      </w:r>
      <w:r w:rsidRPr="00FE3AEC">
        <w:rPr>
          <w:rFonts w:cstheme="minorHAnsi"/>
          <w:i/>
          <w:lang w:val="en-US"/>
        </w:rPr>
        <w:t>major</w:t>
      </w:r>
      <w:r w:rsidRPr="00FE3AEC">
        <w:rPr>
          <w:rFonts w:cstheme="minorHAnsi"/>
          <w:lang w:val="en-US"/>
        </w:rPr>
        <w:t xml:space="preserve"> results in disputes as to what a </w:t>
      </w:r>
      <w:r w:rsidRPr="00FE3AEC">
        <w:rPr>
          <w:rFonts w:cstheme="minorHAnsi"/>
          <w:i/>
          <w:lang w:val="en-US"/>
        </w:rPr>
        <w:t xml:space="preserve">major </w:t>
      </w:r>
      <w:r w:rsidRPr="00FE3AEC">
        <w:rPr>
          <w:rFonts w:cstheme="minorHAnsi"/>
          <w:lang w:val="en-US"/>
        </w:rPr>
        <w:t xml:space="preserve">change is. This restriction should be </w:t>
      </w:r>
      <w:r w:rsidR="00E7186E">
        <w:rPr>
          <w:rFonts w:cstheme="minorHAnsi"/>
          <w:lang w:val="en-US"/>
        </w:rPr>
        <w:t>clarified</w:t>
      </w:r>
      <w:r w:rsidR="00E7186E" w:rsidRPr="00FE3AEC">
        <w:rPr>
          <w:rFonts w:cstheme="minorHAnsi"/>
          <w:lang w:val="en-US"/>
        </w:rPr>
        <w:t xml:space="preserve"> </w:t>
      </w:r>
      <w:r w:rsidR="00E7186E">
        <w:rPr>
          <w:rFonts w:cstheme="minorHAnsi"/>
          <w:lang w:val="en-US"/>
        </w:rPr>
        <w:t>to ensure that</w:t>
      </w:r>
      <w:r w:rsidRPr="00FE3AEC">
        <w:rPr>
          <w:rFonts w:cstheme="minorHAnsi"/>
          <w:lang w:val="en-US"/>
        </w:rPr>
        <w:t xml:space="preserve"> the employer </w:t>
      </w:r>
      <w:r w:rsidR="00E7186E">
        <w:rPr>
          <w:rFonts w:cstheme="minorHAnsi"/>
          <w:lang w:val="en-US"/>
        </w:rPr>
        <w:t xml:space="preserve">is obligated to consult on changes which have a significant impact on </w:t>
      </w:r>
      <w:r w:rsidRPr="00FE3AEC">
        <w:rPr>
          <w:rFonts w:cstheme="minorHAnsi"/>
          <w:lang w:val="en-US"/>
        </w:rPr>
        <w:t>employees.</w:t>
      </w:r>
    </w:p>
    <w:p w:rsidR="00CE56AC" w:rsidRDefault="00CE56AC" w:rsidP="00DB455F">
      <w:pPr>
        <w:shd w:val="clear" w:color="auto" w:fill="FFFFFF"/>
        <w:spacing w:after="0"/>
        <w:jc w:val="both"/>
        <w:rPr>
          <w:rFonts w:cstheme="minorHAnsi"/>
        </w:rPr>
      </w:pPr>
    </w:p>
    <w:p w:rsidR="00E7186E" w:rsidRDefault="00E7186E" w:rsidP="00B83639">
      <w:pPr>
        <w:shd w:val="clear" w:color="auto" w:fill="FFFFFF"/>
        <w:spacing w:after="0"/>
        <w:jc w:val="both"/>
        <w:rPr>
          <w:rFonts w:asciiTheme="majorHAnsi" w:hAnsiTheme="majorHAnsi" w:cstheme="minorHAnsi"/>
          <w:b/>
          <w:sz w:val="28"/>
          <w:szCs w:val="28"/>
        </w:rPr>
      </w:pPr>
    </w:p>
    <w:p w:rsidR="0029366A" w:rsidRDefault="0029366A" w:rsidP="00B83639">
      <w:pPr>
        <w:shd w:val="clear" w:color="auto" w:fill="FFFFFF"/>
        <w:spacing w:after="0"/>
        <w:jc w:val="both"/>
        <w:rPr>
          <w:rFonts w:asciiTheme="majorHAnsi" w:hAnsiTheme="majorHAnsi" w:cstheme="minorHAnsi"/>
          <w:b/>
          <w:sz w:val="28"/>
          <w:szCs w:val="28"/>
        </w:rPr>
      </w:pPr>
    </w:p>
    <w:p w:rsidR="00183DCC" w:rsidRDefault="00D173E2" w:rsidP="00B83639">
      <w:pPr>
        <w:shd w:val="clear" w:color="auto" w:fill="FFFFFF"/>
        <w:spacing w:after="0"/>
        <w:jc w:val="both"/>
        <w:rPr>
          <w:rFonts w:asciiTheme="majorHAnsi" w:hAnsiTheme="majorHAnsi" w:cstheme="minorHAnsi"/>
          <w:b/>
          <w:sz w:val="28"/>
          <w:szCs w:val="28"/>
        </w:rPr>
      </w:pPr>
      <w:r w:rsidRPr="00D173E2">
        <w:rPr>
          <w:rFonts w:asciiTheme="majorHAnsi" w:hAnsiTheme="majorHAnsi" w:cstheme="minorHAnsi"/>
          <w:b/>
          <w:sz w:val="28"/>
          <w:szCs w:val="28"/>
        </w:rPr>
        <w:t>Requirement to consider productivity improvements</w:t>
      </w:r>
      <w:r>
        <w:rPr>
          <w:rFonts w:asciiTheme="majorHAnsi" w:hAnsiTheme="majorHAnsi" w:cstheme="minorHAnsi"/>
          <w:b/>
          <w:sz w:val="28"/>
          <w:szCs w:val="28"/>
        </w:rPr>
        <w:t xml:space="preserve"> </w:t>
      </w:r>
    </w:p>
    <w:p w:rsidR="00FE26A5" w:rsidRPr="00402B74" w:rsidRDefault="00FE26A5" w:rsidP="00B83639">
      <w:pPr>
        <w:shd w:val="clear" w:color="auto" w:fill="FFFFFF"/>
        <w:spacing w:after="0"/>
        <w:jc w:val="both"/>
        <w:rPr>
          <w:rFonts w:cstheme="minorHAnsi"/>
          <w:b/>
        </w:rPr>
      </w:pPr>
    </w:p>
    <w:p w:rsidR="00B75446" w:rsidRDefault="005917F3" w:rsidP="00B83639">
      <w:pPr>
        <w:shd w:val="clear" w:color="auto" w:fill="FFFFFF"/>
        <w:spacing w:after="0"/>
        <w:jc w:val="both"/>
        <w:rPr>
          <w:rFonts w:cstheme="minorHAnsi"/>
        </w:rPr>
      </w:pPr>
      <w:r>
        <w:rPr>
          <w:rFonts w:cstheme="minorHAnsi"/>
        </w:rPr>
        <w:t>In Issues Paper 3</w:t>
      </w:r>
      <w:r w:rsidR="001322B5">
        <w:rPr>
          <w:rFonts w:cstheme="minorHAnsi"/>
        </w:rPr>
        <w:t>,</w:t>
      </w:r>
      <w:r w:rsidR="003B3225" w:rsidRPr="00402B74">
        <w:rPr>
          <w:rFonts w:cstheme="minorHAnsi"/>
        </w:rPr>
        <w:t xml:space="preserve"> the Productivity Commission seeks feedback on pursuing productivity through bargaining</w:t>
      </w:r>
      <w:r w:rsidR="009C47F1">
        <w:rPr>
          <w:rFonts w:cstheme="minorHAnsi"/>
        </w:rPr>
        <w:t>, including</w:t>
      </w:r>
      <w:r w:rsidR="003B3225" w:rsidRPr="00402B74">
        <w:rPr>
          <w:rFonts w:cstheme="minorHAnsi"/>
        </w:rPr>
        <w:t xml:space="preserve"> whether parties to an agreement should be </w:t>
      </w:r>
      <w:r w:rsidR="003B3225" w:rsidRPr="001E2AA8">
        <w:rPr>
          <w:rFonts w:cstheme="minorHAnsi"/>
        </w:rPr>
        <w:t>required</w:t>
      </w:r>
      <w:r w:rsidR="003B3225" w:rsidRPr="00402B74">
        <w:rPr>
          <w:rFonts w:cstheme="minorHAnsi"/>
        </w:rPr>
        <w:t xml:space="preserve"> to discuss productivity. </w:t>
      </w:r>
      <w:r w:rsidR="003B3225">
        <w:rPr>
          <w:rFonts w:cstheme="minorHAnsi"/>
        </w:rPr>
        <w:t xml:space="preserve">The </w:t>
      </w:r>
      <w:r w:rsidR="003B3225" w:rsidRPr="004900B1">
        <w:rPr>
          <w:rFonts w:cstheme="minorHAnsi"/>
          <w:i/>
        </w:rPr>
        <w:t>Fair Work Amendment (Bargaining Processes) Bill 2014</w:t>
      </w:r>
      <w:r w:rsidR="007C0B90" w:rsidRPr="004120B9">
        <w:rPr>
          <w:rStyle w:val="FootnoteReference"/>
          <w:rFonts w:asciiTheme="minorHAnsi" w:hAnsiTheme="minorHAnsi" w:cstheme="minorHAnsi"/>
          <w:vertAlign w:val="superscript"/>
        </w:rPr>
        <w:footnoteReference w:id="35"/>
      </w:r>
      <w:r w:rsidR="003B3225" w:rsidRPr="004900B1">
        <w:rPr>
          <w:rFonts w:cstheme="minorHAnsi"/>
          <w:i/>
        </w:rPr>
        <w:t xml:space="preserve"> </w:t>
      </w:r>
      <w:r w:rsidR="003B3225">
        <w:rPr>
          <w:rFonts w:cstheme="minorHAnsi"/>
        </w:rPr>
        <w:t xml:space="preserve">aims to introduce this requirement, which would prevent the Fair Work Commission from approving an enterprise agreement if the requirement had not been met. </w:t>
      </w:r>
      <w:r w:rsidR="003B3225" w:rsidRPr="00402B74">
        <w:rPr>
          <w:rFonts w:cstheme="minorHAnsi"/>
        </w:rPr>
        <w:t>The CPSU does not support this approach, and believes this is a matter best left to the parties to the agreement, not mandated by law.</w:t>
      </w:r>
      <w:r w:rsidR="00FE11B2">
        <w:rPr>
          <w:rFonts w:cstheme="minorHAnsi"/>
        </w:rPr>
        <w:t xml:space="preserve"> </w:t>
      </w:r>
      <w:r w:rsidR="00F00AA6">
        <w:rPr>
          <w:rFonts w:cstheme="minorHAnsi"/>
        </w:rPr>
        <w:t>In Issues Paper 5</w:t>
      </w:r>
      <w:r w:rsidR="001322B5">
        <w:rPr>
          <w:rFonts w:cstheme="minorHAnsi"/>
        </w:rPr>
        <w:t>,</w:t>
      </w:r>
      <w:r w:rsidR="007D47B4" w:rsidRPr="00402B74">
        <w:rPr>
          <w:rFonts w:cstheme="minorHAnsi"/>
        </w:rPr>
        <w:t xml:space="preserve"> the Productivity Commission </w:t>
      </w:r>
      <w:r w:rsidR="001E2AA8">
        <w:rPr>
          <w:rFonts w:cstheme="minorHAnsi"/>
        </w:rPr>
        <w:t xml:space="preserve">also </w:t>
      </w:r>
      <w:r w:rsidR="007D47B4" w:rsidRPr="00402B74">
        <w:rPr>
          <w:rFonts w:cstheme="minorHAnsi"/>
        </w:rPr>
        <w:t>questions whether</w:t>
      </w:r>
      <w:r w:rsidR="00B75446">
        <w:rPr>
          <w:rFonts w:cstheme="minorHAnsi"/>
        </w:rPr>
        <w:t>:</w:t>
      </w:r>
    </w:p>
    <w:p w:rsidR="003B3225" w:rsidRDefault="003B3225" w:rsidP="00B83639">
      <w:pPr>
        <w:shd w:val="clear" w:color="auto" w:fill="FFFFFF"/>
        <w:spacing w:after="0"/>
        <w:jc w:val="both"/>
        <w:rPr>
          <w:rFonts w:cstheme="minorHAnsi"/>
        </w:rPr>
      </w:pPr>
    </w:p>
    <w:p w:rsidR="00B75446" w:rsidRPr="00F00AA6" w:rsidRDefault="00B75446" w:rsidP="00B83639">
      <w:pPr>
        <w:shd w:val="clear" w:color="auto" w:fill="FFFFFF"/>
        <w:spacing w:after="0"/>
        <w:ind w:left="284" w:right="284"/>
        <w:jc w:val="both"/>
        <w:rPr>
          <w:rFonts w:cstheme="minorHAnsi"/>
          <w:i/>
        </w:rPr>
      </w:pPr>
      <w:r w:rsidRPr="00F00AA6">
        <w:rPr>
          <w:rFonts w:cstheme="minorHAnsi"/>
          <w:i/>
        </w:rPr>
        <w:t>R</w:t>
      </w:r>
      <w:r w:rsidR="007D47B4" w:rsidRPr="00F00AA6">
        <w:rPr>
          <w:rFonts w:cstheme="minorHAnsi"/>
          <w:i/>
        </w:rPr>
        <w:t>eforms might need to take account of the fact that outputs and productivity improvements are less easily measured and consequently less transparent in the public sector</w:t>
      </w:r>
      <w:r w:rsidR="00DE2A92" w:rsidRPr="004120B9">
        <w:rPr>
          <w:rStyle w:val="FootnoteReference"/>
          <w:rFonts w:asciiTheme="minorHAnsi" w:hAnsiTheme="minorHAnsi" w:cstheme="minorHAnsi"/>
        </w:rPr>
        <w:footnoteReference w:id="36"/>
      </w:r>
      <w:r w:rsidR="007D47B4" w:rsidRPr="00F00AA6">
        <w:rPr>
          <w:rFonts w:cstheme="minorHAnsi"/>
          <w:i/>
        </w:rPr>
        <w:t>.</w:t>
      </w:r>
    </w:p>
    <w:p w:rsidR="002D6644" w:rsidRPr="00402B74" w:rsidRDefault="002D6644" w:rsidP="00B83639">
      <w:pPr>
        <w:shd w:val="clear" w:color="auto" w:fill="FFFFFF"/>
        <w:spacing w:after="0"/>
        <w:jc w:val="both"/>
        <w:rPr>
          <w:rFonts w:cstheme="minorHAnsi"/>
        </w:rPr>
      </w:pPr>
    </w:p>
    <w:p w:rsidR="008476F0" w:rsidRDefault="00E174AD" w:rsidP="008476F0">
      <w:pPr>
        <w:shd w:val="clear" w:color="auto" w:fill="FFFFFF"/>
        <w:spacing w:after="0"/>
        <w:jc w:val="both"/>
        <w:rPr>
          <w:rFonts w:cstheme="minorHAnsi"/>
        </w:rPr>
      </w:pPr>
      <w:r>
        <w:rPr>
          <w:rFonts w:cstheme="minorHAnsi"/>
        </w:rPr>
        <w:t xml:space="preserve">The CPSU is concerned </w:t>
      </w:r>
      <w:r w:rsidR="00483904">
        <w:rPr>
          <w:rFonts w:cstheme="minorHAnsi"/>
        </w:rPr>
        <w:t xml:space="preserve">that too </w:t>
      </w:r>
      <w:r w:rsidR="002B4030">
        <w:rPr>
          <w:rFonts w:cstheme="minorHAnsi"/>
        </w:rPr>
        <w:t>often;</w:t>
      </w:r>
      <w:r w:rsidR="00483904">
        <w:rPr>
          <w:rFonts w:cstheme="minorHAnsi"/>
        </w:rPr>
        <w:t xml:space="preserve"> productivity is </w:t>
      </w:r>
      <w:r w:rsidR="00E7186E">
        <w:rPr>
          <w:rFonts w:cstheme="minorHAnsi"/>
        </w:rPr>
        <w:t>redefined by employers to focus on</w:t>
      </w:r>
      <w:r w:rsidR="00483904">
        <w:rPr>
          <w:rFonts w:cstheme="minorHAnsi"/>
        </w:rPr>
        <w:t xml:space="preserve"> </w:t>
      </w:r>
      <w:r w:rsidR="00CF2133">
        <w:rPr>
          <w:rFonts w:cstheme="minorHAnsi"/>
        </w:rPr>
        <w:t>cuts to</w:t>
      </w:r>
      <w:r w:rsidR="004F68F6">
        <w:rPr>
          <w:rFonts w:cstheme="minorHAnsi"/>
        </w:rPr>
        <w:t xml:space="preserve"> </w:t>
      </w:r>
      <w:r w:rsidR="00E7186E">
        <w:rPr>
          <w:rFonts w:cstheme="minorHAnsi"/>
        </w:rPr>
        <w:t>jobs</w:t>
      </w:r>
      <w:r w:rsidR="004F68F6">
        <w:rPr>
          <w:rFonts w:cstheme="minorHAnsi"/>
        </w:rPr>
        <w:t xml:space="preserve"> and </w:t>
      </w:r>
      <w:r w:rsidR="00E7186E">
        <w:rPr>
          <w:rFonts w:cstheme="minorHAnsi"/>
        </w:rPr>
        <w:t xml:space="preserve">employees rights and </w:t>
      </w:r>
      <w:r w:rsidR="004F68F6">
        <w:rPr>
          <w:rFonts w:cstheme="minorHAnsi"/>
        </w:rPr>
        <w:t>conditions.</w:t>
      </w:r>
      <w:r w:rsidR="008476F0">
        <w:rPr>
          <w:rFonts w:cstheme="minorHAnsi"/>
        </w:rPr>
        <w:t xml:space="preserve"> </w:t>
      </w:r>
      <w:r w:rsidR="004F68F6">
        <w:rPr>
          <w:rFonts w:cstheme="minorHAnsi"/>
        </w:rPr>
        <w:t xml:space="preserve"> </w:t>
      </w:r>
      <w:r w:rsidR="008476F0">
        <w:rPr>
          <w:rFonts w:cstheme="minorHAnsi"/>
        </w:rPr>
        <w:t>A view of productivity that focuses on driving down staffing levels and cutting conditions obscures a lack of investment in genuine sources of productivity</w:t>
      </w:r>
      <w:r w:rsidR="00AC79E4">
        <w:rPr>
          <w:rFonts w:cstheme="minorHAnsi"/>
        </w:rPr>
        <w:t>. The real drivers of improved productivity</w:t>
      </w:r>
      <w:r w:rsidR="008476F0">
        <w:rPr>
          <w:rFonts w:cstheme="minorHAnsi"/>
        </w:rPr>
        <w:t xml:space="preserve"> includ</w:t>
      </w:r>
      <w:r w:rsidR="00AC79E4">
        <w:rPr>
          <w:rFonts w:cstheme="minorHAnsi"/>
        </w:rPr>
        <w:t>e</w:t>
      </w:r>
      <w:r w:rsidR="008476F0">
        <w:rPr>
          <w:rFonts w:cstheme="minorHAnsi"/>
        </w:rPr>
        <w:t xml:space="preserve"> investment in the skills and experience of personnel, improving decision-making in management and improving supervisory skills, strengthening accountability, </w:t>
      </w:r>
      <w:r w:rsidR="00E7186E">
        <w:rPr>
          <w:rFonts w:cstheme="minorHAnsi"/>
        </w:rPr>
        <w:t xml:space="preserve">better systems </w:t>
      </w:r>
      <w:r w:rsidR="008476F0">
        <w:rPr>
          <w:rFonts w:cstheme="minorHAnsi"/>
        </w:rPr>
        <w:t>and focusing on innovation and service improvements</w:t>
      </w:r>
      <w:r w:rsidR="00AC79E4">
        <w:rPr>
          <w:rFonts w:cstheme="minorHAnsi"/>
        </w:rPr>
        <w:t>.</w:t>
      </w:r>
      <w:r w:rsidR="008476F0">
        <w:rPr>
          <w:rFonts w:cstheme="minorHAnsi"/>
        </w:rPr>
        <w:t xml:space="preserve">  </w:t>
      </w:r>
    </w:p>
    <w:p w:rsidR="004F68F6" w:rsidRDefault="004F68F6" w:rsidP="00CF2133">
      <w:pPr>
        <w:shd w:val="clear" w:color="auto" w:fill="FFFFFF"/>
        <w:spacing w:after="0"/>
        <w:jc w:val="both"/>
        <w:rPr>
          <w:rFonts w:cstheme="minorHAnsi"/>
        </w:rPr>
      </w:pPr>
    </w:p>
    <w:p w:rsidR="00BF52A2" w:rsidRDefault="00BF52A2" w:rsidP="00B83639">
      <w:pPr>
        <w:shd w:val="clear" w:color="auto" w:fill="FFFFFF"/>
        <w:spacing w:after="0"/>
        <w:jc w:val="both"/>
        <w:rPr>
          <w:rFonts w:cstheme="minorHAnsi"/>
        </w:rPr>
      </w:pPr>
      <w:r>
        <w:rPr>
          <w:rFonts w:cstheme="minorHAnsi"/>
        </w:rPr>
        <w:t xml:space="preserve">However, bargaining in the federal public sector is </w:t>
      </w:r>
      <w:r w:rsidR="006D57B6">
        <w:rPr>
          <w:rFonts w:cstheme="minorHAnsi"/>
        </w:rPr>
        <w:t xml:space="preserve">currently </w:t>
      </w:r>
      <w:r>
        <w:rPr>
          <w:rFonts w:cstheme="minorHAnsi"/>
        </w:rPr>
        <w:t xml:space="preserve">approaching productivity in a very restrictive way. </w:t>
      </w:r>
      <w:r w:rsidRPr="00402B74">
        <w:rPr>
          <w:rFonts w:cstheme="minorHAnsi"/>
        </w:rPr>
        <w:t>The Bargaining Policy limits productivity offsets to productivities found in bargaining</w:t>
      </w:r>
      <w:r w:rsidR="000B3F1E" w:rsidRPr="000B3F1E">
        <w:rPr>
          <w:rStyle w:val="FootnoteReference"/>
          <w:rFonts w:asciiTheme="minorHAnsi" w:hAnsiTheme="minorHAnsi" w:cstheme="minorHAnsi"/>
          <w:vertAlign w:val="superscript"/>
        </w:rPr>
        <w:footnoteReference w:id="37"/>
      </w:r>
      <w:r w:rsidRPr="00402B74">
        <w:rPr>
          <w:rFonts w:cstheme="minorHAnsi"/>
        </w:rPr>
        <w:t xml:space="preserve">, which is </w:t>
      </w:r>
      <w:r w:rsidR="00FB6AB1">
        <w:rPr>
          <w:rFonts w:cstheme="minorHAnsi"/>
        </w:rPr>
        <w:t xml:space="preserve">currently </w:t>
      </w:r>
      <w:r w:rsidRPr="00402B74">
        <w:rPr>
          <w:rFonts w:cstheme="minorHAnsi"/>
        </w:rPr>
        <w:t xml:space="preserve">being interpreted by the APSC </w:t>
      </w:r>
      <w:r w:rsidR="00FB6AB1">
        <w:rPr>
          <w:rFonts w:cstheme="minorHAnsi"/>
        </w:rPr>
        <w:t xml:space="preserve">to require </w:t>
      </w:r>
      <w:r w:rsidRPr="00402B74">
        <w:rPr>
          <w:rFonts w:cstheme="minorHAnsi"/>
        </w:rPr>
        <w:t>conditions reductions</w:t>
      </w:r>
      <w:r w:rsidR="00E7186E">
        <w:rPr>
          <w:rFonts w:cstheme="minorHAnsi"/>
        </w:rPr>
        <w:t xml:space="preserve"> and to exclude genuine productivities, as referenced above</w:t>
      </w:r>
      <w:r w:rsidRPr="00402B74">
        <w:rPr>
          <w:rFonts w:cstheme="minorHAnsi"/>
        </w:rPr>
        <w:t>.</w:t>
      </w:r>
    </w:p>
    <w:p w:rsidR="0029366A" w:rsidRDefault="0029366A" w:rsidP="00B83639">
      <w:pPr>
        <w:shd w:val="clear" w:color="auto" w:fill="FFFFFF"/>
        <w:spacing w:after="0"/>
        <w:jc w:val="both"/>
        <w:rPr>
          <w:rFonts w:cstheme="minorHAnsi"/>
        </w:rPr>
      </w:pPr>
    </w:p>
    <w:p w:rsidR="0029366A" w:rsidRDefault="0029366A" w:rsidP="00B83639">
      <w:pPr>
        <w:shd w:val="clear" w:color="auto" w:fill="FFFFFF"/>
        <w:spacing w:after="0"/>
        <w:jc w:val="both"/>
        <w:rPr>
          <w:rFonts w:cstheme="minorHAnsi"/>
        </w:rPr>
      </w:pPr>
    </w:p>
    <w:p w:rsidR="0029366A" w:rsidRDefault="0029366A" w:rsidP="00B83639">
      <w:pPr>
        <w:shd w:val="clear" w:color="auto" w:fill="FFFFFF"/>
        <w:spacing w:after="0"/>
        <w:jc w:val="both"/>
        <w:rPr>
          <w:rFonts w:cstheme="minorHAnsi"/>
        </w:rPr>
      </w:pPr>
    </w:p>
    <w:p w:rsidR="00BF52A2" w:rsidRDefault="00BF52A2" w:rsidP="00B83639">
      <w:pPr>
        <w:shd w:val="clear" w:color="auto" w:fill="FFFFFF"/>
        <w:spacing w:after="0"/>
        <w:jc w:val="both"/>
        <w:rPr>
          <w:rFonts w:cstheme="minorHAnsi"/>
        </w:rPr>
      </w:pPr>
    </w:p>
    <w:p w:rsidR="00AA607D" w:rsidRDefault="00BF52A2" w:rsidP="00B83639">
      <w:pPr>
        <w:shd w:val="clear" w:color="auto" w:fill="FFFFFF"/>
        <w:spacing w:after="0"/>
        <w:jc w:val="both"/>
        <w:rPr>
          <w:rFonts w:cstheme="minorHAnsi"/>
        </w:rPr>
      </w:pPr>
      <w:r w:rsidRPr="000B3F1E">
        <w:rPr>
          <w:rFonts w:cstheme="minorHAnsi"/>
        </w:rPr>
        <w:lastRenderedPageBreak/>
        <w:t>The typical productivitie</w:t>
      </w:r>
      <w:r w:rsidR="006E0D83">
        <w:rPr>
          <w:rFonts w:cstheme="minorHAnsi"/>
        </w:rPr>
        <w:t xml:space="preserve">s being identified </w:t>
      </w:r>
      <w:r w:rsidR="00483904">
        <w:rPr>
          <w:rFonts w:cstheme="minorHAnsi"/>
        </w:rPr>
        <w:t xml:space="preserve">in Commonwealth bargaining </w:t>
      </w:r>
      <w:r w:rsidR="006E0D83">
        <w:rPr>
          <w:rFonts w:cstheme="minorHAnsi"/>
        </w:rPr>
        <w:t>include</w:t>
      </w:r>
      <w:r w:rsidRPr="000B3F1E">
        <w:rPr>
          <w:rFonts w:cstheme="minorHAnsi"/>
        </w:rPr>
        <w:t>:</w:t>
      </w:r>
      <w:r w:rsidRPr="00402B74">
        <w:rPr>
          <w:rFonts w:cstheme="minorHAnsi"/>
        </w:rPr>
        <w:t xml:space="preserve"> </w:t>
      </w:r>
    </w:p>
    <w:p w:rsidR="00483904" w:rsidRDefault="00483904" w:rsidP="00B83639">
      <w:pPr>
        <w:shd w:val="clear" w:color="auto" w:fill="FFFFFF"/>
        <w:spacing w:after="0"/>
        <w:jc w:val="both"/>
        <w:rPr>
          <w:rFonts w:cstheme="minorHAnsi"/>
        </w:rPr>
      </w:pPr>
    </w:p>
    <w:p w:rsidR="004B1452" w:rsidRPr="00AA607D" w:rsidRDefault="00483904" w:rsidP="00B83639">
      <w:pPr>
        <w:pStyle w:val="ListParagraph"/>
        <w:numPr>
          <w:ilvl w:val="0"/>
          <w:numId w:val="16"/>
        </w:numPr>
        <w:shd w:val="clear" w:color="auto" w:fill="FFFFFF"/>
        <w:spacing w:after="0"/>
        <w:jc w:val="both"/>
        <w:rPr>
          <w:rFonts w:cstheme="minorHAnsi"/>
        </w:rPr>
      </w:pPr>
      <w:r>
        <w:rPr>
          <w:rFonts w:cstheme="minorHAnsi"/>
        </w:rPr>
        <w:t>S</w:t>
      </w:r>
      <w:r w:rsidR="00BF52A2" w:rsidRPr="00AA607D">
        <w:rPr>
          <w:rFonts w:cstheme="minorHAnsi"/>
        </w:rPr>
        <w:t>taff reduc</w:t>
      </w:r>
      <w:r w:rsidR="004B1452" w:rsidRPr="00AA607D">
        <w:rPr>
          <w:rFonts w:cstheme="minorHAnsi"/>
        </w:rPr>
        <w:t>tions</w:t>
      </w:r>
      <w:r w:rsidR="002B4030">
        <w:rPr>
          <w:rFonts w:cstheme="minorHAnsi"/>
        </w:rPr>
        <w:t>;</w:t>
      </w:r>
    </w:p>
    <w:p w:rsidR="00BF52A2" w:rsidRDefault="00483904" w:rsidP="00B83639">
      <w:pPr>
        <w:pStyle w:val="ListParagraph"/>
        <w:numPr>
          <w:ilvl w:val="0"/>
          <w:numId w:val="16"/>
        </w:numPr>
        <w:shd w:val="clear" w:color="auto" w:fill="FFFFFF"/>
        <w:spacing w:after="0"/>
        <w:jc w:val="both"/>
        <w:rPr>
          <w:rFonts w:cstheme="minorHAnsi"/>
        </w:rPr>
      </w:pPr>
      <w:r>
        <w:rPr>
          <w:rFonts w:cstheme="minorHAnsi"/>
        </w:rPr>
        <w:t>R</w:t>
      </w:r>
      <w:r w:rsidR="00BF52A2">
        <w:rPr>
          <w:rFonts w:cstheme="minorHAnsi"/>
        </w:rPr>
        <w:t>emoval of allowances</w:t>
      </w:r>
      <w:r w:rsidR="002B4030">
        <w:rPr>
          <w:rFonts w:cstheme="minorHAnsi"/>
        </w:rPr>
        <w:t>;</w:t>
      </w:r>
    </w:p>
    <w:p w:rsidR="00BF52A2" w:rsidRDefault="00483904" w:rsidP="00B83639">
      <w:pPr>
        <w:pStyle w:val="ListParagraph"/>
        <w:numPr>
          <w:ilvl w:val="0"/>
          <w:numId w:val="16"/>
        </w:numPr>
        <w:shd w:val="clear" w:color="auto" w:fill="FFFFFF"/>
        <w:spacing w:after="0"/>
        <w:jc w:val="both"/>
        <w:rPr>
          <w:rFonts w:cstheme="minorHAnsi"/>
        </w:rPr>
      </w:pPr>
      <w:r>
        <w:rPr>
          <w:rFonts w:cstheme="minorHAnsi"/>
        </w:rPr>
        <w:t>R</w:t>
      </w:r>
      <w:r w:rsidR="00BF52A2" w:rsidRPr="00BF52A2">
        <w:rPr>
          <w:rFonts w:cstheme="minorHAnsi"/>
        </w:rPr>
        <w:t>eductions in personal/carers’</w:t>
      </w:r>
      <w:r w:rsidR="00BF52A2">
        <w:rPr>
          <w:rFonts w:cstheme="minorHAnsi"/>
        </w:rPr>
        <w:t xml:space="preserve"> leave</w:t>
      </w:r>
      <w:r w:rsidR="002B4030">
        <w:rPr>
          <w:rFonts w:cstheme="minorHAnsi"/>
        </w:rPr>
        <w:t>;</w:t>
      </w:r>
    </w:p>
    <w:p w:rsidR="00BF52A2" w:rsidRDefault="00483904" w:rsidP="00B83639">
      <w:pPr>
        <w:pStyle w:val="ListParagraph"/>
        <w:numPr>
          <w:ilvl w:val="0"/>
          <w:numId w:val="16"/>
        </w:numPr>
        <w:shd w:val="clear" w:color="auto" w:fill="FFFFFF"/>
        <w:spacing w:after="0"/>
        <w:jc w:val="both"/>
        <w:rPr>
          <w:rFonts w:cstheme="minorHAnsi"/>
        </w:rPr>
      </w:pPr>
      <w:r>
        <w:rPr>
          <w:rFonts w:cstheme="minorHAnsi"/>
        </w:rPr>
        <w:t>I</w:t>
      </w:r>
      <w:r w:rsidR="00A722A6">
        <w:rPr>
          <w:rFonts w:cstheme="minorHAnsi"/>
        </w:rPr>
        <w:t>ncreased</w:t>
      </w:r>
      <w:r w:rsidR="00BF52A2" w:rsidRPr="00BF52A2">
        <w:rPr>
          <w:rFonts w:cstheme="minorHAnsi"/>
        </w:rPr>
        <w:t xml:space="preserve"> working hours</w:t>
      </w:r>
      <w:r w:rsidR="002B4030">
        <w:rPr>
          <w:rFonts w:cstheme="minorHAnsi"/>
        </w:rPr>
        <w:t>; and</w:t>
      </w:r>
    </w:p>
    <w:p w:rsidR="006E0D83" w:rsidRDefault="00483904" w:rsidP="00B83639">
      <w:pPr>
        <w:pStyle w:val="ListParagraph"/>
        <w:numPr>
          <w:ilvl w:val="0"/>
          <w:numId w:val="16"/>
        </w:numPr>
        <w:shd w:val="clear" w:color="auto" w:fill="FFFFFF"/>
        <w:spacing w:after="0"/>
        <w:jc w:val="both"/>
        <w:rPr>
          <w:rFonts w:cstheme="minorHAnsi"/>
        </w:rPr>
      </w:pPr>
      <w:r>
        <w:rPr>
          <w:rFonts w:cstheme="minorHAnsi"/>
        </w:rPr>
        <w:t>S</w:t>
      </w:r>
      <w:r w:rsidR="006E0D83">
        <w:rPr>
          <w:rFonts w:cstheme="minorHAnsi"/>
        </w:rPr>
        <w:t xml:space="preserve">lower incremental advancement </w:t>
      </w:r>
      <w:r w:rsidR="00F27412">
        <w:rPr>
          <w:rFonts w:cstheme="minorHAnsi"/>
        </w:rPr>
        <w:t>as employees gain experience</w:t>
      </w:r>
      <w:r w:rsidR="00D17261">
        <w:rPr>
          <w:rFonts w:cstheme="minorHAnsi"/>
        </w:rPr>
        <w:t xml:space="preserve"> at their classification level</w:t>
      </w:r>
      <w:r w:rsidR="002B4030">
        <w:rPr>
          <w:rFonts w:cstheme="minorHAnsi"/>
        </w:rPr>
        <w:t>.</w:t>
      </w:r>
    </w:p>
    <w:p w:rsidR="00BF52A2" w:rsidRDefault="00BF52A2" w:rsidP="00B83639">
      <w:pPr>
        <w:shd w:val="clear" w:color="auto" w:fill="FFFFFF"/>
        <w:spacing w:after="0"/>
        <w:jc w:val="both"/>
        <w:rPr>
          <w:rFonts w:cstheme="minorHAnsi"/>
        </w:rPr>
      </w:pPr>
    </w:p>
    <w:p w:rsidR="008476F0" w:rsidRDefault="008476F0" w:rsidP="008476F0">
      <w:pPr>
        <w:shd w:val="clear" w:color="auto" w:fill="FFFFFF"/>
        <w:spacing w:after="0"/>
        <w:jc w:val="both"/>
        <w:rPr>
          <w:rFonts w:cstheme="minorHAnsi"/>
        </w:rPr>
      </w:pPr>
      <w:r>
        <w:rPr>
          <w:rFonts w:cstheme="minorHAnsi"/>
        </w:rPr>
        <w:t>The equation of productivity with cuts to staffing and conditions, driven at the agency level in Commonwealth bargaining, misses an opportunity to drive real change that delivers improvements in program and service delivery in the APS. There are no forums for the Government to centrally discuss and agree changes to workplace practices</w:t>
      </w:r>
      <w:r w:rsidR="0044545B">
        <w:rPr>
          <w:rFonts w:cstheme="minorHAnsi"/>
        </w:rPr>
        <w:t xml:space="preserve"> </w:t>
      </w:r>
      <w:r w:rsidR="00EA4A00">
        <w:rPr>
          <w:rFonts w:cstheme="minorHAnsi"/>
        </w:rPr>
        <w:t>with employees able to be represented and bargain such matters</w:t>
      </w:r>
      <w:r>
        <w:rPr>
          <w:rFonts w:cstheme="minorHAnsi"/>
        </w:rPr>
        <w:t>, and to then drive that change across the sector. If any such changes are formulated at the APS</w:t>
      </w:r>
      <w:r w:rsidR="0044545B">
        <w:rPr>
          <w:rFonts w:cstheme="minorHAnsi"/>
        </w:rPr>
        <w:t xml:space="preserve"> </w:t>
      </w:r>
      <w:r>
        <w:rPr>
          <w:rFonts w:cstheme="minorHAnsi"/>
        </w:rPr>
        <w:t xml:space="preserve">level, the strict interpretation of the Bargaining Policy by the APSC precludes APS employees from </w:t>
      </w:r>
      <w:r w:rsidR="0044545B">
        <w:rPr>
          <w:rFonts w:cstheme="minorHAnsi"/>
        </w:rPr>
        <w:t xml:space="preserve">receiving any </w:t>
      </w:r>
      <w:r>
        <w:rPr>
          <w:rFonts w:cstheme="minorHAnsi"/>
        </w:rPr>
        <w:t xml:space="preserve">recognition for their contribution to the change.  </w:t>
      </w:r>
    </w:p>
    <w:p w:rsidR="008476F0" w:rsidRDefault="008476F0" w:rsidP="00B83639">
      <w:pPr>
        <w:shd w:val="clear" w:color="auto" w:fill="FFFFFF"/>
        <w:spacing w:after="0"/>
        <w:jc w:val="both"/>
        <w:rPr>
          <w:rFonts w:cstheme="minorHAnsi"/>
        </w:rPr>
      </w:pPr>
    </w:p>
    <w:p w:rsidR="00F82B9D" w:rsidRDefault="00F82B9D" w:rsidP="00B83639">
      <w:pPr>
        <w:shd w:val="clear" w:color="auto" w:fill="FFFFFF"/>
        <w:spacing w:after="0"/>
        <w:jc w:val="both"/>
        <w:rPr>
          <w:rFonts w:cstheme="minorHAnsi"/>
        </w:rPr>
      </w:pPr>
      <w:r>
        <w:rPr>
          <w:rFonts w:cstheme="minorHAnsi"/>
        </w:rPr>
        <w:t>Regrettably, the</w:t>
      </w:r>
      <w:r w:rsidR="00A722A6">
        <w:rPr>
          <w:rFonts w:cstheme="minorHAnsi"/>
        </w:rPr>
        <w:t xml:space="preserve"> APSC is currently interpreting the</w:t>
      </w:r>
      <w:r>
        <w:rPr>
          <w:rFonts w:cstheme="minorHAnsi"/>
        </w:rPr>
        <w:t xml:space="preserve"> Bargaining Policy </w:t>
      </w:r>
      <w:r w:rsidR="00A722A6">
        <w:rPr>
          <w:rFonts w:cstheme="minorHAnsi"/>
        </w:rPr>
        <w:t xml:space="preserve">in such a way that </w:t>
      </w:r>
      <w:r>
        <w:rPr>
          <w:rFonts w:cstheme="minorHAnsi"/>
        </w:rPr>
        <w:t xml:space="preserve">restricts agencies from counting </w:t>
      </w:r>
      <w:r w:rsidR="00EA4A00">
        <w:rPr>
          <w:rFonts w:cstheme="minorHAnsi"/>
        </w:rPr>
        <w:t xml:space="preserve">various </w:t>
      </w:r>
      <w:r>
        <w:rPr>
          <w:rFonts w:cstheme="minorHAnsi"/>
        </w:rPr>
        <w:t xml:space="preserve">measures </w:t>
      </w:r>
      <w:r w:rsidR="00EA4A00">
        <w:rPr>
          <w:rFonts w:cstheme="minorHAnsi"/>
        </w:rPr>
        <w:t>excluded from</w:t>
      </w:r>
      <w:r w:rsidR="006801A0">
        <w:rPr>
          <w:rFonts w:cstheme="minorHAnsi"/>
        </w:rPr>
        <w:t xml:space="preserve"> bargaining</w:t>
      </w:r>
      <w:r w:rsidR="00615CB4">
        <w:rPr>
          <w:rFonts w:cstheme="minorHAnsi"/>
        </w:rPr>
        <w:t>,</w:t>
      </w:r>
      <w:r w:rsidR="006801A0">
        <w:rPr>
          <w:rFonts w:cstheme="minorHAnsi"/>
        </w:rPr>
        <w:t xml:space="preserve"> </w:t>
      </w:r>
      <w:r w:rsidR="00EA4A00">
        <w:rPr>
          <w:rFonts w:cstheme="minorHAnsi"/>
        </w:rPr>
        <w:t>including</w:t>
      </w:r>
      <w:r w:rsidR="006801A0">
        <w:rPr>
          <w:rFonts w:cstheme="minorHAnsi"/>
        </w:rPr>
        <w:t xml:space="preserve"> the efficiencies and improvements derived from the agency-level and broader government initiatives that employees contribute to every day.</w:t>
      </w:r>
      <w:r>
        <w:rPr>
          <w:rFonts w:cstheme="minorHAnsi"/>
        </w:rPr>
        <w:t xml:space="preserve"> </w:t>
      </w:r>
    </w:p>
    <w:p w:rsidR="00F82B9D" w:rsidRDefault="00F82B9D" w:rsidP="00B83639">
      <w:pPr>
        <w:shd w:val="clear" w:color="auto" w:fill="FFFFFF"/>
        <w:spacing w:after="0"/>
        <w:jc w:val="both"/>
        <w:rPr>
          <w:rFonts w:cstheme="minorHAnsi"/>
        </w:rPr>
      </w:pPr>
    </w:p>
    <w:p w:rsidR="00F82B9D" w:rsidRDefault="00FD7D44" w:rsidP="00B83639">
      <w:pPr>
        <w:spacing w:after="0"/>
        <w:jc w:val="both"/>
        <w:rPr>
          <w:lang w:val="en-US"/>
        </w:rPr>
      </w:pPr>
      <w:r>
        <w:rPr>
          <w:lang w:val="en-US"/>
        </w:rPr>
        <w:t>Measures that agencies are currently not</w:t>
      </w:r>
      <w:r w:rsidR="00FC6FFF">
        <w:rPr>
          <w:lang w:val="en-US"/>
        </w:rPr>
        <w:t xml:space="preserve"> permitted to </w:t>
      </w:r>
      <w:r>
        <w:rPr>
          <w:lang w:val="en-US"/>
        </w:rPr>
        <w:t>include</w:t>
      </w:r>
      <w:r w:rsidR="000B395A">
        <w:rPr>
          <w:lang w:val="en-US"/>
        </w:rPr>
        <w:t xml:space="preserve"> as </w:t>
      </w:r>
      <w:r w:rsidR="00F82B9D" w:rsidRPr="004B1452">
        <w:rPr>
          <w:lang w:val="en-US"/>
        </w:rPr>
        <w:t>productivi</w:t>
      </w:r>
      <w:r w:rsidR="008A1C5A">
        <w:rPr>
          <w:lang w:val="en-US"/>
        </w:rPr>
        <w:t>ty offset</w:t>
      </w:r>
      <w:r w:rsidR="000B395A">
        <w:rPr>
          <w:lang w:val="en-US"/>
        </w:rPr>
        <w:t>s</w:t>
      </w:r>
      <w:r w:rsidR="00F82B9D" w:rsidRPr="004B1452">
        <w:rPr>
          <w:lang w:val="en-US"/>
        </w:rPr>
        <w:t xml:space="preserve"> in bargaining</w:t>
      </w:r>
      <w:r w:rsidR="00FA667F">
        <w:rPr>
          <w:lang w:val="en-US"/>
        </w:rPr>
        <w:t xml:space="preserve"> include</w:t>
      </w:r>
      <w:r w:rsidR="00F82B9D" w:rsidRPr="004B1452">
        <w:rPr>
          <w:lang w:val="en-US"/>
        </w:rPr>
        <w:t>:</w:t>
      </w:r>
    </w:p>
    <w:p w:rsidR="00561AFB" w:rsidRPr="004B1452" w:rsidRDefault="00561AFB" w:rsidP="00B83639">
      <w:pPr>
        <w:spacing w:after="0"/>
        <w:jc w:val="both"/>
        <w:rPr>
          <w:lang w:val="en-US"/>
        </w:rPr>
      </w:pPr>
    </w:p>
    <w:p w:rsidR="00F82B9D" w:rsidRPr="00BF52A2" w:rsidRDefault="00F82B9D" w:rsidP="00B83639">
      <w:pPr>
        <w:pStyle w:val="ListParagraph"/>
        <w:numPr>
          <w:ilvl w:val="0"/>
          <w:numId w:val="16"/>
        </w:numPr>
        <w:spacing w:after="0"/>
        <w:jc w:val="both"/>
        <w:rPr>
          <w:u w:val="single"/>
          <w:lang w:val="en-US"/>
        </w:rPr>
      </w:pPr>
      <w:r w:rsidRPr="00402B74">
        <w:rPr>
          <w:lang w:val="en-US"/>
        </w:rPr>
        <w:t>Efficie</w:t>
      </w:r>
      <w:r w:rsidR="00FE5A44">
        <w:rPr>
          <w:lang w:val="en-US"/>
        </w:rPr>
        <w:t>ncies from better workflows, for example,</w:t>
      </w:r>
      <w:r w:rsidRPr="00402B74">
        <w:rPr>
          <w:lang w:val="en-US"/>
        </w:rPr>
        <w:t xml:space="preserve"> through restructures, use of new IT systems, reform of service delivery</w:t>
      </w:r>
      <w:r w:rsidR="002B4030">
        <w:rPr>
          <w:lang w:val="en-US"/>
        </w:rPr>
        <w:t>;</w:t>
      </w:r>
      <w:r w:rsidRPr="00402B74">
        <w:rPr>
          <w:lang w:val="en-US"/>
        </w:rPr>
        <w:t xml:space="preserve"> </w:t>
      </w:r>
    </w:p>
    <w:p w:rsidR="00F82B9D" w:rsidRPr="00402B74" w:rsidRDefault="00F82B9D" w:rsidP="00B83639">
      <w:pPr>
        <w:pStyle w:val="ListParagraph"/>
        <w:numPr>
          <w:ilvl w:val="0"/>
          <w:numId w:val="16"/>
        </w:numPr>
        <w:spacing w:after="0"/>
        <w:jc w:val="both"/>
        <w:rPr>
          <w:u w:val="single"/>
          <w:lang w:val="en-US"/>
        </w:rPr>
      </w:pPr>
      <w:r w:rsidRPr="00402B74">
        <w:rPr>
          <w:lang w:val="en-US"/>
        </w:rPr>
        <w:t>Savings made from agencies merging</w:t>
      </w:r>
      <w:r w:rsidR="002B4030">
        <w:rPr>
          <w:lang w:val="en-US"/>
        </w:rPr>
        <w:t>;</w:t>
      </w:r>
    </w:p>
    <w:p w:rsidR="00F82B9D" w:rsidRPr="00402B74" w:rsidRDefault="00F82B9D" w:rsidP="00B83639">
      <w:pPr>
        <w:pStyle w:val="ListParagraph"/>
        <w:numPr>
          <w:ilvl w:val="0"/>
          <w:numId w:val="16"/>
        </w:numPr>
        <w:spacing w:after="0"/>
        <w:jc w:val="both"/>
        <w:rPr>
          <w:u w:val="single"/>
          <w:lang w:val="en-US"/>
        </w:rPr>
      </w:pPr>
      <w:r w:rsidRPr="00402B74">
        <w:rPr>
          <w:lang w:val="en-US"/>
        </w:rPr>
        <w:t>Qualitative improvements to service delivery or policy advice, whether stemming from whole of government reviews or agency</w:t>
      </w:r>
      <w:r w:rsidR="000B395A">
        <w:rPr>
          <w:lang w:val="en-US"/>
        </w:rPr>
        <w:t>-level initiatives</w:t>
      </w:r>
      <w:r w:rsidR="002B4030">
        <w:rPr>
          <w:lang w:val="en-US"/>
        </w:rPr>
        <w:t>; and</w:t>
      </w:r>
    </w:p>
    <w:p w:rsidR="00F82B9D" w:rsidRPr="00402B74" w:rsidRDefault="00F82B9D" w:rsidP="00B83639">
      <w:pPr>
        <w:pStyle w:val="ListParagraph"/>
        <w:numPr>
          <w:ilvl w:val="0"/>
          <w:numId w:val="16"/>
        </w:numPr>
        <w:spacing w:after="0"/>
        <w:jc w:val="both"/>
        <w:rPr>
          <w:u w:val="single"/>
          <w:lang w:val="en-US"/>
        </w:rPr>
      </w:pPr>
      <w:r w:rsidRPr="00402B74">
        <w:rPr>
          <w:lang w:val="en-US"/>
        </w:rPr>
        <w:t>Better outcomes against key performance indicators</w:t>
      </w:r>
      <w:r w:rsidR="002B4030">
        <w:rPr>
          <w:lang w:val="en-US"/>
        </w:rPr>
        <w:t>.</w:t>
      </w:r>
    </w:p>
    <w:p w:rsidR="00F82B9D" w:rsidRDefault="00F82B9D" w:rsidP="00B83639">
      <w:pPr>
        <w:shd w:val="clear" w:color="auto" w:fill="FFFFFF"/>
        <w:spacing w:after="0"/>
        <w:jc w:val="both"/>
        <w:rPr>
          <w:rFonts w:cstheme="minorHAnsi"/>
        </w:rPr>
      </w:pPr>
    </w:p>
    <w:p w:rsidR="009C2D94" w:rsidRDefault="00F82B9D" w:rsidP="009C2D94">
      <w:pPr>
        <w:shd w:val="clear" w:color="auto" w:fill="FFFFFF"/>
        <w:spacing w:after="0"/>
        <w:jc w:val="both"/>
        <w:rPr>
          <w:rFonts w:cstheme="minorHAnsi"/>
        </w:rPr>
      </w:pPr>
      <w:r>
        <w:rPr>
          <w:rFonts w:cstheme="minorHAnsi"/>
        </w:rPr>
        <w:t>None of the</w:t>
      </w:r>
      <w:r w:rsidR="00BF52A2" w:rsidRPr="00BF52A2">
        <w:rPr>
          <w:rFonts w:cstheme="minorHAnsi"/>
        </w:rPr>
        <w:t xml:space="preserve"> </w:t>
      </w:r>
      <w:r>
        <w:rPr>
          <w:rFonts w:cstheme="minorHAnsi"/>
        </w:rPr>
        <w:t xml:space="preserve">conditions </w:t>
      </w:r>
      <w:r w:rsidR="00BF52A2" w:rsidRPr="00BF52A2">
        <w:rPr>
          <w:rFonts w:cstheme="minorHAnsi"/>
        </w:rPr>
        <w:t>reductions</w:t>
      </w:r>
      <w:r>
        <w:rPr>
          <w:rFonts w:cstheme="minorHAnsi"/>
        </w:rPr>
        <w:t xml:space="preserve"> </w:t>
      </w:r>
      <w:r w:rsidR="009E0F6C">
        <w:rPr>
          <w:rFonts w:cstheme="minorHAnsi"/>
        </w:rPr>
        <w:t xml:space="preserve">that are permitted by the APSC to be included as </w:t>
      </w:r>
      <w:r>
        <w:rPr>
          <w:rFonts w:cstheme="minorHAnsi"/>
        </w:rPr>
        <w:t xml:space="preserve">productivity offsets </w:t>
      </w:r>
      <w:r w:rsidR="0074322E">
        <w:rPr>
          <w:rFonts w:cstheme="minorHAnsi"/>
        </w:rPr>
        <w:t>actually</w:t>
      </w:r>
      <w:r w:rsidR="00C603C9">
        <w:rPr>
          <w:rFonts w:cstheme="minorHAnsi"/>
        </w:rPr>
        <w:t xml:space="preserve"> </w:t>
      </w:r>
      <w:r w:rsidR="00BF52A2" w:rsidRPr="00BF52A2">
        <w:rPr>
          <w:rFonts w:cstheme="minorHAnsi"/>
        </w:rPr>
        <w:t xml:space="preserve">drive </w:t>
      </w:r>
      <w:r w:rsidR="00BF52A2" w:rsidRPr="00FF01D0">
        <w:rPr>
          <w:rFonts w:cstheme="minorHAnsi"/>
        </w:rPr>
        <w:t xml:space="preserve">increased productivity. </w:t>
      </w:r>
      <w:r w:rsidR="009E0F6C" w:rsidRPr="00FF01D0">
        <w:rPr>
          <w:rFonts w:cstheme="minorHAnsi"/>
        </w:rPr>
        <w:t xml:space="preserve">Instead, the approach agencies must take in bargaining </w:t>
      </w:r>
      <w:r w:rsidR="00BF52A2" w:rsidRPr="00FF01D0">
        <w:rPr>
          <w:rFonts w:cstheme="minorHAnsi"/>
        </w:rPr>
        <w:t>d</w:t>
      </w:r>
      <w:r w:rsidR="009E0F6C" w:rsidRPr="00FF01D0">
        <w:rPr>
          <w:rFonts w:cstheme="minorHAnsi"/>
        </w:rPr>
        <w:t>rive</w:t>
      </w:r>
      <w:r w:rsidR="00616DC4" w:rsidRPr="00FF01D0">
        <w:rPr>
          <w:rFonts w:cstheme="minorHAnsi"/>
        </w:rPr>
        <w:t>s further</w:t>
      </w:r>
      <w:r w:rsidR="00BF52A2" w:rsidRPr="00FF01D0">
        <w:rPr>
          <w:rFonts w:cstheme="minorHAnsi"/>
        </w:rPr>
        <w:t xml:space="preserve"> job cuts</w:t>
      </w:r>
      <w:r w:rsidR="00A8701C" w:rsidRPr="00FF01D0">
        <w:rPr>
          <w:rFonts w:cstheme="minorHAnsi"/>
        </w:rPr>
        <w:t xml:space="preserve"> </w:t>
      </w:r>
      <w:r w:rsidR="00BF52A2" w:rsidRPr="00FF01D0">
        <w:rPr>
          <w:rFonts w:cstheme="minorHAnsi"/>
        </w:rPr>
        <w:t xml:space="preserve">on top of </w:t>
      </w:r>
      <w:r w:rsidR="00ED320C">
        <w:rPr>
          <w:rFonts w:cstheme="minorHAnsi"/>
        </w:rPr>
        <w:t xml:space="preserve">the Government’s planned </w:t>
      </w:r>
      <w:r w:rsidR="00A8701C" w:rsidRPr="008A7EAD">
        <w:rPr>
          <w:rFonts w:cstheme="minorHAnsi"/>
          <w:lang w:eastAsia="en-AU"/>
        </w:rPr>
        <w:t>16,500 job</w:t>
      </w:r>
      <w:r w:rsidR="00BF52A2" w:rsidRPr="00FF01D0">
        <w:rPr>
          <w:rFonts w:cstheme="minorHAnsi"/>
        </w:rPr>
        <w:t xml:space="preserve"> </w:t>
      </w:r>
      <w:r w:rsidR="00ED320C">
        <w:rPr>
          <w:rFonts w:cstheme="minorHAnsi"/>
        </w:rPr>
        <w:t>cuts</w:t>
      </w:r>
      <w:r w:rsidR="00ED320C" w:rsidRPr="00402EE0">
        <w:rPr>
          <w:rFonts w:cstheme="minorHAnsi"/>
        </w:rPr>
        <w:t xml:space="preserve"> </w:t>
      </w:r>
      <w:r w:rsidR="00A8701C" w:rsidRPr="00402EE0">
        <w:rPr>
          <w:rFonts w:cstheme="minorHAnsi"/>
        </w:rPr>
        <w:t>over two years</w:t>
      </w:r>
      <w:r w:rsidR="007A5275" w:rsidRPr="007A5275">
        <w:rPr>
          <w:rStyle w:val="FootnoteReference"/>
          <w:rFonts w:asciiTheme="minorHAnsi" w:hAnsiTheme="minorHAnsi" w:cstheme="minorHAnsi"/>
          <w:szCs w:val="20"/>
        </w:rPr>
        <w:footnoteReference w:id="38"/>
      </w:r>
      <w:r w:rsidR="00A8701C" w:rsidRPr="00402EE0">
        <w:rPr>
          <w:rFonts w:cstheme="minorHAnsi"/>
        </w:rPr>
        <w:t>,</w:t>
      </w:r>
      <w:r w:rsidR="00BF52A2" w:rsidRPr="00FF01D0">
        <w:rPr>
          <w:rFonts w:cstheme="minorHAnsi"/>
        </w:rPr>
        <w:t xml:space="preserve"> </w:t>
      </w:r>
      <w:r w:rsidR="004A2AD1">
        <w:rPr>
          <w:rFonts w:cstheme="minorHAnsi"/>
        </w:rPr>
        <w:t xml:space="preserve">puts pressure on </w:t>
      </w:r>
      <w:r w:rsidR="00BF52A2" w:rsidRPr="00FF01D0">
        <w:rPr>
          <w:rFonts w:cstheme="minorHAnsi"/>
        </w:rPr>
        <w:t>service</w:t>
      </w:r>
      <w:r w:rsidR="00BF52A2" w:rsidRPr="00402EE0">
        <w:rPr>
          <w:rFonts w:cstheme="minorHAnsi"/>
        </w:rPr>
        <w:t xml:space="preserve"> standards, and </w:t>
      </w:r>
      <w:r w:rsidR="004A2AD1">
        <w:rPr>
          <w:rFonts w:cstheme="minorHAnsi"/>
        </w:rPr>
        <w:t xml:space="preserve">forces agencies to seek to cut employee conditions. </w:t>
      </w:r>
      <w:r w:rsidR="009C2D94">
        <w:rPr>
          <w:rFonts w:cstheme="minorHAnsi"/>
        </w:rPr>
        <w:t xml:space="preserve">This approach </w:t>
      </w:r>
      <w:r w:rsidR="00A06DDA">
        <w:rPr>
          <w:rFonts w:cstheme="minorHAnsi"/>
        </w:rPr>
        <w:t>undermines morale and</w:t>
      </w:r>
      <w:r w:rsidR="009C2D94">
        <w:rPr>
          <w:rFonts w:cstheme="minorHAnsi"/>
        </w:rPr>
        <w:t xml:space="preserve"> stands to threaten</w:t>
      </w:r>
      <w:r w:rsidR="009C2D94" w:rsidRPr="00BF52A2">
        <w:rPr>
          <w:rFonts w:cstheme="minorHAnsi"/>
        </w:rPr>
        <w:t xml:space="preserve"> the ability of the APS to attract and retain quality staff</w:t>
      </w:r>
      <w:r w:rsidR="009C2D94">
        <w:rPr>
          <w:rFonts w:cstheme="minorHAnsi"/>
        </w:rPr>
        <w:t xml:space="preserve"> and to continue to meet the needs of the Australian community</w:t>
      </w:r>
      <w:r w:rsidR="00561AFB">
        <w:rPr>
          <w:rFonts w:cstheme="minorHAnsi"/>
        </w:rPr>
        <w:t xml:space="preserve"> into the future</w:t>
      </w:r>
      <w:r w:rsidR="009C2D94" w:rsidRPr="00BF52A2">
        <w:rPr>
          <w:rFonts w:cstheme="minorHAnsi"/>
        </w:rPr>
        <w:t xml:space="preserve">. </w:t>
      </w:r>
    </w:p>
    <w:p w:rsidR="00B83F03" w:rsidRDefault="00B83F03" w:rsidP="00B83639">
      <w:pPr>
        <w:shd w:val="clear" w:color="auto" w:fill="FFFFFF"/>
        <w:spacing w:after="0"/>
        <w:jc w:val="both"/>
        <w:rPr>
          <w:rFonts w:cstheme="minorHAnsi"/>
        </w:rPr>
      </w:pPr>
    </w:p>
    <w:p w:rsidR="00BE6B8D" w:rsidRDefault="00BE6B8D" w:rsidP="00BE6B8D">
      <w:pPr>
        <w:shd w:val="clear" w:color="auto" w:fill="FFFFFF"/>
        <w:spacing w:after="0"/>
        <w:jc w:val="both"/>
        <w:rPr>
          <w:rFonts w:cstheme="minorHAnsi"/>
        </w:rPr>
      </w:pPr>
      <w:r w:rsidRPr="00402B74">
        <w:rPr>
          <w:rFonts w:cstheme="minorHAnsi"/>
          <w:color w:val="000000" w:themeColor="text1"/>
          <w:lang w:val="en-US"/>
        </w:rPr>
        <w:t xml:space="preserve">Any analysis of public sector productivity should start with an acknowledgement that our public services are efficient and that as a country we have a high standard of public services. </w:t>
      </w:r>
      <w:r w:rsidRPr="00402B74">
        <w:rPr>
          <w:rFonts w:cstheme="minorHAnsi"/>
        </w:rPr>
        <w:t xml:space="preserve">In comparison to other OECD countries, Australia not only has low rates of taxation, but highly effective provision </w:t>
      </w:r>
      <w:r w:rsidRPr="00402B74">
        <w:rPr>
          <w:rFonts w:cstheme="minorHAnsi"/>
        </w:rPr>
        <w:lastRenderedPageBreak/>
        <w:t>of government services</w:t>
      </w:r>
      <w:r w:rsidRPr="00DE2A92">
        <w:rPr>
          <w:rStyle w:val="FootnoteReference"/>
          <w:rFonts w:asciiTheme="minorHAnsi" w:hAnsiTheme="minorHAnsi" w:cstheme="minorHAnsi"/>
          <w:vertAlign w:val="superscript"/>
        </w:rPr>
        <w:footnoteReference w:id="39"/>
      </w:r>
      <w:r w:rsidRPr="00402B74">
        <w:rPr>
          <w:rFonts w:cstheme="minorHAnsi"/>
        </w:rPr>
        <w:t>.</w:t>
      </w:r>
      <w:r w:rsidRPr="00402B74">
        <w:rPr>
          <w:rFonts w:cstheme="minorHAnsi"/>
          <w:color w:val="000000" w:themeColor="text1"/>
          <w:lang w:val="en-US"/>
        </w:rPr>
        <w:t xml:space="preserve"> </w:t>
      </w:r>
      <w:r w:rsidRPr="00402B74">
        <w:rPr>
          <w:rFonts w:cstheme="minorHAnsi"/>
        </w:rPr>
        <w:t>In 2012, Australia was ranked in the 94</w:t>
      </w:r>
      <w:r w:rsidRPr="00402B74">
        <w:rPr>
          <w:rFonts w:cstheme="minorHAnsi"/>
          <w:vertAlign w:val="superscript"/>
        </w:rPr>
        <w:t>th</w:t>
      </w:r>
      <w:r w:rsidRPr="00402B74">
        <w:rPr>
          <w:rFonts w:cstheme="minorHAnsi"/>
        </w:rPr>
        <w:t xml:space="preserve"> percentile for government effectiveness and </w:t>
      </w:r>
      <w:r>
        <w:rPr>
          <w:rFonts w:cstheme="minorHAnsi"/>
        </w:rPr>
        <w:t xml:space="preserve">the </w:t>
      </w:r>
      <w:r w:rsidRPr="00402B74">
        <w:rPr>
          <w:rFonts w:cstheme="minorHAnsi"/>
        </w:rPr>
        <w:t>97</w:t>
      </w:r>
      <w:r w:rsidRPr="00402B74">
        <w:rPr>
          <w:rFonts w:cstheme="minorHAnsi"/>
          <w:vertAlign w:val="superscript"/>
        </w:rPr>
        <w:t>th</w:t>
      </w:r>
      <w:r w:rsidRPr="00402B74">
        <w:rPr>
          <w:rFonts w:cstheme="minorHAnsi"/>
        </w:rPr>
        <w:t xml:space="preserve"> </w:t>
      </w:r>
      <w:r>
        <w:rPr>
          <w:rFonts w:cstheme="minorHAnsi"/>
        </w:rPr>
        <w:t xml:space="preserve">percentile </w:t>
      </w:r>
      <w:r w:rsidRPr="00402B74">
        <w:rPr>
          <w:rFonts w:cstheme="minorHAnsi"/>
        </w:rPr>
        <w:t>for regulatory quality by the World Bank</w:t>
      </w:r>
      <w:r w:rsidRPr="00DE2A92">
        <w:rPr>
          <w:rStyle w:val="FootnoteReference"/>
          <w:rFonts w:asciiTheme="minorHAnsi" w:hAnsiTheme="minorHAnsi" w:cstheme="minorHAnsi"/>
          <w:vertAlign w:val="superscript"/>
        </w:rPr>
        <w:footnoteReference w:id="40"/>
      </w:r>
      <w:r w:rsidRPr="00402B74">
        <w:rPr>
          <w:rFonts w:cstheme="minorHAnsi"/>
        </w:rPr>
        <w:t>.</w:t>
      </w:r>
    </w:p>
    <w:p w:rsidR="00BE6B8D" w:rsidRPr="00402B74" w:rsidRDefault="00BE6B8D" w:rsidP="00BE6B8D">
      <w:pPr>
        <w:shd w:val="clear" w:color="auto" w:fill="FFFFFF"/>
        <w:spacing w:after="0"/>
        <w:jc w:val="both"/>
        <w:rPr>
          <w:rFonts w:cstheme="minorHAnsi"/>
          <w:color w:val="000000" w:themeColor="text1"/>
          <w:lang w:val="en-US"/>
        </w:rPr>
      </w:pPr>
    </w:p>
    <w:p w:rsidR="00BE6B8D" w:rsidRPr="00402B74" w:rsidRDefault="00BE6B8D" w:rsidP="00BE6B8D">
      <w:pPr>
        <w:spacing w:after="0"/>
        <w:jc w:val="both"/>
        <w:rPr>
          <w:rFonts w:cstheme="minorHAnsi"/>
          <w:lang w:val="en-US"/>
        </w:rPr>
      </w:pPr>
      <w:r w:rsidRPr="00402B74">
        <w:rPr>
          <w:rFonts w:cstheme="minorHAnsi"/>
        </w:rPr>
        <w:t xml:space="preserve">Not only is Australia a low-taxing, low-spending country, a relatively small percentage of </w:t>
      </w:r>
      <w:r>
        <w:rPr>
          <w:rFonts w:cstheme="minorHAnsi"/>
        </w:rPr>
        <w:t xml:space="preserve">spending goes towards </w:t>
      </w:r>
      <w:r w:rsidRPr="00402B74">
        <w:rPr>
          <w:rFonts w:cstheme="minorHAnsi"/>
        </w:rPr>
        <w:t xml:space="preserve">its public sector. </w:t>
      </w:r>
      <w:r w:rsidRPr="00402B74">
        <w:rPr>
          <w:rFonts w:cstheme="minorHAnsi"/>
          <w:lang w:val="en-US"/>
        </w:rPr>
        <w:t>Employment in the general governme</w:t>
      </w:r>
      <w:r>
        <w:rPr>
          <w:rFonts w:cstheme="minorHAnsi"/>
          <w:lang w:val="en-US"/>
        </w:rPr>
        <w:t>nt sector (across all tiers of g</w:t>
      </w:r>
      <w:r w:rsidRPr="00402B74">
        <w:rPr>
          <w:rFonts w:cstheme="minorHAnsi"/>
          <w:lang w:val="en-US"/>
        </w:rPr>
        <w:t>overnment) is at 15.7%</w:t>
      </w:r>
      <w:r>
        <w:rPr>
          <w:rFonts w:cstheme="minorHAnsi"/>
          <w:lang w:val="en-US"/>
        </w:rPr>
        <w:t>,</w:t>
      </w:r>
      <w:r w:rsidRPr="00402B74">
        <w:rPr>
          <w:rFonts w:cstheme="minorHAnsi"/>
          <w:lang w:val="en-US"/>
        </w:rPr>
        <w:t xml:space="preserve"> on par with the OECD average of 15.5%</w:t>
      </w:r>
      <w:r w:rsidRPr="00B22821">
        <w:rPr>
          <w:rStyle w:val="FootnoteReference"/>
          <w:rFonts w:asciiTheme="minorHAnsi" w:hAnsiTheme="minorHAnsi" w:cstheme="minorHAnsi"/>
          <w:vertAlign w:val="superscript"/>
          <w:lang w:val="en-US"/>
        </w:rPr>
        <w:footnoteReference w:id="41"/>
      </w:r>
      <w:r w:rsidRPr="00402B74">
        <w:rPr>
          <w:rFonts w:cstheme="minorHAnsi"/>
          <w:lang w:val="en-US"/>
        </w:rPr>
        <w:t>. Australia also spends less than average on its public services. The OECD average is 13.6% of government expenditure on general public services while Australia spends 12.5%</w:t>
      </w:r>
      <w:r w:rsidRPr="00B22821">
        <w:rPr>
          <w:rStyle w:val="FootnoteReference"/>
          <w:rFonts w:asciiTheme="minorHAnsi" w:hAnsiTheme="minorHAnsi" w:cstheme="minorHAnsi"/>
          <w:vertAlign w:val="superscript"/>
          <w:lang w:val="en-US"/>
        </w:rPr>
        <w:footnoteReference w:id="42"/>
      </w:r>
      <w:r>
        <w:rPr>
          <w:rFonts w:cstheme="minorHAnsi"/>
          <w:lang w:val="en-US"/>
        </w:rPr>
        <w:t>.</w:t>
      </w:r>
      <w:r w:rsidRPr="00402B74">
        <w:rPr>
          <w:rFonts w:cstheme="minorHAnsi"/>
          <w:lang w:val="en-US"/>
        </w:rPr>
        <w:t xml:space="preserve"> Of this, t</w:t>
      </w:r>
      <w:r w:rsidRPr="00402B74">
        <w:rPr>
          <w:rFonts w:cstheme="minorHAnsi"/>
        </w:rPr>
        <w:t xml:space="preserve">he Commonwealth public sector workforce constitutes only </w:t>
      </w:r>
      <w:r>
        <w:rPr>
          <w:rFonts w:cstheme="minorHAnsi"/>
        </w:rPr>
        <w:t>5.8</w:t>
      </w:r>
      <w:r w:rsidRPr="00402B74">
        <w:rPr>
          <w:rFonts w:cstheme="minorHAnsi"/>
        </w:rPr>
        <w:t>% of total Commonwealth Government expenditure</w:t>
      </w:r>
      <w:r w:rsidRPr="00B22821">
        <w:rPr>
          <w:rStyle w:val="FootnoteReference"/>
          <w:rFonts w:asciiTheme="minorHAnsi" w:hAnsiTheme="minorHAnsi" w:cstheme="minorHAnsi"/>
          <w:vertAlign w:val="superscript"/>
        </w:rPr>
        <w:footnoteReference w:id="43"/>
      </w:r>
      <w:r>
        <w:rPr>
          <w:rFonts w:cstheme="minorHAnsi"/>
        </w:rPr>
        <w:t>.</w:t>
      </w:r>
    </w:p>
    <w:p w:rsidR="00BE6B8D" w:rsidRDefault="00BE6B8D" w:rsidP="00BE6B8D">
      <w:pPr>
        <w:shd w:val="clear" w:color="auto" w:fill="FFFFFF"/>
        <w:spacing w:after="0"/>
        <w:jc w:val="both"/>
        <w:rPr>
          <w:rFonts w:cstheme="minorHAnsi"/>
        </w:rPr>
      </w:pPr>
    </w:p>
    <w:p w:rsidR="00BE6B8D" w:rsidRDefault="00BE6B8D" w:rsidP="00BE6B8D">
      <w:pPr>
        <w:shd w:val="clear" w:color="auto" w:fill="FFFFFF"/>
        <w:spacing w:after="0"/>
        <w:jc w:val="both"/>
        <w:rPr>
          <w:lang w:val="en-US"/>
        </w:rPr>
      </w:pPr>
      <w:r w:rsidRPr="00402B74">
        <w:rPr>
          <w:rFonts w:cstheme="minorHAnsi"/>
        </w:rPr>
        <w:t xml:space="preserve">The CPSU agrees that productivity in the public sector can be harder to measure than in some other industries. </w:t>
      </w:r>
      <w:r>
        <w:rPr>
          <w:rFonts w:cstheme="minorHAnsi"/>
        </w:rPr>
        <w:t>There is a strong commitment</w:t>
      </w:r>
      <w:r w:rsidRPr="00402B74">
        <w:rPr>
          <w:rFonts w:cstheme="minorHAnsi"/>
        </w:rPr>
        <w:t xml:space="preserve"> among public</w:t>
      </w:r>
      <w:r>
        <w:rPr>
          <w:rFonts w:cstheme="minorHAnsi"/>
        </w:rPr>
        <w:t xml:space="preserve"> sector workers, however, to delivering</w:t>
      </w:r>
      <w:r w:rsidRPr="00402B74">
        <w:rPr>
          <w:rFonts w:cstheme="minorHAnsi"/>
        </w:rPr>
        <w:t xml:space="preserve"> quality service</w:t>
      </w:r>
      <w:r>
        <w:rPr>
          <w:rFonts w:cstheme="minorHAnsi"/>
        </w:rPr>
        <w:t xml:space="preserve">s to the community. </w:t>
      </w:r>
      <w:r w:rsidRPr="00402B74">
        <w:rPr>
          <w:lang w:val="en-US"/>
        </w:rPr>
        <w:t xml:space="preserve">The APS </w:t>
      </w:r>
      <w:r>
        <w:rPr>
          <w:lang w:val="en-US"/>
        </w:rPr>
        <w:t xml:space="preserve">should and </w:t>
      </w:r>
      <w:r w:rsidRPr="00402B74">
        <w:rPr>
          <w:lang w:val="en-US"/>
        </w:rPr>
        <w:t xml:space="preserve">does change over time to </w:t>
      </w:r>
      <w:r>
        <w:rPr>
          <w:lang w:val="en-US"/>
        </w:rPr>
        <w:t xml:space="preserve">meet the needs of the community and </w:t>
      </w:r>
      <w:r w:rsidRPr="00402B74">
        <w:rPr>
          <w:lang w:val="en-US"/>
        </w:rPr>
        <w:t>APS employees have a good track record</w:t>
      </w:r>
      <w:r>
        <w:rPr>
          <w:lang w:val="en-US"/>
        </w:rPr>
        <w:t xml:space="preserve"> of </w:t>
      </w:r>
      <w:r w:rsidRPr="00402B74">
        <w:rPr>
          <w:lang w:val="en-US"/>
        </w:rPr>
        <w:t>meet</w:t>
      </w:r>
      <w:r>
        <w:rPr>
          <w:lang w:val="en-US"/>
        </w:rPr>
        <w:t>ing</w:t>
      </w:r>
      <w:r w:rsidRPr="00402B74">
        <w:rPr>
          <w:lang w:val="en-US"/>
        </w:rPr>
        <w:t xml:space="preserve"> </w:t>
      </w:r>
      <w:r>
        <w:rPr>
          <w:lang w:val="en-US"/>
        </w:rPr>
        <w:t>th</w:t>
      </w:r>
      <w:r w:rsidR="00696B32">
        <w:rPr>
          <w:lang w:val="en-US"/>
        </w:rPr>
        <w:t>ese</w:t>
      </w:r>
      <w:r>
        <w:rPr>
          <w:lang w:val="en-US"/>
        </w:rPr>
        <w:t xml:space="preserve"> needs and serving the g</w:t>
      </w:r>
      <w:r w:rsidRPr="00402B74">
        <w:rPr>
          <w:lang w:val="en-US"/>
        </w:rPr>
        <w:t>overnment</w:t>
      </w:r>
      <w:r>
        <w:rPr>
          <w:lang w:val="en-US"/>
        </w:rPr>
        <w:t xml:space="preserve"> of the day</w:t>
      </w:r>
      <w:r w:rsidRPr="00402B74">
        <w:rPr>
          <w:lang w:val="en-US"/>
        </w:rPr>
        <w:t>.</w:t>
      </w:r>
      <w:r w:rsidR="00F01057">
        <w:rPr>
          <w:lang w:val="en-US"/>
        </w:rPr>
        <w:t xml:space="preserve"> These contributions </w:t>
      </w:r>
      <w:r w:rsidR="00EA4A00">
        <w:rPr>
          <w:lang w:val="en-US"/>
        </w:rPr>
        <w:t xml:space="preserve">and genuine productivities </w:t>
      </w:r>
      <w:r>
        <w:rPr>
          <w:lang w:val="en-US"/>
        </w:rPr>
        <w:t xml:space="preserve">should be </w:t>
      </w:r>
      <w:proofErr w:type="spellStart"/>
      <w:r>
        <w:rPr>
          <w:lang w:val="en-US"/>
        </w:rPr>
        <w:t>recognised</w:t>
      </w:r>
      <w:proofErr w:type="spellEnd"/>
      <w:r>
        <w:rPr>
          <w:lang w:val="en-US"/>
        </w:rPr>
        <w:t xml:space="preserve"> in bargaining.</w:t>
      </w:r>
    </w:p>
    <w:p w:rsidR="003305D5" w:rsidRDefault="003305D5" w:rsidP="00BE6B8D">
      <w:pPr>
        <w:shd w:val="clear" w:color="auto" w:fill="FFFFFF"/>
        <w:spacing w:after="0"/>
        <w:jc w:val="both"/>
        <w:rPr>
          <w:lang w:val="en-US"/>
        </w:rPr>
      </w:pPr>
    </w:p>
    <w:p w:rsidR="00282DFD" w:rsidRDefault="00282DFD" w:rsidP="00BE6B8D">
      <w:pPr>
        <w:shd w:val="clear" w:color="auto" w:fill="FFFFFF"/>
        <w:spacing w:after="0"/>
        <w:jc w:val="both"/>
        <w:rPr>
          <w:lang w:val="en-US"/>
        </w:rPr>
      </w:pPr>
    </w:p>
    <w:p w:rsidR="00BE6B8D" w:rsidRPr="00B05A31" w:rsidRDefault="00BE6B8D" w:rsidP="00B83639">
      <w:pPr>
        <w:shd w:val="clear" w:color="auto" w:fill="FFFFFF"/>
        <w:spacing w:after="0"/>
        <w:jc w:val="both"/>
        <w:rPr>
          <w:rFonts w:cstheme="minorHAnsi"/>
        </w:rPr>
      </w:pPr>
    </w:p>
    <w:p w:rsidR="008E77F7" w:rsidRPr="009E2F47" w:rsidRDefault="00F44020" w:rsidP="00B83639">
      <w:pPr>
        <w:spacing w:after="0"/>
        <w:jc w:val="both"/>
        <w:rPr>
          <w:rFonts w:asciiTheme="majorHAnsi" w:hAnsiTheme="majorHAnsi"/>
          <w:b/>
          <w:sz w:val="28"/>
          <w:szCs w:val="28"/>
          <w:lang w:val="en-US"/>
        </w:rPr>
      </w:pPr>
      <w:r>
        <w:rPr>
          <w:rFonts w:asciiTheme="majorHAnsi" w:hAnsiTheme="majorHAnsi"/>
          <w:b/>
          <w:sz w:val="28"/>
          <w:szCs w:val="28"/>
          <w:lang w:val="en-US"/>
        </w:rPr>
        <w:t>The role of</w:t>
      </w:r>
      <w:r w:rsidR="008E77F7" w:rsidRPr="009E2F47">
        <w:rPr>
          <w:rFonts w:asciiTheme="majorHAnsi" w:hAnsiTheme="majorHAnsi"/>
          <w:b/>
          <w:sz w:val="28"/>
          <w:szCs w:val="28"/>
          <w:lang w:val="en-US"/>
        </w:rPr>
        <w:t xml:space="preserve"> government as a model employer</w:t>
      </w:r>
      <w:r w:rsidR="007028F2" w:rsidRPr="009E2F47">
        <w:rPr>
          <w:rFonts w:asciiTheme="majorHAnsi" w:hAnsiTheme="majorHAnsi"/>
          <w:b/>
          <w:sz w:val="28"/>
          <w:szCs w:val="28"/>
          <w:lang w:val="en-US"/>
        </w:rPr>
        <w:t xml:space="preserve"> </w:t>
      </w:r>
    </w:p>
    <w:p w:rsidR="00C44DCF" w:rsidRPr="00C44DCF" w:rsidRDefault="00C44DCF" w:rsidP="00B83639">
      <w:pPr>
        <w:spacing w:after="0"/>
        <w:jc w:val="both"/>
        <w:rPr>
          <w:b/>
          <w:lang w:val="en-US"/>
        </w:rPr>
      </w:pPr>
    </w:p>
    <w:p w:rsidR="00D039D3" w:rsidRDefault="007028F2" w:rsidP="00B83639">
      <w:pPr>
        <w:spacing w:after="0"/>
        <w:jc w:val="both"/>
        <w:rPr>
          <w:lang w:val="en-US"/>
        </w:rPr>
      </w:pPr>
      <w:r>
        <w:rPr>
          <w:lang w:val="en-US"/>
        </w:rPr>
        <w:t xml:space="preserve">Issues Paper 5 identifies a number of areas in which public sector bargaining is said to differ from the private sector. It is the CPSU position that there is a role </w:t>
      </w:r>
      <w:r w:rsidR="0030590F">
        <w:rPr>
          <w:lang w:val="en-US"/>
        </w:rPr>
        <w:t>for the Commonwealth government</w:t>
      </w:r>
      <w:r w:rsidR="00F44020">
        <w:rPr>
          <w:lang w:val="en-US"/>
        </w:rPr>
        <w:t xml:space="preserve"> to set an example in the broader economy as </w:t>
      </w:r>
      <w:r>
        <w:rPr>
          <w:lang w:val="en-US"/>
        </w:rPr>
        <w:t xml:space="preserve">a model employer. </w:t>
      </w:r>
    </w:p>
    <w:p w:rsidR="00D039D3" w:rsidRDefault="00D039D3" w:rsidP="00B83639">
      <w:pPr>
        <w:spacing w:after="0"/>
        <w:jc w:val="both"/>
        <w:rPr>
          <w:lang w:val="en-US"/>
        </w:rPr>
      </w:pPr>
    </w:p>
    <w:p w:rsidR="007028F2" w:rsidRDefault="007028F2" w:rsidP="00B83639">
      <w:pPr>
        <w:spacing w:after="0"/>
        <w:jc w:val="both"/>
        <w:rPr>
          <w:lang w:val="en-US"/>
        </w:rPr>
      </w:pPr>
      <w:r>
        <w:rPr>
          <w:lang w:val="en-US"/>
        </w:rPr>
        <w:t>This includes:</w:t>
      </w:r>
    </w:p>
    <w:p w:rsidR="00930779" w:rsidRDefault="00930779" w:rsidP="00B83639">
      <w:pPr>
        <w:spacing w:after="0"/>
        <w:jc w:val="both"/>
        <w:rPr>
          <w:lang w:val="en-US"/>
        </w:rPr>
      </w:pPr>
    </w:p>
    <w:p w:rsidR="007028F2" w:rsidRDefault="007028F2" w:rsidP="00B83639">
      <w:pPr>
        <w:pStyle w:val="ListParagraph"/>
        <w:numPr>
          <w:ilvl w:val="0"/>
          <w:numId w:val="2"/>
        </w:numPr>
        <w:spacing w:after="0"/>
        <w:jc w:val="both"/>
        <w:rPr>
          <w:lang w:val="en-US"/>
        </w:rPr>
      </w:pPr>
      <w:r>
        <w:rPr>
          <w:lang w:val="en-US"/>
        </w:rPr>
        <w:t>Exemplary conduct in bargaining</w:t>
      </w:r>
      <w:r w:rsidR="00EA4A00">
        <w:rPr>
          <w:lang w:val="en-US"/>
        </w:rPr>
        <w:t>;</w:t>
      </w:r>
    </w:p>
    <w:p w:rsidR="007028F2" w:rsidRDefault="007028F2" w:rsidP="00B83639">
      <w:pPr>
        <w:pStyle w:val="ListParagraph"/>
        <w:numPr>
          <w:ilvl w:val="0"/>
          <w:numId w:val="2"/>
        </w:numPr>
        <w:spacing w:after="0"/>
        <w:jc w:val="both"/>
        <w:rPr>
          <w:lang w:val="en-US"/>
        </w:rPr>
      </w:pPr>
      <w:r>
        <w:rPr>
          <w:lang w:val="en-US"/>
        </w:rPr>
        <w:t>Adherence to the</w:t>
      </w:r>
      <w:r w:rsidR="00132C14">
        <w:rPr>
          <w:lang w:val="en-US"/>
        </w:rPr>
        <w:t xml:space="preserve"> terms of the </w:t>
      </w:r>
      <w:r w:rsidR="00132C14" w:rsidRPr="00132C14">
        <w:rPr>
          <w:i/>
          <w:lang w:val="en-US"/>
        </w:rPr>
        <w:t>Fair Work Act</w:t>
      </w:r>
      <w:r w:rsidR="00EA4A00">
        <w:rPr>
          <w:i/>
          <w:lang w:val="en-US"/>
        </w:rPr>
        <w:t>;</w:t>
      </w:r>
    </w:p>
    <w:p w:rsidR="007028F2" w:rsidRDefault="007028F2" w:rsidP="00B83639">
      <w:pPr>
        <w:pStyle w:val="ListParagraph"/>
        <w:numPr>
          <w:ilvl w:val="0"/>
          <w:numId w:val="2"/>
        </w:numPr>
        <w:spacing w:after="0"/>
        <w:jc w:val="both"/>
        <w:rPr>
          <w:lang w:val="en-US"/>
        </w:rPr>
      </w:pPr>
      <w:r>
        <w:rPr>
          <w:lang w:val="en-US"/>
        </w:rPr>
        <w:t>Genuine bargaining, in which the Commonwealth seeks to genuinely reach agreement with employees</w:t>
      </w:r>
      <w:r w:rsidR="00EA4A00">
        <w:rPr>
          <w:lang w:val="en-US"/>
        </w:rPr>
        <w:t>;</w:t>
      </w:r>
      <w:r>
        <w:rPr>
          <w:lang w:val="en-US"/>
        </w:rPr>
        <w:t xml:space="preserve"> </w:t>
      </w:r>
    </w:p>
    <w:p w:rsidR="007028F2" w:rsidRDefault="007028F2" w:rsidP="00B83639">
      <w:pPr>
        <w:pStyle w:val="ListParagraph"/>
        <w:numPr>
          <w:ilvl w:val="0"/>
          <w:numId w:val="2"/>
        </w:numPr>
        <w:spacing w:after="0"/>
        <w:jc w:val="both"/>
        <w:rPr>
          <w:lang w:val="en-US"/>
        </w:rPr>
      </w:pPr>
      <w:r>
        <w:rPr>
          <w:lang w:val="en-US"/>
        </w:rPr>
        <w:t>Maintai</w:t>
      </w:r>
      <w:r w:rsidR="00BE5286">
        <w:rPr>
          <w:lang w:val="en-US"/>
        </w:rPr>
        <w:t>ning the living standards of the</w:t>
      </w:r>
      <w:r w:rsidR="009F51E6">
        <w:rPr>
          <w:lang w:val="en-US"/>
        </w:rPr>
        <w:t xml:space="preserve"> workforce</w:t>
      </w:r>
      <w:r w:rsidR="00EA4A00">
        <w:rPr>
          <w:lang w:val="en-US"/>
        </w:rPr>
        <w:t>;</w:t>
      </w:r>
    </w:p>
    <w:p w:rsidR="009F51E6" w:rsidRDefault="009F51E6" w:rsidP="00B83639">
      <w:pPr>
        <w:pStyle w:val="ListParagraph"/>
        <w:numPr>
          <w:ilvl w:val="0"/>
          <w:numId w:val="2"/>
        </w:numPr>
        <w:spacing w:after="0"/>
        <w:jc w:val="both"/>
        <w:rPr>
          <w:lang w:val="en-US"/>
        </w:rPr>
      </w:pPr>
      <w:r>
        <w:rPr>
          <w:lang w:val="en-US"/>
        </w:rPr>
        <w:lastRenderedPageBreak/>
        <w:t>Set</w:t>
      </w:r>
      <w:r w:rsidR="00BE5286">
        <w:rPr>
          <w:lang w:val="en-US"/>
        </w:rPr>
        <w:t>ting</w:t>
      </w:r>
      <w:r>
        <w:rPr>
          <w:lang w:val="en-US"/>
        </w:rPr>
        <w:t xml:space="preserve"> a high community standard on employee rights, conditions, and protections</w:t>
      </w:r>
      <w:r w:rsidR="00A45A29">
        <w:rPr>
          <w:lang w:val="en-US"/>
        </w:rPr>
        <w:t xml:space="preserve"> at work</w:t>
      </w:r>
      <w:r w:rsidR="00EA4A00">
        <w:rPr>
          <w:lang w:val="en-US"/>
        </w:rPr>
        <w:t>; and</w:t>
      </w:r>
    </w:p>
    <w:p w:rsidR="009F51E6" w:rsidRDefault="009F51E6" w:rsidP="00B83639">
      <w:pPr>
        <w:pStyle w:val="ListParagraph"/>
        <w:numPr>
          <w:ilvl w:val="0"/>
          <w:numId w:val="2"/>
        </w:numPr>
        <w:spacing w:after="0"/>
        <w:jc w:val="both"/>
        <w:rPr>
          <w:lang w:val="en-US"/>
        </w:rPr>
      </w:pPr>
      <w:r>
        <w:rPr>
          <w:lang w:val="en-US"/>
        </w:rPr>
        <w:t>Promoting measures that support workforce diversity and</w:t>
      </w:r>
      <w:r w:rsidR="00681D05">
        <w:rPr>
          <w:lang w:val="en-US"/>
        </w:rPr>
        <w:t xml:space="preserve"> </w:t>
      </w:r>
      <w:r w:rsidR="005A19DA">
        <w:rPr>
          <w:lang w:val="en-US"/>
        </w:rPr>
        <w:t>workforce participation</w:t>
      </w:r>
      <w:r w:rsidR="00EA4A00">
        <w:rPr>
          <w:lang w:val="en-US"/>
        </w:rPr>
        <w:t>.</w:t>
      </w:r>
      <w:r>
        <w:rPr>
          <w:lang w:val="en-US"/>
        </w:rPr>
        <w:t xml:space="preserve"> </w:t>
      </w:r>
    </w:p>
    <w:p w:rsidR="003B7A8E" w:rsidRDefault="003B7A8E" w:rsidP="00B83639">
      <w:pPr>
        <w:spacing w:after="0"/>
        <w:jc w:val="both"/>
        <w:rPr>
          <w:rFonts w:cstheme="minorHAnsi"/>
          <w:lang w:val="en-US"/>
        </w:rPr>
      </w:pPr>
    </w:p>
    <w:p w:rsidR="00132C14" w:rsidRDefault="00132C14" w:rsidP="00B83639">
      <w:pPr>
        <w:spacing w:after="0"/>
        <w:jc w:val="both"/>
        <w:rPr>
          <w:rFonts w:cstheme="minorHAnsi"/>
          <w:lang w:val="en-US"/>
        </w:rPr>
      </w:pPr>
    </w:p>
    <w:p w:rsidR="003B7A8E" w:rsidRPr="009E2F47" w:rsidRDefault="003B7A8E" w:rsidP="00B83639">
      <w:pPr>
        <w:spacing w:after="0"/>
        <w:jc w:val="both"/>
        <w:rPr>
          <w:rFonts w:cstheme="minorHAnsi"/>
          <w:b/>
          <w:i/>
          <w:lang w:val="en-US"/>
        </w:rPr>
      </w:pPr>
      <w:r w:rsidRPr="009E2F47">
        <w:rPr>
          <w:rFonts w:cstheme="minorHAnsi"/>
          <w:b/>
          <w:i/>
          <w:lang w:val="en-US"/>
        </w:rPr>
        <w:t xml:space="preserve">Promoting workplace diversity through </w:t>
      </w:r>
      <w:r w:rsidR="00EA27BD">
        <w:rPr>
          <w:rFonts w:cstheme="minorHAnsi"/>
          <w:b/>
          <w:i/>
          <w:lang w:val="en-US"/>
        </w:rPr>
        <w:t>collective</w:t>
      </w:r>
      <w:r w:rsidR="004D314C">
        <w:rPr>
          <w:rFonts w:cstheme="minorHAnsi"/>
          <w:b/>
          <w:i/>
          <w:lang w:val="en-US"/>
        </w:rPr>
        <w:t xml:space="preserve"> </w:t>
      </w:r>
      <w:r w:rsidRPr="009E2F47">
        <w:rPr>
          <w:rFonts w:cstheme="minorHAnsi"/>
          <w:b/>
          <w:i/>
          <w:lang w:val="en-US"/>
        </w:rPr>
        <w:t xml:space="preserve">bargaining </w:t>
      </w:r>
    </w:p>
    <w:p w:rsidR="003B7A8E" w:rsidRDefault="003B7A8E" w:rsidP="00B83639">
      <w:pPr>
        <w:spacing w:after="0"/>
        <w:jc w:val="both"/>
        <w:rPr>
          <w:rFonts w:cstheme="minorHAnsi"/>
          <w:lang w:val="en-US"/>
        </w:rPr>
      </w:pPr>
    </w:p>
    <w:p w:rsidR="005A19DA" w:rsidRDefault="002E4251" w:rsidP="00DF58C4">
      <w:pPr>
        <w:spacing w:after="0"/>
        <w:jc w:val="both"/>
        <w:rPr>
          <w:rFonts w:cstheme="minorHAnsi"/>
        </w:rPr>
      </w:pPr>
      <w:r>
        <w:rPr>
          <w:rFonts w:cstheme="minorHAnsi"/>
          <w:lang w:val="en-US"/>
        </w:rPr>
        <w:t>Collective</w:t>
      </w:r>
      <w:r w:rsidR="008E77F7" w:rsidRPr="00E46EFA">
        <w:rPr>
          <w:rFonts w:cstheme="minorHAnsi"/>
          <w:lang w:val="en-US"/>
        </w:rPr>
        <w:t xml:space="preserve"> bargaining can and should promote measures that support workforce participation and diversity.</w:t>
      </w:r>
      <w:r w:rsidR="00FE11B2">
        <w:rPr>
          <w:rFonts w:cstheme="minorHAnsi"/>
          <w:lang w:val="en-US"/>
        </w:rPr>
        <w:t xml:space="preserve"> </w:t>
      </w:r>
      <w:r w:rsidR="005A19DA" w:rsidRPr="00E46EFA">
        <w:rPr>
          <w:rFonts w:cstheme="minorHAnsi"/>
        </w:rPr>
        <w:t xml:space="preserve">As recognised in the </w:t>
      </w:r>
      <w:r w:rsidR="005A19DA" w:rsidRPr="00D913FA">
        <w:rPr>
          <w:rFonts w:cstheme="minorHAnsi"/>
          <w:i/>
        </w:rPr>
        <w:t xml:space="preserve">State of the Service </w:t>
      </w:r>
      <w:proofErr w:type="gramStart"/>
      <w:r w:rsidR="005A19DA" w:rsidRPr="00D913FA">
        <w:rPr>
          <w:rFonts w:cstheme="minorHAnsi"/>
          <w:i/>
        </w:rPr>
        <w:t>Report</w:t>
      </w:r>
      <w:r w:rsidR="00EA4A00">
        <w:rPr>
          <w:rFonts w:cstheme="minorHAnsi"/>
          <w:i/>
        </w:rPr>
        <w:t xml:space="preserve"> </w:t>
      </w:r>
      <w:proofErr w:type="gramEnd"/>
      <w:r w:rsidR="00584516" w:rsidRPr="0069593C">
        <w:rPr>
          <w:rStyle w:val="FootnoteReference"/>
          <w:rFonts w:asciiTheme="minorHAnsi" w:hAnsiTheme="minorHAnsi" w:cstheme="minorHAnsi"/>
        </w:rPr>
        <w:footnoteReference w:id="44"/>
      </w:r>
      <w:r w:rsidR="005A19DA" w:rsidRPr="00E46EFA">
        <w:rPr>
          <w:rFonts w:cstheme="minorHAnsi"/>
        </w:rPr>
        <w:t>, diversity in the workforce is an important goal, as it allows the APS to better serve and</w:t>
      </w:r>
      <w:r w:rsidR="0080381E">
        <w:rPr>
          <w:rFonts w:cstheme="minorHAnsi"/>
        </w:rPr>
        <w:t xml:space="preserve"> support the community and the G</w:t>
      </w:r>
      <w:r w:rsidR="005A19DA" w:rsidRPr="00E46EFA">
        <w:rPr>
          <w:rFonts w:cstheme="minorHAnsi"/>
        </w:rPr>
        <w:t>overnment. It is also r</w:t>
      </w:r>
      <w:r w:rsidR="00921D0D">
        <w:rPr>
          <w:rFonts w:cstheme="minorHAnsi"/>
        </w:rPr>
        <w:t xml:space="preserve">elevant that the Government has now </w:t>
      </w:r>
      <w:r w:rsidR="00E246D7">
        <w:rPr>
          <w:rFonts w:cstheme="minorHAnsi"/>
        </w:rPr>
        <w:t xml:space="preserve">increased its target for </w:t>
      </w:r>
      <w:r w:rsidR="005A19DA" w:rsidRPr="00E46EFA">
        <w:rPr>
          <w:rFonts w:cstheme="minorHAnsi"/>
        </w:rPr>
        <w:t>Aboriginal and Torres Strait Islan</w:t>
      </w:r>
      <w:r w:rsidR="00E246D7">
        <w:rPr>
          <w:rFonts w:cstheme="minorHAnsi"/>
        </w:rPr>
        <w:t>der employment in the APS to 3</w:t>
      </w:r>
      <w:r w:rsidR="005A19DA" w:rsidRPr="00E46EFA">
        <w:rPr>
          <w:rFonts w:cstheme="minorHAnsi"/>
        </w:rPr>
        <w:t>%</w:t>
      </w:r>
      <w:r w:rsidR="00E246D7">
        <w:rPr>
          <w:rFonts w:cstheme="minorHAnsi"/>
        </w:rPr>
        <w:t xml:space="preserve"> over the next three years</w:t>
      </w:r>
      <w:r w:rsidR="005A19DA" w:rsidRPr="00E46EFA">
        <w:rPr>
          <w:rFonts w:cstheme="minorHAnsi"/>
        </w:rPr>
        <w:t>.</w:t>
      </w:r>
      <w:r w:rsidR="00FE11B2">
        <w:rPr>
          <w:rFonts w:cstheme="minorHAnsi"/>
        </w:rPr>
        <w:t xml:space="preserve"> </w:t>
      </w:r>
    </w:p>
    <w:p w:rsidR="00E46EFA" w:rsidRPr="00E46EFA" w:rsidRDefault="00E46EFA" w:rsidP="00B83639">
      <w:pPr>
        <w:spacing w:after="0"/>
        <w:jc w:val="both"/>
        <w:rPr>
          <w:rFonts w:cstheme="minorHAnsi"/>
        </w:rPr>
      </w:pPr>
    </w:p>
    <w:p w:rsidR="005A19DA" w:rsidRDefault="00E46EFA" w:rsidP="00DF58C4">
      <w:pPr>
        <w:spacing w:after="0"/>
        <w:jc w:val="both"/>
        <w:rPr>
          <w:rFonts w:cstheme="minorHAnsi"/>
          <w:lang w:val="en-US"/>
        </w:rPr>
      </w:pPr>
      <w:r>
        <w:rPr>
          <w:rFonts w:cstheme="minorHAnsi"/>
          <w:lang w:val="en-US"/>
        </w:rPr>
        <w:t xml:space="preserve">Unfortunately, the requirement </w:t>
      </w:r>
      <w:r w:rsidR="0074322E">
        <w:rPr>
          <w:rFonts w:cstheme="minorHAnsi"/>
          <w:lang w:val="en-US"/>
        </w:rPr>
        <w:t xml:space="preserve">that </w:t>
      </w:r>
      <w:r>
        <w:rPr>
          <w:rFonts w:cstheme="minorHAnsi"/>
          <w:lang w:val="en-US"/>
        </w:rPr>
        <w:t xml:space="preserve">agencies meet the streamlining requirements of the Government’s Bargaining Policy is seeing agencies </w:t>
      </w:r>
      <w:r w:rsidR="0074322E">
        <w:rPr>
          <w:rFonts w:cstheme="minorHAnsi"/>
          <w:lang w:val="en-US"/>
        </w:rPr>
        <w:t xml:space="preserve">seek to </w:t>
      </w:r>
      <w:r>
        <w:rPr>
          <w:rFonts w:cstheme="minorHAnsi"/>
          <w:lang w:val="en-US"/>
        </w:rPr>
        <w:t>remove clauses supporting workplace diversity from enterprise agreements</w:t>
      </w:r>
      <w:r w:rsidR="00FF01D0">
        <w:rPr>
          <w:rFonts w:cstheme="minorHAnsi"/>
          <w:lang w:val="en-US"/>
        </w:rPr>
        <w:t xml:space="preserve">. To date, </w:t>
      </w:r>
      <w:r w:rsidR="00A051C5">
        <w:rPr>
          <w:rFonts w:cstheme="minorHAnsi"/>
          <w:lang w:val="en-US"/>
        </w:rPr>
        <w:t xml:space="preserve">at least </w:t>
      </w:r>
      <w:r w:rsidR="00FF01D0">
        <w:rPr>
          <w:rFonts w:cstheme="minorHAnsi"/>
          <w:lang w:val="en-US"/>
        </w:rPr>
        <w:t>16 agencies have sought to</w:t>
      </w:r>
      <w:r w:rsidR="008126E7">
        <w:rPr>
          <w:rFonts w:cstheme="minorHAnsi"/>
          <w:lang w:val="en-US"/>
        </w:rPr>
        <w:t xml:space="preserve"> </w:t>
      </w:r>
      <w:r w:rsidR="00A051C5">
        <w:rPr>
          <w:rFonts w:cstheme="minorHAnsi"/>
          <w:lang w:val="en-US"/>
        </w:rPr>
        <w:t>remove</w:t>
      </w:r>
      <w:r w:rsidR="008126E7">
        <w:rPr>
          <w:rFonts w:cstheme="minorHAnsi"/>
          <w:lang w:val="en-US"/>
        </w:rPr>
        <w:t xml:space="preserve"> </w:t>
      </w:r>
      <w:r w:rsidR="00FF01D0">
        <w:rPr>
          <w:rFonts w:cstheme="minorHAnsi"/>
          <w:lang w:val="en-US"/>
        </w:rPr>
        <w:t>workplace diversity clauses</w:t>
      </w:r>
      <w:r w:rsidR="00A051C5">
        <w:rPr>
          <w:rFonts w:cstheme="minorHAnsi"/>
          <w:lang w:val="en-US"/>
        </w:rPr>
        <w:t xml:space="preserve"> from enterprise agreements</w:t>
      </w:r>
      <w:r w:rsidR="00FF01D0">
        <w:rPr>
          <w:rFonts w:cstheme="minorHAnsi"/>
          <w:lang w:val="en-US"/>
        </w:rPr>
        <w:t>.</w:t>
      </w:r>
      <w:r w:rsidR="00FF3ACB">
        <w:rPr>
          <w:rFonts w:cstheme="minorHAnsi"/>
          <w:lang w:val="en-US"/>
        </w:rPr>
        <w:t xml:space="preserve"> These clauses </w:t>
      </w:r>
      <w:r w:rsidR="00D61D10">
        <w:rPr>
          <w:rFonts w:cstheme="minorHAnsi"/>
          <w:lang w:val="en-US"/>
        </w:rPr>
        <w:t xml:space="preserve">represent little or no cost to an agency, but </w:t>
      </w:r>
      <w:r w:rsidR="00FF3ACB">
        <w:rPr>
          <w:rFonts w:cstheme="minorHAnsi"/>
          <w:lang w:val="en-US"/>
        </w:rPr>
        <w:t>play an important role in</w:t>
      </w:r>
      <w:r w:rsidR="00D61D10">
        <w:rPr>
          <w:rFonts w:cstheme="minorHAnsi"/>
          <w:lang w:val="en-US"/>
        </w:rPr>
        <w:t xml:space="preserve"> changing workplace culture and supporting diversity.</w:t>
      </w:r>
      <w:r w:rsidR="00FF3ACB">
        <w:rPr>
          <w:rFonts w:cstheme="minorHAnsi"/>
          <w:lang w:val="en-US"/>
        </w:rPr>
        <w:t xml:space="preserve"> </w:t>
      </w:r>
      <w:r w:rsidR="00D61D10">
        <w:rPr>
          <w:rFonts w:cstheme="minorHAnsi"/>
          <w:lang w:val="en-US"/>
        </w:rPr>
        <w:t xml:space="preserve"> </w:t>
      </w:r>
      <w:r w:rsidR="00FF3ACB">
        <w:rPr>
          <w:rFonts w:cstheme="minorHAnsi"/>
          <w:lang w:val="en-US"/>
        </w:rPr>
        <w:t xml:space="preserve">The CPSU sees the removal of diversity clause </w:t>
      </w:r>
      <w:r>
        <w:rPr>
          <w:rFonts w:cstheme="minorHAnsi"/>
          <w:lang w:val="en-US"/>
        </w:rPr>
        <w:t>as a backwards step</w:t>
      </w:r>
      <w:r w:rsidR="00BF2CA8">
        <w:rPr>
          <w:rFonts w:cstheme="minorHAnsi"/>
          <w:lang w:val="en-US"/>
        </w:rPr>
        <w:t>, and argues that the Federal Government should be setting an example as a very large employer</w:t>
      </w:r>
      <w:r w:rsidR="00FE452F">
        <w:rPr>
          <w:rFonts w:cstheme="minorHAnsi"/>
          <w:lang w:val="en-US"/>
        </w:rPr>
        <w:t xml:space="preserve"> within the Australian community</w:t>
      </w:r>
      <w:r w:rsidR="00BF2CA8">
        <w:rPr>
          <w:rFonts w:cstheme="minorHAnsi"/>
          <w:lang w:val="en-US"/>
        </w:rPr>
        <w:t>.</w:t>
      </w:r>
      <w:r w:rsidR="00FE11B2">
        <w:rPr>
          <w:rFonts w:cstheme="minorHAnsi"/>
          <w:lang w:val="en-US"/>
        </w:rPr>
        <w:t xml:space="preserve"> </w:t>
      </w:r>
    </w:p>
    <w:p w:rsidR="003B7A8E" w:rsidRDefault="003B7A8E" w:rsidP="00B83639">
      <w:pPr>
        <w:spacing w:after="0"/>
        <w:jc w:val="both"/>
        <w:rPr>
          <w:rFonts w:cstheme="minorHAnsi"/>
          <w:lang w:val="en-US"/>
        </w:rPr>
      </w:pPr>
    </w:p>
    <w:p w:rsidR="009263FE" w:rsidRDefault="009263FE" w:rsidP="00B83639">
      <w:pPr>
        <w:spacing w:after="0"/>
        <w:jc w:val="both"/>
        <w:rPr>
          <w:rFonts w:cstheme="minorHAnsi"/>
          <w:lang w:val="en-US"/>
        </w:rPr>
      </w:pPr>
    </w:p>
    <w:p w:rsidR="003B7A8E" w:rsidRPr="009E2F47" w:rsidRDefault="003B7A8E" w:rsidP="00B83639">
      <w:pPr>
        <w:spacing w:after="0"/>
        <w:jc w:val="both"/>
        <w:rPr>
          <w:rFonts w:cstheme="minorHAnsi"/>
          <w:b/>
          <w:i/>
          <w:lang w:val="en-US"/>
        </w:rPr>
      </w:pPr>
      <w:r w:rsidRPr="009E2F47">
        <w:rPr>
          <w:rFonts w:cstheme="minorHAnsi"/>
          <w:b/>
          <w:i/>
          <w:lang w:val="en-US"/>
        </w:rPr>
        <w:t xml:space="preserve">Work life balance and workforce participation </w:t>
      </w:r>
    </w:p>
    <w:p w:rsidR="003B7A8E" w:rsidRDefault="003B7A8E" w:rsidP="00B83639">
      <w:pPr>
        <w:spacing w:after="0"/>
        <w:jc w:val="both"/>
        <w:rPr>
          <w:rFonts w:cstheme="minorHAnsi"/>
        </w:rPr>
      </w:pPr>
    </w:p>
    <w:p w:rsidR="005A19DA" w:rsidRDefault="003B7A8E" w:rsidP="00B83639">
      <w:pPr>
        <w:spacing w:after="0"/>
        <w:jc w:val="both"/>
        <w:rPr>
          <w:rFonts w:cstheme="minorHAnsi"/>
        </w:rPr>
      </w:pPr>
      <w:r>
        <w:rPr>
          <w:rFonts w:cstheme="minorHAnsi"/>
        </w:rPr>
        <w:t>E</w:t>
      </w:r>
      <w:r w:rsidR="005A19DA" w:rsidRPr="00E46EFA">
        <w:rPr>
          <w:rFonts w:cstheme="minorHAnsi"/>
        </w:rPr>
        <w:t xml:space="preserve">nterprise agreements </w:t>
      </w:r>
      <w:r>
        <w:rPr>
          <w:rFonts w:cstheme="minorHAnsi"/>
        </w:rPr>
        <w:t xml:space="preserve">should </w:t>
      </w:r>
      <w:r w:rsidR="005A19DA" w:rsidRPr="00E46EFA">
        <w:rPr>
          <w:rFonts w:cstheme="minorHAnsi"/>
        </w:rPr>
        <w:t>provide a range of measures to allow employees to balance their work, fam</w:t>
      </w:r>
      <w:r>
        <w:rPr>
          <w:rFonts w:cstheme="minorHAnsi"/>
        </w:rPr>
        <w:t>ily and personal life.</w:t>
      </w:r>
      <w:r w:rsidR="00FE11B2">
        <w:rPr>
          <w:rFonts w:cstheme="minorHAnsi"/>
        </w:rPr>
        <w:t xml:space="preserve"> </w:t>
      </w:r>
      <w:r w:rsidR="005A19DA" w:rsidRPr="00E46EFA">
        <w:rPr>
          <w:rFonts w:cstheme="minorHAnsi"/>
        </w:rPr>
        <w:t>The ability to use a range of flexible working arrangements is important to employees</w:t>
      </w:r>
      <w:r>
        <w:rPr>
          <w:rFonts w:cstheme="minorHAnsi"/>
        </w:rPr>
        <w:t>, and necessary to support women’s workforce participation</w:t>
      </w:r>
      <w:r w:rsidR="005A19DA" w:rsidRPr="00E46EFA">
        <w:rPr>
          <w:rFonts w:cstheme="minorHAnsi"/>
        </w:rPr>
        <w:t xml:space="preserve">. The </w:t>
      </w:r>
      <w:r w:rsidR="00B24298">
        <w:rPr>
          <w:rFonts w:cstheme="minorHAnsi"/>
        </w:rPr>
        <w:t xml:space="preserve">CPSU’s </w:t>
      </w:r>
      <w:r w:rsidR="005A19DA" w:rsidRPr="00E46EFA">
        <w:rPr>
          <w:rFonts w:cstheme="minorHAnsi"/>
        </w:rPr>
        <w:t xml:space="preserve">2013/2014 </w:t>
      </w:r>
      <w:r w:rsidR="005A19DA" w:rsidRPr="003B7A8E">
        <w:rPr>
          <w:rFonts w:cstheme="minorHAnsi"/>
          <w:i/>
        </w:rPr>
        <w:t>What Women Want</w:t>
      </w:r>
      <w:r w:rsidR="00EA4A00">
        <w:rPr>
          <w:rFonts w:cstheme="minorHAnsi"/>
          <w:i/>
        </w:rPr>
        <w:t xml:space="preserve"> </w:t>
      </w:r>
      <w:r w:rsidR="005A19DA" w:rsidRPr="00F22DCB">
        <w:rPr>
          <w:rStyle w:val="FootnoteReference"/>
          <w:rFonts w:asciiTheme="minorHAnsi" w:hAnsiTheme="minorHAnsi" w:cstheme="minorHAnsi"/>
          <w:szCs w:val="20"/>
          <w:vertAlign w:val="superscript"/>
        </w:rPr>
        <w:footnoteReference w:id="45"/>
      </w:r>
      <w:r w:rsidR="00BD658E">
        <w:rPr>
          <w:rFonts w:cstheme="minorHAnsi"/>
        </w:rPr>
        <w:t xml:space="preserve"> </w:t>
      </w:r>
      <w:r w:rsidR="005A19DA" w:rsidRPr="00E46EFA">
        <w:rPr>
          <w:rFonts w:cstheme="minorHAnsi"/>
        </w:rPr>
        <w:t>survey</w:t>
      </w:r>
      <w:r w:rsidR="00FE11B2">
        <w:rPr>
          <w:rFonts w:cstheme="minorHAnsi"/>
        </w:rPr>
        <w:t xml:space="preserve"> </w:t>
      </w:r>
      <w:r w:rsidR="005A19DA" w:rsidRPr="00E46EFA">
        <w:rPr>
          <w:rFonts w:cstheme="minorHAnsi"/>
        </w:rPr>
        <w:t>found that an overwhelming majority of women rank having the right to request flexible working arrangements as an important or very impor</w:t>
      </w:r>
      <w:r w:rsidR="00F22DCB">
        <w:rPr>
          <w:rFonts w:cstheme="minorHAnsi"/>
        </w:rPr>
        <w:t xml:space="preserve">tant aspect of their </w:t>
      </w:r>
      <w:proofErr w:type="gramStart"/>
      <w:r w:rsidR="00F22DCB">
        <w:rPr>
          <w:rFonts w:cstheme="minorHAnsi"/>
        </w:rPr>
        <w:t>employment</w:t>
      </w:r>
      <w:r w:rsidR="00EA4A00">
        <w:rPr>
          <w:rFonts w:cstheme="minorHAnsi"/>
        </w:rPr>
        <w:t xml:space="preserve"> </w:t>
      </w:r>
      <w:proofErr w:type="gramEnd"/>
      <w:r w:rsidR="00FF01D0" w:rsidRPr="00DD1594">
        <w:rPr>
          <w:rStyle w:val="FootnoteReference"/>
          <w:rFonts w:cstheme="minorHAnsi"/>
          <w:vertAlign w:val="superscript"/>
        </w:rPr>
        <w:footnoteReference w:id="46"/>
      </w:r>
      <w:r w:rsidR="00F22DCB">
        <w:rPr>
          <w:rFonts w:cstheme="minorHAnsi"/>
        </w:rPr>
        <w:t>.</w:t>
      </w:r>
      <w:r w:rsidR="005A19DA" w:rsidRPr="00E46EFA">
        <w:rPr>
          <w:rFonts w:cstheme="minorHAnsi"/>
        </w:rPr>
        <w:t xml:space="preserve"> More specifically, two thirds of women in the APS indicated that being able to negotiate part-time work was important or very </w:t>
      </w:r>
      <w:proofErr w:type="gramStart"/>
      <w:r w:rsidR="005A19DA" w:rsidRPr="00E46EFA">
        <w:rPr>
          <w:rFonts w:cstheme="minorHAnsi"/>
        </w:rPr>
        <w:t>important</w:t>
      </w:r>
      <w:r w:rsidR="00EA4A00">
        <w:rPr>
          <w:rFonts w:cstheme="minorHAnsi"/>
        </w:rPr>
        <w:t xml:space="preserve"> </w:t>
      </w:r>
      <w:proofErr w:type="gramEnd"/>
      <w:r w:rsidR="000A06D3" w:rsidRPr="000A06D3">
        <w:rPr>
          <w:rStyle w:val="FootnoteReference"/>
          <w:rFonts w:asciiTheme="minorHAnsi" w:hAnsiTheme="minorHAnsi" w:cstheme="minorHAnsi"/>
          <w:vertAlign w:val="superscript"/>
        </w:rPr>
        <w:footnoteReference w:id="47"/>
      </w:r>
      <w:r w:rsidR="005A19DA" w:rsidRPr="00E46EFA">
        <w:rPr>
          <w:rFonts w:cstheme="minorHAnsi"/>
        </w:rPr>
        <w:t xml:space="preserve">. These findings are consistent with previous </w:t>
      </w:r>
      <w:r w:rsidR="005A19DA" w:rsidRPr="003B7A8E">
        <w:rPr>
          <w:rFonts w:cstheme="minorHAnsi"/>
          <w:i/>
        </w:rPr>
        <w:t>What Women Want</w:t>
      </w:r>
      <w:r w:rsidR="005A19DA" w:rsidRPr="00E46EFA">
        <w:rPr>
          <w:rFonts w:cstheme="minorHAnsi"/>
        </w:rPr>
        <w:t xml:space="preserve"> surveys</w:t>
      </w:r>
      <w:r w:rsidR="005A01CB">
        <w:rPr>
          <w:rFonts w:cstheme="minorHAnsi"/>
        </w:rPr>
        <w:t xml:space="preserve"> conducted by the CPSU</w:t>
      </w:r>
      <w:r w:rsidR="005A19DA" w:rsidRPr="00E46EFA">
        <w:rPr>
          <w:rFonts w:cstheme="minorHAnsi"/>
        </w:rPr>
        <w:t xml:space="preserve">. </w:t>
      </w:r>
    </w:p>
    <w:p w:rsidR="003B7A8E" w:rsidRPr="00E46EFA" w:rsidRDefault="003B7A8E" w:rsidP="00B83639">
      <w:pPr>
        <w:spacing w:after="0"/>
        <w:jc w:val="both"/>
        <w:rPr>
          <w:rFonts w:cstheme="minorHAnsi"/>
        </w:rPr>
      </w:pPr>
    </w:p>
    <w:p w:rsidR="005A19DA" w:rsidRDefault="005A19DA" w:rsidP="00B83639">
      <w:pPr>
        <w:spacing w:after="0"/>
        <w:jc w:val="both"/>
        <w:rPr>
          <w:rFonts w:cstheme="minorHAnsi"/>
        </w:rPr>
      </w:pPr>
      <w:r w:rsidRPr="00E46EFA">
        <w:rPr>
          <w:rFonts w:cstheme="minorHAnsi"/>
        </w:rPr>
        <w:t>Caring responsibilities for dependent children and, increasingly</w:t>
      </w:r>
      <w:r w:rsidR="00582ECC">
        <w:rPr>
          <w:rFonts w:cstheme="minorHAnsi"/>
        </w:rPr>
        <w:t>,</w:t>
      </w:r>
      <w:r w:rsidR="008126E7">
        <w:rPr>
          <w:rFonts w:cstheme="minorHAnsi"/>
        </w:rPr>
        <w:t xml:space="preserve"> </w:t>
      </w:r>
      <w:r w:rsidRPr="00E46EFA">
        <w:rPr>
          <w:rFonts w:cstheme="minorHAnsi"/>
        </w:rPr>
        <w:t>elderly parents, as well as other friends and family members are an important part of many employees’ lives. These latter caring arrangements are becoming more common. The 2013</w:t>
      </w:r>
      <w:r w:rsidR="005513E6">
        <w:rPr>
          <w:rFonts w:cstheme="minorHAnsi"/>
        </w:rPr>
        <w:t>/14</w:t>
      </w:r>
      <w:r w:rsidRPr="00E46EFA">
        <w:rPr>
          <w:rFonts w:cstheme="minorHAnsi"/>
        </w:rPr>
        <w:t xml:space="preserve"> </w:t>
      </w:r>
      <w:r w:rsidRPr="003B7A8E">
        <w:rPr>
          <w:rFonts w:cstheme="minorHAnsi"/>
          <w:i/>
        </w:rPr>
        <w:t>What Women Want</w:t>
      </w:r>
      <w:r w:rsidRPr="00E46EFA">
        <w:rPr>
          <w:rFonts w:cstheme="minorHAnsi"/>
        </w:rPr>
        <w:t xml:space="preserve"> survey found that </w:t>
      </w:r>
      <w:r w:rsidRPr="00E46EFA">
        <w:rPr>
          <w:rFonts w:cstheme="minorHAnsi"/>
        </w:rPr>
        <w:lastRenderedPageBreak/>
        <w:t xml:space="preserve">nearly one in four women in the APS have caring responsibilities for </w:t>
      </w:r>
      <w:r w:rsidR="009F2A06">
        <w:rPr>
          <w:rFonts w:cstheme="minorHAnsi"/>
        </w:rPr>
        <w:t>those other</w:t>
      </w:r>
      <w:r w:rsidRPr="00E46EFA">
        <w:rPr>
          <w:rFonts w:cstheme="minorHAnsi"/>
        </w:rPr>
        <w:t xml:space="preserve"> than dependent children, primarily their parents or parents-in-law</w:t>
      </w:r>
      <w:r w:rsidR="00EA4A00">
        <w:rPr>
          <w:rFonts w:cstheme="minorHAnsi"/>
        </w:rPr>
        <w:t xml:space="preserve"> </w:t>
      </w:r>
      <w:r w:rsidR="000A06D3" w:rsidRPr="000A06D3">
        <w:rPr>
          <w:rStyle w:val="FootnoteReference"/>
          <w:rFonts w:asciiTheme="minorHAnsi" w:hAnsiTheme="minorHAnsi" w:cstheme="minorHAnsi"/>
          <w:vertAlign w:val="superscript"/>
        </w:rPr>
        <w:footnoteReference w:id="48"/>
      </w:r>
      <w:r w:rsidRPr="00E46EFA">
        <w:rPr>
          <w:rFonts w:cstheme="minorHAnsi"/>
        </w:rPr>
        <w:t>. Nearly half of these women also have dependent children and work full-</w:t>
      </w:r>
      <w:proofErr w:type="gramStart"/>
      <w:r w:rsidRPr="00E46EFA">
        <w:rPr>
          <w:rFonts w:cstheme="minorHAnsi"/>
        </w:rPr>
        <w:t>time</w:t>
      </w:r>
      <w:r w:rsidR="00EA4A00">
        <w:rPr>
          <w:rFonts w:cstheme="minorHAnsi"/>
        </w:rPr>
        <w:t xml:space="preserve"> </w:t>
      </w:r>
      <w:proofErr w:type="gramEnd"/>
      <w:r w:rsidR="000A06D3" w:rsidRPr="000A06D3">
        <w:rPr>
          <w:rStyle w:val="FootnoteReference"/>
          <w:rFonts w:asciiTheme="minorHAnsi" w:hAnsiTheme="minorHAnsi" w:cstheme="minorHAnsi"/>
          <w:vertAlign w:val="superscript"/>
        </w:rPr>
        <w:footnoteReference w:id="49"/>
      </w:r>
      <w:r w:rsidRPr="00E46EFA">
        <w:rPr>
          <w:rFonts w:cstheme="minorHAnsi"/>
        </w:rPr>
        <w:t>.</w:t>
      </w:r>
    </w:p>
    <w:p w:rsidR="003B7A8E" w:rsidRPr="00E46EFA" w:rsidRDefault="003B7A8E" w:rsidP="00B83639">
      <w:pPr>
        <w:spacing w:after="0"/>
        <w:jc w:val="both"/>
        <w:rPr>
          <w:rFonts w:cstheme="minorHAnsi"/>
        </w:rPr>
      </w:pPr>
    </w:p>
    <w:p w:rsidR="005A19DA" w:rsidRPr="00E46EFA" w:rsidRDefault="005A19DA" w:rsidP="00B83639">
      <w:pPr>
        <w:spacing w:after="0"/>
        <w:jc w:val="both"/>
        <w:rPr>
          <w:rFonts w:cstheme="minorHAnsi"/>
        </w:rPr>
      </w:pPr>
      <w:r w:rsidRPr="00E46EFA">
        <w:rPr>
          <w:rFonts w:cstheme="minorHAnsi"/>
        </w:rPr>
        <w:t xml:space="preserve">Even where there are clear entitlements to flexible working provisions within enterprise agreements, employees often identify problems </w:t>
      </w:r>
      <w:r w:rsidR="000544D5">
        <w:rPr>
          <w:rFonts w:cstheme="minorHAnsi"/>
        </w:rPr>
        <w:t>in accessing these provisions.</w:t>
      </w:r>
      <w:r w:rsidR="00FE11B2">
        <w:rPr>
          <w:rFonts w:cstheme="minorHAnsi"/>
        </w:rPr>
        <w:t xml:space="preserve"> </w:t>
      </w:r>
      <w:r w:rsidRPr="00E46EFA">
        <w:rPr>
          <w:rFonts w:cstheme="minorHAnsi"/>
        </w:rPr>
        <w:t xml:space="preserve">It is important, therefore, that enterprise agreements contain specific entitlements to flexible working arrangements and give employees a clear right to access those entitlements. </w:t>
      </w:r>
    </w:p>
    <w:p w:rsidR="005A19DA" w:rsidRDefault="005A19DA" w:rsidP="00B83639">
      <w:pPr>
        <w:spacing w:after="0"/>
        <w:jc w:val="both"/>
        <w:rPr>
          <w:rFonts w:cstheme="minorHAnsi"/>
        </w:rPr>
      </w:pPr>
    </w:p>
    <w:p w:rsidR="005A19DA" w:rsidRDefault="007B677B" w:rsidP="00B83639">
      <w:pPr>
        <w:spacing w:after="0"/>
        <w:jc w:val="both"/>
        <w:rPr>
          <w:rFonts w:cstheme="minorHAnsi"/>
        </w:rPr>
      </w:pPr>
      <w:r>
        <w:rPr>
          <w:rFonts w:cstheme="minorHAnsi"/>
        </w:rPr>
        <w:t xml:space="preserve">However, </w:t>
      </w:r>
      <w:r w:rsidR="0080381E">
        <w:rPr>
          <w:rFonts w:cstheme="minorHAnsi"/>
        </w:rPr>
        <w:t xml:space="preserve">in order </w:t>
      </w:r>
      <w:r>
        <w:rPr>
          <w:rFonts w:cstheme="minorHAnsi"/>
        </w:rPr>
        <w:t>t</w:t>
      </w:r>
      <w:r w:rsidR="008872F4">
        <w:rPr>
          <w:rFonts w:cstheme="minorHAnsi"/>
        </w:rPr>
        <w:t>o meet the “streamlining” requirements of the</w:t>
      </w:r>
      <w:r w:rsidR="00656540">
        <w:rPr>
          <w:rFonts w:cstheme="minorHAnsi"/>
        </w:rPr>
        <w:t xml:space="preserve"> Bargaining Policy</w:t>
      </w:r>
      <w:r w:rsidR="008872F4">
        <w:rPr>
          <w:rFonts w:cstheme="minorHAnsi"/>
        </w:rPr>
        <w:t>,</w:t>
      </w:r>
      <w:r w:rsidR="00656540">
        <w:rPr>
          <w:rFonts w:cstheme="minorHAnsi"/>
        </w:rPr>
        <w:t xml:space="preserve"> </w:t>
      </w:r>
      <w:r w:rsidR="008872F4">
        <w:rPr>
          <w:rFonts w:cstheme="minorHAnsi"/>
        </w:rPr>
        <w:t>agencies are seeking to remove</w:t>
      </w:r>
      <w:r w:rsidR="00656540">
        <w:rPr>
          <w:rFonts w:cstheme="minorHAnsi"/>
        </w:rPr>
        <w:t xml:space="preserve"> flexible working arrangements and</w:t>
      </w:r>
      <w:r w:rsidR="00AF0D92">
        <w:rPr>
          <w:rFonts w:cstheme="minorHAnsi"/>
        </w:rPr>
        <w:t xml:space="preserve"> part time work protections</w:t>
      </w:r>
      <w:r w:rsidR="008872F4">
        <w:rPr>
          <w:rFonts w:cstheme="minorHAnsi"/>
        </w:rPr>
        <w:t xml:space="preserve"> from enterprise agreements</w:t>
      </w:r>
      <w:r w:rsidR="00656540">
        <w:rPr>
          <w:rFonts w:cstheme="minorHAnsi"/>
        </w:rPr>
        <w:t>.</w:t>
      </w:r>
      <w:r w:rsidR="00516CCB">
        <w:rPr>
          <w:rFonts w:cstheme="minorHAnsi"/>
        </w:rPr>
        <w:t xml:space="preserve"> </w:t>
      </w:r>
      <w:r>
        <w:rPr>
          <w:rFonts w:cstheme="minorHAnsi"/>
        </w:rPr>
        <w:t>At least t</w:t>
      </w:r>
      <w:r w:rsidR="000B256E">
        <w:rPr>
          <w:rFonts w:cstheme="minorHAnsi"/>
        </w:rPr>
        <w:t xml:space="preserve">en </w:t>
      </w:r>
      <w:r w:rsidR="00516CCB">
        <w:rPr>
          <w:rFonts w:cstheme="minorHAnsi"/>
        </w:rPr>
        <w:t>ag</w:t>
      </w:r>
      <w:r w:rsidR="00ED4337">
        <w:rPr>
          <w:rFonts w:cstheme="minorHAnsi"/>
        </w:rPr>
        <w:t>encies have sought to do this</w:t>
      </w:r>
      <w:r w:rsidR="00516CCB">
        <w:rPr>
          <w:rFonts w:cstheme="minorHAnsi"/>
        </w:rPr>
        <w:t>.</w:t>
      </w:r>
    </w:p>
    <w:p w:rsidR="00B47657" w:rsidRDefault="00B47657" w:rsidP="00B83639">
      <w:pPr>
        <w:spacing w:after="0"/>
        <w:jc w:val="both"/>
        <w:rPr>
          <w:rFonts w:cstheme="minorHAnsi"/>
        </w:rPr>
      </w:pPr>
    </w:p>
    <w:p w:rsidR="00B47657" w:rsidRDefault="00B47657" w:rsidP="00B83639">
      <w:pPr>
        <w:spacing w:after="0"/>
        <w:jc w:val="both"/>
        <w:rPr>
          <w:rFonts w:cstheme="minorHAnsi"/>
        </w:rPr>
      </w:pPr>
    </w:p>
    <w:p w:rsidR="00DE270A" w:rsidRDefault="00DE270A" w:rsidP="00B83639">
      <w:pPr>
        <w:spacing w:after="0"/>
        <w:jc w:val="both"/>
        <w:rPr>
          <w:rFonts w:cstheme="minorHAnsi"/>
        </w:rPr>
      </w:pPr>
      <w:r>
        <w:rPr>
          <w:rFonts w:cstheme="minorHAnsi"/>
        </w:rPr>
        <w:t xml:space="preserve">The </w:t>
      </w:r>
      <w:r w:rsidR="0018531F">
        <w:rPr>
          <w:rFonts w:cstheme="minorHAnsi"/>
        </w:rPr>
        <w:t xml:space="preserve">types of </w:t>
      </w:r>
      <w:r>
        <w:rPr>
          <w:rFonts w:cstheme="minorHAnsi"/>
        </w:rPr>
        <w:t>clauses tha</w:t>
      </w:r>
      <w:r w:rsidR="0018531F">
        <w:rPr>
          <w:rFonts w:cstheme="minorHAnsi"/>
        </w:rPr>
        <w:t>t agencies are seeking to remove</w:t>
      </w:r>
      <w:r>
        <w:rPr>
          <w:rFonts w:cstheme="minorHAnsi"/>
        </w:rPr>
        <w:t xml:space="preserve"> from enterprise agreements in this round of </w:t>
      </w:r>
      <w:r w:rsidR="00A32083">
        <w:rPr>
          <w:rFonts w:cstheme="minorHAnsi"/>
        </w:rPr>
        <w:t xml:space="preserve">Commonwealth </w:t>
      </w:r>
      <w:r>
        <w:rPr>
          <w:rFonts w:cstheme="minorHAnsi"/>
        </w:rPr>
        <w:t xml:space="preserve">bargaining include: </w:t>
      </w:r>
    </w:p>
    <w:p w:rsidR="000C1B78" w:rsidRDefault="000C1B78" w:rsidP="00B83639">
      <w:pPr>
        <w:spacing w:after="0"/>
        <w:jc w:val="both"/>
        <w:rPr>
          <w:rFonts w:cstheme="minorHAnsi"/>
        </w:rPr>
      </w:pPr>
    </w:p>
    <w:p w:rsidR="00B9378D" w:rsidRDefault="0018531F" w:rsidP="00B83639">
      <w:pPr>
        <w:pStyle w:val="ListParagraph"/>
        <w:numPr>
          <w:ilvl w:val="0"/>
          <w:numId w:val="2"/>
        </w:numPr>
        <w:spacing w:after="0"/>
        <w:jc w:val="both"/>
        <w:rPr>
          <w:lang w:val="en-US"/>
        </w:rPr>
      </w:pPr>
      <w:r>
        <w:rPr>
          <w:lang w:val="en-US"/>
        </w:rPr>
        <w:t xml:space="preserve">Clauses that detail when an employee may seek a part time work arrangement, how those agreements are negotiated, </w:t>
      </w:r>
      <w:r w:rsidR="00530AC5">
        <w:rPr>
          <w:lang w:val="en-US"/>
        </w:rPr>
        <w:t xml:space="preserve">and </w:t>
      </w:r>
      <w:r>
        <w:rPr>
          <w:lang w:val="en-US"/>
        </w:rPr>
        <w:t>their d</w:t>
      </w:r>
      <w:r w:rsidR="00530AC5">
        <w:rPr>
          <w:lang w:val="en-US"/>
        </w:rPr>
        <w:t>uration</w:t>
      </w:r>
      <w:r w:rsidR="001C18BF">
        <w:rPr>
          <w:lang w:val="en-US"/>
        </w:rPr>
        <w:t xml:space="preserve">; </w:t>
      </w:r>
    </w:p>
    <w:p w:rsidR="0080381E" w:rsidRPr="00DE270A" w:rsidRDefault="0080381E" w:rsidP="0080381E">
      <w:pPr>
        <w:pStyle w:val="ListParagraph"/>
        <w:spacing w:after="0"/>
        <w:jc w:val="both"/>
        <w:rPr>
          <w:lang w:val="en-US"/>
        </w:rPr>
      </w:pPr>
    </w:p>
    <w:p w:rsidR="00B9378D" w:rsidRDefault="00DE270A" w:rsidP="00B83639">
      <w:pPr>
        <w:pStyle w:val="ListParagraph"/>
        <w:numPr>
          <w:ilvl w:val="0"/>
          <w:numId w:val="2"/>
        </w:numPr>
        <w:spacing w:after="0"/>
        <w:jc w:val="both"/>
        <w:rPr>
          <w:lang w:val="en-US"/>
        </w:rPr>
      </w:pPr>
      <w:r>
        <w:rPr>
          <w:lang w:val="en-US"/>
        </w:rPr>
        <w:t>F</w:t>
      </w:r>
      <w:r w:rsidR="00B9378D">
        <w:rPr>
          <w:lang w:val="en-US"/>
        </w:rPr>
        <w:t>lexible working arrangements</w:t>
      </w:r>
      <w:r>
        <w:rPr>
          <w:lang w:val="en-US"/>
        </w:rPr>
        <w:t xml:space="preserve"> for parents and </w:t>
      </w:r>
      <w:proofErr w:type="spellStart"/>
      <w:r>
        <w:rPr>
          <w:lang w:val="en-US"/>
        </w:rPr>
        <w:t>carers</w:t>
      </w:r>
      <w:proofErr w:type="spellEnd"/>
      <w:r w:rsidR="001C18BF">
        <w:rPr>
          <w:lang w:val="en-US"/>
        </w:rPr>
        <w:t>; and</w:t>
      </w:r>
    </w:p>
    <w:p w:rsidR="0080381E" w:rsidRDefault="0080381E" w:rsidP="0080381E">
      <w:pPr>
        <w:pStyle w:val="ListParagraph"/>
        <w:spacing w:after="0"/>
        <w:jc w:val="both"/>
        <w:rPr>
          <w:lang w:val="en-US"/>
        </w:rPr>
      </w:pPr>
    </w:p>
    <w:p w:rsidR="00DE270A" w:rsidRDefault="00DE270A" w:rsidP="00B83639">
      <w:pPr>
        <w:pStyle w:val="ListParagraph"/>
        <w:numPr>
          <w:ilvl w:val="0"/>
          <w:numId w:val="2"/>
        </w:numPr>
        <w:spacing w:after="0"/>
        <w:jc w:val="both"/>
        <w:rPr>
          <w:lang w:val="en-US"/>
        </w:rPr>
      </w:pPr>
      <w:r>
        <w:rPr>
          <w:lang w:val="en-US"/>
        </w:rPr>
        <w:t>Flex time provisions</w:t>
      </w:r>
      <w:r w:rsidR="0018531F">
        <w:rPr>
          <w:lang w:val="en-US"/>
        </w:rPr>
        <w:t>, and the circumstances in w</w:t>
      </w:r>
      <w:r w:rsidR="00B96B4C">
        <w:rPr>
          <w:lang w:val="en-US"/>
        </w:rPr>
        <w:t>hich flex time may be accessed</w:t>
      </w:r>
      <w:r w:rsidR="001C18BF">
        <w:rPr>
          <w:lang w:val="en-US"/>
        </w:rPr>
        <w:t>.</w:t>
      </w:r>
    </w:p>
    <w:p w:rsidR="00020B6F" w:rsidRDefault="00020B6F" w:rsidP="00B83639">
      <w:pPr>
        <w:spacing w:after="0"/>
        <w:jc w:val="both"/>
        <w:rPr>
          <w:lang w:val="en-US"/>
        </w:rPr>
      </w:pPr>
    </w:p>
    <w:p w:rsidR="004610BC" w:rsidRDefault="00641178" w:rsidP="00B83639">
      <w:pPr>
        <w:spacing w:after="0"/>
        <w:jc w:val="both"/>
        <w:rPr>
          <w:lang w:val="en-US"/>
        </w:rPr>
      </w:pPr>
      <w:r>
        <w:rPr>
          <w:lang w:val="en-US"/>
        </w:rPr>
        <w:t>Agencies have</w:t>
      </w:r>
      <w:r w:rsidR="004610BC">
        <w:rPr>
          <w:lang w:val="en-US"/>
        </w:rPr>
        <w:t xml:space="preserve"> also sought</w:t>
      </w:r>
      <w:r w:rsidR="00516CCB">
        <w:rPr>
          <w:lang w:val="en-US"/>
        </w:rPr>
        <w:t xml:space="preserve"> </w:t>
      </w:r>
      <w:r w:rsidR="004610BC">
        <w:rPr>
          <w:lang w:val="en-US"/>
        </w:rPr>
        <w:t xml:space="preserve">increases in standard working hours and </w:t>
      </w:r>
      <w:r w:rsidR="00402EE0">
        <w:rPr>
          <w:lang w:val="en-US"/>
        </w:rPr>
        <w:t>to reduce</w:t>
      </w:r>
      <w:r w:rsidR="007803C6">
        <w:rPr>
          <w:lang w:val="en-US"/>
        </w:rPr>
        <w:t xml:space="preserve"> personal and </w:t>
      </w:r>
      <w:proofErr w:type="spellStart"/>
      <w:r w:rsidR="00EA4A00">
        <w:rPr>
          <w:lang w:val="en-US"/>
        </w:rPr>
        <w:t>carer’s</w:t>
      </w:r>
      <w:proofErr w:type="spellEnd"/>
      <w:r w:rsidR="00530AC5">
        <w:rPr>
          <w:lang w:val="en-US"/>
        </w:rPr>
        <w:t xml:space="preserve"> l</w:t>
      </w:r>
      <w:r w:rsidR="004610BC">
        <w:rPr>
          <w:lang w:val="en-US"/>
        </w:rPr>
        <w:t>eave entitlements</w:t>
      </w:r>
      <w:r>
        <w:rPr>
          <w:lang w:val="en-US"/>
        </w:rPr>
        <w:t xml:space="preserve"> in enterprise agreements</w:t>
      </w:r>
      <w:r w:rsidR="004610BC">
        <w:rPr>
          <w:lang w:val="en-US"/>
        </w:rPr>
        <w:t>.</w:t>
      </w:r>
      <w:r w:rsidR="000B256E">
        <w:rPr>
          <w:lang w:val="en-US"/>
        </w:rPr>
        <w:t xml:space="preserve"> </w:t>
      </w:r>
      <w:r w:rsidR="007E1B1E">
        <w:rPr>
          <w:lang w:val="en-US"/>
        </w:rPr>
        <w:t>At this stage t</w:t>
      </w:r>
      <w:r w:rsidR="00F47633">
        <w:rPr>
          <w:lang w:val="en-US"/>
        </w:rPr>
        <w:t>wenty six</w:t>
      </w:r>
      <w:r w:rsidR="000B256E">
        <w:rPr>
          <w:lang w:val="en-US"/>
        </w:rPr>
        <w:t xml:space="preserve"> agencies have </w:t>
      </w:r>
      <w:r w:rsidR="007E1B1E">
        <w:rPr>
          <w:lang w:val="en-US"/>
        </w:rPr>
        <w:t xml:space="preserve">signaled an intention to </w:t>
      </w:r>
      <w:r w:rsidR="000B256E">
        <w:rPr>
          <w:lang w:val="en-US"/>
        </w:rPr>
        <w:t>increase working hours and</w:t>
      </w:r>
      <w:r w:rsidR="00402EE0">
        <w:rPr>
          <w:lang w:val="en-US"/>
        </w:rPr>
        <w:t xml:space="preserve"> twenty</w:t>
      </w:r>
      <w:r w:rsidR="000B256E">
        <w:rPr>
          <w:lang w:val="en-US"/>
        </w:rPr>
        <w:t xml:space="preserve"> have </w:t>
      </w:r>
      <w:r w:rsidR="007E1B1E">
        <w:rPr>
          <w:lang w:val="en-US"/>
        </w:rPr>
        <w:t>signaled an intention to reduce</w:t>
      </w:r>
      <w:r w:rsidR="008126E7">
        <w:rPr>
          <w:lang w:val="en-US"/>
        </w:rPr>
        <w:t xml:space="preserve"> </w:t>
      </w:r>
      <w:r w:rsidR="000B256E">
        <w:rPr>
          <w:lang w:val="en-US"/>
        </w:rPr>
        <w:t xml:space="preserve">personal </w:t>
      </w:r>
      <w:r w:rsidR="00FA0EEA">
        <w:rPr>
          <w:lang w:val="en-US"/>
        </w:rPr>
        <w:t xml:space="preserve">and </w:t>
      </w:r>
      <w:proofErr w:type="spellStart"/>
      <w:r w:rsidR="00EA4A00">
        <w:rPr>
          <w:lang w:val="en-US"/>
        </w:rPr>
        <w:t>carer’s</w:t>
      </w:r>
      <w:proofErr w:type="spellEnd"/>
      <w:r w:rsidR="00FA0EEA">
        <w:rPr>
          <w:lang w:val="en-US"/>
        </w:rPr>
        <w:t xml:space="preserve"> </w:t>
      </w:r>
      <w:r w:rsidR="000B256E">
        <w:rPr>
          <w:lang w:val="en-US"/>
        </w:rPr>
        <w:t>leave entitlements.</w:t>
      </w:r>
    </w:p>
    <w:p w:rsidR="000B256E" w:rsidRDefault="000B256E" w:rsidP="00B83639">
      <w:pPr>
        <w:spacing w:after="0"/>
        <w:jc w:val="both"/>
        <w:rPr>
          <w:lang w:val="en-US"/>
        </w:rPr>
      </w:pPr>
    </w:p>
    <w:p w:rsidR="008E77F7" w:rsidRPr="002B0579" w:rsidRDefault="00591F36" w:rsidP="00B83639">
      <w:pPr>
        <w:spacing w:after="0"/>
        <w:jc w:val="both"/>
        <w:rPr>
          <w:lang w:val="en-US"/>
        </w:rPr>
      </w:pPr>
      <w:r>
        <w:rPr>
          <w:lang w:val="en-US"/>
        </w:rPr>
        <w:t xml:space="preserve">These actions represent a backwards </w:t>
      </w:r>
      <w:r w:rsidR="00F244DD">
        <w:rPr>
          <w:lang w:val="en-US"/>
        </w:rPr>
        <w:t xml:space="preserve">step. </w:t>
      </w:r>
      <w:r w:rsidR="00530AC5">
        <w:rPr>
          <w:lang w:val="en-US"/>
        </w:rPr>
        <w:t xml:space="preserve"> </w:t>
      </w:r>
      <w:r w:rsidR="00F244DD">
        <w:rPr>
          <w:lang w:val="en-US"/>
        </w:rPr>
        <w:t>Instead,</w:t>
      </w:r>
      <w:r w:rsidR="000609EA" w:rsidRPr="002B0579">
        <w:rPr>
          <w:lang w:val="en-US"/>
        </w:rPr>
        <w:t xml:space="preserve"> the Commonwealth</w:t>
      </w:r>
      <w:r w:rsidR="00EA7533">
        <w:rPr>
          <w:lang w:val="en-US"/>
        </w:rPr>
        <w:t>, as a major national system employer,</w:t>
      </w:r>
      <w:r w:rsidR="000609EA" w:rsidRPr="002B0579">
        <w:rPr>
          <w:lang w:val="en-US"/>
        </w:rPr>
        <w:t xml:space="preserve"> should set an example </w:t>
      </w:r>
      <w:r>
        <w:rPr>
          <w:lang w:val="en-US"/>
        </w:rPr>
        <w:t xml:space="preserve">within the community </w:t>
      </w:r>
      <w:r w:rsidR="000609EA" w:rsidRPr="002B0579">
        <w:rPr>
          <w:lang w:val="en-US"/>
        </w:rPr>
        <w:t xml:space="preserve">and </w:t>
      </w:r>
      <w:r w:rsidR="008E77F7" w:rsidRPr="002B0579">
        <w:rPr>
          <w:lang w:val="en-US"/>
        </w:rPr>
        <w:t>advance flexible working arrang</w:t>
      </w:r>
      <w:r w:rsidR="00F244DD">
        <w:rPr>
          <w:lang w:val="en-US"/>
        </w:rPr>
        <w:t>ements</w:t>
      </w:r>
      <w:r w:rsidR="0079746A">
        <w:rPr>
          <w:lang w:val="en-US"/>
        </w:rPr>
        <w:t xml:space="preserve"> in order to </w:t>
      </w:r>
      <w:r w:rsidR="00104757">
        <w:rPr>
          <w:lang w:val="en-US"/>
        </w:rPr>
        <w:t xml:space="preserve">encourage </w:t>
      </w:r>
      <w:r w:rsidR="00530AC5">
        <w:rPr>
          <w:lang w:val="en-US"/>
        </w:rPr>
        <w:t xml:space="preserve">the </w:t>
      </w:r>
      <w:r w:rsidR="00104757">
        <w:rPr>
          <w:lang w:val="en-US"/>
        </w:rPr>
        <w:t>workforce participation of workers with family, caring, and other commitments.</w:t>
      </w:r>
      <w:r w:rsidR="008E4A0E">
        <w:rPr>
          <w:lang w:val="en-US"/>
        </w:rPr>
        <w:t xml:space="preserve"> </w:t>
      </w:r>
    </w:p>
    <w:p w:rsidR="009F2E2B" w:rsidRDefault="009F2E2B" w:rsidP="00B83639">
      <w:pPr>
        <w:shd w:val="clear" w:color="auto" w:fill="FFFFFF"/>
        <w:spacing w:after="0"/>
        <w:jc w:val="both"/>
        <w:rPr>
          <w:rFonts w:cstheme="minorHAnsi"/>
          <w:u w:val="single"/>
        </w:rPr>
      </w:pPr>
    </w:p>
    <w:p w:rsidR="00A408EC" w:rsidRDefault="00A408EC" w:rsidP="00B83639">
      <w:pPr>
        <w:shd w:val="clear" w:color="auto" w:fill="FFFFFF"/>
        <w:spacing w:after="0"/>
        <w:jc w:val="both"/>
        <w:rPr>
          <w:rFonts w:cstheme="minorHAnsi"/>
          <w:u w:val="single"/>
        </w:rPr>
      </w:pPr>
    </w:p>
    <w:p w:rsidR="00A3662C" w:rsidRPr="00D54F72" w:rsidRDefault="00A3662C" w:rsidP="00B83639">
      <w:pPr>
        <w:shd w:val="clear" w:color="auto" w:fill="FFFFFF"/>
        <w:spacing w:after="0"/>
        <w:jc w:val="both"/>
        <w:rPr>
          <w:rFonts w:asciiTheme="majorHAnsi" w:hAnsiTheme="majorHAnsi" w:cstheme="minorHAnsi"/>
          <w:b/>
          <w:sz w:val="28"/>
          <w:szCs w:val="28"/>
        </w:rPr>
      </w:pPr>
      <w:r w:rsidRPr="00D54F72">
        <w:rPr>
          <w:rFonts w:asciiTheme="majorHAnsi" w:hAnsiTheme="majorHAnsi" w:cstheme="minorHAnsi"/>
          <w:b/>
          <w:sz w:val="28"/>
          <w:szCs w:val="28"/>
        </w:rPr>
        <w:t>Taking protected industrial action</w:t>
      </w:r>
    </w:p>
    <w:p w:rsidR="009F2E2B" w:rsidRDefault="009F2E2B" w:rsidP="00B83639">
      <w:pPr>
        <w:shd w:val="clear" w:color="auto" w:fill="FFFFFF"/>
        <w:spacing w:after="0"/>
        <w:jc w:val="both"/>
        <w:rPr>
          <w:rFonts w:cstheme="minorHAnsi"/>
          <w:b/>
        </w:rPr>
      </w:pPr>
    </w:p>
    <w:p w:rsidR="00A3662C" w:rsidRDefault="00F00AA6" w:rsidP="00B83639">
      <w:pPr>
        <w:shd w:val="clear" w:color="auto" w:fill="FFFFFF"/>
        <w:spacing w:after="0"/>
        <w:jc w:val="both"/>
        <w:rPr>
          <w:rFonts w:cstheme="minorHAnsi"/>
        </w:rPr>
      </w:pPr>
      <w:r>
        <w:rPr>
          <w:rFonts w:cstheme="minorHAnsi"/>
        </w:rPr>
        <w:t>In Issues Paper 3</w:t>
      </w:r>
      <w:r w:rsidR="008F261B">
        <w:rPr>
          <w:rFonts w:cstheme="minorHAnsi"/>
        </w:rPr>
        <w:t xml:space="preserve"> </w:t>
      </w:r>
      <w:r w:rsidR="00A3662C">
        <w:rPr>
          <w:rFonts w:cstheme="minorHAnsi"/>
        </w:rPr>
        <w:t xml:space="preserve">the Productivity Commission asks a series of detailed questions about the adequacy of provisions relating to industrial action under the </w:t>
      </w:r>
      <w:proofErr w:type="gramStart"/>
      <w:r w:rsidR="00A3662C">
        <w:rPr>
          <w:rFonts w:cstheme="minorHAnsi"/>
        </w:rPr>
        <w:t>Act</w:t>
      </w:r>
      <w:r w:rsidR="00EA4A00">
        <w:rPr>
          <w:rFonts w:cstheme="minorHAnsi"/>
        </w:rPr>
        <w:t xml:space="preserve"> </w:t>
      </w:r>
      <w:proofErr w:type="gramEnd"/>
      <w:r w:rsidR="00011D0D" w:rsidRPr="006E4828">
        <w:rPr>
          <w:rStyle w:val="FootnoteReference"/>
          <w:rFonts w:asciiTheme="minorHAnsi" w:hAnsiTheme="minorHAnsi" w:cstheme="minorHAnsi"/>
          <w:szCs w:val="20"/>
        </w:rPr>
        <w:footnoteReference w:id="50"/>
      </w:r>
      <w:r w:rsidR="00A3662C">
        <w:rPr>
          <w:rFonts w:cstheme="minorHAnsi"/>
        </w:rPr>
        <w:t xml:space="preserve">. </w:t>
      </w:r>
    </w:p>
    <w:p w:rsidR="009F2E2B" w:rsidRDefault="009F2E2B" w:rsidP="00B83639">
      <w:pPr>
        <w:shd w:val="clear" w:color="auto" w:fill="FFFFFF"/>
        <w:spacing w:after="0"/>
        <w:jc w:val="both"/>
        <w:rPr>
          <w:rFonts w:cstheme="minorHAnsi"/>
        </w:rPr>
      </w:pPr>
    </w:p>
    <w:p w:rsidR="00A3662C" w:rsidRDefault="0070371C" w:rsidP="00B83639">
      <w:pPr>
        <w:shd w:val="clear" w:color="auto" w:fill="FFFFFF"/>
        <w:spacing w:after="0"/>
        <w:jc w:val="both"/>
        <w:rPr>
          <w:rFonts w:cstheme="minorHAnsi"/>
        </w:rPr>
      </w:pPr>
      <w:r>
        <w:rPr>
          <w:rFonts w:cstheme="minorHAnsi"/>
        </w:rPr>
        <w:t>E</w:t>
      </w:r>
      <w:r w:rsidR="00CF4235">
        <w:rPr>
          <w:rFonts w:cstheme="minorHAnsi"/>
        </w:rPr>
        <w:t>mployers have a range of options to exert pressure to influence employees to accept outcomes in bargaining. Many of these levers do not involve industrial action, but include tactics</w:t>
      </w:r>
      <w:r w:rsidR="00380D6C">
        <w:rPr>
          <w:rFonts w:cstheme="minorHAnsi"/>
        </w:rPr>
        <w:t xml:space="preserve"> such as </w:t>
      </w:r>
      <w:r w:rsidR="00CF4235">
        <w:rPr>
          <w:rFonts w:cstheme="minorHAnsi"/>
        </w:rPr>
        <w:t xml:space="preserve">threatening job losses and </w:t>
      </w:r>
      <w:r w:rsidR="004C6B9C">
        <w:rPr>
          <w:rFonts w:cstheme="minorHAnsi"/>
        </w:rPr>
        <w:t xml:space="preserve">avoiding or </w:t>
      </w:r>
      <w:r w:rsidR="00CF4235">
        <w:rPr>
          <w:rFonts w:cstheme="minorHAnsi"/>
        </w:rPr>
        <w:t xml:space="preserve">delaying negotiations.  </w:t>
      </w:r>
      <w:r>
        <w:rPr>
          <w:rFonts w:cstheme="minorHAnsi"/>
        </w:rPr>
        <w:t>In contrast, e</w:t>
      </w:r>
      <w:r w:rsidR="00B97D6B">
        <w:rPr>
          <w:rFonts w:cstheme="minorHAnsi"/>
        </w:rPr>
        <w:t>mployees have few options to bring bargaining to a resolution where the employer has no in</w:t>
      </w:r>
      <w:r w:rsidR="00E9286B">
        <w:rPr>
          <w:rFonts w:cstheme="minorHAnsi"/>
        </w:rPr>
        <w:t>terest in reaching an agreed</w:t>
      </w:r>
      <w:r w:rsidR="00B97D6B">
        <w:rPr>
          <w:rFonts w:cstheme="minorHAnsi"/>
        </w:rPr>
        <w:t xml:space="preserve"> outcome. Protected industrial action is one of those avenues, although it is by no me</w:t>
      </w:r>
      <w:r w:rsidR="00A33EE2">
        <w:rPr>
          <w:rFonts w:cstheme="minorHAnsi"/>
        </w:rPr>
        <w:t xml:space="preserve">ans easily accessible. </w:t>
      </w:r>
      <w:r w:rsidR="00A3662C">
        <w:rPr>
          <w:rFonts w:cstheme="minorHAnsi"/>
        </w:rPr>
        <w:t>The CPSU opposes any fur</w:t>
      </w:r>
      <w:r w:rsidR="00D35F9F">
        <w:rPr>
          <w:rFonts w:cstheme="minorHAnsi"/>
        </w:rPr>
        <w:t>ther restrictions on employees taking industrial action</w:t>
      </w:r>
      <w:r w:rsidR="00A3662C">
        <w:rPr>
          <w:rFonts w:cstheme="minorHAnsi"/>
        </w:rPr>
        <w:t>. It is already an one</w:t>
      </w:r>
      <w:r w:rsidR="0080381E">
        <w:rPr>
          <w:rFonts w:cstheme="minorHAnsi"/>
        </w:rPr>
        <w:t>rous and lengthy process, with</w:t>
      </w:r>
      <w:r w:rsidR="00A3662C">
        <w:rPr>
          <w:rFonts w:cstheme="minorHAnsi"/>
        </w:rPr>
        <w:t xml:space="preserve"> multiple opportunities for an employer to obstruct</w:t>
      </w:r>
      <w:r w:rsidR="00851681">
        <w:rPr>
          <w:rFonts w:cstheme="minorHAnsi"/>
        </w:rPr>
        <w:t xml:space="preserve"> the taking of action on various</w:t>
      </w:r>
      <w:r w:rsidR="00A3662C">
        <w:rPr>
          <w:rFonts w:cstheme="minorHAnsi"/>
        </w:rPr>
        <w:t xml:space="preserve"> procedural grounds. </w:t>
      </w:r>
      <w:r w:rsidR="00136219">
        <w:rPr>
          <w:rFonts w:cstheme="minorHAnsi"/>
        </w:rPr>
        <w:t xml:space="preserve"> </w:t>
      </w:r>
    </w:p>
    <w:p w:rsidR="00B62408" w:rsidRDefault="00B62408" w:rsidP="00B83639">
      <w:pPr>
        <w:shd w:val="clear" w:color="auto" w:fill="FFFFFF"/>
        <w:spacing w:after="0"/>
        <w:jc w:val="both"/>
        <w:rPr>
          <w:rFonts w:cstheme="minorHAnsi"/>
        </w:rPr>
      </w:pPr>
    </w:p>
    <w:p w:rsidR="00E45C0A" w:rsidRDefault="00E45C0A" w:rsidP="00B83639">
      <w:pPr>
        <w:shd w:val="clear" w:color="auto" w:fill="FFFFFF"/>
        <w:spacing w:after="0"/>
        <w:jc w:val="both"/>
        <w:rPr>
          <w:rFonts w:cstheme="minorHAnsi"/>
        </w:rPr>
      </w:pPr>
      <w:r>
        <w:rPr>
          <w:rFonts w:cstheme="minorHAnsi"/>
        </w:rPr>
        <w:t xml:space="preserve">The CPSU does note, however, </w:t>
      </w:r>
      <w:r w:rsidR="00BD2AA0">
        <w:rPr>
          <w:rFonts w:cstheme="minorHAnsi"/>
        </w:rPr>
        <w:t xml:space="preserve">that </w:t>
      </w:r>
      <w:r w:rsidR="00E27D2A">
        <w:rPr>
          <w:rFonts w:cstheme="minorHAnsi"/>
        </w:rPr>
        <w:t xml:space="preserve">industrial </w:t>
      </w:r>
      <w:r w:rsidR="005B65D5">
        <w:rPr>
          <w:rFonts w:cstheme="minorHAnsi"/>
        </w:rPr>
        <w:t xml:space="preserve">disputes </w:t>
      </w:r>
      <w:r w:rsidR="00E27D2A">
        <w:rPr>
          <w:rFonts w:cstheme="minorHAnsi"/>
        </w:rPr>
        <w:t>could be avoided if the bargaining system was geared towards requiring the parties to genuine</w:t>
      </w:r>
      <w:r w:rsidR="00BD2AA0">
        <w:rPr>
          <w:rFonts w:cstheme="minorHAnsi"/>
        </w:rPr>
        <w:t>ly</w:t>
      </w:r>
      <w:r w:rsidR="00E27D2A">
        <w:rPr>
          <w:rFonts w:cstheme="minorHAnsi"/>
        </w:rPr>
        <w:t xml:space="preserve"> negotiate, and if there was a stronger role for the Fair Work Commission to resolve bargaining disputes. Currently, employees have few options </w:t>
      </w:r>
      <w:r w:rsidR="00A403D5">
        <w:rPr>
          <w:rFonts w:cstheme="minorHAnsi"/>
        </w:rPr>
        <w:t>for</w:t>
      </w:r>
      <w:r w:rsidR="00E27D2A">
        <w:rPr>
          <w:rFonts w:cstheme="minorHAnsi"/>
        </w:rPr>
        <w:t xml:space="preserve"> concluding bargaining where an employer has no desire to conclude bargaining fairly, other than </w:t>
      </w:r>
      <w:r w:rsidR="00D34630">
        <w:rPr>
          <w:rFonts w:cstheme="minorHAnsi"/>
        </w:rPr>
        <w:t>look</w:t>
      </w:r>
      <w:r w:rsidR="000D18CD">
        <w:rPr>
          <w:rFonts w:cstheme="minorHAnsi"/>
        </w:rPr>
        <w:t>ing</w:t>
      </w:r>
      <w:r w:rsidR="00D34630">
        <w:rPr>
          <w:rFonts w:cstheme="minorHAnsi"/>
        </w:rPr>
        <w:t xml:space="preserve"> to industrial action. </w:t>
      </w:r>
      <w:r w:rsidR="00B03AE0">
        <w:rPr>
          <w:rFonts w:cstheme="minorHAnsi"/>
        </w:rPr>
        <w:t xml:space="preserve"> </w:t>
      </w:r>
    </w:p>
    <w:p w:rsidR="009F2E2B" w:rsidRDefault="009F2E2B" w:rsidP="00B83639">
      <w:pPr>
        <w:shd w:val="clear" w:color="auto" w:fill="FFFFFF"/>
        <w:spacing w:after="0"/>
        <w:jc w:val="both"/>
        <w:rPr>
          <w:rFonts w:cstheme="minorHAnsi"/>
        </w:rPr>
      </w:pPr>
    </w:p>
    <w:p w:rsidR="00A3662C" w:rsidRDefault="00312689" w:rsidP="00B83639">
      <w:pPr>
        <w:shd w:val="clear" w:color="auto" w:fill="FFFFFF"/>
        <w:spacing w:after="0"/>
        <w:jc w:val="both"/>
        <w:rPr>
          <w:rFonts w:cstheme="minorHAnsi"/>
        </w:rPr>
      </w:pPr>
      <w:r>
        <w:rPr>
          <w:rFonts w:cstheme="minorHAnsi"/>
        </w:rPr>
        <w:t xml:space="preserve">In Issues Paper 3, the Productivity Commission asks whether employers should have access to a broader range of options for taking industrial action against their </w:t>
      </w:r>
      <w:proofErr w:type="gramStart"/>
      <w:r>
        <w:rPr>
          <w:rFonts w:cstheme="minorHAnsi"/>
        </w:rPr>
        <w:t>employees</w:t>
      </w:r>
      <w:r w:rsidR="00EA4A00">
        <w:rPr>
          <w:rFonts w:cstheme="minorHAnsi"/>
        </w:rPr>
        <w:t xml:space="preserve"> </w:t>
      </w:r>
      <w:proofErr w:type="gramEnd"/>
      <w:r w:rsidR="00A33EE2" w:rsidRPr="00A33EE2">
        <w:rPr>
          <w:rStyle w:val="FootnoteReference"/>
          <w:rFonts w:asciiTheme="minorHAnsi" w:hAnsiTheme="minorHAnsi" w:cstheme="minorHAnsi"/>
          <w:szCs w:val="20"/>
        </w:rPr>
        <w:footnoteReference w:id="51"/>
      </w:r>
      <w:r>
        <w:rPr>
          <w:rFonts w:cstheme="minorHAnsi"/>
        </w:rPr>
        <w:t xml:space="preserve">. </w:t>
      </w:r>
      <w:r w:rsidR="00B03AE0">
        <w:rPr>
          <w:rFonts w:cstheme="minorHAnsi"/>
        </w:rPr>
        <w:t xml:space="preserve"> </w:t>
      </w:r>
      <w:r w:rsidR="00A3662C">
        <w:rPr>
          <w:rFonts w:cstheme="minorHAnsi"/>
        </w:rPr>
        <w:t>The CPSU is opposed to any further opportunities for employers to take r</w:t>
      </w:r>
      <w:r>
        <w:rPr>
          <w:rFonts w:cstheme="minorHAnsi"/>
        </w:rPr>
        <w:t xml:space="preserve">esponse action </w:t>
      </w:r>
      <w:r w:rsidR="00F5667F">
        <w:rPr>
          <w:rFonts w:cstheme="minorHAnsi"/>
        </w:rPr>
        <w:t xml:space="preserve">against </w:t>
      </w:r>
      <w:r w:rsidR="004C20D3">
        <w:rPr>
          <w:rFonts w:cstheme="minorHAnsi"/>
        </w:rPr>
        <w:t>their</w:t>
      </w:r>
      <w:r>
        <w:rPr>
          <w:rFonts w:cstheme="minorHAnsi"/>
        </w:rPr>
        <w:t xml:space="preserve"> workforce. Employers already exercise significant control in bargaining, including making the decision about when to commence negotiation</w:t>
      </w:r>
      <w:r w:rsidR="00C06E5A">
        <w:rPr>
          <w:rFonts w:cstheme="minorHAnsi"/>
        </w:rPr>
        <w:t xml:space="preserve">s, when to submit a proposal for </w:t>
      </w:r>
      <w:r>
        <w:rPr>
          <w:rFonts w:cstheme="minorHAnsi"/>
        </w:rPr>
        <w:t>employees to consider, and a range of actions in t</w:t>
      </w:r>
      <w:r w:rsidR="00E21998">
        <w:rPr>
          <w:rFonts w:cstheme="minorHAnsi"/>
        </w:rPr>
        <w:t xml:space="preserve">he context of industrial action, including </w:t>
      </w:r>
      <w:r w:rsidR="00A3662C">
        <w:rPr>
          <w:rFonts w:cstheme="minorHAnsi"/>
        </w:rPr>
        <w:t>lock outs</w:t>
      </w:r>
      <w:r w:rsidR="00EA4A00">
        <w:rPr>
          <w:rFonts w:cstheme="minorHAnsi"/>
        </w:rPr>
        <w:t xml:space="preserve"> </w:t>
      </w:r>
      <w:r w:rsidR="00136219" w:rsidRPr="00FB6354">
        <w:rPr>
          <w:rStyle w:val="FootnoteReference"/>
          <w:rFonts w:asciiTheme="minorHAnsi" w:hAnsiTheme="minorHAnsi" w:cstheme="minorHAnsi"/>
        </w:rPr>
        <w:footnoteReference w:id="52"/>
      </w:r>
      <w:r w:rsidR="00C06E5A">
        <w:rPr>
          <w:rFonts w:cstheme="minorHAnsi"/>
        </w:rPr>
        <w:t xml:space="preserve"> </w:t>
      </w:r>
      <w:r w:rsidR="00A3662C">
        <w:rPr>
          <w:rFonts w:cstheme="minorHAnsi"/>
        </w:rPr>
        <w:t xml:space="preserve">and </w:t>
      </w:r>
      <w:r>
        <w:rPr>
          <w:rFonts w:cstheme="minorHAnsi"/>
        </w:rPr>
        <w:t>the option of deduct</w:t>
      </w:r>
      <w:r w:rsidR="00C06E5A">
        <w:rPr>
          <w:rFonts w:cstheme="minorHAnsi"/>
        </w:rPr>
        <w:t>ing</w:t>
      </w:r>
      <w:r>
        <w:rPr>
          <w:rFonts w:cstheme="minorHAnsi"/>
        </w:rPr>
        <w:t xml:space="preserve"> pay and refusing</w:t>
      </w:r>
      <w:r w:rsidR="00A3662C">
        <w:rPr>
          <w:rFonts w:cstheme="minorHAnsi"/>
        </w:rPr>
        <w:t xml:space="preserve"> to accept</w:t>
      </w:r>
      <w:r>
        <w:rPr>
          <w:rFonts w:cstheme="minorHAnsi"/>
        </w:rPr>
        <w:t xml:space="preserve"> any work from employee</w:t>
      </w:r>
      <w:r w:rsidR="00D81F7E">
        <w:rPr>
          <w:rFonts w:cstheme="minorHAnsi"/>
        </w:rPr>
        <w:t>s</w:t>
      </w:r>
      <w:r>
        <w:rPr>
          <w:rFonts w:cstheme="minorHAnsi"/>
        </w:rPr>
        <w:t xml:space="preserve"> when </w:t>
      </w:r>
      <w:r w:rsidR="00A3662C">
        <w:rPr>
          <w:rFonts w:cstheme="minorHAnsi"/>
        </w:rPr>
        <w:t>partial work bans</w:t>
      </w:r>
      <w:r>
        <w:rPr>
          <w:rFonts w:cstheme="minorHAnsi"/>
        </w:rPr>
        <w:t xml:space="preserve"> are imposed</w:t>
      </w:r>
      <w:r w:rsidR="00EA4A00">
        <w:rPr>
          <w:rFonts w:cstheme="minorHAnsi"/>
        </w:rPr>
        <w:t xml:space="preserve"> </w:t>
      </w:r>
      <w:r w:rsidR="00136219" w:rsidRPr="00FB6354">
        <w:rPr>
          <w:rStyle w:val="FootnoteReference"/>
          <w:rFonts w:asciiTheme="minorHAnsi" w:hAnsiTheme="minorHAnsi" w:cstheme="minorHAnsi"/>
        </w:rPr>
        <w:footnoteReference w:id="53"/>
      </w:r>
      <w:r w:rsidR="00136219">
        <w:rPr>
          <w:rFonts w:cstheme="minorHAnsi"/>
        </w:rPr>
        <w:t>.</w:t>
      </w:r>
      <w:r w:rsidR="00FE11B2">
        <w:rPr>
          <w:rFonts w:cstheme="minorHAnsi"/>
        </w:rPr>
        <w:t xml:space="preserve"> </w:t>
      </w:r>
    </w:p>
    <w:p w:rsidR="009F2E2B" w:rsidRDefault="009F2E2B" w:rsidP="00B83639">
      <w:pPr>
        <w:shd w:val="clear" w:color="auto" w:fill="FFFFFF"/>
        <w:spacing w:after="0"/>
        <w:jc w:val="both"/>
        <w:rPr>
          <w:rFonts w:cstheme="minorHAnsi"/>
        </w:rPr>
      </w:pPr>
    </w:p>
    <w:p w:rsidR="00696B32" w:rsidRDefault="00696B32" w:rsidP="00B83639">
      <w:pPr>
        <w:shd w:val="clear" w:color="auto" w:fill="FFFFFF"/>
        <w:spacing w:after="0"/>
        <w:jc w:val="both"/>
        <w:rPr>
          <w:rFonts w:cstheme="minorHAnsi"/>
        </w:rPr>
      </w:pPr>
    </w:p>
    <w:p w:rsidR="003E748A" w:rsidRPr="00D54F72" w:rsidRDefault="003E748A" w:rsidP="00B83639">
      <w:pPr>
        <w:shd w:val="clear" w:color="auto" w:fill="FFFFFF"/>
        <w:spacing w:after="0"/>
        <w:jc w:val="both"/>
        <w:rPr>
          <w:rFonts w:asciiTheme="majorHAnsi" w:hAnsiTheme="majorHAnsi" w:cstheme="minorHAnsi"/>
          <w:b/>
          <w:sz w:val="28"/>
          <w:szCs w:val="28"/>
        </w:rPr>
      </w:pPr>
      <w:r w:rsidRPr="00D54F72">
        <w:rPr>
          <w:rFonts w:asciiTheme="majorHAnsi" w:hAnsiTheme="majorHAnsi" w:cstheme="minorHAnsi"/>
          <w:b/>
          <w:sz w:val="28"/>
          <w:szCs w:val="28"/>
        </w:rPr>
        <w:t xml:space="preserve">Individual Flexibility Arrangements </w:t>
      </w:r>
    </w:p>
    <w:p w:rsidR="009F2E2B" w:rsidRPr="00AE3F4E" w:rsidRDefault="009F2E2B" w:rsidP="00B83639">
      <w:pPr>
        <w:shd w:val="clear" w:color="auto" w:fill="FFFFFF"/>
        <w:spacing w:after="0"/>
        <w:jc w:val="both"/>
        <w:rPr>
          <w:rFonts w:cstheme="minorHAnsi"/>
          <w:b/>
        </w:rPr>
      </w:pPr>
    </w:p>
    <w:p w:rsidR="00DD1594" w:rsidRDefault="00727914" w:rsidP="00B83639">
      <w:pPr>
        <w:shd w:val="clear" w:color="auto" w:fill="FFFFFF"/>
        <w:spacing w:after="0"/>
        <w:jc w:val="both"/>
        <w:rPr>
          <w:rFonts w:cstheme="minorHAnsi"/>
        </w:rPr>
      </w:pPr>
      <w:r>
        <w:rPr>
          <w:rFonts w:cstheme="minorHAnsi"/>
        </w:rPr>
        <w:t>In I</w:t>
      </w:r>
      <w:r w:rsidR="00F00AA6">
        <w:rPr>
          <w:rFonts w:cstheme="minorHAnsi"/>
        </w:rPr>
        <w:t>ssues Paper 3</w:t>
      </w:r>
      <w:r w:rsidRPr="00C038EC">
        <w:rPr>
          <w:rFonts w:cstheme="minorHAnsi"/>
        </w:rPr>
        <w:t xml:space="preserve"> the Pr</w:t>
      </w:r>
      <w:r w:rsidR="00CD7EE6">
        <w:rPr>
          <w:rFonts w:cstheme="minorHAnsi"/>
        </w:rPr>
        <w:t>oductivity Commission examines Individual Flexibility Arrangements (IFAs)</w:t>
      </w:r>
      <w:r w:rsidRPr="00C038EC">
        <w:rPr>
          <w:rFonts w:cstheme="minorHAnsi"/>
        </w:rPr>
        <w:t xml:space="preserve"> and asks a serious of detailed questions about the benefits and costs of IFAs and the protections that are </w:t>
      </w:r>
      <w:proofErr w:type="gramStart"/>
      <w:r w:rsidRPr="00C038EC">
        <w:rPr>
          <w:rFonts w:cstheme="minorHAnsi"/>
        </w:rPr>
        <w:t>needed</w:t>
      </w:r>
      <w:r w:rsidR="00EA4A00">
        <w:rPr>
          <w:rFonts w:cstheme="minorHAnsi"/>
        </w:rPr>
        <w:t xml:space="preserve"> </w:t>
      </w:r>
      <w:proofErr w:type="gramEnd"/>
      <w:r w:rsidR="00E94B77" w:rsidRPr="00E94B77">
        <w:rPr>
          <w:rStyle w:val="FootnoteReference"/>
          <w:rFonts w:asciiTheme="minorHAnsi" w:hAnsiTheme="minorHAnsi" w:cstheme="minorHAnsi"/>
        </w:rPr>
        <w:footnoteReference w:id="54"/>
      </w:r>
      <w:r w:rsidRPr="00C038EC">
        <w:rPr>
          <w:rFonts w:cstheme="minorHAnsi"/>
        </w:rPr>
        <w:t>.</w:t>
      </w:r>
    </w:p>
    <w:p w:rsidR="00DD1594" w:rsidRDefault="00DD1594" w:rsidP="00B83639">
      <w:pPr>
        <w:shd w:val="clear" w:color="auto" w:fill="FFFFFF"/>
        <w:spacing w:after="0"/>
        <w:jc w:val="both"/>
        <w:rPr>
          <w:rFonts w:cstheme="minorHAnsi"/>
        </w:rPr>
      </w:pPr>
    </w:p>
    <w:p w:rsidR="004A5B6A" w:rsidRDefault="005C2E3F" w:rsidP="00B83639">
      <w:pPr>
        <w:shd w:val="clear" w:color="auto" w:fill="FFFFFF"/>
        <w:spacing w:after="0"/>
        <w:jc w:val="both"/>
        <w:rPr>
          <w:rFonts w:cstheme="minorHAnsi"/>
        </w:rPr>
      </w:pPr>
      <w:r>
        <w:rPr>
          <w:rFonts w:cstheme="minorHAnsi"/>
        </w:rPr>
        <w:t xml:space="preserve">The CPSU </w:t>
      </w:r>
      <w:r w:rsidR="00DD1594">
        <w:rPr>
          <w:rFonts w:cstheme="minorHAnsi"/>
        </w:rPr>
        <w:t xml:space="preserve">is </w:t>
      </w:r>
      <w:r>
        <w:rPr>
          <w:rFonts w:cstheme="minorHAnsi"/>
        </w:rPr>
        <w:t xml:space="preserve">opposed </w:t>
      </w:r>
      <w:r w:rsidR="00DD1594">
        <w:rPr>
          <w:rFonts w:cstheme="minorHAnsi"/>
        </w:rPr>
        <w:t>to any changes that may</w:t>
      </w:r>
      <w:r>
        <w:rPr>
          <w:rFonts w:cstheme="minorHAnsi"/>
        </w:rPr>
        <w:t xml:space="preserve"> water down protections</w:t>
      </w:r>
      <w:r w:rsidR="00DD1594">
        <w:rPr>
          <w:rFonts w:cstheme="minorHAnsi"/>
        </w:rPr>
        <w:t xml:space="preserve"> that ensure IFAs are not used </w:t>
      </w:r>
      <w:r w:rsidR="002E199F">
        <w:rPr>
          <w:rFonts w:cstheme="minorHAnsi"/>
        </w:rPr>
        <w:t>to undermine</w:t>
      </w:r>
      <w:r w:rsidR="00292CC2">
        <w:rPr>
          <w:rFonts w:cstheme="minorHAnsi"/>
        </w:rPr>
        <w:t xml:space="preserve"> working conditions and basic protections for employees.</w:t>
      </w:r>
      <w:r w:rsidR="00DD3E53">
        <w:rPr>
          <w:rFonts w:cstheme="minorHAnsi"/>
        </w:rPr>
        <w:t xml:space="preserve">  Such changes are currently before Parliament in the </w:t>
      </w:r>
      <w:r w:rsidR="00DD3E53" w:rsidRPr="00DD3E53">
        <w:rPr>
          <w:rFonts w:cstheme="minorHAnsi"/>
          <w:i/>
        </w:rPr>
        <w:t xml:space="preserve">Fair Work Amendment Bill </w:t>
      </w:r>
      <w:proofErr w:type="gramStart"/>
      <w:r w:rsidR="00DD3E53" w:rsidRPr="00DD3E53">
        <w:rPr>
          <w:rFonts w:cstheme="minorHAnsi"/>
          <w:i/>
        </w:rPr>
        <w:t>2014</w:t>
      </w:r>
      <w:r w:rsidR="00EA4A00">
        <w:rPr>
          <w:rFonts w:cstheme="minorHAnsi"/>
          <w:i/>
        </w:rPr>
        <w:t xml:space="preserve"> </w:t>
      </w:r>
      <w:proofErr w:type="gramEnd"/>
      <w:r w:rsidR="00DD3E53" w:rsidRPr="009317D8">
        <w:rPr>
          <w:rStyle w:val="FootnoteReference"/>
          <w:rFonts w:asciiTheme="minorHAnsi" w:hAnsiTheme="minorHAnsi" w:cstheme="minorHAnsi"/>
        </w:rPr>
        <w:footnoteReference w:id="55"/>
      </w:r>
      <w:r w:rsidR="00DD3E53">
        <w:rPr>
          <w:rFonts w:cstheme="minorHAnsi"/>
        </w:rPr>
        <w:t xml:space="preserve">. </w:t>
      </w:r>
      <w:r w:rsidR="00292CC2">
        <w:rPr>
          <w:rFonts w:cstheme="minorHAnsi"/>
        </w:rPr>
        <w:t xml:space="preserve"> </w:t>
      </w:r>
      <w:r w:rsidR="00DD3E53">
        <w:rPr>
          <w:rFonts w:cstheme="minorHAnsi"/>
        </w:rPr>
        <w:t xml:space="preserve"> </w:t>
      </w:r>
    </w:p>
    <w:p w:rsidR="004A5B6A" w:rsidRDefault="004A5B6A" w:rsidP="00B83639">
      <w:pPr>
        <w:shd w:val="clear" w:color="auto" w:fill="FFFFFF"/>
        <w:spacing w:after="0"/>
        <w:jc w:val="both"/>
        <w:rPr>
          <w:rFonts w:cstheme="minorHAnsi"/>
        </w:rPr>
      </w:pPr>
    </w:p>
    <w:p w:rsidR="00727914" w:rsidRDefault="007F0A03" w:rsidP="00B83639">
      <w:pPr>
        <w:shd w:val="clear" w:color="auto" w:fill="FFFFFF"/>
        <w:spacing w:after="0"/>
        <w:jc w:val="both"/>
        <w:rPr>
          <w:rFonts w:cstheme="minorHAnsi"/>
        </w:rPr>
      </w:pPr>
      <w:r>
        <w:rPr>
          <w:rFonts w:cstheme="minorHAnsi"/>
        </w:rPr>
        <w:t xml:space="preserve">The Bill seeks </w:t>
      </w:r>
      <w:proofErr w:type="gramStart"/>
      <w:r>
        <w:rPr>
          <w:rFonts w:cstheme="minorHAnsi"/>
        </w:rPr>
        <w:t>to</w:t>
      </w:r>
      <w:r w:rsidR="00EA4A00">
        <w:rPr>
          <w:rFonts w:cstheme="minorHAnsi"/>
        </w:rPr>
        <w:t xml:space="preserve"> </w:t>
      </w:r>
      <w:proofErr w:type="gramEnd"/>
      <w:r w:rsidR="002D74B1" w:rsidRPr="009317D8">
        <w:rPr>
          <w:rStyle w:val="FootnoteReference"/>
          <w:rFonts w:asciiTheme="minorHAnsi" w:hAnsiTheme="minorHAnsi" w:cstheme="minorHAnsi"/>
        </w:rPr>
        <w:footnoteReference w:id="56"/>
      </w:r>
      <w:r>
        <w:rPr>
          <w:rFonts w:cstheme="minorHAnsi"/>
        </w:rPr>
        <w:t>:</w:t>
      </w:r>
    </w:p>
    <w:p w:rsidR="004A5B6A" w:rsidRDefault="004A5B6A" w:rsidP="00B83639">
      <w:pPr>
        <w:shd w:val="clear" w:color="auto" w:fill="FFFFFF"/>
        <w:spacing w:after="0"/>
        <w:jc w:val="both"/>
        <w:rPr>
          <w:rFonts w:cstheme="minorHAnsi"/>
        </w:rPr>
      </w:pPr>
    </w:p>
    <w:p w:rsidR="007F0A03" w:rsidRDefault="007F0A03" w:rsidP="007F0A03">
      <w:pPr>
        <w:pStyle w:val="ListParagraph"/>
        <w:numPr>
          <w:ilvl w:val="0"/>
          <w:numId w:val="2"/>
        </w:numPr>
        <w:shd w:val="clear" w:color="auto" w:fill="FFFFFF"/>
        <w:spacing w:after="0"/>
        <w:jc w:val="both"/>
        <w:rPr>
          <w:rFonts w:cstheme="minorHAnsi"/>
        </w:rPr>
      </w:pPr>
      <w:r>
        <w:rPr>
          <w:rFonts w:cstheme="minorHAnsi"/>
        </w:rPr>
        <w:t xml:space="preserve">Extend the notice period </w:t>
      </w:r>
      <w:r w:rsidR="00C06E5A">
        <w:rPr>
          <w:rFonts w:cstheme="minorHAnsi"/>
        </w:rPr>
        <w:t xml:space="preserve">for terminating an IFA </w:t>
      </w:r>
      <w:r>
        <w:rPr>
          <w:rFonts w:cstheme="minorHAnsi"/>
        </w:rPr>
        <w:t>from 4 weeks to 13</w:t>
      </w:r>
      <w:r w:rsidR="00F82C6F">
        <w:rPr>
          <w:rFonts w:cstheme="minorHAnsi"/>
        </w:rPr>
        <w:t xml:space="preserve"> weeks</w:t>
      </w:r>
      <w:r w:rsidR="00542822">
        <w:rPr>
          <w:rFonts w:cstheme="minorHAnsi"/>
        </w:rPr>
        <w:t>;</w:t>
      </w:r>
    </w:p>
    <w:p w:rsidR="00F82C6F" w:rsidRDefault="003C67A1" w:rsidP="007F0A03">
      <w:pPr>
        <w:pStyle w:val="ListParagraph"/>
        <w:numPr>
          <w:ilvl w:val="0"/>
          <w:numId w:val="2"/>
        </w:numPr>
        <w:shd w:val="clear" w:color="auto" w:fill="FFFFFF"/>
        <w:spacing w:after="0"/>
        <w:jc w:val="both"/>
        <w:rPr>
          <w:rFonts w:cstheme="minorHAnsi"/>
        </w:rPr>
      </w:pPr>
      <w:r>
        <w:rPr>
          <w:rFonts w:cstheme="minorHAnsi"/>
        </w:rPr>
        <w:t>Create</w:t>
      </w:r>
      <w:r w:rsidR="00F82C6F">
        <w:rPr>
          <w:rFonts w:cstheme="minorHAnsi"/>
        </w:rPr>
        <w:t xml:space="preserve"> a </w:t>
      </w:r>
      <w:r w:rsidR="006E400A">
        <w:rPr>
          <w:rFonts w:cstheme="minorHAnsi"/>
        </w:rPr>
        <w:t xml:space="preserve">defence for employers that have contravened a flexibility term of an </w:t>
      </w:r>
      <w:r w:rsidR="005B00BD">
        <w:rPr>
          <w:rFonts w:cstheme="minorHAnsi"/>
        </w:rPr>
        <w:t>enterprise</w:t>
      </w:r>
      <w:r w:rsidR="006E400A">
        <w:rPr>
          <w:rFonts w:cstheme="minorHAnsi"/>
        </w:rPr>
        <w:t xml:space="preserve"> agreement </w:t>
      </w:r>
      <w:r w:rsidR="00D81F7E">
        <w:rPr>
          <w:rFonts w:cstheme="minorHAnsi"/>
        </w:rPr>
        <w:t xml:space="preserve">on the grounds that </w:t>
      </w:r>
      <w:r w:rsidR="006E400A">
        <w:rPr>
          <w:rFonts w:cstheme="minorHAnsi"/>
        </w:rPr>
        <w:t>the employer was of a reasonable belief that the employee was better off</w:t>
      </w:r>
      <w:r w:rsidR="00542822">
        <w:rPr>
          <w:rFonts w:cstheme="minorHAnsi"/>
        </w:rPr>
        <w:t>;</w:t>
      </w:r>
      <w:r w:rsidR="006E400A">
        <w:rPr>
          <w:rFonts w:cstheme="minorHAnsi"/>
        </w:rPr>
        <w:t xml:space="preserve"> </w:t>
      </w:r>
    </w:p>
    <w:p w:rsidR="004342DF" w:rsidRDefault="003C67A1" w:rsidP="007F0A03">
      <w:pPr>
        <w:pStyle w:val="ListParagraph"/>
        <w:numPr>
          <w:ilvl w:val="0"/>
          <w:numId w:val="2"/>
        </w:numPr>
        <w:shd w:val="clear" w:color="auto" w:fill="FFFFFF"/>
        <w:spacing w:after="0"/>
        <w:jc w:val="both"/>
        <w:rPr>
          <w:rFonts w:cstheme="minorHAnsi"/>
        </w:rPr>
      </w:pPr>
      <w:r>
        <w:rPr>
          <w:rFonts w:cstheme="minorHAnsi"/>
        </w:rPr>
        <w:t>Remove</w:t>
      </w:r>
      <w:r w:rsidR="00741C89">
        <w:rPr>
          <w:rFonts w:cstheme="minorHAnsi"/>
        </w:rPr>
        <w:t xml:space="preserve"> employee and employer discretion about the terms that an individual flexibility term of an enterprise agreement will cover</w:t>
      </w:r>
      <w:r w:rsidR="00542822">
        <w:rPr>
          <w:rFonts w:cstheme="minorHAnsi"/>
        </w:rPr>
        <w:t>; and</w:t>
      </w:r>
    </w:p>
    <w:p w:rsidR="002D74B1" w:rsidRPr="007F0A03" w:rsidRDefault="003C67A1" w:rsidP="007F0A03">
      <w:pPr>
        <w:pStyle w:val="ListParagraph"/>
        <w:numPr>
          <w:ilvl w:val="0"/>
          <w:numId w:val="2"/>
        </w:numPr>
        <w:shd w:val="clear" w:color="auto" w:fill="FFFFFF"/>
        <w:spacing w:after="0"/>
        <w:jc w:val="both"/>
        <w:rPr>
          <w:rFonts w:cstheme="minorHAnsi"/>
        </w:rPr>
      </w:pPr>
      <w:r>
        <w:rPr>
          <w:rFonts w:cstheme="minorHAnsi"/>
        </w:rPr>
        <w:t>Allow</w:t>
      </w:r>
      <w:r w:rsidR="002D74B1">
        <w:rPr>
          <w:rFonts w:cstheme="minorHAnsi"/>
        </w:rPr>
        <w:t xml:space="preserve"> a benefit other than a monetary benefit to be included the better off overall test (BOOT)</w:t>
      </w:r>
      <w:r w:rsidR="004100C9">
        <w:rPr>
          <w:rFonts w:cstheme="minorHAnsi"/>
        </w:rPr>
        <w:t xml:space="preserve"> for the purpose of assessing the IFA</w:t>
      </w:r>
      <w:r w:rsidR="00542822">
        <w:rPr>
          <w:rFonts w:cstheme="minorHAnsi"/>
        </w:rPr>
        <w:t>.</w:t>
      </w:r>
    </w:p>
    <w:p w:rsidR="003E748A" w:rsidRDefault="003E748A" w:rsidP="00B83639">
      <w:pPr>
        <w:shd w:val="clear" w:color="auto" w:fill="FFFFFF"/>
        <w:spacing w:after="0"/>
        <w:jc w:val="both"/>
        <w:rPr>
          <w:rFonts w:cstheme="minorHAnsi"/>
        </w:rPr>
      </w:pPr>
    </w:p>
    <w:p w:rsidR="009F6795" w:rsidRPr="00C038EC" w:rsidRDefault="009F6795" w:rsidP="00B83639">
      <w:pPr>
        <w:shd w:val="clear" w:color="auto" w:fill="FFFFFF"/>
        <w:spacing w:after="0"/>
        <w:jc w:val="both"/>
        <w:rPr>
          <w:rFonts w:cstheme="minorHAnsi"/>
        </w:rPr>
      </w:pPr>
    </w:p>
    <w:p w:rsidR="00B47657" w:rsidRPr="00C038EC" w:rsidRDefault="00B47657" w:rsidP="00B83639">
      <w:pPr>
        <w:shd w:val="clear" w:color="auto" w:fill="FFFFFF"/>
        <w:spacing w:after="0"/>
        <w:jc w:val="both"/>
        <w:rPr>
          <w:rFonts w:cstheme="minorHAnsi"/>
        </w:rPr>
      </w:pPr>
    </w:p>
    <w:p w:rsidR="004610BC" w:rsidRPr="00A11A56" w:rsidRDefault="004610BC" w:rsidP="00B83639">
      <w:pPr>
        <w:spacing w:after="0"/>
        <w:jc w:val="both"/>
        <w:rPr>
          <w:rFonts w:cstheme="minorHAnsi"/>
          <w:b/>
          <w:i/>
          <w:lang w:val="en-US"/>
        </w:rPr>
      </w:pPr>
      <w:r w:rsidRPr="00A11A56">
        <w:rPr>
          <w:rFonts w:cstheme="minorHAnsi"/>
          <w:b/>
          <w:i/>
          <w:lang w:val="en-US"/>
        </w:rPr>
        <w:t xml:space="preserve">Scope of individual flexibility arrangements </w:t>
      </w:r>
    </w:p>
    <w:p w:rsidR="00727914" w:rsidRPr="008A7EAD" w:rsidRDefault="00727914" w:rsidP="00B83639">
      <w:pPr>
        <w:spacing w:after="0"/>
        <w:jc w:val="both"/>
        <w:rPr>
          <w:rFonts w:cstheme="minorHAnsi"/>
          <w:lang w:val="en-US"/>
        </w:rPr>
      </w:pPr>
    </w:p>
    <w:p w:rsidR="004610BC" w:rsidRPr="00C038EC" w:rsidRDefault="009F6795" w:rsidP="00B83639">
      <w:pPr>
        <w:spacing w:after="0"/>
        <w:jc w:val="both"/>
        <w:rPr>
          <w:rFonts w:cstheme="minorHAnsi"/>
          <w:lang w:val="en-US"/>
        </w:rPr>
      </w:pPr>
      <w:r>
        <w:rPr>
          <w:rFonts w:cstheme="minorHAnsi"/>
          <w:lang w:val="en-US"/>
        </w:rPr>
        <w:t>Currently the Act</w:t>
      </w:r>
      <w:r w:rsidR="004610BC" w:rsidRPr="008A7EAD">
        <w:rPr>
          <w:rFonts w:cstheme="minorHAnsi"/>
          <w:lang w:val="en-US"/>
        </w:rPr>
        <w:t xml:space="preserve"> allows parties to bargaining to negotiate the terms of the IFA clause that will be inserted into the enterprise agreement. This allows parties to consider what individual flexibilities may be appropriate to employees and the </w:t>
      </w:r>
      <w:r w:rsidR="007C702D">
        <w:rPr>
          <w:rFonts w:cstheme="minorHAnsi"/>
          <w:lang w:val="en-US"/>
        </w:rPr>
        <w:t>employer,</w:t>
      </w:r>
      <w:r w:rsidR="004610BC" w:rsidRPr="008A7EAD">
        <w:rPr>
          <w:rFonts w:cstheme="minorHAnsi"/>
          <w:lang w:val="en-US"/>
        </w:rPr>
        <w:t xml:space="preserve"> and craft the individual flexibility clause of the enterprise agreement to suit those purposes. </w:t>
      </w:r>
    </w:p>
    <w:p w:rsidR="007C0B90" w:rsidRPr="008A7EAD" w:rsidRDefault="007C0B90" w:rsidP="00B83639">
      <w:pPr>
        <w:spacing w:after="0"/>
        <w:jc w:val="both"/>
        <w:rPr>
          <w:rFonts w:cstheme="minorHAnsi"/>
          <w:lang w:val="en-US"/>
        </w:rPr>
      </w:pPr>
    </w:p>
    <w:p w:rsidR="004610BC" w:rsidRPr="00C038EC" w:rsidRDefault="004610BC" w:rsidP="00B83639">
      <w:pPr>
        <w:spacing w:after="0"/>
        <w:jc w:val="both"/>
        <w:rPr>
          <w:rFonts w:cstheme="minorHAnsi"/>
          <w:lang w:val="en-US"/>
        </w:rPr>
      </w:pPr>
      <w:r w:rsidRPr="008A7EAD">
        <w:rPr>
          <w:rFonts w:cstheme="minorHAnsi"/>
          <w:lang w:val="en-US"/>
        </w:rPr>
        <w:t>The</w:t>
      </w:r>
      <w:r w:rsidR="00C038EC" w:rsidRPr="008A7EAD">
        <w:rPr>
          <w:rFonts w:cstheme="minorHAnsi"/>
          <w:lang w:val="en-US"/>
        </w:rPr>
        <w:t xml:space="preserve"> CPSU would oppose any changes</w:t>
      </w:r>
      <w:r w:rsidRPr="008A7EAD">
        <w:rPr>
          <w:rFonts w:cstheme="minorHAnsi"/>
          <w:lang w:val="en-US"/>
        </w:rPr>
        <w:t xml:space="preserve"> that would require </w:t>
      </w:r>
      <w:r w:rsidR="008921CF">
        <w:rPr>
          <w:rFonts w:cstheme="minorHAnsi"/>
          <w:lang w:val="en-US"/>
        </w:rPr>
        <w:t xml:space="preserve">the flexibility term of an </w:t>
      </w:r>
      <w:r w:rsidR="00A63972">
        <w:rPr>
          <w:rFonts w:cstheme="minorHAnsi"/>
          <w:lang w:val="en-US"/>
        </w:rPr>
        <w:t>enterprise agreement</w:t>
      </w:r>
      <w:r w:rsidRPr="008A7EAD">
        <w:rPr>
          <w:rFonts w:cstheme="minorHAnsi"/>
          <w:lang w:val="en-US"/>
        </w:rPr>
        <w:t xml:space="preserve"> to</w:t>
      </w:r>
      <w:r w:rsidR="00A63972">
        <w:rPr>
          <w:rFonts w:cstheme="minorHAnsi"/>
          <w:lang w:val="en-US"/>
        </w:rPr>
        <w:t xml:space="preserve"> mandate that an IFA </w:t>
      </w:r>
      <w:r w:rsidRPr="008A7EAD">
        <w:rPr>
          <w:rFonts w:cstheme="minorHAnsi"/>
          <w:lang w:val="en-US"/>
        </w:rPr>
        <w:t xml:space="preserve">cover a minimum range of matters. </w:t>
      </w:r>
      <w:r w:rsidR="00A63972">
        <w:rPr>
          <w:rFonts w:cstheme="minorHAnsi"/>
          <w:lang w:val="en-US"/>
        </w:rPr>
        <w:t xml:space="preserve"> </w:t>
      </w:r>
      <w:r w:rsidR="00C038EC" w:rsidRPr="008A7EAD">
        <w:rPr>
          <w:rFonts w:cstheme="minorHAnsi"/>
          <w:lang w:val="en-US"/>
        </w:rPr>
        <w:t>M</w:t>
      </w:r>
      <w:r w:rsidRPr="008A7EAD">
        <w:rPr>
          <w:rFonts w:cstheme="minorHAnsi"/>
          <w:lang w:val="en-US"/>
        </w:rPr>
        <w:t>andating the minimum scope of IFA terms in enterprise agreements</w:t>
      </w:r>
      <w:r w:rsidR="00C038EC" w:rsidRPr="008A7EAD">
        <w:rPr>
          <w:rFonts w:cstheme="minorHAnsi"/>
          <w:lang w:val="en-US"/>
        </w:rPr>
        <w:t xml:space="preserve"> would </w:t>
      </w:r>
      <w:r w:rsidRPr="008A7EAD">
        <w:rPr>
          <w:rFonts w:cstheme="minorHAnsi"/>
          <w:lang w:val="en-US"/>
        </w:rPr>
        <w:t xml:space="preserve">undermine genuine bargaining processes between employers, employees and unions. The terms of flexibility clauses should properly be a matter for negotiation between bargaining representatives. </w:t>
      </w:r>
    </w:p>
    <w:p w:rsidR="004610BC" w:rsidRDefault="004610BC" w:rsidP="00B83639">
      <w:pPr>
        <w:spacing w:after="0"/>
        <w:jc w:val="both"/>
        <w:rPr>
          <w:rFonts w:cstheme="minorHAnsi"/>
          <w:lang w:val="en-US"/>
        </w:rPr>
      </w:pPr>
    </w:p>
    <w:p w:rsidR="004A5B6A" w:rsidRDefault="004A5B6A" w:rsidP="00B83639">
      <w:pPr>
        <w:spacing w:after="0"/>
        <w:jc w:val="both"/>
        <w:rPr>
          <w:rFonts w:cstheme="minorHAnsi"/>
          <w:lang w:val="en-US"/>
        </w:rPr>
      </w:pPr>
    </w:p>
    <w:p w:rsidR="00DD1594" w:rsidRPr="00A11A56" w:rsidRDefault="00DD1594" w:rsidP="00B83639">
      <w:pPr>
        <w:spacing w:after="0"/>
        <w:jc w:val="both"/>
        <w:rPr>
          <w:rFonts w:cstheme="minorHAnsi"/>
          <w:b/>
          <w:i/>
          <w:lang w:val="en-US"/>
        </w:rPr>
      </w:pPr>
      <w:r w:rsidRPr="00A11A56">
        <w:rPr>
          <w:rFonts w:cstheme="minorHAnsi"/>
          <w:b/>
          <w:i/>
          <w:lang w:val="en-US"/>
        </w:rPr>
        <w:t xml:space="preserve">Notice period </w:t>
      </w:r>
    </w:p>
    <w:p w:rsidR="00DD1594" w:rsidRPr="008A7EAD" w:rsidRDefault="00DD1594" w:rsidP="00B83639">
      <w:pPr>
        <w:spacing w:after="0"/>
        <w:jc w:val="both"/>
        <w:rPr>
          <w:rFonts w:cstheme="minorHAnsi"/>
          <w:i/>
          <w:lang w:val="en-US"/>
        </w:rPr>
      </w:pPr>
    </w:p>
    <w:p w:rsidR="00DD1594" w:rsidRPr="00C038EC" w:rsidRDefault="00DD1594" w:rsidP="00B83639">
      <w:pPr>
        <w:spacing w:after="0"/>
        <w:jc w:val="both"/>
        <w:rPr>
          <w:rFonts w:cstheme="minorHAnsi"/>
          <w:lang w:val="en-US"/>
        </w:rPr>
      </w:pPr>
      <w:r w:rsidRPr="008A7EAD">
        <w:rPr>
          <w:rFonts w:cstheme="minorHAnsi"/>
          <w:lang w:val="en-US"/>
        </w:rPr>
        <w:t xml:space="preserve">The CPSU </w:t>
      </w:r>
      <w:r w:rsidR="00AB4677">
        <w:rPr>
          <w:rFonts w:cstheme="minorHAnsi"/>
          <w:lang w:val="en-US"/>
        </w:rPr>
        <w:t xml:space="preserve">opposes </w:t>
      </w:r>
      <w:r w:rsidRPr="008A7EAD">
        <w:rPr>
          <w:rFonts w:cstheme="minorHAnsi"/>
          <w:lang w:val="en-US"/>
        </w:rPr>
        <w:t xml:space="preserve">extensions to the notice period for unilateral termination by the employee or the employer of individual flexibility arrangements (IFAs) entered </w:t>
      </w:r>
      <w:r w:rsidR="00794B1D">
        <w:rPr>
          <w:rFonts w:cstheme="minorHAnsi"/>
          <w:lang w:val="en-US"/>
        </w:rPr>
        <w:t xml:space="preserve">into </w:t>
      </w:r>
      <w:r w:rsidRPr="008A7EAD">
        <w:rPr>
          <w:rFonts w:cstheme="minorHAnsi"/>
          <w:lang w:val="en-US"/>
        </w:rPr>
        <w:t xml:space="preserve">under the terms of enterprise agreements. </w:t>
      </w:r>
    </w:p>
    <w:p w:rsidR="00DD1594" w:rsidRPr="008A7EAD" w:rsidRDefault="00DD1594" w:rsidP="00B83639">
      <w:pPr>
        <w:spacing w:after="0"/>
        <w:jc w:val="both"/>
        <w:rPr>
          <w:rFonts w:cstheme="minorHAnsi"/>
          <w:lang w:val="en-US"/>
        </w:rPr>
      </w:pPr>
    </w:p>
    <w:p w:rsidR="00DD1594" w:rsidRPr="008A7EAD" w:rsidRDefault="00DD1594" w:rsidP="00B83639">
      <w:pPr>
        <w:spacing w:after="0"/>
        <w:jc w:val="both"/>
        <w:rPr>
          <w:rFonts w:cstheme="minorHAnsi"/>
          <w:lang w:val="en-US"/>
        </w:rPr>
      </w:pPr>
      <w:r w:rsidRPr="008A7EAD">
        <w:rPr>
          <w:rFonts w:cstheme="minorHAnsi"/>
          <w:lang w:val="en-US"/>
        </w:rPr>
        <w:t xml:space="preserve">An employee’s ability to opt out of an IFA through the current provision of four </w:t>
      </w:r>
      <w:proofErr w:type="spellStart"/>
      <w:r w:rsidRPr="008A7EAD">
        <w:rPr>
          <w:rFonts w:cstheme="minorHAnsi"/>
          <w:lang w:val="en-US"/>
        </w:rPr>
        <w:t>weeks notice</w:t>
      </w:r>
      <w:proofErr w:type="spellEnd"/>
      <w:r w:rsidRPr="008A7EAD">
        <w:rPr>
          <w:rFonts w:cstheme="minorHAnsi"/>
          <w:lang w:val="en-US"/>
        </w:rPr>
        <w:t xml:space="preserve"> is one of the safeguards that </w:t>
      </w:r>
      <w:proofErr w:type="gramStart"/>
      <w:r w:rsidRPr="008A7EAD">
        <w:rPr>
          <w:rFonts w:cstheme="minorHAnsi"/>
          <w:lang w:val="en-US"/>
        </w:rPr>
        <w:t>was</w:t>
      </w:r>
      <w:proofErr w:type="gramEnd"/>
      <w:r w:rsidRPr="008A7EAD">
        <w:rPr>
          <w:rFonts w:cstheme="minorHAnsi"/>
          <w:lang w:val="en-US"/>
        </w:rPr>
        <w:t xml:space="preserve"> built into the </w:t>
      </w:r>
      <w:r w:rsidR="00A63972">
        <w:rPr>
          <w:rFonts w:cstheme="minorHAnsi"/>
          <w:lang w:val="en-US"/>
        </w:rPr>
        <w:t>Act</w:t>
      </w:r>
      <w:r w:rsidRPr="008A7EAD">
        <w:rPr>
          <w:rFonts w:cstheme="minorHAnsi"/>
          <w:lang w:val="en-US"/>
        </w:rPr>
        <w:t xml:space="preserve"> when IFAs were introduced. </w:t>
      </w:r>
      <w:r w:rsidR="00C31F09">
        <w:rPr>
          <w:rFonts w:cstheme="minorHAnsi"/>
          <w:lang w:val="en-US"/>
        </w:rPr>
        <w:t xml:space="preserve">Any </w:t>
      </w:r>
      <w:r w:rsidRPr="008A7EAD">
        <w:rPr>
          <w:rFonts w:cstheme="minorHAnsi"/>
          <w:lang w:val="en-US"/>
        </w:rPr>
        <w:t>increas</w:t>
      </w:r>
      <w:r w:rsidR="00C31F09">
        <w:rPr>
          <w:rFonts w:cstheme="minorHAnsi"/>
          <w:lang w:val="en-US"/>
        </w:rPr>
        <w:t>e</w:t>
      </w:r>
      <w:r>
        <w:rPr>
          <w:rFonts w:cstheme="minorHAnsi"/>
          <w:lang w:val="en-US"/>
        </w:rPr>
        <w:t xml:space="preserve"> to</w:t>
      </w:r>
      <w:r w:rsidRPr="008A7EAD">
        <w:rPr>
          <w:rFonts w:cstheme="minorHAnsi"/>
          <w:lang w:val="en-US"/>
        </w:rPr>
        <w:t xml:space="preserve"> the notice period</w:t>
      </w:r>
      <w:r>
        <w:rPr>
          <w:rFonts w:cstheme="minorHAnsi"/>
          <w:lang w:val="en-US"/>
        </w:rPr>
        <w:t xml:space="preserve"> would</w:t>
      </w:r>
      <w:r w:rsidR="00C31F09">
        <w:rPr>
          <w:rFonts w:cstheme="minorHAnsi"/>
          <w:lang w:val="en-US"/>
        </w:rPr>
        <w:t xml:space="preserve"> undermine this safeguard, making it more difficult </w:t>
      </w:r>
      <w:r w:rsidRPr="008A7EAD">
        <w:rPr>
          <w:rFonts w:cstheme="minorHAnsi"/>
          <w:lang w:val="en-US"/>
        </w:rPr>
        <w:t>for employees who enter IFAs and then decide this</w:t>
      </w:r>
      <w:r w:rsidR="00C31F09">
        <w:rPr>
          <w:rFonts w:cstheme="minorHAnsi"/>
          <w:lang w:val="en-US"/>
        </w:rPr>
        <w:t xml:space="preserve"> is not in their best interests</w:t>
      </w:r>
      <w:r w:rsidRPr="008A7EAD">
        <w:rPr>
          <w:rFonts w:cstheme="minorHAnsi"/>
          <w:lang w:val="en-US"/>
        </w:rPr>
        <w:t xml:space="preserve"> to revert to the terms of the applicable enterprise agreement. </w:t>
      </w:r>
    </w:p>
    <w:p w:rsidR="00DD1594" w:rsidRDefault="00DD1594" w:rsidP="00B83639">
      <w:pPr>
        <w:spacing w:after="0"/>
        <w:jc w:val="both"/>
        <w:rPr>
          <w:rFonts w:cstheme="minorHAnsi"/>
          <w:lang w:val="en-US"/>
        </w:rPr>
      </w:pPr>
    </w:p>
    <w:p w:rsidR="003451D8" w:rsidRPr="008A7EAD" w:rsidRDefault="003451D8" w:rsidP="00B83639">
      <w:pPr>
        <w:spacing w:after="0"/>
        <w:jc w:val="both"/>
        <w:rPr>
          <w:rFonts w:cstheme="minorHAnsi"/>
          <w:lang w:val="en-US"/>
        </w:rPr>
      </w:pPr>
    </w:p>
    <w:p w:rsidR="00727914" w:rsidRPr="00A11A56" w:rsidRDefault="00727914" w:rsidP="00B83639">
      <w:pPr>
        <w:spacing w:after="0"/>
        <w:jc w:val="both"/>
        <w:rPr>
          <w:rFonts w:cstheme="minorHAnsi"/>
          <w:b/>
          <w:i/>
          <w:lang w:val="en-US"/>
        </w:rPr>
      </w:pPr>
      <w:proofErr w:type="spellStart"/>
      <w:r w:rsidRPr="00A11A56">
        <w:rPr>
          <w:rFonts w:cstheme="minorHAnsi"/>
          <w:b/>
          <w:i/>
          <w:lang w:val="en-US"/>
        </w:rPr>
        <w:t>Defence</w:t>
      </w:r>
      <w:proofErr w:type="spellEnd"/>
      <w:r w:rsidRPr="00A11A56">
        <w:rPr>
          <w:rFonts w:cstheme="minorHAnsi"/>
          <w:b/>
          <w:i/>
          <w:lang w:val="en-US"/>
        </w:rPr>
        <w:t xml:space="preserve"> provision </w:t>
      </w:r>
    </w:p>
    <w:p w:rsidR="00727914" w:rsidRPr="008A7EAD" w:rsidRDefault="00727914" w:rsidP="00B83639">
      <w:pPr>
        <w:spacing w:after="0"/>
        <w:jc w:val="both"/>
        <w:rPr>
          <w:rFonts w:cstheme="minorHAnsi"/>
          <w:lang w:val="en-US"/>
        </w:rPr>
      </w:pPr>
    </w:p>
    <w:p w:rsidR="00036B7B" w:rsidRPr="008A7EAD" w:rsidRDefault="004A7471" w:rsidP="00B83639">
      <w:pPr>
        <w:spacing w:after="0"/>
        <w:jc w:val="both"/>
        <w:rPr>
          <w:rFonts w:cstheme="minorHAnsi"/>
          <w:lang w:val="en-US"/>
        </w:rPr>
      </w:pPr>
      <w:r w:rsidRPr="008A7EAD">
        <w:rPr>
          <w:rFonts w:cstheme="minorHAnsi"/>
          <w:lang w:val="en-US"/>
        </w:rPr>
        <w:t>The CPSU oppose</w:t>
      </w:r>
      <w:r w:rsidR="00AB4677">
        <w:rPr>
          <w:rFonts w:cstheme="minorHAnsi"/>
          <w:lang w:val="en-US"/>
        </w:rPr>
        <w:t>s</w:t>
      </w:r>
      <w:r w:rsidRPr="008A7EAD">
        <w:rPr>
          <w:rFonts w:cstheme="minorHAnsi"/>
          <w:lang w:val="en-US"/>
        </w:rPr>
        <w:t xml:space="preserve"> any</w:t>
      </w:r>
      <w:r w:rsidR="00727914" w:rsidRPr="008A7EAD">
        <w:rPr>
          <w:rFonts w:cstheme="minorHAnsi"/>
          <w:lang w:val="en-US"/>
        </w:rPr>
        <w:t xml:space="preserve"> </w:t>
      </w:r>
      <w:proofErr w:type="spellStart"/>
      <w:r w:rsidR="00727914" w:rsidRPr="008A7EAD">
        <w:rPr>
          <w:rFonts w:cstheme="minorHAnsi"/>
          <w:lang w:val="en-US"/>
        </w:rPr>
        <w:t>defence</w:t>
      </w:r>
      <w:proofErr w:type="spellEnd"/>
      <w:r w:rsidR="00727914" w:rsidRPr="008A7EAD">
        <w:rPr>
          <w:rFonts w:cstheme="minorHAnsi"/>
          <w:lang w:val="en-US"/>
        </w:rPr>
        <w:t xml:space="preserve"> provision which would protect employers from a finding that they contravened the flexibility term of an enterprise agreement, even where the IFA fails the better off overall test (BOOT). </w:t>
      </w:r>
    </w:p>
    <w:p w:rsidR="00036B7B" w:rsidRPr="008A7EAD" w:rsidRDefault="00036B7B" w:rsidP="00B83639">
      <w:pPr>
        <w:spacing w:after="0"/>
        <w:jc w:val="both"/>
        <w:rPr>
          <w:rFonts w:cstheme="minorHAnsi"/>
          <w:lang w:val="en-US"/>
        </w:rPr>
      </w:pPr>
    </w:p>
    <w:p w:rsidR="00727914" w:rsidRPr="008A7EAD" w:rsidRDefault="005749EF" w:rsidP="00B83639">
      <w:pPr>
        <w:spacing w:after="0"/>
        <w:jc w:val="both"/>
        <w:rPr>
          <w:rFonts w:cstheme="minorHAnsi"/>
          <w:lang w:val="en-US"/>
        </w:rPr>
      </w:pPr>
      <w:r>
        <w:rPr>
          <w:rFonts w:cstheme="minorHAnsi"/>
          <w:lang w:val="en-US"/>
        </w:rPr>
        <w:lastRenderedPageBreak/>
        <w:t xml:space="preserve">The </w:t>
      </w:r>
      <w:r w:rsidRPr="005749EF">
        <w:rPr>
          <w:rFonts w:cstheme="minorHAnsi"/>
          <w:i/>
          <w:lang w:val="en-US"/>
        </w:rPr>
        <w:t>Fair Work Amendment Bill</w:t>
      </w:r>
      <w:r>
        <w:rPr>
          <w:rFonts w:cstheme="minorHAnsi"/>
          <w:lang w:val="en-US"/>
        </w:rPr>
        <w:t xml:space="preserve">, if passed, would amend the Act to allow an employer to rely on a </w:t>
      </w:r>
      <w:proofErr w:type="spellStart"/>
      <w:r>
        <w:rPr>
          <w:rFonts w:cstheme="minorHAnsi"/>
          <w:lang w:val="en-US"/>
        </w:rPr>
        <w:t>defence</w:t>
      </w:r>
      <w:proofErr w:type="spellEnd"/>
      <w:r>
        <w:rPr>
          <w:rFonts w:cstheme="minorHAnsi"/>
          <w:lang w:val="en-US"/>
        </w:rPr>
        <w:t xml:space="preserve"> against a finding that the IFA contravened the flexibility term of an enterprise agreement, where </w:t>
      </w:r>
      <w:r w:rsidR="00727914" w:rsidRPr="008A7EAD">
        <w:rPr>
          <w:rFonts w:cstheme="minorHAnsi"/>
          <w:lang w:val="en-US"/>
        </w:rPr>
        <w:t xml:space="preserve">the employer acted on a reasonable belief that the employee was better off, which seems to largely rely on a </w:t>
      </w:r>
      <w:r w:rsidR="00BD2AA0">
        <w:rPr>
          <w:rFonts w:cstheme="minorHAnsi"/>
          <w:lang w:val="en-US"/>
        </w:rPr>
        <w:t xml:space="preserve">signed </w:t>
      </w:r>
      <w:r w:rsidR="00727914" w:rsidRPr="008A7EAD">
        <w:rPr>
          <w:rFonts w:cstheme="minorHAnsi"/>
          <w:lang w:val="en-US"/>
        </w:rPr>
        <w:t xml:space="preserve">statement from the employee. </w:t>
      </w:r>
      <w:r>
        <w:rPr>
          <w:rFonts w:cstheme="minorHAnsi"/>
          <w:lang w:val="en-US"/>
        </w:rPr>
        <w:t xml:space="preserve"> </w:t>
      </w:r>
      <w:r w:rsidR="00727914" w:rsidRPr="008A7EAD">
        <w:rPr>
          <w:rFonts w:cstheme="minorHAnsi"/>
          <w:lang w:val="en-US"/>
        </w:rPr>
        <w:t xml:space="preserve">There is no requirement that the employee be reasonably or accurately informed as to their entitlements before signing such a statement. There is also no requirement that the employer take appropriate steps to inform itself about the employee’s entitlements and ensure that the employee is actually better off overall. </w:t>
      </w:r>
    </w:p>
    <w:p w:rsidR="00727914" w:rsidRPr="008A7EAD" w:rsidRDefault="00727914" w:rsidP="00B83639">
      <w:pPr>
        <w:spacing w:after="0"/>
        <w:jc w:val="both"/>
        <w:rPr>
          <w:rFonts w:cstheme="minorHAnsi"/>
          <w:lang w:val="en-US"/>
        </w:rPr>
      </w:pPr>
    </w:p>
    <w:p w:rsidR="00727914" w:rsidRPr="008A7EAD" w:rsidRDefault="00727914" w:rsidP="00B83639">
      <w:pPr>
        <w:spacing w:after="0"/>
        <w:jc w:val="both"/>
        <w:rPr>
          <w:rFonts w:cstheme="minorHAnsi"/>
          <w:lang w:val="en-US"/>
        </w:rPr>
      </w:pPr>
      <w:r w:rsidRPr="008A7EAD">
        <w:rPr>
          <w:rFonts w:cstheme="minorHAnsi"/>
          <w:lang w:val="en-US"/>
        </w:rPr>
        <w:t xml:space="preserve">IFAs are already subject to limited scrutiny and oversight. By creating a </w:t>
      </w:r>
      <w:proofErr w:type="spellStart"/>
      <w:r w:rsidRPr="008A7EAD">
        <w:rPr>
          <w:rFonts w:cstheme="minorHAnsi"/>
          <w:lang w:val="en-US"/>
        </w:rPr>
        <w:t>defence</w:t>
      </w:r>
      <w:proofErr w:type="spellEnd"/>
      <w:r w:rsidRPr="008A7EAD">
        <w:rPr>
          <w:rFonts w:cstheme="minorHAnsi"/>
          <w:lang w:val="en-US"/>
        </w:rPr>
        <w:t xml:space="preserve"> for employers who have been found to have acted contrary to the terms of the enterprise agreement, the Bill will put employees at greater risk of exploitation. </w:t>
      </w:r>
    </w:p>
    <w:p w:rsidR="00727914" w:rsidRDefault="00727914" w:rsidP="00B83639">
      <w:pPr>
        <w:spacing w:after="0"/>
        <w:jc w:val="both"/>
        <w:rPr>
          <w:rFonts w:cstheme="minorHAnsi"/>
          <w:highlight w:val="yellow"/>
          <w:lang w:val="en-US"/>
        </w:rPr>
      </w:pPr>
    </w:p>
    <w:p w:rsidR="005749EF" w:rsidRPr="008A7EAD" w:rsidRDefault="005749EF" w:rsidP="00B83639">
      <w:pPr>
        <w:spacing w:after="0"/>
        <w:jc w:val="both"/>
        <w:rPr>
          <w:rFonts w:cstheme="minorHAnsi"/>
          <w:highlight w:val="yellow"/>
          <w:lang w:val="en-US"/>
        </w:rPr>
      </w:pPr>
    </w:p>
    <w:p w:rsidR="004610BC" w:rsidRPr="00A11A56" w:rsidRDefault="004610BC" w:rsidP="00B83639">
      <w:pPr>
        <w:spacing w:after="0"/>
        <w:jc w:val="both"/>
        <w:rPr>
          <w:rFonts w:cstheme="minorHAnsi"/>
          <w:b/>
          <w:i/>
          <w:lang w:val="en-US"/>
        </w:rPr>
      </w:pPr>
      <w:r w:rsidRPr="00A11A56">
        <w:rPr>
          <w:rFonts w:cstheme="minorHAnsi"/>
          <w:b/>
          <w:i/>
          <w:lang w:val="en-US"/>
        </w:rPr>
        <w:t xml:space="preserve">Inclusion of non-monetary benefits </w:t>
      </w:r>
    </w:p>
    <w:p w:rsidR="005C2E3F" w:rsidRPr="008A7EAD" w:rsidRDefault="005C2E3F" w:rsidP="00B83639">
      <w:pPr>
        <w:spacing w:after="0"/>
        <w:jc w:val="both"/>
        <w:rPr>
          <w:rFonts w:cstheme="minorHAnsi"/>
          <w:lang w:val="en-US"/>
        </w:rPr>
      </w:pPr>
    </w:p>
    <w:p w:rsidR="004610BC" w:rsidRPr="00036B7B" w:rsidRDefault="004610BC" w:rsidP="00B83639">
      <w:pPr>
        <w:spacing w:after="0"/>
        <w:jc w:val="both"/>
        <w:rPr>
          <w:rFonts w:cstheme="minorHAnsi"/>
          <w:lang w:val="en-US"/>
        </w:rPr>
      </w:pPr>
      <w:r w:rsidRPr="008A7EAD">
        <w:rPr>
          <w:rFonts w:cstheme="minorHAnsi"/>
          <w:lang w:val="en-US"/>
        </w:rPr>
        <w:t>In respect of IFAs, the</w:t>
      </w:r>
      <w:r w:rsidR="005C2E3F" w:rsidRPr="008A7EAD">
        <w:rPr>
          <w:rFonts w:cstheme="minorHAnsi"/>
          <w:lang w:val="en-US"/>
        </w:rPr>
        <w:t xml:space="preserve"> CPSU would also oppose any</w:t>
      </w:r>
      <w:r w:rsidRPr="008A7EAD">
        <w:rPr>
          <w:rFonts w:cstheme="minorHAnsi"/>
          <w:lang w:val="en-US"/>
        </w:rPr>
        <w:t xml:space="preserve"> legislative notes to establish that non-monetary benefits provided for under an IFA may be taken into account for the purposes of the BOOT. </w:t>
      </w:r>
    </w:p>
    <w:p w:rsidR="007C0B90" w:rsidRPr="008A7EAD" w:rsidRDefault="007C0B90" w:rsidP="00B83639">
      <w:pPr>
        <w:spacing w:after="0"/>
        <w:jc w:val="both"/>
        <w:rPr>
          <w:rFonts w:cstheme="minorHAnsi"/>
          <w:lang w:val="en-US"/>
        </w:rPr>
      </w:pPr>
    </w:p>
    <w:p w:rsidR="004610BC" w:rsidRDefault="005749EF" w:rsidP="00B83639">
      <w:pPr>
        <w:spacing w:after="0"/>
        <w:jc w:val="both"/>
        <w:rPr>
          <w:rFonts w:cstheme="minorHAnsi"/>
          <w:lang w:val="en-US"/>
        </w:rPr>
      </w:pPr>
      <w:r>
        <w:rPr>
          <w:rFonts w:cstheme="minorHAnsi"/>
          <w:lang w:val="en-US"/>
        </w:rPr>
        <w:t xml:space="preserve">Under the </w:t>
      </w:r>
      <w:r w:rsidRPr="00D879B7">
        <w:rPr>
          <w:rFonts w:cstheme="minorHAnsi"/>
          <w:i/>
          <w:lang w:val="en-US"/>
        </w:rPr>
        <w:t>Workplace Relations Act 1996</w:t>
      </w:r>
      <w:r>
        <w:rPr>
          <w:rFonts w:cstheme="minorHAnsi"/>
          <w:lang w:val="en-US"/>
        </w:rPr>
        <w:t xml:space="preserve">, </w:t>
      </w:r>
      <w:r w:rsidR="004610BC" w:rsidRPr="008A7EAD">
        <w:rPr>
          <w:rFonts w:cstheme="minorHAnsi"/>
          <w:lang w:val="en-US"/>
        </w:rPr>
        <w:t>many CPSU members in the federal pub</w:t>
      </w:r>
      <w:r w:rsidR="00510BEA">
        <w:rPr>
          <w:rFonts w:cstheme="minorHAnsi"/>
          <w:lang w:val="en-US"/>
        </w:rPr>
        <w:t>lic sector and other areas, such as</w:t>
      </w:r>
      <w:r w:rsidR="004610BC" w:rsidRPr="008A7EAD">
        <w:rPr>
          <w:rFonts w:cstheme="minorHAnsi"/>
          <w:lang w:val="en-US"/>
        </w:rPr>
        <w:t xml:space="preserve"> Telstra, were employed on the basis of individual contracts which removed their rights and e</w:t>
      </w:r>
      <w:r>
        <w:rPr>
          <w:rFonts w:cstheme="minorHAnsi"/>
          <w:lang w:val="en-US"/>
        </w:rPr>
        <w:t>ntitlements, without commensurate compensation</w:t>
      </w:r>
      <w:r w:rsidR="004610BC" w:rsidRPr="008A7EAD">
        <w:rPr>
          <w:rFonts w:cstheme="minorHAnsi"/>
          <w:lang w:val="en-US"/>
        </w:rPr>
        <w:t xml:space="preserve">. </w:t>
      </w:r>
      <w:r>
        <w:rPr>
          <w:rFonts w:cstheme="minorHAnsi"/>
          <w:lang w:val="en-US"/>
        </w:rPr>
        <w:t xml:space="preserve"> </w:t>
      </w:r>
      <w:r w:rsidR="00510BEA">
        <w:rPr>
          <w:rFonts w:cstheme="minorHAnsi"/>
          <w:lang w:val="en-US"/>
        </w:rPr>
        <w:t xml:space="preserve">The Bill seeks to provide for greater use of IFAs, while at the same time restricting scrutiny and oversight. This is of significant concern to the CPSU. </w:t>
      </w:r>
      <w:r w:rsidR="00DF130F">
        <w:rPr>
          <w:rFonts w:cstheme="minorHAnsi"/>
          <w:lang w:val="en-US"/>
        </w:rPr>
        <w:t xml:space="preserve"> </w:t>
      </w:r>
    </w:p>
    <w:p w:rsidR="00510BEA" w:rsidRDefault="00510BEA" w:rsidP="00B83639">
      <w:pPr>
        <w:spacing w:after="0"/>
        <w:jc w:val="both"/>
        <w:rPr>
          <w:rFonts w:cstheme="minorHAnsi"/>
          <w:lang w:val="en-US"/>
        </w:rPr>
      </w:pPr>
    </w:p>
    <w:p w:rsidR="00282DFD" w:rsidRDefault="00282DFD" w:rsidP="00B83639">
      <w:pPr>
        <w:spacing w:after="0"/>
        <w:jc w:val="both"/>
        <w:rPr>
          <w:rFonts w:cstheme="minorHAnsi"/>
          <w:lang w:val="en-US"/>
        </w:rPr>
      </w:pPr>
    </w:p>
    <w:p w:rsidR="00EB4BF6" w:rsidRPr="00EB4BF6" w:rsidRDefault="00EB4BF6" w:rsidP="00EB4BF6">
      <w:pPr>
        <w:shd w:val="clear" w:color="auto" w:fill="FFFFFF"/>
        <w:spacing w:after="0"/>
        <w:jc w:val="both"/>
        <w:rPr>
          <w:rFonts w:asciiTheme="majorHAnsi" w:hAnsiTheme="majorHAnsi" w:cstheme="minorHAnsi"/>
          <w:b/>
          <w:sz w:val="28"/>
          <w:szCs w:val="28"/>
        </w:rPr>
      </w:pPr>
      <w:r>
        <w:rPr>
          <w:rFonts w:asciiTheme="majorHAnsi" w:hAnsiTheme="majorHAnsi" w:cstheme="minorHAnsi"/>
          <w:b/>
          <w:sz w:val="28"/>
          <w:szCs w:val="28"/>
        </w:rPr>
        <w:t xml:space="preserve">The right to </w:t>
      </w:r>
      <w:r w:rsidRPr="00EB4BF6">
        <w:rPr>
          <w:rFonts w:asciiTheme="majorHAnsi" w:hAnsiTheme="majorHAnsi" w:cstheme="minorHAnsi"/>
          <w:b/>
          <w:sz w:val="28"/>
          <w:szCs w:val="28"/>
        </w:rPr>
        <w:t>representation</w:t>
      </w:r>
      <w:r>
        <w:rPr>
          <w:rFonts w:asciiTheme="majorHAnsi" w:hAnsiTheme="majorHAnsi" w:cstheme="minorHAnsi"/>
          <w:b/>
          <w:sz w:val="28"/>
          <w:szCs w:val="28"/>
        </w:rPr>
        <w:t xml:space="preserve"> in the workplace </w:t>
      </w:r>
      <w:r w:rsidRPr="00EB4BF6">
        <w:rPr>
          <w:rFonts w:asciiTheme="majorHAnsi" w:hAnsiTheme="majorHAnsi" w:cstheme="minorHAnsi"/>
          <w:b/>
          <w:sz w:val="28"/>
          <w:szCs w:val="28"/>
        </w:rPr>
        <w:t xml:space="preserve"> </w:t>
      </w:r>
    </w:p>
    <w:p w:rsidR="00EB4BF6" w:rsidRDefault="00EB4BF6" w:rsidP="00EB4BF6">
      <w:pPr>
        <w:shd w:val="clear" w:color="auto" w:fill="FFFFFF"/>
        <w:spacing w:after="0"/>
        <w:jc w:val="both"/>
        <w:rPr>
          <w:rFonts w:cstheme="minorHAnsi"/>
        </w:rPr>
      </w:pPr>
    </w:p>
    <w:p w:rsidR="001813E3" w:rsidRDefault="001813E3" w:rsidP="00EB4BF6">
      <w:pPr>
        <w:shd w:val="clear" w:color="auto" w:fill="FFFFFF"/>
        <w:spacing w:after="0"/>
        <w:jc w:val="both"/>
        <w:rPr>
          <w:rFonts w:cstheme="minorHAnsi"/>
        </w:rPr>
      </w:pPr>
      <w:r>
        <w:rPr>
          <w:rFonts w:cstheme="minorHAnsi"/>
        </w:rPr>
        <w:t>The principles of the right to organise</w:t>
      </w:r>
      <w:r w:rsidR="000A2F4D">
        <w:rPr>
          <w:rFonts w:cstheme="minorHAnsi"/>
        </w:rPr>
        <w:t>,</w:t>
      </w:r>
      <w:r>
        <w:rPr>
          <w:rFonts w:cstheme="minorHAnsi"/>
        </w:rPr>
        <w:t xml:space="preserve"> freely associate</w:t>
      </w:r>
      <w:r w:rsidR="000A2F4D">
        <w:rPr>
          <w:rFonts w:cstheme="minorHAnsi"/>
        </w:rPr>
        <w:t>, and collectively bargain</w:t>
      </w:r>
      <w:r>
        <w:rPr>
          <w:rFonts w:cstheme="minorHAnsi"/>
        </w:rPr>
        <w:t xml:space="preserve"> have long been recognised in international conventions to which Australia is a </w:t>
      </w:r>
      <w:proofErr w:type="gramStart"/>
      <w:r>
        <w:rPr>
          <w:rFonts w:cstheme="minorHAnsi"/>
        </w:rPr>
        <w:t>signatory</w:t>
      </w:r>
      <w:r w:rsidR="00EA4A00">
        <w:rPr>
          <w:rFonts w:cstheme="minorHAnsi"/>
        </w:rPr>
        <w:t xml:space="preserve"> </w:t>
      </w:r>
      <w:proofErr w:type="gramEnd"/>
      <w:r w:rsidR="000A2F4D" w:rsidRPr="007A5F4D">
        <w:rPr>
          <w:rStyle w:val="FootnoteReference"/>
          <w:rFonts w:asciiTheme="minorHAnsi" w:hAnsiTheme="minorHAnsi" w:cstheme="minorHAnsi"/>
        </w:rPr>
        <w:footnoteReference w:id="57"/>
      </w:r>
      <w:r w:rsidR="00C701F9">
        <w:rPr>
          <w:rFonts w:cstheme="minorHAnsi"/>
        </w:rPr>
        <w:t>.</w:t>
      </w:r>
      <w:r w:rsidR="00046C46">
        <w:rPr>
          <w:rFonts w:cstheme="minorHAnsi"/>
        </w:rPr>
        <w:t xml:space="preserve"> These principles rely </w:t>
      </w:r>
      <w:r w:rsidR="001B246D">
        <w:rPr>
          <w:rFonts w:cstheme="minorHAnsi"/>
        </w:rPr>
        <w:t>in</w:t>
      </w:r>
      <w:r w:rsidR="00C701F9">
        <w:rPr>
          <w:rFonts w:cstheme="minorHAnsi"/>
        </w:rPr>
        <w:t xml:space="preserve"> practice on employees’ </w:t>
      </w:r>
      <w:r>
        <w:rPr>
          <w:rFonts w:cstheme="minorHAnsi"/>
        </w:rPr>
        <w:t xml:space="preserve">access to representation and the ability of union delegates to perform their role unencumbered by obstruction from the employer. However, Australian workers </w:t>
      </w:r>
      <w:r w:rsidR="00FC4586">
        <w:rPr>
          <w:rFonts w:cstheme="minorHAnsi"/>
        </w:rPr>
        <w:t xml:space="preserve">are regularly </w:t>
      </w:r>
      <w:r w:rsidR="000D3C85">
        <w:rPr>
          <w:rFonts w:cstheme="minorHAnsi"/>
        </w:rPr>
        <w:t xml:space="preserve">prevented from freely accessing </w:t>
      </w:r>
      <w:r w:rsidR="00EA4A00">
        <w:rPr>
          <w:rFonts w:cstheme="minorHAnsi"/>
        </w:rPr>
        <w:t>such representation</w:t>
      </w:r>
      <w:r w:rsidR="00FC4586">
        <w:rPr>
          <w:rFonts w:cstheme="minorHAnsi"/>
        </w:rPr>
        <w:t xml:space="preserve">. </w:t>
      </w:r>
    </w:p>
    <w:p w:rsidR="00FC4586" w:rsidRDefault="00FC4586" w:rsidP="00EB4BF6">
      <w:pPr>
        <w:shd w:val="clear" w:color="auto" w:fill="FFFFFF"/>
        <w:spacing w:after="0"/>
        <w:jc w:val="both"/>
        <w:rPr>
          <w:rFonts w:cstheme="minorHAnsi"/>
        </w:rPr>
      </w:pPr>
    </w:p>
    <w:p w:rsidR="00FC4586" w:rsidRPr="004C1907" w:rsidRDefault="00FC4586" w:rsidP="004C1907">
      <w:pPr>
        <w:shd w:val="clear" w:color="auto" w:fill="FFFFFF"/>
        <w:spacing w:after="0"/>
        <w:jc w:val="both"/>
        <w:rPr>
          <w:rFonts w:cstheme="minorHAnsi"/>
        </w:rPr>
      </w:pPr>
      <w:r>
        <w:rPr>
          <w:rFonts w:cstheme="minorHAnsi"/>
        </w:rPr>
        <w:t xml:space="preserve">For </w:t>
      </w:r>
      <w:r w:rsidR="004C1907">
        <w:rPr>
          <w:rFonts w:cstheme="minorHAnsi"/>
        </w:rPr>
        <w:t xml:space="preserve">example, </w:t>
      </w:r>
      <w:r w:rsidR="004C1907">
        <w:rPr>
          <w:lang w:val="en-US"/>
        </w:rPr>
        <w:t>e</w:t>
      </w:r>
      <w:r w:rsidRPr="004C1907">
        <w:rPr>
          <w:lang w:val="en-US"/>
        </w:rPr>
        <w:t xml:space="preserve">mployers are </w:t>
      </w:r>
      <w:r w:rsidR="00056905">
        <w:rPr>
          <w:lang w:val="en-US"/>
        </w:rPr>
        <w:t>able</w:t>
      </w:r>
      <w:r w:rsidR="004675C1">
        <w:rPr>
          <w:lang w:val="en-US"/>
        </w:rPr>
        <w:t xml:space="preserve"> to</w:t>
      </w:r>
      <w:r w:rsidR="00056905">
        <w:rPr>
          <w:lang w:val="en-US"/>
        </w:rPr>
        <w:t xml:space="preserve"> unreasonably </w:t>
      </w:r>
      <w:r w:rsidRPr="004C1907">
        <w:rPr>
          <w:lang w:val="en-US"/>
        </w:rPr>
        <w:t>limit the time that union representatives have to represent employees on matters that affect them. Even where delegates</w:t>
      </w:r>
      <w:r w:rsidR="00046C46">
        <w:rPr>
          <w:lang w:val="en-US"/>
        </w:rPr>
        <w:t>’</w:t>
      </w:r>
      <w:r w:rsidRPr="004C1907">
        <w:rPr>
          <w:lang w:val="en-US"/>
        </w:rPr>
        <w:t xml:space="preserve"> rights are enshrined in enterprise agreements, delegates can </w:t>
      </w:r>
      <w:r w:rsidR="00976424">
        <w:rPr>
          <w:lang w:val="en-US"/>
        </w:rPr>
        <w:t>be limited to providing</w:t>
      </w:r>
      <w:r w:rsidRPr="004C1907">
        <w:rPr>
          <w:lang w:val="en-US"/>
        </w:rPr>
        <w:t xml:space="preserve"> support and representation to members on meal breaks and </w:t>
      </w:r>
      <w:r w:rsidR="00BD2AA0">
        <w:rPr>
          <w:lang w:val="en-US"/>
        </w:rPr>
        <w:t>in</w:t>
      </w:r>
      <w:r w:rsidRPr="004C1907">
        <w:rPr>
          <w:lang w:val="en-US"/>
        </w:rPr>
        <w:t xml:space="preserve"> their own time after work.  </w:t>
      </w:r>
    </w:p>
    <w:p w:rsidR="00EB4BF6" w:rsidRDefault="00EB4BF6" w:rsidP="00EB4BF6">
      <w:pPr>
        <w:spacing w:after="0"/>
        <w:jc w:val="both"/>
        <w:rPr>
          <w:i/>
          <w:lang w:val="en-US"/>
        </w:rPr>
      </w:pPr>
    </w:p>
    <w:p w:rsidR="00EB4BF6" w:rsidRPr="00F727BE" w:rsidRDefault="00EB4BF6" w:rsidP="00EB4BF6">
      <w:pPr>
        <w:spacing w:after="0"/>
        <w:jc w:val="both"/>
        <w:rPr>
          <w:lang w:val="en-US"/>
        </w:rPr>
      </w:pPr>
      <w:r>
        <w:rPr>
          <w:lang w:val="en-US"/>
        </w:rPr>
        <w:lastRenderedPageBreak/>
        <w:t>The general protections</w:t>
      </w:r>
      <w:r w:rsidR="00046C46">
        <w:rPr>
          <w:lang w:val="en-US"/>
        </w:rPr>
        <w:t xml:space="preserve"> contained in the Act have as one of their objects the protection of freedom of </w:t>
      </w:r>
      <w:proofErr w:type="gramStart"/>
      <w:r w:rsidR="00046C46">
        <w:rPr>
          <w:lang w:val="en-US"/>
        </w:rPr>
        <w:t>association</w:t>
      </w:r>
      <w:r w:rsidR="00EA4A00">
        <w:rPr>
          <w:lang w:val="en-US"/>
        </w:rPr>
        <w:t xml:space="preserve"> </w:t>
      </w:r>
      <w:proofErr w:type="gramEnd"/>
      <w:r w:rsidR="00046C46" w:rsidRPr="002A6510">
        <w:rPr>
          <w:rStyle w:val="FootnoteReference"/>
          <w:rFonts w:asciiTheme="minorHAnsi" w:hAnsiTheme="minorHAnsi" w:cstheme="minorHAnsi"/>
          <w:lang w:val="en-US"/>
        </w:rPr>
        <w:footnoteReference w:id="58"/>
      </w:r>
      <w:r w:rsidR="00873860">
        <w:rPr>
          <w:lang w:val="en-US"/>
        </w:rPr>
        <w:t xml:space="preserve">.  Employers are prohibited from taking adverse action against an employee for </w:t>
      </w:r>
      <w:r>
        <w:rPr>
          <w:lang w:val="en-US"/>
        </w:rPr>
        <w:t xml:space="preserve">exercising a workplace </w:t>
      </w:r>
      <w:proofErr w:type="gramStart"/>
      <w:r>
        <w:rPr>
          <w:lang w:val="en-US"/>
        </w:rPr>
        <w:t>right</w:t>
      </w:r>
      <w:r w:rsidR="00EA4A00">
        <w:rPr>
          <w:lang w:val="en-US"/>
        </w:rPr>
        <w:t xml:space="preserve"> </w:t>
      </w:r>
      <w:proofErr w:type="gramEnd"/>
      <w:r w:rsidR="00873860" w:rsidRPr="002A6510">
        <w:rPr>
          <w:rStyle w:val="FootnoteReference"/>
          <w:rFonts w:asciiTheme="minorHAnsi" w:hAnsiTheme="minorHAnsi" w:cstheme="minorHAnsi"/>
          <w:lang w:val="en-US"/>
        </w:rPr>
        <w:footnoteReference w:id="59"/>
      </w:r>
      <w:r w:rsidR="00873860">
        <w:rPr>
          <w:lang w:val="en-US"/>
        </w:rPr>
        <w:t>, which include</w:t>
      </w:r>
      <w:r w:rsidR="004D1D91">
        <w:rPr>
          <w:lang w:val="en-US"/>
        </w:rPr>
        <w:t>s</w:t>
      </w:r>
      <w:r w:rsidR="00873860">
        <w:rPr>
          <w:lang w:val="en-US"/>
        </w:rPr>
        <w:t xml:space="preserve"> the right to be represented by a union delegate</w:t>
      </w:r>
      <w:r w:rsidR="00EA4A00">
        <w:rPr>
          <w:lang w:val="en-US"/>
        </w:rPr>
        <w:t xml:space="preserve"> </w:t>
      </w:r>
      <w:r w:rsidR="004D1D91" w:rsidRPr="005B0058">
        <w:rPr>
          <w:rStyle w:val="FootnoteReference"/>
          <w:rFonts w:asciiTheme="minorHAnsi" w:hAnsiTheme="minorHAnsi" w:cstheme="minorHAnsi"/>
          <w:lang w:val="en-US"/>
        </w:rPr>
        <w:footnoteReference w:id="60"/>
      </w:r>
      <w:r w:rsidR="00873860">
        <w:rPr>
          <w:lang w:val="en-US"/>
        </w:rPr>
        <w:t xml:space="preserve">. However, the requirement to show there has been adverse action, for example dismissal of the employee or injuring their </w:t>
      </w:r>
      <w:proofErr w:type="gramStart"/>
      <w:r w:rsidR="00873860">
        <w:rPr>
          <w:lang w:val="en-US"/>
        </w:rPr>
        <w:t>employment</w:t>
      </w:r>
      <w:r w:rsidR="00EA4A00">
        <w:rPr>
          <w:lang w:val="en-US"/>
        </w:rPr>
        <w:t xml:space="preserve"> </w:t>
      </w:r>
      <w:proofErr w:type="gramEnd"/>
      <w:r w:rsidR="003D53EC" w:rsidRPr="002A6510">
        <w:rPr>
          <w:rStyle w:val="FootnoteReference"/>
          <w:rFonts w:asciiTheme="minorHAnsi" w:hAnsiTheme="minorHAnsi" w:cstheme="minorHAnsi"/>
          <w:lang w:val="en-US"/>
        </w:rPr>
        <w:footnoteReference w:id="61"/>
      </w:r>
      <w:r w:rsidR="003D53EC">
        <w:rPr>
          <w:lang w:val="en-US"/>
        </w:rPr>
        <w:t>,</w:t>
      </w:r>
      <w:r w:rsidR="00873860">
        <w:rPr>
          <w:lang w:val="en-US"/>
        </w:rPr>
        <w:t xml:space="preserve"> is too high a bar to cover day to day situations in which employees are blocked from accessing their union delegate. The general protections therefore provide in</w:t>
      </w:r>
      <w:r>
        <w:rPr>
          <w:lang w:val="en-US"/>
        </w:rPr>
        <w:t xml:space="preserve">sufficient </w:t>
      </w:r>
      <w:r w:rsidR="00FC4586">
        <w:rPr>
          <w:lang w:val="en-US"/>
        </w:rPr>
        <w:t xml:space="preserve">protection for </w:t>
      </w:r>
      <w:r>
        <w:rPr>
          <w:lang w:val="en-US"/>
        </w:rPr>
        <w:t>employees to access representation in the workplace</w:t>
      </w:r>
      <w:r w:rsidR="00FC4586">
        <w:rPr>
          <w:lang w:val="en-US"/>
        </w:rPr>
        <w:t xml:space="preserve"> on a day to day level</w:t>
      </w:r>
      <w:r>
        <w:rPr>
          <w:lang w:val="en-US"/>
        </w:rPr>
        <w:t xml:space="preserve">. </w:t>
      </w:r>
    </w:p>
    <w:p w:rsidR="00EB4BF6" w:rsidRDefault="00EB4BF6" w:rsidP="00EB4BF6">
      <w:pPr>
        <w:spacing w:after="0"/>
        <w:jc w:val="both"/>
        <w:rPr>
          <w:i/>
          <w:lang w:val="en-US"/>
        </w:rPr>
      </w:pPr>
    </w:p>
    <w:p w:rsidR="00EB4BF6" w:rsidRPr="0029366A" w:rsidRDefault="00EB4BF6" w:rsidP="0029366A">
      <w:pPr>
        <w:spacing w:after="0"/>
        <w:jc w:val="both"/>
        <w:rPr>
          <w:i/>
          <w:lang w:val="en-US"/>
        </w:rPr>
      </w:pPr>
    </w:p>
    <w:p w:rsidR="00A3662C" w:rsidRPr="009E2F47" w:rsidRDefault="003C67A1" w:rsidP="00B83639">
      <w:pPr>
        <w:shd w:val="clear" w:color="auto" w:fill="FFFFFF"/>
        <w:spacing w:after="0"/>
        <w:jc w:val="both"/>
        <w:rPr>
          <w:rFonts w:asciiTheme="majorHAnsi" w:hAnsiTheme="majorHAnsi" w:cstheme="minorHAnsi"/>
          <w:b/>
          <w:sz w:val="28"/>
          <w:szCs w:val="28"/>
        </w:rPr>
      </w:pPr>
      <w:r>
        <w:rPr>
          <w:rFonts w:asciiTheme="majorHAnsi" w:hAnsiTheme="majorHAnsi" w:cstheme="minorHAnsi"/>
          <w:b/>
          <w:sz w:val="28"/>
          <w:szCs w:val="28"/>
        </w:rPr>
        <w:t>Merit review of</w:t>
      </w:r>
      <w:r w:rsidR="00A3662C" w:rsidRPr="009E2F47">
        <w:rPr>
          <w:rFonts w:asciiTheme="majorHAnsi" w:hAnsiTheme="majorHAnsi" w:cstheme="minorHAnsi"/>
          <w:b/>
          <w:sz w:val="28"/>
          <w:szCs w:val="28"/>
        </w:rPr>
        <w:t xml:space="preserve"> employment matters</w:t>
      </w:r>
      <w:r w:rsidR="005A1ABD">
        <w:rPr>
          <w:rFonts w:asciiTheme="majorHAnsi" w:hAnsiTheme="majorHAnsi" w:cstheme="minorHAnsi"/>
          <w:b/>
          <w:sz w:val="28"/>
          <w:szCs w:val="28"/>
        </w:rPr>
        <w:t xml:space="preserve"> </w:t>
      </w:r>
    </w:p>
    <w:p w:rsidR="009F2E2B" w:rsidRPr="00AE3F4E" w:rsidRDefault="009F2E2B" w:rsidP="00B83639">
      <w:pPr>
        <w:shd w:val="clear" w:color="auto" w:fill="FFFFFF"/>
        <w:spacing w:after="0"/>
        <w:jc w:val="both"/>
        <w:rPr>
          <w:rFonts w:cstheme="minorHAnsi"/>
          <w:b/>
        </w:rPr>
      </w:pPr>
    </w:p>
    <w:p w:rsidR="00370A09" w:rsidRDefault="000A11F1" w:rsidP="00C33E86">
      <w:pPr>
        <w:shd w:val="clear" w:color="auto" w:fill="FFFFFF"/>
        <w:spacing w:after="0"/>
        <w:jc w:val="both"/>
        <w:rPr>
          <w:rFonts w:cstheme="minorHAnsi"/>
        </w:rPr>
      </w:pPr>
      <w:r>
        <w:rPr>
          <w:rFonts w:cstheme="minorHAnsi"/>
        </w:rPr>
        <w:t>In Issues Paper 5, the Productivity Commission refers to certain employment matters</w:t>
      </w:r>
      <w:r w:rsidR="00331C45">
        <w:rPr>
          <w:rFonts w:cstheme="minorHAnsi"/>
        </w:rPr>
        <w:t xml:space="preserve"> that are subject to merit review in the public sector.  Federal p</w:t>
      </w:r>
      <w:r w:rsidR="00CD17E3">
        <w:rPr>
          <w:rFonts w:cstheme="minorHAnsi"/>
        </w:rPr>
        <w:t xml:space="preserve">ublic </w:t>
      </w:r>
      <w:r w:rsidR="00331C45">
        <w:rPr>
          <w:rFonts w:cstheme="minorHAnsi"/>
        </w:rPr>
        <w:t>s</w:t>
      </w:r>
      <w:r w:rsidR="00CD17E3">
        <w:rPr>
          <w:rFonts w:cstheme="minorHAnsi"/>
        </w:rPr>
        <w:t xml:space="preserve">ector employees are engaged under the </w:t>
      </w:r>
      <w:r w:rsidR="00CD17E3" w:rsidRPr="00936FCB">
        <w:rPr>
          <w:rFonts w:cstheme="minorHAnsi"/>
          <w:i/>
        </w:rPr>
        <w:t>Public Service Act</w:t>
      </w:r>
      <w:r w:rsidR="00936FCB" w:rsidRPr="00936FCB">
        <w:rPr>
          <w:rFonts w:cstheme="minorHAnsi"/>
          <w:i/>
        </w:rPr>
        <w:t xml:space="preserve"> 1999</w:t>
      </w:r>
      <w:r w:rsidR="00CD17E3">
        <w:rPr>
          <w:rFonts w:cstheme="minorHAnsi"/>
        </w:rPr>
        <w:t xml:space="preserve"> if they are APS employees or under their agency’s enabling legislation if they are not APS </w:t>
      </w:r>
      <w:proofErr w:type="gramStart"/>
      <w:r w:rsidR="00CD17E3">
        <w:rPr>
          <w:rFonts w:cstheme="minorHAnsi"/>
        </w:rPr>
        <w:t>emplo</w:t>
      </w:r>
      <w:r w:rsidR="006B1AA0">
        <w:rPr>
          <w:rFonts w:cstheme="minorHAnsi"/>
        </w:rPr>
        <w:t>yees</w:t>
      </w:r>
      <w:r w:rsidR="00EA4A00">
        <w:rPr>
          <w:rFonts w:cstheme="minorHAnsi"/>
        </w:rPr>
        <w:t xml:space="preserve"> </w:t>
      </w:r>
      <w:proofErr w:type="gramEnd"/>
      <w:r w:rsidR="00AA2554" w:rsidRPr="00AA2554">
        <w:rPr>
          <w:rStyle w:val="FootnoteReference"/>
          <w:rFonts w:asciiTheme="minorHAnsi" w:hAnsiTheme="minorHAnsi" w:cstheme="minorHAnsi"/>
          <w:szCs w:val="20"/>
          <w:vertAlign w:val="superscript"/>
        </w:rPr>
        <w:footnoteReference w:id="62"/>
      </w:r>
      <w:r w:rsidR="006B1AA0">
        <w:rPr>
          <w:rFonts w:cstheme="minorHAnsi"/>
        </w:rPr>
        <w:t xml:space="preserve">. The </w:t>
      </w:r>
      <w:r w:rsidR="006B1AA0" w:rsidRPr="005C5772">
        <w:rPr>
          <w:rFonts w:cstheme="minorHAnsi"/>
          <w:i/>
        </w:rPr>
        <w:t>P</w:t>
      </w:r>
      <w:r w:rsidR="005C5772" w:rsidRPr="005C5772">
        <w:rPr>
          <w:rFonts w:cstheme="minorHAnsi"/>
          <w:i/>
        </w:rPr>
        <w:t xml:space="preserve">ublic </w:t>
      </w:r>
      <w:r w:rsidR="006B1AA0" w:rsidRPr="005C5772">
        <w:rPr>
          <w:rFonts w:cstheme="minorHAnsi"/>
          <w:i/>
        </w:rPr>
        <w:t>S</w:t>
      </w:r>
      <w:r w:rsidR="005C5772" w:rsidRPr="005C5772">
        <w:rPr>
          <w:rFonts w:cstheme="minorHAnsi"/>
          <w:i/>
        </w:rPr>
        <w:t>ervice</w:t>
      </w:r>
      <w:r w:rsidR="006B1AA0" w:rsidRPr="005C5772">
        <w:rPr>
          <w:rFonts w:cstheme="minorHAnsi"/>
          <w:i/>
        </w:rPr>
        <w:t xml:space="preserve"> Act</w:t>
      </w:r>
      <w:r w:rsidR="006B1AA0">
        <w:rPr>
          <w:rFonts w:cstheme="minorHAnsi"/>
        </w:rPr>
        <w:t xml:space="preserve"> places obligations on employees to adhere to the APS Code of Conduct</w:t>
      </w:r>
      <w:r w:rsidR="00EA4A00">
        <w:rPr>
          <w:rFonts w:cstheme="minorHAnsi"/>
        </w:rPr>
        <w:t xml:space="preserve"> </w:t>
      </w:r>
      <w:r w:rsidR="005C5772" w:rsidRPr="00AA2554">
        <w:rPr>
          <w:rStyle w:val="FootnoteReference"/>
          <w:rFonts w:asciiTheme="minorHAnsi" w:hAnsiTheme="minorHAnsi" w:cstheme="minorHAnsi"/>
        </w:rPr>
        <w:footnoteReference w:id="63"/>
      </w:r>
      <w:r w:rsidR="006B1AA0">
        <w:rPr>
          <w:rFonts w:cstheme="minorHAnsi"/>
        </w:rPr>
        <w:t xml:space="preserve"> and to adhere to APS </w:t>
      </w:r>
      <w:proofErr w:type="gramStart"/>
      <w:r w:rsidR="006B1AA0">
        <w:rPr>
          <w:rFonts w:cstheme="minorHAnsi"/>
        </w:rPr>
        <w:t>values</w:t>
      </w:r>
      <w:r w:rsidR="00EA4A00">
        <w:rPr>
          <w:rFonts w:cstheme="minorHAnsi"/>
        </w:rPr>
        <w:t xml:space="preserve"> </w:t>
      </w:r>
      <w:proofErr w:type="gramEnd"/>
      <w:r w:rsidR="005C5772" w:rsidRPr="00AA2554">
        <w:rPr>
          <w:rStyle w:val="FootnoteReference"/>
          <w:rFonts w:asciiTheme="minorHAnsi" w:hAnsiTheme="minorHAnsi" w:cstheme="minorHAnsi"/>
        </w:rPr>
        <w:footnoteReference w:id="64"/>
      </w:r>
      <w:r w:rsidR="006B1AA0">
        <w:rPr>
          <w:rFonts w:cstheme="minorHAnsi"/>
        </w:rPr>
        <w:t xml:space="preserve">. </w:t>
      </w:r>
    </w:p>
    <w:p w:rsidR="00AA12C9" w:rsidRDefault="00AA12C9" w:rsidP="00C33E86">
      <w:pPr>
        <w:shd w:val="clear" w:color="auto" w:fill="FFFFFF"/>
        <w:spacing w:after="0"/>
        <w:jc w:val="both"/>
        <w:rPr>
          <w:rFonts w:cstheme="minorHAnsi"/>
        </w:rPr>
      </w:pPr>
    </w:p>
    <w:p w:rsidR="00AA12C9" w:rsidRDefault="006B1AA0" w:rsidP="00C33E86">
      <w:pPr>
        <w:shd w:val="clear" w:color="auto" w:fill="FFFFFF"/>
        <w:spacing w:after="0"/>
        <w:jc w:val="both"/>
        <w:rPr>
          <w:rFonts w:cstheme="minorHAnsi"/>
        </w:rPr>
      </w:pPr>
      <w:r>
        <w:rPr>
          <w:rFonts w:cstheme="minorHAnsi"/>
        </w:rPr>
        <w:t>One of the object</w:t>
      </w:r>
      <w:r w:rsidR="00AA12C9">
        <w:rPr>
          <w:rFonts w:cstheme="minorHAnsi"/>
        </w:rPr>
        <w:t>s</w:t>
      </w:r>
      <w:r>
        <w:rPr>
          <w:rFonts w:cstheme="minorHAnsi"/>
        </w:rPr>
        <w:t xml:space="preserve"> of the Act is</w:t>
      </w:r>
      <w:r w:rsidR="00AA12C9">
        <w:rPr>
          <w:rFonts w:cstheme="minorHAnsi"/>
        </w:rPr>
        <w:t>:</w:t>
      </w:r>
    </w:p>
    <w:p w:rsidR="00AA12C9" w:rsidRDefault="00AA12C9" w:rsidP="00C33E86">
      <w:pPr>
        <w:shd w:val="clear" w:color="auto" w:fill="FFFFFF"/>
        <w:spacing w:after="0"/>
        <w:jc w:val="both"/>
        <w:rPr>
          <w:rFonts w:cstheme="minorHAnsi"/>
        </w:rPr>
      </w:pPr>
    </w:p>
    <w:p w:rsidR="00AA12C9" w:rsidRDefault="00AA12C9" w:rsidP="00C33E86">
      <w:pPr>
        <w:shd w:val="clear" w:color="auto" w:fill="FFFFFF"/>
        <w:spacing w:after="0"/>
        <w:ind w:left="284" w:right="284"/>
        <w:jc w:val="both"/>
        <w:rPr>
          <w:rFonts w:cstheme="minorHAnsi"/>
        </w:rPr>
      </w:pPr>
      <w:r w:rsidRPr="00516CCB">
        <w:rPr>
          <w:rFonts w:cstheme="minorHAnsi"/>
          <w:i/>
        </w:rPr>
        <w:t xml:space="preserve">To establish an apolitical public service that is efficient and effective in serving the Government, the Parliament and the Australian </w:t>
      </w:r>
      <w:proofErr w:type="gramStart"/>
      <w:r w:rsidRPr="00516CCB">
        <w:rPr>
          <w:rFonts w:cstheme="minorHAnsi"/>
          <w:i/>
        </w:rPr>
        <w:t>public</w:t>
      </w:r>
      <w:r w:rsidR="00EA4A00">
        <w:rPr>
          <w:rFonts w:cstheme="minorHAnsi"/>
          <w:i/>
        </w:rPr>
        <w:t xml:space="preserve"> </w:t>
      </w:r>
      <w:proofErr w:type="gramEnd"/>
      <w:r w:rsidR="00C33E86" w:rsidRPr="006D0DF4">
        <w:rPr>
          <w:rStyle w:val="FootnoteReference"/>
          <w:rFonts w:asciiTheme="minorHAnsi" w:hAnsiTheme="minorHAnsi" w:cstheme="minorHAnsi"/>
          <w:vertAlign w:val="superscript"/>
        </w:rPr>
        <w:footnoteReference w:id="65"/>
      </w:r>
      <w:r>
        <w:rPr>
          <w:rFonts w:cstheme="minorHAnsi"/>
        </w:rPr>
        <w:t>.</w:t>
      </w:r>
    </w:p>
    <w:p w:rsidR="00AA12C9" w:rsidRDefault="00AA12C9" w:rsidP="00C33E86">
      <w:pPr>
        <w:shd w:val="clear" w:color="auto" w:fill="FFFFFF"/>
        <w:spacing w:after="0"/>
        <w:jc w:val="both"/>
        <w:rPr>
          <w:rFonts w:cstheme="minorHAnsi"/>
        </w:rPr>
      </w:pPr>
    </w:p>
    <w:p w:rsidR="00886291" w:rsidRDefault="00886291" w:rsidP="00C33E86">
      <w:pPr>
        <w:shd w:val="clear" w:color="auto" w:fill="FFFFFF"/>
        <w:spacing w:after="0"/>
        <w:jc w:val="both"/>
        <w:rPr>
          <w:rFonts w:cstheme="minorHAnsi"/>
        </w:rPr>
      </w:pPr>
      <w:r>
        <w:rPr>
          <w:rFonts w:cstheme="minorHAnsi"/>
        </w:rPr>
        <w:t xml:space="preserve">The apolitical nature of the APS rests in part on a clear legislative framework supporting promotion </w:t>
      </w:r>
      <w:r w:rsidR="00794B1D">
        <w:rPr>
          <w:rFonts w:cstheme="minorHAnsi"/>
        </w:rPr>
        <w:t xml:space="preserve">based </w:t>
      </w:r>
      <w:r>
        <w:rPr>
          <w:rFonts w:cstheme="minorHAnsi"/>
        </w:rPr>
        <w:t>on merit</w:t>
      </w:r>
      <w:r w:rsidR="00936FCB">
        <w:rPr>
          <w:rFonts w:cstheme="minorHAnsi"/>
        </w:rPr>
        <w:t xml:space="preserve"> and</w:t>
      </w:r>
      <w:r>
        <w:rPr>
          <w:rFonts w:cstheme="minorHAnsi"/>
        </w:rPr>
        <w:t xml:space="preserve"> impartial decision-making in relation to employees’ employment. These principles are upheld through the availability of promotion appeals</w:t>
      </w:r>
      <w:r w:rsidR="00EA4A00">
        <w:rPr>
          <w:rFonts w:cstheme="minorHAnsi"/>
        </w:rPr>
        <w:t xml:space="preserve"> </w:t>
      </w:r>
      <w:r w:rsidR="0013488C" w:rsidRPr="006D0DF4">
        <w:rPr>
          <w:rStyle w:val="FootnoteReference"/>
          <w:rFonts w:asciiTheme="minorHAnsi" w:hAnsiTheme="minorHAnsi" w:cstheme="minorHAnsi"/>
          <w:vertAlign w:val="superscript"/>
        </w:rPr>
        <w:footnoteReference w:id="66"/>
      </w:r>
      <w:r w:rsidR="0013488C">
        <w:rPr>
          <w:rFonts w:cstheme="minorHAnsi"/>
        </w:rPr>
        <w:t xml:space="preserve"> </w:t>
      </w:r>
      <w:r>
        <w:rPr>
          <w:rFonts w:cstheme="minorHAnsi"/>
        </w:rPr>
        <w:t>and independent oversight over allegations of a</w:t>
      </w:r>
      <w:r w:rsidR="00BD2AA0">
        <w:rPr>
          <w:rFonts w:cstheme="minorHAnsi"/>
        </w:rPr>
        <w:t>ny</w:t>
      </w:r>
      <w:r>
        <w:rPr>
          <w:rFonts w:cstheme="minorHAnsi"/>
        </w:rPr>
        <w:t xml:space="preserve"> breach of the APS Code of </w:t>
      </w:r>
      <w:proofErr w:type="gramStart"/>
      <w:r>
        <w:rPr>
          <w:rFonts w:cstheme="minorHAnsi"/>
        </w:rPr>
        <w:t>Conduct</w:t>
      </w:r>
      <w:r w:rsidR="00EA4A00">
        <w:rPr>
          <w:rFonts w:cstheme="minorHAnsi"/>
        </w:rPr>
        <w:t xml:space="preserve"> </w:t>
      </w:r>
      <w:proofErr w:type="gramEnd"/>
      <w:r w:rsidR="00457422" w:rsidRPr="006D0DF4">
        <w:rPr>
          <w:rStyle w:val="FootnoteReference"/>
          <w:rFonts w:asciiTheme="minorHAnsi" w:hAnsiTheme="minorHAnsi" w:cstheme="minorHAnsi"/>
          <w:vertAlign w:val="superscript"/>
        </w:rPr>
        <w:footnoteReference w:id="67"/>
      </w:r>
      <w:r>
        <w:rPr>
          <w:rFonts w:cstheme="minorHAnsi"/>
        </w:rPr>
        <w:t xml:space="preserve">. These functions are performed through the independent, statutory office of the Merit Protection Commissioner. </w:t>
      </w:r>
    </w:p>
    <w:p w:rsidR="00D54F72" w:rsidRDefault="00D54F72" w:rsidP="00C33E86">
      <w:pPr>
        <w:shd w:val="clear" w:color="auto" w:fill="FFFFFF"/>
        <w:spacing w:after="0"/>
        <w:jc w:val="both"/>
        <w:rPr>
          <w:rFonts w:cstheme="minorHAnsi"/>
        </w:rPr>
      </w:pPr>
    </w:p>
    <w:p w:rsidR="00936FCB" w:rsidRPr="007C0B90" w:rsidRDefault="00936FCB" w:rsidP="00C33E86">
      <w:pPr>
        <w:shd w:val="clear" w:color="auto" w:fill="FFFFFF"/>
        <w:spacing w:after="0"/>
        <w:jc w:val="both"/>
        <w:rPr>
          <w:rFonts w:cstheme="minorHAnsi"/>
        </w:rPr>
      </w:pPr>
      <w:r>
        <w:rPr>
          <w:rFonts w:cstheme="minorHAnsi"/>
        </w:rPr>
        <w:t>However, t</w:t>
      </w:r>
      <w:r w:rsidRPr="007C0B90">
        <w:rPr>
          <w:rFonts w:cstheme="minorHAnsi"/>
        </w:rPr>
        <w:t xml:space="preserve">he National Commission of Audit recommended that the role of the Merit Protection Commissioner be abolished. </w:t>
      </w:r>
    </w:p>
    <w:p w:rsidR="00886291" w:rsidRPr="007C0B90" w:rsidRDefault="00886291" w:rsidP="00C33E86">
      <w:pPr>
        <w:shd w:val="clear" w:color="auto" w:fill="FFFFFF"/>
        <w:spacing w:after="0"/>
        <w:jc w:val="both"/>
        <w:rPr>
          <w:rFonts w:cstheme="minorHAnsi"/>
        </w:rPr>
      </w:pPr>
    </w:p>
    <w:p w:rsidR="00886291" w:rsidRDefault="00886291" w:rsidP="00C33E86">
      <w:pPr>
        <w:shd w:val="clear" w:color="auto" w:fill="FFFFFF"/>
        <w:spacing w:after="0"/>
        <w:jc w:val="both"/>
        <w:rPr>
          <w:rFonts w:cstheme="minorHAnsi"/>
        </w:rPr>
      </w:pPr>
      <w:r w:rsidRPr="007C0B90">
        <w:rPr>
          <w:rFonts w:cstheme="minorHAnsi"/>
        </w:rPr>
        <w:lastRenderedPageBreak/>
        <w:t>The National Commission of Audit recommended:</w:t>
      </w:r>
    </w:p>
    <w:p w:rsidR="00C96E05" w:rsidRPr="007C0B90" w:rsidRDefault="00C96E05" w:rsidP="00C33E86">
      <w:pPr>
        <w:shd w:val="clear" w:color="auto" w:fill="FFFFFF"/>
        <w:spacing w:after="0"/>
        <w:jc w:val="both"/>
        <w:rPr>
          <w:rFonts w:cstheme="minorHAnsi"/>
        </w:rPr>
      </w:pPr>
    </w:p>
    <w:p w:rsidR="00886291" w:rsidRDefault="00886291" w:rsidP="00C33E86">
      <w:pPr>
        <w:numPr>
          <w:ilvl w:val="0"/>
          <w:numId w:val="19"/>
        </w:numPr>
        <w:spacing w:after="0"/>
        <w:jc w:val="both"/>
        <w:rPr>
          <w:rFonts w:eastAsia="Times New Roman" w:cstheme="minorHAnsi"/>
          <w:i/>
          <w:lang w:val="en" w:eastAsia="en-AU"/>
        </w:rPr>
      </w:pPr>
      <w:r w:rsidRPr="00C96E05">
        <w:rPr>
          <w:rFonts w:eastAsia="Times New Roman" w:cstheme="minorHAnsi"/>
          <w:i/>
          <w:lang w:val="en" w:eastAsia="en-AU"/>
        </w:rPr>
        <w:t>the role of the Merit Protection Commissioner be abolished, with the Department of Employment to undertake responsibilities on Code of Conduct matters; and</w:t>
      </w:r>
    </w:p>
    <w:p w:rsidR="00A31474" w:rsidRPr="00C96E05" w:rsidRDefault="00A31474" w:rsidP="00A31474">
      <w:pPr>
        <w:spacing w:after="0"/>
        <w:ind w:left="720"/>
        <w:jc w:val="both"/>
        <w:rPr>
          <w:rFonts w:eastAsia="Times New Roman" w:cstheme="minorHAnsi"/>
          <w:i/>
          <w:lang w:val="en" w:eastAsia="en-AU"/>
        </w:rPr>
      </w:pPr>
    </w:p>
    <w:p w:rsidR="00886291" w:rsidRPr="00C96E05" w:rsidRDefault="00886291" w:rsidP="00C33E86">
      <w:pPr>
        <w:numPr>
          <w:ilvl w:val="0"/>
          <w:numId w:val="19"/>
        </w:numPr>
        <w:spacing w:after="0"/>
        <w:jc w:val="both"/>
        <w:rPr>
          <w:rFonts w:eastAsia="Times New Roman" w:cstheme="minorHAnsi"/>
          <w:i/>
          <w:lang w:val="en" w:eastAsia="en-AU"/>
        </w:rPr>
      </w:pPr>
      <w:proofErr w:type="gramStart"/>
      <w:r w:rsidRPr="00C96E05">
        <w:rPr>
          <w:rFonts w:eastAsia="Times New Roman" w:cstheme="minorHAnsi"/>
          <w:i/>
          <w:lang w:val="en" w:eastAsia="en-AU"/>
        </w:rPr>
        <w:t>removing</w:t>
      </w:r>
      <w:proofErr w:type="gramEnd"/>
      <w:r w:rsidRPr="00C96E05">
        <w:rPr>
          <w:rFonts w:eastAsia="Times New Roman" w:cstheme="minorHAnsi"/>
          <w:i/>
          <w:lang w:val="en" w:eastAsia="en-AU"/>
        </w:rPr>
        <w:t xml:space="preserve"> provisions for appeal processes in relation to promotion decisions for lower level positions in the Australian Public Service</w:t>
      </w:r>
      <w:r w:rsidR="00EA4A00">
        <w:rPr>
          <w:rFonts w:eastAsia="Times New Roman" w:cstheme="minorHAnsi"/>
          <w:i/>
          <w:lang w:val="en" w:eastAsia="en-AU"/>
        </w:rPr>
        <w:t xml:space="preserve"> </w:t>
      </w:r>
      <w:r w:rsidR="00457422" w:rsidRPr="006D0DF4">
        <w:rPr>
          <w:rStyle w:val="FootnoteReference"/>
          <w:rFonts w:asciiTheme="minorHAnsi" w:eastAsia="Times New Roman" w:hAnsiTheme="minorHAnsi" w:cstheme="minorHAnsi"/>
          <w:i/>
          <w:szCs w:val="20"/>
          <w:vertAlign w:val="superscript"/>
          <w:lang w:val="en" w:eastAsia="en-AU"/>
        </w:rPr>
        <w:footnoteReference w:id="68"/>
      </w:r>
      <w:r w:rsidRPr="00C96E05">
        <w:rPr>
          <w:rFonts w:eastAsia="Times New Roman" w:cstheme="minorHAnsi"/>
          <w:i/>
          <w:lang w:val="en" w:eastAsia="en-AU"/>
        </w:rPr>
        <w:t>.</w:t>
      </w:r>
    </w:p>
    <w:p w:rsidR="00AB5A81" w:rsidRDefault="00AB5A81" w:rsidP="00C33E86">
      <w:pPr>
        <w:shd w:val="clear" w:color="auto" w:fill="FFFFFF"/>
        <w:spacing w:after="0"/>
        <w:jc w:val="both"/>
        <w:rPr>
          <w:rFonts w:eastAsia="Times New Roman" w:cstheme="minorHAnsi"/>
          <w:highlight w:val="yellow"/>
          <w:lang w:val="en" w:eastAsia="en-AU"/>
        </w:rPr>
      </w:pPr>
    </w:p>
    <w:p w:rsidR="006B1AA0" w:rsidRDefault="00005C37" w:rsidP="00C33E86">
      <w:pPr>
        <w:shd w:val="clear" w:color="auto" w:fill="FFFFFF"/>
        <w:spacing w:after="0"/>
        <w:jc w:val="both"/>
        <w:rPr>
          <w:rFonts w:cstheme="minorHAnsi"/>
        </w:rPr>
      </w:pPr>
      <w:r>
        <w:rPr>
          <w:rFonts w:cstheme="minorHAnsi"/>
        </w:rPr>
        <w:t>The CPSU does not support these</w:t>
      </w:r>
      <w:r w:rsidR="00477224" w:rsidRPr="007C0B90">
        <w:rPr>
          <w:rFonts w:cstheme="minorHAnsi"/>
        </w:rPr>
        <w:t xml:space="preserve"> proposal</w:t>
      </w:r>
      <w:r>
        <w:rPr>
          <w:rFonts w:cstheme="minorHAnsi"/>
        </w:rPr>
        <w:t>s</w:t>
      </w:r>
      <w:r w:rsidR="00477224" w:rsidRPr="007C0B90">
        <w:rPr>
          <w:rFonts w:cstheme="minorHAnsi"/>
        </w:rPr>
        <w:t xml:space="preserve">. </w:t>
      </w:r>
      <w:r w:rsidR="00886291" w:rsidRPr="007C0B90">
        <w:rPr>
          <w:rFonts w:cstheme="minorHAnsi"/>
        </w:rPr>
        <w:t>The availability of promotion appeal</w:t>
      </w:r>
      <w:r w:rsidR="00052850">
        <w:rPr>
          <w:rFonts w:cstheme="minorHAnsi"/>
        </w:rPr>
        <w:t>s and independent oversight of C</w:t>
      </w:r>
      <w:r w:rsidR="00886291" w:rsidRPr="007C0B90">
        <w:rPr>
          <w:rFonts w:cstheme="minorHAnsi"/>
        </w:rPr>
        <w:t>ode of</w:t>
      </w:r>
      <w:r w:rsidR="00052850">
        <w:rPr>
          <w:rFonts w:cstheme="minorHAnsi"/>
        </w:rPr>
        <w:t xml:space="preserve"> C</w:t>
      </w:r>
      <w:r w:rsidR="00886291">
        <w:rPr>
          <w:rFonts w:cstheme="minorHAnsi"/>
        </w:rPr>
        <w:t xml:space="preserve">onduct investigations </w:t>
      </w:r>
      <w:r w:rsidR="00477224">
        <w:rPr>
          <w:rFonts w:cstheme="minorHAnsi"/>
        </w:rPr>
        <w:t xml:space="preserve">guards against favouritism and unfair decision-making. </w:t>
      </w:r>
      <w:r w:rsidR="00436645">
        <w:rPr>
          <w:rFonts w:cstheme="minorHAnsi"/>
        </w:rPr>
        <w:t xml:space="preserve">This is necessary to maintain public confidence in the APS. </w:t>
      </w:r>
    </w:p>
    <w:p w:rsidR="00936FCB" w:rsidRDefault="00936FCB" w:rsidP="00C33E86">
      <w:pPr>
        <w:shd w:val="clear" w:color="auto" w:fill="FFFFFF"/>
        <w:spacing w:after="0"/>
        <w:jc w:val="both"/>
        <w:rPr>
          <w:rFonts w:cstheme="minorHAnsi"/>
        </w:rPr>
      </w:pPr>
    </w:p>
    <w:p w:rsidR="00936FCB" w:rsidRDefault="00936FCB" w:rsidP="00C33E86">
      <w:pPr>
        <w:shd w:val="clear" w:color="auto" w:fill="FFFFFF"/>
        <w:spacing w:after="0"/>
        <w:jc w:val="both"/>
        <w:rPr>
          <w:rFonts w:cstheme="minorHAnsi"/>
        </w:rPr>
      </w:pPr>
      <w:r>
        <w:rPr>
          <w:rFonts w:cstheme="minorHAnsi"/>
        </w:rPr>
        <w:t>It would not be appropriate for an</w:t>
      </w:r>
      <w:r w:rsidR="00EB1583">
        <w:rPr>
          <w:rFonts w:cstheme="minorHAnsi"/>
        </w:rPr>
        <w:t>y</w:t>
      </w:r>
      <w:r>
        <w:rPr>
          <w:rFonts w:cstheme="minorHAnsi"/>
        </w:rPr>
        <w:t xml:space="preserve"> APS agency</w:t>
      </w:r>
      <w:r w:rsidR="00EB1583">
        <w:rPr>
          <w:rFonts w:cstheme="minorHAnsi"/>
        </w:rPr>
        <w:t>, including the Department of Employment as recommended by the National Commission of Audit, to oversee Code of C</w:t>
      </w:r>
      <w:r>
        <w:rPr>
          <w:rFonts w:cstheme="minorHAnsi"/>
        </w:rPr>
        <w:t>onduct reviews. This presents a conflict of interest as APS agencies are responsible for initiat</w:t>
      </w:r>
      <w:r w:rsidR="00FF1C21">
        <w:rPr>
          <w:rFonts w:cstheme="minorHAnsi"/>
        </w:rPr>
        <w:t>ing and pursuing investigations</w:t>
      </w:r>
      <w:r w:rsidR="0067137C">
        <w:rPr>
          <w:rFonts w:cstheme="minorHAnsi"/>
        </w:rPr>
        <w:t xml:space="preserve"> of suspected breaches</w:t>
      </w:r>
      <w:r w:rsidR="00FF1C21">
        <w:rPr>
          <w:rFonts w:cstheme="minorHAnsi"/>
        </w:rPr>
        <w:t xml:space="preserve">. The </w:t>
      </w:r>
      <w:r>
        <w:rPr>
          <w:rFonts w:cstheme="minorHAnsi"/>
        </w:rPr>
        <w:t>use of that power should be</w:t>
      </w:r>
      <w:r w:rsidR="0091184E">
        <w:rPr>
          <w:rFonts w:cstheme="minorHAnsi"/>
        </w:rPr>
        <w:t xml:space="preserve"> checked by an independent body</w:t>
      </w:r>
      <w:r w:rsidR="00FF1C21">
        <w:rPr>
          <w:rFonts w:cstheme="minorHAnsi"/>
        </w:rPr>
        <w:t xml:space="preserve"> t</w:t>
      </w:r>
      <w:r w:rsidR="0067137C">
        <w:rPr>
          <w:rFonts w:cstheme="minorHAnsi"/>
        </w:rPr>
        <w:t xml:space="preserve">o protect against abuse </w:t>
      </w:r>
      <w:r w:rsidR="00112F3F">
        <w:rPr>
          <w:rFonts w:cstheme="minorHAnsi"/>
        </w:rPr>
        <w:t xml:space="preserve">of </w:t>
      </w:r>
      <w:r w:rsidR="0067137C">
        <w:rPr>
          <w:rFonts w:cstheme="minorHAnsi"/>
        </w:rPr>
        <w:t>process</w:t>
      </w:r>
      <w:r w:rsidR="0091184E">
        <w:rPr>
          <w:rFonts w:cstheme="minorHAnsi"/>
        </w:rPr>
        <w:t xml:space="preserve">. </w:t>
      </w:r>
    </w:p>
    <w:p w:rsidR="00CB377E" w:rsidRDefault="00CB377E" w:rsidP="00C33E86">
      <w:pPr>
        <w:shd w:val="clear" w:color="auto" w:fill="FFFFFF"/>
        <w:spacing w:after="0"/>
        <w:jc w:val="both"/>
        <w:rPr>
          <w:rFonts w:cstheme="minorHAnsi"/>
        </w:rPr>
      </w:pPr>
    </w:p>
    <w:p w:rsidR="00FF1A6B" w:rsidRDefault="00CB377E" w:rsidP="00C33E86">
      <w:pPr>
        <w:shd w:val="clear" w:color="auto" w:fill="FFFFFF"/>
        <w:spacing w:after="0"/>
        <w:jc w:val="both"/>
        <w:rPr>
          <w:rFonts w:cstheme="minorHAnsi"/>
        </w:rPr>
      </w:pPr>
      <w:r>
        <w:rPr>
          <w:rFonts w:cstheme="minorHAnsi"/>
        </w:rPr>
        <w:t>The availabilit</w:t>
      </w:r>
      <w:r w:rsidR="0067137C">
        <w:rPr>
          <w:rFonts w:cstheme="minorHAnsi"/>
        </w:rPr>
        <w:t>y of promotions appeals support</w:t>
      </w:r>
      <w:r w:rsidR="004B5918">
        <w:rPr>
          <w:rFonts w:cstheme="minorHAnsi"/>
        </w:rPr>
        <w:t>s</w:t>
      </w:r>
      <w:r>
        <w:rPr>
          <w:rFonts w:cstheme="minorHAnsi"/>
        </w:rPr>
        <w:t xml:space="preserve"> an APS where employment decisions are based on merit, not patronage or favour. The CPSU does not support any removal of promotion appeal rights, and notes that such a move would be at odds with recent developments in public sector governance, that have seen the </w:t>
      </w:r>
      <w:r w:rsidR="00030EC7">
        <w:rPr>
          <w:rFonts w:cstheme="minorHAnsi"/>
        </w:rPr>
        <w:t xml:space="preserve">clarification and </w:t>
      </w:r>
      <w:r>
        <w:rPr>
          <w:rFonts w:cstheme="minorHAnsi"/>
        </w:rPr>
        <w:t xml:space="preserve">strengthening of accountability measures </w:t>
      </w:r>
      <w:r w:rsidR="009C368D">
        <w:rPr>
          <w:rFonts w:cstheme="minorHAnsi"/>
        </w:rPr>
        <w:t>t</w:t>
      </w:r>
      <w:r w:rsidR="00FF1A6B">
        <w:rPr>
          <w:rFonts w:cstheme="minorHAnsi"/>
        </w:rPr>
        <w:t xml:space="preserve">hrough the introduction of the </w:t>
      </w:r>
      <w:r w:rsidR="00FF1A6B" w:rsidRPr="00A77AFF">
        <w:rPr>
          <w:rFonts w:cstheme="minorHAnsi"/>
          <w:i/>
        </w:rPr>
        <w:t>Public Governance, Performance and Accountability</w:t>
      </w:r>
      <w:r w:rsidR="00A77AFF" w:rsidRPr="00A77AFF">
        <w:rPr>
          <w:rFonts w:cstheme="minorHAnsi"/>
          <w:i/>
        </w:rPr>
        <w:t xml:space="preserve"> </w:t>
      </w:r>
      <w:r w:rsidR="00FF1A6B" w:rsidRPr="00A77AFF">
        <w:rPr>
          <w:rFonts w:cstheme="minorHAnsi"/>
          <w:i/>
        </w:rPr>
        <w:t>Act 2013</w:t>
      </w:r>
      <w:r w:rsidR="00FF1A6B">
        <w:rPr>
          <w:rFonts w:cstheme="minorHAnsi"/>
        </w:rPr>
        <w:t xml:space="preserve"> and the </w:t>
      </w:r>
      <w:r w:rsidR="00FF1A6B" w:rsidRPr="00A77AFF">
        <w:rPr>
          <w:rFonts w:cstheme="minorHAnsi"/>
          <w:i/>
        </w:rPr>
        <w:t>Public Interest Disclosure Act 2013</w:t>
      </w:r>
      <w:r w:rsidR="00FF1A6B">
        <w:rPr>
          <w:rFonts w:cstheme="minorHAnsi"/>
        </w:rPr>
        <w:t>.</w:t>
      </w:r>
    </w:p>
    <w:p w:rsidR="005A1ABD" w:rsidRDefault="005A1ABD" w:rsidP="00C33E86">
      <w:pPr>
        <w:shd w:val="clear" w:color="auto" w:fill="FFFFFF"/>
        <w:spacing w:after="0"/>
        <w:jc w:val="both"/>
        <w:rPr>
          <w:rFonts w:cstheme="minorHAnsi"/>
        </w:rPr>
      </w:pPr>
    </w:p>
    <w:p w:rsidR="00B47657" w:rsidRDefault="00B47657" w:rsidP="00C33E86">
      <w:pPr>
        <w:shd w:val="clear" w:color="auto" w:fill="FFFFFF"/>
        <w:spacing w:after="0"/>
        <w:jc w:val="both"/>
        <w:rPr>
          <w:rFonts w:cstheme="minorHAnsi"/>
        </w:rPr>
      </w:pPr>
    </w:p>
    <w:p w:rsidR="00B47657" w:rsidRDefault="00B47657"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29366A" w:rsidRDefault="0029366A" w:rsidP="00C33E86">
      <w:pPr>
        <w:shd w:val="clear" w:color="auto" w:fill="FFFFFF"/>
        <w:spacing w:after="0"/>
        <w:jc w:val="both"/>
        <w:rPr>
          <w:rFonts w:cstheme="minorHAnsi"/>
        </w:rPr>
      </w:pPr>
    </w:p>
    <w:p w:rsidR="005A1ABD" w:rsidRDefault="005A1ABD" w:rsidP="000A6E1F">
      <w:pPr>
        <w:shd w:val="clear" w:color="auto" w:fill="FFFFFF"/>
        <w:spacing w:after="0"/>
        <w:jc w:val="both"/>
        <w:rPr>
          <w:rFonts w:asciiTheme="majorHAnsi" w:hAnsiTheme="majorHAnsi" w:cstheme="minorHAnsi"/>
          <w:b/>
          <w:sz w:val="28"/>
          <w:szCs w:val="28"/>
        </w:rPr>
      </w:pPr>
      <w:r>
        <w:rPr>
          <w:rFonts w:asciiTheme="majorHAnsi" w:hAnsiTheme="majorHAnsi" w:cstheme="minorHAnsi"/>
          <w:b/>
          <w:sz w:val="28"/>
          <w:szCs w:val="28"/>
        </w:rPr>
        <w:lastRenderedPageBreak/>
        <w:t>Conclusion</w:t>
      </w:r>
    </w:p>
    <w:p w:rsidR="000A6E1F" w:rsidRDefault="000A6E1F" w:rsidP="000A6E1F">
      <w:pPr>
        <w:spacing w:after="0"/>
        <w:jc w:val="both"/>
        <w:rPr>
          <w:rFonts w:cstheme="minorHAnsi"/>
        </w:rPr>
      </w:pPr>
    </w:p>
    <w:p w:rsidR="002715C8" w:rsidRDefault="00696B32" w:rsidP="0029366A">
      <w:pPr>
        <w:jc w:val="both"/>
        <w:rPr>
          <w:rFonts w:cstheme="minorHAnsi"/>
        </w:rPr>
      </w:pPr>
      <w:r>
        <w:t xml:space="preserve">A fair, balanced and robust workplace relations system is a cornerstone of any democratic society.  Strong and fair workplace laws underpin economic security and social cohesion.  </w:t>
      </w:r>
      <w:r w:rsidR="000A6E1F">
        <w:rPr>
          <w:rFonts w:cstheme="minorHAnsi"/>
        </w:rPr>
        <w:t xml:space="preserve">The CPSU supports a workplace relations system that genuinely protects </w:t>
      </w:r>
      <w:r w:rsidR="00176804">
        <w:rPr>
          <w:rFonts w:cstheme="minorHAnsi"/>
        </w:rPr>
        <w:t>employees’ interests</w:t>
      </w:r>
      <w:r w:rsidR="000A6E1F">
        <w:rPr>
          <w:rFonts w:cstheme="minorHAnsi"/>
        </w:rPr>
        <w:t xml:space="preserve">. This should include the facilitation of sensible and cooperative approaches to bargaining that </w:t>
      </w:r>
      <w:r w:rsidR="00586F46">
        <w:rPr>
          <w:rFonts w:cstheme="minorHAnsi"/>
        </w:rPr>
        <w:t>recogn</w:t>
      </w:r>
      <w:r w:rsidR="0036238C">
        <w:rPr>
          <w:rFonts w:cstheme="minorHAnsi"/>
        </w:rPr>
        <w:t xml:space="preserve">ise </w:t>
      </w:r>
      <w:r w:rsidR="00586F46">
        <w:rPr>
          <w:rFonts w:cstheme="minorHAnsi"/>
        </w:rPr>
        <w:t>employees’</w:t>
      </w:r>
      <w:r w:rsidR="0036238C">
        <w:rPr>
          <w:rFonts w:cstheme="minorHAnsi"/>
        </w:rPr>
        <w:t xml:space="preserve"> contributions</w:t>
      </w:r>
      <w:r w:rsidR="00176804">
        <w:rPr>
          <w:rFonts w:cstheme="minorHAnsi"/>
        </w:rPr>
        <w:t xml:space="preserve"> to improving the welfare of the Australian community.</w:t>
      </w:r>
    </w:p>
    <w:p w:rsidR="002715C8" w:rsidRDefault="003C67A1" w:rsidP="002715C8">
      <w:pPr>
        <w:spacing w:after="0"/>
        <w:jc w:val="both"/>
        <w:rPr>
          <w:rFonts w:cstheme="minorHAnsi"/>
        </w:rPr>
      </w:pPr>
      <w:r>
        <w:rPr>
          <w:rFonts w:cstheme="minorHAnsi"/>
        </w:rPr>
        <w:t>T</w:t>
      </w:r>
      <w:r w:rsidR="0036238C">
        <w:rPr>
          <w:rFonts w:cstheme="minorHAnsi"/>
        </w:rPr>
        <w:t>he workplace relations framework</w:t>
      </w:r>
      <w:r>
        <w:rPr>
          <w:rFonts w:cstheme="minorHAnsi"/>
        </w:rPr>
        <w:t xml:space="preserve"> requires substantial improvement</w:t>
      </w:r>
      <w:r w:rsidR="0036238C">
        <w:rPr>
          <w:rFonts w:cstheme="minorHAnsi"/>
        </w:rPr>
        <w:t xml:space="preserve">. This includes measures that: </w:t>
      </w:r>
    </w:p>
    <w:p w:rsidR="002715C8" w:rsidRDefault="002715C8" w:rsidP="002715C8">
      <w:pPr>
        <w:spacing w:after="0"/>
        <w:jc w:val="both"/>
        <w:rPr>
          <w:rFonts w:cstheme="minorHAnsi"/>
        </w:rPr>
      </w:pPr>
    </w:p>
    <w:p w:rsidR="00A31474" w:rsidRDefault="00A31474" w:rsidP="00A31474">
      <w:pPr>
        <w:pStyle w:val="ListParagraph"/>
        <w:numPr>
          <w:ilvl w:val="0"/>
          <w:numId w:val="2"/>
        </w:numPr>
        <w:spacing w:after="0"/>
        <w:jc w:val="both"/>
        <w:rPr>
          <w:rFonts w:cstheme="minorHAnsi"/>
        </w:rPr>
      </w:pPr>
      <w:r>
        <w:rPr>
          <w:rFonts w:cstheme="minorHAnsi"/>
        </w:rPr>
        <w:t>Gear the system towards genuine collective bargaining, not mere compliance with procedure</w:t>
      </w:r>
      <w:r w:rsidR="00EA4A00">
        <w:rPr>
          <w:rFonts w:cstheme="minorHAnsi"/>
        </w:rPr>
        <w:t>;</w:t>
      </w:r>
      <w:r>
        <w:rPr>
          <w:rFonts w:cstheme="minorHAnsi"/>
        </w:rPr>
        <w:t xml:space="preserve"> </w:t>
      </w:r>
    </w:p>
    <w:p w:rsidR="00A31474" w:rsidRDefault="00A31474" w:rsidP="00A31474">
      <w:pPr>
        <w:pStyle w:val="ListParagraph"/>
        <w:spacing w:after="0"/>
        <w:jc w:val="both"/>
        <w:rPr>
          <w:rFonts w:cstheme="minorHAnsi"/>
        </w:rPr>
      </w:pPr>
    </w:p>
    <w:p w:rsidR="000232EE" w:rsidRDefault="00A31474" w:rsidP="002715C8">
      <w:pPr>
        <w:pStyle w:val="ListParagraph"/>
        <w:numPr>
          <w:ilvl w:val="0"/>
          <w:numId w:val="2"/>
        </w:numPr>
        <w:spacing w:after="0"/>
        <w:jc w:val="both"/>
        <w:rPr>
          <w:rFonts w:cstheme="minorHAnsi"/>
        </w:rPr>
      </w:pPr>
      <w:r>
        <w:rPr>
          <w:rFonts w:cstheme="minorHAnsi"/>
        </w:rPr>
        <w:t>Recogni</w:t>
      </w:r>
      <w:r w:rsidR="00153E4E">
        <w:rPr>
          <w:rFonts w:cstheme="minorHAnsi"/>
        </w:rPr>
        <w:t>se</w:t>
      </w:r>
      <w:r>
        <w:rPr>
          <w:rFonts w:cstheme="minorHAnsi"/>
        </w:rPr>
        <w:t xml:space="preserve"> that restricting </w:t>
      </w:r>
      <w:r w:rsidR="000232EE">
        <w:rPr>
          <w:rFonts w:cstheme="minorHAnsi"/>
        </w:rPr>
        <w:t>bar</w:t>
      </w:r>
      <w:r>
        <w:rPr>
          <w:rFonts w:cstheme="minorHAnsi"/>
        </w:rPr>
        <w:t>gaining to the enterprise level can, at times, undermine genuine</w:t>
      </w:r>
      <w:r w:rsidR="000232EE">
        <w:rPr>
          <w:rFonts w:cstheme="minorHAnsi"/>
        </w:rPr>
        <w:t xml:space="preserve"> collective bargaining</w:t>
      </w:r>
      <w:r w:rsidR="00EA4A00">
        <w:rPr>
          <w:rFonts w:cstheme="minorHAnsi"/>
        </w:rPr>
        <w:t>;</w:t>
      </w:r>
    </w:p>
    <w:p w:rsidR="000232EE" w:rsidRDefault="000232EE" w:rsidP="000232EE">
      <w:pPr>
        <w:pStyle w:val="ListParagraph"/>
        <w:spacing w:after="0"/>
        <w:jc w:val="both"/>
        <w:rPr>
          <w:rFonts w:cstheme="minorHAnsi"/>
        </w:rPr>
      </w:pPr>
    </w:p>
    <w:p w:rsidR="00586F46" w:rsidRDefault="0036238C" w:rsidP="00586F46">
      <w:pPr>
        <w:pStyle w:val="ListParagraph"/>
        <w:numPr>
          <w:ilvl w:val="0"/>
          <w:numId w:val="2"/>
        </w:numPr>
        <w:spacing w:after="0"/>
        <w:jc w:val="both"/>
        <w:rPr>
          <w:rFonts w:cstheme="minorHAnsi"/>
        </w:rPr>
      </w:pPr>
      <w:r>
        <w:rPr>
          <w:rFonts w:cstheme="minorHAnsi"/>
        </w:rPr>
        <w:t>Allow bargaining disputes to be</w:t>
      </w:r>
      <w:r w:rsidR="00A31474">
        <w:rPr>
          <w:rFonts w:cstheme="minorHAnsi"/>
        </w:rPr>
        <w:t xml:space="preserve"> arbitrated by the </w:t>
      </w:r>
      <w:r>
        <w:rPr>
          <w:rFonts w:cstheme="minorHAnsi"/>
        </w:rPr>
        <w:t xml:space="preserve">Fair Work Commission </w:t>
      </w:r>
      <w:r w:rsidR="00A31474">
        <w:rPr>
          <w:rFonts w:cstheme="minorHAnsi"/>
        </w:rPr>
        <w:t xml:space="preserve">at an early stage, </w:t>
      </w:r>
      <w:r w:rsidR="002715C8">
        <w:rPr>
          <w:rFonts w:cstheme="minorHAnsi"/>
        </w:rPr>
        <w:t xml:space="preserve">so that </w:t>
      </w:r>
      <w:r>
        <w:rPr>
          <w:rFonts w:cstheme="minorHAnsi"/>
        </w:rPr>
        <w:t>bargaining can be settled and protract</w:t>
      </w:r>
      <w:r w:rsidR="000232EE">
        <w:rPr>
          <w:rFonts w:cstheme="minorHAnsi"/>
        </w:rPr>
        <w:t xml:space="preserve">ed disputes can be avoided; </w:t>
      </w:r>
    </w:p>
    <w:p w:rsidR="000232EE" w:rsidRPr="000232EE" w:rsidRDefault="000232EE" w:rsidP="000232EE">
      <w:pPr>
        <w:pStyle w:val="ListParagraph"/>
        <w:rPr>
          <w:rFonts w:cstheme="minorHAnsi"/>
        </w:rPr>
      </w:pPr>
    </w:p>
    <w:p w:rsidR="000232EE" w:rsidRDefault="000232EE" w:rsidP="000232EE">
      <w:pPr>
        <w:pStyle w:val="ListParagraph"/>
        <w:numPr>
          <w:ilvl w:val="0"/>
          <w:numId w:val="2"/>
        </w:numPr>
        <w:spacing w:after="0"/>
        <w:jc w:val="both"/>
        <w:rPr>
          <w:rFonts w:cstheme="minorHAnsi"/>
        </w:rPr>
      </w:pPr>
      <w:r>
        <w:rPr>
          <w:rFonts w:cstheme="minorHAnsi"/>
        </w:rPr>
        <w:t>Assist employees to c</w:t>
      </w:r>
      <w:r w:rsidRPr="002715C8">
        <w:rPr>
          <w:rFonts w:cstheme="minorHAnsi"/>
        </w:rPr>
        <w:t>ommence bargaining</w:t>
      </w:r>
      <w:r>
        <w:rPr>
          <w:rFonts w:cstheme="minorHAnsi"/>
        </w:rPr>
        <w:t xml:space="preserve"> and overcome unnecessary delays by employers where this occurs; and</w:t>
      </w:r>
    </w:p>
    <w:p w:rsidR="0036238C" w:rsidRDefault="0036238C" w:rsidP="0036238C">
      <w:pPr>
        <w:pStyle w:val="ListParagraph"/>
        <w:spacing w:after="0"/>
        <w:jc w:val="both"/>
        <w:rPr>
          <w:rFonts w:cstheme="minorHAnsi"/>
        </w:rPr>
      </w:pPr>
    </w:p>
    <w:p w:rsidR="00586F46" w:rsidRDefault="0036238C" w:rsidP="00586F46">
      <w:pPr>
        <w:pStyle w:val="ListParagraph"/>
        <w:numPr>
          <w:ilvl w:val="0"/>
          <w:numId w:val="2"/>
        </w:numPr>
        <w:spacing w:after="0"/>
        <w:jc w:val="both"/>
        <w:rPr>
          <w:rFonts w:cstheme="minorHAnsi"/>
        </w:rPr>
      </w:pPr>
      <w:r>
        <w:rPr>
          <w:rFonts w:cstheme="minorHAnsi"/>
        </w:rPr>
        <w:t>See outcomes n</w:t>
      </w:r>
      <w:r w:rsidR="00586F46">
        <w:rPr>
          <w:rFonts w:cstheme="minorHAnsi"/>
        </w:rPr>
        <w:t>egotiate</w:t>
      </w:r>
      <w:r>
        <w:rPr>
          <w:rFonts w:cstheme="minorHAnsi"/>
        </w:rPr>
        <w:t>d</w:t>
      </w:r>
      <w:r w:rsidR="00586F46">
        <w:rPr>
          <w:rFonts w:cstheme="minorHAnsi"/>
        </w:rPr>
        <w:t xml:space="preserve"> that </w:t>
      </w:r>
      <w:r w:rsidR="00AB64E6">
        <w:rPr>
          <w:rFonts w:cstheme="minorHAnsi"/>
        </w:rPr>
        <w:t xml:space="preserve">genuinely </w:t>
      </w:r>
      <w:r w:rsidR="00586F46">
        <w:rPr>
          <w:rFonts w:cstheme="minorHAnsi"/>
        </w:rPr>
        <w:t>reflect employees’</w:t>
      </w:r>
      <w:r w:rsidR="00AB64E6">
        <w:rPr>
          <w:rFonts w:cstheme="minorHAnsi"/>
        </w:rPr>
        <w:t xml:space="preserve"> contributions</w:t>
      </w:r>
      <w:r w:rsidR="00A31474">
        <w:rPr>
          <w:rFonts w:cstheme="minorHAnsi"/>
        </w:rPr>
        <w:t xml:space="preserve"> and</w:t>
      </w:r>
      <w:r w:rsidR="00AB64E6">
        <w:rPr>
          <w:rFonts w:cstheme="minorHAnsi"/>
        </w:rPr>
        <w:t xml:space="preserve"> </w:t>
      </w:r>
      <w:r w:rsidR="00CF1BFE">
        <w:rPr>
          <w:rFonts w:cstheme="minorHAnsi"/>
        </w:rPr>
        <w:t xml:space="preserve">which </w:t>
      </w:r>
      <w:r w:rsidR="00AB64E6">
        <w:rPr>
          <w:rFonts w:cstheme="minorHAnsi"/>
        </w:rPr>
        <w:t xml:space="preserve">support employees </w:t>
      </w:r>
      <w:r w:rsidR="004B5918">
        <w:rPr>
          <w:rFonts w:cstheme="minorHAnsi"/>
        </w:rPr>
        <w:t xml:space="preserve">in the public sector </w:t>
      </w:r>
      <w:r>
        <w:rPr>
          <w:rFonts w:cstheme="minorHAnsi"/>
        </w:rPr>
        <w:t xml:space="preserve">to </w:t>
      </w:r>
      <w:r w:rsidR="00AB64E6">
        <w:rPr>
          <w:rFonts w:cstheme="minorHAnsi"/>
        </w:rPr>
        <w:t>meet the needs of the community</w:t>
      </w:r>
      <w:r w:rsidR="002715C8">
        <w:rPr>
          <w:rFonts w:cstheme="minorHAnsi"/>
        </w:rPr>
        <w:t>. This requires a broader un</w:t>
      </w:r>
      <w:r>
        <w:rPr>
          <w:rFonts w:cstheme="minorHAnsi"/>
        </w:rPr>
        <w:t>derstanding of productivity than</w:t>
      </w:r>
      <w:r w:rsidR="002715C8">
        <w:rPr>
          <w:rFonts w:cstheme="minorHAnsi"/>
        </w:rPr>
        <w:t xml:space="preserve"> mere cost cutting and the reduction of employees’ conditions. </w:t>
      </w:r>
      <w:r w:rsidR="00AB64E6">
        <w:rPr>
          <w:rFonts w:cstheme="minorHAnsi"/>
        </w:rPr>
        <w:t xml:space="preserve"> </w:t>
      </w:r>
    </w:p>
    <w:p w:rsidR="00AB64E6" w:rsidRDefault="00AB64E6" w:rsidP="0036238C">
      <w:pPr>
        <w:spacing w:after="0"/>
        <w:jc w:val="both"/>
        <w:rPr>
          <w:rFonts w:cstheme="minorHAnsi"/>
        </w:rPr>
      </w:pPr>
    </w:p>
    <w:p w:rsidR="00A11A56" w:rsidRPr="00586F46" w:rsidRDefault="0036238C" w:rsidP="00BB4124">
      <w:pPr>
        <w:spacing w:after="0"/>
        <w:jc w:val="both"/>
        <w:rPr>
          <w:rFonts w:cstheme="minorHAnsi"/>
        </w:rPr>
      </w:pPr>
      <w:r>
        <w:rPr>
          <w:rFonts w:cstheme="minorHAnsi"/>
        </w:rPr>
        <w:t xml:space="preserve">The public sector plays a special role in the economy and in civil society, providing the services, support and infrastructure for all Australians to participate fully in community life. </w:t>
      </w:r>
      <w:r w:rsidR="0057165D">
        <w:rPr>
          <w:rFonts w:cstheme="minorHAnsi"/>
        </w:rPr>
        <w:t>T</w:t>
      </w:r>
      <w:r>
        <w:rPr>
          <w:rFonts w:cstheme="minorHAnsi"/>
        </w:rPr>
        <w:t>he federal government</w:t>
      </w:r>
      <w:r w:rsidR="0057165D">
        <w:rPr>
          <w:rFonts w:cstheme="minorHAnsi"/>
        </w:rPr>
        <w:t xml:space="preserve"> also has a </w:t>
      </w:r>
      <w:r>
        <w:rPr>
          <w:rFonts w:cstheme="minorHAnsi"/>
        </w:rPr>
        <w:t>responsibility to set an example as a model employer, to promote workforce participation a</w:t>
      </w:r>
      <w:r w:rsidR="00877E5E">
        <w:rPr>
          <w:rFonts w:cstheme="minorHAnsi"/>
        </w:rPr>
        <w:t xml:space="preserve">nd to support </w:t>
      </w:r>
      <w:r>
        <w:rPr>
          <w:rFonts w:cstheme="minorHAnsi"/>
        </w:rPr>
        <w:t xml:space="preserve">workforce diversity. </w:t>
      </w:r>
      <w:r w:rsidR="00BB4124">
        <w:rPr>
          <w:rFonts w:cstheme="minorHAnsi"/>
        </w:rPr>
        <w:t xml:space="preserve">The decisions made in the public sector in relation to public sector employment should </w:t>
      </w:r>
      <w:r w:rsidR="004B5918">
        <w:rPr>
          <w:rFonts w:cstheme="minorHAnsi"/>
        </w:rPr>
        <w:t xml:space="preserve">be </w:t>
      </w:r>
      <w:r w:rsidR="00BB4124">
        <w:rPr>
          <w:rFonts w:cstheme="minorHAnsi"/>
        </w:rPr>
        <w:t xml:space="preserve">of the highest standard, and subject to scrutiny. The CPSU therefore strongly recommends the maintenance of independent merit review in relation to employment decisions in the APS. </w:t>
      </w:r>
      <w:r w:rsidR="0092733D">
        <w:rPr>
          <w:rFonts w:cstheme="minorHAnsi"/>
        </w:rPr>
        <w:t xml:space="preserve"> </w:t>
      </w:r>
      <w:r w:rsidR="00A11A56" w:rsidRPr="00586F46">
        <w:rPr>
          <w:rFonts w:cstheme="minorHAnsi"/>
        </w:rPr>
        <w:br w:type="page"/>
      </w:r>
    </w:p>
    <w:p w:rsidR="00A11A56" w:rsidRPr="00A11A56" w:rsidRDefault="00A11A56" w:rsidP="00A11A56">
      <w:pPr>
        <w:spacing w:after="0" w:line="240" w:lineRule="auto"/>
        <w:rPr>
          <w:rFonts w:asciiTheme="majorHAnsi" w:hAnsiTheme="majorHAnsi" w:cs="Arial"/>
          <w:b/>
          <w:sz w:val="28"/>
          <w:szCs w:val="28"/>
        </w:rPr>
      </w:pPr>
      <w:r w:rsidRPr="00A11A56">
        <w:rPr>
          <w:rFonts w:asciiTheme="majorHAnsi" w:hAnsiTheme="majorHAnsi" w:cs="Arial"/>
          <w:b/>
          <w:sz w:val="28"/>
          <w:szCs w:val="28"/>
        </w:rPr>
        <w:lastRenderedPageBreak/>
        <w:t>References</w:t>
      </w:r>
    </w:p>
    <w:p w:rsidR="00A11A56" w:rsidRDefault="00A11A56" w:rsidP="00A11A56">
      <w:pPr>
        <w:spacing w:after="0" w:line="240" w:lineRule="auto"/>
        <w:rPr>
          <w:rFonts w:ascii="Arial" w:hAnsi="Arial" w:cs="Arial"/>
          <w:sz w:val="24"/>
          <w:szCs w:val="24"/>
        </w:rPr>
      </w:pPr>
    </w:p>
    <w:p w:rsidR="0092733D" w:rsidRPr="0092733D" w:rsidRDefault="0092733D" w:rsidP="00A11A56">
      <w:pPr>
        <w:spacing w:after="0" w:line="240" w:lineRule="auto"/>
        <w:rPr>
          <w:rFonts w:cstheme="minorHAnsi"/>
          <w:lang w:val="en-US"/>
        </w:rPr>
      </w:pPr>
      <w:r w:rsidRPr="0092733D">
        <w:rPr>
          <w:rFonts w:cstheme="minorHAnsi"/>
          <w:lang w:val="en-US"/>
        </w:rPr>
        <w:t xml:space="preserve">The Auditor–General, Indigenous Employment in Australian Government Entities, </w:t>
      </w:r>
      <w:r w:rsidRPr="0092733D">
        <w:rPr>
          <w:rFonts w:cstheme="minorHAnsi"/>
          <w:i/>
          <w:lang w:val="en-US"/>
        </w:rPr>
        <w:t>Australian National Audit Office</w:t>
      </w:r>
      <w:r w:rsidRPr="0092733D">
        <w:rPr>
          <w:rFonts w:cstheme="minorHAnsi"/>
          <w:lang w:val="en-US"/>
        </w:rPr>
        <w:t>, Canberra, Australia, 29 May 2014</w:t>
      </w:r>
    </w:p>
    <w:p w:rsidR="0092733D" w:rsidRDefault="0092733D" w:rsidP="00A11A56">
      <w:pPr>
        <w:spacing w:after="0" w:line="240" w:lineRule="auto"/>
        <w:rPr>
          <w:rFonts w:cstheme="minorHAnsi"/>
        </w:rPr>
      </w:pPr>
    </w:p>
    <w:p w:rsidR="00A11A56" w:rsidRPr="00A11A56" w:rsidRDefault="00A11A56" w:rsidP="00A11A56">
      <w:pPr>
        <w:spacing w:after="0" w:line="240" w:lineRule="auto"/>
        <w:rPr>
          <w:rFonts w:cstheme="minorHAnsi"/>
          <w:lang w:val="en-US"/>
        </w:rPr>
      </w:pPr>
      <w:r w:rsidRPr="00A11A56">
        <w:rPr>
          <w:rFonts w:cstheme="minorHAnsi"/>
        </w:rPr>
        <w:t>Australian Government, ‘</w:t>
      </w:r>
      <w:r w:rsidRPr="00A11A56">
        <w:rPr>
          <w:rFonts w:cstheme="minorHAnsi"/>
          <w:lang w:val="en-US"/>
        </w:rPr>
        <w:t xml:space="preserve">2014-15 Budget Paper 1: Budget Strategy and Outlook’, 13 May 2014, </w:t>
      </w:r>
      <w:hyperlink r:id="rId22" w:history="1">
        <w:r w:rsidRPr="00A11A56">
          <w:rPr>
            <w:rStyle w:val="Hyperlink"/>
            <w:rFonts w:cstheme="minorHAnsi"/>
            <w:lang w:val="en-US"/>
          </w:rPr>
          <w:t>http://budget.gov.au/2014-15/content/bp1/html/bp1_bst9.htm</w:t>
        </w:r>
      </w:hyperlink>
      <w:r w:rsidRPr="00A11A56">
        <w:rPr>
          <w:rFonts w:cstheme="minorHAnsi"/>
          <w:lang w:val="en-US"/>
        </w:rPr>
        <w:t>, (accessed 15 January 2015)</w:t>
      </w:r>
    </w:p>
    <w:p w:rsidR="00A11A56" w:rsidRPr="00A11A56" w:rsidRDefault="00A11A56" w:rsidP="00A11A56">
      <w:pPr>
        <w:spacing w:after="0" w:line="240" w:lineRule="auto"/>
        <w:rPr>
          <w:rFonts w:cstheme="minorHAnsi"/>
        </w:rPr>
      </w:pPr>
    </w:p>
    <w:p w:rsidR="00A11A56" w:rsidRPr="00A11A56" w:rsidRDefault="00A11A56" w:rsidP="00A11A56">
      <w:pPr>
        <w:spacing w:after="0" w:line="240" w:lineRule="auto"/>
        <w:rPr>
          <w:rFonts w:cstheme="minorHAnsi"/>
        </w:rPr>
      </w:pPr>
      <w:r w:rsidRPr="00A11A56">
        <w:rPr>
          <w:rFonts w:cstheme="minorHAnsi"/>
        </w:rPr>
        <w:t xml:space="preserve">Australian Government, ‘2014-15 Budget Paper 4 – Part 2: Staffing of Agencies’, May 2014, </w:t>
      </w:r>
      <w:hyperlink r:id="rId23" w:history="1">
        <w:r w:rsidRPr="00A11A56">
          <w:rPr>
            <w:rStyle w:val="Hyperlink"/>
            <w:rFonts w:cstheme="minorHAnsi"/>
          </w:rPr>
          <w:t>http://budget.gov.au/2014-15/content/bp4/html/bp4_part_2.htm</w:t>
        </w:r>
      </w:hyperlink>
      <w:r w:rsidRPr="00A11A56">
        <w:rPr>
          <w:rStyle w:val="Hyperlink"/>
          <w:rFonts w:cstheme="minorHAnsi"/>
        </w:rPr>
        <w:t xml:space="preserve">, </w:t>
      </w:r>
      <w:r w:rsidRPr="00A11A56">
        <w:rPr>
          <w:rFonts w:cstheme="minorHAnsi"/>
          <w:lang w:val="en-US"/>
        </w:rPr>
        <w:t>(accessed 15 January 2015)</w:t>
      </w:r>
    </w:p>
    <w:p w:rsidR="00A11A56" w:rsidRPr="00A11A56" w:rsidRDefault="00A11A56" w:rsidP="00A11A56">
      <w:pPr>
        <w:spacing w:after="0" w:line="240" w:lineRule="auto"/>
        <w:rPr>
          <w:rFonts w:cstheme="minorHAnsi"/>
        </w:rPr>
      </w:pPr>
    </w:p>
    <w:p w:rsidR="00A11A56" w:rsidRDefault="00A11A56" w:rsidP="00A11A56">
      <w:pPr>
        <w:spacing w:after="0" w:line="240" w:lineRule="auto"/>
        <w:rPr>
          <w:rFonts w:cstheme="minorHAnsi"/>
          <w:lang w:val="en-US"/>
        </w:rPr>
      </w:pPr>
      <w:r w:rsidRPr="00A11A56">
        <w:rPr>
          <w:rFonts w:cstheme="minorHAnsi"/>
          <w:lang w:val="en-US"/>
        </w:rPr>
        <w:t xml:space="preserve">Australian Public Service Commission, APS Statistical Bulletin 2013-14, September 2014, </w:t>
      </w:r>
      <w:hyperlink r:id="rId24" w:anchor="aps" w:history="1">
        <w:r w:rsidRPr="00A11A56">
          <w:rPr>
            <w:rStyle w:val="Hyperlink"/>
            <w:rFonts w:cstheme="minorHAnsi"/>
            <w:lang w:val="en-US"/>
          </w:rPr>
          <w:t>http://www.apsc.gov.au/about-the-apsc/parliamentary/aps-statistical-bulletin/aps-statistical-bulletin-2013-14/main-features#aps</w:t>
        </w:r>
      </w:hyperlink>
      <w:r w:rsidRPr="00A11A56">
        <w:rPr>
          <w:rFonts w:cstheme="minorHAnsi"/>
          <w:lang w:val="en-US"/>
        </w:rPr>
        <w:t>, (accessed 5 March 2015)</w:t>
      </w:r>
    </w:p>
    <w:p w:rsidR="00D913FA" w:rsidRDefault="00D913FA" w:rsidP="00A11A56">
      <w:pPr>
        <w:spacing w:after="0" w:line="240" w:lineRule="auto"/>
        <w:rPr>
          <w:rFonts w:cstheme="minorHAnsi"/>
          <w:lang w:val="en-US"/>
        </w:rPr>
      </w:pPr>
    </w:p>
    <w:p w:rsidR="00D913FA" w:rsidRPr="00D913FA" w:rsidRDefault="00D913FA" w:rsidP="00D913FA">
      <w:pPr>
        <w:pStyle w:val="FootnoteText"/>
        <w:spacing w:before="0" w:line="240" w:lineRule="auto"/>
        <w:ind w:left="0" w:firstLine="0"/>
        <w:rPr>
          <w:rFonts w:asciiTheme="minorHAnsi" w:hAnsiTheme="minorHAnsi" w:cstheme="minorHAnsi"/>
          <w:sz w:val="22"/>
          <w:szCs w:val="22"/>
          <w:lang w:val="en-US"/>
        </w:rPr>
      </w:pPr>
      <w:r w:rsidRPr="00D913FA">
        <w:rPr>
          <w:rFonts w:asciiTheme="minorHAnsi" w:hAnsiTheme="minorHAnsi" w:cstheme="minorHAnsi"/>
          <w:sz w:val="22"/>
          <w:szCs w:val="22"/>
          <w:lang w:val="en-US"/>
        </w:rPr>
        <w:t xml:space="preserve">Australian Public Service Commission, </w:t>
      </w:r>
      <w:r w:rsidRPr="00D913FA">
        <w:rPr>
          <w:rFonts w:asciiTheme="minorHAnsi" w:hAnsiTheme="minorHAnsi" w:cstheme="minorHAnsi"/>
          <w:i/>
          <w:sz w:val="22"/>
          <w:szCs w:val="22"/>
          <w:lang w:val="en-US"/>
        </w:rPr>
        <w:t>State of the Service Report</w:t>
      </w:r>
      <w:r w:rsidRPr="00D913FA">
        <w:rPr>
          <w:rFonts w:asciiTheme="minorHAnsi" w:hAnsiTheme="minorHAnsi" w:cstheme="minorHAnsi"/>
          <w:sz w:val="22"/>
          <w:szCs w:val="22"/>
          <w:lang w:val="en-US"/>
        </w:rPr>
        <w:t>, State of the Service Series 2013-</w:t>
      </w:r>
      <w:r>
        <w:rPr>
          <w:rFonts w:asciiTheme="minorHAnsi" w:hAnsiTheme="minorHAnsi" w:cstheme="minorHAnsi"/>
          <w:sz w:val="22"/>
          <w:szCs w:val="22"/>
          <w:lang w:val="en-US"/>
        </w:rPr>
        <w:t>14</w:t>
      </w:r>
    </w:p>
    <w:p w:rsidR="00A11A56" w:rsidRPr="00A11A56" w:rsidRDefault="00A11A56" w:rsidP="00A11A56">
      <w:pPr>
        <w:spacing w:after="0" w:line="240" w:lineRule="auto"/>
        <w:rPr>
          <w:rFonts w:cstheme="minorHAnsi"/>
        </w:rPr>
      </w:pPr>
    </w:p>
    <w:p w:rsidR="00A11A56" w:rsidRPr="00A11A56" w:rsidRDefault="00A11A56" w:rsidP="00A11A56">
      <w:pPr>
        <w:spacing w:after="0" w:line="240" w:lineRule="auto"/>
        <w:rPr>
          <w:rFonts w:cstheme="minorHAnsi"/>
        </w:rPr>
      </w:pPr>
      <w:r w:rsidRPr="00A11A56">
        <w:rPr>
          <w:rFonts w:cstheme="minorHAnsi"/>
        </w:rPr>
        <w:t>Australian Public Service Commission, Australian Government Public Sector Workplace Bargaining Policy, March 2014</w:t>
      </w:r>
    </w:p>
    <w:p w:rsidR="00A11A56" w:rsidRPr="00A11A56" w:rsidRDefault="00A11A56" w:rsidP="00A11A56">
      <w:pPr>
        <w:spacing w:after="0" w:line="240" w:lineRule="auto"/>
        <w:rPr>
          <w:rFonts w:cstheme="minorHAnsi"/>
          <w:lang w:val="en-US"/>
        </w:rPr>
      </w:pPr>
    </w:p>
    <w:p w:rsidR="00A11A56" w:rsidRPr="00A11A56" w:rsidRDefault="00A11A56" w:rsidP="00A11A56">
      <w:pPr>
        <w:spacing w:after="0" w:line="240" w:lineRule="auto"/>
        <w:rPr>
          <w:rFonts w:cstheme="minorHAnsi"/>
        </w:rPr>
      </w:pPr>
      <w:r w:rsidRPr="00A11A56">
        <w:rPr>
          <w:rFonts w:cstheme="minorHAnsi"/>
        </w:rPr>
        <w:t xml:space="preserve">Community and Public Sector Union, </w:t>
      </w:r>
      <w:r w:rsidRPr="00A11A56">
        <w:rPr>
          <w:rFonts w:cstheme="minorHAnsi"/>
          <w:i/>
        </w:rPr>
        <w:t>What Women Want 2013/14 Survey Report</w:t>
      </w:r>
      <w:r w:rsidRPr="00A11A56">
        <w:rPr>
          <w:rFonts w:cstheme="minorHAnsi"/>
        </w:rPr>
        <w:t>, March 2013</w:t>
      </w:r>
    </w:p>
    <w:p w:rsidR="00A11A56" w:rsidRPr="00A11A56" w:rsidRDefault="00A11A56" w:rsidP="00A11A56">
      <w:pPr>
        <w:spacing w:after="0" w:line="240" w:lineRule="auto"/>
        <w:rPr>
          <w:rFonts w:cstheme="minorHAnsi"/>
          <w:i/>
        </w:rPr>
      </w:pPr>
    </w:p>
    <w:p w:rsidR="00A11A56" w:rsidRPr="00A11A56" w:rsidRDefault="00A11A56" w:rsidP="00A11A56">
      <w:pPr>
        <w:spacing w:after="0" w:line="240" w:lineRule="auto"/>
        <w:rPr>
          <w:rFonts w:cstheme="minorHAnsi"/>
        </w:rPr>
      </w:pPr>
      <w:r w:rsidRPr="00A11A56">
        <w:rPr>
          <w:rFonts w:cstheme="minorHAnsi"/>
          <w:i/>
        </w:rPr>
        <w:t>Fair Work Act 2009</w:t>
      </w:r>
      <w:r w:rsidRPr="00A11A56">
        <w:rPr>
          <w:rFonts w:cstheme="minorHAnsi"/>
        </w:rPr>
        <w:t xml:space="preserve"> (</w:t>
      </w:r>
      <w:proofErr w:type="spellStart"/>
      <w:r w:rsidRPr="00A11A56">
        <w:rPr>
          <w:rFonts w:cstheme="minorHAnsi"/>
        </w:rPr>
        <w:t>Cth</w:t>
      </w:r>
      <w:proofErr w:type="spellEnd"/>
      <w:r w:rsidRPr="00A11A56">
        <w:rPr>
          <w:rFonts w:cstheme="minorHAnsi"/>
        </w:rPr>
        <w:t>)</w:t>
      </w:r>
    </w:p>
    <w:p w:rsidR="00A11A56" w:rsidRPr="00A11A56" w:rsidRDefault="00A11A56" w:rsidP="00A11A56">
      <w:pPr>
        <w:pStyle w:val="FootnoteText"/>
        <w:spacing w:before="0" w:line="240" w:lineRule="auto"/>
        <w:rPr>
          <w:rFonts w:asciiTheme="minorHAnsi" w:hAnsiTheme="minorHAnsi" w:cstheme="minorHAnsi"/>
          <w:i/>
          <w:sz w:val="22"/>
          <w:szCs w:val="22"/>
        </w:rPr>
      </w:pPr>
    </w:p>
    <w:p w:rsidR="00A11A56" w:rsidRDefault="00A11A56" w:rsidP="00A11A56">
      <w:pPr>
        <w:pStyle w:val="FootnoteText"/>
        <w:spacing w:before="0" w:line="240" w:lineRule="auto"/>
        <w:rPr>
          <w:rFonts w:asciiTheme="minorHAnsi" w:hAnsiTheme="minorHAnsi" w:cstheme="minorHAnsi"/>
          <w:sz w:val="22"/>
          <w:szCs w:val="22"/>
        </w:rPr>
      </w:pPr>
      <w:r w:rsidRPr="00A11A56">
        <w:rPr>
          <w:rFonts w:asciiTheme="minorHAnsi" w:hAnsiTheme="minorHAnsi" w:cstheme="minorHAnsi"/>
          <w:i/>
          <w:sz w:val="22"/>
          <w:szCs w:val="22"/>
        </w:rPr>
        <w:t>Fair Work Amendment (Bargaining Processes) Bill 2014</w:t>
      </w:r>
      <w:r w:rsidRPr="00A11A56">
        <w:rPr>
          <w:rFonts w:asciiTheme="minorHAnsi" w:hAnsiTheme="minorHAnsi" w:cstheme="minorHAnsi"/>
          <w:sz w:val="22"/>
          <w:szCs w:val="22"/>
        </w:rPr>
        <w:t xml:space="preserve"> (</w:t>
      </w:r>
      <w:proofErr w:type="spellStart"/>
      <w:r w:rsidRPr="00A11A56">
        <w:rPr>
          <w:rFonts w:asciiTheme="minorHAnsi" w:hAnsiTheme="minorHAnsi" w:cstheme="minorHAnsi"/>
          <w:sz w:val="22"/>
          <w:szCs w:val="22"/>
        </w:rPr>
        <w:t>Cth</w:t>
      </w:r>
      <w:proofErr w:type="spellEnd"/>
      <w:r w:rsidRPr="00A11A56">
        <w:rPr>
          <w:rFonts w:asciiTheme="minorHAnsi" w:hAnsiTheme="minorHAnsi" w:cstheme="minorHAnsi"/>
          <w:sz w:val="22"/>
          <w:szCs w:val="22"/>
        </w:rPr>
        <w:t>)</w:t>
      </w:r>
    </w:p>
    <w:p w:rsidR="007B33A0" w:rsidRDefault="007B33A0" w:rsidP="00A11A56">
      <w:pPr>
        <w:pStyle w:val="FootnoteText"/>
        <w:spacing w:before="0" w:line="240" w:lineRule="auto"/>
        <w:rPr>
          <w:rFonts w:asciiTheme="minorHAnsi" w:hAnsiTheme="minorHAnsi" w:cstheme="minorHAnsi"/>
          <w:sz w:val="22"/>
          <w:szCs w:val="22"/>
          <w:lang w:val="en-US"/>
        </w:rPr>
      </w:pPr>
    </w:p>
    <w:p w:rsidR="007B33A0" w:rsidRPr="007B33A0" w:rsidRDefault="007B33A0" w:rsidP="00A11A56">
      <w:pPr>
        <w:pStyle w:val="FootnoteText"/>
        <w:spacing w:before="0" w:line="240" w:lineRule="auto"/>
        <w:rPr>
          <w:rFonts w:asciiTheme="minorHAnsi" w:hAnsiTheme="minorHAnsi" w:cstheme="minorHAnsi"/>
          <w:b/>
          <w:sz w:val="22"/>
          <w:szCs w:val="22"/>
          <w:lang w:val="en-US"/>
        </w:rPr>
      </w:pPr>
      <w:r w:rsidRPr="007B33A0">
        <w:rPr>
          <w:rFonts w:asciiTheme="minorHAnsi" w:hAnsiTheme="minorHAnsi" w:cstheme="minorHAnsi"/>
          <w:i/>
          <w:sz w:val="22"/>
          <w:szCs w:val="22"/>
          <w:lang w:val="en-US"/>
        </w:rPr>
        <w:t>Fair Work Amendment Bill 2014</w:t>
      </w:r>
      <w:r w:rsidRPr="007B33A0">
        <w:rPr>
          <w:rFonts w:asciiTheme="minorHAnsi" w:hAnsiTheme="minorHAnsi" w:cstheme="minorHAnsi"/>
          <w:sz w:val="22"/>
          <w:szCs w:val="22"/>
          <w:lang w:val="en-US"/>
        </w:rPr>
        <w:t xml:space="preserve"> (</w:t>
      </w:r>
      <w:proofErr w:type="spellStart"/>
      <w:r w:rsidRPr="007B33A0">
        <w:rPr>
          <w:rFonts w:asciiTheme="minorHAnsi" w:hAnsiTheme="minorHAnsi" w:cstheme="minorHAnsi"/>
          <w:sz w:val="22"/>
          <w:szCs w:val="22"/>
          <w:lang w:val="en-US"/>
        </w:rPr>
        <w:t>Cth</w:t>
      </w:r>
      <w:proofErr w:type="spellEnd"/>
      <w:r w:rsidRPr="007B33A0">
        <w:rPr>
          <w:rFonts w:asciiTheme="minorHAnsi" w:hAnsiTheme="minorHAnsi" w:cstheme="minorHAnsi"/>
          <w:sz w:val="22"/>
          <w:szCs w:val="22"/>
          <w:lang w:val="en-US"/>
        </w:rPr>
        <w:t>)</w:t>
      </w:r>
    </w:p>
    <w:p w:rsidR="00A11A56" w:rsidRPr="00A11A56" w:rsidRDefault="00A11A56" w:rsidP="00A11A56">
      <w:pPr>
        <w:pStyle w:val="FootnoteText"/>
        <w:spacing w:before="0" w:line="240" w:lineRule="auto"/>
        <w:ind w:left="0" w:firstLine="0"/>
        <w:rPr>
          <w:rFonts w:asciiTheme="minorHAnsi" w:hAnsiTheme="minorHAnsi" w:cstheme="minorHAnsi"/>
          <w:sz w:val="22"/>
          <w:szCs w:val="22"/>
        </w:rPr>
      </w:pPr>
    </w:p>
    <w:p w:rsidR="00A11A56" w:rsidRDefault="00A11A56" w:rsidP="00A11A56">
      <w:pPr>
        <w:pStyle w:val="FootnoteText"/>
        <w:spacing w:before="0" w:line="240" w:lineRule="auto"/>
        <w:ind w:left="0" w:firstLine="0"/>
        <w:rPr>
          <w:rFonts w:asciiTheme="minorHAnsi" w:hAnsiTheme="minorHAnsi" w:cstheme="minorHAnsi"/>
          <w:sz w:val="22"/>
          <w:szCs w:val="22"/>
        </w:rPr>
      </w:pPr>
      <w:r w:rsidRPr="00A11A56">
        <w:rPr>
          <w:rFonts w:asciiTheme="minorHAnsi" w:hAnsiTheme="minorHAnsi" w:cstheme="minorHAnsi"/>
          <w:sz w:val="22"/>
          <w:szCs w:val="22"/>
        </w:rPr>
        <w:t xml:space="preserve">Fair Work Ombudsman, ‘The Fair Work system’, </w:t>
      </w:r>
      <w:hyperlink r:id="rId25" w:history="1">
        <w:r w:rsidRPr="00A11A56">
          <w:rPr>
            <w:rStyle w:val="Hyperlink"/>
            <w:rFonts w:asciiTheme="minorHAnsi" w:hAnsiTheme="minorHAnsi" w:cstheme="minorHAnsi"/>
            <w:sz w:val="22"/>
            <w:szCs w:val="22"/>
          </w:rPr>
          <w:t>http://www.fairwork.gov.au/about-us/the-fair-work-system</w:t>
        </w:r>
      </w:hyperlink>
      <w:r w:rsidRPr="00A11A56">
        <w:rPr>
          <w:rFonts w:asciiTheme="minorHAnsi" w:hAnsiTheme="minorHAnsi" w:cstheme="minorHAnsi"/>
          <w:sz w:val="22"/>
          <w:szCs w:val="22"/>
        </w:rPr>
        <w:t>, (accessed 5 March 2014)</w:t>
      </w:r>
    </w:p>
    <w:p w:rsidR="00E863F3" w:rsidRDefault="00E863F3" w:rsidP="00A11A56">
      <w:pPr>
        <w:pStyle w:val="FootnoteText"/>
        <w:spacing w:before="0" w:line="240" w:lineRule="auto"/>
        <w:ind w:left="0" w:firstLine="0"/>
        <w:rPr>
          <w:rFonts w:asciiTheme="minorHAnsi" w:hAnsiTheme="minorHAnsi" w:cstheme="minorHAnsi"/>
          <w:sz w:val="22"/>
          <w:szCs w:val="22"/>
        </w:rPr>
      </w:pPr>
    </w:p>
    <w:p w:rsidR="00E863F3" w:rsidRDefault="00E863F3" w:rsidP="00A11A56">
      <w:pPr>
        <w:pStyle w:val="FootnoteText"/>
        <w:spacing w:before="0" w:line="240" w:lineRule="auto"/>
        <w:ind w:left="0" w:firstLine="0"/>
        <w:rPr>
          <w:rFonts w:asciiTheme="minorHAnsi" w:hAnsiTheme="minorHAnsi" w:cstheme="minorHAnsi"/>
          <w:sz w:val="24"/>
          <w:szCs w:val="24"/>
          <w:lang w:val="en-US"/>
        </w:rPr>
      </w:pPr>
      <w:r w:rsidRPr="00E863F3">
        <w:rPr>
          <w:rFonts w:asciiTheme="minorHAnsi" w:hAnsiTheme="minorHAnsi" w:cstheme="minorHAnsi"/>
          <w:i/>
          <w:sz w:val="24"/>
          <w:szCs w:val="24"/>
          <w:lang w:val="en-US"/>
        </w:rPr>
        <w:t>Fair Work Regulations 2009</w:t>
      </w:r>
      <w:r w:rsidRPr="00E863F3">
        <w:rPr>
          <w:rFonts w:asciiTheme="minorHAnsi" w:hAnsiTheme="minorHAnsi" w:cstheme="minorHAnsi"/>
          <w:sz w:val="24"/>
          <w:szCs w:val="24"/>
          <w:lang w:val="en-US"/>
        </w:rPr>
        <w:t xml:space="preserve"> (</w:t>
      </w:r>
      <w:proofErr w:type="spellStart"/>
      <w:r w:rsidRPr="00E863F3">
        <w:rPr>
          <w:rFonts w:asciiTheme="minorHAnsi" w:hAnsiTheme="minorHAnsi" w:cstheme="minorHAnsi"/>
          <w:sz w:val="24"/>
          <w:szCs w:val="24"/>
          <w:lang w:val="en-US"/>
        </w:rPr>
        <w:t>Cth</w:t>
      </w:r>
      <w:proofErr w:type="spellEnd"/>
      <w:r w:rsidRPr="00E863F3">
        <w:rPr>
          <w:rFonts w:asciiTheme="minorHAnsi" w:hAnsiTheme="minorHAnsi" w:cstheme="minorHAnsi"/>
          <w:sz w:val="24"/>
          <w:szCs w:val="24"/>
          <w:lang w:val="en-US"/>
        </w:rPr>
        <w:t>)</w:t>
      </w:r>
    </w:p>
    <w:p w:rsidR="00066D23" w:rsidRDefault="00066D23" w:rsidP="00A11A56">
      <w:pPr>
        <w:pStyle w:val="FootnoteText"/>
        <w:spacing w:before="0" w:line="240" w:lineRule="auto"/>
        <w:ind w:left="0" w:firstLine="0"/>
        <w:rPr>
          <w:rFonts w:asciiTheme="minorHAnsi" w:hAnsiTheme="minorHAnsi" w:cstheme="minorHAnsi"/>
          <w:sz w:val="24"/>
          <w:szCs w:val="24"/>
          <w:lang w:val="en-US"/>
        </w:rPr>
      </w:pPr>
    </w:p>
    <w:p w:rsidR="00066D23" w:rsidRDefault="00066D23" w:rsidP="00A11A56">
      <w:pPr>
        <w:pStyle w:val="FootnoteText"/>
        <w:spacing w:before="0" w:line="240" w:lineRule="auto"/>
        <w:ind w:left="0" w:firstLine="0"/>
        <w:rPr>
          <w:rFonts w:asciiTheme="minorHAnsi" w:hAnsiTheme="minorHAnsi" w:cstheme="minorHAnsi"/>
          <w:sz w:val="22"/>
          <w:szCs w:val="22"/>
        </w:rPr>
      </w:pPr>
      <w:r w:rsidRPr="00066D23">
        <w:rPr>
          <w:rFonts w:asciiTheme="minorHAnsi" w:hAnsiTheme="minorHAnsi" w:cstheme="minorHAnsi"/>
          <w:sz w:val="22"/>
          <w:szCs w:val="22"/>
        </w:rPr>
        <w:t xml:space="preserve">International </w:t>
      </w:r>
      <w:proofErr w:type="spellStart"/>
      <w:r w:rsidRPr="00066D23">
        <w:rPr>
          <w:rFonts w:asciiTheme="minorHAnsi" w:hAnsiTheme="minorHAnsi" w:cstheme="minorHAnsi"/>
          <w:sz w:val="22"/>
          <w:szCs w:val="22"/>
        </w:rPr>
        <w:t>Labor</w:t>
      </w:r>
      <w:proofErr w:type="spellEnd"/>
      <w:r w:rsidRPr="00066D23">
        <w:rPr>
          <w:rFonts w:asciiTheme="minorHAnsi" w:hAnsiTheme="minorHAnsi" w:cstheme="minorHAnsi"/>
          <w:sz w:val="22"/>
          <w:szCs w:val="22"/>
        </w:rPr>
        <w:t xml:space="preserve"> Organisation, </w:t>
      </w:r>
      <w:r w:rsidRPr="00066D23">
        <w:rPr>
          <w:rFonts w:asciiTheme="minorHAnsi" w:hAnsiTheme="minorHAnsi" w:cstheme="minorHAnsi"/>
          <w:i/>
          <w:sz w:val="22"/>
          <w:szCs w:val="22"/>
        </w:rPr>
        <w:t>Freedom of Association and Protection of the Right to Organise Convention 1948</w:t>
      </w:r>
      <w:r>
        <w:rPr>
          <w:rFonts w:asciiTheme="minorHAnsi" w:hAnsiTheme="minorHAnsi" w:cstheme="minorHAnsi"/>
          <w:sz w:val="22"/>
          <w:szCs w:val="22"/>
        </w:rPr>
        <w:t>, (No 87)</w:t>
      </w:r>
    </w:p>
    <w:p w:rsidR="00066D23" w:rsidRDefault="00066D23" w:rsidP="00A11A56">
      <w:pPr>
        <w:pStyle w:val="FootnoteText"/>
        <w:spacing w:before="0" w:line="240" w:lineRule="auto"/>
        <w:ind w:left="0" w:firstLine="0"/>
        <w:rPr>
          <w:rFonts w:asciiTheme="minorHAnsi" w:hAnsiTheme="minorHAnsi" w:cstheme="minorHAnsi"/>
          <w:sz w:val="22"/>
          <w:szCs w:val="22"/>
        </w:rPr>
      </w:pPr>
    </w:p>
    <w:p w:rsidR="00066D23" w:rsidRPr="00066D23" w:rsidRDefault="00066D23" w:rsidP="00A11A56">
      <w:pPr>
        <w:pStyle w:val="FootnoteText"/>
        <w:spacing w:before="0" w:line="240" w:lineRule="auto"/>
        <w:ind w:left="0" w:firstLine="0"/>
        <w:rPr>
          <w:rFonts w:asciiTheme="minorHAnsi" w:hAnsiTheme="minorHAnsi" w:cstheme="minorHAnsi"/>
          <w:sz w:val="22"/>
          <w:szCs w:val="22"/>
          <w:lang w:val="en-US"/>
        </w:rPr>
      </w:pPr>
      <w:r w:rsidRPr="00066D23">
        <w:rPr>
          <w:rFonts w:asciiTheme="minorHAnsi" w:hAnsiTheme="minorHAnsi" w:cstheme="minorHAnsi"/>
          <w:sz w:val="22"/>
          <w:szCs w:val="22"/>
        </w:rPr>
        <w:t xml:space="preserve">International </w:t>
      </w:r>
      <w:proofErr w:type="spellStart"/>
      <w:r w:rsidRPr="00066D23">
        <w:rPr>
          <w:rFonts w:asciiTheme="minorHAnsi" w:hAnsiTheme="minorHAnsi" w:cstheme="minorHAnsi"/>
          <w:sz w:val="22"/>
          <w:szCs w:val="22"/>
        </w:rPr>
        <w:t>Labor</w:t>
      </w:r>
      <w:proofErr w:type="spellEnd"/>
      <w:r w:rsidRPr="00066D23">
        <w:rPr>
          <w:rFonts w:asciiTheme="minorHAnsi" w:hAnsiTheme="minorHAnsi" w:cstheme="minorHAnsi"/>
          <w:sz w:val="22"/>
          <w:szCs w:val="22"/>
        </w:rPr>
        <w:t xml:space="preserve"> Organisation, </w:t>
      </w:r>
      <w:r w:rsidRPr="00066D23">
        <w:rPr>
          <w:rFonts w:asciiTheme="minorHAnsi" w:hAnsiTheme="minorHAnsi" w:cstheme="minorHAnsi"/>
          <w:i/>
          <w:spacing w:val="-5"/>
          <w:kern w:val="36"/>
          <w:sz w:val="22"/>
          <w:szCs w:val="22"/>
          <w:lang w:val="en"/>
        </w:rPr>
        <w:t xml:space="preserve">Right to </w:t>
      </w:r>
      <w:proofErr w:type="spellStart"/>
      <w:r w:rsidRPr="00066D23">
        <w:rPr>
          <w:rFonts w:asciiTheme="minorHAnsi" w:hAnsiTheme="minorHAnsi" w:cstheme="minorHAnsi"/>
          <w:i/>
          <w:spacing w:val="-5"/>
          <w:kern w:val="36"/>
          <w:sz w:val="22"/>
          <w:szCs w:val="22"/>
          <w:lang w:val="en"/>
        </w:rPr>
        <w:t>Organise</w:t>
      </w:r>
      <w:proofErr w:type="spellEnd"/>
      <w:r w:rsidRPr="00066D23">
        <w:rPr>
          <w:rFonts w:asciiTheme="minorHAnsi" w:hAnsiTheme="minorHAnsi" w:cstheme="minorHAnsi"/>
          <w:i/>
          <w:spacing w:val="-5"/>
          <w:kern w:val="36"/>
          <w:sz w:val="22"/>
          <w:szCs w:val="22"/>
          <w:lang w:val="en"/>
        </w:rPr>
        <w:t xml:space="preserve"> and Collective Bargaining Convention, 1949</w:t>
      </w:r>
      <w:r w:rsidRPr="00066D23">
        <w:rPr>
          <w:rFonts w:asciiTheme="minorHAnsi" w:hAnsiTheme="minorHAnsi" w:cstheme="minorHAnsi"/>
          <w:spacing w:val="-5"/>
          <w:kern w:val="36"/>
          <w:sz w:val="22"/>
          <w:szCs w:val="22"/>
          <w:lang w:val="en"/>
        </w:rPr>
        <w:t xml:space="preserve"> (No. 98)</w:t>
      </w:r>
    </w:p>
    <w:p w:rsidR="00A11A56" w:rsidRPr="00A11A56" w:rsidRDefault="00A11A56" w:rsidP="00A11A56">
      <w:pPr>
        <w:spacing w:after="0" w:line="240" w:lineRule="auto"/>
        <w:rPr>
          <w:rFonts w:cstheme="minorHAnsi"/>
        </w:rPr>
      </w:pPr>
    </w:p>
    <w:p w:rsidR="00A11A56" w:rsidRPr="00A11A56" w:rsidRDefault="00A11A56" w:rsidP="00A11A56">
      <w:pPr>
        <w:spacing w:after="0" w:line="240" w:lineRule="auto"/>
        <w:rPr>
          <w:rFonts w:cstheme="minorHAnsi"/>
        </w:rPr>
      </w:pPr>
      <w:r w:rsidRPr="00A11A56">
        <w:rPr>
          <w:rFonts w:cstheme="minorHAnsi"/>
        </w:rPr>
        <w:t>National Commission of Audit, Towards</w:t>
      </w:r>
      <w:r w:rsidRPr="00A11A56">
        <w:rPr>
          <w:rFonts w:cstheme="minorHAnsi"/>
          <w:i/>
        </w:rPr>
        <w:t xml:space="preserve"> Responsible Government, The Report of the National Commission of Audit –Phase Two</w:t>
      </w:r>
      <w:r w:rsidRPr="00A11A56">
        <w:rPr>
          <w:rFonts w:cstheme="minorHAnsi"/>
        </w:rPr>
        <w:t xml:space="preserve">, Canberra, Commonwealth of Australia, March </w:t>
      </w:r>
      <w:r w:rsidRPr="00A11A56">
        <w:rPr>
          <w:rFonts w:cstheme="minorHAnsi"/>
          <w:lang w:val="en-US"/>
        </w:rPr>
        <w:t>2014</w:t>
      </w:r>
    </w:p>
    <w:p w:rsidR="00A11A56" w:rsidRPr="00A11A56" w:rsidRDefault="00A11A56" w:rsidP="00A11A56">
      <w:pPr>
        <w:pStyle w:val="NoSpacing"/>
        <w:rPr>
          <w:rFonts w:cstheme="minorHAnsi"/>
        </w:rPr>
      </w:pPr>
    </w:p>
    <w:p w:rsidR="005A1ABD" w:rsidRDefault="00A11A56" w:rsidP="00A11A56">
      <w:pPr>
        <w:pStyle w:val="NoSpacing"/>
        <w:rPr>
          <w:rFonts w:cstheme="minorHAnsi"/>
          <w:lang w:val="en-US"/>
        </w:rPr>
      </w:pPr>
      <w:r w:rsidRPr="00A11A56">
        <w:rPr>
          <w:rFonts w:cstheme="minorHAnsi"/>
        </w:rPr>
        <w:t xml:space="preserve">Organisation for Economic Co-operation and Development (OECD), </w:t>
      </w:r>
      <w:r w:rsidRPr="00A11A56">
        <w:rPr>
          <w:rFonts w:cstheme="minorHAnsi"/>
          <w:i/>
        </w:rPr>
        <w:t>Government at a Glance 2013</w:t>
      </w:r>
      <w:r w:rsidRPr="00A11A56">
        <w:rPr>
          <w:rFonts w:cstheme="minorHAnsi"/>
          <w:lang w:val="en-US"/>
        </w:rPr>
        <w:t xml:space="preserve">, Paris, France, </w:t>
      </w:r>
      <w:r w:rsidRPr="00A11A56">
        <w:rPr>
          <w:rFonts w:cstheme="minorHAnsi"/>
          <w:lang w:val="en"/>
        </w:rPr>
        <w:t xml:space="preserve">OECD Publishing, </w:t>
      </w:r>
      <w:r w:rsidRPr="00A11A56">
        <w:rPr>
          <w:rFonts w:cstheme="minorHAnsi"/>
          <w:lang w:val="en-US"/>
        </w:rPr>
        <w:t>14 November 2013</w:t>
      </w:r>
    </w:p>
    <w:p w:rsidR="00813ED5" w:rsidRDefault="00813ED5" w:rsidP="00A11A56">
      <w:pPr>
        <w:pStyle w:val="NoSpacing"/>
        <w:rPr>
          <w:rFonts w:cstheme="minorHAnsi"/>
          <w:lang w:val="en-US"/>
        </w:rPr>
      </w:pPr>
    </w:p>
    <w:p w:rsidR="00813ED5" w:rsidRDefault="00813ED5" w:rsidP="00A11A56">
      <w:pPr>
        <w:pStyle w:val="NoSpacing"/>
        <w:rPr>
          <w:rFonts w:cstheme="minorHAnsi"/>
          <w:lang w:val="en-US"/>
        </w:rPr>
      </w:pPr>
      <w:r w:rsidRPr="00813ED5">
        <w:rPr>
          <w:rFonts w:cstheme="minorHAnsi"/>
          <w:lang w:val="en-US"/>
        </w:rPr>
        <w:t xml:space="preserve">Productivity Commission, </w:t>
      </w:r>
      <w:r w:rsidRPr="00585B1F">
        <w:rPr>
          <w:rFonts w:cstheme="minorHAnsi"/>
          <w:lang w:val="en-US"/>
        </w:rPr>
        <w:t>Workplace Relations Framework: Issues Paper 5</w:t>
      </w:r>
      <w:r w:rsidR="004A2683">
        <w:rPr>
          <w:rFonts w:cstheme="minorHAnsi"/>
          <w:lang w:val="en-US"/>
        </w:rPr>
        <w:t>, January 2015</w:t>
      </w:r>
    </w:p>
    <w:p w:rsidR="006F21BF" w:rsidRDefault="006F21BF" w:rsidP="00A11A56">
      <w:pPr>
        <w:pStyle w:val="NoSpacing"/>
        <w:rPr>
          <w:rFonts w:cstheme="minorHAnsi"/>
          <w:lang w:val="en-US"/>
        </w:rPr>
      </w:pPr>
    </w:p>
    <w:p w:rsidR="006F21BF" w:rsidRPr="006F21BF" w:rsidRDefault="006F21BF" w:rsidP="00A11A56">
      <w:pPr>
        <w:pStyle w:val="NoSpacing"/>
        <w:rPr>
          <w:rFonts w:cstheme="minorHAnsi"/>
          <w:lang w:val="en-US"/>
        </w:rPr>
      </w:pPr>
      <w:r w:rsidRPr="006F21BF">
        <w:rPr>
          <w:rFonts w:cstheme="minorHAnsi"/>
          <w:lang w:val="en-US"/>
        </w:rPr>
        <w:t>Productivity Commission, Workplace Relations Framework: Issues Paper 3, January 2015</w:t>
      </w:r>
    </w:p>
    <w:p w:rsidR="001E715D" w:rsidRDefault="001E715D" w:rsidP="00A11A56">
      <w:pPr>
        <w:pStyle w:val="NoSpacing"/>
        <w:rPr>
          <w:rFonts w:cstheme="minorHAnsi"/>
          <w:lang w:val="en-US"/>
        </w:rPr>
      </w:pPr>
    </w:p>
    <w:p w:rsidR="001E715D" w:rsidRDefault="001E715D" w:rsidP="00A11A56">
      <w:pPr>
        <w:pStyle w:val="NoSpacing"/>
        <w:rPr>
          <w:rFonts w:cstheme="minorHAnsi"/>
          <w:i/>
        </w:rPr>
      </w:pPr>
      <w:r w:rsidRPr="00A77AFF">
        <w:rPr>
          <w:rFonts w:cstheme="minorHAnsi"/>
          <w:i/>
        </w:rPr>
        <w:t>Public Governance, Performance and Accountability Act 2013</w:t>
      </w:r>
      <w:r w:rsidRPr="00D879B7">
        <w:rPr>
          <w:rFonts w:cstheme="minorHAnsi"/>
        </w:rPr>
        <w:t>(</w:t>
      </w:r>
      <w:proofErr w:type="spellStart"/>
      <w:r w:rsidRPr="00D879B7">
        <w:rPr>
          <w:rFonts w:cstheme="minorHAnsi"/>
        </w:rPr>
        <w:t>Cth</w:t>
      </w:r>
      <w:proofErr w:type="spellEnd"/>
      <w:r w:rsidRPr="00D879B7">
        <w:rPr>
          <w:rFonts w:cstheme="minorHAnsi"/>
        </w:rPr>
        <w:t>)</w:t>
      </w:r>
    </w:p>
    <w:p w:rsidR="001E715D" w:rsidRDefault="001E715D" w:rsidP="00A11A56">
      <w:pPr>
        <w:pStyle w:val="NoSpacing"/>
        <w:rPr>
          <w:rFonts w:cstheme="minorHAnsi"/>
          <w:i/>
        </w:rPr>
      </w:pPr>
    </w:p>
    <w:p w:rsidR="001E715D" w:rsidRDefault="001E715D" w:rsidP="00A11A56">
      <w:pPr>
        <w:pStyle w:val="NoSpacing"/>
        <w:rPr>
          <w:rFonts w:cstheme="minorHAnsi"/>
          <w:lang w:val="en-US"/>
        </w:rPr>
      </w:pPr>
      <w:r w:rsidRPr="00A77AFF">
        <w:rPr>
          <w:rFonts w:cstheme="minorHAnsi"/>
          <w:i/>
        </w:rPr>
        <w:t>Public Interest Disclosure Act 2013</w:t>
      </w:r>
      <w:r>
        <w:rPr>
          <w:rFonts w:cstheme="minorHAnsi"/>
          <w:i/>
        </w:rPr>
        <w:t xml:space="preserve"> </w:t>
      </w:r>
      <w:r w:rsidRPr="00D879B7">
        <w:rPr>
          <w:rFonts w:cstheme="minorHAnsi"/>
        </w:rPr>
        <w:t>(</w:t>
      </w:r>
      <w:proofErr w:type="spellStart"/>
      <w:r w:rsidRPr="00D879B7">
        <w:rPr>
          <w:rFonts w:cstheme="minorHAnsi"/>
        </w:rPr>
        <w:t>Cth</w:t>
      </w:r>
      <w:proofErr w:type="spellEnd"/>
      <w:r w:rsidRPr="00D879B7">
        <w:rPr>
          <w:rFonts w:cstheme="minorHAnsi"/>
        </w:rPr>
        <w:t>)</w:t>
      </w:r>
    </w:p>
    <w:p w:rsidR="0092733D" w:rsidRDefault="0092733D" w:rsidP="00A11A56">
      <w:pPr>
        <w:pStyle w:val="NoSpacing"/>
        <w:rPr>
          <w:rFonts w:cstheme="minorHAnsi"/>
          <w:lang w:val="en-US"/>
        </w:rPr>
      </w:pPr>
    </w:p>
    <w:p w:rsidR="0092733D" w:rsidRDefault="0092733D" w:rsidP="00A11A56">
      <w:pPr>
        <w:pStyle w:val="NoSpacing"/>
        <w:rPr>
          <w:rFonts w:cstheme="minorHAnsi"/>
        </w:rPr>
      </w:pPr>
      <w:r w:rsidRPr="0092733D">
        <w:rPr>
          <w:rFonts w:cstheme="minorHAnsi"/>
          <w:i/>
        </w:rPr>
        <w:t>Public Service Act 1999</w:t>
      </w:r>
      <w:r>
        <w:rPr>
          <w:rFonts w:cstheme="minorHAnsi"/>
        </w:rPr>
        <w:t xml:space="preserve"> (</w:t>
      </w:r>
      <w:proofErr w:type="spellStart"/>
      <w:r>
        <w:rPr>
          <w:rFonts w:cstheme="minorHAnsi"/>
        </w:rPr>
        <w:t>Cth</w:t>
      </w:r>
      <w:proofErr w:type="spellEnd"/>
      <w:r>
        <w:rPr>
          <w:rFonts w:cstheme="minorHAnsi"/>
        </w:rPr>
        <w:t>)</w:t>
      </w:r>
    </w:p>
    <w:p w:rsidR="00AA2554" w:rsidRDefault="00AA2554" w:rsidP="00A11A56">
      <w:pPr>
        <w:pStyle w:val="NoSpacing"/>
        <w:rPr>
          <w:rFonts w:cstheme="minorHAnsi"/>
        </w:rPr>
      </w:pPr>
    </w:p>
    <w:p w:rsidR="00AA2554" w:rsidRPr="00AA2554" w:rsidRDefault="00AA2554" w:rsidP="00A11A56">
      <w:pPr>
        <w:pStyle w:val="NoSpacing"/>
        <w:rPr>
          <w:rFonts w:cstheme="minorHAnsi"/>
        </w:rPr>
      </w:pPr>
      <w:r w:rsidRPr="00AA2554">
        <w:rPr>
          <w:rFonts w:cstheme="minorHAnsi"/>
          <w:i/>
        </w:rPr>
        <w:t>Public Service Regulations 1999</w:t>
      </w:r>
      <w:r w:rsidRPr="00AA2554">
        <w:rPr>
          <w:rFonts w:cstheme="minorHAnsi"/>
        </w:rPr>
        <w:t xml:space="preserve"> (</w:t>
      </w:r>
      <w:proofErr w:type="spellStart"/>
      <w:r w:rsidRPr="00AA2554">
        <w:rPr>
          <w:rFonts w:cstheme="minorHAnsi"/>
        </w:rPr>
        <w:t>Cth</w:t>
      </w:r>
      <w:proofErr w:type="spellEnd"/>
      <w:r w:rsidRPr="00AA2554">
        <w:rPr>
          <w:rFonts w:cstheme="minorHAnsi"/>
        </w:rPr>
        <w:t>)</w:t>
      </w:r>
    </w:p>
    <w:p w:rsidR="007F28BF" w:rsidRDefault="007F28BF" w:rsidP="00A11A56">
      <w:pPr>
        <w:pStyle w:val="NoSpacing"/>
        <w:rPr>
          <w:rFonts w:cstheme="minorHAnsi"/>
        </w:rPr>
      </w:pPr>
    </w:p>
    <w:p w:rsidR="007F28BF" w:rsidRDefault="007F28BF" w:rsidP="007F28BF">
      <w:pPr>
        <w:pStyle w:val="FootnoteText"/>
        <w:spacing w:before="0" w:line="240" w:lineRule="auto"/>
        <w:ind w:left="0" w:firstLine="0"/>
        <w:jc w:val="left"/>
        <w:rPr>
          <w:rFonts w:asciiTheme="minorHAnsi" w:hAnsiTheme="minorHAnsi" w:cstheme="minorHAnsi"/>
          <w:sz w:val="22"/>
          <w:szCs w:val="22"/>
          <w:lang w:val="en-US"/>
        </w:rPr>
      </w:pPr>
      <w:r w:rsidRPr="007F28BF">
        <w:rPr>
          <w:rFonts w:asciiTheme="minorHAnsi" w:hAnsiTheme="minorHAnsi" w:cstheme="minorHAnsi"/>
          <w:sz w:val="22"/>
          <w:szCs w:val="22"/>
        </w:rPr>
        <w:t>Stone,</w:t>
      </w:r>
      <w:r>
        <w:rPr>
          <w:rFonts w:asciiTheme="minorHAnsi" w:hAnsiTheme="minorHAnsi" w:cstheme="minorHAnsi"/>
          <w:sz w:val="22"/>
          <w:szCs w:val="22"/>
        </w:rPr>
        <w:t xml:space="preserve"> C.,</w:t>
      </w:r>
      <w:r w:rsidRPr="007F28BF">
        <w:rPr>
          <w:rFonts w:asciiTheme="minorHAnsi" w:hAnsiTheme="minorHAnsi" w:cstheme="minorHAnsi"/>
          <w:sz w:val="22"/>
          <w:szCs w:val="22"/>
        </w:rPr>
        <w:t xml:space="preserve"> </w:t>
      </w:r>
      <w:r w:rsidRPr="007F28BF">
        <w:rPr>
          <w:rFonts w:asciiTheme="minorHAnsi" w:hAnsiTheme="minorHAnsi" w:cstheme="minorHAnsi"/>
          <w:i/>
          <w:sz w:val="22"/>
          <w:szCs w:val="22"/>
          <w:lang w:val="en-US"/>
        </w:rPr>
        <w:t>False Economies: Unpacking public service efficiency</w:t>
      </w:r>
      <w:r w:rsidRPr="007F28BF">
        <w:rPr>
          <w:rFonts w:asciiTheme="minorHAnsi" w:hAnsiTheme="minorHAnsi" w:cstheme="minorHAnsi"/>
          <w:sz w:val="22"/>
          <w:szCs w:val="22"/>
          <w:lang w:val="en-US"/>
        </w:rPr>
        <w:t>, Sydney, Centre for</w:t>
      </w:r>
      <w:r>
        <w:rPr>
          <w:rFonts w:asciiTheme="minorHAnsi" w:hAnsiTheme="minorHAnsi" w:cstheme="minorHAnsi"/>
          <w:sz w:val="22"/>
          <w:szCs w:val="22"/>
          <w:lang w:val="en-US"/>
        </w:rPr>
        <w:t xml:space="preserve"> Policy Development, June 2014</w:t>
      </w:r>
    </w:p>
    <w:p w:rsidR="00D879B7" w:rsidRDefault="00D879B7" w:rsidP="007F28BF">
      <w:pPr>
        <w:pStyle w:val="FootnoteText"/>
        <w:spacing w:before="0" w:line="240" w:lineRule="auto"/>
        <w:ind w:left="0" w:firstLine="0"/>
        <w:jc w:val="left"/>
        <w:rPr>
          <w:rFonts w:asciiTheme="minorHAnsi" w:hAnsiTheme="minorHAnsi" w:cstheme="minorHAnsi"/>
          <w:sz w:val="22"/>
          <w:szCs w:val="22"/>
          <w:lang w:val="en-US"/>
        </w:rPr>
      </w:pPr>
    </w:p>
    <w:p w:rsidR="00D879B7" w:rsidRPr="00D879B7" w:rsidRDefault="00D879B7" w:rsidP="007F28BF">
      <w:pPr>
        <w:pStyle w:val="FootnoteText"/>
        <w:spacing w:before="0" w:line="240" w:lineRule="auto"/>
        <w:ind w:left="0" w:firstLine="0"/>
        <w:jc w:val="left"/>
        <w:rPr>
          <w:rFonts w:asciiTheme="minorHAnsi" w:hAnsiTheme="minorHAnsi" w:cstheme="minorHAnsi"/>
          <w:sz w:val="22"/>
          <w:szCs w:val="22"/>
          <w:lang w:val="en-US"/>
        </w:rPr>
      </w:pPr>
      <w:r w:rsidRPr="00D879B7">
        <w:rPr>
          <w:rFonts w:asciiTheme="minorHAnsi" w:hAnsiTheme="minorHAnsi" w:cstheme="minorHAnsi"/>
          <w:i/>
          <w:sz w:val="22"/>
          <w:szCs w:val="22"/>
          <w:lang w:val="en-US"/>
        </w:rPr>
        <w:t>Workplace Relations Act 1996</w:t>
      </w:r>
      <w:r w:rsidRPr="00D879B7">
        <w:rPr>
          <w:rFonts w:asciiTheme="minorHAnsi" w:hAnsiTheme="minorHAnsi" w:cstheme="minorHAnsi"/>
          <w:sz w:val="22"/>
          <w:szCs w:val="22"/>
          <w:lang w:val="en-US"/>
        </w:rPr>
        <w:t xml:space="preserve"> (</w:t>
      </w:r>
      <w:proofErr w:type="spellStart"/>
      <w:r w:rsidRPr="00D879B7">
        <w:rPr>
          <w:rFonts w:asciiTheme="minorHAnsi" w:hAnsiTheme="minorHAnsi" w:cstheme="minorHAnsi"/>
          <w:sz w:val="22"/>
          <w:szCs w:val="22"/>
          <w:lang w:val="en-US"/>
        </w:rPr>
        <w:t>Cth</w:t>
      </w:r>
      <w:proofErr w:type="spellEnd"/>
      <w:r w:rsidRPr="00D879B7">
        <w:rPr>
          <w:rFonts w:asciiTheme="minorHAnsi" w:hAnsiTheme="minorHAnsi" w:cstheme="minorHAnsi"/>
          <w:sz w:val="22"/>
          <w:szCs w:val="22"/>
          <w:lang w:val="en-US"/>
        </w:rPr>
        <w:t>)</w:t>
      </w:r>
    </w:p>
    <w:p w:rsidR="007F28BF" w:rsidRPr="007F28BF" w:rsidRDefault="007F28BF" w:rsidP="007F28BF">
      <w:pPr>
        <w:pStyle w:val="FootnoteText"/>
        <w:spacing w:before="0" w:line="240" w:lineRule="auto"/>
        <w:ind w:left="0" w:firstLine="0"/>
        <w:jc w:val="left"/>
        <w:rPr>
          <w:rFonts w:asciiTheme="minorHAnsi" w:hAnsiTheme="minorHAnsi" w:cstheme="minorHAnsi"/>
          <w:sz w:val="22"/>
          <w:szCs w:val="22"/>
          <w:lang w:val="en-US"/>
        </w:rPr>
      </w:pPr>
    </w:p>
    <w:p w:rsidR="007F28BF" w:rsidRDefault="007F28BF" w:rsidP="007F28BF">
      <w:pPr>
        <w:pStyle w:val="FootnoteText"/>
        <w:spacing w:before="0" w:line="240" w:lineRule="auto"/>
        <w:ind w:left="0" w:firstLine="0"/>
        <w:jc w:val="left"/>
        <w:rPr>
          <w:rFonts w:asciiTheme="minorHAnsi" w:hAnsiTheme="minorHAnsi" w:cstheme="minorHAnsi"/>
          <w:sz w:val="22"/>
          <w:szCs w:val="22"/>
          <w:lang w:val="en-US"/>
        </w:rPr>
      </w:pPr>
      <w:r w:rsidRPr="007F28BF">
        <w:rPr>
          <w:rFonts w:asciiTheme="minorHAnsi" w:hAnsiTheme="minorHAnsi" w:cstheme="minorHAnsi"/>
          <w:sz w:val="22"/>
          <w:szCs w:val="22"/>
          <w:lang w:val="en-US"/>
        </w:rPr>
        <w:t xml:space="preserve">World Bank, </w:t>
      </w:r>
      <w:r w:rsidRPr="007F28BF">
        <w:rPr>
          <w:rFonts w:asciiTheme="minorHAnsi" w:hAnsiTheme="minorHAnsi" w:cstheme="minorHAnsi"/>
          <w:i/>
          <w:sz w:val="22"/>
          <w:szCs w:val="22"/>
          <w:lang w:val="en-US"/>
        </w:rPr>
        <w:t>Worldwide Governance Indicators, Country Data Report for Australia, 1996-2013</w:t>
      </w:r>
      <w:r w:rsidRPr="007F28BF">
        <w:rPr>
          <w:rFonts w:asciiTheme="minorHAnsi" w:hAnsiTheme="minorHAnsi" w:cstheme="minorHAnsi"/>
          <w:sz w:val="22"/>
          <w:szCs w:val="22"/>
          <w:lang w:val="en-US"/>
        </w:rPr>
        <w:t>, Washington D.C</w:t>
      </w:r>
      <w:r>
        <w:rPr>
          <w:rFonts w:asciiTheme="minorHAnsi" w:hAnsiTheme="minorHAnsi" w:cstheme="minorHAnsi"/>
          <w:sz w:val="22"/>
          <w:szCs w:val="22"/>
          <w:lang w:val="en-US"/>
        </w:rPr>
        <w:t>., USA, 11 September 2014</w:t>
      </w:r>
    </w:p>
    <w:sectPr w:rsidR="007F28BF">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65" w:rsidRDefault="00283765" w:rsidP="00D03711">
      <w:pPr>
        <w:spacing w:after="0" w:line="240" w:lineRule="auto"/>
      </w:pPr>
      <w:r>
        <w:separator/>
      </w:r>
    </w:p>
  </w:endnote>
  <w:endnote w:type="continuationSeparator" w:id="0">
    <w:p w:rsidR="00283765" w:rsidRDefault="00283765" w:rsidP="00D03711">
      <w:pPr>
        <w:spacing w:after="0" w:line="240" w:lineRule="auto"/>
      </w:pPr>
      <w:r>
        <w:continuationSeparator/>
      </w:r>
    </w:p>
  </w:endnote>
  <w:endnote w:type="continuationNotice" w:id="1">
    <w:p w:rsidR="00283765" w:rsidRDefault="0028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Sorts">
    <w:altName w:val="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59" w:rsidRDefault="00605359" w:rsidP="003B7A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359" w:rsidRDefault="00605359" w:rsidP="003B7A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58101"/>
      <w:docPartObj>
        <w:docPartGallery w:val="Page Numbers (Bottom of Page)"/>
        <w:docPartUnique/>
      </w:docPartObj>
    </w:sdtPr>
    <w:sdtEndPr>
      <w:rPr>
        <w:color w:val="808080" w:themeColor="background1" w:themeShade="80"/>
        <w:spacing w:val="60"/>
      </w:rPr>
    </w:sdtEndPr>
    <w:sdtContent>
      <w:p w:rsidR="00605359" w:rsidRDefault="00605359" w:rsidP="003B7A8E">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D3537C">
          <w:rPr>
            <w:b/>
            <w:bCs/>
            <w:noProof/>
          </w:rPr>
          <w:t>1</w:t>
        </w:r>
        <w:r>
          <w:rPr>
            <w:b/>
            <w:bCs/>
            <w:noProof/>
          </w:rPr>
          <w:fldChar w:fldCharType="end"/>
        </w:r>
        <w:r>
          <w:rPr>
            <w:b/>
            <w:bCs/>
          </w:rPr>
          <w:t xml:space="preserve"> | </w:t>
        </w:r>
        <w:r>
          <w:rPr>
            <w:color w:val="808080" w:themeColor="background1" w:themeShade="80"/>
            <w:spacing w:val="60"/>
          </w:rPr>
          <w:t>Page</w:t>
        </w:r>
      </w:p>
    </w:sdtContent>
  </w:sdt>
  <w:p w:rsidR="00605359" w:rsidRPr="00623AE7" w:rsidRDefault="00605359" w:rsidP="003B7A8E">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59" w:rsidRPr="009F5229" w:rsidRDefault="00605359" w:rsidP="0013488C">
    <w:pPr>
      <w:pStyle w:val="Footer"/>
      <w:jc w:val="center"/>
      <w:rPr>
        <w:rFonts w:ascii="Tahoma" w:hAnsi="Tahoma" w:cs="Tahoma"/>
        <w:sz w:val="16"/>
        <w:szCs w:val="16"/>
      </w:rPr>
    </w:pPr>
    <w:smartTag w:uri="urn:schemas-microsoft-com:office:smarttags" w:element="address">
      <w:smartTag w:uri="urn:schemas-microsoft-com:office:smarttags" w:element="Street">
        <w:r w:rsidRPr="009F5229">
          <w:rPr>
            <w:rFonts w:ascii="Tahoma" w:hAnsi="Tahoma" w:cs="Tahoma"/>
            <w:color w:val="999999"/>
            <w:sz w:val="16"/>
            <w:szCs w:val="16"/>
          </w:rPr>
          <w:t>191-199 Thomas St</w:t>
        </w:r>
      </w:smartTag>
      <w:r w:rsidRPr="009F5229">
        <w:rPr>
          <w:rFonts w:ascii="Tahoma" w:hAnsi="Tahoma" w:cs="Tahoma"/>
          <w:color w:val="999999"/>
          <w:sz w:val="16"/>
          <w:szCs w:val="16"/>
        </w:rPr>
        <w:t xml:space="preserve"> </w:t>
      </w:r>
      <w:smartTag w:uri="urn:schemas-microsoft-com:office:smarttags" w:element="City">
        <w:r w:rsidRPr="009F5229">
          <w:rPr>
            <w:rFonts w:ascii="Tahoma" w:hAnsi="Tahoma" w:cs="Tahoma"/>
            <w:color w:val="999999"/>
            <w:sz w:val="16"/>
            <w:szCs w:val="16"/>
          </w:rPr>
          <w:t>SYDNEY</w:t>
        </w:r>
      </w:smartTag>
    </w:smartTag>
    <w:r w:rsidRPr="009F5229">
      <w:rPr>
        <w:rFonts w:ascii="Tahoma" w:hAnsi="Tahoma" w:cs="Tahoma"/>
        <w:color w:val="999999"/>
        <w:sz w:val="16"/>
        <w:szCs w:val="16"/>
      </w:rPr>
      <w:t xml:space="preserve"> NSW 2000 </w:t>
    </w:r>
    <w:proofErr w:type="gramStart"/>
    <w:r w:rsidRPr="009F5229">
      <w:rPr>
        <w:rFonts w:ascii="Tahoma" w:hAnsi="Tahoma" w:cs="Tahoma"/>
        <w:color w:val="999999"/>
        <w:sz w:val="16"/>
        <w:szCs w:val="16"/>
      </w:rPr>
      <w:t>AUSTRALIA</w:t>
    </w:r>
    <w:r>
      <w:rPr>
        <w:rFonts w:ascii="Tahoma" w:hAnsi="Tahoma" w:cs="Tahoma"/>
        <w:sz w:val="16"/>
        <w:szCs w:val="16"/>
      </w:rPr>
      <w:t xml:space="preserve">  </w:t>
    </w:r>
    <w:r w:rsidRPr="009F5229">
      <w:rPr>
        <w:rFonts w:ascii="Tahoma" w:hAnsi="Tahoma" w:cs="Tahoma"/>
        <w:color w:val="808080"/>
        <w:sz w:val="16"/>
        <w:szCs w:val="16"/>
      </w:rPr>
      <w:t>Phone</w:t>
    </w:r>
    <w:proofErr w:type="gramEnd"/>
    <w:r w:rsidRPr="009F5229">
      <w:rPr>
        <w:rFonts w:ascii="Tahoma" w:hAnsi="Tahoma" w:cs="Tahoma"/>
        <w:color w:val="808080"/>
        <w:sz w:val="16"/>
        <w:szCs w:val="16"/>
      </w:rPr>
      <w:t xml:space="preserve">: +61 (02) 8204 6950 </w:t>
    </w:r>
    <w:r w:rsidRPr="009F5229">
      <w:rPr>
        <w:rFonts w:ascii="Tahoma" w:hAnsi="Tahoma" w:cs="Tahoma"/>
        <w:sz w:val="16"/>
        <w:szCs w:val="16"/>
      </w:rPr>
      <w:sym w:font="Monotype Sorts" w:char="F06C"/>
    </w:r>
    <w:r>
      <w:rPr>
        <w:rFonts w:ascii="Tahoma" w:hAnsi="Tahoma" w:cs="Tahoma"/>
        <w:sz w:val="16"/>
        <w:szCs w:val="16"/>
      </w:rPr>
      <w:t xml:space="preserve">  </w:t>
    </w:r>
    <w:r w:rsidRPr="009F5229">
      <w:rPr>
        <w:rFonts w:ascii="Tahoma" w:hAnsi="Tahoma" w:cs="Tahoma"/>
        <w:color w:val="808080"/>
        <w:sz w:val="16"/>
        <w:szCs w:val="16"/>
      </w:rPr>
      <w:t>Fax: +61 (02) 8204 6977</w:t>
    </w:r>
  </w:p>
  <w:p w:rsidR="00605359" w:rsidRDefault="000179A6" w:rsidP="008A7EAD">
    <w:pPr>
      <w:pStyle w:val="Footer"/>
      <w:jc w:val="center"/>
    </w:pPr>
    <w:hyperlink r:id="rId1" w:history="1">
      <w:r w:rsidR="00605359" w:rsidRPr="009F5229">
        <w:rPr>
          <w:rStyle w:val="Hyperlink"/>
          <w:rFonts w:ascii="Tahoma" w:hAnsi="Tahoma" w:cs="Tahoma"/>
          <w:sz w:val="16"/>
          <w:szCs w:val="16"/>
        </w:rPr>
        <w:t>http://www.cpsu.org.au</w:t>
      </w:r>
    </w:hyperlink>
    <w:r w:rsidR="00605359">
      <w:rPr>
        <w:rFonts w:ascii="Tahoma" w:hAnsi="Tahoma" w:cs="Tahoma"/>
        <w:color w:val="808080"/>
        <w:sz w:val="16"/>
        <w:szCs w:val="16"/>
      </w:rPr>
      <w:t xml:space="preserve">  </w:t>
    </w:r>
    <w:r w:rsidR="00605359" w:rsidRPr="009F5229">
      <w:rPr>
        <w:rFonts w:ascii="Tahoma" w:hAnsi="Tahoma" w:cs="Tahoma"/>
        <w:sz w:val="16"/>
        <w:szCs w:val="16"/>
      </w:rPr>
      <w:sym w:font="Monotype Sorts" w:char="F06C"/>
    </w:r>
    <w:r w:rsidR="00605359">
      <w:rPr>
        <w:rFonts w:ascii="Tahoma" w:hAnsi="Tahoma" w:cs="Tahoma"/>
        <w:sz w:val="16"/>
        <w:szCs w:val="16"/>
      </w:rPr>
      <w:t xml:space="preserve">  </w:t>
    </w:r>
    <w:hyperlink r:id="rId2" w:history="1">
      <w:r w:rsidR="00605359" w:rsidRPr="00A01EF4">
        <w:rPr>
          <w:rStyle w:val="Hyperlink"/>
          <w:rFonts w:ascii="Tahoma" w:hAnsi="Tahoma" w:cs="Tahoma"/>
          <w:sz w:val="16"/>
          <w:szCs w:val="16"/>
        </w:rPr>
        <w:t>nadine.flood@cpsu.org.au</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59" w:rsidRPr="00A9790D" w:rsidRDefault="006053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199845"/>
      <w:docPartObj>
        <w:docPartGallery w:val="Page Numbers (Bottom of Page)"/>
        <w:docPartUnique/>
      </w:docPartObj>
    </w:sdtPr>
    <w:sdtEndPr/>
    <w:sdtContent>
      <w:sdt>
        <w:sdtPr>
          <w:id w:val="98381352"/>
          <w:docPartObj>
            <w:docPartGallery w:val="Page Numbers (Top of Page)"/>
            <w:docPartUnique/>
          </w:docPartObj>
        </w:sdtPr>
        <w:sdtEndPr/>
        <w:sdtContent>
          <w:p w:rsidR="00605359" w:rsidRDefault="0060535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179A6">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9A6">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65" w:rsidRDefault="00283765" w:rsidP="00D03711">
      <w:pPr>
        <w:spacing w:after="0" w:line="240" w:lineRule="auto"/>
      </w:pPr>
      <w:r>
        <w:separator/>
      </w:r>
    </w:p>
  </w:footnote>
  <w:footnote w:type="continuationSeparator" w:id="0">
    <w:p w:rsidR="00283765" w:rsidRDefault="00283765" w:rsidP="00D03711">
      <w:pPr>
        <w:spacing w:after="0" w:line="240" w:lineRule="auto"/>
      </w:pPr>
      <w:r>
        <w:continuationSeparator/>
      </w:r>
    </w:p>
  </w:footnote>
  <w:footnote w:type="continuationNotice" w:id="1">
    <w:p w:rsidR="00283765" w:rsidRDefault="00283765">
      <w:pPr>
        <w:spacing w:after="0" w:line="240" w:lineRule="auto"/>
      </w:pPr>
    </w:p>
  </w:footnote>
  <w:footnote w:id="2">
    <w:p w:rsidR="00605359" w:rsidRPr="00696B32" w:rsidRDefault="00605359">
      <w:pPr>
        <w:pStyle w:val="FootnoteText"/>
        <w:rPr>
          <w:lang w:val="en-US"/>
        </w:rPr>
      </w:pPr>
      <w:r>
        <w:rPr>
          <w:rStyle w:val="FootnoteReference"/>
        </w:rPr>
        <w:footnoteRef/>
      </w:r>
      <w:r>
        <w:t xml:space="preserve"> </w:t>
      </w:r>
      <w:r w:rsidRPr="004675C1">
        <w:rPr>
          <w:rFonts w:asciiTheme="minorHAnsi" w:hAnsiTheme="minorHAnsi" w:cstheme="minorHAnsi"/>
          <w:i/>
          <w:lang w:val="en-US"/>
        </w:rPr>
        <w:t>Workplace Relations Act 1996</w:t>
      </w:r>
      <w:r w:rsidRPr="004675C1">
        <w:rPr>
          <w:rFonts w:asciiTheme="minorHAnsi" w:hAnsiTheme="minorHAnsi" w:cstheme="minorHAnsi"/>
          <w:lang w:val="en-US"/>
        </w:rPr>
        <w:t xml:space="preserve"> (</w:t>
      </w:r>
      <w:proofErr w:type="spellStart"/>
      <w:r w:rsidRPr="004675C1">
        <w:rPr>
          <w:rFonts w:asciiTheme="minorHAnsi" w:hAnsiTheme="minorHAnsi" w:cstheme="minorHAnsi"/>
          <w:lang w:val="en-US"/>
        </w:rPr>
        <w:t>Cth</w:t>
      </w:r>
      <w:proofErr w:type="spellEnd"/>
      <w:r w:rsidRPr="004675C1">
        <w:rPr>
          <w:rFonts w:asciiTheme="minorHAnsi" w:hAnsiTheme="minorHAnsi" w:cstheme="minorHAnsi"/>
          <w:lang w:val="en-US"/>
        </w:rPr>
        <w:t>)</w:t>
      </w:r>
    </w:p>
  </w:footnote>
  <w:footnote w:id="3">
    <w:p w:rsidR="00605359" w:rsidRPr="004675C1" w:rsidRDefault="00605359" w:rsidP="004675C1">
      <w:pPr>
        <w:pStyle w:val="FootnoteText"/>
        <w:spacing w:before="0" w:line="240" w:lineRule="auto"/>
        <w:ind w:left="0" w:firstLine="0"/>
        <w:rPr>
          <w:rFonts w:asciiTheme="minorHAnsi" w:hAnsiTheme="minorHAnsi" w:cstheme="minorHAnsi"/>
          <w:lang w:val="en-US"/>
        </w:rPr>
      </w:pPr>
      <w:r w:rsidRPr="004675C1">
        <w:rPr>
          <w:rStyle w:val="FootnoteReference"/>
          <w:rFonts w:asciiTheme="minorHAnsi" w:hAnsiTheme="minorHAnsi" w:cstheme="minorHAnsi"/>
        </w:rPr>
        <w:footnoteRef/>
      </w:r>
      <w:r w:rsidRPr="004675C1">
        <w:rPr>
          <w:rFonts w:asciiTheme="minorHAnsi" w:hAnsiTheme="minorHAnsi" w:cstheme="minorHAnsi"/>
        </w:rPr>
        <w:t xml:space="preserve"> </w:t>
      </w:r>
      <w:r w:rsidRPr="004675C1">
        <w:rPr>
          <w:rFonts w:asciiTheme="minorHAnsi" w:hAnsiTheme="minorHAnsi" w:cstheme="minorHAnsi"/>
          <w:i/>
        </w:rPr>
        <w:t xml:space="preserve">Fair Work Act 2009 </w:t>
      </w:r>
      <w:r w:rsidRPr="0029366A">
        <w:rPr>
          <w:rFonts w:asciiTheme="minorHAnsi" w:hAnsiTheme="minorHAnsi"/>
        </w:rPr>
        <w:t>(</w:t>
      </w:r>
      <w:proofErr w:type="spellStart"/>
      <w:r w:rsidRPr="0029366A">
        <w:rPr>
          <w:rFonts w:asciiTheme="minorHAnsi" w:hAnsiTheme="minorHAnsi"/>
        </w:rPr>
        <w:t>Cth</w:t>
      </w:r>
      <w:proofErr w:type="spellEnd"/>
      <w:r w:rsidRPr="0029366A">
        <w:rPr>
          <w:rFonts w:asciiTheme="minorHAnsi" w:hAnsiTheme="minorHAnsi"/>
        </w:rPr>
        <w:t>)</w:t>
      </w:r>
    </w:p>
  </w:footnote>
  <w:footnote w:id="4">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Pr>
          <w:rFonts w:asciiTheme="minorHAnsi" w:hAnsiTheme="minorHAnsi" w:cstheme="minorHAnsi"/>
          <w:lang w:val="en-US"/>
        </w:rPr>
        <w:t>Ibid</w:t>
      </w:r>
      <w:r w:rsidRPr="005537BD">
        <w:rPr>
          <w:rFonts w:asciiTheme="minorHAnsi" w:hAnsiTheme="minorHAnsi" w:cstheme="minorHAnsi"/>
          <w:lang w:val="en-US"/>
        </w:rPr>
        <w:t>, section</w:t>
      </w:r>
      <w:r>
        <w:rPr>
          <w:rFonts w:asciiTheme="minorHAnsi" w:hAnsiTheme="minorHAnsi" w:cstheme="minorHAnsi"/>
          <w:lang w:val="en-US"/>
        </w:rPr>
        <w:t xml:space="preserve"> 176</w:t>
      </w:r>
    </w:p>
  </w:footnote>
  <w:footnote w:id="5">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sidRPr="005537BD">
        <w:rPr>
          <w:rFonts w:asciiTheme="minorHAnsi" w:hAnsiTheme="minorHAnsi" w:cstheme="minorHAnsi"/>
          <w:lang w:val="en-US"/>
        </w:rPr>
        <w:t xml:space="preserve">Ibid, section 229 </w:t>
      </w:r>
    </w:p>
  </w:footnote>
  <w:footnote w:id="6">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sidRPr="005537BD">
        <w:rPr>
          <w:rFonts w:asciiTheme="minorHAnsi" w:hAnsiTheme="minorHAnsi" w:cstheme="minorHAnsi"/>
          <w:lang w:val="en-US"/>
        </w:rPr>
        <w:t>Ibid, section 346</w:t>
      </w:r>
    </w:p>
  </w:footnote>
  <w:footnote w:id="7">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sidRPr="005537BD">
        <w:rPr>
          <w:rFonts w:asciiTheme="minorHAnsi" w:hAnsiTheme="minorHAnsi" w:cstheme="minorHAnsi"/>
          <w:lang w:val="en-US"/>
        </w:rPr>
        <w:t>Ibid, Part 3-2</w:t>
      </w:r>
    </w:p>
  </w:footnote>
  <w:footnote w:id="8">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sidRPr="005537BD">
        <w:rPr>
          <w:rFonts w:asciiTheme="minorHAnsi" w:hAnsiTheme="minorHAnsi" w:cstheme="minorHAnsi"/>
          <w:lang w:val="en-US"/>
        </w:rPr>
        <w:t>Ibid, Part 2-2</w:t>
      </w:r>
    </w:p>
  </w:footnote>
  <w:footnote w:id="9">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w:t>
      </w:r>
      <w:r w:rsidRPr="005537BD">
        <w:rPr>
          <w:rFonts w:asciiTheme="minorHAnsi" w:hAnsiTheme="minorHAnsi" w:cstheme="minorHAnsi"/>
          <w:lang w:val="en-US"/>
        </w:rPr>
        <w:t>Ibid, Part 2-3</w:t>
      </w:r>
    </w:p>
  </w:footnote>
  <w:footnote w:id="10">
    <w:p w:rsidR="00605359" w:rsidRPr="005537BD" w:rsidRDefault="00605359" w:rsidP="000832EC">
      <w:pPr>
        <w:pStyle w:val="FootnoteText"/>
        <w:spacing w:before="0" w:line="240" w:lineRule="auto"/>
        <w:rPr>
          <w:rFonts w:asciiTheme="minorHAnsi" w:hAnsiTheme="minorHAnsi" w:cstheme="minorHAnsi"/>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Ibid, section 14 </w:t>
      </w:r>
    </w:p>
  </w:footnote>
  <w:footnote w:id="11">
    <w:p w:rsidR="00605359" w:rsidRPr="0089492C" w:rsidRDefault="00605359" w:rsidP="000832EC">
      <w:pPr>
        <w:pStyle w:val="FootnoteText"/>
        <w:spacing w:before="0" w:line="240" w:lineRule="auto"/>
        <w:rPr>
          <w:lang w:val="en-US"/>
        </w:rPr>
      </w:pPr>
      <w:r w:rsidRPr="005537BD">
        <w:rPr>
          <w:rStyle w:val="FootnoteReference"/>
          <w:rFonts w:asciiTheme="minorHAnsi" w:hAnsiTheme="minorHAnsi" w:cstheme="minorHAnsi"/>
        </w:rPr>
        <w:footnoteRef/>
      </w:r>
      <w:r w:rsidRPr="005537BD">
        <w:rPr>
          <w:rFonts w:asciiTheme="minorHAnsi" w:hAnsiTheme="minorHAnsi" w:cstheme="minorHAnsi"/>
        </w:rPr>
        <w:t xml:space="preserve"> Ibid, </w:t>
      </w:r>
      <w:r w:rsidRPr="005537BD">
        <w:rPr>
          <w:rFonts w:asciiTheme="minorHAnsi" w:hAnsiTheme="minorHAnsi" w:cstheme="minorHAnsi"/>
          <w:lang w:val="en-US"/>
        </w:rPr>
        <w:t>section 171</w:t>
      </w:r>
      <w:r>
        <w:rPr>
          <w:lang w:val="en-US"/>
        </w:rPr>
        <w:t xml:space="preserve"> </w:t>
      </w:r>
    </w:p>
  </w:footnote>
  <w:footnote w:id="12">
    <w:p w:rsidR="00605359" w:rsidRPr="006D0DF4" w:rsidRDefault="00605359" w:rsidP="006D0DF4">
      <w:pPr>
        <w:pStyle w:val="NoSpacing"/>
        <w:rPr>
          <w:rFonts w:cstheme="minorHAnsi"/>
          <w:sz w:val="20"/>
          <w:szCs w:val="20"/>
          <w:lang w:val="en-US"/>
        </w:rPr>
      </w:pPr>
      <w:r w:rsidRPr="006D0DF4">
        <w:rPr>
          <w:rStyle w:val="FootnoteReference"/>
          <w:rFonts w:asciiTheme="minorHAnsi" w:hAnsiTheme="minorHAnsi" w:cstheme="minorHAnsi"/>
          <w:szCs w:val="20"/>
        </w:rPr>
        <w:footnoteRef/>
      </w:r>
      <w:r w:rsidRPr="006D0DF4">
        <w:rPr>
          <w:rFonts w:cstheme="minorHAnsi"/>
          <w:sz w:val="20"/>
          <w:szCs w:val="20"/>
        </w:rPr>
        <w:t xml:space="preserve"> </w:t>
      </w:r>
      <w:r w:rsidRPr="006D0DF4">
        <w:rPr>
          <w:rFonts w:cstheme="minorHAnsi"/>
          <w:sz w:val="20"/>
          <w:szCs w:val="20"/>
          <w:lang w:val="en-US"/>
        </w:rPr>
        <w:t>Productivity Commission, Workplace Relations Framework: Issues Paper 3, January 2015</w:t>
      </w:r>
      <w:r>
        <w:rPr>
          <w:rFonts w:cstheme="minorHAnsi"/>
          <w:sz w:val="20"/>
          <w:szCs w:val="20"/>
          <w:lang w:val="en-US"/>
        </w:rPr>
        <w:t>, p. 7</w:t>
      </w:r>
    </w:p>
  </w:footnote>
  <w:footnote w:id="13">
    <w:p w:rsidR="00605359" w:rsidRPr="006D0DF4" w:rsidRDefault="00605359" w:rsidP="006D0DF4">
      <w:pPr>
        <w:pStyle w:val="FootnoteText"/>
        <w:spacing w:before="0" w:line="240" w:lineRule="auto"/>
        <w:rPr>
          <w:rFonts w:asciiTheme="minorHAnsi" w:hAnsiTheme="minorHAnsi" w:cstheme="minorHAnsi"/>
          <w:lang w:val="en-US"/>
        </w:rPr>
      </w:pPr>
      <w:r w:rsidRPr="006D0DF4">
        <w:rPr>
          <w:rStyle w:val="FootnoteReference"/>
          <w:rFonts w:asciiTheme="minorHAnsi" w:hAnsiTheme="minorHAnsi" w:cstheme="minorHAnsi"/>
        </w:rPr>
        <w:footnoteRef/>
      </w:r>
      <w:r w:rsidRPr="006D0DF4">
        <w:rPr>
          <w:rFonts w:asciiTheme="minorHAnsi" w:hAnsiTheme="minorHAnsi" w:cstheme="minorHAnsi"/>
        </w:rPr>
        <w:t xml:space="preserve"> </w:t>
      </w:r>
      <w:r>
        <w:rPr>
          <w:rFonts w:asciiTheme="minorHAnsi" w:hAnsiTheme="minorHAnsi" w:cstheme="minorHAnsi"/>
        </w:rPr>
        <w:t>Note 2</w:t>
      </w:r>
      <w:r w:rsidRPr="006D0DF4">
        <w:rPr>
          <w:rFonts w:asciiTheme="minorHAnsi" w:hAnsiTheme="minorHAnsi" w:cstheme="minorHAnsi"/>
        </w:rPr>
        <w:t>,  section 171</w:t>
      </w:r>
    </w:p>
  </w:footnote>
  <w:footnote w:id="14">
    <w:p w:rsidR="00605359" w:rsidRPr="006D0DF4" w:rsidRDefault="00605359" w:rsidP="006D0DF4">
      <w:pPr>
        <w:pStyle w:val="FootnoteText"/>
        <w:spacing w:before="0" w:line="240" w:lineRule="auto"/>
        <w:rPr>
          <w:rFonts w:asciiTheme="minorHAnsi" w:hAnsiTheme="minorHAnsi" w:cstheme="minorHAnsi"/>
          <w:lang w:val="en-US"/>
        </w:rPr>
      </w:pPr>
      <w:r w:rsidRPr="006D0DF4">
        <w:rPr>
          <w:rStyle w:val="FootnoteReference"/>
          <w:rFonts w:asciiTheme="minorHAnsi" w:hAnsiTheme="minorHAnsi" w:cstheme="minorHAnsi"/>
        </w:rPr>
        <w:footnoteRef/>
      </w:r>
      <w:r w:rsidRPr="006D0DF4">
        <w:rPr>
          <w:rFonts w:asciiTheme="minorHAnsi" w:hAnsiTheme="minorHAnsi" w:cstheme="minorHAnsi"/>
        </w:rPr>
        <w:t xml:space="preserve"> Ibid,  section 228</w:t>
      </w:r>
    </w:p>
  </w:footnote>
  <w:footnote w:id="15">
    <w:p w:rsidR="00605359" w:rsidRPr="00D05C39" w:rsidRDefault="00605359" w:rsidP="006D0DF4">
      <w:pPr>
        <w:pStyle w:val="FootnoteText"/>
        <w:spacing w:before="0" w:line="240" w:lineRule="auto"/>
        <w:rPr>
          <w:lang w:val="en-US"/>
        </w:rPr>
      </w:pPr>
      <w:r w:rsidRPr="006D0DF4">
        <w:rPr>
          <w:rStyle w:val="FootnoteReference"/>
          <w:rFonts w:asciiTheme="minorHAnsi" w:hAnsiTheme="minorHAnsi" w:cstheme="minorHAnsi"/>
        </w:rPr>
        <w:footnoteRef/>
      </w:r>
      <w:r w:rsidRPr="006D0DF4">
        <w:rPr>
          <w:rFonts w:asciiTheme="minorHAnsi" w:hAnsiTheme="minorHAnsi" w:cstheme="minorHAnsi"/>
        </w:rPr>
        <w:t xml:space="preserve"> </w:t>
      </w:r>
      <w:r w:rsidRPr="006D0DF4">
        <w:rPr>
          <w:rFonts w:asciiTheme="minorHAnsi" w:hAnsiTheme="minorHAnsi" w:cstheme="minorHAnsi"/>
          <w:lang w:val="en-US"/>
        </w:rPr>
        <w:t>Ibid, s 228</w:t>
      </w:r>
    </w:p>
  </w:footnote>
  <w:footnote w:id="16">
    <w:p w:rsidR="00605359" w:rsidRPr="00326E8B" w:rsidRDefault="00605359" w:rsidP="00E60451">
      <w:pPr>
        <w:pStyle w:val="FootnoteText"/>
        <w:spacing w:before="0" w:line="240" w:lineRule="auto"/>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w:t>
      </w:r>
      <w:r>
        <w:rPr>
          <w:rFonts w:asciiTheme="minorHAnsi" w:hAnsiTheme="minorHAnsi" w:cstheme="minorHAnsi"/>
        </w:rPr>
        <w:t>Note 22,</w:t>
      </w:r>
      <w:r w:rsidRPr="00326E8B">
        <w:rPr>
          <w:rFonts w:asciiTheme="minorHAnsi" w:hAnsiTheme="minorHAnsi" w:cstheme="minorHAnsi"/>
          <w:lang w:val="en-US"/>
        </w:rPr>
        <w:t xml:space="preserve"> pp 5-6</w:t>
      </w:r>
    </w:p>
  </w:footnote>
  <w:footnote w:id="17">
    <w:p w:rsidR="00605359" w:rsidRPr="00326E8B" w:rsidRDefault="00605359" w:rsidP="00E60451">
      <w:pPr>
        <w:pStyle w:val="FootnoteText"/>
        <w:spacing w:before="0" w:line="240" w:lineRule="auto"/>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w:t>
      </w:r>
      <w:r w:rsidRPr="00326E8B">
        <w:rPr>
          <w:rFonts w:asciiTheme="minorHAnsi" w:hAnsiTheme="minorHAnsi" w:cstheme="minorHAnsi"/>
          <w:lang w:val="en-US"/>
        </w:rPr>
        <w:t xml:space="preserve">Note </w:t>
      </w:r>
      <w:r>
        <w:rPr>
          <w:rFonts w:asciiTheme="minorHAnsi" w:hAnsiTheme="minorHAnsi" w:cstheme="minorHAnsi"/>
          <w:lang w:val="en-US"/>
        </w:rPr>
        <w:t>2</w:t>
      </w:r>
      <w:r w:rsidRPr="00326E8B">
        <w:rPr>
          <w:rFonts w:asciiTheme="minorHAnsi" w:hAnsiTheme="minorHAnsi" w:cstheme="minorHAnsi"/>
          <w:lang w:val="en-US"/>
        </w:rPr>
        <w:t xml:space="preserve">, section 240 </w:t>
      </w:r>
    </w:p>
  </w:footnote>
  <w:footnote w:id="18">
    <w:p w:rsidR="00605359" w:rsidRPr="00326E8B" w:rsidRDefault="00605359" w:rsidP="00E60451">
      <w:pPr>
        <w:pStyle w:val="FootnoteText"/>
        <w:spacing w:before="0" w:line="240" w:lineRule="auto"/>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w:t>
      </w:r>
      <w:r>
        <w:rPr>
          <w:rFonts w:asciiTheme="minorHAnsi" w:hAnsiTheme="minorHAnsi" w:cstheme="minorHAnsi"/>
          <w:lang w:val="en-US"/>
        </w:rPr>
        <w:t>Ibid</w:t>
      </w:r>
      <w:r w:rsidRPr="00326E8B">
        <w:rPr>
          <w:rFonts w:asciiTheme="minorHAnsi" w:hAnsiTheme="minorHAnsi" w:cstheme="minorHAnsi"/>
          <w:lang w:val="en-US"/>
        </w:rPr>
        <w:t>, section 266</w:t>
      </w:r>
    </w:p>
  </w:footnote>
  <w:footnote w:id="19">
    <w:p w:rsidR="00605359" w:rsidRPr="001463B5" w:rsidRDefault="00605359" w:rsidP="00E60451">
      <w:pPr>
        <w:pStyle w:val="FootnoteText"/>
        <w:spacing w:before="0" w:line="240" w:lineRule="auto"/>
        <w:rPr>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w:t>
      </w:r>
      <w:r>
        <w:rPr>
          <w:rFonts w:asciiTheme="minorHAnsi" w:hAnsiTheme="minorHAnsi" w:cstheme="minorHAnsi"/>
          <w:lang w:val="en-US"/>
        </w:rPr>
        <w:t>Ibid</w:t>
      </w:r>
      <w:r w:rsidRPr="00326E8B">
        <w:rPr>
          <w:rFonts w:asciiTheme="minorHAnsi" w:hAnsiTheme="minorHAnsi" w:cstheme="minorHAnsi"/>
          <w:lang w:val="en-US"/>
        </w:rPr>
        <w:t>, section 269</w:t>
      </w:r>
    </w:p>
  </w:footnote>
  <w:footnote w:id="20">
    <w:p w:rsidR="00605359" w:rsidRPr="00326E8B" w:rsidRDefault="00605359" w:rsidP="00326E8B">
      <w:pPr>
        <w:pStyle w:val="NoSpacing"/>
        <w:rPr>
          <w:rFonts w:cstheme="minorHAnsi"/>
          <w:sz w:val="20"/>
          <w:szCs w:val="20"/>
          <w:lang w:val="en-US"/>
        </w:rPr>
      </w:pPr>
      <w:r w:rsidRPr="00326E8B">
        <w:rPr>
          <w:rStyle w:val="FootnoteReference"/>
          <w:rFonts w:asciiTheme="minorHAnsi" w:hAnsiTheme="minorHAnsi" w:cstheme="minorHAnsi"/>
          <w:szCs w:val="20"/>
        </w:rPr>
        <w:footnoteRef/>
      </w:r>
      <w:r w:rsidRPr="00326E8B">
        <w:rPr>
          <w:rFonts w:cstheme="minorHAnsi"/>
          <w:sz w:val="20"/>
          <w:szCs w:val="20"/>
        </w:rPr>
        <w:t xml:space="preserve"> </w:t>
      </w:r>
      <w:r w:rsidRPr="00326E8B">
        <w:rPr>
          <w:rFonts w:cstheme="minorHAnsi"/>
          <w:sz w:val="20"/>
          <w:szCs w:val="20"/>
          <w:lang w:val="en-US"/>
        </w:rPr>
        <w:t>Productivity Commission, Workplace Relations Framework: Issues Paper 5, January 2015, p. 8</w:t>
      </w:r>
    </w:p>
  </w:footnote>
  <w:footnote w:id="21">
    <w:p w:rsidR="00605359" w:rsidRPr="00326E8B" w:rsidRDefault="00605359" w:rsidP="00326E8B">
      <w:pPr>
        <w:pStyle w:val="FootnoteText"/>
        <w:spacing w:before="0" w:line="240" w:lineRule="auto"/>
        <w:ind w:left="0" w:firstLine="0"/>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Australian Public  Service Commission, </w:t>
      </w:r>
      <w:r w:rsidRPr="0029366A">
        <w:rPr>
          <w:rFonts w:asciiTheme="minorHAnsi" w:hAnsiTheme="minorHAnsi"/>
          <w:i/>
        </w:rPr>
        <w:t>Australian Government Public Sector Workplace Bargaining Policy</w:t>
      </w:r>
      <w:r w:rsidRPr="00326E8B">
        <w:rPr>
          <w:rFonts w:asciiTheme="minorHAnsi" w:hAnsiTheme="minorHAnsi" w:cstheme="minorHAnsi"/>
        </w:rPr>
        <w:t>, March 2014, p.3</w:t>
      </w:r>
    </w:p>
  </w:footnote>
  <w:footnote w:id="22">
    <w:p w:rsidR="00605359" w:rsidRPr="00326E8B" w:rsidRDefault="00605359" w:rsidP="00326E8B">
      <w:pPr>
        <w:pStyle w:val="FootnoteText"/>
        <w:spacing w:before="0" w:line="240" w:lineRule="auto"/>
        <w:ind w:left="0" w:firstLine="0"/>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Ibid, p.29</w:t>
      </w:r>
    </w:p>
  </w:footnote>
  <w:footnote w:id="23">
    <w:p w:rsidR="00605359" w:rsidRPr="00326E8B" w:rsidRDefault="00605359" w:rsidP="00326E8B">
      <w:pPr>
        <w:pStyle w:val="FootnoteText"/>
        <w:spacing w:before="0" w:line="240" w:lineRule="auto"/>
        <w:ind w:left="0" w:firstLine="0"/>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Ibid, p.20</w:t>
      </w:r>
    </w:p>
  </w:footnote>
  <w:footnote w:id="24">
    <w:p w:rsidR="00605359" w:rsidRPr="00326E8B" w:rsidRDefault="00605359" w:rsidP="009F478D">
      <w:pPr>
        <w:pStyle w:val="FootnoteText"/>
        <w:spacing w:before="0" w:line="240" w:lineRule="auto"/>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Ibid, p.32</w:t>
      </w:r>
    </w:p>
  </w:footnote>
  <w:footnote w:id="25">
    <w:p w:rsidR="00605359" w:rsidRPr="00326E8B" w:rsidRDefault="00605359" w:rsidP="009F478D">
      <w:pPr>
        <w:pStyle w:val="FootnoteText"/>
        <w:spacing w:before="0" w:line="240" w:lineRule="auto"/>
        <w:rPr>
          <w:rFonts w:asciiTheme="minorHAnsi" w:hAnsiTheme="minorHAnsi" w:cstheme="minorHAnsi"/>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Ibid, p. 17</w:t>
      </w:r>
    </w:p>
  </w:footnote>
  <w:footnote w:id="26">
    <w:p w:rsidR="00605359" w:rsidRPr="00FD1076" w:rsidRDefault="00605359" w:rsidP="009F478D">
      <w:pPr>
        <w:pStyle w:val="FootnoteText"/>
        <w:spacing w:before="0" w:line="240" w:lineRule="auto"/>
        <w:rPr>
          <w:rFonts w:asciiTheme="minorHAnsi" w:hAnsiTheme="minorHAnsi" w:cstheme="minorHAnsi"/>
          <w:sz w:val="16"/>
          <w:szCs w:val="16"/>
          <w:lang w:val="en-US"/>
        </w:rPr>
      </w:pPr>
      <w:r w:rsidRPr="00326E8B">
        <w:rPr>
          <w:rStyle w:val="FootnoteReference"/>
          <w:rFonts w:asciiTheme="minorHAnsi" w:hAnsiTheme="minorHAnsi" w:cstheme="minorHAnsi"/>
        </w:rPr>
        <w:footnoteRef/>
      </w:r>
      <w:r w:rsidRPr="00326E8B">
        <w:rPr>
          <w:rFonts w:asciiTheme="minorHAnsi" w:hAnsiTheme="minorHAnsi" w:cstheme="minorHAnsi"/>
        </w:rPr>
        <w:t xml:space="preserve"> Note </w:t>
      </w:r>
      <w:r>
        <w:rPr>
          <w:rFonts w:asciiTheme="minorHAnsi" w:hAnsiTheme="minorHAnsi" w:cstheme="minorHAnsi"/>
        </w:rPr>
        <w:t>2</w:t>
      </w:r>
      <w:r w:rsidRPr="00326E8B">
        <w:rPr>
          <w:rFonts w:asciiTheme="minorHAnsi" w:hAnsiTheme="minorHAnsi" w:cstheme="minorHAnsi"/>
        </w:rPr>
        <w:t>, section 3</w:t>
      </w:r>
    </w:p>
  </w:footnote>
  <w:footnote w:id="27">
    <w:p w:rsidR="00605359" w:rsidRPr="003B7F42" w:rsidRDefault="00605359" w:rsidP="00C25313">
      <w:pPr>
        <w:pStyle w:val="FootnoteText"/>
        <w:spacing w:before="0" w:line="240" w:lineRule="auto"/>
        <w:rPr>
          <w:rFonts w:asciiTheme="minorHAnsi" w:hAnsiTheme="minorHAnsi" w:cstheme="minorHAnsi"/>
          <w:lang w:val="en-US"/>
        </w:rPr>
      </w:pPr>
      <w:r w:rsidRPr="003B7F42">
        <w:rPr>
          <w:rStyle w:val="FootnoteReference"/>
          <w:rFonts w:asciiTheme="minorHAnsi" w:hAnsiTheme="minorHAnsi" w:cstheme="minorHAnsi"/>
        </w:rPr>
        <w:footnoteRef/>
      </w:r>
      <w:r w:rsidRPr="003B7F42">
        <w:rPr>
          <w:rFonts w:asciiTheme="minorHAnsi" w:hAnsiTheme="minorHAnsi" w:cstheme="minorHAnsi"/>
        </w:rPr>
        <w:t xml:space="preserve"> Note </w:t>
      </w:r>
      <w:r>
        <w:rPr>
          <w:rFonts w:asciiTheme="minorHAnsi" w:hAnsiTheme="minorHAnsi" w:cstheme="minorHAnsi"/>
        </w:rPr>
        <w:t>2</w:t>
      </w:r>
      <w:r w:rsidRPr="003B7F42">
        <w:rPr>
          <w:rFonts w:asciiTheme="minorHAnsi" w:hAnsiTheme="minorHAnsi" w:cstheme="minorHAnsi"/>
        </w:rPr>
        <w:t>, section 173</w:t>
      </w:r>
    </w:p>
  </w:footnote>
  <w:footnote w:id="28">
    <w:p w:rsidR="00605359" w:rsidRPr="003B7F42" w:rsidRDefault="00605359" w:rsidP="00C25313">
      <w:pPr>
        <w:pStyle w:val="FootnoteText"/>
        <w:spacing w:before="0" w:line="240" w:lineRule="auto"/>
        <w:rPr>
          <w:rFonts w:asciiTheme="minorHAnsi" w:hAnsiTheme="minorHAnsi" w:cstheme="minorHAnsi"/>
          <w:lang w:val="en-US"/>
        </w:rPr>
      </w:pPr>
      <w:r w:rsidRPr="003B7F42">
        <w:rPr>
          <w:rStyle w:val="FootnoteReference"/>
          <w:rFonts w:asciiTheme="minorHAnsi" w:hAnsiTheme="minorHAnsi" w:cstheme="minorHAnsi"/>
        </w:rPr>
        <w:footnoteRef/>
      </w:r>
      <w:r w:rsidRPr="003B7F42">
        <w:rPr>
          <w:rFonts w:asciiTheme="minorHAnsi" w:hAnsiTheme="minorHAnsi" w:cstheme="minorHAnsi"/>
        </w:rPr>
        <w:t xml:space="preserve"> Ibid, section 236</w:t>
      </w:r>
    </w:p>
  </w:footnote>
  <w:footnote w:id="29">
    <w:p w:rsidR="00605359" w:rsidRPr="003B7F42" w:rsidRDefault="00605359" w:rsidP="00C25313">
      <w:pPr>
        <w:pStyle w:val="FootnoteText"/>
        <w:spacing w:before="0" w:line="240" w:lineRule="auto"/>
        <w:rPr>
          <w:rFonts w:asciiTheme="minorHAnsi" w:hAnsiTheme="minorHAnsi" w:cstheme="minorHAnsi"/>
          <w:lang w:val="en-US"/>
        </w:rPr>
      </w:pPr>
      <w:r w:rsidRPr="003B7F42">
        <w:rPr>
          <w:rStyle w:val="FootnoteReference"/>
          <w:rFonts w:asciiTheme="minorHAnsi" w:hAnsiTheme="minorHAnsi" w:cstheme="minorHAnsi"/>
        </w:rPr>
        <w:footnoteRef/>
      </w:r>
      <w:r w:rsidRPr="003B7F42">
        <w:rPr>
          <w:rFonts w:asciiTheme="minorHAnsi" w:hAnsiTheme="minorHAnsi" w:cstheme="minorHAnsi"/>
        </w:rPr>
        <w:t xml:space="preserve">  Ibid, section 230</w:t>
      </w:r>
    </w:p>
  </w:footnote>
  <w:footnote w:id="30">
    <w:p w:rsidR="00605359" w:rsidRPr="007E2AA1" w:rsidRDefault="00605359" w:rsidP="00C25313">
      <w:pPr>
        <w:pStyle w:val="FootnoteText"/>
        <w:spacing w:before="0" w:line="240" w:lineRule="auto"/>
        <w:rPr>
          <w:rFonts w:asciiTheme="minorHAnsi" w:hAnsiTheme="minorHAnsi" w:cstheme="minorHAnsi"/>
          <w:sz w:val="16"/>
          <w:szCs w:val="16"/>
          <w:lang w:val="en-US"/>
        </w:rPr>
      </w:pPr>
      <w:r w:rsidRPr="003B7F42">
        <w:rPr>
          <w:rStyle w:val="FootnoteReference"/>
          <w:rFonts w:asciiTheme="minorHAnsi" w:hAnsiTheme="minorHAnsi" w:cstheme="minorHAnsi"/>
        </w:rPr>
        <w:footnoteRef/>
      </w:r>
      <w:r w:rsidRPr="003B7F42">
        <w:rPr>
          <w:rFonts w:asciiTheme="minorHAnsi" w:hAnsiTheme="minorHAnsi" w:cstheme="minorHAnsi"/>
        </w:rPr>
        <w:t xml:space="preserve">  Ibid, section. 237(2)(a)</w:t>
      </w:r>
    </w:p>
  </w:footnote>
  <w:footnote w:id="31">
    <w:p w:rsidR="00605359" w:rsidRPr="002B28D5" w:rsidRDefault="00605359" w:rsidP="00C25313">
      <w:pPr>
        <w:pStyle w:val="FootnoteText"/>
        <w:spacing w:before="0" w:line="240" w:lineRule="auto"/>
        <w:jc w:val="left"/>
        <w:rPr>
          <w:rFonts w:asciiTheme="minorHAnsi" w:hAnsiTheme="minorHAnsi" w:cstheme="minorHAnsi"/>
          <w:lang w:val="en-US"/>
        </w:rPr>
      </w:pPr>
      <w:r w:rsidRPr="002B28D5">
        <w:rPr>
          <w:rStyle w:val="FootnoteReference"/>
          <w:rFonts w:asciiTheme="minorHAnsi" w:hAnsiTheme="minorHAnsi" w:cstheme="minorHAnsi"/>
        </w:rPr>
        <w:footnoteRef/>
      </w:r>
      <w:r w:rsidRPr="002B28D5">
        <w:rPr>
          <w:rFonts w:asciiTheme="minorHAnsi" w:hAnsiTheme="minorHAnsi" w:cstheme="minorHAnsi"/>
        </w:rPr>
        <w:t xml:space="preserve"> </w:t>
      </w:r>
      <w:r w:rsidRPr="002B28D5">
        <w:rPr>
          <w:rFonts w:asciiTheme="minorHAnsi" w:hAnsiTheme="minorHAnsi" w:cstheme="minorHAnsi"/>
          <w:lang w:val="en-US"/>
        </w:rPr>
        <w:t xml:space="preserve">Australian Public Service Commission, APS Statistical Bulletin 2013-14, September 2014,  </w:t>
      </w:r>
      <w:hyperlink r:id="rId1" w:history="1">
        <w:r w:rsidRPr="002B28D5">
          <w:rPr>
            <w:rStyle w:val="Hyperlink"/>
            <w:rFonts w:asciiTheme="minorHAnsi" w:hAnsiTheme="minorHAnsi" w:cstheme="minorHAnsi"/>
            <w:lang w:val="en-US"/>
          </w:rPr>
          <w:t xml:space="preserve">http://www.apsc.gov.au/about-the-apsc/parliamentary/aps-statistical-bulletin/aps-statistical-bulletin-2013-14/main-features#aps </w:t>
        </w:r>
      </w:hyperlink>
      <w:r w:rsidRPr="002B28D5">
        <w:rPr>
          <w:rFonts w:asciiTheme="minorHAnsi" w:hAnsiTheme="minorHAnsi" w:cstheme="minorHAnsi"/>
          <w:lang w:val="en-US"/>
        </w:rPr>
        <w:t xml:space="preserve"> (accessed 5 March 2015)</w:t>
      </w:r>
    </w:p>
  </w:footnote>
  <w:footnote w:id="32">
    <w:p w:rsidR="00605359" w:rsidRPr="002B28D5" w:rsidRDefault="00605359" w:rsidP="007E58EA">
      <w:pPr>
        <w:pStyle w:val="FootnoteText"/>
        <w:rPr>
          <w:rFonts w:asciiTheme="minorHAnsi" w:hAnsiTheme="minorHAnsi" w:cstheme="minorHAnsi"/>
          <w:lang w:val="en-US"/>
        </w:rPr>
      </w:pPr>
      <w:r w:rsidRPr="002B28D5">
        <w:rPr>
          <w:rStyle w:val="FootnoteReference"/>
          <w:rFonts w:asciiTheme="minorHAnsi" w:hAnsiTheme="minorHAnsi" w:cstheme="minorHAnsi"/>
        </w:rPr>
        <w:footnoteRef/>
      </w:r>
      <w:r w:rsidRPr="002B28D5">
        <w:rPr>
          <w:rFonts w:asciiTheme="minorHAnsi" w:hAnsiTheme="minorHAnsi" w:cstheme="minorHAnsi"/>
        </w:rPr>
        <w:t xml:space="preserve"> </w:t>
      </w:r>
      <w:r w:rsidRPr="002B28D5">
        <w:rPr>
          <w:rFonts w:asciiTheme="minorHAnsi" w:hAnsiTheme="minorHAnsi" w:cstheme="minorHAnsi"/>
          <w:lang w:val="en-US"/>
        </w:rPr>
        <w:t xml:space="preserve">Note </w:t>
      </w:r>
      <w:r>
        <w:rPr>
          <w:rFonts w:asciiTheme="minorHAnsi" w:hAnsiTheme="minorHAnsi" w:cstheme="minorHAnsi"/>
          <w:lang w:val="en-US"/>
        </w:rPr>
        <w:t>2, section 172</w:t>
      </w:r>
      <w:r w:rsidRPr="002B28D5">
        <w:rPr>
          <w:rFonts w:asciiTheme="minorHAnsi" w:hAnsiTheme="minorHAnsi" w:cstheme="minorHAnsi"/>
          <w:lang w:val="en-US"/>
        </w:rPr>
        <w:t xml:space="preserve"> </w:t>
      </w:r>
    </w:p>
  </w:footnote>
  <w:footnote w:id="33">
    <w:p w:rsidR="00605359" w:rsidRPr="003C5F5F" w:rsidRDefault="00605359" w:rsidP="003C5F5F">
      <w:pPr>
        <w:pStyle w:val="FootnoteText"/>
        <w:spacing w:before="0" w:line="240" w:lineRule="auto"/>
        <w:rPr>
          <w:sz w:val="16"/>
          <w:szCs w:val="16"/>
          <w:lang w:val="en-US"/>
        </w:rPr>
      </w:pPr>
      <w:r w:rsidRPr="002B28D5">
        <w:rPr>
          <w:rStyle w:val="FootnoteReference"/>
          <w:rFonts w:asciiTheme="minorHAnsi" w:hAnsiTheme="minorHAnsi" w:cstheme="minorHAnsi"/>
        </w:rPr>
        <w:footnoteRef/>
      </w:r>
      <w:r w:rsidRPr="002B28D5">
        <w:rPr>
          <w:rFonts w:asciiTheme="minorHAnsi" w:hAnsiTheme="minorHAnsi" w:cstheme="minorHAnsi"/>
        </w:rPr>
        <w:t xml:space="preserve"> </w:t>
      </w:r>
      <w:r>
        <w:rPr>
          <w:rFonts w:asciiTheme="minorHAnsi" w:hAnsiTheme="minorHAnsi" w:cstheme="minorHAnsi"/>
        </w:rPr>
        <w:t xml:space="preserve">Note 21, </w:t>
      </w:r>
      <w:r w:rsidRPr="002B28D5">
        <w:rPr>
          <w:rFonts w:asciiTheme="minorHAnsi" w:hAnsiTheme="minorHAnsi" w:cstheme="minorHAnsi"/>
        </w:rPr>
        <w:t>pp 29-30</w:t>
      </w:r>
    </w:p>
  </w:footnote>
  <w:footnote w:id="34">
    <w:p w:rsidR="00605359" w:rsidRPr="00983B41" w:rsidRDefault="00605359" w:rsidP="00955AF9">
      <w:pPr>
        <w:pStyle w:val="FootnoteText"/>
        <w:spacing w:before="0" w:line="240" w:lineRule="auto"/>
        <w:rPr>
          <w:rFonts w:asciiTheme="minorHAnsi" w:hAnsiTheme="minorHAnsi" w:cstheme="minorHAnsi"/>
          <w:lang w:val="en-US"/>
        </w:rPr>
      </w:pPr>
      <w:r w:rsidRPr="00983B41">
        <w:rPr>
          <w:rStyle w:val="FootnoteReference"/>
          <w:rFonts w:asciiTheme="minorHAnsi" w:hAnsiTheme="minorHAnsi" w:cstheme="minorHAnsi"/>
        </w:rPr>
        <w:footnoteRef/>
      </w:r>
      <w:r w:rsidRPr="00983B41">
        <w:rPr>
          <w:rFonts w:asciiTheme="minorHAnsi" w:hAnsiTheme="minorHAnsi" w:cstheme="minorHAnsi"/>
        </w:rPr>
        <w:t xml:space="preserve"> </w:t>
      </w:r>
      <w:r w:rsidRPr="00983B41">
        <w:rPr>
          <w:rFonts w:asciiTheme="minorHAnsi" w:hAnsiTheme="minorHAnsi" w:cstheme="minorHAnsi"/>
          <w:i/>
          <w:lang w:val="en-US"/>
        </w:rPr>
        <w:t>Fair Work Regulations 2009</w:t>
      </w:r>
      <w:r w:rsidRPr="00983B41">
        <w:rPr>
          <w:rFonts w:asciiTheme="minorHAnsi" w:hAnsiTheme="minorHAnsi" w:cstheme="minorHAnsi"/>
          <w:lang w:val="en-US"/>
        </w:rPr>
        <w:t xml:space="preserve"> (</w:t>
      </w:r>
      <w:proofErr w:type="spellStart"/>
      <w:r w:rsidRPr="00983B41">
        <w:rPr>
          <w:rFonts w:asciiTheme="minorHAnsi" w:hAnsiTheme="minorHAnsi" w:cstheme="minorHAnsi"/>
          <w:lang w:val="en-US"/>
        </w:rPr>
        <w:t>Cth</w:t>
      </w:r>
      <w:proofErr w:type="spellEnd"/>
      <w:r w:rsidRPr="00983B41">
        <w:rPr>
          <w:rFonts w:asciiTheme="minorHAnsi" w:hAnsiTheme="minorHAnsi" w:cstheme="minorHAnsi"/>
          <w:lang w:val="en-US"/>
        </w:rPr>
        <w:t>), 6.10</w:t>
      </w:r>
    </w:p>
  </w:footnote>
  <w:footnote w:id="35">
    <w:p w:rsidR="00605359" w:rsidRPr="004120B9" w:rsidRDefault="00605359" w:rsidP="006F21BF">
      <w:pPr>
        <w:pStyle w:val="FootnoteText"/>
        <w:spacing w:before="0" w:line="240" w:lineRule="auto"/>
        <w:rPr>
          <w:rFonts w:asciiTheme="minorHAnsi" w:hAnsiTheme="minorHAnsi" w:cstheme="minorHAnsi"/>
          <w:lang w:val="en-US"/>
        </w:rPr>
      </w:pPr>
      <w:r w:rsidRPr="004120B9">
        <w:rPr>
          <w:rStyle w:val="FootnoteReference"/>
          <w:rFonts w:asciiTheme="minorHAnsi" w:hAnsiTheme="minorHAnsi" w:cstheme="minorHAnsi"/>
        </w:rPr>
        <w:footnoteRef/>
      </w:r>
      <w:r w:rsidRPr="004120B9">
        <w:rPr>
          <w:rFonts w:asciiTheme="minorHAnsi" w:hAnsiTheme="minorHAnsi" w:cstheme="minorHAnsi"/>
        </w:rPr>
        <w:t xml:space="preserve"> </w:t>
      </w:r>
      <w:r w:rsidRPr="004120B9">
        <w:rPr>
          <w:rFonts w:asciiTheme="minorHAnsi" w:hAnsiTheme="minorHAnsi" w:cstheme="minorHAnsi"/>
          <w:i/>
        </w:rPr>
        <w:t xml:space="preserve">Fair Work Amendment (Bargaining Processes) Bill 2014, </w:t>
      </w:r>
      <w:r w:rsidRPr="004120B9">
        <w:rPr>
          <w:rFonts w:asciiTheme="minorHAnsi" w:hAnsiTheme="minorHAnsi" w:cstheme="minorHAnsi"/>
        </w:rPr>
        <w:t>Schedule 1</w:t>
      </w:r>
    </w:p>
  </w:footnote>
  <w:footnote w:id="36">
    <w:p w:rsidR="00605359" w:rsidRPr="004120B9" w:rsidRDefault="00605359" w:rsidP="00DE2A92">
      <w:pPr>
        <w:pStyle w:val="FootnoteText"/>
        <w:spacing w:before="0" w:line="240" w:lineRule="auto"/>
        <w:rPr>
          <w:rFonts w:asciiTheme="minorHAnsi" w:hAnsiTheme="minorHAnsi" w:cstheme="minorHAnsi"/>
          <w:lang w:val="en-US"/>
        </w:rPr>
      </w:pPr>
      <w:r w:rsidRPr="004120B9">
        <w:rPr>
          <w:rStyle w:val="FootnoteReference"/>
          <w:rFonts w:asciiTheme="minorHAnsi" w:hAnsiTheme="minorHAnsi" w:cstheme="minorHAnsi"/>
        </w:rPr>
        <w:footnoteRef/>
      </w:r>
      <w:r w:rsidRPr="004120B9">
        <w:rPr>
          <w:rFonts w:asciiTheme="minorHAnsi" w:hAnsiTheme="minorHAnsi" w:cstheme="minorHAnsi"/>
        </w:rPr>
        <w:t xml:space="preserve"> </w:t>
      </w:r>
      <w:r>
        <w:rPr>
          <w:rFonts w:asciiTheme="minorHAnsi" w:hAnsiTheme="minorHAnsi" w:cstheme="minorHAnsi"/>
          <w:lang w:val="en-US"/>
        </w:rPr>
        <w:t>Note 20</w:t>
      </w:r>
      <w:r w:rsidRPr="004120B9">
        <w:rPr>
          <w:rFonts w:asciiTheme="minorHAnsi" w:hAnsiTheme="minorHAnsi" w:cstheme="minorHAnsi"/>
          <w:lang w:val="en-US"/>
        </w:rPr>
        <w:t>, p. 9</w:t>
      </w:r>
    </w:p>
  </w:footnote>
  <w:footnote w:id="37">
    <w:p w:rsidR="00605359" w:rsidRPr="00DE2A92" w:rsidRDefault="00605359" w:rsidP="000B3F1E">
      <w:pPr>
        <w:pStyle w:val="FootnoteText"/>
        <w:spacing w:before="0" w:line="240" w:lineRule="auto"/>
        <w:rPr>
          <w:rFonts w:asciiTheme="minorHAnsi" w:hAnsiTheme="minorHAnsi" w:cstheme="minorHAnsi"/>
          <w:sz w:val="16"/>
          <w:szCs w:val="16"/>
          <w:lang w:val="en-US"/>
        </w:rPr>
      </w:pPr>
      <w:r w:rsidRPr="004120B9">
        <w:rPr>
          <w:rStyle w:val="FootnoteReference"/>
          <w:rFonts w:asciiTheme="minorHAnsi" w:hAnsiTheme="minorHAnsi" w:cstheme="minorHAnsi"/>
        </w:rPr>
        <w:footnoteRef/>
      </w:r>
      <w:r w:rsidRPr="004120B9">
        <w:rPr>
          <w:rFonts w:asciiTheme="minorHAnsi" w:hAnsiTheme="minorHAnsi" w:cstheme="minorHAnsi"/>
        </w:rPr>
        <w:t xml:space="preserve"> </w:t>
      </w:r>
      <w:r>
        <w:rPr>
          <w:rFonts w:asciiTheme="minorHAnsi" w:hAnsiTheme="minorHAnsi" w:cstheme="minorHAnsi"/>
        </w:rPr>
        <w:t>Note 21</w:t>
      </w:r>
      <w:r w:rsidRPr="004120B9">
        <w:rPr>
          <w:rFonts w:asciiTheme="minorHAnsi" w:hAnsiTheme="minorHAnsi" w:cstheme="minorHAnsi"/>
        </w:rPr>
        <w:t>, p. 16</w:t>
      </w:r>
    </w:p>
  </w:footnote>
  <w:footnote w:id="38">
    <w:p w:rsidR="00605359" w:rsidRPr="00B96B4C" w:rsidRDefault="00605359" w:rsidP="007A5275">
      <w:pPr>
        <w:pStyle w:val="FootnoteText"/>
        <w:spacing w:before="0" w:line="240" w:lineRule="auto"/>
        <w:jc w:val="left"/>
        <w:rPr>
          <w:rFonts w:asciiTheme="minorHAnsi" w:hAnsiTheme="minorHAnsi" w:cstheme="minorHAnsi"/>
          <w:lang w:val="en-US"/>
        </w:rPr>
      </w:pPr>
      <w:r w:rsidRPr="00B96B4C">
        <w:rPr>
          <w:rStyle w:val="FootnoteReference"/>
          <w:rFonts w:asciiTheme="minorHAnsi" w:hAnsiTheme="minorHAnsi" w:cstheme="minorHAnsi"/>
        </w:rPr>
        <w:footnoteRef/>
      </w:r>
      <w:r w:rsidRPr="00B96B4C">
        <w:rPr>
          <w:rFonts w:asciiTheme="minorHAnsi" w:hAnsiTheme="minorHAnsi" w:cstheme="minorHAnsi"/>
        </w:rPr>
        <w:t xml:space="preserve"> Australian Government, ‘2014-15 Budget Paper 4 – Part 2: Staffing of Agencies’, May 2014, </w:t>
      </w:r>
      <w:hyperlink r:id="rId2" w:history="1">
        <w:r w:rsidRPr="00B96B4C">
          <w:rPr>
            <w:rStyle w:val="Hyperlink"/>
            <w:rFonts w:asciiTheme="minorHAnsi" w:hAnsiTheme="minorHAnsi" w:cstheme="minorHAnsi"/>
          </w:rPr>
          <w:t>http://budget.gov.au/2014-15/content/bp4/html/bp4_part_2.htm</w:t>
        </w:r>
      </w:hyperlink>
      <w:r>
        <w:rPr>
          <w:rFonts w:asciiTheme="minorHAnsi" w:hAnsiTheme="minorHAnsi" w:cstheme="minorHAnsi"/>
        </w:rPr>
        <w:t>, (accessed 15 August 2014)</w:t>
      </w:r>
    </w:p>
  </w:footnote>
  <w:footnote w:id="39">
    <w:p w:rsidR="00605359" w:rsidRPr="00F22DCB" w:rsidRDefault="00605359" w:rsidP="00BE6B8D">
      <w:pPr>
        <w:pStyle w:val="FootnoteText"/>
        <w:spacing w:before="0" w:line="240" w:lineRule="auto"/>
        <w:jc w:val="left"/>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C. Stone, </w:t>
      </w:r>
      <w:r w:rsidRPr="00F22DCB">
        <w:rPr>
          <w:rFonts w:asciiTheme="minorHAnsi" w:hAnsiTheme="minorHAnsi" w:cstheme="minorHAnsi"/>
          <w:i/>
          <w:lang w:val="en-US"/>
        </w:rPr>
        <w:t>False Economies: Unpacking public service efficiency</w:t>
      </w:r>
      <w:r w:rsidRPr="00F22DCB">
        <w:rPr>
          <w:rFonts w:asciiTheme="minorHAnsi" w:hAnsiTheme="minorHAnsi" w:cstheme="minorHAnsi"/>
          <w:lang w:val="en-US"/>
        </w:rPr>
        <w:t>, Sydney, Centre for Policy Development, June 2014, pp.28-29</w:t>
      </w:r>
    </w:p>
  </w:footnote>
  <w:footnote w:id="40">
    <w:p w:rsidR="00605359" w:rsidRPr="00F22DCB" w:rsidRDefault="00605359" w:rsidP="00BE6B8D">
      <w:pPr>
        <w:pStyle w:val="FootnoteText"/>
        <w:spacing w:before="0" w:line="240" w:lineRule="auto"/>
        <w:jc w:val="left"/>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w:t>
      </w:r>
      <w:r w:rsidRPr="00F22DCB">
        <w:rPr>
          <w:rFonts w:asciiTheme="minorHAnsi" w:hAnsiTheme="minorHAnsi" w:cstheme="minorHAnsi"/>
          <w:lang w:val="en-US"/>
        </w:rPr>
        <w:t xml:space="preserve">World Bank, </w:t>
      </w:r>
      <w:r w:rsidRPr="00F22DCB">
        <w:rPr>
          <w:rFonts w:asciiTheme="minorHAnsi" w:hAnsiTheme="minorHAnsi" w:cstheme="minorHAnsi"/>
          <w:i/>
          <w:lang w:val="en-US"/>
        </w:rPr>
        <w:t>Worldwide Governance Indicators, Country Data Report for Australia, 1996-2013</w:t>
      </w:r>
      <w:r w:rsidRPr="00F22DCB">
        <w:rPr>
          <w:rFonts w:asciiTheme="minorHAnsi" w:hAnsiTheme="minorHAnsi" w:cstheme="minorHAnsi"/>
          <w:lang w:val="en-US"/>
        </w:rPr>
        <w:t>, Washington D.C., USA, 11 September 2014, p.4-5</w:t>
      </w:r>
    </w:p>
  </w:footnote>
  <w:footnote w:id="41">
    <w:p w:rsidR="00605359" w:rsidRPr="00F22DCB" w:rsidRDefault="00605359" w:rsidP="00BE6B8D">
      <w:pPr>
        <w:pStyle w:val="NoSpacing"/>
        <w:rPr>
          <w:rFonts w:cstheme="minorHAnsi"/>
          <w:sz w:val="20"/>
          <w:szCs w:val="20"/>
          <w:lang w:val="en-US"/>
        </w:rPr>
      </w:pPr>
      <w:r w:rsidRPr="00F22DCB">
        <w:rPr>
          <w:rStyle w:val="FootnoteReference"/>
          <w:rFonts w:asciiTheme="minorHAnsi" w:hAnsiTheme="minorHAnsi" w:cstheme="minorHAnsi"/>
          <w:szCs w:val="20"/>
        </w:rPr>
        <w:footnoteRef/>
      </w:r>
      <w:r w:rsidRPr="00F22DCB">
        <w:rPr>
          <w:rFonts w:cstheme="minorHAnsi"/>
          <w:sz w:val="20"/>
          <w:szCs w:val="20"/>
        </w:rPr>
        <w:t xml:space="preserve"> ‘Figure 5.1 Employment in general government as a percentage of the labour force (2001 and 2011)’ in OECD, </w:t>
      </w:r>
      <w:r w:rsidRPr="00F22DCB">
        <w:rPr>
          <w:rFonts w:cstheme="minorHAnsi"/>
          <w:i/>
          <w:sz w:val="20"/>
          <w:szCs w:val="20"/>
        </w:rPr>
        <w:t>Government at a Glance 2013</w:t>
      </w:r>
      <w:r w:rsidRPr="00F22DCB">
        <w:rPr>
          <w:rFonts w:cstheme="minorHAnsi"/>
          <w:sz w:val="20"/>
          <w:szCs w:val="20"/>
          <w:lang w:val="en-US"/>
        </w:rPr>
        <w:t xml:space="preserve">, Paris, France, </w:t>
      </w:r>
      <w:r w:rsidRPr="00F22DCB">
        <w:rPr>
          <w:rFonts w:cstheme="minorHAnsi"/>
          <w:sz w:val="20"/>
          <w:szCs w:val="20"/>
          <w:lang w:val="en"/>
        </w:rPr>
        <w:t xml:space="preserve">OECD Publishing, </w:t>
      </w:r>
      <w:r w:rsidRPr="00F22DCB">
        <w:rPr>
          <w:rFonts w:cstheme="minorHAnsi"/>
          <w:sz w:val="20"/>
          <w:szCs w:val="20"/>
          <w:lang w:val="en-US"/>
        </w:rPr>
        <w:t>14 November 2013</w:t>
      </w:r>
    </w:p>
  </w:footnote>
  <w:footnote w:id="42">
    <w:p w:rsidR="00605359" w:rsidRPr="00F22DCB" w:rsidRDefault="00605359" w:rsidP="00BE6B8D">
      <w:pPr>
        <w:pStyle w:val="NoSpacing"/>
        <w:rPr>
          <w:rFonts w:cstheme="minorHAnsi"/>
          <w:sz w:val="20"/>
          <w:szCs w:val="20"/>
          <w:lang w:val="en-US"/>
        </w:rPr>
      </w:pPr>
      <w:r w:rsidRPr="00F22DCB">
        <w:rPr>
          <w:rStyle w:val="FootnoteReference"/>
          <w:rFonts w:asciiTheme="minorHAnsi" w:hAnsiTheme="minorHAnsi" w:cstheme="minorHAnsi"/>
          <w:szCs w:val="20"/>
        </w:rPr>
        <w:footnoteRef/>
      </w:r>
      <w:r w:rsidRPr="00F22DCB">
        <w:rPr>
          <w:rFonts w:cstheme="minorHAnsi"/>
          <w:sz w:val="20"/>
          <w:szCs w:val="20"/>
        </w:rPr>
        <w:t xml:space="preserve"> ‘Table 3.25, Structure of general government expenditures by function (2011)’, in OECD, </w:t>
      </w:r>
      <w:r w:rsidRPr="00F22DCB">
        <w:rPr>
          <w:rFonts w:cstheme="minorHAnsi"/>
          <w:i/>
          <w:sz w:val="20"/>
          <w:szCs w:val="20"/>
        </w:rPr>
        <w:t>Government at a Glance 2013</w:t>
      </w:r>
      <w:r w:rsidRPr="00F22DCB">
        <w:rPr>
          <w:rFonts w:cstheme="minorHAnsi"/>
          <w:sz w:val="20"/>
          <w:szCs w:val="20"/>
          <w:lang w:val="en-US"/>
        </w:rPr>
        <w:t xml:space="preserve">, Paris, France, </w:t>
      </w:r>
      <w:r w:rsidRPr="00F22DCB">
        <w:rPr>
          <w:rFonts w:cstheme="minorHAnsi"/>
          <w:sz w:val="20"/>
          <w:szCs w:val="20"/>
          <w:lang w:val="en"/>
        </w:rPr>
        <w:t xml:space="preserve">OECD Publishing, </w:t>
      </w:r>
      <w:r w:rsidRPr="00F22DCB">
        <w:rPr>
          <w:rFonts w:cstheme="minorHAnsi"/>
          <w:sz w:val="20"/>
          <w:szCs w:val="20"/>
          <w:lang w:val="en-US"/>
        </w:rPr>
        <w:t>14 November 2013</w:t>
      </w:r>
    </w:p>
  </w:footnote>
  <w:footnote w:id="43">
    <w:p w:rsidR="00605359" w:rsidRPr="00DE2A92" w:rsidRDefault="00605359" w:rsidP="00BE6B8D">
      <w:pPr>
        <w:pStyle w:val="NoSpacing"/>
        <w:rPr>
          <w:rFonts w:cstheme="minorHAnsi"/>
          <w:sz w:val="16"/>
          <w:szCs w:val="16"/>
        </w:rPr>
      </w:pPr>
      <w:r w:rsidRPr="00F22DCB">
        <w:rPr>
          <w:rStyle w:val="FootnoteReference"/>
          <w:rFonts w:asciiTheme="minorHAnsi" w:hAnsiTheme="minorHAnsi" w:cstheme="minorHAnsi"/>
          <w:szCs w:val="20"/>
        </w:rPr>
        <w:footnoteRef/>
      </w:r>
      <w:r w:rsidRPr="00F22DCB">
        <w:rPr>
          <w:rFonts w:cstheme="minorHAnsi"/>
          <w:sz w:val="20"/>
          <w:szCs w:val="20"/>
        </w:rPr>
        <w:t xml:space="preserve"> Australian Government, ‘</w:t>
      </w:r>
      <w:r w:rsidRPr="00F22DCB">
        <w:rPr>
          <w:rFonts w:cstheme="minorHAnsi"/>
          <w:sz w:val="20"/>
          <w:szCs w:val="20"/>
          <w:lang w:val="en-US"/>
        </w:rPr>
        <w:t xml:space="preserve">2014-15 Budget Paper 1: Budget Strategy and Outlook’, 13 May 2014, </w:t>
      </w:r>
      <w:hyperlink r:id="rId3" w:history="1">
        <w:r w:rsidRPr="00F22DCB">
          <w:rPr>
            <w:rStyle w:val="Hyperlink"/>
            <w:rFonts w:cstheme="minorHAnsi"/>
            <w:sz w:val="20"/>
            <w:szCs w:val="20"/>
            <w:lang w:val="en-US"/>
          </w:rPr>
          <w:t>http://budget.gov.au/2014-15/content/bp1/html/bp1_bst9.htm</w:t>
        </w:r>
      </w:hyperlink>
      <w:r w:rsidRPr="00F22DCB">
        <w:rPr>
          <w:rFonts w:cstheme="minorHAnsi"/>
          <w:sz w:val="20"/>
          <w:szCs w:val="20"/>
          <w:lang w:val="en-US"/>
        </w:rPr>
        <w:t>, (accessed 15 January 2015)</w:t>
      </w:r>
    </w:p>
  </w:footnote>
  <w:footnote w:id="44">
    <w:p w:rsidR="00605359" w:rsidRPr="00F22DCB" w:rsidRDefault="00605359" w:rsidP="0069593C">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w:t>
      </w:r>
      <w:r w:rsidRPr="00F22DCB">
        <w:rPr>
          <w:rFonts w:asciiTheme="minorHAnsi" w:hAnsiTheme="minorHAnsi" w:cstheme="minorHAnsi"/>
          <w:lang w:val="en-US"/>
        </w:rPr>
        <w:t xml:space="preserve">Australian Public Service Commission, </w:t>
      </w:r>
      <w:r w:rsidRPr="00F22DCB">
        <w:rPr>
          <w:rFonts w:asciiTheme="minorHAnsi" w:hAnsiTheme="minorHAnsi" w:cstheme="minorHAnsi"/>
          <w:i/>
          <w:lang w:val="en-US"/>
        </w:rPr>
        <w:t>State of the Service Report</w:t>
      </w:r>
      <w:r w:rsidRPr="00F22DCB">
        <w:rPr>
          <w:rFonts w:asciiTheme="minorHAnsi" w:hAnsiTheme="minorHAnsi" w:cstheme="minorHAnsi"/>
          <w:lang w:val="en-US"/>
        </w:rPr>
        <w:t>, State of the Service Series 2013-14, p. 13</w:t>
      </w:r>
    </w:p>
  </w:footnote>
  <w:footnote w:id="45">
    <w:p w:rsidR="00605359" w:rsidRPr="00F22DCB" w:rsidRDefault="00605359" w:rsidP="0069593C">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w:t>
      </w:r>
      <w:r w:rsidRPr="00F22DCB">
        <w:rPr>
          <w:rFonts w:asciiTheme="minorHAnsi" w:hAnsiTheme="minorHAnsi" w:cstheme="minorHAnsi"/>
          <w:lang w:val="en-US"/>
        </w:rPr>
        <w:t>The What Women Survey is conducted by the CPSU and now in its 8</w:t>
      </w:r>
      <w:r w:rsidRPr="00F22DCB">
        <w:rPr>
          <w:rFonts w:asciiTheme="minorHAnsi" w:hAnsiTheme="minorHAnsi" w:cstheme="minorHAnsi"/>
          <w:vertAlign w:val="superscript"/>
          <w:lang w:val="en-US"/>
        </w:rPr>
        <w:t>th</w:t>
      </w:r>
      <w:r w:rsidRPr="00F22DCB">
        <w:rPr>
          <w:rFonts w:asciiTheme="minorHAnsi" w:hAnsiTheme="minorHAnsi" w:cstheme="minorHAnsi"/>
          <w:lang w:val="en-US"/>
        </w:rPr>
        <w:t xml:space="preserve"> year. It is the largest survey of working women in Australia and gives a detailed picture into the working lives of women, particularly in the APS.</w:t>
      </w:r>
    </w:p>
  </w:footnote>
  <w:footnote w:id="46">
    <w:p w:rsidR="00605359" w:rsidRPr="00F22DCB" w:rsidRDefault="00605359" w:rsidP="0069593C">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Community and Public Sector Union, </w:t>
      </w:r>
      <w:r w:rsidRPr="00F22DCB">
        <w:rPr>
          <w:rFonts w:asciiTheme="minorHAnsi" w:hAnsiTheme="minorHAnsi" w:cstheme="minorHAnsi"/>
          <w:i/>
        </w:rPr>
        <w:t>What Women Want 2013/14 Survey Report</w:t>
      </w:r>
      <w:r w:rsidRPr="00F22DCB">
        <w:rPr>
          <w:rFonts w:asciiTheme="minorHAnsi" w:hAnsiTheme="minorHAnsi" w:cstheme="minorHAnsi"/>
        </w:rPr>
        <w:t>, March 2013, p.28</w:t>
      </w:r>
    </w:p>
  </w:footnote>
  <w:footnote w:id="47">
    <w:p w:rsidR="00605359" w:rsidRPr="00F22DCB" w:rsidRDefault="00605359" w:rsidP="000A06D3">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Ibid, p.29</w:t>
      </w:r>
    </w:p>
  </w:footnote>
  <w:footnote w:id="48">
    <w:p w:rsidR="00605359" w:rsidRPr="00F22DCB" w:rsidRDefault="00605359" w:rsidP="000A06D3">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Ibid, p.17</w:t>
      </w:r>
    </w:p>
  </w:footnote>
  <w:footnote w:id="49">
    <w:p w:rsidR="00605359" w:rsidRPr="003E11D8" w:rsidRDefault="00605359" w:rsidP="000A06D3">
      <w:pPr>
        <w:pStyle w:val="FootnoteText"/>
        <w:spacing w:before="0" w:line="240" w:lineRule="auto"/>
        <w:ind w:left="0" w:firstLine="0"/>
        <w:rPr>
          <w:rFonts w:asciiTheme="minorHAnsi" w:hAnsiTheme="minorHAnsi" w:cstheme="minorHAnsi"/>
          <w:sz w:val="16"/>
          <w:szCs w:val="16"/>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Ibid, p.18</w:t>
      </w:r>
    </w:p>
  </w:footnote>
  <w:footnote w:id="50">
    <w:p w:rsidR="00605359" w:rsidRPr="00F22DCB" w:rsidRDefault="00605359" w:rsidP="00011D0D">
      <w:pPr>
        <w:pStyle w:val="FootnoteText"/>
        <w:spacing w:before="0" w:line="240" w:lineRule="auto"/>
        <w:ind w:left="0" w:firstLine="0"/>
        <w:rPr>
          <w:rFonts w:asciiTheme="minorHAnsi" w:hAnsiTheme="minorHAnsi" w:cstheme="minorHAnsi"/>
          <w:lang w:val="en-US"/>
        </w:rPr>
      </w:pPr>
      <w:r w:rsidRPr="00F22DCB">
        <w:rPr>
          <w:rStyle w:val="FootnoteReference"/>
          <w:rFonts w:asciiTheme="minorHAnsi" w:hAnsiTheme="minorHAnsi" w:cstheme="minorHAnsi"/>
        </w:rPr>
        <w:footnoteRef/>
      </w:r>
      <w:r w:rsidRPr="00F22DCB">
        <w:rPr>
          <w:rFonts w:asciiTheme="minorHAnsi" w:hAnsiTheme="minorHAnsi" w:cstheme="minorHAnsi"/>
        </w:rPr>
        <w:t xml:space="preserve"> </w:t>
      </w:r>
      <w:r w:rsidRPr="00F22DCB">
        <w:rPr>
          <w:rFonts w:asciiTheme="minorHAnsi" w:hAnsiTheme="minorHAnsi" w:cstheme="minorHAnsi"/>
          <w:lang w:val="en-US"/>
        </w:rPr>
        <w:t xml:space="preserve">Note </w:t>
      </w:r>
      <w:r>
        <w:rPr>
          <w:rFonts w:asciiTheme="minorHAnsi" w:hAnsiTheme="minorHAnsi" w:cstheme="minorHAnsi"/>
          <w:lang w:val="en-US"/>
        </w:rPr>
        <w:t>2</w:t>
      </w:r>
      <w:r w:rsidRPr="00F22DCB">
        <w:rPr>
          <w:rFonts w:asciiTheme="minorHAnsi" w:hAnsiTheme="minorHAnsi" w:cstheme="minorHAnsi"/>
          <w:lang w:val="en-US"/>
        </w:rPr>
        <w:t>, p. 14</w:t>
      </w:r>
    </w:p>
  </w:footnote>
  <w:footnote w:id="51">
    <w:p w:rsidR="00605359" w:rsidRPr="00802DA8" w:rsidRDefault="00605359" w:rsidP="00802DA8">
      <w:pPr>
        <w:pStyle w:val="FootnoteText"/>
        <w:spacing w:before="0" w:line="240" w:lineRule="auto"/>
        <w:ind w:left="0" w:firstLine="0"/>
        <w:rPr>
          <w:rFonts w:asciiTheme="minorHAnsi" w:hAnsiTheme="minorHAnsi" w:cstheme="minorHAnsi"/>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w:t>
      </w:r>
      <w:r w:rsidRPr="00802DA8">
        <w:rPr>
          <w:rFonts w:asciiTheme="minorHAnsi" w:hAnsiTheme="minorHAnsi" w:cstheme="minorHAnsi"/>
          <w:lang w:val="en-US"/>
        </w:rPr>
        <w:t>Ibid, p. 14</w:t>
      </w:r>
    </w:p>
  </w:footnote>
  <w:footnote w:id="52">
    <w:p w:rsidR="00605359" w:rsidRPr="00802DA8" w:rsidRDefault="00605359" w:rsidP="00802DA8">
      <w:pPr>
        <w:pStyle w:val="FootnoteText"/>
        <w:spacing w:before="0" w:line="240" w:lineRule="auto"/>
        <w:ind w:left="0" w:firstLine="0"/>
        <w:rPr>
          <w:rFonts w:asciiTheme="minorHAnsi" w:hAnsiTheme="minorHAnsi" w:cstheme="minorHAnsi"/>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w:t>
      </w:r>
      <w:r>
        <w:rPr>
          <w:rFonts w:asciiTheme="minorHAnsi" w:hAnsiTheme="minorHAnsi" w:cstheme="minorHAnsi"/>
        </w:rPr>
        <w:t>Note 2</w:t>
      </w:r>
      <w:r w:rsidRPr="00802DA8">
        <w:rPr>
          <w:rFonts w:asciiTheme="minorHAnsi" w:hAnsiTheme="minorHAnsi" w:cstheme="minorHAnsi"/>
          <w:lang w:val="en-US"/>
        </w:rPr>
        <w:t>, s 411</w:t>
      </w:r>
    </w:p>
  </w:footnote>
  <w:footnote w:id="53">
    <w:p w:rsidR="00605359" w:rsidRPr="00802DA8" w:rsidRDefault="00605359" w:rsidP="00802DA8">
      <w:pPr>
        <w:pStyle w:val="FootnoteText"/>
        <w:spacing w:before="0" w:line="240" w:lineRule="auto"/>
        <w:ind w:left="0" w:firstLine="0"/>
        <w:rPr>
          <w:rFonts w:asciiTheme="minorHAnsi" w:hAnsiTheme="minorHAnsi" w:cstheme="minorHAnsi"/>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w:t>
      </w:r>
      <w:r w:rsidRPr="00802DA8">
        <w:rPr>
          <w:rFonts w:asciiTheme="minorHAnsi" w:hAnsiTheme="minorHAnsi" w:cstheme="minorHAnsi"/>
          <w:lang w:val="en-US"/>
        </w:rPr>
        <w:t>Ibid, section 471</w:t>
      </w:r>
    </w:p>
  </w:footnote>
  <w:footnote w:id="54">
    <w:p w:rsidR="00605359" w:rsidRPr="00802DA8" w:rsidRDefault="00605359" w:rsidP="00802DA8">
      <w:pPr>
        <w:pStyle w:val="FootnoteText"/>
        <w:spacing w:before="0" w:line="240" w:lineRule="auto"/>
        <w:ind w:left="0" w:firstLine="0"/>
        <w:rPr>
          <w:rFonts w:asciiTheme="minorHAnsi" w:hAnsiTheme="minorHAnsi" w:cstheme="minorHAnsi"/>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Note </w:t>
      </w:r>
      <w:r>
        <w:rPr>
          <w:rFonts w:asciiTheme="minorHAnsi" w:hAnsiTheme="minorHAnsi" w:cstheme="minorHAnsi"/>
        </w:rPr>
        <w:t>2</w:t>
      </w:r>
      <w:r w:rsidRPr="00802DA8">
        <w:rPr>
          <w:rFonts w:asciiTheme="minorHAnsi" w:hAnsiTheme="minorHAnsi" w:cstheme="minorHAnsi"/>
        </w:rPr>
        <w:t>2, p. 9</w:t>
      </w:r>
    </w:p>
  </w:footnote>
  <w:footnote w:id="55">
    <w:p w:rsidR="00605359" w:rsidRPr="00802DA8" w:rsidRDefault="00605359" w:rsidP="00802DA8">
      <w:pPr>
        <w:pStyle w:val="FootnoteText"/>
        <w:spacing w:before="0" w:line="240" w:lineRule="auto"/>
        <w:ind w:left="0" w:firstLine="0"/>
        <w:rPr>
          <w:rFonts w:asciiTheme="minorHAnsi" w:hAnsiTheme="minorHAnsi" w:cstheme="minorHAnsi"/>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w:t>
      </w:r>
      <w:r w:rsidRPr="00802DA8">
        <w:rPr>
          <w:rFonts w:asciiTheme="minorHAnsi" w:hAnsiTheme="minorHAnsi" w:cstheme="minorHAnsi"/>
          <w:i/>
          <w:lang w:val="en-US"/>
        </w:rPr>
        <w:t>Fair Work Amendment Bill 2014</w:t>
      </w:r>
      <w:r w:rsidRPr="00802DA8">
        <w:rPr>
          <w:rFonts w:asciiTheme="minorHAnsi" w:hAnsiTheme="minorHAnsi" w:cstheme="minorHAnsi"/>
          <w:lang w:val="en-US"/>
        </w:rPr>
        <w:t xml:space="preserve"> (</w:t>
      </w:r>
      <w:proofErr w:type="spellStart"/>
      <w:r w:rsidRPr="00802DA8">
        <w:rPr>
          <w:rFonts w:asciiTheme="minorHAnsi" w:hAnsiTheme="minorHAnsi" w:cstheme="minorHAnsi"/>
          <w:lang w:val="en-US"/>
        </w:rPr>
        <w:t>Cth</w:t>
      </w:r>
      <w:proofErr w:type="spellEnd"/>
      <w:r w:rsidRPr="00802DA8">
        <w:rPr>
          <w:rFonts w:asciiTheme="minorHAnsi" w:hAnsiTheme="minorHAnsi" w:cstheme="minorHAnsi"/>
          <w:lang w:val="en-US"/>
        </w:rPr>
        <w:t>)</w:t>
      </w:r>
    </w:p>
  </w:footnote>
  <w:footnote w:id="56">
    <w:p w:rsidR="00605359" w:rsidRPr="00A33EE2" w:rsidRDefault="00605359" w:rsidP="00802DA8">
      <w:pPr>
        <w:pStyle w:val="FootnoteText"/>
        <w:spacing w:before="0" w:line="240" w:lineRule="auto"/>
        <w:ind w:left="0" w:firstLine="0"/>
        <w:rPr>
          <w:rFonts w:asciiTheme="minorHAnsi" w:hAnsiTheme="minorHAnsi" w:cstheme="minorHAnsi"/>
          <w:sz w:val="16"/>
          <w:szCs w:val="16"/>
          <w:lang w:val="en-US"/>
        </w:rPr>
      </w:pPr>
      <w:r w:rsidRPr="00802DA8">
        <w:rPr>
          <w:rStyle w:val="FootnoteReference"/>
          <w:rFonts w:asciiTheme="minorHAnsi" w:hAnsiTheme="minorHAnsi" w:cstheme="minorHAnsi"/>
        </w:rPr>
        <w:footnoteRef/>
      </w:r>
      <w:r w:rsidRPr="00802DA8">
        <w:rPr>
          <w:rFonts w:asciiTheme="minorHAnsi" w:hAnsiTheme="minorHAnsi" w:cstheme="minorHAnsi"/>
        </w:rPr>
        <w:t xml:space="preserve"> </w:t>
      </w:r>
      <w:r w:rsidRPr="00802DA8">
        <w:rPr>
          <w:rFonts w:asciiTheme="minorHAnsi" w:hAnsiTheme="minorHAnsi" w:cstheme="minorHAnsi"/>
          <w:lang w:val="en-US"/>
        </w:rPr>
        <w:t xml:space="preserve">Ibid, Part 4 </w:t>
      </w:r>
    </w:p>
  </w:footnote>
  <w:footnote w:id="57">
    <w:p w:rsidR="00605359" w:rsidRPr="002A6510" w:rsidRDefault="00605359" w:rsidP="002A6510">
      <w:pPr>
        <w:shd w:val="clear" w:color="auto" w:fill="FFFFFF"/>
        <w:spacing w:after="0" w:line="240" w:lineRule="auto"/>
        <w:outlineLvl w:val="1"/>
        <w:rPr>
          <w:rFonts w:cstheme="minorHAnsi"/>
          <w:lang w:val="en-US"/>
        </w:rPr>
      </w:pPr>
      <w:r w:rsidRPr="002A6510">
        <w:rPr>
          <w:rStyle w:val="FootnoteReference"/>
          <w:rFonts w:asciiTheme="minorHAnsi" w:hAnsiTheme="minorHAnsi" w:cstheme="minorHAnsi"/>
          <w:szCs w:val="20"/>
        </w:rPr>
        <w:footnoteRef/>
      </w:r>
      <w:r w:rsidRPr="002A6510">
        <w:rPr>
          <w:rFonts w:cstheme="minorHAnsi"/>
          <w:sz w:val="20"/>
          <w:szCs w:val="20"/>
        </w:rPr>
        <w:t xml:space="preserve"> International </w:t>
      </w:r>
      <w:proofErr w:type="spellStart"/>
      <w:r w:rsidRPr="002A6510">
        <w:rPr>
          <w:rFonts w:cstheme="minorHAnsi"/>
          <w:sz w:val="20"/>
          <w:szCs w:val="20"/>
        </w:rPr>
        <w:t>Labor</w:t>
      </w:r>
      <w:proofErr w:type="spellEnd"/>
      <w:r w:rsidRPr="002A6510">
        <w:rPr>
          <w:rFonts w:cstheme="minorHAnsi"/>
          <w:sz w:val="20"/>
          <w:szCs w:val="20"/>
        </w:rPr>
        <w:t xml:space="preserve"> Organisation, </w:t>
      </w:r>
      <w:r w:rsidRPr="002A6510">
        <w:rPr>
          <w:rFonts w:cstheme="minorHAnsi"/>
          <w:i/>
          <w:sz w:val="20"/>
          <w:szCs w:val="20"/>
        </w:rPr>
        <w:t>Freedom of Association and Protection of the Right to Organise Convention 1948</w:t>
      </w:r>
      <w:r w:rsidRPr="002A6510">
        <w:rPr>
          <w:rFonts w:cstheme="minorHAnsi"/>
          <w:sz w:val="20"/>
          <w:szCs w:val="20"/>
        </w:rPr>
        <w:t xml:space="preserve">, No 87, International </w:t>
      </w:r>
      <w:proofErr w:type="spellStart"/>
      <w:r w:rsidRPr="002A6510">
        <w:rPr>
          <w:rFonts w:cstheme="minorHAnsi"/>
          <w:sz w:val="20"/>
          <w:szCs w:val="20"/>
        </w:rPr>
        <w:t>Labor</w:t>
      </w:r>
      <w:proofErr w:type="spellEnd"/>
      <w:r w:rsidRPr="002A6510">
        <w:rPr>
          <w:rFonts w:cstheme="minorHAnsi"/>
          <w:sz w:val="20"/>
          <w:szCs w:val="20"/>
        </w:rPr>
        <w:t xml:space="preserve"> Organisation, </w:t>
      </w:r>
      <w:r w:rsidRPr="002A6510">
        <w:rPr>
          <w:rFonts w:eastAsia="Times New Roman" w:cstheme="minorHAnsi"/>
          <w:i/>
          <w:spacing w:val="-5"/>
          <w:kern w:val="36"/>
          <w:sz w:val="20"/>
          <w:szCs w:val="20"/>
          <w:lang w:val="en" w:eastAsia="en-AU"/>
        </w:rPr>
        <w:t xml:space="preserve">Right to </w:t>
      </w:r>
      <w:proofErr w:type="spellStart"/>
      <w:r w:rsidRPr="002A6510">
        <w:rPr>
          <w:rFonts w:eastAsia="Times New Roman" w:cstheme="minorHAnsi"/>
          <w:i/>
          <w:spacing w:val="-5"/>
          <w:kern w:val="36"/>
          <w:sz w:val="20"/>
          <w:szCs w:val="20"/>
          <w:lang w:val="en" w:eastAsia="en-AU"/>
        </w:rPr>
        <w:t>Organise</w:t>
      </w:r>
      <w:proofErr w:type="spellEnd"/>
      <w:r w:rsidRPr="002A6510">
        <w:rPr>
          <w:rFonts w:eastAsia="Times New Roman" w:cstheme="minorHAnsi"/>
          <w:i/>
          <w:spacing w:val="-5"/>
          <w:kern w:val="36"/>
          <w:sz w:val="20"/>
          <w:szCs w:val="20"/>
          <w:lang w:val="en" w:eastAsia="en-AU"/>
        </w:rPr>
        <w:t xml:space="preserve"> and Collective Bargaining Convention, 1949</w:t>
      </w:r>
      <w:r w:rsidRPr="002A6510">
        <w:rPr>
          <w:rFonts w:eastAsia="Times New Roman" w:cstheme="minorHAnsi"/>
          <w:spacing w:val="-5"/>
          <w:kern w:val="36"/>
          <w:sz w:val="20"/>
          <w:szCs w:val="20"/>
          <w:lang w:val="en" w:eastAsia="en-AU"/>
        </w:rPr>
        <w:t xml:space="preserve"> (No. 98)</w:t>
      </w:r>
    </w:p>
  </w:footnote>
  <w:footnote w:id="58">
    <w:p w:rsidR="00605359" w:rsidRPr="002A6510" w:rsidRDefault="00605359" w:rsidP="002A6510">
      <w:pPr>
        <w:pStyle w:val="FootnoteText"/>
        <w:spacing w:before="0" w:line="240" w:lineRule="auto"/>
        <w:ind w:left="0" w:firstLine="0"/>
        <w:rPr>
          <w:rFonts w:asciiTheme="minorHAnsi" w:hAnsiTheme="minorHAnsi" w:cstheme="minorHAnsi"/>
          <w:lang w:val="en-US"/>
        </w:rPr>
      </w:pPr>
      <w:r w:rsidRPr="002A6510">
        <w:rPr>
          <w:rStyle w:val="FootnoteReference"/>
          <w:rFonts w:asciiTheme="minorHAnsi" w:hAnsiTheme="minorHAnsi" w:cstheme="minorHAnsi"/>
        </w:rPr>
        <w:footnoteRef/>
      </w:r>
      <w:r w:rsidRPr="002A6510">
        <w:rPr>
          <w:rFonts w:asciiTheme="minorHAnsi" w:hAnsiTheme="minorHAnsi" w:cstheme="minorHAnsi"/>
        </w:rPr>
        <w:t xml:space="preserve"> </w:t>
      </w:r>
      <w:r>
        <w:rPr>
          <w:rFonts w:asciiTheme="minorHAnsi" w:hAnsiTheme="minorHAnsi" w:cstheme="minorHAnsi"/>
          <w:lang w:val="en-US"/>
        </w:rPr>
        <w:t>Note 2,</w:t>
      </w:r>
      <w:r w:rsidRPr="002A6510">
        <w:rPr>
          <w:rFonts w:asciiTheme="minorHAnsi" w:hAnsiTheme="minorHAnsi" w:cstheme="minorHAnsi"/>
          <w:lang w:val="en-US"/>
        </w:rPr>
        <w:t xml:space="preserve"> s</w:t>
      </w:r>
      <w:r>
        <w:rPr>
          <w:rFonts w:asciiTheme="minorHAnsi" w:hAnsiTheme="minorHAnsi" w:cstheme="minorHAnsi"/>
          <w:lang w:val="en-US"/>
        </w:rPr>
        <w:t>ection</w:t>
      </w:r>
      <w:r w:rsidRPr="002A6510">
        <w:rPr>
          <w:rFonts w:asciiTheme="minorHAnsi" w:hAnsiTheme="minorHAnsi" w:cstheme="minorHAnsi"/>
          <w:lang w:val="en-US"/>
        </w:rPr>
        <w:t xml:space="preserve"> 336</w:t>
      </w:r>
    </w:p>
  </w:footnote>
  <w:footnote w:id="59">
    <w:p w:rsidR="00605359" w:rsidRPr="002A6510" w:rsidRDefault="00605359" w:rsidP="002A6510">
      <w:pPr>
        <w:pStyle w:val="FootnoteText"/>
        <w:spacing w:before="0" w:line="240" w:lineRule="auto"/>
        <w:ind w:left="0" w:firstLine="0"/>
        <w:rPr>
          <w:rFonts w:asciiTheme="minorHAnsi" w:hAnsiTheme="minorHAnsi" w:cstheme="minorHAnsi"/>
          <w:lang w:val="en-US"/>
        </w:rPr>
      </w:pPr>
      <w:r w:rsidRPr="002A6510">
        <w:rPr>
          <w:rStyle w:val="FootnoteReference"/>
          <w:rFonts w:asciiTheme="minorHAnsi" w:hAnsiTheme="minorHAnsi" w:cstheme="minorHAnsi"/>
        </w:rPr>
        <w:footnoteRef/>
      </w:r>
      <w:r w:rsidRPr="002A6510">
        <w:rPr>
          <w:rFonts w:asciiTheme="minorHAnsi" w:hAnsiTheme="minorHAnsi" w:cstheme="minorHAnsi"/>
        </w:rPr>
        <w:t xml:space="preserve"> </w:t>
      </w:r>
      <w:r>
        <w:rPr>
          <w:rFonts w:asciiTheme="minorHAnsi" w:hAnsiTheme="minorHAnsi" w:cstheme="minorHAnsi"/>
          <w:lang w:val="en-US"/>
        </w:rPr>
        <w:t>Ibid,</w:t>
      </w:r>
      <w:r w:rsidRPr="002A6510">
        <w:rPr>
          <w:rFonts w:asciiTheme="minorHAnsi" w:hAnsiTheme="minorHAnsi" w:cstheme="minorHAnsi"/>
          <w:lang w:val="en-US"/>
        </w:rPr>
        <w:t xml:space="preserve"> s</w:t>
      </w:r>
      <w:r>
        <w:rPr>
          <w:rFonts w:asciiTheme="minorHAnsi" w:hAnsiTheme="minorHAnsi" w:cstheme="minorHAnsi"/>
          <w:lang w:val="en-US"/>
        </w:rPr>
        <w:t>ection</w:t>
      </w:r>
      <w:r w:rsidRPr="002A6510">
        <w:rPr>
          <w:rFonts w:asciiTheme="minorHAnsi" w:hAnsiTheme="minorHAnsi" w:cstheme="minorHAnsi"/>
          <w:lang w:val="en-US"/>
        </w:rPr>
        <w:t xml:space="preserve"> 340</w:t>
      </w:r>
    </w:p>
  </w:footnote>
  <w:footnote w:id="60">
    <w:p w:rsidR="00605359" w:rsidRPr="005B0058" w:rsidRDefault="00605359">
      <w:pPr>
        <w:pStyle w:val="FootnoteText"/>
        <w:rPr>
          <w:rFonts w:asciiTheme="minorHAnsi" w:hAnsiTheme="minorHAnsi" w:cstheme="minorHAnsi"/>
          <w:lang w:val="en-US"/>
        </w:rPr>
      </w:pPr>
      <w:r w:rsidRPr="005B0058">
        <w:rPr>
          <w:rStyle w:val="FootnoteReference"/>
          <w:rFonts w:asciiTheme="minorHAnsi" w:hAnsiTheme="minorHAnsi" w:cstheme="minorHAnsi"/>
        </w:rPr>
        <w:footnoteRef/>
      </w:r>
      <w:r w:rsidRPr="005B0058">
        <w:rPr>
          <w:rFonts w:asciiTheme="minorHAnsi" w:hAnsiTheme="minorHAnsi" w:cstheme="minorHAnsi"/>
        </w:rPr>
        <w:t xml:space="preserve"> </w:t>
      </w:r>
      <w:r w:rsidRPr="005B0058">
        <w:rPr>
          <w:rFonts w:asciiTheme="minorHAnsi" w:hAnsiTheme="minorHAnsi" w:cstheme="minorHAnsi"/>
          <w:lang w:val="en-US"/>
        </w:rPr>
        <w:t>Ibid, section 347</w:t>
      </w:r>
    </w:p>
  </w:footnote>
  <w:footnote w:id="61">
    <w:p w:rsidR="00605359" w:rsidRPr="003D53EC" w:rsidRDefault="00605359" w:rsidP="002A6510">
      <w:pPr>
        <w:pStyle w:val="FootnoteText"/>
        <w:spacing w:before="0" w:line="240" w:lineRule="auto"/>
        <w:ind w:left="0" w:firstLine="0"/>
        <w:rPr>
          <w:lang w:val="en-US"/>
        </w:rPr>
      </w:pPr>
      <w:r w:rsidRPr="002A6510">
        <w:rPr>
          <w:rStyle w:val="FootnoteReference"/>
          <w:rFonts w:asciiTheme="minorHAnsi" w:hAnsiTheme="minorHAnsi" w:cstheme="minorHAnsi"/>
        </w:rPr>
        <w:footnoteRef/>
      </w:r>
      <w:r w:rsidRPr="002A6510">
        <w:rPr>
          <w:rFonts w:asciiTheme="minorHAnsi" w:hAnsiTheme="minorHAnsi" w:cstheme="minorHAnsi"/>
        </w:rPr>
        <w:t xml:space="preserve"> </w:t>
      </w:r>
      <w:r>
        <w:rPr>
          <w:rFonts w:asciiTheme="minorHAnsi" w:hAnsiTheme="minorHAnsi" w:cstheme="minorHAnsi"/>
          <w:lang w:val="en-US"/>
        </w:rPr>
        <w:t xml:space="preserve">Ibid, section </w:t>
      </w:r>
      <w:r w:rsidRPr="002A6510">
        <w:rPr>
          <w:rFonts w:asciiTheme="minorHAnsi" w:hAnsiTheme="minorHAnsi" w:cstheme="minorHAnsi"/>
          <w:lang w:val="en-US"/>
        </w:rPr>
        <w:t>342</w:t>
      </w:r>
    </w:p>
  </w:footnote>
  <w:footnote w:id="62">
    <w:p w:rsidR="00605359" w:rsidRPr="00AA2554" w:rsidRDefault="00605359" w:rsidP="004675C1">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w:t>
      </w:r>
      <w:r w:rsidRPr="00AA2554">
        <w:rPr>
          <w:rFonts w:asciiTheme="minorHAnsi" w:hAnsiTheme="minorHAnsi" w:cstheme="minorHAnsi"/>
          <w:i/>
        </w:rPr>
        <w:t>Public Service Act 1999</w:t>
      </w:r>
      <w:r w:rsidRPr="00AA2554">
        <w:rPr>
          <w:rFonts w:asciiTheme="minorHAnsi" w:hAnsiTheme="minorHAnsi" w:cstheme="minorHAnsi"/>
        </w:rPr>
        <w:t xml:space="preserve"> (</w:t>
      </w:r>
      <w:proofErr w:type="spellStart"/>
      <w:r w:rsidRPr="00AA2554">
        <w:rPr>
          <w:rFonts w:asciiTheme="minorHAnsi" w:hAnsiTheme="minorHAnsi" w:cstheme="minorHAnsi"/>
        </w:rPr>
        <w:t>Cth</w:t>
      </w:r>
      <w:proofErr w:type="spellEnd"/>
      <w:r w:rsidRPr="00AA2554">
        <w:rPr>
          <w:rFonts w:asciiTheme="minorHAnsi" w:hAnsiTheme="minorHAnsi" w:cstheme="minorHAnsi"/>
        </w:rPr>
        <w:t>), s6(1)</w:t>
      </w:r>
    </w:p>
  </w:footnote>
  <w:footnote w:id="63">
    <w:p w:rsidR="00605359" w:rsidRPr="00AA2554" w:rsidRDefault="00605359" w:rsidP="004675C1">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Ibid, </w:t>
      </w:r>
      <w:r w:rsidRPr="00AA2554">
        <w:rPr>
          <w:rFonts w:asciiTheme="minorHAnsi" w:hAnsiTheme="minorHAnsi" w:cstheme="minorHAnsi"/>
          <w:lang w:val="en-US"/>
        </w:rPr>
        <w:t xml:space="preserve">section 13 </w:t>
      </w:r>
    </w:p>
  </w:footnote>
  <w:footnote w:id="64">
    <w:p w:rsidR="00605359" w:rsidRPr="00AA2554" w:rsidRDefault="00605359" w:rsidP="004675C1">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Ibid, section 10</w:t>
      </w:r>
    </w:p>
  </w:footnote>
  <w:footnote w:id="65">
    <w:p w:rsidR="00605359" w:rsidRPr="00AA2554" w:rsidRDefault="00605359" w:rsidP="00C33E86">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Ibid,  section3(a)</w:t>
      </w:r>
    </w:p>
  </w:footnote>
  <w:footnote w:id="66">
    <w:p w:rsidR="00605359" w:rsidRPr="00AA2554" w:rsidRDefault="00605359" w:rsidP="00AA2554">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w:t>
      </w:r>
      <w:r w:rsidRPr="00AA2554">
        <w:rPr>
          <w:rFonts w:asciiTheme="minorHAnsi" w:hAnsiTheme="minorHAnsi" w:cstheme="minorHAnsi"/>
          <w:i/>
        </w:rPr>
        <w:t>Public Service Regulations 1999</w:t>
      </w:r>
      <w:r w:rsidRPr="00AA2554">
        <w:rPr>
          <w:rFonts w:asciiTheme="minorHAnsi" w:hAnsiTheme="minorHAnsi" w:cstheme="minorHAnsi"/>
        </w:rPr>
        <w:t xml:space="preserve"> (</w:t>
      </w:r>
      <w:proofErr w:type="spellStart"/>
      <w:r w:rsidRPr="00AA2554">
        <w:rPr>
          <w:rFonts w:asciiTheme="minorHAnsi" w:hAnsiTheme="minorHAnsi" w:cstheme="minorHAnsi"/>
        </w:rPr>
        <w:t>Cth</w:t>
      </w:r>
      <w:proofErr w:type="spellEnd"/>
      <w:r w:rsidRPr="00AA2554">
        <w:rPr>
          <w:rFonts w:asciiTheme="minorHAnsi" w:hAnsiTheme="minorHAnsi" w:cstheme="minorHAnsi"/>
        </w:rPr>
        <w:t>), Division 5.2</w:t>
      </w:r>
    </w:p>
  </w:footnote>
  <w:footnote w:id="67">
    <w:p w:rsidR="00605359" w:rsidRPr="00AA2554" w:rsidRDefault="00605359" w:rsidP="00457422">
      <w:pPr>
        <w:pStyle w:val="FootnoteText"/>
        <w:spacing w:before="0" w:line="240" w:lineRule="auto"/>
        <w:ind w:left="0" w:firstLine="0"/>
        <w:rPr>
          <w:rFonts w:asciiTheme="minorHAnsi" w:hAnsiTheme="minorHAnsi" w:cstheme="minorHAnsi"/>
          <w:lang w:val="en-US"/>
        </w:rPr>
      </w:pPr>
      <w:r w:rsidRPr="00AA2554">
        <w:rPr>
          <w:rStyle w:val="FootnoteReference"/>
          <w:rFonts w:asciiTheme="minorHAnsi" w:hAnsiTheme="minorHAnsi" w:cstheme="minorHAnsi"/>
        </w:rPr>
        <w:footnoteRef/>
      </w:r>
      <w:r w:rsidRPr="00AA2554">
        <w:rPr>
          <w:rFonts w:asciiTheme="minorHAnsi" w:hAnsiTheme="minorHAnsi" w:cstheme="minorHAnsi"/>
        </w:rPr>
        <w:t xml:space="preserve"> </w:t>
      </w:r>
      <w:r w:rsidRPr="00C33E86">
        <w:rPr>
          <w:rFonts w:asciiTheme="minorHAnsi" w:hAnsiTheme="minorHAnsi" w:cstheme="minorHAnsi"/>
        </w:rPr>
        <w:t>Ibid,</w:t>
      </w:r>
      <w:r w:rsidRPr="00AA2554">
        <w:rPr>
          <w:rFonts w:asciiTheme="minorHAnsi" w:hAnsiTheme="minorHAnsi" w:cstheme="minorHAnsi"/>
        </w:rPr>
        <w:t xml:space="preserve"> Division 5.3</w:t>
      </w:r>
    </w:p>
  </w:footnote>
  <w:footnote w:id="68">
    <w:p w:rsidR="00605359" w:rsidRPr="003E11D8" w:rsidRDefault="00605359" w:rsidP="00457422">
      <w:pPr>
        <w:spacing w:after="0" w:line="240" w:lineRule="auto"/>
        <w:rPr>
          <w:rFonts w:cstheme="minorHAnsi"/>
          <w:lang w:val="en-US"/>
        </w:rPr>
      </w:pPr>
      <w:r w:rsidRPr="00AA2554">
        <w:rPr>
          <w:rStyle w:val="FootnoteReference"/>
          <w:rFonts w:asciiTheme="minorHAnsi" w:hAnsiTheme="minorHAnsi" w:cstheme="minorHAnsi"/>
          <w:szCs w:val="20"/>
        </w:rPr>
        <w:footnoteRef/>
      </w:r>
      <w:r w:rsidRPr="00AA2554">
        <w:rPr>
          <w:rFonts w:cstheme="minorHAnsi"/>
          <w:sz w:val="20"/>
          <w:szCs w:val="20"/>
        </w:rPr>
        <w:t xml:space="preserve"> National Commission of Audit, Towards</w:t>
      </w:r>
      <w:r w:rsidRPr="00AA2554">
        <w:rPr>
          <w:rFonts w:cstheme="minorHAnsi"/>
          <w:i/>
          <w:sz w:val="20"/>
          <w:szCs w:val="20"/>
        </w:rPr>
        <w:t xml:space="preserve"> Responsible Government, The Report of the National Commission of Audit –Phase Two</w:t>
      </w:r>
      <w:r w:rsidRPr="00AA2554">
        <w:rPr>
          <w:rFonts w:cstheme="minorHAnsi"/>
          <w:sz w:val="20"/>
          <w:szCs w:val="20"/>
        </w:rPr>
        <w:t xml:space="preserve">, Canberra, Commonwealth of Australia, March </w:t>
      </w:r>
      <w:r w:rsidRPr="00AA2554">
        <w:rPr>
          <w:rFonts w:cstheme="minorHAnsi"/>
          <w:sz w:val="20"/>
          <w:szCs w:val="20"/>
          <w:lang w:val="en-US"/>
        </w:rPr>
        <w:t>2014,</w:t>
      </w:r>
      <w:r w:rsidRPr="00AA2554">
        <w:rPr>
          <w:rFonts w:cstheme="minorHAnsi"/>
          <w:sz w:val="20"/>
          <w:szCs w:val="20"/>
        </w:rPr>
        <w:t xml:space="preserve"> </w:t>
      </w:r>
      <w:proofErr w:type="spellStart"/>
      <w:r w:rsidRPr="00AA2554">
        <w:rPr>
          <w:rFonts w:cstheme="minorHAnsi"/>
          <w:sz w:val="20"/>
          <w:szCs w:val="20"/>
        </w:rPr>
        <w:t>p.xxi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577"/>
    <w:multiLevelType w:val="hybridMultilevel"/>
    <w:tmpl w:val="9866F7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E12E8D"/>
    <w:multiLevelType w:val="hybridMultilevel"/>
    <w:tmpl w:val="A6BC2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877BAD"/>
    <w:multiLevelType w:val="hybridMultilevel"/>
    <w:tmpl w:val="D96A5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9C1F7A"/>
    <w:multiLevelType w:val="hybridMultilevel"/>
    <w:tmpl w:val="A4E4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807F03"/>
    <w:multiLevelType w:val="hybridMultilevel"/>
    <w:tmpl w:val="C06C8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AF7239"/>
    <w:multiLevelType w:val="hybridMultilevel"/>
    <w:tmpl w:val="27D8D33C"/>
    <w:lvl w:ilvl="0" w:tplc="36BA0098">
      <w:start w:val="1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8A38A0"/>
    <w:multiLevelType w:val="multilevel"/>
    <w:tmpl w:val="AA6A40E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8A172CD"/>
    <w:multiLevelType w:val="hybridMultilevel"/>
    <w:tmpl w:val="ED907350"/>
    <w:lvl w:ilvl="0" w:tplc="2A4AD22E">
      <w:start w:val="5"/>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2E6F0571"/>
    <w:multiLevelType w:val="hybridMultilevel"/>
    <w:tmpl w:val="EBE41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7745E7"/>
    <w:multiLevelType w:val="hybridMultilevel"/>
    <w:tmpl w:val="F7EA8EDC"/>
    <w:lvl w:ilvl="0" w:tplc="9634D6D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8340B5"/>
    <w:multiLevelType w:val="hybridMultilevel"/>
    <w:tmpl w:val="9C7E0450"/>
    <w:lvl w:ilvl="0" w:tplc="4D34239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FEC011D"/>
    <w:multiLevelType w:val="hybridMultilevel"/>
    <w:tmpl w:val="C0E466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11C0F72"/>
    <w:multiLevelType w:val="hybridMultilevel"/>
    <w:tmpl w:val="A6BC2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0E64F4"/>
    <w:multiLevelType w:val="hybridMultilevel"/>
    <w:tmpl w:val="A6BC2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75467B"/>
    <w:multiLevelType w:val="multilevel"/>
    <w:tmpl w:val="4C387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9A465E1"/>
    <w:multiLevelType w:val="hybridMultilevel"/>
    <w:tmpl w:val="1264CCC6"/>
    <w:lvl w:ilvl="0" w:tplc="B7E8B7F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5EA4272"/>
    <w:multiLevelType w:val="hybridMultilevel"/>
    <w:tmpl w:val="D91A60AC"/>
    <w:lvl w:ilvl="0" w:tplc="7BF87AB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871083"/>
    <w:multiLevelType w:val="hybridMultilevel"/>
    <w:tmpl w:val="2E02872C"/>
    <w:lvl w:ilvl="0" w:tplc="CC5C75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280ADA"/>
    <w:multiLevelType w:val="hybridMultilevel"/>
    <w:tmpl w:val="F41EAF8E"/>
    <w:lvl w:ilvl="0" w:tplc="1AC8C9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7F5934"/>
    <w:multiLevelType w:val="hybridMultilevel"/>
    <w:tmpl w:val="EEACFBD6"/>
    <w:lvl w:ilvl="0" w:tplc="8F6CC23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FF4E1B"/>
    <w:multiLevelType w:val="hybridMultilevel"/>
    <w:tmpl w:val="A6BC2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BC536D"/>
    <w:multiLevelType w:val="hybridMultilevel"/>
    <w:tmpl w:val="7002689E"/>
    <w:lvl w:ilvl="0" w:tplc="A5EE04E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176649"/>
    <w:multiLevelType w:val="hybridMultilevel"/>
    <w:tmpl w:val="33FCACF6"/>
    <w:lvl w:ilvl="0" w:tplc="CC5C75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7"/>
  </w:num>
  <w:num w:numId="4">
    <w:abstractNumId w:val="9"/>
  </w:num>
  <w:num w:numId="5">
    <w:abstractNumId w:val="23"/>
  </w:num>
  <w:num w:numId="6">
    <w:abstractNumId w:val="13"/>
  </w:num>
  <w:num w:numId="7">
    <w:abstractNumId w:val="21"/>
  </w:num>
  <w:num w:numId="8">
    <w:abstractNumId w:val="12"/>
  </w:num>
  <w:num w:numId="9">
    <w:abstractNumId w:val="1"/>
  </w:num>
  <w:num w:numId="10">
    <w:abstractNumId w:val="0"/>
  </w:num>
  <w:num w:numId="11">
    <w:abstractNumId w:val="18"/>
  </w:num>
  <w:num w:numId="12">
    <w:abstractNumId w:val="4"/>
  </w:num>
  <w:num w:numId="13">
    <w:abstractNumId w:val="11"/>
  </w:num>
  <w:num w:numId="14">
    <w:abstractNumId w:val="2"/>
  </w:num>
  <w:num w:numId="15">
    <w:abstractNumId w:val="16"/>
  </w:num>
  <w:num w:numId="16">
    <w:abstractNumId w:val="22"/>
  </w:num>
  <w:num w:numId="17">
    <w:abstractNumId w:val="15"/>
  </w:num>
  <w:num w:numId="18">
    <w:abstractNumId w:val="6"/>
  </w:num>
  <w:num w:numId="19">
    <w:abstractNumId w:val="14"/>
  </w:num>
  <w:num w:numId="20">
    <w:abstractNumId w:val="3"/>
  </w:num>
  <w:num w:numId="21">
    <w:abstractNumId w:val="7"/>
  </w:num>
  <w:num w:numId="22">
    <w:abstractNumId w:val="5"/>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DB"/>
    <w:rsid w:val="00001507"/>
    <w:rsid w:val="00003D5F"/>
    <w:rsid w:val="00005C37"/>
    <w:rsid w:val="0001079B"/>
    <w:rsid w:val="00011D0D"/>
    <w:rsid w:val="000147B1"/>
    <w:rsid w:val="00015A3E"/>
    <w:rsid w:val="000179A6"/>
    <w:rsid w:val="00020B6F"/>
    <w:rsid w:val="0002100F"/>
    <w:rsid w:val="00021920"/>
    <w:rsid w:val="000232EE"/>
    <w:rsid w:val="000257D8"/>
    <w:rsid w:val="00025F04"/>
    <w:rsid w:val="00026178"/>
    <w:rsid w:val="000262FB"/>
    <w:rsid w:val="000269D8"/>
    <w:rsid w:val="00030271"/>
    <w:rsid w:val="00030EC7"/>
    <w:rsid w:val="00032359"/>
    <w:rsid w:val="000330FF"/>
    <w:rsid w:val="00033A83"/>
    <w:rsid w:val="00033FB6"/>
    <w:rsid w:val="00035CE3"/>
    <w:rsid w:val="00036B7B"/>
    <w:rsid w:val="000371D4"/>
    <w:rsid w:val="00041969"/>
    <w:rsid w:val="00041DE3"/>
    <w:rsid w:val="000463D8"/>
    <w:rsid w:val="0004670B"/>
    <w:rsid w:val="00046C46"/>
    <w:rsid w:val="00046F85"/>
    <w:rsid w:val="00052850"/>
    <w:rsid w:val="00052A05"/>
    <w:rsid w:val="0005432C"/>
    <w:rsid w:val="000544D5"/>
    <w:rsid w:val="00054D2E"/>
    <w:rsid w:val="00055517"/>
    <w:rsid w:val="000559E8"/>
    <w:rsid w:val="00055A13"/>
    <w:rsid w:val="00055DB5"/>
    <w:rsid w:val="00056905"/>
    <w:rsid w:val="00057A26"/>
    <w:rsid w:val="00060193"/>
    <w:rsid w:val="000609EA"/>
    <w:rsid w:val="000610CF"/>
    <w:rsid w:val="00064F70"/>
    <w:rsid w:val="0006609E"/>
    <w:rsid w:val="00066D23"/>
    <w:rsid w:val="00071E4D"/>
    <w:rsid w:val="00072FE2"/>
    <w:rsid w:val="0007395F"/>
    <w:rsid w:val="00077445"/>
    <w:rsid w:val="000774C3"/>
    <w:rsid w:val="0008041E"/>
    <w:rsid w:val="00081099"/>
    <w:rsid w:val="0008175C"/>
    <w:rsid w:val="000830D0"/>
    <w:rsid w:val="000832EC"/>
    <w:rsid w:val="00092C2B"/>
    <w:rsid w:val="0009312A"/>
    <w:rsid w:val="00094C45"/>
    <w:rsid w:val="000A06D3"/>
    <w:rsid w:val="000A11F1"/>
    <w:rsid w:val="000A2F4D"/>
    <w:rsid w:val="000A39BC"/>
    <w:rsid w:val="000A442C"/>
    <w:rsid w:val="000A6C49"/>
    <w:rsid w:val="000A6E1F"/>
    <w:rsid w:val="000A7896"/>
    <w:rsid w:val="000B168F"/>
    <w:rsid w:val="000B1892"/>
    <w:rsid w:val="000B256E"/>
    <w:rsid w:val="000B2EAB"/>
    <w:rsid w:val="000B395A"/>
    <w:rsid w:val="000B3D2E"/>
    <w:rsid w:val="000B3F1E"/>
    <w:rsid w:val="000B4B6F"/>
    <w:rsid w:val="000C1B78"/>
    <w:rsid w:val="000C36BA"/>
    <w:rsid w:val="000C3C4B"/>
    <w:rsid w:val="000C505E"/>
    <w:rsid w:val="000C7231"/>
    <w:rsid w:val="000D18CD"/>
    <w:rsid w:val="000D3409"/>
    <w:rsid w:val="000D3C85"/>
    <w:rsid w:val="000D4A87"/>
    <w:rsid w:val="000D5819"/>
    <w:rsid w:val="000D6E52"/>
    <w:rsid w:val="000E103A"/>
    <w:rsid w:val="000E1211"/>
    <w:rsid w:val="000F0AB5"/>
    <w:rsid w:val="000F1239"/>
    <w:rsid w:val="000F349B"/>
    <w:rsid w:val="000F60BE"/>
    <w:rsid w:val="000F67B2"/>
    <w:rsid w:val="000F7ABE"/>
    <w:rsid w:val="00100BE7"/>
    <w:rsid w:val="00100E19"/>
    <w:rsid w:val="00103C7A"/>
    <w:rsid w:val="00104757"/>
    <w:rsid w:val="00104E4B"/>
    <w:rsid w:val="00104F5C"/>
    <w:rsid w:val="00104F81"/>
    <w:rsid w:val="00107E2C"/>
    <w:rsid w:val="00112EE1"/>
    <w:rsid w:val="00112F3F"/>
    <w:rsid w:val="001141CD"/>
    <w:rsid w:val="0011567E"/>
    <w:rsid w:val="001174EE"/>
    <w:rsid w:val="00125CB3"/>
    <w:rsid w:val="001264C2"/>
    <w:rsid w:val="00131B22"/>
    <w:rsid w:val="00132278"/>
    <w:rsid w:val="001322B5"/>
    <w:rsid w:val="00132C14"/>
    <w:rsid w:val="001334F4"/>
    <w:rsid w:val="0013488C"/>
    <w:rsid w:val="00136219"/>
    <w:rsid w:val="00136A5E"/>
    <w:rsid w:val="00136E6F"/>
    <w:rsid w:val="001411B8"/>
    <w:rsid w:val="00142D6E"/>
    <w:rsid w:val="00145728"/>
    <w:rsid w:val="001463B5"/>
    <w:rsid w:val="0014650E"/>
    <w:rsid w:val="00147C09"/>
    <w:rsid w:val="001502BE"/>
    <w:rsid w:val="00150526"/>
    <w:rsid w:val="00152AA7"/>
    <w:rsid w:val="00153E4E"/>
    <w:rsid w:val="0015404B"/>
    <w:rsid w:val="0015503D"/>
    <w:rsid w:val="001564C6"/>
    <w:rsid w:val="00157818"/>
    <w:rsid w:val="00162D20"/>
    <w:rsid w:val="0016756B"/>
    <w:rsid w:val="00171B54"/>
    <w:rsid w:val="00174D95"/>
    <w:rsid w:val="00176804"/>
    <w:rsid w:val="001774EB"/>
    <w:rsid w:val="00177FBD"/>
    <w:rsid w:val="001803F9"/>
    <w:rsid w:val="00180F3F"/>
    <w:rsid w:val="001813E3"/>
    <w:rsid w:val="001822F8"/>
    <w:rsid w:val="00183A90"/>
    <w:rsid w:val="00183DCC"/>
    <w:rsid w:val="00184D46"/>
    <w:rsid w:val="0018531F"/>
    <w:rsid w:val="00186E41"/>
    <w:rsid w:val="00190C8E"/>
    <w:rsid w:val="00191ED4"/>
    <w:rsid w:val="001924D3"/>
    <w:rsid w:val="0019440B"/>
    <w:rsid w:val="00195DC2"/>
    <w:rsid w:val="00197F01"/>
    <w:rsid w:val="001A3339"/>
    <w:rsid w:val="001A74A6"/>
    <w:rsid w:val="001A7928"/>
    <w:rsid w:val="001B069C"/>
    <w:rsid w:val="001B0CDF"/>
    <w:rsid w:val="001B10FB"/>
    <w:rsid w:val="001B246D"/>
    <w:rsid w:val="001B2E54"/>
    <w:rsid w:val="001B3481"/>
    <w:rsid w:val="001B355C"/>
    <w:rsid w:val="001B5E03"/>
    <w:rsid w:val="001B67DB"/>
    <w:rsid w:val="001B7373"/>
    <w:rsid w:val="001C10DB"/>
    <w:rsid w:val="001C18BF"/>
    <w:rsid w:val="001C2642"/>
    <w:rsid w:val="001C61E7"/>
    <w:rsid w:val="001C684E"/>
    <w:rsid w:val="001D0311"/>
    <w:rsid w:val="001D0E11"/>
    <w:rsid w:val="001D2096"/>
    <w:rsid w:val="001E0007"/>
    <w:rsid w:val="001E0D63"/>
    <w:rsid w:val="001E0D86"/>
    <w:rsid w:val="001E0EB1"/>
    <w:rsid w:val="001E18D7"/>
    <w:rsid w:val="001E2AA8"/>
    <w:rsid w:val="001E715D"/>
    <w:rsid w:val="001E7BBA"/>
    <w:rsid w:val="001F1E0E"/>
    <w:rsid w:val="001F4C5D"/>
    <w:rsid w:val="001F4F06"/>
    <w:rsid w:val="001F67E0"/>
    <w:rsid w:val="001F74EA"/>
    <w:rsid w:val="002125B7"/>
    <w:rsid w:val="00212850"/>
    <w:rsid w:val="00213B47"/>
    <w:rsid w:val="00215643"/>
    <w:rsid w:val="00220FB3"/>
    <w:rsid w:val="00221771"/>
    <w:rsid w:val="00221D17"/>
    <w:rsid w:val="002233F3"/>
    <w:rsid w:val="00226D15"/>
    <w:rsid w:val="00234D5E"/>
    <w:rsid w:val="002356A0"/>
    <w:rsid w:val="00243A2F"/>
    <w:rsid w:val="0024556A"/>
    <w:rsid w:val="002467BE"/>
    <w:rsid w:val="00250ABD"/>
    <w:rsid w:val="00251B5D"/>
    <w:rsid w:val="002553F7"/>
    <w:rsid w:val="00261F03"/>
    <w:rsid w:val="0026293B"/>
    <w:rsid w:val="00265B9E"/>
    <w:rsid w:val="002715C8"/>
    <w:rsid w:val="0027194A"/>
    <w:rsid w:val="002723BF"/>
    <w:rsid w:val="00272719"/>
    <w:rsid w:val="00274E73"/>
    <w:rsid w:val="00277634"/>
    <w:rsid w:val="00277D07"/>
    <w:rsid w:val="0028203F"/>
    <w:rsid w:val="002821F1"/>
    <w:rsid w:val="00282DFD"/>
    <w:rsid w:val="00283765"/>
    <w:rsid w:val="00290072"/>
    <w:rsid w:val="00292CC2"/>
    <w:rsid w:val="0029366A"/>
    <w:rsid w:val="00294370"/>
    <w:rsid w:val="00296071"/>
    <w:rsid w:val="0029642F"/>
    <w:rsid w:val="002A09DC"/>
    <w:rsid w:val="002A1D5C"/>
    <w:rsid w:val="002A2E50"/>
    <w:rsid w:val="002A6510"/>
    <w:rsid w:val="002A6BDF"/>
    <w:rsid w:val="002B0579"/>
    <w:rsid w:val="002B28D5"/>
    <w:rsid w:val="002B34AC"/>
    <w:rsid w:val="002B4030"/>
    <w:rsid w:val="002B49DA"/>
    <w:rsid w:val="002C13B6"/>
    <w:rsid w:val="002C1B84"/>
    <w:rsid w:val="002C1FE1"/>
    <w:rsid w:val="002C4CDA"/>
    <w:rsid w:val="002C515A"/>
    <w:rsid w:val="002C5AB0"/>
    <w:rsid w:val="002C6512"/>
    <w:rsid w:val="002C6763"/>
    <w:rsid w:val="002D0413"/>
    <w:rsid w:val="002D1D4C"/>
    <w:rsid w:val="002D22A8"/>
    <w:rsid w:val="002D408D"/>
    <w:rsid w:val="002D46C3"/>
    <w:rsid w:val="002D610A"/>
    <w:rsid w:val="002D6644"/>
    <w:rsid w:val="002D74B1"/>
    <w:rsid w:val="002E00EF"/>
    <w:rsid w:val="002E09D1"/>
    <w:rsid w:val="002E199F"/>
    <w:rsid w:val="002E32F1"/>
    <w:rsid w:val="002E4251"/>
    <w:rsid w:val="002E6F48"/>
    <w:rsid w:val="002E7829"/>
    <w:rsid w:val="002F077D"/>
    <w:rsid w:val="002F33F7"/>
    <w:rsid w:val="002F5507"/>
    <w:rsid w:val="002F63C5"/>
    <w:rsid w:val="003003FF"/>
    <w:rsid w:val="003006C8"/>
    <w:rsid w:val="00300DC8"/>
    <w:rsid w:val="00301DD4"/>
    <w:rsid w:val="00302089"/>
    <w:rsid w:val="003030FA"/>
    <w:rsid w:val="0030590F"/>
    <w:rsid w:val="00305BC7"/>
    <w:rsid w:val="00306B10"/>
    <w:rsid w:val="00310817"/>
    <w:rsid w:val="00311308"/>
    <w:rsid w:val="00311412"/>
    <w:rsid w:val="003117EE"/>
    <w:rsid w:val="00312689"/>
    <w:rsid w:val="003127E0"/>
    <w:rsid w:val="0031288C"/>
    <w:rsid w:val="00312F94"/>
    <w:rsid w:val="0031335B"/>
    <w:rsid w:val="00313B31"/>
    <w:rsid w:val="00313BCD"/>
    <w:rsid w:val="00316096"/>
    <w:rsid w:val="00320B5F"/>
    <w:rsid w:val="00321FE8"/>
    <w:rsid w:val="00322807"/>
    <w:rsid w:val="003233A7"/>
    <w:rsid w:val="00325D35"/>
    <w:rsid w:val="00326D33"/>
    <w:rsid w:val="00326E8B"/>
    <w:rsid w:val="00327018"/>
    <w:rsid w:val="00327648"/>
    <w:rsid w:val="003305D5"/>
    <w:rsid w:val="00331C45"/>
    <w:rsid w:val="00332450"/>
    <w:rsid w:val="003328D7"/>
    <w:rsid w:val="00333778"/>
    <w:rsid w:val="003354AC"/>
    <w:rsid w:val="00336349"/>
    <w:rsid w:val="00336BF8"/>
    <w:rsid w:val="003372DD"/>
    <w:rsid w:val="00337BB5"/>
    <w:rsid w:val="00337D64"/>
    <w:rsid w:val="00342C5D"/>
    <w:rsid w:val="003451D8"/>
    <w:rsid w:val="00346CD9"/>
    <w:rsid w:val="00347D90"/>
    <w:rsid w:val="00351CB2"/>
    <w:rsid w:val="00353F74"/>
    <w:rsid w:val="0035564D"/>
    <w:rsid w:val="0036238C"/>
    <w:rsid w:val="00362D74"/>
    <w:rsid w:val="00364BFA"/>
    <w:rsid w:val="00365BD5"/>
    <w:rsid w:val="00370558"/>
    <w:rsid w:val="00370846"/>
    <w:rsid w:val="00370A09"/>
    <w:rsid w:val="00371C08"/>
    <w:rsid w:val="00372985"/>
    <w:rsid w:val="00372BF3"/>
    <w:rsid w:val="0037308E"/>
    <w:rsid w:val="00373B74"/>
    <w:rsid w:val="00374052"/>
    <w:rsid w:val="00374590"/>
    <w:rsid w:val="003750DD"/>
    <w:rsid w:val="0037558C"/>
    <w:rsid w:val="00380567"/>
    <w:rsid w:val="00380D6C"/>
    <w:rsid w:val="003811C7"/>
    <w:rsid w:val="00381483"/>
    <w:rsid w:val="00384E7E"/>
    <w:rsid w:val="0038583E"/>
    <w:rsid w:val="00385C4D"/>
    <w:rsid w:val="003902DE"/>
    <w:rsid w:val="0039164C"/>
    <w:rsid w:val="00393A49"/>
    <w:rsid w:val="00395E47"/>
    <w:rsid w:val="003A07F9"/>
    <w:rsid w:val="003A0AC2"/>
    <w:rsid w:val="003A3733"/>
    <w:rsid w:val="003A3A31"/>
    <w:rsid w:val="003A75C9"/>
    <w:rsid w:val="003B2F05"/>
    <w:rsid w:val="003B3225"/>
    <w:rsid w:val="003B3D5D"/>
    <w:rsid w:val="003B59E3"/>
    <w:rsid w:val="003B5E0E"/>
    <w:rsid w:val="003B73F1"/>
    <w:rsid w:val="003B7A8E"/>
    <w:rsid w:val="003B7F42"/>
    <w:rsid w:val="003C041B"/>
    <w:rsid w:val="003C1044"/>
    <w:rsid w:val="003C5111"/>
    <w:rsid w:val="003C5F5F"/>
    <w:rsid w:val="003C632B"/>
    <w:rsid w:val="003C67A1"/>
    <w:rsid w:val="003C7C17"/>
    <w:rsid w:val="003D04F2"/>
    <w:rsid w:val="003D3845"/>
    <w:rsid w:val="003D53EC"/>
    <w:rsid w:val="003D6711"/>
    <w:rsid w:val="003E11D8"/>
    <w:rsid w:val="003E2E71"/>
    <w:rsid w:val="003E3D81"/>
    <w:rsid w:val="003E748A"/>
    <w:rsid w:val="003E7662"/>
    <w:rsid w:val="003F1D3B"/>
    <w:rsid w:val="003F1E81"/>
    <w:rsid w:val="00401489"/>
    <w:rsid w:val="004021D9"/>
    <w:rsid w:val="00402B74"/>
    <w:rsid w:val="00402EE0"/>
    <w:rsid w:val="004069C1"/>
    <w:rsid w:val="0040752A"/>
    <w:rsid w:val="004100C9"/>
    <w:rsid w:val="004120B9"/>
    <w:rsid w:val="004125F5"/>
    <w:rsid w:val="00416C35"/>
    <w:rsid w:val="004178DE"/>
    <w:rsid w:val="00420B6B"/>
    <w:rsid w:val="00420D9F"/>
    <w:rsid w:val="00421734"/>
    <w:rsid w:val="00422401"/>
    <w:rsid w:val="00423BC2"/>
    <w:rsid w:val="00423C7B"/>
    <w:rsid w:val="00423CA7"/>
    <w:rsid w:val="00426633"/>
    <w:rsid w:val="004269E0"/>
    <w:rsid w:val="00431B1F"/>
    <w:rsid w:val="00431C95"/>
    <w:rsid w:val="00432784"/>
    <w:rsid w:val="00433509"/>
    <w:rsid w:val="004336B9"/>
    <w:rsid w:val="00433A33"/>
    <w:rsid w:val="00434298"/>
    <w:rsid w:val="004342DF"/>
    <w:rsid w:val="00436645"/>
    <w:rsid w:val="004374A5"/>
    <w:rsid w:val="004379C2"/>
    <w:rsid w:val="00437D68"/>
    <w:rsid w:val="0044175A"/>
    <w:rsid w:val="00442555"/>
    <w:rsid w:val="004438A5"/>
    <w:rsid w:val="004450F8"/>
    <w:rsid w:val="0044545B"/>
    <w:rsid w:val="00446D11"/>
    <w:rsid w:val="00447FA9"/>
    <w:rsid w:val="004527C8"/>
    <w:rsid w:val="004534DA"/>
    <w:rsid w:val="00453746"/>
    <w:rsid w:val="00457422"/>
    <w:rsid w:val="004610BC"/>
    <w:rsid w:val="00463149"/>
    <w:rsid w:val="00464325"/>
    <w:rsid w:val="004675C1"/>
    <w:rsid w:val="00467912"/>
    <w:rsid w:val="00470917"/>
    <w:rsid w:val="004735F6"/>
    <w:rsid w:val="004765E2"/>
    <w:rsid w:val="00477224"/>
    <w:rsid w:val="00477829"/>
    <w:rsid w:val="004778A8"/>
    <w:rsid w:val="00477E2C"/>
    <w:rsid w:val="0048130D"/>
    <w:rsid w:val="0048211B"/>
    <w:rsid w:val="00482C78"/>
    <w:rsid w:val="00483569"/>
    <w:rsid w:val="00483904"/>
    <w:rsid w:val="00487A2F"/>
    <w:rsid w:val="004900B1"/>
    <w:rsid w:val="00491F68"/>
    <w:rsid w:val="0049506F"/>
    <w:rsid w:val="0049559B"/>
    <w:rsid w:val="004969A4"/>
    <w:rsid w:val="004974B2"/>
    <w:rsid w:val="004976F5"/>
    <w:rsid w:val="00497B61"/>
    <w:rsid w:val="004A03B8"/>
    <w:rsid w:val="004A03D2"/>
    <w:rsid w:val="004A0B15"/>
    <w:rsid w:val="004A2683"/>
    <w:rsid w:val="004A2AD1"/>
    <w:rsid w:val="004A3D09"/>
    <w:rsid w:val="004A5B6A"/>
    <w:rsid w:val="004A7471"/>
    <w:rsid w:val="004A77F0"/>
    <w:rsid w:val="004A7810"/>
    <w:rsid w:val="004B09CE"/>
    <w:rsid w:val="004B1117"/>
    <w:rsid w:val="004B1452"/>
    <w:rsid w:val="004B44ED"/>
    <w:rsid w:val="004B483C"/>
    <w:rsid w:val="004B5918"/>
    <w:rsid w:val="004B6421"/>
    <w:rsid w:val="004B76D4"/>
    <w:rsid w:val="004B7BF3"/>
    <w:rsid w:val="004C0761"/>
    <w:rsid w:val="004C1907"/>
    <w:rsid w:val="004C20D3"/>
    <w:rsid w:val="004C27EA"/>
    <w:rsid w:val="004C3BDA"/>
    <w:rsid w:val="004C618B"/>
    <w:rsid w:val="004C6B9C"/>
    <w:rsid w:val="004C6BBE"/>
    <w:rsid w:val="004C6E70"/>
    <w:rsid w:val="004D1D91"/>
    <w:rsid w:val="004D314C"/>
    <w:rsid w:val="004E0A82"/>
    <w:rsid w:val="004E0DB9"/>
    <w:rsid w:val="004E1996"/>
    <w:rsid w:val="004E3222"/>
    <w:rsid w:val="004E38F8"/>
    <w:rsid w:val="004E3E96"/>
    <w:rsid w:val="004E4F18"/>
    <w:rsid w:val="004F236B"/>
    <w:rsid w:val="004F2487"/>
    <w:rsid w:val="004F25C9"/>
    <w:rsid w:val="004F277E"/>
    <w:rsid w:val="004F38E7"/>
    <w:rsid w:val="004F3971"/>
    <w:rsid w:val="004F5C2F"/>
    <w:rsid w:val="004F61D3"/>
    <w:rsid w:val="004F68F6"/>
    <w:rsid w:val="004F6A96"/>
    <w:rsid w:val="004F7AD6"/>
    <w:rsid w:val="0050090D"/>
    <w:rsid w:val="00501A79"/>
    <w:rsid w:val="00501ADC"/>
    <w:rsid w:val="0050321C"/>
    <w:rsid w:val="005066CB"/>
    <w:rsid w:val="00510A74"/>
    <w:rsid w:val="00510BEA"/>
    <w:rsid w:val="00515876"/>
    <w:rsid w:val="005162D6"/>
    <w:rsid w:val="00516CCB"/>
    <w:rsid w:val="00520161"/>
    <w:rsid w:val="00520A3D"/>
    <w:rsid w:val="00522EA4"/>
    <w:rsid w:val="0052369D"/>
    <w:rsid w:val="0052577F"/>
    <w:rsid w:val="005278A6"/>
    <w:rsid w:val="00530AC5"/>
    <w:rsid w:val="005323F2"/>
    <w:rsid w:val="005363F5"/>
    <w:rsid w:val="00541F34"/>
    <w:rsid w:val="00542822"/>
    <w:rsid w:val="0054377B"/>
    <w:rsid w:val="00545FF6"/>
    <w:rsid w:val="005513E6"/>
    <w:rsid w:val="0055330B"/>
    <w:rsid w:val="005537BD"/>
    <w:rsid w:val="005539CD"/>
    <w:rsid w:val="00555606"/>
    <w:rsid w:val="00557325"/>
    <w:rsid w:val="005610F9"/>
    <w:rsid w:val="005614BF"/>
    <w:rsid w:val="00561AF9"/>
    <w:rsid w:val="00561AFB"/>
    <w:rsid w:val="0056451E"/>
    <w:rsid w:val="00565385"/>
    <w:rsid w:val="00566224"/>
    <w:rsid w:val="00566E7D"/>
    <w:rsid w:val="00570F2F"/>
    <w:rsid w:val="0057165D"/>
    <w:rsid w:val="005749EF"/>
    <w:rsid w:val="00575A99"/>
    <w:rsid w:val="00582ECC"/>
    <w:rsid w:val="00584516"/>
    <w:rsid w:val="00585B1F"/>
    <w:rsid w:val="00585F8E"/>
    <w:rsid w:val="00586F46"/>
    <w:rsid w:val="005917F3"/>
    <w:rsid w:val="00591F36"/>
    <w:rsid w:val="005923DF"/>
    <w:rsid w:val="00593064"/>
    <w:rsid w:val="00593874"/>
    <w:rsid w:val="00595187"/>
    <w:rsid w:val="0059669E"/>
    <w:rsid w:val="005971A7"/>
    <w:rsid w:val="0059776A"/>
    <w:rsid w:val="00597D50"/>
    <w:rsid w:val="005A01CB"/>
    <w:rsid w:val="005A19DA"/>
    <w:rsid w:val="005A1ABD"/>
    <w:rsid w:val="005A3FFE"/>
    <w:rsid w:val="005A4CE0"/>
    <w:rsid w:val="005A6392"/>
    <w:rsid w:val="005B0058"/>
    <w:rsid w:val="005B00BD"/>
    <w:rsid w:val="005B4401"/>
    <w:rsid w:val="005B5A0E"/>
    <w:rsid w:val="005B65D5"/>
    <w:rsid w:val="005B6738"/>
    <w:rsid w:val="005C168B"/>
    <w:rsid w:val="005C19EE"/>
    <w:rsid w:val="005C2E3F"/>
    <w:rsid w:val="005C44F3"/>
    <w:rsid w:val="005C5772"/>
    <w:rsid w:val="005D04E3"/>
    <w:rsid w:val="005D430C"/>
    <w:rsid w:val="005E1513"/>
    <w:rsid w:val="005E2EF7"/>
    <w:rsid w:val="005E3C27"/>
    <w:rsid w:val="005E442F"/>
    <w:rsid w:val="005E512E"/>
    <w:rsid w:val="005F05A5"/>
    <w:rsid w:val="005F44B1"/>
    <w:rsid w:val="005F4D06"/>
    <w:rsid w:val="005F4F55"/>
    <w:rsid w:val="005F5281"/>
    <w:rsid w:val="005F6F7B"/>
    <w:rsid w:val="005F711B"/>
    <w:rsid w:val="00600540"/>
    <w:rsid w:val="00600CAF"/>
    <w:rsid w:val="00603236"/>
    <w:rsid w:val="00605359"/>
    <w:rsid w:val="006072C8"/>
    <w:rsid w:val="006078BE"/>
    <w:rsid w:val="00612DF0"/>
    <w:rsid w:val="006158AA"/>
    <w:rsid w:val="00615CB4"/>
    <w:rsid w:val="0061632C"/>
    <w:rsid w:val="006168EF"/>
    <w:rsid w:val="00616DC4"/>
    <w:rsid w:val="00617D10"/>
    <w:rsid w:val="006203F6"/>
    <w:rsid w:val="006206A4"/>
    <w:rsid w:val="00621D85"/>
    <w:rsid w:val="00621EA7"/>
    <w:rsid w:val="00624211"/>
    <w:rsid w:val="00624756"/>
    <w:rsid w:val="006257A4"/>
    <w:rsid w:val="0062581F"/>
    <w:rsid w:val="00626547"/>
    <w:rsid w:val="00626B91"/>
    <w:rsid w:val="00626FD0"/>
    <w:rsid w:val="0063131E"/>
    <w:rsid w:val="00633811"/>
    <w:rsid w:val="00634814"/>
    <w:rsid w:val="006375A7"/>
    <w:rsid w:val="00637BC3"/>
    <w:rsid w:val="00641178"/>
    <w:rsid w:val="00641B64"/>
    <w:rsid w:val="0064411C"/>
    <w:rsid w:val="006464A8"/>
    <w:rsid w:val="006501D6"/>
    <w:rsid w:val="006517EB"/>
    <w:rsid w:val="00651E1F"/>
    <w:rsid w:val="0065379F"/>
    <w:rsid w:val="00654FBE"/>
    <w:rsid w:val="00655302"/>
    <w:rsid w:val="00656540"/>
    <w:rsid w:val="006607CD"/>
    <w:rsid w:val="0066093D"/>
    <w:rsid w:val="006617D3"/>
    <w:rsid w:val="0066196D"/>
    <w:rsid w:val="00661CE3"/>
    <w:rsid w:val="00662385"/>
    <w:rsid w:val="00665585"/>
    <w:rsid w:val="00667195"/>
    <w:rsid w:val="0066748E"/>
    <w:rsid w:val="00670DAF"/>
    <w:rsid w:val="0067137C"/>
    <w:rsid w:val="00672D81"/>
    <w:rsid w:val="00676BA7"/>
    <w:rsid w:val="00676DA4"/>
    <w:rsid w:val="00677DE8"/>
    <w:rsid w:val="006801A0"/>
    <w:rsid w:val="006808D1"/>
    <w:rsid w:val="006814FF"/>
    <w:rsid w:val="00681D05"/>
    <w:rsid w:val="006846B5"/>
    <w:rsid w:val="006856EF"/>
    <w:rsid w:val="0068728F"/>
    <w:rsid w:val="006932F3"/>
    <w:rsid w:val="0069593C"/>
    <w:rsid w:val="0069682C"/>
    <w:rsid w:val="00696B32"/>
    <w:rsid w:val="00697366"/>
    <w:rsid w:val="0069798A"/>
    <w:rsid w:val="006A0C10"/>
    <w:rsid w:val="006A0D09"/>
    <w:rsid w:val="006A1A28"/>
    <w:rsid w:val="006A234A"/>
    <w:rsid w:val="006A2DB2"/>
    <w:rsid w:val="006A3D5D"/>
    <w:rsid w:val="006A5796"/>
    <w:rsid w:val="006A5899"/>
    <w:rsid w:val="006B07AA"/>
    <w:rsid w:val="006B1AA0"/>
    <w:rsid w:val="006B389E"/>
    <w:rsid w:val="006B4EEC"/>
    <w:rsid w:val="006B5396"/>
    <w:rsid w:val="006B5E84"/>
    <w:rsid w:val="006B7C79"/>
    <w:rsid w:val="006C4B73"/>
    <w:rsid w:val="006C6BC2"/>
    <w:rsid w:val="006C7239"/>
    <w:rsid w:val="006D02C7"/>
    <w:rsid w:val="006D0DF4"/>
    <w:rsid w:val="006D41EE"/>
    <w:rsid w:val="006D4888"/>
    <w:rsid w:val="006D57B6"/>
    <w:rsid w:val="006E03A5"/>
    <w:rsid w:val="006E0D83"/>
    <w:rsid w:val="006E3754"/>
    <w:rsid w:val="006E400A"/>
    <w:rsid w:val="006E4828"/>
    <w:rsid w:val="006E5FF6"/>
    <w:rsid w:val="006E645F"/>
    <w:rsid w:val="006F10BA"/>
    <w:rsid w:val="006F21BF"/>
    <w:rsid w:val="006F3D20"/>
    <w:rsid w:val="006F4737"/>
    <w:rsid w:val="006F5B24"/>
    <w:rsid w:val="006F7990"/>
    <w:rsid w:val="007012F8"/>
    <w:rsid w:val="007028F2"/>
    <w:rsid w:val="0070371C"/>
    <w:rsid w:val="00703DDE"/>
    <w:rsid w:val="00703E9C"/>
    <w:rsid w:val="00704377"/>
    <w:rsid w:val="00704A0F"/>
    <w:rsid w:val="0070505E"/>
    <w:rsid w:val="00716FDE"/>
    <w:rsid w:val="00727914"/>
    <w:rsid w:val="00731E71"/>
    <w:rsid w:val="007343BC"/>
    <w:rsid w:val="00735A1E"/>
    <w:rsid w:val="0073621B"/>
    <w:rsid w:val="0074034F"/>
    <w:rsid w:val="00740D63"/>
    <w:rsid w:val="00741C89"/>
    <w:rsid w:val="00742415"/>
    <w:rsid w:val="0074322E"/>
    <w:rsid w:val="00750285"/>
    <w:rsid w:val="007608E7"/>
    <w:rsid w:val="007627BA"/>
    <w:rsid w:val="00762BD6"/>
    <w:rsid w:val="00763F18"/>
    <w:rsid w:val="00764F1F"/>
    <w:rsid w:val="00772028"/>
    <w:rsid w:val="007743BE"/>
    <w:rsid w:val="00775FF2"/>
    <w:rsid w:val="007803C6"/>
    <w:rsid w:val="007803FB"/>
    <w:rsid w:val="0078207F"/>
    <w:rsid w:val="0078365B"/>
    <w:rsid w:val="00785893"/>
    <w:rsid w:val="00786A43"/>
    <w:rsid w:val="00786C0D"/>
    <w:rsid w:val="00786D59"/>
    <w:rsid w:val="00786F6A"/>
    <w:rsid w:val="00794B1D"/>
    <w:rsid w:val="007958D8"/>
    <w:rsid w:val="00795B08"/>
    <w:rsid w:val="0079746A"/>
    <w:rsid w:val="007977EB"/>
    <w:rsid w:val="007A004B"/>
    <w:rsid w:val="007A0307"/>
    <w:rsid w:val="007A097D"/>
    <w:rsid w:val="007A0AC3"/>
    <w:rsid w:val="007A1376"/>
    <w:rsid w:val="007A2C01"/>
    <w:rsid w:val="007A5275"/>
    <w:rsid w:val="007A5F4D"/>
    <w:rsid w:val="007A77EF"/>
    <w:rsid w:val="007B0144"/>
    <w:rsid w:val="007B33A0"/>
    <w:rsid w:val="007B4445"/>
    <w:rsid w:val="007B463C"/>
    <w:rsid w:val="007B4698"/>
    <w:rsid w:val="007B677B"/>
    <w:rsid w:val="007B7AD1"/>
    <w:rsid w:val="007C0B90"/>
    <w:rsid w:val="007C67BB"/>
    <w:rsid w:val="007C702D"/>
    <w:rsid w:val="007D0BF9"/>
    <w:rsid w:val="007D2BF1"/>
    <w:rsid w:val="007D3802"/>
    <w:rsid w:val="007D47B4"/>
    <w:rsid w:val="007D577A"/>
    <w:rsid w:val="007D65F2"/>
    <w:rsid w:val="007D6813"/>
    <w:rsid w:val="007D68D1"/>
    <w:rsid w:val="007D762C"/>
    <w:rsid w:val="007E1B1E"/>
    <w:rsid w:val="007E2AA1"/>
    <w:rsid w:val="007E2B71"/>
    <w:rsid w:val="007E58EA"/>
    <w:rsid w:val="007E5C6B"/>
    <w:rsid w:val="007E5F44"/>
    <w:rsid w:val="007F0029"/>
    <w:rsid w:val="007F0A03"/>
    <w:rsid w:val="007F1A71"/>
    <w:rsid w:val="007F28BF"/>
    <w:rsid w:val="007F40A0"/>
    <w:rsid w:val="007F4A91"/>
    <w:rsid w:val="007F5AF6"/>
    <w:rsid w:val="007F5E01"/>
    <w:rsid w:val="007F6D09"/>
    <w:rsid w:val="007F78F8"/>
    <w:rsid w:val="007F7FFA"/>
    <w:rsid w:val="00801801"/>
    <w:rsid w:val="008028E8"/>
    <w:rsid w:val="00802DA8"/>
    <w:rsid w:val="00803412"/>
    <w:rsid w:val="0080381E"/>
    <w:rsid w:val="0080541C"/>
    <w:rsid w:val="0080614C"/>
    <w:rsid w:val="0081015E"/>
    <w:rsid w:val="00810B9F"/>
    <w:rsid w:val="008126E7"/>
    <w:rsid w:val="00813ED5"/>
    <w:rsid w:val="00814B11"/>
    <w:rsid w:val="0081662A"/>
    <w:rsid w:val="0082487C"/>
    <w:rsid w:val="00832DA7"/>
    <w:rsid w:val="00836ACC"/>
    <w:rsid w:val="00836F71"/>
    <w:rsid w:val="00840645"/>
    <w:rsid w:val="008432DB"/>
    <w:rsid w:val="0084564B"/>
    <w:rsid w:val="008476F0"/>
    <w:rsid w:val="00847DDA"/>
    <w:rsid w:val="008509CC"/>
    <w:rsid w:val="00851681"/>
    <w:rsid w:val="008525B4"/>
    <w:rsid w:val="00852CC9"/>
    <w:rsid w:val="00852CEA"/>
    <w:rsid w:val="00853F57"/>
    <w:rsid w:val="00855BBE"/>
    <w:rsid w:val="008623C7"/>
    <w:rsid w:val="00865F23"/>
    <w:rsid w:val="008668AD"/>
    <w:rsid w:val="00866B6A"/>
    <w:rsid w:val="008679C7"/>
    <w:rsid w:val="00867DF1"/>
    <w:rsid w:val="008708D9"/>
    <w:rsid w:val="00871B9B"/>
    <w:rsid w:val="00873860"/>
    <w:rsid w:val="0087494D"/>
    <w:rsid w:val="00875A40"/>
    <w:rsid w:val="00876A16"/>
    <w:rsid w:val="00877E5E"/>
    <w:rsid w:val="0088086C"/>
    <w:rsid w:val="00885592"/>
    <w:rsid w:val="00886291"/>
    <w:rsid w:val="008872F4"/>
    <w:rsid w:val="00890975"/>
    <w:rsid w:val="008910B9"/>
    <w:rsid w:val="008913E3"/>
    <w:rsid w:val="008918ED"/>
    <w:rsid w:val="00891E07"/>
    <w:rsid w:val="008921CF"/>
    <w:rsid w:val="0089492C"/>
    <w:rsid w:val="00897EE5"/>
    <w:rsid w:val="00897F0A"/>
    <w:rsid w:val="008A0DE9"/>
    <w:rsid w:val="008A1C5A"/>
    <w:rsid w:val="008A1FD1"/>
    <w:rsid w:val="008A416B"/>
    <w:rsid w:val="008A452E"/>
    <w:rsid w:val="008A64C7"/>
    <w:rsid w:val="008A677A"/>
    <w:rsid w:val="008A691A"/>
    <w:rsid w:val="008A6A87"/>
    <w:rsid w:val="008A6DE7"/>
    <w:rsid w:val="008A71A9"/>
    <w:rsid w:val="008A7EAD"/>
    <w:rsid w:val="008B0BB5"/>
    <w:rsid w:val="008B3047"/>
    <w:rsid w:val="008B6CBC"/>
    <w:rsid w:val="008C1DAF"/>
    <w:rsid w:val="008C23C4"/>
    <w:rsid w:val="008C2FC0"/>
    <w:rsid w:val="008C3C4B"/>
    <w:rsid w:val="008C5A35"/>
    <w:rsid w:val="008D4C58"/>
    <w:rsid w:val="008D5DD7"/>
    <w:rsid w:val="008E3EB3"/>
    <w:rsid w:val="008E4A0E"/>
    <w:rsid w:val="008E6A3F"/>
    <w:rsid w:val="008E77F7"/>
    <w:rsid w:val="008F226E"/>
    <w:rsid w:val="008F261B"/>
    <w:rsid w:val="008F31CF"/>
    <w:rsid w:val="00903F9E"/>
    <w:rsid w:val="00907119"/>
    <w:rsid w:val="00907FAF"/>
    <w:rsid w:val="00910848"/>
    <w:rsid w:val="0091184E"/>
    <w:rsid w:val="00912C63"/>
    <w:rsid w:val="00913516"/>
    <w:rsid w:val="00916981"/>
    <w:rsid w:val="00921D0D"/>
    <w:rsid w:val="00922420"/>
    <w:rsid w:val="00922462"/>
    <w:rsid w:val="00923F46"/>
    <w:rsid w:val="009244A7"/>
    <w:rsid w:val="009263FE"/>
    <w:rsid w:val="0092733D"/>
    <w:rsid w:val="00927426"/>
    <w:rsid w:val="00927F72"/>
    <w:rsid w:val="00930555"/>
    <w:rsid w:val="00930779"/>
    <w:rsid w:val="009317D8"/>
    <w:rsid w:val="00932C87"/>
    <w:rsid w:val="0093501B"/>
    <w:rsid w:val="0093616E"/>
    <w:rsid w:val="00936C89"/>
    <w:rsid w:val="00936FCB"/>
    <w:rsid w:val="009371AA"/>
    <w:rsid w:val="009403A3"/>
    <w:rsid w:val="00943067"/>
    <w:rsid w:val="00943A3B"/>
    <w:rsid w:val="009443AE"/>
    <w:rsid w:val="00944821"/>
    <w:rsid w:val="0095051B"/>
    <w:rsid w:val="00952D8A"/>
    <w:rsid w:val="00954936"/>
    <w:rsid w:val="00955AF9"/>
    <w:rsid w:val="00960271"/>
    <w:rsid w:val="00962A09"/>
    <w:rsid w:val="00962CEA"/>
    <w:rsid w:val="009634ED"/>
    <w:rsid w:val="0097108F"/>
    <w:rsid w:val="00971338"/>
    <w:rsid w:val="00971A26"/>
    <w:rsid w:val="00971FB4"/>
    <w:rsid w:val="009738DB"/>
    <w:rsid w:val="009739B8"/>
    <w:rsid w:val="00973C8C"/>
    <w:rsid w:val="00974BD2"/>
    <w:rsid w:val="00976424"/>
    <w:rsid w:val="0097648B"/>
    <w:rsid w:val="009825AA"/>
    <w:rsid w:val="00983B41"/>
    <w:rsid w:val="00985669"/>
    <w:rsid w:val="0098617C"/>
    <w:rsid w:val="009901D2"/>
    <w:rsid w:val="0099125E"/>
    <w:rsid w:val="00992BD0"/>
    <w:rsid w:val="00993687"/>
    <w:rsid w:val="00994ED6"/>
    <w:rsid w:val="0099578F"/>
    <w:rsid w:val="009A0340"/>
    <w:rsid w:val="009A0D87"/>
    <w:rsid w:val="009A2CA8"/>
    <w:rsid w:val="009A70D6"/>
    <w:rsid w:val="009B1D16"/>
    <w:rsid w:val="009B34AE"/>
    <w:rsid w:val="009B56F4"/>
    <w:rsid w:val="009B60FA"/>
    <w:rsid w:val="009B6699"/>
    <w:rsid w:val="009C2D94"/>
    <w:rsid w:val="009C368D"/>
    <w:rsid w:val="009C47F1"/>
    <w:rsid w:val="009C5C17"/>
    <w:rsid w:val="009C6419"/>
    <w:rsid w:val="009C70AC"/>
    <w:rsid w:val="009C72E1"/>
    <w:rsid w:val="009C731E"/>
    <w:rsid w:val="009D2D18"/>
    <w:rsid w:val="009D5B42"/>
    <w:rsid w:val="009D67AE"/>
    <w:rsid w:val="009D67E1"/>
    <w:rsid w:val="009D6A79"/>
    <w:rsid w:val="009E0274"/>
    <w:rsid w:val="009E0F6C"/>
    <w:rsid w:val="009E1A44"/>
    <w:rsid w:val="009E2F47"/>
    <w:rsid w:val="009E5E18"/>
    <w:rsid w:val="009E7227"/>
    <w:rsid w:val="009F149E"/>
    <w:rsid w:val="009F1C6C"/>
    <w:rsid w:val="009F2A06"/>
    <w:rsid w:val="009F2E2B"/>
    <w:rsid w:val="009F478D"/>
    <w:rsid w:val="009F51E6"/>
    <w:rsid w:val="009F6795"/>
    <w:rsid w:val="00A0203A"/>
    <w:rsid w:val="00A0373D"/>
    <w:rsid w:val="00A051C5"/>
    <w:rsid w:val="00A06C03"/>
    <w:rsid w:val="00A06DDA"/>
    <w:rsid w:val="00A10501"/>
    <w:rsid w:val="00A1085C"/>
    <w:rsid w:val="00A11A56"/>
    <w:rsid w:val="00A12817"/>
    <w:rsid w:val="00A13379"/>
    <w:rsid w:val="00A13777"/>
    <w:rsid w:val="00A16437"/>
    <w:rsid w:val="00A17CDB"/>
    <w:rsid w:val="00A23DDD"/>
    <w:rsid w:val="00A249F9"/>
    <w:rsid w:val="00A2673E"/>
    <w:rsid w:val="00A31474"/>
    <w:rsid w:val="00A32083"/>
    <w:rsid w:val="00A33EE2"/>
    <w:rsid w:val="00A3662C"/>
    <w:rsid w:val="00A37103"/>
    <w:rsid w:val="00A403D5"/>
    <w:rsid w:val="00A408EC"/>
    <w:rsid w:val="00A4146A"/>
    <w:rsid w:val="00A43CF6"/>
    <w:rsid w:val="00A44B3D"/>
    <w:rsid w:val="00A45A29"/>
    <w:rsid w:val="00A51F02"/>
    <w:rsid w:val="00A54A90"/>
    <w:rsid w:val="00A61202"/>
    <w:rsid w:val="00A63972"/>
    <w:rsid w:val="00A64241"/>
    <w:rsid w:val="00A6554E"/>
    <w:rsid w:val="00A67462"/>
    <w:rsid w:val="00A67590"/>
    <w:rsid w:val="00A70580"/>
    <w:rsid w:val="00A722A6"/>
    <w:rsid w:val="00A72A53"/>
    <w:rsid w:val="00A73A45"/>
    <w:rsid w:val="00A73C2A"/>
    <w:rsid w:val="00A74C4C"/>
    <w:rsid w:val="00A74EA1"/>
    <w:rsid w:val="00A761FE"/>
    <w:rsid w:val="00A7673D"/>
    <w:rsid w:val="00A7690D"/>
    <w:rsid w:val="00A775C1"/>
    <w:rsid w:val="00A77AFF"/>
    <w:rsid w:val="00A81B6C"/>
    <w:rsid w:val="00A83F69"/>
    <w:rsid w:val="00A86B83"/>
    <w:rsid w:val="00A8701C"/>
    <w:rsid w:val="00A95A81"/>
    <w:rsid w:val="00A97244"/>
    <w:rsid w:val="00A9790D"/>
    <w:rsid w:val="00AA07CE"/>
    <w:rsid w:val="00AA12C9"/>
    <w:rsid w:val="00AA1387"/>
    <w:rsid w:val="00AA2372"/>
    <w:rsid w:val="00AA2554"/>
    <w:rsid w:val="00AA607D"/>
    <w:rsid w:val="00AA6EE6"/>
    <w:rsid w:val="00AA77B9"/>
    <w:rsid w:val="00AB027E"/>
    <w:rsid w:val="00AB0D40"/>
    <w:rsid w:val="00AB1463"/>
    <w:rsid w:val="00AB14B9"/>
    <w:rsid w:val="00AB1FFD"/>
    <w:rsid w:val="00AB28B3"/>
    <w:rsid w:val="00AB3FAA"/>
    <w:rsid w:val="00AB4677"/>
    <w:rsid w:val="00AB5370"/>
    <w:rsid w:val="00AB5A81"/>
    <w:rsid w:val="00AB64E6"/>
    <w:rsid w:val="00AC02A0"/>
    <w:rsid w:val="00AC2816"/>
    <w:rsid w:val="00AC3CD4"/>
    <w:rsid w:val="00AC7749"/>
    <w:rsid w:val="00AC79E4"/>
    <w:rsid w:val="00AC7E11"/>
    <w:rsid w:val="00AD05B3"/>
    <w:rsid w:val="00AD36BD"/>
    <w:rsid w:val="00AD7059"/>
    <w:rsid w:val="00AD720F"/>
    <w:rsid w:val="00AE086B"/>
    <w:rsid w:val="00AE3F4E"/>
    <w:rsid w:val="00AE6791"/>
    <w:rsid w:val="00AE7074"/>
    <w:rsid w:val="00AF0CD3"/>
    <w:rsid w:val="00AF0D92"/>
    <w:rsid w:val="00AF2357"/>
    <w:rsid w:val="00AF2E1A"/>
    <w:rsid w:val="00AF5783"/>
    <w:rsid w:val="00AF7541"/>
    <w:rsid w:val="00B00137"/>
    <w:rsid w:val="00B0209C"/>
    <w:rsid w:val="00B0338F"/>
    <w:rsid w:val="00B036A0"/>
    <w:rsid w:val="00B03967"/>
    <w:rsid w:val="00B03AE0"/>
    <w:rsid w:val="00B054FD"/>
    <w:rsid w:val="00B05A31"/>
    <w:rsid w:val="00B067CF"/>
    <w:rsid w:val="00B1293E"/>
    <w:rsid w:val="00B1328E"/>
    <w:rsid w:val="00B164C2"/>
    <w:rsid w:val="00B165F8"/>
    <w:rsid w:val="00B2119D"/>
    <w:rsid w:val="00B21248"/>
    <w:rsid w:val="00B21456"/>
    <w:rsid w:val="00B22033"/>
    <w:rsid w:val="00B22821"/>
    <w:rsid w:val="00B232EE"/>
    <w:rsid w:val="00B238CE"/>
    <w:rsid w:val="00B23AA5"/>
    <w:rsid w:val="00B2404C"/>
    <w:rsid w:val="00B24277"/>
    <w:rsid w:val="00B24298"/>
    <w:rsid w:val="00B24FEB"/>
    <w:rsid w:val="00B263CE"/>
    <w:rsid w:val="00B264D3"/>
    <w:rsid w:val="00B30859"/>
    <w:rsid w:val="00B31F2D"/>
    <w:rsid w:val="00B358A5"/>
    <w:rsid w:val="00B373F3"/>
    <w:rsid w:val="00B40204"/>
    <w:rsid w:val="00B4180B"/>
    <w:rsid w:val="00B47657"/>
    <w:rsid w:val="00B51DB2"/>
    <w:rsid w:val="00B52522"/>
    <w:rsid w:val="00B5386C"/>
    <w:rsid w:val="00B57400"/>
    <w:rsid w:val="00B578AD"/>
    <w:rsid w:val="00B60453"/>
    <w:rsid w:val="00B60BB0"/>
    <w:rsid w:val="00B62408"/>
    <w:rsid w:val="00B633E3"/>
    <w:rsid w:val="00B63A35"/>
    <w:rsid w:val="00B63AC3"/>
    <w:rsid w:val="00B64674"/>
    <w:rsid w:val="00B65262"/>
    <w:rsid w:val="00B67601"/>
    <w:rsid w:val="00B67786"/>
    <w:rsid w:val="00B67D12"/>
    <w:rsid w:val="00B722E6"/>
    <w:rsid w:val="00B72381"/>
    <w:rsid w:val="00B75446"/>
    <w:rsid w:val="00B75B85"/>
    <w:rsid w:val="00B77084"/>
    <w:rsid w:val="00B776B8"/>
    <w:rsid w:val="00B77BAB"/>
    <w:rsid w:val="00B806EC"/>
    <w:rsid w:val="00B81530"/>
    <w:rsid w:val="00B83639"/>
    <w:rsid w:val="00B83F03"/>
    <w:rsid w:val="00B90966"/>
    <w:rsid w:val="00B9378D"/>
    <w:rsid w:val="00B95D9E"/>
    <w:rsid w:val="00B96A06"/>
    <w:rsid w:val="00B96B4C"/>
    <w:rsid w:val="00B97D6B"/>
    <w:rsid w:val="00BA0489"/>
    <w:rsid w:val="00BA06F2"/>
    <w:rsid w:val="00BA348C"/>
    <w:rsid w:val="00BA64CD"/>
    <w:rsid w:val="00BB384E"/>
    <w:rsid w:val="00BB4124"/>
    <w:rsid w:val="00BB72EE"/>
    <w:rsid w:val="00BC0F82"/>
    <w:rsid w:val="00BC1A39"/>
    <w:rsid w:val="00BC35E1"/>
    <w:rsid w:val="00BC58D1"/>
    <w:rsid w:val="00BD2067"/>
    <w:rsid w:val="00BD2AA0"/>
    <w:rsid w:val="00BD344E"/>
    <w:rsid w:val="00BD47C4"/>
    <w:rsid w:val="00BD4E5E"/>
    <w:rsid w:val="00BD4E93"/>
    <w:rsid w:val="00BD53DF"/>
    <w:rsid w:val="00BD658E"/>
    <w:rsid w:val="00BD69E3"/>
    <w:rsid w:val="00BE2FF8"/>
    <w:rsid w:val="00BE338E"/>
    <w:rsid w:val="00BE49A2"/>
    <w:rsid w:val="00BE5286"/>
    <w:rsid w:val="00BE551D"/>
    <w:rsid w:val="00BE6B8D"/>
    <w:rsid w:val="00BF1115"/>
    <w:rsid w:val="00BF21CD"/>
    <w:rsid w:val="00BF2B9A"/>
    <w:rsid w:val="00BF2CA8"/>
    <w:rsid w:val="00BF4F81"/>
    <w:rsid w:val="00BF52A2"/>
    <w:rsid w:val="00BF621B"/>
    <w:rsid w:val="00BF6A1C"/>
    <w:rsid w:val="00C01D98"/>
    <w:rsid w:val="00C030C8"/>
    <w:rsid w:val="00C038EC"/>
    <w:rsid w:val="00C045AE"/>
    <w:rsid w:val="00C04756"/>
    <w:rsid w:val="00C0662B"/>
    <w:rsid w:val="00C06E5A"/>
    <w:rsid w:val="00C12ECD"/>
    <w:rsid w:val="00C1554A"/>
    <w:rsid w:val="00C16493"/>
    <w:rsid w:val="00C20DE3"/>
    <w:rsid w:val="00C21243"/>
    <w:rsid w:val="00C21907"/>
    <w:rsid w:val="00C21E00"/>
    <w:rsid w:val="00C229AF"/>
    <w:rsid w:val="00C22C31"/>
    <w:rsid w:val="00C23354"/>
    <w:rsid w:val="00C2344F"/>
    <w:rsid w:val="00C23BE4"/>
    <w:rsid w:val="00C25313"/>
    <w:rsid w:val="00C26A6B"/>
    <w:rsid w:val="00C31F09"/>
    <w:rsid w:val="00C33BA3"/>
    <w:rsid w:val="00C33E86"/>
    <w:rsid w:val="00C44DCF"/>
    <w:rsid w:val="00C462D9"/>
    <w:rsid w:val="00C47215"/>
    <w:rsid w:val="00C52D2D"/>
    <w:rsid w:val="00C541F3"/>
    <w:rsid w:val="00C5559C"/>
    <w:rsid w:val="00C5684C"/>
    <w:rsid w:val="00C603C9"/>
    <w:rsid w:val="00C64BA4"/>
    <w:rsid w:val="00C6572C"/>
    <w:rsid w:val="00C66385"/>
    <w:rsid w:val="00C66F33"/>
    <w:rsid w:val="00C6708E"/>
    <w:rsid w:val="00C701F9"/>
    <w:rsid w:val="00C736A0"/>
    <w:rsid w:val="00C75B06"/>
    <w:rsid w:val="00C822C9"/>
    <w:rsid w:val="00C823BC"/>
    <w:rsid w:val="00C851AC"/>
    <w:rsid w:val="00C85E12"/>
    <w:rsid w:val="00C87103"/>
    <w:rsid w:val="00C87BF9"/>
    <w:rsid w:val="00C90BBE"/>
    <w:rsid w:val="00C92A86"/>
    <w:rsid w:val="00C92FF7"/>
    <w:rsid w:val="00C937CD"/>
    <w:rsid w:val="00C9401A"/>
    <w:rsid w:val="00C96E05"/>
    <w:rsid w:val="00CB1CFF"/>
    <w:rsid w:val="00CB377E"/>
    <w:rsid w:val="00CB48E2"/>
    <w:rsid w:val="00CB6A93"/>
    <w:rsid w:val="00CC12E6"/>
    <w:rsid w:val="00CC208C"/>
    <w:rsid w:val="00CC2825"/>
    <w:rsid w:val="00CC42A5"/>
    <w:rsid w:val="00CC434F"/>
    <w:rsid w:val="00CC4971"/>
    <w:rsid w:val="00CC517C"/>
    <w:rsid w:val="00CC6204"/>
    <w:rsid w:val="00CC757D"/>
    <w:rsid w:val="00CD10D9"/>
    <w:rsid w:val="00CD17E3"/>
    <w:rsid w:val="00CD1E7D"/>
    <w:rsid w:val="00CD30DC"/>
    <w:rsid w:val="00CD4B1D"/>
    <w:rsid w:val="00CD6DBF"/>
    <w:rsid w:val="00CD7551"/>
    <w:rsid w:val="00CD7EE6"/>
    <w:rsid w:val="00CE25B5"/>
    <w:rsid w:val="00CE3D39"/>
    <w:rsid w:val="00CE51BD"/>
    <w:rsid w:val="00CE52F1"/>
    <w:rsid w:val="00CE56AC"/>
    <w:rsid w:val="00CE6861"/>
    <w:rsid w:val="00CF1BFE"/>
    <w:rsid w:val="00CF2133"/>
    <w:rsid w:val="00CF4235"/>
    <w:rsid w:val="00D0003E"/>
    <w:rsid w:val="00D009D0"/>
    <w:rsid w:val="00D027B5"/>
    <w:rsid w:val="00D03711"/>
    <w:rsid w:val="00D039D3"/>
    <w:rsid w:val="00D05C39"/>
    <w:rsid w:val="00D06114"/>
    <w:rsid w:val="00D062D7"/>
    <w:rsid w:val="00D075EF"/>
    <w:rsid w:val="00D07F5C"/>
    <w:rsid w:val="00D10AC0"/>
    <w:rsid w:val="00D12340"/>
    <w:rsid w:val="00D13338"/>
    <w:rsid w:val="00D14736"/>
    <w:rsid w:val="00D159D5"/>
    <w:rsid w:val="00D17261"/>
    <w:rsid w:val="00D173B6"/>
    <w:rsid w:val="00D173E2"/>
    <w:rsid w:val="00D17C1D"/>
    <w:rsid w:val="00D20367"/>
    <w:rsid w:val="00D22DA4"/>
    <w:rsid w:val="00D31980"/>
    <w:rsid w:val="00D34630"/>
    <w:rsid w:val="00D34A7B"/>
    <w:rsid w:val="00D3537C"/>
    <w:rsid w:val="00D355AA"/>
    <w:rsid w:val="00D35F9F"/>
    <w:rsid w:val="00D37145"/>
    <w:rsid w:val="00D41C2C"/>
    <w:rsid w:val="00D43089"/>
    <w:rsid w:val="00D43F33"/>
    <w:rsid w:val="00D44132"/>
    <w:rsid w:val="00D45217"/>
    <w:rsid w:val="00D45F44"/>
    <w:rsid w:val="00D473F8"/>
    <w:rsid w:val="00D47DED"/>
    <w:rsid w:val="00D53722"/>
    <w:rsid w:val="00D54F72"/>
    <w:rsid w:val="00D56418"/>
    <w:rsid w:val="00D566D6"/>
    <w:rsid w:val="00D601B5"/>
    <w:rsid w:val="00D61D10"/>
    <w:rsid w:val="00D6333E"/>
    <w:rsid w:val="00D63CFB"/>
    <w:rsid w:val="00D64F0E"/>
    <w:rsid w:val="00D666E7"/>
    <w:rsid w:val="00D66B4A"/>
    <w:rsid w:val="00D73942"/>
    <w:rsid w:val="00D74B54"/>
    <w:rsid w:val="00D74D19"/>
    <w:rsid w:val="00D7796D"/>
    <w:rsid w:val="00D81A40"/>
    <w:rsid w:val="00D81F7E"/>
    <w:rsid w:val="00D82F88"/>
    <w:rsid w:val="00D879B7"/>
    <w:rsid w:val="00D87CDA"/>
    <w:rsid w:val="00D90C72"/>
    <w:rsid w:val="00D913FA"/>
    <w:rsid w:val="00D92BB6"/>
    <w:rsid w:val="00D946F6"/>
    <w:rsid w:val="00D9573F"/>
    <w:rsid w:val="00D9626F"/>
    <w:rsid w:val="00D97212"/>
    <w:rsid w:val="00DA0346"/>
    <w:rsid w:val="00DA0F4A"/>
    <w:rsid w:val="00DA3188"/>
    <w:rsid w:val="00DA53AB"/>
    <w:rsid w:val="00DB055C"/>
    <w:rsid w:val="00DB2A21"/>
    <w:rsid w:val="00DB455F"/>
    <w:rsid w:val="00DB4828"/>
    <w:rsid w:val="00DB544A"/>
    <w:rsid w:val="00DC15F1"/>
    <w:rsid w:val="00DC1C0F"/>
    <w:rsid w:val="00DC1DA7"/>
    <w:rsid w:val="00DC2135"/>
    <w:rsid w:val="00DC32FE"/>
    <w:rsid w:val="00DC47E1"/>
    <w:rsid w:val="00DD1594"/>
    <w:rsid w:val="00DD3E53"/>
    <w:rsid w:val="00DD428E"/>
    <w:rsid w:val="00DD635A"/>
    <w:rsid w:val="00DE19CD"/>
    <w:rsid w:val="00DE1D00"/>
    <w:rsid w:val="00DE1E0C"/>
    <w:rsid w:val="00DE270A"/>
    <w:rsid w:val="00DE2A92"/>
    <w:rsid w:val="00DE592C"/>
    <w:rsid w:val="00DE5FD4"/>
    <w:rsid w:val="00DF130F"/>
    <w:rsid w:val="00DF17FF"/>
    <w:rsid w:val="00DF2CCB"/>
    <w:rsid w:val="00DF4CB7"/>
    <w:rsid w:val="00DF58C4"/>
    <w:rsid w:val="00E01594"/>
    <w:rsid w:val="00E120B2"/>
    <w:rsid w:val="00E151F9"/>
    <w:rsid w:val="00E15707"/>
    <w:rsid w:val="00E16685"/>
    <w:rsid w:val="00E174AD"/>
    <w:rsid w:val="00E20243"/>
    <w:rsid w:val="00E20EA0"/>
    <w:rsid w:val="00E21998"/>
    <w:rsid w:val="00E22D65"/>
    <w:rsid w:val="00E246D7"/>
    <w:rsid w:val="00E2478B"/>
    <w:rsid w:val="00E24B29"/>
    <w:rsid w:val="00E270CD"/>
    <w:rsid w:val="00E27D2A"/>
    <w:rsid w:val="00E31EB8"/>
    <w:rsid w:val="00E32685"/>
    <w:rsid w:val="00E378E4"/>
    <w:rsid w:val="00E40492"/>
    <w:rsid w:val="00E40612"/>
    <w:rsid w:val="00E41AEE"/>
    <w:rsid w:val="00E443E2"/>
    <w:rsid w:val="00E444C5"/>
    <w:rsid w:val="00E447E9"/>
    <w:rsid w:val="00E44ADC"/>
    <w:rsid w:val="00E45C0A"/>
    <w:rsid w:val="00E469A9"/>
    <w:rsid w:val="00E46EFA"/>
    <w:rsid w:val="00E50E7D"/>
    <w:rsid w:val="00E5412B"/>
    <w:rsid w:val="00E54C82"/>
    <w:rsid w:val="00E57BF4"/>
    <w:rsid w:val="00E60451"/>
    <w:rsid w:val="00E63AD5"/>
    <w:rsid w:val="00E63DA2"/>
    <w:rsid w:val="00E64928"/>
    <w:rsid w:val="00E65D94"/>
    <w:rsid w:val="00E674E5"/>
    <w:rsid w:val="00E7186E"/>
    <w:rsid w:val="00E73E81"/>
    <w:rsid w:val="00E75A88"/>
    <w:rsid w:val="00E75BFA"/>
    <w:rsid w:val="00E76827"/>
    <w:rsid w:val="00E76A37"/>
    <w:rsid w:val="00E76AA1"/>
    <w:rsid w:val="00E8143D"/>
    <w:rsid w:val="00E83A1A"/>
    <w:rsid w:val="00E863F3"/>
    <w:rsid w:val="00E8647E"/>
    <w:rsid w:val="00E873C7"/>
    <w:rsid w:val="00E879D8"/>
    <w:rsid w:val="00E90FDD"/>
    <w:rsid w:val="00E9286B"/>
    <w:rsid w:val="00E92FB7"/>
    <w:rsid w:val="00E933A3"/>
    <w:rsid w:val="00E939AC"/>
    <w:rsid w:val="00E94B77"/>
    <w:rsid w:val="00E95E64"/>
    <w:rsid w:val="00E9616F"/>
    <w:rsid w:val="00E97220"/>
    <w:rsid w:val="00E976FA"/>
    <w:rsid w:val="00EA27BD"/>
    <w:rsid w:val="00EA2C6F"/>
    <w:rsid w:val="00EA405B"/>
    <w:rsid w:val="00EA4A00"/>
    <w:rsid w:val="00EA6904"/>
    <w:rsid w:val="00EA7533"/>
    <w:rsid w:val="00EB036E"/>
    <w:rsid w:val="00EB0B76"/>
    <w:rsid w:val="00EB1583"/>
    <w:rsid w:val="00EB4BF6"/>
    <w:rsid w:val="00EB6CF8"/>
    <w:rsid w:val="00EC1BA5"/>
    <w:rsid w:val="00EC45FA"/>
    <w:rsid w:val="00EC5165"/>
    <w:rsid w:val="00ED038C"/>
    <w:rsid w:val="00ED064F"/>
    <w:rsid w:val="00ED320C"/>
    <w:rsid w:val="00ED3782"/>
    <w:rsid w:val="00ED4337"/>
    <w:rsid w:val="00ED53D9"/>
    <w:rsid w:val="00ED6ACA"/>
    <w:rsid w:val="00EE0A28"/>
    <w:rsid w:val="00EE2630"/>
    <w:rsid w:val="00EE4E0F"/>
    <w:rsid w:val="00EE67F2"/>
    <w:rsid w:val="00EE6E88"/>
    <w:rsid w:val="00EE7F9E"/>
    <w:rsid w:val="00EF1473"/>
    <w:rsid w:val="00EF32AC"/>
    <w:rsid w:val="00EF5889"/>
    <w:rsid w:val="00EF60C5"/>
    <w:rsid w:val="00EF770F"/>
    <w:rsid w:val="00EF7EC8"/>
    <w:rsid w:val="00F00AA6"/>
    <w:rsid w:val="00F00ED9"/>
    <w:rsid w:val="00F01057"/>
    <w:rsid w:val="00F036B7"/>
    <w:rsid w:val="00F102E6"/>
    <w:rsid w:val="00F103D3"/>
    <w:rsid w:val="00F10B1E"/>
    <w:rsid w:val="00F115B3"/>
    <w:rsid w:val="00F125DF"/>
    <w:rsid w:val="00F1310A"/>
    <w:rsid w:val="00F16733"/>
    <w:rsid w:val="00F16AB9"/>
    <w:rsid w:val="00F16B74"/>
    <w:rsid w:val="00F17311"/>
    <w:rsid w:val="00F17459"/>
    <w:rsid w:val="00F22990"/>
    <w:rsid w:val="00F22DCB"/>
    <w:rsid w:val="00F244DD"/>
    <w:rsid w:val="00F24B66"/>
    <w:rsid w:val="00F25DEF"/>
    <w:rsid w:val="00F25F20"/>
    <w:rsid w:val="00F273B4"/>
    <w:rsid w:val="00F27412"/>
    <w:rsid w:val="00F322B0"/>
    <w:rsid w:val="00F400AA"/>
    <w:rsid w:val="00F43252"/>
    <w:rsid w:val="00F44020"/>
    <w:rsid w:val="00F47633"/>
    <w:rsid w:val="00F50187"/>
    <w:rsid w:val="00F517C1"/>
    <w:rsid w:val="00F54705"/>
    <w:rsid w:val="00F5667F"/>
    <w:rsid w:val="00F57BDD"/>
    <w:rsid w:val="00F60D93"/>
    <w:rsid w:val="00F611D9"/>
    <w:rsid w:val="00F61562"/>
    <w:rsid w:val="00F64E15"/>
    <w:rsid w:val="00F65DE3"/>
    <w:rsid w:val="00F67A0F"/>
    <w:rsid w:val="00F70E67"/>
    <w:rsid w:val="00F72362"/>
    <w:rsid w:val="00F72384"/>
    <w:rsid w:val="00F727BE"/>
    <w:rsid w:val="00F73D99"/>
    <w:rsid w:val="00F747DA"/>
    <w:rsid w:val="00F75433"/>
    <w:rsid w:val="00F775AD"/>
    <w:rsid w:val="00F80EF7"/>
    <w:rsid w:val="00F818E5"/>
    <w:rsid w:val="00F82494"/>
    <w:rsid w:val="00F82B9D"/>
    <w:rsid w:val="00F82C6F"/>
    <w:rsid w:val="00F841C1"/>
    <w:rsid w:val="00F84C03"/>
    <w:rsid w:val="00F874CD"/>
    <w:rsid w:val="00F87C54"/>
    <w:rsid w:val="00F90A34"/>
    <w:rsid w:val="00F932A2"/>
    <w:rsid w:val="00F96E7E"/>
    <w:rsid w:val="00FA0EEA"/>
    <w:rsid w:val="00FA33E6"/>
    <w:rsid w:val="00FA47C1"/>
    <w:rsid w:val="00FA4A38"/>
    <w:rsid w:val="00FA667F"/>
    <w:rsid w:val="00FB011F"/>
    <w:rsid w:val="00FB2342"/>
    <w:rsid w:val="00FB2E88"/>
    <w:rsid w:val="00FB4BC3"/>
    <w:rsid w:val="00FB5AD9"/>
    <w:rsid w:val="00FB6354"/>
    <w:rsid w:val="00FB6A19"/>
    <w:rsid w:val="00FB6AB1"/>
    <w:rsid w:val="00FC2BD3"/>
    <w:rsid w:val="00FC4586"/>
    <w:rsid w:val="00FC6561"/>
    <w:rsid w:val="00FC6ABD"/>
    <w:rsid w:val="00FC6FFF"/>
    <w:rsid w:val="00FC79C3"/>
    <w:rsid w:val="00FD091D"/>
    <w:rsid w:val="00FD1877"/>
    <w:rsid w:val="00FD1BD2"/>
    <w:rsid w:val="00FD1D23"/>
    <w:rsid w:val="00FD2595"/>
    <w:rsid w:val="00FD349F"/>
    <w:rsid w:val="00FD5A4C"/>
    <w:rsid w:val="00FD6303"/>
    <w:rsid w:val="00FD6372"/>
    <w:rsid w:val="00FD7569"/>
    <w:rsid w:val="00FD7ADA"/>
    <w:rsid w:val="00FD7D44"/>
    <w:rsid w:val="00FE11B2"/>
    <w:rsid w:val="00FE26A5"/>
    <w:rsid w:val="00FE3102"/>
    <w:rsid w:val="00FE3AEC"/>
    <w:rsid w:val="00FE4180"/>
    <w:rsid w:val="00FE452F"/>
    <w:rsid w:val="00FE5A44"/>
    <w:rsid w:val="00FF01D0"/>
    <w:rsid w:val="00FF1A6B"/>
    <w:rsid w:val="00FF1C21"/>
    <w:rsid w:val="00FF39A7"/>
    <w:rsid w:val="00FF3ACB"/>
    <w:rsid w:val="00FF6480"/>
    <w:rsid w:val="00FF6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3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1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38"/>
    <w:pPr>
      <w:ind w:left="720"/>
      <w:contextualSpacing/>
    </w:pPr>
  </w:style>
  <w:style w:type="paragraph" w:styleId="Header">
    <w:name w:val="header"/>
    <w:basedOn w:val="Normal"/>
    <w:link w:val="HeaderChar"/>
    <w:uiPriority w:val="99"/>
    <w:unhideWhenUsed/>
    <w:rsid w:val="00D03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11"/>
  </w:style>
  <w:style w:type="paragraph" w:styleId="Footer">
    <w:name w:val="footer"/>
    <w:basedOn w:val="Normal"/>
    <w:link w:val="FooterChar"/>
    <w:unhideWhenUsed/>
    <w:rsid w:val="00D03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11"/>
  </w:style>
  <w:style w:type="paragraph" w:styleId="BalloonText">
    <w:name w:val="Balloon Text"/>
    <w:basedOn w:val="Normal"/>
    <w:link w:val="BalloonTextChar"/>
    <w:uiPriority w:val="99"/>
    <w:semiHidden/>
    <w:unhideWhenUsed/>
    <w:rsid w:val="004F6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A96"/>
    <w:rPr>
      <w:rFonts w:ascii="Tahoma" w:hAnsi="Tahoma" w:cs="Tahoma"/>
      <w:sz w:val="16"/>
      <w:szCs w:val="16"/>
    </w:rPr>
  </w:style>
  <w:style w:type="character" w:customStyle="1" w:styleId="Heading1Char">
    <w:name w:val="Heading 1 Char"/>
    <w:basedOn w:val="DefaultParagraphFont"/>
    <w:link w:val="Heading1"/>
    <w:uiPriority w:val="9"/>
    <w:rsid w:val="00D3537C"/>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D3537C"/>
  </w:style>
  <w:style w:type="paragraph" w:customStyle="1" w:styleId="greentext">
    <w:name w:val="greentext"/>
    <w:basedOn w:val="Normal"/>
    <w:rsid w:val="00D3537C"/>
    <w:pPr>
      <w:spacing w:after="240"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rsid w:val="00081099"/>
    <w:rPr>
      <w:rFonts w:ascii="Times New Roman" w:hAnsi="Times New Roman"/>
      <w:position w:val="6"/>
      <w:sz w:val="20"/>
      <w:vertAlign w:val="baseline"/>
    </w:rPr>
  </w:style>
  <w:style w:type="paragraph" w:styleId="FootnoteText">
    <w:name w:val="footnote text"/>
    <w:basedOn w:val="BodyText"/>
    <w:link w:val="FootnoteTextChar"/>
    <w:uiPriority w:val="99"/>
    <w:rsid w:val="00081099"/>
    <w:pPr>
      <w:tabs>
        <w:tab w:val="left" w:pos="284"/>
      </w:tabs>
      <w:spacing w:before="80" w:after="0" w:line="240" w:lineRule="exact"/>
      <w:ind w:left="284" w:hanging="284"/>
      <w:jc w:val="both"/>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081099"/>
    <w:rPr>
      <w:rFonts w:ascii="Times New Roman" w:eastAsia="Times New Roman" w:hAnsi="Times New Roman" w:cs="Times New Roman"/>
      <w:sz w:val="20"/>
      <w:szCs w:val="20"/>
      <w:lang w:eastAsia="en-AU"/>
    </w:rPr>
  </w:style>
  <w:style w:type="paragraph" w:styleId="ListBullet">
    <w:name w:val="List Bullet"/>
    <w:basedOn w:val="BodyText"/>
    <w:rsid w:val="00081099"/>
    <w:pPr>
      <w:numPr>
        <w:numId w:val="15"/>
      </w:numPr>
      <w:tabs>
        <w:tab w:val="clear" w:pos="340"/>
      </w:tabs>
      <w:spacing w:before="120" w:after="0" w:line="300" w:lineRule="atLeast"/>
      <w:ind w:left="720" w:hanging="36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081099"/>
    <w:pPr>
      <w:spacing w:after="120"/>
    </w:pPr>
  </w:style>
  <w:style w:type="character" w:customStyle="1" w:styleId="BodyTextChar">
    <w:name w:val="Body Text Char"/>
    <w:basedOn w:val="DefaultParagraphFont"/>
    <w:link w:val="BodyText"/>
    <w:uiPriority w:val="99"/>
    <w:semiHidden/>
    <w:rsid w:val="00081099"/>
  </w:style>
  <w:style w:type="paragraph" w:customStyle="1" w:styleId="InformationRequest">
    <w:name w:val="Information Request"/>
    <w:basedOn w:val="Normal"/>
    <w:next w:val="BodyText"/>
    <w:rsid w:val="00081099"/>
    <w:pPr>
      <w:keepLines/>
      <w:spacing w:before="120" w:after="0" w:line="280" w:lineRule="atLeast"/>
      <w:jc w:val="both"/>
    </w:pPr>
    <w:rPr>
      <w:rFonts w:ascii="Arial" w:eastAsia="Times New Roman" w:hAnsi="Arial" w:cs="Times New Roman"/>
      <w:i/>
      <w:szCs w:val="20"/>
      <w:lang w:eastAsia="en-AU"/>
    </w:rPr>
  </w:style>
  <w:style w:type="character" w:customStyle="1" w:styleId="Heading2Char">
    <w:name w:val="Heading 2 Char"/>
    <w:basedOn w:val="DefaultParagraphFont"/>
    <w:link w:val="Heading2"/>
    <w:uiPriority w:val="9"/>
    <w:semiHidden/>
    <w:rsid w:val="00081099"/>
    <w:rPr>
      <w:rFonts w:asciiTheme="majorHAnsi" w:eastAsiaTheme="majorEastAsia" w:hAnsiTheme="majorHAnsi" w:cstheme="majorBidi"/>
      <w:b/>
      <w:bCs/>
      <w:color w:val="4F81BD" w:themeColor="accent1"/>
      <w:sz w:val="26"/>
      <w:szCs w:val="26"/>
    </w:rPr>
  </w:style>
  <w:style w:type="character" w:styleId="EndnoteReference">
    <w:name w:val="endnote reference"/>
    <w:basedOn w:val="DefaultParagraphFont"/>
    <w:uiPriority w:val="99"/>
    <w:semiHidden/>
    <w:unhideWhenUsed/>
    <w:rsid w:val="0019440B"/>
    <w:rPr>
      <w:vertAlign w:val="superscript"/>
    </w:rPr>
  </w:style>
  <w:style w:type="paragraph" w:styleId="EndnoteText">
    <w:name w:val="endnote text"/>
    <w:basedOn w:val="Normal"/>
    <w:link w:val="EndnoteTextChar"/>
    <w:uiPriority w:val="99"/>
    <w:semiHidden/>
    <w:unhideWhenUsed/>
    <w:rsid w:val="005F4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44B1"/>
    <w:rPr>
      <w:sz w:val="20"/>
      <w:szCs w:val="20"/>
    </w:rPr>
  </w:style>
  <w:style w:type="character" w:styleId="Hyperlink">
    <w:name w:val="Hyperlink"/>
    <w:basedOn w:val="DefaultParagraphFont"/>
    <w:uiPriority w:val="99"/>
    <w:unhideWhenUsed/>
    <w:rsid w:val="00A8701C"/>
    <w:rPr>
      <w:color w:val="0000FF" w:themeColor="hyperlink"/>
      <w:u w:val="single"/>
    </w:rPr>
  </w:style>
  <w:style w:type="paragraph" w:styleId="NoSpacing">
    <w:name w:val="No Spacing"/>
    <w:uiPriority w:val="1"/>
    <w:qFormat/>
    <w:rsid w:val="00BF1115"/>
    <w:pPr>
      <w:spacing w:after="0" w:line="240" w:lineRule="auto"/>
    </w:pPr>
  </w:style>
  <w:style w:type="paragraph" w:styleId="NormalWeb">
    <w:name w:val="Normal (Web)"/>
    <w:basedOn w:val="Normal"/>
    <w:uiPriority w:val="99"/>
    <w:unhideWhenUsed/>
    <w:rsid w:val="001348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3488C"/>
    <w:rPr>
      <w:b/>
      <w:bCs/>
    </w:rPr>
  </w:style>
  <w:style w:type="character" w:styleId="Emphasis">
    <w:name w:val="Emphasis"/>
    <w:basedOn w:val="DefaultParagraphFont"/>
    <w:uiPriority w:val="20"/>
    <w:qFormat/>
    <w:rsid w:val="00FF1A6B"/>
    <w:rPr>
      <w:i/>
      <w:iCs/>
    </w:rPr>
  </w:style>
  <w:style w:type="character" w:customStyle="1" w:styleId="apple-converted-space">
    <w:name w:val="apple-converted-space"/>
    <w:basedOn w:val="DefaultParagraphFont"/>
    <w:rsid w:val="00FF1A6B"/>
  </w:style>
  <w:style w:type="character" w:styleId="CommentReference">
    <w:name w:val="annotation reference"/>
    <w:basedOn w:val="DefaultParagraphFont"/>
    <w:uiPriority w:val="99"/>
    <w:semiHidden/>
    <w:unhideWhenUsed/>
    <w:rsid w:val="00FE3102"/>
    <w:rPr>
      <w:sz w:val="16"/>
      <w:szCs w:val="16"/>
    </w:rPr>
  </w:style>
  <w:style w:type="paragraph" w:styleId="CommentText">
    <w:name w:val="annotation text"/>
    <w:basedOn w:val="Normal"/>
    <w:link w:val="CommentTextChar"/>
    <w:uiPriority w:val="99"/>
    <w:semiHidden/>
    <w:unhideWhenUsed/>
    <w:rsid w:val="00FE3102"/>
    <w:pPr>
      <w:spacing w:line="240" w:lineRule="auto"/>
    </w:pPr>
    <w:rPr>
      <w:sz w:val="20"/>
      <w:szCs w:val="20"/>
    </w:rPr>
  </w:style>
  <w:style w:type="character" w:customStyle="1" w:styleId="CommentTextChar">
    <w:name w:val="Comment Text Char"/>
    <w:basedOn w:val="DefaultParagraphFont"/>
    <w:link w:val="CommentText"/>
    <w:uiPriority w:val="99"/>
    <w:semiHidden/>
    <w:rsid w:val="00FE3102"/>
    <w:rPr>
      <w:sz w:val="20"/>
      <w:szCs w:val="20"/>
    </w:rPr>
  </w:style>
  <w:style w:type="paragraph" w:styleId="CommentSubject">
    <w:name w:val="annotation subject"/>
    <w:basedOn w:val="CommentText"/>
    <w:next w:val="CommentText"/>
    <w:link w:val="CommentSubjectChar"/>
    <w:uiPriority w:val="99"/>
    <w:semiHidden/>
    <w:unhideWhenUsed/>
    <w:rsid w:val="00FE3102"/>
    <w:rPr>
      <w:b/>
      <w:bCs/>
    </w:rPr>
  </w:style>
  <w:style w:type="character" w:customStyle="1" w:styleId="CommentSubjectChar">
    <w:name w:val="Comment Subject Char"/>
    <w:basedOn w:val="CommentTextChar"/>
    <w:link w:val="CommentSubject"/>
    <w:uiPriority w:val="99"/>
    <w:semiHidden/>
    <w:rsid w:val="00FE3102"/>
    <w:rPr>
      <w:b/>
      <w:bCs/>
      <w:sz w:val="20"/>
      <w:szCs w:val="20"/>
    </w:rPr>
  </w:style>
  <w:style w:type="character" w:styleId="FollowedHyperlink">
    <w:name w:val="FollowedHyperlink"/>
    <w:basedOn w:val="DefaultParagraphFont"/>
    <w:uiPriority w:val="99"/>
    <w:semiHidden/>
    <w:unhideWhenUsed/>
    <w:rsid w:val="002B28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3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1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38"/>
    <w:pPr>
      <w:ind w:left="720"/>
      <w:contextualSpacing/>
    </w:pPr>
  </w:style>
  <w:style w:type="paragraph" w:styleId="Header">
    <w:name w:val="header"/>
    <w:basedOn w:val="Normal"/>
    <w:link w:val="HeaderChar"/>
    <w:uiPriority w:val="99"/>
    <w:unhideWhenUsed/>
    <w:rsid w:val="00D03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11"/>
  </w:style>
  <w:style w:type="paragraph" w:styleId="Footer">
    <w:name w:val="footer"/>
    <w:basedOn w:val="Normal"/>
    <w:link w:val="FooterChar"/>
    <w:unhideWhenUsed/>
    <w:rsid w:val="00D03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11"/>
  </w:style>
  <w:style w:type="paragraph" w:styleId="BalloonText">
    <w:name w:val="Balloon Text"/>
    <w:basedOn w:val="Normal"/>
    <w:link w:val="BalloonTextChar"/>
    <w:uiPriority w:val="99"/>
    <w:semiHidden/>
    <w:unhideWhenUsed/>
    <w:rsid w:val="004F6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A96"/>
    <w:rPr>
      <w:rFonts w:ascii="Tahoma" w:hAnsi="Tahoma" w:cs="Tahoma"/>
      <w:sz w:val="16"/>
      <w:szCs w:val="16"/>
    </w:rPr>
  </w:style>
  <w:style w:type="character" w:customStyle="1" w:styleId="Heading1Char">
    <w:name w:val="Heading 1 Char"/>
    <w:basedOn w:val="DefaultParagraphFont"/>
    <w:link w:val="Heading1"/>
    <w:uiPriority w:val="9"/>
    <w:rsid w:val="00D3537C"/>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D3537C"/>
  </w:style>
  <w:style w:type="paragraph" w:customStyle="1" w:styleId="greentext">
    <w:name w:val="greentext"/>
    <w:basedOn w:val="Normal"/>
    <w:rsid w:val="00D3537C"/>
    <w:pPr>
      <w:spacing w:after="240"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rsid w:val="00081099"/>
    <w:rPr>
      <w:rFonts w:ascii="Times New Roman" w:hAnsi="Times New Roman"/>
      <w:position w:val="6"/>
      <w:sz w:val="20"/>
      <w:vertAlign w:val="baseline"/>
    </w:rPr>
  </w:style>
  <w:style w:type="paragraph" w:styleId="FootnoteText">
    <w:name w:val="footnote text"/>
    <w:basedOn w:val="BodyText"/>
    <w:link w:val="FootnoteTextChar"/>
    <w:uiPriority w:val="99"/>
    <w:rsid w:val="00081099"/>
    <w:pPr>
      <w:tabs>
        <w:tab w:val="left" w:pos="284"/>
      </w:tabs>
      <w:spacing w:before="80" w:after="0" w:line="240" w:lineRule="exact"/>
      <w:ind w:left="284" w:hanging="284"/>
      <w:jc w:val="both"/>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081099"/>
    <w:rPr>
      <w:rFonts w:ascii="Times New Roman" w:eastAsia="Times New Roman" w:hAnsi="Times New Roman" w:cs="Times New Roman"/>
      <w:sz w:val="20"/>
      <w:szCs w:val="20"/>
      <w:lang w:eastAsia="en-AU"/>
    </w:rPr>
  </w:style>
  <w:style w:type="paragraph" w:styleId="ListBullet">
    <w:name w:val="List Bullet"/>
    <w:basedOn w:val="BodyText"/>
    <w:rsid w:val="00081099"/>
    <w:pPr>
      <w:numPr>
        <w:numId w:val="15"/>
      </w:numPr>
      <w:tabs>
        <w:tab w:val="clear" w:pos="340"/>
      </w:tabs>
      <w:spacing w:before="120" w:after="0" w:line="300" w:lineRule="atLeast"/>
      <w:ind w:left="720" w:hanging="36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081099"/>
    <w:pPr>
      <w:spacing w:after="120"/>
    </w:pPr>
  </w:style>
  <w:style w:type="character" w:customStyle="1" w:styleId="BodyTextChar">
    <w:name w:val="Body Text Char"/>
    <w:basedOn w:val="DefaultParagraphFont"/>
    <w:link w:val="BodyText"/>
    <w:uiPriority w:val="99"/>
    <w:semiHidden/>
    <w:rsid w:val="00081099"/>
  </w:style>
  <w:style w:type="paragraph" w:customStyle="1" w:styleId="InformationRequest">
    <w:name w:val="Information Request"/>
    <w:basedOn w:val="Normal"/>
    <w:next w:val="BodyText"/>
    <w:rsid w:val="00081099"/>
    <w:pPr>
      <w:keepLines/>
      <w:spacing w:before="120" w:after="0" w:line="280" w:lineRule="atLeast"/>
      <w:jc w:val="both"/>
    </w:pPr>
    <w:rPr>
      <w:rFonts w:ascii="Arial" w:eastAsia="Times New Roman" w:hAnsi="Arial" w:cs="Times New Roman"/>
      <w:i/>
      <w:szCs w:val="20"/>
      <w:lang w:eastAsia="en-AU"/>
    </w:rPr>
  </w:style>
  <w:style w:type="character" w:customStyle="1" w:styleId="Heading2Char">
    <w:name w:val="Heading 2 Char"/>
    <w:basedOn w:val="DefaultParagraphFont"/>
    <w:link w:val="Heading2"/>
    <w:uiPriority w:val="9"/>
    <w:semiHidden/>
    <w:rsid w:val="00081099"/>
    <w:rPr>
      <w:rFonts w:asciiTheme="majorHAnsi" w:eastAsiaTheme="majorEastAsia" w:hAnsiTheme="majorHAnsi" w:cstheme="majorBidi"/>
      <w:b/>
      <w:bCs/>
      <w:color w:val="4F81BD" w:themeColor="accent1"/>
      <w:sz w:val="26"/>
      <w:szCs w:val="26"/>
    </w:rPr>
  </w:style>
  <w:style w:type="character" w:styleId="EndnoteReference">
    <w:name w:val="endnote reference"/>
    <w:basedOn w:val="DefaultParagraphFont"/>
    <w:uiPriority w:val="99"/>
    <w:semiHidden/>
    <w:unhideWhenUsed/>
    <w:rsid w:val="0019440B"/>
    <w:rPr>
      <w:vertAlign w:val="superscript"/>
    </w:rPr>
  </w:style>
  <w:style w:type="paragraph" w:styleId="EndnoteText">
    <w:name w:val="endnote text"/>
    <w:basedOn w:val="Normal"/>
    <w:link w:val="EndnoteTextChar"/>
    <w:uiPriority w:val="99"/>
    <w:semiHidden/>
    <w:unhideWhenUsed/>
    <w:rsid w:val="005F4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44B1"/>
    <w:rPr>
      <w:sz w:val="20"/>
      <w:szCs w:val="20"/>
    </w:rPr>
  </w:style>
  <w:style w:type="character" w:styleId="Hyperlink">
    <w:name w:val="Hyperlink"/>
    <w:basedOn w:val="DefaultParagraphFont"/>
    <w:uiPriority w:val="99"/>
    <w:unhideWhenUsed/>
    <w:rsid w:val="00A8701C"/>
    <w:rPr>
      <w:color w:val="0000FF" w:themeColor="hyperlink"/>
      <w:u w:val="single"/>
    </w:rPr>
  </w:style>
  <w:style w:type="paragraph" w:styleId="NoSpacing">
    <w:name w:val="No Spacing"/>
    <w:uiPriority w:val="1"/>
    <w:qFormat/>
    <w:rsid w:val="00BF1115"/>
    <w:pPr>
      <w:spacing w:after="0" w:line="240" w:lineRule="auto"/>
    </w:pPr>
  </w:style>
  <w:style w:type="paragraph" w:styleId="NormalWeb">
    <w:name w:val="Normal (Web)"/>
    <w:basedOn w:val="Normal"/>
    <w:uiPriority w:val="99"/>
    <w:unhideWhenUsed/>
    <w:rsid w:val="001348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3488C"/>
    <w:rPr>
      <w:b/>
      <w:bCs/>
    </w:rPr>
  </w:style>
  <w:style w:type="character" w:styleId="Emphasis">
    <w:name w:val="Emphasis"/>
    <w:basedOn w:val="DefaultParagraphFont"/>
    <w:uiPriority w:val="20"/>
    <w:qFormat/>
    <w:rsid w:val="00FF1A6B"/>
    <w:rPr>
      <w:i/>
      <w:iCs/>
    </w:rPr>
  </w:style>
  <w:style w:type="character" w:customStyle="1" w:styleId="apple-converted-space">
    <w:name w:val="apple-converted-space"/>
    <w:basedOn w:val="DefaultParagraphFont"/>
    <w:rsid w:val="00FF1A6B"/>
  </w:style>
  <w:style w:type="character" w:styleId="CommentReference">
    <w:name w:val="annotation reference"/>
    <w:basedOn w:val="DefaultParagraphFont"/>
    <w:uiPriority w:val="99"/>
    <w:semiHidden/>
    <w:unhideWhenUsed/>
    <w:rsid w:val="00FE3102"/>
    <w:rPr>
      <w:sz w:val="16"/>
      <w:szCs w:val="16"/>
    </w:rPr>
  </w:style>
  <w:style w:type="paragraph" w:styleId="CommentText">
    <w:name w:val="annotation text"/>
    <w:basedOn w:val="Normal"/>
    <w:link w:val="CommentTextChar"/>
    <w:uiPriority w:val="99"/>
    <w:semiHidden/>
    <w:unhideWhenUsed/>
    <w:rsid w:val="00FE3102"/>
    <w:pPr>
      <w:spacing w:line="240" w:lineRule="auto"/>
    </w:pPr>
    <w:rPr>
      <w:sz w:val="20"/>
      <w:szCs w:val="20"/>
    </w:rPr>
  </w:style>
  <w:style w:type="character" w:customStyle="1" w:styleId="CommentTextChar">
    <w:name w:val="Comment Text Char"/>
    <w:basedOn w:val="DefaultParagraphFont"/>
    <w:link w:val="CommentText"/>
    <w:uiPriority w:val="99"/>
    <w:semiHidden/>
    <w:rsid w:val="00FE3102"/>
    <w:rPr>
      <w:sz w:val="20"/>
      <w:szCs w:val="20"/>
    </w:rPr>
  </w:style>
  <w:style w:type="paragraph" w:styleId="CommentSubject">
    <w:name w:val="annotation subject"/>
    <w:basedOn w:val="CommentText"/>
    <w:next w:val="CommentText"/>
    <w:link w:val="CommentSubjectChar"/>
    <w:uiPriority w:val="99"/>
    <w:semiHidden/>
    <w:unhideWhenUsed/>
    <w:rsid w:val="00FE3102"/>
    <w:rPr>
      <w:b/>
      <w:bCs/>
    </w:rPr>
  </w:style>
  <w:style w:type="character" w:customStyle="1" w:styleId="CommentSubjectChar">
    <w:name w:val="Comment Subject Char"/>
    <w:basedOn w:val="CommentTextChar"/>
    <w:link w:val="CommentSubject"/>
    <w:uiPriority w:val="99"/>
    <w:semiHidden/>
    <w:rsid w:val="00FE3102"/>
    <w:rPr>
      <w:b/>
      <w:bCs/>
      <w:sz w:val="20"/>
      <w:szCs w:val="20"/>
    </w:rPr>
  </w:style>
  <w:style w:type="character" w:styleId="FollowedHyperlink">
    <w:name w:val="FollowedHyperlink"/>
    <w:basedOn w:val="DefaultParagraphFont"/>
    <w:uiPriority w:val="99"/>
    <w:semiHidden/>
    <w:unhideWhenUsed/>
    <w:rsid w:val="002B2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37417">
      <w:bodyDiv w:val="1"/>
      <w:marLeft w:val="0"/>
      <w:marRight w:val="0"/>
      <w:marTop w:val="0"/>
      <w:marBottom w:val="0"/>
      <w:divBdr>
        <w:top w:val="none" w:sz="0" w:space="0" w:color="auto"/>
        <w:left w:val="none" w:sz="0" w:space="0" w:color="auto"/>
        <w:bottom w:val="none" w:sz="0" w:space="0" w:color="auto"/>
        <w:right w:val="none" w:sz="0" w:space="0" w:color="auto"/>
      </w:divBdr>
    </w:div>
    <w:div w:id="1369834073">
      <w:bodyDiv w:val="1"/>
      <w:marLeft w:val="0"/>
      <w:marRight w:val="0"/>
      <w:marTop w:val="0"/>
      <w:marBottom w:val="0"/>
      <w:divBdr>
        <w:top w:val="none" w:sz="0" w:space="0" w:color="auto"/>
        <w:left w:val="none" w:sz="0" w:space="0" w:color="auto"/>
        <w:bottom w:val="none" w:sz="0" w:space="0" w:color="auto"/>
        <w:right w:val="none" w:sz="0" w:space="0" w:color="auto"/>
      </w:divBdr>
    </w:div>
    <w:div w:id="1544319358">
      <w:bodyDiv w:val="1"/>
      <w:marLeft w:val="0"/>
      <w:marRight w:val="0"/>
      <w:marTop w:val="0"/>
      <w:marBottom w:val="0"/>
      <w:divBdr>
        <w:top w:val="none" w:sz="0" w:space="0" w:color="auto"/>
        <w:left w:val="none" w:sz="0" w:space="0" w:color="auto"/>
        <w:bottom w:val="none" w:sz="0" w:space="0" w:color="auto"/>
        <w:right w:val="none" w:sz="0" w:space="0" w:color="auto"/>
      </w:divBdr>
      <w:divsChild>
        <w:div w:id="1063069487">
          <w:marLeft w:val="0"/>
          <w:marRight w:val="0"/>
          <w:marTop w:val="45"/>
          <w:marBottom w:val="45"/>
          <w:divBdr>
            <w:top w:val="none" w:sz="0" w:space="0" w:color="auto"/>
            <w:left w:val="none" w:sz="0" w:space="0" w:color="auto"/>
            <w:bottom w:val="none" w:sz="0" w:space="0" w:color="auto"/>
            <w:right w:val="none" w:sz="0" w:space="0" w:color="auto"/>
          </w:divBdr>
          <w:divsChild>
            <w:div w:id="202376174">
              <w:marLeft w:val="0"/>
              <w:marRight w:val="0"/>
              <w:marTop w:val="0"/>
              <w:marBottom w:val="0"/>
              <w:divBdr>
                <w:top w:val="none" w:sz="0" w:space="0" w:color="auto"/>
                <w:left w:val="none" w:sz="0" w:space="0" w:color="auto"/>
                <w:bottom w:val="none" w:sz="0" w:space="0" w:color="auto"/>
                <w:right w:val="none" w:sz="0" w:space="0" w:color="auto"/>
              </w:divBdr>
              <w:divsChild>
                <w:div w:id="1239710499">
                  <w:marLeft w:val="0"/>
                  <w:marRight w:val="0"/>
                  <w:marTop w:val="0"/>
                  <w:marBottom w:val="0"/>
                  <w:divBdr>
                    <w:top w:val="none" w:sz="0" w:space="0" w:color="auto"/>
                    <w:left w:val="none" w:sz="0" w:space="0" w:color="auto"/>
                    <w:bottom w:val="none" w:sz="0" w:space="0" w:color="auto"/>
                    <w:right w:val="none" w:sz="0" w:space="0" w:color="auto"/>
                  </w:divBdr>
                  <w:divsChild>
                    <w:div w:id="15464837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43702597">
      <w:bodyDiv w:val="1"/>
      <w:marLeft w:val="0"/>
      <w:marRight w:val="0"/>
      <w:marTop w:val="0"/>
      <w:marBottom w:val="0"/>
      <w:divBdr>
        <w:top w:val="none" w:sz="0" w:space="0" w:color="auto"/>
        <w:left w:val="none" w:sz="0" w:space="0" w:color="auto"/>
        <w:bottom w:val="none" w:sz="0" w:space="0" w:color="auto"/>
        <w:right w:val="none" w:sz="0" w:space="0" w:color="auto"/>
      </w:divBdr>
      <w:divsChild>
        <w:div w:id="1776904863">
          <w:marLeft w:val="0"/>
          <w:marRight w:val="0"/>
          <w:marTop w:val="0"/>
          <w:marBottom w:val="0"/>
          <w:divBdr>
            <w:top w:val="none" w:sz="0" w:space="0" w:color="auto"/>
            <w:left w:val="none" w:sz="0" w:space="0" w:color="auto"/>
            <w:bottom w:val="none" w:sz="0" w:space="0" w:color="auto"/>
            <w:right w:val="none" w:sz="0" w:space="0" w:color="auto"/>
          </w:divBdr>
          <w:divsChild>
            <w:div w:id="681054155">
              <w:marLeft w:val="0"/>
              <w:marRight w:val="0"/>
              <w:marTop w:val="0"/>
              <w:marBottom w:val="0"/>
              <w:divBdr>
                <w:top w:val="none" w:sz="0" w:space="0" w:color="auto"/>
                <w:left w:val="none" w:sz="0" w:space="0" w:color="auto"/>
                <w:bottom w:val="none" w:sz="0" w:space="0" w:color="auto"/>
                <w:right w:val="none" w:sz="0" w:space="0" w:color="auto"/>
              </w:divBdr>
              <w:divsChild>
                <w:div w:id="627080535">
                  <w:marLeft w:val="0"/>
                  <w:marRight w:val="0"/>
                  <w:marTop w:val="0"/>
                  <w:marBottom w:val="0"/>
                  <w:divBdr>
                    <w:top w:val="none" w:sz="0" w:space="0" w:color="auto"/>
                    <w:left w:val="none" w:sz="0" w:space="0" w:color="auto"/>
                    <w:bottom w:val="none" w:sz="0" w:space="0" w:color="auto"/>
                    <w:right w:val="none" w:sz="0" w:space="0" w:color="auto"/>
                  </w:divBdr>
                  <w:divsChild>
                    <w:div w:id="1525512041">
                      <w:marLeft w:val="0"/>
                      <w:marRight w:val="0"/>
                      <w:marTop w:val="0"/>
                      <w:marBottom w:val="0"/>
                      <w:divBdr>
                        <w:top w:val="none" w:sz="0" w:space="0" w:color="auto"/>
                        <w:left w:val="none" w:sz="0" w:space="0" w:color="auto"/>
                        <w:bottom w:val="none" w:sz="0" w:space="0" w:color="auto"/>
                        <w:right w:val="none" w:sz="0" w:space="0" w:color="auto"/>
                      </w:divBdr>
                      <w:divsChild>
                        <w:div w:id="2048097011">
                          <w:marLeft w:val="0"/>
                          <w:marRight w:val="0"/>
                          <w:marTop w:val="0"/>
                          <w:marBottom w:val="0"/>
                          <w:divBdr>
                            <w:top w:val="none" w:sz="0" w:space="0" w:color="auto"/>
                            <w:left w:val="none" w:sz="0" w:space="0" w:color="auto"/>
                            <w:bottom w:val="none" w:sz="0" w:space="0" w:color="auto"/>
                            <w:right w:val="none" w:sz="0" w:space="0" w:color="auto"/>
                          </w:divBdr>
                          <w:divsChild>
                            <w:div w:id="392966698">
                              <w:marLeft w:val="0"/>
                              <w:marRight w:val="0"/>
                              <w:marTop w:val="0"/>
                              <w:marBottom w:val="0"/>
                              <w:divBdr>
                                <w:top w:val="none" w:sz="0" w:space="0" w:color="auto"/>
                                <w:left w:val="none" w:sz="0" w:space="0" w:color="auto"/>
                                <w:bottom w:val="none" w:sz="0" w:space="0" w:color="auto"/>
                                <w:right w:val="none" w:sz="0" w:space="0" w:color="auto"/>
                              </w:divBdr>
                              <w:divsChild>
                                <w:div w:id="4167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fairwork.gov.au/about-us/the-fair-work-system" TargetMode="External"/><Relationship Id="rId2" Type="http://schemas.openxmlformats.org/officeDocument/2006/relationships/customXml" Target="../customXml/item2.xml"/><Relationship Id="rId16" Type="http://schemas.openxmlformats.org/officeDocument/2006/relationships/hyperlink" Target="mailto:workplace.relations@pc.gov.a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apsc.gov.au/about-the-apsc/parliamentary/aps-statistical-bulletin/aps-statistical-bulletin-2013-14/main-features"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budget.gov.au/2014-15/content/bp4/html/bp4_part_2.htm" TargetMode="External"/><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budget.gov.au/2014-15/content/bp1/html/bp1_bst9.htm"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nadine.flood@cpsu.org.au" TargetMode="External"/><Relationship Id="rId1" Type="http://schemas.openxmlformats.org/officeDocument/2006/relationships/hyperlink" Target="http://www.cpsu.org.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udget.gov.au/2014-15/content/bp1/html/bp1_bst9.htm" TargetMode="External"/><Relationship Id="rId2" Type="http://schemas.openxmlformats.org/officeDocument/2006/relationships/hyperlink" Target="http://budget.gov.au/2014-15/content/bp4/html/bp4_part_2.htm" TargetMode="External"/><Relationship Id="rId1" Type="http://schemas.openxmlformats.org/officeDocument/2006/relationships/hyperlink" Target="http://www.apsc.gov.au/about-the-apsc/parliamentary/aps-statistical-bulletin/aps-statistical-bulletin-2013-14/main-features%23ap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FADB-9168-4C31-9AB9-E8A7FA129CFE}">
  <ds:schemaRefs>
    <ds:schemaRef ds:uri="http://schemas.microsoft.com/sharepoint/v3/contenttype/forms"/>
  </ds:schemaRefs>
</ds:datastoreItem>
</file>

<file path=customXml/itemProps2.xml><?xml version="1.0" encoding="utf-8"?>
<ds:datastoreItem xmlns:ds="http://schemas.openxmlformats.org/officeDocument/2006/customXml" ds:itemID="{A5D314D9-FF32-4D3B-9777-D0D6328DA4BB}">
  <ds:schemaRefs>
    <ds:schemaRef ds:uri="http://schemas.microsoft.com/office/2006/metadata/customXsn"/>
  </ds:schemaRefs>
</ds:datastoreItem>
</file>

<file path=customXml/itemProps3.xml><?xml version="1.0" encoding="utf-8"?>
<ds:datastoreItem xmlns:ds="http://schemas.openxmlformats.org/officeDocument/2006/customXml" ds:itemID="{4158BFD5-A26E-49AB-BD77-2F27D10D626F}">
  <ds:schemaRefs>
    <ds:schemaRef ds:uri="http://schemas.microsoft.com/sharepoint/events"/>
  </ds:schemaRefs>
</ds:datastoreItem>
</file>

<file path=customXml/itemProps4.xml><?xml version="1.0" encoding="utf-8"?>
<ds:datastoreItem xmlns:ds="http://schemas.openxmlformats.org/officeDocument/2006/customXml" ds:itemID="{8D1D9278-1EEF-445B-8B06-984A74F1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240FF9C-CE98-40FC-B49F-7EAB1EF1E55E}">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7DE2AEDA-613E-445C-8C40-EEDDC7036E20}">
  <ds:schemaRefs>
    <ds:schemaRef ds:uri="http://schemas.openxmlformats.org/officeDocument/2006/bibliography"/>
  </ds:schemaRefs>
</ds:datastoreItem>
</file>

<file path=customXml/itemProps7.xml><?xml version="1.0" encoding="utf-8"?>
<ds:datastoreItem xmlns:ds="http://schemas.openxmlformats.org/officeDocument/2006/customXml" ds:itemID="{656EAC2A-A61C-4452-9057-45C2BDE1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7448</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Submission 160 - Community and Public Sector Union - Workplace Relations Framework - Public inquiry</vt:lpstr>
    </vt:vector>
  </TitlesOfParts>
  <Company>Community and Public Sector Union</Company>
  <LinksUpToDate>false</LinksUpToDate>
  <CharactersWithSpaces>49809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160 - Community and Public Sector Union - Workplace Relations Framework - Public inquiry</dc:title>
  <dc:subject/>
  <dc:creator>Community and Public Sector Union</dc:creator>
  <cp:keywords/>
  <dc:description/>
  <cp:lastModifiedBy>Mark Pimperl</cp:lastModifiedBy>
  <cp:revision>4</cp:revision>
  <cp:lastPrinted>2015-03-19T01:32:00Z</cp:lastPrinted>
  <dcterms:created xsi:type="dcterms:W3CDTF">2015-03-20T06:11:00Z</dcterms:created>
  <dcterms:modified xsi:type="dcterms:W3CDTF">2015-04-13T05:23:00Z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