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557B69" w14:textId="77777777" w:rsidR="00E177F3" w:rsidRPr="00165CC9" w:rsidRDefault="00AA56F4" w:rsidP="00165CC9">
      <w:pPr>
        <w:spacing w:after="0" w:line="240" w:lineRule="auto"/>
        <w:jc w:val="center"/>
        <w:rPr>
          <w:rFonts w:ascii="Times New Roman" w:hAnsi="Times New Roman" w:cs="Times New Roman"/>
          <w:b/>
          <w:sz w:val="24"/>
          <w:szCs w:val="24"/>
        </w:rPr>
      </w:pPr>
      <w:bookmarkStart w:id="0" w:name="_GoBack"/>
      <w:bookmarkEnd w:id="0"/>
      <w:r w:rsidRPr="00165CC9">
        <w:rPr>
          <w:rFonts w:ascii="Times New Roman" w:hAnsi="Times New Roman" w:cs="Times New Roman"/>
          <w:b/>
          <w:sz w:val="24"/>
          <w:szCs w:val="24"/>
        </w:rPr>
        <w:t>Australian Government, Productivity C</w:t>
      </w:r>
      <w:r w:rsidR="001C3653" w:rsidRPr="00165CC9">
        <w:rPr>
          <w:rFonts w:ascii="Times New Roman" w:hAnsi="Times New Roman" w:cs="Times New Roman"/>
          <w:b/>
          <w:sz w:val="24"/>
          <w:szCs w:val="24"/>
        </w:rPr>
        <w:t>ommission</w:t>
      </w:r>
    </w:p>
    <w:p w14:paraId="236C2045" w14:textId="77777777" w:rsidR="00AA56F4" w:rsidRPr="00A20411" w:rsidRDefault="00AA56F4" w:rsidP="00165CC9">
      <w:pPr>
        <w:spacing w:after="0" w:line="240" w:lineRule="auto"/>
        <w:jc w:val="center"/>
        <w:rPr>
          <w:rFonts w:ascii="Times New Roman" w:hAnsi="Times New Roman" w:cs="Times New Roman"/>
          <w:b/>
          <w:sz w:val="28"/>
          <w:szCs w:val="28"/>
        </w:rPr>
      </w:pPr>
      <w:r w:rsidRPr="00A20411">
        <w:rPr>
          <w:rFonts w:ascii="Times New Roman" w:hAnsi="Times New Roman" w:cs="Times New Roman"/>
          <w:b/>
          <w:sz w:val="28"/>
          <w:szCs w:val="28"/>
        </w:rPr>
        <w:t>Business Set-up, Transfer and Closure</w:t>
      </w:r>
    </w:p>
    <w:p w14:paraId="061EC898" w14:textId="77777777" w:rsidR="001C3653" w:rsidRPr="00165CC9" w:rsidRDefault="00AA56F4" w:rsidP="00165CC9">
      <w:pPr>
        <w:spacing w:after="0" w:line="240" w:lineRule="auto"/>
        <w:jc w:val="center"/>
        <w:rPr>
          <w:rFonts w:ascii="Times New Roman" w:hAnsi="Times New Roman" w:cs="Times New Roman"/>
          <w:sz w:val="24"/>
          <w:szCs w:val="24"/>
        </w:rPr>
      </w:pPr>
      <w:r w:rsidRPr="00165CC9">
        <w:rPr>
          <w:rFonts w:ascii="Times New Roman" w:hAnsi="Times New Roman" w:cs="Times New Roman"/>
          <w:b/>
          <w:sz w:val="24"/>
          <w:szCs w:val="24"/>
        </w:rPr>
        <w:t>Productivity Commission Issues Paper December 2014</w:t>
      </w:r>
    </w:p>
    <w:p w14:paraId="6602144E" w14:textId="77777777" w:rsidR="00AA56F4" w:rsidRPr="00165CC9" w:rsidRDefault="00AA56F4" w:rsidP="00165CC9">
      <w:pPr>
        <w:spacing w:after="0" w:line="240" w:lineRule="auto"/>
        <w:jc w:val="center"/>
        <w:rPr>
          <w:rFonts w:ascii="Times New Roman" w:hAnsi="Times New Roman" w:cs="Times New Roman"/>
          <w:sz w:val="24"/>
          <w:szCs w:val="24"/>
        </w:rPr>
      </w:pPr>
    </w:p>
    <w:p w14:paraId="78D1F12A" w14:textId="77777777" w:rsidR="00AA56F4" w:rsidRPr="00165CC9" w:rsidRDefault="00AA56F4" w:rsidP="00165CC9">
      <w:pPr>
        <w:spacing w:after="0" w:line="240" w:lineRule="auto"/>
        <w:jc w:val="center"/>
        <w:rPr>
          <w:rFonts w:ascii="Times New Roman" w:hAnsi="Times New Roman" w:cs="Times New Roman"/>
          <w:sz w:val="24"/>
          <w:szCs w:val="24"/>
        </w:rPr>
      </w:pPr>
      <w:r w:rsidRPr="00165CC9">
        <w:rPr>
          <w:rFonts w:ascii="Times New Roman" w:hAnsi="Times New Roman" w:cs="Times New Roman"/>
          <w:sz w:val="24"/>
          <w:szCs w:val="24"/>
        </w:rPr>
        <w:t>Submission by Associate Professor Helen Anderson, Professors Ian Ramsay and Ann O’Connell, Melbourne Law School, and Associate Professor Michelle Welsh, Department of Business Law and Taxation, Monash University.</w:t>
      </w:r>
    </w:p>
    <w:p w14:paraId="291DC9A0" w14:textId="77777777" w:rsidR="00AA56F4" w:rsidRPr="00165CC9" w:rsidRDefault="00AA56F4" w:rsidP="00165CC9">
      <w:pPr>
        <w:spacing w:after="0" w:line="240" w:lineRule="auto"/>
        <w:jc w:val="center"/>
        <w:rPr>
          <w:rFonts w:ascii="Times New Roman" w:hAnsi="Times New Roman" w:cs="Times New Roman"/>
          <w:sz w:val="24"/>
          <w:szCs w:val="24"/>
        </w:rPr>
      </w:pPr>
    </w:p>
    <w:p w14:paraId="76CCD238" w14:textId="69C8996D" w:rsidR="00AA56F4" w:rsidRPr="00165CC9" w:rsidRDefault="00A20411" w:rsidP="00165C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r w:rsidR="00F2255E" w:rsidRPr="00165CC9">
        <w:rPr>
          <w:rFonts w:ascii="Times New Roman" w:hAnsi="Times New Roman" w:cs="Times New Roman"/>
          <w:sz w:val="24"/>
          <w:szCs w:val="24"/>
        </w:rPr>
        <w:t xml:space="preserve"> February</w:t>
      </w:r>
      <w:r w:rsidR="00AA56F4" w:rsidRPr="00165CC9">
        <w:rPr>
          <w:rFonts w:ascii="Times New Roman" w:hAnsi="Times New Roman" w:cs="Times New Roman"/>
          <w:sz w:val="24"/>
          <w:szCs w:val="24"/>
        </w:rPr>
        <w:t xml:space="preserve"> 2015</w:t>
      </w:r>
    </w:p>
    <w:p w14:paraId="2AA9990B" w14:textId="77777777" w:rsidR="00AA56F4" w:rsidRPr="00165CC9" w:rsidRDefault="00AA56F4" w:rsidP="00165CC9">
      <w:pPr>
        <w:pBdr>
          <w:bottom w:val="single" w:sz="6" w:space="1" w:color="auto"/>
        </w:pBdr>
        <w:spacing w:after="0" w:line="240" w:lineRule="auto"/>
        <w:jc w:val="both"/>
        <w:rPr>
          <w:rFonts w:ascii="Times New Roman" w:hAnsi="Times New Roman" w:cs="Times New Roman"/>
          <w:sz w:val="24"/>
          <w:szCs w:val="24"/>
        </w:rPr>
      </w:pPr>
    </w:p>
    <w:p w14:paraId="476107A6" w14:textId="77777777" w:rsidR="00AA56F4" w:rsidRPr="00165CC9" w:rsidRDefault="00AA56F4" w:rsidP="00165CC9">
      <w:pPr>
        <w:spacing w:after="0" w:line="240" w:lineRule="auto"/>
        <w:jc w:val="both"/>
        <w:rPr>
          <w:rFonts w:ascii="Times New Roman" w:hAnsi="Times New Roman" w:cs="Times New Roman"/>
          <w:sz w:val="24"/>
          <w:szCs w:val="24"/>
        </w:rPr>
      </w:pPr>
    </w:p>
    <w:p w14:paraId="706F3E2C" w14:textId="77777777" w:rsidR="00AA56F4" w:rsidRPr="00165CC9" w:rsidRDefault="00AA56F4" w:rsidP="00165CC9">
      <w:pPr>
        <w:spacing w:after="0" w:line="240" w:lineRule="auto"/>
        <w:jc w:val="both"/>
        <w:rPr>
          <w:rFonts w:ascii="Times New Roman" w:hAnsi="Times New Roman" w:cs="Times New Roman"/>
          <w:sz w:val="24"/>
          <w:szCs w:val="24"/>
        </w:rPr>
      </w:pPr>
      <w:r w:rsidRPr="00165CC9">
        <w:rPr>
          <w:rFonts w:ascii="Times New Roman" w:hAnsi="Times New Roman" w:cs="Times New Roman"/>
          <w:sz w:val="24"/>
          <w:szCs w:val="24"/>
          <w:u w:val="single"/>
        </w:rPr>
        <w:t>Introduction</w:t>
      </w:r>
    </w:p>
    <w:p w14:paraId="76B11A23" w14:textId="77777777" w:rsidR="00AA56F4" w:rsidRPr="00165CC9" w:rsidRDefault="00AA56F4" w:rsidP="00165CC9">
      <w:pPr>
        <w:spacing w:after="0" w:line="240" w:lineRule="auto"/>
        <w:jc w:val="both"/>
        <w:rPr>
          <w:rFonts w:ascii="Times New Roman" w:hAnsi="Times New Roman" w:cs="Times New Roman"/>
          <w:sz w:val="24"/>
          <w:szCs w:val="24"/>
        </w:rPr>
      </w:pPr>
      <w:r w:rsidRPr="00165CC9">
        <w:rPr>
          <w:rFonts w:ascii="Times New Roman" w:hAnsi="Times New Roman" w:cs="Times New Roman"/>
          <w:sz w:val="24"/>
          <w:szCs w:val="24"/>
        </w:rPr>
        <w:t xml:space="preserve">We thank the Productivity Commission for this opportunity to respond to </w:t>
      </w:r>
      <w:r w:rsidR="0053258A" w:rsidRPr="00165CC9">
        <w:rPr>
          <w:rFonts w:ascii="Times New Roman" w:hAnsi="Times New Roman" w:cs="Times New Roman"/>
          <w:sz w:val="24"/>
          <w:szCs w:val="24"/>
        </w:rPr>
        <w:t>the</w:t>
      </w:r>
      <w:r w:rsidR="00EF56DE" w:rsidRPr="00165CC9">
        <w:rPr>
          <w:rFonts w:ascii="Times New Roman" w:hAnsi="Times New Roman" w:cs="Times New Roman"/>
          <w:sz w:val="24"/>
          <w:szCs w:val="24"/>
        </w:rPr>
        <w:t xml:space="preserve"> </w:t>
      </w:r>
      <w:r w:rsidRPr="00165CC9">
        <w:rPr>
          <w:rFonts w:ascii="Times New Roman" w:hAnsi="Times New Roman" w:cs="Times New Roman"/>
          <w:sz w:val="24"/>
          <w:szCs w:val="24"/>
        </w:rPr>
        <w:t xml:space="preserve">Issues Paper ‘Business Set-up, Transfer and Closure’. We are a group of academics </w:t>
      </w:r>
      <w:r w:rsidR="006A30E1" w:rsidRPr="00165CC9">
        <w:rPr>
          <w:rFonts w:ascii="Times New Roman" w:hAnsi="Times New Roman" w:cs="Times New Roman"/>
          <w:sz w:val="24"/>
          <w:szCs w:val="24"/>
        </w:rPr>
        <w:t>beginning the second year of a three year</w:t>
      </w:r>
      <w:r w:rsidRPr="00165CC9">
        <w:rPr>
          <w:rFonts w:ascii="Times New Roman" w:hAnsi="Times New Roman" w:cs="Times New Roman"/>
          <w:sz w:val="24"/>
          <w:szCs w:val="24"/>
        </w:rPr>
        <w:t xml:space="preserve"> Australian Research Council-funded project examining the regulation of illegal phoenix activity. Our aim is to devise ways in which this damaging behaviour can be most efficiently and effectively prevented and deterred</w:t>
      </w:r>
      <w:r w:rsidR="00EF56DE" w:rsidRPr="00165CC9">
        <w:rPr>
          <w:rFonts w:ascii="Times New Roman" w:hAnsi="Times New Roman" w:cs="Times New Roman"/>
          <w:sz w:val="24"/>
          <w:szCs w:val="24"/>
        </w:rPr>
        <w:t>, without damaging legitimate business activities to the detriment of the economy</w:t>
      </w:r>
      <w:r w:rsidRPr="00165CC9">
        <w:rPr>
          <w:rFonts w:ascii="Times New Roman" w:hAnsi="Times New Roman" w:cs="Times New Roman"/>
          <w:sz w:val="24"/>
          <w:szCs w:val="24"/>
        </w:rPr>
        <w:t>.</w:t>
      </w:r>
      <w:r w:rsidR="00314638" w:rsidRPr="00165CC9">
        <w:rPr>
          <w:rFonts w:ascii="Times New Roman" w:hAnsi="Times New Roman" w:cs="Times New Roman"/>
          <w:sz w:val="24"/>
          <w:szCs w:val="24"/>
        </w:rPr>
        <w:t xml:space="preserve"> Our most recent output is a major report entitled Defining and Profiling Phoenix Activity, which is available from: </w:t>
      </w:r>
      <w:hyperlink r:id="rId14" w:history="1">
        <w:r w:rsidR="00314638" w:rsidRPr="00165CC9">
          <w:rPr>
            <w:rStyle w:val="Hyperlink"/>
            <w:rFonts w:ascii="Times New Roman" w:hAnsi="Times New Roman" w:cs="Times New Roman"/>
            <w:sz w:val="24"/>
            <w:szCs w:val="24"/>
          </w:rPr>
          <w:t>http://law.unimelb.edu.au/cclsr/centre-activities/research/major-research-projects/regulating-</w:t>
        </w:r>
        <w:proofErr w:type="gramStart"/>
        <w:r w:rsidR="00314638" w:rsidRPr="00165CC9">
          <w:rPr>
            <w:rStyle w:val="Hyperlink"/>
            <w:rFonts w:ascii="Times New Roman" w:hAnsi="Times New Roman" w:cs="Times New Roman"/>
            <w:sz w:val="24"/>
            <w:szCs w:val="24"/>
          </w:rPr>
          <w:t>fraudulent-phoenix-activity</w:t>
        </w:r>
      </w:hyperlink>
      <w:r w:rsidR="00314638" w:rsidRPr="00165CC9">
        <w:rPr>
          <w:rFonts w:ascii="Times New Roman" w:hAnsi="Times New Roman" w:cs="Times New Roman"/>
          <w:sz w:val="24"/>
          <w:szCs w:val="24"/>
        </w:rPr>
        <w:t>.</w:t>
      </w:r>
      <w:proofErr w:type="gramEnd"/>
      <w:r w:rsidR="00314638" w:rsidRPr="00165CC9">
        <w:rPr>
          <w:rFonts w:ascii="Times New Roman" w:hAnsi="Times New Roman" w:cs="Times New Roman"/>
          <w:sz w:val="24"/>
          <w:szCs w:val="24"/>
        </w:rPr>
        <w:t xml:space="preserve"> </w:t>
      </w:r>
      <w:r w:rsidR="006A30E1" w:rsidRPr="00165CC9">
        <w:rPr>
          <w:rFonts w:ascii="Times New Roman" w:hAnsi="Times New Roman" w:cs="Times New Roman"/>
          <w:sz w:val="24"/>
          <w:szCs w:val="24"/>
        </w:rPr>
        <w:t xml:space="preserve">Please note that the recommendations included in this submission are not the final or complete recommendations from the project. </w:t>
      </w:r>
    </w:p>
    <w:p w14:paraId="0344B02C" w14:textId="77777777" w:rsidR="00AA56F4" w:rsidRPr="00165CC9" w:rsidRDefault="00AA56F4" w:rsidP="00165CC9">
      <w:pPr>
        <w:spacing w:after="0" w:line="240" w:lineRule="auto"/>
        <w:jc w:val="both"/>
        <w:rPr>
          <w:rFonts w:ascii="Times New Roman" w:hAnsi="Times New Roman" w:cs="Times New Roman"/>
          <w:sz w:val="24"/>
          <w:szCs w:val="24"/>
        </w:rPr>
      </w:pPr>
    </w:p>
    <w:p w14:paraId="7D273A68" w14:textId="77777777" w:rsidR="009A57A4" w:rsidRPr="00165CC9" w:rsidRDefault="009A57A4" w:rsidP="00165CC9">
      <w:pPr>
        <w:spacing w:after="0" w:line="240" w:lineRule="auto"/>
        <w:jc w:val="both"/>
        <w:rPr>
          <w:rFonts w:ascii="Times New Roman" w:hAnsi="Times New Roman" w:cs="Times New Roman"/>
          <w:sz w:val="24"/>
          <w:szCs w:val="24"/>
        </w:rPr>
      </w:pPr>
      <w:r w:rsidRPr="00165CC9">
        <w:rPr>
          <w:rFonts w:ascii="Times New Roman" w:hAnsi="Times New Roman" w:cs="Times New Roman"/>
          <w:sz w:val="24"/>
          <w:szCs w:val="24"/>
        </w:rPr>
        <w:t xml:space="preserve">The concept of phoenix activity broadly centres on the idea of </w:t>
      </w:r>
      <w:r w:rsidRPr="00165CC9">
        <w:rPr>
          <w:rFonts w:ascii="Times New Roman" w:hAnsi="Times New Roman" w:cs="Times New Roman"/>
          <w:color w:val="000000"/>
          <w:sz w:val="24"/>
          <w:szCs w:val="24"/>
        </w:rPr>
        <w:t xml:space="preserve">a corporate failure and a second company, often newly incorporated, </w:t>
      </w:r>
      <w:r w:rsidRPr="00165CC9">
        <w:rPr>
          <w:rFonts w:ascii="Times New Roman" w:hAnsi="Times New Roman" w:cs="Times New Roman"/>
          <w:sz w:val="24"/>
          <w:szCs w:val="24"/>
        </w:rPr>
        <w:t xml:space="preserve">arising from the ashes of its failed predecessor where the second company’s controllers and business are essentially the same. Phoenix activity can be legal as well as illegal. Legal phoenix activity covers situations where the previous controllers start another similar business, using a new company when their earlier company fails, usually in order to rescue its business. Illegal phoenix activity involves similar activities, but the intention is to exploit the corporate form to the detriment of unsecured creditors, including employees and tax authorities. </w:t>
      </w:r>
      <w:r w:rsidR="007D6C73" w:rsidRPr="00165CC9">
        <w:rPr>
          <w:rFonts w:ascii="Times New Roman" w:hAnsi="Times New Roman" w:cs="Times New Roman"/>
          <w:sz w:val="24"/>
          <w:szCs w:val="24"/>
        </w:rPr>
        <w:t xml:space="preserve">The illegality here is generally as a result of a breach of directors’ duties in failing to act properly in respect of the failed company and its creditors. </w:t>
      </w:r>
      <w:r w:rsidR="00EF56DE" w:rsidRPr="00165CC9">
        <w:rPr>
          <w:rFonts w:ascii="Times New Roman" w:hAnsi="Times New Roman" w:cs="Times New Roman"/>
          <w:sz w:val="24"/>
          <w:szCs w:val="24"/>
        </w:rPr>
        <w:t>While our focus has been on disrupting illegal phoenix activity, t</w:t>
      </w:r>
      <w:r w:rsidR="007D6C73" w:rsidRPr="00165CC9">
        <w:rPr>
          <w:rFonts w:ascii="Times New Roman" w:hAnsi="Times New Roman" w:cs="Times New Roman"/>
          <w:sz w:val="24"/>
          <w:szCs w:val="24"/>
        </w:rPr>
        <w:t>he Productivity Commission</w:t>
      </w:r>
      <w:r w:rsidR="00EF56DE" w:rsidRPr="00165CC9">
        <w:rPr>
          <w:rFonts w:ascii="Times New Roman" w:hAnsi="Times New Roman" w:cs="Times New Roman"/>
          <w:sz w:val="24"/>
          <w:szCs w:val="24"/>
        </w:rPr>
        <w:t xml:space="preserve"> in its current inquiry</w:t>
      </w:r>
      <w:r w:rsidR="007D6C73" w:rsidRPr="00165CC9">
        <w:rPr>
          <w:rFonts w:ascii="Times New Roman" w:hAnsi="Times New Roman" w:cs="Times New Roman"/>
          <w:sz w:val="24"/>
          <w:szCs w:val="24"/>
        </w:rPr>
        <w:t xml:space="preserve"> might also like to consider the </w:t>
      </w:r>
      <w:r w:rsidR="0053258A" w:rsidRPr="00165CC9">
        <w:rPr>
          <w:rFonts w:ascii="Times New Roman" w:hAnsi="Times New Roman" w:cs="Times New Roman"/>
          <w:sz w:val="24"/>
          <w:szCs w:val="24"/>
        </w:rPr>
        <w:t xml:space="preserve">danger posed by the </w:t>
      </w:r>
      <w:r w:rsidR="007D6C73" w:rsidRPr="00165CC9">
        <w:rPr>
          <w:rFonts w:ascii="Times New Roman" w:hAnsi="Times New Roman" w:cs="Times New Roman"/>
          <w:sz w:val="24"/>
          <w:szCs w:val="24"/>
        </w:rPr>
        <w:t xml:space="preserve">hopeless entrepreneur, </w:t>
      </w:r>
      <w:r w:rsidR="0053258A" w:rsidRPr="00165CC9">
        <w:rPr>
          <w:rFonts w:ascii="Times New Roman" w:hAnsi="Times New Roman" w:cs="Times New Roman"/>
          <w:sz w:val="24"/>
          <w:szCs w:val="24"/>
        </w:rPr>
        <w:t xml:space="preserve">who incorporates multiple companies in succession, without learning from prior failures, and </w:t>
      </w:r>
      <w:r w:rsidR="008B3366">
        <w:rPr>
          <w:rFonts w:ascii="Times New Roman" w:hAnsi="Times New Roman" w:cs="Times New Roman"/>
          <w:sz w:val="24"/>
          <w:szCs w:val="24"/>
        </w:rPr>
        <w:t>thus causes</w:t>
      </w:r>
      <w:r w:rsidR="0053258A" w:rsidRPr="00165CC9">
        <w:rPr>
          <w:rFonts w:ascii="Times New Roman" w:hAnsi="Times New Roman" w:cs="Times New Roman"/>
          <w:sz w:val="24"/>
          <w:szCs w:val="24"/>
        </w:rPr>
        <w:t xml:space="preserve"> loss</w:t>
      </w:r>
      <w:r w:rsidR="008B3366">
        <w:rPr>
          <w:rFonts w:ascii="Times New Roman" w:hAnsi="Times New Roman" w:cs="Times New Roman"/>
          <w:sz w:val="24"/>
          <w:szCs w:val="24"/>
        </w:rPr>
        <w:t>es</w:t>
      </w:r>
      <w:r w:rsidR="0053258A" w:rsidRPr="00165CC9">
        <w:rPr>
          <w:rFonts w:ascii="Times New Roman" w:hAnsi="Times New Roman" w:cs="Times New Roman"/>
          <w:sz w:val="24"/>
          <w:szCs w:val="24"/>
        </w:rPr>
        <w:t xml:space="preserve"> to successive groups </w:t>
      </w:r>
      <w:r w:rsidR="007D6C73" w:rsidRPr="00165CC9">
        <w:rPr>
          <w:rFonts w:ascii="Times New Roman" w:hAnsi="Times New Roman" w:cs="Times New Roman"/>
          <w:sz w:val="24"/>
          <w:szCs w:val="24"/>
        </w:rPr>
        <w:t xml:space="preserve">of </w:t>
      </w:r>
      <w:r w:rsidR="0053258A" w:rsidRPr="00165CC9">
        <w:rPr>
          <w:rFonts w:ascii="Times New Roman" w:hAnsi="Times New Roman" w:cs="Times New Roman"/>
          <w:sz w:val="24"/>
          <w:szCs w:val="24"/>
        </w:rPr>
        <w:t xml:space="preserve">unsuspecting </w:t>
      </w:r>
      <w:r w:rsidR="007D6C73" w:rsidRPr="00165CC9">
        <w:rPr>
          <w:rFonts w:ascii="Times New Roman" w:hAnsi="Times New Roman" w:cs="Times New Roman"/>
          <w:sz w:val="24"/>
          <w:szCs w:val="24"/>
        </w:rPr>
        <w:t>creditors.</w:t>
      </w:r>
    </w:p>
    <w:p w14:paraId="64F8B15A" w14:textId="77777777" w:rsidR="009A57A4" w:rsidRPr="00165CC9" w:rsidRDefault="009A57A4" w:rsidP="00165CC9">
      <w:pPr>
        <w:spacing w:after="0" w:line="240" w:lineRule="auto"/>
        <w:jc w:val="both"/>
        <w:rPr>
          <w:rFonts w:ascii="Times New Roman" w:hAnsi="Times New Roman" w:cs="Times New Roman"/>
          <w:sz w:val="24"/>
          <w:szCs w:val="24"/>
        </w:rPr>
      </w:pPr>
    </w:p>
    <w:p w14:paraId="33B8A722" w14:textId="2C238CFA" w:rsidR="009D6C7D" w:rsidRPr="00165CC9" w:rsidRDefault="009A57A4" w:rsidP="00165CC9">
      <w:pPr>
        <w:spacing w:after="0" w:line="240" w:lineRule="auto"/>
        <w:jc w:val="both"/>
        <w:rPr>
          <w:rFonts w:ascii="Times New Roman" w:hAnsi="Times New Roman" w:cs="Times New Roman"/>
          <w:sz w:val="24"/>
          <w:szCs w:val="24"/>
          <w:u w:val="single"/>
        </w:rPr>
      </w:pPr>
      <w:r w:rsidRPr="00165CC9">
        <w:rPr>
          <w:rFonts w:ascii="Times New Roman" w:hAnsi="Times New Roman" w:cs="Times New Roman"/>
          <w:sz w:val="24"/>
          <w:szCs w:val="24"/>
        </w:rPr>
        <w:t>Because phoenix activity spans the creation, transfer</w:t>
      </w:r>
      <w:r w:rsidR="00592B96">
        <w:rPr>
          <w:rFonts w:ascii="Times New Roman" w:hAnsi="Times New Roman" w:cs="Times New Roman"/>
          <w:sz w:val="24"/>
          <w:szCs w:val="24"/>
        </w:rPr>
        <w:t>,</w:t>
      </w:r>
      <w:r w:rsidRPr="00165CC9">
        <w:rPr>
          <w:rFonts w:ascii="Times New Roman" w:hAnsi="Times New Roman" w:cs="Times New Roman"/>
          <w:sz w:val="24"/>
          <w:szCs w:val="24"/>
        </w:rPr>
        <w:t xml:space="preserve"> and closure of businesses, our submission shall address all three </w:t>
      </w:r>
      <w:r w:rsidR="00592B96">
        <w:rPr>
          <w:rFonts w:ascii="Times New Roman" w:hAnsi="Times New Roman" w:cs="Times New Roman"/>
          <w:sz w:val="24"/>
          <w:szCs w:val="24"/>
        </w:rPr>
        <w:t xml:space="preserve">of these </w:t>
      </w:r>
      <w:r w:rsidRPr="00165CC9">
        <w:rPr>
          <w:rFonts w:ascii="Times New Roman" w:hAnsi="Times New Roman" w:cs="Times New Roman"/>
          <w:sz w:val="24"/>
          <w:szCs w:val="24"/>
        </w:rPr>
        <w:t>areas</w:t>
      </w:r>
      <w:r w:rsidR="005C12CF" w:rsidRPr="00165CC9">
        <w:rPr>
          <w:rFonts w:ascii="Times New Roman" w:hAnsi="Times New Roman" w:cs="Times New Roman"/>
          <w:sz w:val="24"/>
          <w:szCs w:val="24"/>
        </w:rPr>
        <w:t xml:space="preserve"> </w:t>
      </w:r>
      <w:r w:rsidR="00A20411">
        <w:rPr>
          <w:rFonts w:ascii="Times New Roman" w:hAnsi="Times New Roman" w:cs="Times New Roman"/>
          <w:sz w:val="24"/>
          <w:szCs w:val="24"/>
        </w:rPr>
        <w:t>together</w:t>
      </w:r>
      <w:r w:rsidRPr="00165CC9">
        <w:rPr>
          <w:rFonts w:ascii="Times New Roman" w:hAnsi="Times New Roman" w:cs="Times New Roman"/>
          <w:sz w:val="24"/>
          <w:szCs w:val="24"/>
        </w:rPr>
        <w:t xml:space="preserve">. </w:t>
      </w:r>
      <w:r w:rsidR="00EC7C57" w:rsidRPr="00165CC9">
        <w:rPr>
          <w:rFonts w:ascii="Times New Roman" w:hAnsi="Times New Roman" w:cs="Times New Roman"/>
          <w:sz w:val="24"/>
          <w:szCs w:val="24"/>
        </w:rPr>
        <w:t xml:space="preserve">This submission </w:t>
      </w:r>
      <w:r w:rsidR="00592B96">
        <w:rPr>
          <w:rFonts w:ascii="Times New Roman" w:hAnsi="Times New Roman" w:cs="Times New Roman"/>
          <w:sz w:val="24"/>
          <w:szCs w:val="24"/>
        </w:rPr>
        <w:t>comprises</w:t>
      </w:r>
      <w:r w:rsidR="00EC7C57" w:rsidRPr="00165CC9">
        <w:rPr>
          <w:rFonts w:ascii="Times New Roman" w:hAnsi="Times New Roman" w:cs="Times New Roman"/>
          <w:sz w:val="24"/>
          <w:szCs w:val="24"/>
        </w:rPr>
        <w:t xml:space="preserve"> the following parts. First, we address the economic justifications for the reduction of barriers to entry </w:t>
      </w:r>
      <w:r w:rsidR="00A20411">
        <w:rPr>
          <w:rFonts w:ascii="Times New Roman" w:hAnsi="Times New Roman" w:cs="Times New Roman"/>
          <w:sz w:val="24"/>
          <w:szCs w:val="24"/>
        </w:rPr>
        <w:t>to, and exit from,</w:t>
      </w:r>
      <w:r w:rsidR="00EC7C57" w:rsidRPr="00165CC9">
        <w:rPr>
          <w:rFonts w:ascii="Times New Roman" w:hAnsi="Times New Roman" w:cs="Times New Roman"/>
          <w:sz w:val="24"/>
          <w:szCs w:val="24"/>
        </w:rPr>
        <w:t xml:space="preserve"> business.</w:t>
      </w:r>
      <w:r w:rsidR="006E5C31" w:rsidRPr="00165CC9">
        <w:rPr>
          <w:rFonts w:ascii="Times New Roman" w:hAnsi="Times New Roman" w:cs="Times New Roman"/>
          <w:sz w:val="24"/>
          <w:szCs w:val="24"/>
        </w:rPr>
        <w:t xml:space="preserve"> Second</w:t>
      </w:r>
      <w:r w:rsidR="00610AC7">
        <w:rPr>
          <w:rFonts w:ascii="Times New Roman" w:hAnsi="Times New Roman" w:cs="Times New Roman"/>
          <w:sz w:val="24"/>
          <w:szCs w:val="24"/>
        </w:rPr>
        <w:t>,</w:t>
      </w:r>
      <w:r w:rsidR="006E5C31" w:rsidRPr="00165CC9">
        <w:rPr>
          <w:rFonts w:ascii="Times New Roman" w:hAnsi="Times New Roman" w:cs="Times New Roman"/>
          <w:sz w:val="24"/>
          <w:szCs w:val="24"/>
        </w:rPr>
        <w:t xml:space="preserve"> we </w:t>
      </w:r>
      <w:r w:rsidR="00545091">
        <w:rPr>
          <w:rFonts w:ascii="Times New Roman" w:hAnsi="Times New Roman" w:cs="Times New Roman"/>
          <w:sz w:val="24"/>
          <w:szCs w:val="24"/>
        </w:rPr>
        <w:t>address</w:t>
      </w:r>
      <w:r w:rsidR="006E5C31" w:rsidRPr="00165CC9">
        <w:rPr>
          <w:rFonts w:ascii="Times New Roman" w:hAnsi="Times New Roman" w:cs="Times New Roman"/>
          <w:sz w:val="24"/>
          <w:szCs w:val="24"/>
        </w:rPr>
        <w:t xml:space="preserve"> </w:t>
      </w:r>
      <w:r w:rsidR="00EF56DE" w:rsidRPr="00165CC9">
        <w:rPr>
          <w:rFonts w:ascii="Times New Roman" w:hAnsi="Times New Roman" w:cs="Times New Roman"/>
          <w:sz w:val="24"/>
          <w:szCs w:val="24"/>
        </w:rPr>
        <w:t xml:space="preserve">legitimate policy objectives that </w:t>
      </w:r>
      <w:r w:rsidR="00545091">
        <w:rPr>
          <w:rFonts w:ascii="Times New Roman" w:hAnsi="Times New Roman" w:cs="Times New Roman"/>
          <w:sz w:val="24"/>
          <w:szCs w:val="24"/>
        </w:rPr>
        <w:t>should</w:t>
      </w:r>
      <w:r w:rsidR="00EF56DE" w:rsidRPr="00165CC9">
        <w:rPr>
          <w:rFonts w:ascii="Times New Roman" w:hAnsi="Times New Roman" w:cs="Times New Roman"/>
          <w:sz w:val="24"/>
          <w:szCs w:val="24"/>
        </w:rPr>
        <w:t xml:space="preserve"> be considered in this inquiry. </w:t>
      </w:r>
      <w:r w:rsidR="006E5C31" w:rsidRPr="00165CC9">
        <w:rPr>
          <w:rFonts w:ascii="Times New Roman" w:hAnsi="Times New Roman" w:cs="Times New Roman"/>
          <w:sz w:val="24"/>
          <w:szCs w:val="24"/>
        </w:rPr>
        <w:t>Third</w:t>
      </w:r>
      <w:r w:rsidR="0075304C">
        <w:rPr>
          <w:rFonts w:ascii="Times New Roman" w:hAnsi="Times New Roman" w:cs="Times New Roman"/>
          <w:sz w:val="24"/>
          <w:szCs w:val="24"/>
        </w:rPr>
        <w:t>,</w:t>
      </w:r>
      <w:r w:rsidR="006E5C31" w:rsidRPr="00165CC9">
        <w:rPr>
          <w:rFonts w:ascii="Times New Roman" w:hAnsi="Times New Roman" w:cs="Times New Roman"/>
          <w:sz w:val="24"/>
          <w:szCs w:val="24"/>
        </w:rPr>
        <w:t xml:space="preserve"> we p</w:t>
      </w:r>
      <w:r w:rsidR="001B1D54">
        <w:rPr>
          <w:rFonts w:ascii="Times New Roman" w:hAnsi="Times New Roman" w:cs="Times New Roman"/>
          <w:sz w:val="24"/>
          <w:szCs w:val="24"/>
        </w:rPr>
        <w:t>rop</w:t>
      </w:r>
      <w:r w:rsidR="006E5C31" w:rsidRPr="00165CC9">
        <w:rPr>
          <w:rFonts w:ascii="Times New Roman" w:hAnsi="Times New Roman" w:cs="Times New Roman"/>
          <w:sz w:val="24"/>
          <w:szCs w:val="24"/>
        </w:rPr>
        <w:t>ose some possible changes that</w:t>
      </w:r>
      <w:r w:rsidR="009D6C7D" w:rsidRPr="00165CC9">
        <w:rPr>
          <w:rFonts w:ascii="Times New Roman" w:hAnsi="Times New Roman" w:cs="Times New Roman"/>
          <w:sz w:val="24"/>
          <w:szCs w:val="24"/>
        </w:rPr>
        <w:t xml:space="preserve"> the P</w:t>
      </w:r>
      <w:r w:rsidR="006E3149">
        <w:rPr>
          <w:rFonts w:ascii="Times New Roman" w:hAnsi="Times New Roman" w:cs="Times New Roman"/>
          <w:sz w:val="24"/>
          <w:szCs w:val="24"/>
        </w:rPr>
        <w:t xml:space="preserve">roductivity </w:t>
      </w:r>
      <w:r w:rsidR="009D6C7D" w:rsidRPr="00165CC9">
        <w:rPr>
          <w:rFonts w:ascii="Times New Roman" w:hAnsi="Times New Roman" w:cs="Times New Roman"/>
          <w:sz w:val="24"/>
          <w:szCs w:val="24"/>
        </w:rPr>
        <w:t>C</w:t>
      </w:r>
      <w:r w:rsidR="006E3149">
        <w:rPr>
          <w:rFonts w:ascii="Times New Roman" w:hAnsi="Times New Roman" w:cs="Times New Roman"/>
          <w:sz w:val="24"/>
          <w:szCs w:val="24"/>
        </w:rPr>
        <w:t>ommission</w:t>
      </w:r>
      <w:r w:rsidR="009D6C7D" w:rsidRPr="00165CC9">
        <w:rPr>
          <w:rFonts w:ascii="Times New Roman" w:hAnsi="Times New Roman" w:cs="Times New Roman"/>
          <w:sz w:val="24"/>
          <w:szCs w:val="24"/>
        </w:rPr>
        <w:t xml:space="preserve"> might like to consider in the context of meeting legitimate policy objectives while reducing barriers to set-up and closure.</w:t>
      </w:r>
    </w:p>
    <w:p w14:paraId="4DF08A3C" w14:textId="77777777" w:rsidR="009D6C7D" w:rsidRPr="00165CC9" w:rsidRDefault="009D6C7D" w:rsidP="00165CC9">
      <w:pPr>
        <w:spacing w:after="0" w:line="240" w:lineRule="auto"/>
        <w:jc w:val="both"/>
        <w:rPr>
          <w:rFonts w:ascii="Times New Roman" w:hAnsi="Times New Roman" w:cs="Times New Roman"/>
          <w:sz w:val="24"/>
          <w:szCs w:val="24"/>
        </w:rPr>
      </w:pPr>
    </w:p>
    <w:p w14:paraId="1FF3F332" w14:textId="77777777" w:rsidR="00335665" w:rsidRPr="00165CC9" w:rsidRDefault="009A57A4" w:rsidP="00165CC9">
      <w:pPr>
        <w:spacing w:after="0" w:line="240" w:lineRule="auto"/>
        <w:jc w:val="both"/>
        <w:rPr>
          <w:rFonts w:ascii="Times New Roman" w:hAnsi="Times New Roman" w:cs="Times New Roman"/>
          <w:sz w:val="24"/>
          <w:szCs w:val="24"/>
        </w:rPr>
      </w:pPr>
      <w:r w:rsidRPr="00165CC9">
        <w:rPr>
          <w:rFonts w:ascii="Times New Roman" w:hAnsi="Times New Roman" w:cs="Times New Roman"/>
          <w:sz w:val="24"/>
          <w:szCs w:val="24"/>
          <w:u w:val="single"/>
        </w:rPr>
        <w:t>Economic justifications</w:t>
      </w:r>
      <w:r w:rsidR="00035A96" w:rsidRPr="00165CC9">
        <w:rPr>
          <w:rFonts w:ascii="Times New Roman" w:hAnsi="Times New Roman" w:cs="Times New Roman"/>
          <w:sz w:val="24"/>
          <w:szCs w:val="24"/>
          <w:u w:val="single"/>
        </w:rPr>
        <w:t xml:space="preserve"> </w:t>
      </w:r>
    </w:p>
    <w:p w14:paraId="6CC57F02" w14:textId="77777777" w:rsidR="009A57A4" w:rsidRPr="00165CC9" w:rsidRDefault="009A57A4" w:rsidP="00165CC9">
      <w:pPr>
        <w:spacing w:after="0" w:line="240" w:lineRule="auto"/>
        <w:jc w:val="both"/>
        <w:rPr>
          <w:rFonts w:ascii="Times New Roman" w:hAnsi="Times New Roman" w:cs="Times New Roman"/>
          <w:sz w:val="24"/>
          <w:szCs w:val="24"/>
          <w:lang w:val="en-US"/>
        </w:rPr>
      </w:pPr>
      <w:r w:rsidRPr="00165CC9">
        <w:rPr>
          <w:rFonts w:ascii="Times New Roman" w:hAnsi="Times New Roman" w:cs="Times New Roman"/>
          <w:sz w:val="24"/>
          <w:szCs w:val="24"/>
        </w:rPr>
        <w:t>The Issues Paper makes the valid points that ‘</w:t>
      </w:r>
      <w:r w:rsidRPr="00165CC9">
        <w:rPr>
          <w:rFonts w:ascii="Times New Roman" w:hAnsi="Times New Roman" w:cs="Times New Roman"/>
          <w:sz w:val="24"/>
          <w:szCs w:val="24"/>
          <w:lang w:val="en-US"/>
        </w:rPr>
        <w:t xml:space="preserve">firm entry and exit plays an important role in fostering innovation, competition, and thereby driving productivity and economic growth’ and that ‘certain barriers to entry and exit have the potential to hinder the efficient operation of markets, with negative consequences for economic growth’. </w:t>
      </w:r>
    </w:p>
    <w:p w14:paraId="6FA65241" w14:textId="77777777" w:rsidR="009A57A4" w:rsidRPr="00165CC9" w:rsidRDefault="009A57A4" w:rsidP="00165CC9">
      <w:pPr>
        <w:spacing w:after="0" w:line="240" w:lineRule="auto"/>
        <w:jc w:val="both"/>
        <w:rPr>
          <w:rFonts w:ascii="Times New Roman" w:hAnsi="Times New Roman" w:cs="Times New Roman"/>
          <w:sz w:val="24"/>
          <w:szCs w:val="24"/>
          <w:lang w:val="en-US"/>
        </w:rPr>
      </w:pPr>
    </w:p>
    <w:p w14:paraId="5AAE826B" w14:textId="57503078" w:rsidR="009A57A4" w:rsidRPr="00165CC9" w:rsidRDefault="009A57A4" w:rsidP="00165CC9">
      <w:pPr>
        <w:spacing w:after="0" w:line="240" w:lineRule="auto"/>
        <w:jc w:val="both"/>
        <w:rPr>
          <w:rFonts w:ascii="Times New Roman" w:hAnsi="Times New Roman" w:cs="Times New Roman"/>
          <w:sz w:val="24"/>
          <w:szCs w:val="24"/>
          <w:lang w:val="en-US"/>
        </w:rPr>
      </w:pPr>
      <w:r w:rsidRPr="00165CC9">
        <w:rPr>
          <w:rFonts w:ascii="Times New Roman" w:hAnsi="Times New Roman" w:cs="Times New Roman"/>
          <w:sz w:val="24"/>
          <w:szCs w:val="24"/>
          <w:lang w:val="en-US"/>
        </w:rPr>
        <w:t xml:space="preserve">We do not dispute this. However, we urge the Productivity Commission to </w:t>
      </w:r>
      <w:proofErr w:type="spellStart"/>
      <w:r w:rsidRPr="00165CC9">
        <w:rPr>
          <w:rFonts w:ascii="Times New Roman" w:hAnsi="Times New Roman" w:cs="Times New Roman"/>
          <w:sz w:val="24"/>
          <w:szCs w:val="24"/>
          <w:lang w:val="en-US"/>
        </w:rPr>
        <w:t>recognise</w:t>
      </w:r>
      <w:proofErr w:type="spellEnd"/>
      <w:r w:rsidRPr="00165CC9">
        <w:rPr>
          <w:rFonts w:ascii="Times New Roman" w:hAnsi="Times New Roman" w:cs="Times New Roman"/>
          <w:sz w:val="24"/>
          <w:szCs w:val="24"/>
          <w:lang w:val="en-US"/>
        </w:rPr>
        <w:t xml:space="preserve"> that not all barriers to entry and exit necessarily involve negative economic consequences. </w:t>
      </w:r>
      <w:r w:rsidR="0053258A" w:rsidRPr="00165CC9">
        <w:rPr>
          <w:rFonts w:ascii="Times New Roman" w:hAnsi="Times New Roman" w:cs="Times New Roman"/>
          <w:sz w:val="24"/>
          <w:szCs w:val="24"/>
          <w:lang w:val="en-US"/>
        </w:rPr>
        <w:t>Arguably</w:t>
      </w:r>
      <w:r w:rsidR="00A20411">
        <w:rPr>
          <w:rFonts w:ascii="Times New Roman" w:hAnsi="Times New Roman" w:cs="Times New Roman"/>
          <w:sz w:val="24"/>
          <w:szCs w:val="24"/>
          <w:lang w:val="en-US"/>
        </w:rPr>
        <w:t xml:space="preserve">, </w:t>
      </w:r>
      <w:r w:rsidR="0053258A" w:rsidRPr="00165CC9">
        <w:rPr>
          <w:rFonts w:ascii="Times New Roman" w:hAnsi="Times New Roman" w:cs="Times New Roman"/>
          <w:sz w:val="24"/>
          <w:szCs w:val="24"/>
          <w:lang w:val="en-US"/>
        </w:rPr>
        <w:t>barriers that prove effective at disrupting illegal phoenix activity can have positive economic consequences if the</w:t>
      </w:r>
      <w:r w:rsidR="00C52249" w:rsidRPr="00165CC9">
        <w:rPr>
          <w:rFonts w:ascii="Times New Roman" w:hAnsi="Times New Roman" w:cs="Times New Roman"/>
          <w:sz w:val="24"/>
          <w:szCs w:val="24"/>
          <w:lang w:val="en-US"/>
        </w:rPr>
        <w:t xml:space="preserve">ir implementation results in a </w:t>
      </w:r>
      <w:r w:rsidR="0053258A" w:rsidRPr="00165CC9">
        <w:rPr>
          <w:rFonts w:ascii="Times New Roman" w:hAnsi="Times New Roman" w:cs="Times New Roman"/>
          <w:sz w:val="24"/>
          <w:szCs w:val="24"/>
          <w:lang w:val="en-US"/>
        </w:rPr>
        <w:t>reduc</w:t>
      </w:r>
      <w:r w:rsidR="00C52249" w:rsidRPr="00165CC9">
        <w:rPr>
          <w:rFonts w:ascii="Times New Roman" w:hAnsi="Times New Roman" w:cs="Times New Roman"/>
          <w:sz w:val="24"/>
          <w:szCs w:val="24"/>
          <w:lang w:val="en-US"/>
        </w:rPr>
        <w:t>tion in</w:t>
      </w:r>
      <w:r w:rsidR="0053258A" w:rsidRPr="00165CC9">
        <w:rPr>
          <w:rFonts w:ascii="Times New Roman" w:hAnsi="Times New Roman" w:cs="Times New Roman"/>
          <w:sz w:val="24"/>
          <w:szCs w:val="24"/>
          <w:lang w:val="en-US"/>
        </w:rPr>
        <w:t xml:space="preserve"> the losses </w:t>
      </w:r>
      <w:r w:rsidR="00C52249" w:rsidRPr="00165CC9">
        <w:rPr>
          <w:rFonts w:ascii="Times New Roman" w:hAnsi="Times New Roman" w:cs="Times New Roman"/>
          <w:sz w:val="24"/>
          <w:szCs w:val="24"/>
          <w:lang w:val="en-US"/>
        </w:rPr>
        <w:t xml:space="preserve">sustained by </w:t>
      </w:r>
      <w:r w:rsidR="0053258A" w:rsidRPr="00165CC9">
        <w:rPr>
          <w:rFonts w:ascii="Times New Roman" w:hAnsi="Times New Roman" w:cs="Times New Roman"/>
          <w:sz w:val="24"/>
          <w:szCs w:val="24"/>
          <w:lang w:val="en-US"/>
        </w:rPr>
        <w:t xml:space="preserve">creditors, including </w:t>
      </w:r>
      <w:r w:rsidR="004B736B">
        <w:rPr>
          <w:rFonts w:ascii="Times New Roman" w:hAnsi="Times New Roman" w:cs="Times New Roman"/>
          <w:sz w:val="24"/>
          <w:szCs w:val="24"/>
          <w:lang w:val="en-US"/>
        </w:rPr>
        <w:t>the Australia Taxation Office (ATO</w:t>
      </w:r>
      <w:r w:rsidR="0053258A" w:rsidRPr="00165CC9">
        <w:rPr>
          <w:rFonts w:ascii="Times New Roman" w:hAnsi="Times New Roman" w:cs="Times New Roman"/>
          <w:sz w:val="24"/>
          <w:szCs w:val="24"/>
          <w:lang w:val="en-US"/>
        </w:rPr>
        <w:t xml:space="preserve">). </w:t>
      </w:r>
      <w:r w:rsidRPr="00165CC9">
        <w:rPr>
          <w:rFonts w:ascii="Times New Roman" w:hAnsi="Times New Roman" w:cs="Times New Roman"/>
          <w:sz w:val="24"/>
          <w:szCs w:val="24"/>
          <w:lang w:val="en-US"/>
        </w:rPr>
        <w:t xml:space="preserve">We will now explain the negative economic consequences </w:t>
      </w:r>
      <w:r w:rsidR="00C52249" w:rsidRPr="00165CC9">
        <w:rPr>
          <w:rFonts w:ascii="Times New Roman" w:hAnsi="Times New Roman" w:cs="Times New Roman"/>
          <w:sz w:val="24"/>
          <w:szCs w:val="24"/>
          <w:lang w:val="en-US"/>
        </w:rPr>
        <w:t xml:space="preserve">that can arise when </w:t>
      </w:r>
      <w:r w:rsidRPr="00165CC9">
        <w:rPr>
          <w:rFonts w:ascii="Times New Roman" w:hAnsi="Times New Roman" w:cs="Times New Roman"/>
          <w:sz w:val="24"/>
          <w:szCs w:val="24"/>
          <w:lang w:val="en-US"/>
        </w:rPr>
        <w:t>illegal phoenix activity</w:t>
      </w:r>
      <w:r w:rsidR="00C52249" w:rsidRPr="00165CC9">
        <w:rPr>
          <w:rFonts w:ascii="Times New Roman" w:hAnsi="Times New Roman" w:cs="Times New Roman"/>
          <w:sz w:val="24"/>
          <w:szCs w:val="24"/>
          <w:lang w:val="en-US"/>
        </w:rPr>
        <w:t xml:space="preserve"> is not </w:t>
      </w:r>
      <w:r w:rsidR="00A20411">
        <w:rPr>
          <w:rFonts w:ascii="Times New Roman" w:hAnsi="Times New Roman" w:cs="Times New Roman"/>
          <w:sz w:val="24"/>
          <w:szCs w:val="24"/>
          <w:lang w:val="en-US"/>
        </w:rPr>
        <w:t>disrupted</w:t>
      </w:r>
      <w:r w:rsidRPr="00165CC9">
        <w:rPr>
          <w:rFonts w:ascii="Times New Roman" w:hAnsi="Times New Roman" w:cs="Times New Roman"/>
          <w:sz w:val="24"/>
          <w:szCs w:val="24"/>
          <w:lang w:val="en-US"/>
        </w:rPr>
        <w:t>.</w:t>
      </w:r>
    </w:p>
    <w:p w14:paraId="73CE37FB" w14:textId="77777777" w:rsidR="00C86D47" w:rsidRPr="00165CC9" w:rsidRDefault="00C86D47" w:rsidP="00165CC9">
      <w:pPr>
        <w:spacing w:after="0" w:line="240" w:lineRule="auto"/>
        <w:jc w:val="both"/>
        <w:rPr>
          <w:rFonts w:ascii="Times New Roman" w:hAnsi="Times New Roman" w:cs="Times New Roman"/>
          <w:sz w:val="24"/>
          <w:szCs w:val="24"/>
          <w:lang w:val="en-US"/>
        </w:rPr>
      </w:pPr>
    </w:p>
    <w:p w14:paraId="494694B7" w14:textId="6C1205BB" w:rsidR="00AE59FE" w:rsidRPr="00165CC9" w:rsidRDefault="007D6C73" w:rsidP="006E3149">
      <w:pPr>
        <w:spacing w:after="0" w:line="240" w:lineRule="auto"/>
        <w:jc w:val="both"/>
        <w:rPr>
          <w:rFonts w:ascii="Times New Roman" w:hAnsi="Times New Roman" w:cs="Times New Roman"/>
          <w:sz w:val="24"/>
          <w:szCs w:val="24"/>
          <w:lang w:val="en-US"/>
        </w:rPr>
      </w:pPr>
      <w:r w:rsidRPr="00165CC9">
        <w:rPr>
          <w:rFonts w:ascii="Times New Roman" w:hAnsi="Times New Roman" w:cs="Times New Roman"/>
          <w:sz w:val="24"/>
          <w:szCs w:val="24"/>
          <w:lang w:val="en-US"/>
        </w:rPr>
        <w:t>Companies are legal entities which are separate from their controllers and shareholders. Shareholders enjoy limited liability, meaning that they are not personally liable for the debts of the company in which they have invested. Controllers only face personal liability</w:t>
      </w:r>
      <w:r w:rsidR="004B114E" w:rsidRPr="00165CC9">
        <w:rPr>
          <w:rFonts w:ascii="Times New Roman" w:hAnsi="Times New Roman" w:cs="Times New Roman"/>
          <w:sz w:val="24"/>
          <w:szCs w:val="24"/>
          <w:lang w:val="en-US"/>
        </w:rPr>
        <w:t xml:space="preserve"> for company debts</w:t>
      </w:r>
      <w:r w:rsidRPr="00165CC9">
        <w:rPr>
          <w:rFonts w:ascii="Times New Roman" w:hAnsi="Times New Roman" w:cs="Times New Roman"/>
          <w:sz w:val="24"/>
          <w:szCs w:val="24"/>
          <w:lang w:val="en-US"/>
        </w:rPr>
        <w:t xml:space="preserve"> where they have committed some breach of </w:t>
      </w:r>
      <w:proofErr w:type="gramStart"/>
      <w:r w:rsidRPr="00165CC9">
        <w:rPr>
          <w:rFonts w:ascii="Times New Roman" w:hAnsi="Times New Roman" w:cs="Times New Roman"/>
          <w:sz w:val="24"/>
          <w:szCs w:val="24"/>
          <w:lang w:val="en-US"/>
        </w:rPr>
        <w:t>corporations</w:t>
      </w:r>
      <w:proofErr w:type="gramEnd"/>
      <w:r w:rsidRPr="00165CC9">
        <w:rPr>
          <w:rFonts w:ascii="Times New Roman" w:hAnsi="Times New Roman" w:cs="Times New Roman"/>
          <w:sz w:val="24"/>
          <w:szCs w:val="24"/>
          <w:lang w:val="en-US"/>
        </w:rPr>
        <w:t xml:space="preserve"> law, taxation law, workplace law or the like. </w:t>
      </w:r>
      <w:r w:rsidR="004B114E" w:rsidRPr="00165CC9">
        <w:rPr>
          <w:rFonts w:ascii="Times New Roman" w:hAnsi="Times New Roman" w:cs="Times New Roman"/>
          <w:sz w:val="24"/>
          <w:szCs w:val="24"/>
          <w:lang w:val="en-US"/>
        </w:rPr>
        <w:t xml:space="preserve">The insolvency of the company they control, of </w:t>
      </w:r>
      <w:proofErr w:type="gramStart"/>
      <w:r w:rsidR="004B114E" w:rsidRPr="00165CC9">
        <w:rPr>
          <w:rFonts w:ascii="Times New Roman" w:hAnsi="Times New Roman" w:cs="Times New Roman"/>
          <w:sz w:val="24"/>
          <w:szCs w:val="24"/>
          <w:lang w:val="en-US"/>
        </w:rPr>
        <w:t>itself</w:t>
      </w:r>
      <w:proofErr w:type="gramEnd"/>
      <w:r w:rsidR="004B114E" w:rsidRPr="00165CC9">
        <w:rPr>
          <w:rFonts w:ascii="Times New Roman" w:hAnsi="Times New Roman" w:cs="Times New Roman"/>
          <w:sz w:val="24"/>
          <w:szCs w:val="24"/>
          <w:lang w:val="en-US"/>
        </w:rPr>
        <w:t>, breaches no law.</w:t>
      </w:r>
      <w:r w:rsidR="00314638" w:rsidRPr="00165CC9">
        <w:rPr>
          <w:rFonts w:ascii="Times New Roman" w:hAnsi="Times New Roman" w:cs="Times New Roman"/>
          <w:sz w:val="24"/>
          <w:szCs w:val="24"/>
          <w:lang w:val="en-US"/>
        </w:rPr>
        <w:t xml:space="preserve"> </w:t>
      </w:r>
      <w:r w:rsidR="00AE59FE" w:rsidRPr="00165CC9">
        <w:rPr>
          <w:rFonts w:ascii="Times New Roman" w:hAnsi="Times New Roman" w:cs="Times New Roman"/>
          <w:sz w:val="24"/>
          <w:szCs w:val="24"/>
          <w:lang w:val="en-US"/>
        </w:rPr>
        <w:t xml:space="preserve">On the other hand, sole traders whose businesses fail will be personally liable from their own resources in meeting the debts of their business. </w:t>
      </w:r>
      <w:r w:rsidR="00607687" w:rsidRPr="00165CC9">
        <w:rPr>
          <w:rFonts w:ascii="Times New Roman" w:hAnsi="Times New Roman" w:cs="Times New Roman"/>
          <w:sz w:val="24"/>
          <w:szCs w:val="24"/>
          <w:lang w:val="en-US"/>
        </w:rPr>
        <w:t>It is vital that the Productivity Commission have regard to this distinction. Any suggestions made to limit the detrimental effects of phoenix activity only operate in the company context. They have no effect on actually setting up or closing down the underlying business.</w:t>
      </w:r>
      <w:r w:rsidR="00314638" w:rsidRPr="00165CC9">
        <w:rPr>
          <w:rFonts w:ascii="Times New Roman" w:hAnsi="Times New Roman" w:cs="Times New Roman"/>
          <w:sz w:val="24"/>
          <w:szCs w:val="24"/>
          <w:lang w:val="en-US"/>
        </w:rPr>
        <w:t xml:space="preserve"> Much of the compliance burden for business noted in the Issues Paper – licenses, </w:t>
      </w:r>
      <w:r w:rsidR="00D17E85" w:rsidRPr="00165CC9">
        <w:rPr>
          <w:rFonts w:ascii="Times New Roman" w:hAnsi="Times New Roman" w:cs="Times New Roman"/>
          <w:sz w:val="24"/>
          <w:szCs w:val="24"/>
          <w:lang w:val="en-US"/>
        </w:rPr>
        <w:t xml:space="preserve">planning </w:t>
      </w:r>
      <w:r w:rsidR="00314638" w:rsidRPr="00165CC9">
        <w:rPr>
          <w:rFonts w:ascii="Times New Roman" w:hAnsi="Times New Roman" w:cs="Times New Roman"/>
          <w:sz w:val="24"/>
          <w:szCs w:val="24"/>
          <w:lang w:val="en-US"/>
        </w:rPr>
        <w:t xml:space="preserve">approvals, </w:t>
      </w:r>
      <w:r w:rsidR="002A75FA">
        <w:rPr>
          <w:rFonts w:ascii="Times New Roman" w:hAnsi="Times New Roman" w:cs="Times New Roman"/>
          <w:sz w:val="24"/>
          <w:szCs w:val="24"/>
          <w:lang w:val="en-US"/>
        </w:rPr>
        <w:t>Occupational Health and Safe</w:t>
      </w:r>
      <w:r w:rsidR="00861DD0">
        <w:rPr>
          <w:rFonts w:ascii="Times New Roman" w:hAnsi="Times New Roman" w:cs="Times New Roman"/>
          <w:sz w:val="24"/>
          <w:szCs w:val="24"/>
          <w:lang w:val="en-US"/>
        </w:rPr>
        <w:t>ty (OHS</w:t>
      </w:r>
      <w:r w:rsidR="004B736B">
        <w:rPr>
          <w:rFonts w:ascii="Times New Roman" w:hAnsi="Times New Roman" w:cs="Times New Roman"/>
          <w:sz w:val="24"/>
          <w:szCs w:val="24"/>
          <w:lang w:val="en-US"/>
        </w:rPr>
        <w:t>)</w:t>
      </w:r>
      <w:r w:rsidR="00314638" w:rsidRPr="00165CC9">
        <w:rPr>
          <w:rFonts w:ascii="Times New Roman" w:hAnsi="Times New Roman" w:cs="Times New Roman"/>
          <w:sz w:val="24"/>
          <w:szCs w:val="24"/>
          <w:lang w:val="en-US"/>
        </w:rPr>
        <w:t xml:space="preserve"> requirements, tax oblig</w:t>
      </w:r>
      <w:r w:rsidR="006E3149">
        <w:rPr>
          <w:rFonts w:ascii="Times New Roman" w:hAnsi="Times New Roman" w:cs="Times New Roman"/>
          <w:sz w:val="24"/>
          <w:szCs w:val="24"/>
          <w:lang w:val="en-US"/>
        </w:rPr>
        <w:t xml:space="preserve">ations, employment obligations </w:t>
      </w:r>
      <w:r w:rsidR="006E3149" w:rsidRPr="006E3149">
        <w:rPr>
          <w:rFonts w:ascii="Times New Roman" w:hAnsi="Times New Roman" w:cs="Times New Roman"/>
          <w:sz w:val="24"/>
          <w:szCs w:val="24"/>
          <w:lang w:val="en-US"/>
        </w:rPr>
        <w:t xml:space="preserve">– </w:t>
      </w:r>
      <w:r w:rsidR="00314638" w:rsidRPr="00165CC9">
        <w:rPr>
          <w:rFonts w:ascii="Times New Roman" w:hAnsi="Times New Roman" w:cs="Times New Roman"/>
          <w:sz w:val="24"/>
          <w:szCs w:val="24"/>
          <w:lang w:val="en-US"/>
        </w:rPr>
        <w:t xml:space="preserve">arise as a result of running </w:t>
      </w:r>
      <w:r w:rsidR="00D17E85" w:rsidRPr="00165CC9">
        <w:rPr>
          <w:rFonts w:ascii="Times New Roman" w:hAnsi="Times New Roman" w:cs="Times New Roman"/>
          <w:sz w:val="24"/>
          <w:szCs w:val="24"/>
          <w:lang w:val="en-US"/>
        </w:rPr>
        <w:t>a</w:t>
      </w:r>
      <w:r w:rsidR="00314638" w:rsidRPr="00165CC9">
        <w:rPr>
          <w:rFonts w:ascii="Times New Roman" w:hAnsi="Times New Roman" w:cs="Times New Roman"/>
          <w:sz w:val="24"/>
          <w:szCs w:val="24"/>
          <w:lang w:val="en-US"/>
        </w:rPr>
        <w:t xml:space="preserve"> business, not doing so via a company.</w:t>
      </w:r>
    </w:p>
    <w:p w14:paraId="33C40620" w14:textId="77777777" w:rsidR="007D6C73" w:rsidRPr="00165CC9" w:rsidRDefault="007D6C73" w:rsidP="00165CC9">
      <w:pPr>
        <w:spacing w:after="0" w:line="240" w:lineRule="auto"/>
        <w:jc w:val="both"/>
        <w:rPr>
          <w:rFonts w:ascii="Times New Roman" w:hAnsi="Times New Roman" w:cs="Times New Roman"/>
          <w:sz w:val="24"/>
          <w:szCs w:val="24"/>
          <w:lang w:val="en-US"/>
        </w:rPr>
      </w:pPr>
    </w:p>
    <w:p w14:paraId="022BC4B5" w14:textId="7194B864" w:rsidR="007D6C73" w:rsidRPr="00165CC9" w:rsidRDefault="007D6C73" w:rsidP="00165CC9">
      <w:pPr>
        <w:spacing w:after="0" w:line="240" w:lineRule="auto"/>
        <w:jc w:val="both"/>
        <w:rPr>
          <w:rFonts w:ascii="Times New Roman" w:hAnsi="Times New Roman" w:cs="Times New Roman"/>
          <w:sz w:val="24"/>
          <w:szCs w:val="24"/>
          <w:lang w:val="en-US"/>
        </w:rPr>
      </w:pPr>
      <w:r w:rsidRPr="00165CC9">
        <w:rPr>
          <w:rFonts w:ascii="Times New Roman" w:hAnsi="Times New Roman" w:cs="Times New Roman"/>
          <w:sz w:val="24"/>
          <w:szCs w:val="24"/>
          <w:lang w:val="en-US"/>
        </w:rPr>
        <w:t xml:space="preserve">The </w:t>
      </w:r>
      <w:r w:rsidRPr="00165CC9">
        <w:rPr>
          <w:rFonts w:ascii="Times New Roman" w:hAnsi="Times New Roman" w:cs="Times New Roman"/>
          <w:i/>
          <w:sz w:val="24"/>
          <w:szCs w:val="24"/>
          <w:lang w:val="en-US"/>
        </w:rPr>
        <w:t>Corporations Act</w:t>
      </w:r>
      <w:r w:rsidRPr="00165CC9">
        <w:rPr>
          <w:rFonts w:ascii="Times New Roman" w:hAnsi="Times New Roman" w:cs="Times New Roman"/>
          <w:sz w:val="24"/>
          <w:szCs w:val="24"/>
          <w:lang w:val="en-US"/>
        </w:rPr>
        <w:t xml:space="preserve"> does very little to restrict people from setting up </w:t>
      </w:r>
      <w:r w:rsidR="004B114E" w:rsidRPr="00165CC9">
        <w:rPr>
          <w:rFonts w:ascii="Times New Roman" w:hAnsi="Times New Roman" w:cs="Times New Roman"/>
          <w:sz w:val="24"/>
          <w:szCs w:val="24"/>
          <w:lang w:val="en-US"/>
        </w:rPr>
        <w:t xml:space="preserve">and managing </w:t>
      </w:r>
      <w:r w:rsidRPr="00165CC9">
        <w:rPr>
          <w:rFonts w:ascii="Times New Roman" w:hAnsi="Times New Roman" w:cs="Times New Roman"/>
          <w:sz w:val="24"/>
          <w:szCs w:val="24"/>
          <w:lang w:val="en-US"/>
        </w:rPr>
        <w:t xml:space="preserve">multiple companies, either at the same time or in succession. The failure of </w:t>
      </w:r>
      <w:r w:rsidR="004B114E" w:rsidRPr="00165CC9">
        <w:rPr>
          <w:rFonts w:ascii="Times New Roman" w:hAnsi="Times New Roman" w:cs="Times New Roman"/>
          <w:sz w:val="24"/>
          <w:szCs w:val="24"/>
          <w:lang w:val="en-US"/>
        </w:rPr>
        <w:t>one</w:t>
      </w:r>
      <w:r w:rsidRPr="00165CC9">
        <w:rPr>
          <w:rFonts w:ascii="Times New Roman" w:hAnsi="Times New Roman" w:cs="Times New Roman"/>
          <w:sz w:val="24"/>
          <w:szCs w:val="24"/>
          <w:lang w:val="en-US"/>
        </w:rPr>
        <w:t xml:space="preserve"> company does not </w:t>
      </w:r>
      <w:r w:rsidR="005952D2" w:rsidRPr="00165CC9">
        <w:rPr>
          <w:rFonts w:ascii="Times New Roman" w:hAnsi="Times New Roman" w:cs="Times New Roman"/>
          <w:sz w:val="24"/>
          <w:szCs w:val="24"/>
          <w:lang w:val="en-US"/>
        </w:rPr>
        <w:t xml:space="preserve">automatically </w:t>
      </w:r>
      <w:r w:rsidR="004B114E" w:rsidRPr="00165CC9">
        <w:rPr>
          <w:rFonts w:ascii="Times New Roman" w:hAnsi="Times New Roman" w:cs="Times New Roman"/>
          <w:sz w:val="24"/>
          <w:szCs w:val="24"/>
          <w:lang w:val="en-US"/>
        </w:rPr>
        <w:t>bar</w:t>
      </w:r>
      <w:r w:rsidRPr="00165CC9">
        <w:rPr>
          <w:rFonts w:ascii="Times New Roman" w:hAnsi="Times New Roman" w:cs="Times New Roman"/>
          <w:sz w:val="24"/>
          <w:szCs w:val="24"/>
          <w:lang w:val="en-US"/>
        </w:rPr>
        <w:t xml:space="preserve"> a person from trying again with another company, and indeed, </w:t>
      </w:r>
      <w:r w:rsidR="009D6C7D" w:rsidRPr="00165CC9">
        <w:rPr>
          <w:rFonts w:ascii="Times New Roman" w:hAnsi="Times New Roman" w:cs="Times New Roman"/>
          <w:sz w:val="24"/>
          <w:szCs w:val="24"/>
          <w:lang w:val="en-US"/>
        </w:rPr>
        <w:t xml:space="preserve">trying again </w:t>
      </w:r>
      <w:r w:rsidRPr="00165CC9">
        <w:rPr>
          <w:rFonts w:ascii="Times New Roman" w:hAnsi="Times New Roman" w:cs="Times New Roman"/>
          <w:sz w:val="24"/>
          <w:szCs w:val="24"/>
          <w:lang w:val="en-US"/>
        </w:rPr>
        <w:t>is implicitly encouraged.</w:t>
      </w:r>
      <w:r w:rsidR="005952D2" w:rsidRPr="00165CC9">
        <w:rPr>
          <w:rFonts w:ascii="Times New Roman" w:hAnsi="Times New Roman" w:cs="Times New Roman"/>
          <w:sz w:val="24"/>
          <w:szCs w:val="24"/>
          <w:lang w:val="en-US"/>
        </w:rPr>
        <w:t xml:space="preserve"> Provided a person satisfies the basic requirements for holding a directorship</w:t>
      </w:r>
      <w:r w:rsidR="005952D2" w:rsidRPr="00165CC9">
        <w:rPr>
          <w:rStyle w:val="FootnoteReference"/>
          <w:rFonts w:ascii="Times New Roman" w:hAnsi="Times New Roman" w:cs="Times New Roman"/>
          <w:sz w:val="24"/>
          <w:szCs w:val="24"/>
          <w:lang w:val="en-US"/>
        </w:rPr>
        <w:footnoteReference w:id="1"/>
      </w:r>
      <w:r w:rsidR="007B1B3A">
        <w:rPr>
          <w:rFonts w:ascii="Times New Roman" w:hAnsi="Times New Roman" w:cs="Times New Roman"/>
          <w:sz w:val="24"/>
          <w:szCs w:val="24"/>
          <w:lang w:val="en-US"/>
        </w:rPr>
        <w:t>,</w:t>
      </w:r>
      <w:r w:rsidR="005952D2" w:rsidRPr="00165CC9">
        <w:rPr>
          <w:rFonts w:ascii="Times New Roman" w:hAnsi="Times New Roman" w:cs="Times New Roman"/>
          <w:sz w:val="24"/>
          <w:szCs w:val="24"/>
          <w:lang w:val="en-US"/>
        </w:rPr>
        <w:t xml:space="preserve"> their previous business failures are not considered when they seek to create a new company. While</w:t>
      </w:r>
      <w:r w:rsidR="007B1B3A">
        <w:rPr>
          <w:rFonts w:ascii="Times New Roman" w:hAnsi="Times New Roman" w:cs="Times New Roman"/>
          <w:sz w:val="24"/>
          <w:szCs w:val="24"/>
          <w:lang w:val="en-US"/>
        </w:rPr>
        <w:t xml:space="preserve"> the Australian Securities and Investments Commission</w:t>
      </w:r>
      <w:r w:rsidR="005952D2" w:rsidRPr="00165CC9">
        <w:rPr>
          <w:rFonts w:ascii="Times New Roman" w:hAnsi="Times New Roman" w:cs="Times New Roman"/>
          <w:sz w:val="24"/>
          <w:szCs w:val="24"/>
          <w:lang w:val="en-US"/>
        </w:rPr>
        <w:t xml:space="preserve"> </w:t>
      </w:r>
      <w:r w:rsidR="007B1B3A">
        <w:rPr>
          <w:rFonts w:ascii="Times New Roman" w:hAnsi="Times New Roman" w:cs="Times New Roman"/>
          <w:sz w:val="24"/>
          <w:szCs w:val="24"/>
          <w:lang w:val="en-US"/>
        </w:rPr>
        <w:t>(</w:t>
      </w:r>
      <w:r w:rsidR="005952D2" w:rsidRPr="00165CC9">
        <w:rPr>
          <w:rFonts w:ascii="Times New Roman" w:hAnsi="Times New Roman" w:cs="Times New Roman"/>
          <w:sz w:val="24"/>
          <w:szCs w:val="24"/>
          <w:lang w:val="en-US"/>
        </w:rPr>
        <w:t>ASIC</w:t>
      </w:r>
      <w:r w:rsidR="007B1B3A">
        <w:rPr>
          <w:rFonts w:ascii="Times New Roman" w:hAnsi="Times New Roman" w:cs="Times New Roman"/>
          <w:sz w:val="24"/>
          <w:szCs w:val="24"/>
          <w:lang w:val="en-US"/>
        </w:rPr>
        <w:t>)</w:t>
      </w:r>
      <w:r w:rsidR="005952D2" w:rsidRPr="00165CC9">
        <w:rPr>
          <w:rStyle w:val="FootnoteReference"/>
          <w:rFonts w:ascii="Times New Roman" w:hAnsi="Times New Roman" w:cs="Times New Roman"/>
          <w:sz w:val="24"/>
          <w:szCs w:val="24"/>
          <w:lang w:val="en-US"/>
        </w:rPr>
        <w:footnoteReference w:id="2"/>
      </w:r>
      <w:r w:rsidR="005952D2" w:rsidRPr="00165CC9">
        <w:rPr>
          <w:rFonts w:ascii="Times New Roman" w:hAnsi="Times New Roman" w:cs="Times New Roman"/>
          <w:sz w:val="24"/>
          <w:szCs w:val="24"/>
          <w:lang w:val="en-US"/>
        </w:rPr>
        <w:t xml:space="preserve"> or the court</w:t>
      </w:r>
      <w:r w:rsidR="005952D2" w:rsidRPr="00165CC9">
        <w:rPr>
          <w:rStyle w:val="FootnoteReference"/>
          <w:rFonts w:ascii="Times New Roman" w:hAnsi="Times New Roman" w:cs="Times New Roman"/>
          <w:sz w:val="24"/>
          <w:szCs w:val="24"/>
          <w:lang w:val="en-US"/>
        </w:rPr>
        <w:footnoteReference w:id="3"/>
      </w:r>
      <w:r w:rsidR="005952D2" w:rsidRPr="00165CC9">
        <w:rPr>
          <w:rFonts w:ascii="Times New Roman" w:hAnsi="Times New Roman" w:cs="Times New Roman"/>
          <w:sz w:val="24"/>
          <w:szCs w:val="24"/>
          <w:lang w:val="en-US"/>
        </w:rPr>
        <w:t xml:space="preserve"> may disqualify a person from being a director as a result of </w:t>
      </w:r>
      <w:r w:rsidR="004B114E" w:rsidRPr="00165CC9">
        <w:rPr>
          <w:rFonts w:ascii="Times New Roman" w:hAnsi="Times New Roman" w:cs="Times New Roman"/>
          <w:sz w:val="24"/>
          <w:szCs w:val="24"/>
          <w:lang w:val="en-US"/>
        </w:rPr>
        <w:t xml:space="preserve">poor </w:t>
      </w:r>
      <w:r w:rsidR="005952D2" w:rsidRPr="00165CC9">
        <w:rPr>
          <w:rFonts w:ascii="Times New Roman" w:hAnsi="Times New Roman" w:cs="Times New Roman"/>
          <w:sz w:val="24"/>
          <w:szCs w:val="24"/>
          <w:lang w:val="en-US"/>
        </w:rPr>
        <w:t>management of previous insolvent companies, these disqualifications are rare.</w:t>
      </w:r>
      <w:r w:rsidR="00035A96" w:rsidRPr="00165CC9">
        <w:rPr>
          <w:rStyle w:val="FootnoteReference"/>
          <w:rFonts w:ascii="Times New Roman" w:hAnsi="Times New Roman" w:cs="Times New Roman"/>
          <w:sz w:val="24"/>
          <w:szCs w:val="24"/>
          <w:lang w:val="en-US"/>
        </w:rPr>
        <w:footnoteReference w:id="4"/>
      </w:r>
    </w:p>
    <w:p w14:paraId="64260761" w14:textId="77777777" w:rsidR="004B114E" w:rsidRPr="00165CC9" w:rsidRDefault="004B114E" w:rsidP="00165CC9">
      <w:pPr>
        <w:spacing w:after="0" w:line="240" w:lineRule="auto"/>
        <w:jc w:val="both"/>
        <w:rPr>
          <w:rFonts w:ascii="Times New Roman" w:hAnsi="Times New Roman" w:cs="Times New Roman"/>
          <w:sz w:val="24"/>
          <w:szCs w:val="24"/>
          <w:lang w:val="en-US"/>
        </w:rPr>
      </w:pPr>
    </w:p>
    <w:p w14:paraId="21F5F3DA" w14:textId="6BE25018" w:rsidR="004B114E" w:rsidRPr="00165CC9" w:rsidRDefault="004B114E" w:rsidP="00165CC9">
      <w:pPr>
        <w:spacing w:after="0" w:line="240" w:lineRule="auto"/>
        <w:jc w:val="both"/>
        <w:rPr>
          <w:rFonts w:ascii="Times New Roman" w:hAnsi="Times New Roman" w:cs="Times New Roman"/>
          <w:sz w:val="24"/>
          <w:szCs w:val="24"/>
          <w:lang w:val="en-US"/>
        </w:rPr>
      </w:pPr>
      <w:r w:rsidRPr="00165CC9">
        <w:rPr>
          <w:rFonts w:ascii="Times New Roman" w:hAnsi="Times New Roman" w:cs="Times New Roman"/>
          <w:sz w:val="24"/>
          <w:szCs w:val="24"/>
          <w:lang w:val="en-US"/>
        </w:rPr>
        <w:lastRenderedPageBreak/>
        <w:t>These factors coalesce to produce the following situation: a small business person may set up a company without hindrance. That company may trade successfully and incur substantial liabilities to suppliers, employees and the A</w:t>
      </w:r>
      <w:r w:rsidR="00A5608B" w:rsidRPr="00165CC9">
        <w:rPr>
          <w:rFonts w:ascii="Times New Roman" w:hAnsi="Times New Roman" w:cs="Times New Roman"/>
          <w:sz w:val="24"/>
          <w:szCs w:val="24"/>
          <w:lang w:val="en-US"/>
        </w:rPr>
        <w:t>TO</w:t>
      </w:r>
      <w:r w:rsidRPr="00165CC9">
        <w:rPr>
          <w:rFonts w:ascii="Times New Roman" w:hAnsi="Times New Roman" w:cs="Times New Roman"/>
          <w:sz w:val="24"/>
          <w:szCs w:val="24"/>
          <w:lang w:val="en-US"/>
        </w:rPr>
        <w:t xml:space="preserve">. </w:t>
      </w:r>
      <w:r w:rsidR="00EC7C57" w:rsidRPr="00165CC9">
        <w:rPr>
          <w:rFonts w:ascii="Times New Roman" w:hAnsi="Times New Roman" w:cs="Times New Roman"/>
          <w:sz w:val="24"/>
          <w:szCs w:val="24"/>
          <w:lang w:val="en-US"/>
        </w:rPr>
        <w:t xml:space="preserve">The business may genuinely struggle under the weight of these debts. The director perhaps consults their accountant or </w:t>
      </w:r>
      <w:r w:rsidR="000E1270">
        <w:rPr>
          <w:rFonts w:ascii="Times New Roman" w:hAnsi="Times New Roman" w:cs="Times New Roman"/>
          <w:sz w:val="24"/>
          <w:szCs w:val="24"/>
          <w:lang w:val="en-US"/>
        </w:rPr>
        <w:t xml:space="preserve">a </w:t>
      </w:r>
      <w:r w:rsidR="00EC7C57" w:rsidRPr="00165CC9">
        <w:rPr>
          <w:rFonts w:ascii="Times New Roman" w:hAnsi="Times New Roman" w:cs="Times New Roman"/>
          <w:sz w:val="24"/>
          <w:szCs w:val="24"/>
          <w:lang w:val="en-US"/>
        </w:rPr>
        <w:t>turnaround specialist who advises that the business should be placed in</w:t>
      </w:r>
      <w:r w:rsidR="000E1270">
        <w:rPr>
          <w:rFonts w:ascii="Times New Roman" w:hAnsi="Times New Roman" w:cs="Times New Roman"/>
          <w:sz w:val="24"/>
          <w:szCs w:val="24"/>
          <w:lang w:val="en-US"/>
        </w:rPr>
        <w:t>to</w:t>
      </w:r>
      <w:r w:rsidR="00EC7C57" w:rsidRPr="00165CC9">
        <w:rPr>
          <w:rFonts w:ascii="Times New Roman" w:hAnsi="Times New Roman" w:cs="Times New Roman"/>
          <w:sz w:val="24"/>
          <w:szCs w:val="24"/>
          <w:lang w:val="en-US"/>
        </w:rPr>
        <w:t xml:space="preserve"> liquidation and a new company created, to which the assets of the failed company are transferred for a modest</w:t>
      </w:r>
      <w:r w:rsidR="00D17E85" w:rsidRPr="00165CC9">
        <w:rPr>
          <w:rFonts w:ascii="Times New Roman" w:hAnsi="Times New Roman" w:cs="Times New Roman"/>
          <w:sz w:val="24"/>
          <w:szCs w:val="24"/>
          <w:lang w:val="en-US"/>
        </w:rPr>
        <w:t xml:space="preserve"> or nominal</w:t>
      </w:r>
      <w:r w:rsidR="00EC7C57" w:rsidRPr="00165CC9">
        <w:rPr>
          <w:rFonts w:ascii="Times New Roman" w:hAnsi="Times New Roman" w:cs="Times New Roman"/>
          <w:sz w:val="24"/>
          <w:szCs w:val="24"/>
          <w:lang w:val="en-US"/>
        </w:rPr>
        <w:t xml:space="preserve"> cost. The creditors of the failed company suffer</w:t>
      </w:r>
      <w:r w:rsidR="00035A96" w:rsidRPr="00165CC9">
        <w:rPr>
          <w:rFonts w:ascii="Times New Roman" w:hAnsi="Times New Roman" w:cs="Times New Roman"/>
          <w:sz w:val="24"/>
          <w:szCs w:val="24"/>
          <w:lang w:val="en-US"/>
        </w:rPr>
        <w:t>:</w:t>
      </w:r>
      <w:r w:rsidR="00EC7C57" w:rsidRPr="00165CC9">
        <w:rPr>
          <w:rFonts w:ascii="Times New Roman" w:hAnsi="Times New Roman" w:cs="Times New Roman"/>
          <w:sz w:val="24"/>
          <w:szCs w:val="24"/>
          <w:lang w:val="en-US"/>
        </w:rPr>
        <w:t xml:space="preserve"> unpaid suppliers face their own financial pressures, employees are forced to rely on the Fair Entitlements Guarantee (</w:t>
      </w:r>
      <w:r w:rsidR="000E1270">
        <w:rPr>
          <w:rFonts w:ascii="Times New Roman" w:hAnsi="Times New Roman" w:cs="Times New Roman"/>
          <w:sz w:val="24"/>
          <w:szCs w:val="24"/>
          <w:lang w:val="en-US"/>
        </w:rPr>
        <w:t>‘</w:t>
      </w:r>
      <w:r w:rsidR="00EC7C57" w:rsidRPr="00165CC9">
        <w:rPr>
          <w:rFonts w:ascii="Times New Roman" w:hAnsi="Times New Roman" w:cs="Times New Roman"/>
          <w:sz w:val="24"/>
          <w:szCs w:val="24"/>
          <w:lang w:val="en-US"/>
        </w:rPr>
        <w:t>FEG</w:t>
      </w:r>
      <w:r w:rsidR="000E1270">
        <w:rPr>
          <w:rFonts w:ascii="Times New Roman" w:hAnsi="Times New Roman" w:cs="Times New Roman"/>
          <w:sz w:val="24"/>
          <w:szCs w:val="24"/>
          <w:lang w:val="en-US"/>
        </w:rPr>
        <w:t>’</w:t>
      </w:r>
      <w:r w:rsidR="00EC7C57" w:rsidRPr="00165CC9">
        <w:rPr>
          <w:rFonts w:ascii="Times New Roman" w:hAnsi="Times New Roman" w:cs="Times New Roman"/>
          <w:sz w:val="24"/>
          <w:szCs w:val="24"/>
          <w:lang w:val="en-US"/>
        </w:rPr>
        <w:t>), and the ATO</w:t>
      </w:r>
      <w:r w:rsidR="00035A96" w:rsidRPr="00165CC9">
        <w:rPr>
          <w:rFonts w:ascii="Times New Roman" w:hAnsi="Times New Roman" w:cs="Times New Roman"/>
          <w:sz w:val="24"/>
          <w:szCs w:val="24"/>
          <w:lang w:val="en-US"/>
        </w:rPr>
        <w:t xml:space="preserve"> and state revenue authorities</w:t>
      </w:r>
      <w:r w:rsidR="00EC7C57" w:rsidRPr="00165CC9">
        <w:rPr>
          <w:rFonts w:ascii="Times New Roman" w:hAnsi="Times New Roman" w:cs="Times New Roman"/>
          <w:sz w:val="24"/>
          <w:szCs w:val="24"/>
          <w:lang w:val="en-US"/>
        </w:rPr>
        <w:t xml:space="preserve"> </w:t>
      </w:r>
      <w:r w:rsidR="00035A96" w:rsidRPr="00165CC9">
        <w:rPr>
          <w:rFonts w:ascii="Times New Roman" w:hAnsi="Times New Roman" w:cs="Times New Roman"/>
          <w:sz w:val="24"/>
          <w:szCs w:val="24"/>
          <w:lang w:val="en-US"/>
        </w:rPr>
        <w:t xml:space="preserve">do not receive remittances of </w:t>
      </w:r>
      <w:r w:rsidR="00AF3DD9">
        <w:rPr>
          <w:rFonts w:ascii="Times New Roman" w:hAnsi="Times New Roman" w:cs="Times New Roman"/>
          <w:sz w:val="24"/>
          <w:szCs w:val="24"/>
          <w:lang w:val="en-US"/>
        </w:rPr>
        <w:t>Pay-As-You-Go withholding (‘</w:t>
      </w:r>
      <w:r w:rsidR="00035A96" w:rsidRPr="00165CC9">
        <w:rPr>
          <w:rFonts w:ascii="Times New Roman" w:hAnsi="Times New Roman" w:cs="Times New Roman"/>
          <w:sz w:val="24"/>
          <w:szCs w:val="24"/>
          <w:lang w:val="en-US"/>
        </w:rPr>
        <w:t>PAYG</w:t>
      </w:r>
      <w:r w:rsidR="00AF3DD9">
        <w:rPr>
          <w:rFonts w:ascii="Times New Roman" w:hAnsi="Times New Roman" w:cs="Times New Roman"/>
          <w:sz w:val="24"/>
          <w:szCs w:val="24"/>
          <w:lang w:val="en-US"/>
        </w:rPr>
        <w:t>’)</w:t>
      </w:r>
      <w:r w:rsidR="00D17E85" w:rsidRPr="00165CC9">
        <w:rPr>
          <w:rFonts w:ascii="Times New Roman" w:hAnsi="Times New Roman" w:cs="Times New Roman"/>
          <w:sz w:val="24"/>
          <w:szCs w:val="24"/>
          <w:lang w:val="en-US"/>
        </w:rPr>
        <w:t>, payroll</w:t>
      </w:r>
      <w:r w:rsidR="00035A96" w:rsidRPr="00165CC9">
        <w:rPr>
          <w:rFonts w:ascii="Times New Roman" w:hAnsi="Times New Roman" w:cs="Times New Roman"/>
          <w:sz w:val="24"/>
          <w:szCs w:val="24"/>
          <w:lang w:val="en-US"/>
        </w:rPr>
        <w:t xml:space="preserve"> and other taxes</w:t>
      </w:r>
      <w:r w:rsidR="00EC7C57" w:rsidRPr="00165CC9">
        <w:rPr>
          <w:rFonts w:ascii="Times New Roman" w:hAnsi="Times New Roman" w:cs="Times New Roman"/>
          <w:sz w:val="24"/>
          <w:szCs w:val="24"/>
          <w:lang w:val="en-US"/>
        </w:rPr>
        <w:t>.</w:t>
      </w:r>
    </w:p>
    <w:p w14:paraId="7398B3FB" w14:textId="77777777" w:rsidR="00EC7C57" w:rsidRPr="00165CC9" w:rsidRDefault="00EC7C57" w:rsidP="00165CC9">
      <w:pPr>
        <w:spacing w:after="0" w:line="240" w:lineRule="auto"/>
        <w:jc w:val="both"/>
        <w:rPr>
          <w:rFonts w:ascii="Times New Roman" w:hAnsi="Times New Roman" w:cs="Times New Roman"/>
          <w:sz w:val="24"/>
          <w:szCs w:val="24"/>
          <w:lang w:val="en-US"/>
        </w:rPr>
      </w:pPr>
    </w:p>
    <w:p w14:paraId="443D9074" w14:textId="645BB01B" w:rsidR="00EC7C57" w:rsidRPr="00165CC9" w:rsidRDefault="00EC7C57" w:rsidP="00165CC9">
      <w:pPr>
        <w:spacing w:after="0" w:line="240" w:lineRule="auto"/>
        <w:jc w:val="both"/>
        <w:rPr>
          <w:rFonts w:ascii="Times New Roman" w:hAnsi="Times New Roman" w:cs="Times New Roman"/>
          <w:sz w:val="24"/>
          <w:szCs w:val="24"/>
          <w:lang w:val="en-US"/>
        </w:rPr>
      </w:pPr>
      <w:r w:rsidRPr="00165CC9">
        <w:rPr>
          <w:rFonts w:ascii="Times New Roman" w:hAnsi="Times New Roman" w:cs="Times New Roman"/>
          <w:sz w:val="24"/>
          <w:szCs w:val="24"/>
          <w:lang w:val="en-US"/>
        </w:rPr>
        <w:t>This costs the Australian taxpayer in three ways – the suppliers’ bad debts are tax-</w:t>
      </w:r>
      <w:r w:rsidR="00A5608B" w:rsidRPr="00165CC9">
        <w:rPr>
          <w:rFonts w:ascii="Times New Roman" w:hAnsi="Times New Roman" w:cs="Times New Roman"/>
          <w:sz w:val="24"/>
          <w:szCs w:val="24"/>
          <w:lang w:val="en-US"/>
        </w:rPr>
        <w:t>deductible</w:t>
      </w:r>
      <w:r w:rsidRPr="00165CC9">
        <w:rPr>
          <w:rFonts w:ascii="Times New Roman" w:hAnsi="Times New Roman" w:cs="Times New Roman"/>
          <w:sz w:val="24"/>
          <w:szCs w:val="24"/>
          <w:lang w:val="en-US"/>
        </w:rPr>
        <w:t xml:space="preserve">; the FEG is taxpayer-funded; and the ATO </w:t>
      </w:r>
      <w:r w:rsidR="00A5608B" w:rsidRPr="00165CC9">
        <w:rPr>
          <w:rFonts w:ascii="Times New Roman" w:hAnsi="Times New Roman" w:cs="Times New Roman"/>
          <w:sz w:val="24"/>
          <w:szCs w:val="24"/>
          <w:lang w:val="en-US"/>
        </w:rPr>
        <w:t>receives</w:t>
      </w:r>
      <w:r w:rsidRPr="00165CC9">
        <w:rPr>
          <w:rFonts w:ascii="Times New Roman" w:hAnsi="Times New Roman" w:cs="Times New Roman"/>
          <w:sz w:val="24"/>
          <w:szCs w:val="24"/>
          <w:lang w:val="en-US"/>
        </w:rPr>
        <w:t xml:space="preserve"> less revenue. In 2009, </w:t>
      </w:r>
      <w:r w:rsidR="00775C0E">
        <w:rPr>
          <w:rFonts w:ascii="Times New Roman" w:hAnsi="Times New Roman" w:cs="Times New Roman"/>
          <w:sz w:val="24"/>
          <w:szCs w:val="24"/>
          <w:lang w:val="en-US"/>
        </w:rPr>
        <w:t>illegal</w:t>
      </w:r>
      <w:r w:rsidRPr="00165CC9">
        <w:rPr>
          <w:rFonts w:ascii="Times New Roman" w:hAnsi="Times New Roman" w:cs="Times New Roman"/>
          <w:sz w:val="24"/>
          <w:szCs w:val="24"/>
          <w:lang w:val="en-US"/>
        </w:rPr>
        <w:t xml:space="preserve"> phoenix activity was estimated to cost the ATO $600 million per annum in unrecovered taxes alone.</w:t>
      </w:r>
      <w:bookmarkStart w:id="1" w:name="_Ref410992984"/>
      <w:r w:rsidRPr="00165CC9">
        <w:rPr>
          <w:rStyle w:val="FootnoteReference"/>
          <w:rFonts w:ascii="Times New Roman" w:hAnsi="Times New Roman" w:cs="Times New Roman"/>
          <w:sz w:val="24"/>
          <w:szCs w:val="24"/>
          <w:lang w:val="en-US"/>
        </w:rPr>
        <w:footnoteReference w:id="5"/>
      </w:r>
      <w:bookmarkEnd w:id="1"/>
    </w:p>
    <w:p w14:paraId="08DB9E1E" w14:textId="77777777" w:rsidR="00EC7C57" w:rsidRPr="00165CC9" w:rsidRDefault="00EC7C57" w:rsidP="00165CC9">
      <w:pPr>
        <w:spacing w:after="0" w:line="240" w:lineRule="auto"/>
        <w:jc w:val="both"/>
        <w:rPr>
          <w:rFonts w:ascii="Times New Roman" w:hAnsi="Times New Roman" w:cs="Times New Roman"/>
          <w:sz w:val="24"/>
          <w:szCs w:val="24"/>
          <w:lang w:val="en-US"/>
        </w:rPr>
      </w:pPr>
    </w:p>
    <w:p w14:paraId="6C4D8E8E" w14:textId="77777777" w:rsidR="00EC7C57" w:rsidRPr="00165CC9" w:rsidRDefault="00EC7C57" w:rsidP="00165CC9">
      <w:pPr>
        <w:spacing w:after="0" w:line="240" w:lineRule="auto"/>
        <w:jc w:val="both"/>
        <w:rPr>
          <w:rFonts w:ascii="Times New Roman" w:hAnsi="Times New Roman" w:cs="Times New Roman"/>
          <w:sz w:val="24"/>
          <w:szCs w:val="24"/>
          <w:lang w:val="en-US"/>
        </w:rPr>
      </w:pPr>
      <w:r w:rsidRPr="00165CC9">
        <w:rPr>
          <w:rFonts w:ascii="Times New Roman" w:hAnsi="Times New Roman" w:cs="Times New Roman"/>
          <w:sz w:val="24"/>
          <w:szCs w:val="24"/>
          <w:lang w:val="en-US"/>
        </w:rPr>
        <w:t xml:space="preserve">In the context of the Productivity Commission’s inquiry, let us stress that our aim is not to prevent business failure or the creation of new companies. Losses to creditors as a result of </w:t>
      </w:r>
      <w:r w:rsidR="00D17E85" w:rsidRPr="00165CC9">
        <w:rPr>
          <w:rFonts w:ascii="Times New Roman" w:hAnsi="Times New Roman" w:cs="Times New Roman"/>
          <w:sz w:val="24"/>
          <w:szCs w:val="24"/>
          <w:lang w:val="en-US"/>
        </w:rPr>
        <w:t>company</w:t>
      </w:r>
      <w:r w:rsidRPr="00165CC9">
        <w:rPr>
          <w:rFonts w:ascii="Times New Roman" w:hAnsi="Times New Roman" w:cs="Times New Roman"/>
          <w:sz w:val="24"/>
          <w:szCs w:val="24"/>
          <w:lang w:val="en-US"/>
        </w:rPr>
        <w:t xml:space="preserve"> failure are unavoidable in an efficient market economy. Our objective is to ensure that the corporate form is not </w:t>
      </w:r>
      <w:proofErr w:type="spellStart"/>
      <w:r w:rsidRPr="00165CC9">
        <w:rPr>
          <w:rFonts w:ascii="Times New Roman" w:hAnsi="Times New Roman" w:cs="Times New Roman"/>
          <w:sz w:val="24"/>
          <w:szCs w:val="24"/>
          <w:lang w:val="en-US"/>
        </w:rPr>
        <w:t>utilised</w:t>
      </w:r>
      <w:proofErr w:type="spellEnd"/>
      <w:r w:rsidRPr="00165CC9">
        <w:rPr>
          <w:rFonts w:ascii="Times New Roman" w:hAnsi="Times New Roman" w:cs="Times New Roman"/>
          <w:sz w:val="24"/>
          <w:szCs w:val="24"/>
          <w:lang w:val="en-US"/>
        </w:rPr>
        <w:t xml:space="preserve"> </w:t>
      </w:r>
      <w:r w:rsidR="006E5C31" w:rsidRPr="00165CC9">
        <w:rPr>
          <w:rFonts w:ascii="Times New Roman" w:hAnsi="Times New Roman" w:cs="Times New Roman"/>
          <w:i/>
          <w:sz w:val="24"/>
          <w:szCs w:val="24"/>
          <w:lang w:val="en-US"/>
        </w:rPr>
        <w:t xml:space="preserve">deliberately </w:t>
      </w:r>
      <w:r w:rsidR="006E5C31" w:rsidRPr="00C2570C">
        <w:rPr>
          <w:rFonts w:ascii="Times New Roman" w:hAnsi="Times New Roman" w:cs="Times New Roman"/>
          <w:sz w:val="24"/>
          <w:szCs w:val="24"/>
          <w:lang w:val="en-US"/>
        </w:rPr>
        <w:t>in order to</w:t>
      </w:r>
      <w:r w:rsidR="006E5C31" w:rsidRPr="00165CC9">
        <w:rPr>
          <w:rFonts w:ascii="Times New Roman" w:hAnsi="Times New Roman" w:cs="Times New Roman"/>
          <w:sz w:val="24"/>
          <w:szCs w:val="24"/>
          <w:lang w:val="en-US"/>
        </w:rPr>
        <w:t xml:space="preserve"> separate a business from its debts.</w:t>
      </w:r>
    </w:p>
    <w:p w14:paraId="7662DD7C" w14:textId="77777777" w:rsidR="006E5C31" w:rsidRPr="00165CC9" w:rsidRDefault="006E5C31" w:rsidP="00165CC9">
      <w:pPr>
        <w:spacing w:after="0" w:line="240" w:lineRule="auto"/>
        <w:jc w:val="both"/>
        <w:rPr>
          <w:rFonts w:ascii="Times New Roman" w:hAnsi="Times New Roman" w:cs="Times New Roman"/>
          <w:sz w:val="24"/>
          <w:szCs w:val="24"/>
          <w:lang w:val="en-US"/>
        </w:rPr>
      </w:pPr>
    </w:p>
    <w:p w14:paraId="49D7E0A6" w14:textId="3A668F84" w:rsidR="00187E33" w:rsidRPr="00165CC9" w:rsidRDefault="00A20411" w:rsidP="006E314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w:t>
      </w:r>
      <w:r w:rsidR="00035A96" w:rsidRPr="00165CC9">
        <w:rPr>
          <w:rFonts w:ascii="Times New Roman" w:hAnsi="Times New Roman" w:cs="Times New Roman"/>
          <w:sz w:val="24"/>
          <w:szCs w:val="24"/>
          <w:lang w:val="en-US"/>
        </w:rPr>
        <w:t xml:space="preserve">arket forces, left unchecked, can produce an incentive </w:t>
      </w:r>
      <w:r w:rsidR="00035A96" w:rsidRPr="00165CC9">
        <w:rPr>
          <w:rFonts w:ascii="Times New Roman" w:hAnsi="Times New Roman" w:cs="Times New Roman"/>
          <w:i/>
          <w:sz w:val="24"/>
          <w:szCs w:val="24"/>
          <w:lang w:val="en-US"/>
        </w:rPr>
        <w:t xml:space="preserve">towards </w:t>
      </w:r>
      <w:r w:rsidR="00035A96" w:rsidRPr="00165CC9">
        <w:rPr>
          <w:rFonts w:ascii="Times New Roman" w:hAnsi="Times New Roman" w:cs="Times New Roman"/>
          <w:sz w:val="24"/>
          <w:szCs w:val="24"/>
          <w:lang w:val="en-US"/>
        </w:rPr>
        <w:t xml:space="preserve">illegal phoenix activity. Competitors who routinely ‘phoenix’ their companies and shed large volumes of debt can undercut honest companies, which are then driven out of business. This was </w:t>
      </w:r>
      <w:proofErr w:type="spellStart"/>
      <w:r w:rsidR="00035A96" w:rsidRPr="00165CC9">
        <w:rPr>
          <w:rFonts w:ascii="Times New Roman" w:hAnsi="Times New Roman" w:cs="Times New Roman"/>
          <w:sz w:val="24"/>
          <w:szCs w:val="24"/>
          <w:lang w:val="en-US"/>
        </w:rPr>
        <w:t>recognised</w:t>
      </w:r>
      <w:proofErr w:type="spellEnd"/>
      <w:r w:rsidR="00035A96" w:rsidRPr="00165CC9">
        <w:rPr>
          <w:rFonts w:ascii="Times New Roman" w:hAnsi="Times New Roman" w:cs="Times New Roman"/>
          <w:sz w:val="24"/>
          <w:szCs w:val="24"/>
          <w:lang w:val="en-US"/>
        </w:rPr>
        <w:t xml:space="preserve"> by the Cole Royal Commission</w:t>
      </w:r>
      <w:r w:rsidR="00035A96" w:rsidRPr="00165CC9">
        <w:rPr>
          <w:rStyle w:val="FootnoteReference"/>
          <w:rFonts w:ascii="Times New Roman" w:hAnsi="Times New Roman" w:cs="Times New Roman"/>
          <w:sz w:val="24"/>
          <w:szCs w:val="24"/>
          <w:lang w:val="en-US"/>
        </w:rPr>
        <w:footnoteReference w:id="6"/>
      </w:r>
      <w:r w:rsidR="00035A96" w:rsidRPr="00165CC9">
        <w:rPr>
          <w:rFonts w:ascii="Times New Roman" w:hAnsi="Times New Roman" w:cs="Times New Roman"/>
          <w:sz w:val="24"/>
          <w:szCs w:val="24"/>
          <w:lang w:val="en-US"/>
        </w:rPr>
        <w:t xml:space="preserve"> </w:t>
      </w:r>
      <w:r w:rsidR="00E959FA" w:rsidRPr="00165CC9">
        <w:rPr>
          <w:rFonts w:ascii="Times New Roman" w:hAnsi="Times New Roman" w:cs="Times New Roman"/>
          <w:sz w:val="24"/>
          <w:szCs w:val="24"/>
          <w:lang w:val="en-US"/>
        </w:rPr>
        <w:t>in 2003, Treasury in 2009</w:t>
      </w:r>
      <w:r w:rsidR="00035A96" w:rsidRPr="00165CC9">
        <w:rPr>
          <w:rStyle w:val="FootnoteReference"/>
          <w:rFonts w:ascii="Times New Roman" w:hAnsi="Times New Roman" w:cs="Times New Roman"/>
          <w:sz w:val="24"/>
          <w:szCs w:val="24"/>
          <w:lang w:val="en-US"/>
        </w:rPr>
        <w:footnoteReference w:id="7"/>
      </w:r>
      <w:r w:rsidR="00574EFE" w:rsidRPr="00165CC9">
        <w:rPr>
          <w:rFonts w:ascii="Times New Roman" w:hAnsi="Times New Roman" w:cs="Times New Roman"/>
          <w:sz w:val="24"/>
          <w:szCs w:val="24"/>
          <w:lang w:val="en-US"/>
        </w:rPr>
        <w:t xml:space="preserve"> </w:t>
      </w:r>
      <w:r w:rsidR="00E959FA" w:rsidRPr="00165CC9">
        <w:rPr>
          <w:rFonts w:ascii="Times New Roman" w:hAnsi="Times New Roman" w:cs="Times New Roman"/>
          <w:sz w:val="24"/>
          <w:szCs w:val="24"/>
          <w:lang w:val="en-US"/>
        </w:rPr>
        <w:t xml:space="preserve">and the Fair Work Ombudsman </w:t>
      </w:r>
      <w:r w:rsidR="001323DB">
        <w:rPr>
          <w:rFonts w:ascii="Times New Roman" w:hAnsi="Times New Roman" w:cs="Times New Roman"/>
          <w:sz w:val="24"/>
          <w:szCs w:val="24"/>
          <w:lang w:val="en-US"/>
        </w:rPr>
        <w:t xml:space="preserve">(FWO) </w:t>
      </w:r>
      <w:r w:rsidR="00E959FA" w:rsidRPr="00165CC9">
        <w:rPr>
          <w:rFonts w:ascii="Times New Roman" w:hAnsi="Times New Roman" w:cs="Times New Roman"/>
          <w:sz w:val="24"/>
          <w:szCs w:val="24"/>
          <w:lang w:val="en-US"/>
        </w:rPr>
        <w:t>in 2012.</w:t>
      </w:r>
      <w:r w:rsidR="00E959FA" w:rsidRPr="00165CC9">
        <w:rPr>
          <w:rStyle w:val="FootnoteReference"/>
          <w:rFonts w:ascii="Times New Roman" w:hAnsi="Times New Roman" w:cs="Times New Roman"/>
          <w:sz w:val="24"/>
          <w:szCs w:val="24"/>
          <w:lang w:val="en-US"/>
        </w:rPr>
        <w:footnoteReference w:id="8"/>
      </w:r>
      <w:r w:rsidR="00E959FA" w:rsidRPr="00165CC9">
        <w:rPr>
          <w:rFonts w:ascii="Times New Roman" w:hAnsi="Times New Roman" w:cs="Times New Roman"/>
          <w:sz w:val="24"/>
          <w:szCs w:val="24"/>
          <w:lang w:val="en-US"/>
        </w:rPr>
        <w:t xml:space="preserve"> </w:t>
      </w:r>
      <w:r w:rsidR="00806377" w:rsidRPr="00165CC9">
        <w:rPr>
          <w:rFonts w:ascii="Times New Roman" w:hAnsi="Times New Roman" w:cs="Times New Roman"/>
          <w:sz w:val="24"/>
          <w:szCs w:val="24"/>
          <w:lang w:val="en-US"/>
        </w:rPr>
        <w:t>It is also highly detrimental to the economy to allow those with poor business skills to open company after company</w:t>
      </w:r>
      <w:r w:rsidR="00A5608B" w:rsidRPr="00165CC9">
        <w:rPr>
          <w:rFonts w:ascii="Times New Roman" w:hAnsi="Times New Roman" w:cs="Times New Roman"/>
          <w:sz w:val="24"/>
          <w:szCs w:val="24"/>
          <w:lang w:val="en-US"/>
        </w:rPr>
        <w:t xml:space="preserve"> unchallenged</w:t>
      </w:r>
      <w:r w:rsidR="00806377" w:rsidRPr="00165CC9">
        <w:rPr>
          <w:rFonts w:ascii="Times New Roman" w:hAnsi="Times New Roman" w:cs="Times New Roman"/>
          <w:sz w:val="24"/>
          <w:szCs w:val="24"/>
          <w:lang w:val="en-US"/>
        </w:rPr>
        <w:t xml:space="preserve">, </w:t>
      </w:r>
      <w:r w:rsidR="00187E33" w:rsidRPr="00165CC9">
        <w:rPr>
          <w:rFonts w:ascii="Times New Roman" w:hAnsi="Times New Roman" w:cs="Times New Roman"/>
          <w:sz w:val="24"/>
          <w:szCs w:val="24"/>
          <w:lang w:val="en-US"/>
        </w:rPr>
        <w:t xml:space="preserve">each of which end up leaving a trail of unpaid creditors. The rhetoric of free markets, economic growth and job creation must not be allowed to overshadow the very real damage that inept serial entrepreneurs </w:t>
      </w:r>
      <w:r>
        <w:rPr>
          <w:rFonts w:ascii="Times New Roman" w:hAnsi="Times New Roman" w:cs="Times New Roman"/>
          <w:sz w:val="24"/>
          <w:szCs w:val="24"/>
          <w:lang w:val="en-US"/>
        </w:rPr>
        <w:t>and deliberate phoenix operators ca</w:t>
      </w:r>
      <w:r w:rsidR="00187E33" w:rsidRPr="00165CC9">
        <w:rPr>
          <w:rFonts w:ascii="Times New Roman" w:hAnsi="Times New Roman" w:cs="Times New Roman"/>
          <w:sz w:val="24"/>
          <w:szCs w:val="24"/>
          <w:lang w:val="en-US"/>
        </w:rPr>
        <w:t>use.</w:t>
      </w:r>
    </w:p>
    <w:p w14:paraId="79D20ADB" w14:textId="77777777" w:rsidR="00574EFE" w:rsidRPr="00165CC9" w:rsidRDefault="00574EFE" w:rsidP="00165CC9">
      <w:pPr>
        <w:spacing w:after="0" w:line="240" w:lineRule="auto"/>
        <w:jc w:val="both"/>
        <w:rPr>
          <w:rFonts w:ascii="Times New Roman" w:hAnsi="Times New Roman" w:cs="Times New Roman"/>
          <w:sz w:val="24"/>
          <w:szCs w:val="24"/>
          <w:lang w:val="en-US"/>
        </w:rPr>
      </w:pPr>
    </w:p>
    <w:p w14:paraId="09F76980" w14:textId="77777777" w:rsidR="00574EFE" w:rsidRPr="00165CC9" w:rsidRDefault="00574EFE" w:rsidP="00165CC9">
      <w:pPr>
        <w:spacing w:after="0" w:line="240" w:lineRule="auto"/>
        <w:jc w:val="both"/>
        <w:rPr>
          <w:rFonts w:ascii="Times New Roman" w:hAnsi="Times New Roman" w:cs="Times New Roman"/>
          <w:sz w:val="24"/>
          <w:szCs w:val="24"/>
          <w:lang w:val="en-US"/>
        </w:rPr>
      </w:pPr>
      <w:r w:rsidRPr="00165CC9">
        <w:rPr>
          <w:rFonts w:ascii="Times New Roman" w:hAnsi="Times New Roman" w:cs="Times New Roman"/>
          <w:sz w:val="24"/>
          <w:szCs w:val="24"/>
          <w:lang w:val="en-US"/>
        </w:rPr>
        <w:t>Thus, there is a very real possibility that less ‘red tape’ and fewer barriers to entry, business transfer and exit</w:t>
      </w:r>
      <w:r w:rsidR="00165CC9" w:rsidRPr="00165CC9">
        <w:rPr>
          <w:rFonts w:ascii="Times New Roman" w:hAnsi="Times New Roman" w:cs="Times New Roman"/>
          <w:sz w:val="24"/>
          <w:szCs w:val="24"/>
          <w:lang w:val="en-US"/>
        </w:rPr>
        <w:t>,</w:t>
      </w:r>
      <w:r w:rsidRPr="00165CC9">
        <w:rPr>
          <w:rFonts w:ascii="Times New Roman" w:hAnsi="Times New Roman" w:cs="Times New Roman"/>
          <w:sz w:val="24"/>
          <w:szCs w:val="24"/>
          <w:lang w:val="en-US"/>
        </w:rPr>
        <w:t xml:space="preserve"> might cause genuine harm to the economy.</w:t>
      </w:r>
    </w:p>
    <w:p w14:paraId="73970360" w14:textId="77777777" w:rsidR="00187E33" w:rsidRPr="00165CC9" w:rsidRDefault="00187E33" w:rsidP="00165CC9">
      <w:pPr>
        <w:spacing w:after="0" w:line="240" w:lineRule="auto"/>
        <w:jc w:val="both"/>
        <w:rPr>
          <w:rFonts w:ascii="Times New Roman" w:hAnsi="Times New Roman" w:cs="Times New Roman"/>
          <w:sz w:val="24"/>
          <w:szCs w:val="24"/>
          <w:lang w:val="en-US"/>
        </w:rPr>
      </w:pPr>
    </w:p>
    <w:p w14:paraId="03697CB4" w14:textId="4D8B3C18" w:rsidR="00187E33" w:rsidRPr="00165CC9" w:rsidRDefault="00187E33" w:rsidP="00165CC9">
      <w:pPr>
        <w:spacing w:after="0" w:line="240" w:lineRule="auto"/>
        <w:jc w:val="both"/>
        <w:rPr>
          <w:rFonts w:ascii="Times New Roman" w:hAnsi="Times New Roman" w:cs="Times New Roman"/>
          <w:sz w:val="24"/>
          <w:szCs w:val="24"/>
          <w:lang w:val="en-US"/>
        </w:rPr>
      </w:pPr>
      <w:r w:rsidRPr="00165CC9">
        <w:rPr>
          <w:rFonts w:ascii="Times New Roman" w:hAnsi="Times New Roman" w:cs="Times New Roman"/>
          <w:sz w:val="24"/>
          <w:szCs w:val="24"/>
          <w:lang w:val="en-US"/>
        </w:rPr>
        <w:t>One of the challenges in regulating to prevent and deter illegal phoenix activity is that it is very difficult to determine the controllers’ intentions. Was that person simply unlucky on this and possibly other occasions? Are they ‘unlucky’ so often that they should not be allowed to establish another incorporated business? Or is this person deliberately using the corporate form to leave unpaid creditors behind? Because intention is so difficult to discern, we suggest that entry</w:t>
      </w:r>
      <w:r w:rsidR="00574EFE" w:rsidRPr="00165CC9">
        <w:rPr>
          <w:rFonts w:ascii="Times New Roman" w:hAnsi="Times New Roman" w:cs="Times New Roman"/>
          <w:sz w:val="24"/>
          <w:szCs w:val="24"/>
          <w:lang w:val="en-US"/>
        </w:rPr>
        <w:t>, business transfer</w:t>
      </w:r>
      <w:r w:rsidRPr="00165CC9">
        <w:rPr>
          <w:rFonts w:ascii="Times New Roman" w:hAnsi="Times New Roman" w:cs="Times New Roman"/>
          <w:sz w:val="24"/>
          <w:szCs w:val="24"/>
          <w:lang w:val="en-US"/>
        </w:rPr>
        <w:t xml:space="preserve"> and exit regulation should take into account both inept serial entrepreneurs and deliberately </w:t>
      </w:r>
      <w:r w:rsidR="008633F3">
        <w:rPr>
          <w:rFonts w:ascii="Times New Roman" w:hAnsi="Times New Roman" w:cs="Times New Roman"/>
          <w:sz w:val="24"/>
          <w:szCs w:val="24"/>
          <w:lang w:val="en-US"/>
        </w:rPr>
        <w:t>illegal</w:t>
      </w:r>
      <w:r w:rsidRPr="00165CC9">
        <w:rPr>
          <w:rFonts w:ascii="Times New Roman" w:hAnsi="Times New Roman" w:cs="Times New Roman"/>
          <w:sz w:val="24"/>
          <w:szCs w:val="24"/>
          <w:lang w:val="en-US"/>
        </w:rPr>
        <w:t xml:space="preserve"> phoenix operators. </w:t>
      </w:r>
    </w:p>
    <w:p w14:paraId="00E1BE91" w14:textId="77777777" w:rsidR="00187E33" w:rsidRPr="00165CC9" w:rsidRDefault="00187E33" w:rsidP="00165CC9">
      <w:pPr>
        <w:spacing w:after="0" w:line="240" w:lineRule="auto"/>
        <w:jc w:val="both"/>
        <w:rPr>
          <w:rFonts w:ascii="Times New Roman" w:hAnsi="Times New Roman" w:cs="Times New Roman"/>
          <w:sz w:val="24"/>
          <w:szCs w:val="24"/>
        </w:rPr>
      </w:pPr>
    </w:p>
    <w:p w14:paraId="6F58647D" w14:textId="77777777" w:rsidR="00AA56F4" w:rsidRPr="00165CC9" w:rsidRDefault="00D47D8E" w:rsidP="00165CC9">
      <w:pPr>
        <w:spacing w:after="0" w:line="240" w:lineRule="auto"/>
        <w:jc w:val="both"/>
        <w:rPr>
          <w:rFonts w:ascii="Times New Roman" w:hAnsi="Times New Roman" w:cs="Times New Roman"/>
          <w:sz w:val="24"/>
          <w:szCs w:val="24"/>
          <w:u w:val="single"/>
        </w:rPr>
      </w:pPr>
      <w:r w:rsidRPr="00165CC9">
        <w:rPr>
          <w:rFonts w:ascii="Times New Roman" w:hAnsi="Times New Roman" w:cs="Times New Roman"/>
          <w:sz w:val="24"/>
          <w:szCs w:val="24"/>
          <w:u w:val="single"/>
        </w:rPr>
        <w:lastRenderedPageBreak/>
        <w:t>L</w:t>
      </w:r>
      <w:r w:rsidR="00035A96" w:rsidRPr="00165CC9">
        <w:rPr>
          <w:rFonts w:ascii="Times New Roman" w:hAnsi="Times New Roman" w:cs="Times New Roman"/>
          <w:sz w:val="24"/>
          <w:szCs w:val="24"/>
          <w:u w:val="single"/>
        </w:rPr>
        <w:t>egitimate policy objectives</w:t>
      </w:r>
    </w:p>
    <w:p w14:paraId="2D1408DF" w14:textId="77777777" w:rsidR="00035A96" w:rsidRPr="00165CC9" w:rsidRDefault="00035A96" w:rsidP="00786769">
      <w:pPr>
        <w:pStyle w:val="BodyText"/>
        <w:spacing w:before="0" w:line="240" w:lineRule="auto"/>
        <w:rPr>
          <w:szCs w:val="24"/>
        </w:rPr>
      </w:pPr>
      <w:r w:rsidRPr="00165CC9">
        <w:rPr>
          <w:szCs w:val="24"/>
        </w:rPr>
        <w:t>The Issues Paper recognises that</w:t>
      </w:r>
      <w:r w:rsidR="00D47D8E" w:rsidRPr="00165CC9">
        <w:rPr>
          <w:szCs w:val="24"/>
        </w:rPr>
        <w:t xml:space="preserve"> ‘m</w:t>
      </w:r>
      <w:r w:rsidRPr="00165CC9">
        <w:rPr>
          <w:szCs w:val="24"/>
        </w:rPr>
        <w:t>any government policies and/or regulations that create these barriers have legitimate policy objectives (for example, to provide health and safety standards and protect consumers).</w:t>
      </w:r>
      <w:r w:rsidR="00D47D8E" w:rsidRPr="00165CC9">
        <w:rPr>
          <w:szCs w:val="24"/>
        </w:rPr>
        <w:t>’ One of those legitimate policy objectives is the prevention and deterrence of illegal phoenix activity.</w:t>
      </w:r>
      <w:r w:rsidRPr="00165CC9">
        <w:rPr>
          <w:szCs w:val="24"/>
        </w:rPr>
        <w:t xml:space="preserve"> </w:t>
      </w:r>
    </w:p>
    <w:p w14:paraId="74A522F5" w14:textId="77777777" w:rsidR="00C86D47" w:rsidRPr="00165CC9" w:rsidRDefault="00C86D47" w:rsidP="00786769">
      <w:pPr>
        <w:pStyle w:val="BodyText"/>
        <w:spacing w:before="0" w:line="240" w:lineRule="auto"/>
        <w:rPr>
          <w:szCs w:val="24"/>
        </w:rPr>
      </w:pPr>
    </w:p>
    <w:p w14:paraId="7E3B09EF" w14:textId="5FC89A7F" w:rsidR="00C86D47" w:rsidRPr="00165CC9" w:rsidRDefault="00C86D47" w:rsidP="00786769">
      <w:pPr>
        <w:pStyle w:val="BodyText"/>
        <w:spacing w:before="0" w:line="240" w:lineRule="auto"/>
        <w:rPr>
          <w:szCs w:val="24"/>
        </w:rPr>
      </w:pPr>
      <w:r w:rsidRPr="00165CC9">
        <w:rPr>
          <w:szCs w:val="24"/>
        </w:rPr>
        <w:t xml:space="preserve">The ATO is the host of the Interagency Phoenix Forum (IAPF) – see </w:t>
      </w:r>
      <w:hyperlink r:id="rId15" w:history="1">
        <w:r w:rsidRPr="00165CC9">
          <w:rPr>
            <w:rStyle w:val="Hyperlink"/>
            <w:szCs w:val="24"/>
          </w:rPr>
          <w:t>https://www.ato.gov.au/General/Gen/Inter-Agency-Phoenix-Forum/</w:t>
        </w:r>
      </w:hyperlink>
      <w:r w:rsidR="00786769">
        <w:rPr>
          <w:szCs w:val="24"/>
        </w:rPr>
        <w:t xml:space="preserve">. </w:t>
      </w:r>
      <w:r w:rsidR="00C320B7">
        <w:rPr>
          <w:szCs w:val="24"/>
        </w:rPr>
        <w:t xml:space="preserve">Its </w:t>
      </w:r>
      <w:r w:rsidRPr="00165CC9">
        <w:rPr>
          <w:szCs w:val="24"/>
        </w:rPr>
        <w:t xml:space="preserve">membership comprises </w:t>
      </w:r>
      <w:r w:rsidR="00932FC9">
        <w:rPr>
          <w:szCs w:val="24"/>
        </w:rPr>
        <w:t xml:space="preserve">the </w:t>
      </w:r>
      <w:r w:rsidRPr="00165CC9">
        <w:rPr>
          <w:szCs w:val="24"/>
        </w:rPr>
        <w:t>Australian Crime Co</w:t>
      </w:r>
      <w:r w:rsidR="00786769">
        <w:rPr>
          <w:szCs w:val="24"/>
        </w:rPr>
        <w:t xml:space="preserve">mmission (ACC); </w:t>
      </w:r>
      <w:r w:rsidRPr="00165CC9">
        <w:rPr>
          <w:szCs w:val="24"/>
        </w:rPr>
        <w:t>Australian Federal P</w:t>
      </w:r>
      <w:r w:rsidR="00C320B7">
        <w:rPr>
          <w:szCs w:val="24"/>
        </w:rPr>
        <w:t>olice (AFP);</w:t>
      </w:r>
      <w:r w:rsidR="00861DD0">
        <w:rPr>
          <w:szCs w:val="24"/>
        </w:rPr>
        <w:t xml:space="preserve"> ASIC; </w:t>
      </w:r>
      <w:r w:rsidR="0070346D">
        <w:rPr>
          <w:szCs w:val="24"/>
        </w:rPr>
        <w:t>ATO</w:t>
      </w:r>
      <w:r w:rsidR="00C320B7">
        <w:rPr>
          <w:szCs w:val="24"/>
        </w:rPr>
        <w:t xml:space="preserve">; Clean Energy Regulator (CER); Department of Employment </w:t>
      </w:r>
      <w:r w:rsidRPr="00165CC9">
        <w:rPr>
          <w:szCs w:val="24"/>
        </w:rPr>
        <w:t>(DE); Department of Sustainability, Environment, Water, Populat</w:t>
      </w:r>
      <w:r w:rsidR="00C320B7">
        <w:rPr>
          <w:szCs w:val="24"/>
        </w:rPr>
        <w:t>ion and Communities (</w:t>
      </w:r>
      <w:proofErr w:type="spellStart"/>
      <w:r w:rsidR="00C320B7">
        <w:rPr>
          <w:szCs w:val="24"/>
        </w:rPr>
        <w:t>DSEWPaC</w:t>
      </w:r>
      <w:proofErr w:type="spellEnd"/>
      <w:r w:rsidR="00C320B7">
        <w:rPr>
          <w:szCs w:val="24"/>
        </w:rPr>
        <w:t xml:space="preserve">); </w:t>
      </w:r>
      <w:r w:rsidRPr="00165CC9">
        <w:rPr>
          <w:szCs w:val="24"/>
        </w:rPr>
        <w:t>Fair Work Building &amp; Construction (F</w:t>
      </w:r>
      <w:r w:rsidR="0070346D">
        <w:rPr>
          <w:szCs w:val="24"/>
        </w:rPr>
        <w:t>WBC); FWO</w:t>
      </w:r>
      <w:r w:rsidRPr="00165CC9">
        <w:rPr>
          <w:szCs w:val="24"/>
        </w:rPr>
        <w:t>; and state and territory revenue offices.</w:t>
      </w:r>
    </w:p>
    <w:p w14:paraId="39F91C9F" w14:textId="77777777" w:rsidR="00C86D47" w:rsidRPr="00165CC9" w:rsidRDefault="00C86D47" w:rsidP="00165CC9">
      <w:pPr>
        <w:pStyle w:val="BodyText"/>
        <w:spacing w:before="0" w:line="240" w:lineRule="auto"/>
        <w:rPr>
          <w:szCs w:val="24"/>
        </w:rPr>
      </w:pPr>
    </w:p>
    <w:p w14:paraId="24CBD0E9" w14:textId="2920D15D" w:rsidR="00D47D8E" w:rsidRPr="00165CC9" w:rsidRDefault="007126A0" w:rsidP="00165CC9">
      <w:pPr>
        <w:pStyle w:val="BodyText"/>
        <w:spacing w:before="0" w:line="240" w:lineRule="auto"/>
        <w:rPr>
          <w:szCs w:val="24"/>
        </w:rPr>
      </w:pPr>
      <w:r>
        <w:rPr>
          <w:szCs w:val="24"/>
        </w:rPr>
        <w:t>Each of these agencies has</w:t>
      </w:r>
      <w:r w:rsidR="00C86D47" w:rsidRPr="00165CC9">
        <w:rPr>
          <w:szCs w:val="24"/>
        </w:rPr>
        <w:t xml:space="preserve"> an interest in preventing and deterring illegal phoenix activity. Both the </w:t>
      </w:r>
      <w:r w:rsidR="00C320B7">
        <w:rPr>
          <w:szCs w:val="24"/>
        </w:rPr>
        <w:t>ACC</w:t>
      </w:r>
      <w:r w:rsidR="00C86D47" w:rsidRPr="00165CC9">
        <w:rPr>
          <w:szCs w:val="24"/>
        </w:rPr>
        <w:t xml:space="preserve"> and the </w:t>
      </w:r>
      <w:r w:rsidR="00C320B7">
        <w:rPr>
          <w:szCs w:val="24"/>
        </w:rPr>
        <w:t>AFP</w:t>
      </w:r>
      <w:r w:rsidR="00C86D47" w:rsidRPr="00165CC9">
        <w:rPr>
          <w:szCs w:val="24"/>
        </w:rPr>
        <w:t xml:space="preserve"> are involved because illegal phoenix activity </w:t>
      </w:r>
      <w:r w:rsidR="009A4E21" w:rsidRPr="00165CC9">
        <w:rPr>
          <w:szCs w:val="24"/>
        </w:rPr>
        <w:t xml:space="preserve">is sometimes associated with </w:t>
      </w:r>
      <w:r w:rsidR="00D53575" w:rsidRPr="00165CC9">
        <w:rPr>
          <w:szCs w:val="24"/>
        </w:rPr>
        <w:t xml:space="preserve">tax fraud, false GST invoices, money laundering, </w:t>
      </w:r>
      <w:r w:rsidR="009A4E21" w:rsidRPr="00165CC9">
        <w:rPr>
          <w:szCs w:val="24"/>
        </w:rPr>
        <w:t>fictitious</w:t>
      </w:r>
      <w:r w:rsidR="00D53575" w:rsidRPr="00165CC9">
        <w:rPr>
          <w:szCs w:val="24"/>
        </w:rPr>
        <w:t xml:space="preserve"> transactions and identities, visa breaches and misuse of migrant labour, and other criminal behaviour. These can constitute serious organised crime.</w:t>
      </w:r>
      <w:r w:rsidR="00D53575" w:rsidRPr="00165CC9">
        <w:rPr>
          <w:rStyle w:val="FootnoteReference"/>
          <w:szCs w:val="24"/>
        </w:rPr>
        <w:footnoteReference w:id="9"/>
      </w:r>
      <w:r w:rsidR="00D53575" w:rsidRPr="00165CC9">
        <w:rPr>
          <w:szCs w:val="24"/>
        </w:rPr>
        <w:t xml:space="preserve"> The </w:t>
      </w:r>
      <w:r w:rsidR="00D86163">
        <w:rPr>
          <w:szCs w:val="24"/>
        </w:rPr>
        <w:t xml:space="preserve">FWO </w:t>
      </w:r>
      <w:r w:rsidR="00D53575" w:rsidRPr="00165CC9">
        <w:rPr>
          <w:szCs w:val="24"/>
        </w:rPr>
        <w:t xml:space="preserve">and </w:t>
      </w:r>
      <w:r w:rsidR="00D86163">
        <w:rPr>
          <w:szCs w:val="24"/>
        </w:rPr>
        <w:t>FWBC</w:t>
      </w:r>
      <w:r w:rsidR="00D53575" w:rsidRPr="00165CC9">
        <w:rPr>
          <w:szCs w:val="24"/>
        </w:rPr>
        <w:t xml:space="preserve"> </w:t>
      </w:r>
      <w:r w:rsidR="006B6634" w:rsidRPr="00165CC9">
        <w:rPr>
          <w:szCs w:val="24"/>
        </w:rPr>
        <w:t>are concerned with the non-payment of employees</w:t>
      </w:r>
      <w:r w:rsidR="008C4F80">
        <w:rPr>
          <w:szCs w:val="24"/>
        </w:rPr>
        <w:t>,</w:t>
      </w:r>
      <w:r w:rsidR="002711E1">
        <w:rPr>
          <w:szCs w:val="24"/>
        </w:rPr>
        <w:t xml:space="preserve"> </w:t>
      </w:r>
      <w:r w:rsidR="009A4E21" w:rsidRPr="00165CC9">
        <w:rPr>
          <w:szCs w:val="24"/>
        </w:rPr>
        <w:t xml:space="preserve">which often occurs as a consequence of business failure and </w:t>
      </w:r>
      <w:r w:rsidR="006B6634" w:rsidRPr="00165CC9">
        <w:rPr>
          <w:szCs w:val="24"/>
        </w:rPr>
        <w:t>is particularly prevalent in the building industry.</w:t>
      </w:r>
      <w:r w:rsidR="00D47D8E" w:rsidRPr="00165CC9">
        <w:rPr>
          <w:szCs w:val="24"/>
        </w:rPr>
        <w:t xml:space="preserve"> Recently, the IAPF has been declared a prescribed taskforce by the Federal Government. This allows much freer transfers of information between the members of the IAPF. The declaration was made</w:t>
      </w:r>
      <w:r w:rsidR="00165CC9" w:rsidRPr="00165CC9">
        <w:rPr>
          <w:szCs w:val="24"/>
        </w:rPr>
        <w:t xml:space="preserve"> in recognition of the importance</w:t>
      </w:r>
      <w:r w:rsidR="00D47D8E" w:rsidRPr="00165CC9">
        <w:rPr>
          <w:szCs w:val="24"/>
        </w:rPr>
        <w:t xml:space="preserve"> of preventing and deterring illegal phoenix activity. </w:t>
      </w:r>
    </w:p>
    <w:p w14:paraId="3A1A499F" w14:textId="77777777" w:rsidR="00D47D8E" w:rsidRPr="00165CC9" w:rsidRDefault="00D47D8E" w:rsidP="00165CC9">
      <w:pPr>
        <w:pStyle w:val="BodyText"/>
        <w:spacing w:before="0" w:line="240" w:lineRule="auto"/>
        <w:rPr>
          <w:szCs w:val="24"/>
        </w:rPr>
      </w:pPr>
    </w:p>
    <w:p w14:paraId="1D871D79" w14:textId="77777777" w:rsidR="00D47D8E" w:rsidRPr="00165CC9" w:rsidRDefault="00072314" w:rsidP="00165CC9">
      <w:pPr>
        <w:pStyle w:val="BodyText"/>
        <w:spacing w:before="0" w:line="240" w:lineRule="auto"/>
        <w:rPr>
          <w:szCs w:val="24"/>
        </w:rPr>
      </w:pPr>
      <w:r w:rsidRPr="00165CC9">
        <w:rPr>
          <w:szCs w:val="24"/>
        </w:rPr>
        <w:t>To assist these regulators in their work, we urge the Productivity Commission to recognise the legitimate policy objective of preventing and deterring illegal phoenix activity and to adopt a balanced approach when considering whether to recommend a reduction to barriers to business entry, transfer and exit.</w:t>
      </w:r>
    </w:p>
    <w:p w14:paraId="63827416" w14:textId="77777777" w:rsidR="00D17E85" w:rsidRPr="00165CC9" w:rsidRDefault="00D17E85" w:rsidP="00165CC9">
      <w:pPr>
        <w:pStyle w:val="BodyText"/>
        <w:spacing w:before="0" w:line="240" w:lineRule="auto"/>
        <w:rPr>
          <w:szCs w:val="24"/>
        </w:rPr>
      </w:pPr>
    </w:p>
    <w:p w14:paraId="1EAC54A0" w14:textId="77777777" w:rsidR="00D47D8E" w:rsidRPr="00165CC9" w:rsidRDefault="00D47D8E" w:rsidP="00165CC9">
      <w:pPr>
        <w:pStyle w:val="BodyText"/>
        <w:spacing w:before="0" w:line="240" w:lineRule="auto"/>
        <w:rPr>
          <w:szCs w:val="24"/>
          <w:u w:val="single"/>
        </w:rPr>
      </w:pPr>
      <w:r w:rsidRPr="00165CC9">
        <w:rPr>
          <w:szCs w:val="24"/>
          <w:u w:val="single"/>
        </w:rPr>
        <w:t>Meeting legitimate policy objectives while reducing barriers to set-up and closure</w:t>
      </w:r>
    </w:p>
    <w:p w14:paraId="54372F6D" w14:textId="58867507" w:rsidR="00035A96" w:rsidRPr="00165CC9" w:rsidRDefault="00D47D8E" w:rsidP="00165CC9">
      <w:pPr>
        <w:spacing w:after="0" w:line="240" w:lineRule="auto"/>
        <w:jc w:val="both"/>
        <w:rPr>
          <w:rFonts w:ascii="Times New Roman" w:hAnsi="Times New Roman" w:cs="Times New Roman"/>
          <w:sz w:val="24"/>
          <w:szCs w:val="24"/>
        </w:rPr>
      </w:pPr>
      <w:r w:rsidRPr="00165CC9">
        <w:rPr>
          <w:rFonts w:ascii="Times New Roman" w:hAnsi="Times New Roman" w:cs="Times New Roman"/>
          <w:sz w:val="24"/>
          <w:szCs w:val="24"/>
        </w:rPr>
        <w:t>The Issues Paper state</w:t>
      </w:r>
      <w:r w:rsidR="00932FC9">
        <w:rPr>
          <w:rFonts w:ascii="Times New Roman" w:hAnsi="Times New Roman" w:cs="Times New Roman"/>
          <w:sz w:val="24"/>
          <w:szCs w:val="24"/>
        </w:rPr>
        <w:t>s</w:t>
      </w:r>
      <w:r w:rsidRPr="00165CC9">
        <w:rPr>
          <w:rFonts w:ascii="Times New Roman" w:hAnsi="Times New Roman" w:cs="Times New Roman"/>
          <w:sz w:val="24"/>
          <w:szCs w:val="24"/>
        </w:rPr>
        <w:t xml:space="preserve"> that</w:t>
      </w:r>
      <w:r w:rsidR="002C38B3">
        <w:rPr>
          <w:rFonts w:ascii="Times New Roman" w:hAnsi="Times New Roman" w:cs="Times New Roman"/>
          <w:sz w:val="24"/>
          <w:szCs w:val="24"/>
        </w:rPr>
        <w:t>:</w:t>
      </w:r>
    </w:p>
    <w:p w14:paraId="7D5F302A" w14:textId="77777777" w:rsidR="00F5169F" w:rsidRDefault="00F5169F" w:rsidP="00165CC9">
      <w:pPr>
        <w:spacing w:after="0" w:line="240" w:lineRule="auto"/>
        <w:ind w:left="720"/>
        <w:jc w:val="both"/>
        <w:rPr>
          <w:rFonts w:ascii="Times New Roman" w:hAnsi="Times New Roman" w:cs="Times New Roman"/>
          <w:sz w:val="24"/>
          <w:szCs w:val="24"/>
        </w:rPr>
      </w:pPr>
    </w:p>
    <w:p w14:paraId="6423565E" w14:textId="77777777" w:rsidR="00D47D8E" w:rsidRPr="00F5169F" w:rsidRDefault="00D47D8E" w:rsidP="00165CC9">
      <w:pPr>
        <w:spacing w:after="0" w:line="240" w:lineRule="auto"/>
        <w:ind w:left="720"/>
        <w:jc w:val="both"/>
        <w:rPr>
          <w:rFonts w:ascii="Times New Roman" w:hAnsi="Times New Roman" w:cs="Times New Roman"/>
        </w:rPr>
      </w:pPr>
      <w:r w:rsidRPr="00F5169F">
        <w:rPr>
          <w:rFonts w:ascii="Times New Roman" w:hAnsi="Times New Roman" w:cs="Times New Roman"/>
        </w:rPr>
        <w:t xml:space="preserve">A key task of this inquiry will be to identify alternative mechanisms, where the case can be made for </w:t>
      </w:r>
      <w:proofErr w:type="gramStart"/>
      <w:r w:rsidRPr="00F5169F">
        <w:rPr>
          <w:rFonts w:ascii="Times New Roman" w:hAnsi="Times New Roman" w:cs="Times New Roman"/>
        </w:rPr>
        <w:t>change, that</w:t>
      </w:r>
      <w:proofErr w:type="gramEnd"/>
      <w:r w:rsidRPr="00F5169F">
        <w:rPr>
          <w:rFonts w:ascii="Times New Roman" w:hAnsi="Times New Roman" w:cs="Times New Roman"/>
        </w:rPr>
        <w:t xml:space="preserve"> both meet the legitimate policy and regulatory objectives of government and reduce or remove unnecessary barriers to business set-up and closure.</w:t>
      </w:r>
    </w:p>
    <w:p w14:paraId="3AB531F6" w14:textId="77777777" w:rsidR="00806377" w:rsidRPr="00165CC9" w:rsidRDefault="00806377" w:rsidP="00165CC9">
      <w:pPr>
        <w:spacing w:after="0" w:line="240" w:lineRule="auto"/>
        <w:ind w:left="720"/>
        <w:jc w:val="both"/>
        <w:rPr>
          <w:rFonts w:ascii="Times New Roman" w:hAnsi="Times New Roman" w:cs="Times New Roman"/>
          <w:sz w:val="24"/>
          <w:szCs w:val="24"/>
        </w:rPr>
      </w:pPr>
    </w:p>
    <w:p w14:paraId="544A6DBA" w14:textId="77777777" w:rsidR="00806377" w:rsidRPr="00165CC9" w:rsidRDefault="00806377" w:rsidP="00165CC9">
      <w:pPr>
        <w:spacing w:after="0" w:line="240" w:lineRule="auto"/>
        <w:jc w:val="both"/>
        <w:rPr>
          <w:rFonts w:ascii="Times New Roman" w:hAnsi="Times New Roman" w:cs="Times New Roman"/>
          <w:sz w:val="24"/>
          <w:szCs w:val="24"/>
        </w:rPr>
      </w:pPr>
      <w:r w:rsidRPr="00165CC9">
        <w:rPr>
          <w:rFonts w:ascii="Times New Roman" w:hAnsi="Times New Roman" w:cs="Times New Roman"/>
          <w:sz w:val="24"/>
          <w:szCs w:val="24"/>
        </w:rPr>
        <w:t xml:space="preserve">In general, we do not believe that additional hurdles should be placed in the way of business people in creating or dismantling </w:t>
      </w:r>
      <w:r w:rsidR="00AE59FE" w:rsidRPr="00165CC9">
        <w:rPr>
          <w:rFonts w:ascii="Times New Roman" w:hAnsi="Times New Roman" w:cs="Times New Roman"/>
          <w:sz w:val="24"/>
          <w:szCs w:val="24"/>
        </w:rPr>
        <w:t>companies</w:t>
      </w:r>
      <w:r w:rsidRPr="00165CC9">
        <w:rPr>
          <w:rFonts w:ascii="Times New Roman" w:hAnsi="Times New Roman" w:cs="Times New Roman"/>
          <w:sz w:val="24"/>
          <w:szCs w:val="24"/>
        </w:rPr>
        <w:t>. However, to address the obvious</w:t>
      </w:r>
      <w:r w:rsidR="00187E33" w:rsidRPr="00165CC9">
        <w:rPr>
          <w:rFonts w:ascii="Times New Roman" w:hAnsi="Times New Roman" w:cs="Times New Roman"/>
          <w:sz w:val="24"/>
          <w:szCs w:val="24"/>
        </w:rPr>
        <w:t xml:space="preserve"> problems created by </w:t>
      </w:r>
      <w:r w:rsidRPr="00165CC9">
        <w:rPr>
          <w:rFonts w:ascii="Times New Roman" w:hAnsi="Times New Roman" w:cs="Times New Roman"/>
          <w:sz w:val="24"/>
          <w:szCs w:val="24"/>
        </w:rPr>
        <w:t>phoenix activity for government and for legitimate business operators, we do consider that the following measures should be considered:</w:t>
      </w:r>
    </w:p>
    <w:p w14:paraId="46605DB9" w14:textId="77777777" w:rsidR="00806377" w:rsidRPr="00165CC9" w:rsidRDefault="00806377" w:rsidP="00165CC9">
      <w:pPr>
        <w:spacing w:after="0" w:line="240" w:lineRule="auto"/>
        <w:jc w:val="both"/>
        <w:rPr>
          <w:rFonts w:ascii="Times New Roman" w:hAnsi="Times New Roman" w:cs="Times New Roman"/>
          <w:sz w:val="24"/>
          <w:szCs w:val="24"/>
        </w:rPr>
      </w:pPr>
    </w:p>
    <w:p w14:paraId="79F86449" w14:textId="77777777" w:rsidR="00806377" w:rsidRPr="00165CC9" w:rsidRDefault="00806377" w:rsidP="00165CC9">
      <w:pPr>
        <w:spacing w:after="0" w:line="240" w:lineRule="auto"/>
        <w:ind w:left="720"/>
        <w:jc w:val="both"/>
        <w:rPr>
          <w:rFonts w:ascii="Times New Roman" w:hAnsi="Times New Roman" w:cs="Times New Roman"/>
          <w:sz w:val="24"/>
          <w:szCs w:val="24"/>
        </w:rPr>
      </w:pPr>
      <w:r w:rsidRPr="00165CC9">
        <w:rPr>
          <w:rFonts w:ascii="Times New Roman" w:hAnsi="Times New Roman" w:cs="Times New Roman"/>
          <w:sz w:val="24"/>
          <w:szCs w:val="24"/>
        </w:rPr>
        <w:t>1. A director identification number</w:t>
      </w:r>
      <w:r w:rsidR="00AE59FE" w:rsidRPr="00165CC9">
        <w:rPr>
          <w:rFonts w:ascii="Times New Roman" w:hAnsi="Times New Roman" w:cs="Times New Roman"/>
          <w:sz w:val="24"/>
          <w:szCs w:val="24"/>
        </w:rPr>
        <w:t xml:space="preserve"> (DIN)</w:t>
      </w:r>
      <w:r w:rsidRPr="00165CC9">
        <w:rPr>
          <w:rFonts w:ascii="Times New Roman" w:hAnsi="Times New Roman" w:cs="Times New Roman"/>
          <w:sz w:val="24"/>
          <w:szCs w:val="24"/>
        </w:rPr>
        <w:t xml:space="preserve">. </w:t>
      </w:r>
    </w:p>
    <w:p w14:paraId="492C3BCE" w14:textId="6E9BB048" w:rsidR="009A4E21" w:rsidRPr="00165CC9" w:rsidRDefault="00806377" w:rsidP="00165CC9">
      <w:pPr>
        <w:spacing w:after="0" w:line="240" w:lineRule="auto"/>
        <w:rPr>
          <w:rFonts w:ascii="Times New Roman" w:hAnsi="Times New Roman" w:cs="Times New Roman"/>
          <w:sz w:val="24"/>
          <w:szCs w:val="24"/>
        </w:rPr>
      </w:pPr>
      <w:r w:rsidRPr="00165CC9">
        <w:rPr>
          <w:rFonts w:ascii="Times New Roman" w:hAnsi="Times New Roman" w:cs="Times New Roman"/>
          <w:sz w:val="24"/>
          <w:szCs w:val="24"/>
        </w:rPr>
        <w:t>We believe that would-be directors should be required to establish their identity via 100 points of identity proof. This is well-accepted and uncontroversial in the context of openi</w:t>
      </w:r>
      <w:r w:rsidR="00A20411">
        <w:rPr>
          <w:rFonts w:ascii="Times New Roman" w:hAnsi="Times New Roman" w:cs="Times New Roman"/>
          <w:sz w:val="24"/>
          <w:szCs w:val="24"/>
        </w:rPr>
        <w:t>ng bank accounts and obtaining</w:t>
      </w:r>
      <w:r w:rsidRPr="00165CC9">
        <w:rPr>
          <w:rFonts w:ascii="Times New Roman" w:hAnsi="Times New Roman" w:cs="Times New Roman"/>
          <w:sz w:val="24"/>
          <w:szCs w:val="24"/>
        </w:rPr>
        <w:t xml:space="preserve"> passport</w:t>
      </w:r>
      <w:r w:rsidR="00A20411">
        <w:rPr>
          <w:rFonts w:ascii="Times New Roman" w:hAnsi="Times New Roman" w:cs="Times New Roman"/>
          <w:sz w:val="24"/>
          <w:szCs w:val="24"/>
        </w:rPr>
        <w:t>s.</w:t>
      </w:r>
      <w:r w:rsidRPr="00165CC9">
        <w:rPr>
          <w:rFonts w:ascii="Times New Roman" w:hAnsi="Times New Roman" w:cs="Times New Roman"/>
          <w:sz w:val="24"/>
          <w:szCs w:val="24"/>
        </w:rPr>
        <w:t xml:space="preserve"> </w:t>
      </w:r>
      <w:r w:rsidR="009A4E21" w:rsidRPr="00165CC9">
        <w:rPr>
          <w:rFonts w:ascii="Times New Roman" w:hAnsi="Times New Roman" w:cs="Times New Roman"/>
          <w:sz w:val="24"/>
          <w:szCs w:val="24"/>
        </w:rPr>
        <w:t>The Productivity Commission Issues paper identifies examples of current regulatory arrangements and requirements that are faced by some persons setting up a business.</w:t>
      </w:r>
      <w:r w:rsidR="009A4E21" w:rsidRPr="00165CC9">
        <w:rPr>
          <w:rStyle w:val="FootnoteReference"/>
          <w:rFonts w:ascii="Times New Roman" w:hAnsi="Times New Roman" w:cs="Times New Roman"/>
          <w:sz w:val="24"/>
          <w:szCs w:val="24"/>
        </w:rPr>
        <w:footnoteReference w:id="10"/>
      </w:r>
      <w:r w:rsidR="009A4E21" w:rsidRPr="00165CC9">
        <w:rPr>
          <w:rFonts w:ascii="Times New Roman" w:hAnsi="Times New Roman" w:cs="Times New Roman"/>
          <w:sz w:val="24"/>
          <w:szCs w:val="24"/>
        </w:rPr>
        <w:t xml:space="preserve"> They include ‘obtaining licences, registrations or approvals to </w:t>
      </w:r>
      <w:r w:rsidR="009A4E21" w:rsidRPr="00165CC9">
        <w:rPr>
          <w:rFonts w:ascii="Times New Roman" w:hAnsi="Times New Roman" w:cs="Times New Roman"/>
          <w:sz w:val="24"/>
          <w:szCs w:val="24"/>
        </w:rPr>
        <w:lastRenderedPageBreak/>
        <w:t>operate the business, acquiring relevant re-zoning and development approvals, establishing the required reporting systems and having the appropriately qualified staff employed in or operating and managing the business.’</w:t>
      </w:r>
      <w:r w:rsidR="009A4E21" w:rsidRPr="00165CC9">
        <w:rPr>
          <w:rStyle w:val="FootnoteReference"/>
          <w:rFonts w:ascii="Times New Roman" w:hAnsi="Times New Roman" w:cs="Times New Roman"/>
          <w:sz w:val="24"/>
          <w:szCs w:val="24"/>
        </w:rPr>
        <w:footnoteReference w:id="11"/>
      </w:r>
      <w:r w:rsidR="009A4E21" w:rsidRPr="00165CC9">
        <w:rPr>
          <w:rFonts w:ascii="Times New Roman" w:hAnsi="Times New Roman" w:cs="Times New Roman"/>
          <w:sz w:val="24"/>
          <w:szCs w:val="24"/>
        </w:rPr>
        <w:t xml:space="preserve"> Arguably </w:t>
      </w:r>
      <w:r w:rsidR="0076719F" w:rsidRPr="00165CC9">
        <w:rPr>
          <w:rFonts w:ascii="Times New Roman" w:hAnsi="Times New Roman" w:cs="Times New Roman"/>
          <w:sz w:val="24"/>
          <w:szCs w:val="24"/>
        </w:rPr>
        <w:t>imposing the requirement of a DIN</w:t>
      </w:r>
      <w:r w:rsidR="009A4E21" w:rsidRPr="00165CC9">
        <w:rPr>
          <w:rFonts w:ascii="Times New Roman" w:hAnsi="Times New Roman" w:cs="Times New Roman"/>
          <w:sz w:val="24"/>
          <w:szCs w:val="24"/>
        </w:rPr>
        <w:t xml:space="preserve"> would constitute a lesser burden on </w:t>
      </w:r>
      <w:r w:rsidR="0076719F" w:rsidRPr="00165CC9">
        <w:rPr>
          <w:rFonts w:ascii="Times New Roman" w:hAnsi="Times New Roman" w:cs="Times New Roman"/>
          <w:sz w:val="24"/>
          <w:szCs w:val="24"/>
        </w:rPr>
        <w:t xml:space="preserve">honest business operators </w:t>
      </w:r>
      <w:r w:rsidR="009A4E21" w:rsidRPr="00165CC9">
        <w:rPr>
          <w:rFonts w:ascii="Times New Roman" w:hAnsi="Times New Roman" w:cs="Times New Roman"/>
          <w:sz w:val="24"/>
          <w:szCs w:val="24"/>
        </w:rPr>
        <w:t>than most</w:t>
      </w:r>
      <w:r w:rsidR="0076719F" w:rsidRPr="00165CC9">
        <w:rPr>
          <w:rFonts w:ascii="Times New Roman" w:hAnsi="Times New Roman" w:cs="Times New Roman"/>
          <w:sz w:val="24"/>
          <w:szCs w:val="24"/>
        </w:rPr>
        <w:t>,</w:t>
      </w:r>
      <w:r w:rsidR="009A4E21" w:rsidRPr="00165CC9">
        <w:rPr>
          <w:rFonts w:ascii="Times New Roman" w:hAnsi="Times New Roman" w:cs="Times New Roman"/>
          <w:sz w:val="24"/>
          <w:szCs w:val="24"/>
        </w:rPr>
        <w:t xml:space="preserve"> if not all</w:t>
      </w:r>
      <w:r w:rsidR="00A20411">
        <w:rPr>
          <w:rFonts w:ascii="Times New Roman" w:hAnsi="Times New Roman" w:cs="Times New Roman"/>
          <w:sz w:val="24"/>
          <w:szCs w:val="24"/>
        </w:rPr>
        <w:t>,</w:t>
      </w:r>
      <w:r w:rsidR="009A4E21" w:rsidRPr="00165CC9">
        <w:rPr>
          <w:rFonts w:ascii="Times New Roman" w:hAnsi="Times New Roman" w:cs="Times New Roman"/>
          <w:sz w:val="24"/>
          <w:szCs w:val="24"/>
        </w:rPr>
        <w:t xml:space="preserve"> of these other existing requirements. </w:t>
      </w:r>
    </w:p>
    <w:p w14:paraId="40FF2E45" w14:textId="77777777" w:rsidR="00165CC9" w:rsidRPr="00165CC9" w:rsidRDefault="00165CC9" w:rsidP="00165CC9">
      <w:pPr>
        <w:spacing w:after="0" w:line="240" w:lineRule="auto"/>
        <w:rPr>
          <w:rFonts w:ascii="Times New Roman" w:hAnsi="Times New Roman" w:cs="Times New Roman"/>
          <w:sz w:val="24"/>
          <w:szCs w:val="24"/>
        </w:rPr>
      </w:pPr>
    </w:p>
    <w:p w14:paraId="189EDE24" w14:textId="77777777" w:rsidR="00806377" w:rsidRPr="00165CC9" w:rsidRDefault="00165CC9" w:rsidP="00165CC9">
      <w:pPr>
        <w:spacing w:after="0" w:line="240" w:lineRule="auto"/>
        <w:rPr>
          <w:rFonts w:ascii="Times New Roman" w:hAnsi="Times New Roman" w:cs="Times New Roman"/>
          <w:sz w:val="24"/>
          <w:szCs w:val="24"/>
        </w:rPr>
      </w:pPr>
      <w:r w:rsidRPr="00165CC9">
        <w:rPr>
          <w:rFonts w:ascii="Times New Roman" w:hAnsi="Times New Roman" w:cs="Times New Roman"/>
          <w:sz w:val="24"/>
          <w:szCs w:val="24"/>
        </w:rPr>
        <w:t>With</w:t>
      </w:r>
      <w:r w:rsidR="0076719F" w:rsidRPr="00165CC9">
        <w:rPr>
          <w:rFonts w:ascii="Times New Roman" w:hAnsi="Times New Roman" w:cs="Times New Roman"/>
          <w:sz w:val="24"/>
          <w:szCs w:val="24"/>
        </w:rPr>
        <w:t xml:space="preserve"> relatively little inconvenience to honest business operators</w:t>
      </w:r>
      <w:r w:rsidRPr="00165CC9">
        <w:rPr>
          <w:rFonts w:ascii="Times New Roman" w:hAnsi="Times New Roman" w:cs="Times New Roman"/>
          <w:sz w:val="24"/>
          <w:szCs w:val="24"/>
        </w:rPr>
        <w:t>,</w:t>
      </w:r>
      <w:r w:rsidR="0076719F" w:rsidRPr="00165CC9">
        <w:rPr>
          <w:rFonts w:ascii="Times New Roman" w:hAnsi="Times New Roman" w:cs="Times New Roman"/>
          <w:sz w:val="24"/>
          <w:szCs w:val="24"/>
        </w:rPr>
        <w:t xml:space="preserve"> a</w:t>
      </w:r>
      <w:r w:rsidR="00AE59FE" w:rsidRPr="00165CC9">
        <w:rPr>
          <w:rFonts w:ascii="Times New Roman" w:hAnsi="Times New Roman" w:cs="Times New Roman"/>
          <w:sz w:val="24"/>
          <w:szCs w:val="24"/>
        </w:rPr>
        <w:t xml:space="preserve"> DIN</w:t>
      </w:r>
      <w:r w:rsidR="00806377" w:rsidRPr="00165CC9">
        <w:rPr>
          <w:rFonts w:ascii="Times New Roman" w:hAnsi="Times New Roman" w:cs="Times New Roman"/>
          <w:sz w:val="24"/>
          <w:szCs w:val="24"/>
        </w:rPr>
        <w:t xml:space="preserve"> should eliminate the problem of fictitious identities being used for company directorships when new companies are registered. </w:t>
      </w:r>
      <w:r w:rsidR="00AE59FE" w:rsidRPr="00165CC9">
        <w:rPr>
          <w:rFonts w:ascii="Times New Roman" w:hAnsi="Times New Roman" w:cs="Times New Roman"/>
          <w:sz w:val="24"/>
          <w:szCs w:val="24"/>
        </w:rPr>
        <w:t>Requiring people to cite their DIN</w:t>
      </w:r>
      <w:r w:rsidR="00806377" w:rsidRPr="00165CC9">
        <w:rPr>
          <w:rFonts w:ascii="Times New Roman" w:hAnsi="Times New Roman" w:cs="Times New Roman"/>
          <w:sz w:val="24"/>
          <w:szCs w:val="24"/>
        </w:rPr>
        <w:t xml:space="preserve"> would also </w:t>
      </w:r>
      <w:r w:rsidR="00AE59FE" w:rsidRPr="00165CC9">
        <w:rPr>
          <w:rFonts w:ascii="Times New Roman" w:hAnsi="Times New Roman" w:cs="Times New Roman"/>
          <w:sz w:val="24"/>
          <w:szCs w:val="24"/>
        </w:rPr>
        <w:t>assist ASIC in</w:t>
      </w:r>
      <w:r w:rsidR="00806377" w:rsidRPr="00165CC9">
        <w:rPr>
          <w:rFonts w:ascii="Times New Roman" w:hAnsi="Times New Roman" w:cs="Times New Roman"/>
          <w:sz w:val="24"/>
          <w:szCs w:val="24"/>
        </w:rPr>
        <w:t xml:space="preserve"> ‘join</w:t>
      </w:r>
      <w:r w:rsidR="00AE59FE" w:rsidRPr="00165CC9">
        <w:rPr>
          <w:rFonts w:ascii="Times New Roman" w:hAnsi="Times New Roman" w:cs="Times New Roman"/>
          <w:sz w:val="24"/>
          <w:szCs w:val="24"/>
        </w:rPr>
        <w:t>ing</w:t>
      </w:r>
      <w:r w:rsidR="00806377" w:rsidRPr="00165CC9">
        <w:rPr>
          <w:rFonts w:ascii="Times New Roman" w:hAnsi="Times New Roman" w:cs="Times New Roman"/>
          <w:sz w:val="24"/>
          <w:szCs w:val="24"/>
        </w:rPr>
        <w:t xml:space="preserve"> the dots’ between multiple failed companies so that they might seek to have a person with a </w:t>
      </w:r>
      <w:r w:rsidR="00AE59FE" w:rsidRPr="00165CC9">
        <w:rPr>
          <w:rFonts w:ascii="Times New Roman" w:hAnsi="Times New Roman" w:cs="Times New Roman"/>
          <w:sz w:val="24"/>
          <w:szCs w:val="24"/>
        </w:rPr>
        <w:t xml:space="preserve">consistent </w:t>
      </w:r>
      <w:r w:rsidR="00806377" w:rsidRPr="00165CC9">
        <w:rPr>
          <w:rFonts w:ascii="Times New Roman" w:hAnsi="Times New Roman" w:cs="Times New Roman"/>
          <w:sz w:val="24"/>
          <w:szCs w:val="24"/>
        </w:rPr>
        <w:t xml:space="preserve">history of insolvent companies banned from managing any further companies. </w:t>
      </w:r>
      <w:r w:rsidR="009A4E21" w:rsidRPr="00165CC9">
        <w:rPr>
          <w:rFonts w:ascii="Times New Roman" w:hAnsi="Times New Roman" w:cs="Times New Roman"/>
          <w:sz w:val="24"/>
          <w:szCs w:val="24"/>
        </w:rPr>
        <w:t xml:space="preserve">It would also alert ASIC if disqualified persons attempted to register as directors. </w:t>
      </w:r>
    </w:p>
    <w:p w14:paraId="21BCD316" w14:textId="77777777" w:rsidR="00AE59FE" w:rsidRPr="00165CC9" w:rsidRDefault="00AE59FE" w:rsidP="00165CC9">
      <w:pPr>
        <w:spacing w:after="0" w:line="240" w:lineRule="auto"/>
        <w:jc w:val="both"/>
        <w:rPr>
          <w:rFonts w:ascii="Times New Roman" w:hAnsi="Times New Roman" w:cs="Times New Roman"/>
          <w:sz w:val="24"/>
          <w:szCs w:val="24"/>
        </w:rPr>
      </w:pPr>
    </w:p>
    <w:p w14:paraId="63FABBD2" w14:textId="240EFF83" w:rsidR="00AE59FE" w:rsidRPr="00165CC9" w:rsidRDefault="00AB3C26" w:rsidP="00165C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Moreover, i</w:t>
      </w:r>
      <w:r w:rsidR="00AE59FE" w:rsidRPr="00165CC9">
        <w:rPr>
          <w:rFonts w:ascii="Times New Roman" w:hAnsi="Times New Roman" w:cs="Times New Roman"/>
          <w:sz w:val="24"/>
          <w:szCs w:val="24"/>
        </w:rPr>
        <w:t>t would also assis</w:t>
      </w:r>
      <w:r>
        <w:rPr>
          <w:rFonts w:ascii="Times New Roman" w:hAnsi="Times New Roman" w:cs="Times New Roman"/>
          <w:sz w:val="24"/>
          <w:szCs w:val="24"/>
        </w:rPr>
        <w:t>t the ATO in data gathering. The regulator’s</w:t>
      </w:r>
      <w:r w:rsidR="00AE59FE" w:rsidRPr="00165CC9">
        <w:rPr>
          <w:rFonts w:ascii="Times New Roman" w:hAnsi="Times New Roman" w:cs="Times New Roman"/>
          <w:sz w:val="24"/>
          <w:szCs w:val="24"/>
        </w:rPr>
        <w:t xml:space="preserve"> suspicions might be raised when a single person’s name is used for the directorships of dozens of companies that the person could not possibly be managing</w:t>
      </w:r>
      <w:r w:rsidR="00165CC9" w:rsidRPr="00165CC9">
        <w:rPr>
          <w:rFonts w:ascii="Times New Roman" w:hAnsi="Times New Roman" w:cs="Times New Roman"/>
          <w:sz w:val="24"/>
          <w:szCs w:val="24"/>
        </w:rPr>
        <w:t xml:space="preserve"> or supervising in complian</w:t>
      </w:r>
      <w:r w:rsidR="00A36BC9">
        <w:rPr>
          <w:rFonts w:ascii="Times New Roman" w:hAnsi="Times New Roman" w:cs="Times New Roman"/>
          <w:sz w:val="24"/>
          <w:szCs w:val="24"/>
        </w:rPr>
        <w:t>ce with their legal obligations</w:t>
      </w:r>
      <w:r w:rsidR="00AE59FE" w:rsidRPr="00165CC9">
        <w:rPr>
          <w:rFonts w:ascii="Times New Roman" w:hAnsi="Times New Roman" w:cs="Times New Roman"/>
          <w:sz w:val="24"/>
          <w:szCs w:val="24"/>
        </w:rPr>
        <w:t xml:space="preserve">. Anecdotally, we hear that pensioners are sometimes paid a fee to be nominated as a company director, in order to shield a disqualified person. </w:t>
      </w:r>
      <w:r w:rsidR="00D91CAC">
        <w:rPr>
          <w:rFonts w:ascii="Times New Roman" w:hAnsi="Times New Roman" w:cs="Times New Roman"/>
          <w:sz w:val="24"/>
          <w:szCs w:val="24"/>
        </w:rPr>
        <w:t>By u</w:t>
      </w:r>
      <w:r w:rsidR="00AE59FE" w:rsidRPr="00165CC9">
        <w:rPr>
          <w:rFonts w:ascii="Times New Roman" w:hAnsi="Times New Roman" w:cs="Times New Roman"/>
          <w:sz w:val="24"/>
          <w:szCs w:val="24"/>
        </w:rPr>
        <w:t xml:space="preserve">tilising the DIN, the ATO’s extensive database could </w:t>
      </w:r>
      <w:r w:rsidR="00E177F3">
        <w:rPr>
          <w:rFonts w:ascii="Times New Roman" w:hAnsi="Times New Roman" w:cs="Times New Roman"/>
          <w:sz w:val="24"/>
          <w:szCs w:val="24"/>
        </w:rPr>
        <w:t xml:space="preserve">prompt </w:t>
      </w:r>
      <w:r w:rsidR="00AE59FE" w:rsidRPr="00165CC9">
        <w:rPr>
          <w:rFonts w:ascii="Times New Roman" w:hAnsi="Times New Roman" w:cs="Times New Roman"/>
          <w:sz w:val="24"/>
          <w:szCs w:val="24"/>
        </w:rPr>
        <w:t xml:space="preserve">its phoenix risk team to investigate </w:t>
      </w:r>
      <w:r w:rsidR="00E177F3">
        <w:rPr>
          <w:rFonts w:ascii="Times New Roman" w:hAnsi="Times New Roman" w:cs="Times New Roman"/>
          <w:sz w:val="24"/>
          <w:szCs w:val="24"/>
        </w:rPr>
        <w:t xml:space="preserve">instances </w:t>
      </w:r>
      <w:r w:rsidR="00AE59FE" w:rsidRPr="00165CC9">
        <w:rPr>
          <w:rFonts w:ascii="Times New Roman" w:hAnsi="Times New Roman" w:cs="Times New Roman"/>
          <w:sz w:val="24"/>
          <w:szCs w:val="24"/>
        </w:rPr>
        <w:t xml:space="preserve">where an elderly person with no assessable income appears to be running one or more companies. The advantages of a DIN are obvious for agencies such as the </w:t>
      </w:r>
      <w:r w:rsidR="00BC7FB1">
        <w:rPr>
          <w:rFonts w:ascii="Times New Roman" w:hAnsi="Times New Roman" w:cs="Times New Roman"/>
          <w:sz w:val="24"/>
          <w:szCs w:val="24"/>
        </w:rPr>
        <w:t>ACC and the AFP</w:t>
      </w:r>
      <w:r w:rsidR="00AE59FE" w:rsidRPr="00165CC9">
        <w:rPr>
          <w:rFonts w:ascii="Times New Roman" w:hAnsi="Times New Roman" w:cs="Times New Roman"/>
          <w:sz w:val="24"/>
          <w:szCs w:val="24"/>
        </w:rPr>
        <w:t>.</w:t>
      </w:r>
    </w:p>
    <w:p w14:paraId="25045669" w14:textId="77777777" w:rsidR="00574EFE" w:rsidRPr="00165CC9" w:rsidRDefault="00574EFE" w:rsidP="00165CC9">
      <w:pPr>
        <w:spacing w:after="0" w:line="240" w:lineRule="auto"/>
        <w:jc w:val="both"/>
        <w:rPr>
          <w:rFonts w:ascii="Times New Roman" w:hAnsi="Times New Roman" w:cs="Times New Roman"/>
          <w:sz w:val="24"/>
          <w:szCs w:val="24"/>
        </w:rPr>
      </w:pPr>
    </w:p>
    <w:p w14:paraId="3273BBEF" w14:textId="77777777" w:rsidR="00574EFE" w:rsidRPr="00165CC9" w:rsidRDefault="00574EFE" w:rsidP="00165CC9">
      <w:pPr>
        <w:spacing w:after="0" w:line="240" w:lineRule="auto"/>
        <w:ind w:left="720"/>
        <w:jc w:val="both"/>
        <w:rPr>
          <w:rFonts w:ascii="Times New Roman" w:hAnsi="Times New Roman" w:cs="Times New Roman"/>
          <w:sz w:val="24"/>
          <w:szCs w:val="24"/>
        </w:rPr>
      </w:pPr>
      <w:r w:rsidRPr="00165CC9">
        <w:rPr>
          <w:rFonts w:ascii="Times New Roman" w:hAnsi="Times New Roman" w:cs="Times New Roman"/>
          <w:sz w:val="24"/>
          <w:szCs w:val="24"/>
        </w:rPr>
        <w:t>2. Company registration with drop-down menus</w:t>
      </w:r>
    </w:p>
    <w:p w14:paraId="1CFD85BC" w14:textId="5F5D1AEB" w:rsidR="00EF56DE" w:rsidRPr="00165CC9" w:rsidRDefault="005C12CF" w:rsidP="006E3149">
      <w:pPr>
        <w:spacing w:after="0" w:line="240" w:lineRule="auto"/>
        <w:jc w:val="both"/>
        <w:rPr>
          <w:rFonts w:ascii="Times New Roman" w:hAnsi="Times New Roman" w:cs="Times New Roman"/>
          <w:sz w:val="24"/>
          <w:szCs w:val="24"/>
        </w:rPr>
      </w:pPr>
      <w:r w:rsidRPr="00165CC9">
        <w:rPr>
          <w:rFonts w:ascii="Times New Roman" w:hAnsi="Times New Roman" w:cs="Times New Roman"/>
          <w:sz w:val="24"/>
          <w:szCs w:val="24"/>
        </w:rPr>
        <w:t xml:space="preserve">Company registration is </w:t>
      </w:r>
      <w:r w:rsidR="00957590">
        <w:rPr>
          <w:rFonts w:ascii="Times New Roman" w:hAnsi="Times New Roman" w:cs="Times New Roman"/>
          <w:sz w:val="24"/>
          <w:szCs w:val="24"/>
        </w:rPr>
        <w:t>completed</w:t>
      </w:r>
      <w:r w:rsidRPr="00165CC9">
        <w:rPr>
          <w:rFonts w:ascii="Times New Roman" w:hAnsi="Times New Roman" w:cs="Times New Roman"/>
          <w:sz w:val="24"/>
          <w:szCs w:val="24"/>
        </w:rPr>
        <w:t xml:space="preserve"> online and is </w:t>
      </w:r>
      <w:r w:rsidR="00957590">
        <w:rPr>
          <w:rFonts w:ascii="Times New Roman" w:hAnsi="Times New Roman" w:cs="Times New Roman"/>
          <w:sz w:val="24"/>
          <w:szCs w:val="24"/>
        </w:rPr>
        <w:t xml:space="preserve">simple </w:t>
      </w:r>
      <w:r w:rsidRPr="00165CC9">
        <w:rPr>
          <w:rFonts w:ascii="Times New Roman" w:hAnsi="Times New Roman" w:cs="Times New Roman"/>
          <w:sz w:val="24"/>
          <w:szCs w:val="24"/>
        </w:rPr>
        <w:t xml:space="preserve">for anyone with the ability to conduct a business. </w:t>
      </w:r>
      <w:r w:rsidR="00574EFE" w:rsidRPr="00165CC9">
        <w:rPr>
          <w:rFonts w:ascii="Times New Roman" w:hAnsi="Times New Roman" w:cs="Times New Roman"/>
          <w:sz w:val="24"/>
          <w:szCs w:val="24"/>
        </w:rPr>
        <w:t xml:space="preserve">Another way to assist regulatory agencies without inhibiting legitimate business activity is to </w:t>
      </w:r>
      <w:r w:rsidRPr="00165CC9">
        <w:rPr>
          <w:rFonts w:ascii="Times New Roman" w:hAnsi="Times New Roman" w:cs="Times New Roman"/>
          <w:sz w:val="24"/>
          <w:szCs w:val="24"/>
        </w:rPr>
        <w:t xml:space="preserve">ask additional questions via drop-down menus when companies are incorporated. </w:t>
      </w:r>
      <w:r w:rsidR="00A10AEE" w:rsidRPr="00165CC9">
        <w:rPr>
          <w:rFonts w:ascii="Times New Roman" w:hAnsi="Times New Roman" w:cs="Times New Roman"/>
          <w:sz w:val="24"/>
          <w:szCs w:val="24"/>
        </w:rPr>
        <w:t xml:space="preserve">Having cited the director’s DIN, the form </w:t>
      </w:r>
      <w:r w:rsidR="006E3149">
        <w:rPr>
          <w:rFonts w:ascii="Times New Roman" w:hAnsi="Times New Roman" w:cs="Times New Roman"/>
          <w:sz w:val="24"/>
          <w:szCs w:val="24"/>
        </w:rPr>
        <w:t>c</w:t>
      </w:r>
      <w:r w:rsidR="00A10AEE" w:rsidRPr="00165CC9">
        <w:rPr>
          <w:rFonts w:ascii="Times New Roman" w:hAnsi="Times New Roman" w:cs="Times New Roman"/>
          <w:sz w:val="24"/>
          <w:szCs w:val="24"/>
        </w:rPr>
        <w:t xml:space="preserve">ould ask whether the person has managed any </w:t>
      </w:r>
      <w:r w:rsidR="006E3149">
        <w:rPr>
          <w:rFonts w:ascii="Times New Roman" w:hAnsi="Times New Roman" w:cs="Times New Roman"/>
          <w:sz w:val="24"/>
          <w:szCs w:val="24"/>
        </w:rPr>
        <w:t>other</w:t>
      </w:r>
      <w:r w:rsidR="00A20411">
        <w:rPr>
          <w:rFonts w:ascii="Times New Roman" w:hAnsi="Times New Roman" w:cs="Times New Roman"/>
          <w:sz w:val="24"/>
          <w:szCs w:val="24"/>
        </w:rPr>
        <w:t xml:space="preserve"> company. If the answer is no</w:t>
      </w:r>
      <w:r w:rsidR="00A10AEE" w:rsidRPr="00165CC9">
        <w:rPr>
          <w:rFonts w:ascii="Times New Roman" w:hAnsi="Times New Roman" w:cs="Times New Roman"/>
          <w:sz w:val="24"/>
          <w:szCs w:val="24"/>
        </w:rPr>
        <w:t xml:space="preserve">, then the rest of the form is simple and quick to complete. If yes, then a drop-down menu </w:t>
      </w:r>
      <w:r w:rsidR="006E3149">
        <w:rPr>
          <w:rFonts w:ascii="Times New Roman" w:hAnsi="Times New Roman" w:cs="Times New Roman"/>
          <w:sz w:val="24"/>
          <w:szCs w:val="24"/>
        </w:rPr>
        <w:t>c</w:t>
      </w:r>
      <w:r w:rsidR="00A10AEE" w:rsidRPr="00165CC9">
        <w:rPr>
          <w:rFonts w:ascii="Times New Roman" w:hAnsi="Times New Roman" w:cs="Times New Roman"/>
          <w:sz w:val="24"/>
          <w:szCs w:val="24"/>
        </w:rPr>
        <w:t xml:space="preserve">ould require more information. </w:t>
      </w:r>
      <w:r w:rsidR="00165CC9" w:rsidRPr="00165CC9">
        <w:rPr>
          <w:rFonts w:ascii="Times New Roman" w:hAnsi="Times New Roman" w:cs="Times New Roman"/>
          <w:sz w:val="24"/>
          <w:szCs w:val="24"/>
        </w:rPr>
        <w:t>Where directorships change, including where a shelf company has been acquired by business operators, these questions could be asked on the ‘change of company details’ form.</w:t>
      </w:r>
      <w:r w:rsidR="00165CC9" w:rsidRPr="00165CC9">
        <w:rPr>
          <w:rStyle w:val="FootnoteReference"/>
          <w:rFonts w:ascii="Times New Roman" w:hAnsi="Times New Roman" w:cs="Times New Roman"/>
          <w:sz w:val="24"/>
          <w:szCs w:val="24"/>
        </w:rPr>
        <w:footnoteReference w:id="12"/>
      </w:r>
    </w:p>
    <w:p w14:paraId="450042D5" w14:textId="77777777" w:rsidR="00994280" w:rsidRPr="00165CC9" w:rsidRDefault="00994280" w:rsidP="00165CC9">
      <w:pPr>
        <w:spacing w:after="0" w:line="240" w:lineRule="auto"/>
        <w:jc w:val="both"/>
        <w:rPr>
          <w:rFonts w:ascii="Times New Roman" w:hAnsi="Times New Roman" w:cs="Times New Roman"/>
          <w:sz w:val="24"/>
          <w:szCs w:val="24"/>
        </w:rPr>
      </w:pPr>
    </w:p>
    <w:p w14:paraId="3610AE6F" w14:textId="696664B1" w:rsidR="00994280" w:rsidRPr="00165CC9" w:rsidRDefault="00994280" w:rsidP="00165CC9">
      <w:pPr>
        <w:spacing w:after="0" w:line="240" w:lineRule="auto"/>
        <w:jc w:val="both"/>
        <w:rPr>
          <w:rFonts w:ascii="Times New Roman" w:hAnsi="Times New Roman" w:cs="Times New Roman"/>
          <w:sz w:val="24"/>
          <w:szCs w:val="24"/>
        </w:rPr>
      </w:pPr>
      <w:r w:rsidRPr="00165CC9">
        <w:rPr>
          <w:rFonts w:ascii="Times New Roman" w:hAnsi="Times New Roman" w:cs="Times New Roman"/>
          <w:sz w:val="24"/>
          <w:szCs w:val="24"/>
        </w:rPr>
        <w:t xml:space="preserve">Further questions could </w:t>
      </w:r>
      <w:r w:rsidR="008E6726" w:rsidRPr="00165CC9">
        <w:rPr>
          <w:rFonts w:ascii="Times New Roman" w:hAnsi="Times New Roman" w:cs="Times New Roman"/>
          <w:sz w:val="24"/>
          <w:szCs w:val="24"/>
        </w:rPr>
        <w:t xml:space="preserve">include </w:t>
      </w:r>
      <w:r w:rsidRPr="00165CC9">
        <w:rPr>
          <w:rFonts w:ascii="Times New Roman" w:hAnsi="Times New Roman" w:cs="Times New Roman"/>
          <w:sz w:val="24"/>
          <w:szCs w:val="24"/>
        </w:rPr>
        <w:t xml:space="preserve">whether the </w:t>
      </w:r>
      <w:r w:rsidR="008E6726" w:rsidRPr="00165CC9">
        <w:rPr>
          <w:rFonts w:ascii="Times New Roman" w:hAnsi="Times New Roman" w:cs="Times New Roman"/>
          <w:sz w:val="24"/>
          <w:szCs w:val="24"/>
        </w:rPr>
        <w:t xml:space="preserve">other </w:t>
      </w:r>
      <w:r w:rsidRPr="00165CC9">
        <w:rPr>
          <w:rFonts w:ascii="Times New Roman" w:hAnsi="Times New Roman" w:cs="Times New Roman"/>
          <w:sz w:val="24"/>
          <w:szCs w:val="24"/>
        </w:rPr>
        <w:t xml:space="preserve">companies </w:t>
      </w:r>
      <w:r w:rsidR="008E6726" w:rsidRPr="00165CC9">
        <w:rPr>
          <w:rFonts w:ascii="Times New Roman" w:hAnsi="Times New Roman" w:cs="Times New Roman"/>
          <w:sz w:val="24"/>
          <w:szCs w:val="24"/>
        </w:rPr>
        <w:t>are still in existence and if not</w:t>
      </w:r>
      <w:r w:rsidR="00A20411">
        <w:rPr>
          <w:rFonts w:ascii="Times New Roman" w:hAnsi="Times New Roman" w:cs="Times New Roman"/>
          <w:sz w:val="24"/>
          <w:szCs w:val="24"/>
        </w:rPr>
        <w:t>,</w:t>
      </w:r>
      <w:r w:rsidR="008E6726" w:rsidRPr="00165CC9">
        <w:rPr>
          <w:rFonts w:ascii="Times New Roman" w:hAnsi="Times New Roman" w:cs="Times New Roman"/>
          <w:sz w:val="24"/>
          <w:szCs w:val="24"/>
        </w:rPr>
        <w:t xml:space="preserve"> whether they </w:t>
      </w:r>
      <w:r w:rsidRPr="00165CC9">
        <w:rPr>
          <w:rFonts w:ascii="Times New Roman" w:hAnsi="Times New Roman" w:cs="Times New Roman"/>
          <w:sz w:val="24"/>
          <w:szCs w:val="24"/>
        </w:rPr>
        <w:t xml:space="preserve">paid their creditors in full or less than 50 cents in the dollar. Again, answers indicating a poor track record could prompt more questions. </w:t>
      </w:r>
      <w:r w:rsidR="00D200B9" w:rsidRPr="00165CC9">
        <w:rPr>
          <w:rFonts w:ascii="Times New Roman" w:hAnsi="Times New Roman" w:cs="Times New Roman"/>
          <w:sz w:val="24"/>
          <w:szCs w:val="24"/>
        </w:rPr>
        <w:t xml:space="preserve">It is not unreasonable to ask a person who wants another opportunity to run a company to provide this level of detail. </w:t>
      </w:r>
      <w:r w:rsidRPr="00165CC9">
        <w:rPr>
          <w:rFonts w:ascii="Times New Roman" w:hAnsi="Times New Roman" w:cs="Times New Roman"/>
          <w:sz w:val="24"/>
          <w:szCs w:val="24"/>
        </w:rPr>
        <w:t>The aim here is to equip ASIC with information about this person</w:t>
      </w:r>
      <w:r w:rsidR="007A0E44" w:rsidRPr="00165CC9">
        <w:rPr>
          <w:rFonts w:ascii="Times New Roman" w:hAnsi="Times New Roman" w:cs="Times New Roman"/>
          <w:sz w:val="24"/>
          <w:szCs w:val="24"/>
        </w:rPr>
        <w:t>, allowing the regulator to take appropriate action which may include placing them on a watch list</w:t>
      </w:r>
      <w:r w:rsidRPr="00165CC9">
        <w:rPr>
          <w:rFonts w:ascii="Times New Roman" w:hAnsi="Times New Roman" w:cs="Times New Roman"/>
          <w:sz w:val="24"/>
          <w:szCs w:val="24"/>
        </w:rPr>
        <w:t>. A secondary but equally important aim is to alert the would-be director to the fact that</w:t>
      </w:r>
      <w:r w:rsidRPr="00165CC9">
        <w:rPr>
          <w:rFonts w:ascii="Times New Roman" w:hAnsi="Times New Roman" w:cs="Times New Roman"/>
          <w:i/>
          <w:sz w:val="24"/>
          <w:szCs w:val="24"/>
        </w:rPr>
        <w:t xml:space="preserve"> ASIC knows this information</w:t>
      </w:r>
      <w:r w:rsidR="0093476E">
        <w:rPr>
          <w:rFonts w:ascii="Times New Roman" w:hAnsi="Times New Roman" w:cs="Times New Roman"/>
          <w:sz w:val="24"/>
          <w:szCs w:val="24"/>
        </w:rPr>
        <w:t>, thereby discouraging</w:t>
      </w:r>
      <w:r w:rsidR="007A0E44" w:rsidRPr="00165CC9">
        <w:rPr>
          <w:rFonts w:ascii="Times New Roman" w:hAnsi="Times New Roman" w:cs="Times New Roman"/>
          <w:i/>
          <w:sz w:val="24"/>
          <w:szCs w:val="24"/>
        </w:rPr>
        <w:t xml:space="preserve"> </w:t>
      </w:r>
      <w:r w:rsidR="007A0E44" w:rsidRPr="00165CC9">
        <w:rPr>
          <w:rFonts w:ascii="Times New Roman" w:hAnsi="Times New Roman" w:cs="Times New Roman"/>
          <w:iCs/>
          <w:sz w:val="24"/>
          <w:szCs w:val="24"/>
        </w:rPr>
        <w:t xml:space="preserve">them from </w:t>
      </w:r>
      <w:r w:rsidRPr="00165CC9">
        <w:rPr>
          <w:rFonts w:ascii="Times New Roman" w:hAnsi="Times New Roman" w:cs="Times New Roman"/>
          <w:sz w:val="24"/>
          <w:szCs w:val="24"/>
        </w:rPr>
        <w:t>engag</w:t>
      </w:r>
      <w:r w:rsidR="007A0E44" w:rsidRPr="00165CC9">
        <w:rPr>
          <w:rFonts w:ascii="Times New Roman" w:hAnsi="Times New Roman" w:cs="Times New Roman"/>
          <w:sz w:val="24"/>
          <w:szCs w:val="24"/>
        </w:rPr>
        <w:t>ing</w:t>
      </w:r>
      <w:r w:rsidRPr="00165CC9">
        <w:rPr>
          <w:rFonts w:ascii="Times New Roman" w:hAnsi="Times New Roman" w:cs="Times New Roman"/>
          <w:sz w:val="24"/>
          <w:szCs w:val="24"/>
        </w:rPr>
        <w:t xml:space="preserve"> in illegal phoenix activity. </w:t>
      </w:r>
      <w:r w:rsidR="007A0E44" w:rsidRPr="00165CC9">
        <w:rPr>
          <w:rFonts w:ascii="Times New Roman" w:hAnsi="Times New Roman" w:cs="Times New Roman"/>
          <w:sz w:val="24"/>
          <w:szCs w:val="24"/>
        </w:rPr>
        <w:t>If the director provides false information</w:t>
      </w:r>
      <w:r w:rsidR="0093476E">
        <w:rPr>
          <w:rFonts w:ascii="Times New Roman" w:hAnsi="Times New Roman" w:cs="Times New Roman"/>
          <w:sz w:val="24"/>
          <w:szCs w:val="24"/>
        </w:rPr>
        <w:t>,</w:t>
      </w:r>
      <w:r w:rsidR="007A0E44" w:rsidRPr="00165CC9">
        <w:rPr>
          <w:rFonts w:ascii="Times New Roman" w:hAnsi="Times New Roman" w:cs="Times New Roman"/>
          <w:sz w:val="24"/>
          <w:szCs w:val="24"/>
        </w:rPr>
        <w:t xml:space="preserve"> </w:t>
      </w:r>
      <w:r w:rsidRPr="00165CC9">
        <w:rPr>
          <w:rFonts w:ascii="Times New Roman" w:hAnsi="Times New Roman" w:cs="Times New Roman"/>
          <w:sz w:val="24"/>
          <w:szCs w:val="24"/>
        </w:rPr>
        <w:t>ASIC</w:t>
      </w:r>
      <w:r w:rsidR="007A0E44" w:rsidRPr="00165CC9">
        <w:rPr>
          <w:rFonts w:ascii="Times New Roman" w:hAnsi="Times New Roman" w:cs="Times New Roman"/>
          <w:sz w:val="24"/>
          <w:szCs w:val="24"/>
        </w:rPr>
        <w:t xml:space="preserve"> </w:t>
      </w:r>
      <w:r w:rsidR="00A20411">
        <w:rPr>
          <w:rFonts w:ascii="Times New Roman" w:hAnsi="Times New Roman" w:cs="Times New Roman"/>
          <w:sz w:val="24"/>
          <w:szCs w:val="24"/>
        </w:rPr>
        <w:t>may prosecute them</w:t>
      </w:r>
      <w:r w:rsidRPr="00165CC9">
        <w:rPr>
          <w:rFonts w:ascii="Times New Roman" w:hAnsi="Times New Roman" w:cs="Times New Roman"/>
          <w:sz w:val="24"/>
          <w:szCs w:val="24"/>
        </w:rPr>
        <w:t>.</w:t>
      </w:r>
      <w:r w:rsidRPr="00165CC9">
        <w:rPr>
          <w:rStyle w:val="FootnoteReference"/>
          <w:rFonts w:ascii="Times New Roman" w:hAnsi="Times New Roman" w:cs="Times New Roman"/>
          <w:sz w:val="24"/>
          <w:szCs w:val="24"/>
        </w:rPr>
        <w:footnoteReference w:id="13"/>
      </w:r>
      <w:r w:rsidRPr="00165CC9">
        <w:rPr>
          <w:rFonts w:ascii="Times New Roman" w:hAnsi="Times New Roman" w:cs="Times New Roman"/>
          <w:sz w:val="24"/>
          <w:szCs w:val="24"/>
        </w:rPr>
        <w:t xml:space="preserve"> </w:t>
      </w:r>
    </w:p>
    <w:p w14:paraId="3900B5FC" w14:textId="77777777" w:rsidR="00994280" w:rsidRPr="00165CC9" w:rsidRDefault="00994280" w:rsidP="00165CC9">
      <w:pPr>
        <w:spacing w:after="0" w:line="240" w:lineRule="auto"/>
        <w:jc w:val="both"/>
        <w:rPr>
          <w:rFonts w:ascii="Times New Roman" w:hAnsi="Times New Roman" w:cs="Times New Roman"/>
          <w:sz w:val="24"/>
          <w:szCs w:val="24"/>
        </w:rPr>
      </w:pPr>
    </w:p>
    <w:p w14:paraId="6B526055" w14:textId="77777777" w:rsidR="00EF56DE" w:rsidRPr="00165CC9" w:rsidRDefault="00EF56DE" w:rsidP="00165CC9">
      <w:pPr>
        <w:spacing w:after="0" w:line="240" w:lineRule="auto"/>
        <w:ind w:firstLine="720"/>
        <w:jc w:val="both"/>
        <w:rPr>
          <w:rFonts w:ascii="Times New Roman" w:hAnsi="Times New Roman" w:cs="Times New Roman"/>
          <w:sz w:val="24"/>
          <w:szCs w:val="24"/>
        </w:rPr>
      </w:pPr>
      <w:r w:rsidRPr="00165CC9">
        <w:rPr>
          <w:rFonts w:ascii="Times New Roman" w:hAnsi="Times New Roman" w:cs="Times New Roman"/>
          <w:sz w:val="24"/>
          <w:szCs w:val="24"/>
        </w:rPr>
        <w:t>3. Reporting</w:t>
      </w:r>
    </w:p>
    <w:p w14:paraId="52468A46" w14:textId="50BA30EF" w:rsidR="00A10AEE" w:rsidRPr="00165CC9" w:rsidRDefault="00EF56DE" w:rsidP="00165CC9">
      <w:pPr>
        <w:spacing w:after="0" w:line="240" w:lineRule="auto"/>
        <w:jc w:val="both"/>
        <w:rPr>
          <w:rFonts w:ascii="Times New Roman" w:hAnsi="Times New Roman" w:cs="Times New Roman"/>
          <w:sz w:val="24"/>
          <w:szCs w:val="24"/>
        </w:rPr>
      </w:pPr>
      <w:r w:rsidRPr="00165CC9">
        <w:rPr>
          <w:rFonts w:ascii="Times New Roman" w:hAnsi="Times New Roman" w:cs="Times New Roman"/>
          <w:sz w:val="24"/>
          <w:szCs w:val="24"/>
        </w:rPr>
        <w:t>The Issues Paper asks whether</w:t>
      </w:r>
      <w:r w:rsidR="009441ED">
        <w:rPr>
          <w:rFonts w:ascii="Times New Roman" w:hAnsi="Times New Roman" w:cs="Times New Roman"/>
          <w:sz w:val="24"/>
          <w:szCs w:val="24"/>
        </w:rPr>
        <w:t>,</w:t>
      </w:r>
      <w:r w:rsidRPr="00165CC9">
        <w:rPr>
          <w:rFonts w:ascii="Times New Roman" w:hAnsi="Times New Roman" w:cs="Times New Roman"/>
          <w:sz w:val="24"/>
          <w:szCs w:val="24"/>
        </w:rPr>
        <w:t xml:space="preserve"> ‘… specific regulatory requirements — for example, licensing, approvals, reporting requirements — act as the stronger disincentive to set-up or acquire an existing business?’ In the context of preventing and deterring illegal phoenix </w:t>
      </w:r>
      <w:r w:rsidRPr="00165CC9">
        <w:rPr>
          <w:rFonts w:ascii="Times New Roman" w:hAnsi="Times New Roman" w:cs="Times New Roman"/>
          <w:sz w:val="24"/>
          <w:szCs w:val="24"/>
        </w:rPr>
        <w:lastRenderedPageBreak/>
        <w:t>activity, we strongly urge the Productivity Commission to resist any suggestions to reduce the amount of reporting done by small business.</w:t>
      </w:r>
    </w:p>
    <w:p w14:paraId="773380C2" w14:textId="77777777" w:rsidR="00EF56DE" w:rsidRPr="00165CC9" w:rsidRDefault="00EF56DE" w:rsidP="00165CC9">
      <w:pPr>
        <w:spacing w:after="0" w:line="240" w:lineRule="auto"/>
        <w:jc w:val="both"/>
        <w:rPr>
          <w:rFonts w:ascii="Times New Roman" w:hAnsi="Times New Roman" w:cs="Times New Roman"/>
          <w:sz w:val="24"/>
          <w:szCs w:val="24"/>
        </w:rPr>
      </w:pPr>
    </w:p>
    <w:p w14:paraId="0DDF90CF" w14:textId="77777777" w:rsidR="00EF56DE" w:rsidRPr="00165CC9" w:rsidRDefault="00EF56DE" w:rsidP="00165CC9">
      <w:pPr>
        <w:spacing w:after="0" w:line="240" w:lineRule="auto"/>
        <w:jc w:val="both"/>
        <w:rPr>
          <w:rFonts w:ascii="Times New Roman" w:hAnsi="Times New Roman" w:cs="Times New Roman"/>
          <w:sz w:val="24"/>
          <w:szCs w:val="24"/>
        </w:rPr>
      </w:pPr>
      <w:r w:rsidRPr="00165CC9">
        <w:rPr>
          <w:rFonts w:ascii="Times New Roman" w:hAnsi="Times New Roman" w:cs="Times New Roman"/>
          <w:sz w:val="24"/>
          <w:szCs w:val="24"/>
        </w:rPr>
        <w:t>We accept that pointless red tape and other compliance hurdles are detrimental to business. However, reporting requirements for small business only reflect the work that a proper</w:t>
      </w:r>
      <w:r w:rsidR="00E65E02" w:rsidRPr="00165CC9">
        <w:rPr>
          <w:rFonts w:ascii="Times New Roman" w:hAnsi="Times New Roman" w:cs="Times New Roman"/>
          <w:sz w:val="24"/>
          <w:szCs w:val="24"/>
        </w:rPr>
        <w:t>ly</w:t>
      </w:r>
      <w:r w:rsidRPr="00165CC9">
        <w:rPr>
          <w:rFonts w:ascii="Times New Roman" w:hAnsi="Times New Roman" w:cs="Times New Roman"/>
          <w:sz w:val="24"/>
          <w:szCs w:val="24"/>
        </w:rPr>
        <w:t xml:space="preserve"> diligent company director ought to be doing to satisfy their statutory and general law duties. Reporting is a valuable mechanism that allows ASIC to determine whether companies are dormant and should be deregistered. </w:t>
      </w:r>
      <w:r w:rsidR="00E65E02" w:rsidRPr="00165CC9">
        <w:rPr>
          <w:rFonts w:ascii="Times New Roman" w:hAnsi="Times New Roman" w:cs="Times New Roman"/>
          <w:sz w:val="24"/>
          <w:szCs w:val="24"/>
        </w:rPr>
        <w:t>Understandably, the reporting demands on larger businesses are considerably greater, and this distinction should be maintained.</w:t>
      </w:r>
    </w:p>
    <w:p w14:paraId="54C31244" w14:textId="77777777" w:rsidR="00492986" w:rsidRPr="00165CC9" w:rsidRDefault="00492986" w:rsidP="00165CC9">
      <w:pPr>
        <w:spacing w:after="0" w:line="240" w:lineRule="auto"/>
        <w:jc w:val="both"/>
        <w:rPr>
          <w:rFonts w:ascii="Times New Roman" w:hAnsi="Times New Roman" w:cs="Times New Roman"/>
          <w:sz w:val="24"/>
          <w:szCs w:val="24"/>
        </w:rPr>
      </w:pPr>
    </w:p>
    <w:p w14:paraId="5AA095F7" w14:textId="77777777" w:rsidR="00492986" w:rsidRPr="00165CC9" w:rsidRDefault="00492986" w:rsidP="00165CC9">
      <w:pPr>
        <w:spacing w:after="0" w:line="240" w:lineRule="auto"/>
        <w:ind w:left="720"/>
        <w:jc w:val="both"/>
        <w:rPr>
          <w:rFonts w:ascii="Times New Roman" w:hAnsi="Times New Roman" w:cs="Times New Roman"/>
          <w:sz w:val="24"/>
          <w:szCs w:val="24"/>
        </w:rPr>
      </w:pPr>
      <w:r w:rsidRPr="00165CC9">
        <w:rPr>
          <w:rFonts w:ascii="Times New Roman" w:hAnsi="Times New Roman" w:cs="Times New Roman"/>
          <w:sz w:val="24"/>
          <w:szCs w:val="24"/>
        </w:rPr>
        <w:t>4. Closing businesses</w:t>
      </w:r>
    </w:p>
    <w:p w14:paraId="5DA607B6" w14:textId="77777777" w:rsidR="00492986" w:rsidRPr="00165CC9" w:rsidRDefault="00492986" w:rsidP="00165CC9">
      <w:pPr>
        <w:spacing w:after="0" w:line="240" w:lineRule="auto"/>
        <w:jc w:val="both"/>
        <w:rPr>
          <w:rFonts w:ascii="Times New Roman" w:hAnsi="Times New Roman" w:cs="Times New Roman"/>
          <w:sz w:val="24"/>
          <w:szCs w:val="24"/>
        </w:rPr>
      </w:pPr>
      <w:r w:rsidRPr="00165CC9">
        <w:rPr>
          <w:rFonts w:ascii="Times New Roman" w:hAnsi="Times New Roman" w:cs="Times New Roman"/>
          <w:sz w:val="24"/>
          <w:szCs w:val="24"/>
        </w:rPr>
        <w:t xml:space="preserve">We accept the positive effects of business closures and do not seek to impose any restrictions on these. We are not of the belief that ‘difficulties associated with closing a business may create a disincentive to set-up a business in the first place’ as the Issues Paper </w:t>
      </w:r>
      <w:r w:rsidR="00A12962">
        <w:rPr>
          <w:rFonts w:ascii="Times New Roman" w:hAnsi="Times New Roman" w:cs="Times New Roman"/>
          <w:sz w:val="24"/>
          <w:szCs w:val="24"/>
        </w:rPr>
        <w:t>inquires</w:t>
      </w:r>
      <w:r w:rsidRPr="00165CC9">
        <w:rPr>
          <w:rFonts w:ascii="Times New Roman" w:hAnsi="Times New Roman" w:cs="Times New Roman"/>
          <w:sz w:val="24"/>
          <w:szCs w:val="24"/>
        </w:rPr>
        <w:t>.</w:t>
      </w:r>
    </w:p>
    <w:p w14:paraId="4582A8EF" w14:textId="77777777" w:rsidR="00492986" w:rsidRPr="00165CC9" w:rsidRDefault="00492986" w:rsidP="00165CC9">
      <w:pPr>
        <w:spacing w:after="0" w:line="240" w:lineRule="auto"/>
        <w:jc w:val="both"/>
        <w:rPr>
          <w:rFonts w:ascii="Times New Roman" w:hAnsi="Times New Roman" w:cs="Times New Roman"/>
          <w:sz w:val="24"/>
          <w:szCs w:val="24"/>
        </w:rPr>
      </w:pPr>
    </w:p>
    <w:p w14:paraId="34E0CDBE" w14:textId="77777777" w:rsidR="00A20411" w:rsidRDefault="00492986" w:rsidP="00165CC9">
      <w:pPr>
        <w:spacing w:after="0" w:line="240" w:lineRule="auto"/>
        <w:jc w:val="both"/>
        <w:rPr>
          <w:rFonts w:ascii="Times New Roman" w:hAnsi="Times New Roman" w:cs="Times New Roman"/>
          <w:sz w:val="24"/>
          <w:szCs w:val="24"/>
        </w:rPr>
      </w:pPr>
      <w:r w:rsidRPr="00165CC9">
        <w:rPr>
          <w:rFonts w:ascii="Times New Roman" w:hAnsi="Times New Roman" w:cs="Times New Roman"/>
          <w:sz w:val="24"/>
          <w:szCs w:val="24"/>
        </w:rPr>
        <w:t xml:space="preserve">In order to deter illegal phoenix activity, the Productivity Commission might like to consider that greater transparency at the time of business insolvency may assist. For example, where the assets are to be transferred to another entity controlled by the directors of the failed company, an independent valuation could be required. </w:t>
      </w:r>
      <w:r w:rsidR="004968FC" w:rsidRPr="00165CC9">
        <w:rPr>
          <w:rFonts w:ascii="Times New Roman" w:hAnsi="Times New Roman" w:cs="Times New Roman"/>
          <w:sz w:val="24"/>
          <w:szCs w:val="24"/>
        </w:rPr>
        <w:t>The present ‘Re</w:t>
      </w:r>
      <w:r w:rsidR="006A30E1" w:rsidRPr="00165CC9">
        <w:rPr>
          <w:rFonts w:ascii="Times New Roman" w:hAnsi="Times New Roman" w:cs="Times New Roman"/>
          <w:sz w:val="24"/>
          <w:szCs w:val="24"/>
        </w:rPr>
        <w:t>port</w:t>
      </w:r>
      <w:r w:rsidR="004968FC" w:rsidRPr="00165CC9">
        <w:rPr>
          <w:rFonts w:ascii="Times New Roman" w:hAnsi="Times New Roman" w:cs="Times New Roman"/>
          <w:sz w:val="24"/>
          <w:szCs w:val="24"/>
        </w:rPr>
        <w:t xml:space="preserve"> as to Affairs’,</w:t>
      </w:r>
      <w:r w:rsidR="006A30E1" w:rsidRPr="00165CC9">
        <w:rPr>
          <w:rStyle w:val="FootnoteReference"/>
          <w:rFonts w:ascii="Times New Roman" w:hAnsi="Times New Roman" w:cs="Times New Roman"/>
          <w:sz w:val="24"/>
          <w:szCs w:val="24"/>
        </w:rPr>
        <w:footnoteReference w:id="14"/>
      </w:r>
      <w:r w:rsidR="004968FC" w:rsidRPr="00165CC9">
        <w:rPr>
          <w:rFonts w:ascii="Times New Roman" w:hAnsi="Times New Roman" w:cs="Times New Roman"/>
          <w:sz w:val="24"/>
          <w:szCs w:val="24"/>
        </w:rPr>
        <w:t xml:space="preserve"> prepared and submitted by the directors to the external administrator, lacks any qualitative information as to the circumstances of the closure or previous insolvencies of companies controlled by the same people. Greater detail here would assist ASIC in detecting those closures where breaches of directors’ duties may have occurred. </w:t>
      </w:r>
    </w:p>
    <w:p w14:paraId="092B5AFD" w14:textId="77777777" w:rsidR="00A20411" w:rsidRDefault="00A20411" w:rsidP="00165CC9">
      <w:pPr>
        <w:spacing w:after="0" w:line="240" w:lineRule="auto"/>
        <w:jc w:val="both"/>
        <w:rPr>
          <w:rFonts w:ascii="Times New Roman" w:hAnsi="Times New Roman" w:cs="Times New Roman"/>
          <w:sz w:val="24"/>
          <w:szCs w:val="24"/>
        </w:rPr>
      </w:pPr>
    </w:p>
    <w:p w14:paraId="4097AE2B" w14:textId="5A28BC0F" w:rsidR="00D90389" w:rsidRDefault="004968FC" w:rsidP="00165CC9">
      <w:pPr>
        <w:spacing w:after="0" w:line="240" w:lineRule="auto"/>
        <w:jc w:val="both"/>
        <w:rPr>
          <w:rFonts w:ascii="Times New Roman" w:hAnsi="Times New Roman" w:cs="Times New Roman"/>
          <w:sz w:val="24"/>
          <w:szCs w:val="24"/>
        </w:rPr>
      </w:pPr>
      <w:r w:rsidRPr="00165CC9">
        <w:rPr>
          <w:rFonts w:ascii="Times New Roman" w:hAnsi="Times New Roman" w:cs="Times New Roman"/>
          <w:sz w:val="24"/>
          <w:szCs w:val="24"/>
        </w:rPr>
        <w:t xml:space="preserve">Similarly, greater disclosure about the circumstances of the company’s failure could be required of external administrators. </w:t>
      </w:r>
      <w:r w:rsidR="00D90389">
        <w:rPr>
          <w:rFonts w:ascii="Times New Roman" w:hAnsi="Times New Roman" w:cs="Times New Roman"/>
          <w:sz w:val="24"/>
          <w:szCs w:val="24"/>
        </w:rPr>
        <w:t>These investigations are already part of the external administrators’ duties. At present, the return submitted to ASIC requires a tick-box to indicate that breaches of duty and other civil or criminal offences are suspected.</w:t>
      </w:r>
      <w:r w:rsidR="00D90389">
        <w:rPr>
          <w:rStyle w:val="FootnoteReference"/>
          <w:rFonts w:ascii="Times New Roman" w:hAnsi="Times New Roman" w:cs="Times New Roman"/>
          <w:sz w:val="24"/>
          <w:szCs w:val="24"/>
        </w:rPr>
        <w:footnoteReference w:id="15"/>
      </w:r>
      <w:r w:rsidR="00D90389">
        <w:rPr>
          <w:rFonts w:ascii="Times New Roman" w:hAnsi="Times New Roman" w:cs="Times New Roman"/>
          <w:sz w:val="24"/>
          <w:szCs w:val="24"/>
        </w:rPr>
        <w:t xml:space="preserve"> These forms should be amended to allow for comments to be made. In addition, a further tick-box could be inserted so that administrators could report that the breach occurred in a suspected phoenix context. This data would be enormously beneficial for regulators who seek to understand the scope of the problem.</w:t>
      </w:r>
    </w:p>
    <w:p w14:paraId="16017D31" w14:textId="77777777" w:rsidR="00D90389" w:rsidRDefault="00D90389" w:rsidP="00165CC9">
      <w:pPr>
        <w:spacing w:after="0" w:line="240" w:lineRule="auto"/>
        <w:jc w:val="both"/>
        <w:rPr>
          <w:rFonts w:ascii="Times New Roman" w:hAnsi="Times New Roman" w:cs="Times New Roman"/>
          <w:sz w:val="24"/>
          <w:szCs w:val="24"/>
        </w:rPr>
      </w:pPr>
    </w:p>
    <w:p w14:paraId="522C84E9" w14:textId="77777777" w:rsidR="004968FC" w:rsidRDefault="004968FC" w:rsidP="00165CC9">
      <w:pPr>
        <w:spacing w:after="0" w:line="240" w:lineRule="auto"/>
        <w:jc w:val="both"/>
        <w:rPr>
          <w:rFonts w:ascii="Times New Roman" w:hAnsi="Times New Roman" w:cs="Times New Roman"/>
          <w:sz w:val="24"/>
          <w:szCs w:val="24"/>
        </w:rPr>
      </w:pPr>
      <w:r w:rsidRPr="00165CC9">
        <w:rPr>
          <w:rFonts w:ascii="Times New Roman" w:hAnsi="Times New Roman" w:cs="Times New Roman"/>
          <w:sz w:val="24"/>
          <w:szCs w:val="24"/>
        </w:rPr>
        <w:t xml:space="preserve">We urge the Productivity Commission to view </w:t>
      </w:r>
      <w:r w:rsidR="001A03B5">
        <w:rPr>
          <w:rFonts w:ascii="Times New Roman" w:hAnsi="Times New Roman" w:cs="Times New Roman"/>
          <w:sz w:val="24"/>
          <w:szCs w:val="24"/>
        </w:rPr>
        <w:t>insolvency reporting</w:t>
      </w:r>
      <w:r w:rsidRPr="00165CC9">
        <w:rPr>
          <w:rFonts w:ascii="Times New Roman" w:hAnsi="Times New Roman" w:cs="Times New Roman"/>
          <w:sz w:val="24"/>
          <w:szCs w:val="24"/>
        </w:rPr>
        <w:t xml:space="preserve"> requirements as more than ‘costs’ to be minimised. They not only provide valuable information to ASIC but also make it clear to the failed companies’ controllers and administrators that ASIC will be armed with the </w:t>
      </w:r>
      <w:r w:rsidR="00A12962">
        <w:rPr>
          <w:rFonts w:ascii="Times New Roman" w:hAnsi="Times New Roman" w:cs="Times New Roman"/>
          <w:sz w:val="24"/>
          <w:szCs w:val="24"/>
        </w:rPr>
        <w:t>information</w:t>
      </w:r>
      <w:r w:rsidRPr="00165CC9">
        <w:rPr>
          <w:rFonts w:ascii="Times New Roman" w:hAnsi="Times New Roman" w:cs="Times New Roman"/>
          <w:sz w:val="24"/>
          <w:szCs w:val="24"/>
        </w:rPr>
        <w:t xml:space="preserve"> to take action in appropriate circumstances.</w:t>
      </w:r>
    </w:p>
    <w:p w14:paraId="10F3BCC2" w14:textId="77777777" w:rsidR="00A12962" w:rsidRDefault="00A12962" w:rsidP="00165CC9">
      <w:pPr>
        <w:spacing w:after="0" w:line="240" w:lineRule="auto"/>
        <w:jc w:val="both"/>
        <w:rPr>
          <w:rFonts w:ascii="Times New Roman" w:hAnsi="Times New Roman" w:cs="Times New Roman"/>
          <w:sz w:val="24"/>
          <w:szCs w:val="24"/>
        </w:rPr>
      </w:pPr>
    </w:p>
    <w:p w14:paraId="719D1758" w14:textId="110DDCF7" w:rsidR="00A12962" w:rsidRDefault="00A12962" w:rsidP="00165C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Issues Paper queries where the balance should lie between creditors and debtors in insolvency arrangements. Debtor companies should be liable to the same extent as individual debtors.</w:t>
      </w:r>
      <w:r w:rsidR="00707380">
        <w:rPr>
          <w:rStyle w:val="FootnoteReference"/>
          <w:rFonts w:ascii="Times New Roman" w:hAnsi="Times New Roman" w:cs="Times New Roman"/>
          <w:sz w:val="24"/>
          <w:szCs w:val="24"/>
        </w:rPr>
        <w:footnoteReference w:id="16"/>
      </w:r>
      <w:r>
        <w:rPr>
          <w:rFonts w:ascii="Times New Roman" w:hAnsi="Times New Roman" w:cs="Times New Roman"/>
          <w:sz w:val="24"/>
          <w:szCs w:val="24"/>
        </w:rPr>
        <w:t xml:space="preserve"> Incorporation of businesses undoubtedly favours those individuals or comp</w:t>
      </w:r>
      <w:r w:rsidR="003637DA">
        <w:rPr>
          <w:rFonts w:ascii="Times New Roman" w:hAnsi="Times New Roman" w:cs="Times New Roman"/>
          <w:sz w:val="24"/>
          <w:szCs w:val="24"/>
        </w:rPr>
        <w:t>anies that</w:t>
      </w:r>
      <w:r>
        <w:rPr>
          <w:rFonts w:ascii="Times New Roman" w:hAnsi="Times New Roman" w:cs="Times New Roman"/>
          <w:sz w:val="24"/>
          <w:szCs w:val="24"/>
        </w:rPr>
        <w:t xml:space="preserve"> invest</w:t>
      </w:r>
      <w:r w:rsidR="00D62446">
        <w:rPr>
          <w:rFonts w:ascii="Times New Roman" w:hAnsi="Times New Roman" w:cs="Times New Roman"/>
          <w:sz w:val="24"/>
          <w:szCs w:val="24"/>
        </w:rPr>
        <w:t xml:space="preserve"> equity capital</w:t>
      </w:r>
      <w:r>
        <w:rPr>
          <w:rFonts w:ascii="Times New Roman" w:hAnsi="Times New Roman" w:cs="Times New Roman"/>
          <w:sz w:val="24"/>
          <w:szCs w:val="24"/>
        </w:rPr>
        <w:t xml:space="preserve"> in debtor companies. We support the retention of the corporate veil </w:t>
      </w:r>
      <w:r>
        <w:rPr>
          <w:rFonts w:ascii="Times New Roman" w:hAnsi="Times New Roman" w:cs="Times New Roman"/>
          <w:sz w:val="24"/>
          <w:szCs w:val="24"/>
        </w:rPr>
        <w:lastRenderedPageBreak/>
        <w:t>that shields shareholders from corporate debts</w:t>
      </w:r>
      <w:r w:rsidR="00707380">
        <w:rPr>
          <w:rFonts w:ascii="Times New Roman" w:hAnsi="Times New Roman" w:cs="Times New Roman"/>
          <w:sz w:val="24"/>
          <w:szCs w:val="24"/>
        </w:rPr>
        <w:t xml:space="preserve"> in general circumstances.</w:t>
      </w:r>
      <w:r w:rsidR="00D62446">
        <w:rPr>
          <w:rStyle w:val="FootnoteReference"/>
          <w:rFonts w:ascii="Times New Roman" w:hAnsi="Times New Roman" w:cs="Times New Roman"/>
          <w:sz w:val="24"/>
          <w:szCs w:val="24"/>
        </w:rPr>
        <w:footnoteReference w:id="17"/>
      </w:r>
      <w:r w:rsidR="00707380">
        <w:rPr>
          <w:rFonts w:ascii="Times New Roman" w:hAnsi="Times New Roman" w:cs="Times New Roman"/>
          <w:sz w:val="24"/>
          <w:szCs w:val="24"/>
        </w:rPr>
        <w:t xml:space="preserve"> However, liquidators acting on behalf of creditors should be able to recover from company controllers </w:t>
      </w:r>
      <w:r w:rsidR="00D62446">
        <w:rPr>
          <w:rFonts w:ascii="Times New Roman" w:hAnsi="Times New Roman" w:cs="Times New Roman"/>
          <w:sz w:val="24"/>
          <w:szCs w:val="24"/>
        </w:rPr>
        <w:t xml:space="preserve">personally </w:t>
      </w:r>
      <w:r w:rsidR="00707380">
        <w:rPr>
          <w:rFonts w:ascii="Times New Roman" w:hAnsi="Times New Roman" w:cs="Times New Roman"/>
          <w:sz w:val="24"/>
          <w:szCs w:val="24"/>
        </w:rPr>
        <w:t>w</w:t>
      </w:r>
      <w:r w:rsidR="00D62446">
        <w:rPr>
          <w:rFonts w:ascii="Times New Roman" w:hAnsi="Times New Roman" w:cs="Times New Roman"/>
          <w:sz w:val="24"/>
          <w:szCs w:val="24"/>
        </w:rPr>
        <w:t>here their</w:t>
      </w:r>
      <w:r w:rsidR="00707380">
        <w:rPr>
          <w:rFonts w:ascii="Times New Roman" w:hAnsi="Times New Roman" w:cs="Times New Roman"/>
          <w:sz w:val="24"/>
          <w:szCs w:val="24"/>
        </w:rPr>
        <w:t xml:space="preserve"> behaviour has breached the law. This is the present position in relation to breaches of directors’ duties. The ATO has, and should retain, rights of recovery from company directors issued with director penalty notices.</w:t>
      </w:r>
    </w:p>
    <w:p w14:paraId="32958601" w14:textId="77777777" w:rsidR="00671ED9" w:rsidRDefault="00671ED9" w:rsidP="00165CC9">
      <w:pPr>
        <w:spacing w:after="0" w:line="240" w:lineRule="auto"/>
        <w:jc w:val="both"/>
        <w:rPr>
          <w:rFonts w:ascii="Times New Roman" w:hAnsi="Times New Roman" w:cs="Times New Roman"/>
          <w:sz w:val="24"/>
          <w:szCs w:val="24"/>
        </w:rPr>
      </w:pPr>
    </w:p>
    <w:p w14:paraId="2D4291BB" w14:textId="21A74DE7" w:rsidR="00671ED9" w:rsidRPr="00165CC9" w:rsidRDefault="00671ED9" w:rsidP="00165C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terms of employee entitlements, we hear anecdotally that the existence of GEERS and FEG present a moral hazard which encourages businesses to make inadequate provision</w:t>
      </w:r>
      <w:r w:rsidR="002B21D5">
        <w:rPr>
          <w:rFonts w:ascii="Times New Roman" w:hAnsi="Times New Roman" w:cs="Times New Roman"/>
          <w:sz w:val="24"/>
          <w:szCs w:val="24"/>
        </w:rPr>
        <w:t xml:space="preserve"> for payment</w:t>
      </w:r>
      <w:r>
        <w:rPr>
          <w:rFonts w:ascii="Times New Roman" w:hAnsi="Times New Roman" w:cs="Times New Roman"/>
          <w:sz w:val="24"/>
          <w:szCs w:val="24"/>
        </w:rPr>
        <w:t>, knowing that the empl</w:t>
      </w:r>
      <w:r w:rsidR="002B21D5">
        <w:rPr>
          <w:rFonts w:ascii="Times New Roman" w:hAnsi="Times New Roman" w:cs="Times New Roman"/>
          <w:sz w:val="24"/>
          <w:szCs w:val="24"/>
        </w:rPr>
        <w:t xml:space="preserve">oyees will be taken care of. We have no empirical evidence to support this contention or </w:t>
      </w:r>
      <w:r w:rsidR="00D62446">
        <w:rPr>
          <w:rFonts w:ascii="Times New Roman" w:hAnsi="Times New Roman" w:cs="Times New Roman"/>
          <w:sz w:val="24"/>
          <w:szCs w:val="24"/>
        </w:rPr>
        <w:t xml:space="preserve">the contention </w:t>
      </w:r>
      <w:r w:rsidR="002B21D5">
        <w:rPr>
          <w:rFonts w:ascii="Times New Roman" w:hAnsi="Times New Roman" w:cs="Times New Roman"/>
          <w:sz w:val="24"/>
          <w:szCs w:val="24"/>
        </w:rPr>
        <w:t>that business closures have grown disproportionately in number since the forerunner of these schemes was introduced in 2001.</w:t>
      </w:r>
      <w:r w:rsidR="002B21D5">
        <w:rPr>
          <w:rStyle w:val="FootnoteReference"/>
          <w:rFonts w:ascii="Times New Roman" w:hAnsi="Times New Roman" w:cs="Times New Roman"/>
          <w:sz w:val="24"/>
          <w:szCs w:val="24"/>
        </w:rPr>
        <w:footnoteReference w:id="18"/>
      </w:r>
      <w:r w:rsidR="002B21D5">
        <w:rPr>
          <w:rFonts w:ascii="Times New Roman" w:hAnsi="Times New Roman" w:cs="Times New Roman"/>
          <w:sz w:val="24"/>
          <w:szCs w:val="24"/>
        </w:rPr>
        <w:t xml:space="preserve"> We strongly urge the Productivity Commission to recommend the retention of a government-funded safety net scheme. It has significantly contributed to a reduction in industrial action in support of unpaid workers.</w:t>
      </w:r>
      <w:r w:rsidR="002B21D5">
        <w:rPr>
          <w:rStyle w:val="FootnoteReference"/>
          <w:rFonts w:ascii="Times New Roman" w:hAnsi="Times New Roman" w:cs="Times New Roman"/>
          <w:sz w:val="24"/>
          <w:szCs w:val="24"/>
        </w:rPr>
        <w:footnoteReference w:id="19"/>
      </w:r>
      <w:r w:rsidR="002B21D5">
        <w:rPr>
          <w:rFonts w:ascii="Times New Roman" w:hAnsi="Times New Roman" w:cs="Times New Roman"/>
          <w:sz w:val="24"/>
          <w:szCs w:val="24"/>
        </w:rPr>
        <w:t xml:space="preserve"> It is also superior to other alternative means of protecting employees of insolvent businesses.</w:t>
      </w:r>
      <w:r w:rsidR="002B21D5">
        <w:rPr>
          <w:rStyle w:val="FootnoteReference"/>
          <w:rFonts w:ascii="Times New Roman" w:hAnsi="Times New Roman" w:cs="Times New Roman"/>
          <w:sz w:val="24"/>
          <w:szCs w:val="24"/>
        </w:rPr>
        <w:footnoteReference w:id="20"/>
      </w:r>
    </w:p>
    <w:p w14:paraId="6DDD83B4" w14:textId="77777777" w:rsidR="00A50CE6" w:rsidRDefault="00A50CE6" w:rsidP="00165CC9">
      <w:pPr>
        <w:pStyle w:val="BodyText"/>
        <w:spacing w:before="0" w:line="240" w:lineRule="auto"/>
        <w:rPr>
          <w:szCs w:val="24"/>
        </w:rPr>
      </w:pPr>
    </w:p>
    <w:p w14:paraId="6612893F" w14:textId="3899C0E9" w:rsidR="00A50CE6" w:rsidRDefault="00A50CE6" w:rsidP="00165CC9">
      <w:pPr>
        <w:pStyle w:val="BodyText"/>
        <w:spacing w:before="0" w:line="240" w:lineRule="auto"/>
        <w:rPr>
          <w:szCs w:val="24"/>
        </w:rPr>
      </w:pPr>
      <w:r>
        <w:rPr>
          <w:szCs w:val="24"/>
        </w:rPr>
        <w:t xml:space="preserve">In the phoenix context, there is no advantage in transferring ownership of the company itself </w:t>
      </w:r>
      <w:r w:rsidR="00D62446">
        <w:rPr>
          <w:szCs w:val="24"/>
        </w:rPr>
        <w:t xml:space="preserve">because the company retains </w:t>
      </w:r>
      <w:r>
        <w:rPr>
          <w:szCs w:val="24"/>
        </w:rPr>
        <w:t xml:space="preserve">liability for its debts despite </w:t>
      </w:r>
      <w:r w:rsidR="00D62446">
        <w:rPr>
          <w:szCs w:val="24"/>
        </w:rPr>
        <w:t>the</w:t>
      </w:r>
      <w:r>
        <w:rPr>
          <w:szCs w:val="24"/>
        </w:rPr>
        <w:t xml:space="preserve"> change of ownership</w:t>
      </w:r>
      <w:r w:rsidR="00D62446">
        <w:rPr>
          <w:szCs w:val="24"/>
        </w:rPr>
        <w:t xml:space="preserve"> of its shares</w:t>
      </w:r>
      <w:r>
        <w:rPr>
          <w:szCs w:val="24"/>
        </w:rPr>
        <w:t xml:space="preserve">. The essence of the phoenix procedure is that the old company is either liquidated, placed in voluntary administration and then liquidated or deregistered, or remains dormant. The business or its assets are transferred to a new corporate entity. The debts of the old company are only adopted by the new company to the extent that the new company needs to remain on good terms with that particular creditor. The danger with these transfers of the business or its assets is that a fair market price may not be paid. The Productivity Commission should consider whether to recommend requiring independent valuations of these assets where the purchaser is controlled by some or all of the people behind the </w:t>
      </w:r>
      <w:r w:rsidR="00D62446">
        <w:rPr>
          <w:szCs w:val="24"/>
        </w:rPr>
        <w:t>previous</w:t>
      </w:r>
      <w:r>
        <w:rPr>
          <w:szCs w:val="24"/>
        </w:rPr>
        <w:t xml:space="preserve"> company. While requiring an independent valuation might appear to be the addition of more red tape, it in fact benefits the economy where creditors, including the ATO, receive a fairer payout. In addition, it acts as a disincentive to illegal phoenix activity and therefore benefits law-abiding competitor businesses.</w:t>
      </w:r>
    </w:p>
    <w:p w14:paraId="7D8A806F" w14:textId="77777777" w:rsidR="00D62446" w:rsidRDefault="00D62446" w:rsidP="00165CC9">
      <w:pPr>
        <w:pStyle w:val="BodyText"/>
        <w:spacing w:before="0" w:line="240" w:lineRule="auto"/>
        <w:rPr>
          <w:szCs w:val="24"/>
        </w:rPr>
      </w:pPr>
    </w:p>
    <w:p w14:paraId="456E21B4" w14:textId="64A5852F" w:rsidR="00D62446" w:rsidRPr="00165CC9" w:rsidRDefault="00D62446" w:rsidP="00165CC9">
      <w:pPr>
        <w:pStyle w:val="BodyText"/>
        <w:spacing w:before="0" w:line="240" w:lineRule="auto"/>
        <w:rPr>
          <w:szCs w:val="24"/>
        </w:rPr>
      </w:pPr>
      <w:r>
        <w:rPr>
          <w:szCs w:val="24"/>
        </w:rPr>
        <w:t>We would be pleased to assist the Productivity Commission, should it wish to speak with us or require further written detail.</w:t>
      </w:r>
    </w:p>
    <w:p w14:paraId="702835A3" w14:textId="77777777" w:rsidR="00BF17BD" w:rsidRPr="00165CC9" w:rsidRDefault="00BF17BD" w:rsidP="00165CC9">
      <w:pPr>
        <w:pStyle w:val="BodyText"/>
        <w:spacing w:before="0" w:line="240" w:lineRule="auto"/>
        <w:rPr>
          <w:szCs w:val="24"/>
        </w:rPr>
      </w:pPr>
    </w:p>
    <w:p w14:paraId="519EA2CD" w14:textId="77777777" w:rsidR="005F5010" w:rsidRPr="00165CC9" w:rsidRDefault="005F5010" w:rsidP="00165CC9">
      <w:pPr>
        <w:pStyle w:val="BodyText"/>
        <w:spacing w:before="0" w:line="240" w:lineRule="auto"/>
        <w:rPr>
          <w:szCs w:val="24"/>
        </w:rPr>
      </w:pPr>
    </w:p>
    <w:p w14:paraId="4DD88497" w14:textId="77777777" w:rsidR="00335665" w:rsidRPr="00165CC9" w:rsidRDefault="00335665" w:rsidP="00165CC9">
      <w:pPr>
        <w:pStyle w:val="BodyText"/>
        <w:spacing w:before="0" w:line="240" w:lineRule="auto"/>
        <w:rPr>
          <w:szCs w:val="24"/>
        </w:rPr>
      </w:pPr>
    </w:p>
    <w:p w14:paraId="066360D6" w14:textId="77777777" w:rsidR="00335665" w:rsidRPr="00165CC9" w:rsidRDefault="00335665" w:rsidP="00165CC9">
      <w:pPr>
        <w:spacing w:after="0" w:line="240" w:lineRule="auto"/>
        <w:jc w:val="both"/>
        <w:rPr>
          <w:rFonts w:ascii="Times New Roman" w:hAnsi="Times New Roman" w:cs="Times New Roman"/>
          <w:sz w:val="24"/>
          <w:szCs w:val="24"/>
        </w:rPr>
      </w:pPr>
    </w:p>
    <w:sectPr w:rsidR="00335665" w:rsidRPr="00165CC9">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C9CE1A" w14:textId="77777777" w:rsidR="00E177F3" w:rsidRDefault="00E177F3" w:rsidP="005952D2">
      <w:pPr>
        <w:spacing w:after="0" w:line="240" w:lineRule="auto"/>
      </w:pPr>
      <w:r>
        <w:separator/>
      </w:r>
    </w:p>
  </w:endnote>
  <w:endnote w:type="continuationSeparator" w:id="0">
    <w:p w14:paraId="2BF0191B" w14:textId="77777777" w:rsidR="00E177F3" w:rsidRDefault="00E177F3" w:rsidP="00595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7164456"/>
      <w:docPartObj>
        <w:docPartGallery w:val="Page Numbers (Bottom of Page)"/>
        <w:docPartUnique/>
      </w:docPartObj>
    </w:sdtPr>
    <w:sdtEndPr>
      <w:rPr>
        <w:noProof/>
      </w:rPr>
    </w:sdtEndPr>
    <w:sdtContent>
      <w:p w14:paraId="59009DD7" w14:textId="77777777" w:rsidR="00E177F3" w:rsidRDefault="00E177F3">
        <w:pPr>
          <w:pStyle w:val="Footer"/>
          <w:jc w:val="center"/>
        </w:pPr>
        <w:r>
          <w:fldChar w:fldCharType="begin"/>
        </w:r>
        <w:r>
          <w:instrText xml:space="preserve"> PAGE   \* MERGEFORMAT </w:instrText>
        </w:r>
        <w:r>
          <w:fldChar w:fldCharType="separate"/>
        </w:r>
        <w:r w:rsidR="00096E4C">
          <w:rPr>
            <w:noProof/>
          </w:rPr>
          <w:t>1</w:t>
        </w:r>
        <w:r>
          <w:rPr>
            <w:noProof/>
          </w:rPr>
          <w:fldChar w:fldCharType="end"/>
        </w:r>
      </w:p>
    </w:sdtContent>
  </w:sdt>
  <w:p w14:paraId="07B42D15" w14:textId="77777777" w:rsidR="00E177F3" w:rsidRDefault="00E177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86AC43" w14:textId="77777777" w:rsidR="00E177F3" w:rsidRDefault="00E177F3" w:rsidP="005952D2">
      <w:pPr>
        <w:spacing w:after="0" w:line="240" w:lineRule="auto"/>
      </w:pPr>
      <w:r>
        <w:separator/>
      </w:r>
    </w:p>
  </w:footnote>
  <w:footnote w:type="continuationSeparator" w:id="0">
    <w:p w14:paraId="57297F90" w14:textId="77777777" w:rsidR="00E177F3" w:rsidRDefault="00E177F3" w:rsidP="005952D2">
      <w:pPr>
        <w:spacing w:after="0" w:line="240" w:lineRule="auto"/>
      </w:pPr>
      <w:r>
        <w:continuationSeparator/>
      </w:r>
    </w:p>
  </w:footnote>
  <w:footnote w:id="1">
    <w:p w14:paraId="5D58A365" w14:textId="6D15D69C" w:rsidR="00E177F3" w:rsidRPr="006A30E1" w:rsidRDefault="00E177F3" w:rsidP="00C52249">
      <w:pPr>
        <w:pStyle w:val="FootnoteText"/>
        <w:rPr>
          <w:rFonts w:ascii="Times New Roman" w:hAnsi="Times New Roman" w:cs="Times New Roman"/>
        </w:rPr>
      </w:pPr>
      <w:r w:rsidRPr="006A30E1">
        <w:rPr>
          <w:rStyle w:val="FootnoteReference"/>
          <w:rFonts w:ascii="Times New Roman" w:hAnsi="Times New Roman" w:cs="Times New Roman"/>
        </w:rPr>
        <w:footnoteRef/>
      </w:r>
      <w:r w:rsidRPr="006A30E1">
        <w:rPr>
          <w:rFonts w:ascii="Times New Roman" w:hAnsi="Times New Roman" w:cs="Times New Roman"/>
        </w:rPr>
        <w:t xml:space="preserve"> </w:t>
      </w:r>
      <w:r w:rsidRPr="006A30E1">
        <w:rPr>
          <w:rFonts w:ascii="Times New Roman" w:hAnsi="Times New Roman" w:cs="Times New Roman"/>
          <w:i/>
        </w:rPr>
        <w:t>Corporations Act</w:t>
      </w:r>
      <w:r>
        <w:rPr>
          <w:rFonts w:ascii="Times New Roman" w:hAnsi="Times New Roman" w:cs="Times New Roman"/>
        </w:rPr>
        <w:t xml:space="preserve"> s 201B: A</w:t>
      </w:r>
      <w:r w:rsidRPr="006A30E1">
        <w:rPr>
          <w:rFonts w:ascii="Times New Roman" w:hAnsi="Times New Roman" w:cs="Times New Roman"/>
        </w:rPr>
        <w:t>n individual who is over 18 and who has not been disqualified may be appointed as a director.</w:t>
      </w:r>
    </w:p>
  </w:footnote>
  <w:footnote w:id="2">
    <w:p w14:paraId="2C8143B7" w14:textId="7D92B8F7" w:rsidR="00E177F3" w:rsidRPr="006A30E1" w:rsidRDefault="00E177F3">
      <w:pPr>
        <w:pStyle w:val="FootnoteText"/>
        <w:rPr>
          <w:rFonts w:ascii="Times New Roman" w:hAnsi="Times New Roman" w:cs="Times New Roman"/>
        </w:rPr>
      </w:pPr>
      <w:r w:rsidRPr="006A30E1">
        <w:rPr>
          <w:rStyle w:val="FootnoteReference"/>
          <w:rFonts w:ascii="Times New Roman" w:hAnsi="Times New Roman" w:cs="Times New Roman"/>
        </w:rPr>
        <w:footnoteRef/>
      </w:r>
      <w:r w:rsidRPr="006A30E1">
        <w:rPr>
          <w:rFonts w:ascii="Times New Roman" w:hAnsi="Times New Roman" w:cs="Times New Roman"/>
        </w:rPr>
        <w:t xml:space="preserve"> </w:t>
      </w:r>
      <w:r w:rsidRPr="006A30E1">
        <w:rPr>
          <w:rFonts w:ascii="Times New Roman" w:hAnsi="Times New Roman" w:cs="Times New Roman"/>
          <w:i/>
        </w:rPr>
        <w:t>Corporations Act</w:t>
      </w:r>
      <w:r>
        <w:rPr>
          <w:rFonts w:ascii="Times New Roman" w:hAnsi="Times New Roman" w:cs="Times New Roman"/>
        </w:rPr>
        <w:t xml:space="preserve"> s 206F: </w:t>
      </w:r>
      <w:r w:rsidRPr="006A30E1">
        <w:rPr>
          <w:rFonts w:ascii="Times New Roman" w:hAnsi="Times New Roman" w:cs="Times New Roman"/>
        </w:rPr>
        <w:t>Section 206F allows ASIC to disqualify a person from managing companies for up to five years if, within the past seven years, the person has been an officer of two or more companies and the companies were wound up and the liquidator lodged a report under s 533(1) about the company’s inability to pay its debts (</w:t>
      </w:r>
      <w:proofErr w:type="spellStart"/>
      <w:r w:rsidRPr="006A30E1">
        <w:rPr>
          <w:rFonts w:ascii="Times New Roman" w:hAnsi="Times New Roman" w:cs="Times New Roman"/>
        </w:rPr>
        <w:t>ie</w:t>
      </w:r>
      <w:proofErr w:type="spellEnd"/>
      <w:r w:rsidRPr="006A30E1">
        <w:rPr>
          <w:rFonts w:ascii="Times New Roman" w:hAnsi="Times New Roman" w:cs="Times New Roman"/>
        </w:rPr>
        <w:t>, the companies were unable to pay their unsecured creditors more than 50 cents in the dollar).</w:t>
      </w:r>
    </w:p>
  </w:footnote>
  <w:footnote w:id="3">
    <w:p w14:paraId="760F9E24" w14:textId="4D707185" w:rsidR="00E177F3" w:rsidRPr="006A30E1" w:rsidRDefault="00E177F3">
      <w:pPr>
        <w:pStyle w:val="FootnoteText"/>
        <w:rPr>
          <w:rFonts w:ascii="Times New Roman" w:hAnsi="Times New Roman" w:cs="Times New Roman"/>
        </w:rPr>
      </w:pPr>
      <w:r w:rsidRPr="006A30E1">
        <w:rPr>
          <w:rStyle w:val="FootnoteReference"/>
          <w:rFonts w:ascii="Times New Roman" w:hAnsi="Times New Roman" w:cs="Times New Roman"/>
        </w:rPr>
        <w:footnoteRef/>
      </w:r>
      <w:r w:rsidRPr="006A30E1">
        <w:rPr>
          <w:rFonts w:ascii="Times New Roman" w:hAnsi="Times New Roman" w:cs="Times New Roman"/>
        </w:rPr>
        <w:t xml:space="preserve"> </w:t>
      </w:r>
      <w:r w:rsidRPr="006A30E1">
        <w:rPr>
          <w:rFonts w:ascii="Times New Roman" w:hAnsi="Times New Roman" w:cs="Times New Roman"/>
          <w:i/>
        </w:rPr>
        <w:t>Corporations Act</w:t>
      </w:r>
      <w:r>
        <w:rPr>
          <w:rFonts w:ascii="Times New Roman" w:hAnsi="Times New Roman" w:cs="Times New Roman"/>
        </w:rPr>
        <w:t xml:space="preserve"> s </w:t>
      </w:r>
      <w:proofErr w:type="gramStart"/>
      <w:r>
        <w:rPr>
          <w:rFonts w:ascii="Times New Roman" w:hAnsi="Times New Roman" w:cs="Times New Roman"/>
        </w:rPr>
        <w:t>206D(</w:t>
      </w:r>
      <w:proofErr w:type="gramEnd"/>
      <w:r>
        <w:rPr>
          <w:rFonts w:ascii="Times New Roman" w:hAnsi="Times New Roman" w:cs="Times New Roman"/>
        </w:rPr>
        <w:t xml:space="preserve">1): </w:t>
      </w:r>
      <w:r w:rsidRPr="006A30E1">
        <w:rPr>
          <w:rFonts w:ascii="Times New Roman" w:hAnsi="Times New Roman" w:cs="Times New Roman"/>
        </w:rPr>
        <w:t>(1) On application by ASIC, the Court may disqualify a person from managing corporations for up to 20 years if: (a) within the last 7 years, the person has been an officer of 2 or more corporations when they have failed; and (b) the Court is satisfied that: (</w:t>
      </w:r>
      <w:proofErr w:type="spellStart"/>
      <w:r w:rsidRPr="006A30E1">
        <w:rPr>
          <w:rFonts w:ascii="Times New Roman" w:hAnsi="Times New Roman" w:cs="Times New Roman"/>
        </w:rPr>
        <w:t>i</w:t>
      </w:r>
      <w:proofErr w:type="spellEnd"/>
      <w:r w:rsidRPr="006A30E1">
        <w:rPr>
          <w:rFonts w:ascii="Times New Roman" w:hAnsi="Times New Roman" w:cs="Times New Roman"/>
        </w:rPr>
        <w:t>) the manner in which the corporation was managed was wholly or partly responsible for the corporation failing; and (ii) the disqualification is justified.</w:t>
      </w:r>
    </w:p>
  </w:footnote>
  <w:footnote w:id="4">
    <w:p w14:paraId="5032C30A" w14:textId="40DCF924" w:rsidR="00E177F3" w:rsidRPr="006A30E1" w:rsidRDefault="00E177F3" w:rsidP="006766FB">
      <w:pPr>
        <w:pStyle w:val="FootnoteText"/>
        <w:rPr>
          <w:rFonts w:ascii="Times New Roman" w:hAnsi="Times New Roman" w:cs="Times New Roman"/>
        </w:rPr>
      </w:pPr>
      <w:r w:rsidRPr="006A30E1">
        <w:rPr>
          <w:rStyle w:val="FootnoteReference"/>
          <w:rFonts w:ascii="Times New Roman" w:hAnsi="Times New Roman" w:cs="Times New Roman"/>
        </w:rPr>
        <w:footnoteRef/>
      </w:r>
      <w:r w:rsidRPr="006A30E1">
        <w:rPr>
          <w:rFonts w:ascii="Times New Roman" w:hAnsi="Times New Roman" w:cs="Times New Roman"/>
        </w:rPr>
        <w:t xml:space="preserve"> </w:t>
      </w:r>
      <w:r>
        <w:rPr>
          <w:rFonts w:ascii="Times New Roman" w:hAnsi="Times New Roman" w:cs="Times New Roman"/>
        </w:rPr>
        <w:t xml:space="preserve">A search of </w:t>
      </w:r>
      <w:r w:rsidRPr="006766FB">
        <w:rPr>
          <w:rFonts w:ascii="Times New Roman" w:hAnsi="Times New Roman" w:cs="Times New Roman"/>
        </w:rPr>
        <w:t>ASIC’s media releases for the years January 2004</w:t>
      </w:r>
      <w:r>
        <w:rPr>
          <w:rFonts w:ascii="Times New Roman" w:hAnsi="Times New Roman" w:cs="Times New Roman"/>
        </w:rPr>
        <w:t xml:space="preserve"> - </w:t>
      </w:r>
      <w:r w:rsidRPr="006766FB">
        <w:rPr>
          <w:rFonts w:ascii="Times New Roman" w:hAnsi="Times New Roman" w:cs="Times New Roman"/>
        </w:rPr>
        <w:t xml:space="preserve">August 2014 </w:t>
      </w:r>
      <w:r>
        <w:rPr>
          <w:rFonts w:ascii="Times New Roman" w:hAnsi="Times New Roman" w:cs="Times New Roman"/>
        </w:rPr>
        <w:t xml:space="preserve">reveals that only </w:t>
      </w:r>
      <w:r w:rsidRPr="006766FB">
        <w:rPr>
          <w:rFonts w:ascii="Times New Roman" w:hAnsi="Times New Roman" w:cs="Times New Roman"/>
        </w:rPr>
        <w:t xml:space="preserve">49 directors </w:t>
      </w:r>
      <w:r>
        <w:rPr>
          <w:rFonts w:ascii="Times New Roman" w:hAnsi="Times New Roman" w:cs="Times New Roman"/>
        </w:rPr>
        <w:t xml:space="preserve">were </w:t>
      </w:r>
      <w:r w:rsidRPr="006766FB">
        <w:rPr>
          <w:rFonts w:ascii="Times New Roman" w:hAnsi="Times New Roman" w:cs="Times New Roman"/>
        </w:rPr>
        <w:t xml:space="preserve">disqualified </w:t>
      </w:r>
      <w:r>
        <w:rPr>
          <w:rFonts w:ascii="Times New Roman" w:hAnsi="Times New Roman" w:cs="Times New Roman"/>
        </w:rPr>
        <w:t>by the regulator under s 206F</w:t>
      </w:r>
      <w:r w:rsidRPr="006766FB">
        <w:rPr>
          <w:rFonts w:ascii="Times New Roman" w:hAnsi="Times New Roman" w:cs="Times New Roman"/>
        </w:rPr>
        <w:t xml:space="preserve"> </w:t>
      </w:r>
      <w:r>
        <w:rPr>
          <w:rFonts w:ascii="Times New Roman" w:hAnsi="Times New Roman" w:cs="Times New Roman"/>
        </w:rPr>
        <w:t xml:space="preserve">during this period </w:t>
      </w:r>
      <w:r w:rsidRPr="006766FB">
        <w:rPr>
          <w:rFonts w:ascii="Times New Roman" w:hAnsi="Times New Roman" w:cs="Times New Roman"/>
        </w:rPr>
        <w:t>where the media release specifically mentions the term ‘phoenix activity’ (21 directors) or else implies illegal or problematic phoenix activity (28 directors).</w:t>
      </w:r>
      <w:r>
        <w:rPr>
          <w:rFonts w:ascii="Times New Roman" w:hAnsi="Times New Roman" w:cs="Times New Roman"/>
        </w:rPr>
        <w:t xml:space="preserve">  </w:t>
      </w:r>
      <w:r w:rsidRPr="006766FB">
        <w:rPr>
          <w:rFonts w:ascii="Times New Roman" w:hAnsi="Times New Roman" w:cs="Times New Roman"/>
        </w:rPr>
        <w:t>None of the</w:t>
      </w:r>
      <w:r>
        <w:rPr>
          <w:rFonts w:ascii="Times New Roman" w:hAnsi="Times New Roman" w:cs="Times New Roman"/>
        </w:rPr>
        <w:t>se</w:t>
      </w:r>
      <w:r w:rsidRPr="006766FB">
        <w:rPr>
          <w:rFonts w:ascii="Times New Roman" w:hAnsi="Times New Roman" w:cs="Times New Roman"/>
        </w:rPr>
        <w:t xml:space="preserve"> ASIC media releases reveal any applications by ASIC to the court requesting it to disqualify a director pursuant to s 206D for engaging in behaviour that could be described as illegal phoenix activity. In fact, this enforcement mechanism appears to be rarely used. A search of the </w:t>
      </w:r>
      <w:proofErr w:type="spellStart"/>
      <w:r w:rsidRPr="006766FB">
        <w:rPr>
          <w:rFonts w:ascii="Times New Roman" w:hAnsi="Times New Roman" w:cs="Times New Roman"/>
        </w:rPr>
        <w:t>Austlii</w:t>
      </w:r>
      <w:proofErr w:type="spellEnd"/>
      <w:r w:rsidRPr="006766FB">
        <w:rPr>
          <w:rFonts w:ascii="Times New Roman" w:hAnsi="Times New Roman" w:cs="Times New Roman"/>
        </w:rPr>
        <w:t xml:space="preserve"> database disclosed only one case issued by ASIC pursuant to this section during this entire period and the events that gave rise to that application do not appear to involve illegal phoenix activity</w:t>
      </w:r>
      <w:r>
        <w:rPr>
          <w:rFonts w:ascii="Times New Roman" w:hAnsi="Times New Roman" w:cs="Times New Roman"/>
        </w:rPr>
        <w:t xml:space="preserve">: See </w:t>
      </w:r>
      <w:r w:rsidRPr="00932FC9">
        <w:rPr>
          <w:rFonts w:ascii="Times New Roman" w:hAnsi="Times New Roman" w:cs="Times New Roman"/>
          <w:i/>
        </w:rPr>
        <w:t>ASIC v Elm Financial Services Pty Ltd</w:t>
      </w:r>
      <w:r w:rsidRPr="006766FB">
        <w:rPr>
          <w:rFonts w:ascii="Times New Roman" w:hAnsi="Times New Roman" w:cs="Times New Roman"/>
        </w:rPr>
        <w:t xml:space="preserve"> [2005] NSWSC 1065 (21 October 2005), [2005] NSWSC 1033 (13 October 2005), [2005] NSWSC 1020.</w:t>
      </w:r>
    </w:p>
  </w:footnote>
  <w:footnote w:id="5">
    <w:p w14:paraId="46712921" w14:textId="77777777" w:rsidR="00E177F3" w:rsidRPr="00E959FA" w:rsidRDefault="00E177F3" w:rsidP="00A5608B">
      <w:pPr>
        <w:pStyle w:val="FootnoteText"/>
        <w:rPr>
          <w:rFonts w:ascii="Times New Roman" w:hAnsi="Times New Roman" w:cs="Times New Roman"/>
        </w:rPr>
      </w:pPr>
      <w:r w:rsidRPr="00E959FA">
        <w:rPr>
          <w:rStyle w:val="FootnoteReference"/>
          <w:rFonts w:ascii="Times New Roman" w:hAnsi="Times New Roman" w:cs="Times New Roman"/>
        </w:rPr>
        <w:footnoteRef/>
      </w:r>
      <w:r w:rsidRPr="00E959FA">
        <w:rPr>
          <w:rFonts w:ascii="Times New Roman" w:hAnsi="Times New Roman" w:cs="Times New Roman"/>
        </w:rPr>
        <w:t xml:space="preserve"> Commonwealth of Australia, ‘Action </w:t>
      </w:r>
      <w:proofErr w:type="gramStart"/>
      <w:r w:rsidRPr="00E959FA">
        <w:rPr>
          <w:rFonts w:ascii="Times New Roman" w:hAnsi="Times New Roman" w:cs="Times New Roman"/>
        </w:rPr>
        <w:t>Against</w:t>
      </w:r>
      <w:proofErr w:type="gramEnd"/>
      <w:r w:rsidRPr="00E959FA">
        <w:rPr>
          <w:rFonts w:ascii="Times New Roman" w:hAnsi="Times New Roman" w:cs="Times New Roman"/>
        </w:rPr>
        <w:t xml:space="preserve"> Fraudulent Phoenix Activity Proposals Paper’ (2009 Phoenix Proposals Paper), [2]. </w:t>
      </w:r>
      <w:proofErr w:type="gramStart"/>
      <w:r w:rsidRPr="00E959FA">
        <w:rPr>
          <w:rFonts w:ascii="Times New Roman" w:hAnsi="Times New Roman" w:cs="Times New Roman"/>
        </w:rPr>
        <w:t>Available at http://archive.treasury.gov.au/documents/1647/PDF/Phoenix_Proposal_Paper.pdf.</w:t>
      </w:r>
      <w:proofErr w:type="gramEnd"/>
    </w:p>
  </w:footnote>
  <w:footnote w:id="6">
    <w:p w14:paraId="7E43B04D" w14:textId="77777777" w:rsidR="00E177F3" w:rsidRPr="00E959FA" w:rsidRDefault="00E177F3" w:rsidP="00A5608B">
      <w:pPr>
        <w:pStyle w:val="FootnoteText"/>
        <w:rPr>
          <w:rFonts w:ascii="Times New Roman" w:hAnsi="Times New Roman" w:cs="Times New Roman"/>
        </w:rPr>
      </w:pPr>
      <w:r w:rsidRPr="00E959FA">
        <w:rPr>
          <w:rStyle w:val="FootnoteReference"/>
          <w:rFonts w:ascii="Times New Roman" w:hAnsi="Times New Roman" w:cs="Times New Roman"/>
        </w:rPr>
        <w:footnoteRef/>
      </w:r>
      <w:r w:rsidRPr="00E959FA">
        <w:rPr>
          <w:rFonts w:ascii="Times New Roman" w:hAnsi="Times New Roman" w:cs="Times New Roman"/>
        </w:rPr>
        <w:t xml:space="preserve"> </w:t>
      </w:r>
      <w:proofErr w:type="gramStart"/>
      <w:r w:rsidRPr="00E959FA">
        <w:rPr>
          <w:rFonts w:ascii="Times New Roman" w:hAnsi="Times New Roman" w:cs="Times New Roman"/>
        </w:rPr>
        <w:t xml:space="preserve">Commonwealth, Royal Commission into the Building and Construction Industry, Final Report (2003) </w:t>
      </w:r>
      <w:proofErr w:type="spellStart"/>
      <w:r w:rsidRPr="00E959FA">
        <w:rPr>
          <w:rFonts w:ascii="Times New Roman" w:hAnsi="Times New Roman" w:cs="Times New Roman"/>
        </w:rPr>
        <w:t>vol</w:t>
      </w:r>
      <w:proofErr w:type="spellEnd"/>
      <w:r w:rsidRPr="00E959FA">
        <w:rPr>
          <w:rFonts w:ascii="Times New Roman" w:hAnsi="Times New Roman" w:cs="Times New Roman"/>
        </w:rPr>
        <w:t xml:space="preserve"> 8, </w:t>
      </w:r>
      <w:proofErr w:type="spellStart"/>
      <w:r w:rsidRPr="00E959FA">
        <w:rPr>
          <w:rFonts w:ascii="Times New Roman" w:hAnsi="Times New Roman" w:cs="Times New Roman"/>
        </w:rPr>
        <w:t>ch</w:t>
      </w:r>
      <w:proofErr w:type="spellEnd"/>
      <w:r w:rsidRPr="00E959FA">
        <w:rPr>
          <w:rFonts w:ascii="Times New Roman" w:hAnsi="Times New Roman" w:cs="Times New Roman"/>
        </w:rPr>
        <w:t xml:space="preserve"> 12, 106.</w:t>
      </w:r>
      <w:proofErr w:type="gramEnd"/>
      <w:r w:rsidRPr="00E959FA">
        <w:rPr>
          <w:rFonts w:ascii="Times New Roman" w:hAnsi="Times New Roman" w:cs="Times New Roman"/>
        </w:rPr>
        <w:t xml:space="preserve"> For example, </w:t>
      </w:r>
      <w:r>
        <w:rPr>
          <w:rFonts w:ascii="Times New Roman" w:hAnsi="Times New Roman" w:cs="Times New Roman"/>
        </w:rPr>
        <w:t xml:space="preserve">the Report notes that </w:t>
      </w:r>
      <w:r w:rsidRPr="00E959FA">
        <w:rPr>
          <w:rFonts w:ascii="Times New Roman" w:hAnsi="Times New Roman" w:cs="Times New Roman"/>
        </w:rPr>
        <w:t xml:space="preserve">serial phoenix operators Emerson Industries were able to obtain </w:t>
      </w:r>
      <w:r>
        <w:rPr>
          <w:rFonts w:ascii="Times New Roman" w:hAnsi="Times New Roman" w:cs="Times New Roman"/>
        </w:rPr>
        <w:t xml:space="preserve">large </w:t>
      </w:r>
      <w:r w:rsidRPr="00E959FA">
        <w:rPr>
          <w:rFonts w:ascii="Times New Roman" w:hAnsi="Times New Roman" w:cs="Times New Roman"/>
        </w:rPr>
        <w:t>contracts by quoting the most competitive price, at 175.</w:t>
      </w:r>
    </w:p>
  </w:footnote>
  <w:footnote w:id="7">
    <w:p w14:paraId="05CF6799" w14:textId="77777777" w:rsidR="00E177F3" w:rsidRPr="00E959FA" w:rsidRDefault="00E177F3">
      <w:pPr>
        <w:pStyle w:val="FootnoteText"/>
        <w:rPr>
          <w:rFonts w:ascii="Times New Roman" w:hAnsi="Times New Roman" w:cs="Times New Roman"/>
        </w:rPr>
      </w:pPr>
      <w:r w:rsidRPr="00E959FA">
        <w:rPr>
          <w:rStyle w:val="FootnoteReference"/>
          <w:rFonts w:ascii="Times New Roman" w:hAnsi="Times New Roman" w:cs="Times New Roman"/>
        </w:rPr>
        <w:footnoteRef/>
      </w:r>
      <w:r w:rsidRPr="00E959FA">
        <w:rPr>
          <w:rFonts w:ascii="Times New Roman" w:hAnsi="Times New Roman" w:cs="Times New Roman"/>
        </w:rPr>
        <w:t xml:space="preserve"> </w:t>
      </w:r>
      <w:proofErr w:type="gramStart"/>
      <w:r w:rsidRPr="00E959FA">
        <w:rPr>
          <w:rFonts w:ascii="Times New Roman" w:hAnsi="Times New Roman" w:cs="Times New Roman"/>
        </w:rPr>
        <w:t xml:space="preserve">2009 Phoenix Proposals Paper, </w:t>
      </w:r>
      <w:r>
        <w:rPr>
          <w:rFonts w:ascii="Times New Roman" w:hAnsi="Times New Roman" w:cs="Times New Roman"/>
        </w:rPr>
        <w:t xml:space="preserve">above n </w:t>
      </w:r>
      <w:r>
        <w:rPr>
          <w:rFonts w:ascii="Times New Roman" w:hAnsi="Times New Roman" w:cs="Times New Roman"/>
        </w:rPr>
        <w:fldChar w:fldCharType="begin"/>
      </w:r>
      <w:r>
        <w:rPr>
          <w:rFonts w:ascii="Times New Roman" w:hAnsi="Times New Roman" w:cs="Times New Roman"/>
        </w:rPr>
        <w:instrText xml:space="preserve"> NOTEREF _Ref410992984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rPr>
        <w:t xml:space="preserve"> </w:t>
      </w:r>
      <w:r w:rsidRPr="00E959FA">
        <w:rPr>
          <w:rFonts w:ascii="Times New Roman" w:hAnsi="Times New Roman" w:cs="Times New Roman"/>
        </w:rPr>
        <w:t>[1.1.1].</w:t>
      </w:r>
      <w:proofErr w:type="gramEnd"/>
      <w:r w:rsidRPr="00E959FA">
        <w:rPr>
          <w:rFonts w:ascii="Times New Roman" w:hAnsi="Times New Roman" w:cs="Times New Roman"/>
        </w:rPr>
        <w:t xml:space="preserve"> </w:t>
      </w:r>
    </w:p>
  </w:footnote>
  <w:footnote w:id="8">
    <w:p w14:paraId="00C6022C" w14:textId="77777777" w:rsidR="00E177F3" w:rsidRPr="00E959FA" w:rsidRDefault="00E177F3">
      <w:pPr>
        <w:pStyle w:val="FootnoteText"/>
        <w:rPr>
          <w:lang w:val="en-GB"/>
        </w:rPr>
      </w:pPr>
      <w:r w:rsidRPr="00E959FA">
        <w:rPr>
          <w:rStyle w:val="FootnoteReference"/>
          <w:rFonts w:ascii="Times New Roman" w:hAnsi="Times New Roman" w:cs="Times New Roman"/>
        </w:rPr>
        <w:footnoteRef/>
      </w:r>
      <w:r w:rsidRPr="00E959FA">
        <w:rPr>
          <w:rFonts w:ascii="Times New Roman" w:hAnsi="Times New Roman" w:cs="Times New Roman"/>
        </w:rPr>
        <w:t xml:space="preserve"> Fair Work Ombudsman,</w:t>
      </w:r>
      <w:r>
        <w:rPr>
          <w:rFonts w:ascii="Times New Roman" w:hAnsi="Times New Roman" w:cs="Times New Roman"/>
          <w:i/>
        </w:rPr>
        <w:t xml:space="preserve"> ‘</w:t>
      </w:r>
      <w:r w:rsidRPr="00932FC9">
        <w:rPr>
          <w:rFonts w:ascii="Times New Roman" w:hAnsi="Times New Roman" w:cs="Times New Roman"/>
        </w:rPr>
        <w:t>Phoenix Activity: Sizing the Problem and Matching Solutions’</w:t>
      </w:r>
      <w:r>
        <w:rPr>
          <w:rFonts w:ascii="Times New Roman" w:hAnsi="Times New Roman" w:cs="Times New Roman"/>
          <w:i/>
        </w:rPr>
        <w:t xml:space="preserve"> </w:t>
      </w:r>
      <w:r>
        <w:rPr>
          <w:rFonts w:ascii="Times New Roman" w:hAnsi="Times New Roman" w:cs="Times New Roman"/>
        </w:rPr>
        <w:t xml:space="preserve">June 2012, </w:t>
      </w:r>
      <w:r w:rsidRPr="00E959FA">
        <w:rPr>
          <w:rFonts w:ascii="Times New Roman" w:hAnsi="Times New Roman" w:cs="Times New Roman"/>
          <w:lang w:val="en-GB"/>
        </w:rPr>
        <w:t>[4.5].</w:t>
      </w:r>
      <w:r>
        <w:rPr>
          <w:rFonts w:ascii="Times New Roman" w:hAnsi="Times New Roman" w:cs="Times New Roman"/>
          <w:lang w:val="en-GB"/>
        </w:rPr>
        <w:t xml:space="preserve"> Report prepared by </w:t>
      </w:r>
      <w:proofErr w:type="spellStart"/>
      <w:r>
        <w:rPr>
          <w:rFonts w:ascii="Times New Roman" w:hAnsi="Times New Roman" w:cs="Times New Roman"/>
          <w:lang w:val="en-GB"/>
        </w:rPr>
        <w:t>PriceWaterhouseCoopers</w:t>
      </w:r>
      <w:proofErr w:type="spellEnd"/>
      <w:r>
        <w:rPr>
          <w:rFonts w:ascii="Times New Roman" w:hAnsi="Times New Roman" w:cs="Times New Roman"/>
          <w:lang w:val="en-GB"/>
        </w:rPr>
        <w:t>.</w:t>
      </w:r>
    </w:p>
  </w:footnote>
  <w:footnote w:id="9">
    <w:p w14:paraId="474DFE31" w14:textId="77777777" w:rsidR="00E177F3" w:rsidRPr="006A30E1" w:rsidRDefault="00E177F3">
      <w:pPr>
        <w:pStyle w:val="FootnoteText"/>
        <w:rPr>
          <w:rFonts w:ascii="Times New Roman" w:hAnsi="Times New Roman" w:cs="Times New Roman"/>
        </w:rPr>
      </w:pPr>
      <w:r w:rsidRPr="006A30E1">
        <w:rPr>
          <w:rStyle w:val="FootnoteReference"/>
          <w:rFonts w:ascii="Times New Roman" w:hAnsi="Times New Roman" w:cs="Times New Roman"/>
        </w:rPr>
        <w:footnoteRef/>
      </w:r>
      <w:r w:rsidRPr="006A30E1">
        <w:rPr>
          <w:rFonts w:ascii="Times New Roman" w:hAnsi="Times New Roman" w:cs="Times New Roman"/>
        </w:rPr>
        <w:t xml:space="preserve"> </w:t>
      </w:r>
      <w:proofErr w:type="gramStart"/>
      <w:r w:rsidRPr="006A30E1">
        <w:rPr>
          <w:rFonts w:ascii="Times New Roman" w:hAnsi="Times New Roman" w:cs="Times New Roman"/>
        </w:rPr>
        <w:t>Criminal Code Act 1995 Schedule 1, [390.3].</w:t>
      </w:r>
      <w:proofErr w:type="gramEnd"/>
    </w:p>
  </w:footnote>
  <w:footnote w:id="10">
    <w:p w14:paraId="161D7E16" w14:textId="77777777" w:rsidR="00E177F3" w:rsidRPr="006A30E1" w:rsidRDefault="00E177F3" w:rsidP="009A4E21">
      <w:pPr>
        <w:pStyle w:val="FootnoteText"/>
        <w:rPr>
          <w:rFonts w:ascii="Times New Roman" w:hAnsi="Times New Roman" w:cs="Times New Roman"/>
        </w:rPr>
      </w:pPr>
      <w:r w:rsidRPr="006A30E1">
        <w:rPr>
          <w:rStyle w:val="FootnoteReference"/>
          <w:rFonts w:ascii="Times New Roman" w:hAnsi="Times New Roman" w:cs="Times New Roman"/>
        </w:rPr>
        <w:footnoteRef/>
      </w:r>
      <w:r w:rsidRPr="006A30E1">
        <w:rPr>
          <w:rFonts w:ascii="Times New Roman" w:hAnsi="Times New Roman" w:cs="Times New Roman"/>
        </w:rPr>
        <w:t xml:space="preserve"> Australian Government, </w:t>
      </w:r>
      <w:r w:rsidRPr="006A30E1">
        <w:rPr>
          <w:rFonts w:ascii="Times New Roman" w:hAnsi="Times New Roman" w:cs="Times New Roman"/>
          <w:i/>
          <w:iCs/>
        </w:rPr>
        <w:t>Productivity Commission, Business Set-up, Transfer and Closure Productivity Commission Issues Paper</w:t>
      </w:r>
      <w:r w:rsidRPr="006A30E1">
        <w:rPr>
          <w:rFonts w:ascii="Times New Roman" w:hAnsi="Times New Roman" w:cs="Times New Roman"/>
        </w:rPr>
        <w:t xml:space="preserve"> December 2014.</w:t>
      </w:r>
    </w:p>
  </w:footnote>
  <w:footnote w:id="11">
    <w:p w14:paraId="047AE099" w14:textId="77777777" w:rsidR="00E177F3" w:rsidRPr="006A30E1" w:rsidRDefault="00E177F3">
      <w:pPr>
        <w:pStyle w:val="FootnoteText"/>
        <w:rPr>
          <w:rFonts w:ascii="Times New Roman" w:hAnsi="Times New Roman" w:cs="Times New Roman"/>
        </w:rPr>
      </w:pPr>
      <w:r w:rsidRPr="006A30E1">
        <w:rPr>
          <w:rStyle w:val="FootnoteReference"/>
          <w:rFonts w:ascii="Times New Roman" w:hAnsi="Times New Roman" w:cs="Times New Roman"/>
        </w:rPr>
        <w:footnoteRef/>
      </w:r>
      <w:r w:rsidRPr="006A30E1">
        <w:rPr>
          <w:rFonts w:ascii="Times New Roman" w:hAnsi="Times New Roman" w:cs="Times New Roman"/>
        </w:rPr>
        <w:t xml:space="preserve"> </w:t>
      </w:r>
      <w:proofErr w:type="gramStart"/>
      <w:r w:rsidRPr="006A30E1">
        <w:rPr>
          <w:rFonts w:ascii="Times New Roman" w:hAnsi="Times New Roman" w:cs="Times New Roman"/>
        </w:rPr>
        <w:t>Ibid, 7.</w:t>
      </w:r>
      <w:proofErr w:type="gramEnd"/>
      <w:r w:rsidRPr="006A30E1">
        <w:rPr>
          <w:rFonts w:ascii="Times New Roman" w:hAnsi="Times New Roman" w:cs="Times New Roman"/>
        </w:rPr>
        <w:t xml:space="preserve"> </w:t>
      </w:r>
    </w:p>
  </w:footnote>
  <w:footnote w:id="12">
    <w:p w14:paraId="7906EF72" w14:textId="77777777" w:rsidR="00E177F3" w:rsidRPr="006A30E1" w:rsidRDefault="00E177F3" w:rsidP="00165CC9">
      <w:pPr>
        <w:pStyle w:val="FootnoteText"/>
        <w:rPr>
          <w:rFonts w:ascii="Times New Roman" w:hAnsi="Times New Roman" w:cs="Times New Roman"/>
          <w:lang w:val="en-GB"/>
        </w:rPr>
      </w:pPr>
      <w:r w:rsidRPr="006A30E1">
        <w:rPr>
          <w:rStyle w:val="FootnoteReference"/>
          <w:rFonts w:ascii="Times New Roman" w:hAnsi="Times New Roman" w:cs="Times New Roman"/>
        </w:rPr>
        <w:footnoteRef/>
      </w:r>
      <w:r w:rsidRPr="006A30E1">
        <w:rPr>
          <w:rFonts w:ascii="Times New Roman" w:hAnsi="Times New Roman" w:cs="Times New Roman"/>
        </w:rPr>
        <w:t xml:space="preserve"> </w:t>
      </w:r>
      <w:proofErr w:type="gramStart"/>
      <w:r w:rsidRPr="006A30E1">
        <w:rPr>
          <w:rFonts w:ascii="Times New Roman" w:hAnsi="Times New Roman" w:cs="Times New Roman"/>
        </w:rPr>
        <w:t>ASIC Form 484</w:t>
      </w:r>
      <w:r>
        <w:rPr>
          <w:rFonts w:ascii="Times New Roman" w:hAnsi="Times New Roman" w:cs="Times New Roman"/>
        </w:rPr>
        <w:t>.</w:t>
      </w:r>
      <w:proofErr w:type="gramEnd"/>
    </w:p>
  </w:footnote>
  <w:footnote w:id="13">
    <w:p w14:paraId="1A1CEC84" w14:textId="77777777" w:rsidR="00E177F3" w:rsidRPr="006A30E1" w:rsidRDefault="00E177F3" w:rsidP="00994280">
      <w:pPr>
        <w:pStyle w:val="FootnoteText"/>
        <w:rPr>
          <w:rFonts w:ascii="Times New Roman" w:hAnsi="Times New Roman" w:cs="Times New Roman"/>
        </w:rPr>
      </w:pPr>
      <w:r w:rsidRPr="006A30E1">
        <w:rPr>
          <w:rStyle w:val="FootnoteReference"/>
          <w:rFonts w:ascii="Times New Roman" w:hAnsi="Times New Roman" w:cs="Times New Roman"/>
        </w:rPr>
        <w:footnoteRef/>
      </w:r>
      <w:r w:rsidRPr="006A30E1">
        <w:rPr>
          <w:rFonts w:ascii="Times New Roman" w:hAnsi="Times New Roman" w:cs="Times New Roman"/>
        </w:rPr>
        <w:t xml:space="preserve"> </w:t>
      </w:r>
      <w:r>
        <w:rPr>
          <w:rFonts w:ascii="Times New Roman" w:hAnsi="Times New Roman" w:cs="Times New Roman"/>
          <w:i/>
        </w:rPr>
        <w:t>Corporations Act s</w:t>
      </w:r>
      <w:r w:rsidRPr="006A30E1">
        <w:rPr>
          <w:rFonts w:ascii="Times New Roman" w:hAnsi="Times New Roman" w:cs="Times New Roman"/>
        </w:rPr>
        <w:t xml:space="preserve"> 1308</w:t>
      </w:r>
      <w:r>
        <w:rPr>
          <w:rFonts w:ascii="Times New Roman" w:hAnsi="Times New Roman" w:cs="Times New Roman"/>
        </w:rPr>
        <w:t>(2).</w:t>
      </w:r>
    </w:p>
  </w:footnote>
  <w:footnote w:id="14">
    <w:p w14:paraId="62AA406B" w14:textId="77777777" w:rsidR="00E177F3" w:rsidRPr="00707380" w:rsidRDefault="00E177F3">
      <w:pPr>
        <w:pStyle w:val="FootnoteText"/>
        <w:rPr>
          <w:rFonts w:ascii="Times New Roman" w:hAnsi="Times New Roman" w:cs="Times New Roman"/>
          <w:lang w:val="en-GB"/>
        </w:rPr>
      </w:pPr>
      <w:r w:rsidRPr="00707380">
        <w:rPr>
          <w:rStyle w:val="FootnoteReference"/>
          <w:rFonts w:ascii="Times New Roman" w:hAnsi="Times New Roman" w:cs="Times New Roman"/>
        </w:rPr>
        <w:footnoteRef/>
      </w:r>
      <w:r w:rsidRPr="00707380">
        <w:rPr>
          <w:rFonts w:ascii="Times New Roman" w:hAnsi="Times New Roman" w:cs="Times New Roman"/>
        </w:rPr>
        <w:t xml:space="preserve"> </w:t>
      </w:r>
      <w:proofErr w:type="gramStart"/>
      <w:r w:rsidRPr="00707380">
        <w:rPr>
          <w:rFonts w:ascii="Times New Roman" w:hAnsi="Times New Roman" w:cs="Times New Roman"/>
        </w:rPr>
        <w:t>ASIC Form 507.</w:t>
      </w:r>
      <w:proofErr w:type="gramEnd"/>
    </w:p>
  </w:footnote>
  <w:footnote w:id="15">
    <w:p w14:paraId="3876391D" w14:textId="77777777" w:rsidR="00E177F3" w:rsidRPr="00707380" w:rsidRDefault="00E177F3">
      <w:pPr>
        <w:pStyle w:val="FootnoteText"/>
        <w:rPr>
          <w:rFonts w:ascii="Times New Roman" w:hAnsi="Times New Roman" w:cs="Times New Roman"/>
          <w:lang w:val="en-GB"/>
        </w:rPr>
      </w:pPr>
      <w:r w:rsidRPr="00707380">
        <w:rPr>
          <w:rStyle w:val="FootnoteReference"/>
          <w:rFonts w:ascii="Times New Roman" w:hAnsi="Times New Roman" w:cs="Times New Roman"/>
        </w:rPr>
        <w:footnoteRef/>
      </w:r>
      <w:r w:rsidRPr="00707380">
        <w:rPr>
          <w:rFonts w:ascii="Times New Roman" w:hAnsi="Times New Roman" w:cs="Times New Roman"/>
        </w:rPr>
        <w:t xml:space="preserve"> </w:t>
      </w:r>
      <w:proofErr w:type="gramStart"/>
      <w:r w:rsidRPr="00707380">
        <w:rPr>
          <w:rFonts w:ascii="Times New Roman" w:hAnsi="Times New Roman" w:cs="Times New Roman"/>
          <w:lang w:val="en-GB"/>
        </w:rPr>
        <w:t>ASIC Regulatory Guide 16.</w:t>
      </w:r>
      <w:proofErr w:type="gramEnd"/>
      <w:r w:rsidRPr="00707380">
        <w:rPr>
          <w:rFonts w:ascii="Times New Roman" w:hAnsi="Times New Roman" w:cs="Times New Roman"/>
          <w:lang w:val="en-GB"/>
        </w:rPr>
        <w:t xml:space="preserve"> The form is EX01 Schedule B of Regulatory Guide 16 - Report to ASIC under s422, s438D or s533 of the Corporations Act 2001 or for statistical purposes.</w:t>
      </w:r>
    </w:p>
  </w:footnote>
  <w:footnote w:id="16">
    <w:p w14:paraId="2A79EB1F" w14:textId="77777777" w:rsidR="00E177F3" w:rsidRPr="00707380" w:rsidRDefault="00E177F3">
      <w:pPr>
        <w:pStyle w:val="FootnoteText"/>
        <w:rPr>
          <w:lang w:val="en-GB"/>
        </w:rPr>
      </w:pPr>
      <w:r w:rsidRPr="00707380">
        <w:rPr>
          <w:rStyle w:val="FootnoteReference"/>
          <w:rFonts w:ascii="Times New Roman" w:hAnsi="Times New Roman" w:cs="Times New Roman"/>
        </w:rPr>
        <w:footnoteRef/>
      </w:r>
      <w:r w:rsidRPr="00707380">
        <w:rPr>
          <w:rFonts w:ascii="Times New Roman" w:hAnsi="Times New Roman" w:cs="Times New Roman"/>
        </w:rPr>
        <w:t xml:space="preserve"> We make no recommendations at this stage on the issue of whether companies should be required to incorporate with, or retain, a certain amount of capital to protect creditors. We also make no comment on a safe harbour </w:t>
      </w:r>
      <w:r>
        <w:rPr>
          <w:rFonts w:ascii="Times New Roman" w:hAnsi="Times New Roman" w:cs="Times New Roman"/>
        </w:rPr>
        <w:t xml:space="preserve">against insolvent trading liability </w:t>
      </w:r>
      <w:r w:rsidRPr="00707380">
        <w:rPr>
          <w:rFonts w:ascii="Times New Roman" w:hAnsi="Times New Roman" w:cs="Times New Roman"/>
        </w:rPr>
        <w:t>for directors of companies seeking to restructure.</w:t>
      </w:r>
    </w:p>
  </w:footnote>
  <w:footnote w:id="17">
    <w:p w14:paraId="6733BC7B" w14:textId="36D31CE3" w:rsidR="00D62446" w:rsidRPr="00D62446" w:rsidRDefault="00D62446">
      <w:pPr>
        <w:pStyle w:val="FootnoteText"/>
        <w:rPr>
          <w:rFonts w:ascii="Times New Roman" w:hAnsi="Times New Roman" w:cs="Times New Roman"/>
          <w:lang w:val="en-GB"/>
        </w:rPr>
      </w:pPr>
      <w:r w:rsidRPr="00D62446">
        <w:rPr>
          <w:rStyle w:val="FootnoteReference"/>
          <w:rFonts w:ascii="Times New Roman" w:hAnsi="Times New Roman" w:cs="Times New Roman"/>
        </w:rPr>
        <w:footnoteRef/>
      </w:r>
      <w:r w:rsidRPr="00D62446">
        <w:rPr>
          <w:rFonts w:ascii="Times New Roman" w:hAnsi="Times New Roman" w:cs="Times New Roman"/>
        </w:rPr>
        <w:t xml:space="preserve"> </w:t>
      </w:r>
      <w:r w:rsidRPr="00D62446">
        <w:rPr>
          <w:rFonts w:ascii="Times New Roman" w:hAnsi="Times New Roman" w:cs="Times New Roman"/>
          <w:lang w:val="en-GB"/>
        </w:rPr>
        <w:t>We make no recommendation at this stage on liability of holding companies in possible phoenix circumstances.</w:t>
      </w:r>
    </w:p>
  </w:footnote>
  <w:footnote w:id="18">
    <w:p w14:paraId="223DD915" w14:textId="77777777" w:rsidR="00E177F3" w:rsidRPr="00D62446" w:rsidRDefault="00E177F3">
      <w:pPr>
        <w:pStyle w:val="FootnoteText"/>
        <w:rPr>
          <w:rFonts w:ascii="Times New Roman" w:hAnsi="Times New Roman" w:cs="Times New Roman"/>
          <w:lang w:val="en-GB"/>
        </w:rPr>
      </w:pPr>
      <w:r w:rsidRPr="00D62446">
        <w:rPr>
          <w:rStyle w:val="FootnoteReference"/>
          <w:rFonts w:ascii="Times New Roman" w:hAnsi="Times New Roman" w:cs="Times New Roman"/>
        </w:rPr>
        <w:footnoteRef/>
      </w:r>
      <w:r w:rsidRPr="00D62446">
        <w:rPr>
          <w:rFonts w:ascii="Times New Roman" w:hAnsi="Times New Roman" w:cs="Times New Roman"/>
        </w:rPr>
        <w:t xml:space="preserve"> </w:t>
      </w:r>
      <w:r w:rsidRPr="00D62446">
        <w:rPr>
          <w:rFonts w:ascii="Times New Roman" w:hAnsi="Times New Roman" w:cs="Times New Roman"/>
          <w:lang w:val="en-GB"/>
        </w:rPr>
        <w:t xml:space="preserve">See Helen Anderson, </w:t>
      </w:r>
      <w:r w:rsidRPr="00D62446">
        <w:rPr>
          <w:rFonts w:ascii="Times New Roman" w:hAnsi="Times New Roman" w:cs="Times New Roman"/>
          <w:i/>
          <w:lang w:val="en-GB"/>
        </w:rPr>
        <w:t>The Protection of Employee Entitlements in Insolvency: An Australian Perspective</w:t>
      </w:r>
      <w:r w:rsidRPr="00D62446">
        <w:rPr>
          <w:rFonts w:ascii="Times New Roman" w:hAnsi="Times New Roman" w:cs="Times New Roman"/>
          <w:lang w:val="en-GB"/>
        </w:rPr>
        <w:t>, 2013.</w:t>
      </w:r>
    </w:p>
  </w:footnote>
  <w:footnote w:id="19">
    <w:p w14:paraId="39BDC5C8" w14:textId="77777777" w:rsidR="00E177F3" w:rsidRPr="00D62446" w:rsidRDefault="00E177F3" w:rsidP="002B21D5">
      <w:pPr>
        <w:pStyle w:val="FootnoteText"/>
        <w:rPr>
          <w:rFonts w:ascii="Times New Roman" w:hAnsi="Times New Roman" w:cs="Times New Roman"/>
          <w:lang w:val="en-GB"/>
        </w:rPr>
      </w:pPr>
      <w:r w:rsidRPr="00D62446">
        <w:rPr>
          <w:rStyle w:val="FootnoteReference"/>
          <w:rFonts w:ascii="Times New Roman" w:hAnsi="Times New Roman" w:cs="Times New Roman"/>
        </w:rPr>
        <w:footnoteRef/>
      </w:r>
      <w:r w:rsidRPr="00D62446">
        <w:rPr>
          <w:rFonts w:ascii="Times New Roman" w:hAnsi="Times New Roman" w:cs="Times New Roman"/>
        </w:rPr>
        <w:t xml:space="preserve"> </w:t>
      </w:r>
      <w:proofErr w:type="gramStart"/>
      <w:r w:rsidRPr="00D62446">
        <w:rPr>
          <w:rFonts w:ascii="Times New Roman" w:hAnsi="Times New Roman" w:cs="Times New Roman"/>
          <w:lang w:val="en-GB"/>
        </w:rPr>
        <w:t xml:space="preserve">Ibid, </w:t>
      </w:r>
      <w:proofErr w:type="spellStart"/>
      <w:r w:rsidRPr="00D62446">
        <w:rPr>
          <w:rFonts w:ascii="Times New Roman" w:hAnsi="Times New Roman" w:cs="Times New Roman"/>
          <w:lang w:val="en-GB"/>
        </w:rPr>
        <w:t>ch</w:t>
      </w:r>
      <w:proofErr w:type="spellEnd"/>
      <w:r w:rsidRPr="00D62446">
        <w:rPr>
          <w:rFonts w:ascii="Times New Roman" w:hAnsi="Times New Roman" w:cs="Times New Roman"/>
          <w:lang w:val="en-GB"/>
        </w:rPr>
        <w:t xml:space="preserve"> 6.</w:t>
      </w:r>
      <w:proofErr w:type="gramEnd"/>
    </w:p>
  </w:footnote>
  <w:footnote w:id="20">
    <w:p w14:paraId="40596A9D" w14:textId="77777777" w:rsidR="00E177F3" w:rsidRPr="002B21D5" w:rsidRDefault="00E177F3">
      <w:pPr>
        <w:pStyle w:val="FootnoteText"/>
        <w:rPr>
          <w:lang w:val="en-GB"/>
        </w:rPr>
      </w:pPr>
      <w:r w:rsidRPr="00D62446">
        <w:rPr>
          <w:rStyle w:val="FootnoteReference"/>
          <w:rFonts w:ascii="Times New Roman" w:hAnsi="Times New Roman" w:cs="Times New Roman"/>
        </w:rPr>
        <w:footnoteRef/>
      </w:r>
      <w:r w:rsidRPr="00D62446">
        <w:rPr>
          <w:rFonts w:ascii="Times New Roman" w:hAnsi="Times New Roman" w:cs="Times New Roman"/>
        </w:rPr>
        <w:t xml:space="preserve"> </w:t>
      </w:r>
      <w:proofErr w:type="gramStart"/>
      <w:r w:rsidRPr="00D62446">
        <w:rPr>
          <w:rFonts w:ascii="Times New Roman" w:hAnsi="Times New Roman" w:cs="Times New Roman"/>
          <w:lang w:val="en-GB"/>
        </w:rPr>
        <w:t xml:space="preserve">Ibid, </w:t>
      </w:r>
      <w:proofErr w:type="spellStart"/>
      <w:r w:rsidRPr="00D62446">
        <w:rPr>
          <w:rFonts w:ascii="Times New Roman" w:hAnsi="Times New Roman" w:cs="Times New Roman"/>
          <w:lang w:val="en-GB"/>
        </w:rPr>
        <w:t>ch</w:t>
      </w:r>
      <w:proofErr w:type="spellEnd"/>
      <w:r w:rsidRPr="00D62446">
        <w:rPr>
          <w:rFonts w:ascii="Times New Roman" w:hAnsi="Times New Roman" w:cs="Times New Roman"/>
          <w:lang w:val="en-GB"/>
        </w:rPr>
        <w:t xml:space="preserve"> 9.</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21045522"/>
    <w:multiLevelType w:val="hybridMultilevel"/>
    <w:tmpl w:val="9CA6196A"/>
    <w:lvl w:ilvl="0" w:tplc="34DEB9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653"/>
    <w:rsid w:val="00004FA4"/>
    <w:rsid w:val="00035A96"/>
    <w:rsid w:val="000474D3"/>
    <w:rsid w:val="00072314"/>
    <w:rsid w:val="00096E4C"/>
    <w:rsid w:val="000E1270"/>
    <w:rsid w:val="00111D55"/>
    <w:rsid w:val="001323DB"/>
    <w:rsid w:val="001355E4"/>
    <w:rsid w:val="00156B8C"/>
    <w:rsid w:val="00165CC9"/>
    <w:rsid w:val="00187E33"/>
    <w:rsid w:val="001A03B5"/>
    <w:rsid w:val="001B1D54"/>
    <w:rsid w:val="001C2798"/>
    <w:rsid w:val="001C3653"/>
    <w:rsid w:val="00223FE5"/>
    <w:rsid w:val="0022536D"/>
    <w:rsid w:val="002711E1"/>
    <w:rsid w:val="002A75FA"/>
    <w:rsid w:val="002B21D5"/>
    <w:rsid w:val="002C38B3"/>
    <w:rsid w:val="00314638"/>
    <w:rsid w:val="00335665"/>
    <w:rsid w:val="003637DA"/>
    <w:rsid w:val="00375731"/>
    <w:rsid w:val="003E45F4"/>
    <w:rsid w:val="00492986"/>
    <w:rsid w:val="004968FC"/>
    <w:rsid w:val="004B114E"/>
    <w:rsid w:val="004B1261"/>
    <w:rsid w:val="004B736B"/>
    <w:rsid w:val="0053258A"/>
    <w:rsid w:val="00545091"/>
    <w:rsid w:val="00574EFE"/>
    <w:rsid w:val="00592B96"/>
    <w:rsid w:val="005952D2"/>
    <w:rsid w:val="005C12CF"/>
    <w:rsid w:val="005F5010"/>
    <w:rsid w:val="00607687"/>
    <w:rsid w:val="00610AC7"/>
    <w:rsid w:val="00670785"/>
    <w:rsid w:val="00671ED9"/>
    <w:rsid w:val="006766FB"/>
    <w:rsid w:val="00686DB8"/>
    <w:rsid w:val="0069202D"/>
    <w:rsid w:val="006A30E1"/>
    <w:rsid w:val="006B6634"/>
    <w:rsid w:val="006E3149"/>
    <w:rsid w:val="006E5C31"/>
    <w:rsid w:val="0070346D"/>
    <w:rsid w:val="00707380"/>
    <w:rsid w:val="007126A0"/>
    <w:rsid w:val="0075304C"/>
    <w:rsid w:val="007610A6"/>
    <w:rsid w:val="0076719F"/>
    <w:rsid w:val="00775C0E"/>
    <w:rsid w:val="00786769"/>
    <w:rsid w:val="007A0E44"/>
    <w:rsid w:val="007B1B3A"/>
    <w:rsid w:val="007D6C73"/>
    <w:rsid w:val="007E65FE"/>
    <w:rsid w:val="00806377"/>
    <w:rsid w:val="00841B93"/>
    <w:rsid w:val="00861DD0"/>
    <w:rsid w:val="008633F3"/>
    <w:rsid w:val="008B3366"/>
    <w:rsid w:val="008C4F80"/>
    <w:rsid w:val="008D1316"/>
    <w:rsid w:val="008E3B5E"/>
    <w:rsid w:val="008E6726"/>
    <w:rsid w:val="00932FC9"/>
    <w:rsid w:val="0093476E"/>
    <w:rsid w:val="009441ED"/>
    <w:rsid w:val="00957590"/>
    <w:rsid w:val="00994280"/>
    <w:rsid w:val="009A4E21"/>
    <w:rsid w:val="009A57A4"/>
    <w:rsid w:val="009D6C7D"/>
    <w:rsid w:val="00A10AEE"/>
    <w:rsid w:val="00A12962"/>
    <w:rsid w:val="00A20411"/>
    <w:rsid w:val="00A36BC9"/>
    <w:rsid w:val="00A50CE6"/>
    <w:rsid w:val="00A5608B"/>
    <w:rsid w:val="00AA56F4"/>
    <w:rsid w:val="00AA7ACD"/>
    <w:rsid w:val="00AB3C26"/>
    <w:rsid w:val="00AE59FE"/>
    <w:rsid w:val="00AF3DD9"/>
    <w:rsid w:val="00BA72B4"/>
    <w:rsid w:val="00BC7FB1"/>
    <w:rsid w:val="00BF17BD"/>
    <w:rsid w:val="00C15282"/>
    <w:rsid w:val="00C21C21"/>
    <w:rsid w:val="00C2570C"/>
    <w:rsid w:val="00C320B7"/>
    <w:rsid w:val="00C36144"/>
    <w:rsid w:val="00C52249"/>
    <w:rsid w:val="00C86D47"/>
    <w:rsid w:val="00CF147C"/>
    <w:rsid w:val="00D17E85"/>
    <w:rsid w:val="00D200B9"/>
    <w:rsid w:val="00D25489"/>
    <w:rsid w:val="00D36869"/>
    <w:rsid w:val="00D47D8E"/>
    <w:rsid w:val="00D53575"/>
    <w:rsid w:val="00D62446"/>
    <w:rsid w:val="00D86163"/>
    <w:rsid w:val="00D90389"/>
    <w:rsid w:val="00D91CAC"/>
    <w:rsid w:val="00DF660C"/>
    <w:rsid w:val="00E177F3"/>
    <w:rsid w:val="00E22F75"/>
    <w:rsid w:val="00E5342A"/>
    <w:rsid w:val="00E63FAB"/>
    <w:rsid w:val="00E65E02"/>
    <w:rsid w:val="00E675FA"/>
    <w:rsid w:val="00E813C8"/>
    <w:rsid w:val="00E959FA"/>
    <w:rsid w:val="00EA1ADA"/>
    <w:rsid w:val="00EB5038"/>
    <w:rsid w:val="00EC06C7"/>
    <w:rsid w:val="00EC7C57"/>
    <w:rsid w:val="00EF56DE"/>
    <w:rsid w:val="00F2255E"/>
    <w:rsid w:val="00F25A60"/>
    <w:rsid w:val="00F5169F"/>
    <w:rsid w:val="00F92D73"/>
    <w:rsid w:val="00FF3668"/>
    <w:rsid w:val="00FF751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A62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BodyText"/>
    <w:link w:val="Heading2Char"/>
    <w:qFormat/>
    <w:rsid w:val="00335665"/>
    <w:pPr>
      <w:keepNext/>
      <w:spacing w:before="600" w:after="0" w:line="400" w:lineRule="exact"/>
      <w:ind w:left="907" w:hanging="907"/>
      <w:outlineLvl w:val="1"/>
    </w:pPr>
    <w:rPr>
      <w:rFonts w:ascii="Arial" w:eastAsia="Times New Roman" w:hAnsi="Arial" w:cs="Times New Roman"/>
      <w:b/>
      <w:sz w:val="32"/>
      <w:szCs w:val="20"/>
      <w:lang w:eastAsia="en-AU"/>
    </w:rPr>
  </w:style>
  <w:style w:type="paragraph" w:styleId="Heading3">
    <w:name w:val="heading 3"/>
    <w:basedOn w:val="Heading2"/>
    <w:next w:val="BodyText"/>
    <w:link w:val="Heading3Char"/>
    <w:qFormat/>
    <w:rsid w:val="00335665"/>
    <w:pPr>
      <w:spacing w:before="560" w:line="320" w:lineRule="exact"/>
      <w:ind w:left="0" w:firstLine="0"/>
      <w:outlineLvl w:val="2"/>
    </w:pPr>
    <w:rPr>
      <w:sz w:val="26"/>
    </w:rPr>
  </w:style>
  <w:style w:type="paragraph" w:styleId="Heading4">
    <w:name w:val="heading 4"/>
    <w:basedOn w:val="Normal"/>
    <w:next w:val="Normal"/>
    <w:link w:val="Heading4Char"/>
    <w:uiPriority w:val="9"/>
    <w:semiHidden/>
    <w:unhideWhenUsed/>
    <w:qFormat/>
    <w:rsid w:val="0033566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335665"/>
    <w:pPr>
      <w:spacing w:before="240" w:after="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rsid w:val="00335665"/>
    <w:rPr>
      <w:rFonts w:ascii="Times New Roman" w:eastAsia="Times New Roman" w:hAnsi="Times New Roman" w:cs="Times New Roman"/>
      <w:sz w:val="24"/>
      <w:szCs w:val="20"/>
      <w:lang w:eastAsia="en-AU"/>
    </w:rPr>
  </w:style>
  <w:style w:type="character" w:customStyle="1" w:styleId="Heading2Char">
    <w:name w:val="Heading 2 Char"/>
    <w:basedOn w:val="DefaultParagraphFont"/>
    <w:link w:val="Heading2"/>
    <w:rsid w:val="00335665"/>
    <w:rPr>
      <w:rFonts w:ascii="Arial" w:eastAsia="Times New Roman" w:hAnsi="Arial" w:cs="Times New Roman"/>
      <w:b/>
      <w:sz w:val="32"/>
      <w:szCs w:val="20"/>
      <w:lang w:eastAsia="en-AU"/>
    </w:rPr>
  </w:style>
  <w:style w:type="character" w:customStyle="1" w:styleId="Heading3Char">
    <w:name w:val="Heading 3 Char"/>
    <w:basedOn w:val="DefaultParagraphFont"/>
    <w:link w:val="Heading3"/>
    <w:rsid w:val="00335665"/>
    <w:rPr>
      <w:rFonts w:ascii="Arial" w:eastAsia="Times New Roman" w:hAnsi="Arial" w:cs="Times New Roman"/>
      <w:b/>
      <w:sz w:val="26"/>
      <w:szCs w:val="20"/>
      <w:lang w:eastAsia="en-AU"/>
    </w:rPr>
  </w:style>
  <w:style w:type="paragraph" w:styleId="ListNumber">
    <w:name w:val="List Number"/>
    <w:basedOn w:val="BodyText"/>
    <w:rsid w:val="00335665"/>
    <w:pPr>
      <w:numPr>
        <w:numId w:val="1"/>
      </w:numPr>
      <w:spacing w:before="120"/>
    </w:pPr>
  </w:style>
  <w:style w:type="paragraph" w:styleId="ListNumber2">
    <w:name w:val="List Number 2"/>
    <w:basedOn w:val="ListNumber"/>
    <w:rsid w:val="00335665"/>
    <w:pPr>
      <w:numPr>
        <w:ilvl w:val="1"/>
      </w:numPr>
    </w:pPr>
  </w:style>
  <w:style w:type="paragraph" w:styleId="ListNumber3">
    <w:name w:val="List Number 3"/>
    <w:basedOn w:val="ListNumber2"/>
    <w:rsid w:val="00335665"/>
    <w:pPr>
      <w:numPr>
        <w:ilvl w:val="2"/>
      </w:numPr>
    </w:pPr>
  </w:style>
  <w:style w:type="paragraph" w:styleId="ListBullet">
    <w:name w:val="List Bullet"/>
    <w:basedOn w:val="BodyText"/>
    <w:rsid w:val="00335665"/>
    <w:pPr>
      <w:numPr>
        <w:numId w:val="2"/>
      </w:numPr>
      <w:spacing w:before="120"/>
    </w:pPr>
  </w:style>
  <w:style w:type="character" w:customStyle="1" w:styleId="Heading4Char">
    <w:name w:val="Heading 4 Char"/>
    <w:basedOn w:val="DefaultParagraphFont"/>
    <w:link w:val="Heading4"/>
    <w:uiPriority w:val="9"/>
    <w:semiHidden/>
    <w:rsid w:val="00335665"/>
    <w:rPr>
      <w:rFonts w:asciiTheme="majorHAnsi" w:eastAsiaTheme="majorEastAsia" w:hAnsiTheme="majorHAnsi" w:cstheme="majorBidi"/>
      <w:b/>
      <w:bCs/>
      <w:i/>
      <w:iCs/>
      <w:color w:val="4F81BD" w:themeColor="accent1"/>
    </w:rPr>
  </w:style>
  <w:style w:type="paragraph" w:styleId="FootnoteText">
    <w:name w:val="footnote text"/>
    <w:basedOn w:val="Normal"/>
    <w:link w:val="FootnoteTextChar"/>
    <w:uiPriority w:val="99"/>
    <w:semiHidden/>
    <w:unhideWhenUsed/>
    <w:rsid w:val="005952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52D2"/>
    <w:rPr>
      <w:sz w:val="20"/>
      <w:szCs w:val="20"/>
    </w:rPr>
  </w:style>
  <w:style w:type="character" w:styleId="FootnoteReference">
    <w:name w:val="footnote reference"/>
    <w:basedOn w:val="DefaultParagraphFont"/>
    <w:uiPriority w:val="99"/>
    <w:semiHidden/>
    <w:unhideWhenUsed/>
    <w:rsid w:val="005952D2"/>
    <w:rPr>
      <w:vertAlign w:val="superscript"/>
    </w:rPr>
  </w:style>
  <w:style w:type="character" w:styleId="Hyperlink">
    <w:name w:val="Hyperlink"/>
    <w:basedOn w:val="DefaultParagraphFont"/>
    <w:uiPriority w:val="99"/>
    <w:unhideWhenUsed/>
    <w:rsid w:val="00C86D47"/>
    <w:rPr>
      <w:color w:val="0000FF" w:themeColor="hyperlink"/>
      <w:u w:val="single"/>
    </w:rPr>
  </w:style>
  <w:style w:type="paragraph" w:styleId="Header">
    <w:name w:val="header"/>
    <w:basedOn w:val="Normal"/>
    <w:link w:val="HeaderChar"/>
    <w:uiPriority w:val="99"/>
    <w:unhideWhenUsed/>
    <w:rsid w:val="00574E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4EFE"/>
  </w:style>
  <w:style w:type="paragraph" w:styleId="Footer">
    <w:name w:val="footer"/>
    <w:basedOn w:val="Normal"/>
    <w:link w:val="FooterChar"/>
    <w:uiPriority w:val="99"/>
    <w:unhideWhenUsed/>
    <w:rsid w:val="00574E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4EFE"/>
  </w:style>
  <w:style w:type="paragraph" w:styleId="BalloonText">
    <w:name w:val="Balloon Text"/>
    <w:basedOn w:val="Normal"/>
    <w:link w:val="BalloonTextChar"/>
    <w:uiPriority w:val="99"/>
    <w:semiHidden/>
    <w:unhideWhenUsed/>
    <w:rsid w:val="005325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58A"/>
    <w:rPr>
      <w:rFonts w:ascii="Tahoma" w:hAnsi="Tahoma" w:cs="Tahoma"/>
      <w:sz w:val="16"/>
      <w:szCs w:val="16"/>
    </w:rPr>
  </w:style>
  <w:style w:type="character" w:styleId="CommentReference">
    <w:name w:val="annotation reference"/>
    <w:basedOn w:val="DefaultParagraphFont"/>
    <w:uiPriority w:val="99"/>
    <w:semiHidden/>
    <w:unhideWhenUsed/>
    <w:rsid w:val="0053258A"/>
    <w:rPr>
      <w:sz w:val="16"/>
      <w:szCs w:val="16"/>
    </w:rPr>
  </w:style>
  <w:style w:type="paragraph" w:styleId="CommentText">
    <w:name w:val="annotation text"/>
    <w:basedOn w:val="Normal"/>
    <w:link w:val="CommentTextChar"/>
    <w:uiPriority w:val="99"/>
    <w:semiHidden/>
    <w:unhideWhenUsed/>
    <w:rsid w:val="0053258A"/>
    <w:pPr>
      <w:spacing w:line="240" w:lineRule="auto"/>
    </w:pPr>
    <w:rPr>
      <w:sz w:val="20"/>
      <w:szCs w:val="20"/>
    </w:rPr>
  </w:style>
  <w:style w:type="character" w:customStyle="1" w:styleId="CommentTextChar">
    <w:name w:val="Comment Text Char"/>
    <w:basedOn w:val="DefaultParagraphFont"/>
    <w:link w:val="CommentText"/>
    <w:uiPriority w:val="99"/>
    <w:semiHidden/>
    <w:rsid w:val="0053258A"/>
    <w:rPr>
      <w:sz w:val="20"/>
      <w:szCs w:val="20"/>
    </w:rPr>
  </w:style>
  <w:style w:type="paragraph" w:styleId="CommentSubject">
    <w:name w:val="annotation subject"/>
    <w:basedOn w:val="CommentText"/>
    <w:next w:val="CommentText"/>
    <w:link w:val="CommentSubjectChar"/>
    <w:uiPriority w:val="99"/>
    <w:semiHidden/>
    <w:unhideWhenUsed/>
    <w:rsid w:val="0053258A"/>
    <w:rPr>
      <w:b/>
      <w:bCs/>
    </w:rPr>
  </w:style>
  <w:style w:type="character" w:customStyle="1" w:styleId="CommentSubjectChar">
    <w:name w:val="Comment Subject Char"/>
    <w:basedOn w:val="CommentTextChar"/>
    <w:link w:val="CommentSubject"/>
    <w:uiPriority w:val="99"/>
    <w:semiHidden/>
    <w:rsid w:val="0053258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BodyText"/>
    <w:link w:val="Heading2Char"/>
    <w:qFormat/>
    <w:rsid w:val="00335665"/>
    <w:pPr>
      <w:keepNext/>
      <w:spacing w:before="600" w:after="0" w:line="400" w:lineRule="exact"/>
      <w:ind w:left="907" w:hanging="907"/>
      <w:outlineLvl w:val="1"/>
    </w:pPr>
    <w:rPr>
      <w:rFonts w:ascii="Arial" w:eastAsia="Times New Roman" w:hAnsi="Arial" w:cs="Times New Roman"/>
      <w:b/>
      <w:sz w:val="32"/>
      <w:szCs w:val="20"/>
      <w:lang w:eastAsia="en-AU"/>
    </w:rPr>
  </w:style>
  <w:style w:type="paragraph" w:styleId="Heading3">
    <w:name w:val="heading 3"/>
    <w:basedOn w:val="Heading2"/>
    <w:next w:val="BodyText"/>
    <w:link w:val="Heading3Char"/>
    <w:qFormat/>
    <w:rsid w:val="00335665"/>
    <w:pPr>
      <w:spacing w:before="560" w:line="320" w:lineRule="exact"/>
      <w:ind w:left="0" w:firstLine="0"/>
      <w:outlineLvl w:val="2"/>
    </w:pPr>
    <w:rPr>
      <w:sz w:val="26"/>
    </w:rPr>
  </w:style>
  <w:style w:type="paragraph" w:styleId="Heading4">
    <w:name w:val="heading 4"/>
    <w:basedOn w:val="Normal"/>
    <w:next w:val="Normal"/>
    <w:link w:val="Heading4Char"/>
    <w:uiPriority w:val="9"/>
    <w:semiHidden/>
    <w:unhideWhenUsed/>
    <w:qFormat/>
    <w:rsid w:val="0033566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335665"/>
    <w:pPr>
      <w:spacing w:before="240" w:after="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rsid w:val="00335665"/>
    <w:rPr>
      <w:rFonts w:ascii="Times New Roman" w:eastAsia="Times New Roman" w:hAnsi="Times New Roman" w:cs="Times New Roman"/>
      <w:sz w:val="24"/>
      <w:szCs w:val="20"/>
      <w:lang w:eastAsia="en-AU"/>
    </w:rPr>
  </w:style>
  <w:style w:type="character" w:customStyle="1" w:styleId="Heading2Char">
    <w:name w:val="Heading 2 Char"/>
    <w:basedOn w:val="DefaultParagraphFont"/>
    <w:link w:val="Heading2"/>
    <w:rsid w:val="00335665"/>
    <w:rPr>
      <w:rFonts w:ascii="Arial" w:eastAsia="Times New Roman" w:hAnsi="Arial" w:cs="Times New Roman"/>
      <w:b/>
      <w:sz w:val="32"/>
      <w:szCs w:val="20"/>
      <w:lang w:eastAsia="en-AU"/>
    </w:rPr>
  </w:style>
  <w:style w:type="character" w:customStyle="1" w:styleId="Heading3Char">
    <w:name w:val="Heading 3 Char"/>
    <w:basedOn w:val="DefaultParagraphFont"/>
    <w:link w:val="Heading3"/>
    <w:rsid w:val="00335665"/>
    <w:rPr>
      <w:rFonts w:ascii="Arial" w:eastAsia="Times New Roman" w:hAnsi="Arial" w:cs="Times New Roman"/>
      <w:b/>
      <w:sz w:val="26"/>
      <w:szCs w:val="20"/>
      <w:lang w:eastAsia="en-AU"/>
    </w:rPr>
  </w:style>
  <w:style w:type="paragraph" w:styleId="ListNumber">
    <w:name w:val="List Number"/>
    <w:basedOn w:val="BodyText"/>
    <w:rsid w:val="00335665"/>
    <w:pPr>
      <w:numPr>
        <w:numId w:val="1"/>
      </w:numPr>
      <w:spacing w:before="120"/>
    </w:pPr>
  </w:style>
  <w:style w:type="paragraph" w:styleId="ListNumber2">
    <w:name w:val="List Number 2"/>
    <w:basedOn w:val="ListNumber"/>
    <w:rsid w:val="00335665"/>
    <w:pPr>
      <w:numPr>
        <w:ilvl w:val="1"/>
      </w:numPr>
    </w:pPr>
  </w:style>
  <w:style w:type="paragraph" w:styleId="ListNumber3">
    <w:name w:val="List Number 3"/>
    <w:basedOn w:val="ListNumber2"/>
    <w:rsid w:val="00335665"/>
    <w:pPr>
      <w:numPr>
        <w:ilvl w:val="2"/>
      </w:numPr>
    </w:pPr>
  </w:style>
  <w:style w:type="paragraph" w:styleId="ListBullet">
    <w:name w:val="List Bullet"/>
    <w:basedOn w:val="BodyText"/>
    <w:rsid w:val="00335665"/>
    <w:pPr>
      <w:numPr>
        <w:numId w:val="2"/>
      </w:numPr>
      <w:spacing w:before="120"/>
    </w:pPr>
  </w:style>
  <w:style w:type="character" w:customStyle="1" w:styleId="Heading4Char">
    <w:name w:val="Heading 4 Char"/>
    <w:basedOn w:val="DefaultParagraphFont"/>
    <w:link w:val="Heading4"/>
    <w:uiPriority w:val="9"/>
    <w:semiHidden/>
    <w:rsid w:val="00335665"/>
    <w:rPr>
      <w:rFonts w:asciiTheme="majorHAnsi" w:eastAsiaTheme="majorEastAsia" w:hAnsiTheme="majorHAnsi" w:cstheme="majorBidi"/>
      <w:b/>
      <w:bCs/>
      <w:i/>
      <w:iCs/>
      <w:color w:val="4F81BD" w:themeColor="accent1"/>
    </w:rPr>
  </w:style>
  <w:style w:type="paragraph" w:styleId="FootnoteText">
    <w:name w:val="footnote text"/>
    <w:basedOn w:val="Normal"/>
    <w:link w:val="FootnoteTextChar"/>
    <w:uiPriority w:val="99"/>
    <w:semiHidden/>
    <w:unhideWhenUsed/>
    <w:rsid w:val="005952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52D2"/>
    <w:rPr>
      <w:sz w:val="20"/>
      <w:szCs w:val="20"/>
    </w:rPr>
  </w:style>
  <w:style w:type="character" w:styleId="FootnoteReference">
    <w:name w:val="footnote reference"/>
    <w:basedOn w:val="DefaultParagraphFont"/>
    <w:uiPriority w:val="99"/>
    <w:semiHidden/>
    <w:unhideWhenUsed/>
    <w:rsid w:val="005952D2"/>
    <w:rPr>
      <w:vertAlign w:val="superscript"/>
    </w:rPr>
  </w:style>
  <w:style w:type="character" w:styleId="Hyperlink">
    <w:name w:val="Hyperlink"/>
    <w:basedOn w:val="DefaultParagraphFont"/>
    <w:uiPriority w:val="99"/>
    <w:unhideWhenUsed/>
    <w:rsid w:val="00C86D47"/>
    <w:rPr>
      <w:color w:val="0000FF" w:themeColor="hyperlink"/>
      <w:u w:val="single"/>
    </w:rPr>
  </w:style>
  <w:style w:type="paragraph" w:styleId="Header">
    <w:name w:val="header"/>
    <w:basedOn w:val="Normal"/>
    <w:link w:val="HeaderChar"/>
    <w:uiPriority w:val="99"/>
    <w:unhideWhenUsed/>
    <w:rsid w:val="00574E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4EFE"/>
  </w:style>
  <w:style w:type="paragraph" w:styleId="Footer">
    <w:name w:val="footer"/>
    <w:basedOn w:val="Normal"/>
    <w:link w:val="FooterChar"/>
    <w:uiPriority w:val="99"/>
    <w:unhideWhenUsed/>
    <w:rsid w:val="00574E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4EFE"/>
  </w:style>
  <w:style w:type="paragraph" w:styleId="BalloonText">
    <w:name w:val="Balloon Text"/>
    <w:basedOn w:val="Normal"/>
    <w:link w:val="BalloonTextChar"/>
    <w:uiPriority w:val="99"/>
    <w:semiHidden/>
    <w:unhideWhenUsed/>
    <w:rsid w:val="005325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58A"/>
    <w:rPr>
      <w:rFonts w:ascii="Tahoma" w:hAnsi="Tahoma" w:cs="Tahoma"/>
      <w:sz w:val="16"/>
      <w:szCs w:val="16"/>
    </w:rPr>
  </w:style>
  <w:style w:type="character" w:styleId="CommentReference">
    <w:name w:val="annotation reference"/>
    <w:basedOn w:val="DefaultParagraphFont"/>
    <w:uiPriority w:val="99"/>
    <w:semiHidden/>
    <w:unhideWhenUsed/>
    <w:rsid w:val="0053258A"/>
    <w:rPr>
      <w:sz w:val="16"/>
      <w:szCs w:val="16"/>
    </w:rPr>
  </w:style>
  <w:style w:type="paragraph" w:styleId="CommentText">
    <w:name w:val="annotation text"/>
    <w:basedOn w:val="Normal"/>
    <w:link w:val="CommentTextChar"/>
    <w:uiPriority w:val="99"/>
    <w:semiHidden/>
    <w:unhideWhenUsed/>
    <w:rsid w:val="0053258A"/>
    <w:pPr>
      <w:spacing w:line="240" w:lineRule="auto"/>
    </w:pPr>
    <w:rPr>
      <w:sz w:val="20"/>
      <w:szCs w:val="20"/>
    </w:rPr>
  </w:style>
  <w:style w:type="character" w:customStyle="1" w:styleId="CommentTextChar">
    <w:name w:val="Comment Text Char"/>
    <w:basedOn w:val="DefaultParagraphFont"/>
    <w:link w:val="CommentText"/>
    <w:uiPriority w:val="99"/>
    <w:semiHidden/>
    <w:rsid w:val="0053258A"/>
    <w:rPr>
      <w:sz w:val="20"/>
      <w:szCs w:val="20"/>
    </w:rPr>
  </w:style>
  <w:style w:type="paragraph" w:styleId="CommentSubject">
    <w:name w:val="annotation subject"/>
    <w:basedOn w:val="CommentText"/>
    <w:next w:val="CommentText"/>
    <w:link w:val="CommentSubjectChar"/>
    <w:uiPriority w:val="99"/>
    <w:semiHidden/>
    <w:unhideWhenUsed/>
    <w:rsid w:val="0053258A"/>
    <w:rPr>
      <w:b/>
      <w:bCs/>
    </w:rPr>
  </w:style>
  <w:style w:type="character" w:customStyle="1" w:styleId="CommentSubjectChar">
    <w:name w:val="Comment Subject Char"/>
    <w:basedOn w:val="CommentTextChar"/>
    <w:link w:val="CommentSubject"/>
    <w:uiPriority w:val="99"/>
    <w:semiHidden/>
    <w:rsid w:val="005325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ato.gov.au/General/Gen/Inter-Agency-Phoenix-Forum/"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law.unimelb.edu.au/cclsr/centre-activities/research/major-research-projects/regulating-fraudulent-phoenix-activ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Jurisdiction xmlns="ee13c9c8-6565-4e71-a0a2-a2050e330ad8">National</Jurisdiction>
    <Sub_x0020_number xmlns="7f4cf430-939c-4e86-a306-e6be23f89472">1</Sub_x0020_number>
    <Submitter_x0020_type xmlns="7f4cf430-939c-4e86-a306-e6be23f89472">Other</Submitter_x0020_type>
  </documentManagement>
</p:properties>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F6DB654723AED94BB725236A5B0F3AE3" ma:contentTypeVersion="5" ma:contentTypeDescription="" ma:contentTypeScope="" ma:versionID="d117582cab1127ea6aa78a894608469a">
  <xsd:schema xmlns:xsd="http://www.w3.org/2001/XMLSchema" xmlns:xs="http://www.w3.org/2001/XMLSchema" xmlns:p="http://schemas.microsoft.com/office/2006/metadata/properties" xmlns:ns2="ee13c9c8-6565-4e71-a0a2-a2050e330ad8" xmlns:ns3="7f4cf430-939c-4e86-a306-e6be23f89472" targetNamespace="http://schemas.microsoft.com/office/2006/metadata/properties" ma:root="true" ma:fieldsID="4e97abc5e99623172acb40ffc6902899" ns2:_="" ns3:_="">
    <xsd:import namespace="ee13c9c8-6565-4e71-a0a2-a2050e330ad8"/>
    <xsd:import namespace="7f4cf430-939c-4e86-a306-e6be23f89472"/>
    <xsd:element name="properties">
      <xsd:complexType>
        <xsd:sequence>
          <xsd:element name="documentManagement">
            <xsd:complexType>
              <xsd:all>
                <xsd:element ref="ns2:Jurisdiction"/>
                <xsd:element ref="ns3:Sub_x0020_number"/>
                <xsd:element ref="ns3:Submitter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3c9c8-6565-4e71-a0a2-a2050e330ad8" elementFormDefault="qualified">
    <xsd:import namespace="http://schemas.microsoft.com/office/2006/documentManagement/types"/>
    <xsd:import namespace="http://schemas.microsoft.com/office/infopath/2007/PartnerControls"/>
    <xsd:element name="Jurisdiction" ma:index="8" ma:displayName="Jurisdiction" ma:default="National" ma:description="Jurisdiction" ma:format="Dropdown" ma:internalName="Jurisdiction">
      <xsd:simpleType>
        <xsd:restriction base="dms:Choice">
          <xsd:enumeration value="National"/>
          <xsd:enumeration value="Overseas"/>
          <xsd:enumeration value="NSW"/>
          <xsd:enumeration value="QLD"/>
          <xsd:enumeration value="VIC"/>
          <xsd:enumeration value="WA"/>
          <xsd:enumeration value="SA"/>
          <xsd:enumeration value="TAS"/>
          <xsd:enumeration value="ACT"/>
          <xsd:enumeration value="NT"/>
        </xsd:restriction>
      </xsd:simpleType>
    </xsd:element>
  </xsd:schema>
  <xsd:schema xmlns:xsd="http://www.w3.org/2001/XMLSchema" xmlns:xs="http://www.w3.org/2001/XMLSchema" xmlns:dms="http://schemas.microsoft.com/office/2006/documentManagement/types" xmlns:pc="http://schemas.microsoft.com/office/infopath/2007/PartnerControls" targetNamespace="7f4cf430-939c-4e86-a306-e6be23f89472" elementFormDefault="qualified">
    <xsd:import namespace="http://schemas.microsoft.com/office/2006/documentManagement/types"/>
    <xsd:import namespace="http://schemas.microsoft.com/office/infopath/2007/PartnerControls"/>
    <xsd:element name="Sub_x0020_number" ma:index="9" ma:displayName="Sub number" ma:description="All files associated with this submission number" ma:internalName="Sub_x0020_number">
      <xsd:simpleType>
        <xsd:restriction base="dms:Text">
          <xsd:maxLength value="10"/>
        </xsd:restriction>
      </xsd:simpleType>
    </xsd:element>
    <xsd:element name="Submitter_x0020_type" ma:index="10" ma:displayName="Submitter type" ma:description="Type of submitter" ma:format="Dropdown" ma:internalName="Submitter_x0020_type">
      <xsd:simpleType>
        <xsd:restriction base="dms:Choice">
          <xsd:enumeration value="Individual"/>
          <xsd:enumeration value="Business"/>
          <xsd:enumeration value="Business association"/>
          <xsd:enumeration value="Government / government body"/>
          <xsd:enumeration value="Academic"/>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00455-C748-44EF-9210-B2BD00DE6C40}">
  <ds:schemaRefs>
    <ds:schemaRef ds:uri="http://schemas.microsoft.com/office/2006/documentManagement/types"/>
    <ds:schemaRef ds:uri="ee13c9c8-6565-4e71-a0a2-a2050e330ad8"/>
    <ds:schemaRef ds:uri="http://purl.org/dc/elements/1.1/"/>
    <ds:schemaRef ds:uri="http://www.w3.org/XML/1998/namespace"/>
    <ds:schemaRef ds:uri="http://purl.org/dc/terms/"/>
    <ds:schemaRef ds:uri="http://purl.org/dc/dcmitype/"/>
    <ds:schemaRef ds:uri="7f4cf430-939c-4e86-a306-e6be23f89472"/>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899A5826-50D5-4480-8FA7-52257CBB817F}">
  <ds:schemaRefs>
    <ds:schemaRef ds:uri="http://schemas.microsoft.com/sharepoint/events"/>
  </ds:schemaRefs>
</ds:datastoreItem>
</file>

<file path=customXml/itemProps3.xml><?xml version="1.0" encoding="utf-8"?>
<ds:datastoreItem xmlns:ds="http://schemas.openxmlformats.org/officeDocument/2006/customXml" ds:itemID="{8ACDEB5C-DDE0-4C92-A11F-8B6D205E47A6}">
  <ds:schemaRefs>
    <ds:schemaRef ds:uri="http://schemas.microsoft.com/office/2006/metadata/customXsn"/>
  </ds:schemaRefs>
</ds:datastoreItem>
</file>

<file path=customXml/itemProps4.xml><?xml version="1.0" encoding="utf-8"?>
<ds:datastoreItem xmlns:ds="http://schemas.openxmlformats.org/officeDocument/2006/customXml" ds:itemID="{646DF359-C086-49C3-B1E9-3FC74CF42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3c9c8-6565-4e71-a0a2-a2050e330ad8"/>
    <ds:schemaRef ds:uri="7f4cf430-939c-4e86-a306-e6be23f89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35474D-34DA-44C2-8B67-F2143BD392EA}">
  <ds:schemaRefs>
    <ds:schemaRef ds:uri="http://schemas.microsoft.com/sharepoint/v3/contenttype/forms"/>
  </ds:schemaRefs>
</ds:datastoreItem>
</file>

<file path=customXml/itemProps6.xml><?xml version="1.0" encoding="utf-8"?>
<ds:datastoreItem xmlns:ds="http://schemas.openxmlformats.org/officeDocument/2006/customXml" ds:itemID="{E52B905D-562A-40BE-84CA-1F6A25555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3200</Words>
  <Characters>18082</Characters>
  <Application>Microsoft Office Word</Application>
  <DocSecurity>0</DocSecurity>
  <Lines>296</Lines>
  <Paragraphs>56</Paragraphs>
  <ScaleCrop>false</ScaleCrop>
  <HeadingPairs>
    <vt:vector size="2" baseType="variant">
      <vt:variant>
        <vt:lpstr>Title</vt:lpstr>
      </vt:variant>
      <vt:variant>
        <vt:i4>1</vt:i4>
      </vt:variant>
    </vt:vector>
  </HeadingPairs>
  <TitlesOfParts>
    <vt:vector size="1" baseType="lpstr">
      <vt:lpstr>Submission 1 - Professor Helen Anderson, Ian Ramsay and Ann O’Connell, Melbourne Law School, and Associate Professor Michelle Welsh, Department of Business Law and Taxation, Monash University - Business Set-up, Transfer and Closure - Public inquiry</vt:lpstr>
    </vt:vector>
  </TitlesOfParts>
  <Company>The University of Melbourne</Company>
  <LinksUpToDate>false</LinksUpToDate>
  <CharactersWithSpaces>21226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1 - Professor Helen Anderson, Ian Ramsay and Ann O’Connell, Melbourne Law School, and Associate Professor Michelle Welsh, Department of Business Law and Taxation, Monash University - Business Set-up, Transfer and Closure - Public inquiry</dc:title>
  <dc:creator>Professor Helen Anderson, Ian Ramsay and Ann O’Connell, Melbourne Law School, and Associate Professor Michelle Welsh, Department of Business Law and Taxation, Monash University</dc:creator>
  <cp:lastModifiedBy>Mark Pimperl</cp:lastModifiedBy>
  <cp:revision>4</cp:revision>
  <cp:lastPrinted>2015-02-09T02:54:00Z</cp:lastPrinted>
  <dcterms:created xsi:type="dcterms:W3CDTF">2015-02-11T20:29:00Z</dcterms:created>
  <dcterms:modified xsi:type="dcterms:W3CDTF">2015-02-15T23:33:00Z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0x01010066EDC8E18BFE9C418F00295EA55D44EA0015EE9FD84A134F42A8E78176E2093D4400F6DB654723AED94BB725236A5B0F3AE3</vt:lpwstr>
  </property>
  <property fmtid="{D5CDD505-2E9C-101B-9397-08002B2CF9AE}" pid="3" name="RecordPoint_WorkflowType">
    <vt:lpwstr>ActiveSubmitStub</vt:lpwstr>
  </property>
  <property fmtid="{D5CDD505-2E9C-101B-9397-08002B2CF9AE}" pid="4" name="RecordPoint_ActiveItemSiteId">
    <vt:lpwstr>{5750d626-0aa0-474c-a55f-8063909d4906}</vt:lpwstr>
  </property>
  <property fmtid="{D5CDD505-2E9C-101B-9397-08002B2CF9AE}" pid="5" name="RecordPoint_ActiveItemListId">
    <vt:lpwstr>{ee13c9c8-6565-4e71-a0a2-a2050e330ad8}</vt:lpwstr>
  </property>
  <property fmtid="{D5CDD505-2E9C-101B-9397-08002B2CF9AE}" pid="6" name="RecordPoint_ActiveItemUniqueId">
    <vt:lpwstr>{23fe79f0-7f8a-4832-91b9-8149b4813328}</vt:lpwstr>
  </property>
  <property fmtid="{D5CDD505-2E9C-101B-9397-08002B2CF9AE}" pid="7" name="RecordPoint_ActiveItemWebId">
    <vt:lpwstr>{7f4cf430-939c-4e86-a306-e6be23f89472}</vt:lpwstr>
  </property>
  <property fmtid="{D5CDD505-2E9C-101B-9397-08002B2CF9AE}" pid="8" name="IconOverlay">
    <vt:lpwstr/>
  </property>
  <property fmtid="{D5CDD505-2E9C-101B-9397-08002B2CF9AE}" pid="9" name="RecordPoint_SubmissionCompleted">
    <vt:lpwstr>2015-02-12T07:29:42.1396203+11:00</vt:lpwstr>
  </property>
  <property fmtid="{D5CDD505-2E9C-101B-9397-08002B2CF9AE}" pid="10" name="RecordPoint_RecordNumberSubmitted">
    <vt:lpwstr>R0000008440</vt:lpwstr>
  </property>
</Properties>
</file>