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B2464" w14:textId="77777777" w:rsidR="00AC739C" w:rsidRDefault="00AC739C" w:rsidP="00062BA1">
      <w:pPr>
        <w:jc w:val="center"/>
      </w:pPr>
      <w:bookmarkStart w:id="0" w:name="_GoBack"/>
      <w:bookmarkEnd w:id="0"/>
    </w:p>
    <w:p w14:paraId="527FFC4D" w14:textId="77777777" w:rsidR="00062BA1" w:rsidRDefault="00062BA1" w:rsidP="00062BA1">
      <w:pPr>
        <w:jc w:val="center"/>
      </w:pPr>
      <w:r w:rsidRPr="00062BA1">
        <w:rPr>
          <w:noProof/>
          <w:sz w:val="28"/>
          <w:szCs w:val="28"/>
          <w:lang w:eastAsia="en-AU"/>
        </w:rPr>
        <w:drawing>
          <wp:inline distT="0" distB="0" distL="0" distR="0" wp14:anchorId="13C739CA" wp14:editId="5D00C4C9">
            <wp:extent cx="2415600" cy="558000"/>
            <wp:effectExtent l="0" t="0" r="3810" b="0"/>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sign Team\Resources\Logos and Style Guides\DE - Department of Employment\Inline\Dept Employment_Inlin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5600" cy="558000"/>
                    </a:xfrm>
                    <a:prstGeom prst="rect">
                      <a:avLst/>
                    </a:prstGeom>
                    <a:noFill/>
                    <a:ln>
                      <a:noFill/>
                    </a:ln>
                  </pic:spPr>
                </pic:pic>
              </a:graphicData>
            </a:graphic>
          </wp:inline>
        </w:drawing>
      </w:r>
    </w:p>
    <w:p w14:paraId="12FEE613" w14:textId="77777777" w:rsidR="00062BA1" w:rsidRDefault="00062BA1" w:rsidP="00062BA1">
      <w:pPr>
        <w:jc w:val="center"/>
      </w:pPr>
    </w:p>
    <w:p w14:paraId="57CD210C" w14:textId="77777777" w:rsidR="00062BA1" w:rsidRDefault="00062BA1" w:rsidP="00062BA1">
      <w:pPr>
        <w:jc w:val="center"/>
      </w:pPr>
    </w:p>
    <w:p w14:paraId="7379A166" w14:textId="77777777" w:rsidR="00062BA1" w:rsidRDefault="00062BA1" w:rsidP="00062BA1">
      <w:pPr>
        <w:jc w:val="center"/>
      </w:pPr>
    </w:p>
    <w:p w14:paraId="1C31B04E" w14:textId="77777777" w:rsidR="00062BA1" w:rsidRPr="00B01F2F" w:rsidRDefault="007A1221" w:rsidP="00062BA1">
      <w:pPr>
        <w:jc w:val="center"/>
        <w:rPr>
          <w:rFonts w:ascii="Times New Roman" w:hAnsi="Times New Roman" w:cs="Times New Roman"/>
          <w:b/>
          <w:sz w:val="28"/>
          <w:szCs w:val="28"/>
        </w:rPr>
      </w:pPr>
      <w:r>
        <w:rPr>
          <w:rFonts w:ascii="Times New Roman" w:hAnsi="Times New Roman" w:cs="Times New Roman"/>
          <w:b/>
          <w:sz w:val="28"/>
          <w:szCs w:val="28"/>
        </w:rPr>
        <w:t>Productivity Commission</w:t>
      </w:r>
    </w:p>
    <w:p w14:paraId="3945698B" w14:textId="77777777" w:rsidR="006A0AC9" w:rsidRPr="00B01F2F" w:rsidRDefault="00062BA1" w:rsidP="00062BA1">
      <w:pPr>
        <w:jc w:val="center"/>
        <w:rPr>
          <w:rFonts w:ascii="Times New Roman" w:hAnsi="Times New Roman" w:cs="Times New Roman"/>
          <w:b/>
          <w:sz w:val="28"/>
          <w:szCs w:val="28"/>
        </w:rPr>
      </w:pPr>
      <w:r w:rsidRPr="00B01F2F">
        <w:rPr>
          <w:rFonts w:ascii="Times New Roman" w:hAnsi="Times New Roman" w:cs="Times New Roman"/>
          <w:b/>
          <w:sz w:val="28"/>
          <w:szCs w:val="28"/>
        </w:rPr>
        <w:t xml:space="preserve">Inquiry into </w:t>
      </w:r>
    </w:p>
    <w:p w14:paraId="36EEBEBB" w14:textId="77777777" w:rsidR="00062BA1" w:rsidRPr="00B01F2F" w:rsidRDefault="007A1221" w:rsidP="00062BA1">
      <w:pPr>
        <w:jc w:val="center"/>
        <w:rPr>
          <w:rFonts w:ascii="Times New Roman" w:hAnsi="Times New Roman" w:cs="Times New Roman"/>
          <w:b/>
          <w:sz w:val="28"/>
          <w:szCs w:val="28"/>
        </w:rPr>
      </w:pPr>
      <w:r>
        <w:rPr>
          <w:rFonts w:ascii="Times New Roman" w:hAnsi="Times New Roman" w:cs="Times New Roman"/>
          <w:b/>
          <w:sz w:val="28"/>
          <w:szCs w:val="28"/>
        </w:rPr>
        <w:t>Business Set-up, Transfer and Closure</w:t>
      </w:r>
    </w:p>
    <w:p w14:paraId="0017DF7C" w14:textId="77777777" w:rsidR="00062BA1" w:rsidRPr="00B01F2F" w:rsidRDefault="00062BA1" w:rsidP="00062BA1">
      <w:pPr>
        <w:jc w:val="center"/>
        <w:rPr>
          <w:rFonts w:ascii="Times New Roman" w:hAnsi="Times New Roman" w:cs="Times New Roman"/>
          <w:b/>
          <w:sz w:val="28"/>
          <w:szCs w:val="28"/>
        </w:rPr>
      </w:pPr>
    </w:p>
    <w:p w14:paraId="2EE53977" w14:textId="77777777" w:rsidR="00062BA1" w:rsidRPr="00B01F2F" w:rsidRDefault="00062BA1" w:rsidP="00062BA1">
      <w:pPr>
        <w:jc w:val="center"/>
        <w:rPr>
          <w:rFonts w:ascii="Times New Roman" w:hAnsi="Times New Roman" w:cs="Times New Roman"/>
          <w:b/>
          <w:sz w:val="28"/>
          <w:szCs w:val="28"/>
        </w:rPr>
      </w:pPr>
    </w:p>
    <w:p w14:paraId="2ADA6486" w14:textId="77777777" w:rsidR="00062BA1" w:rsidRPr="00B01F2F" w:rsidRDefault="00062BA1" w:rsidP="00062BA1">
      <w:pPr>
        <w:jc w:val="center"/>
        <w:rPr>
          <w:rFonts w:ascii="Times New Roman" w:hAnsi="Times New Roman" w:cs="Times New Roman"/>
          <w:b/>
          <w:sz w:val="28"/>
          <w:szCs w:val="28"/>
        </w:rPr>
      </w:pPr>
      <w:r w:rsidRPr="00B01F2F">
        <w:rPr>
          <w:rFonts w:ascii="Times New Roman" w:hAnsi="Times New Roman" w:cs="Times New Roman"/>
          <w:b/>
          <w:sz w:val="28"/>
          <w:szCs w:val="28"/>
        </w:rPr>
        <w:t xml:space="preserve">Submission of the </w:t>
      </w:r>
    </w:p>
    <w:p w14:paraId="174F2513" w14:textId="77777777" w:rsidR="00062BA1" w:rsidRPr="00B01F2F" w:rsidRDefault="00062BA1" w:rsidP="00062BA1">
      <w:pPr>
        <w:jc w:val="center"/>
        <w:rPr>
          <w:rFonts w:ascii="Times New Roman" w:hAnsi="Times New Roman" w:cs="Times New Roman"/>
          <w:b/>
          <w:sz w:val="28"/>
          <w:szCs w:val="28"/>
        </w:rPr>
      </w:pPr>
      <w:r w:rsidRPr="00B01F2F">
        <w:rPr>
          <w:rFonts w:ascii="Times New Roman" w:hAnsi="Times New Roman" w:cs="Times New Roman"/>
          <w:b/>
          <w:sz w:val="28"/>
          <w:szCs w:val="28"/>
        </w:rPr>
        <w:t>Department of Employment</w:t>
      </w:r>
    </w:p>
    <w:p w14:paraId="524E0CD0" w14:textId="77777777" w:rsidR="00062BA1" w:rsidRDefault="00062BA1">
      <w:pPr>
        <w:rPr>
          <w:b/>
          <w:sz w:val="28"/>
          <w:szCs w:val="28"/>
        </w:rPr>
      </w:pPr>
      <w:r w:rsidRPr="00B01F2F">
        <w:rPr>
          <w:rFonts w:ascii="Times New Roman" w:hAnsi="Times New Roman" w:cs="Times New Roman"/>
          <w:b/>
          <w:sz w:val="28"/>
          <w:szCs w:val="28"/>
        </w:rPr>
        <w:br w:type="page"/>
      </w:r>
    </w:p>
    <w:p w14:paraId="174E6946" w14:textId="77777777" w:rsidR="00387056" w:rsidRDefault="00062BA1" w:rsidP="00062BA1">
      <w:pPr>
        <w:rPr>
          <w:rFonts w:ascii="Times New Roman" w:hAnsi="Times New Roman" w:cs="Times New Roman"/>
          <w:b/>
          <w:sz w:val="28"/>
          <w:szCs w:val="28"/>
        </w:rPr>
      </w:pPr>
      <w:r w:rsidRPr="00B01F2F">
        <w:rPr>
          <w:rFonts w:ascii="Times New Roman" w:hAnsi="Times New Roman" w:cs="Times New Roman"/>
          <w:b/>
          <w:sz w:val="28"/>
          <w:szCs w:val="28"/>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387056" w14:paraId="70DA9A88" w14:textId="77777777" w:rsidTr="007E50F3">
        <w:tc>
          <w:tcPr>
            <w:tcW w:w="8472" w:type="dxa"/>
          </w:tcPr>
          <w:p w14:paraId="36295083" w14:textId="77777777" w:rsidR="004B4BF7" w:rsidRPr="00387056" w:rsidRDefault="00387056" w:rsidP="004B4BF7">
            <w:pPr>
              <w:rPr>
                <w:rFonts w:ascii="Times New Roman" w:hAnsi="Times New Roman" w:cs="Times New Roman"/>
                <w:sz w:val="24"/>
                <w:szCs w:val="24"/>
              </w:rPr>
            </w:pPr>
            <w:r w:rsidRPr="00387056">
              <w:rPr>
                <w:rFonts w:ascii="Times New Roman" w:hAnsi="Times New Roman" w:cs="Times New Roman"/>
                <w:sz w:val="24"/>
                <w:szCs w:val="24"/>
              </w:rPr>
              <w:t>Introduction</w:t>
            </w:r>
            <w:r w:rsidR="004B4BF7">
              <w:rPr>
                <w:rFonts w:ascii="Times New Roman" w:hAnsi="Times New Roman" w:cs="Times New Roman"/>
                <w:sz w:val="24"/>
                <w:szCs w:val="24"/>
              </w:rPr>
              <w:t xml:space="preserve"> and purpose of submission </w:t>
            </w:r>
          </w:p>
        </w:tc>
        <w:tc>
          <w:tcPr>
            <w:tcW w:w="770" w:type="dxa"/>
          </w:tcPr>
          <w:p w14:paraId="6A028043" w14:textId="77777777" w:rsidR="00387056" w:rsidRDefault="00387056" w:rsidP="00062BA1">
            <w:pPr>
              <w:rPr>
                <w:rFonts w:ascii="Times New Roman" w:hAnsi="Times New Roman" w:cs="Times New Roman"/>
                <w:sz w:val="24"/>
                <w:szCs w:val="24"/>
              </w:rPr>
            </w:pPr>
            <w:r w:rsidRPr="00387056">
              <w:rPr>
                <w:rFonts w:ascii="Times New Roman" w:hAnsi="Times New Roman" w:cs="Times New Roman"/>
                <w:sz w:val="24"/>
                <w:szCs w:val="24"/>
              </w:rPr>
              <w:t>3</w:t>
            </w:r>
          </w:p>
          <w:p w14:paraId="7CFF7FE6" w14:textId="77777777" w:rsidR="004B4BF7" w:rsidRPr="00387056" w:rsidRDefault="004B4BF7">
            <w:pPr>
              <w:rPr>
                <w:rFonts w:ascii="Times New Roman" w:hAnsi="Times New Roman" w:cs="Times New Roman"/>
                <w:sz w:val="24"/>
                <w:szCs w:val="24"/>
              </w:rPr>
            </w:pPr>
          </w:p>
        </w:tc>
      </w:tr>
      <w:tr w:rsidR="00387056" w14:paraId="7AB498DC" w14:textId="77777777" w:rsidTr="007E50F3">
        <w:tc>
          <w:tcPr>
            <w:tcW w:w="8472" w:type="dxa"/>
          </w:tcPr>
          <w:p w14:paraId="0D67368A" w14:textId="77777777" w:rsidR="00AB0F56" w:rsidRDefault="004B4BF7" w:rsidP="004B4BF7">
            <w:pPr>
              <w:rPr>
                <w:rFonts w:ascii="Times New Roman" w:hAnsi="Times New Roman" w:cs="Times New Roman"/>
                <w:sz w:val="24"/>
                <w:szCs w:val="24"/>
              </w:rPr>
            </w:pPr>
            <w:r>
              <w:rPr>
                <w:rFonts w:ascii="Times New Roman" w:hAnsi="Times New Roman" w:cs="Times New Roman"/>
                <w:sz w:val="24"/>
                <w:szCs w:val="24"/>
              </w:rPr>
              <w:t xml:space="preserve">Transfer of </w:t>
            </w:r>
            <w:r w:rsidR="00135911">
              <w:rPr>
                <w:rFonts w:ascii="Times New Roman" w:hAnsi="Times New Roman" w:cs="Times New Roman"/>
                <w:sz w:val="24"/>
                <w:szCs w:val="24"/>
              </w:rPr>
              <w:t>B</w:t>
            </w:r>
            <w:r>
              <w:rPr>
                <w:rFonts w:ascii="Times New Roman" w:hAnsi="Times New Roman" w:cs="Times New Roman"/>
                <w:sz w:val="24"/>
                <w:szCs w:val="24"/>
              </w:rPr>
              <w:t>usiness provisions</w:t>
            </w:r>
          </w:p>
          <w:p w14:paraId="4BA40B99" w14:textId="77777777" w:rsidR="004B4BF7" w:rsidRPr="00387056" w:rsidRDefault="004B4BF7" w:rsidP="004B4BF7">
            <w:pPr>
              <w:rPr>
                <w:rFonts w:ascii="Times New Roman" w:hAnsi="Times New Roman" w:cs="Times New Roman"/>
                <w:sz w:val="24"/>
                <w:szCs w:val="24"/>
              </w:rPr>
            </w:pPr>
          </w:p>
        </w:tc>
        <w:tc>
          <w:tcPr>
            <w:tcW w:w="770" w:type="dxa"/>
          </w:tcPr>
          <w:p w14:paraId="6F5DC0A6" w14:textId="77777777" w:rsidR="00387056" w:rsidRPr="00387056" w:rsidRDefault="006A6DD7" w:rsidP="00062BA1">
            <w:pPr>
              <w:rPr>
                <w:rFonts w:ascii="Times New Roman" w:hAnsi="Times New Roman" w:cs="Times New Roman"/>
                <w:sz w:val="24"/>
                <w:szCs w:val="24"/>
              </w:rPr>
            </w:pPr>
            <w:r>
              <w:rPr>
                <w:rFonts w:ascii="Times New Roman" w:hAnsi="Times New Roman" w:cs="Times New Roman"/>
                <w:sz w:val="24"/>
                <w:szCs w:val="24"/>
              </w:rPr>
              <w:t>4</w:t>
            </w:r>
          </w:p>
        </w:tc>
      </w:tr>
      <w:tr w:rsidR="00387056" w14:paraId="22FFB10F" w14:textId="77777777" w:rsidTr="00387056">
        <w:tc>
          <w:tcPr>
            <w:tcW w:w="8472" w:type="dxa"/>
          </w:tcPr>
          <w:p w14:paraId="7D593A29" w14:textId="77777777" w:rsidR="006A6DD7" w:rsidRDefault="006A6DD7" w:rsidP="00135911">
            <w:pPr>
              <w:rPr>
                <w:rFonts w:ascii="Times New Roman" w:hAnsi="Times New Roman" w:cs="Times New Roman"/>
                <w:sz w:val="24"/>
                <w:szCs w:val="24"/>
              </w:rPr>
            </w:pPr>
            <w:r>
              <w:rPr>
                <w:rFonts w:ascii="Times New Roman" w:hAnsi="Times New Roman" w:cs="Times New Roman"/>
                <w:sz w:val="24"/>
                <w:szCs w:val="24"/>
              </w:rPr>
              <w:t>Deregulation agenda</w:t>
            </w:r>
          </w:p>
          <w:p w14:paraId="63193C0A" w14:textId="77777777" w:rsidR="006A6DD7" w:rsidRDefault="006A6DD7" w:rsidP="00135911">
            <w:pPr>
              <w:rPr>
                <w:rFonts w:ascii="Times New Roman" w:hAnsi="Times New Roman" w:cs="Times New Roman"/>
                <w:sz w:val="24"/>
                <w:szCs w:val="24"/>
              </w:rPr>
            </w:pPr>
          </w:p>
          <w:p w14:paraId="5A21434B" w14:textId="77777777" w:rsidR="004B4BF7" w:rsidRDefault="007A1221" w:rsidP="00135911">
            <w:pPr>
              <w:rPr>
                <w:rFonts w:ascii="Times New Roman" w:hAnsi="Times New Roman" w:cs="Times New Roman"/>
                <w:sz w:val="24"/>
                <w:szCs w:val="24"/>
              </w:rPr>
            </w:pPr>
            <w:r>
              <w:rPr>
                <w:rFonts w:ascii="Times New Roman" w:hAnsi="Times New Roman" w:cs="Times New Roman"/>
                <w:sz w:val="24"/>
                <w:szCs w:val="24"/>
              </w:rPr>
              <w:t xml:space="preserve">Fair Entitlements Guarantee </w:t>
            </w:r>
            <w:r w:rsidR="00DD3D29">
              <w:rPr>
                <w:rFonts w:ascii="Times New Roman" w:hAnsi="Times New Roman" w:cs="Times New Roman"/>
                <w:sz w:val="24"/>
                <w:szCs w:val="24"/>
              </w:rPr>
              <w:t>Scheme</w:t>
            </w:r>
          </w:p>
          <w:p w14:paraId="491F7128" w14:textId="77777777" w:rsidR="007A1221" w:rsidRDefault="007A1221" w:rsidP="00AB0F56">
            <w:pPr>
              <w:rPr>
                <w:rFonts w:ascii="Times New Roman" w:hAnsi="Times New Roman" w:cs="Times New Roman"/>
                <w:sz w:val="24"/>
                <w:szCs w:val="24"/>
              </w:rPr>
            </w:pPr>
          </w:p>
          <w:p w14:paraId="5644EE5C" w14:textId="77777777" w:rsidR="00AB0F56" w:rsidRPr="00EC17AB" w:rsidRDefault="00387056" w:rsidP="00EC17AB">
            <w:pPr>
              <w:pStyle w:val="ListParagraph"/>
              <w:numPr>
                <w:ilvl w:val="0"/>
                <w:numId w:val="42"/>
              </w:numPr>
              <w:rPr>
                <w:rFonts w:ascii="Times New Roman" w:hAnsi="Times New Roman" w:cs="Times New Roman"/>
                <w:sz w:val="24"/>
                <w:szCs w:val="24"/>
              </w:rPr>
            </w:pPr>
            <w:r w:rsidRPr="00EC17AB">
              <w:rPr>
                <w:rFonts w:ascii="Times New Roman" w:hAnsi="Times New Roman" w:cs="Times New Roman"/>
                <w:sz w:val="24"/>
                <w:szCs w:val="24"/>
              </w:rPr>
              <w:t>Historical context</w:t>
            </w:r>
            <w:r w:rsidR="007A1221" w:rsidRPr="00EC17AB">
              <w:rPr>
                <w:rFonts w:ascii="Times New Roman" w:hAnsi="Times New Roman" w:cs="Times New Roman"/>
                <w:sz w:val="24"/>
                <w:szCs w:val="24"/>
              </w:rPr>
              <w:t xml:space="preserve"> </w:t>
            </w:r>
          </w:p>
        </w:tc>
        <w:tc>
          <w:tcPr>
            <w:tcW w:w="770" w:type="dxa"/>
          </w:tcPr>
          <w:p w14:paraId="2D792FAA" w14:textId="77777777" w:rsidR="006A6DD7" w:rsidRDefault="006A6DD7" w:rsidP="00062BA1">
            <w:pPr>
              <w:rPr>
                <w:rFonts w:ascii="Times New Roman" w:hAnsi="Times New Roman" w:cs="Times New Roman"/>
                <w:sz w:val="24"/>
                <w:szCs w:val="24"/>
              </w:rPr>
            </w:pPr>
            <w:r>
              <w:rPr>
                <w:rFonts w:ascii="Times New Roman" w:hAnsi="Times New Roman" w:cs="Times New Roman"/>
                <w:sz w:val="24"/>
                <w:szCs w:val="24"/>
              </w:rPr>
              <w:t>5</w:t>
            </w:r>
          </w:p>
          <w:p w14:paraId="1D266A58" w14:textId="77777777" w:rsidR="006A6DD7" w:rsidRDefault="006A6DD7" w:rsidP="00062BA1">
            <w:pPr>
              <w:rPr>
                <w:rFonts w:ascii="Times New Roman" w:hAnsi="Times New Roman" w:cs="Times New Roman"/>
                <w:sz w:val="24"/>
                <w:szCs w:val="24"/>
              </w:rPr>
            </w:pPr>
          </w:p>
          <w:p w14:paraId="65CA86C9" w14:textId="77777777" w:rsidR="004B4BF7" w:rsidRDefault="00135911" w:rsidP="00062BA1">
            <w:pPr>
              <w:rPr>
                <w:rFonts w:ascii="Times New Roman" w:hAnsi="Times New Roman" w:cs="Times New Roman"/>
                <w:sz w:val="24"/>
                <w:szCs w:val="24"/>
              </w:rPr>
            </w:pPr>
            <w:r>
              <w:rPr>
                <w:rFonts w:ascii="Times New Roman" w:hAnsi="Times New Roman" w:cs="Times New Roman"/>
                <w:sz w:val="24"/>
                <w:szCs w:val="24"/>
              </w:rPr>
              <w:t>6</w:t>
            </w:r>
          </w:p>
          <w:p w14:paraId="25A1BE8A" w14:textId="77777777" w:rsidR="004B4BF7" w:rsidRDefault="004B4BF7" w:rsidP="00062BA1">
            <w:pPr>
              <w:rPr>
                <w:rFonts w:ascii="Times New Roman" w:hAnsi="Times New Roman" w:cs="Times New Roman"/>
                <w:sz w:val="24"/>
                <w:szCs w:val="24"/>
              </w:rPr>
            </w:pPr>
          </w:p>
          <w:p w14:paraId="49176EBA" w14:textId="77777777" w:rsidR="004B4BF7" w:rsidRDefault="00C02164" w:rsidP="00062BA1">
            <w:pPr>
              <w:rPr>
                <w:rFonts w:ascii="Times New Roman" w:hAnsi="Times New Roman" w:cs="Times New Roman"/>
                <w:sz w:val="24"/>
                <w:szCs w:val="24"/>
              </w:rPr>
            </w:pPr>
            <w:r>
              <w:rPr>
                <w:rFonts w:ascii="Times New Roman" w:hAnsi="Times New Roman" w:cs="Times New Roman"/>
                <w:sz w:val="24"/>
                <w:szCs w:val="24"/>
              </w:rPr>
              <w:t>6</w:t>
            </w:r>
          </w:p>
        </w:tc>
      </w:tr>
      <w:tr w:rsidR="00387056" w14:paraId="0E4F951D" w14:textId="77777777" w:rsidTr="00387056">
        <w:tc>
          <w:tcPr>
            <w:tcW w:w="8472" w:type="dxa"/>
          </w:tcPr>
          <w:p w14:paraId="46385DF9" w14:textId="77777777" w:rsidR="00387056" w:rsidRDefault="00AB0F56" w:rsidP="007A1221">
            <w:pPr>
              <w:rPr>
                <w:rFonts w:ascii="Times New Roman" w:hAnsi="Times New Roman" w:cs="Times New Roman"/>
                <w:sz w:val="24"/>
                <w:szCs w:val="24"/>
              </w:rPr>
            </w:pPr>
            <w:r>
              <w:rPr>
                <w:rFonts w:ascii="Times New Roman" w:hAnsi="Times New Roman" w:cs="Times New Roman"/>
                <w:sz w:val="24"/>
                <w:szCs w:val="24"/>
              </w:rPr>
              <w:tab/>
            </w:r>
          </w:p>
        </w:tc>
        <w:tc>
          <w:tcPr>
            <w:tcW w:w="770" w:type="dxa"/>
          </w:tcPr>
          <w:p w14:paraId="7B79E4E8" w14:textId="77777777" w:rsidR="00387056" w:rsidRDefault="00387056" w:rsidP="00062BA1">
            <w:pPr>
              <w:rPr>
                <w:rFonts w:ascii="Times New Roman" w:hAnsi="Times New Roman" w:cs="Times New Roman"/>
                <w:sz w:val="24"/>
                <w:szCs w:val="24"/>
              </w:rPr>
            </w:pPr>
          </w:p>
        </w:tc>
      </w:tr>
      <w:tr w:rsidR="00926A4D" w14:paraId="77556D02" w14:textId="77777777" w:rsidTr="00387056">
        <w:tc>
          <w:tcPr>
            <w:tcW w:w="8472" w:type="dxa"/>
          </w:tcPr>
          <w:p w14:paraId="1E18448A" w14:textId="77777777" w:rsidR="00926A4D" w:rsidRPr="00EC17AB" w:rsidRDefault="00EC17AB" w:rsidP="00EC17AB">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Interaction with insolvency regime</w:t>
            </w:r>
          </w:p>
          <w:p w14:paraId="240A3528" w14:textId="77777777" w:rsidR="00AB0F56" w:rsidRDefault="00AB0F56" w:rsidP="00C02164">
            <w:pPr>
              <w:pStyle w:val="ListParagraph"/>
              <w:numPr>
                <w:ilvl w:val="0"/>
                <w:numId w:val="44"/>
              </w:numPr>
              <w:rPr>
                <w:rFonts w:ascii="Times New Roman" w:hAnsi="Times New Roman" w:cs="Times New Roman"/>
                <w:sz w:val="24"/>
                <w:szCs w:val="24"/>
              </w:rPr>
            </w:pPr>
          </w:p>
        </w:tc>
        <w:tc>
          <w:tcPr>
            <w:tcW w:w="770" w:type="dxa"/>
          </w:tcPr>
          <w:p w14:paraId="36A5FCE6" w14:textId="77777777" w:rsidR="00926A4D" w:rsidRDefault="004B4BF7" w:rsidP="00062BA1">
            <w:pPr>
              <w:rPr>
                <w:rFonts w:ascii="Times New Roman" w:hAnsi="Times New Roman" w:cs="Times New Roman"/>
                <w:sz w:val="24"/>
                <w:szCs w:val="24"/>
              </w:rPr>
            </w:pPr>
            <w:r>
              <w:rPr>
                <w:rFonts w:ascii="Times New Roman" w:hAnsi="Times New Roman" w:cs="Times New Roman"/>
                <w:sz w:val="24"/>
                <w:szCs w:val="24"/>
              </w:rPr>
              <w:t>8</w:t>
            </w:r>
          </w:p>
          <w:p w14:paraId="18E3D455" w14:textId="77777777" w:rsidR="004B4BF7" w:rsidRDefault="004B4BF7" w:rsidP="00470BAE">
            <w:pPr>
              <w:rPr>
                <w:rFonts w:ascii="Times New Roman" w:hAnsi="Times New Roman" w:cs="Times New Roman"/>
                <w:sz w:val="24"/>
                <w:szCs w:val="24"/>
              </w:rPr>
            </w:pPr>
          </w:p>
        </w:tc>
      </w:tr>
      <w:tr w:rsidR="007E50F3" w14:paraId="7CF2E684" w14:textId="77777777" w:rsidTr="007E50F3">
        <w:trPr>
          <w:trHeight w:val="66"/>
        </w:trPr>
        <w:tc>
          <w:tcPr>
            <w:tcW w:w="8472" w:type="dxa"/>
          </w:tcPr>
          <w:p w14:paraId="2343E568" w14:textId="77777777" w:rsidR="00DB065A" w:rsidRPr="00EC17AB" w:rsidRDefault="00EC17AB" w:rsidP="00EC17AB">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Business size profile of payments</w:t>
            </w:r>
          </w:p>
          <w:p w14:paraId="7EC48E09" w14:textId="77777777" w:rsidR="00DB065A" w:rsidRDefault="00DB065A" w:rsidP="00AB0F56">
            <w:pPr>
              <w:rPr>
                <w:rFonts w:ascii="Times New Roman" w:hAnsi="Times New Roman" w:cs="Times New Roman"/>
                <w:sz w:val="24"/>
                <w:szCs w:val="24"/>
              </w:rPr>
            </w:pPr>
          </w:p>
          <w:p w14:paraId="5589E581" w14:textId="77777777" w:rsidR="00846D99" w:rsidRPr="00EC17AB" w:rsidRDefault="00EC17AB" w:rsidP="00EC17AB">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Industry size profile of payments</w:t>
            </w:r>
          </w:p>
          <w:p w14:paraId="263677D5" w14:textId="77777777" w:rsidR="006B4C4E" w:rsidRPr="00EC17AB" w:rsidRDefault="006B4C4E" w:rsidP="00EC17AB">
            <w:pPr>
              <w:rPr>
                <w:rFonts w:ascii="Times New Roman" w:hAnsi="Times New Roman" w:cs="Times New Roman"/>
                <w:sz w:val="24"/>
                <w:szCs w:val="24"/>
              </w:rPr>
            </w:pPr>
          </w:p>
        </w:tc>
        <w:tc>
          <w:tcPr>
            <w:tcW w:w="770" w:type="dxa"/>
          </w:tcPr>
          <w:p w14:paraId="129FE46C" w14:textId="77777777" w:rsidR="007E50F3" w:rsidRDefault="00DB065A" w:rsidP="00062BA1">
            <w:pPr>
              <w:rPr>
                <w:rFonts w:ascii="Times New Roman" w:hAnsi="Times New Roman" w:cs="Times New Roman"/>
                <w:sz w:val="24"/>
                <w:szCs w:val="24"/>
              </w:rPr>
            </w:pPr>
            <w:r>
              <w:rPr>
                <w:rFonts w:ascii="Times New Roman" w:hAnsi="Times New Roman" w:cs="Times New Roman"/>
                <w:sz w:val="24"/>
                <w:szCs w:val="24"/>
              </w:rPr>
              <w:t>1</w:t>
            </w:r>
            <w:r w:rsidR="00C02164">
              <w:rPr>
                <w:rFonts w:ascii="Times New Roman" w:hAnsi="Times New Roman" w:cs="Times New Roman"/>
                <w:sz w:val="24"/>
                <w:szCs w:val="24"/>
              </w:rPr>
              <w:t>0</w:t>
            </w:r>
          </w:p>
          <w:p w14:paraId="1B0AC600" w14:textId="77777777" w:rsidR="006A6423" w:rsidRDefault="006A6423" w:rsidP="00062BA1">
            <w:pPr>
              <w:rPr>
                <w:rFonts w:ascii="Times New Roman" w:hAnsi="Times New Roman" w:cs="Times New Roman"/>
                <w:sz w:val="24"/>
                <w:szCs w:val="24"/>
              </w:rPr>
            </w:pPr>
          </w:p>
          <w:p w14:paraId="075A9B69" w14:textId="77777777" w:rsidR="006A6423" w:rsidRDefault="006A6423" w:rsidP="00062BA1">
            <w:pPr>
              <w:rPr>
                <w:rFonts w:ascii="Times New Roman" w:hAnsi="Times New Roman" w:cs="Times New Roman"/>
                <w:sz w:val="24"/>
                <w:szCs w:val="24"/>
              </w:rPr>
            </w:pPr>
            <w:r>
              <w:rPr>
                <w:rFonts w:ascii="Times New Roman" w:hAnsi="Times New Roman" w:cs="Times New Roman"/>
                <w:sz w:val="24"/>
                <w:szCs w:val="24"/>
              </w:rPr>
              <w:t>1</w:t>
            </w:r>
            <w:r w:rsidR="00E44E81">
              <w:rPr>
                <w:rFonts w:ascii="Times New Roman" w:hAnsi="Times New Roman" w:cs="Times New Roman"/>
                <w:sz w:val="24"/>
                <w:szCs w:val="24"/>
              </w:rPr>
              <w:t>1</w:t>
            </w:r>
          </w:p>
          <w:p w14:paraId="3A08C178" w14:textId="77777777" w:rsidR="006A6423" w:rsidRDefault="006A6423" w:rsidP="005677CA">
            <w:pPr>
              <w:rPr>
                <w:rFonts w:ascii="Times New Roman" w:hAnsi="Times New Roman" w:cs="Times New Roman"/>
                <w:sz w:val="24"/>
                <w:szCs w:val="24"/>
              </w:rPr>
            </w:pPr>
          </w:p>
        </w:tc>
      </w:tr>
      <w:tr w:rsidR="00D6580F" w14:paraId="0D6CBF67" w14:textId="77777777" w:rsidTr="007E50F3">
        <w:trPr>
          <w:trHeight w:val="66"/>
        </w:trPr>
        <w:tc>
          <w:tcPr>
            <w:tcW w:w="8472" w:type="dxa"/>
          </w:tcPr>
          <w:p w14:paraId="0D825290" w14:textId="77777777" w:rsidR="00AB0F56" w:rsidRDefault="00AB0F56" w:rsidP="00AB0F56">
            <w:pPr>
              <w:rPr>
                <w:rFonts w:ascii="Times New Roman" w:hAnsi="Times New Roman" w:cs="Times New Roman"/>
                <w:sz w:val="24"/>
                <w:szCs w:val="24"/>
              </w:rPr>
            </w:pPr>
          </w:p>
        </w:tc>
        <w:tc>
          <w:tcPr>
            <w:tcW w:w="770" w:type="dxa"/>
          </w:tcPr>
          <w:p w14:paraId="5BA6147C" w14:textId="77777777" w:rsidR="00D6580F" w:rsidRDefault="00D6580F" w:rsidP="00062BA1">
            <w:pPr>
              <w:rPr>
                <w:rFonts w:ascii="Times New Roman" w:hAnsi="Times New Roman" w:cs="Times New Roman"/>
                <w:sz w:val="24"/>
                <w:szCs w:val="24"/>
              </w:rPr>
            </w:pPr>
          </w:p>
        </w:tc>
      </w:tr>
      <w:tr w:rsidR="00367329" w14:paraId="5C244CBF" w14:textId="77777777" w:rsidTr="007E50F3">
        <w:trPr>
          <w:trHeight w:val="66"/>
        </w:trPr>
        <w:tc>
          <w:tcPr>
            <w:tcW w:w="8472" w:type="dxa"/>
          </w:tcPr>
          <w:p w14:paraId="1FF78A8B" w14:textId="77777777" w:rsidR="00367329" w:rsidRPr="00DD3D29" w:rsidRDefault="006B4C4E" w:rsidP="006B4C4E">
            <w:pPr>
              <w:pStyle w:val="ListParagraph"/>
              <w:ind w:hanging="720"/>
              <w:rPr>
                <w:rFonts w:ascii="Times New Roman" w:hAnsi="Times New Roman" w:cs="Times New Roman"/>
                <w:sz w:val="24"/>
                <w:szCs w:val="24"/>
              </w:rPr>
            </w:pPr>
            <w:r w:rsidRPr="00DD3D29">
              <w:rPr>
                <w:rFonts w:ascii="Times New Roman" w:hAnsi="Times New Roman" w:cs="Times New Roman"/>
                <w:sz w:val="24"/>
                <w:szCs w:val="24"/>
              </w:rPr>
              <w:t>Attachment</w:t>
            </w:r>
            <w:r w:rsidR="00DD3D29">
              <w:rPr>
                <w:rFonts w:ascii="Times New Roman" w:hAnsi="Times New Roman" w:cs="Times New Roman"/>
                <w:sz w:val="24"/>
                <w:szCs w:val="24"/>
              </w:rPr>
              <w:t xml:space="preserve"> </w:t>
            </w:r>
            <w:r w:rsidR="00C5735B">
              <w:rPr>
                <w:rFonts w:ascii="Times New Roman" w:hAnsi="Times New Roman" w:cs="Times New Roman"/>
                <w:sz w:val="24"/>
                <w:szCs w:val="24"/>
              </w:rPr>
              <w:t>A</w:t>
            </w:r>
            <w:r w:rsidR="00DD3D29">
              <w:rPr>
                <w:rFonts w:ascii="Times New Roman" w:hAnsi="Times New Roman" w:cs="Times New Roman"/>
                <w:sz w:val="24"/>
                <w:szCs w:val="24"/>
              </w:rPr>
              <w:t xml:space="preserve"> – Scheme use proportional to companies entering liquidation</w:t>
            </w:r>
          </w:p>
          <w:p w14:paraId="768AABD8" w14:textId="77777777" w:rsidR="006B4C4E" w:rsidRDefault="006B4C4E" w:rsidP="006B4C4E">
            <w:pPr>
              <w:pStyle w:val="ListParagraph"/>
              <w:ind w:hanging="720"/>
              <w:rPr>
                <w:rFonts w:ascii="Times New Roman" w:hAnsi="Times New Roman" w:cs="Times New Roman"/>
                <w:sz w:val="24"/>
                <w:szCs w:val="24"/>
                <w:u w:val="single"/>
              </w:rPr>
            </w:pPr>
          </w:p>
          <w:p w14:paraId="40EF63E5" w14:textId="77777777" w:rsidR="006B4C4E" w:rsidRDefault="00DD3D29" w:rsidP="006B4C4E">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Attachment </w:t>
            </w:r>
            <w:r w:rsidR="00C5735B">
              <w:rPr>
                <w:rFonts w:ascii="Times New Roman" w:hAnsi="Times New Roman" w:cs="Times New Roman"/>
                <w:sz w:val="24"/>
                <w:szCs w:val="24"/>
              </w:rPr>
              <w:t>B</w:t>
            </w:r>
            <w:r>
              <w:rPr>
                <w:rFonts w:ascii="Times New Roman" w:hAnsi="Times New Roman" w:cs="Times New Roman"/>
                <w:sz w:val="24"/>
                <w:szCs w:val="24"/>
              </w:rPr>
              <w:t xml:space="preserve"> – Business size profile of assistance paid under the schemes</w:t>
            </w:r>
          </w:p>
          <w:p w14:paraId="3AD82DB8" w14:textId="77777777" w:rsidR="006B4C4E" w:rsidRDefault="006B4C4E" w:rsidP="006B4C4E">
            <w:pPr>
              <w:pStyle w:val="ListParagraph"/>
              <w:ind w:hanging="720"/>
              <w:rPr>
                <w:rFonts w:ascii="Times New Roman" w:hAnsi="Times New Roman" w:cs="Times New Roman"/>
                <w:sz w:val="24"/>
                <w:szCs w:val="24"/>
              </w:rPr>
            </w:pPr>
          </w:p>
          <w:p w14:paraId="125ECA68" w14:textId="77777777" w:rsidR="006B4C4E" w:rsidRDefault="00DD3D29" w:rsidP="006B4C4E">
            <w:pPr>
              <w:pStyle w:val="ListParagraph"/>
              <w:ind w:left="284" w:hanging="284"/>
              <w:rPr>
                <w:rFonts w:ascii="Times New Roman" w:hAnsi="Times New Roman" w:cs="Times New Roman"/>
                <w:sz w:val="24"/>
                <w:szCs w:val="24"/>
              </w:rPr>
            </w:pPr>
            <w:r>
              <w:rPr>
                <w:rFonts w:ascii="Times New Roman" w:hAnsi="Times New Roman" w:cs="Times New Roman"/>
                <w:sz w:val="24"/>
                <w:szCs w:val="24"/>
              </w:rPr>
              <w:t xml:space="preserve">Attachment </w:t>
            </w:r>
            <w:r w:rsidR="00C5735B">
              <w:rPr>
                <w:rFonts w:ascii="Times New Roman" w:hAnsi="Times New Roman" w:cs="Times New Roman"/>
                <w:sz w:val="24"/>
                <w:szCs w:val="24"/>
              </w:rPr>
              <w:t>C</w:t>
            </w:r>
            <w:r>
              <w:rPr>
                <w:rFonts w:ascii="Times New Roman" w:hAnsi="Times New Roman" w:cs="Times New Roman"/>
                <w:sz w:val="24"/>
                <w:szCs w:val="24"/>
              </w:rPr>
              <w:t xml:space="preserve"> – Industry profile of assistance paid under the schemes</w:t>
            </w:r>
          </w:p>
          <w:p w14:paraId="5987B419" w14:textId="77777777" w:rsidR="006B4C4E" w:rsidRPr="006B4C4E" w:rsidRDefault="006B4C4E" w:rsidP="00B71106">
            <w:pPr>
              <w:pStyle w:val="ListParagraph"/>
              <w:ind w:left="284" w:hanging="284"/>
              <w:rPr>
                <w:rFonts w:ascii="Times New Roman" w:hAnsi="Times New Roman" w:cs="Times New Roman"/>
                <w:sz w:val="24"/>
                <w:szCs w:val="24"/>
              </w:rPr>
            </w:pPr>
          </w:p>
        </w:tc>
        <w:tc>
          <w:tcPr>
            <w:tcW w:w="770" w:type="dxa"/>
          </w:tcPr>
          <w:p w14:paraId="46150563" w14:textId="77777777" w:rsidR="00367329" w:rsidRDefault="00DD3D29" w:rsidP="00062BA1">
            <w:pPr>
              <w:rPr>
                <w:rFonts w:ascii="Times New Roman" w:hAnsi="Times New Roman" w:cs="Times New Roman"/>
                <w:sz w:val="24"/>
                <w:szCs w:val="24"/>
              </w:rPr>
            </w:pPr>
            <w:r>
              <w:rPr>
                <w:rFonts w:ascii="Times New Roman" w:hAnsi="Times New Roman" w:cs="Times New Roman"/>
                <w:sz w:val="24"/>
                <w:szCs w:val="24"/>
              </w:rPr>
              <w:t>1</w:t>
            </w:r>
            <w:r w:rsidR="00E44E81">
              <w:rPr>
                <w:rFonts w:ascii="Times New Roman" w:hAnsi="Times New Roman" w:cs="Times New Roman"/>
                <w:sz w:val="24"/>
                <w:szCs w:val="24"/>
              </w:rPr>
              <w:t>3</w:t>
            </w:r>
          </w:p>
          <w:p w14:paraId="2F7C8CCB" w14:textId="77777777" w:rsidR="006B4C4E" w:rsidRDefault="006B4C4E" w:rsidP="00062BA1">
            <w:pPr>
              <w:rPr>
                <w:rFonts w:ascii="Times New Roman" w:hAnsi="Times New Roman" w:cs="Times New Roman"/>
                <w:sz w:val="24"/>
                <w:szCs w:val="24"/>
              </w:rPr>
            </w:pPr>
          </w:p>
          <w:p w14:paraId="58321BD1" w14:textId="77777777" w:rsidR="006B4C4E" w:rsidRDefault="006B4C4E" w:rsidP="00062BA1">
            <w:pPr>
              <w:rPr>
                <w:rFonts w:ascii="Times New Roman" w:hAnsi="Times New Roman" w:cs="Times New Roman"/>
                <w:sz w:val="24"/>
                <w:szCs w:val="24"/>
              </w:rPr>
            </w:pPr>
            <w:r>
              <w:rPr>
                <w:rFonts w:ascii="Times New Roman" w:hAnsi="Times New Roman" w:cs="Times New Roman"/>
                <w:sz w:val="24"/>
                <w:szCs w:val="24"/>
              </w:rPr>
              <w:t>1</w:t>
            </w:r>
            <w:r w:rsidR="00E44E81">
              <w:rPr>
                <w:rFonts w:ascii="Times New Roman" w:hAnsi="Times New Roman" w:cs="Times New Roman"/>
                <w:sz w:val="24"/>
                <w:szCs w:val="24"/>
              </w:rPr>
              <w:t>4</w:t>
            </w:r>
          </w:p>
          <w:p w14:paraId="1561F320" w14:textId="77777777" w:rsidR="006B4C4E" w:rsidRDefault="006B4C4E" w:rsidP="00062BA1">
            <w:pPr>
              <w:rPr>
                <w:rFonts w:ascii="Times New Roman" w:hAnsi="Times New Roman" w:cs="Times New Roman"/>
                <w:sz w:val="24"/>
                <w:szCs w:val="24"/>
              </w:rPr>
            </w:pPr>
          </w:p>
          <w:p w14:paraId="69B8D010" w14:textId="77777777" w:rsidR="006B4C4E" w:rsidRDefault="006B4C4E" w:rsidP="00062BA1">
            <w:pPr>
              <w:rPr>
                <w:rFonts w:ascii="Times New Roman" w:hAnsi="Times New Roman" w:cs="Times New Roman"/>
                <w:sz w:val="24"/>
                <w:szCs w:val="24"/>
              </w:rPr>
            </w:pPr>
            <w:r>
              <w:rPr>
                <w:rFonts w:ascii="Times New Roman" w:hAnsi="Times New Roman" w:cs="Times New Roman"/>
                <w:sz w:val="24"/>
                <w:szCs w:val="24"/>
              </w:rPr>
              <w:t>1</w:t>
            </w:r>
            <w:r w:rsidR="00E44E81">
              <w:rPr>
                <w:rFonts w:ascii="Times New Roman" w:hAnsi="Times New Roman" w:cs="Times New Roman"/>
                <w:sz w:val="24"/>
                <w:szCs w:val="24"/>
              </w:rPr>
              <w:t>5</w:t>
            </w:r>
          </w:p>
          <w:p w14:paraId="7212F3EA" w14:textId="77777777" w:rsidR="006B4C4E" w:rsidRDefault="006B4C4E" w:rsidP="00062BA1">
            <w:pPr>
              <w:rPr>
                <w:rFonts w:ascii="Times New Roman" w:hAnsi="Times New Roman" w:cs="Times New Roman"/>
                <w:sz w:val="24"/>
                <w:szCs w:val="24"/>
              </w:rPr>
            </w:pPr>
          </w:p>
        </w:tc>
      </w:tr>
    </w:tbl>
    <w:p w14:paraId="77A11513" w14:textId="77777777" w:rsidR="00EC17AB" w:rsidRDefault="00EC17AB" w:rsidP="00062BA1">
      <w:pPr>
        <w:rPr>
          <w:rFonts w:ascii="Times New Roman" w:hAnsi="Times New Roman" w:cs="Times New Roman"/>
          <w:b/>
          <w:sz w:val="28"/>
          <w:szCs w:val="28"/>
        </w:rPr>
      </w:pPr>
    </w:p>
    <w:p w14:paraId="79B263FF" w14:textId="77777777" w:rsidR="00EC17AB" w:rsidRDefault="00EC17AB">
      <w:pPr>
        <w:rPr>
          <w:rFonts w:ascii="Times New Roman" w:hAnsi="Times New Roman" w:cs="Times New Roman"/>
          <w:b/>
          <w:sz w:val="28"/>
          <w:szCs w:val="28"/>
        </w:rPr>
      </w:pPr>
      <w:r>
        <w:rPr>
          <w:rFonts w:ascii="Times New Roman" w:hAnsi="Times New Roman" w:cs="Times New Roman"/>
          <w:b/>
          <w:sz w:val="28"/>
          <w:szCs w:val="28"/>
        </w:rPr>
        <w:br w:type="page"/>
      </w:r>
    </w:p>
    <w:p w14:paraId="4BB335A2" w14:textId="77777777" w:rsidR="00062BA1" w:rsidRPr="00B01F2F" w:rsidRDefault="00062BA1">
      <w:pPr>
        <w:rPr>
          <w:rFonts w:ascii="Times New Roman" w:hAnsi="Times New Roman" w:cs="Times New Roman"/>
          <w:b/>
          <w:sz w:val="28"/>
          <w:szCs w:val="28"/>
        </w:rPr>
      </w:pPr>
      <w:r w:rsidRPr="00B01F2F">
        <w:rPr>
          <w:rFonts w:ascii="Times New Roman" w:hAnsi="Times New Roman" w:cs="Times New Roman"/>
          <w:b/>
          <w:sz w:val="28"/>
          <w:szCs w:val="28"/>
        </w:rPr>
        <w:lastRenderedPageBreak/>
        <w:t>Introduction</w:t>
      </w:r>
      <w:r w:rsidR="0073795F">
        <w:rPr>
          <w:rFonts w:ascii="Times New Roman" w:hAnsi="Times New Roman" w:cs="Times New Roman"/>
          <w:b/>
          <w:sz w:val="28"/>
          <w:szCs w:val="28"/>
        </w:rPr>
        <w:t xml:space="preserve"> and purpose of the submission</w:t>
      </w:r>
    </w:p>
    <w:p w14:paraId="351D5567" w14:textId="77777777" w:rsidR="00062BA1" w:rsidRPr="00B01F2F" w:rsidRDefault="00355670" w:rsidP="005677CA">
      <w:pPr>
        <w:pStyle w:val="ListParagraph"/>
        <w:numPr>
          <w:ilvl w:val="0"/>
          <w:numId w:val="50"/>
        </w:numPr>
        <w:ind w:left="426" w:hanging="426"/>
        <w:rPr>
          <w:rFonts w:ascii="Times New Roman" w:hAnsi="Times New Roman" w:cs="Times New Roman"/>
          <w:sz w:val="24"/>
          <w:szCs w:val="24"/>
        </w:rPr>
      </w:pPr>
      <w:r w:rsidRPr="00B01F2F">
        <w:rPr>
          <w:rFonts w:ascii="Times New Roman" w:hAnsi="Times New Roman" w:cs="Times New Roman"/>
          <w:sz w:val="24"/>
          <w:szCs w:val="24"/>
        </w:rPr>
        <w:t xml:space="preserve">The Department of Employment </w:t>
      </w:r>
      <w:r w:rsidR="006A0AC9" w:rsidRPr="00B01F2F">
        <w:rPr>
          <w:rFonts w:ascii="Times New Roman" w:hAnsi="Times New Roman" w:cs="Times New Roman"/>
          <w:sz w:val="24"/>
          <w:szCs w:val="24"/>
        </w:rPr>
        <w:t xml:space="preserve">(the Department) </w:t>
      </w:r>
      <w:r w:rsidRPr="00B01F2F">
        <w:rPr>
          <w:rFonts w:ascii="Times New Roman" w:hAnsi="Times New Roman" w:cs="Times New Roman"/>
          <w:sz w:val="24"/>
          <w:szCs w:val="24"/>
        </w:rPr>
        <w:t xml:space="preserve">welcomes the opportunity to make a written submission to the </w:t>
      </w:r>
      <w:r w:rsidR="00A05312">
        <w:rPr>
          <w:rFonts w:ascii="Times New Roman" w:hAnsi="Times New Roman" w:cs="Times New Roman"/>
          <w:sz w:val="24"/>
          <w:szCs w:val="24"/>
        </w:rPr>
        <w:t xml:space="preserve">Productivity Commission </w:t>
      </w:r>
      <w:r w:rsidRPr="00B01F2F">
        <w:rPr>
          <w:rFonts w:ascii="Times New Roman" w:hAnsi="Times New Roman" w:cs="Times New Roman"/>
          <w:sz w:val="24"/>
          <w:szCs w:val="24"/>
        </w:rPr>
        <w:t xml:space="preserve">inquiry into </w:t>
      </w:r>
      <w:r w:rsidR="00A05312">
        <w:rPr>
          <w:rFonts w:ascii="Times New Roman" w:hAnsi="Times New Roman" w:cs="Times New Roman"/>
          <w:sz w:val="24"/>
          <w:szCs w:val="24"/>
        </w:rPr>
        <w:t>Business Set-up, Transfer and Closure</w:t>
      </w:r>
      <w:r w:rsidR="00B71106">
        <w:rPr>
          <w:rFonts w:ascii="Times New Roman" w:hAnsi="Times New Roman" w:cs="Times New Roman"/>
          <w:sz w:val="24"/>
          <w:szCs w:val="24"/>
        </w:rPr>
        <w:t>, which is investigating impediments faced in setting up or closing businesses in Australia and the impact of these barriers on overall economic performance</w:t>
      </w:r>
      <w:r w:rsidR="00A05312">
        <w:rPr>
          <w:rFonts w:ascii="Times New Roman" w:hAnsi="Times New Roman" w:cs="Times New Roman"/>
          <w:sz w:val="24"/>
          <w:szCs w:val="24"/>
        </w:rPr>
        <w:t>.</w:t>
      </w:r>
    </w:p>
    <w:p w14:paraId="41622A2F" w14:textId="77777777" w:rsidR="00636556" w:rsidRPr="006A0AC9" w:rsidRDefault="00636556">
      <w:pPr>
        <w:pStyle w:val="ListParagraph"/>
        <w:spacing w:after="0" w:line="240" w:lineRule="auto"/>
        <w:rPr>
          <w:rFonts w:cstheme="minorHAnsi"/>
        </w:rPr>
      </w:pPr>
    </w:p>
    <w:p w14:paraId="6DF917C6" w14:textId="77777777" w:rsidR="00D54E03" w:rsidRPr="00E44E81" w:rsidRDefault="006D58CA" w:rsidP="005677CA">
      <w:pPr>
        <w:pStyle w:val="ListParagraph"/>
        <w:numPr>
          <w:ilvl w:val="0"/>
          <w:numId w:val="50"/>
        </w:numPr>
        <w:ind w:left="426" w:hanging="426"/>
        <w:rPr>
          <w:rFonts w:ascii="Times New Roman" w:hAnsi="Times New Roman" w:cs="Times New Roman"/>
          <w:sz w:val="24"/>
          <w:szCs w:val="24"/>
        </w:rPr>
      </w:pPr>
      <w:r>
        <w:rPr>
          <w:rFonts w:ascii="Times New Roman" w:hAnsi="Times New Roman" w:cs="Times New Roman"/>
          <w:sz w:val="24"/>
          <w:szCs w:val="24"/>
        </w:rPr>
        <w:t xml:space="preserve">The </w:t>
      </w:r>
      <w:r w:rsidR="00A40958">
        <w:rPr>
          <w:rFonts w:ascii="Times New Roman" w:hAnsi="Times New Roman" w:cs="Times New Roman"/>
          <w:sz w:val="24"/>
          <w:szCs w:val="24"/>
        </w:rPr>
        <w:t xml:space="preserve">Department advises Government on national policies and programmes that help Australians find and keep employment and </w:t>
      </w:r>
      <w:r>
        <w:rPr>
          <w:rFonts w:ascii="Times New Roman" w:hAnsi="Times New Roman" w:cs="Times New Roman"/>
          <w:sz w:val="24"/>
          <w:szCs w:val="24"/>
        </w:rPr>
        <w:t xml:space="preserve">to </w:t>
      </w:r>
      <w:r w:rsidR="00A40958">
        <w:rPr>
          <w:rFonts w:ascii="Times New Roman" w:hAnsi="Times New Roman" w:cs="Times New Roman"/>
          <w:sz w:val="24"/>
          <w:szCs w:val="24"/>
        </w:rPr>
        <w:t xml:space="preserve">work in safe, fair and productive </w:t>
      </w:r>
      <w:r w:rsidR="00A40958" w:rsidRPr="00E44E81">
        <w:rPr>
          <w:rFonts w:ascii="Times New Roman" w:hAnsi="Times New Roman" w:cs="Times New Roman"/>
          <w:sz w:val="24"/>
          <w:szCs w:val="24"/>
        </w:rPr>
        <w:t xml:space="preserve">workplaces.  </w:t>
      </w:r>
    </w:p>
    <w:p w14:paraId="08120ACF" w14:textId="77777777" w:rsidR="00D54E03" w:rsidRPr="00E44E81" w:rsidRDefault="00D54E03">
      <w:pPr>
        <w:pStyle w:val="ListParagraph"/>
        <w:rPr>
          <w:rFonts w:ascii="Times New Roman" w:hAnsi="Times New Roman" w:cs="Times New Roman"/>
          <w:sz w:val="24"/>
          <w:szCs w:val="24"/>
        </w:rPr>
      </w:pPr>
    </w:p>
    <w:p w14:paraId="37354EB0" w14:textId="77777777" w:rsidR="00380CF3" w:rsidRPr="007373EF" w:rsidRDefault="00270647" w:rsidP="005677CA">
      <w:pPr>
        <w:pStyle w:val="ListParagraph"/>
        <w:numPr>
          <w:ilvl w:val="0"/>
          <w:numId w:val="50"/>
        </w:numPr>
        <w:ind w:left="426" w:hanging="426"/>
        <w:rPr>
          <w:rFonts w:ascii="Times New Roman" w:hAnsi="Times New Roman" w:cs="Times New Roman"/>
          <w:i/>
          <w:sz w:val="24"/>
          <w:szCs w:val="24"/>
        </w:rPr>
      </w:pPr>
      <w:r w:rsidRPr="00E44E81">
        <w:rPr>
          <w:rFonts w:ascii="Times New Roman" w:hAnsi="Times New Roman" w:cs="Times New Roman"/>
          <w:sz w:val="24"/>
          <w:szCs w:val="24"/>
        </w:rPr>
        <w:t xml:space="preserve">By its nature </w:t>
      </w:r>
      <w:r w:rsidR="00D54E03" w:rsidRPr="00E44E81">
        <w:rPr>
          <w:rFonts w:ascii="Times New Roman" w:hAnsi="Times New Roman" w:cs="Times New Roman"/>
          <w:sz w:val="24"/>
          <w:szCs w:val="24"/>
        </w:rPr>
        <w:t xml:space="preserve">Australia’s workplace relations framework, </w:t>
      </w:r>
      <w:r w:rsidR="00D54E03" w:rsidRPr="00E44E81">
        <w:rPr>
          <w:rFonts w:ascii="Times New Roman" w:hAnsi="Times New Roman" w:cs="Times New Roman"/>
          <w:sz w:val="24"/>
          <w:szCs w:val="24"/>
          <w:lang w:val="en"/>
        </w:rPr>
        <w:t>with its safety net of minimum terms and conditions of employment and range of workplace rights and responsibilities,</w:t>
      </w:r>
      <w:r w:rsidR="00D54E03" w:rsidRPr="007373EF">
        <w:rPr>
          <w:rFonts w:ascii="Times New Roman" w:hAnsi="Times New Roman" w:cs="Times New Roman"/>
          <w:sz w:val="24"/>
          <w:szCs w:val="24"/>
          <w:lang w:val="en"/>
        </w:rPr>
        <w:t xml:space="preserve"> regulates</w:t>
      </w:r>
      <w:r w:rsidRPr="007373EF">
        <w:rPr>
          <w:rFonts w:ascii="Times New Roman" w:hAnsi="Times New Roman" w:cs="Times New Roman"/>
          <w:sz w:val="24"/>
          <w:szCs w:val="24"/>
        </w:rPr>
        <w:t xml:space="preserve"> </w:t>
      </w:r>
      <w:r w:rsidR="00D54E03" w:rsidRPr="007373EF">
        <w:rPr>
          <w:rFonts w:ascii="Times New Roman" w:hAnsi="Times New Roman" w:cs="Times New Roman"/>
          <w:sz w:val="24"/>
          <w:szCs w:val="24"/>
        </w:rPr>
        <w:t xml:space="preserve">to some degree how business conducts its operations in terms of the people it employs. The </w:t>
      </w:r>
      <w:r w:rsidR="00BE3ABB">
        <w:rPr>
          <w:rFonts w:ascii="Times New Roman" w:hAnsi="Times New Roman" w:cs="Times New Roman"/>
          <w:sz w:val="24"/>
          <w:szCs w:val="24"/>
        </w:rPr>
        <w:t xml:space="preserve">performance of the Workplace Relations Framework including the </w:t>
      </w:r>
      <w:r w:rsidR="006E6D96">
        <w:rPr>
          <w:rFonts w:ascii="Times New Roman" w:hAnsi="Times New Roman" w:cs="Times New Roman"/>
          <w:sz w:val="24"/>
          <w:szCs w:val="24"/>
        </w:rPr>
        <w:br/>
      </w:r>
      <w:r w:rsidR="00BE3ABB" w:rsidRPr="00BC499B">
        <w:rPr>
          <w:rFonts w:ascii="Times New Roman" w:hAnsi="Times New Roman" w:cs="Times New Roman"/>
          <w:i/>
          <w:sz w:val="24"/>
          <w:szCs w:val="24"/>
        </w:rPr>
        <w:t>Fair Work Act 2009</w:t>
      </w:r>
      <w:r w:rsidR="00BE3ABB">
        <w:rPr>
          <w:rFonts w:ascii="Times New Roman" w:hAnsi="Times New Roman" w:cs="Times New Roman"/>
          <w:sz w:val="24"/>
          <w:szCs w:val="24"/>
        </w:rPr>
        <w:t xml:space="preserve"> (Fair Work Act) is the focus of a separate inquiry by the Productivity Commission. The Department will be making a submission to that inquiry</w:t>
      </w:r>
      <w:r w:rsidR="00380CF3" w:rsidRPr="007373EF">
        <w:rPr>
          <w:rFonts w:ascii="Times New Roman" w:hAnsi="Times New Roman" w:cs="Times New Roman"/>
          <w:sz w:val="24"/>
          <w:szCs w:val="24"/>
        </w:rPr>
        <w:t xml:space="preserve">.  </w:t>
      </w:r>
      <w:r w:rsidR="00380CF3">
        <w:rPr>
          <w:rFonts w:ascii="Times New Roman" w:hAnsi="Times New Roman" w:cs="Times New Roman"/>
          <w:sz w:val="24"/>
          <w:szCs w:val="24"/>
        </w:rPr>
        <w:t>Accordingly this</w:t>
      </w:r>
      <w:r w:rsidR="0073795F" w:rsidRPr="0073795F">
        <w:rPr>
          <w:rFonts w:ascii="Times New Roman" w:hAnsi="Times New Roman" w:cs="Times New Roman"/>
          <w:sz w:val="24"/>
          <w:szCs w:val="24"/>
        </w:rPr>
        <w:t xml:space="preserve"> submission </w:t>
      </w:r>
      <w:r w:rsidR="0073795F">
        <w:rPr>
          <w:rFonts w:ascii="Times New Roman" w:hAnsi="Times New Roman" w:cs="Times New Roman"/>
          <w:sz w:val="24"/>
          <w:szCs w:val="24"/>
        </w:rPr>
        <w:t xml:space="preserve">addresses </w:t>
      </w:r>
      <w:r w:rsidR="00380CF3">
        <w:rPr>
          <w:rFonts w:ascii="Times New Roman" w:hAnsi="Times New Roman" w:cs="Times New Roman"/>
          <w:sz w:val="24"/>
          <w:szCs w:val="24"/>
        </w:rPr>
        <w:t xml:space="preserve">areas of contribution that largely fall outside of the operation of the </w:t>
      </w:r>
      <w:r w:rsidR="00180CC8">
        <w:rPr>
          <w:rFonts w:ascii="Times New Roman" w:hAnsi="Times New Roman" w:cs="Times New Roman"/>
          <w:sz w:val="24"/>
          <w:szCs w:val="24"/>
        </w:rPr>
        <w:t>Fair Work</w:t>
      </w:r>
      <w:r w:rsidR="00380CF3">
        <w:rPr>
          <w:rFonts w:ascii="Times New Roman" w:hAnsi="Times New Roman" w:cs="Times New Roman"/>
          <w:sz w:val="24"/>
          <w:szCs w:val="24"/>
        </w:rPr>
        <w:t xml:space="preserve"> Act</w:t>
      </w:r>
      <w:r w:rsidR="00033F18">
        <w:rPr>
          <w:rFonts w:ascii="Times New Roman" w:hAnsi="Times New Roman" w:cs="Times New Roman"/>
          <w:sz w:val="24"/>
          <w:szCs w:val="24"/>
        </w:rPr>
        <w:t>.</w:t>
      </w:r>
    </w:p>
    <w:p w14:paraId="13188537" w14:textId="77777777" w:rsidR="00380CF3" w:rsidRPr="008E34CA" w:rsidRDefault="00380CF3">
      <w:pPr>
        <w:pStyle w:val="ListParagraph"/>
        <w:spacing w:after="0" w:line="240" w:lineRule="auto"/>
        <w:rPr>
          <w:rFonts w:ascii="Times New Roman" w:hAnsi="Times New Roman" w:cs="Times New Roman"/>
          <w:sz w:val="24"/>
          <w:szCs w:val="24"/>
        </w:rPr>
      </w:pPr>
    </w:p>
    <w:p w14:paraId="2EBB4933" w14:textId="77777777" w:rsidR="006A6DD7" w:rsidRPr="007373EF" w:rsidRDefault="00380CF3" w:rsidP="005677CA">
      <w:pPr>
        <w:pStyle w:val="ListParagraph"/>
        <w:numPr>
          <w:ilvl w:val="0"/>
          <w:numId w:val="50"/>
        </w:numPr>
        <w:spacing w:after="0" w:line="240" w:lineRule="auto"/>
        <w:ind w:left="426" w:hanging="426"/>
        <w:rPr>
          <w:i/>
        </w:rPr>
      </w:pPr>
      <w:r w:rsidRPr="005677CA">
        <w:rPr>
          <w:rFonts w:ascii="Times New Roman" w:hAnsi="Times New Roman" w:cs="Times New Roman"/>
          <w:sz w:val="24"/>
          <w:szCs w:val="24"/>
        </w:rPr>
        <w:t>This submission deals with:</w:t>
      </w:r>
      <w:r w:rsidR="006A6DD7" w:rsidRPr="005677CA" w:rsidDel="006A6DD7">
        <w:rPr>
          <w:rFonts w:ascii="Times New Roman" w:hAnsi="Times New Roman" w:cs="Times New Roman"/>
          <w:i/>
          <w:sz w:val="24"/>
          <w:szCs w:val="24"/>
        </w:rPr>
        <w:t xml:space="preserve"> </w:t>
      </w:r>
    </w:p>
    <w:p w14:paraId="61F40889" w14:textId="77777777" w:rsidR="0073795F" w:rsidRPr="0073795F" w:rsidRDefault="0073795F" w:rsidP="005677CA">
      <w:pPr>
        <w:pStyle w:val="ListParagraph"/>
        <w:spacing w:after="0" w:line="240" w:lineRule="auto"/>
        <w:rPr>
          <w:rFonts w:ascii="Times New Roman" w:hAnsi="Times New Roman" w:cs="Times New Roman"/>
          <w:i/>
          <w:sz w:val="24"/>
          <w:szCs w:val="24"/>
        </w:rPr>
      </w:pPr>
    </w:p>
    <w:p w14:paraId="69F855E5" w14:textId="77777777" w:rsidR="00AE1DD1" w:rsidRPr="005677CA" w:rsidRDefault="00B2366A">
      <w:pPr>
        <w:pStyle w:val="ListParagraph"/>
        <w:numPr>
          <w:ilvl w:val="0"/>
          <w:numId w:val="34"/>
        </w:numPr>
        <w:spacing w:after="0" w:line="240" w:lineRule="auto"/>
        <w:ind w:left="851" w:hanging="142"/>
        <w:rPr>
          <w:rFonts w:ascii="Times New Roman" w:hAnsi="Times New Roman" w:cs="Times New Roman"/>
          <w:i/>
          <w:sz w:val="24"/>
          <w:szCs w:val="24"/>
        </w:rPr>
      </w:pPr>
      <w:r>
        <w:rPr>
          <w:rFonts w:ascii="Times New Roman" w:hAnsi="Times New Roman" w:cs="Times New Roman"/>
          <w:sz w:val="24"/>
          <w:szCs w:val="24"/>
        </w:rPr>
        <w:t>the</w:t>
      </w:r>
      <w:r w:rsidR="0073795F" w:rsidRPr="0073795F">
        <w:rPr>
          <w:rFonts w:ascii="Times New Roman" w:hAnsi="Times New Roman" w:cs="Times New Roman"/>
          <w:sz w:val="24"/>
          <w:szCs w:val="24"/>
        </w:rPr>
        <w:t xml:space="preserve"> </w:t>
      </w:r>
      <w:r w:rsidR="0073795F">
        <w:rPr>
          <w:rFonts w:ascii="Times New Roman" w:hAnsi="Times New Roman" w:cs="Times New Roman"/>
          <w:sz w:val="24"/>
          <w:szCs w:val="24"/>
        </w:rPr>
        <w:t>t</w:t>
      </w:r>
      <w:r w:rsidR="00AE1DD1" w:rsidRPr="0073795F">
        <w:rPr>
          <w:rFonts w:ascii="Times New Roman" w:hAnsi="Times New Roman" w:cs="Times New Roman"/>
          <w:sz w:val="24"/>
          <w:szCs w:val="24"/>
        </w:rPr>
        <w:t>ransfer of business arrangements</w:t>
      </w:r>
      <w:r w:rsidR="00F82D3F">
        <w:rPr>
          <w:rFonts w:ascii="Times New Roman" w:hAnsi="Times New Roman" w:cs="Times New Roman"/>
          <w:sz w:val="24"/>
          <w:szCs w:val="24"/>
        </w:rPr>
        <w:t xml:space="preserve"> under the F</w:t>
      </w:r>
      <w:r w:rsidR="00BE3ABB">
        <w:rPr>
          <w:rFonts w:ascii="Times New Roman" w:hAnsi="Times New Roman" w:cs="Times New Roman"/>
          <w:sz w:val="24"/>
          <w:szCs w:val="24"/>
        </w:rPr>
        <w:t>air Work</w:t>
      </w:r>
      <w:r w:rsidR="00F82D3F">
        <w:rPr>
          <w:rFonts w:ascii="Times New Roman" w:hAnsi="Times New Roman" w:cs="Times New Roman"/>
          <w:sz w:val="24"/>
          <w:szCs w:val="24"/>
        </w:rPr>
        <w:t xml:space="preserve"> Act</w:t>
      </w:r>
      <w:r>
        <w:rPr>
          <w:rFonts w:ascii="Times New Roman" w:hAnsi="Times New Roman" w:cs="Times New Roman"/>
          <w:sz w:val="24"/>
          <w:szCs w:val="24"/>
        </w:rPr>
        <w:t>, primarily to note the obligations place</w:t>
      </w:r>
      <w:r w:rsidR="00BE3ABB">
        <w:rPr>
          <w:rFonts w:ascii="Times New Roman" w:hAnsi="Times New Roman" w:cs="Times New Roman"/>
          <w:sz w:val="24"/>
          <w:szCs w:val="24"/>
        </w:rPr>
        <w:t>d</w:t>
      </w:r>
      <w:r>
        <w:rPr>
          <w:rFonts w:ascii="Times New Roman" w:hAnsi="Times New Roman" w:cs="Times New Roman"/>
          <w:sz w:val="24"/>
          <w:szCs w:val="24"/>
        </w:rPr>
        <w:t xml:space="preserve"> on business operators</w:t>
      </w:r>
      <w:r w:rsidR="00BE3ABB">
        <w:rPr>
          <w:rFonts w:ascii="Times New Roman" w:hAnsi="Times New Roman" w:cs="Times New Roman"/>
          <w:sz w:val="24"/>
          <w:szCs w:val="24"/>
        </w:rPr>
        <w:t>;</w:t>
      </w:r>
    </w:p>
    <w:p w14:paraId="77042222" w14:textId="77777777" w:rsidR="006A6DD7" w:rsidRPr="005677CA" w:rsidRDefault="006A6DD7" w:rsidP="005677CA">
      <w:pPr>
        <w:pStyle w:val="ListParagraph"/>
        <w:spacing w:after="0" w:line="240" w:lineRule="auto"/>
        <w:rPr>
          <w:rFonts w:ascii="Times New Roman" w:hAnsi="Times New Roman" w:cs="Times New Roman"/>
          <w:i/>
          <w:sz w:val="24"/>
          <w:szCs w:val="24"/>
        </w:rPr>
      </w:pPr>
    </w:p>
    <w:p w14:paraId="749E5A6D" w14:textId="77777777" w:rsidR="006A6DD7" w:rsidRPr="006A6DD7" w:rsidRDefault="006A6DD7">
      <w:pPr>
        <w:pStyle w:val="ListParagraph"/>
        <w:numPr>
          <w:ilvl w:val="0"/>
          <w:numId w:val="34"/>
        </w:numPr>
        <w:spacing w:after="0" w:line="240" w:lineRule="auto"/>
        <w:ind w:left="851" w:hanging="142"/>
        <w:rPr>
          <w:rFonts w:ascii="Times New Roman" w:hAnsi="Times New Roman" w:cs="Times New Roman"/>
          <w:i/>
          <w:sz w:val="24"/>
          <w:szCs w:val="24"/>
        </w:rPr>
      </w:pPr>
      <w:r>
        <w:rPr>
          <w:rFonts w:ascii="Times New Roman" w:hAnsi="Times New Roman" w:cs="Times New Roman"/>
          <w:sz w:val="24"/>
          <w:szCs w:val="24"/>
        </w:rPr>
        <w:t>t</w:t>
      </w:r>
      <w:r w:rsidRPr="005677CA">
        <w:rPr>
          <w:rFonts w:ascii="Times New Roman" w:hAnsi="Times New Roman" w:cs="Times New Roman"/>
          <w:sz w:val="24"/>
          <w:szCs w:val="24"/>
        </w:rPr>
        <w:t xml:space="preserve">he </w:t>
      </w:r>
      <w:r>
        <w:rPr>
          <w:rFonts w:ascii="Times New Roman" w:hAnsi="Times New Roman" w:cs="Times New Roman"/>
          <w:sz w:val="24"/>
          <w:szCs w:val="24"/>
        </w:rPr>
        <w:t xml:space="preserve">Australian </w:t>
      </w:r>
      <w:r w:rsidRPr="005677CA">
        <w:rPr>
          <w:rFonts w:ascii="Times New Roman" w:hAnsi="Times New Roman" w:cs="Times New Roman"/>
          <w:sz w:val="24"/>
          <w:szCs w:val="24"/>
        </w:rPr>
        <w:t xml:space="preserve">Government’s deregulation agenda and specific examples of measures associated with the workplace relations framework and the </w:t>
      </w:r>
      <w:r w:rsidR="006E6D96">
        <w:rPr>
          <w:rFonts w:ascii="Times New Roman" w:hAnsi="Times New Roman" w:cs="Times New Roman"/>
          <w:sz w:val="24"/>
          <w:szCs w:val="24"/>
        </w:rPr>
        <w:br/>
      </w:r>
      <w:r w:rsidRPr="005677CA">
        <w:rPr>
          <w:rFonts w:ascii="Times New Roman" w:hAnsi="Times New Roman" w:cs="Times New Roman"/>
          <w:i/>
          <w:iCs/>
          <w:sz w:val="24"/>
          <w:szCs w:val="24"/>
        </w:rPr>
        <w:t>Work Health and Safety Act 2011</w:t>
      </w:r>
      <w:r w:rsidRPr="005677CA">
        <w:rPr>
          <w:rFonts w:ascii="Times New Roman" w:hAnsi="Times New Roman" w:cs="Times New Roman"/>
          <w:sz w:val="24"/>
          <w:szCs w:val="24"/>
        </w:rPr>
        <w:t xml:space="preserve"> that are designed to reduce the red tape burden</w:t>
      </w:r>
      <w:r>
        <w:rPr>
          <w:rFonts w:ascii="Times New Roman" w:hAnsi="Times New Roman" w:cs="Times New Roman"/>
          <w:sz w:val="24"/>
          <w:szCs w:val="24"/>
        </w:rPr>
        <w:t>; and</w:t>
      </w:r>
    </w:p>
    <w:p w14:paraId="79FFECF9" w14:textId="77777777" w:rsidR="00F82D3F" w:rsidRPr="00F82D3F" w:rsidRDefault="00F82D3F">
      <w:pPr>
        <w:pStyle w:val="ListParagraph"/>
        <w:spacing w:after="0" w:line="240" w:lineRule="auto"/>
        <w:ind w:left="851" w:hanging="142"/>
        <w:rPr>
          <w:rFonts w:ascii="Times New Roman" w:hAnsi="Times New Roman" w:cs="Times New Roman"/>
          <w:i/>
          <w:sz w:val="24"/>
          <w:szCs w:val="24"/>
        </w:rPr>
      </w:pPr>
    </w:p>
    <w:p w14:paraId="6A330384" w14:textId="77777777" w:rsidR="005A19D3" w:rsidRPr="00F82D3F" w:rsidRDefault="00F82D3F">
      <w:pPr>
        <w:pStyle w:val="ListParagraph"/>
        <w:numPr>
          <w:ilvl w:val="0"/>
          <w:numId w:val="34"/>
        </w:numPr>
        <w:spacing w:after="0" w:line="240" w:lineRule="auto"/>
        <w:ind w:left="851" w:hanging="142"/>
        <w:rPr>
          <w:rFonts w:ascii="Times New Roman" w:hAnsi="Times New Roman" w:cs="Times New Roman"/>
          <w:sz w:val="24"/>
          <w:szCs w:val="24"/>
        </w:rPr>
      </w:pPr>
      <w:r w:rsidRPr="00F82D3F">
        <w:rPr>
          <w:rFonts w:ascii="Times New Roman" w:hAnsi="Times New Roman" w:cs="Times New Roman"/>
          <w:sz w:val="24"/>
          <w:szCs w:val="24"/>
        </w:rPr>
        <w:t xml:space="preserve">the </w:t>
      </w:r>
      <w:r w:rsidR="00DA3B69" w:rsidRPr="00F82D3F">
        <w:rPr>
          <w:rFonts w:ascii="Times New Roman" w:hAnsi="Times New Roman" w:cs="Times New Roman"/>
          <w:sz w:val="24"/>
          <w:szCs w:val="24"/>
        </w:rPr>
        <w:t>F</w:t>
      </w:r>
      <w:r w:rsidR="0073795F" w:rsidRPr="00F82D3F">
        <w:rPr>
          <w:rFonts w:ascii="Times New Roman" w:hAnsi="Times New Roman" w:cs="Times New Roman"/>
          <w:sz w:val="24"/>
          <w:szCs w:val="24"/>
        </w:rPr>
        <w:t xml:space="preserve">air </w:t>
      </w:r>
      <w:r w:rsidR="00004EB4" w:rsidRPr="00F82D3F">
        <w:rPr>
          <w:rFonts w:ascii="Times New Roman" w:hAnsi="Times New Roman" w:cs="Times New Roman"/>
          <w:sz w:val="24"/>
          <w:szCs w:val="24"/>
        </w:rPr>
        <w:t>E</w:t>
      </w:r>
      <w:r w:rsidR="0073795F" w:rsidRPr="00F82D3F">
        <w:rPr>
          <w:rFonts w:ascii="Times New Roman" w:hAnsi="Times New Roman" w:cs="Times New Roman"/>
          <w:sz w:val="24"/>
          <w:szCs w:val="24"/>
        </w:rPr>
        <w:t xml:space="preserve">ntitlements </w:t>
      </w:r>
      <w:r w:rsidR="00004EB4" w:rsidRPr="00F82D3F">
        <w:rPr>
          <w:rFonts w:ascii="Times New Roman" w:hAnsi="Times New Roman" w:cs="Times New Roman"/>
          <w:sz w:val="24"/>
          <w:szCs w:val="24"/>
        </w:rPr>
        <w:t>G</w:t>
      </w:r>
      <w:r w:rsidR="0073795F" w:rsidRPr="00F82D3F">
        <w:rPr>
          <w:rFonts w:ascii="Times New Roman" w:hAnsi="Times New Roman" w:cs="Times New Roman"/>
          <w:sz w:val="24"/>
          <w:szCs w:val="24"/>
        </w:rPr>
        <w:t>uarantee</w:t>
      </w:r>
      <w:r>
        <w:rPr>
          <w:rFonts w:ascii="Times New Roman" w:hAnsi="Times New Roman" w:cs="Times New Roman"/>
          <w:sz w:val="24"/>
          <w:szCs w:val="24"/>
        </w:rPr>
        <w:t xml:space="preserve"> (FEG</w:t>
      </w:r>
      <w:r w:rsidR="00B2366A">
        <w:rPr>
          <w:rFonts w:ascii="Times New Roman" w:hAnsi="Times New Roman" w:cs="Times New Roman"/>
          <w:sz w:val="24"/>
          <w:szCs w:val="24"/>
        </w:rPr>
        <w:t>) includ</w:t>
      </w:r>
      <w:r w:rsidR="00BE3ABB">
        <w:rPr>
          <w:rFonts w:ascii="Times New Roman" w:hAnsi="Times New Roman" w:cs="Times New Roman"/>
          <w:sz w:val="24"/>
          <w:szCs w:val="24"/>
        </w:rPr>
        <w:t>ing</w:t>
      </w:r>
      <w:r w:rsidR="00B2366A">
        <w:rPr>
          <w:rFonts w:ascii="Times New Roman" w:hAnsi="Times New Roman" w:cs="Times New Roman"/>
          <w:sz w:val="24"/>
          <w:szCs w:val="24"/>
        </w:rPr>
        <w:t xml:space="preserve"> how it operates and the extent to which it is accessed to cover unpaid employment entitlements when employees are made redundant due to business failure</w:t>
      </w:r>
      <w:r w:rsidR="005A19D3" w:rsidRPr="00F82D3F">
        <w:rPr>
          <w:rFonts w:ascii="Times New Roman" w:hAnsi="Times New Roman" w:cs="Times New Roman"/>
          <w:sz w:val="24"/>
          <w:szCs w:val="24"/>
        </w:rPr>
        <w:t xml:space="preserve">. </w:t>
      </w:r>
    </w:p>
    <w:p w14:paraId="421AD0EB" w14:textId="77777777" w:rsidR="00F94E59" w:rsidRPr="00F94E59" w:rsidRDefault="00F94E59">
      <w:pPr>
        <w:pStyle w:val="ListParagraph"/>
        <w:spacing w:after="0" w:line="240" w:lineRule="auto"/>
        <w:rPr>
          <w:rFonts w:ascii="Times New Roman" w:hAnsi="Times New Roman" w:cs="Times New Roman"/>
          <w:sz w:val="24"/>
          <w:szCs w:val="24"/>
        </w:rPr>
      </w:pPr>
    </w:p>
    <w:p w14:paraId="19CDABC7" w14:textId="77777777" w:rsidR="00B2366A" w:rsidRDefault="00B2366A" w:rsidP="005677CA">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0243B40F" w14:textId="77777777" w:rsidR="0005711C" w:rsidRDefault="0005711C">
      <w:pPr>
        <w:spacing w:after="0" w:line="240" w:lineRule="auto"/>
        <w:rPr>
          <w:rFonts w:ascii="Times New Roman" w:hAnsi="Times New Roman" w:cs="Times New Roman"/>
          <w:b/>
          <w:sz w:val="24"/>
          <w:szCs w:val="24"/>
        </w:rPr>
      </w:pPr>
      <w:r>
        <w:rPr>
          <w:rFonts w:ascii="Times New Roman" w:hAnsi="Times New Roman" w:cs="Times New Roman"/>
          <w:b/>
          <w:sz w:val="28"/>
          <w:szCs w:val="28"/>
        </w:rPr>
        <w:lastRenderedPageBreak/>
        <w:t>Transfer of business provisions</w:t>
      </w:r>
    </w:p>
    <w:p w14:paraId="7A5F50DA" w14:textId="77777777" w:rsidR="0005711C" w:rsidRDefault="0005711C">
      <w:pPr>
        <w:spacing w:after="0" w:line="240" w:lineRule="auto"/>
        <w:rPr>
          <w:rFonts w:ascii="Times New Roman" w:hAnsi="Times New Roman" w:cs="Times New Roman"/>
          <w:b/>
          <w:sz w:val="24"/>
          <w:szCs w:val="24"/>
        </w:rPr>
      </w:pPr>
    </w:p>
    <w:p w14:paraId="35ADBE40"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sz w:val="24"/>
          <w:szCs w:val="24"/>
        </w:rPr>
      </w:pPr>
      <w:r>
        <w:rPr>
          <w:rFonts w:ascii="Times New Roman" w:hAnsi="Times New Roman" w:cs="Times New Roman"/>
          <w:iCs/>
          <w:sz w:val="24"/>
          <w:szCs w:val="24"/>
        </w:rPr>
        <w:t xml:space="preserve">The Fair Work Act contains provisions dealing with employee entitlements in transfers of business. The intention of the provisions is to provide that employees retain their existing terms and conditions under their industrial instrument, accrued entitlements and service in a transfer of business scenario, such as an asset transfer or outsourcing process. </w:t>
      </w:r>
    </w:p>
    <w:p w14:paraId="65685BD0" w14:textId="77777777" w:rsidR="000440BE" w:rsidRDefault="000440BE" w:rsidP="000440BE">
      <w:pPr>
        <w:pStyle w:val="ListParagraph"/>
        <w:spacing w:after="0" w:line="240" w:lineRule="auto"/>
        <w:rPr>
          <w:rFonts w:ascii="Times New Roman" w:hAnsi="Times New Roman" w:cs="Times New Roman"/>
          <w:iCs/>
          <w:sz w:val="24"/>
          <w:szCs w:val="24"/>
        </w:rPr>
      </w:pPr>
    </w:p>
    <w:p w14:paraId="6F972E19"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sz w:val="24"/>
          <w:szCs w:val="24"/>
        </w:rPr>
      </w:pPr>
      <w:r>
        <w:rPr>
          <w:rFonts w:ascii="Times New Roman" w:hAnsi="Times New Roman" w:cs="Times New Roman"/>
          <w:iCs/>
          <w:sz w:val="24"/>
          <w:szCs w:val="24"/>
        </w:rPr>
        <w:t>Under the Fair Work Act there will be a transfer of business if:</w:t>
      </w:r>
    </w:p>
    <w:p w14:paraId="15D078BC" w14:textId="77777777" w:rsidR="000440BE" w:rsidRDefault="000440BE" w:rsidP="000440BE">
      <w:pPr>
        <w:spacing w:after="0" w:line="240" w:lineRule="auto"/>
        <w:rPr>
          <w:rFonts w:ascii="Times New Roman" w:hAnsi="Times New Roman" w:cs="Times New Roman"/>
          <w:iCs/>
          <w:sz w:val="24"/>
          <w:szCs w:val="24"/>
        </w:rPr>
      </w:pPr>
    </w:p>
    <w:p w14:paraId="79B47D50" w14:textId="77777777" w:rsidR="000440BE" w:rsidRDefault="000440BE" w:rsidP="000440BE">
      <w:pPr>
        <w:numPr>
          <w:ilvl w:val="0"/>
          <w:numId w:val="53"/>
        </w:numPr>
        <w:autoSpaceDE w:val="0"/>
        <w:autoSpaceDN w:val="0"/>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an employee’s employment is terminated by one employer (the old employer) and employed by another employer (the new employer) within a period of three months;</w:t>
      </w:r>
    </w:p>
    <w:p w14:paraId="1C386F09" w14:textId="77777777" w:rsidR="000440BE" w:rsidRDefault="000440BE" w:rsidP="000440BE">
      <w:pPr>
        <w:autoSpaceDE w:val="0"/>
        <w:autoSpaceDN w:val="0"/>
        <w:spacing w:after="0" w:line="240" w:lineRule="auto"/>
        <w:ind w:left="1080"/>
        <w:jc w:val="both"/>
        <w:rPr>
          <w:rFonts w:ascii="Times New Roman" w:hAnsi="Times New Roman" w:cs="Times New Roman"/>
          <w:iCs/>
          <w:sz w:val="24"/>
          <w:szCs w:val="24"/>
        </w:rPr>
      </w:pPr>
    </w:p>
    <w:p w14:paraId="3C08613F" w14:textId="77777777" w:rsidR="000440BE" w:rsidRDefault="000440BE" w:rsidP="000440BE">
      <w:pPr>
        <w:numPr>
          <w:ilvl w:val="0"/>
          <w:numId w:val="53"/>
        </w:numPr>
        <w:autoSpaceDE w:val="0"/>
        <w:autoSpaceDN w:val="0"/>
        <w:spacing w:after="0" w:line="240" w:lineRule="auto"/>
        <w:ind w:left="1080"/>
        <w:jc w:val="both"/>
        <w:rPr>
          <w:rFonts w:ascii="Times New Roman" w:hAnsi="Times New Roman" w:cs="Times New Roman"/>
          <w:iCs/>
          <w:sz w:val="24"/>
          <w:szCs w:val="24"/>
        </w:rPr>
      </w:pPr>
      <w:r>
        <w:rPr>
          <w:rFonts w:ascii="Times New Roman" w:hAnsi="Times New Roman" w:cs="Times New Roman"/>
          <w:iCs/>
          <w:sz w:val="24"/>
          <w:szCs w:val="24"/>
        </w:rPr>
        <w:t>the employee performs the same, or substantially the same, work for the new employer as for the old employer, and</w:t>
      </w:r>
    </w:p>
    <w:p w14:paraId="28877179" w14:textId="77777777" w:rsidR="000440BE" w:rsidRDefault="000440BE" w:rsidP="000440BE">
      <w:pPr>
        <w:pStyle w:val="ListParagraph"/>
        <w:rPr>
          <w:rFonts w:ascii="Times New Roman" w:hAnsi="Times New Roman" w:cs="Times New Roman"/>
          <w:iCs/>
          <w:sz w:val="24"/>
          <w:szCs w:val="24"/>
        </w:rPr>
      </w:pPr>
    </w:p>
    <w:p w14:paraId="6F1902A6" w14:textId="77777777" w:rsidR="000440BE" w:rsidRDefault="000440BE" w:rsidP="000440BE">
      <w:pPr>
        <w:pStyle w:val="ListParagraph"/>
        <w:numPr>
          <w:ilvl w:val="0"/>
          <w:numId w:val="53"/>
        </w:numPr>
        <w:spacing w:after="0" w:line="240" w:lineRule="auto"/>
        <w:ind w:left="1134" w:hanging="425"/>
        <w:rPr>
          <w:rFonts w:ascii="Times New Roman" w:hAnsi="Times New Roman" w:cs="Times New Roman"/>
          <w:iCs/>
          <w:sz w:val="24"/>
          <w:szCs w:val="24"/>
        </w:rPr>
      </w:pPr>
      <w:r>
        <w:rPr>
          <w:rFonts w:ascii="Times New Roman" w:hAnsi="Times New Roman" w:cs="Times New Roman"/>
          <w:iCs/>
          <w:sz w:val="24"/>
          <w:szCs w:val="24"/>
        </w:rPr>
        <w:t>there is a connection between the old employer and the new employer (for example, the new employer purchases assets from the old employer and then uses those assets in connection with the work).</w:t>
      </w:r>
    </w:p>
    <w:p w14:paraId="2D879663" w14:textId="77777777" w:rsidR="000440BE" w:rsidRDefault="000440BE" w:rsidP="000440BE">
      <w:pPr>
        <w:pStyle w:val="ListParagraph"/>
        <w:spacing w:after="0" w:line="240" w:lineRule="auto"/>
        <w:rPr>
          <w:rFonts w:ascii="Times New Roman" w:hAnsi="Times New Roman" w:cs="Times New Roman"/>
          <w:iCs/>
          <w:sz w:val="24"/>
          <w:szCs w:val="24"/>
        </w:rPr>
      </w:pPr>
    </w:p>
    <w:p w14:paraId="45A12603"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sz w:val="24"/>
          <w:szCs w:val="24"/>
        </w:rPr>
      </w:pPr>
      <w:r>
        <w:rPr>
          <w:rFonts w:ascii="Times New Roman" w:hAnsi="Times New Roman" w:cs="Times New Roman"/>
          <w:iCs/>
          <w:sz w:val="24"/>
          <w:szCs w:val="24"/>
        </w:rPr>
        <w:t xml:space="preserve">The </w:t>
      </w:r>
      <w:r>
        <w:rPr>
          <w:rFonts w:ascii="Times New Roman" w:hAnsi="Times New Roman" w:cs="Times New Roman"/>
          <w:iCs/>
          <w:color w:val="000000" w:themeColor="text1"/>
          <w:sz w:val="24"/>
          <w:szCs w:val="24"/>
        </w:rPr>
        <w:t>Fair Work Act contains two parts dealing specifically with transfers of business:</w:t>
      </w:r>
    </w:p>
    <w:p w14:paraId="523C16F5" w14:textId="77777777" w:rsidR="000440BE" w:rsidRDefault="000440BE" w:rsidP="000440BE">
      <w:pPr>
        <w:pStyle w:val="ListParagraph"/>
        <w:spacing w:after="0" w:line="240" w:lineRule="auto"/>
        <w:rPr>
          <w:rFonts w:ascii="Times New Roman" w:hAnsi="Times New Roman" w:cs="Times New Roman"/>
          <w:iCs/>
          <w:sz w:val="24"/>
          <w:szCs w:val="24"/>
        </w:rPr>
      </w:pPr>
    </w:p>
    <w:p w14:paraId="664994FC" w14:textId="77777777" w:rsidR="000440BE" w:rsidRDefault="000440BE" w:rsidP="000440BE">
      <w:pPr>
        <w:pStyle w:val="ListParagraph"/>
        <w:numPr>
          <w:ilvl w:val="0"/>
          <w:numId w:val="54"/>
        </w:numPr>
        <w:spacing w:after="12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Part 2-8, which commenced on 1 July 2009, applies to transfers of business between two national system employers. The majority of employers in Australia are national system employers (the Fair Work Act covers approximately 96 % of private sector employees and employers in Australia), including unincorporated businesses are national system employers. Because Western Australia has not referred workplace relations matters to the Commonwealth certain employers in that state (including most unincorporated businesses) are not national system employers; </w:t>
      </w:r>
    </w:p>
    <w:p w14:paraId="2FE57B8A" w14:textId="77777777" w:rsidR="000440BE" w:rsidRDefault="000440BE" w:rsidP="000440BE">
      <w:pPr>
        <w:pStyle w:val="ListParagraph"/>
        <w:spacing w:after="120" w:line="240" w:lineRule="auto"/>
        <w:ind w:left="1080"/>
        <w:rPr>
          <w:rFonts w:ascii="Times New Roman" w:hAnsi="Times New Roman" w:cs="Times New Roman"/>
          <w:iCs/>
          <w:color w:val="000000" w:themeColor="text1"/>
          <w:sz w:val="24"/>
          <w:szCs w:val="24"/>
        </w:rPr>
      </w:pPr>
    </w:p>
    <w:p w14:paraId="11C11781" w14:textId="77777777" w:rsidR="000440BE" w:rsidRDefault="000440BE" w:rsidP="000440BE">
      <w:pPr>
        <w:pStyle w:val="ListParagraph"/>
        <w:numPr>
          <w:ilvl w:val="0"/>
          <w:numId w:val="54"/>
        </w:numPr>
        <w:spacing w:after="12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Part 6-3A, as inserted by the </w:t>
      </w:r>
      <w:r>
        <w:rPr>
          <w:rFonts w:ascii="Times New Roman" w:hAnsi="Times New Roman" w:cs="Times New Roman"/>
          <w:i/>
          <w:iCs/>
          <w:color w:val="000000" w:themeColor="text1"/>
          <w:sz w:val="24"/>
          <w:szCs w:val="24"/>
        </w:rPr>
        <w:t xml:space="preserve">Fair Work Amendment (Transfer of Business) Act 2012, </w:t>
      </w:r>
      <w:r>
        <w:rPr>
          <w:rFonts w:ascii="Times New Roman" w:hAnsi="Times New Roman" w:cs="Times New Roman"/>
          <w:iCs/>
          <w:color w:val="000000" w:themeColor="text1"/>
          <w:sz w:val="24"/>
          <w:szCs w:val="24"/>
        </w:rPr>
        <w:t>commenced operation on 5 December 2012. It was intended to reflect, as far as possible, the transfer of business provisions in Part 2-8 of the Fair work Act. Part 6.3A provides that state public sector employees retain the benefit of their terms and conditions of employment (under state awards and employment agreements) and accrued entitlements where they transfer from a state public sector employer to a national system employer as a result of a transfer of business.</w:t>
      </w:r>
    </w:p>
    <w:p w14:paraId="37AF7672" w14:textId="77777777" w:rsidR="000440BE" w:rsidRDefault="000440BE" w:rsidP="000440BE">
      <w:pPr>
        <w:spacing w:after="0" w:line="240" w:lineRule="auto"/>
        <w:rPr>
          <w:rFonts w:ascii="Times New Roman" w:hAnsi="Times New Roman" w:cs="Times New Roman"/>
          <w:iCs/>
          <w:sz w:val="24"/>
          <w:szCs w:val="24"/>
        </w:rPr>
      </w:pPr>
    </w:p>
    <w:p w14:paraId="615FD14C"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sz w:val="24"/>
          <w:szCs w:val="24"/>
        </w:rPr>
      </w:pPr>
      <w:r>
        <w:rPr>
          <w:rFonts w:ascii="Times New Roman" w:hAnsi="Times New Roman" w:cs="Times New Roman"/>
          <w:iCs/>
          <w:color w:val="000000" w:themeColor="text1"/>
          <w:sz w:val="24"/>
          <w:szCs w:val="24"/>
        </w:rPr>
        <w:t>Where there is a transfer of business the Fair Work Act provides for the application of certain industrial instruments, for example enterprise agreements, to employees who move from the old employer to the new employer.</w:t>
      </w:r>
    </w:p>
    <w:p w14:paraId="33ED414D" w14:textId="77777777" w:rsidR="000440BE" w:rsidRDefault="000440BE" w:rsidP="000440BE">
      <w:pPr>
        <w:pStyle w:val="ListParagraph"/>
        <w:spacing w:after="0" w:line="240" w:lineRule="auto"/>
        <w:rPr>
          <w:rFonts w:ascii="Times New Roman" w:hAnsi="Times New Roman" w:cs="Times New Roman"/>
          <w:iCs/>
          <w:sz w:val="24"/>
          <w:szCs w:val="24"/>
        </w:rPr>
      </w:pPr>
    </w:p>
    <w:p w14:paraId="2FEF0802" w14:textId="77777777" w:rsidR="000440BE" w:rsidRDefault="000440BE" w:rsidP="000440BE">
      <w:pPr>
        <w:pStyle w:val="ListParagraph"/>
        <w:numPr>
          <w:ilvl w:val="0"/>
          <w:numId w:val="50"/>
        </w:numPr>
        <w:spacing w:after="0" w:line="240" w:lineRule="auto"/>
        <w:ind w:left="426" w:hanging="426"/>
      </w:pPr>
      <w:r>
        <w:rPr>
          <w:rFonts w:ascii="Times New Roman" w:hAnsi="Times New Roman" w:cs="Times New Roman"/>
          <w:iCs/>
          <w:color w:val="000000" w:themeColor="text1"/>
          <w:sz w:val="24"/>
          <w:szCs w:val="24"/>
        </w:rPr>
        <w:t>The Fair Work Act also contains provisions that deal with recognition of an employee’s service where there has been a transfer of employment, including in relation to unfair dismissal and redundancy pay.</w:t>
      </w:r>
    </w:p>
    <w:p w14:paraId="0012F0D3" w14:textId="77777777" w:rsidR="000440BE" w:rsidRDefault="000440BE" w:rsidP="000440BE">
      <w:pPr>
        <w:spacing w:after="0" w:line="240" w:lineRule="auto"/>
        <w:rPr>
          <w:rFonts w:ascii="Times New Roman" w:hAnsi="Times New Roman" w:cs="Times New Roman"/>
          <w:iCs/>
          <w:color w:val="000000" w:themeColor="text1"/>
          <w:sz w:val="24"/>
          <w:szCs w:val="24"/>
        </w:rPr>
      </w:pPr>
    </w:p>
    <w:p w14:paraId="71AD75B0"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 xml:space="preserve">A post implementation review of the </w:t>
      </w:r>
      <w:r>
        <w:rPr>
          <w:rFonts w:ascii="Times New Roman" w:hAnsi="Times New Roman" w:cs="Times New Roman"/>
          <w:i/>
          <w:iCs/>
          <w:color w:val="000000" w:themeColor="text1"/>
          <w:sz w:val="24"/>
          <w:szCs w:val="24"/>
        </w:rPr>
        <w:t>Fair Work Amendment (Transfer of Business) Act 2012</w:t>
      </w:r>
      <w:r>
        <w:rPr>
          <w:rFonts w:ascii="Times New Roman" w:hAnsi="Times New Roman" w:cs="Times New Roman"/>
          <w:iCs/>
          <w:color w:val="000000" w:themeColor="text1"/>
          <w:sz w:val="24"/>
          <w:szCs w:val="24"/>
        </w:rPr>
        <w:t xml:space="preserve"> has been undertaken by the Department of Employment in accordance with the Government’s regulation impact analysis requirements. The review was required due to the legislation being given a Prime Minister’s exemption from the preparation of a Regulation Impact Statement. The review was assessed as adequate by the Office of Best Practice Regulation and will be released by Government in due course. </w:t>
      </w:r>
    </w:p>
    <w:p w14:paraId="2688D322" w14:textId="77777777" w:rsidR="000440BE" w:rsidRDefault="000440BE" w:rsidP="000440BE">
      <w:pPr>
        <w:pStyle w:val="ListParagraph"/>
        <w:rPr>
          <w:rFonts w:ascii="Times New Roman" w:hAnsi="Times New Roman" w:cs="Times New Roman"/>
          <w:iCs/>
          <w:color w:val="000000" w:themeColor="text1"/>
          <w:sz w:val="24"/>
          <w:szCs w:val="24"/>
        </w:rPr>
      </w:pPr>
    </w:p>
    <w:p w14:paraId="6A187992"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The Government introduced the Fair Work Amendment Bill 2014 into Parliament on </w:t>
      </w:r>
      <w:r>
        <w:rPr>
          <w:rFonts w:ascii="Times New Roman" w:hAnsi="Times New Roman" w:cs="Times New Roman"/>
          <w:iCs/>
          <w:color w:val="000000" w:themeColor="text1"/>
          <w:sz w:val="24"/>
          <w:szCs w:val="24"/>
        </w:rPr>
        <w:br/>
        <w:t xml:space="preserve">27 February 2014 to implement a number of election commitments made in </w:t>
      </w:r>
      <w:r>
        <w:rPr>
          <w:rFonts w:ascii="Times New Roman" w:hAnsi="Times New Roman" w:cs="Times New Roman"/>
          <w:i/>
          <w:iCs/>
          <w:color w:val="000000" w:themeColor="text1"/>
          <w:sz w:val="24"/>
          <w:szCs w:val="24"/>
        </w:rPr>
        <w:t>The Coalition’s Policy to Improve the Fair Work Laws</w:t>
      </w:r>
      <w:r>
        <w:rPr>
          <w:rFonts w:ascii="Times New Roman" w:hAnsi="Times New Roman" w:cs="Times New Roman"/>
          <w:iCs/>
          <w:color w:val="000000" w:themeColor="text1"/>
          <w:sz w:val="24"/>
          <w:szCs w:val="24"/>
        </w:rPr>
        <w:t>. The Bill includes an amendment to provide that the transfer of business rules no longer apply where an employee transfers on their own initiative between employers who are associated entities. Given the change only impacts transfers between associated entities it may not be relevant to this inquiry.</w:t>
      </w:r>
    </w:p>
    <w:p w14:paraId="47FCB50C" w14:textId="77777777" w:rsidR="000440BE" w:rsidRDefault="000440BE" w:rsidP="000440BE">
      <w:pPr>
        <w:pStyle w:val="ListParagraph"/>
        <w:rPr>
          <w:rFonts w:ascii="Times New Roman" w:hAnsi="Times New Roman" w:cs="Times New Roman"/>
          <w:iCs/>
          <w:sz w:val="24"/>
          <w:szCs w:val="24"/>
        </w:rPr>
      </w:pPr>
    </w:p>
    <w:p w14:paraId="44BA737D" w14:textId="77777777" w:rsidR="000440BE" w:rsidRDefault="000440BE" w:rsidP="000440BE">
      <w:pPr>
        <w:pStyle w:val="ListParagraph"/>
        <w:numPr>
          <w:ilvl w:val="0"/>
          <w:numId w:val="50"/>
        </w:numPr>
        <w:spacing w:after="0" w:line="240" w:lineRule="auto"/>
        <w:ind w:left="426" w:hanging="426"/>
        <w:rPr>
          <w:rFonts w:ascii="Times New Roman" w:hAnsi="Times New Roman" w:cs="Times New Roman"/>
          <w:sz w:val="24"/>
          <w:szCs w:val="24"/>
        </w:rPr>
      </w:pPr>
      <w:r>
        <w:rPr>
          <w:rFonts w:ascii="Times New Roman" w:hAnsi="Times New Roman" w:cs="Times New Roman"/>
          <w:iCs/>
          <w:sz w:val="24"/>
          <w:szCs w:val="24"/>
        </w:rPr>
        <w:t xml:space="preserve">The transfer of business provisions </w:t>
      </w:r>
      <w:r>
        <w:rPr>
          <w:rFonts w:ascii="Times New Roman" w:hAnsi="Times New Roman" w:cs="Times New Roman"/>
          <w:iCs/>
          <w:color w:val="000000" w:themeColor="text1"/>
          <w:sz w:val="24"/>
          <w:szCs w:val="24"/>
        </w:rPr>
        <w:t xml:space="preserve">in the </w:t>
      </w:r>
      <w:r>
        <w:rPr>
          <w:rFonts w:ascii="Times New Roman" w:hAnsi="Times New Roman" w:cs="Times New Roman"/>
          <w:i/>
          <w:iCs/>
          <w:color w:val="000000" w:themeColor="text1"/>
          <w:sz w:val="24"/>
          <w:szCs w:val="24"/>
        </w:rPr>
        <w:t>Fair Work Act 2009</w:t>
      </w:r>
      <w:r>
        <w:rPr>
          <w:rFonts w:ascii="Times New Roman" w:hAnsi="Times New Roman" w:cs="Times New Roman"/>
          <w:iCs/>
          <w:color w:val="000000" w:themeColor="text1"/>
          <w:sz w:val="24"/>
          <w:szCs w:val="24"/>
        </w:rPr>
        <w:t xml:space="preserve"> are likely to be considered in more detail in the Productivity Commission’s inquiry into the Workplace Relations Framework.</w:t>
      </w:r>
    </w:p>
    <w:p w14:paraId="3FED4BFD" w14:textId="77777777" w:rsidR="00A00B7F" w:rsidRPr="0005711C" w:rsidRDefault="00A00B7F">
      <w:pPr>
        <w:pStyle w:val="NormalWeb"/>
        <w:shd w:val="clear" w:color="auto" w:fill="FFFFFF"/>
        <w:spacing w:before="0" w:beforeAutospacing="0" w:after="0" w:afterAutospacing="0"/>
        <w:ind w:left="720"/>
        <w:textAlignment w:val="baseline"/>
        <w:rPr>
          <w:iCs/>
        </w:rPr>
      </w:pPr>
    </w:p>
    <w:p w14:paraId="0D8910FD" w14:textId="77777777" w:rsidR="006A6DD7" w:rsidRPr="005677CA" w:rsidRDefault="006A6DD7">
      <w:pPr>
        <w:rPr>
          <w:rFonts w:ascii="Times New Roman" w:hAnsi="Times New Roman" w:cs="Times New Roman"/>
          <w:b/>
          <w:bCs/>
          <w:sz w:val="28"/>
          <w:szCs w:val="28"/>
        </w:rPr>
      </w:pPr>
      <w:r w:rsidRPr="005677CA">
        <w:rPr>
          <w:rFonts w:ascii="Times New Roman" w:hAnsi="Times New Roman" w:cs="Times New Roman"/>
          <w:b/>
          <w:bCs/>
          <w:sz w:val="28"/>
          <w:szCs w:val="28"/>
        </w:rPr>
        <w:t xml:space="preserve">The </w:t>
      </w:r>
      <w:r w:rsidR="00456080">
        <w:rPr>
          <w:rFonts w:ascii="Times New Roman" w:hAnsi="Times New Roman" w:cs="Times New Roman"/>
          <w:b/>
          <w:bCs/>
          <w:sz w:val="28"/>
          <w:szCs w:val="28"/>
        </w:rPr>
        <w:t>d</w:t>
      </w:r>
      <w:r w:rsidRPr="005677CA">
        <w:rPr>
          <w:rFonts w:ascii="Times New Roman" w:hAnsi="Times New Roman" w:cs="Times New Roman"/>
          <w:b/>
          <w:bCs/>
          <w:sz w:val="28"/>
          <w:szCs w:val="28"/>
        </w:rPr>
        <w:t xml:space="preserve">eregulation </w:t>
      </w:r>
      <w:r w:rsidR="00456080">
        <w:rPr>
          <w:rFonts w:ascii="Times New Roman" w:hAnsi="Times New Roman" w:cs="Times New Roman"/>
          <w:b/>
          <w:bCs/>
          <w:sz w:val="28"/>
          <w:szCs w:val="28"/>
        </w:rPr>
        <w:t>a</w:t>
      </w:r>
      <w:r w:rsidRPr="005677CA">
        <w:rPr>
          <w:rFonts w:ascii="Times New Roman" w:hAnsi="Times New Roman" w:cs="Times New Roman"/>
          <w:b/>
          <w:bCs/>
          <w:sz w:val="28"/>
          <w:szCs w:val="28"/>
        </w:rPr>
        <w:t>genda</w:t>
      </w:r>
    </w:p>
    <w:p w14:paraId="5E5D78D9" w14:textId="77777777" w:rsidR="006A6DD7" w:rsidRPr="005677CA" w:rsidRDefault="006A6DD7">
      <w:pPr>
        <w:pStyle w:val="ListParagraph"/>
        <w:numPr>
          <w:ilvl w:val="0"/>
          <w:numId w:val="50"/>
        </w:numPr>
        <w:ind w:left="426" w:hanging="426"/>
        <w:rPr>
          <w:rFonts w:ascii="Times New Roman" w:hAnsi="Times New Roman" w:cs="Times New Roman"/>
          <w:color w:val="1F497D"/>
          <w:sz w:val="24"/>
          <w:szCs w:val="24"/>
        </w:rPr>
      </w:pPr>
      <w:r w:rsidRPr="005677CA">
        <w:rPr>
          <w:rFonts w:ascii="Times New Roman" w:hAnsi="Times New Roman" w:cs="Times New Roman"/>
          <w:sz w:val="24"/>
          <w:szCs w:val="24"/>
        </w:rPr>
        <w:t xml:space="preserve">The issues paper notes that the red tape facing new business can act as a disincentive to setting up that business. The Government’s </w:t>
      </w:r>
      <w:r w:rsidRPr="005677CA">
        <w:rPr>
          <w:rFonts w:ascii="Times New Roman" w:hAnsi="Times New Roman" w:cs="Times New Roman"/>
          <w:color w:val="1F497D"/>
          <w:sz w:val="24"/>
          <w:szCs w:val="24"/>
        </w:rPr>
        <w:t>d</w:t>
      </w:r>
      <w:r w:rsidRPr="005677CA">
        <w:rPr>
          <w:rFonts w:ascii="Times New Roman" w:hAnsi="Times New Roman" w:cs="Times New Roman"/>
          <w:sz w:val="24"/>
          <w:szCs w:val="24"/>
        </w:rPr>
        <w:t xml:space="preserve">eregulation agenda acknowledges this and defines an approach to policy making that seeks to ensure regulation is never adopted as the default solution. </w:t>
      </w:r>
      <w:r w:rsidR="00CC6239">
        <w:rPr>
          <w:rFonts w:ascii="Times New Roman" w:hAnsi="Times New Roman" w:cs="Times New Roman"/>
          <w:sz w:val="24"/>
          <w:szCs w:val="24"/>
        </w:rPr>
        <w:t>All portfolios</w:t>
      </w:r>
      <w:r w:rsidRPr="005677CA">
        <w:rPr>
          <w:rFonts w:ascii="Times New Roman" w:hAnsi="Times New Roman" w:cs="Times New Roman"/>
          <w:sz w:val="24"/>
          <w:szCs w:val="24"/>
        </w:rPr>
        <w:t xml:space="preserve"> are also encouraged to reduce red tape by being allocated </w:t>
      </w:r>
      <w:r w:rsidRPr="005677CA">
        <w:rPr>
          <w:rFonts w:ascii="Times New Roman" w:hAnsi="Times New Roman" w:cs="Times New Roman"/>
          <w:color w:val="000000"/>
          <w:sz w:val="24"/>
          <w:szCs w:val="24"/>
        </w:rPr>
        <w:t xml:space="preserve">annual deregulation </w:t>
      </w:r>
      <w:r w:rsidRPr="005677CA">
        <w:rPr>
          <w:rFonts w:ascii="Times New Roman" w:hAnsi="Times New Roman" w:cs="Times New Roman"/>
          <w:sz w:val="24"/>
          <w:szCs w:val="24"/>
        </w:rPr>
        <w:t xml:space="preserve">targets and through public statements at bi-annual Repeal Days. </w:t>
      </w:r>
    </w:p>
    <w:p w14:paraId="42F20CDA" w14:textId="77777777" w:rsidR="006A6DD7" w:rsidRPr="005677CA" w:rsidRDefault="006A6DD7">
      <w:pPr>
        <w:pStyle w:val="ListParagraph"/>
        <w:ind w:left="426"/>
        <w:rPr>
          <w:rFonts w:ascii="Times New Roman" w:hAnsi="Times New Roman" w:cs="Times New Roman"/>
          <w:color w:val="1F497D"/>
          <w:sz w:val="24"/>
          <w:szCs w:val="24"/>
        </w:rPr>
      </w:pPr>
    </w:p>
    <w:p w14:paraId="5AE3CFE0" w14:textId="77777777" w:rsidR="006A6DD7" w:rsidRPr="005677CA" w:rsidRDefault="006A6DD7">
      <w:pPr>
        <w:pStyle w:val="ListParagraph"/>
        <w:numPr>
          <w:ilvl w:val="0"/>
          <w:numId w:val="50"/>
        </w:numPr>
        <w:ind w:left="426" w:hanging="426"/>
        <w:rPr>
          <w:rFonts w:ascii="Times New Roman" w:hAnsi="Times New Roman" w:cs="Times New Roman"/>
          <w:b/>
          <w:bCs/>
          <w:sz w:val="24"/>
          <w:szCs w:val="24"/>
        </w:rPr>
      </w:pPr>
      <w:r w:rsidRPr="005677CA">
        <w:rPr>
          <w:rFonts w:ascii="Times New Roman" w:hAnsi="Times New Roman" w:cs="Times New Roman"/>
          <w:sz w:val="24"/>
          <w:szCs w:val="24"/>
        </w:rPr>
        <w:t>As part of the deregulation agenda, the Employment portfolio has introduced measures that are designed to reduce the time spent on</w:t>
      </w:r>
      <w:r w:rsidRPr="005677CA">
        <w:rPr>
          <w:rFonts w:ascii="Times New Roman" w:hAnsi="Times New Roman" w:cs="Times New Roman"/>
          <w:color w:val="1F497D"/>
          <w:sz w:val="24"/>
          <w:szCs w:val="24"/>
        </w:rPr>
        <w:t>,</w:t>
      </w:r>
      <w:r w:rsidRPr="005677CA">
        <w:rPr>
          <w:rFonts w:ascii="Times New Roman" w:hAnsi="Times New Roman" w:cs="Times New Roman"/>
          <w:sz w:val="24"/>
          <w:szCs w:val="24"/>
        </w:rPr>
        <w:t xml:space="preserve"> and cost of complying with</w:t>
      </w:r>
      <w:r w:rsidRPr="005677CA">
        <w:rPr>
          <w:rFonts w:ascii="Times New Roman" w:hAnsi="Times New Roman" w:cs="Times New Roman"/>
          <w:color w:val="1F497D"/>
          <w:sz w:val="24"/>
          <w:szCs w:val="24"/>
        </w:rPr>
        <w:t>,</w:t>
      </w:r>
      <w:r w:rsidRPr="005677CA">
        <w:rPr>
          <w:rFonts w:ascii="Times New Roman" w:hAnsi="Times New Roman" w:cs="Times New Roman"/>
          <w:sz w:val="24"/>
          <w:szCs w:val="24"/>
        </w:rPr>
        <w:t xml:space="preserve"> government regulation, licensing and bureaucracy, including:</w:t>
      </w:r>
    </w:p>
    <w:p w14:paraId="70AAA58E" w14:textId="77777777" w:rsidR="00456080" w:rsidRPr="005677CA" w:rsidRDefault="00456080" w:rsidP="005677CA">
      <w:pPr>
        <w:pStyle w:val="ListParagraph"/>
        <w:rPr>
          <w:rFonts w:ascii="Times New Roman" w:hAnsi="Times New Roman" w:cs="Times New Roman"/>
          <w:b/>
          <w:bCs/>
          <w:sz w:val="24"/>
          <w:szCs w:val="24"/>
        </w:rPr>
      </w:pPr>
    </w:p>
    <w:p w14:paraId="5D9E28FA" w14:textId="77777777" w:rsidR="006A6DD7" w:rsidRPr="005677CA" w:rsidRDefault="006A6DD7" w:rsidP="005677CA">
      <w:pPr>
        <w:pStyle w:val="ListParagraph"/>
        <w:numPr>
          <w:ilvl w:val="0"/>
          <w:numId w:val="48"/>
        </w:numPr>
        <w:spacing w:after="120" w:line="240" w:lineRule="auto"/>
        <w:contextualSpacing w:val="0"/>
        <w:rPr>
          <w:rFonts w:ascii="Times New Roman" w:hAnsi="Times New Roman" w:cs="Times New Roman"/>
          <w:iCs/>
          <w:color w:val="000000" w:themeColor="text1"/>
          <w:sz w:val="24"/>
          <w:szCs w:val="24"/>
        </w:rPr>
      </w:pPr>
      <w:r w:rsidRPr="005677CA">
        <w:rPr>
          <w:rFonts w:ascii="Times New Roman" w:hAnsi="Times New Roman" w:cs="Times New Roman"/>
          <w:iCs/>
          <w:color w:val="000000" w:themeColor="text1"/>
          <w:sz w:val="24"/>
          <w:szCs w:val="24"/>
        </w:rPr>
        <w:t>Introducing the Small Business helpline to assist small business owners to receive a more timely response and advice on employee wages and workplace laws.</w:t>
      </w:r>
    </w:p>
    <w:p w14:paraId="1796EA58" w14:textId="77777777" w:rsidR="006A6DD7" w:rsidRPr="005677CA" w:rsidRDefault="006A6DD7" w:rsidP="005677CA">
      <w:pPr>
        <w:pStyle w:val="ListParagraph"/>
        <w:numPr>
          <w:ilvl w:val="0"/>
          <w:numId w:val="48"/>
        </w:numPr>
        <w:spacing w:after="120" w:line="240" w:lineRule="auto"/>
        <w:contextualSpacing w:val="0"/>
        <w:rPr>
          <w:rFonts w:ascii="Times New Roman" w:hAnsi="Times New Roman" w:cs="Times New Roman"/>
          <w:iCs/>
          <w:color w:val="000000" w:themeColor="text1"/>
          <w:sz w:val="24"/>
          <w:szCs w:val="24"/>
        </w:rPr>
      </w:pPr>
      <w:r w:rsidRPr="005677CA">
        <w:rPr>
          <w:rFonts w:ascii="Times New Roman" w:hAnsi="Times New Roman" w:cs="Times New Roman"/>
          <w:iCs/>
          <w:color w:val="000000" w:themeColor="text1"/>
          <w:sz w:val="24"/>
          <w:szCs w:val="24"/>
        </w:rPr>
        <w:t xml:space="preserve">Improving the Fair Work </w:t>
      </w:r>
      <w:r w:rsidR="00CC6239">
        <w:rPr>
          <w:rFonts w:ascii="Times New Roman" w:hAnsi="Times New Roman" w:cs="Times New Roman"/>
          <w:iCs/>
          <w:color w:val="000000" w:themeColor="text1"/>
          <w:sz w:val="24"/>
          <w:szCs w:val="24"/>
        </w:rPr>
        <w:t>l</w:t>
      </w:r>
      <w:r w:rsidRPr="005677CA">
        <w:rPr>
          <w:rFonts w:ascii="Times New Roman" w:hAnsi="Times New Roman" w:cs="Times New Roman"/>
          <w:iCs/>
          <w:color w:val="000000" w:themeColor="text1"/>
          <w:sz w:val="24"/>
          <w:szCs w:val="24"/>
        </w:rPr>
        <w:t>aws, and in particular that greenfields agreements are negotiated subject to good faith bargaining requirements and in a reasonable timeframe, ensuring that projects can get underway quickly.</w:t>
      </w:r>
    </w:p>
    <w:p w14:paraId="13A8FE8C" w14:textId="77777777" w:rsidR="006A6DD7" w:rsidRPr="005677CA" w:rsidRDefault="006A6DD7" w:rsidP="005677CA">
      <w:pPr>
        <w:pStyle w:val="ListParagraph"/>
        <w:numPr>
          <w:ilvl w:val="0"/>
          <w:numId w:val="48"/>
        </w:numPr>
        <w:spacing w:after="120" w:line="240" w:lineRule="auto"/>
        <w:contextualSpacing w:val="0"/>
        <w:rPr>
          <w:rFonts w:ascii="Times New Roman" w:hAnsi="Times New Roman" w:cs="Times New Roman"/>
          <w:iCs/>
          <w:color w:val="000000" w:themeColor="text1"/>
          <w:sz w:val="24"/>
          <w:szCs w:val="24"/>
        </w:rPr>
      </w:pPr>
      <w:r w:rsidRPr="005677CA">
        <w:rPr>
          <w:rFonts w:ascii="Times New Roman" w:hAnsi="Times New Roman" w:cs="Times New Roman"/>
          <w:iCs/>
          <w:color w:val="000000" w:themeColor="text1"/>
          <w:sz w:val="24"/>
          <w:szCs w:val="24"/>
        </w:rPr>
        <w:t>The Government</w:t>
      </w:r>
      <w:r w:rsidR="0000311A">
        <w:rPr>
          <w:rFonts w:ascii="Times New Roman" w:hAnsi="Times New Roman" w:cs="Times New Roman"/>
          <w:iCs/>
          <w:color w:val="000000" w:themeColor="text1"/>
          <w:sz w:val="24"/>
          <w:szCs w:val="24"/>
        </w:rPr>
        <w:t xml:space="preserve">, by repealing the Fair Work Principles, has </w:t>
      </w:r>
      <w:r w:rsidRPr="005677CA">
        <w:rPr>
          <w:rFonts w:ascii="Times New Roman" w:hAnsi="Times New Roman" w:cs="Times New Roman"/>
          <w:iCs/>
          <w:color w:val="000000" w:themeColor="text1"/>
          <w:sz w:val="24"/>
          <w:szCs w:val="24"/>
        </w:rPr>
        <w:t>remov</w:t>
      </w:r>
      <w:r w:rsidR="0000311A">
        <w:rPr>
          <w:rFonts w:ascii="Times New Roman" w:hAnsi="Times New Roman" w:cs="Times New Roman"/>
          <w:iCs/>
          <w:color w:val="000000" w:themeColor="text1"/>
          <w:sz w:val="24"/>
          <w:szCs w:val="24"/>
        </w:rPr>
        <w:t>ed</w:t>
      </w:r>
      <w:r w:rsidRPr="005677CA">
        <w:rPr>
          <w:rFonts w:ascii="Times New Roman" w:hAnsi="Times New Roman" w:cs="Times New Roman"/>
          <w:iCs/>
          <w:color w:val="000000" w:themeColor="text1"/>
          <w:sz w:val="24"/>
          <w:szCs w:val="24"/>
        </w:rPr>
        <w:t xml:space="preserve"> regulatory imposts that apply to more than 20,000 annual tender processes for Commo</w:t>
      </w:r>
      <w:r w:rsidR="0000311A">
        <w:rPr>
          <w:rFonts w:ascii="Times New Roman" w:hAnsi="Times New Roman" w:cs="Times New Roman"/>
          <w:iCs/>
          <w:color w:val="000000" w:themeColor="text1"/>
          <w:sz w:val="24"/>
          <w:szCs w:val="24"/>
        </w:rPr>
        <w:t>nwealth agency work that impose</w:t>
      </w:r>
      <w:r w:rsidRPr="005677CA">
        <w:rPr>
          <w:rFonts w:ascii="Times New Roman" w:hAnsi="Times New Roman" w:cs="Times New Roman"/>
          <w:iCs/>
          <w:color w:val="000000" w:themeColor="text1"/>
          <w:sz w:val="24"/>
          <w:szCs w:val="24"/>
        </w:rPr>
        <w:t xml:space="preserve"> </w:t>
      </w:r>
      <w:r w:rsidR="0000311A">
        <w:rPr>
          <w:rFonts w:ascii="Times New Roman" w:hAnsi="Times New Roman" w:cs="Times New Roman"/>
          <w:iCs/>
          <w:color w:val="000000" w:themeColor="text1"/>
          <w:sz w:val="24"/>
          <w:szCs w:val="24"/>
        </w:rPr>
        <w:t xml:space="preserve">unnecessary </w:t>
      </w:r>
      <w:r w:rsidRPr="005677CA">
        <w:rPr>
          <w:rFonts w:ascii="Times New Roman" w:hAnsi="Times New Roman" w:cs="Times New Roman"/>
          <w:iCs/>
          <w:color w:val="000000" w:themeColor="text1"/>
          <w:sz w:val="24"/>
          <w:szCs w:val="24"/>
        </w:rPr>
        <w:t>costs</w:t>
      </w:r>
      <w:r w:rsidR="0000311A">
        <w:rPr>
          <w:rFonts w:ascii="Times New Roman" w:hAnsi="Times New Roman" w:cs="Times New Roman"/>
          <w:iCs/>
          <w:color w:val="000000" w:themeColor="text1"/>
          <w:sz w:val="24"/>
          <w:szCs w:val="24"/>
        </w:rPr>
        <w:t xml:space="preserve">. These changes include repealing specific regulatory requirements applying to procurements from textile, clothing and footwear manufacturers and cleaning providers. </w:t>
      </w:r>
      <w:r w:rsidRPr="005677CA">
        <w:rPr>
          <w:rFonts w:ascii="Times New Roman" w:hAnsi="Times New Roman" w:cs="Times New Roman"/>
          <w:iCs/>
          <w:color w:val="000000" w:themeColor="text1"/>
          <w:sz w:val="24"/>
          <w:szCs w:val="24"/>
        </w:rPr>
        <w:t>These changes will reduce the red tape for businesses tendering for Commonwealth agency work.</w:t>
      </w:r>
    </w:p>
    <w:p w14:paraId="553A0CC3" w14:textId="77777777" w:rsidR="006A6DD7" w:rsidRPr="005677CA" w:rsidRDefault="006A6DD7">
      <w:pPr>
        <w:pStyle w:val="ListParagraph"/>
        <w:ind w:left="1496"/>
        <w:rPr>
          <w:rFonts w:ascii="Times New Roman" w:hAnsi="Times New Roman" w:cs="Times New Roman"/>
          <w:sz w:val="24"/>
          <w:szCs w:val="24"/>
        </w:rPr>
      </w:pPr>
    </w:p>
    <w:p w14:paraId="2F086EC1" w14:textId="77777777" w:rsidR="007E5D09" w:rsidRDefault="007E5D09">
      <w:pPr>
        <w:rPr>
          <w:rFonts w:ascii="Times New Roman" w:hAnsi="Times New Roman" w:cs="Times New Roman"/>
          <w:sz w:val="24"/>
          <w:szCs w:val="24"/>
        </w:rPr>
      </w:pPr>
      <w:r>
        <w:rPr>
          <w:rFonts w:ascii="Times New Roman" w:hAnsi="Times New Roman" w:cs="Times New Roman"/>
          <w:sz w:val="24"/>
          <w:szCs w:val="24"/>
        </w:rPr>
        <w:br w:type="page"/>
      </w:r>
    </w:p>
    <w:p w14:paraId="718DBAC0" w14:textId="77777777" w:rsidR="006A6DD7" w:rsidRPr="005677CA" w:rsidRDefault="006A6DD7" w:rsidP="0000311A">
      <w:pPr>
        <w:pStyle w:val="ListParagraph"/>
        <w:numPr>
          <w:ilvl w:val="0"/>
          <w:numId w:val="50"/>
        </w:numPr>
        <w:spacing w:after="0" w:line="240" w:lineRule="auto"/>
        <w:ind w:left="426" w:hanging="426"/>
        <w:rPr>
          <w:rFonts w:ascii="Times New Roman" w:hAnsi="Times New Roman" w:cs="Times New Roman"/>
          <w:sz w:val="24"/>
          <w:szCs w:val="24"/>
        </w:rPr>
      </w:pPr>
      <w:r w:rsidRPr="005677CA">
        <w:rPr>
          <w:rFonts w:ascii="Times New Roman" w:hAnsi="Times New Roman" w:cs="Times New Roman"/>
          <w:sz w:val="24"/>
          <w:szCs w:val="24"/>
        </w:rPr>
        <w:lastRenderedPageBreak/>
        <w:t>As part of the Government’s wider deregulation agenda, the new Regulator Performance Framework (‘the  Framework’) was released on 29 October 2014 to ensure there is an appropriate focus on the way regulators administer regulation and a minimum impact on business productivity. Commonwealth entities that administer</w:t>
      </w:r>
      <w:r w:rsidR="0000311A">
        <w:rPr>
          <w:rFonts w:ascii="Times New Roman" w:hAnsi="Times New Roman" w:cs="Times New Roman"/>
          <w:sz w:val="24"/>
          <w:szCs w:val="24"/>
        </w:rPr>
        <w:t>,</w:t>
      </w:r>
      <w:r w:rsidRPr="005677CA">
        <w:rPr>
          <w:rFonts w:ascii="Times New Roman" w:hAnsi="Times New Roman" w:cs="Times New Roman"/>
          <w:sz w:val="24"/>
          <w:szCs w:val="24"/>
        </w:rPr>
        <w:t xml:space="preserve"> monitor or enforce regulation will now be required to measure their performance against six key performance indicators. The Framework aims to assist regulators to be more accountable and transparent in their dealings with regulated entities, increase their focus on improving relationships with business and to achieve improved regulatory outcomes.</w:t>
      </w:r>
    </w:p>
    <w:p w14:paraId="65425361" w14:textId="77777777" w:rsidR="006A6DD7" w:rsidRDefault="006A6DD7">
      <w:pPr>
        <w:pStyle w:val="ListParagraph"/>
        <w:ind w:hanging="720"/>
        <w:rPr>
          <w:rFonts w:ascii="Times New Roman" w:hAnsi="Times New Roman" w:cs="Times New Roman"/>
          <w:b/>
          <w:iCs/>
          <w:sz w:val="28"/>
          <w:szCs w:val="28"/>
        </w:rPr>
      </w:pPr>
    </w:p>
    <w:p w14:paraId="3C85A534" w14:textId="77777777" w:rsidR="00621A82" w:rsidRPr="007373EF" w:rsidRDefault="00621A82">
      <w:pPr>
        <w:pStyle w:val="ListParagraph"/>
        <w:ind w:hanging="720"/>
        <w:rPr>
          <w:rFonts w:ascii="Times New Roman" w:hAnsi="Times New Roman" w:cs="Times New Roman"/>
          <w:b/>
          <w:iCs/>
          <w:sz w:val="28"/>
          <w:szCs w:val="28"/>
        </w:rPr>
      </w:pPr>
      <w:r w:rsidRPr="007373EF">
        <w:rPr>
          <w:rFonts w:ascii="Times New Roman" w:hAnsi="Times New Roman" w:cs="Times New Roman"/>
          <w:b/>
          <w:iCs/>
          <w:sz w:val="28"/>
          <w:szCs w:val="28"/>
        </w:rPr>
        <w:t>Fair Entitlements Guarantee</w:t>
      </w:r>
      <w:r w:rsidR="00DD3D29">
        <w:rPr>
          <w:rFonts w:ascii="Times New Roman" w:hAnsi="Times New Roman" w:cs="Times New Roman"/>
          <w:b/>
          <w:iCs/>
          <w:sz w:val="28"/>
          <w:szCs w:val="28"/>
        </w:rPr>
        <w:t xml:space="preserve"> Scheme</w:t>
      </w:r>
    </w:p>
    <w:p w14:paraId="6E1F841E" w14:textId="77777777" w:rsidR="00621A82" w:rsidRPr="007373EF" w:rsidRDefault="00621A82">
      <w:pPr>
        <w:pStyle w:val="ListParagraph"/>
        <w:ind w:hanging="720"/>
        <w:rPr>
          <w:rFonts w:ascii="Times New Roman" w:hAnsi="Times New Roman" w:cs="Times New Roman"/>
          <w:iCs/>
          <w:sz w:val="24"/>
          <w:szCs w:val="24"/>
        </w:rPr>
      </w:pPr>
    </w:p>
    <w:p w14:paraId="4A1C76FF" w14:textId="77777777" w:rsidR="00621A82" w:rsidRPr="007373EF" w:rsidRDefault="00621A82" w:rsidP="005677CA">
      <w:pPr>
        <w:pStyle w:val="ListParagraph"/>
        <w:numPr>
          <w:ilvl w:val="0"/>
          <w:numId w:val="50"/>
        </w:numPr>
        <w:spacing w:after="0" w:line="240" w:lineRule="auto"/>
        <w:ind w:left="426" w:hanging="426"/>
        <w:rPr>
          <w:rFonts w:ascii="Times New Roman" w:hAnsi="Times New Roman" w:cs="Times New Roman"/>
          <w:iCs/>
          <w:sz w:val="24"/>
          <w:szCs w:val="24"/>
        </w:rPr>
      </w:pPr>
      <w:r w:rsidRPr="007B1E33">
        <w:rPr>
          <w:rFonts w:ascii="Times New Roman" w:hAnsi="Times New Roman" w:cs="Times New Roman"/>
          <w:sz w:val="24"/>
          <w:szCs w:val="24"/>
        </w:rPr>
        <w:t>The Issues Paper notes that the Government provides a safety net scheme of last resort to provide assistance for certain unpaid employment entitlements and seeks submissions on how these schemes have impacted on business closure, how they operate alongside the insolvency regime and whether they present a moral hazard problem</w:t>
      </w:r>
      <w:r w:rsidR="00DC37BC">
        <w:rPr>
          <w:rFonts w:ascii="Times New Roman" w:hAnsi="Times New Roman" w:cs="Times New Roman"/>
          <w:sz w:val="24"/>
          <w:szCs w:val="24"/>
        </w:rPr>
        <w:t>.</w:t>
      </w:r>
    </w:p>
    <w:p w14:paraId="410DF778" w14:textId="77777777" w:rsidR="00621A82" w:rsidRPr="007B1E33" w:rsidRDefault="00621A82">
      <w:pPr>
        <w:pStyle w:val="ListParagraph"/>
        <w:spacing w:after="0" w:line="240" w:lineRule="auto"/>
        <w:rPr>
          <w:rFonts w:ascii="Times New Roman" w:hAnsi="Times New Roman" w:cs="Times New Roman"/>
          <w:iCs/>
          <w:sz w:val="24"/>
          <w:szCs w:val="24"/>
        </w:rPr>
      </w:pPr>
    </w:p>
    <w:p w14:paraId="4FDB8079" w14:textId="77777777" w:rsidR="001F26EF" w:rsidRDefault="001F26EF" w:rsidP="005677CA">
      <w:pPr>
        <w:pStyle w:val="ListParagraph"/>
        <w:numPr>
          <w:ilvl w:val="0"/>
          <w:numId w:val="50"/>
        </w:numPr>
        <w:spacing w:after="0" w:line="240" w:lineRule="auto"/>
        <w:ind w:left="426" w:hanging="426"/>
        <w:rPr>
          <w:rFonts w:ascii="Times New Roman" w:hAnsi="Times New Roman" w:cs="Times New Roman"/>
          <w:sz w:val="24"/>
          <w:szCs w:val="24"/>
        </w:rPr>
      </w:pPr>
      <w:r w:rsidRPr="00275408">
        <w:rPr>
          <w:rFonts w:ascii="Times New Roman" w:hAnsi="Times New Roman" w:cs="Times New Roman"/>
          <w:sz w:val="24"/>
          <w:szCs w:val="24"/>
        </w:rPr>
        <w:t xml:space="preserve">The </w:t>
      </w:r>
      <w:r w:rsidR="00621A82" w:rsidRPr="00275408">
        <w:rPr>
          <w:rFonts w:ascii="Times New Roman" w:hAnsi="Times New Roman" w:cs="Times New Roman"/>
          <w:sz w:val="24"/>
          <w:szCs w:val="24"/>
        </w:rPr>
        <w:t>F</w:t>
      </w:r>
      <w:r w:rsidR="00621A82">
        <w:rPr>
          <w:rFonts w:ascii="Times New Roman" w:hAnsi="Times New Roman" w:cs="Times New Roman"/>
          <w:sz w:val="24"/>
          <w:szCs w:val="24"/>
        </w:rPr>
        <w:t xml:space="preserve">air Entitlements Guarantee (FEG) </w:t>
      </w:r>
      <w:r w:rsidRPr="00275408">
        <w:rPr>
          <w:rFonts w:ascii="Times New Roman" w:hAnsi="Times New Roman" w:cs="Times New Roman"/>
          <w:sz w:val="24"/>
          <w:szCs w:val="24"/>
        </w:rPr>
        <w:t>provides financial assistance (called an ‘advance’) to cover five employment entitlements for eligible employees who lose their job due to the liquidation or bankruptcy of their employer. The five employment entitlements covered include:</w:t>
      </w:r>
    </w:p>
    <w:p w14:paraId="32DC7F8B" w14:textId="77777777" w:rsidR="00621A82" w:rsidRPr="00275408" w:rsidRDefault="00621A82" w:rsidP="005677CA">
      <w:pPr>
        <w:pStyle w:val="ListParagraph"/>
        <w:spacing w:after="120" w:line="240" w:lineRule="auto"/>
        <w:rPr>
          <w:rFonts w:ascii="Times New Roman" w:hAnsi="Times New Roman" w:cs="Times New Roman"/>
          <w:sz w:val="24"/>
          <w:szCs w:val="24"/>
        </w:rPr>
      </w:pPr>
    </w:p>
    <w:p w14:paraId="5015CC50" w14:textId="77777777" w:rsidR="001F26EF" w:rsidRDefault="001F26EF" w:rsidP="005677CA">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unpaid wages (</w:t>
      </w:r>
      <w:r w:rsidRPr="00B01F2F">
        <w:rPr>
          <w:rFonts w:ascii="Times New Roman" w:hAnsi="Times New Roman" w:cs="Times New Roman"/>
          <w:sz w:val="24"/>
          <w:szCs w:val="24"/>
        </w:rPr>
        <w:t>up to 13 weeks</w:t>
      </w:r>
      <w:r>
        <w:rPr>
          <w:rFonts w:ascii="Times New Roman" w:hAnsi="Times New Roman" w:cs="Times New Roman"/>
          <w:sz w:val="24"/>
          <w:szCs w:val="24"/>
        </w:rPr>
        <w:t>)</w:t>
      </w:r>
      <w:r w:rsidRPr="00B01F2F">
        <w:rPr>
          <w:rFonts w:ascii="Times New Roman" w:hAnsi="Times New Roman" w:cs="Times New Roman"/>
          <w:sz w:val="24"/>
          <w:szCs w:val="24"/>
        </w:rPr>
        <w:t xml:space="preserve"> </w:t>
      </w:r>
    </w:p>
    <w:p w14:paraId="6F4C0A94" w14:textId="77777777" w:rsidR="001F26EF" w:rsidRDefault="001F26EF" w:rsidP="005677CA">
      <w:pPr>
        <w:pStyle w:val="ListParagraph"/>
        <w:numPr>
          <w:ilvl w:val="0"/>
          <w:numId w:val="13"/>
        </w:numPr>
        <w:spacing w:after="120" w:line="240" w:lineRule="auto"/>
        <w:rPr>
          <w:rFonts w:ascii="Times New Roman" w:hAnsi="Times New Roman" w:cs="Times New Roman"/>
          <w:sz w:val="24"/>
          <w:szCs w:val="24"/>
        </w:rPr>
      </w:pPr>
      <w:r w:rsidRPr="00DE5B60">
        <w:rPr>
          <w:rFonts w:ascii="Times New Roman" w:hAnsi="Times New Roman" w:cs="Times New Roman"/>
          <w:sz w:val="24"/>
          <w:szCs w:val="24"/>
        </w:rPr>
        <w:t xml:space="preserve">unpaid annual </w:t>
      </w:r>
      <w:r>
        <w:rPr>
          <w:rFonts w:ascii="Times New Roman" w:hAnsi="Times New Roman" w:cs="Times New Roman"/>
          <w:sz w:val="24"/>
          <w:szCs w:val="24"/>
        </w:rPr>
        <w:t>leave</w:t>
      </w:r>
    </w:p>
    <w:p w14:paraId="533EB0B9" w14:textId="77777777" w:rsidR="001F26EF" w:rsidRDefault="001F26EF" w:rsidP="005677CA">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unpaid </w:t>
      </w:r>
      <w:r w:rsidRPr="00DE5B60">
        <w:rPr>
          <w:rFonts w:ascii="Times New Roman" w:hAnsi="Times New Roman" w:cs="Times New Roman"/>
          <w:sz w:val="24"/>
          <w:szCs w:val="24"/>
        </w:rPr>
        <w:t>long service leave</w:t>
      </w:r>
    </w:p>
    <w:p w14:paraId="270E84B2" w14:textId="77777777" w:rsidR="001F26EF" w:rsidRDefault="001F26EF" w:rsidP="005677CA">
      <w:pPr>
        <w:pStyle w:val="ListParagraph"/>
        <w:numPr>
          <w:ilvl w:val="0"/>
          <w:numId w:val="13"/>
        </w:numPr>
        <w:spacing w:after="120" w:line="240" w:lineRule="auto"/>
        <w:rPr>
          <w:rFonts w:ascii="Times New Roman" w:hAnsi="Times New Roman" w:cs="Times New Roman"/>
          <w:sz w:val="24"/>
          <w:szCs w:val="24"/>
        </w:rPr>
      </w:pPr>
      <w:r w:rsidRPr="00DE5B60">
        <w:rPr>
          <w:rFonts w:ascii="Times New Roman" w:hAnsi="Times New Roman" w:cs="Times New Roman"/>
          <w:sz w:val="24"/>
          <w:szCs w:val="24"/>
        </w:rPr>
        <w:t>payment in lieu of notice</w:t>
      </w:r>
      <w:r>
        <w:rPr>
          <w:rFonts w:ascii="Times New Roman" w:hAnsi="Times New Roman" w:cs="Times New Roman"/>
          <w:sz w:val="24"/>
          <w:szCs w:val="24"/>
        </w:rPr>
        <w:t xml:space="preserve"> (up to 5 weeks)</w:t>
      </w:r>
    </w:p>
    <w:p w14:paraId="7305722F" w14:textId="77777777" w:rsidR="001F26EF" w:rsidRDefault="001F26EF" w:rsidP="005677CA">
      <w:pPr>
        <w:pStyle w:val="ListParagraph"/>
        <w:numPr>
          <w:ilvl w:val="0"/>
          <w:numId w:val="13"/>
        </w:numPr>
        <w:spacing w:after="120" w:line="240" w:lineRule="auto"/>
        <w:rPr>
          <w:rFonts w:ascii="Times New Roman" w:hAnsi="Times New Roman" w:cs="Times New Roman"/>
          <w:sz w:val="24"/>
          <w:szCs w:val="24"/>
        </w:rPr>
      </w:pPr>
      <w:r w:rsidRPr="00DE5B60">
        <w:rPr>
          <w:rFonts w:ascii="Times New Roman" w:hAnsi="Times New Roman" w:cs="Times New Roman"/>
          <w:sz w:val="24"/>
          <w:szCs w:val="24"/>
        </w:rPr>
        <w:t>redundancy pay</w:t>
      </w:r>
      <w:r>
        <w:rPr>
          <w:rFonts w:ascii="Times New Roman" w:hAnsi="Times New Roman" w:cs="Times New Roman"/>
          <w:sz w:val="24"/>
          <w:szCs w:val="24"/>
        </w:rPr>
        <w:t xml:space="preserve"> (up to</w:t>
      </w:r>
      <w:r w:rsidRPr="00DE5B60">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DE5B60">
        <w:rPr>
          <w:rFonts w:ascii="Times New Roman" w:hAnsi="Times New Roman" w:cs="Times New Roman"/>
          <w:sz w:val="24"/>
          <w:szCs w:val="24"/>
        </w:rPr>
        <w:t>weeks per full year of service</w:t>
      </w:r>
      <w:r>
        <w:rPr>
          <w:rFonts w:ascii="Times New Roman" w:hAnsi="Times New Roman" w:cs="Times New Roman"/>
          <w:sz w:val="24"/>
          <w:szCs w:val="24"/>
        </w:rPr>
        <w:t>)</w:t>
      </w:r>
      <w:r w:rsidRPr="00DE5B60">
        <w:rPr>
          <w:rFonts w:ascii="Times New Roman" w:hAnsi="Times New Roman" w:cs="Times New Roman"/>
          <w:sz w:val="24"/>
          <w:szCs w:val="24"/>
        </w:rPr>
        <w:t xml:space="preserve">. </w:t>
      </w:r>
    </w:p>
    <w:p w14:paraId="32FA66E4" w14:textId="77777777" w:rsidR="001F26EF" w:rsidRPr="00DE5B60" w:rsidRDefault="001F26EF" w:rsidP="005677CA">
      <w:pPr>
        <w:pStyle w:val="ListParagraph"/>
        <w:spacing w:after="120" w:line="240" w:lineRule="auto"/>
        <w:ind w:left="1440"/>
        <w:rPr>
          <w:rFonts w:ascii="Times New Roman" w:hAnsi="Times New Roman" w:cs="Times New Roman"/>
          <w:sz w:val="24"/>
          <w:szCs w:val="24"/>
        </w:rPr>
      </w:pPr>
    </w:p>
    <w:p w14:paraId="4B4A0F5F" w14:textId="77777777" w:rsidR="005A19D3" w:rsidRDefault="001F26EF" w:rsidP="005677CA">
      <w:pPr>
        <w:pStyle w:val="ListParagraph"/>
        <w:numPr>
          <w:ilvl w:val="0"/>
          <w:numId w:val="5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The F</w:t>
      </w:r>
      <w:r w:rsidR="0005711C">
        <w:rPr>
          <w:rFonts w:ascii="Times New Roman" w:hAnsi="Times New Roman" w:cs="Times New Roman"/>
          <w:sz w:val="24"/>
          <w:szCs w:val="24"/>
        </w:rPr>
        <w:t>EG</w:t>
      </w:r>
      <w:r>
        <w:rPr>
          <w:rFonts w:ascii="Times New Roman" w:hAnsi="Times New Roman" w:cs="Times New Roman"/>
          <w:sz w:val="24"/>
          <w:szCs w:val="24"/>
        </w:rPr>
        <w:t xml:space="preserve"> </w:t>
      </w:r>
      <w:r w:rsidR="0092232A">
        <w:rPr>
          <w:rFonts w:ascii="Times New Roman" w:hAnsi="Times New Roman" w:cs="Times New Roman"/>
          <w:sz w:val="24"/>
          <w:szCs w:val="24"/>
        </w:rPr>
        <w:t xml:space="preserve">commenced on 5 December 2012 as </w:t>
      </w:r>
      <w:r>
        <w:rPr>
          <w:rFonts w:ascii="Times New Roman" w:hAnsi="Times New Roman" w:cs="Times New Roman"/>
          <w:sz w:val="24"/>
          <w:szCs w:val="24"/>
        </w:rPr>
        <w:t xml:space="preserve">a legislative scheme established under the </w:t>
      </w:r>
      <w:r w:rsidRPr="001F26EF">
        <w:rPr>
          <w:rFonts w:ascii="Times New Roman" w:hAnsi="Times New Roman" w:cs="Times New Roman"/>
          <w:i/>
          <w:sz w:val="24"/>
          <w:szCs w:val="24"/>
        </w:rPr>
        <w:t>Fair Entitlements Guarantee Act 2012</w:t>
      </w:r>
      <w:r>
        <w:rPr>
          <w:rFonts w:ascii="Times New Roman" w:hAnsi="Times New Roman" w:cs="Times New Roman"/>
          <w:sz w:val="24"/>
          <w:szCs w:val="24"/>
        </w:rPr>
        <w:t xml:space="preserve"> (</w:t>
      </w:r>
      <w:r w:rsidR="00004EB4">
        <w:rPr>
          <w:rFonts w:ascii="Times New Roman" w:hAnsi="Times New Roman" w:cs="Times New Roman"/>
          <w:sz w:val="24"/>
          <w:szCs w:val="24"/>
        </w:rPr>
        <w:t>FEG</w:t>
      </w:r>
      <w:r>
        <w:rPr>
          <w:rFonts w:ascii="Times New Roman" w:hAnsi="Times New Roman" w:cs="Times New Roman"/>
          <w:sz w:val="24"/>
          <w:szCs w:val="24"/>
        </w:rPr>
        <w:t xml:space="preserve"> Act). </w:t>
      </w:r>
      <w:r w:rsidR="0092232A">
        <w:rPr>
          <w:rFonts w:ascii="Times New Roman" w:hAnsi="Times New Roman" w:cs="Times New Roman"/>
          <w:sz w:val="24"/>
          <w:szCs w:val="24"/>
        </w:rPr>
        <w:t>The FEG replaced the previous administrative scheme, the General Employee Entitlements and Redundancy Scheme (GEERS) which commenced in September 2001.</w:t>
      </w:r>
    </w:p>
    <w:p w14:paraId="733C817B" w14:textId="77777777" w:rsidR="00C05209" w:rsidRDefault="00C05209">
      <w:pPr>
        <w:spacing w:after="0" w:line="240" w:lineRule="auto"/>
        <w:rPr>
          <w:rFonts w:ascii="Times New Roman" w:hAnsi="Times New Roman" w:cs="Times New Roman"/>
          <w:sz w:val="24"/>
          <w:szCs w:val="24"/>
        </w:rPr>
      </w:pPr>
    </w:p>
    <w:p w14:paraId="734040F2" w14:textId="77777777" w:rsidR="00927F75" w:rsidRPr="00927F75" w:rsidRDefault="0077754D" w:rsidP="005677CA">
      <w:pPr>
        <w:pStyle w:val="ListParagraph"/>
        <w:numPr>
          <w:ilvl w:val="0"/>
          <w:numId w:val="50"/>
        </w:numPr>
        <w:spacing w:after="0" w:line="240" w:lineRule="auto"/>
        <w:ind w:left="426" w:hanging="426"/>
        <w:rPr>
          <w:rFonts w:ascii="Times New Roman" w:hAnsi="Times New Roman" w:cs="Times New Roman"/>
          <w:sz w:val="24"/>
          <w:szCs w:val="24"/>
        </w:rPr>
      </w:pPr>
      <w:r w:rsidRPr="007373EF">
        <w:rPr>
          <w:rFonts w:ascii="Times New Roman" w:hAnsi="Times New Roman" w:cs="Times New Roman"/>
          <w:sz w:val="24"/>
          <w:szCs w:val="24"/>
        </w:rPr>
        <w:t xml:space="preserve">An Amendment Bill is currently before Parliament to </w:t>
      </w:r>
      <w:r w:rsidR="00E30585">
        <w:rPr>
          <w:rFonts w:ascii="Times New Roman" w:hAnsi="Times New Roman" w:cs="Times New Roman"/>
          <w:sz w:val="24"/>
          <w:szCs w:val="24"/>
        </w:rPr>
        <w:t>im</w:t>
      </w:r>
      <w:r w:rsidR="00E30585" w:rsidRPr="007373EF">
        <w:rPr>
          <w:rFonts w:ascii="Times New Roman" w:hAnsi="Times New Roman" w:cs="Times New Roman"/>
          <w:sz w:val="24"/>
          <w:szCs w:val="24"/>
        </w:rPr>
        <w:t>plement</w:t>
      </w:r>
      <w:r w:rsidR="00927F75" w:rsidRPr="007373EF">
        <w:rPr>
          <w:rFonts w:ascii="Times New Roman" w:hAnsi="Times New Roman" w:cs="Times New Roman"/>
          <w:sz w:val="24"/>
          <w:szCs w:val="24"/>
        </w:rPr>
        <w:t xml:space="preserve"> the Government’s 2014-15 Budget </w:t>
      </w:r>
      <w:r w:rsidR="00180CC8" w:rsidRPr="007373EF">
        <w:rPr>
          <w:rFonts w:ascii="Times New Roman" w:hAnsi="Times New Roman" w:cs="Times New Roman"/>
          <w:sz w:val="24"/>
          <w:szCs w:val="24"/>
        </w:rPr>
        <w:t>announcements</w:t>
      </w:r>
      <w:r w:rsidR="00927F75" w:rsidRPr="007373EF">
        <w:rPr>
          <w:rFonts w:ascii="Times New Roman" w:hAnsi="Times New Roman" w:cs="Times New Roman"/>
          <w:sz w:val="24"/>
          <w:szCs w:val="24"/>
        </w:rPr>
        <w:t xml:space="preserve"> to </w:t>
      </w:r>
      <w:r w:rsidRPr="007373EF">
        <w:rPr>
          <w:rFonts w:ascii="Times New Roman" w:hAnsi="Times New Roman" w:cs="Times New Roman"/>
          <w:sz w:val="24"/>
          <w:szCs w:val="24"/>
        </w:rPr>
        <w:t>reduce the</w:t>
      </w:r>
      <w:r w:rsidR="00927F75" w:rsidRPr="007373EF">
        <w:rPr>
          <w:rFonts w:ascii="Times New Roman" w:hAnsi="Times New Roman" w:cs="Times New Roman"/>
          <w:sz w:val="24"/>
          <w:szCs w:val="24"/>
        </w:rPr>
        <w:t xml:space="preserve"> redundancy pay entitlement under the </w:t>
      </w:r>
      <w:r w:rsidR="00DC37BC">
        <w:rPr>
          <w:rFonts w:ascii="Times New Roman" w:hAnsi="Times New Roman" w:cs="Times New Roman"/>
          <w:sz w:val="24"/>
          <w:szCs w:val="24"/>
        </w:rPr>
        <w:t>FEG</w:t>
      </w:r>
      <w:r w:rsidR="00927F75" w:rsidRPr="007373EF">
        <w:rPr>
          <w:rFonts w:ascii="Times New Roman" w:hAnsi="Times New Roman" w:cs="Times New Roman"/>
          <w:sz w:val="24"/>
          <w:szCs w:val="24"/>
        </w:rPr>
        <w:t xml:space="preserve"> </w:t>
      </w:r>
      <w:r w:rsidRPr="007373EF">
        <w:rPr>
          <w:rFonts w:ascii="Times New Roman" w:hAnsi="Times New Roman" w:cs="Times New Roman"/>
          <w:sz w:val="24"/>
          <w:szCs w:val="24"/>
        </w:rPr>
        <w:t xml:space="preserve">to </w:t>
      </w:r>
      <w:r w:rsidR="004641D4">
        <w:rPr>
          <w:rFonts w:ascii="Times New Roman" w:hAnsi="Times New Roman" w:cs="Times New Roman"/>
          <w:sz w:val="24"/>
          <w:szCs w:val="24"/>
        </w:rPr>
        <w:t xml:space="preserve">a maximum of </w:t>
      </w:r>
      <w:r w:rsidR="00927F75" w:rsidRPr="007373EF">
        <w:rPr>
          <w:rFonts w:ascii="Times New Roman" w:hAnsi="Times New Roman" w:cs="Times New Roman"/>
          <w:sz w:val="24"/>
          <w:szCs w:val="24"/>
        </w:rPr>
        <w:t xml:space="preserve">16 weeks </w:t>
      </w:r>
      <w:r w:rsidRPr="007373EF">
        <w:rPr>
          <w:rFonts w:ascii="Times New Roman" w:hAnsi="Times New Roman" w:cs="Times New Roman"/>
          <w:sz w:val="24"/>
          <w:szCs w:val="24"/>
        </w:rPr>
        <w:t xml:space="preserve">in alignment with </w:t>
      </w:r>
      <w:r w:rsidR="00927F75" w:rsidRPr="007373EF">
        <w:rPr>
          <w:rFonts w:ascii="Times New Roman" w:hAnsi="Times New Roman" w:cs="Times New Roman"/>
          <w:sz w:val="24"/>
          <w:szCs w:val="24"/>
        </w:rPr>
        <w:t xml:space="preserve">the National Employment Standards contained in the </w:t>
      </w:r>
      <w:r w:rsidRPr="007373EF">
        <w:rPr>
          <w:rFonts w:ascii="Times New Roman" w:hAnsi="Times New Roman" w:cs="Times New Roman"/>
          <w:sz w:val="24"/>
          <w:szCs w:val="24"/>
        </w:rPr>
        <w:t>F</w:t>
      </w:r>
      <w:r w:rsidR="00180CC8">
        <w:rPr>
          <w:rFonts w:ascii="Times New Roman" w:hAnsi="Times New Roman" w:cs="Times New Roman"/>
          <w:sz w:val="24"/>
          <w:szCs w:val="24"/>
        </w:rPr>
        <w:t>air Work</w:t>
      </w:r>
      <w:r w:rsidRPr="007373EF">
        <w:rPr>
          <w:rFonts w:ascii="Times New Roman" w:hAnsi="Times New Roman" w:cs="Times New Roman"/>
          <w:sz w:val="24"/>
          <w:szCs w:val="24"/>
        </w:rPr>
        <w:t xml:space="preserve"> Act</w:t>
      </w:r>
      <w:r w:rsidR="00927F75" w:rsidRPr="007373EF">
        <w:rPr>
          <w:rFonts w:ascii="Times New Roman" w:hAnsi="Times New Roman" w:cs="Times New Roman"/>
          <w:sz w:val="24"/>
          <w:szCs w:val="24"/>
        </w:rPr>
        <w:t>.</w:t>
      </w:r>
      <w:r w:rsidRPr="007373EF">
        <w:rPr>
          <w:rFonts w:ascii="Times New Roman" w:hAnsi="Times New Roman" w:cs="Times New Roman"/>
          <w:sz w:val="24"/>
          <w:szCs w:val="24"/>
        </w:rPr>
        <w:t xml:space="preserve"> </w:t>
      </w:r>
      <w:r>
        <w:rPr>
          <w:rFonts w:ascii="Times New Roman" w:hAnsi="Times New Roman" w:cs="Times New Roman"/>
          <w:sz w:val="24"/>
          <w:szCs w:val="24"/>
        </w:rPr>
        <w:t xml:space="preserve">The Amendment Bill also includes five minor </w:t>
      </w:r>
      <w:r w:rsidRPr="007373EF">
        <w:rPr>
          <w:rFonts w:ascii="Times New Roman" w:hAnsi="Times New Roman" w:cs="Times New Roman"/>
          <w:sz w:val="24"/>
          <w:szCs w:val="24"/>
        </w:rPr>
        <w:t xml:space="preserve">technical </w:t>
      </w:r>
      <w:r>
        <w:rPr>
          <w:rFonts w:ascii="Times New Roman" w:hAnsi="Times New Roman" w:cs="Times New Roman"/>
          <w:sz w:val="24"/>
          <w:szCs w:val="24"/>
        </w:rPr>
        <w:t xml:space="preserve">amendments </w:t>
      </w:r>
      <w:r w:rsidR="00927F75" w:rsidRPr="00927F75">
        <w:rPr>
          <w:rFonts w:ascii="Times New Roman" w:hAnsi="Times New Roman" w:cs="Times New Roman"/>
          <w:sz w:val="24"/>
          <w:szCs w:val="24"/>
        </w:rPr>
        <w:t xml:space="preserve">to clarify the operation of the </w:t>
      </w:r>
      <w:r>
        <w:rPr>
          <w:rFonts w:ascii="Times New Roman" w:hAnsi="Times New Roman" w:cs="Times New Roman"/>
          <w:sz w:val="24"/>
          <w:szCs w:val="24"/>
        </w:rPr>
        <w:t>FEG</w:t>
      </w:r>
      <w:r w:rsidR="00927F75" w:rsidRPr="00927F75">
        <w:rPr>
          <w:rFonts w:ascii="Times New Roman" w:hAnsi="Times New Roman" w:cs="Times New Roman"/>
          <w:sz w:val="24"/>
          <w:szCs w:val="24"/>
        </w:rPr>
        <w:t xml:space="preserve">. </w:t>
      </w:r>
    </w:p>
    <w:p w14:paraId="03086819" w14:textId="77777777" w:rsidR="00C6786B" w:rsidRDefault="00C6786B" w:rsidP="005677CA">
      <w:pPr>
        <w:rPr>
          <w:rFonts w:ascii="Times New Roman" w:hAnsi="Times New Roman" w:cs="Times New Roman"/>
          <w:sz w:val="24"/>
          <w:szCs w:val="24"/>
        </w:rPr>
      </w:pPr>
    </w:p>
    <w:p w14:paraId="748E3503" w14:textId="77777777" w:rsidR="00927F75" w:rsidRPr="007373EF" w:rsidRDefault="0077754D" w:rsidP="005677CA">
      <w:pPr>
        <w:rPr>
          <w:u w:val="single"/>
        </w:rPr>
      </w:pPr>
      <w:r w:rsidRPr="007373EF">
        <w:rPr>
          <w:rFonts w:ascii="Times New Roman" w:hAnsi="Times New Roman" w:cs="Times New Roman"/>
          <w:sz w:val="24"/>
          <w:szCs w:val="24"/>
          <w:u w:val="single"/>
        </w:rPr>
        <w:t>Historical Context</w:t>
      </w:r>
    </w:p>
    <w:p w14:paraId="0E949B32" w14:textId="77777777" w:rsidR="00D14B13" w:rsidRDefault="00DE5B60" w:rsidP="005677CA">
      <w:pPr>
        <w:pStyle w:val="ListParagraph"/>
        <w:numPr>
          <w:ilvl w:val="0"/>
          <w:numId w:val="50"/>
        </w:numPr>
        <w:spacing w:after="120" w:line="240" w:lineRule="auto"/>
        <w:ind w:left="426" w:hanging="426"/>
        <w:rPr>
          <w:rFonts w:ascii="Times New Roman" w:hAnsi="Times New Roman" w:cs="Times New Roman"/>
          <w:sz w:val="24"/>
          <w:szCs w:val="24"/>
        </w:rPr>
      </w:pPr>
      <w:r w:rsidRPr="00A131DE">
        <w:rPr>
          <w:rFonts w:ascii="Times New Roman" w:hAnsi="Times New Roman" w:cs="Times New Roman"/>
          <w:sz w:val="24"/>
          <w:szCs w:val="24"/>
        </w:rPr>
        <w:t xml:space="preserve">The first employee entitlement protection scheme of this nature was the Employee Entitlements Support Scheme </w:t>
      </w:r>
      <w:r w:rsidR="00A131DE">
        <w:rPr>
          <w:rFonts w:ascii="Times New Roman" w:hAnsi="Times New Roman" w:cs="Times New Roman"/>
          <w:sz w:val="24"/>
          <w:szCs w:val="24"/>
        </w:rPr>
        <w:t xml:space="preserve">(EESS) </w:t>
      </w:r>
      <w:r w:rsidRPr="00A131DE">
        <w:rPr>
          <w:rFonts w:ascii="Times New Roman" w:hAnsi="Times New Roman" w:cs="Times New Roman"/>
          <w:sz w:val="24"/>
          <w:szCs w:val="24"/>
        </w:rPr>
        <w:t>introduced on 1 January 2000</w:t>
      </w:r>
      <w:r w:rsidR="00284A79">
        <w:rPr>
          <w:rFonts w:ascii="Times New Roman" w:hAnsi="Times New Roman" w:cs="Times New Roman"/>
          <w:sz w:val="24"/>
          <w:szCs w:val="24"/>
        </w:rPr>
        <w:t xml:space="preserve">. At that time, there was </w:t>
      </w:r>
      <w:r w:rsidR="00004EB4">
        <w:rPr>
          <w:rFonts w:ascii="Times New Roman" w:hAnsi="Times New Roman" w:cs="Times New Roman"/>
          <w:sz w:val="24"/>
          <w:szCs w:val="24"/>
        </w:rPr>
        <w:t xml:space="preserve">considerable </w:t>
      </w:r>
      <w:r w:rsidR="00284A79">
        <w:rPr>
          <w:rFonts w:ascii="Times New Roman" w:hAnsi="Times New Roman" w:cs="Times New Roman"/>
          <w:sz w:val="24"/>
          <w:szCs w:val="24"/>
        </w:rPr>
        <w:t xml:space="preserve">debate about the issue of what to do when employees lost their job </w:t>
      </w:r>
      <w:r w:rsidR="004641D4">
        <w:rPr>
          <w:rFonts w:ascii="Times New Roman" w:hAnsi="Times New Roman" w:cs="Times New Roman"/>
          <w:sz w:val="24"/>
          <w:szCs w:val="24"/>
        </w:rPr>
        <w:t xml:space="preserve">and </w:t>
      </w:r>
      <w:r w:rsidR="004641D4" w:rsidRPr="00D96BCD">
        <w:rPr>
          <w:rFonts w:ascii="Times New Roman" w:hAnsi="Times New Roman" w:cs="Times New Roman"/>
          <w:sz w:val="24"/>
          <w:szCs w:val="24"/>
        </w:rPr>
        <w:t>accrued</w:t>
      </w:r>
      <w:r w:rsidR="004641D4">
        <w:rPr>
          <w:rFonts w:ascii="Times New Roman" w:hAnsi="Times New Roman" w:cs="Times New Roman"/>
          <w:sz w:val="24"/>
          <w:szCs w:val="24"/>
        </w:rPr>
        <w:t xml:space="preserve"> entitlements </w:t>
      </w:r>
      <w:r w:rsidR="00284A79">
        <w:rPr>
          <w:rFonts w:ascii="Times New Roman" w:hAnsi="Times New Roman" w:cs="Times New Roman"/>
          <w:sz w:val="24"/>
          <w:szCs w:val="24"/>
        </w:rPr>
        <w:t xml:space="preserve">as a result of business insolvency and whether taxpayers or business should find a solution to the problem. </w:t>
      </w:r>
    </w:p>
    <w:p w14:paraId="7612952B" w14:textId="77777777" w:rsidR="00C6786B" w:rsidRDefault="00C6786B" w:rsidP="005677CA">
      <w:pPr>
        <w:pStyle w:val="ListParagraph"/>
        <w:spacing w:after="120" w:line="240" w:lineRule="auto"/>
        <w:ind w:left="426"/>
        <w:rPr>
          <w:rFonts w:ascii="Times New Roman" w:hAnsi="Times New Roman" w:cs="Times New Roman"/>
          <w:sz w:val="24"/>
          <w:szCs w:val="24"/>
        </w:rPr>
      </w:pPr>
    </w:p>
    <w:p w14:paraId="41F181D1" w14:textId="77777777" w:rsidR="00CD7254" w:rsidRPr="00CD7254" w:rsidRDefault="00CD7254"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lastRenderedPageBreak/>
        <w:t xml:space="preserve">Prior to the introduction of the EESS, employees who lost accrued employment entitlements through the liquidation or bankruptcy of their employer had no protection and had to rely on funds </w:t>
      </w:r>
      <w:r w:rsidR="0077754D">
        <w:rPr>
          <w:rFonts w:ascii="Times New Roman" w:hAnsi="Times New Roman" w:cs="Times New Roman"/>
          <w:sz w:val="24"/>
          <w:szCs w:val="24"/>
        </w:rPr>
        <w:t xml:space="preserve">being </w:t>
      </w:r>
      <w:r>
        <w:rPr>
          <w:rFonts w:ascii="Times New Roman" w:hAnsi="Times New Roman" w:cs="Times New Roman"/>
          <w:sz w:val="24"/>
          <w:szCs w:val="24"/>
        </w:rPr>
        <w:t xml:space="preserve">available in the winding up of their employer. </w:t>
      </w:r>
    </w:p>
    <w:p w14:paraId="690DF7AE" w14:textId="77777777" w:rsidR="00D14B13" w:rsidRDefault="00D14B13" w:rsidP="005677CA">
      <w:pPr>
        <w:pStyle w:val="ListParagraph"/>
        <w:spacing w:after="120" w:line="240" w:lineRule="auto"/>
        <w:rPr>
          <w:rFonts w:ascii="Times New Roman" w:hAnsi="Times New Roman" w:cs="Times New Roman"/>
          <w:sz w:val="24"/>
          <w:szCs w:val="24"/>
        </w:rPr>
      </w:pPr>
    </w:p>
    <w:p w14:paraId="57E3B65C" w14:textId="77777777" w:rsidR="004641D4" w:rsidRDefault="004641D4" w:rsidP="005677CA">
      <w:pPr>
        <w:pStyle w:val="ListParagraph"/>
        <w:numPr>
          <w:ilvl w:val="0"/>
          <w:numId w:val="50"/>
        </w:numPr>
        <w:spacing w:after="120" w:line="240" w:lineRule="auto"/>
        <w:ind w:left="426" w:hanging="426"/>
        <w:rPr>
          <w:rFonts w:ascii="Times New Roman" w:hAnsi="Times New Roman" w:cs="Times New Roman"/>
          <w:sz w:val="24"/>
          <w:szCs w:val="24"/>
        </w:rPr>
      </w:pPr>
      <w:r w:rsidRPr="004641D4">
        <w:rPr>
          <w:rFonts w:ascii="Times New Roman" w:hAnsi="Times New Roman" w:cs="Times New Roman"/>
          <w:bCs/>
          <w:sz w:val="24"/>
          <w:szCs w:val="24"/>
        </w:rPr>
        <w:t xml:space="preserve">EESS was intended to be funded through a combination of Commonwealth, State and Territory funding, however, agreement was never obtained </w:t>
      </w:r>
      <w:r w:rsidR="006D58CA">
        <w:rPr>
          <w:rFonts w:ascii="Times New Roman" w:hAnsi="Times New Roman" w:cs="Times New Roman"/>
          <w:bCs/>
          <w:sz w:val="24"/>
          <w:szCs w:val="24"/>
        </w:rPr>
        <w:t>from</w:t>
      </w:r>
      <w:r w:rsidR="006D58CA" w:rsidRPr="004641D4">
        <w:rPr>
          <w:rFonts w:ascii="Times New Roman" w:hAnsi="Times New Roman" w:cs="Times New Roman"/>
          <w:bCs/>
          <w:sz w:val="24"/>
          <w:szCs w:val="24"/>
        </w:rPr>
        <w:t xml:space="preserve"> </w:t>
      </w:r>
      <w:r w:rsidRPr="004641D4">
        <w:rPr>
          <w:rFonts w:ascii="Times New Roman" w:hAnsi="Times New Roman" w:cs="Times New Roman"/>
          <w:bCs/>
          <w:sz w:val="24"/>
          <w:szCs w:val="24"/>
        </w:rPr>
        <w:t>the States and Territories</w:t>
      </w:r>
      <w:r>
        <w:rPr>
          <w:rFonts w:ascii="Times New Roman" w:hAnsi="Times New Roman" w:cs="Times New Roman"/>
          <w:sz w:val="24"/>
          <w:szCs w:val="24"/>
        </w:rPr>
        <w:t xml:space="preserve">.  </w:t>
      </w:r>
    </w:p>
    <w:p w14:paraId="55D7D3B1" w14:textId="77777777" w:rsidR="004641D4" w:rsidRPr="004641D4" w:rsidRDefault="004641D4" w:rsidP="005677CA">
      <w:pPr>
        <w:pStyle w:val="ListParagraph"/>
        <w:spacing w:after="120" w:line="240" w:lineRule="auto"/>
        <w:rPr>
          <w:rFonts w:ascii="Times New Roman" w:hAnsi="Times New Roman" w:cs="Times New Roman"/>
          <w:sz w:val="24"/>
          <w:szCs w:val="24"/>
        </w:rPr>
      </w:pPr>
    </w:p>
    <w:p w14:paraId="53E11932" w14:textId="77777777" w:rsidR="00D14B13" w:rsidRDefault="00D14B13" w:rsidP="005677CA">
      <w:pPr>
        <w:pStyle w:val="ListParagraph"/>
        <w:numPr>
          <w:ilvl w:val="0"/>
          <w:numId w:val="50"/>
        </w:numPr>
        <w:spacing w:after="120" w:line="240" w:lineRule="auto"/>
        <w:ind w:left="426" w:hanging="426"/>
        <w:rPr>
          <w:rFonts w:ascii="Times New Roman" w:hAnsi="Times New Roman" w:cs="Times New Roman"/>
          <w:sz w:val="24"/>
          <w:szCs w:val="24"/>
        </w:rPr>
      </w:pPr>
      <w:r w:rsidRPr="00CD7254">
        <w:rPr>
          <w:rFonts w:ascii="Times New Roman" w:hAnsi="Times New Roman" w:cs="Times New Roman"/>
          <w:sz w:val="24"/>
          <w:szCs w:val="24"/>
        </w:rPr>
        <w:t xml:space="preserve">A key consideration in the design of the EESS was whether it was reasonable for employees to expect that </w:t>
      </w:r>
      <w:r w:rsidR="00BC499B">
        <w:rPr>
          <w:rFonts w:ascii="Times New Roman" w:hAnsi="Times New Roman" w:cs="Times New Roman"/>
          <w:sz w:val="24"/>
          <w:szCs w:val="24"/>
        </w:rPr>
        <w:t>g</w:t>
      </w:r>
      <w:r w:rsidRPr="00CD7254">
        <w:rPr>
          <w:rFonts w:ascii="Times New Roman" w:hAnsi="Times New Roman" w:cs="Times New Roman"/>
          <w:sz w:val="24"/>
          <w:szCs w:val="24"/>
        </w:rPr>
        <w:t xml:space="preserve">overnments should guarantee 100 per cent of their lost entitlements. </w:t>
      </w:r>
      <w:r w:rsidR="00275408" w:rsidRPr="00CD7254">
        <w:rPr>
          <w:rFonts w:ascii="Times New Roman" w:hAnsi="Times New Roman" w:cs="Times New Roman"/>
          <w:sz w:val="24"/>
          <w:szCs w:val="24"/>
        </w:rPr>
        <w:t>The Government at the time proposed a safety net to support workers whose employers had not made provision for them. In providing a safety net level of support, the Government was also very conscious of the need to minimise the risk of ‘moral hazard’ that such a scheme presented, that is, that some employers would accept a higher level of risk because there was a taxpayer funded safety net available for their employee entitlement obligations.</w:t>
      </w:r>
      <w:r w:rsidRPr="00CD7254">
        <w:rPr>
          <w:rFonts w:ascii="Times New Roman" w:hAnsi="Times New Roman" w:cs="Times New Roman"/>
          <w:sz w:val="24"/>
          <w:szCs w:val="24"/>
        </w:rPr>
        <w:t xml:space="preserve"> </w:t>
      </w:r>
    </w:p>
    <w:p w14:paraId="7D908294" w14:textId="77777777" w:rsidR="00CD7254" w:rsidRPr="00CD7254" w:rsidRDefault="00CD7254" w:rsidP="005677CA">
      <w:pPr>
        <w:pStyle w:val="ListParagraph"/>
        <w:spacing w:after="120" w:line="240" w:lineRule="auto"/>
        <w:rPr>
          <w:rFonts w:ascii="Times New Roman" w:hAnsi="Times New Roman" w:cs="Times New Roman"/>
          <w:sz w:val="24"/>
          <w:szCs w:val="24"/>
        </w:rPr>
      </w:pPr>
    </w:p>
    <w:p w14:paraId="2BEE6BCA" w14:textId="77777777" w:rsidR="00EE13CC" w:rsidRDefault="00A131DE"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EESS </w:t>
      </w:r>
      <w:r w:rsidR="00284A79">
        <w:rPr>
          <w:rFonts w:ascii="Times New Roman" w:hAnsi="Times New Roman" w:cs="Times New Roman"/>
          <w:sz w:val="24"/>
          <w:szCs w:val="24"/>
        </w:rPr>
        <w:t>protect</w:t>
      </w:r>
      <w:r w:rsidR="004641D4">
        <w:rPr>
          <w:rFonts w:ascii="Times New Roman" w:hAnsi="Times New Roman" w:cs="Times New Roman"/>
          <w:sz w:val="24"/>
          <w:szCs w:val="24"/>
        </w:rPr>
        <w:t>ed</w:t>
      </w:r>
      <w:r w:rsidR="00284A79">
        <w:rPr>
          <w:rFonts w:ascii="Times New Roman" w:hAnsi="Times New Roman" w:cs="Times New Roman"/>
          <w:sz w:val="24"/>
          <w:szCs w:val="24"/>
        </w:rPr>
        <w:t xml:space="preserve"> </w:t>
      </w:r>
      <w:r>
        <w:rPr>
          <w:rFonts w:ascii="Times New Roman" w:hAnsi="Times New Roman" w:cs="Times New Roman"/>
          <w:sz w:val="24"/>
          <w:szCs w:val="24"/>
        </w:rPr>
        <w:t>em</w:t>
      </w:r>
      <w:r w:rsidR="00525C4D">
        <w:rPr>
          <w:rFonts w:ascii="Times New Roman" w:hAnsi="Times New Roman" w:cs="Times New Roman"/>
          <w:sz w:val="24"/>
          <w:szCs w:val="24"/>
        </w:rPr>
        <w:t xml:space="preserve">ployee entitlements </w:t>
      </w:r>
      <w:r w:rsidR="0005722A">
        <w:rPr>
          <w:rFonts w:ascii="Times New Roman" w:hAnsi="Times New Roman" w:cs="Times New Roman"/>
          <w:sz w:val="24"/>
          <w:szCs w:val="24"/>
        </w:rPr>
        <w:t xml:space="preserve">up to a total payment of </w:t>
      </w:r>
      <w:r w:rsidR="00525C4D">
        <w:rPr>
          <w:rFonts w:ascii="Times New Roman" w:hAnsi="Times New Roman" w:cs="Times New Roman"/>
          <w:sz w:val="24"/>
          <w:szCs w:val="24"/>
        </w:rPr>
        <w:t>29 </w:t>
      </w:r>
      <w:r>
        <w:rPr>
          <w:rFonts w:ascii="Times New Roman" w:hAnsi="Times New Roman" w:cs="Times New Roman"/>
          <w:sz w:val="24"/>
          <w:szCs w:val="24"/>
        </w:rPr>
        <w:t xml:space="preserve">weeks’ pay </w:t>
      </w:r>
      <w:r w:rsidR="00EE13CC">
        <w:rPr>
          <w:rFonts w:ascii="Times New Roman" w:hAnsi="Times New Roman" w:cs="Times New Roman"/>
          <w:sz w:val="24"/>
          <w:szCs w:val="24"/>
        </w:rPr>
        <w:t>at ordinary time rates</w:t>
      </w:r>
      <w:r w:rsidR="00D96BCD">
        <w:rPr>
          <w:rFonts w:ascii="Times New Roman" w:hAnsi="Times New Roman" w:cs="Times New Roman"/>
          <w:sz w:val="24"/>
          <w:szCs w:val="24"/>
        </w:rPr>
        <w:t>, subject to a maximum overall amount of $20,000</w:t>
      </w:r>
      <w:r>
        <w:rPr>
          <w:rFonts w:ascii="Times New Roman" w:hAnsi="Times New Roman" w:cs="Times New Roman"/>
          <w:sz w:val="24"/>
          <w:szCs w:val="24"/>
        </w:rPr>
        <w:t>. Th</w:t>
      </w:r>
      <w:r w:rsidR="00EE13CC">
        <w:rPr>
          <w:rFonts w:ascii="Times New Roman" w:hAnsi="Times New Roman" w:cs="Times New Roman"/>
          <w:sz w:val="24"/>
          <w:szCs w:val="24"/>
        </w:rPr>
        <w:t xml:space="preserve">e payment could </w:t>
      </w:r>
      <w:r>
        <w:rPr>
          <w:rFonts w:ascii="Times New Roman" w:hAnsi="Times New Roman" w:cs="Times New Roman"/>
          <w:sz w:val="24"/>
          <w:szCs w:val="24"/>
        </w:rPr>
        <w:t>comprise</w:t>
      </w:r>
      <w:r w:rsidR="00EE13CC">
        <w:rPr>
          <w:rFonts w:ascii="Times New Roman" w:hAnsi="Times New Roman" w:cs="Times New Roman"/>
          <w:sz w:val="24"/>
          <w:szCs w:val="24"/>
        </w:rPr>
        <w:t>:</w:t>
      </w:r>
    </w:p>
    <w:p w14:paraId="74AA002B" w14:textId="77777777" w:rsidR="00EE13CC" w:rsidRDefault="00EE13CC" w:rsidP="005677CA">
      <w:pPr>
        <w:pStyle w:val="ListParagraph"/>
        <w:numPr>
          <w:ilvl w:val="0"/>
          <w:numId w:val="13"/>
        </w:numPr>
        <w:spacing w:after="120" w:line="240" w:lineRule="auto"/>
        <w:rPr>
          <w:rFonts w:ascii="Times New Roman" w:hAnsi="Times New Roman" w:cs="Times New Roman"/>
          <w:sz w:val="24"/>
          <w:szCs w:val="24"/>
        </w:rPr>
      </w:pPr>
      <w:r w:rsidRPr="00EE13CC">
        <w:rPr>
          <w:rFonts w:ascii="Times New Roman" w:hAnsi="Times New Roman" w:cs="Times New Roman"/>
          <w:sz w:val="24"/>
          <w:szCs w:val="24"/>
        </w:rPr>
        <w:t>unpaid wages</w:t>
      </w:r>
      <w:r>
        <w:rPr>
          <w:rFonts w:ascii="Times New Roman" w:hAnsi="Times New Roman" w:cs="Times New Roman"/>
          <w:sz w:val="24"/>
          <w:szCs w:val="24"/>
        </w:rPr>
        <w:t xml:space="preserve"> - </w:t>
      </w:r>
      <w:r w:rsidR="00A131DE" w:rsidRPr="00EE13CC">
        <w:rPr>
          <w:rFonts w:ascii="Times New Roman" w:hAnsi="Times New Roman" w:cs="Times New Roman"/>
          <w:sz w:val="24"/>
          <w:szCs w:val="24"/>
        </w:rPr>
        <w:t xml:space="preserve">up to </w:t>
      </w:r>
      <w:r>
        <w:rPr>
          <w:rFonts w:ascii="Times New Roman" w:hAnsi="Times New Roman" w:cs="Times New Roman"/>
          <w:sz w:val="24"/>
          <w:szCs w:val="24"/>
        </w:rPr>
        <w:t>4</w:t>
      </w:r>
      <w:r w:rsidR="00A131DE" w:rsidRPr="00EE13CC">
        <w:rPr>
          <w:rFonts w:ascii="Times New Roman" w:hAnsi="Times New Roman" w:cs="Times New Roman"/>
          <w:sz w:val="24"/>
          <w:szCs w:val="24"/>
        </w:rPr>
        <w:t xml:space="preserve"> weeks</w:t>
      </w:r>
      <w:r w:rsidR="00DC37BC">
        <w:rPr>
          <w:rFonts w:ascii="Times New Roman" w:hAnsi="Times New Roman" w:cs="Times New Roman"/>
          <w:sz w:val="24"/>
          <w:szCs w:val="24"/>
        </w:rPr>
        <w:t>;</w:t>
      </w:r>
    </w:p>
    <w:p w14:paraId="38D55F04" w14:textId="77777777" w:rsidR="00EE13CC" w:rsidRDefault="00A131DE" w:rsidP="005677CA">
      <w:pPr>
        <w:pStyle w:val="ListParagraph"/>
        <w:numPr>
          <w:ilvl w:val="0"/>
          <w:numId w:val="13"/>
        </w:numPr>
        <w:spacing w:after="120" w:line="240" w:lineRule="auto"/>
        <w:rPr>
          <w:rFonts w:ascii="Times New Roman" w:hAnsi="Times New Roman" w:cs="Times New Roman"/>
          <w:sz w:val="24"/>
          <w:szCs w:val="24"/>
        </w:rPr>
      </w:pPr>
      <w:r w:rsidRPr="00EE13CC">
        <w:rPr>
          <w:rFonts w:ascii="Times New Roman" w:hAnsi="Times New Roman" w:cs="Times New Roman"/>
          <w:sz w:val="24"/>
          <w:szCs w:val="24"/>
        </w:rPr>
        <w:t>annual leave</w:t>
      </w:r>
      <w:r w:rsidR="00EE13CC">
        <w:rPr>
          <w:rFonts w:ascii="Times New Roman" w:hAnsi="Times New Roman" w:cs="Times New Roman"/>
          <w:sz w:val="24"/>
          <w:szCs w:val="24"/>
        </w:rPr>
        <w:t xml:space="preserve"> - </w:t>
      </w:r>
      <w:r w:rsidR="00EE13CC" w:rsidRPr="00EE13CC">
        <w:rPr>
          <w:rFonts w:ascii="Times New Roman" w:hAnsi="Times New Roman" w:cs="Times New Roman"/>
          <w:sz w:val="24"/>
          <w:szCs w:val="24"/>
        </w:rPr>
        <w:t>up to 4 weeks</w:t>
      </w:r>
      <w:r w:rsidR="00EE13CC">
        <w:rPr>
          <w:rFonts w:ascii="Times New Roman" w:hAnsi="Times New Roman" w:cs="Times New Roman"/>
          <w:sz w:val="24"/>
          <w:szCs w:val="24"/>
        </w:rPr>
        <w:t xml:space="preserve"> (which must have been accrued in the last year)</w:t>
      </w:r>
      <w:r w:rsidR="00DC37BC">
        <w:rPr>
          <w:rFonts w:ascii="Times New Roman" w:hAnsi="Times New Roman" w:cs="Times New Roman"/>
          <w:sz w:val="24"/>
          <w:szCs w:val="24"/>
        </w:rPr>
        <w:t>;</w:t>
      </w:r>
    </w:p>
    <w:p w14:paraId="6CAAFDC8" w14:textId="77777777" w:rsidR="00EE13CC" w:rsidRDefault="00A131DE" w:rsidP="005677CA">
      <w:pPr>
        <w:pStyle w:val="ListParagraph"/>
        <w:numPr>
          <w:ilvl w:val="0"/>
          <w:numId w:val="13"/>
        </w:numPr>
        <w:spacing w:after="120" w:line="240" w:lineRule="auto"/>
        <w:rPr>
          <w:rFonts w:ascii="Times New Roman" w:hAnsi="Times New Roman" w:cs="Times New Roman"/>
          <w:sz w:val="24"/>
          <w:szCs w:val="24"/>
        </w:rPr>
      </w:pPr>
      <w:r w:rsidRPr="00EE13CC">
        <w:rPr>
          <w:rFonts w:ascii="Times New Roman" w:hAnsi="Times New Roman" w:cs="Times New Roman"/>
          <w:sz w:val="24"/>
          <w:szCs w:val="24"/>
        </w:rPr>
        <w:t>long service leave</w:t>
      </w:r>
      <w:r w:rsidR="00EE13CC">
        <w:rPr>
          <w:rFonts w:ascii="Times New Roman" w:hAnsi="Times New Roman" w:cs="Times New Roman"/>
          <w:sz w:val="24"/>
          <w:szCs w:val="24"/>
        </w:rPr>
        <w:t xml:space="preserve"> – up to 12 weeks</w:t>
      </w:r>
      <w:r w:rsidR="00DC37BC">
        <w:rPr>
          <w:rFonts w:ascii="Times New Roman" w:hAnsi="Times New Roman" w:cs="Times New Roman"/>
          <w:sz w:val="24"/>
          <w:szCs w:val="24"/>
        </w:rPr>
        <w:t>;</w:t>
      </w:r>
    </w:p>
    <w:p w14:paraId="76D6DFFB" w14:textId="77777777" w:rsidR="00EE13CC" w:rsidRDefault="00A131DE" w:rsidP="005677CA">
      <w:pPr>
        <w:pStyle w:val="ListParagraph"/>
        <w:numPr>
          <w:ilvl w:val="0"/>
          <w:numId w:val="13"/>
        </w:numPr>
        <w:spacing w:after="120" w:line="240" w:lineRule="auto"/>
        <w:rPr>
          <w:rFonts w:ascii="Times New Roman" w:hAnsi="Times New Roman" w:cs="Times New Roman"/>
          <w:sz w:val="24"/>
          <w:szCs w:val="24"/>
        </w:rPr>
      </w:pPr>
      <w:r w:rsidRPr="00EE13CC">
        <w:rPr>
          <w:rFonts w:ascii="Times New Roman" w:hAnsi="Times New Roman" w:cs="Times New Roman"/>
          <w:sz w:val="24"/>
          <w:szCs w:val="24"/>
        </w:rPr>
        <w:t>payment in lieu of notice</w:t>
      </w:r>
      <w:r w:rsidR="00EE13CC">
        <w:rPr>
          <w:rFonts w:ascii="Times New Roman" w:hAnsi="Times New Roman" w:cs="Times New Roman"/>
          <w:sz w:val="24"/>
          <w:szCs w:val="24"/>
        </w:rPr>
        <w:t xml:space="preserve"> – up to 5 weeks</w:t>
      </w:r>
      <w:r w:rsidR="00DC37BC">
        <w:rPr>
          <w:rFonts w:ascii="Times New Roman" w:hAnsi="Times New Roman" w:cs="Times New Roman"/>
          <w:sz w:val="24"/>
          <w:szCs w:val="24"/>
        </w:rPr>
        <w:t>; and</w:t>
      </w:r>
    </w:p>
    <w:p w14:paraId="2C5BA9D4" w14:textId="77777777" w:rsidR="00A131DE" w:rsidRPr="00EE13CC" w:rsidRDefault="00EE13CC" w:rsidP="005677CA">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w</w:t>
      </w:r>
      <w:r w:rsidR="00A131DE" w:rsidRPr="00EE13CC">
        <w:rPr>
          <w:rFonts w:ascii="Times New Roman" w:hAnsi="Times New Roman" w:cs="Times New Roman"/>
          <w:sz w:val="24"/>
          <w:szCs w:val="24"/>
        </w:rPr>
        <w:t>eeks redundancy pay</w:t>
      </w:r>
      <w:r>
        <w:rPr>
          <w:rFonts w:ascii="Times New Roman" w:hAnsi="Times New Roman" w:cs="Times New Roman"/>
          <w:sz w:val="24"/>
          <w:szCs w:val="24"/>
        </w:rPr>
        <w:t xml:space="preserve"> – up to 4 weeks</w:t>
      </w:r>
      <w:r w:rsidR="00A131DE" w:rsidRPr="00EE13CC">
        <w:rPr>
          <w:rFonts w:ascii="Times New Roman" w:hAnsi="Times New Roman" w:cs="Times New Roman"/>
          <w:sz w:val="24"/>
          <w:szCs w:val="24"/>
        </w:rPr>
        <w:t xml:space="preserve">.  </w:t>
      </w:r>
    </w:p>
    <w:p w14:paraId="538EF76A" w14:textId="77777777" w:rsidR="00EB1073" w:rsidRDefault="00EB1073" w:rsidP="005677CA">
      <w:pPr>
        <w:pStyle w:val="ListParagraph"/>
        <w:spacing w:after="120" w:line="240" w:lineRule="auto"/>
        <w:rPr>
          <w:rFonts w:ascii="Times New Roman" w:hAnsi="Times New Roman" w:cs="Times New Roman"/>
          <w:sz w:val="24"/>
          <w:szCs w:val="24"/>
        </w:rPr>
      </w:pPr>
    </w:p>
    <w:p w14:paraId="2EB68FB3" w14:textId="77777777" w:rsidR="00D96BCD" w:rsidRDefault="0082087A" w:rsidP="005677CA">
      <w:pPr>
        <w:pStyle w:val="ListParagraph"/>
        <w:numPr>
          <w:ilvl w:val="0"/>
          <w:numId w:val="50"/>
        </w:numPr>
        <w:spacing w:after="120" w:line="240" w:lineRule="auto"/>
        <w:ind w:left="426" w:hanging="426"/>
        <w:rPr>
          <w:rFonts w:ascii="Times New Roman" w:hAnsi="Times New Roman" w:cs="Times New Roman"/>
          <w:sz w:val="24"/>
          <w:szCs w:val="24"/>
        </w:rPr>
      </w:pPr>
      <w:r w:rsidRPr="00F9704E">
        <w:rPr>
          <w:rFonts w:ascii="Times New Roman" w:hAnsi="Times New Roman" w:cs="Times New Roman"/>
          <w:sz w:val="24"/>
          <w:szCs w:val="24"/>
        </w:rPr>
        <w:t>GEERS</w:t>
      </w:r>
      <w:r w:rsidR="005672D3" w:rsidRPr="00F9704E">
        <w:rPr>
          <w:rFonts w:ascii="Times New Roman" w:hAnsi="Times New Roman" w:cs="Times New Roman"/>
          <w:sz w:val="24"/>
          <w:szCs w:val="24"/>
        </w:rPr>
        <w:t xml:space="preserve"> was established in September 2001 </w:t>
      </w:r>
      <w:r w:rsidR="00A9334D">
        <w:rPr>
          <w:rFonts w:ascii="Times New Roman" w:hAnsi="Times New Roman" w:cs="Times New Roman"/>
          <w:sz w:val="24"/>
          <w:szCs w:val="24"/>
        </w:rPr>
        <w:t>to replace EESS</w:t>
      </w:r>
      <w:r w:rsidR="00E32A33">
        <w:rPr>
          <w:rFonts w:ascii="Times New Roman" w:hAnsi="Times New Roman" w:cs="Times New Roman"/>
          <w:sz w:val="24"/>
          <w:szCs w:val="24"/>
        </w:rPr>
        <w:t xml:space="preserve">. </w:t>
      </w:r>
      <w:r w:rsidR="00D96BCD">
        <w:rPr>
          <w:rFonts w:ascii="Times New Roman" w:hAnsi="Times New Roman" w:cs="Times New Roman"/>
          <w:sz w:val="24"/>
          <w:szCs w:val="24"/>
        </w:rPr>
        <w:t xml:space="preserve">GEERS was </w:t>
      </w:r>
      <w:r w:rsidR="008742E3">
        <w:rPr>
          <w:rFonts w:ascii="Times New Roman" w:hAnsi="Times New Roman" w:cs="Times New Roman"/>
          <w:sz w:val="24"/>
          <w:szCs w:val="24"/>
        </w:rPr>
        <w:t xml:space="preserve">fully funded by the Commonwealth. </w:t>
      </w:r>
      <w:r w:rsidR="005672D3" w:rsidRPr="00F9704E">
        <w:rPr>
          <w:rFonts w:ascii="Times New Roman" w:hAnsi="Times New Roman" w:cs="Times New Roman"/>
          <w:sz w:val="24"/>
          <w:szCs w:val="24"/>
        </w:rPr>
        <w:t xml:space="preserve">Assistance was initially available under GEERS to employees </w:t>
      </w:r>
      <w:r w:rsidR="00C01227">
        <w:rPr>
          <w:rFonts w:ascii="Times New Roman" w:hAnsi="Times New Roman" w:cs="Times New Roman"/>
          <w:sz w:val="24"/>
          <w:szCs w:val="24"/>
        </w:rPr>
        <w:t>who were terminated because their employer had become insolvent and certain insolvency appointments had occurred, including the appointment of an administrator or (in certain circumstances) a receiver.</w:t>
      </w:r>
    </w:p>
    <w:p w14:paraId="2CB398F9" w14:textId="77777777" w:rsidR="00D96BCD" w:rsidRDefault="00D96BCD" w:rsidP="005677CA">
      <w:pPr>
        <w:pStyle w:val="ListParagraph"/>
        <w:spacing w:after="120" w:line="240" w:lineRule="auto"/>
        <w:rPr>
          <w:rFonts w:ascii="Times New Roman" w:hAnsi="Times New Roman" w:cs="Times New Roman"/>
          <w:sz w:val="24"/>
          <w:szCs w:val="24"/>
        </w:rPr>
      </w:pPr>
    </w:p>
    <w:p w14:paraId="01006539" w14:textId="77777777" w:rsidR="00A9334D" w:rsidRPr="00456080" w:rsidRDefault="00D96BCD"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On implementation</w:t>
      </w:r>
      <w:r w:rsidR="00E32A33">
        <w:rPr>
          <w:rFonts w:ascii="Times New Roman" w:hAnsi="Times New Roman" w:cs="Times New Roman"/>
          <w:sz w:val="24"/>
          <w:szCs w:val="24"/>
        </w:rPr>
        <w:t>,</w:t>
      </w:r>
      <w:r w:rsidR="00F9704E" w:rsidRPr="00181B34">
        <w:rPr>
          <w:rFonts w:ascii="Times New Roman" w:hAnsi="Times New Roman" w:cs="Times New Roman"/>
          <w:sz w:val="24"/>
          <w:szCs w:val="24"/>
        </w:rPr>
        <w:t xml:space="preserve"> GEERS provided financial assistance in respect of </w:t>
      </w:r>
      <w:r w:rsidR="00A9334D" w:rsidRPr="00181B34">
        <w:rPr>
          <w:rFonts w:ascii="Times New Roman" w:hAnsi="Times New Roman" w:cs="Times New Roman"/>
          <w:sz w:val="24"/>
          <w:szCs w:val="24"/>
        </w:rPr>
        <w:t xml:space="preserve">five employment </w:t>
      </w:r>
      <w:r w:rsidR="00275408">
        <w:rPr>
          <w:rFonts w:ascii="Times New Roman" w:hAnsi="Times New Roman" w:cs="Times New Roman"/>
          <w:sz w:val="24"/>
          <w:szCs w:val="24"/>
        </w:rPr>
        <w:t>entitlements</w:t>
      </w:r>
      <w:r w:rsidR="00ED1FCE">
        <w:rPr>
          <w:rFonts w:ascii="Times New Roman" w:hAnsi="Times New Roman" w:cs="Times New Roman"/>
          <w:sz w:val="24"/>
          <w:szCs w:val="24"/>
        </w:rPr>
        <w:t xml:space="preserve"> - </w:t>
      </w:r>
      <w:r w:rsidR="00F9704E" w:rsidRPr="00181B34">
        <w:rPr>
          <w:rFonts w:ascii="Times New Roman" w:hAnsi="Times New Roman" w:cs="Times New Roman"/>
          <w:sz w:val="24"/>
          <w:szCs w:val="24"/>
        </w:rPr>
        <w:t>unpaid wages</w:t>
      </w:r>
      <w:r w:rsidR="00181B34" w:rsidRPr="00181B34">
        <w:rPr>
          <w:rFonts w:ascii="Times New Roman" w:hAnsi="Times New Roman" w:cs="Times New Roman"/>
          <w:sz w:val="24"/>
          <w:szCs w:val="24"/>
        </w:rPr>
        <w:t xml:space="preserve">, </w:t>
      </w:r>
      <w:r w:rsidR="00F9704E" w:rsidRPr="00181B34">
        <w:rPr>
          <w:rFonts w:ascii="Times New Roman" w:hAnsi="Times New Roman" w:cs="Times New Roman"/>
          <w:sz w:val="24"/>
          <w:szCs w:val="24"/>
        </w:rPr>
        <w:t>annual leave</w:t>
      </w:r>
      <w:r w:rsidR="00181B34" w:rsidRPr="00181B34">
        <w:rPr>
          <w:rFonts w:ascii="Times New Roman" w:hAnsi="Times New Roman" w:cs="Times New Roman"/>
          <w:sz w:val="24"/>
          <w:szCs w:val="24"/>
        </w:rPr>
        <w:t xml:space="preserve">, </w:t>
      </w:r>
      <w:r w:rsidR="00F9704E" w:rsidRPr="00181B34">
        <w:rPr>
          <w:rFonts w:ascii="Times New Roman" w:hAnsi="Times New Roman" w:cs="Times New Roman"/>
          <w:sz w:val="24"/>
          <w:szCs w:val="24"/>
        </w:rPr>
        <w:t>long service leave</w:t>
      </w:r>
      <w:r w:rsidR="00181B34" w:rsidRPr="00181B34">
        <w:rPr>
          <w:rFonts w:ascii="Times New Roman" w:hAnsi="Times New Roman" w:cs="Times New Roman"/>
          <w:sz w:val="24"/>
          <w:szCs w:val="24"/>
        </w:rPr>
        <w:t xml:space="preserve">, </w:t>
      </w:r>
      <w:r w:rsidR="00F9704E" w:rsidRPr="00181B34">
        <w:rPr>
          <w:rFonts w:ascii="Times New Roman" w:hAnsi="Times New Roman" w:cs="Times New Roman"/>
          <w:sz w:val="24"/>
          <w:szCs w:val="24"/>
        </w:rPr>
        <w:t>payment in lieu of notice</w:t>
      </w:r>
      <w:r w:rsidR="00181B34" w:rsidRPr="00181B34">
        <w:rPr>
          <w:rFonts w:ascii="Times New Roman" w:hAnsi="Times New Roman" w:cs="Times New Roman"/>
          <w:sz w:val="24"/>
          <w:szCs w:val="24"/>
        </w:rPr>
        <w:t xml:space="preserve"> and </w:t>
      </w:r>
      <w:r w:rsidR="00181B34">
        <w:rPr>
          <w:rFonts w:ascii="Times New Roman" w:hAnsi="Times New Roman" w:cs="Times New Roman"/>
          <w:sz w:val="24"/>
          <w:szCs w:val="24"/>
        </w:rPr>
        <w:t>re</w:t>
      </w:r>
      <w:r w:rsidR="00F9704E" w:rsidRPr="00181B34">
        <w:rPr>
          <w:rFonts w:ascii="Times New Roman" w:hAnsi="Times New Roman" w:cs="Times New Roman"/>
          <w:sz w:val="24"/>
          <w:szCs w:val="24"/>
        </w:rPr>
        <w:t>dundancy pay</w:t>
      </w:r>
      <w:r w:rsidR="00E32A33">
        <w:rPr>
          <w:rFonts w:ascii="Times New Roman" w:hAnsi="Times New Roman" w:cs="Times New Roman"/>
          <w:sz w:val="24"/>
          <w:szCs w:val="24"/>
        </w:rPr>
        <w:t>. Payments were uncapped except for redundancy pay, which was capped at 8 weeks</w:t>
      </w:r>
      <w:r w:rsidR="00181B34">
        <w:rPr>
          <w:rFonts w:ascii="Times New Roman" w:hAnsi="Times New Roman" w:cs="Times New Roman"/>
          <w:sz w:val="24"/>
          <w:szCs w:val="24"/>
        </w:rPr>
        <w:t>.</w:t>
      </w:r>
      <w:r w:rsidR="00F9704E" w:rsidRPr="00181B34">
        <w:rPr>
          <w:rFonts w:ascii="Times New Roman" w:hAnsi="Times New Roman" w:cs="Times New Roman"/>
          <w:sz w:val="24"/>
          <w:szCs w:val="24"/>
        </w:rPr>
        <w:t xml:space="preserve"> </w:t>
      </w:r>
    </w:p>
    <w:p w14:paraId="0737EA3E" w14:textId="77777777" w:rsidR="00275408" w:rsidRPr="00456080" w:rsidRDefault="00275408" w:rsidP="005677CA">
      <w:pPr>
        <w:pStyle w:val="ListParagraph"/>
        <w:spacing w:after="120" w:line="240" w:lineRule="auto"/>
        <w:rPr>
          <w:rFonts w:ascii="Times New Roman" w:hAnsi="Times New Roman" w:cs="Times New Roman"/>
          <w:sz w:val="24"/>
          <w:szCs w:val="24"/>
        </w:rPr>
      </w:pPr>
    </w:p>
    <w:p w14:paraId="0721F849" w14:textId="77777777" w:rsidR="004641D4" w:rsidRPr="005677CA" w:rsidRDefault="004641D4" w:rsidP="005677CA">
      <w:pPr>
        <w:pStyle w:val="ListParagraph"/>
        <w:numPr>
          <w:ilvl w:val="0"/>
          <w:numId w:val="50"/>
        </w:numPr>
        <w:spacing w:after="120" w:line="240" w:lineRule="auto"/>
        <w:ind w:left="426" w:hanging="426"/>
        <w:rPr>
          <w:rFonts w:ascii="Times New Roman" w:hAnsi="Times New Roman" w:cs="Times New Roman"/>
          <w:sz w:val="24"/>
          <w:szCs w:val="24"/>
        </w:rPr>
      </w:pPr>
      <w:r w:rsidRPr="005677CA">
        <w:rPr>
          <w:rFonts w:ascii="Times New Roman" w:hAnsi="Times New Roman" w:cs="Times New Roman"/>
          <w:sz w:val="24"/>
          <w:szCs w:val="24"/>
        </w:rPr>
        <w:t>The policy parameters of GEERS, including the extent to which particular employment entitlements were protected, were changed over time to reflect experience in administering the schemes and Government policy. In particular, over the life of the GEERS:</w:t>
      </w:r>
    </w:p>
    <w:p w14:paraId="3D3ECA7F" w14:textId="77777777" w:rsidR="004641D4" w:rsidRPr="00456080" w:rsidRDefault="004641D4" w:rsidP="005677CA">
      <w:pPr>
        <w:pStyle w:val="ListParagraph"/>
        <w:spacing w:after="120" w:line="240" w:lineRule="auto"/>
        <w:rPr>
          <w:rFonts w:ascii="Times New Roman" w:hAnsi="Times New Roman" w:cs="Times New Roman"/>
          <w:sz w:val="24"/>
          <w:szCs w:val="24"/>
        </w:rPr>
      </w:pPr>
    </w:p>
    <w:p w14:paraId="2CEB2E49" w14:textId="77777777" w:rsidR="004641D4" w:rsidRPr="00456080" w:rsidRDefault="004641D4" w:rsidP="005677CA">
      <w:pPr>
        <w:pStyle w:val="ListParagraph"/>
        <w:numPr>
          <w:ilvl w:val="1"/>
          <w:numId w:val="10"/>
        </w:numPr>
        <w:spacing w:after="120" w:line="240" w:lineRule="auto"/>
        <w:rPr>
          <w:rFonts w:ascii="Times New Roman" w:hAnsi="Times New Roman" w:cs="Times New Roman"/>
          <w:sz w:val="24"/>
          <w:szCs w:val="24"/>
        </w:rPr>
      </w:pPr>
      <w:r w:rsidRPr="00456080">
        <w:rPr>
          <w:rFonts w:ascii="Times New Roman" w:hAnsi="Times New Roman" w:cs="Times New Roman"/>
          <w:sz w:val="24"/>
          <w:szCs w:val="24"/>
        </w:rPr>
        <w:t>the wages entitlement changed from uncapped to a capped amount of 3 months from 1 November 2006;</w:t>
      </w:r>
    </w:p>
    <w:p w14:paraId="555B74F8" w14:textId="77777777" w:rsidR="004641D4" w:rsidRPr="00456080" w:rsidRDefault="004641D4" w:rsidP="005677CA">
      <w:pPr>
        <w:pStyle w:val="ListParagraph"/>
        <w:numPr>
          <w:ilvl w:val="1"/>
          <w:numId w:val="10"/>
        </w:numPr>
        <w:spacing w:after="120" w:line="240" w:lineRule="auto"/>
        <w:rPr>
          <w:rFonts w:ascii="Times New Roman" w:hAnsi="Times New Roman" w:cs="Times New Roman"/>
          <w:sz w:val="24"/>
          <w:szCs w:val="24"/>
        </w:rPr>
      </w:pPr>
      <w:r w:rsidRPr="00456080">
        <w:rPr>
          <w:rFonts w:ascii="Times New Roman" w:hAnsi="Times New Roman" w:cs="Times New Roman"/>
          <w:sz w:val="24"/>
          <w:szCs w:val="24"/>
        </w:rPr>
        <w:t>unpaid annual leave and unpaid long service leave has remained uncapped;</w:t>
      </w:r>
    </w:p>
    <w:p w14:paraId="30A32EC1" w14:textId="77777777" w:rsidR="004641D4" w:rsidRPr="00456080" w:rsidRDefault="004641D4" w:rsidP="005677CA">
      <w:pPr>
        <w:pStyle w:val="ListParagraph"/>
        <w:numPr>
          <w:ilvl w:val="1"/>
          <w:numId w:val="10"/>
        </w:numPr>
        <w:spacing w:after="120" w:line="240" w:lineRule="auto"/>
        <w:rPr>
          <w:rFonts w:ascii="Times New Roman" w:hAnsi="Times New Roman" w:cs="Times New Roman"/>
          <w:sz w:val="24"/>
          <w:szCs w:val="24"/>
        </w:rPr>
      </w:pPr>
      <w:r w:rsidRPr="00456080">
        <w:rPr>
          <w:rFonts w:ascii="Times New Roman" w:hAnsi="Times New Roman" w:cs="Times New Roman"/>
          <w:sz w:val="24"/>
          <w:szCs w:val="24"/>
        </w:rPr>
        <w:t xml:space="preserve">payment in lieu of notice changed from an uncapped amount to a capped amount of 5 weeks from 15 December 2008; and </w:t>
      </w:r>
    </w:p>
    <w:p w14:paraId="7F4561B9" w14:textId="77777777" w:rsidR="004641D4" w:rsidRPr="00456080" w:rsidRDefault="004641D4" w:rsidP="005677CA">
      <w:pPr>
        <w:pStyle w:val="ListParagraph"/>
        <w:numPr>
          <w:ilvl w:val="1"/>
          <w:numId w:val="10"/>
        </w:numPr>
        <w:spacing w:after="120" w:line="240" w:lineRule="auto"/>
        <w:rPr>
          <w:rFonts w:ascii="Times New Roman" w:hAnsi="Times New Roman" w:cs="Times New Roman"/>
          <w:sz w:val="24"/>
          <w:szCs w:val="24"/>
        </w:rPr>
      </w:pPr>
      <w:r w:rsidRPr="00456080">
        <w:rPr>
          <w:rFonts w:ascii="Times New Roman" w:hAnsi="Times New Roman" w:cs="Times New Roman"/>
          <w:sz w:val="24"/>
          <w:szCs w:val="24"/>
        </w:rPr>
        <w:lastRenderedPageBreak/>
        <w:t>redundancy entitlements changed from a capped amount of 8 weeks to a capped amount of 16 weeks on 22 August 2006 and then a capped amount of 4</w:t>
      </w:r>
      <w:r w:rsidR="006D58CA" w:rsidRPr="00456080">
        <w:rPr>
          <w:rFonts w:ascii="Times New Roman" w:hAnsi="Times New Roman" w:cs="Times New Roman"/>
          <w:sz w:val="24"/>
          <w:szCs w:val="24"/>
        </w:rPr>
        <w:t> </w:t>
      </w:r>
      <w:r w:rsidRPr="00456080">
        <w:rPr>
          <w:rFonts w:ascii="Times New Roman" w:hAnsi="Times New Roman" w:cs="Times New Roman"/>
          <w:sz w:val="24"/>
          <w:szCs w:val="24"/>
        </w:rPr>
        <w:t xml:space="preserve">weeks for each year of service from 1 January 2011. </w:t>
      </w:r>
    </w:p>
    <w:p w14:paraId="23C2FE94" w14:textId="77777777" w:rsidR="004641D4" w:rsidRPr="00456080" w:rsidRDefault="004641D4" w:rsidP="005677CA">
      <w:pPr>
        <w:pStyle w:val="ListParagraph"/>
        <w:spacing w:after="120" w:line="240" w:lineRule="auto"/>
        <w:ind w:left="1440"/>
        <w:rPr>
          <w:rFonts w:ascii="Times New Roman" w:hAnsi="Times New Roman" w:cs="Times New Roman"/>
          <w:sz w:val="24"/>
          <w:szCs w:val="24"/>
        </w:rPr>
      </w:pPr>
    </w:p>
    <w:p w14:paraId="0AAD3DB9" w14:textId="77777777" w:rsidR="00D14B13" w:rsidRDefault="004641D4" w:rsidP="005677CA">
      <w:pPr>
        <w:pStyle w:val="ListParagraph"/>
        <w:numPr>
          <w:ilvl w:val="0"/>
          <w:numId w:val="5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T</w:t>
      </w:r>
      <w:r w:rsidR="00551179">
        <w:rPr>
          <w:rFonts w:ascii="Times New Roman" w:hAnsi="Times New Roman" w:cs="Times New Roman"/>
          <w:sz w:val="24"/>
          <w:szCs w:val="24"/>
        </w:rPr>
        <w:t xml:space="preserve">he scheme </w:t>
      </w:r>
      <w:r>
        <w:rPr>
          <w:rFonts w:ascii="Times New Roman" w:hAnsi="Times New Roman" w:cs="Times New Roman"/>
          <w:sz w:val="24"/>
          <w:szCs w:val="24"/>
        </w:rPr>
        <w:t xml:space="preserve">was legislated </w:t>
      </w:r>
      <w:r w:rsidR="00551179">
        <w:rPr>
          <w:rFonts w:ascii="Times New Roman" w:hAnsi="Times New Roman" w:cs="Times New Roman"/>
          <w:sz w:val="24"/>
          <w:szCs w:val="24"/>
        </w:rPr>
        <w:t>under the Fair Entitlements Guarantee on 5 December 2012</w:t>
      </w:r>
      <w:r w:rsidR="006D58CA">
        <w:rPr>
          <w:rFonts w:ascii="Times New Roman" w:hAnsi="Times New Roman" w:cs="Times New Roman"/>
          <w:sz w:val="24"/>
          <w:szCs w:val="24"/>
        </w:rPr>
        <w:t>.  The legislation included</w:t>
      </w:r>
      <w:r w:rsidR="00551179">
        <w:rPr>
          <w:rFonts w:ascii="Times New Roman" w:hAnsi="Times New Roman" w:cs="Times New Roman"/>
          <w:sz w:val="24"/>
          <w:szCs w:val="24"/>
        </w:rPr>
        <w:t xml:space="preserve"> </w:t>
      </w:r>
      <w:r w:rsidR="006D58CA">
        <w:rPr>
          <w:rFonts w:ascii="Times New Roman" w:hAnsi="Times New Roman" w:cs="Times New Roman"/>
          <w:sz w:val="24"/>
          <w:szCs w:val="24"/>
        </w:rPr>
        <w:t>the</w:t>
      </w:r>
      <w:r w:rsidR="00551179">
        <w:rPr>
          <w:rFonts w:ascii="Times New Roman" w:hAnsi="Times New Roman" w:cs="Times New Roman"/>
          <w:sz w:val="24"/>
          <w:szCs w:val="24"/>
        </w:rPr>
        <w:t xml:space="preserve"> </w:t>
      </w:r>
      <w:r w:rsidR="00D14B13">
        <w:rPr>
          <w:rFonts w:ascii="Times New Roman" w:hAnsi="Times New Roman" w:cs="Times New Roman"/>
          <w:sz w:val="24"/>
          <w:szCs w:val="24"/>
        </w:rPr>
        <w:t>increas</w:t>
      </w:r>
      <w:r w:rsidR="00551179">
        <w:rPr>
          <w:rFonts w:ascii="Times New Roman" w:hAnsi="Times New Roman" w:cs="Times New Roman"/>
          <w:sz w:val="24"/>
          <w:szCs w:val="24"/>
        </w:rPr>
        <w:t>ed</w:t>
      </w:r>
      <w:r w:rsidR="00D14B13">
        <w:rPr>
          <w:rFonts w:ascii="Times New Roman" w:hAnsi="Times New Roman" w:cs="Times New Roman"/>
          <w:sz w:val="24"/>
          <w:szCs w:val="24"/>
        </w:rPr>
        <w:t xml:space="preserve"> redundancy </w:t>
      </w:r>
      <w:r w:rsidR="006D58CA">
        <w:rPr>
          <w:rFonts w:ascii="Times New Roman" w:hAnsi="Times New Roman" w:cs="Times New Roman"/>
          <w:sz w:val="24"/>
          <w:szCs w:val="24"/>
        </w:rPr>
        <w:t xml:space="preserve">cap of </w:t>
      </w:r>
      <w:r w:rsidR="00D14B13">
        <w:rPr>
          <w:rFonts w:ascii="Times New Roman" w:hAnsi="Times New Roman" w:cs="Times New Roman"/>
          <w:sz w:val="24"/>
          <w:szCs w:val="24"/>
        </w:rPr>
        <w:t xml:space="preserve">4 weeks for each year of </w:t>
      </w:r>
      <w:r w:rsidR="006D58CA">
        <w:rPr>
          <w:rFonts w:ascii="Times New Roman" w:hAnsi="Times New Roman" w:cs="Times New Roman"/>
          <w:sz w:val="24"/>
          <w:szCs w:val="24"/>
        </w:rPr>
        <w:t xml:space="preserve">employee </w:t>
      </w:r>
      <w:r w:rsidR="00D14B13">
        <w:rPr>
          <w:rFonts w:ascii="Times New Roman" w:hAnsi="Times New Roman" w:cs="Times New Roman"/>
          <w:sz w:val="24"/>
          <w:szCs w:val="24"/>
        </w:rPr>
        <w:t>service</w:t>
      </w:r>
      <w:r w:rsidR="006D58CA">
        <w:rPr>
          <w:rFonts w:ascii="Times New Roman" w:hAnsi="Times New Roman" w:cs="Times New Roman"/>
          <w:sz w:val="24"/>
          <w:szCs w:val="24"/>
        </w:rPr>
        <w:t xml:space="preserve"> which was previously</w:t>
      </w:r>
      <w:r w:rsidR="00551179">
        <w:rPr>
          <w:rFonts w:ascii="Times New Roman" w:hAnsi="Times New Roman" w:cs="Times New Roman"/>
          <w:sz w:val="24"/>
          <w:szCs w:val="24"/>
        </w:rPr>
        <w:t xml:space="preserve"> given effect </w:t>
      </w:r>
      <w:r w:rsidR="006D58CA">
        <w:rPr>
          <w:rFonts w:ascii="Times New Roman" w:hAnsi="Times New Roman" w:cs="Times New Roman"/>
          <w:sz w:val="24"/>
          <w:szCs w:val="24"/>
        </w:rPr>
        <w:t>(</w:t>
      </w:r>
      <w:r w:rsidR="00551179">
        <w:rPr>
          <w:rFonts w:ascii="Times New Roman" w:hAnsi="Times New Roman" w:cs="Times New Roman"/>
          <w:sz w:val="24"/>
          <w:szCs w:val="24"/>
        </w:rPr>
        <w:t>from 1 January 2011</w:t>
      </w:r>
      <w:r w:rsidR="006D58CA">
        <w:rPr>
          <w:rFonts w:ascii="Times New Roman" w:hAnsi="Times New Roman" w:cs="Times New Roman"/>
          <w:sz w:val="24"/>
          <w:szCs w:val="24"/>
        </w:rPr>
        <w:t>)</w:t>
      </w:r>
      <w:r w:rsidR="00551179">
        <w:rPr>
          <w:rFonts w:ascii="Times New Roman" w:hAnsi="Times New Roman" w:cs="Times New Roman"/>
          <w:sz w:val="24"/>
          <w:szCs w:val="24"/>
        </w:rPr>
        <w:t xml:space="preserve"> through an amendment to GEERS Operational Arrangements.</w:t>
      </w:r>
    </w:p>
    <w:p w14:paraId="3325A066" w14:textId="77777777" w:rsidR="00551179" w:rsidRDefault="00551179">
      <w:pPr>
        <w:spacing w:after="0" w:line="240" w:lineRule="auto"/>
        <w:rPr>
          <w:rFonts w:ascii="Times New Roman" w:hAnsi="Times New Roman" w:cs="Times New Roman"/>
          <w:sz w:val="24"/>
          <w:szCs w:val="24"/>
        </w:rPr>
      </w:pPr>
    </w:p>
    <w:p w14:paraId="458739C1" w14:textId="77777777" w:rsidR="00C6786B" w:rsidRDefault="00C6786B">
      <w:pPr>
        <w:spacing w:after="0" w:line="240" w:lineRule="auto"/>
        <w:rPr>
          <w:rFonts w:ascii="Times New Roman" w:hAnsi="Times New Roman" w:cs="Times New Roman"/>
          <w:sz w:val="24"/>
          <w:szCs w:val="24"/>
        </w:rPr>
      </w:pPr>
    </w:p>
    <w:p w14:paraId="6FBF6CA3" w14:textId="77777777" w:rsidR="00551179" w:rsidRPr="007373EF" w:rsidRDefault="00551179">
      <w:pPr>
        <w:spacing w:after="0" w:line="240" w:lineRule="auto"/>
        <w:rPr>
          <w:rFonts w:ascii="Times New Roman" w:hAnsi="Times New Roman" w:cs="Times New Roman"/>
          <w:sz w:val="24"/>
          <w:szCs w:val="24"/>
          <w:u w:val="single"/>
        </w:rPr>
      </w:pPr>
      <w:r w:rsidRPr="007373EF">
        <w:rPr>
          <w:rFonts w:ascii="Times New Roman" w:hAnsi="Times New Roman" w:cs="Times New Roman"/>
          <w:sz w:val="24"/>
          <w:szCs w:val="24"/>
          <w:u w:val="single"/>
        </w:rPr>
        <w:t>Interaction with the Insolvency Regime</w:t>
      </w:r>
    </w:p>
    <w:p w14:paraId="1DB7AD04" w14:textId="77777777" w:rsidR="00551179" w:rsidRDefault="00551179">
      <w:pPr>
        <w:spacing w:after="0" w:line="240" w:lineRule="auto"/>
        <w:rPr>
          <w:rFonts w:ascii="Times New Roman" w:hAnsi="Times New Roman" w:cs="Times New Roman"/>
          <w:sz w:val="24"/>
          <w:szCs w:val="24"/>
        </w:rPr>
      </w:pPr>
    </w:p>
    <w:p w14:paraId="2A753969" w14:textId="77777777" w:rsidR="00A2737C" w:rsidRDefault="006D58CA"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Like its predecessor programmes, </w:t>
      </w:r>
      <w:r w:rsidR="0049239C">
        <w:rPr>
          <w:rFonts w:ascii="Times New Roman" w:hAnsi="Times New Roman" w:cs="Times New Roman"/>
          <w:sz w:val="24"/>
          <w:szCs w:val="24"/>
        </w:rPr>
        <w:t xml:space="preserve">FEG is designed to operate as a last resort scheme where no </w:t>
      </w:r>
      <w:r w:rsidR="00A2737C">
        <w:rPr>
          <w:rFonts w:ascii="Times New Roman" w:hAnsi="Times New Roman" w:cs="Times New Roman"/>
          <w:sz w:val="24"/>
          <w:szCs w:val="24"/>
        </w:rPr>
        <w:t>alternative avenue exists for employees to be paid their accrued employment entitlements on redundancy due to liquidation or bankruptcy of their employer. The underlying principle is that employers should be responsible for meeting employee entitlements.</w:t>
      </w:r>
    </w:p>
    <w:p w14:paraId="6E284B81" w14:textId="77777777" w:rsidR="00A2737C" w:rsidRDefault="00A2737C" w:rsidP="005677CA">
      <w:pPr>
        <w:pStyle w:val="ListParagraph"/>
        <w:spacing w:after="120" w:line="240" w:lineRule="auto"/>
        <w:rPr>
          <w:rFonts w:ascii="Times New Roman" w:hAnsi="Times New Roman" w:cs="Times New Roman"/>
          <w:sz w:val="24"/>
          <w:szCs w:val="24"/>
        </w:rPr>
      </w:pPr>
    </w:p>
    <w:p w14:paraId="1AE59651" w14:textId="77777777" w:rsidR="00E30585" w:rsidRDefault="00A2737C" w:rsidP="005677CA">
      <w:pPr>
        <w:pStyle w:val="ListParagraph"/>
        <w:numPr>
          <w:ilvl w:val="0"/>
          <w:numId w:val="50"/>
        </w:numPr>
        <w:spacing w:after="120" w:line="240" w:lineRule="auto"/>
        <w:ind w:left="426" w:hanging="426"/>
        <w:rPr>
          <w:rFonts w:ascii="Times New Roman" w:hAnsi="Times New Roman" w:cs="Times New Roman"/>
          <w:sz w:val="24"/>
          <w:szCs w:val="24"/>
        </w:rPr>
      </w:pPr>
      <w:r w:rsidRPr="007373EF">
        <w:rPr>
          <w:rFonts w:ascii="Times New Roman" w:hAnsi="Times New Roman" w:cs="Times New Roman"/>
          <w:sz w:val="24"/>
          <w:szCs w:val="24"/>
        </w:rPr>
        <w:t xml:space="preserve">Consistent with the premise of being a scheme of last resort, FEG assistance is restricted to situations of liquidation and bankruptcy only, </w:t>
      </w:r>
      <w:r w:rsidR="00E30585" w:rsidRPr="007373EF">
        <w:rPr>
          <w:rFonts w:ascii="Times New Roman" w:hAnsi="Times New Roman" w:cs="Times New Roman"/>
          <w:sz w:val="24"/>
          <w:szCs w:val="24"/>
        </w:rPr>
        <w:t xml:space="preserve">the final stage of insolvency where it has been determined that a company is unable to pay its debts when they fall due.  </w:t>
      </w:r>
    </w:p>
    <w:p w14:paraId="74C45E0A" w14:textId="77777777" w:rsidR="00E30585" w:rsidRPr="007373EF" w:rsidRDefault="00E30585" w:rsidP="005677CA">
      <w:pPr>
        <w:pStyle w:val="ListParagraph"/>
        <w:spacing w:after="120" w:line="240" w:lineRule="auto"/>
        <w:rPr>
          <w:rFonts w:ascii="Times New Roman" w:hAnsi="Times New Roman" w:cs="Times New Roman"/>
          <w:sz w:val="24"/>
          <w:szCs w:val="24"/>
        </w:rPr>
      </w:pPr>
    </w:p>
    <w:p w14:paraId="2C58A3D0" w14:textId="77777777" w:rsidR="00E30585" w:rsidRDefault="006D58CA"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Over the period 2001 to 2005 a</w:t>
      </w:r>
      <w:r w:rsidR="00E30585">
        <w:rPr>
          <w:rFonts w:ascii="Times New Roman" w:hAnsi="Times New Roman" w:cs="Times New Roman"/>
          <w:sz w:val="24"/>
          <w:szCs w:val="24"/>
        </w:rPr>
        <w:t xml:space="preserve">ssistance was available when an employer was in </w:t>
      </w:r>
      <w:r>
        <w:rPr>
          <w:rFonts w:ascii="Times New Roman" w:hAnsi="Times New Roman" w:cs="Times New Roman"/>
          <w:sz w:val="24"/>
          <w:szCs w:val="24"/>
        </w:rPr>
        <w:t xml:space="preserve">voluntary </w:t>
      </w:r>
      <w:r w:rsidR="00E30585">
        <w:rPr>
          <w:rFonts w:ascii="Times New Roman" w:hAnsi="Times New Roman" w:cs="Times New Roman"/>
          <w:sz w:val="24"/>
          <w:szCs w:val="24"/>
        </w:rPr>
        <w:t>administration</w:t>
      </w:r>
      <w:r>
        <w:rPr>
          <w:rFonts w:ascii="Times New Roman" w:hAnsi="Times New Roman" w:cs="Times New Roman"/>
          <w:sz w:val="24"/>
          <w:szCs w:val="24"/>
        </w:rPr>
        <w:t>. H</w:t>
      </w:r>
      <w:r w:rsidR="00E30585">
        <w:rPr>
          <w:rFonts w:ascii="Times New Roman" w:hAnsi="Times New Roman" w:cs="Times New Roman"/>
          <w:sz w:val="24"/>
          <w:szCs w:val="24"/>
        </w:rPr>
        <w:t xml:space="preserve">owever, these arrangements changed </w:t>
      </w:r>
      <w:r>
        <w:rPr>
          <w:rFonts w:ascii="Times New Roman" w:hAnsi="Times New Roman" w:cs="Times New Roman"/>
          <w:sz w:val="24"/>
          <w:szCs w:val="24"/>
        </w:rPr>
        <w:t xml:space="preserve">from </w:t>
      </w:r>
      <w:r w:rsidR="00E30585">
        <w:rPr>
          <w:rFonts w:ascii="Times New Roman" w:hAnsi="Times New Roman" w:cs="Times New Roman"/>
          <w:sz w:val="24"/>
          <w:szCs w:val="24"/>
        </w:rPr>
        <w:t>31 October 2005 to address a number of problems identified in administering the scheme including:</w:t>
      </w:r>
    </w:p>
    <w:p w14:paraId="5F9137E7" w14:textId="77777777" w:rsidR="00E30585" w:rsidRPr="007373EF" w:rsidRDefault="00E30585" w:rsidP="005677CA">
      <w:pPr>
        <w:pStyle w:val="ListParagraph"/>
        <w:spacing w:after="120" w:line="240" w:lineRule="auto"/>
        <w:rPr>
          <w:rFonts w:ascii="Times New Roman" w:hAnsi="Times New Roman" w:cs="Times New Roman"/>
          <w:sz w:val="24"/>
          <w:szCs w:val="24"/>
        </w:rPr>
      </w:pPr>
    </w:p>
    <w:p w14:paraId="611A94D9" w14:textId="77777777" w:rsidR="00E30585" w:rsidRPr="007373EF" w:rsidRDefault="00E30585" w:rsidP="005677CA">
      <w:pPr>
        <w:pStyle w:val="ListParagraph"/>
        <w:widowControl w:val="0"/>
        <w:numPr>
          <w:ilvl w:val="0"/>
          <w:numId w:val="40"/>
        </w:numPr>
        <w:tabs>
          <w:tab w:val="left" w:pos="851"/>
        </w:tabs>
        <w:autoSpaceDE w:val="0"/>
        <w:autoSpaceDN w:val="0"/>
        <w:adjustRightInd w:val="0"/>
        <w:spacing w:after="120" w:line="240" w:lineRule="auto"/>
        <w:ind w:left="1418" w:hanging="284"/>
        <w:contextualSpacing w:val="0"/>
        <w:rPr>
          <w:rFonts w:ascii="Times New Roman" w:hAnsi="Times New Roman" w:cs="Times New Roman"/>
          <w:sz w:val="24"/>
          <w:szCs w:val="24"/>
        </w:rPr>
      </w:pPr>
      <w:r w:rsidRPr="007373EF">
        <w:rPr>
          <w:rFonts w:ascii="Times New Roman" w:hAnsi="Times New Roman" w:cs="Times New Roman"/>
          <w:sz w:val="24"/>
          <w:szCs w:val="24"/>
        </w:rPr>
        <w:t xml:space="preserve">potential abuse of the scheme by directors </w:t>
      </w:r>
      <w:r>
        <w:rPr>
          <w:rFonts w:ascii="Times New Roman" w:hAnsi="Times New Roman" w:cs="Times New Roman"/>
          <w:sz w:val="24"/>
          <w:szCs w:val="24"/>
        </w:rPr>
        <w:t>who used</w:t>
      </w:r>
      <w:r w:rsidRPr="007373EF">
        <w:rPr>
          <w:rFonts w:ascii="Times New Roman" w:hAnsi="Times New Roman" w:cs="Times New Roman"/>
          <w:sz w:val="24"/>
          <w:szCs w:val="24"/>
        </w:rPr>
        <w:t xml:space="preserve"> </w:t>
      </w:r>
      <w:r w:rsidR="006D58CA">
        <w:rPr>
          <w:rFonts w:ascii="Times New Roman" w:hAnsi="Times New Roman" w:cs="Times New Roman"/>
          <w:sz w:val="24"/>
          <w:szCs w:val="24"/>
        </w:rPr>
        <w:t>it</w:t>
      </w:r>
      <w:r w:rsidRPr="007373EF">
        <w:rPr>
          <w:rFonts w:ascii="Times New Roman" w:hAnsi="Times New Roman" w:cs="Times New Roman"/>
          <w:sz w:val="24"/>
          <w:szCs w:val="24"/>
        </w:rPr>
        <w:t xml:space="preserve"> to pay outstanding employee entitlements, while using available </w:t>
      </w:r>
      <w:r>
        <w:rPr>
          <w:rFonts w:ascii="Times New Roman" w:hAnsi="Times New Roman" w:cs="Times New Roman"/>
          <w:sz w:val="24"/>
          <w:szCs w:val="24"/>
        </w:rPr>
        <w:t xml:space="preserve">company </w:t>
      </w:r>
      <w:r w:rsidRPr="007373EF">
        <w:rPr>
          <w:rFonts w:ascii="Times New Roman" w:hAnsi="Times New Roman" w:cs="Times New Roman"/>
          <w:sz w:val="24"/>
          <w:szCs w:val="24"/>
        </w:rPr>
        <w:t xml:space="preserve">funds to restructure </w:t>
      </w:r>
      <w:r>
        <w:rPr>
          <w:rFonts w:ascii="Times New Roman" w:hAnsi="Times New Roman" w:cs="Times New Roman"/>
          <w:sz w:val="24"/>
          <w:szCs w:val="24"/>
        </w:rPr>
        <w:t>their business and continue operations, thereby obtaining inappropriate financial advantage in the market by shifting responsibility for employment entitlements liability to the Commonwealth</w:t>
      </w:r>
      <w:r w:rsidR="004641D4">
        <w:rPr>
          <w:rFonts w:ascii="Times New Roman" w:hAnsi="Times New Roman" w:cs="Times New Roman"/>
          <w:sz w:val="24"/>
          <w:szCs w:val="24"/>
        </w:rPr>
        <w:t>; and</w:t>
      </w:r>
    </w:p>
    <w:p w14:paraId="53CD334E" w14:textId="77777777" w:rsidR="00E30585" w:rsidRPr="007373EF" w:rsidRDefault="00E30585" w:rsidP="005677CA">
      <w:pPr>
        <w:pStyle w:val="ListParagraph"/>
        <w:widowControl w:val="0"/>
        <w:numPr>
          <w:ilvl w:val="0"/>
          <w:numId w:val="40"/>
        </w:numPr>
        <w:tabs>
          <w:tab w:val="left" w:pos="851"/>
        </w:tabs>
        <w:autoSpaceDE w:val="0"/>
        <w:autoSpaceDN w:val="0"/>
        <w:adjustRightInd w:val="0"/>
        <w:spacing w:after="120" w:line="240" w:lineRule="auto"/>
        <w:ind w:left="1418" w:hanging="284"/>
        <w:contextualSpacing w:val="0"/>
        <w:rPr>
          <w:rFonts w:ascii="Times New Roman" w:hAnsi="Times New Roman" w:cs="Times New Roman"/>
          <w:sz w:val="24"/>
          <w:szCs w:val="24"/>
        </w:rPr>
      </w:pPr>
      <w:r w:rsidRPr="007373EF">
        <w:rPr>
          <w:rFonts w:ascii="Times New Roman" w:hAnsi="Times New Roman" w:cs="Times New Roman"/>
          <w:sz w:val="24"/>
          <w:szCs w:val="24"/>
        </w:rPr>
        <w:t xml:space="preserve">the absence of a facility under the </w:t>
      </w:r>
      <w:r w:rsidRPr="007373EF">
        <w:rPr>
          <w:rFonts w:ascii="Times New Roman" w:hAnsi="Times New Roman" w:cs="Times New Roman"/>
          <w:i/>
          <w:sz w:val="24"/>
          <w:szCs w:val="24"/>
        </w:rPr>
        <w:t>Corporations Act 2001</w:t>
      </w:r>
      <w:r w:rsidRPr="007373EF">
        <w:rPr>
          <w:rFonts w:ascii="Times New Roman" w:hAnsi="Times New Roman" w:cs="Times New Roman"/>
          <w:sz w:val="24"/>
          <w:szCs w:val="24"/>
        </w:rPr>
        <w:t xml:space="preserve"> to have an enforceable agreement with directors for the recovery of funds advanced in the absence of a liquidation event (if the company trade</w:t>
      </w:r>
      <w:r w:rsidR="003A5D3E">
        <w:rPr>
          <w:rFonts w:ascii="Times New Roman" w:hAnsi="Times New Roman" w:cs="Times New Roman"/>
          <w:sz w:val="24"/>
          <w:szCs w:val="24"/>
        </w:rPr>
        <w:t xml:space="preserve">d </w:t>
      </w:r>
      <w:r w:rsidRPr="007373EF">
        <w:rPr>
          <w:rFonts w:ascii="Times New Roman" w:hAnsi="Times New Roman" w:cs="Times New Roman"/>
          <w:sz w:val="24"/>
          <w:szCs w:val="24"/>
        </w:rPr>
        <w:t xml:space="preserve">out of difficulty, the </w:t>
      </w:r>
      <w:r w:rsidR="003A5D3E">
        <w:rPr>
          <w:rFonts w:ascii="Times New Roman" w:hAnsi="Times New Roman" w:cs="Times New Roman"/>
          <w:sz w:val="24"/>
          <w:szCs w:val="24"/>
        </w:rPr>
        <w:t>Commonwealth</w:t>
      </w:r>
      <w:r w:rsidRPr="007373EF">
        <w:rPr>
          <w:rFonts w:ascii="Times New Roman" w:hAnsi="Times New Roman" w:cs="Times New Roman"/>
          <w:sz w:val="24"/>
          <w:szCs w:val="24"/>
        </w:rPr>
        <w:t xml:space="preserve"> ha</w:t>
      </w:r>
      <w:r w:rsidR="003A5D3E">
        <w:rPr>
          <w:rFonts w:ascii="Times New Roman" w:hAnsi="Times New Roman" w:cs="Times New Roman"/>
          <w:sz w:val="24"/>
          <w:szCs w:val="24"/>
        </w:rPr>
        <w:t>d</w:t>
      </w:r>
      <w:r w:rsidRPr="007373EF">
        <w:rPr>
          <w:rFonts w:ascii="Times New Roman" w:hAnsi="Times New Roman" w:cs="Times New Roman"/>
          <w:sz w:val="24"/>
          <w:szCs w:val="24"/>
        </w:rPr>
        <w:t xml:space="preserve"> no ability to recover programme advances).</w:t>
      </w:r>
    </w:p>
    <w:p w14:paraId="02361573" w14:textId="77777777" w:rsidR="00E30585" w:rsidRPr="007373EF" w:rsidRDefault="00E30585" w:rsidP="005677CA">
      <w:pPr>
        <w:pStyle w:val="ListParagraph"/>
        <w:spacing w:after="120" w:line="240" w:lineRule="auto"/>
        <w:rPr>
          <w:rFonts w:ascii="Times New Roman" w:hAnsi="Times New Roman" w:cs="Times New Roman"/>
          <w:sz w:val="24"/>
          <w:szCs w:val="24"/>
        </w:rPr>
      </w:pPr>
    </w:p>
    <w:p w14:paraId="6FE195A5" w14:textId="77777777" w:rsidR="003A5D3E" w:rsidRDefault="00E30585"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Once an advance for assistance is paid under FEG (and previously GEERS) the Commonwealth stands in the shoes of the employee as a creditor in the liquidation. In this way the </w:t>
      </w:r>
      <w:r w:rsidR="003A5D3E">
        <w:rPr>
          <w:rFonts w:ascii="Times New Roman" w:hAnsi="Times New Roman" w:cs="Times New Roman"/>
          <w:sz w:val="24"/>
          <w:szCs w:val="24"/>
        </w:rPr>
        <w:t>Commonwealth stands to recover its outlay if sufficient funds become available in the winding up.</w:t>
      </w:r>
    </w:p>
    <w:p w14:paraId="3C36D5FA" w14:textId="77777777" w:rsidR="003A5D3E" w:rsidRDefault="003A5D3E" w:rsidP="005677CA">
      <w:pPr>
        <w:pStyle w:val="ListParagraph"/>
        <w:spacing w:after="120" w:line="240" w:lineRule="auto"/>
        <w:rPr>
          <w:rFonts w:ascii="Times New Roman" w:hAnsi="Times New Roman" w:cs="Times New Roman"/>
          <w:sz w:val="24"/>
          <w:szCs w:val="24"/>
        </w:rPr>
      </w:pPr>
    </w:p>
    <w:p w14:paraId="1EBBABF8" w14:textId="77777777" w:rsidR="003A5D3E" w:rsidRDefault="003A5D3E"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In administering the scheme the Department works closely with insolvency practitioners who assist in verifying from company books and records the amounts of unpaid employment entitlements due and subsequently distributing payments approved under the scheme to employees. </w:t>
      </w:r>
    </w:p>
    <w:p w14:paraId="20C0FBE6" w14:textId="77777777" w:rsidR="003A5D3E" w:rsidRPr="007373EF" w:rsidRDefault="003A5D3E" w:rsidP="005677CA">
      <w:pPr>
        <w:pStyle w:val="ListParagraph"/>
        <w:spacing w:after="120" w:line="240" w:lineRule="auto"/>
        <w:rPr>
          <w:rFonts w:ascii="Times New Roman" w:hAnsi="Times New Roman" w:cs="Times New Roman"/>
          <w:sz w:val="24"/>
          <w:szCs w:val="24"/>
        </w:rPr>
      </w:pPr>
    </w:p>
    <w:p w14:paraId="268C5FE0" w14:textId="77777777" w:rsidR="007E5D09" w:rsidRDefault="007E5D09">
      <w:pPr>
        <w:rPr>
          <w:rFonts w:ascii="Times New Roman" w:hAnsi="Times New Roman" w:cs="Times New Roman"/>
          <w:sz w:val="24"/>
          <w:szCs w:val="24"/>
        </w:rPr>
      </w:pPr>
      <w:r>
        <w:rPr>
          <w:rFonts w:ascii="Times New Roman" w:hAnsi="Times New Roman" w:cs="Times New Roman"/>
          <w:sz w:val="24"/>
          <w:szCs w:val="24"/>
        </w:rPr>
        <w:br w:type="page"/>
      </w:r>
    </w:p>
    <w:p w14:paraId="7246EC7D" w14:textId="77777777" w:rsidR="00DB5721" w:rsidRDefault="002D75D8" w:rsidP="005677CA">
      <w:pPr>
        <w:pStyle w:val="ListParagraph"/>
        <w:numPr>
          <w:ilvl w:val="0"/>
          <w:numId w:val="50"/>
        </w:numPr>
        <w:spacing w:after="120" w:line="240" w:lineRule="auto"/>
        <w:ind w:left="426" w:hanging="426"/>
        <w:rPr>
          <w:rFonts w:ascii="Times New Roman" w:hAnsi="Times New Roman" w:cs="Times New Roman"/>
          <w:sz w:val="24"/>
          <w:szCs w:val="24"/>
        </w:rPr>
      </w:pPr>
      <w:r w:rsidRPr="00B502AB">
        <w:rPr>
          <w:rFonts w:ascii="Times New Roman" w:hAnsi="Times New Roman" w:cs="Times New Roman"/>
          <w:sz w:val="24"/>
          <w:szCs w:val="24"/>
        </w:rPr>
        <w:lastRenderedPageBreak/>
        <w:t>Demand in the scheme increased from 8</w:t>
      </w:r>
      <w:r>
        <w:rPr>
          <w:rFonts w:ascii="Times New Roman" w:hAnsi="Times New Roman" w:cs="Times New Roman"/>
          <w:sz w:val="24"/>
          <w:szCs w:val="24"/>
        </w:rPr>
        <w:t>626 claimants being paid $72.97 </w:t>
      </w:r>
      <w:r w:rsidRPr="00B502AB">
        <w:rPr>
          <w:rFonts w:ascii="Times New Roman" w:hAnsi="Times New Roman" w:cs="Times New Roman"/>
          <w:sz w:val="24"/>
          <w:szCs w:val="24"/>
        </w:rPr>
        <w:t xml:space="preserve">million in 2006-07 to 11,255 claimants being paid $197.19 million in 2013-14 (an increase of 170 per cent). </w:t>
      </w:r>
      <w:r w:rsidRPr="00454FF5">
        <w:rPr>
          <w:rFonts w:ascii="Times New Roman" w:hAnsi="Times New Roman" w:cs="Times New Roman"/>
          <w:sz w:val="24"/>
          <w:szCs w:val="24"/>
        </w:rPr>
        <w:t xml:space="preserve">In 2014-15 to 31 </w:t>
      </w:r>
      <w:r>
        <w:rPr>
          <w:rFonts w:ascii="Times New Roman" w:hAnsi="Times New Roman" w:cs="Times New Roman"/>
          <w:sz w:val="24"/>
          <w:szCs w:val="24"/>
        </w:rPr>
        <w:t xml:space="preserve">December </w:t>
      </w:r>
      <w:r w:rsidRPr="00454FF5">
        <w:rPr>
          <w:rFonts w:ascii="Times New Roman" w:hAnsi="Times New Roman" w:cs="Times New Roman"/>
          <w:sz w:val="24"/>
          <w:szCs w:val="24"/>
        </w:rPr>
        <w:t>201</w:t>
      </w:r>
      <w:r>
        <w:rPr>
          <w:rFonts w:ascii="Times New Roman" w:hAnsi="Times New Roman" w:cs="Times New Roman"/>
          <w:sz w:val="24"/>
          <w:szCs w:val="24"/>
        </w:rPr>
        <w:t>4</w:t>
      </w:r>
      <w:r w:rsidRPr="00454FF5">
        <w:rPr>
          <w:rFonts w:ascii="Times New Roman" w:hAnsi="Times New Roman" w:cs="Times New Roman"/>
          <w:sz w:val="24"/>
          <w:szCs w:val="24"/>
        </w:rPr>
        <w:t xml:space="preserve">, </w:t>
      </w:r>
      <w:r>
        <w:rPr>
          <w:rFonts w:ascii="Times New Roman" w:hAnsi="Times New Roman" w:cs="Times New Roman"/>
          <w:sz w:val="24"/>
          <w:szCs w:val="24"/>
        </w:rPr>
        <w:t>8556 claimants have been paid $138.55 million.</w:t>
      </w:r>
      <w:r w:rsidR="00DB5721">
        <w:rPr>
          <w:rFonts w:ascii="Times New Roman" w:hAnsi="Times New Roman" w:cs="Times New Roman"/>
          <w:sz w:val="24"/>
          <w:szCs w:val="24"/>
        </w:rPr>
        <w:t xml:space="preserve">  Demand and cost varies from year to year and </w:t>
      </w:r>
      <w:r w:rsidR="00DB5721" w:rsidRPr="004A4274">
        <w:rPr>
          <w:rFonts w:ascii="Times New Roman" w:hAnsi="Times New Roman" w:cs="Times New Roman"/>
          <w:sz w:val="24"/>
          <w:szCs w:val="24"/>
        </w:rPr>
        <w:t xml:space="preserve">is impacted by </w:t>
      </w:r>
      <w:r w:rsidR="00DB5721">
        <w:rPr>
          <w:rFonts w:ascii="Times New Roman" w:hAnsi="Times New Roman" w:cs="Times New Roman"/>
          <w:sz w:val="24"/>
          <w:szCs w:val="24"/>
        </w:rPr>
        <w:t>a</w:t>
      </w:r>
      <w:r w:rsidR="00DB5721" w:rsidRPr="004A4274">
        <w:rPr>
          <w:rFonts w:ascii="Times New Roman" w:hAnsi="Times New Roman" w:cs="Times New Roman"/>
          <w:sz w:val="24"/>
          <w:szCs w:val="24"/>
        </w:rPr>
        <w:t xml:space="preserve"> wide range of </w:t>
      </w:r>
      <w:r w:rsidR="00DB5721">
        <w:rPr>
          <w:rFonts w:ascii="Times New Roman" w:hAnsi="Times New Roman" w:cs="Times New Roman"/>
          <w:sz w:val="24"/>
          <w:szCs w:val="24"/>
        </w:rPr>
        <w:t xml:space="preserve">factors </w:t>
      </w:r>
      <w:r w:rsidR="00DB5721" w:rsidRPr="004A4274">
        <w:rPr>
          <w:rFonts w:ascii="Times New Roman" w:hAnsi="Times New Roman" w:cs="Times New Roman"/>
          <w:sz w:val="24"/>
          <w:szCs w:val="24"/>
        </w:rPr>
        <w:t>including:</w:t>
      </w:r>
    </w:p>
    <w:p w14:paraId="25EB68A1" w14:textId="77777777" w:rsidR="007E5D09" w:rsidRPr="007E5D09" w:rsidRDefault="007E5D09" w:rsidP="007E5D09">
      <w:pPr>
        <w:pStyle w:val="ListParagraph"/>
        <w:rPr>
          <w:rFonts w:ascii="Times New Roman" w:hAnsi="Times New Roman" w:cs="Times New Roman"/>
          <w:sz w:val="24"/>
          <w:szCs w:val="24"/>
        </w:rPr>
      </w:pPr>
    </w:p>
    <w:p w14:paraId="5319ADA5" w14:textId="77777777" w:rsidR="00DB5721" w:rsidRPr="004A4274" w:rsidRDefault="00DB5721" w:rsidP="005677CA">
      <w:pPr>
        <w:pStyle w:val="ListParagraph"/>
        <w:numPr>
          <w:ilvl w:val="0"/>
          <w:numId w:val="13"/>
        </w:numPr>
        <w:spacing w:after="120" w:line="240" w:lineRule="auto"/>
        <w:rPr>
          <w:rFonts w:ascii="Times New Roman" w:hAnsi="Times New Roman" w:cs="Times New Roman"/>
          <w:sz w:val="24"/>
          <w:szCs w:val="24"/>
        </w:rPr>
      </w:pPr>
      <w:r w:rsidRPr="004A4274">
        <w:rPr>
          <w:rFonts w:ascii="Times New Roman" w:hAnsi="Times New Roman" w:cs="Times New Roman"/>
          <w:sz w:val="24"/>
          <w:szCs w:val="24"/>
        </w:rPr>
        <w:t>the number of insolvencies</w:t>
      </w:r>
      <w:r>
        <w:rPr>
          <w:rFonts w:ascii="Times New Roman" w:hAnsi="Times New Roman" w:cs="Times New Roman"/>
          <w:sz w:val="24"/>
          <w:szCs w:val="24"/>
        </w:rPr>
        <w:t xml:space="preserve"> that occur</w:t>
      </w:r>
      <w:r w:rsidRPr="004A4274">
        <w:rPr>
          <w:rFonts w:ascii="Times New Roman" w:hAnsi="Times New Roman" w:cs="Times New Roman"/>
          <w:sz w:val="24"/>
          <w:szCs w:val="24"/>
        </w:rPr>
        <w:t xml:space="preserve"> </w:t>
      </w:r>
      <w:r>
        <w:rPr>
          <w:rFonts w:ascii="Times New Roman" w:hAnsi="Times New Roman" w:cs="Times New Roman"/>
          <w:sz w:val="24"/>
          <w:szCs w:val="24"/>
        </w:rPr>
        <w:t>in that year;</w:t>
      </w:r>
    </w:p>
    <w:p w14:paraId="1B2785E2" w14:textId="77777777" w:rsidR="00DB5721" w:rsidRPr="004A4274" w:rsidRDefault="00DB5721" w:rsidP="005677CA">
      <w:pPr>
        <w:pStyle w:val="ListParagraph"/>
        <w:numPr>
          <w:ilvl w:val="0"/>
          <w:numId w:val="13"/>
        </w:numPr>
        <w:spacing w:after="120" w:line="240" w:lineRule="auto"/>
        <w:rPr>
          <w:rFonts w:ascii="Times New Roman" w:hAnsi="Times New Roman" w:cs="Times New Roman"/>
          <w:sz w:val="24"/>
          <w:szCs w:val="24"/>
        </w:rPr>
      </w:pPr>
      <w:r w:rsidRPr="004A4274">
        <w:rPr>
          <w:rFonts w:ascii="Times New Roman" w:hAnsi="Times New Roman" w:cs="Times New Roman"/>
          <w:sz w:val="24"/>
          <w:szCs w:val="24"/>
        </w:rPr>
        <w:t>the extent to which eligible employee entitlements are unpaid</w:t>
      </w:r>
      <w:r w:rsidRPr="004A4274" w:rsidDel="00680B62">
        <w:rPr>
          <w:rFonts w:ascii="Times New Roman" w:hAnsi="Times New Roman" w:cs="Times New Roman"/>
          <w:sz w:val="24"/>
          <w:szCs w:val="24"/>
        </w:rPr>
        <w:t xml:space="preserve"> </w:t>
      </w:r>
      <w:r>
        <w:rPr>
          <w:rFonts w:ascii="Times New Roman" w:hAnsi="Times New Roman" w:cs="Times New Roman"/>
          <w:sz w:val="24"/>
          <w:szCs w:val="24"/>
        </w:rPr>
        <w:t>on insolvency;</w:t>
      </w:r>
    </w:p>
    <w:p w14:paraId="5647FB01" w14:textId="77777777" w:rsidR="00DB5721" w:rsidRPr="004A4274" w:rsidRDefault="00DB5721" w:rsidP="005677CA">
      <w:pPr>
        <w:pStyle w:val="ListParagraph"/>
        <w:numPr>
          <w:ilvl w:val="0"/>
          <w:numId w:val="13"/>
        </w:numPr>
        <w:spacing w:after="120" w:line="240" w:lineRule="auto"/>
        <w:rPr>
          <w:rFonts w:ascii="Times New Roman" w:hAnsi="Times New Roman" w:cs="Times New Roman"/>
          <w:sz w:val="24"/>
          <w:szCs w:val="24"/>
        </w:rPr>
      </w:pPr>
      <w:r w:rsidRPr="004A4274">
        <w:rPr>
          <w:rFonts w:ascii="Times New Roman" w:hAnsi="Times New Roman" w:cs="Times New Roman"/>
          <w:sz w:val="24"/>
          <w:szCs w:val="24"/>
        </w:rPr>
        <w:t>the number of redundant employees who proceed to submit a claim</w:t>
      </w:r>
      <w:r>
        <w:rPr>
          <w:rFonts w:ascii="Times New Roman" w:hAnsi="Times New Roman" w:cs="Times New Roman"/>
          <w:sz w:val="24"/>
          <w:szCs w:val="24"/>
        </w:rPr>
        <w:t>;</w:t>
      </w:r>
    </w:p>
    <w:p w14:paraId="22752F48" w14:textId="77777777" w:rsidR="00DB5721" w:rsidRPr="004A4274" w:rsidRDefault="00DB5721" w:rsidP="005677CA">
      <w:pPr>
        <w:pStyle w:val="ListParagraph"/>
        <w:numPr>
          <w:ilvl w:val="0"/>
          <w:numId w:val="13"/>
        </w:numPr>
        <w:spacing w:after="120" w:line="240" w:lineRule="auto"/>
        <w:rPr>
          <w:rFonts w:ascii="Times New Roman" w:hAnsi="Times New Roman" w:cs="Times New Roman"/>
          <w:sz w:val="24"/>
          <w:szCs w:val="24"/>
        </w:rPr>
      </w:pPr>
      <w:r w:rsidRPr="004A4274">
        <w:rPr>
          <w:rFonts w:ascii="Times New Roman" w:hAnsi="Times New Roman" w:cs="Times New Roman"/>
          <w:sz w:val="24"/>
          <w:szCs w:val="24"/>
        </w:rPr>
        <w:t>the nature of e</w:t>
      </w:r>
      <w:r>
        <w:rPr>
          <w:rFonts w:ascii="Times New Roman" w:hAnsi="Times New Roman" w:cs="Times New Roman"/>
          <w:sz w:val="24"/>
          <w:szCs w:val="24"/>
        </w:rPr>
        <w:t>mployees’ employment conditions;</w:t>
      </w:r>
    </w:p>
    <w:p w14:paraId="04A38F70" w14:textId="77777777" w:rsidR="00DB5721" w:rsidRPr="004A4274" w:rsidRDefault="00DB5721" w:rsidP="005677CA">
      <w:pPr>
        <w:pStyle w:val="ListParagraph"/>
        <w:numPr>
          <w:ilvl w:val="0"/>
          <w:numId w:val="13"/>
        </w:numPr>
        <w:spacing w:after="120" w:line="240" w:lineRule="auto"/>
        <w:rPr>
          <w:rFonts w:ascii="Times New Roman" w:hAnsi="Times New Roman" w:cs="Times New Roman"/>
          <w:sz w:val="24"/>
          <w:szCs w:val="24"/>
        </w:rPr>
      </w:pPr>
      <w:r w:rsidRPr="004A4274">
        <w:rPr>
          <w:rFonts w:ascii="Times New Roman" w:hAnsi="Times New Roman" w:cs="Times New Roman"/>
          <w:sz w:val="24"/>
          <w:szCs w:val="24"/>
        </w:rPr>
        <w:t xml:space="preserve">the length of </w:t>
      </w:r>
      <w:r>
        <w:rPr>
          <w:rFonts w:ascii="Times New Roman" w:hAnsi="Times New Roman" w:cs="Times New Roman"/>
          <w:sz w:val="24"/>
          <w:szCs w:val="24"/>
        </w:rPr>
        <w:t>service of individual employees; and</w:t>
      </w:r>
    </w:p>
    <w:p w14:paraId="11C26A99" w14:textId="77777777" w:rsidR="002D75D8" w:rsidRDefault="00DB5721" w:rsidP="00E44E81">
      <w:pPr>
        <w:pStyle w:val="ListParagraph"/>
        <w:numPr>
          <w:ilvl w:val="0"/>
          <w:numId w:val="13"/>
        </w:numPr>
        <w:spacing w:after="120" w:line="240" w:lineRule="auto"/>
        <w:rPr>
          <w:rFonts w:ascii="Times New Roman" w:hAnsi="Times New Roman" w:cs="Times New Roman"/>
          <w:sz w:val="24"/>
          <w:szCs w:val="24"/>
        </w:rPr>
      </w:pPr>
      <w:r>
        <w:rPr>
          <w:rFonts w:ascii="Times New Roman" w:hAnsi="Times New Roman" w:cs="Times New Roman"/>
          <w:sz w:val="24"/>
          <w:szCs w:val="24"/>
        </w:rPr>
        <w:t>any change in threshold amounts imposed in the scheme.</w:t>
      </w:r>
    </w:p>
    <w:p w14:paraId="6A8017D1" w14:textId="77777777" w:rsidR="002D75D8" w:rsidRPr="005677CA" w:rsidRDefault="002D75D8" w:rsidP="005677CA">
      <w:pPr>
        <w:pStyle w:val="ListParagraph"/>
        <w:spacing w:after="120" w:line="240" w:lineRule="auto"/>
        <w:rPr>
          <w:rFonts w:ascii="Times New Roman" w:hAnsi="Times New Roman" w:cs="Times New Roman"/>
          <w:sz w:val="24"/>
          <w:szCs w:val="24"/>
        </w:rPr>
      </w:pPr>
    </w:p>
    <w:p w14:paraId="4F1E9B85" w14:textId="77777777" w:rsidR="00135707" w:rsidRDefault="003A5D3E" w:rsidP="005677CA">
      <w:pPr>
        <w:pStyle w:val="ListParagraph"/>
        <w:numPr>
          <w:ilvl w:val="0"/>
          <w:numId w:val="50"/>
        </w:numPr>
        <w:spacing w:after="120" w:line="240" w:lineRule="auto"/>
        <w:ind w:left="426" w:hanging="426"/>
        <w:rPr>
          <w:rFonts w:ascii="Times New Roman" w:hAnsi="Times New Roman" w:cs="Times New Roman"/>
          <w:sz w:val="24"/>
          <w:szCs w:val="24"/>
        </w:rPr>
      </w:pPr>
      <w:r w:rsidRPr="007373EF">
        <w:rPr>
          <w:rFonts w:ascii="Times New Roman" w:hAnsi="Times New Roman" w:cs="Times New Roman"/>
          <w:sz w:val="24"/>
          <w:szCs w:val="24"/>
        </w:rPr>
        <w:t xml:space="preserve">There are various claims that the existence of FEG (and its predecessors) for employment entitlements encourages businesses to carry more financial risk than is sensible for the ongoing financial viability of the company.  </w:t>
      </w:r>
      <w:r w:rsidR="00135707" w:rsidRPr="007373EF">
        <w:rPr>
          <w:rFonts w:ascii="Times New Roman" w:hAnsi="Times New Roman" w:cs="Times New Roman"/>
          <w:sz w:val="24"/>
          <w:szCs w:val="24"/>
        </w:rPr>
        <w:t>Similarly there are claims that</w:t>
      </w:r>
      <w:r w:rsidR="002D75D8">
        <w:rPr>
          <w:rFonts w:ascii="Times New Roman" w:hAnsi="Times New Roman" w:cs="Times New Roman"/>
          <w:sz w:val="24"/>
          <w:szCs w:val="24"/>
        </w:rPr>
        <w:t xml:space="preserve"> </w:t>
      </w:r>
      <w:r w:rsidR="00135707" w:rsidRPr="007373EF">
        <w:rPr>
          <w:rFonts w:ascii="Times New Roman" w:hAnsi="Times New Roman" w:cs="Times New Roman"/>
          <w:sz w:val="24"/>
          <w:szCs w:val="24"/>
        </w:rPr>
        <w:t xml:space="preserve">directors deliberately arrange their business affairs to take advantage of the availability of FEG to meet their employment entitlement obligations.  </w:t>
      </w:r>
      <w:r w:rsidR="002D75D8">
        <w:rPr>
          <w:rFonts w:ascii="Times New Roman" w:hAnsi="Times New Roman" w:cs="Times New Roman"/>
          <w:sz w:val="24"/>
          <w:szCs w:val="24"/>
        </w:rPr>
        <w:t xml:space="preserve">Concerns also exist because where a scheme such as FEG satisfies most employee entitlements, there is less pressure from employees as creditors in the liquidation process which in turn may deter insolvency practitioners from pursuing asset recoveries. </w:t>
      </w:r>
    </w:p>
    <w:p w14:paraId="64411B0D" w14:textId="77777777" w:rsidR="005D683E" w:rsidRPr="007373EF" w:rsidRDefault="005D683E" w:rsidP="005677CA">
      <w:pPr>
        <w:pStyle w:val="ListParagraph"/>
        <w:spacing w:after="120" w:line="240" w:lineRule="auto"/>
        <w:rPr>
          <w:rFonts w:ascii="Times New Roman" w:hAnsi="Times New Roman" w:cs="Times New Roman"/>
          <w:sz w:val="24"/>
          <w:szCs w:val="24"/>
        </w:rPr>
      </w:pPr>
    </w:p>
    <w:p w14:paraId="30B7A47B" w14:textId="77777777" w:rsidR="005D683E" w:rsidRDefault="005D683E"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Section 596AB of t</w:t>
      </w:r>
      <w:r w:rsidR="00135707">
        <w:rPr>
          <w:rFonts w:ascii="Times New Roman" w:hAnsi="Times New Roman" w:cs="Times New Roman"/>
          <w:sz w:val="24"/>
          <w:szCs w:val="24"/>
        </w:rPr>
        <w:t xml:space="preserve">he </w:t>
      </w:r>
      <w:r w:rsidR="00135707" w:rsidRPr="007373EF">
        <w:rPr>
          <w:rFonts w:ascii="Times New Roman" w:hAnsi="Times New Roman" w:cs="Times New Roman"/>
          <w:i/>
          <w:sz w:val="24"/>
          <w:szCs w:val="24"/>
        </w:rPr>
        <w:t>Corporations Act 2001</w:t>
      </w:r>
      <w:r w:rsidR="00135707">
        <w:rPr>
          <w:rFonts w:ascii="Times New Roman" w:hAnsi="Times New Roman" w:cs="Times New Roman"/>
          <w:sz w:val="24"/>
          <w:szCs w:val="24"/>
        </w:rPr>
        <w:t xml:space="preserve"> contains </w:t>
      </w:r>
      <w:r>
        <w:rPr>
          <w:rFonts w:ascii="Times New Roman" w:hAnsi="Times New Roman" w:cs="Times New Roman"/>
          <w:sz w:val="24"/>
          <w:szCs w:val="24"/>
        </w:rPr>
        <w:t xml:space="preserve">a key </w:t>
      </w:r>
      <w:r w:rsidR="00135707">
        <w:rPr>
          <w:rFonts w:ascii="Times New Roman" w:hAnsi="Times New Roman" w:cs="Times New Roman"/>
          <w:sz w:val="24"/>
          <w:szCs w:val="24"/>
        </w:rPr>
        <w:t>provision</w:t>
      </w:r>
      <w:r>
        <w:rPr>
          <w:rFonts w:ascii="Times New Roman" w:hAnsi="Times New Roman" w:cs="Times New Roman"/>
          <w:sz w:val="24"/>
          <w:szCs w:val="24"/>
        </w:rPr>
        <w:t xml:space="preserve"> that supports enforcement of appropriate conduct by company directors in terms of their obligation to meet employment entitlements. Specifically a person must not enter into an agreement, arrangement or transaction specifically designed to avoid employee entitlements.  Generally the Department relies on the independence and integrity of the appointed liquidators to investigate and report possible breaches by company directors in this </w:t>
      </w:r>
      <w:r w:rsidR="00180CC8">
        <w:rPr>
          <w:rFonts w:ascii="Times New Roman" w:hAnsi="Times New Roman" w:cs="Times New Roman"/>
          <w:sz w:val="24"/>
          <w:szCs w:val="24"/>
        </w:rPr>
        <w:t>regard</w:t>
      </w:r>
      <w:r>
        <w:rPr>
          <w:rFonts w:ascii="Times New Roman" w:hAnsi="Times New Roman" w:cs="Times New Roman"/>
          <w:sz w:val="24"/>
          <w:szCs w:val="24"/>
        </w:rPr>
        <w:t xml:space="preserve"> and in turn the role of the Australian Securities and Investment Commission in regulating corporate conduct.</w:t>
      </w:r>
    </w:p>
    <w:p w14:paraId="102DC599" w14:textId="77777777" w:rsidR="005D683E" w:rsidRPr="007373EF" w:rsidRDefault="005D683E" w:rsidP="005677CA">
      <w:pPr>
        <w:pStyle w:val="ListParagraph"/>
        <w:spacing w:after="120" w:line="240" w:lineRule="auto"/>
        <w:rPr>
          <w:rFonts w:ascii="Times New Roman" w:hAnsi="Times New Roman" w:cs="Times New Roman"/>
          <w:sz w:val="24"/>
          <w:szCs w:val="24"/>
        </w:rPr>
      </w:pPr>
    </w:p>
    <w:p w14:paraId="470239ED" w14:textId="77777777" w:rsidR="00D376D7" w:rsidRDefault="004851EF" w:rsidP="005677CA">
      <w:pPr>
        <w:pStyle w:val="ListParagraph"/>
        <w:numPr>
          <w:ilvl w:val="0"/>
          <w:numId w:val="50"/>
        </w:numPr>
        <w:spacing w:after="120" w:line="240" w:lineRule="auto"/>
        <w:ind w:left="426" w:hanging="426"/>
        <w:rPr>
          <w:rFonts w:ascii="Times New Roman" w:hAnsi="Times New Roman" w:cs="Times New Roman"/>
          <w:sz w:val="24"/>
          <w:szCs w:val="24"/>
        </w:rPr>
      </w:pPr>
      <w:r>
        <w:rPr>
          <w:rFonts w:ascii="Times New Roman" w:hAnsi="Times New Roman" w:cs="Times New Roman"/>
          <w:sz w:val="24"/>
          <w:szCs w:val="24"/>
        </w:rPr>
        <w:t>T</w:t>
      </w:r>
      <w:r w:rsidR="00A9454F">
        <w:rPr>
          <w:rFonts w:ascii="Times New Roman" w:hAnsi="Times New Roman" w:cs="Times New Roman"/>
          <w:sz w:val="24"/>
          <w:szCs w:val="24"/>
        </w:rPr>
        <w:t xml:space="preserve">here is some </w:t>
      </w:r>
      <w:r w:rsidR="00D376D7">
        <w:rPr>
          <w:rFonts w:ascii="Times New Roman" w:hAnsi="Times New Roman" w:cs="Times New Roman"/>
          <w:sz w:val="24"/>
          <w:szCs w:val="24"/>
        </w:rPr>
        <w:t>evidence of the existence of moral hazard in the FEG and its predecessor GEERS:</w:t>
      </w:r>
    </w:p>
    <w:p w14:paraId="3B750D8B" w14:textId="77777777" w:rsidR="006E6D96" w:rsidRPr="005677CA" w:rsidRDefault="006E6D96" w:rsidP="005677CA">
      <w:pPr>
        <w:pStyle w:val="ListParagraph"/>
        <w:rPr>
          <w:rFonts w:ascii="Times New Roman" w:hAnsi="Times New Roman" w:cs="Times New Roman"/>
          <w:sz w:val="24"/>
          <w:szCs w:val="24"/>
        </w:rPr>
      </w:pPr>
    </w:p>
    <w:p w14:paraId="14955C2C" w14:textId="77777777" w:rsidR="000E2A94" w:rsidRDefault="00D376D7" w:rsidP="005677CA">
      <w:pPr>
        <w:pStyle w:val="ListParagraph"/>
        <w:numPr>
          <w:ilvl w:val="1"/>
          <w:numId w:val="10"/>
        </w:numPr>
        <w:spacing w:after="120" w:line="240" w:lineRule="auto"/>
        <w:rPr>
          <w:rFonts w:ascii="Times New Roman" w:hAnsi="Times New Roman" w:cs="Times New Roman"/>
          <w:sz w:val="24"/>
          <w:szCs w:val="24"/>
        </w:rPr>
      </w:pPr>
      <w:r w:rsidRPr="008E3C9B">
        <w:rPr>
          <w:rFonts w:ascii="Times New Roman" w:hAnsi="Times New Roman" w:cs="Times New Roman"/>
          <w:sz w:val="24"/>
          <w:szCs w:val="24"/>
        </w:rPr>
        <w:t xml:space="preserve">The increasing proportion of insolvent </w:t>
      </w:r>
      <w:r w:rsidR="008E3C9B" w:rsidRPr="008E3C9B">
        <w:rPr>
          <w:rFonts w:ascii="Times New Roman" w:hAnsi="Times New Roman" w:cs="Times New Roman"/>
          <w:sz w:val="24"/>
          <w:szCs w:val="24"/>
        </w:rPr>
        <w:t xml:space="preserve">entities where employees apply to FEG for assistance with unpaid </w:t>
      </w:r>
      <w:r w:rsidRPr="008E3C9B">
        <w:rPr>
          <w:rFonts w:ascii="Times New Roman" w:hAnsi="Times New Roman" w:cs="Times New Roman"/>
          <w:sz w:val="24"/>
          <w:szCs w:val="24"/>
        </w:rPr>
        <w:t xml:space="preserve">employment entitlements. </w:t>
      </w:r>
      <w:r w:rsidR="00DB5721">
        <w:rPr>
          <w:rFonts w:ascii="Times New Roman" w:hAnsi="Times New Roman" w:cs="Times New Roman"/>
          <w:sz w:val="24"/>
          <w:szCs w:val="24"/>
        </w:rPr>
        <w:t xml:space="preserve"> While the number of entities where employee access FEG has increased (</w:t>
      </w:r>
      <w:r w:rsidRPr="008E3C9B">
        <w:rPr>
          <w:rFonts w:ascii="Times New Roman" w:hAnsi="Times New Roman" w:cs="Times New Roman"/>
          <w:sz w:val="24"/>
          <w:szCs w:val="24"/>
        </w:rPr>
        <w:t xml:space="preserve">from 1390 </w:t>
      </w:r>
      <w:r w:rsidR="008E3C9B" w:rsidRPr="008E3C9B">
        <w:rPr>
          <w:rFonts w:ascii="Times New Roman" w:hAnsi="Times New Roman" w:cs="Times New Roman"/>
          <w:sz w:val="24"/>
          <w:szCs w:val="24"/>
        </w:rPr>
        <w:t>entities</w:t>
      </w:r>
      <w:r w:rsidRPr="008E3C9B">
        <w:rPr>
          <w:rFonts w:ascii="Times New Roman" w:hAnsi="Times New Roman" w:cs="Times New Roman"/>
          <w:sz w:val="24"/>
          <w:szCs w:val="24"/>
        </w:rPr>
        <w:t xml:space="preserve"> in 2006-07 to 2</w:t>
      </w:r>
      <w:r w:rsidR="00C149CB" w:rsidRPr="008E3C9B">
        <w:rPr>
          <w:rFonts w:ascii="Times New Roman" w:hAnsi="Times New Roman" w:cs="Times New Roman"/>
          <w:sz w:val="24"/>
          <w:szCs w:val="24"/>
        </w:rPr>
        <w:t>057</w:t>
      </w:r>
      <w:r w:rsidRPr="008E3C9B">
        <w:rPr>
          <w:rFonts w:ascii="Times New Roman" w:hAnsi="Times New Roman" w:cs="Times New Roman"/>
          <w:sz w:val="24"/>
          <w:szCs w:val="24"/>
        </w:rPr>
        <w:t xml:space="preserve"> in 201</w:t>
      </w:r>
      <w:r w:rsidR="00B502AB" w:rsidRPr="008E3C9B">
        <w:rPr>
          <w:rFonts w:ascii="Times New Roman" w:hAnsi="Times New Roman" w:cs="Times New Roman"/>
          <w:sz w:val="24"/>
          <w:szCs w:val="24"/>
        </w:rPr>
        <w:t>3</w:t>
      </w:r>
      <w:r w:rsidRPr="008E3C9B">
        <w:rPr>
          <w:rFonts w:ascii="Times New Roman" w:hAnsi="Times New Roman" w:cs="Times New Roman"/>
          <w:sz w:val="24"/>
          <w:szCs w:val="24"/>
        </w:rPr>
        <w:t>-1</w:t>
      </w:r>
      <w:r w:rsidR="00B502AB" w:rsidRPr="008E3C9B">
        <w:rPr>
          <w:rFonts w:ascii="Times New Roman" w:hAnsi="Times New Roman" w:cs="Times New Roman"/>
          <w:sz w:val="24"/>
          <w:szCs w:val="24"/>
        </w:rPr>
        <w:t>4</w:t>
      </w:r>
      <w:r w:rsidR="0000311A">
        <w:rPr>
          <w:rFonts w:ascii="Times New Roman" w:hAnsi="Times New Roman" w:cs="Times New Roman"/>
          <w:sz w:val="24"/>
          <w:szCs w:val="24"/>
        </w:rPr>
        <w:t>)</w:t>
      </w:r>
      <w:r w:rsidR="00DB5721">
        <w:rPr>
          <w:rFonts w:ascii="Times New Roman" w:hAnsi="Times New Roman" w:cs="Times New Roman"/>
          <w:sz w:val="24"/>
          <w:szCs w:val="24"/>
        </w:rPr>
        <w:t xml:space="preserve">, this may simply reflect broader movements in the economy and increased insolvency rates.  However, the proportion of insolvent entities for which FEG assistance is required has increased from 16.8 per cent in 2006-07 to </w:t>
      </w:r>
      <w:r w:rsidR="000E2A94">
        <w:rPr>
          <w:rFonts w:ascii="Times New Roman" w:hAnsi="Times New Roman" w:cs="Times New Roman"/>
          <w:sz w:val="24"/>
          <w:szCs w:val="24"/>
        </w:rPr>
        <w:t xml:space="preserve">20.7 per cent in 2013-14 </w:t>
      </w:r>
      <w:r w:rsidR="00DB5721">
        <w:rPr>
          <w:rFonts w:ascii="Times New Roman" w:hAnsi="Times New Roman" w:cs="Times New Roman"/>
          <w:sz w:val="24"/>
          <w:szCs w:val="24"/>
        </w:rPr>
        <w:t>after peaking at 2</w:t>
      </w:r>
      <w:r w:rsidR="00451AB8">
        <w:rPr>
          <w:rFonts w:ascii="Times New Roman" w:hAnsi="Times New Roman" w:cs="Times New Roman"/>
          <w:sz w:val="24"/>
          <w:szCs w:val="24"/>
        </w:rPr>
        <w:t>2.7</w:t>
      </w:r>
      <w:r w:rsidR="00DB5721">
        <w:rPr>
          <w:rFonts w:ascii="Times New Roman" w:hAnsi="Times New Roman" w:cs="Times New Roman"/>
          <w:sz w:val="24"/>
          <w:szCs w:val="24"/>
        </w:rPr>
        <w:t xml:space="preserve"> per cent in 2009-10</w:t>
      </w:r>
      <w:r w:rsidR="000E2A94">
        <w:rPr>
          <w:rFonts w:ascii="Times New Roman" w:hAnsi="Times New Roman" w:cs="Times New Roman"/>
          <w:sz w:val="24"/>
          <w:szCs w:val="24"/>
        </w:rPr>
        <w:t xml:space="preserve"> – see </w:t>
      </w:r>
      <w:r w:rsidR="000E2A94" w:rsidRPr="00972C1C">
        <w:rPr>
          <w:rFonts w:ascii="Times New Roman" w:hAnsi="Times New Roman" w:cs="Times New Roman"/>
          <w:sz w:val="24"/>
          <w:szCs w:val="24"/>
          <w:u w:val="single"/>
        </w:rPr>
        <w:t>Attachment A</w:t>
      </w:r>
      <w:r w:rsidR="00DB5721">
        <w:rPr>
          <w:rFonts w:ascii="Times New Roman" w:hAnsi="Times New Roman" w:cs="Times New Roman"/>
          <w:sz w:val="24"/>
          <w:szCs w:val="24"/>
        </w:rPr>
        <w:t>.</w:t>
      </w:r>
    </w:p>
    <w:p w14:paraId="40FDD32F" w14:textId="77777777" w:rsidR="00D376D7" w:rsidRPr="008E3C9B" w:rsidRDefault="00D376D7" w:rsidP="005677CA">
      <w:pPr>
        <w:pStyle w:val="ListParagraph"/>
        <w:spacing w:after="120" w:line="240" w:lineRule="auto"/>
        <w:ind w:left="1440"/>
        <w:rPr>
          <w:rFonts w:ascii="Times New Roman" w:hAnsi="Times New Roman" w:cs="Times New Roman"/>
          <w:sz w:val="24"/>
          <w:szCs w:val="24"/>
        </w:rPr>
      </w:pPr>
    </w:p>
    <w:p w14:paraId="649B8BB0" w14:textId="77777777" w:rsidR="00D376D7" w:rsidRDefault="00D376D7" w:rsidP="005677CA">
      <w:pPr>
        <w:pStyle w:val="ListParagraph"/>
        <w:numPr>
          <w:ilvl w:val="1"/>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increasing proportion of workplace agreements that provide a total maximum redundancy payment of more than 16 weeks. This increased from 22.3 per cent of agreements in Quarter 1 of 2011 to 31.6 per cent of agreements in </w:t>
      </w:r>
      <w:r w:rsidRPr="001E31AE">
        <w:rPr>
          <w:rFonts w:ascii="Times New Roman" w:hAnsi="Times New Roman" w:cs="Times New Roman"/>
          <w:sz w:val="24"/>
          <w:szCs w:val="24"/>
        </w:rPr>
        <w:t>Quarter 3 of 2014.</w:t>
      </w:r>
      <w:r w:rsidR="00DB5721">
        <w:rPr>
          <w:rFonts w:ascii="Times New Roman" w:hAnsi="Times New Roman" w:cs="Times New Roman"/>
          <w:sz w:val="24"/>
          <w:szCs w:val="24"/>
        </w:rPr>
        <w:t xml:space="preserve"> This may indicate that some employers are offering generous redundancy terms </w:t>
      </w:r>
      <w:r w:rsidR="0000311A">
        <w:rPr>
          <w:rFonts w:ascii="Times New Roman" w:hAnsi="Times New Roman" w:cs="Times New Roman"/>
          <w:sz w:val="24"/>
          <w:szCs w:val="24"/>
        </w:rPr>
        <w:t>in</w:t>
      </w:r>
      <w:r w:rsidR="00DB5721">
        <w:rPr>
          <w:rFonts w:ascii="Times New Roman" w:hAnsi="Times New Roman" w:cs="Times New Roman"/>
          <w:sz w:val="24"/>
          <w:szCs w:val="24"/>
        </w:rPr>
        <w:t xml:space="preserve"> Enterprise Agreements, </w:t>
      </w:r>
      <w:r w:rsidR="00D506D1">
        <w:rPr>
          <w:rFonts w:ascii="Times New Roman" w:hAnsi="Times New Roman" w:cs="Times New Roman"/>
          <w:sz w:val="24"/>
          <w:szCs w:val="24"/>
        </w:rPr>
        <w:t>knowing</w:t>
      </w:r>
      <w:r w:rsidR="00DB5721">
        <w:rPr>
          <w:rFonts w:ascii="Times New Roman" w:hAnsi="Times New Roman" w:cs="Times New Roman"/>
          <w:sz w:val="24"/>
          <w:szCs w:val="24"/>
        </w:rPr>
        <w:t xml:space="preserve"> that the Commonwealth can provide a safety net should they become insolvent.</w:t>
      </w:r>
    </w:p>
    <w:p w14:paraId="3E4AC211" w14:textId="77777777" w:rsidR="00D376D7" w:rsidRDefault="005D683E" w:rsidP="005677CA">
      <w:pPr>
        <w:pStyle w:val="ListParagraph"/>
        <w:numPr>
          <w:ilvl w:val="1"/>
          <w:numId w:val="10"/>
        </w:num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disproportionate increase in the </w:t>
      </w:r>
      <w:r w:rsidR="00D376D7">
        <w:rPr>
          <w:rFonts w:ascii="Times New Roman" w:hAnsi="Times New Roman" w:cs="Times New Roman"/>
          <w:sz w:val="24"/>
          <w:szCs w:val="24"/>
        </w:rPr>
        <w:t>value of entitlements paid under the scheme for redundancy pay compared to other entitlements, increasing from 29.5 per cent of total scheme costs in 2006-07 to 39.</w:t>
      </w:r>
      <w:r w:rsidR="00A973DE">
        <w:rPr>
          <w:rFonts w:ascii="Times New Roman" w:hAnsi="Times New Roman" w:cs="Times New Roman"/>
          <w:sz w:val="24"/>
          <w:szCs w:val="24"/>
        </w:rPr>
        <w:t>3</w:t>
      </w:r>
      <w:r w:rsidR="00D376D7">
        <w:rPr>
          <w:rFonts w:ascii="Times New Roman" w:hAnsi="Times New Roman" w:cs="Times New Roman"/>
          <w:sz w:val="24"/>
          <w:szCs w:val="24"/>
        </w:rPr>
        <w:t xml:space="preserve"> per cent in 201</w:t>
      </w:r>
      <w:r w:rsidR="00D5791A">
        <w:rPr>
          <w:rFonts w:ascii="Times New Roman" w:hAnsi="Times New Roman" w:cs="Times New Roman"/>
          <w:sz w:val="24"/>
          <w:szCs w:val="24"/>
        </w:rPr>
        <w:t>3</w:t>
      </w:r>
      <w:r w:rsidR="00D376D7">
        <w:rPr>
          <w:rFonts w:ascii="Times New Roman" w:hAnsi="Times New Roman" w:cs="Times New Roman"/>
          <w:sz w:val="24"/>
          <w:szCs w:val="24"/>
        </w:rPr>
        <w:t>-1</w:t>
      </w:r>
      <w:r w:rsidR="00D5791A">
        <w:rPr>
          <w:rFonts w:ascii="Times New Roman" w:hAnsi="Times New Roman" w:cs="Times New Roman"/>
          <w:sz w:val="24"/>
          <w:szCs w:val="24"/>
        </w:rPr>
        <w:t>4</w:t>
      </w:r>
      <w:r w:rsidR="00D376D7">
        <w:rPr>
          <w:rFonts w:ascii="Times New Roman" w:hAnsi="Times New Roman" w:cs="Times New Roman"/>
          <w:sz w:val="24"/>
          <w:szCs w:val="24"/>
        </w:rPr>
        <w:t>.</w:t>
      </w:r>
      <w:r w:rsidR="00D5791A">
        <w:rPr>
          <w:rFonts w:ascii="Times New Roman" w:hAnsi="Times New Roman" w:cs="Times New Roman"/>
          <w:sz w:val="24"/>
          <w:szCs w:val="24"/>
        </w:rPr>
        <w:t xml:space="preserve"> </w:t>
      </w:r>
      <w:r w:rsidR="001410D9">
        <w:rPr>
          <w:rFonts w:ascii="Times New Roman" w:hAnsi="Times New Roman" w:cs="Times New Roman"/>
          <w:sz w:val="24"/>
          <w:szCs w:val="24"/>
        </w:rPr>
        <w:t xml:space="preserve"> In the period 1 July 2014 to</w:t>
      </w:r>
      <w:r w:rsidR="00D5791A" w:rsidRPr="00D5791A">
        <w:rPr>
          <w:rFonts w:ascii="Times New Roman" w:hAnsi="Times New Roman" w:cs="Times New Roman"/>
          <w:sz w:val="24"/>
          <w:szCs w:val="24"/>
        </w:rPr>
        <w:t xml:space="preserve"> 31 </w:t>
      </w:r>
      <w:r w:rsidR="00D5791A">
        <w:rPr>
          <w:rFonts w:ascii="Times New Roman" w:hAnsi="Times New Roman" w:cs="Times New Roman"/>
          <w:sz w:val="24"/>
          <w:szCs w:val="24"/>
        </w:rPr>
        <w:t>December </w:t>
      </w:r>
      <w:r w:rsidR="00D5791A" w:rsidRPr="00D5791A">
        <w:rPr>
          <w:rFonts w:ascii="Times New Roman" w:hAnsi="Times New Roman" w:cs="Times New Roman"/>
          <w:sz w:val="24"/>
          <w:szCs w:val="24"/>
        </w:rPr>
        <w:t>201</w:t>
      </w:r>
      <w:r w:rsidR="00D5791A">
        <w:rPr>
          <w:rFonts w:ascii="Times New Roman" w:hAnsi="Times New Roman" w:cs="Times New Roman"/>
          <w:sz w:val="24"/>
          <w:szCs w:val="24"/>
        </w:rPr>
        <w:t>4</w:t>
      </w:r>
      <w:r w:rsidR="00D5791A" w:rsidRPr="00D5791A">
        <w:rPr>
          <w:rFonts w:ascii="Times New Roman" w:hAnsi="Times New Roman" w:cs="Times New Roman"/>
          <w:sz w:val="24"/>
          <w:szCs w:val="24"/>
        </w:rPr>
        <w:t xml:space="preserve"> redundancy paid to claimants accounts for 40.0 per cent of all entitlements paid under the scheme.</w:t>
      </w:r>
    </w:p>
    <w:p w14:paraId="5503EBED" w14:textId="77777777" w:rsidR="007E5D09" w:rsidRDefault="007E5D09">
      <w:pPr>
        <w:rPr>
          <w:rFonts w:ascii="Times New Roman" w:hAnsi="Times New Roman" w:cs="Times New Roman"/>
          <w:sz w:val="24"/>
          <w:szCs w:val="24"/>
          <w:u w:val="single"/>
        </w:rPr>
      </w:pPr>
    </w:p>
    <w:p w14:paraId="127ED691" w14:textId="77777777" w:rsidR="00135911" w:rsidRPr="00135911" w:rsidRDefault="00135911" w:rsidP="00135911">
      <w:pPr>
        <w:pStyle w:val="ListParagraph"/>
        <w:spacing w:after="0" w:line="240" w:lineRule="auto"/>
        <w:ind w:left="0"/>
        <w:rPr>
          <w:rFonts w:ascii="Times New Roman" w:hAnsi="Times New Roman" w:cs="Times New Roman"/>
          <w:sz w:val="24"/>
          <w:szCs w:val="24"/>
          <w:u w:val="single"/>
        </w:rPr>
      </w:pPr>
      <w:r w:rsidRPr="00135911">
        <w:rPr>
          <w:rFonts w:ascii="Times New Roman" w:hAnsi="Times New Roman" w:cs="Times New Roman"/>
          <w:sz w:val="24"/>
          <w:szCs w:val="24"/>
          <w:u w:val="single"/>
        </w:rPr>
        <w:t xml:space="preserve">Business </w:t>
      </w:r>
      <w:r w:rsidR="00EB1849">
        <w:rPr>
          <w:rFonts w:ascii="Times New Roman" w:hAnsi="Times New Roman" w:cs="Times New Roman"/>
          <w:sz w:val="24"/>
          <w:szCs w:val="24"/>
          <w:u w:val="single"/>
        </w:rPr>
        <w:t>s</w:t>
      </w:r>
      <w:r w:rsidRPr="00135911">
        <w:rPr>
          <w:rFonts w:ascii="Times New Roman" w:hAnsi="Times New Roman" w:cs="Times New Roman"/>
          <w:sz w:val="24"/>
          <w:szCs w:val="24"/>
          <w:u w:val="single"/>
        </w:rPr>
        <w:t>ize profile of payments</w:t>
      </w:r>
    </w:p>
    <w:p w14:paraId="26FA28A2" w14:textId="77777777" w:rsidR="00497DE0" w:rsidRPr="004A4274" w:rsidRDefault="00497DE0" w:rsidP="00135911">
      <w:pPr>
        <w:pStyle w:val="ListParagraph"/>
        <w:spacing w:after="0" w:line="240" w:lineRule="auto"/>
        <w:ind w:left="0"/>
        <w:rPr>
          <w:rFonts w:ascii="Times New Roman" w:hAnsi="Times New Roman" w:cs="Times New Roman"/>
          <w:sz w:val="24"/>
          <w:szCs w:val="24"/>
        </w:rPr>
      </w:pPr>
    </w:p>
    <w:p w14:paraId="65F58BEB" w14:textId="77777777" w:rsidR="00AE2C84" w:rsidRDefault="00007BDE" w:rsidP="005677CA">
      <w:pPr>
        <w:pStyle w:val="ListParagraph"/>
        <w:numPr>
          <w:ilvl w:val="2"/>
          <w:numId w:val="1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S</w:t>
      </w:r>
      <w:r w:rsidR="001410D9">
        <w:rPr>
          <w:rFonts w:ascii="Times New Roman" w:hAnsi="Times New Roman" w:cs="Times New Roman"/>
          <w:sz w:val="24"/>
          <w:szCs w:val="24"/>
        </w:rPr>
        <w:t>mall business employers</w:t>
      </w:r>
      <w:r w:rsidR="00F4314D">
        <w:rPr>
          <w:rFonts w:ascii="Times New Roman" w:hAnsi="Times New Roman" w:cs="Times New Roman"/>
          <w:sz w:val="24"/>
          <w:szCs w:val="24"/>
        </w:rPr>
        <w:t xml:space="preserve"> (</w:t>
      </w:r>
      <w:r w:rsidR="001410D9">
        <w:rPr>
          <w:rFonts w:ascii="Times New Roman" w:hAnsi="Times New Roman" w:cs="Times New Roman"/>
          <w:sz w:val="24"/>
          <w:szCs w:val="24"/>
        </w:rPr>
        <w:t>defined under the F</w:t>
      </w:r>
      <w:r w:rsidR="00EB1849">
        <w:rPr>
          <w:rFonts w:ascii="Times New Roman" w:hAnsi="Times New Roman" w:cs="Times New Roman"/>
          <w:sz w:val="24"/>
          <w:szCs w:val="24"/>
        </w:rPr>
        <w:t>air Work</w:t>
      </w:r>
      <w:r w:rsidR="001410D9">
        <w:rPr>
          <w:rFonts w:ascii="Times New Roman" w:hAnsi="Times New Roman" w:cs="Times New Roman"/>
          <w:sz w:val="24"/>
          <w:szCs w:val="24"/>
        </w:rPr>
        <w:t xml:space="preserve"> Act</w:t>
      </w:r>
      <w:r w:rsidR="00F4314D">
        <w:rPr>
          <w:rFonts w:ascii="Times New Roman" w:hAnsi="Times New Roman" w:cs="Times New Roman"/>
          <w:sz w:val="24"/>
          <w:szCs w:val="24"/>
        </w:rPr>
        <w:t xml:space="preserve"> as employers with less than 15 </w:t>
      </w:r>
      <w:r w:rsidR="001410D9">
        <w:rPr>
          <w:rFonts w:ascii="Times New Roman" w:hAnsi="Times New Roman" w:cs="Times New Roman"/>
          <w:sz w:val="24"/>
          <w:szCs w:val="24"/>
        </w:rPr>
        <w:t>employees</w:t>
      </w:r>
      <w:r w:rsidR="00F4314D">
        <w:rPr>
          <w:rFonts w:ascii="Times New Roman" w:hAnsi="Times New Roman" w:cs="Times New Roman"/>
          <w:sz w:val="24"/>
          <w:szCs w:val="24"/>
        </w:rPr>
        <w:t>)</w:t>
      </w:r>
      <w:r w:rsidR="000B6CC2">
        <w:rPr>
          <w:rFonts w:ascii="Times New Roman" w:hAnsi="Times New Roman" w:cs="Times New Roman"/>
          <w:sz w:val="24"/>
          <w:szCs w:val="24"/>
        </w:rPr>
        <w:t xml:space="preserve"> are more commonly represented in FEG than other size employers.</w:t>
      </w:r>
      <w:r w:rsidR="001410D9">
        <w:rPr>
          <w:rFonts w:ascii="Times New Roman" w:hAnsi="Times New Roman" w:cs="Times New Roman"/>
          <w:sz w:val="24"/>
          <w:szCs w:val="24"/>
        </w:rPr>
        <w:t xml:space="preserve"> Over the period 1 July 2014 to 31 December 2014 payments to employees </w:t>
      </w:r>
      <w:r>
        <w:rPr>
          <w:rFonts w:ascii="Times New Roman" w:hAnsi="Times New Roman" w:cs="Times New Roman"/>
          <w:sz w:val="24"/>
          <w:szCs w:val="24"/>
        </w:rPr>
        <w:t xml:space="preserve">made redundant due to insolvency </w:t>
      </w:r>
      <w:r w:rsidR="001410D9">
        <w:rPr>
          <w:rFonts w:ascii="Times New Roman" w:hAnsi="Times New Roman" w:cs="Times New Roman"/>
          <w:sz w:val="24"/>
          <w:szCs w:val="24"/>
        </w:rPr>
        <w:t xml:space="preserve">of small business entities made up 73.3 per cent of </w:t>
      </w:r>
      <w:r w:rsidR="000B6CC2">
        <w:rPr>
          <w:rFonts w:ascii="Times New Roman" w:hAnsi="Times New Roman" w:cs="Times New Roman"/>
          <w:sz w:val="24"/>
          <w:szCs w:val="24"/>
        </w:rPr>
        <w:t>all insolvent entities dealt with under the scheme</w:t>
      </w:r>
      <w:r w:rsidR="00AE2C84">
        <w:rPr>
          <w:rFonts w:ascii="Times New Roman" w:hAnsi="Times New Roman" w:cs="Times New Roman"/>
          <w:sz w:val="24"/>
          <w:szCs w:val="24"/>
        </w:rPr>
        <w:t>. Over the same period payments to employees from medium size employers (defined as employers with 15 to 200 employees) made up</w:t>
      </w:r>
      <w:r w:rsidR="00C63F22" w:rsidRPr="006222A9">
        <w:rPr>
          <w:rFonts w:ascii="Times New Roman" w:hAnsi="Times New Roman" w:cs="Times New Roman"/>
          <w:sz w:val="24"/>
          <w:szCs w:val="24"/>
        </w:rPr>
        <w:t xml:space="preserve"> </w:t>
      </w:r>
      <w:r w:rsidR="006222A9" w:rsidRPr="006222A9">
        <w:rPr>
          <w:rFonts w:ascii="Times New Roman" w:hAnsi="Times New Roman" w:cs="Times New Roman"/>
          <w:sz w:val="24"/>
          <w:szCs w:val="24"/>
        </w:rPr>
        <w:t>25.3 p</w:t>
      </w:r>
      <w:r w:rsidR="00C63F22" w:rsidRPr="006222A9">
        <w:rPr>
          <w:rFonts w:ascii="Times New Roman" w:hAnsi="Times New Roman" w:cs="Times New Roman"/>
          <w:sz w:val="24"/>
          <w:szCs w:val="24"/>
        </w:rPr>
        <w:t xml:space="preserve">er cent </w:t>
      </w:r>
      <w:r w:rsidR="00AE2C84">
        <w:rPr>
          <w:rFonts w:ascii="Times New Roman" w:hAnsi="Times New Roman" w:cs="Times New Roman"/>
          <w:sz w:val="24"/>
          <w:szCs w:val="24"/>
        </w:rPr>
        <w:t xml:space="preserve">of </w:t>
      </w:r>
      <w:r w:rsidR="000B6CC2">
        <w:rPr>
          <w:rFonts w:ascii="Times New Roman" w:hAnsi="Times New Roman" w:cs="Times New Roman"/>
          <w:sz w:val="24"/>
          <w:szCs w:val="24"/>
        </w:rPr>
        <w:t>all entities</w:t>
      </w:r>
      <w:r w:rsidR="00AE2C84">
        <w:rPr>
          <w:rFonts w:ascii="Times New Roman" w:hAnsi="Times New Roman" w:cs="Times New Roman"/>
          <w:sz w:val="24"/>
          <w:szCs w:val="24"/>
        </w:rPr>
        <w:t xml:space="preserve"> </w:t>
      </w:r>
      <w:r w:rsidR="000B6CC2">
        <w:rPr>
          <w:rFonts w:ascii="Times New Roman" w:hAnsi="Times New Roman" w:cs="Times New Roman"/>
          <w:sz w:val="24"/>
          <w:szCs w:val="24"/>
        </w:rPr>
        <w:t xml:space="preserve">dealt with </w:t>
      </w:r>
      <w:r w:rsidR="00AE2C84">
        <w:rPr>
          <w:rFonts w:ascii="Times New Roman" w:hAnsi="Times New Roman" w:cs="Times New Roman"/>
          <w:sz w:val="24"/>
          <w:szCs w:val="24"/>
        </w:rPr>
        <w:t>under the scheme</w:t>
      </w:r>
      <w:r w:rsidR="00C63F22">
        <w:rPr>
          <w:rFonts w:ascii="Times New Roman" w:hAnsi="Times New Roman" w:cs="Times New Roman"/>
          <w:sz w:val="24"/>
          <w:szCs w:val="24"/>
        </w:rPr>
        <w:t>.</w:t>
      </w:r>
      <w:r w:rsidR="00AE2C84">
        <w:rPr>
          <w:rFonts w:ascii="Times New Roman" w:hAnsi="Times New Roman" w:cs="Times New Roman"/>
          <w:sz w:val="24"/>
          <w:szCs w:val="24"/>
        </w:rPr>
        <w:t xml:space="preserve"> </w:t>
      </w:r>
      <w:r w:rsidR="00AE2C84" w:rsidRPr="00AE2C84">
        <w:rPr>
          <w:rFonts w:ascii="Times New Roman" w:hAnsi="Times New Roman" w:cs="Times New Roman"/>
          <w:sz w:val="24"/>
          <w:szCs w:val="24"/>
        </w:rPr>
        <w:t xml:space="preserve"> </w:t>
      </w:r>
    </w:p>
    <w:p w14:paraId="180591A3" w14:textId="77777777" w:rsidR="00AE2C84" w:rsidRDefault="00AE2C84" w:rsidP="007373EF">
      <w:pPr>
        <w:pStyle w:val="ListParagraph"/>
        <w:spacing w:after="0" w:line="240" w:lineRule="auto"/>
        <w:rPr>
          <w:rFonts w:ascii="Times New Roman" w:hAnsi="Times New Roman" w:cs="Times New Roman"/>
          <w:sz w:val="24"/>
          <w:szCs w:val="24"/>
        </w:rPr>
      </w:pPr>
    </w:p>
    <w:p w14:paraId="28B0D6D5" w14:textId="77777777" w:rsidR="00AE2C84" w:rsidRPr="005379A4" w:rsidRDefault="00AE2C84" w:rsidP="005677CA">
      <w:pPr>
        <w:pStyle w:val="ListParagraph"/>
        <w:numPr>
          <w:ilvl w:val="2"/>
          <w:numId w:val="1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Historical </w:t>
      </w:r>
      <w:r w:rsidRPr="005379A4">
        <w:rPr>
          <w:rFonts w:ascii="Times New Roman" w:hAnsi="Times New Roman" w:cs="Times New Roman"/>
          <w:sz w:val="24"/>
          <w:szCs w:val="24"/>
        </w:rPr>
        <w:t xml:space="preserve">data </w:t>
      </w:r>
      <w:r>
        <w:rPr>
          <w:rFonts w:ascii="Times New Roman" w:hAnsi="Times New Roman" w:cs="Times New Roman"/>
          <w:sz w:val="24"/>
          <w:szCs w:val="24"/>
        </w:rPr>
        <w:t>over</w:t>
      </w:r>
      <w:r w:rsidRPr="005379A4">
        <w:rPr>
          <w:rFonts w:ascii="Times New Roman" w:hAnsi="Times New Roman" w:cs="Times New Roman"/>
          <w:sz w:val="24"/>
          <w:szCs w:val="24"/>
        </w:rPr>
        <w:t xml:space="preserve"> the period 2004-05 to 2014-15 (as at 31 Dec</w:t>
      </w:r>
      <w:r w:rsidR="00EB1849">
        <w:rPr>
          <w:rFonts w:ascii="Times New Roman" w:hAnsi="Times New Roman" w:cs="Times New Roman"/>
          <w:sz w:val="24"/>
          <w:szCs w:val="24"/>
        </w:rPr>
        <w:t>ember</w:t>
      </w:r>
      <w:r w:rsidRPr="005379A4">
        <w:rPr>
          <w:rFonts w:ascii="Times New Roman" w:hAnsi="Times New Roman" w:cs="Times New Roman"/>
          <w:sz w:val="24"/>
          <w:szCs w:val="24"/>
        </w:rPr>
        <w:t xml:space="preserve"> 2014) shows </w:t>
      </w:r>
      <w:r>
        <w:rPr>
          <w:rFonts w:ascii="Times New Roman" w:hAnsi="Times New Roman" w:cs="Times New Roman"/>
          <w:sz w:val="24"/>
          <w:szCs w:val="24"/>
        </w:rPr>
        <w:t xml:space="preserve">a </w:t>
      </w:r>
      <w:r w:rsidR="00C276A2">
        <w:rPr>
          <w:rFonts w:ascii="Times New Roman" w:hAnsi="Times New Roman" w:cs="Times New Roman"/>
          <w:sz w:val="24"/>
          <w:szCs w:val="24"/>
        </w:rPr>
        <w:t>broad</w:t>
      </w:r>
      <w:r>
        <w:rPr>
          <w:rFonts w:ascii="Times New Roman" w:hAnsi="Times New Roman" w:cs="Times New Roman"/>
          <w:sz w:val="24"/>
          <w:szCs w:val="24"/>
        </w:rPr>
        <w:t xml:space="preserve"> consistency in this trend year to year</w:t>
      </w:r>
      <w:r w:rsidR="000B6CC2">
        <w:rPr>
          <w:rFonts w:ascii="Times New Roman" w:hAnsi="Times New Roman" w:cs="Times New Roman"/>
          <w:sz w:val="24"/>
          <w:szCs w:val="24"/>
        </w:rPr>
        <w:t>.  Of all entities where employment entitlements were met under the scheme:</w:t>
      </w:r>
    </w:p>
    <w:p w14:paraId="232E8132" w14:textId="77777777" w:rsidR="00AE2C84" w:rsidRPr="005379A4" w:rsidRDefault="00AE2C84" w:rsidP="00E44E81">
      <w:pPr>
        <w:pStyle w:val="ListParagraph"/>
        <w:numPr>
          <w:ilvl w:val="1"/>
          <w:numId w:val="10"/>
        </w:numPr>
        <w:spacing w:after="120" w:line="240" w:lineRule="auto"/>
        <w:rPr>
          <w:rFonts w:ascii="Times New Roman" w:hAnsi="Times New Roman" w:cs="Times New Roman"/>
          <w:sz w:val="24"/>
          <w:szCs w:val="24"/>
        </w:rPr>
      </w:pPr>
      <w:r w:rsidRPr="005379A4">
        <w:rPr>
          <w:rFonts w:ascii="Times New Roman" w:hAnsi="Times New Roman" w:cs="Times New Roman"/>
          <w:sz w:val="24"/>
          <w:szCs w:val="24"/>
        </w:rPr>
        <w:t xml:space="preserve">76.8 per cent </w:t>
      </w:r>
      <w:r w:rsidR="000B6CC2">
        <w:rPr>
          <w:rFonts w:ascii="Times New Roman" w:hAnsi="Times New Roman" w:cs="Times New Roman"/>
          <w:sz w:val="24"/>
          <w:szCs w:val="24"/>
        </w:rPr>
        <w:t xml:space="preserve">were </w:t>
      </w:r>
      <w:r w:rsidRPr="005379A4">
        <w:rPr>
          <w:rFonts w:ascii="Times New Roman" w:hAnsi="Times New Roman" w:cs="Times New Roman"/>
          <w:sz w:val="24"/>
          <w:szCs w:val="24"/>
        </w:rPr>
        <w:t xml:space="preserve">small business employers </w:t>
      </w:r>
    </w:p>
    <w:p w14:paraId="4A1F3082" w14:textId="77777777" w:rsidR="00AE2C84" w:rsidRPr="005379A4" w:rsidRDefault="00AE2C84" w:rsidP="00E44E81">
      <w:pPr>
        <w:pStyle w:val="ListParagraph"/>
        <w:numPr>
          <w:ilvl w:val="1"/>
          <w:numId w:val="10"/>
        </w:numPr>
        <w:spacing w:after="120" w:line="240" w:lineRule="auto"/>
        <w:rPr>
          <w:rFonts w:ascii="Times New Roman" w:hAnsi="Times New Roman" w:cs="Times New Roman"/>
          <w:sz w:val="24"/>
          <w:szCs w:val="24"/>
        </w:rPr>
      </w:pPr>
      <w:r w:rsidRPr="005379A4">
        <w:rPr>
          <w:rFonts w:ascii="Times New Roman" w:hAnsi="Times New Roman" w:cs="Times New Roman"/>
          <w:sz w:val="24"/>
          <w:szCs w:val="24"/>
        </w:rPr>
        <w:t xml:space="preserve">22.5 per cent </w:t>
      </w:r>
      <w:r w:rsidR="000B6CC2">
        <w:rPr>
          <w:rFonts w:ascii="Times New Roman" w:hAnsi="Times New Roman" w:cs="Times New Roman"/>
          <w:sz w:val="24"/>
          <w:szCs w:val="24"/>
        </w:rPr>
        <w:t>were</w:t>
      </w:r>
      <w:r w:rsidRPr="005379A4">
        <w:rPr>
          <w:rFonts w:ascii="Times New Roman" w:hAnsi="Times New Roman" w:cs="Times New Roman"/>
          <w:sz w:val="24"/>
          <w:szCs w:val="24"/>
        </w:rPr>
        <w:t xml:space="preserve"> medium business employers</w:t>
      </w:r>
    </w:p>
    <w:p w14:paraId="2994C0CC" w14:textId="77777777" w:rsidR="00AE2C84" w:rsidRDefault="00AE2C84" w:rsidP="00E44E81">
      <w:pPr>
        <w:pStyle w:val="ListParagraph"/>
        <w:numPr>
          <w:ilvl w:val="1"/>
          <w:numId w:val="10"/>
        </w:numPr>
        <w:spacing w:after="120" w:line="240" w:lineRule="auto"/>
        <w:rPr>
          <w:rFonts w:ascii="Times New Roman" w:hAnsi="Times New Roman" w:cs="Times New Roman"/>
          <w:sz w:val="24"/>
          <w:szCs w:val="24"/>
        </w:rPr>
      </w:pPr>
      <w:r w:rsidRPr="005379A4">
        <w:rPr>
          <w:rFonts w:ascii="Times New Roman" w:hAnsi="Times New Roman" w:cs="Times New Roman"/>
          <w:sz w:val="24"/>
          <w:szCs w:val="24"/>
        </w:rPr>
        <w:t xml:space="preserve">0.60 per cent </w:t>
      </w:r>
      <w:r w:rsidR="000B6CC2">
        <w:rPr>
          <w:rFonts w:ascii="Times New Roman" w:hAnsi="Times New Roman" w:cs="Times New Roman"/>
          <w:sz w:val="24"/>
          <w:szCs w:val="24"/>
        </w:rPr>
        <w:t>were</w:t>
      </w:r>
      <w:r w:rsidRPr="005379A4">
        <w:rPr>
          <w:rFonts w:ascii="Times New Roman" w:hAnsi="Times New Roman" w:cs="Times New Roman"/>
          <w:sz w:val="24"/>
          <w:szCs w:val="24"/>
        </w:rPr>
        <w:t xml:space="preserve"> large business</w:t>
      </w:r>
      <w:r w:rsidR="00EB1849">
        <w:rPr>
          <w:rFonts w:ascii="Times New Roman" w:hAnsi="Times New Roman" w:cs="Times New Roman"/>
          <w:sz w:val="24"/>
          <w:szCs w:val="24"/>
        </w:rPr>
        <w:t xml:space="preserve"> employers</w:t>
      </w:r>
      <w:r w:rsidRPr="005379A4">
        <w:rPr>
          <w:rFonts w:ascii="Times New Roman" w:hAnsi="Times New Roman" w:cs="Times New Roman"/>
          <w:sz w:val="24"/>
          <w:szCs w:val="24"/>
        </w:rPr>
        <w:t>.</w:t>
      </w:r>
    </w:p>
    <w:p w14:paraId="4AB51638" w14:textId="77777777" w:rsidR="00EB1849" w:rsidRPr="005379A4" w:rsidRDefault="00EB1849" w:rsidP="00EB1849">
      <w:pPr>
        <w:pStyle w:val="ListParagraph"/>
        <w:spacing w:after="0" w:line="240" w:lineRule="auto"/>
        <w:ind w:left="1440"/>
        <w:rPr>
          <w:rFonts w:ascii="Times New Roman" w:hAnsi="Times New Roman" w:cs="Times New Roman"/>
          <w:sz w:val="24"/>
          <w:szCs w:val="24"/>
        </w:rPr>
      </w:pPr>
    </w:p>
    <w:p w14:paraId="20224075" w14:textId="77777777" w:rsidR="003F5FD1" w:rsidRDefault="00C276A2" w:rsidP="005677CA">
      <w:pPr>
        <w:pStyle w:val="ListParagraph"/>
        <w:numPr>
          <w:ilvl w:val="2"/>
          <w:numId w:val="1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Claims relating to medium size</w:t>
      </w:r>
      <w:r w:rsidR="003F5FD1" w:rsidRPr="007E08C6">
        <w:rPr>
          <w:rFonts w:ascii="Times New Roman" w:hAnsi="Times New Roman" w:cs="Times New Roman"/>
          <w:sz w:val="24"/>
          <w:szCs w:val="24"/>
        </w:rPr>
        <w:t xml:space="preserve"> </w:t>
      </w:r>
      <w:r w:rsidR="00151D72">
        <w:rPr>
          <w:rFonts w:ascii="Times New Roman" w:hAnsi="Times New Roman" w:cs="Times New Roman"/>
          <w:sz w:val="24"/>
          <w:szCs w:val="24"/>
        </w:rPr>
        <w:t xml:space="preserve">employers </w:t>
      </w:r>
      <w:r w:rsidR="00007BDE">
        <w:rPr>
          <w:rFonts w:ascii="Times New Roman" w:hAnsi="Times New Roman" w:cs="Times New Roman"/>
          <w:sz w:val="24"/>
          <w:szCs w:val="24"/>
        </w:rPr>
        <w:t xml:space="preserve">under the scheme </w:t>
      </w:r>
      <w:r>
        <w:rPr>
          <w:rFonts w:ascii="Times New Roman" w:hAnsi="Times New Roman" w:cs="Times New Roman"/>
          <w:sz w:val="24"/>
          <w:szCs w:val="24"/>
        </w:rPr>
        <w:t>represent the majority of cost under the scheme</w:t>
      </w:r>
      <w:r w:rsidR="000B6CC2">
        <w:rPr>
          <w:rFonts w:ascii="Times New Roman" w:hAnsi="Times New Roman" w:cs="Times New Roman"/>
          <w:sz w:val="24"/>
          <w:szCs w:val="24"/>
        </w:rPr>
        <w:t xml:space="preserve">, representing </w:t>
      </w:r>
      <w:r>
        <w:rPr>
          <w:rFonts w:ascii="Times New Roman" w:hAnsi="Times New Roman" w:cs="Times New Roman"/>
          <w:sz w:val="24"/>
          <w:szCs w:val="24"/>
        </w:rPr>
        <w:t>62.58</w:t>
      </w:r>
      <w:r w:rsidR="000B6CC2" w:rsidRPr="006222A9">
        <w:rPr>
          <w:rFonts w:ascii="Times New Roman" w:hAnsi="Times New Roman" w:cs="Times New Roman"/>
          <w:sz w:val="24"/>
          <w:szCs w:val="24"/>
        </w:rPr>
        <w:t xml:space="preserve"> per cent</w:t>
      </w:r>
      <w:r w:rsidR="000B6CC2" w:rsidRPr="007E08C6">
        <w:rPr>
          <w:rFonts w:ascii="Times New Roman" w:hAnsi="Times New Roman" w:cs="Times New Roman"/>
          <w:sz w:val="24"/>
          <w:szCs w:val="24"/>
        </w:rPr>
        <w:t xml:space="preserve"> of </w:t>
      </w:r>
      <w:r w:rsidR="000B6CC2">
        <w:rPr>
          <w:rFonts w:ascii="Times New Roman" w:hAnsi="Times New Roman" w:cs="Times New Roman"/>
          <w:sz w:val="24"/>
          <w:szCs w:val="24"/>
        </w:rPr>
        <w:t>the cost of claims</w:t>
      </w:r>
      <w:r w:rsidR="000B6CC2" w:rsidRPr="007E08C6">
        <w:rPr>
          <w:rFonts w:ascii="Times New Roman" w:hAnsi="Times New Roman" w:cs="Times New Roman"/>
          <w:sz w:val="24"/>
          <w:szCs w:val="24"/>
        </w:rPr>
        <w:t xml:space="preserve"> under the scheme</w:t>
      </w:r>
      <w:r w:rsidR="000B6CC2">
        <w:rPr>
          <w:rFonts w:ascii="Times New Roman" w:hAnsi="Times New Roman" w:cs="Times New Roman"/>
          <w:sz w:val="24"/>
          <w:szCs w:val="24"/>
        </w:rPr>
        <w:t xml:space="preserve"> from </w:t>
      </w:r>
      <w:r w:rsidR="007E08C6" w:rsidRPr="007E08C6">
        <w:rPr>
          <w:rFonts w:ascii="Times New Roman" w:hAnsi="Times New Roman" w:cs="Times New Roman"/>
          <w:sz w:val="24"/>
          <w:szCs w:val="24"/>
        </w:rPr>
        <w:t>1 July 201</w:t>
      </w:r>
      <w:r w:rsidR="0067633F">
        <w:rPr>
          <w:rFonts w:ascii="Times New Roman" w:hAnsi="Times New Roman" w:cs="Times New Roman"/>
          <w:sz w:val="24"/>
          <w:szCs w:val="24"/>
        </w:rPr>
        <w:t>4</w:t>
      </w:r>
      <w:r w:rsidR="007E08C6" w:rsidRPr="007E08C6">
        <w:rPr>
          <w:rFonts w:ascii="Times New Roman" w:hAnsi="Times New Roman" w:cs="Times New Roman"/>
          <w:sz w:val="24"/>
          <w:szCs w:val="24"/>
        </w:rPr>
        <w:t xml:space="preserve"> to 31</w:t>
      </w:r>
      <w:r w:rsidR="00AE2C84">
        <w:rPr>
          <w:rFonts w:ascii="Times New Roman" w:hAnsi="Times New Roman" w:cs="Times New Roman"/>
          <w:sz w:val="24"/>
          <w:szCs w:val="24"/>
        </w:rPr>
        <w:t> </w:t>
      </w:r>
      <w:r w:rsidR="007E08C6" w:rsidRPr="007E08C6">
        <w:rPr>
          <w:rFonts w:ascii="Times New Roman" w:hAnsi="Times New Roman" w:cs="Times New Roman"/>
          <w:sz w:val="24"/>
          <w:szCs w:val="24"/>
        </w:rPr>
        <w:t>December 201</w:t>
      </w:r>
      <w:r w:rsidR="0067633F">
        <w:rPr>
          <w:rFonts w:ascii="Times New Roman" w:hAnsi="Times New Roman" w:cs="Times New Roman"/>
          <w:sz w:val="24"/>
          <w:szCs w:val="24"/>
        </w:rPr>
        <w:t>4</w:t>
      </w:r>
      <w:r w:rsidR="000B6CC2">
        <w:rPr>
          <w:rFonts w:ascii="Times New Roman" w:hAnsi="Times New Roman" w:cs="Times New Roman"/>
          <w:sz w:val="24"/>
          <w:szCs w:val="24"/>
        </w:rPr>
        <w:t>.</w:t>
      </w:r>
      <w:r w:rsidR="007E08C6" w:rsidRPr="007E08C6">
        <w:rPr>
          <w:rFonts w:ascii="Times New Roman" w:hAnsi="Times New Roman" w:cs="Times New Roman"/>
          <w:sz w:val="24"/>
          <w:szCs w:val="24"/>
        </w:rPr>
        <w:t xml:space="preserve"> </w:t>
      </w:r>
      <w:r>
        <w:rPr>
          <w:rFonts w:ascii="Times New Roman" w:hAnsi="Times New Roman" w:cs="Times New Roman"/>
          <w:sz w:val="24"/>
          <w:szCs w:val="24"/>
        </w:rPr>
        <w:t xml:space="preserve">However the pattern year on year is variable depending on the nature of insolvency events that arise – see </w:t>
      </w:r>
      <w:r w:rsidR="00EB1849">
        <w:rPr>
          <w:rFonts w:ascii="Times New Roman" w:hAnsi="Times New Roman" w:cs="Times New Roman"/>
          <w:sz w:val="24"/>
          <w:szCs w:val="24"/>
        </w:rPr>
        <w:t>Chart </w:t>
      </w:r>
      <w:r w:rsidR="00972C1C">
        <w:rPr>
          <w:rFonts w:ascii="Times New Roman" w:hAnsi="Times New Roman" w:cs="Times New Roman"/>
          <w:sz w:val="24"/>
          <w:szCs w:val="24"/>
        </w:rPr>
        <w:t>1</w:t>
      </w:r>
      <w:r w:rsidR="00CC6103">
        <w:rPr>
          <w:rFonts w:ascii="Times New Roman" w:hAnsi="Times New Roman" w:cs="Times New Roman"/>
          <w:sz w:val="24"/>
          <w:szCs w:val="24"/>
        </w:rPr>
        <w:t xml:space="preserve"> and </w:t>
      </w:r>
      <w:r w:rsidR="00CC6103" w:rsidRPr="007373EF">
        <w:rPr>
          <w:rFonts w:ascii="Times New Roman" w:hAnsi="Times New Roman" w:cs="Times New Roman"/>
          <w:sz w:val="24"/>
          <w:szCs w:val="24"/>
          <w:u w:val="single"/>
        </w:rPr>
        <w:t xml:space="preserve">Attachment </w:t>
      </w:r>
      <w:r w:rsidR="000E2A94">
        <w:rPr>
          <w:rFonts w:ascii="Times New Roman" w:hAnsi="Times New Roman" w:cs="Times New Roman"/>
          <w:sz w:val="24"/>
          <w:szCs w:val="24"/>
          <w:u w:val="single"/>
        </w:rPr>
        <w:t>B</w:t>
      </w:r>
      <w:r w:rsidR="000E2A94">
        <w:rPr>
          <w:rFonts w:ascii="Times New Roman" w:hAnsi="Times New Roman" w:cs="Times New Roman"/>
          <w:sz w:val="24"/>
          <w:szCs w:val="24"/>
        </w:rPr>
        <w:t xml:space="preserve"> </w:t>
      </w:r>
      <w:r w:rsidR="003A4851">
        <w:rPr>
          <w:rFonts w:ascii="Times New Roman" w:hAnsi="Times New Roman" w:cs="Times New Roman"/>
          <w:sz w:val="24"/>
          <w:szCs w:val="24"/>
        </w:rPr>
        <w:t>– Business size profile of assistance paid under FEG schemes</w:t>
      </w:r>
      <w:r>
        <w:rPr>
          <w:rFonts w:ascii="Times New Roman" w:hAnsi="Times New Roman" w:cs="Times New Roman"/>
          <w:sz w:val="24"/>
          <w:szCs w:val="24"/>
        </w:rPr>
        <w:t>.</w:t>
      </w:r>
    </w:p>
    <w:p w14:paraId="5D0F815F" w14:textId="77777777" w:rsidR="00AE2C84" w:rsidRDefault="00AE2C84" w:rsidP="007373EF">
      <w:pPr>
        <w:pStyle w:val="ListParagraph"/>
        <w:rPr>
          <w:rFonts w:ascii="Times New Roman" w:hAnsi="Times New Roman" w:cs="Times New Roman"/>
          <w:sz w:val="24"/>
          <w:szCs w:val="24"/>
        </w:rPr>
      </w:pPr>
    </w:p>
    <w:p w14:paraId="36E3148B" w14:textId="77777777" w:rsidR="00C276A2" w:rsidRDefault="00292255" w:rsidP="007373EF">
      <w:pPr>
        <w:pStyle w:val="ListParagraph"/>
        <w:ind w:left="0"/>
        <w:rPr>
          <w:rFonts w:ascii="Times New Roman" w:hAnsi="Times New Roman" w:cs="Times New Roman"/>
          <w:b/>
        </w:rPr>
      </w:pPr>
      <w:r>
        <w:rPr>
          <w:rFonts w:ascii="Times New Roman" w:hAnsi="Times New Roman" w:cs="Times New Roman"/>
          <w:b/>
        </w:rPr>
        <w:t xml:space="preserve">Chart </w:t>
      </w:r>
      <w:r w:rsidR="00E44E81">
        <w:rPr>
          <w:rFonts w:ascii="Times New Roman" w:hAnsi="Times New Roman" w:cs="Times New Roman"/>
          <w:b/>
        </w:rPr>
        <w:t>1</w:t>
      </w:r>
      <w:r w:rsidR="00C276A2" w:rsidRPr="007373EF">
        <w:rPr>
          <w:rFonts w:ascii="Times New Roman" w:hAnsi="Times New Roman" w:cs="Times New Roman"/>
          <w:b/>
        </w:rPr>
        <w:t>: Distribution of scheme costs based on employer size</w:t>
      </w:r>
    </w:p>
    <w:p w14:paraId="4097FC13" w14:textId="77777777" w:rsidR="000440BE" w:rsidRDefault="000440BE" w:rsidP="007373EF">
      <w:pPr>
        <w:pStyle w:val="ListParagraph"/>
        <w:ind w:left="0"/>
        <w:rPr>
          <w:rFonts w:ascii="Times New Roman" w:hAnsi="Times New Roman" w:cs="Times New Roman"/>
          <w:b/>
        </w:rPr>
      </w:pPr>
    </w:p>
    <w:p w14:paraId="21AE4E1B" w14:textId="77777777" w:rsidR="00C276A2" w:rsidRPr="007373EF" w:rsidRDefault="00C276A2" w:rsidP="007373EF">
      <w:pPr>
        <w:pStyle w:val="ListParagraph"/>
        <w:rPr>
          <w:rFonts w:ascii="Times New Roman" w:hAnsi="Times New Roman" w:cs="Times New Roman"/>
          <w:sz w:val="24"/>
          <w:szCs w:val="24"/>
        </w:rPr>
      </w:pPr>
      <w:r>
        <w:rPr>
          <w:noProof/>
          <w:lang w:eastAsia="en-AU"/>
        </w:rPr>
        <w:drawing>
          <wp:inline distT="0" distB="0" distL="0" distR="0" wp14:anchorId="018A3B06" wp14:editId="2F070D27">
            <wp:extent cx="5347411" cy="2531059"/>
            <wp:effectExtent l="0" t="0" r="24765"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F7162F" w14:textId="77777777" w:rsidR="00C63F22" w:rsidRPr="00456080" w:rsidRDefault="00C63F22" w:rsidP="00F82D3F">
      <w:pPr>
        <w:spacing w:after="0" w:line="240" w:lineRule="auto"/>
        <w:rPr>
          <w:rFonts w:ascii="Times New Roman" w:hAnsi="Times New Roman" w:cs="Times New Roman"/>
          <w:sz w:val="24"/>
          <w:szCs w:val="24"/>
        </w:rPr>
      </w:pPr>
    </w:p>
    <w:p w14:paraId="401AE1A4" w14:textId="77777777" w:rsidR="00C63F22" w:rsidRPr="0020361D" w:rsidRDefault="00C63F22" w:rsidP="0020361D">
      <w:pPr>
        <w:pStyle w:val="ListParagraph"/>
        <w:numPr>
          <w:ilvl w:val="2"/>
          <w:numId w:val="10"/>
        </w:numPr>
        <w:spacing w:after="0" w:line="240" w:lineRule="auto"/>
        <w:ind w:left="426" w:hanging="426"/>
        <w:rPr>
          <w:rFonts w:cs="Arial"/>
          <w:sz w:val="28"/>
          <w:szCs w:val="28"/>
        </w:rPr>
      </w:pPr>
      <w:r w:rsidRPr="0020361D">
        <w:rPr>
          <w:rFonts w:ascii="Times New Roman" w:hAnsi="Times New Roman" w:cs="Times New Roman"/>
          <w:sz w:val="24"/>
          <w:szCs w:val="24"/>
        </w:rPr>
        <w:lastRenderedPageBreak/>
        <w:t>The average cost of claims varies between small, medium and large employers</w:t>
      </w:r>
      <w:r w:rsidR="00FE2BA0" w:rsidRPr="0020361D">
        <w:rPr>
          <w:rFonts w:ascii="Times New Roman" w:hAnsi="Times New Roman" w:cs="Times New Roman"/>
          <w:sz w:val="24"/>
          <w:szCs w:val="24"/>
        </w:rPr>
        <w:t xml:space="preserve"> reflecting the </w:t>
      </w:r>
      <w:r w:rsidR="00CC6103" w:rsidRPr="0020361D">
        <w:rPr>
          <w:rFonts w:ascii="Times New Roman" w:hAnsi="Times New Roman" w:cs="Times New Roman"/>
          <w:sz w:val="24"/>
          <w:szCs w:val="24"/>
        </w:rPr>
        <w:t xml:space="preserve">variable nature of </w:t>
      </w:r>
      <w:r w:rsidR="00FE2BA0" w:rsidRPr="0020361D">
        <w:rPr>
          <w:rFonts w:ascii="Times New Roman" w:hAnsi="Times New Roman" w:cs="Times New Roman"/>
          <w:sz w:val="24"/>
          <w:szCs w:val="24"/>
        </w:rPr>
        <w:t xml:space="preserve">employment conditions </w:t>
      </w:r>
      <w:r w:rsidR="00CC6103" w:rsidRPr="0020361D">
        <w:rPr>
          <w:rFonts w:ascii="Times New Roman" w:hAnsi="Times New Roman" w:cs="Times New Roman"/>
          <w:sz w:val="24"/>
          <w:szCs w:val="24"/>
        </w:rPr>
        <w:t>across business and the extent to which failed entities can meet unpaid employment entitlements</w:t>
      </w:r>
      <w:r w:rsidRPr="0020361D">
        <w:rPr>
          <w:rFonts w:ascii="Times New Roman" w:hAnsi="Times New Roman" w:cs="Times New Roman"/>
          <w:sz w:val="24"/>
          <w:szCs w:val="24"/>
        </w:rPr>
        <w:t>.</w:t>
      </w:r>
      <w:r w:rsidR="00EB1849" w:rsidRPr="0020361D">
        <w:rPr>
          <w:rFonts w:ascii="Times New Roman" w:hAnsi="Times New Roman" w:cs="Times New Roman"/>
          <w:sz w:val="24"/>
          <w:szCs w:val="24"/>
        </w:rPr>
        <w:t xml:space="preserve"> Data showing this variance is at Table </w:t>
      </w:r>
      <w:r w:rsidR="00972C1C">
        <w:rPr>
          <w:rFonts w:ascii="Times New Roman" w:hAnsi="Times New Roman" w:cs="Times New Roman"/>
          <w:sz w:val="24"/>
          <w:szCs w:val="24"/>
        </w:rPr>
        <w:t>1</w:t>
      </w:r>
      <w:r w:rsidR="00EB1849" w:rsidRPr="0020361D">
        <w:rPr>
          <w:rFonts w:ascii="Times New Roman" w:hAnsi="Times New Roman" w:cs="Times New Roman"/>
          <w:sz w:val="24"/>
          <w:szCs w:val="24"/>
        </w:rPr>
        <w:t>.</w:t>
      </w:r>
    </w:p>
    <w:p w14:paraId="624F1EE0" w14:textId="77777777" w:rsidR="007E08C6" w:rsidRDefault="007E08C6" w:rsidP="00F82D3F">
      <w:pPr>
        <w:spacing w:after="0" w:line="240" w:lineRule="auto"/>
        <w:rPr>
          <w:rFonts w:ascii="Times New Roman" w:hAnsi="Times New Roman" w:cs="Times New Roman"/>
          <w:b/>
        </w:rPr>
      </w:pPr>
    </w:p>
    <w:p w14:paraId="10607076" w14:textId="77777777" w:rsidR="000440BE" w:rsidRDefault="000440BE" w:rsidP="0005711C">
      <w:pPr>
        <w:spacing w:after="0" w:line="240" w:lineRule="auto"/>
        <w:ind w:hanging="567"/>
        <w:rPr>
          <w:rFonts w:ascii="Times New Roman" w:hAnsi="Times New Roman" w:cs="Times New Roman"/>
          <w:b/>
        </w:rPr>
      </w:pPr>
    </w:p>
    <w:p w14:paraId="5EC726B9" w14:textId="77777777" w:rsidR="007E08C6" w:rsidRPr="007373EF" w:rsidRDefault="007E08C6" w:rsidP="0005711C">
      <w:pPr>
        <w:spacing w:after="0" w:line="240" w:lineRule="auto"/>
        <w:ind w:hanging="567"/>
        <w:rPr>
          <w:rFonts w:ascii="Times New Roman" w:hAnsi="Times New Roman" w:cs="Times New Roman"/>
        </w:rPr>
      </w:pPr>
      <w:r w:rsidRPr="007373EF">
        <w:rPr>
          <w:rFonts w:ascii="Times New Roman" w:hAnsi="Times New Roman" w:cs="Times New Roman"/>
          <w:b/>
        </w:rPr>
        <w:t xml:space="preserve">Table </w:t>
      </w:r>
      <w:r w:rsidR="000E2A94">
        <w:rPr>
          <w:rFonts w:ascii="Times New Roman" w:hAnsi="Times New Roman" w:cs="Times New Roman"/>
          <w:b/>
        </w:rPr>
        <w:t>1</w:t>
      </w:r>
      <w:r w:rsidRPr="007373EF">
        <w:rPr>
          <w:rFonts w:ascii="Times New Roman" w:hAnsi="Times New Roman" w:cs="Times New Roman"/>
          <w:b/>
        </w:rPr>
        <w:t xml:space="preserve">: Claims paid by business size </w:t>
      </w:r>
      <w:r w:rsidR="00502313" w:rsidRPr="007373EF">
        <w:rPr>
          <w:rFonts w:ascii="Times New Roman" w:hAnsi="Times New Roman" w:cs="Times New Roman"/>
          <w:b/>
        </w:rPr>
        <w:t xml:space="preserve">2012-13 to </w:t>
      </w:r>
      <w:r w:rsidRPr="007373EF">
        <w:rPr>
          <w:rFonts w:ascii="Times New Roman" w:hAnsi="Times New Roman" w:cs="Times New Roman"/>
          <w:b/>
        </w:rPr>
        <w:t>2014-15 (</w:t>
      </w:r>
      <w:r w:rsidR="00502313" w:rsidRPr="007373EF">
        <w:rPr>
          <w:rFonts w:ascii="Times New Roman" w:hAnsi="Times New Roman" w:cs="Times New Roman"/>
          <w:b/>
        </w:rPr>
        <w:t>at</w:t>
      </w:r>
      <w:r w:rsidRPr="007373EF">
        <w:rPr>
          <w:rFonts w:ascii="Times New Roman" w:hAnsi="Times New Roman" w:cs="Times New Roman"/>
          <w:b/>
        </w:rPr>
        <w:t xml:space="preserve"> 31 December 201</w:t>
      </w:r>
      <w:r w:rsidR="00BC499B">
        <w:rPr>
          <w:rFonts w:ascii="Times New Roman" w:hAnsi="Times New Roman" w:cs="Times New Roman"/>
          <w:b/>
        </w:rPr>
        <w:t>4</w:t>
      </w:r>
      <w:r w:rsidRPr="007373EF">
        <w:rPr>
          <w:rFonts w:ascii="Times New Roman" w:hAnsi="Times New Roman" w:cs="Times New Roman"/>
          <w:b/>
        </w:rPr>
        <w:t>)</w:t>
      </w:r>
    </w:p>
    <w:p w14:paraId="19256877" w14:textId="77777777" w:rsidR="00CE6BCD" w:rsidRPr="005379A4" w:rsidRDefault="00CC6103" w:rsidP="00C63F22">
      <w:pPr>
        <w:widowControl w:val="0"/>
        <w:autoSpaceDE w:val="0"/>
        <w:autoSpaceDN w:val="0"/>
        <w:adjustRightInd w:val="0"/>
        <w:spacing w:before="60"/>
        <w:rPr>
          <w:rFonts w:ascii="Times New Roman" w:hAnsi="Times New Roman" w:cs="Times New Roman"/>
          <w:sz w:val="24"/>
          <w:szCs w:val="24"/>
        </w:rPr>
      </w:pPr>
      <w:r w:rsidRPr="005379A4">
        <w:rPr>
          <w:rFonts w:ascii="Times New Roman" w:hAnsi="Times New Roman" w:cs="Times New Roman"/>
          <w:sz w:val="16"/>
          <w:szCs w:val="16"/>
        </w:rPr>
        <w:t>*Includes all cases where the first claim was paid during this time period under FEG or GEERS</w:t>
      </w:r>
    </w:p>
    <w:tbl>
      <w:tblPr>
        <w:tblW w:w="9796" w:type="dxa"/>
        <w:tblInd w:w="93" w:type="dxa"/>
        <w:tblLook w:val="04A0" w:firstRow="1" w:lastRow="0" w:firstColumn="1" w:lastColumn="0" w:noHBand="0" w:noVBand="1"/>
      </w:tblPr>
      <w:tblGrid>
        <w:gridCol w:w="914"/>
        <w:gridCol w:w="1190"/>
        <w:gridCol w:w="2022"/>
        <w:gridCol w:w="1418"/>
        <w:gridCol w:w="1984"/>
        <w:gridCol w:w="2268"/>
      </w:tblGrid>
      <w:tr w:rsidR="00180CC8" w:rsidRPr="00EB1849" w14:paraId="6F5006FA" w14:textId="77777777" w:rsidTr="00180CC8">
        <w:trPr>
          <w:trHeight w:val="63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256E3A"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 </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28E78"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Business Size</w:t>
            </w:r>
          </w:p>
        </w:tc>
        <w:tc>
          <w:tcPr>
            <w:tcW w:w="2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084E8"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Number of Entities</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97A71B"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Claims Paid</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F25CBA"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Total Cost</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DBFB9A" w14:textId="77777777" w:rsidR="00EB1849" w:rsidRPr="00EB1849" w:rsidRDefault="00EB1849" w:rsidP="00EB1849">
            <w:pPr>
              <w:spacing w:after="0" w:line="240" w:lineRule="auto"/>
              <w:jc w:val="center"/>
              <w:rPr>
                <w:rFonts w:ascii="Times New Roman" w:eastAsia="Times New Roman" w:hAnsi="Times New Roman" w:cs="Times New Roman"/>
                <w:b/>
                <w:bCs/>
                <w:color w:val="000000"/>
                <w:sz w:val="24"/>
                <w:szCs w:val="24"/>
                <w:lang w:eastAsia="en-AU"/>
              </w:rPr>
            </w:pPr>
            <w:r w:rsidRPr="00EB1849">
              <w:rPr>
                <w:rFonts w:ascii="Times New Roman" w:eastAsia="Times New Roman" w:hAnsi="Times New Roman" w:cs="Times New Roman"/>
                <w:b/>
                <w:bCs/>
                <w:color w:val="000000"/>
                <w:sz w:val="24"/>
                <w:szCs w:val="24"/>
                <w:lang w:eastAsia="en-AU"/>
              </w:rPr>
              <w:t>Average Claim Cost</w:t>
            </w:r>
          </w:p>
        </w:tc>
      </w:tr>
      <w:tr w:rsidR="00180CC8" w:rsidRPr="00EB1849" w14:paraId="5714DC6A" w14:textId="77777777" w:rsidTr="00180CC8">
        <w:trPr>
          <w:trHeight w:val="315"/>
        </w:trPr>
        <w:tc>
          <w:tcPr>
            <w:tcW w:w="914" w:type="dxa"/>
            <w:vMerge/>
            <w:tcBorders>
              <w:top w:val="single" w:sz="8" w:space="0" w:color="auto"/>
              <w:left w:val="single" w:sz="8" w:space="0" w:color="auto"/>
              <w:bottom w:val="single" w:sz="8" w:space="0" w:color="000000"/>
              <w:right w:val="single" w:sz="8" w:space="0" w:color="auto"/>
            </w:tcBorders>
            <w:vAlign w:val="center"/>
            <w:hideMark/>
          </w:tcPr>
          <w:p w14:paraId="6C28A253"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6DE84482"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c>
          <w:tcPr>
            <w:tcW w:w="2022" w:type="dxa"/>
            <w:vMerge/>
            <w:tcBorders>
              <w:top w:val="single" w:sz="8" w:space="0" w:color="auto"/>
              <w:left w:val="single" w:sz="8" w:space="0" w:color="auto"/>
              <w:bottom w:val="single" w:sz="8" w:space="0" w:color="000000"/>
              <w:right w:val="single" w:sz="8" w:space="0" w:color="auto"/>
            </w:tcBorders>
            <w:vAlign w:val="center"/>
            <w:hideMark/>
          </w:tcPr>
          <w:p w14:paraId="029920E6"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78FB9CC"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6FD7A153"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3E54D24E" w14:textId="77777777" w:rsidR="00EB1849" w:rsidRPr="00EB1849" w:rsidRDefault="00EB1849" w:rsidP="00EB1849">
            <w:pPr>
              <w:spacing w:after="0" w:line="240" w:lineRule="auto"/>
              <w:rPr>
                <w:rFonts w:ascii="Times New Roman" w:eastAsia="Times New Roman" w:hAnsi="Times New Roman" w:cs="Times New Roman"/>
                <w:b/>
                <w:bCs/>
                <w:color w:val="000000"/>
                <w:sz w:val="24"/>
                <w:szCs w:val="24"/>
                <w:lang w:eastAsia="en-AU"/>
              </w:rPr>
            </w:pPr>
          </w:p>
        </w:tc>
      </w:tr>
      <w:tr w:rsidR="00180CC8" w:rsidRPr="00EB1849" w14:paraId="785BC5A3" w14:textId="77777777" w:rsidTr="00180CC8">
        <w:trPr>
          <w:trHeight w:val="645"/>
        </w:trPr>
        <w:tc>
          <w:tcPr>
            <w:tcW w:w="91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658C5CB" w14:textId="77777777" w:rsidR="00EB1849" w:rsidRPr="00EB1849" w:rsidRDefault="00EB1849" w:rsidP="00180CC8">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2012-13</w:t>
            </w:r>
          </w:p>
        </w:tc>
        <w:tc>
          <w:tcPr>
            <w:tcW w:w="1190" w:type="dxa"/>
            <w:tcBorders>
              <w:top w:val="nil"/>
              <w:left w:val="nil"/>
              <w:bottom w:val="single" w:sz="8" w:space="0" w:color="auto"/>
              <w:right w:val="single" w:sz="8" w:space="0" w:color="auto"/>
            </w:tcBorders>
            <w:shd w:val="clear" w:color="auto" w:fill="auto"/>
            <w:vAlign w:val="center"/>
            <w:hideMark/>
          </w:tcPr>
          <w:p w14:paraId="26A8DD2E"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Small</w:t>
            </w:r>
          </w:p>
        </w:tc>
        <w:tc>
          <w:tcPr>
            <w:tcW w:w="2022" w:type="dxa"/>
            <w:tcBorders>
              <w:top w:val="nil"/>
              <w:left w:val="nil"/>
              <w:bottom w:val="single" w:sz="8" w:space="0" w:color="auto"/>
              <w:right w:val="single" w:sz="8" w:space="0" w:color="auto"/>
            </w:tcBorders>
            <w:shd w:val="clear" w:color="auto" w:fill="auto"/>
            <w:vAlign w:val="center"/>
            <w:hideMark/>
          </w:tcPr>
          <w:p w14:paraId="3739FEC9"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1327 (75.7%)</w:t>
            </w:r>
          </w:p>
        </w:tc>
        <w:tc>
          <w:tcPr>
            <w:tcW w:w="1418" w:type="dxa"/>
            <w:tcBorders>
              <w:top w:val="nil"/>
              <w:left w:val="nil"/>
              <w:bottom w:val="single" w:sz="8" w:space="0" w:color="auto"/>
              <w:right w:val="single" w:sz="8" w:space="0" w:color="auto"/>
            </w:tcBorders>
            <w:shd w:val="clear" w:color="auto" w:fill="auto"/>
            <w:vAlign w:val="center"/>
            <w:hideMark/>
          </w:tcPr>
          <w:p w14:paraId="46F02D07"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4197</w:t>
            </w:r>
          </w:p>
        </w:tc>
        <w:tc>
          <w:tcPr>
            <w:tcW w:w="1984" w:type="dxa"/>
            <w:tcBorders>
              <w:top w:val="nil"/>
              <w:left w:val="nil"/>
              <w:bottom w:val="single" w:sz="8" w:space="0" w:color="auto"/>
              <w:right w:val="single" w:sz="8" w:space="0" w:color="auto"/>
            </w:tcBorders>
            <w:shd w:val="clear" w:color="auto" w:fill="auto"/>
            <w:vAlign w:val="center"/>
            <w:hideMark/>
          </w:tcPr>
          <w:p w14:paraId="06FC2E61"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$49,505,337</w:t>
            </w:r>
          </w:p>
        </w:tc>
        <w:tc>
          <w:tcPr>
            <w:tcW w:w="2268" w:type="dxa"/>
            <w:tcBorders>
              <w:top w:val="nil"/>
              <w:left w:val="nil"/>
              <w:bottom w:val="single" w:sz="8" w:space="0" w:color="auto"/>
              <w:right w:val="single" w:sz="8" w:space="0" w:color="auto"/>
            </w:tcBorders>
            <w:shd w:val="clear" w:color="auto" w:fill="auto"/>
            <w:vAlign w:val="center"/>
            <w:hideMark/>
          </w:tcPr>
          <w:p w14:paraId="138BE1A2"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$11,795</w:t>
            </w:r>
          </w:p>
        </w:tc>
      </w:tr>
      <w:tr w:rsidR="00180CC8" w:rsidRPr="00EB1849" w14:paraId="74C241E2" w14:textId="77777777" w:rsidTr="00180CC8">
        <w:trPr>
          <w:trHeight w:val="330"/>
        </w:trPr>
        <w:tc>
          <w:tcPr>
            <w:tcW w:w="914" w:type="dxa"/>
            <w:vMerge/>
            <w:tcBorders>
              <w:top w:val="nil"/>
              <w:left w:val="single" w:sz="8" w:space="0" w:color="auto"/>
              <w:bottom w:val="single" w:sz="8" w:space="0" w:color="000000"/>
              <w:right w:val="single" w:sz="8" w:space="0" w:color="auto"/>
            </w:tcBorders>
            <w:vAlign w:val="center"/>
            <w:hideMark/>
          </w:tcPr>
          <w:p w14:paraId="73B9EA7C"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3E658305"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Medium</w:t>
            </w:r>
          </w:p>
        </w:tc>
        <w:tc>
          <w:tcPr>
            <w:tcW w:w="2022" w:type="dxa"/>
            <w:tcBorders>
              <w:top w:val="nil"/>
              <w:left w:val="nil"/>
              <w:bottom w:val="single" w:sz="8" w:space="0" w:color="auto"/>
              <w:right w:val="single" w:sz="8" w:space="0" w:color="auto"/>
            </w:tcBorders>
            <w:shd w:val="clear" w:color="auto" w:fill="auto"/>
            <w:vAlign w:val="center"/>
            <w:hideMark/>
          </w:tcPr>
          <w:p w14:paraId="576026EA"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412 (23.5%)</w:t>
            </w:r>
          </w:p>
        </w:tc>
        <w:tc>
          <w:tcPr>
            <w:tcW w:w="1418" w:type="dxa"/>
            <w:tcBorders>
              <w:top w:val="nil"/>
              <w:left w:val="nil"/>
              <w:bottom w:val="single" w:sz="8" w:space="0" w:color="auto"/>
              <w:right w:val="single" w:sz="8" w:space="0" w:color="auto"/>
            </w:tcBorders>
            <w:shd w:val="clear" w:color="auto" w:fill="auto"/>
            <w:vAlign w:val="center"/>
            <w:hideMark/>
          </w:tcPr>
          <w:p w14:paraId="1EC1BF85"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8036</w:t>
            </w:r>
          </w:p>
        </w:tc>
        <w:tc>
          <w:tcPr>
            <w:tcW w:w="1984" w:type="dxa"/>
            <w:tcBorders>
              <w:top w:val="nil"/>
              <w:left w:val="nil"/>
              <w:bottom w:val="single" w:sz="8" w:space="0" w:color="auto"/>
              <w:right w:val="single" w:sz="8" w:space="0" w:color="auto"/>
            </w:tcBorders>
            <w:shd w:val="clear" w:color="auto" w:fill="auto"/>
            <w:vAlign w:val="center"/>
            <w:hideMark/>
          </w:tcPr>
          <w:p w14:paraId="09DD02FF"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$123,038,950</w:t>
            </w:r>
          </w:p>
        </w:tc>
        <w:tc>
          <w:tcPr>
            <w:tcW w:w="2268" w:type="dxa"/>
            <w:tcBorders>
              <w:top w:val="nil"/>
              <w:left w:val="nil"/>
              <w:bottom w:val="single" w:sz="8" w:space="0" w:color="auto"/>
              <w:right w:val="single" w:sz="8" w:space="0" w:color="auto"/>
            </w:tcBorders>
            <w:shd w:val="clear" w:color="auto" w:fill="auto"/>
            <w:vAlign w:val="center"/>
            <w:hideMark/>
          </w:tcPr>
          <w:p w14:paraId="7EC8B485"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$15,311</w:t>
            </w:r>
          </w:p>
        </w:tc>
      </w:tr>
      <w:tr w:rsidR="00180CC8" w:rsidRPr="00EB1849" w14:paraId="5F2C07E1" w14:textId="77777777" w:rsidTr="00180CC8">
        <w:trPr>
          <w:trHeight w:val="330"/>
        </w:trPr>
        <w:tc>
          <w:tcPr>
            <w:tcW w:w="914" w:type="dxa"/>
            <w:vMerge/>
            <w:tcBorders>
              <w:top w:val="nil"/>
              <w:left w:val="single" w:sz="8" w:space="0" w:color="auto"/>
              <w:bottom w:val="single" w:sz="8" w:space="0" w:color="000000"/>
              <w:right w:val="single" w:sz="8" w:space="0" w:color="auto"/>
            </w:tcBorders>
            <w:vAlign w:val="center"/>
            <w:hideMark/>
          </w:tcPr>
          <w:p w14:paraId="5B6666C6"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02819486"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Large</w:t>
            </w:r>
          </w:p>
        </w:tc>
        <w:tc>
          <w:tcPr>
            <w:tcW w:w="2022" w:type="dxa"/>
            <w:tcBorders>
              <w:top w:val="nil"/>
              <w:left w:val="nil"/>
              <w:bottom w:val="single" w:sz="8" w:space="0" w:color="auto"/>
              <w:right w:val="single" w:sz="8" w:space="0" w:color="auto"/>
            </w:tcBorders>
            <w:shd w:val="clear" w:color="auto" w:fill="auto"/>
            <w:vAlign w:val="center"/>
            <w:hideMark/>
          </w:tcPr>
          <w:p w14:paraId="402B7CF2"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14 (0.8%)</w:t>
            </w:r>
          </w:p>
        </w:tc>
        <w:tc>
          <w:tcPr>
            <w:tcW w:w="1418" w:type="dxa"/>
            <w:tcBorders>
              <w:top w:val="nil"/>
              <w:left w:val="nil"/>
              <w:bottom w:val="single" w:sz="8" w:space="0" w:color="auto"/>
              <w:right w:val="single" w:sz="8" w:space="0" w:color="auto"/>
            </w:tcBorders>
            <w:shd w:val="clear" w:color="auto" w:fill="auto"/>
            <w:vAlign w:val="center"/>
            <w:hideMark/>
          </w:tcPr>
          <w:p w14:paraId="5F652675"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3501</w:t>
            </w:r>
          </w:p>
        </w:tc>
        <w:tc>
          <w:tcPr>
            <w:tcW w:w="1984" w:type="dxa"/>
            <w:tcBorders>
              <w:top w:val="nil"/>
              <w:left w:val="nil"/>
              <w:bottom w:val="single" w:sz="8" w:space="0" w:color="auto"/>
              <w:right w:val="single" w:sz="8" w:space="0" w:color="auto"/>
            </w:tcBorders>
            <w:shd w:val="clear" w:color="auto" w:fill="auto"/>
            <w:vAlign w:val="center"/>
            <w:hideMark/>
          </w:tcPr>
          <w:p w14:paraId="46813F7A"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$66,720,644</w:t>
            </w:r>
          </w:p>
        </w:tc>
        <w:tc>
          <w:tcPr>
            <w:tcW w:w="2268" w:type="dxa"/>
            <w:tcBorders>
              <w:top w:val="nil"/>
              <w:left w:val="nil"/>
              <w:bottom w:val="single" w:sz="8" w:space="0" w:color="auto"/>
              <w:right w:val="single" w:sz="8" w:space="0" w:color="auto"/>
            </w:tcBorders>
            <w:shd w:val="clear" w:color="auto" w:fill="auto"/>
            <w:vAlign w:val="center"/>
            <w:hideMark/>
          </w:tcPr>
          <w:p w14:paraId="676D1784"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$19,058</w:t>
            </w:r>
          </w:p>
        </w:tc>
      </w:tr>
      <w:tr w:rsidR="00180CC8" w:rsidRPr="00EB1849" w14:paraId="091E87C2" w14:textId="77777777" w:rsidTr="00180CC8">
        <w:trPr>
          <w:trHeight w:val="330"/>
        </w:trPr>
        <w:tc>
          <w:tcPr>
            <w:tcW w:w="91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37373647" w14:textId="77777777" w:rsidR="00EB1849" w:rsidRPr="00EB1849" w:rsidRDefault="00EB1849" w:rsidP="00180CC8">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2013-14</w:t>
            </w:r>
          </w:p>
        </w:tc>
        <w:tc>
          <w:tcPr>
            <w:tcW w:w="1190" w:type="dxa"/>
            <w:tcBorders>
              <w:top w:val="nil"/>
              <w:left w:val="nil"/>
              <w:bottom w:val="single" w:sz="8" w:space="0" w:color="auto"/>
              <w:right w:val="single" w:sz="8" w:space="0" w:color="auto"/>
            </w:tcBorders>
            <w:shd w:val="clear" w:color="auto" w:fill="auto"/>
            <w:vAlign w:val="center"/>
            <w:hideMark/>
          </w:tcPr>
          <w:p w14:paraId="5C2A1F14"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Small</w:t>
            </w:r>
          </w:p>
        </w:tc>
        <w:tc>
          <w:tcPr>
            <w:tcW w:w="2022" w:type="dxa"/>
            <w:tcBorders>
              <w:top w:val="nil"/>
              <w:left w:val="nil"/>
              <w:bottom w:val="single" w:sz="8" w:space="0" w:color="auto"/>
              <w:right w:val="single" w:sz="8" w:space="0" w:color="auto"/>
            </w:tcBorders>
            <w:shd w:val="clear" w:color="auto" w:fill="auto"/>
            <w:vAlign w:val="center"/>
            <w:hideMark/>
          </w:tcPr>
          <w:p w14:paraId="56F72193"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806 (72.4%)</w:t>
            </w:r>
          </w:p>
        </w:tc>
        <w:tc>
          <w:tcPr>
            <w:tcW w:w="1418" w:type="dxa"/>
            <w:tcBorders>
              <w:top w:val="nil"/>
              <w:left w:val="nil"/>
              <w:bottom w:val="single" w:sz="8" w:space="0" w:color="auto"/>
              <w:right w:val="single" w:sz="8" w:space="0" w:color="auto"/>
            </w:tcBorders>
            <w:shd w:val="clear" w:color="auto" w:fill="auto"/>
            <w:vAlign w:val="center"/>
            <w:hideMark/>
          </w:tcPr>
          <w:p w14:paraId="61CFE00A"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2535</w:t>
            </w:r>
          </w:p>
        </w:tc>
        <w:tc>
          <w:tcPr>
            <w:tcW w:w="1984" w:type="dxa"/>
            <w:tcBorders>
              <w:top w:val="nil"/>
              <w:left w:val="nil"/>
              <w:bottom w:val="single" w:sz="8" w:space="0" w:color="auto"/>
              <w:right w:val="single" w:sz="8" w:space="0" w:color="auto"/>
            </w:tcBorders>
            <w:shd w:val="clear" w:color="auto" w:fill="auto"/>
            <w:vAlign w:val="center"/>
            <w:hideMark/>
          </w:tcPr>
          <w:p w14:paraId="7ED2BF17"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$34,656,326</w:t>
            </w:r>
          </w:p>
        </w:tc>
        <w:tc>
          <w:tcPr>
            <w:tcW w:w="2268" w:type="dxa"/>
            <w:tcBorders>
              <w:top w:val="nil"/>
              <w:left w:val="nil"/>
              <w:bottom w:val="single" w:sz="8" w:space="0" w:color="auto"/>
              <w:right w:val="single" w:sz="8" w:space="0" w:color="auto"/>
            </w:tcBorders>
            <w:shd w:val="clear" w:color="auto" w:fill="auto"/>
            <w:vAlign w:val="center"/>
            <w:hideMark/>
          </w:tcPr>
          <w:p w14:paraId="75F9BEED"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$13,671</w:t>
            </w:r>
          </w:p>
        </w:tc>
      </w:tr>
      <w:tr w:rsidR="00180CC8" w:rsidRPr="00EB1849" w14:paraId="049F117F" w14:textId="77777777" w:rsidTr="00180CC8">
        <w:trPr>
          <w:trHeight w:val="349"/>
        </w:trPr>
        <w:tc>
          <w:tcPr>
            <w:tcW w:w="914" w:type="dxa"/>
            <w:vMerge/>
            <w:tcBorders>
              <w:top w:val="nil"/>
              <w:left w:val="single" w:sz="8" w:space="0" w:color="auto"/>
              <w:bottom w:val="single" w:sz="8" w:space="0" w:color="000000"/>
              <w:right w:val="single" w:sz="8" w:space="0" w:color="auto"/>
            </w:tcBorders>
            <w:vAlign w:val="center"/>
            <w:hideMark/>
          </w:tcPr>
          <w:p w14:paraId="734AC21D"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1605CBEC"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Medium</w:t>
            </w:r>
          </w:p>
        </w:tc>
        <w:tc>
          <w:tcPr>
            <w:tcW w:w="2022" w:type="dxa"/>
            <w:tcBorders>
              <w:top w:val="nil"/>
              <w:left w:val="nil"/>
              <w:bottom w:val="single" w:sz="8" w:space="0" w:color="auto"/>
              <w:right w:val="single" w:sz="8" w:space="0" w:color="auto"/>
            </w:tcBorders>
            <w:shd w:val="clear" w:color="auto" w:fill="auto"/>
            <w:vAlign w:val="center"/>
            <w:hideMark/>
          </w:tcPr>
          <w:p w14:paraId="776CDA19"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298 (26.8%)</w:t>
            </w:r>
          </w:p>
        </w:tc>
        <w:tc>
          <w:tcPr>
            <w:tcW w:w="1418" w:type="dxa"/>
            <w:tcBorders>
              <w:top w:val="nil"/>
              <w:left w:val="nil"/>
              <w:bottom w:val="single" w:sz="8" w:space="0" w:color="auto"/>
              <w:right w:val="single" w:sz="8" w:space="0" w:color="auto"/>
            </w:tcBorders>
            <w:shd w:val="clear" w:color="auto" w:fill="auto"/>
            <w:vAlign w:val="center"/>
            <w:hideMark/>
          </w:tcPr>
          <w:p w14:paraId="25F7E838"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5979</w:t>
            </w:r>
          </w:p>
        </w:tc>
        <w:tc>
          <w:tcPr>
            <w:tcW w:w="1984" w:type="dxa"/>
            <w:tcBorders>
              <w:top w:val="nil"/>
              <w:left w:val="nil"/>
              <w:bottom w:val="single" w:sz="8" w:space="0" w:color="auto"/>
              <w:right w:val="single" w:sz="8" w:space="0" w:color="auto"/>
            </w:tcBorders>
            <w:shd w:val="clear" w:color="auto" w:fill="auto"/>
            <w:vAlign w:val="center"/>
            <w:hideMark/>
          </w:tcPr>
          <w:p w14:paraId="32947ED7"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$114,720,040</w:t>
            </w:r>
          </w:p>
        </w:tc>
        <w:tc>
          <w:tcPr>
            <w:tcW w:w="2268" w:type="dxa"/>
            <w:tcBorders>
              <w:top w:val="nil"/>
              <w:left w:val="nil"/>
              <w:bottom w:val="single" w:sz="8" w:space="0" w:color="auto"/>
              <w:right w:val="single" w:sz="8" w:space="0" w:color="auto"/>
            </w:tcBorders>
            <w:shd w:val="clear" w:color="auto" w:fill="auto"/>
            <w:vAlign w:val="center"/>
            <w:hideMark/>
          </w:tcPr>
          <w:p w14:paraId="05D2D76D"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$19,187</w:t>
            </w:r>
          </w:p>
        </w:tc>
      </w:tr>
      <w:tr w:rsidR="00180CC8" w:rsidRPr="00EB1849" w14:paraId="34707B09" w14:textId="77777777" w:rsidTr="00180CC8">
        <w:trPr>
          <w:trHeight w:val="330"/>
        </w:trPr>
        <w:tc>
          <w:tcPr>
            <w:tcW w:w="914" w:type="dxa"/>
            <w:vMerge/>
            <w:tcBorders>
              <w:top w:val="nil"/>
              <w:left w:val="single" w:sz="8" w:space="0" w:color="auto"/>
              <w:bottom w:val="single" w:sz="8" w:space="0" w:color="000000"/>
              <w:right w:val="single" w:sz="8" w:space="0" w:color="auto"/>
            </w:tcBorders>
            <w:vAlign w:val="center"/>
            <w:hideMark/>
          </w:tcPr>
          <w:p w14:paraId="656EDEA5"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696051E8"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Large</w:t>
            </w:r>
          </w:p>
        </w:tc>
        <w:tc>
          <w:tcPr>
            <w:tcW w:w="2022" w:type="dxa"/>
            <w:tcBorders>
              <w:top w:val="nil"/>
              <w:left w:val="nil"/>
              <w:bottom w:val="single" w:sz="8" w:space="0" w:color="auto"/>
              <w:right w:val="single" w:sz="8" w:space="0" w:color="auto"/>
            </w:tcBorders>
            <w:shd w:val="clear" w:color="auto" w:fill="auto"/>
            <w:vAlign w:val="center"/>
            <w:hideMark/>
          </w:tcPr>
          <w:p w14:paraId="2F3315B0"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10 (0.9%)</w:t>
            </w:r>
          </w:p>
        </w:tc>
        <w:tc>
          <w:tcPr>
            <w:tcW w:w="1418" w:type="dxa"/>
            <w:tcBorders>
              <w:top w:val="nil"/>
              <w:left w:val="nil"/>
              <w:bottom w:val="single" w:sz="8" w:space="0" w:color="auto"/>
              <w:right w:val="single" w:sz="8" w:space="0" w:color="auto"/>
            </w:tcBorders>
            <w:shd w:val="clear" w:color="auto" w:fill="auto"/>
            <w:vAlign w:val="center"/>
            <w:hideMark/>
          </w:tcPr>
          <w:p w14:paraId="55D3C3B3"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1925</w:t>
            </w:r>
          </w:p>
        </w:tc>
        <w:tc>
          <w:tcPr>
            <w:tcW w:w="1984" w:type="dxa"/>
            <w:tcBorders>
              <w:top w:val="nil"/>
              <w:left w:val="nil"/>
              <w:bottom w:val="single" w:sz="8" w:space="0" w:color="auto"/>
              <w:right w:val="single" w:sz="8" w:space="0" w:color="auto"/>
            </w:tcBorders>
            <w:shd w:val="clear" w:color="auto" w:fill="auto"/>
            <w:vAlign w:val="center"/>
            <w:hideMark/>
          </w:tcPr>
          <w:p w14:paraId="38077DCC"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$33,631,364</w:t>
            </w:r>
          </w:p>
        </w:tc>
        <w:tc>
          <w:tcPr>
            <w:tcW w:w="2268" w:type="dxa"/>
            <w:tcBorders>
              <w:top w:val="nil"/>
              <w:left w:val="nil"/>
              <w:bottom w:val="single" w:sz="8" w:space="0" w:color="auto"/>
              <w:right w:val="single" w:sz="8" w:space="0" w:color="auto"/>
            </w:tcBorders>
            <w:shd w:val="clear" w:color="auto" w:fill="auto"/>
            <w:vAlign w:val="center"/>
            <w:hideMark/>
          </w:tcPr>
          <w:p w14:paraId="1271D7CC"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$17,471</w:t>
            </w:r>
          </w:p>
        </w:tc>
      </w:tr>
      <w:tr w:rsidR="00180CC8" w:rsidRPr="00EB1849" w14:paraId="2693D592" w14:textId="77777777" w:rsidTr="00180CC8">
        <w:trPr>
          <w:trHeight w:val="330"/>
        </w:trPr>
        <w:tc>
          <w:tcPr>
            <w:tcW w:w="91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5A2CDE83" w14:textId="77777777" w:rsidR="00EB1849" w:rsidRPr="00EB1849" w:rsidRDefault="00EB1849" w:rsidP="00180CC8">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2014-15</w:t>
            </w:r>
          </w:p>
        </w:tc>
        <w:tc>
          <w:tcPr>
            <w:tcW w:w="1190" w:type="dxa"/>
            <w:tcBorders>
              <w:top w:val="nil"/>
              <w:left w:val="nil"/>
              <w:bottom w:val="single" w:sz="8" w:space="0" w:color="auto"/>
              <w:right w:val="single" w:sz="8" w:space="0" w:color="auto"/>
            </w:tcBorders>
            <w:shd w:val="clear" w:color="auto" w:fill="auto"/>
            <w:vAlign w:val="center"/>
            <w:hideMark/>
          </w:tcPr>
          <w:p w14:paraId="0661240E"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Small</w:t>
            </w:r>
          </w:p>
        </w:tc>
        <w:tc>
          <w:tcPr>
            <w:tcW w:w="2022" w:type="dxa"/>
            <w:tcBorders>
              <w:top w:val="nil"/>
              <w:left w:val="nil"/>
              <w:bottom w:val="single" w:sz="8" w:space="0" w:color="auto"/>
              <w:right w:val="single" w:sz="8" w:space="0" w:color="auto"/>
            </w:tcBorders>
            <w:shd w:val="clear" w:color="auto" w:fill="auto"/>
            <w:vAlign w:val="center"/>
            <w:hideMark/>
          </w:tcPr>
          <w:p w14:paraId="57B0E61B"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458 (73.3%)</w:t>
            </w:r>
          </w:p>
        </w:tc>
        <w:tc>
          <w:tcPr>
            <w:tcW w:w="1418" w:type="dxa"/>
            <w:tcBorders>
              <w:top w:val="nil"/>
              <w:left w:val="nil"/>
              <w:bottom w:val="single" w:sz="8" w:space="0" w:color="auto"/>
              <w:right w:val="single" w:sz="8" w:space="0" w:color="auto"/>
            </w:tcBorders>
            <w:shd w:val="clear" w:color="auto" w:fill="auto"/>
            <w:vAlign w:val="center"/>
            <w:hideMark/>
          </w:tcPr>
          <w:p w14:paraId="38787C6A"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1,371</w:t>
            </w:r>
          </w:p>
        </w:tc>
        <w:tc>
          <w:tcPr>
            <w:tcW w:w="1984" w:type="dxa"/>
            <w:tcBorders>
              <w:top w:val="nil"/>
              <w:left w:val="nil"/>
              <w:bottom w:val="single" w:sz="8" w:space="0" w:color="auto"/>
              <w:right w:val="single" w:sz="8" w:space="0" w:color="auto"/>
            </w:tcBorders>
            <w:shd w:val="clear" w:color="auto" w:fill="auto"/>
            <w:vAlign w:val="center"/>
            <w:hideMark/>
          </w:tcPr>
          <w:p w14:paraId="0149C9D9"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$17,543,281</w:t>
            </w:r>
          </w:p>
        </w:tc>
        <w:tc>
          <w:tcPr>
            <w:tcW w:w="2268" w:type="dxa"/>
            <w:tcBorders>
              <w:top w:val="nil"/>
              <w:left w:val="nil"/>
              <w:bottom w:val="single" w:sz="8" w:space="0" w:color="auto"/>
              <w:right w:val="single" w:sz="8" w:space="0" w:color="auto"/>
            </w:tcBorders>
            <w:shd w:val="clear" w:color="auto" w:fill="auto"/>
            <w:vAlign w:val="center"/>
            <w:hideMark/>
          </w:tcPr>
          <w:p w14:paraId="06D14D6C"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$13,258</w:t>
            </w:r>
          </w:p>
        </w:tc>
      </w:tr>
      <w:tr w:rsidR="00180CC8" w:rsidRPr="00EB1849" w14:paraId="29705987" w14:textId="77777777" w:rsidTr="00180CC8">
        <w:trPr>
          <w:trHeight w:val="330"/>
        </w:trPr>
        <w:tc>
          <w:tcPr>
            <w:tcW w:w="914" w:type="dxa"/>
            <w:vMerge/>
            <w:tcBorders>
              <w:top w:val="nil"/>
              <w:left w:val="single" w:sz="8" w:space="0" w:color="auto"/>
              <w:bottom w:val="single" w:sz="8" w:space="0" w:color="000000"/>
              <w:right w:val="single" w:sz="8" w:space="0" w:color="auto"/>
            </w:tcBorders>
            <w:vAlign w:val="center"/>
            <w:hideMark/>
          </w:tcPr>
          <w:p w14:paraId="1074FCE6"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7316BDE2"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Medium</w:t>
            </w:r>
          </w:p>
        </w:tc>
        <w:tc>
          <w:tcPr>
            <w:tcW w:w="2022" w:type="dxa"/>
            <w:tcBorders>
              <w:top w:val="nil"/>
              <w:left w:val="nil"/>
              <w:bottom w:val="single" w:sz="8" w:space="0" w:color="auto"/>
              <w:right w:val="single" w:sz="8" w:space="0" w:color="auto"/>
            </w:tcBorders>
            <w:shd w:val="clear" w:color="auto" w:fill="auto"/>
            <w:vAlign w:val="center"/>
            <w:hideMark/>
          </w:tcPr>
          <w:p w14:paraId="4A7F83BF"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158 (25.3%)</w:t>
            </w:r>
          </w:p>
        </w:tc>
        <w:tc>
          <w:tcPr>
            <w:tcW w:w="1418" w:type="dxa"/>
            <w:tcBorders>
              <w:top w:val="nil"/>
              <w:left w:val="nil"/>
              <w:bottom w:val="single" w:sz="8" w:space="0" w:color="auto"/>
              <w:right w:val="single" w:sz="8" w:space="0" w:color="auto"/>
            </w:tcBorders>
            <w:shd w:val="clear" w:color="auto" w:fill="auto"/>
            <w:vAlign w:val="center"/>
            <w:hideMark/>
          </w:tcPr>
          <w:p w14:paraId="18EE0331"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3,473</w:t>
            </w:r>
          </w:p>
        </w:tc>
        <w:tc>
          <w:tcPr>
            <w:tcW w:w="1984" w:type="dxa"/>
            <w:tcBorders>
              <w:top w:val="nil"/>
              <w:left w:val="nil"/>
              <w:bottom w:val="single" w:sz="8" w:space="0" w:color="auto"/>
              <w:right w:val="single" w:sz="8" w:space="0" w:color="auto"/>
            </w:tcBorders>
            <w:shd w:val="clear" w:color="auto" w:fill="auto"/>
            <w:vAlign w:val="center"/>
            <w:hideMark/>
          </w:tcPr>
          <w:p w14:paraId="7DFD293E"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$68,638,588</w:t>
            </w:r>
          </w:p>
        </w:tc>
        <w:tc>
          <w:tcPr>
            <w:tcW w:w="2268" w:type="dxa"/>
            <w:tcBorders>
              <w:top w:val="nil"/>
              <w:left w:val="nil"/>
              <w:bottom w:val="single" w:sz="8" w:space="0" w:color="auto"/>
              <w:right w:val="single" w:sz="8" w:space="0" w:color="auto"/>
            </w:tcBorders>
            <w:shd w:val="clear" w:color="auto" w:fill="auto"/>
            <w:vAlign w:val="center"/>
            <w:hideMark/>
          </w:tcPr>
          <w:p w14:paraId="7424236F"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$22,573</w:t>
            </w:r>
          </w:p>
        </w:tc>
      </w:tr>
      <w:tr w:rsidR="00180CC8" w:rsidRPr="00EB1849" w14:paraId="495CEEA2" w14:textId="77777777" w:rsidTr="00180CC8">
        <w:trPr>
          <w:trHeight w:val="330"/>
        </w:trPr>
        <w:tc>
          <w:tcPr>
            <w:tcW w:w="914" w:type="dxa"/>
            <w:vMerge/>
            <w:tcBorders>
              <w:top w:val="nil"/>
              <w:left w:val="single" w:sz="8" w:space="0" w:color="auto"/>
              <w:bottom w:val="single" w:sz="8" w:space="0" w:color="000000"/>
              <w:right w:val="single" w:sz="8" w:space="0" w:color="auto"/>
            </w:tcBorders>
            <w:vAlign w:val="center"/>
            <w:hideMark/>
          </w:tcPr>
          <w:p w14:paraId="562761CA"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p>
        </w:tc>
        <w:tc>
          <w:tcPr>
            <w:tcW w:w="1190" w:type="dxa"/>
            <w:tcBorders>
              <w:top w:val="nil"/>
              <w:left w:val="nil"/>
              <w:bottom w:val="single" w:sz="8" w:space="0" w:color="auto"/>
              <w:right w:val="single" w:sz="8" w:space="0" w:color="auto"/>
            </w:tcBorders>
            <w:shd w:val="clear" w:color="auto" w:fill="auto"/>
            <w:vAlign w:val="center"/>
            <w:hideMark/>
          </w:tcPr>
          <w:p w14:paraId="3FDF62BE" w14:textId="77777777" w:rsidR="00EB1849" w:rsidRPr="00EB1849" w:rsidRDefault="00EB1849" w:rsidP="00EB1849">
            <w:pPr>
              <w:spacing w:after="0" w:line="240" w:lineRule="auto"/>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Large</w:t>
            </w:r>
          </w:p>
        </w:tc>
        <w:tc>
          <w:tcPr>
            <w:tcW w:w="2022" w:type="dxa"/>
            <w:tcBorders>
              <w:top w:val="nil"/>
              <w:left w:val="nil"/>
              <w:bottom w:val="single" w:sz="8" w:space="0" w:color="auto"/>
              <w:right w:val="single" w:sz="8" w:space="0" w:color="auto"/>
            </w:tcBorders>
            <w:shd w:val="clear" w:color="auto" w:fill="auto"/>
            <w:vAlign w:val="center"/>
            <w:hideMark/>
          </w:tcPr>
          <w:p w14:paraId="77DBDD20"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9 (1.4%)</w:t>
            </w:r>
          </w:p>
        </w:tc>
        <w:tc>
          <w:tcPr>
            <w:tcW w:w="1418" w:type="dxa"/>
            <w:tcBorders>
              <w:top w:val="nil"/>
              <w:left w:val="nil"/>
              <w:bottom w:val="single" w:sz="8" w:space="0" w:color="auto"/>
              <w:right w:val="single" w:sz="8" w:space="0" w:color="auto"/>
            </w:tcBorders>
            <w:shd w:val="clear" w:color="auto" w:fill="auto"/>
            <w:vAlign w:val="center"/>
            <w:hideMark/>
          </w:tcPr>
          <w:p w14:paraId="48BF071D"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2,375</w:t>
            </w:r>
          </w:p>
        </w:tc>
        <w:tc>
          <w:tcPr>
            <w:tcW w:w="1984" w:type="dxa"/>
            <w:tcBorders>
              <w:top w:val="nil"/>
              <w:left w:val="nil"/>
              <w:bottom w:val="single" w:sz="8" w:space="0" w:color="auto"/>
              <w:right w:val="single" w:sz="8" w:space="0" w:color="auto"/>
            </w:tcBorders>
            <w:shd w:val="clear" w:color="auto" w:fill="auto"/>
            <w:vAlign w:val="center"/>
            <w:hideMark/>
          </w:tcPr>
          <w:p w14:paraId="6380D25A"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$23,485,647</w:t>
            </w:r>
          </w:p>
        </w:tc>
        <w:tc>
          <w:tcPr>
            <w:tcW w:w="2268" w:type="dxa"/>
            <w:tcBorders>
              <w:top w:val="nil"/>
              <w:left w:val="nil"/>
              <w:bottom w:val="single" w:sz="8" w:space="0" w:color="auto"/>
              <w:right w:val="single" w:sz="8" w:space="0" w:color="auto"/>
            </w:tcBorders>
            <w:shd w:val="clear" w:color="auto" w:fill="auto"/>
            <w:vAlign w:val="center"/>
            <w:hideMark/>
          </w:tcPr>
          <w:p w14:paraId="6012B955" w14:textId="77777777" w:rsidR="00EB1849" w:rsidRPr="00EB1849" w:rsidRDefault="00EB1849" w:rsidP="00EB1849">
            <w:pPr>
              <w:spacing w:after="0" w:line="240" w:lineRule="auto"/>
              <w:jc w:val="center"/>
              <w:rPr>
                <w:rFonts w:ascii="Times New Roman" w:eastAsia="Times New Roman" w:hAnsi="Times New Roman" w:cs="Times New Roman"/>
                <w:color w:val="000000"/>
                <w:sz w:val="24"/>
                <w:szCs w:val="24"/>
                <w:lang w:eastAsia="en-AU"/>
              </w:rPr>
            </w:pPr>
            <w:r w:rsidRPr="00EB1849">
              <w:rPr>
                <w:rFonts w:ascii="Times New Roman" w:eastAsia="Times New Roman" w:hAnsi="Times New Roman" w:cs="Times New Roman"/>
                <w:color w:val="000000"/>
                <w:sz w:val="24"/>
                <w:szCs w:val="24"/>
                <w:lang w:eastAsia="en-AU"/>
              </w:rPr>
              <w:t>$16,103</w:t>
            </w:r>
          </w:p>
        </w:tc>
      </w:tr>
    </w:tbl>
    <w:p w14:paraId="0D3BA741" w14:textId="77777777" w:rsidR="00EC17AB" w:rsidRDefault="00EC17AB" w:rsidP="00F82D3F">
      <w:pPr>
        <w:spacing w:after="0" w:line="240" w:lineRule="auto"/>
        <w:rPr>
          <w:rFonts w:ascii="Times New Roman" w:hAnsi="Times New Roman" w:cs="Times New Roman"/>
          <w:sz w:val="24"/>
          <w:szCs w:val="24"/>
          <w:u w:val="single"/>
        </w:rPr>
      </w:pPr>
    </w:p>
    <w:p w14:paraId="448C1964" w14:textId="77777777" w:rsidR="00180CC8" w:rsidRDefault="00180CC8" w:rsidP="00F82D3F">
      <w:pPr>
        <w:spacing w:after="0" w:line="240" w:lineRule="auto"/>
        <w:rPr>
          <w:rFonts w:ascii="Times New Roman" w:hAnsi="Times New Roman" w:cs="Times New Roman"/>
          <w:sz w:val="24"/>
          <w:szCs w:val="24"/>
          <w:u w:val="single"/>
        </w:rPr>
      </w:pPr>
    </w:p>
    <w:p w14:paraId="4DB6F4AF" w14:textId="77777777" w:rsidR="00C63F22" w:rsidRDefault="00EC17AB" w:rsidP="00F82D3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Industry profile of payments under the scheme</w:t>
      </w:r>
    </w:p>
    <w:p w14:paraId="7ED5B1DD" w14:textId="77777777" w:rsidR="009C56B3" w:rsidRDefault="009C56B3" w:rsidP="00F82D3F">
      <w:pPr>
        <w:spacing w:after="0" w:line="240" w:lineRule="auto"/>
        <w:rPr>
          <w:rFonts w:ascii="Times New Roman" w:hAnsi="Times New Roman" w:cs="Times New Roman"/>
          <w:sz w:val="24"/>
          <w:szCs w:val="24"/>
        </w:rPr>
      </w:pPr>
    </w:p>
    <w:p w14:paraId="671578BF" w14:textId="77777777" w:rsidR="001410D9" w:rsidRDefault="00CC6103" w:rsidP="005677CA">
      <w:pPr>
        <w:pStyle w:val="ListParagraph"/>
        <w:numPr>
          <w:ilvl w:val="2"/>
          <w:numId w:val="10"/>
        </w:numPr>
        <w:spacing w:after="0" w:line="240" w:lineRule="auto"/>
        <w:ind w:left="426" w:hanging="426"/>
        <w:rPr>
          <w:rFonts w:ascii="Times New Roman" w:hAnsi="Times New Roman" w:cs="Times New Roman"/>
          <w:sz w:val="24"/>
          <w:szCs w:val="24"/>
        </w:rPr>
      </w:pPr>
      <w:r w:rsidRPr="007373EF">
        <w:rPr>
          <w:rFonts w:ascii="Times New Roman" w:hAnsi="Times New Roman" w:cs="Times New Roman"/>
          <w:sz w:val="24"/>
          <w:szCs w:val="24"/>
        </w:rPr>
        <w:t>Similar variable patterns occur in how claims and costs in the scheme vary across industries. O</w:t>
      </w:r>
      <w:r w:rsidR="001410D9" w:rsidRPr="007373EF">
        <w:rPr>
          <w:rFonts w:ascii="Times New Roman" w:hAnsi="Times New Roman" w:cs="Times New Roman"/>
          <w:sz w:val="24"/>
          <w:szCs w:val="24"/>
        </w:rPr>
        <w:t>ver the period 1 July 2014 to 31 December 2014, the largest proportion of FEG or GEERS claims finalised were in the Other Services Industry (22.7%) followed by Manufacturing (15.1%), Construction (13.2%), Mining (10.4%) and Electricity, Gas, Water &amp; Waste Services (9.2%).</w:t>
      </w:r>
      <w:r>
        <w:rPr>
          <w:rFonts w:ascii="Times New Roman" w:hAnsi="Times New Roman" w:cs="Times New Roman"/>
          <w:sz w:val="24"/>
          <w:szCs w:val="24"/>
        </w:rPr>
        <w:t xml:space="preserve"> </w:t>
      </w:r>
      <w:r w:rsidR="001410D9">
        <w:rPr>
          <w:rFonts w:ascii="Times New Roman" w:hAnsi="Times New Roman" w:cs="Times New Roman"/>
          <w:sz w:val="24"/>
          <w:szCs w:val="24"/>
        </w:rPr>
        <w:t xml:space="preserve">Table </w:t>
      </w:r>
      <w:r w:rsidR="00972C1C">
        <w:rPr>
          <w:rFonts w:ascii="Times New Roman" w:hAnsi="Times New Roman" w:cs="Times New Roman"/>
          <w:sz w:val="24"/>
          <w:szCs w:val="24"/>
        </w:rPr>
        <w:t>2</w:t>
      </w:r>
      <w:r w:rsidR="001410D9">
        <w:rPr>
          <w:rFonts w:ascii="Times New Roman" w:hAnsi="Times New Roman" w:cs="Times New Roman"/>
          <w:sz w:val="24"/>
          <w:szCs w:val="24"/>
        </w:rPr>
        <w:t xml:space="preserve"> shows the </w:t>
      </w:r>
      <w:r w:rsidR="001410D9" w:rsidRPr="0038032A">
        <w:rPr>
          <w:rFonts w:ascii="Times New Roman" w:hAnsi="Times New Roman" w:cs="Times New Roman"/>
          <w:sz w:val="24"/>
          <w:szCs w:val="24"/>
        </w:rPr>
        <w:t xml:space="preserve">five industries with the largest proportion of claims finalised </w:t>
      </w:r>
      <w:r w:rsidR="001410D9">
        <w:rPr>
          <w:rFonts w:ascii="Times New Roman" w:hAnsi="Times New Roman" w:cs="Times New Roman"/>
          <w:sz w:val="24"/>
          <w:szCs w:val="24"/>
        </w:rPr>
        <w:t>in previous years.</w:t>
      </w:r>
    </w:p>
    <w:p w14:paraId="3DC63531" w14:textId="77777777" w:rsidR="001410D9" w:rsidRPr="007E08C6" w:rsidRDefault="001410D9" w:rsidP="001410D9">
      <w:pPr>
        <w:pStyle w:val="ListParagraph"/>
        <w:spacing w:after="0" w:line="240" w:lineRule="auto"/>
        <w:rPr>
          <w:rFonts w:ascii="Times New Roman" w:hAnsi="Times New Roman" w:cs="Times New Roman"/>
          <w:sz w:val="24"/>
          <w:szCs w:val="24"/>
        </w:rPr>
      </w:pPr>
    </w:p>
    <w:p w14:paraId="77F371AA" w14:textId="77777777" w:rsidR="001410D9" w:rsidRDefault="001410D9" w:rsidP="001410D9">
      <w:pPr>
        <w:spacing w:after="0" w:line="240" w:lineRule="auto"/>
        <w:rPr>
          <w:rFonts w:ascii="Times New Roman" w:hAnsi="Times New Roman" w:cs="Times New Roman"/>
          <w:b/>
        </w:rPr>
      </w:pPr>
      <w:r w:rsidRPr="00783AC1">
        <w:rPr>
          <w:rFonts w:ascii="Times New Roman" w:hAnsi="Times New Roman" w:cs="Times New Roman"/>
          <w:b/>
        </w:rPr>
        <w:t xml:space="preserve">Table </w:t>
      </w:r>
      <w:r w:rsidR="000E2A94">
        <w:rPr>
          <w:rFonts w:ascii="Times New Roman" w:hAnsi="Times New Roman" w:cs="Times New Roman"/>
          <w:b/>
        </w:rPr>
        <w:t>2</w:t>
      </w:r>
      <w:r w:rsidRPr="00783AC1">
        <w:rPr>
          <w:rFonts w:ascii="Times New Roman" w:hAnsi="Times New Roman" w:cs="Times New Roman"/>
          <w:b/>
        </w:rPr>
        <w:t xml:space="preserve">: </w:t>
      </w:r>
      <w:r>
        <w:rPr>
          <w:rFonts w:ascii="Times New Roman" w:hAnsi="Times New Roman" w:cs="Times New Roman"/>
          <w:b/>
        </w:rPr>
        <w:t xml:space="preserve">Industries with the largest proportion of </w:t>
      </w:r>
      <w:r w:rsidR="00742003">
        <w:rPr>
          <w:rFonts w:ascii="Times New Roman" w:hAnsi="Times New Roman" w:cs="Times New Roman"/>
          <w:b/>
        </w:rPr>
        <w:t xml:space="preserve">individual </w:t>
      </w:r>
      <w:r>
        <w:rPr>
          <w:rFonts w:ascii="Times New Roman" w:hAnsi="Times New Roman" w:cs="Times New Roman"/>
          <w:b/>
        </w:rPr>
        <w:t>claims finalised 2011-12 to 2013-14</w:t>
      </w:r>
    </w:p>
    <w:p w14:paraId="515C70EE" w14:textId="77777777" w:rsidR="00C6786B" w:rsidRPr="00783AC1" w:rsidRDefault="00C6786B" w:rsidP="001410D9">
      <w:pPr>
        <w:spacing w:after="0" w:line="240" w:lineRule="auto"/>
        <w:rPr>
          <w:rFonts w:ascii="Times New Roman" w:hAnsi="Times New Roman" w:cs="Times New Roman"/>
          <w:b/>
        </w:rPr>
      </w:pPr>
    </w:p>
    <w:tbl>
      <w:tblPr>
        <w:tblStyle w:val="TableGrid"/>
        <w:tblW w:w="8931" w:type="dxa"/>
        <w:tblInd w:w="250" w:type="dxa"/>
        <w:tblLook w:val="04A0" w:firstRow="1" w:lastRow="0" w:firstColumn="1" w:lastColumn="0" w:noHBand="0" w:noVBand="1"/>
      </w:tblPr>
      <w:tblGrid>
        <w:gridCol w:w="2977"/>
        <w:gridCol w:w="2977"/>
        <w:gridCol w:w="2977"/>
      </w:tblGrid>
      <w:tr w:rsidR="009E5E29" w:rsidRPr="0038032A" w14:paraId="17807141" w14:textId="77777777" w:rsidTr="009E5E29">
        <w:tc>
          <w:tcPr>
            <w:tcW w:w="2977" w:type="dxa"/>
            <w:shd w:val="clear" w:color="auto" w:fill="A6A6A6" w:themeFill="background1" w:themeFillShade="A6"/>
          </w:tcPr>
          <w:p w14:paraId="62654322" w14:textId="77777777" w:rsidR="009E5E29" w:rsidRPr="0038032A" w:rsidRDefault="009E5E29" w:rsidP="006C68EA">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2011-12</w:t>
            </w:r>
          </w:p>
        </w:tc>
        <w:tc>
          <w:tcPr>
            <w:tcW w:w="2977" w:type="dxa"/>
            <w:shd w:val="clear" w:color="auto" w:fill="A6A6A6" w:themeFill="background1" w:themeFillShade="A6"/>
          </w:tcPr>
          <w:p w14:paraId="61CD6609" w14:textId="77777777" w:rsidR="009E5E29" w:rsidRPr="0038032A" w:rsidRDefault="009E5E29" w:rsidP="003A4851">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2012-13</w:t>
            </w:r>
          </w:p>
        </w:tc>
        <w:tc>
          <w:tcPr>
            <w:tcW w:w="2977" w:type="dxa"/>
            <w:shd w:val="clear" w:color="auto" w:fill="A6A6A6" w:themeFill="background1" w:themeFillShade="A6"/>
          </w:tcPr>
          <w:p w14:paraId="1FD05CAF" w14:textId="77777777" w:rsidR="009E5E29" w:rsidRPr="0038032A" w:rsidRDefault="009E5E29" w:rsidP="006C68EA">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2013-14</w:t>
            </w:r>
          </w:p>
        </w:tc>
      </w:tr>
      <w:tr w:rsidR="009E5E29" w:rsidRPr="0038032A" w14:paraId="29B3719A" w14:textId="77777777" w:rsidTr="009E5E29">
        <w:tc>
          <w:tcPr>
            <w:tcW w:w="2977" w:type="dxa"/>
          </w:tcPr>
          <w:p w14:paraId="35858FA0"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Manufacturing - 19.6%</w:t>
            </w:r>
          </w:p>
          <w:p w14:paraId="5FE3ABC3"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Construction - 15.9%</w:t>
            </w:r>
          </w:p>
          <w:p w14:paraId="3C415259"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Retail Trade - 11.3%</w:t>
            </w:r>
          </w:p>
          <w:p w14:paraId="3100F97F"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Transport Postal and Warehouse - 10.3%</w:t>
            </w:r>
          </w:p>
          <w:p w14:paraId="0D705CD3"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Accomm’n &amp; Food Services - 6.8%</w:t>
            </w:r>
          </w:p>
        </w:tc>
        <w:tc>
          <w:tcPr>
            <w:tcW w:w="2977" w:type="dxa"/>
          </w:tcPr>
          <w:p w14:paraId="2AA5BC68" w14:textId="77777777" w:rsidR="009E5E29" w:rsidRPr="0038032A" w:rsidRDefault="009E5E29" w:rsidP="003A4851">
            <w:pPr>
              <w:rPr>
                <w:rFonts w:ascii="Times New Roman" w:hAnsi="Times New Roman" w:cs="Times New Roman"/>
                <w:sz w:val="24"/>
                <w:szCs w:val="24"/>
              </w:rPr>
            </w:pPr>
            <w:r w:rsidRPr="0038032A">
              <w:rPr>
                <w:rFonts w:ascii="Times New Roman" w:hAnsi="Times New Roman" w:cs="Times New Roman"/>
                <w:sz w:val="24"/>
                <w:szCs w:val="24"/>
              </w:rPr>
              <w:t>Construction – 26.8%</w:t>
            </w:r>
          </w:p>
          <w:p w14:paraId="3339ACA3" w14:textId="77777777" w:rsidR="009E5E29" w:rsidRPr="0038032A" w:rsidRDefault="009E5E29" w:rsidP="003A4851">
            <w:pPr>
              <w:rPr>
                <w:rFonts w:ascii="Times New Roman" w:hAnsi="Times New Roman" w:cs="Times New Roman"/>
                <w:sz w:val="24"/>
                <w:szCs w:val="24"/>
              </w:rPr>
            </w:pPr>
            <w:r w:rsidRPr="0038032A">
              <w:rPr>
                <w:rFonts w:ascii="Times New Roman" w:hAnsi="Times New Roman" w:cs="Times New Roman"/>
                <w:sz w:val="24"/>
                <w:szCs w:val="24"/>
              </w:rPr>
              <w:t>Manufacturing – 17.</w:t>
            </w:r>
            <w:r>
              <w:rPr>
                <w:rFonts w:ascii="Times New Roman" w:hAnsi="Times New Roman" w:cs="Times New Roman"/>
                <w:sz w:val="24"/>
                <w:szCs w:val="24"/>
              </w:rPr>
              <w:t>7</w:t>
            </w:r>
            <w:r w:rsidRPr="0038032A">
              <w:rPr>
                <w:rFonts w:ascii="Times New Roman" w:hAnsi="Times New Roman" w:cs="Times New Roman"/>
                <w:sz w:val="24"/>
                <w:szCs w:val="24"/>
              </w:rPr>
              <w:t>%</w:t>
            </w:r>
          </w:p>
          <w:p w14:paraId="46A0AE4C" w14:textId="77777777" w:rsidR="009E5E29" w:rsidRPr="0038032A" w:rsidRDefault="009E5E29" w:rsidP="003A4851">
            <w:pPr>
              <w:rPr>
                <w:rFonts w:ascii="Times New Roman" w:hAnsi="Times New Roman" w:cs="Times New Roman"/>
                <w:sz w:val="24"/>
                <w:szCs w:val="24"/>
              </w:rPr>
            </w:pPr>
            <w:r w:rsidRPr="0038032A">
              <w:rPr>
                <w:rFonts w:ascii="Times New Roman" w:hAnsi="Times New Roman" w:cs="Times New Roman"/>
                <w:sz w:val="24"/>
                <w:szCs w:val="24"/>
              </w:rPr>
              <w:t>Retail Trade – 14.6%</w:t>
            </w:r>
          </w:p>
          <w:p w14:paraId="1D4B8595" w14:textId="77777777" w:rsidR="009E5E29" w:rsidRPr="0038032A" w:rsidRDefault="009E5E29" w:rsidP="003A4851">
            <w:pPr>
              <w:rPr>
                <w:rFonts w:ascii="Times New Roman" w:hAnsi="Times New Roman" w:cs="Times New Roman"/>
                <w:sz w:val="24"/>
                <w:szCs w:val="24"/>
              </w:rPr>
            </w:pPr>
            <w:r w:rsidRPr="0038032A">
              <w:rPr>
                <w:rFonts w:ascii="Times New Roman" w:hAnsi="Times New Roman" w:cs="Times New Roman"/>
                <w:sz w:val="24"/>
                <w:szCs w:val="24"/>
              </w:rPr>
              <w:t>Accomm’n &amp; Food Services – 7.</w:t>
            </w:r>
            <w:r>
              <w:rPr>
                <w:rFonts w:ascii="Times New Roman" w:hAnsi="Times New Roman" w:cs="Times New Roman"/>
                <w:sz w:val="24"/>
                <w:szCs w:val="24"/>
              </w:rPr>
              <w:t>3</w:t>
            </w:r>
            <w:r w:rsidRPr="0038032A">
              <w:rPr>
                <w:rFonts w:ascii="Times New Roman" w:hAnsi="Times New Roman" w:cs="Times New Roman"/>
                <w:sz w:val="24"/>
                <w:szCs w:val="24"/>
              </w:rPr>
              <w:t>%</w:t>
            </w:r>
          </w:p>
          <w:p w14:paraId="75507526" w14:textId="77777777" w:rsidR="009E5E29" w:rsidRPr="0038032A" w:rsidRDefault="009E5E29" w:rsidP="003A4851">
            <w:pPr>
              <w:rPr>
                <w:rFonts w:ascii="Times New Roman" w:hAnsi="Times New Roman" w:cs="Times New Roman"/>
                <w:sz w:val="24"/>
                <w:szCs w:val="24"/>
              </w:rPr>
            </w:pPr>
            <w:r w:rsidRPr="0038032A">
              <w:rPr>
                <w:rFonts w:ascii="Times New Roman" w:hAnsi="Times New Roman" w:cs="Times New Roman"/>
                <w:sz w:val="24"/>
                <w:szCs w:val="24"/>
              </w:rPr>
              <w:t>Other Services – 6.0%</w:t>
            </w:r>
          </w:p>
        </w:tc>
        <w:tc>
          <w:tcPr>
            <w:tcW w:w="2977" w:type="dxa"/>
          </w:tcPr>
          <w:p w14:paraId="2AAB32B5"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Construction – 18.6%</w:t>
            </w:r>
          </w:p>
          <w:p w14:paraId="04C525FF"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Manufacturing – 15.</w:t>
            </w:r>
            <w:r>
              <w:rPr>
                <w:rFonts w:ascii="Times New Roman" w:hAnsi="Times New Roman" w:cs="Times New Roman"/>
                <w:sz w:val="24"/>
                <w:szCs w:val="24"/>
              </w:rPr>
              <w:t>1</w:t>
            </w:r>
            <w:r w:rsidRPr="0038032A">
              <w:rPr>
                <w:rFonts w:ascii="Times New Roman" w:hAnsi="Times New Roman" w:cs="Times New Roman"/>
                <w:sz w:val="24"/>
                <w:szCs w:val="24"/>
              </w:rPr>
              <w:t>%</w:t>
            </w:r>
          </w:p>
          <w:p w14:paraId="1A4F4BC1"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Retail Trade – 11.9%</w:t>
            </w:r>
          </w:p>
          <w:p w14:paraId="6F19F3B7"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Accomm’n &amp; Food Services – 10.7%</w:t>
            </w:r>
          </w:p>
          <w:p w14:paraId="51A7B40F" w14:textId="77777777" w:rsidR="009E5E29" w:rsidRPr="0038032A" w:rsidRDefault="009E5E29" w:rsidP="006C68EA">
            <w:pPr>
              <w:rPr>
                <w:rFonts w:ascii="Times New Roman" w:hAnsi="Times New Roman" w:cs="Times New Roman"/>
                <w:sz w:val="24"/>
                <w:szCs w:val="24"/>
              </w:rPr>
            </w:pPr>
            <w:r w:rsidRPr="0038032A">
              <w:rPr>
                <w:rFonts w:ascii="Times New Roman" w:hAnsi="Times New Roman" w:cs="Times New Roman"/>
                <w:sz w:val="24"/>
                <w:szCs w:val="24"/>
              </w:rPr>
              <w:t>Other Services – 6.3%</w:t>
            </w:r>
          </w:p>
        </w:tc>
      </w:tr>
    </w:tbl>
    <w:p w14:paraId="6419E5BA" w14:textId="77777777" w:rsidR="001410D9" w:rsidRPr="0038032A" w:rsidRDefault="001410D9" w:rsidP="001410D9">
      <w:pPr>
        <w:pStyle w:val="ListParagraph"/>
        <w:spacing w:after="0" w:line="240" w:lineRule="auto"/>
        <w:rPr>
          <w:rFonts w:ascii="Times New Roman" w:hAnsi="Times New Roman" w:cs="Times New Roman"/>
          <w:sz w:val="24"/>
          <w:szCs w:val="24"/>
        </w:rPr>
      </w:pPr>
    </w:p>
    <w:p w14:paraId="508F0708" w14:textId="77777777" w:rsidR="007E5D09" w:rsidRDefault="007E5D09">
      <w:pPr>
        <w:rPr>
          <w:rFonts w:ascii="Times New Roman" w:hAnsi="Times New Roman" w:cs="Times New Roman"/>
          <w:sz w:val="24"/>
          <w:szCs w:val="24"/>
        </w:rPr>
      </w:pPr>
      <w:r>
        <w:rPr>
          <w:rFonts w:ascii="Times New Roman" w:hAnsi="Times New Roman" w:cs="Times New Roman"/>
          <w:sz w:val="24"/>
          <w:szCs w:val="24"/>
        </w:rPr>
        <w:br w:type="page"/>
      </w:r>
    </w:p>
    <w:p w14:paraId="1A0D9E6B" w14:textId="77777777" w:rsidR="001410D9" w:rsidRPr="0067633F" w:rsidRDefault="001410D9" w:rsidP="005677CA">
      <w:pPr>
        <w:pStyle w:val="ListParagraph"/>
        <w:numPr>
          <w:ilvl w:val="2"/>
          <w:numId w:val="10"/>
        </w:numPr>
        <w:spacing w:after="0" w:line="240" w:lineRule="auto"/>
        <w:ind w:left="426" w:hanging="426"/>
        <w:rPr>
          <w:rFonts w:ascii="Times New Roman" w:hAnsi="Times New Roman" w:cs="Times New Roman"/>
          <w:sz w:val="24"/>
          <w:szCs w:val="24"/>
        </w:rPr>
      </w:pPr>
      <w:r w:rsidRPr="0038032A">
        <w:rPr>
          <w:rFonts w:ascii="Times New Roman" w:hAnsi="Times New Roman" w:cs="Times New Roman"/>
          <w:sz w:val="24"/>
          <w:szCs w:val="24"/>
        </w:rPr>
        <w:lastRenderedPageBreak/>
        <w:t>O</w:t>
      </w:r>
      <w:r>
        <w:rPr>
          <w:rFonts w:ascii="Times New Roman" w:hAnsi="Times New Roman" w:cs="Times New Roman"/>
          <w:sz w:val="24"/>
          <w:szCs w:val="24"/>
        </w:rPr>
        <w:t xml:space="preserve">ver the period 1 July 2014 to 31 December </w:t>
      </w:r>
      <w:r w:rsidRPr="0038032A">
        <w:rPr>
          <w:rFonts w:ascii="Times New Roman" w:hAnsi="Times New Roman" w:cs="Times New Roman"/>
          <w:sz w:val="24"/>
          <w:szCs w:val="24"/>
        </w:rPr>
        <w:t xml:space="preserve">2014, the largest proportion of </w:t>
      </w:r>
      <w:r w:rsidR="00742003">
        <w:rPr>
          <w:rFonts w:ascii="Times New Roman" w:hAnsi="Times New Roman" w:cs="Times New Roman"/>
          <w:sz w:val="24"/>
          <w:szCs w:val="24"/>
        </w:rPr>
        <w:t>failed entities</w:t>
      </w:r>
      <w:r w:rsidRPr="0038032A">
        <w:rPr>
          <w:rFonts w:ascii="Times New Roman" w:hAnsi="Times New Roman" w:cs="Times New Roman"/>
          <w:sz w:val="24"/>
          <w:szCs w:val="24"/>
        </w:rPr>
        <w:t xml:space="preserve"> for which FEG or GEERS claims were finalised </w:t>
      </w:r>
      <w:r w:rsidRPr="0067633F">
        <w:rPr>
          <w:rFonts w:ascii="Times New Roman" w:hAnsi="Times New Roman" w:cs="Times New Roman"/>
          <w:sz w:val="24"/>
          <w:szCs w:val="24"/>
        </w:rPr>
        <w:t>were in the Construction Industry (18.8%) followed by Manufacturing (15.4%), Retail Trade (13.7%), Accommodation and Food Services (9.1%) and Other Services (9.1%).</w:t>
      </w:r>
    </w:p>
    <w:p w14:paraId="1783208D" w14:textId="77777777" w:rsidR="001410D9" w:rsidRPr="0038032A" w:rsidRDefault="001410D9">
      <w:pPr>
        <w:pStyle w:val="ListParagraph"/>
        <w:spacing w:after="0" w:line="240" w:lineRule="auto"/>
        <w:rPr>
          <w:rFonts w:ascii="Times New Roman" w:hAnsi="Times New Roman" w:cs="Times New Roman"/>
          <w:sz w:val="24"/>
          <w:szCs w:val="24"/>
        </w:rPr>
      </w:pPr>
    </w:p>
    <w:p w14:paraId="1C84851C" w14:textId="77777777" w:rsidR="00292255" w:rsidRDefault="001410D9" w:rsidP="005677CA">
      <w:pPr>
        <w:pStyle w:val="ListParagraph"/>
        <w:numPr>
          <w:ilvl w:val="2"/>
          <w:numId w:val="10"/>
        </w:numPr>
        <w:spacing w:after="0" w:line="240" w:lineRule="auto"/>
        <w:ind w:left="426" w:hanging="426"/>
        <w:rPr>
          <w:rFonts w:ascii="Times New Roman" w:hAnsi="Times New Roman" w:cs="Times New Roman"/>
          <w:sz w:val="24"/>
          <w:szCs w:val="24"/>
        </w:rPr>
      </w:pPr>
      <w:r w:rsidRPr="00EC17AB">
        <w:rPr>
          <w:rFonts w:ascii="Times New Roman" w:hAnsi="Times New Roman" w:cs="Times New Roman"/>
          <w:sz w:val="24"/>
          <w:szCs w:val="24"/>
        </w:rPr>
        <w:t xml:space="preserve">Table </w:t>
      </w:r>
      <w:r w:rsidR="00972C1C">
        <w:rPr>
          <w:rFonts w:ascii="Times New Roman" w:hAnsi="Times New Roman" w:cs="Times New Roman"/>
          <w:sz w:val="24"/>
          <w:szCs w:val="24"/>
        </w:rPr>
        <w:t>3</w:t>
      </w:r>
      <w:r w:rsidRPr="00EC17AB">
        <w:rPr>
          <w:rFonts w:ascii="Times New Roman" w:hAnsi="Times New Roman" w:cs="Times New Roman"/>
          <w:sz w:val="24"/>
          <w:szCs w:val="24"/>
        </w:rPr>
        <w:t xml:space="preserve"> shows the five industries which formed the largest proportion of </w:t>
      </w:r>
      <w:r w:rsidR="00742003" w:rsidRPr="007373EF">
        <w:rPr>
          <w:rFonts w:ascii="Times New Roman" w:hAnsi="Times New Roman" w:cs="Times New Roman"/>
          <w:sz w:val="24"/>
          <w:szCs w:val="24"/>
        </w:rPr>
        <w:t>failed entities for which claims were</w:t>
      </w:r>
      <w:r w:rsidRPr="007373EF">
        <w:rPr>
          <w:rFonts w:ascii="Times New Roman" w:hAnsi="Times New Roman" w:cs="Times New Roman"/>
          <w:sz w:val="24"/>
          <w:szCs w:val="24"/>
        </w:rPr>
        <w:t xml:space="preserve"> </w:t>
      </w:r>
      <w:r w:rsidRPr="00EC17AB">
        <w:rPr>
          <w:rFonts w:ascii="Times New Roman" w:hAnsi="Times New Roman" w:cs="Times New Roman"/>
          <w:sz w:val="24"/>
          <w:szCs w:val="24"/>
        </w:rPr>
        <w:t>finalised.</w:t>
      </w:r>
    </w:p>
    <w:p w14:paraId="22F34C61" w14:textId="77777777" w:rsidR="00456080" w:rsidRDefault="00456080" w:rsidP="005677CA">
      <w:pPr>
        <w:pStyle w:val="ListParagraph"/>
        <w:spacing w:after="0" w:line="240" w:lineRule="auto"/>
        <w:ind w:left="426"/>
        <w:rPr>
          <w:rFonts w:ascii="Times New Roman" w:hAnsi="Times New Roman" w:cs="Times New Roman"/>
          <w:sz w:val="24"/>
          <w:szCs w:val="24"/>
        </w:rPr>
      </w:pPr>
    </w:p>
    <w:p w14:paraId="6AC5EA78" w14:textId="77777777" w:rsidR="000440BE" w:rsidRDefault="000440BE" w:rsidP="001410D9">
      <w:pPr>
        <w:spacing w:after="0" w:line="240" w:lineRule="auto"/>
        <w:rPr>
          <w:rFonts w:ascii="Times New Roman" w:hAnsi="Times New Roman" w:cs="Times New Roman"/>
          <w:b/>
        </w:rPr>
      </w:pPr>
    </w:p>
    <w:p w14:paraId="45C0F781" w14:textId="77777777" w:rsidR="001410D9" w:rsidRDefault="001410D9" w:rsidP="001410D9">
      <w:pPr>
        <w:spacing w:after="0" w:line="240" w:lineRule="auto"/>
        <w:rPr>
          <w:rFonts w:ascii="Times New Roman" w:hAnsi="Times New Roman" w:cs="Times New Roman"/>
          <w:b/>
        </w:rPr>
      </w:pPr>
      <w:r w:rsidRPr="007E08C6">
        <w:rPr>
          <w:rFonts w:ascii="Times New Roman" w:hAnsi="Times New Roman" w:cs="Times New Roman"/>
          <w:b/>
        </w:rPr>
        <w:t xml:space="preserve">Table </w:t>
      </w:r>
      <w:r w:rsidR="000E2A94">
        <w:rPr>
          <w:rFonts w:ascii="Times New Roman" w:hAnsi="Times New Roman" w:cs="Times New Roman"/>
          <w:b/>
        </w:rPr>
        <w:t>3</w:t>
      </w:r>
      <w:r w:rsidRPr="007E08C6">
        <w:rPr>
          <w:rFonts w:ascii="Times New Roman" w:hAnsi="Times New Roman" w:cs="Times New Roman"/>
          <w:b/>
        </w:rPr>
        <w:t xml:space="preserve">: </w:t>
      </w:r>
      <w:r>
        <w:rPr>
          <w:rFonts w:ascii="Times New Roman" w:hAnsi="Times New Roman" w:cs="Times New Roman"/>
          <w:b/>
        </w:rPr>
        <w:t>Industries with largest proportion of cases finalised 2011-12 to 2013-14</w:t>
      </w:r>
    </w:p>
    <w:p w14:paraId="16E3D7B9" w14:textId="77777777" w:rsidR="00C6786B" w:rsidRPr="0038032A" w:rsidRDefault="00C6786B" w:rsidP="001410D9">
      <w:pPr>
        <w:spacing w:after="0" w:line="240" w:lineRule="auto"/>
        <w:rPr>
          <w:rFonts w:ascii="Times New Roman" w:hAnsi="Times New Roman" w:cs="Times New Roman"/>
          <w:sz w:val="24"/>
          <w:szCs w:val="24"/>
        </w:rPr>
      </w:pPr>
    </w:p>
    <w:tbl>
      <w:tblPr>
        <w:tblStyle w:val="TableGrid"/>
        <w:tblW w:w="9071" w:type="dxa"/>
        <w:tblInd w:w="250" w:type="dxa"/>
        <w:tblLook w:val="04A0" w:firstRow="1" w:lastRow="0" w:firstColumn="1" w:lastColumn="0" w:noHBand="0" w:noVBand="1"/>
      </w:tblPr>
      <w:tblGrid>
        <w:gridCol w:w="2929"/>
        <w:gridCol w:w="3071"/>
        <w:gridCol w:w="3071"/>
      </w:tblGrid>
      <w:tr w:rsidR="00180CC8" w:rsidRPr="0038032A" w14:paraId="3D239E18" w14:textId="77777777" w:rsidTr="00180CC8">
        <w:tc>
          <w:tcPr>
            <w:tcW w:w="2929" w:type="dxa"/>
            <w:shd w:val="clear" w:color="auto" w:fill="A6A6A6" w:themeFill="background1" w:themeFillShade="A6"/>
          </w:tcPr>
          <w:p w14:paraId="3DD78F1A" w14:textId="77777777" w:rsidR="00180CC8" w:rsidRPr="0038032A" w:rsidRDefault="00180CC8" w:rsidP="006C68EA">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2011-12</w:t>
            </w:r>
          </w:p>
        </w:tc>
        <w:tc>
          <w:tcPr>
            <w:tcW w:w="3071" w:type="dxa"/>
            <w:shd w:val="clear" w:color="auto" w:fill="A6A6A6" w:themeFill="background1" w:themeFillShade="A6"/>
          </w:tcPr>
          <w:p w14:paraId="1199A972" w14:textId="77777777" w:rsidR="00180CC8" w:rsidRPr="0038032A" w:rsidRDefault="00180CC8" w:rsidP="003A4851">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2012-13</w:t>
            </w:r>
          </w:p>
        </w:tc>
        <w:tc>
          <w:tcPr>
            <w:tcW w:w="3071" w:type="dxa"/>
            <w:shd w:val="clear" w:color="auto" w:fill="A6A6A6" w:themeFill="background1" w:themeFillShade="A6"/>
          </w:tcPr>
          <w:p w14:paraId="4F063B74" w14:textId="77777777" w:rsidR="00180CC8" w:rsidRPr="0038032A" w:rsidRDefault="00180CC8" w:rsidP="006C68EA">
            <w:pPr>
              <w:pStyle w:val="ListParagraph"/>
              <w:ind w:left="0"/>
              <w:jc w:val="center"/>
              <w:rPr>
                <w:rFonts w:ascii="Times New Roman" w:hAnsi="Times New Roman" w:cs="Times New Roman"/>
                <w:b/>
                <w:sz w:val="24"/>
                <w:szCs w:val="24"/>
              </w:rPr>
            </w:pPr>
            <w:r w:rsidRPr="0038032A">
              <w:rPr>
                <w:rFonts w:ascii="Times New Roman" w:hAnsi="Times New Roman" w:cs="Times New Roman"/>
                <w:b/>
                <w:sz w:val="24"/>
                <w:szCs w:val="24"/>
              </w:rPr>
              <w:t>2013-14</w:t>
            </w:r>
          </w:p>
        </w:tc>
      </w:tr>
      <w:tr w:rsidR="00180CC8" w:rsidRPr="0038032A" w14:paraId="1F30F749" w14:textId="77777777" w:rsidTr="00180CC8">
        <w:tc>
          <w:tcPr>
            <w:tcW w:w="2929" w:type="dxa"/>
          </w:tcPr>
          <w:p w14:paraId="1A74C71A"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Construction - 15.8% Manufacturing - 14.1%</w:t>
            </w:r>
          </w:p>
          <w:p w14:paraId="0D06F5C2"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Retail Trade – 13.</w:t>
            </w:r>
            <w:r>
              <w:rPr>
                <w:rFonts w:ascii="Times New Roman" w:hAnsi="Times New Roman" w:cs="Times New Roman"/>
                <w:sz w:val="24"/>
                <w:szCs w:val="24"/>
              </w:rPr>
              <w:t>9</w:t>
            </w:r>
            <w:r w:rsidRPr="0038032A">
              <w:rPr>
                <w:rFonts w:ascii="Times New Roman" w:hAnsi="Times New Roman" w:cs="Times New Roman"/>
                <w:sz w:val="24"/>
                <w:szCs w:val="24"/>
              </w:rPr>
              <w:t>%</w:t>
            </w:r>
          </w:p>
          <w:p w14:paraId="5F0EC7A0"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Accommodation and Food Services – 10.9%</w:t>
            </w:r>
          </w:p>
          <w:p w14:paraId="550D2F26"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Other Services – 9.1%</w:t>
            </w:r>
          </w:p>
        </w:tc>
        <w:tc>
          <w:tcPr>
            <w:tcW w:w="3071" w:type="dxa"/>
          </w:tcPr>
          <w:p w14:paraId="75D69F77" w14:textId="77777777" w:rsidR="00180CC8" w:rsidRPr="0038032A" w:rsidRDefault="00180CC8" w:rsidP="003A4851">
            <w:pPr>
              <w:rPr>
                <w:rFonts w:ascii="Times New Roman" w:hAnsi="Times New Roman" w:cs="Times New Roman"/>
                <w:sz w:val="24"/>
                <w:szCs w:val="24"/>
              </w:rPr>
            </w:pPr>
            <w:r w:rsidRPr="0038032A">
              <w:rPr>
                <w:rFonts w:ascii="Times New Roman" w:hAnsi="Times New Roman" w:cs="Times New Roman"/>
                <w:sz w:val="24"/>
                <w:szCs w:val="24"/>
              </w:rPr>
              <w:t>Construction - 19.</w:t>
            </w:r>
            <w:r>
              <w:rPr>
                <w:rFonts w:ascii="Times New Roman" w:hAnsi="Times New Roman" w:cs="Times New Roman"/>
                <w:sz w:val="24"/>
                <w:szCs w:val="24"/>
              </w:rPr>
              <w:t>1</w:t>
            </w:r>
            <w:r w:rsidRPr="0038032A">
              <w:rPr>
                <w:rFonts w:ascii="Times New Roman" w:hAnsi="Times New Roman" w:cs="Times New Roman"/>
                <w:sz w:val="24"/>
                <w:szCs w:val="24"/>
              </w:rPr>
              <w:t>%</w:t>
            </w:r>
          </w:p>
          <w:p w14:paraId="45B09031" w14:textId="77777777" w:rsidR="00180CC8" w:rsidRPr="0038032A" w:rsidRDefault="00180CC8" w:rsidP="003A4851">
            <w:pPr>
              <w:rPr>
                <w:rFonts w:ascii="Times New Roman" w:hAnsi="Times New Roman" w:cs="Times New Roman"/>
                <w:sz w:val="24"/>
                <w:szCs w:val="24"/>
              </w:rPr>
            </w:pPr>
            <w:r w:rsidRPr="0038032A">
              <w:rPr>
                <w:rFonts w:ascii="Times New Roman" w:hAnsi="Times New Roman" w:cs="Times New Roman"/>
                <w:sz w:val="24"/>
                <w:szCs w:val="24"/>
              </w:rPr>
              <w:t>Retail Trade – 14.0%</w:t>
            </w:r>
          </w:p>
          <w:p w14:paraId="21987A4D" w14:textId="77777777" w:rsidR="00180CC8" w:rsidRPr="0038032A" w:rsidRDefault="00180CC8" w:rsidP="003A4851">
            <w:pPr>
              <w:rPr>
                <w:rFonts w:ascii="Times New Roman" w:hAnsi="Times New Roman" w:cs="Times New Roman"/>
                <w:sz w:val="24"/>
                <w:szCs w:val="24"/>
              </w:rPr>
            </w:pPr>
            <w:r w:rsidRPr="0038032A">
              <w:rPr>
                <w:rFonts w:ascii="Times New Roman" w:hAnsi="Times New Roman" w:cs="Times New Roman"/>
                <w:sz w:val="24"/>
                <w:szCs w:val="24"/>
              </w:rPr>
              <w:t>Manufacturing – 13.</w:t>
            </w:r>
            <w:r>
              <w:rPr>
                <w:rFonts w:ascii="Times New Roman" w:hAnsi="Times New Roman" w:cs="Times New Roman"/>
                <w:sz w:val="24"/>
                <w:szCs w:val="24"/>
              </w:rPr>
              <w:t>6</w:t>
            </w:r>
            <w:r w:rsidRPr="0038032A">
              <w:rPr>
                <w:rFonts w:ascii="Times New Roman" w:hAnsi="Times New Roman" w:cs="Times New Roman"/>
                <w:sz w:val="24"/>
                <w:szCs w:val="24"/>
              </w:rPr>
              <w:t>%</w:t>
            </w:r>
          </w:p>
          <w:p w14:paraId="71988EEC" w14:textId="77777777" w:rsidR="00180CC8" w:rsidRPr="0038032A" w:rsidRDefault="00180CC8" w:rsidP="003A4851">
            <w:pPr>
              <w:rPr>
                <w:rFonts w:ascii="Times New Roman" w:hAnsi="Times New Roman" w:cs="Times New Roman"/>
                <w:sz w:val="24"/>
                <w:szCs w:val="24"/>
              </w:rPr>
            </w:pPr>
            <w:r w:rsidRPr="0038032A">
              <w:rPr>
                <w:rFonts w:ascii="Times New Roman" w:hAnsi="Times New Roman" w:cs="Times New Roman"/>
                <w:sz w:val="24"/>
                <w:szCs w:val="24"/>
              </w:rPr>
              <w:t>Accommodation and Food Services – 11.1%</w:t>
            </w:r>
          </w:p>
          <w:p w14:paraId="04AFE15C" w14:textId="77777777" w:rsidR="00180CC8" w:rsidRPr="0038032A" w:rsidRDefault="00180CC8" w:rsidP="003A4851">
            <w:pPr>
              <w:rPr>
                <w:rFonts w:ascii="Times New Roman" w:hAnsi="Times New Roman" w:cs="Times New Roman"/>
                <w:sz w:val="24"/>
                <w:szCs w:val="24"/>
              </w:rPr>
            </w:pPr>
            <w:r w:rsidRPr="0038032A">
              <w:rPr>
                <w:rFonts w:ascii="Times New Roman" w:hAnsi="Times New Roman" w:cs="Times New Roman"/>
                <w:sz w:val="24"/>
                <w:szCs w:val="24"/>
              </w:rPr>
              <w:t>Other Services – 10.</w:t>
            </w:r>
            <w:r>
              <w:rPr>
                <w:rFonts w:ascii="Times New Roman" w:hAnsi="Times New Roman" w:cs="Times New Roman"/>
                <w:sz w:val="24"/>
                <w:szCs w:val="24"/>
              </w:rPr>
              <w:t>2</w:t>
            </w:r>
            <w:r w:rsidRPr="0038032A">
              <w:rPr>
                <w:rFonts w:ascii="Times New Roman" w:hAnsi="Times New Roman" w:cs="Times New Roman"/>
                <w:sz w:val="24"/>
                <w:szCs w:val="24"/>
              </w:rPr>
              <w:t>%</w:t>
            </w:r>
          </w:p>
        </w:tc>
        <w:tc>
          <w:tcPr>
            <w:tcW w:w="3071" w:type="dxa"/>
          </w:tcPr>
          <w:p w14:paraId="6A653001"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Construction – 18.8%</w:t>
            </w:r>
          </w:p>
          <w:p w14:paraId="46EF8F4C"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Manufacturing – 14.</w:t>
            </w:r>
            <w:r>
              <w:rPr>
                <w:rFonts w:ascii="Times New Roman" w:hAnsi="Times New Roman" w:cs="Times New Roman"/>
                <w:sz w:val="24"/>
                <w:szCs w:val="24"/>
              </w:rPr>
              <w:t>6%</w:t>
            </w:r>
          </w:p>
          <w:p w14:paraId="6F5936E4"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Retail Trade – 13.</w:t>
            </w:r>
            <w:r>
              <w:rPr>
                <w:rFonts w:ascii="Times New Roman" w:hAnsi="Times New Roman" w:cs="Times New Roman"/>
                <w:sz w:val="24"/>
                <w:szCs w:val="24"/>
              </w:rPr>
              <w:t>9</w:t>
            </w:r>
            <w:r w:rsidRPr="0038032A">
              <w:rPr>
                <w:rFonts w:ascii="Times New Roman" w:hAnsi="Times New Roman" w:cs="Times New Roman"/>
                <w:sz w:val="24"/>
                <w:szCs w:val="24"/>
              </w:rPr>
              <w:t>%</w:t>
            </w:r>
          </w:p>
          <w:p w14:paraId="4C9BB254"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Accommodation and Food Services – 11.6</w:t>
            </w:r>
            <w:r>
              <w:rPr>
                <w:rFonts w:ascii="Times New Roman" w:hAnsi="Times New Roman" w:cs="Times New Roman"/>
                <w:sz w:val="24"/>
                <w:szCs w:val="24"/>
              </w:rPr>
              <w:t>%</w:t>
            </w:r>
          </w:p>
          <w:p w14:paraId="0C1510C4" w14:textId="77777777" w:rsidR="00180CC8" w:rsidRPr="0038032A" w:rsidRDefault="00180CC8" w:rsidP="006C68EA">
            <w:pPr>
              <w:rPr>
                <w:rFonts w:ascii="Times New Roman" w:hAnsi="Times New Roman" w:cs="Times New Roman"/>
                <w:sz w:val="24"/>
                <w:szCs w:val="24"/>
              </w:rPr>
            </w:pPr>
            <w:r w:rsidRPr="0038032A">
              <w:rPr>
                <w:rFonts w:ascii="Times New Roman" w:hAnsi="Times New Roman" w:cs="Times New Roman"/>
                <w:sz w:val="24"/>
                <w:szCs w:val="24"/>
              </w:rPr>
              <w:t>Other Services – 8.</w:t>
            </w:r>
            <w:r>
              <w:rPr>
                <w:rFonts w:ascii="Times New Roman" w:hAnsi="Times New Roman" w:cs="Times New Roman"/>
                <w:sz w:val="24"/>
                <w:szCs w:val="24"/>
              </w:rPr>
              <w:t>2</w:t>
            </w:r>
            <w:r w:rsidRPr="0038032A">
              <w:rPr>
                <w:rFonts w:ascii="Times New Roman" w:hAnsi="Times New Roman" w:cs="Times New Roman"/>
                <w:sz w:val="24"/>
                <w:szCs w:val="24"/>
              </w:rPr>
              <w:t>%</w:t>
            </w:r>
          </w:p>
        </w:tc>
      </w:tr>
    </w:tbl>
    <w:p w14:paraId="348B7B52" w14:textId="77777777" w:rsidR="001410D9" w:rsidRPr="0038032A" w:rsidRDefault="001410D9" w:rsidP="001410D9">
      <w:pPr>
        <w:pStyle w:val="ListParagraph"/>
        <w:spacing w:after="0" w:line="240" w:lineRule="auto"/>
        <w:rPr>
          <w:rFonts w:ascii="Times New Roman" w:hAnsi="Times New Roman" w:cs="Times New Roman"/>
          <w:sz w:val="24"/>
          <w:szCs w:val="24"/>
        </w:rPr>
      </w:pPr>
    </w:p>
    <w:p w14:paraId="6606BD6C" w14:textId="77777777" w:rsidR="001410D9" w:rsidRPr="0038032A" w:rsidRDefault="00292255" w:rsidP="005677CA">
      <w:pPr>
        <w:pStyle w:val="ListParagraph"/>
        <w:numPr>
          <w:ilvl w:val="2"/>
          <w:numId w:val="10"/>
        </w:num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The industry profile of assistance paid under FEG schemes is at </w:t>
      </w:r>
      <w:r w:rsidRPr="007B1E33">
        <w:rPr>
          <w:rFonts w:ascii="Times New Roman" w:hAnsi="Times New Roman" w:cs="Times New Roman"/>
          <w:sz w:val="24"/>
          <w:szCs w:val="24"/>
          <w:u w:val="single"/>
        </w:rPr>
        <w:t xml:space="preserve">Attachment </w:t>
      </w:r>
      <w:r w:rsidR="000E2A94">
        <w:rPr>
          <w:rFonts w:ascii="Times New Roman" w:hAnsi="Times New Roman" w:cs="Times New Roman"/>
          <w:sz w:val="24"/>
          <w:szCs w:val="24"/>
          <w:u w:val="single"/>
        </w:rPr>
        <w:t>C</w:t>
      </w:r>
      <w:r>
        <w:rPr>
          <w:rFonts w:ascii="Times New Roman" w:hAnsi="Times New Roman" w:cs="Times New Roman"/>
          <w:sz w:val="24"/>
          <w:szCs w:val="24"/>
          <w:u w:val="single"/>
        </w:rPr>
        <w:t xml:space="preserve">. </w:t>
      </w:r>
    </w:p>
    <w:p w14:paraId="2B9DC0C3" w14:textId="77777777" w:rsidR="0005711C" w:rsidRPr="0005711C" w:rsidRDefault="0005711C" w:rsidP="008574C5">
      <w:pPr>
        <w:rPr>
          <w:rFonts w:ascii="Times New Roman" w:hAnsi="Times New Roman" w:cs="Times New Roman"/>
          <w:sz w:val="24"/>
          <w:szCs w:val="24"/>
        </w:rPr>
      </w:pPr>
    </w:p>
    <w:p w14:paraId="5DF8BB3A" w14:textId="77777777" w:rsidR="0005711C" w:rsidRPr="00CD7254" w:rsidRDefault="0005711C" w:rsidP="005677CA">
      <w:pPr>
        <w:pStyle w:val="ListParagraph"/>
        <w:numPr>
          <w:ilvl w:val="0"/>
          <w:numId w:val="50"/>
        </w:numPr>
        <w:spacing w:after="0" w:line="240" w:lineRule="auto"/>
        <w:ind w:hanging="720"/>
        <w:rPr>
          <w:rFonts w:ascii="Times New Roman" w:hAnsi="Times New Roman" w:cs="Times New Roman"/>
          <w:color w:val="FF0000"/>
          <w:sz w:val="24"/>
          <w:szCs w:val="24"/>
        </w:rPr>
        <w:sectPr w:rsidR="0005711C" w:rsidRPr="00CD7254" w:rsidSect="00062BA1">
          <w:footerReference w:type="default" r:id="rId16"/>
          <w:pgSz w:w="11906" w:h="16838"/>
          <w:pgMar w:top="1440" w:right="1440" w:bottom="1440" w:left="1440" w:header="708" w:footer="708" w:gutter="0"/>
          <w:cols w:space="708"/>
          <w:docGrid w:linePitch="360"/>
        </w:sectPr>
      </w:pPr>
    </w:p>
    <w:p w14:paraId="2A33775D" w14:textId="77777777" w:rsidR="00EC17AB" w:rsidRPr="00367329" w:rsidRDefault="00EC17AB" w:rsidP="00EC17AB">
      <w:pPr>
        <w:jc w:val="right"/>
        <w:rPr>
          <w:rFonts w:ascii="Times New Roman" w:hAnsi="Times New Roman" w:cs="Times New Roman"/>
          <w:b/>
          <w:sz w:val="24"/>
          <w:szCs w:val="24"/>
        </w:rPr>
      </w:pPr>
      <w:r w:rsidRPr="00367329">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A</w:t>
      </w:r>
    </w:p>
    <w:p w14:paraId="1376F5B7" w14:textId="77777777" w:rsidR="00292255" w:rsidRPr="00603141" w:rsidRDefault="00DD3D29" w:rsidP="00292255">
      <w:pPr>
        <w:spacing w:after="0"/>
        <w:jc w:val="center"/>
        <w:rPr>
          <w:rFonts w:ascii="Times New Roman" w:hAnsi="Times New Roman" w:cs="Times New Roman"/>
          <w:b/>
          <w:sz w:val="24"/>
          <w:szCs w:val="24"/>
        </w:rPr>
      </w:pPr>
      <w:r w:rsidRPr="00603141">
        <w:rPr>
          <w:rFonts w:ascii="Times New Roman" w:hAnsi="Times New Roman" w:cs="Times New Roman"/>
          <w:b/>
          <w:sz w:val="24"/>
          <w:szCs w:val="24"/>
        </w:rPr>
        <w:t xml:space="preserve">Scheme use </w:t>
      </w:r>
      <w:r w:rsidR="00292255" w:rsidRPr="00603141">
        <w:rPr>
          <w:rFonts w:ascii="Times New Roman" w:hAnsi="Times New Roman" w:cs="Times New Roman"/>
          <w:b/>
          <w:sz w:val="24"/>
          <w:szCs w:val="24"/>
        </w:rPr>
        <w:t>proportional to the companies entering liquidation</w:t>
      </w:r>
    </w:p>
    <w:p w14:paraId="55BD3988" w14:textId="77777777" w:rsidR="00292255" w:rsidRPr="007A5D0B" w:rsidRDefault="00292255" w:rsidP="00292255">
      <w:pPr>
        <w:spacing w:after="0"/>
        <w:jc w:val="center"/>
        <w:rPr>
          <w:rFonts w:ascii="Times New Roman" w:hAnsi="Times New Roman" w:cs="Times New Roman"/>
          <w:b/>
          <w:sz w:val="24"/>
          <w:szCs w:val="24"/>
        </w:rPr>
      </w:pPr>
      <w:r w:rsidRPr="00603141">
        <w:rPr>
          <w:rFonts w:ascii="Times New Roman" w:hAnsi="Times New Roman" w:cs="Times New Roman"/>
          <w:b/>
          <w:sz w:val="24"/>
          <w:szCs w:val="24"/>
        </w:rPr>
        <w:t>(1 July 2006 to 30 June 2014)</w:t>
      </w:r>
    </w:p>
    <w:p w14:paraId="5754FE41" w14:textId="77777777" w:rsidR="00292255" w:rsidRDefault="00292255" w:rsidP="00292255">
      <w:pPr>
        <w:rPr>
          <w:rFonts w:ascii="Times New Roman" w:hAnsi="Times New Roman" w:cs="Times New Roman"/>
        </w:rPr>
      </w:pPr>
    </w:p>
    <w:tbl>
      <w:tblPr>
        <w:tblpPr w:leftFromText="180" w:rightFromText="180" w:vertAnchor="text" w:tblpY="1"/>
        <w:tblOverlap w:val="never"/>
        <w:tblW w:w="13821" w:type="dxa"/>
        <w:tblInd w:w="604" w:type="dxa"/>
        <w:tblCellMar>
          <w:left w:w="0" w:type="dxa"/>
          <w:right w:w="0" w:type="dxa"/>
        </w:tblCellMar>
        <w:tblLook w:val="04A0" w:firstRow="1" w:lastRow="0" w:firstColumn="1" w:lastColumn="0" w:noHBand="0" w:noVBand="1"/>
      </w:tblPr>
      <w:tblGrid>
        <w:gridCol w:w="1381"/>
        <w:gridCol w:w="1667"/>
        <w:gridCol w:w="2977"/>
        <w:gridCol w:w="2551"/>
        <w:gridCol w:w="2835"/>
        <w:gridCol w:w="2410"/>
      </w:tblGrid>
      <w:tr w:rsidR="00386F92" w14:paraId="43F182D5" w14:textId="77777777" w:rsidTr="006D58CA">
        <w:trPr>
          <w:trHeight w:val="1686"/>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AAFA5F" w14:textId="77777777" w:rsidR="00386F92" w:rsidRPr="005C167F" w:rsidRDefault="00386F92" w:rsidP="00603141">
            <w:pPr>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Year</w:t>
            </w:r>
          </w:p>
        </w:tc>
        <w:tc>
          <w:tcPr>
            <w:tcW w:w="1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540AE5" w14:textId="77777777" w:rsidR="00386F92" w:rsidRPr="005C167F" w:rsidRDefault="00386F92" w:rsidP="008E3C9B">
            <w:pPr>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 xml:space="preserve">Number of </w:t>
            </w:r>
            <w:r>
              <w:rPr>
                <w:rFonts w:ascii="Times New Roman" w:hAnsi="Times New Roman" w:cs="Times New Roman"/>
                <w:b/>
                <w:bCs/>
                <w:color w:val="000000"/>
                <w:sz w:val="24"/>
                <w:szCs w:val="24"/>
                <w:lang w:eastAsia="en-AU"/>
              </w:rPr>
              <w:t>Entities</w:t>
            </w:r>
            <w:r w:rsidRPr="005C167F">
              <w:rPr>
                <w:rFonts w:ascii="Times New Roman" w:hAnsi="Times New Roman" w:cs="Times New Roman"/>
                <w:b/>
                <w:bCs/>
                <w:color w:val="000000"/>
                <w:sz w:val="24"/>
                <w:szCs w:val="24"/>
                <w:lang w:eastAsia="en-AU"/>
              </w:rPr>
              <w:t xml:space="preserve"> entering liquidation*</w:t>
            </w:r>
          </w:p>
        </w:tc>
        <w:tc>
          <w:tcPr>
            <w:tcW w:w="5528"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732BABF" w14:textId="77777777" w:rsidR="00386F92" w:rsidRPr="005C167F" w:rsidRDefault="00386F92" w:rsidP="008E3C9B">
            <w:pPr>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 xml:space="preserve">Number of </w:t>
            </w:r>
            <w:r>
              <w:rPr>
                <w:rFonts w:ascii="Times New Roman" w:hAnsi="Times New Roman" w:cs="Times New Roman"/>
                <w:b/>
                <w:bCs/>
                <w:color w:val="000000"/>
                <w:sz w:val="24"/>
                <w:szCs w:val="24"/>
                <w:lang w:eastAsia="en-AU"/>
              </w:rPr>
              <w:t>Entities</w:t>
            </w:r>
            <w:r w:rsidRPr="005C167F">
              <w:rPr>
                <w:rFonts w:ascii="Times New Roman" w:hAnsi="Times New Roman" w:cs="Times New Roman"/>
                <w:b/>
                <w:bCs/>
                <w:color w:val="000000"/>
                <w:sz w:val="24"/>
                <w:szCs w:val="24"/>
                <w:lang w:eastAsia="en-AU"/>
              </w:rPr>
              <w:t xml:space="preserve"> where a</w:t>
            </w:r>
            <w:r>
              <w:rPr>
                <w:rFonts w:ascii="Times New Roman" w:hAnsi="Times New Roman" w:cs="Times New Roman"/>
                <w:b/>
                <w:bCs/>
                <w:color w:val="000000"/>
                <w:sz w:val="24"/>
                <w:szCs w:val="24"/>
                <w:lang w:eastAsia="en-AU"/>
              </w:rPr>
              <w:t>n</w:t>
            </w:r>
            <w:r w:rsidRPr="005C167F">
              <w:rPr>
                <w:rFonts w:ascii="Times New Roman" w:hAnsi="Times New Roman" w:cs="Times New Roman"/>
                <w:b/>
                <w:bCs/>
                <w:color w:val="000000"/>
                <w:sz w:val="24"/>
                <w:szCs w:val="24"/>
                <w:lang w:eastAsia="en-AU"/>
              </w:rPr>
              <w:t xml:space="preserve"> employee makes a claim for GEERS or FEG assistance*</w:t>
            </w:r>
          </w:p>
        </w:tc>
        <w:tc>
          <w:tcPr>
            <w:tcW w:w="5245" w:type="dxa"/>
            <w:gridSpan w:val="2"/>
            <w:tcBorders>
              <w:top w:val="single" w:sz="4" w:space="0" w:color="auto"/>
              <w:left w:val="single" w:sz="4" w:space="0" w:color="auto"/>
              <w:bottom w:val="single" w:sz="4" w:space="0" w:color="auto"/>
              <w:right w:val="single" w:sz="8" w:space="0" w:color="auto"/>
            </w:tcBorders>
            <w:vAlign w:val="center"/>
          </w:tcPr>
          <w:p w14:paraId="00331D23" w14:textId="77777777" w:rsidR="00386F92" w:rsidRPr="00380120" w:rsidRDefault="00386F92" w:rsidP="00603141">
            <w:pPr>
              <w:jc w:val="center"/>
            </w:pPr>
            <w:r w:rsidRPr="00603141">
              <w:rPr>
                <w:rFonts w:ascii="Times New Roman" w:hAnsi="Times New Roman" w:cs="Times New Roman"/>
                <w:b/>
                <w:bCs/>
                <w:color w:val="000000"/>
                <w:sz w:val="24"/>
                <w:szCs w:val="24"/>
                <w:lang w:eastAsia="en-AU"/>
              </w:rPr>
              <w:t xml:space="preserve">Number of </w:t>
            </w:r>
            <w:r>
              <w:rPr>
                <w:rFonts w:ascii="Times New Roman" w:hAnsi="Times New Roman" w:cs="Times New Roman"/>
                <w:b/>
                <w:bCs/>
                <w:color w:val="000000"/>
                <w:sz w:val="24"/>
                <w:szCs w:val="24"/>
                <w:lang w:eastAsia="en-AU"/>
              </w:rPr>
              <w:t>Entities where an</w:t>
            </w:r>
            <w:r w:rsidRPr="00603141">
              <w:rPr>
                <w:rFonts w:ascii="Times New Roman" w:hAnsi="Times New Roman" w:cs="Times New Roman"/>
                <w:b/>
                <w:bCs/>
                <w:color w:val="000000"/>
                <w:sz w:val="24"/>
                <w:szCs w:val="24"/>
                <w:lang w:eastAsia="en-AU"/>
              </w:rPr>
              <w:t xml:space="preserve"> employee</w:t>
            </w:r>
            <w:r>
              <w:rPr>
                <w:rFonts w:ascii="Times New Roman" w:hAnsi="Times New Roman" w:cs="Times New Roman"/>
                <w:b/>
                <w:bCs/>
                <w:color w:val="000000"/>
                <w:sz w:val="24"/>
                <w:szCs w:val="24"/>
                <w:lang w:eastAsia="en-AU"/>
              </w:rPr>
              <w:t xml:space="preserve"> was paid</w:t>
            </w:r>
            <w:r w:rsidRPr="00603141">
              <w:rPr>
                <w:rFonts w:ascii="Times New Roman" w:hAnsi="Times New Roman" w:cs="Times New Roman"/>
                <w:b/>
                <w:bCs/>
                <w:color w:val="000000"/>
                <w:sz w:val="24"/>
                <w:szCs w:val="24"/>
                <w:lang w:eastAsia="en-AU"/>
              </w:rPr>
              <w:t xml:space="preserve"> GEERS or FEG assistance</w:t>
            </w:r>
          </w:p>
        </w:tc>
      </w:tr>
      <w:tr w:rsidR="00603141" w14:paraId="067AE583"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350B49"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2006-07</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FEB295"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8262</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5C768"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1390</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08FD359"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16.8%</w:t>
            </w:r>
          </w:p>
        </w:tc>
        <w:tc>
          <w:tcPr>
            <w:tcW w:w="2835" w:type="dxa"/>
            <w:tcBorders>
              <w:top w:val="single" w:sz="4" w:space="0" w:color="auto"/>
              <w:left w:val="single" w:sz="4" w:space="0" w:color="auto"/>
              <w:bottom w:val="single" w:sz="4" w:space="0" w:color="auto"/>
              <w:right w:val="single" w:sz="4" w:space="0" w:color="auto"/>
            </w:tcBorders>
            <w:vAlign w:val="center"/>
          </w:tcPr>
          <w:p w14:paraId="18ABCCD5"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1,098</w:t>
            </w:r>
          </w:p>
        </w:tc>
        <w:tc>
          <w:tcPr>
            <w:tcW w:w="2410" w:type="dxa"/>
            <w:tcBorders>
              <w:top w:val="nil"/>
              <w:left w:val="single" w:sz="4" w:space="0" w:color="auto"/>
              <w:bottom w:val="single" w:sz="8" w:space="0" w:color="auto"/>
              <w:right w:val="single" w:sz="8" w:space="0" w:color="auto"/>
            </w:tcBorders>
            <w:vAlign w:val="center"/>
          </w:tcPr>
          <w:p w14:paraId="11DDD682"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13.29%</w:t>
            </w:r>
          </w:p>
        </w:tc>
      </w:tr>
      <w:tr w:rsidR="00603141" w14:paraId="59304B8D"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C3937B"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2007-08</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FD94B2"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8612</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3E67A6"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1416</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341B363A"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16.4%</w:t>
            </w:r>
          </w:p>
        </w:tc>
        <w:tc>
          <w:tcPr>
            <w:tcW w:w="2835" w:type="dxa"/>
            <w:tcBorders>
              <w:top w:val="single" w:sz="4" w:space="0" w:color="auto"/>
              <w:left w:val="single" w:sz="4" w:space="0" w:color="auto"/>
              <w:bottom w:val="single" w:sz="4" w:space="0" w:color="auto"/>
              <w:right w:val="single" w:sz="4" w:space="0" w:color="auto"/>
            </w:tcBorders>
            <w:vAlign w:val="center"/>
          </w:tcPr>
          <w:p w14:paraId="12FC30A1"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972</w:t>
            </w:r>
          </w:p>
        </w:tc>
        <w:tc>
          <w:tcPr>
            <w:tcW w:w="2410" w:type="dxa"/>
            <w:tcBorders>
              <w:top w:val="nil"/>
              <w:left w:val="single" w:sz="4" w:space="0" w:color="auto"/>
              <w:bottom w:val="single" w:sz="8" w:space="0" w:color="auto"/>
              <w:right w:val="single" w:sz="8" w:space="0" w:color="auto"/>
            </w:tcBorders>
            <w:vAlign w:val="center"/>
          </w:tcPr>
          <w:p w14:paraId="6FE256FE"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11.29%</w:t>
            </w:r>
          </w:p>
        </w:tc>
      </w:tr>
      <w:tr w:rsidR="00603141" w14:paraId="6ABAEB69"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CF550A"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2008-09</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FE1AEE"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9954</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5BDC13"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2176</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5A16A6E8"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21.9%</w:t>
            </w:r>
          </w:p>
        </w:tc>
        <w:tc>
          <w:tcPr>
            <w:tcW w:w="2835" w:type="dxa"/>
            <w:tcBorders>
              <w:top w:val="single" w:sz="4" w:space="0" w:color="auto"/>
              <w:left w:val="single" w:sz="4" w:space="0" w:color="auto"/>
              <w:bottom w:val="single" w:sz="4" w:space="0" w:color="auto"/>
              <w:right w:val="single" w:sz="4" w:space="0" w:color="auto"/>
            </w:tcBorders>
            <w:vAlign w:val="center"/>
          </w:tcPr>
          <w:p w14:paraId="320E029A"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1,350</w:t>
            </w:r>
          </w:p>
        </w:tc>
        <w:tc>
          <w:tcPr>
            <w:tcW w:w="2410" w:type="dxa"/>
            <w:tcBorders>
              <w:top w:val="nil"/>
              <w:left w:val="single" w:sz="4" w:space="0" w:color="auto"/>
              <w:bottom w:val="single" w:sz="8" w:space="0" w:color="auto"/>
              <w:right w:val="single" w:sz="8" w:space="0" w:color="auto"/>
            </w:tcBorders>
            <w:vAlign w:val="center"/>
          </w:tcPr>
          <w:p w14:paraId="5E868C22"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13.56%</w:t>
            </w:r>
          </w:p>
        </w:tc>
      </w:tr>
      <w:tr w:rsidR="00603141" w14:paraId="0C45A670"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E60D0A"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2009-10</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8EEFB4"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9392</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8EB9A3"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2132</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B74759B"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22.7%</w:t>
            </w:r>
          </w:p>
        </w:tc>
        <w:tc>
          <w:tcPr>
            <w:tcW w:w="2835" w:type="dxa"/>
            <w:tcBorders>
              <w:top w:val="single" w:sz="4" w:space="0" w:color="auto"/>
              <w:left w:val="single" w:sz="4" w:space="0" w:color="auto"/>
              <w:bottom w:val="single" w:sz="4" w:space="0" w:color="auto"/>
              <w:right w:val="single" w:sz="4" w:space="0" w:color="auto"/>
            </w:tcBorders>
            <w:vAlign w:val="center"/>
          </w:tcPr>
          <w:p w14:paraId="3DD0C1E1"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1,617</w:t>
            </w:r>
          </w:p>
        </w:tc>
        <w:tc>
          <w:tcPr>
            <w:tcW w:w="2410" w:type="dxa"/>
            <w:tcBorders>
              <w:top w:val="nil"/>
              <w:left w:val="single" w:sz="4" w:space="0" w:color="auto"/>
              <w:bottom w:val="single" w:sz="8" w:space="0" w:color="auto"/>
              <w:right w:val="single" w:sz="8" w:space="0" w:color="auto"/>
            </w:tcBorders>
            <w:vAlign w:val="center"/>
          </w:tcPr>
          <w:p w14:paraId="0CAAB746"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17.22%</w:t>
            </w:r>
          </w:p>
        </w:tc>
      </w:tr>
      <w:tr w:rsidR="00603141" w14:paraId="103E7000"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0EDE64"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2010-11</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769C03"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9801</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4BF855"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2183</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7A82952A"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22.3%</w:t>
            </w:r>
          </w:p>
        </w:tc>
        <w:tc>
          <w:tcPr>
            <w:tcW w:w="2835" w:type="dxa"/>
            <w:tcBorders>
              <w:top w:val="single" w:sz="4" w:space="0" w:color="auto"/>
              <w:left w:val="single" w:sz="4" w:space="0" w:color="auto"/>
              <w:bottom w:val="single" w:sz="4" w:space="0" w:color="auto"/>
              <w:right w:val="single" w:sz="4" w:space="0" w:color="auto"/>
            </w:tcBorders>
            <w:vAlign w:val="center"/>
          </w:tcPr>
          <w:p w14:paraId="7EA1669D"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1,619</w:t>
            </w:r>
          </w:p>
        </w:tc>
        <w:tc>
          <w:tcPr>
            <w:tcW w:w="2410" w:type="dxa"/>
            <w:tcBorders>
              <w:top w:val="nil"/>
              <w:left w:val="single" w:sz="4" w:space="0" w:color="auto"/>
              <w:bottom w:val="single" w:sz="8" w:space="0" w:color="auto"/>
              <w:right w:val="single" w:sz="8" w:space="0" w:color="auto"/>
            </w:tcBorders>
            <w:vAlign w:val="center"/>
          </w:tcPr>
          <w:p w14:paraId="10EA86B4"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16.52%</w:t>
            </w:r>
          </w:p>
        </w:tc>
      </w:tr>
      <w:tr w:rsidR="00603141" w14:paraId="195C9FEF" w14:textId="77777777" w:rsidTr="00603141">
        <w:trPr>
          <w:trHeight w:val="271"/>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B63DA"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2011-12</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127059"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10846</w:t>
            </w:r>
          </w:p>
        </w:tc>
        <w:tc>
          <w:tcPr>
            <w:tcW w:w="297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6CCB1E"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2264</w:t>
            </w:r>
          </w:p>
        </w:tc>
        <w:tc>
          <w:tcPr>
            <w:tcW w:w="2551" w:type="dxa"/>
            <w:tcBorders>
              <w:top w:val="nil"/>
              <w:left w:val="nil"/>
              <w:bottom w:val="single" w:sz="8" w:space="0" w:color="auto"/>
              <w:right w:val="single" w:sz="4" w:space="0" w:color="auto"/>
            </w:tcBorders>
            <w:noWrap/>
            <w:tcMar>
              <w:top w:w="0" w:type="dxa"/>
              <w:left w:w="108" w:type="dxa"/>
              <w:bottom w:w="0" w:type="dxa"/>
              <w:right w:w="108" w:type="dxa"/>
            </w:tcMar>
            <w:vAlign w:val="center"/>
            <w:hideMark/>
          </w:tcPr>
          <w:p w14:paraId="61B90DFF"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20.9%</w:t>
            </w:r>
          </w:p>
        </w:tc>
        <w:tc>
          <w:tcPr>
            <w:tcW w:w="2835" w:type="dxa"/>
            <w:tcBorders>
              <w:top w:val="single" w:sz="4" w:space="0" w:color="auto"/>
              <w:left w:val="single" w:sz="4" w:space="0" w:color="auto"/>
              <w:bottom w:val="single" w:sz="4" w:space="0" w:color="auto"/>
              <w:right w:val="single" w:sz="4" w:space="0" w:color="auto"/>
            </w:tcBorders>
            <w:vAlign w:val="center"/>
          </w:tcPr>
          <w:p w14:paraId="135AD026"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1,732</w:t>
            </w:r>
          </w:p>
        </w:tc>
        <w:tc>
          <w:tcPr>
            <w:tcW w:w="2410" w:type="dxa"/>
            <w:tcBorders>
              <w:top w:val="nil"/>
              <w:left w:val="single" w:sz="4" w:space="0" w:color="auto"/>
              <w:bottom w:val="single" w:sz="8" w:space="0" w:color="auto"/>
              <w:right w:val="single" w:sz="8" w:space="0" w:color="auto"/>
            </w:tcBorders>
            <w:vAlign w:val="center"/>
          </w:tcPr>
          <w:p w14:paraId="1DEFF37C"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15.97%</w:t>
            </w:r>
          </w:p>
        </w:tc>
      </w:tr>
      <w:tr w:rsidR="00603141" w14:paraId="6E3B528F" w14:textId="77777777" w:rsidTr="00603141">
        <w:trPr>
          <w:trHeight w:val="271"/>
        </w:trPr>
        <w:tc>
          <w:tcPr>
            <w:tcW w:w="138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11705D08"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sidRPr="005C167F">
              <w:rPr>
                <w:rFonts w:ascii="Times New Roman" w:hAnsi="Times New Roman" w:cs="Times New Roman"/>
                <w:b/>
                <w:bCs/>
                <w:color w:val="000000"/>
                <w:sz w:val="24"/>
                <w:szCs w:val="24"/>
                <w:lang w:eastAsia="en-AU"/>
              </w:rPr>
              <w:t>2012-13</w:t>
            </w:r>
          </w:p>
        </w:tc>
        <w:tc>
          <w:tcPr>
            <w:tcW w:w="166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EADC124"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11212</w:t>
            </w:r>
          </w:p>
        </w:tc>
        <w:tc>
          <w:tcPr>
            <w:tcW w:w="297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0AD755A0"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2296</w:t>
            </w:r>
          </w:p>
        </w:tc>
        <w:tc>
          <w:tcPr>
            <w:tcW w:w="2551" w:type="dxa"/>
            <w:tcBorders>
              <w:top w:val="nil"/>
              <w:left w:val="nil"/>
              <w:bottom w:val="single" w:sz="4" w:space="0" w:color="auto"/>
              <w:right w:val="single" w:sz="4" w:space="0" w:color="auto"/>
            </w:tcBorders>
            <w:noWrap/>
            <w:tcMar>
              <w:top w:w="0" w:type="dxa"/>
              <w:left w:w="108" w:type="dxa"/>
              <w:bottom w:w="0" w:type="dxa"/>
              <w:right w:w="108" w:type="dxa"/>
            </w:tcMar>
            <w:vAlign w:val="center"/>
            <w:hideMark/>
          </w:tcPr>
          <w:p w14:paraId="01FCA2E9"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sidRPr="005C167F">
              <w:rPr>
                <w:rFonts w:ascii="Times New Roman" w:hAnsi="Times New Roman" w:cs="Times New Roman"/>
                <w:color w:val="000000"/>
                <w:sz w:val="24"/>
                <w:szCs w:val="24"/>
                <w:lang w:eastAsia="en-AU"/>
              </w:rPr>
              <w:t>20.5%</w:t>
            </w:r>
          </w:p>
        </w:tc>
        <w:tc>
          <w:tcPr>
            <w:tcW w:w="2835" w:type="dxa"/>
            <w:tcBorders>
              <w:top w:val="single" w:sz="4" w:space="0" w:color="auto"/>
              <w:left w:val="single" w:sz="4" w:space="0" w:color="auto"/>
              <w:bottom w:val="single" w:sz="4" w:space="0" w:color="auto"/>
              <w:right w:val="single" w:sz="4" w:space="0" w:color="auto"/>
            </w:tcBorders>
            <w:vAlign w:val="center"/>
          </w:tcPr>
          <w:p w14:paraId="54027892"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1,753</w:t>
            </w:r>
          </w:p>
        </w:tc>
        <w:tc>
          <w:tcPr>
            <w:tcW w:w="2410" w:type="dxa"/>
            <w:tcBorders>
              <w:top w:val="nil"/>
              <w:left w:val="single" w:sz="4" w:space="0" w:color="auto"/>
              <w:bottom w:val="single" w:sz="4" w:space="0" w:color="auto"/>
              <w:right w:val="single" w:sz="8" w:space="0" w:color="auto"/>
            </w:tcBorders>
            <w:vAlign w:val="center"/>
          </w:tcPr>
          <w:p w14:paraId="7DD84E28"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15.64%</w:t>
            </w:r>
          </w:p>
        </w:tc>
      </w:tr>
      <w:tr w:rsidR="00603141" w14:paraId="7C34A854" w14:textId="77777777" w:rsidTr="00603141">
        <w:trPr>
          <w:trHeight w:val="271"/>
        </w:trPr>
        <w:tc>
          <w:tcPr>
            <w:tcW w:w="138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4DB25B7" w14:textId="77777777" w:rsidR="00603141" w:rsidRPr="005C167F" w:rsidRDefault="00603141" w:rsidP="00603141">
            <w:pPr>
              <w:spacing w:before="120" w:after="120"/>
              <w:jc w:val="center"/>
              <w:rPr>
                <w:rFonts w:ascii="Times New Roman" w:hAnsi="Times New Roman" w:cs="Times New Roman"/>
                <w:b/>
                <w:bCs/>
                <w:color w:val="000000"/>
                <w:sz w:val="24"/>
                <w:szCs w:val="24"/>
                <w:lang w:eastAsia="en-AU"/>
              </w:rPr>
            </w:pPr>
            <w:r>
              <w:rPr>
                <w:rFonts w:ascii="Times New Roman" w:hAnsi="Times New Roman" w:cs="Times New Roman"/>
                <w:b/>
                <w:bCs/>
                <w:color w:val="000000"/>
                <w:sz w:val="24"/>
                <w:szCs w:val="24"/>
                <w:lang w:eastAsia="en-AU"/>
              </w:rPr>
              <w:t>2013-14</w:t>
            </w:r>
          </w:p>
        </w:tc>
        <w:tc>
          <w:tcPr>
            <w:tcW w:w="1667"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1642E1BB"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Pr>
                <w:rFonts w:ascii="Times New Roman" w:hAnsi="Times New Roman" w:cs="Times New Roman"/>
                <w:color w:val="000000"/>
                <w:sz w:val="24"/>
                <w:szCs w:val="24"/>
                <w:lang w:eastAsia="en-AU"/>
              </w:rPr>
              <w:t>9938</w:t>
            </w:r>
          </w:p>
        </w:tc>
        <w:tc>
          <w:tcPr>
            <w:tcW w:w="2977" w:type="dxa"/>
            <w:tcBorders>
              <w:top w:val="nil"/>
              <w:left w:val="nil"/>
              <w:bottom w:val="single" w:sz="4" w:space="0" w:color="auto"/>
              <w:right w:val="single" w:sz="8" w:space="0" w:color="auto"/>
            </w:tcBorders>
            <w:noWrap/>
            <w:tcMar>
              <w:top w:w="0" w:type="dxa"/>
              <w:left w:w="108" w:type="dxa"/>
              <w:bottom w:w="0" w:type="dxa"/>
              <w:right w:w="108" w:type="dxa"/>
            </w:tcMar>
            <w:vAlign w:val="center"/>
          </w:tcPr>
          <w:p w14:paraId="1EDA8D57"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Pr>
                <w:rFonts w:ascii="Times New Roman" w:hAnsi="Times New Roman" w:cs="Times New Roman"/>
                <w:color w:val="000000"/>
                <w:sz w:val="24"/>
                <w:szCs w:val="24"/>
                <w:lang w:eastAsia="en-AU"/>
              </w:rPr>
              <w:t>2057</w:t>
            </w:r>
          </w:p>
        </w:tc>
        <w:tc>
          <w:tcPr>
            <w:tcW w:w="2551" w:type="dxa"/>
            <w:tcBorders>
              <w:top w:val="nil"/>
              <w:left w:val="nil"/>
              <w:bottom w:val="single" w:sz="4" w:space="0" w:color="auto"/>
              <w:right w:val="single" w:sz="4" w:space="0" w:color="auto"/>
            </w:tcBorders>
            <w:noWrap/>
            <w:tcMar>
              <w:top w:w="0" w:type="dxa"/>
              <w:left w:w="108" w:type="dxa"/>
              <w:bottom w:w="0" w:type="dxa"/>
              <w:right w:w="108" w:type="dxa"/>
            </w:tcMar>
            <w:vAlign w:val="center"/>
          </w:tcPr>
          <w:p w14:paraId="416D043E" w14:textId="77777777" w:rsidR="00603141" w:rsidRPr="005C167F" w:rsidRDefault="00603141" w:rsidP="00603141">
            <w:pPr>
              <w:spacing w:before="120" w:after="120"/>
              <w:jc w:val="center"/>
              <w:rPr>
                <w:rFonts w:ascii="Times New Roman" w:hAnsi="Times New Roman" w:cs="Times New Roman"/>
                <w:color w:val="000000"/>
                <w:sz w:val="24"/>
                <w:szCs w:val="24"/>
                <w:lang w:eastAsia="en-AU"/>
              </w:rPr>
            </w:pPr>
            <w:r>
              <w:rPr>
                <w:rFonts w:ascii="Times New Roman" w:hAnsi="Times New Roman" w:cs="Times New Roman"/>
                <w:color w:val="000000"/>
                <w:sz w:val="24"/>
                <w:szCs w:val="24"/>
                <w:lang w:eastAsia="en-AU"/>
              </w:rPr>
              <w:t>20.7%</w:t>
            </w:r>
          </w:p>
        </w:tc>
        <w:tc>
          <w:tcPr>
            <w:tcW w:w="2835" w:type="dxa"/>
            <w:tcBorders>
              <w:top w:val="single" w:sz="4" w:space="0" w:color="auto"/>
              <w:left w:val="single" w:sz="4" w:space="0" w:color="auto"/>
              <w:bottom w:val="single" w:sz="4" w:space="0" w:color="auto"/>
              <w:right w:val="single" w:sz="4" w:space="0" w:color="auto"/>
            </w:tcBorders>
            <w:vAlign w:val="center"/>
          </w:tcPr>
          <w:p w14:paraId="0E489CDD"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1,114</w:t>
            </w:r>
          </w:p>
        </w:tc>
        <w:tc>
          <w:tcPr>
            <w:tcW w:w="2410" w:type="dxa"/>
            <w:tcBorders>
              <w:top w:val="nil"/>
              <w:left w:val="single" w:sz="4" w:space="0" w:color="auto"/>
              <w:bottom w:val="single" w:sz="4" w:space="0" w:color="auto"/>
              <w:right w:val="single" w:sz="8" w:space="0" w:color="auto"/>
            </w:tcBorders>
            <w:vAlign w:val="center"/>
          </w:tcPr>
          <w:p w14:paraId="12B671B3" w14:textId="77777777" w:rsidR="00603141" w:rsidRPr="00603141" w:rsidRDefault="00603141" w:rsidP="00603141">
            <w:pPr>
              <w:spacing w:before="120" w:after="120"/>
              <w:jc w:val="center"/>
              <w:rPr>
                <w:rFonts w:ascii="Times New Roman" w:hAnsi="Times New Roman" w:cs="Times New Roman"/>
                <w:color w:val="000000"/>
                <w:sz w:val="24"/>
                <w:szCs w:val="24"/>
                <w:lang w:eastAsia="en-AU"/>
              </w:rPr>
            </w:pPr>
            <w:r w:rsidRPr="00603141">
              <w:rPr>
                <w:rFonts w:ascii="Times New Roman" w:hAnsi="Times New Roman" w:cs="Times New Roman"/>
                <w:color w:val="000000"/>
                <w:sz w:val="24"/>
                <w:szCs w:val="24"/>
                <w:lang w:eastAsia="en-AU"/>
              </w:rPr>
              <w:t>11.21%</w:t>
            </w:r>
          </w:p>
        </w:tc>
      </w:tr>
      <w:tr w:rsidR="00603141" w14:paraId="29E38299" w14:textId="77777777" w:rsidTr="008E3C9B">
        <w:trPr>
          <w:trHeight w:val="271"/>
        </w:trPr>
        <w:tc>
          <w:tcPr>
            <w:tcW w:w="13821" w:type="dxa"/>
            <w:gridSpan w:val="6"/>
            <w:tcBorders>
              <w:top w:val="single" w:sz="4" w:space="0" w:color="auto"/>
            </w:tcBorders>
            <w:noWrap/>
            <w:tcMar>
              <w:top w:w="0" w:type="dxa"/>
              <w:left w:w="108" w:type="dxa"/>
              <w:bottom w:w="0" w:type="dxa"/>
              <w:right w:w="108" w:type="dxa"/>
            </w:tcMar>
            <w:vAlign w:val="bottom"/>
            <w:hideMark/>
          </w:tcPr>
          <w:p w14:paraId="0B2AA996" w14:textId="77777777" w:rsidR="00603141" w:rsidRDefault="00603141" w:rsidP="00BE3ABB">
            <w:pPr>
              <w:spacing w:after="0" w:line="240" w:lineRule="auto"/>
              <w:rPr>
                <w:b/>
                <w:bCs/>
                <w:color w:val="000000"/>
                <w:sz w:val="16"/>
                <w:szCs w:val="16"/>
                <w:lang w:eastAsia="en-AU"/>
              </w:rPr>
            </w:pPr>
            <w:r>
              <w:rPr>
                <w:b/>
                <w:bCs/>
                <w:color w:val="000000"/>
                <w:sz w:val="16"/>
                <w:szCs w:val="16"/>
                <w:lang w:eastAsia="en-AU"/>
              </w:rPr>
              <w:t xml:space="preserve">* Sourced from ASIC series 2 insolvency appointments data and includes  appointment type of provisional wind up, court wind up and creditors wind up  </w:t>
            </w:r>
          </w:p>
          <w:p w14:paraId="7EB897C3" w14:textId="77777777" w:rsidR="00386F92" w:rsidRDefault="00386F92" w:rsidP="00BE3ABB">
            <w:pPr>
              <w:spacing w:after="0" w:line="240" w:lineRule="auto"/>
              <w:rPr>
                <w:b/>
                <w:bCs/>
                <w:color w:val="000000"/>
                <w:sz w:val="16"/>
                <w:szCs w:val="16"/>
                <w:lang w:eastAsia="en-AU"/>
              </w:rPr>
            </w:pPr>
          </w:p>
          <w:p w14:paraId="0AA2FD7E" w14:textId="77777777" w:rsidR="00386F92" w:rsidRDefault="00386F92" w:rsidP="00386F92">
            <w:pPr>
              <w:spacing w:after="0" w:line="240" w:lineRule="auto"/>
              <w:rPr>
                <w:b/>
                <w:bCs/>
                <w:color w:val="000000"/>
                <w:sz w:val="16"/>
                <w:szCs w:val="16"/>
                <w:lang w:eastAsia="en-AU"/>
              </w:rPr>
            </w:pPr>
            <w:r>
              <w:rPr>
                <w:b/>
                <w:bCs/>
                <w:color w:val="000000"/>
                <w:sz w:val="16"/>
                <w:szCs w:val="16"/>
                <w:lang w:eastAsia="en-AU"/>
              </w:rPr>
              <w:t>Note – not all claims are determined and paid in the same financial  year they are received due to workflow and demand in the scheme</w:t>
            </w:r>
          </w:p>
        </w:tc>
      </w:tr>
    </w:tbl>
    <w:p w14:paraId="1815E76C" w14:textId="77777777" w:rsidR="00292255" w:rsidRDefault="00292255" w:rsidP="003A4851">
      <w:pPr>
        <w:jc w:val="right"/>
        <w:rPr>
          <w:rFonts w:ascii="Times New Roman" w:hAnsi="Times New Roman" w:cs="Times New Roman"/>
          <w:b/>
          <w:sz w:val="24"/>
          <w:szCs w:val="24"/>
        </w:rPr>
      </w:pPr>
    </w:p>
    <w:p w14:paraId="1B5BEAC9" w14:textId="77777777" w:rsidR="00EC17AB" w:rsidRDefault="00EC17AB">
      <w:pPr>
        <w:rPr>
          <w:rFonts w:ascii="Times New Roman" w:hAnsi="Times New Roman" w:cs="Times New Roman"/>
          <w:b/>
          <w:sz w:val="24"/>
          <w:szCs w:val="24"/>
        </w:rPr>
      </w:pPr>
      <w:r>
        <w:rPr>
          <w:rFonts w:ascii="Times New Roman" w:hAnsi="Times New Roman" w:cs="Times New Roman"/>
          <w:b/>
          <w:sz w:val="24"/>
          <w:szCs w:val="24"/>
        </w:rPr>
        <w:br w:type="page"/>
      </w:r>
    </w:p>
    <w:p w14:paraId="304ADE9D" w14:textId="77777777" w:rsidR="003A4851" w:rsidRDefault="00292255" w:rsidP="003A4851">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Attachment </w:t>
      </w:r>
      <w:r w:rsidR="000E2A94">
        <w:rPr>
          <w:rFonts w:ascii="Times New Roman" w:hAnsi="Times New Roman" w:cs="Times New Roman"/>
          <w:b/>
          <w:sz w:val="24"/>
          <w:szCs w:val="24"/>
        </w:rPr>
        <w:t>B</w:t>
      </w:r>
    </w:p>
    <w:p w14:paraId="434AEC5A" w14:textId="77777777" w:rsidR="003A4851" w:rsidRPr="009A1998" w:rsidRDefault="003A4851" w:rsidP="003A4851">
      <w:pPr>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Business size profile of</w:t>
      </w:r>
      <w:r w:rsidRPr="009A1998">
        <w:rPr>
          <w:rFonts w:ascii="Times New Roman" w:hAnsi="Times New Roman" w:cs="Times New Roman"/>
          <w:b/>
          <w:sz w:val="28"/>
          <w:szCs w:val="28"/>
        </w:rPr>
        <w:t xml:space="preserve"> assistance </w:t>
      </w:r>
      <w:r>
        <w:rPr>
          <w:rFonts w:ascii="Times New Roman" w:hAnsi="Times New Roman" w:cs="Times New Roman"/>
          <w:b/>
          <w:sz w:val="28"/>
          <w:szCs w:val="28"/>
        </w:rPr>
        <w:t>paid under schemes -</w:t>
      </w:r>
      <w:r w:rsidRPr="009A1998">
        <w:rPr>
          <w:rFonts w:ascii="Times New Roman" w:hAnsi="Times New Roman" w:cs="Times New Roman"/>
          <w:b/>
          <w:sz w:val="28"/>
          <w:szCs w:val="28"/>
        </w:rPr>
        <w:t xml:space="preserve"> 2004-05 to 201</w:t>
      </w:r>
      <w:r>
        <w:rPr>
          <w:rFonts w:ascii="Times New Roman" w:hAnsi="Times New Roman" w:cs="Times New Roman"/>
          <w:b/>
          <w:sz w:val="28"/>
          <w:szCs w:val="28"/>
        </w:rPr>
        <w:t>4</w:t>
      </w:r>
      <w:r w:rsidRPr="009A1998">
        <w:rPr>
          <w:rFonts w:ascii="Times New Roman" w:hAnsi="Times New Roman" w:cs="Times New Roman"/>
          <w:b/>
          <w:sz w:val="28"/>
          <w:szCs w:val="28"/>
        </w:rPr>
        <w:t>-1</w:t>
      </w:r>
      <w:r>
        <w:rPr>
          <w:rFonts w:ascii="Times New Roman" w:hAnsi="Times New Roman" w:cs="Times New Roman"/>
          <w:b/>
          <w:sz w:val="28"/>
          <w:szCs w:val="28"/>
        </w:rPr>
        <w:t>5 (as at 31 December 2014)</w:t>
      </w:r>
    </w:p>
    <w:p w14:paraId="2C59FED4" w14:textId="77777777" w:rsidR="003A4851" w:rsidRDefault="003A4851" w:rsidP="003A4851">
      <w:pPr>
        <w:jc w:val="center"/>
        <w:rPr>
          <w:rFonts w:ascii="Times New Roman" w:hAnsi="Times New Roman" w:cs="Times New Roman"/>
          <w:b/>
          <w:sz w:val="24"/>
          <w:szCs w:val="24"/>
        </w:rPr>
      </w:pPr>
    </w:p>
    <w:tbl>
      <w:tblPr>
        <w:tblW w:w="16273" w:type="dxa"/>
        <w:jc w:val="center"/>
        <w:tblInd w:w="-1026" w:type="dxa"/>
        <w:tblLook w:val="04A0" w:firstRow="1" w:lastRow="0" w:firstColumn="1" w:lastColumn="0" w:noHBand="0" w:noVBand="1"/>
      </w:tblPr>
      <w:tblGrid>
        <w:gridCol w:w="2606"/>
        <w:gridCol w:w="1267"/>
        <w:gridCol w:w="1002"/>
        <w:gridCol w:w="1043"/>
        <w:gridCol w:w="1055"/>
        <w:gridCol w:w="1039"/>
        <w:gridCol w:w="1156"/>
        <w:gridCol w:w="1169"/>
        <w:gridCol w:w="1154"/>
        <w:gridCol w:w="1189"/>
        <w:gridCol w:w="1186"/>
        <w:gridCol w:w="1184"/>
        <w:gridCol w:w="1223"/>
      </w:tblGrid>
      <w:tr w:rsidR="003A4851" w:rsidRPr="0079209B" w14:paraId="58811B6F" w14:textId="77777777" w:rsidTr="007373EF">
        <w:trPr>
          <w:trHeight w:val="840"/>
          <w:jc w:val="center"/>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391E575" w14:textId="77777777" w:rsidR="003A4851" w:rsidRPr="0079209B" w:rsidRDefault="003A4851" w:rsidP="003A4851">
            <w:pPr>
              <w:rPr>
                <w:rFonts w:ascii="Times New Roman" w:hAnsi="Times New Roman" w:cs="Times New Roman"/>
                <w:b/>
                <w:sz w:val="18"/>
                <w:szCs w:val="18"/>
              </w:rPr>
            </w:pPr>
            <w:r w:rsidRPr="0079209B">
              <w:rPr>
                <w:rFonts w:ascii="Times New Roman" w:hAnsi="Times New Roman" w:cs="Times New Roman"/>
                <w:b/>
                <w:sz w:val="18"/>
                <w:szCs w:val="18"/>
              </w:rPr>
              <w:t>Business Size</w:t>
            </w:r>
          </w:p>
        </w:tc>
        <w:tc>
          <w:tcPr>
            <w:tcW w:w="1267" w:type="dxa"/>
            <w:tcBorders>
              <w:top w:val="single" w:sz="4" w:space="0" w:color="auto"/>
              <w:left w:val="nil"/>
              <w:bottom w:val="single" w:sz="4" w:space="0" w:color="auto"/>
              <w:right w:val="single" w:sz="4" w:space="0" w:color="auto"/>
            </w:tcBorders>
            <w:shd w:val="clear" w:color="000000" w:fill="808080"/>
            <w:noWrap/>
            <w:vAlign w:val="center"/>
            <w:hideMark/>
          </w:tcPr>
          <w:p w14:paraId="5F1C7632"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Number of Entities</w:t>
            </w:r>
          </w:p>
        </w:tc>
        <w:tc>
          <w:tcPr>
            <w:tcW w:w="1002" w:type="dxa"/>
            <w:tcBorders>
              <w:top w:val="single" w:sz="4" w:space="0" w:color="auto"/>
              <w:left w:val="nil"/>
              <w:bottom w:val="single" w:sz="4" w:space="0" w:color="auto"/>
              <w:right w:val="single" w:sz="4" w:space="0" w:color="auto"/>
            </w:tcBorders>
            <w:shd w:val="clear" w:color="000000" w:fill="808080"/>
            <w:noWrap/>
            <w:vAlign w:val="center"/>
            <w:hideMark/>
          </w:tcPr>
          <w:p w14:paraId="61EF3AF2"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2004-05</w:t>
            </w:r>
          </w:p>
        </w:tc>
        <w:tc>
          <w:tcPr>
            <w:tcW w:w="1043" w:type="dxa"/>
            <w:tcBorders>
              <w:top w:val="single" w:sz="4" w:space="0" w:color="auto"/>
              <w:left w:val="nil"/>
              <w:bottom w:val="single" w:sz="4" w:space="0" w:color="auto"/>
              <w:right w:val="single" w:sz="4" w:space="0" w:color="auto"/>
            </w:tcBorders>
            <w:shd w:val="clear" w:color="000000" w:fill="808080"/>
            <w:noWrap/>
            <w:vAlign w:val="center"/>
            <w:hideMark/>
          </w:tcPr>
          <w:p w14:paraId="31B54D80"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2005-06</w:t>
            </w:r>
          </w:p>
        </w:tc>
        <w:tc>
          <w:tcPr>
            <w:tcW w:w="1055" w:type="dxa"/>
            <w:tcBorders>
              <w:top w:val="single" w:sz="4" w:space="0" w:color="auto"/>
              <w:left w:val="nil"/>
              <w:bottom w:val="single" w:sz="4" w:space="0" w:color="auto"/>
              <w:right w:val="single" w:sz="4" w:space="0" w:color="auto"/>
            </w:tcBorders>
            <w:shd w:val="clear" w:color="000000" w:fill="808080"/>
            <w:noWrap/>
            <w:vAlign w:val="center"/>
            <w:hideMark/>
          </w:tcPr>
          <w:p w14:paraId="136AFD72"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2006-07</w:t>
            </w:r>
          </w:p>
        </w:tc>
        <w:tc>
          <w:tcPr>
            <w:tcW w:w="1039" w:type="dxa"/>
            <w:tcBorders>
              <w:top w:val="single" w:sz="4" w:space="0" w:color="auto"/>
              <w:left w:val="nil"/>
              <w:bottom w:val="single" w:sz="4" w:space="0" w:color="auto"/>
              <w:right w:val="single" w:sz="4" w:space="0" w:color="auto"/>
            </w:tcBorders>
            <w:shd w:val="clear" w:color="000000" w:fill="808080"/>
            <w:noWrap/>
            <w:vAlign w:val="center"/>
            <w:hideMark/>
          </w:tcPr>
          <w:p w14:paraId="0A89BF01"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2007-08</w:t>
            </w:r>
          </w:p>
        </w:tc>
        <w:tc>
          <w:tcPr>
            <w:tcW w:w="1156" w:type="dxa"/>
            <w:tcBorders>
              <w:top w:val="single" w:sz="4" w:space="0" w:color="auto"/>
              <w:left w:val="nil"/>
              <w:bottom w:val="single" w:sz="4" w:space="0" w:color="auto"/>
              <w:right w:val="single" w:sz="4" w:space="0" w:color="auto"/>
            </w:tcBorders>
            <w:shd w:val="clear" w:color="000000" w:fill="808080"/>
            <w:noWrap/>
            <w:vAlign w:val="center"/>
            <w:hideMark/>
          </w:tcPr>
          <w:p w14:paraId="617152DE"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2008-09</w:t>
            </w:r>
          </w:p>
        </w:tc>
        <w:tc>
          <w:tcPr>
            <w:tcW w:w="1169" w:type="dxa"/>
            <w:tcBorders>
              <w:top w:val="single" w:sz="4" w:space="0" w:color="auto"/>
              <w:left w:val="nil"/>
              <w:bottom w:val="single" w:sz="4" w:space="0" w:color="auto"/>
              <w:right w:val="single" w:sz="4" w:space="0" w:color="auto"/>
            </w:tcBorders>
            <w:shd w:val="clear" w:color="000000" w:fill="808080"/>
            <w:noWrap/>
            <w:vAlign w:val="center"/>
            <w:hideMark/>
          </w:tcPr>
          <w:p w14:paraId="5384EFC1"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2009-10</w:t>
            </w:r>
          </w:p>
        </w:tc>
        <w:tc>
          <w:tcPr>
            <w:tcW w:w="1154" w:type="dxa"/>
            <w:tcBorders>
              <w:top w:val="single" w:sz="4" w:space="0" w:color="auto"/>
              <w:left w:val="nil"/>
              <w:bottom w:val="single" w:sz="4" w:space="0" w:color="auto"/>
              <w:right w:val="single" w:sz="4" w:space="0" w:color="auto"/>
            </w:tcBorders>
            <w:shd w:val="clear" w:color="000000" w:fill="808080"/>
            <w:noWrap/>
            <w:vAlign w:val="center"/>
            <w:hideMark/>
          </w:tcPr>
          <w:p w14:paraId="2DEEA88A"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2010-11</w:t>
            </w:r>
          </w:p>
        </w:tc>
        <w:tc>
          <w:tcPr>
            <w:tcW w:w="1189" w:type="dxa"/>
            <w:tcBorders>
              <w:top w:val="single" w:sz="4" w:space="0" w:color="auto"/>
              <w:left w:val="nil"/>
              <w:bottom w:val="single" w:sz="4" w:space="0" w:color="auto"/>
              <w:right w:val="single" w:sz="4" w:space="0" w:color="auto"/>
            </w:tcBorders>
            <w:shd w:val="clear" w:color="000000" w:fill="808080"/>
            <w:noWrap/>
            <w:vAlign w:val="center"/>
            <w:hideMark/>
          </w:tcPr>
          <w:p w14:paraId="37C47F6A"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2011-12</w:t>
            </w:r>
          </w:p>
        </w:tc>
        <w:tc>
          <w:tcPr>
            <w:tcW w:w="1186" w:type="dxa"/>
            <w:tcBorders>
              <w:top w:val="single" w:sz="4" w:space="0" w:color="auto"/>
              <w:left w:val="nil"/>
              <w:bottom w:val="single" w:sz="4" w:space="0" w:color="auto"/>
              <w:right w:val="single" w:sz="4" w:space="0" w:color="auto"/>
            </w:tcBorders>
            <w:shd w:val="clear" w:color="000000" w:fill="808080"/>
            <w:noWrap/>
            <w:vAlign w:val="center"/>
            <w:hideMark/>
          </w:tcPr>
          <w:p w14:paraId="0858D1B7" w14:textId="77777777" w:rsidR="003A4851" w:rsidRPr="0079209B" w:rsidRDefault="003A4851" w:rsidP="003A4851">
            <w:pPr>
              <w:spacing w:after="0" w:line="240" w:lineRule="auto"/>
              <w:ind w:left="-281" w:firstLine="281"/>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2012-13</w:t>
            </w:r>
          </w:p>
        </w:tc>
        <w:tc>
          <w:tcPr>
            <w:tcW w:w="1184" w:type="dxa"/>
            <w:tcBorders>
              <w:top w:val="single" w:sz="4" w:space="0" w:color="auto"/>
              <w:left w:val="nil"/>
              <w:bottom w:val="single" w:sz="4" w:space="0" w:color="auto"/>
              <w:right w:val="single" w:sz="4" w:space="0" w:color="auto"/>
            </w:tcBorders>
            <w:shd w:val="clear" w:color="000000" w:fill="808080"/>
            <w:noWrap/>
            <w:vAlign w:val="center"/>
            <w:hideMark/>
          </w:tcPr>
          <w:p w14:paraId="5272028A"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2013-14</w:t>
            </w:r>
          </w:p>
        </w:tc>
        <w:tc>
          <w:tcPr>
            <w:tcW w:w="1223" w:type="dxa"/>
            <w:tcBorders>
              <w:top w:val="single" w:sz="4" w:space="0" w:color="auto"/>
              <w:left w:val="nil"/>
              <w:bottom w:val="single" w:sz="4" w:space="0" w:color="auto"/>
              <w:right w:val="single" w:sz="4" w:space="0" w:color="auto"/>
            </w:tcBorders>
            <w:shd w:val="clear" w:color="000000" w:fill="808080"/>
            <w:vAlign w:val="center"/>
            <w:hideMark/>
          </w:tcPr>
          <w:p w14:paraId="7AD856A6" w14:textId="77777777" w:rsidR="003A4851" w:rsidRPr="0079209B" w:rsidRDefault="003A4851" w:rsidP="003A4851">
            <w:pPr>
              <w:spacing w:after="0" w:line="240" w:lineRule="auto"/>
              <w:jc w:val="center"/>
              <w:rPr>
                <w:rFonts w:ascii="Times New Roman" w:eastAsia="Times New Roman" w:hAnsi="Times New Roman" w:cs="Times New Roman"/>
                <w:b/>
                <w:bCs/>
                <w:sz w:val="18"/>
                <w:szCs w:val="18"/>
                <w:lang w:eastAsia="en-AU"/>
              </w:rPr>
            </w:pPr>
            <w:r w:rsidRPr="0079209B">
              <w:rPr>
                <w:rFonts w:ascii="Times New Roman" w:eastAsia="Times New Roman" w:hAnsi="Times New Roman" w:cs="Times New Roman"/>
                <w:b/>
                <w:bCs/>
                <w:sz w:val="18"/>
                <w:szCs w:val="18"/>
                <w:lang w:eastAsia="en-AU"/>
              </w:rPr>
              <w:t xml:space="preserve">2014-15 </w:t>
            </w:r>
            <w:r>
              <w:rPr>
                <w:rFonts w:ascii="Times New Roman" w:eastAsia="Times New Roman" w:hAnsi="Times New Roman" w:cs="Times New Roman"/>
                <w:b/>
                <w:bCs/>
                <w:sz w:val="18"/>
                <w:szCs w:val="18"/>
                <w:lang w:eastAsia="en-AU"/>
              </w:rPr>
              <w:t xml:space="preserve">    </w:t>
            </w:r>
            <w:r w:rsidRPr="0079209B">
              <w:rPr>
                <w:rFonts w:ascii="Times New Roman" w:eastAsia="Times New Roman" w:hAnsi="Times New Roman" w:cs="Times New Roman"/>
                <w:b/>
                <w:bCs/>
                <w:sz w:val="18"/>
                <w:szCs w:val="18"/>
                <w:lang w:eastAsia="en-AU"/>
              </w:rPr>
              <w:t>(</w:t>
            </w:r>
            <w:r>
              <w:rPr>
                <w:rFonts w:ascii="Times New Roman" w:eastAsia="Times New Roman" w:hAnsi="Times New Roman" w:cs="Times New Roman"/>
                <w:b/>
                <w:bCs/>
                <w:sz w:val="18"/>
                <w:szCs w:val="18"/>
                <w:lang w:eastAsia="en-AU"/>
              </w:rPr>
              <w:t>to 31/12/14)</w:t>
            </w:r>
            <w:r w:rsidRPr="0079209B">
              <w:rPr>
                <w:rFonts w:ascii="Times New Roman" w:eastAsia="Times New Roman" w:hAnsi="Times New Roman" w:cs="Times New Roman"/>
                <w:b/>
                <w:bCs/>
                <w:sz w:val="18"/>
                <w:szCs w:val="18"/>
                <w:lang w:eastAsia="en-AU"/>
              </w:rPr>
              <w:t>)</w:t>
            </w:r>
          </w:p>
        </w:tc>
      </w:tr>
      <w:tr w:rsidR="003A4851" w:rsidRPr="0079209B" w14:paraId="5951C4CB" w14:textId="77777777" w:rsidTr="007373EF">
        <w:trPr>
          <w:trHeight w:val="529"/>
          <w:jc w:val="center"/>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6C065833"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Large (201 or more employees)</w:t>
            </w:r>
          </w:p>
        </w:tc>
        <w:tc>
          <w:tcPr>
            <w:tcW w:w="1267" w:type="dxa"/>
            <w:tcBorders>
              <w:top w:val="nil"/>
              <w:left w:val="nil"/>
              <w:bottom w:val="single" w:sz="4" w:space="0" w:color="auto"/>
              <w:right w:val="single" w:sz="4" w:space="0" w:color="auto"/>
            </w:tcBorders>
            <w:shd w:val="clear" w:color="auto" w:fill="auto"/>
            <w:noWrap/>
            <w:vAlign w:val="center"/>
          </w:tcPr>
          <w:p w14:paraId="4A72856D" w14:textId="77777777" w:rsidR="003A4851" w:rsidRPr="0079209B" w:rsidRDefault="003A4851" w:rsidP="003A4851">
            <w:pPr>
              <w:spacing w:after="0"/>
              <w:jc w:val="center"/>
              <w:rPr>
                <w:rFonts w:ascii="Times New Roman" w:hAnsi="Times New Roman" w:cs="Times New Roman"/>
                <w:sz w:val="18"/>
                <w:szCs w:val="18"/>
              </w:rPr>
            </w:pPr>
            <w:r w:rsidRPr="0079209B">
              <w:rPr>
                <w:rFonts w:ascii="Times New Roman" w:hAnsi="Times New Roman" w:cs="Times New Roman"/>
                <w:sz w:val="18"/>
                <w:szCs w:val="18"/>
              </w:rPr>
              <w:t>89</w:t>
            </w:r>
          </w:p>
        </w:tc>
        <w:tc>
          <w:tcPr>
            <w:tcW w:w="1002" w:type="dxa"/>
            <w:tcBorders>
              <w:top w:val="nil"/>
              <w:left w:val="nil"/>
              <w:bottom w:val="single" w:sz="4" w:space="0" w:color="auto"/>
              <w:right w:val="single" w:sz="4" w:space="0" w:color="auto"/>
            </w:tcBorders>
            <w:shd w:val="clear" w:color="auto" w:fill="auto"/>
            <w:noWrap/>
            <w:vAlign w:val="center"/>
          </w:tcPr>
          <w:p w14:paraId="26758BD4"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$10</w:t>
            </w:r>
            <w:r>
              <w:rPr>
                <w:rFonts w:ascii="Times New Roman" w:hAnsi="Times New Roman" w:cs="Times New Roman"/>
                <w:sz w:val="18"/>
                <w:szCs w:val="18"/>
              </w:rPr>
              <w:t>.</w:t>
            </w:r>
            <w:r w:rsidRPr="0079209B">
              <w:rPr>
                <w:rFonts w:ascii="Times New Roman" w:hAnsi="Times New Roman" w:cs="Times New Roman"/>
                <w:sz w:val="18"/>
                <w:szCs w:val="18"/>
              </w:rPr>
              <w:t>856</w:t>
            </w:r>
            <w:r>
              <w:rPr>
                <w:rFonts w:ascii="Times New Roman" w:hAnsi="Times New Roman" w:cs="Times New Roman"/>
                <w:sz w:val="18"/>
                <w:szCs w:val="18"/>
              </w:rPr>
              <w:t xml:space="preserve"> m</w:t>
            </w:r>
          </w:p>
        </w:tc>
        <w:tc>
          <w:tcPr>
            <w:tcW w:w="1043" w:type="dxa"/>
            <w:tcBorders>
              <w:top w:val="nil"/>
              <w:left w:val="nil"/>
              <w:bottom w:val="single" w:sz="4" w:space="0" w:color="auto"/>
              <w:right w:val="single" w:sz="4" w:space="0" w:color="auto"/>
            </w:tcBorders>
            <w:shd w:val="clear" w:color="auto" w:fill="auto"/>
            <w:noWrap/>
            <w:vAlign w:val="center"/>
          </w:tcPr>
          <w:p w14:paraId="068206B5"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$4</w:t>
            </w:r>
            <w:r>
              <w:rPr>
                <w:rFonts w:ascii="Times New Roman" w:hAnsi="Times New Roman" w:cs="Times New Roman"/>
                <w:sz w:val="18"/>
                <w:szCs w:val="18"/>
              </w:rPr>
              <w:t>.565 m</w:t>
            </w:r>
          </w:p>
        </w:tc>
        <w:tc>
          <w:tcPr>
            <w:tcW w:w="1055" w:type="dxa"/>
            <w:tcBorders>
              <w:top w:val="nil"/>
              <w:left w:val="nil"/>
              <w:bottom w:val="single" w:sz="4" w:space="0" w:color="auto"/>
              <w:right w:val="single" w:sz="4" w:space="0" w:color="auto"/>
            </w:tcBorders>
            <w:shd w:val="clear" w:color="auto" w:fill="auto"/>
            <w:noWrap/>
            <w:vAlign w:val="center"/>
          </w:tcPr>
          <w:p w14:paraId="4547F431"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$9</w:t>
            </w:r>
            <w:r>
              <w:rPr>
                <w:rFonts w:ascii="Times New Roman" w:hAnsi="Times New Roman" w:cs="Times New Roman"/>
                <w:sz w:val="18"/>
                <w:szCs w:val="18"/>
              </w:rPr>
              <w:t>.523 m</w:t>
            </w:r>
          </w:p>
        </w:tc>
        <w:tc>
          <w:tcPr>
            <w:tcW w:w="1039" w:type="dxa"/>
            <w:tcBorders>
              <w:top w:val="nil"/>
              <w:left w:val="nil"/>
              <w:bottom w:val="single" w:sz="4" w:space="0" w:color="auto"/>
              <w:right w:val="single" w:sz="4" w:space="0" w:color="auto"/>
            </w:tcBorders>
            <w:shd w:val="clear" w:color="auto" w:fill="auto"/>
            <w:noWrap/>
            <w:vAlign w:val="center"/>
          </w:tcPr>
          <w:p w14:paraId="746FDC9B"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$9</w:t>
            </w:r>
            <w:r>
              <w:rPr>
                <w:rFonts w:ascii="Times New Roman" w:hAnsi="Times New Roman" w:cs="Times New Roman"/>
                <w:sz w:val="18"/>
                <w:szCs w:val="18"/>
              </w:rPr>
              <w:t>.019 m</w:t>
            </w:r>
          </w:p>
        </w:tc>
        <w:tc>
          <w:tcPr>
            <w:tcW w:w="1156" w:type="dxa"/>
            <w:tcBorders>
              <w:top w:val="nil"/>
              <w:left w:val="nil"/>
              <w:bottom w:val="single" w:sz="4" w:space="0" w:color="auto"/>
              <w:right w:val="single" w:sz="4" w:space="0" w:color="auto"/>
            </w:tcBorders>
            <w:shd w:val="clear" w:color="auto" w:fill="auto"/>
            <w:noWrap/>
            <w:vAlign w:val="center"/>
          </w:tcPr>
          <w:p w14:paraId="026F1A3A"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$12</w:t>
            </w:r>
            <w:r>
              <w:rPr>
                <w:rFonts w:ascii="Times New Roman" w:hAnsi="Times New Roman" w:cs="Times New Roman"/>
                <w:sz w:val="18"/>
                <w:szCs w:val="18"/>
              </w:rPr>
              <w:t>.336 m</w:t>
            </w:r>
          </w:p>
        </w:tc>
        <w:tc>
          <w:tcPr>
            <w:tcW w:w="1169" w:type="dxa"/>
            <w:tcBorders>
              <w:top w:val="nil"/>
              <w:left w:val="nil"/>
              <w:bottom w:val="single" w:sz="4" w:space="0" w:color="auto"/>
              <w:right w:val="single" w:sz="4" w:space="0" w:color="auto"/>
            </w:tcBorders>
            <w:shd w:val="clear" w:color="auto" w:fill="auto"/>
            <w:noWrap/>
            <w:vAlign w:val="center"/>
          </w:tcPr>
          <w:p w14:paraId="7B4DD68B"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$11</w:t>
            </w:r>
            <w:r>
              <w:rPr>
                <w:rFonts w:ascii="Times New Roman" w:hAnsi="Times New Roman" w:cs="Times New Roman"/>
                <w:sz w:val="18"/>
                <w:szCs w:val="18"/>
              </w:rPr>
              <w:t>.466 m</w:t>
            </w:r>
          </w:p>
        </w:tc>
        <w:tc>
          <w:tcPr>
            <w:tcW w:w="1154" w:type="dxa"/>
            <w:tcBorders>
              <w:top w:val="nil"/>
              <w:left w:val="nil"/>
              <w:bottom w:val="single" w:sz="4" w:space="0" w:color="auto"/>
              <w:right w:val="single" w:sz="4" w:space="0" w:color="auto"/>
            </w:tcBorders>
            <w:shd w:val="clear" w:color="auto" w:fill="auto"/>
            <w:noWrap/>
            <w:vAlign w:val="center"/>
          </w:tcPr>
          <w:p w14:paraId="742C8A88"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$26</w:t>
            </w:r>
            <w:r>
              <w:rPr>
                <w:rFonts w:ascii="Times New Roman" w:hAnsi="Times New Roman" w:cs="Times New Roman"/>
                <w:sz w:val="18"/>
                <w:szCs w:val="18"/>
              </w:rPr>
              <w:t>.224 m</w:t>
            </w:r>
          </w:p>
        </w:tc>
        <w:tc>
          <w:tcPr>
            <w:tcW w:w="1189" w:type="dxa"/>
            <w:tcBorders>
              <w:top w:val="nil"/>
              <w:left w:val="nil"/>
              <w:bottom w:val="single" w:sz="4" w:space="0" w:color="auto"/>
              <w:right w:val="single" w:sz="4" w:space="0" w:color="auto"/>
            </w:tcBorders>
            <w:shd w:val="clear" w:color="auto" w:fill="auto"/>
            <w:noWrap/>
            <w:vAlign w:val="center"/>
          </w:tcPr>
          <w:p w14:paraId="6BCB73B9"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$70</w:t>
            </w:r>
            <w:r>
              <w:rPr>
                <w:rFonts w:ascii="Times New Roman" w:hAnsi="Times New Roman" w:cs="Times New Roman"/>
                <w:sz w:val="18"/>
                <w:szCs w:val="18"/>
              </w:rPr>
              <w:t>.279 m</w:t>
            </w:r>
          </w:p>
        </w:tc>
        <w:tc>
          <w:tcPr>
            <w:tcW w:w="1186" w:type="dxa"/>
            <w:tcBorders>
              <w:top w:val="nil"/>
              <w:left w:val="nil"/>
              <w:bottom w:val="single" w:sz="4" w:space="0" w:color="auto"/>
              <w:right w:val="single" w:sz="4" w:space="0" w:color="auto"/>
            </w:tcBorders>
            <w:shd w:val="clear" w:color="auto" w:fill="auto"/>
            <w:noWrap/>
            <w:vAlign w:val="center"/>
          </w:tcPr>
          <w:p w14:paraId="772364D5"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$65</w:t>
            </w:r>
            <w:r>
              <w:rPr>
                <w:rFonts w:ascii="Times New Roman" w:hAnsi="Times New Roman" w:cs="Times New Roman"/>
                <w:sz w:val="18"/>
                <w:szCs w:val="18"/>
              </w:rPr>
              <w:t>.785 m</w:t>
            </w:r>
          </w:p>
        </w:tc>
        <w:tc>
          <w:tcPr>
            <w:tcW w:w="1184" w:type="dxa"/>
            <w:tcBorders>
              <w:top w:val="nil"/>
              <w:left w:val="nil"/>
              <w:bottom w:val="single" w:sz="4" w:space="0" w:color="auto"/>
              <w:right w:val="single" w:sz="4" w:space="0" w:color="auto"/>
            </w:tcBorders>
            <w:shd w:val="clear" w:color="auto" w:fill="auto"/>
            <w:noWrap/>
            <w:vAlign w:val="center"/>
          </w:tcPr>
          <w:p w14:paraId="23E03D7C"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$34</w:t>
            </w:r>
            <w:r>
              <w:rPr>
                <w:rFonts w:ascii="Times New Roman" w:hAnsi="Times New Roman" w:cs="Times New Roman"/>
                <w:sz w:val="18"/>
                <w:szCs w:val="18"/>
              </w:rPr>
              <w:t>.208 m</w:t>
            </w:r>
          </w:p>
        </w:tc>
        <w:tc>
          <w:tcPr>
            <w:tcW w:w="1223" w:type="dxa"/>
            <w:tcBorders>
              <w:top w:val="nil"/>
              <w:left w:val="nil"/>
              <w:bottom w:val="single" w:sz="4" w:space="0" w:color="auto"/>
              <w:right w:val="single" w:sz="4" w:space="0" w:color="auto"/>
            </w:tcBorders>
            <w:shd w:val="clear" w:color="auto" w:fill="auto"/>
            <w:noWrap/>
            <w:vAlign w:val="center"/>
          </w:tcPr>
          <w:p w14:paraId="6CA38C7F"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$23</w:t>
            </w:r>
            <w:r>
              <w:rPr>
                <w:rFonts w:ascii="Times New Roman" w:hAnsi="Times New Roman" w:cs="Times New Roman"/>
                <w:sz w:val="18"/>
                <w:szCs w:val="18"/>
              </w:rPr>
              <w:t>.486 m</w:t>
            </w:r>
          </w:p>
        </w:tc>
      </w:tr>
      <w:tr w:rsidR="003A4851" w:rsidRPr="0079209B" w14:paraId="6C00C97C" w14:textId="77777777" w:rsidTr="007373EF">
        <w:trPr>
          <w:trHeight w:val="255"/>
          <w:jc w:val="center"/>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30F785BA"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 xml:space="preserve">Medium (15 - 200 employees) </w:t>
            </w:r>
          </w:p>
        </w:tc>
        <w:tc>
          <w:tcPr>
            <w:tcW w:w="1267" w:type="dxa"/>
            <w:tcBorders>
              <w:top w:val="nil"/>
              <w:left w:val="nil"/>
              <w:bottom w:val="single" w:sz="4" w:space="0" w:color="auto"/>
              <w:right w:val="single" w:sz="4" w:space="0" w:color="auto"/>
            </w:tcBorders>
            <w:shd w:val="clear" w:color="auto" w:fill="auto"/>
            <w:noWrap/>
            <w:vAlign w:val="center"/>
          </w:tcPr>
          <w:p w14:paraId="22D1EC37" w14:textId="77777777" w:rsidR="003A4851" w:rsidRPr="0079209B" w:rsidRDefault="003A4851" w:rsidP="003A4851">
            <w:pPr>
              <w:spacing w:after="0"/>
              <w:jc w:val="center"/>
              <w:rPr>
                <w:rFonts w:ascii="Times New Roman" w:hAnsi="Times New Roman" w:cs="Times New Roman"/>
                <w:sz w:val="18"/>
                <w:szCs w:val="18"/>
              </w:rPr>
            </w:pPr>
            <w:r w:rsidRPr="0079209B">
              <w:rPr>
                <w:rFonts w:ascii="Times New Roman" w:hAnsi="Times New Roman" w:cs="Times New Roman"/>
                <w:sz w:val="18"/>
                <w:szCs w:val="18"/>
              </w:rPr>
              <w:t>3142</w:t>
            </w:r>
          </w:p>
        </w:tc>
        <w:tc>
          <w:tcPr>
            <w:tcW w:w="1002" w:type="dxa"/>
            <w:tcBorders>
              <w:top w:val="nil"/>
              <w:left w:val="nil"/>
              <w:bottom w:val="single" w:sz="4" w:space="0" w:color="auto"/>
              <w:right w:val="single" w:sz="4" w:space="0" w:color="auto"/>
            </w:tcBorders>
            <w:shd w:val="clear" w:color="auto" w:fill="auto"/>
            <w:noWrap/>
            <w:vAlign w:val="center"/>
          </w:tcPr>
          <w:p w14:paraId="6A5FC3EF"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$37</w:t>
            </w:r>
            <w:r>
              <w:rPr>
                <w:rFonts w:ascii="Times New Roman" w:hAnsi="Times New Roman" w:cs="Times New Roman"/>
                <w:sz w:val="18"/>
                <w:szCs w:val="18"/>
              </w:rPr>
              <w:t>.</w:t>
            </w:r>
            <w:r w:rsidRPr="0079209B">
              <w:rPr>
                <w:rFonts w:ascii="Times New Roman" w:hAnsi="Times New Roman" w:cs="Times New Roman"/>
                <w:sz w:val="18"/>
                <w:szCs w:val="18"/>
              </w:rPr>
              <w:t>531</w:t>
            </w:r>
            <w:r>
              <w:rPr>
                <w:rFonts w:ascii="Times New Roman" w:hAnsi="Times New Roman" w:cs="Times New Roman"/>
                <w:sz w:val="18"/>
                <w:szCs w:val="18"/>
              </w:rPr>
              <w:t xml:space="preserve"> m</w:t>
            </w:r>
          </w:p>
        </w:tc>
        <w:tc>
          <w:tcPr>
            <w:tcW w:w="1043" w:type="dxa"/>
            <w:tcBorders>
              <w:top w:val="nil"/>
              <w:left w:val="nil"/>
              <w:bottom w:val="single" w:sz="4" w:space="0" w:color="auto"/>
              <w:right w:val="single" w:sz="4" w:space="0" w:color="auto"/>
            </w:tcBorders>
            <w:shd w:val="clear" w:color="auto" w:fill="auto"/>
            <w:noWrap/>
            <w:vAlign w:val="center"/>
          </w:tcPr>
          <w:p w14:paraId="76EC8C60"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$29</w:t>
            </w:r>
            <w:r>
              <w:rPr>
                <w:rFonts w:ascii="Times New Roman" w:hAnsi="Times New Roman" w:cs="Times New Roman"/>
                <w:sz w:val="18"/>
                <w:szCs w:val="18"/>
              </w:rPr>
              <w:t>.669 m</w:t>
            </w:r>
          </w:p>
        </w:tc>
        <w:tc>
          <w:tcPr>
            <w:tcW w:w="1055" w:type="dxa"/>
            <w:tcBorders>
              <w:top w:val="nil"/>
              <w:left w:val="nil"/>
              <w:bottom w:val="single" w:sz="4" w:space="0" w:color="auto"/>
              <w:right w:val="single" w:sz="4" w:space="0" w:color="auto"/>
            </w:tcBorders>
            <w:shd w:val="clear" w:color="auto" w:fill="auto"/>
            <w:noWrap/>
            <w:vAlign w:val="center"/>
          </w:tcPr>
          <w:p w14:paraId="6BD235EF"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$44</w:t>
            </w:r>
            <w:r>
              <w:rPr>
                <w:rFonts w:ascii="Times New Roman" w:hAnsi="Times New Roman" w:cs="Times New Roman"/>
                <w:sz w:val="18"/>
                <w:szCs w:val="18"/>
              </w:rPr>
              <w:t>.922 m</w:t>
            </w:r>
          </w:p>
        </w:tc>
        <w:tc>
          <w:tcPr>
            <w:tcW w:w="1039" w:type="dxa"/>
            <w:tcBorders>
              <w:top w:val="nil"/>
              <w:left w:val="nil"/>
              <w:bottom w:val="single" w:sz="4" w:space="0" w:color="auto"/>
              <w:right w:val="single" w:sz="4" w:space="0" w:color="auto"/>
            </w:tcBorders>
            <w:shd w:val="clear" w:color="auto" w:fill="auto"/>
            <w:noWrap/>
            <w:vAlign w:val="center"/>
          </w:tcPr>
          <w:p w14:paraId="7A6C03C9"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$32</w:t>
            </w:r>
            <w:r>
              <w:rPr>
                <w:rFonts w:ascii="Times New Roman" w:hAnsi="Times New Roman" w:cs="Times New Roman"/>
                <w:sz w:val="18"/>
                <w:szCs w:val="18"/>
              </w:rPr>
              <w:t>.562 m</w:t>
            </w:r>
          </w:p>
        </w:tc>
        <w:tc>
          <w:tcPr>
            <w:tcW w:w="1156" w:type="dxa"/>
            <w:tcBorders>
              <w:top w:val="nil"/>
              <w:left w:val="nil"/>
              <w:bottom w:val="single" w:sz="4" w:space="0" w:color="auto"/>
              <w:right w:val="single" w:sz="4" w:space="0" w:color="auto"/>
            </w:tcBorders>
            <w:shd w:val="clear" w:color="auto" w:fill="auto"/>
            <w:noWrap/>
            <w:vAlign w:val="center"/>
          </w:tcPr>
          <w:p w14:paraId="1CDA40DD"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$74</w:t>
            </w:r>
            <w:r>
              <w:rPr>
                <w:rFonts w:ascii="Times New Roman" w:hAnsi="Times New Roman" w:cs="Times New Roman"/>
                <w:sz w:val="18"/>
                <w:szCs w:val="18"/>
              </w:rPr>
              <w:t>.569 m</w:t>
            </w:r>
          </w:p>
        </w:tc>
        <w:tc>
          <w:tcPr>
            <w:tcW w:w="1169" w:type="dxa"/>
            <w:tcBorders>
              <w:top w:val="nil"/>
              <w:left w:val="nil"/>
              <w:bottom w:val="single" w:sz="4" w:space="0" w:color="auto"/>
              <w:right w:val="single" w:sz="4" w:space="0" w:color="auto"/>
            </w:tcBorders>
            <w:shd w:val="clear" w:color="auto" w:fill="auto"/>
            <w:noWrap/>
            <w:vAlign w:val="center"/>
          </w:tcPr>
          <w:p w14:paraId="7BF72816"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$113</w:t>
            </w:r>
            <w:r>
              <w:rPr>
                <w:rFonts w:ascii="Times New Roman" w:hAnsi="Times New Roman" w:cs="Times New Roman"/>
                <w:sz w:val="18"/>
                <w:szCs w:val="18"/>
              </w:rPr>
              <w:t>.006 m</w:t>
            </w:r>
          </w:p>
        </w:tc>
        <w:tc>
          <w:tcPr>
            <w:tcW w:w="1154" w:type="dxa"/>
            <w:tcBorders>
              <w:top w:val="nil"/>
              <w:left w:val="nil"/>
              <w:bottom w:val="single" w:sz="4" w:space="0" w:color="auto"/>
              <w:right w:val="single" w:sz="4" w:space="0" w:color="auto"/>
            </w:tcBorders>
            <w:shd w:val="clear" w:color="auto" w:fill="auto"/>
            <w:noWrap/>
            <w:vAlign w:val="center"/>
          </w:tcPr>
          <w:p w14:paraId="53C9D0F9"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$94</w:t>
            </w:r>
            <w:r>
              <w:rPr>
                <w:rFonts w:ascii="Times New Roman" w:hAnsi="Times New Roman" w:cs="Times New Roman"/>
                <w:sz w:val="18"/>
                <w:szCs w:val="18"/>
              </w:rPr>
              <w:t>.180 m</w:t>
            </w:r>
          </w:p>
        </w:tc>
        <w:tc>
          <w:tcPr>
            <w:tcW w:w="1189" w:type="dxa"/>
            <w:tcBorders>
              <w:top w:val="nil"/>
              <w:left w:val="nil"/>
              <w:bottom w:val="single" w:sz="4" w:space="0" w:color="auto"/>
              <w:right w:val="single" w:sz="4" w:space="0" w:color="auto"/>
            </w:tcBorders>
            <w:shd w:val="clear" w:color="auto" w:fill="auto"/>
            <w:noWrap/>
            <w:vAlign w:val="center"/>
          </w:tcPr>
          <w:p w14:paraId="0062B967"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$112</w:t>
            </w:r>
            <w:r>
              <w:rPr>
                <w:rFonts w:ascii="Times New Roman" w:hAnsi="Times New Roman" w:cs="Times New Roman"/>
                <w:sz w:val="18"/>
                <w:szCs w:val="18"/>
              </w:rPr>
              <w:t>.606 m</w:t>
            </w:r>
          </w:p>
        </w:tc>
        <w:tc>
          <w:tcPr>
            <w:tcW w:w="1186" w:type="dxa"/>
            <w:tcBorders>
              <w:top w:val="nil"/>
              <w:left w:val="nil"/>
              <w:bottom w:val="single" w:sz="4" w:space="0" w:color="auto"/>
              <w:right w:val="single" w:sz="4" w:space="0" w:color="auto"/>
            </w:tcBorders>
            <w:shd w:val="clear" w:color="auto" w:fill="auto"/>
            <w:noWrap/>
            <w:vAlign w:val="center"/>
          </w:tcPr>
          <w:p w14:paraId="666F48D5"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$137</w:t>
            </w:r>
            <w:r>
              <w:rPr>
                <w:rFonts w:ascii="Times New Roman" w:hAnsi="Times New Roman" w:cs="Times New Roman"/>
                <w:sz w:val="18"/>
                <w:szCs w:val="18"/>
              </w:rPr>
              <w:t>.725 m</w:t>
            </w:r>
          </w:p>
        </w:tc>
        <w:tc>
          <w:tcPr>
            <w:tcW w:w="1184" w:type="dxa"/>
            <w:tcBorders>
              <w:top w:val="nil"/>
              <w:left w:val="nil"/>
              <w:bottom w:val="single" w:sz="4" w:space="0" w:color="auto"/>
              <w:right w:val="single" w:sz="4" w:space="0" w:color="auto"/>
            </w:tcBorders>
            <w:shd w:val="clear" w:color="auto" w:fill="auto"/>
            <w:noWrap/>
            <w:vAlign w:val="center"/>
          </w:tcPr>
          <w:p w14:paraId="5649F7DC"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$112</w:t>
            </w:r>
            <w:r>
              <w:rPr>
                <w:rFonts w:ascii="Times New Roman" w:hAnsi="Times New Roman" w:cs="Times New Roman"/>
                <w:sz w:val="18"/>
                <w:szCs w:val="18"/>
              </w:rPr>
              <w:t>.392 m</w:t>
            </w:r>
          </w:p>
        </w:tc>
        <w:tc>
          <w:tcPr>
            <w:tcW w:w="1223" w:type="dxa"/>
            <w:tcBorders>
              <w:top w:val="nil"/>
              <w:left w:val="nil"/>
              <w:bottom w:val="single" w:sz="4" w:space="0" w:color="auto"/>
              <w:right w:val="single" w:sz="4" w:space="0" w:color="auto"/>
            </w:tcBorders>
            <w:shd w:val="clear" w:color="auto" w:fill="auto"/>
            <w:noWrap/>
            <w:vAlign w:val="center"/>
          </w:tcPr>
          <w:p w14:paraId="6EB68B09"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$68</w:t>
            </w:r>
            <w:r>
              <w:rPr>
                <w:rFonts w:ascii="Times New Roman" w:hAnsi="Times New Roman" w:cs="Times New Roman"/>
                <w:sz w:val="18"/>
                <w:szCs w:val="18"/>
              </w:rPr>
              <w:t>.638 m</w:t>
            </w:r>
          </w:p>
        </w:tc>
      </w:tr>
      <w:tr w:rsidR="003A4851" w:rsidRPr="0079209B" w14:paraId="404C423E" w14:textId="77777777" w:rsidTr="007373EF">
        <w:trPr>
          <w:trHeight w:val="487"/>
          <w:jc w:val="center"/>
        </w:trPr>
        <w:tc>
          <w:tcPr>
            <w:tcW w:w="0" w:type="auto"/>
            <w:tcBorders>
              <w:top w:val="nil"/>
              <w:left w:val="single" w:sz="4" w:space="0" w:color="auto"/>
              <w:bottom w:val="single" w:sz="4" w:space="0" w:color="auto"/>
              <w:right w:val="single" w:sz="4" w:space="0" w:color="auto"/>
            </w:tcBorders>
            <w:shd w:val="clear" w:color="000000" w:fill="808080"/>
            <w:noWrap/>
            <w:vAlign w:val="center"/>
            <w:hideMark/>
          </w:tcPr>
          <w:p w14:paraId="753E8591"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Small (1 - 14 employees)</w:t>
            </w:r>
          </w:p>
        </w:tc>
        <w:tc>
          <w:tcPr>
            <w:tcW w:w="1267" w:type="dxa"/>
            <w:tcBorders>
              <w:top w:val="nil"/>
              <w:left w:val="nil"/>
              <w:bottom w:val="single" w:sz="4" w:space="0" w:color="auto"/>
              <w:right w:val="single" w:sz="4" w:space="0" w:color="auto"/>
            </w:tcBorders>
            <w:shd w:val="clear" w:color="auto" w:fill="auto"/>
            <w:noWrap/>
            <w:vAlign w:val="center"/>
          </w:tcPr>
          <w:p w14:paraId="7A96FEB0" w14:textId="77777777" w:rsidR="003A4851" w:rsidRPr="0079209B" w:rsidRDefault="003A4851" w:rsidP="003A4851">
            <w:pPr>
              <w:spacing w:after="0"/>
              <w:jc w:val="center"/>
              <w:rPr>
                <w:rFonts w:ascii="Times New Roman" w:hAnsi="Times New Roman" w:cs="Times New Roman"/>
                <w:sz w:val="18"/>
                <w:szCs w:val="18"/>
              </w:rPr>
            </w:pPr>
            <w:r w:rsidRPr="0079209B">
              <w:rPr>
                <w:rFonts w:ascii="Times New Roman" w:hAnsi="Times New Roman" w:cs="Times New Roman"/>
                <w:sz w:val="18"/>
                <w:szCs w:val="18"/>
              </w:rPr>
              <w:t>10721</w:t>
            </w:r>
          </w:p>
        </w:tc>
        <w:tc>
          <w:tcPr>
            <w:tcW w:w="1002" w:type="dxa"/>
            <w:tcBorders>
              <w:top w:val="nil"/>
              <w:left w:val="nil"/>
              <w:bottom w:val="single" w:sz="4" w:space="0" w:color="auto"/>
              <w:right w:val="single" w:sz="4" w:space="0" w:color="auto"/>
            </w:tcBorders>
            <w:shd w:val="clear" w:color="auto" w:fill="auto"/>
            <w:noWrap/>
            <w:vAlign w:val="center"/>
          </w:tcPr>
          <w:p w14:paraId="0DB59F40"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$18</w:t>
            </w:r>
            <w:r>
              <w:rPr>
                <w:rFonts w:ascii="Times New Roman" w:hAnsi="Times New Roman" w:cs="Times New Roman"/>
                <w:sz w:val="18"/>
                <w:szCs w:val="18"/>
              </w:rPr>
              <w:t>.348 m</w:t>
            </w:r>
          </w:p>
        </w:tc>
        <w:tc>
          <w:tcPr>
            <w:tcW w:w="1043" w:type="dxa"/>
            <w:tcBorders>
              <w:top w:val="nil"/>
              <w:left w:val="nil"/>
              <w:bottom w:val="single" w:sz="4" w:space="0" w:color="auto"/>
              <w:right w:val="single" w:sz="4" w:space="0" w:color="auto"/>
            </w:tcBorders>
            <w:shd w:val="clear" w:color="auto" w:fill="auto"/>
            <w:noWrap/>
            <w:vAlign w:val="center"/>
          </w:tcPr>
          <w:p w14:paraId="0BAB10BA"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$17</w:t>
            </w:r>
            <w:r>
              <w:rPr>
                <w:rFonts w:ascii="Times New Roman" w:hAnsi="Times New Roman" w:cs="Times New Roman"/>
                <w:sz w:val="18"/>
                <w:szCs w:val="18"/>
              </w:rPr>
              <w:t>.272 m</w:t>
            </w:r>
          </w:p>
        </w:tc>
        <w:tc>
          <w:tcPr>
            <w:tcW w:w="1055" w:type="dxa"/>
            <w:tcBorders>
              <w:top w:val="nil"/>
              <w:left w:val="nil"/>
              <w:bottom w:val="single" w:sz="4" w:space="0" w:color="auto"/>
              <w:right w:val="single" w:sz="4" w:space="0" w:color="auto"/>
            </w:tcBorders>
            <w:shd w:val="clear" w:color="auto" w:fill="auto"/>
            <w:noWrap/>
            <w:vAlign w:val="center"/>
          </w:tcPr>
          <w:p w14:paraId="3CAD6512"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$20</w:t>
            </w:r>
            <w:r>
              <w:rPr>
                <w:rFonts w:ascii="Times New Roman" w:hAnsi="Times New Roman" w:cs="Times New Roman"/>
                <w:sz w:val="18"/>
                <w:szCs w:val="18"/>
              </w:rPr>
              <w:t>.314 m</w:t>
            </w:r>
          </w:p>
        </w:tc>
        <w:tc>
          <w:tcPr>
            <w:tcW w:w="1039" w:type="dxa"/>
            <w:tcBorders>
              <w:top w:val="nil"/>
              <w:left w:val="nil"/>
              <w:bottom w:val="single" w:sz="4" w:space="0" w:color="auto"/>
              <w:right w:val="single" w:sz="4" w:space="0" w:color="auto"/>
            </w:tcBorders>
            <w:shd w:val="clear" w:color="auto" w:fill="auto"/>
            <w:noWrap/>
            <w:vAlign w:val="center"/>
          </w:tcPr>
          <w:p w14:paraId="630B318A"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$17</w:t>
            </w:r>
            <w:r>
              <w:rPr>
                <w:rFonts w:ascii="Times New Roman" w:hAnsi="Times New Roman" w:cs="Times New Roman"/>
                <w:sz w:val="18"/>
                <w:szCs w:val="18"/>
              </w:rPr>
              <w:t>.568 m</w:t>
            </w:r>
          </w:p>
        </w:tc>
        <w:tc>
          <w:tcPr>
            <w:tcW w:w="1156" w:type="dxa"/>
            <w:tcBorders>
              <w:top w:val="nil"/>
              <w:left w:val="nil"/>
              <w:bottom w:val="single" w:sz="4" w:space="0" w:color="auto"/>
              <w:right w:val="single" w:sz="4" w:space="0" w:color="auto"/>
            </w:tcBorders>
            <w:shd w:val="clear" w:color="auto" w:fill="auto"/>
            <w:noWrap/>
            <w:vAlign w:val="center"/>
          </w:tcPr>
          <w:p w14:paraId="3F785858"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$24</w:t>
            </w:r>
            <w:r>
              <w:rPr>
                <w:rFonts w:ascii="Times New Roman" w:hAnsi="Times New Roman" w:cs="Times New Roman"/>
                <w:sz w:val="18"/>
                <w:szCs w:val="18"/>
              </w:rPr>
              <w:t>.219 m</w:t>
            </w:r>
          </w:p>
        </w:tc>
        <w:tc>
          <w:tcPr>
            <w:tcW w:w="1169" w:type="dxa"/>
            <w:tcBorders>
              <w:top w:val="nil"/>
              <w:left w:val="nil"/>
              <w:bottom w:val="single" w:sz="4" w:space="0" w:color="auto"/>
              <w:right w:val="single" w:sz="4" w:space="0" w:color="auto"/>
            </w:tcBorders>
            <w:shd w:val="clear" w:color="auto" w:fill="auto"/>
            <w:noWrap/>
            <w:vAlign w:val="center"/>
          </w:tcPr>
          <w:p w14:paraId="06E20050"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$29</w:t>
            </w:r>
            <w:r>
              <w:rPr>
                <w:rFonts w:ascii="Times New Roman" w:hAnsi="Times New Roman" w:cs="Times New Roman"/>
                <w:sz w:val="18"/>
                <w:szCs w:val="18"/>
              </w:rPr>
              <w:t>.216 m</w:t>
            </w:r>
          </w:p>
        </w:tc>
        <w:tc>
          <w:tcPr>
            <w:tcW w:w="1154" w:type="dxa"/>
            <w:tcBorders>
              <w:top w:val="nil"/>
              <w:left w:val="nil"/>
              <w:bottom w:val="single" w:sz="4" w:space="0" w:color="auto"/>
              <w:right w:val="single" w:sz="4" w:space="0" w:color="auto"/>
            </w:tcBorders>
            <w:shd w:val="clear" w:color="auto" w:fill="auto"/>
            <w:noWrap/>
            <w:vAlign w:val="center"/>
          </w:tcPr>
          <w:p w14:paraId="2732B676"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$37</w:t>
            </w:r>
            <w:r>
              <w:rPr>
                <w:rFonts w:ascii="Times New Roman" w:hAnsi="Times New Roman" w:cs="Times New Roman"/>
                <w:sz w:val="18"/>
                <w:szCs w:val="18"/>
              </w:rPr>
              <w:t>.873 m</w:t>
            </w:r>
          </w:p>
        </w:tc>
        <w:tc>
          <w:tcPr>
            <w:tcW w:w="1189" w:type="dxa"/>
            <w:tcBorders>
              <w:top w:val="nil"/>
              <w:left w:val="nil"/>
              <w:bottom w:val="single" w:sz="4" w:space="0" w:color="auto"/>
              <w:right w:val="single" w:sz="4" w:space="0" w:color="auto"/>
            </w:tcBorders>
            <w:shd w:val="clear" w:color="auto" w:fill="auto"/>
            <w:noWrap/>
            <w:vAlign w:val="center"/>
          </w:tcPr>
          <w:p w14:paraId="5F8E8596"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$47</w:t>
            </w:r>
            <w:r>
              <w:rPr>
                <w:rFonts w:ascii="Times New Roman" w:hAnsi="Times New Roman" w:cs="Times New Roman"/>
                <w:sz w:val="18"/>
                <w:szCs w:val="18"/>
              </w:rPr>
              <w:t>.841 m</w:t>
            </w:r>
          </w:p>
        </w:tc>
        <w:tc>
          <w:tcPr>
            <w:tcW w:w="1186" w:type="dxa"/>
            <w:tcBorders>
              <w:top w:val="nil"/>
              <w:left w:val="nil"/>
              <w:bottom w:val="single" w:sz="4" w:space="0" w:color="auto"/>
              <w:right w:val="single" w:sz="4" w:space="0" w:color="auto"/>
            </w:tcBorders>
            <w:shd w:val="clear" w:color="auto" w:fill="auto"/>
            <w:noWrap/>
            <w:vAlign w:val="center"/>
          </w:tcPr>
          <w:p w14:paraId="79A7B896"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$53</w:t>
            </w:r>
            <w:r>
              <w:rPr>
                <w:rFonts w:ascii="Times New Roman" w:hAnsi="Times New Roman" w:cs="Times New Roman"/>
                <w:sz w:val="18"/>
                <w:szCs w:val="18"/>
              </w:rPr>
              <w:t>.764 m</w:t>
            </w:r>
          </w:p>
        </w:tc>
        <w:tc>
          <w:tcPr>
            <w:tcW w:w="1184" w:type="dxa"/>
            <w:tcBorders>
              <w:top w:val="nil"/>
              <w:left w:val="nil"/>
              <w:bottom w:val="single" w:sz="4" w:space="0" w:color="auto"/>
              <w:right w:val="single" w:sz="4" w:space="0" w:color="auto"/>
            </w:tcBorders>
            <w:shd w:val="clear" w:color="auto" w:fill="auto"/>
            <w:noWrap/>
            <w:vAlign w:val="center"/>
          </w:tcPr>
          <w:p w14:paraId="32613E51"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$33</w:t>
            </w:r>
            <w:r>
              <w:rPr>
                <w:rFonts w:ascii="Times New Roman" w:hAnsi="Times New Roman" w:cs="Times New Roman"/>
                <w:sz w:val="18"/>
                <w:szCs w:val="18"/>
              </w:rPr>
              <w:t>.397 m</w:t>
            </w:r>
          </w:p>
        </w:tc>
        <w:tc>
          <w:tcPr>
            <w:tcW w:w="1223" w:type="dxa"/>
            <w:tcBorders>
              <w:top w:val="nil"/>
              <w:left w:val="nil"/>
              <w:bottom w:val="single" w:sz="4" w:space="0" w:color="auto"/>
              <w:right w:val="single" w:sz="4" w:space="0" w:color="auto"/>
            </w:tcBorders>
            <w:shd w:val="clear" w:color="auto" w:fill="auto"/>
            <w:noWrap/>
            <w:vAlign w:val="center"/>
          </w:tcPr>
          <w:p w14:paraId="57A06B96" w14:textId="77777777" w:rsidR="003A4851" w:rsidRPr="0079209B" w:rsidRDefault="003A4851" w:rsidP="003A4851">
            <w:pPr>
              <w:spacing w:after="0"/>
              <w:rPr>
                <w:rFonts w:ascii="Times New Roman" w:hAnsi="Times New Roman" w:cs="Times New Roman"/>
                <w:sz w:val="18"/>
                <w:szCs w:val="18"/>
              </w:rPr>
            </w:pPr>
            <w:r w:rsidRPr="0079209B">
              <w:rPr>
                <w:rFonts w:ascii="Times New Roman" w:hAnsi="Times New Roman" w:cs="Times New Roman"/>
                <w:sz w:val="18"/>
                <w:szCs w:val="18"/>
              </w:rPr>
              <w:t>$17</w:t>
            </w:r>
            <w:r>
              <w:rPr>
                <w:rFonts w:ascii="Times New Roman" w:hAnsi="Times New Roman" w:cs="Times New Roman"/>
                <w:sz w:val="18"/>
                <w:szCs w:val="18"/>
              </w:rPr>
              <w:t>.543 m</w:t>
            </w:r>
          </w:p>
        </w:tc>
      </w:tr>
      <w:tr w:rsidR="003A4851" w:rsidRPr="0079209B" w14:paraId="7621F983" w14:textId="77777777" w:rsidTr="007373EF">
        <w:trPr>
          <w:trHeight w:val="423"/>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8961BD1"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Grand Total</w:t>
            </w:r>
          </w:p>
        </w:tc>
        <w:tc>
          <w:tcPr>
            <w:tcW w:w="1267" w:type="dxa"/>
            <w:tcBorders>
              <w:top w:val="nil"/>
              <w:left w:val="nil"/>
              <w:bottom w:val="single" w:sz="4" w:space="0" w:color="auto"/>
              <w:right w:val="single" w:sz="4" w:space="0" w:color="auto"/>
            </w:tcBorders>
            <w:shd w:val="clear" w:color="auto" w:fill="BFBFBF" w:themeFill="background1" w:themeFillShade="BF"/>
            <w:noWrap/>
            <w:vAlign w:val="center"/>
          </w:tcPr>
          <w:p w14:paraId="41B5EBDB" w14:textId="77777777" w:rsidR="003A4851" w:rsidRPr="0079209B" w:rsidRDefault="003A4851" w:rsidP="003A4851">
            <w:pPr>
              <w:spacing w:after="0"/>
              <w:jc w:val="center"/>
              <w:rPr>
                <w:rFonts w:ascii="Times New Roman" w:hAnsi="Times New Roman" w:cs="Times New Roman"/>
                <w:b/>
                <w:sz w:val="18"/>
                <w:szCs w:val="18"/>
              </w:rPr>
            </w:pPr>
            <w:r w:rsidRPr="00E535DE">
              <w:rPr>
                <w:rFonts w:ascii="Times New Roman" w:eastAsia="Times New Roman" w:hAnsi="Times New Roman" w:cs="Times New Roman"/>
                <w:b/>
                <w:bCs/>
                <w:sz w:val="18"/>
                <w:szCs w:val="18"/>
                <w:lang w:eastAsia="en-AU"/>
              </w:rPr>
              <w:t>13952</w:t>
            </w:r>
          </w:p>
        </w:tc>
        <w:tc>
          <w:tcPr>
            <w:tcW w:w="1002" w:type="dxa"/>
            <w:tcBorders>
              <w:top w:val="nil"/>
              <w:left w:val="nil"/>
              <w:bottom w:val="single" w:sz="4" w:space="0" w:color="auto"/>
              <w:right w:val="single" w:sz="4" w:space="0" w:color="auto"/>
            </w:tcBorders>
            <w:shd w:val="clear" w:color="auto" w:fill="BFBFBF" w:themeFill="background1" w:themeFillShade="BF"/>
            <w:noWrap/>
            <w:vAlign w:val="center"/>
          </w:tcPr>
          <w:p w14:paraId="7B25FC9C"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$66</w:t>
            </w:r>
            <w:r>
              <w:rPr>
                <w:rFonts w:ascii="Times New Roman" w:hAnsi="Times New Roman" w:cs="Times New Roman"/>
                <w:b/>
                <w:sz w:val="18"/>
                <w:szCs w:val="18"/>
              </w:rPr>
              <w:t>.74 m</w:t>
            </w:r>
          </w:p>
        </w:tc>
        <w:tc>
          <w:tcPr>
            <w:tcW w:w="1043" w:type="dxa"/>
            <w:tcBorders>
              <w:top w:val="nil"/>
              <w:left w:val="nil"/>
              <w:bottom w:val="single" w:sz="4" w:space="0" w:color="auto"/>
              <w:right w:val="single" w:sz="4" w:space="0" w:color="auto"/>
            </w:tcBorders>
            <w:shd w:val="clear" w:color="auto" w:fill="BFBFBF" w:themeFill="background1" w:themeFillShade="BF"/>
            <w:noWrap/>
            <w:vAlign w:val="center"/>
          </w:tcPr>
          <w:p w14:paraId="7B58D485"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$51</w:t>
            </w:r>
            <w:r>
              <w:rPr>
                <w:rFonts w:ascii="Times New Roman" w:hAnsi="Times New Roman" w:cs="Times New Roman"/>
                <w:b/>
                <w:sz w:val="18"/>
                <w:szCs w:val="18"/>
              </w:rPr>
              <w:t>.507 m</w:t>
            </w:r>
          </w:p>
        </w:tc>
        <w:tc>
          <w:tcPr>
            <w:tcW w:w="1055" w:type="dxa"/>
            <w:tcBorders>
              <w:top w:val="nil"/>
              <w:left w:val="nil"/>
              <w:bottom w:val="single" w:sz="4" w:space="0" w:color="auto"/>
              <w:right w:val="single" w:sz="4" w:space="0" w:color="auto"/>
            </w:tcBorders>
            <w:shd w:val="clear" w:color="auto" w:fill="BFBFBF" w:themeFill="background1" w:themeFillShade="BF"/>
            <w:noWrap/>
            <w:vAlign w:val="center"/>
          </w:tcPr>
          <w:p w14:paraId="19DDE915"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$74</w:t>
            </w:r>
            <w:r>
              <w:rPr>
                <w:rFonts w:ascii="Times New Roman" w:hAnsi="Times New Roman" w:cs="Times New Roman"/>
                <w:b/>
                <w:sz w:val="18"/>
                <w:szCs w:val="18"/>
              </w:rPr>
              <w:t>.761 m</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71437A5B"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$59</w:t>
            </w:r>
            <w:r>
              <w:rPr>
                <w:rFonts w:ascii="Times New Roman" w:hAnsi="Times New Roman" w:cs="Times New Roman"/>
                <w:b/>
                <w:sz w:val="18"/>
                <w:szCs w:val="18"/>
              </w:rPr>
              <w:t>.150 m</w:t>
            </w:r>
          </w:p>
        </w:tc>
        <w:tc>
          <w:tcPr>
            <w:tcW w:w="1156" w:type="dxa"/>
            <w:tcBorders>
              <w:top w:val="nil"/>
              <w:left w:val="nil"/>
              <w:bottom w:val="single" w:sz="4" w:space="0" w:color="auto"/>
              <w:right w:val="single" w:sz="4" w:space="0" w:color="auto"/>
            </w:tcBorders>
            <w:shd w:val="clear" w:color="auto" w:fill="BFBFBF" w:themeFill="background1" w:themeFillShade="BF"/>
            <w:noWrap/>
            <w:vAlign w:val="center"/>
          </w:tcPr>
          <w:p w14:paraId="44B9E9F2"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$111</w:t>
            </w:r>
            <w:r>
              <w:rPr>
                <w:rFonts w:ascii="Times New Roman" w:hAnsi="Times New Roman" w:cs="Times New Roman"/>
                <w:b/>
                <w:sz w:val="18"/>
                <w:szCs w:val="18"/>
              </w:rPr>
              <w:t>.124 m</w:t>
            </w:r>
          </w:p>
        </w:tc>
        <w:tc>
          <w:tcPr>
            <w:tcW w:w="1169" w:type="dxa"/>
            <w:tcBorders>
              <w:top w:val="nil"/>
              <w:left w:val="nil"/>
              <w:bottom w:val="single" w:sz="4" w:space="0" w:color="auto"/>
              <w:right w:val="single" w:sz="4" w:space="0" w:color="auto"/>
            </w:tcBorders>
            <w:shd w:val="clear" w:color="auto" w:fill="BFBFBF" w:themeFill="background1" w:themeFillShade="BF"/>
            <w:noWrap/>
            <w:vAlign w:val="center"/>
          </w:tcPr>
          <w:p w14:paraId="2B50D08B"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$153</w:t>
            </w:r>
            <w:r>
              <w:rPr>
                <w:rFonts w:ascii="Times New Roman" w:hAnsi="Times New Roman" w:cs="Times New Roman"/>
                <w:b/>
                <w:sz w:val="18"/>
                <w:szCs w:val="18"/>
              </w:rPr>
              <w:t>.689 m</w:t>
            </w:r>
          </w:p>
        </w:tc>
        <w:tc>
          <w:tcPr>
            <w:tcW w:w="1154" w:type="dxa"/>
            <w:tcBorders>
              <w:top w:val="nil"/>
              <w:left w:val="nil"/>
              <w:bottom w:val="single" w:sz="4" w:space="0" w:color="auto"/>
              <w:right w:val="single" w:sz="4" w:space="0" w:color="auto"/>
            </w:tcBorders>
            <w:shd w:val="clear" w:color="auto" w:fill="BFBFBF" w:themeFill="background1" w:themeFillShade="BF"/>
            <w:noWrap/>
            <w:vAlign w:val="center"/>
          </w:tcPr>
          <w:p w14:paraId="565D1FFD"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$158</w:t>
            </w:r>
            <w:r>
              <w:rPr>
                <w:rFonts w:ascii="Times New Roman" w:hAnsi="Times New Roman" w:cs="Times New Roman"/>
                <w:b/>
                <w:sz w:val="18"/>
                <w:szCs w:val="18"/>
              </w:rPr>
              <w:t>.277 m</w:t>
            </w:r>
          </w:p>
        </w:tc>
        <w:tc>
          <w:tcPr>
            <w:tcW w:w="1189" w:type="dxa"/>
            <w:tcBorders>
              <w:top w:val="nil"/>
              <w:left w:val="nil"/>
              <w:bottom w:val="single" w:sz="4" w:space="0" w:color="auto"/>
              <w:right w:val="single" w:sz="4" w:space="0" w:color="auto"/>
            </w:tcBorders>
            <w:shd w:val="clear" w:color="auto" w:fill="BFBFBF" w:themeFill="background1" w:themeFillShade="BF"/>
            <w:noWrap/>
            <w:vAlign w:val="center"/>
          </w:tcPr>
          <w:p w14:paraId="4DA10F4A"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$230</w:t>
            </w:r>
            <w:r>
              <w:rPr>
                <w:rFonts w:ascii="Times New Roman" w:hAnsi="Times New Roman" w:cs="Times New Roman"/>
                <w:b/>
                <w:sz w:val="18"/>
                <w:szCs w:val="18"/>
              </w:rPr>
              <w:t>.727 m</w:t>
            </w:r>
          </w:p>
        </w:tc>
        <w:tc>
          <w:tcPr>
            <w:tcW w:w="1186" w:type="dxa"/>
            <w:tcBorders>
              <w:top w:val="nil"/>
              <w:left w:val="nil"/>
              <w:bottom w:val="single" w:sz="4" w:space="0" w:color="auto"/>
              <w:right w:val="single" w:sz="4" w:space="0" w:color="auto"/>
            </w:tcBorders>
            <w:shd w:val="clear" w:color="auto" w:fill="BFBFBF" w:themeFill="background1" w:themeFillShade="BF"/>
            <w:noWrap/>
            <w:vAlign w:val="center"/>
          </w:tcPr>
          <w:p w14:paraId="36D476AE"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$257</w:t>
            </w:r>
            <w:r>
              <w:rPr>
                <w:rFonts w:ascii="Times New Roman" w:hAnsi="Times New Roman" w:cs="Times New Roman"/>
                <w:b/>
                <w:sz w:val="18"/>
                <w:szCs w:val="18"/>
              </w:rPr>
              <w:t>.247 m</w:t>
            </w:r>
          </w:p>
        </w:tc>
        <w:tc>
          <w:tcPr>
            <w:tcW w:w="1184" w:type="dxa"/>
            <w:tcBorders>
              <w:top w:val="nil"/>
              <w:left w:val="nil"/>
              <w:bottom w:val="single" w:sz="4" w:space="0" w:color="auto"/>
              <w:right w:val="single" w:sz="4" w:space="0" w:color="auto"/>
            </w:tcBorders>
            <w:shd w:val="clear" w:color="auto" w:fill="BFBFBF" w:themeFill="background1" w:themeFillShade="BF"/>
            <w:noWrap/>
            <w:vAlign w:val="center"/>
          </w:tcPr>
          <w:p w14:paraId="0FD9C12A"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$179</w:t>
            </w:r>
            <w:r>
              <w:rPr>
                <w:rFonts w:ascii="Times New Roman" w:hAnsi="Times New Roman" w:cs="Times New Roman"/>
                <w:b/>
                <w:sz w:val="18"/>
                <w:szCs w:val="18"/>
              </w:rPr>
              <w:t>.997 m</w:t>
            </w:r>
          </w:p>
        </w:tc>
        <w:tc>
          <w:tcPr>
            <w:tcW w:w="1223" w:type="dxa"/>
            <w:tcBorders>
              <w:top w:val="nil"/>
              <w:left w:val="nil"/>
              <w:bottom w:val="single" w:sz="4" w:space="0" w:color="auto"/>
              <w:right w:val="single" w:sz="4" w:space="0" w:color="auto"/>
            </w:tcBorders>
            <w:shd w:val="clear" w:color="auto" w:fill="BFBFBF" w:themeFill="background1" w:themeFillShade="BF"/>
            <w:noWrap/>
            <w:vAlign w:val="center"/>
          </w:tcPr>
          <w:p w14:paraId="2FD41478" w14:textId="77777777" w:rsidR="003A4851" w:rsidRPr="0079209B" w:rsidRDefault="003A4851" w:rsidP="003A4851">
            <w:pPr>
              <w:spacing w:after="0"/>
              <w:rPr>
                <w:rFonts w:ascii="Times New Roman" w:hAnsi="Times New Roman" w:cs="Times New Roman"/>
                <w:b/>
                <w:sz w:val="18"/>
                <w:szCs w:val="18"/>
              </w:rPr>
            </w:pPr>
            <w:r w:rsidRPr="0079209B">
              <w:rPr>
                <w:rFonts w:ascii="Times New Roman" w:hAnsi="Times New Roman" w:cs="Times New Roman"/>
                <w:b/>
                <w:sz w:val="18"/>
                <w:szCs w:val="18"/>
              </w:rPr>
              <w:t>$109</w:t>
            </w:r>
            <w:r>
              <w:rPr>
                <w:rFonts w:ascii="Times New Roman" w:hAnsi="Times New Roman" w:cs="Times New Roman"/>
                <w:b/>
                <w:sz w:val="18"/>
                <w:szCs w:val="18"/>
              </w:rPr>
              <w:t>.668 m</w:t>
            </w:r>
          </w:p>
        </w:tc>
      </w:tr>
    </w:tbl>
    <w:p w14:paraId="106E0018" w14:textId="77777777" w:rsidR="003A4851" w:rsidRDefault="003A4851" w:rsidP="003A4851">
      <w:pPr>
        <w:jc w:val="right"/>
        <w:rPr>
          <w:rFonts w:ascii="Times New Roman" w:hAnsi="Times New Roman" w:cs="Times New Roman"/>
          <w:b/>
          <w:sz w:val="24"/>
          <w:szCs w:val="24"/>
        </w:rPr>
      </w:pPr>
    </w:p>
    <w:p w14:paraId="6706429A" w14:textId="77777777" w:rsidR="003A4851" w:rsidRDefault="003A4851" w:rsidP="003A4851">
      <w:pPr>
        <w:jc w:val="right"/>
        <w:rPr>
          <w:rFonts w:ascii="Times New Roman" w:hAnsi="Times New Roman" w:cs="Times New Roman"/>
          <w:b/>
          <w:sz w:val="24"/>
          <w:szCs w:val="24"/>
        </w:rPr>
      </w:pPr>
    </w:p>
    <w:p w14:paraId="7635FC63" w14:textId="77777777" w:rsidR="003A4851" w:rsidRDefault="003A4851" w:rsidP="003A4851">
      <w:pPr>
        <w:jc w:val="right"/>
        <w:rPr>
          <w:rFonts w:ascii="Times New Roman" w:hAnsi="Times New Roman" w:cs="Times New Roman"/>
          <w:b/>
          <w:sz w:val="24"/>
          <w:szCs w:val="24"/>
        </w:rPr>
      </w:pPr>
    </w:p>
    <w:p w14:paraId="10205821" w14:textId="77777777" w:rsidR="003A4851" w:rsidRDefault="003A4851" w:rsidP="003A4851">
      <w:pPr>
        <w:jc w:val="right"/>
        <w:rPr>
          <w:rFonts w:ascii="Times New Roman" w:hAnsi="Times New Roman" w:cs="Times New Roman"/>
          <w:b/>
          <w:sz w:val="24"/>
          <w:szCs w:val="24"/>
        </w:rPr>
      </w:pPr>
    </w:p>
    <w:p w14:paraId="43E1AEB3" w14:textId="77777777" w:rsidR="003A4851" w:rsidRDefault="003A4851" w:rsidP="003A4851">
      <w:pPr>
        <w:jc w:val="right"/>
        <w:rPr>
          <w:rFonts w:ascii="Times New Roman" w:hAnsi="Times New Roman" w:cs="Times New Roman"/>
          <w:b/>
          <w:sz w:val="24"/>
          <w:szCs w:val="24"/>
        </w:rPr>
      </w:pPr>
    </w:p>
    <w:p w14:paraId="43F7D228" w14:textId="77777777" w:rsidR="003A4851" w:rsidRDefault="003A4851">
      <w:pPr>
        <w:rPr>
          <w:rFonts w:ascii="Times New Roman" w:eastAsiaTheme="majorEastAsia" w:hAnsi="Times New Roman" w:cs="Times New Roman"/>
          <w:b/>
          <w:spacing w:val="5"/>
          <w:kern w:val="28"/>
          <w:sz w:val="24"/>
          <w:szCs w:val="24"/>
        </w:rPr>
      </w:pPr>
    </w:p>
    <w:p w14:paraId="15462D2A" w14:textId="77777777" w:rsidR="003A4851" w:rsidRDefault="003A4851">
      <w:pPr>
        <w:rPr>
          <w:rFonts w:ascii="Times New Roman" w:eastAsiaTheme="majorEastAsia" w:hAnsi="Times New Roman" w:cs="Times New Roman"/>
          <w:b/>
          <w:spacing w:val="5"/>
          <w:kern w:val="28"/>
          <w:sz w:val="24"/>
          <w:szCs w:val="24"/>
        </w:rPr>
      </w:pPr>
      <w:r>
        <w:rPr>
          <w:rFonts w:ascii="Times New Roman" w:eastAsiaTheme="majorEastAsia" w:hAnsi="Times New Roman" w:cs="Times New Roman"/>
          <w:b/>
          <w:spacing w:val="5"/>
          <w:kern w:val="28"/>
          <w:sz w:val="24"/>
          <w:szCs w:val="24"/>
        </w:rPr>
        <w:br w:type="page"/>
      </w:r>
    </w:p>
    <w:p w14:paraId="403F5590" w14:textId="77777777" w:rsidR="00A234EA" w:rsidRPr="00367329" w:rsidRDefault="00A234EA" w:rsidP="00A234EA">
      <w:pPr>
        <w:spacing w:after="0" w:line="240" w:lineRule="auto"/>
        <w:jc w:val="right"/>
        <w:rPr>
          <w:rFonts w:ascii="Times New Roman" w:eastAsiaTheme="majorEastAsia" w:hAnsi="Times New Roman" w:cs="Times New Roman"/>
          <w:b/>
          <w:spacing w:val="5"/>
          <w:kern w:val="28"/>
          <w:sz w:val="24"/>
          <w:szCs w:val="24"/>
        </w:rPr>
      </w:pPr>
      <w:r w:rsidRPr="00367329">
        <w:rPr>
          <w:rFonts w:ascii="Times New Roman" w:eastAsiaTheme="majorEastAsia" w:hAnsi="Times New Roman" w:cs="Times New Roman"/>
          <w:b/>
          <w:spacing w:val="5"/>
          <w:kern w:val="28"/>
          <w:sz w:val="24"/>
          <w:szCs w:val="24"/>
        </w:rPr>
        <w:lastRenderedPageBreak/>
        <w:t xml:space="preserve">Attachment </w:t>
      </w:r>
      <w:r w:rsidR="000E2A94">
        <w:rPr>
          <w:rFonts w:ascii="Times New Roman" w:eastAsiaTheme="majorEastAsia" w:hAnsi="Times New Roman" w:cs="Times New Roman"/>
          <w:b/>
          <w:spacing w:val="5"/>
          <w:kern w:val="28"/>
          <w:sz w:val="24"/>
          <w:szCs w:val="24"/>
        </w:rPr>
        <w:t>C</w:t>
      </w:r>
    </w:p>
    <w:p w14:paraId="58C23CB8" w14:textId="77777777" w:rsidR="0049239C" w:rsidRPr="009A1998" w:rsidRDefault="003A4851" w:rsidP="0049239C">
      <w:pPr>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Industry profile</w:t>
      </w:r>
      <w:r w:rsidR="0049239C" w:rsidRPr="009A1998">
        <w:rPr>
          <w:rFonts w:ascii="Times New Roman" w:hAnsi="Times New Roman" w:cs="Times New Roman"/>
          <w:b/>
          <w:sz w:val="28"/>
          <w:szCs w:val="28"/>
        </w:rPr>
        <w:t xml:space="preserve"> </w:t>
      </w:r>
      <w:r>
        <w:rPr>
          <w:rFonts w:ascii="Times New Roman" w:hAnsi="Times New Roman" w:cs="Times New Roman"/>
          <w:b/>
          <w:sz w:val="28"/>
          <w:szCs w:val="28"/>
        </w:rPr>
        <w:t>of</w:t>
      </w:r>
      <w:r w:rsidRPr="009A1998">
        <w:rPr>
          <w:rFonts w:ascii="Times New Roman" w:hAnsi="Times New Roman" w:cs="Times New Roman"/>
          <w:b/>
          <w:sz w:val="28"/>
          <w:szCs w:val="28"/>
        </w:rPr>
        <w:t xml:space="preserve"> assistance </w:t>
      </w:r>
      <w:r>
        <w:rPr>
          <w:rFonts w:ascii="Times New Roman" w:hAnsi="Times New Roman" w:cs="Times New Roman"/>
          <w:b/>
          <w:sz w:val="28"/>
          <w:szCs w:val="28"/>
        </w:rPr>
        <w:t>paid under schemes -</w:t>
      </w:r>
      <w:r w:rsidR="0049239C" w:rsidRPr="009A1998">
        <w:rPr>
          <w:rFonts w:ascii="Times New Roman" w:hAnsi="Times New Roman" w:cs="Times New Roman"/>
          <w:b/>
          <w:sz w:val="28"/>
          <w:szCs w:val="28"/>
        </w:rPr>
        <w:t xml:space="preserve"> 2004-05 to 201</w:t>
      </w:r>
      <w:r w:rsidR="0049239C">
        <w:rPr>
          <w:rFonts w:ascii="Times New Roman" w:hAnsi="Times New Roman" w:cs="Times New Roman"/>
          <w:b/>
          <w:sz w:val="28"/>
          <w:szCs w:val="28"/>
        </w:rPr>
        <w:t>4</w:t>
      </w:r>
      <w:r w:rsidR="0049239C" w:rsidRPr="009A1998">
        <w:rPr>
          <w:rFonts w:ascii="Times New Roman" w:hAnsi="Times New Roman" w:cs="Times New Roman"/>
          <w:b/>
          <w:sz w:val="28"/>
          <w:szCs w:val="28"/>
        </w:rPr>
        <w:t>-1</w:t>
      </w:r>
      <w:r w:rsidR="0049239C">
        <w:rPr>
          <w:rFonts w:ascii="Times New Roman" w:hAnsi="Times New Roman" w:cs="Times New Roman"/>
          <w:b/>
          <w:sz w:val="28"/>
          <w:szCs w:val="28"/>
        </w:rPr>
        <w:t>5 (as at 31 December 2014)</w:t>
      </w:r>
    </w:p>
    <w:tbl>
      <w:tblPr>
        <w:tblW w:w="16451" w:type="dxa"/>
        <w:jc w:val="center"/>
        <w:tblInd w:w="162" w:type="dxa"/>
        <w:tblLayout w:type="fixed"/>
        <w:tblLook w:val="04A0" w:firstRow="1" w:lastRow="0" w:firstColumn="1" w:lastColumn="0" w:noHBand="0" w:noVBand="1"/>
      </w:tblPr>
      <w:tblGrid>
        <w:gridCol w:w="1925"/>
        <w:gridCol w:w="850"/>
        <w:gridCol w:w="1134"/>
        <w:gridCol w:w="1134"/>
        <w:gridCol w:w="1208"/>
        <w:gridCol w:w="1202"/>
        <w:gridCol w:w="1276"/>
        <w:gridCol w:w="1276"/>
        <w:gridCol w:w="1275"/>
        <w:gridCol w:w="1276"/>
        <w:gridCol w:w="1276"/>
        <w:gridCol w:w="1276"/>
        <w:gridCol w:w="1343"/>
      </w:tblGrid>
      <w:tr w:rsidR="00742003" w:rsidRPr="0049239C" w14:paraId="177ADB6C" w14:textId="77777777" w:rsidTr="007373EF">
        <w:trPr>
          <w:trHeight w:val="438"/>
          <w:jc w:val="center"/>
        </w:trPr>
        <w:tc>
          <w:tcPr>
            <w:tcW w:w="1925"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2EA03CA8" w14:textId="77777777" w:rsidR="0049239C" w:rsidRPr="007373EF" w:rsidRDefault="0049239C" w:rsidP="007373EF">
            <w:pPr>
              <w:spacing w:after="0" w:line="240" w:lineRule="auto"/>
              <w:ind w:left="305"/>
              <w:rPr>
                <w:rFonts w:ascii="Times New Roman" w:eastAsia="Times New Roman" w:hAnsi="Times New Roman" w:cs="Times New Roman"/>
                <w:b/>
                <w:bCs/>
                <w:color w:val="000000"/>
                <w:sz w:val="16"/>
                <w:szCs w:val="16"/>
                <w:lang w:eastAsia="en-AU"/>
              </w:rPr>
            </w:pPr>
            <w:r w:rsidRPr="007373EF">
              <w:rPr>
                <w:rFonts w:ascii="Times New Roman" w:eastAsia="Times New Roman" w:hAnsi="Times New Roman" w:cs="Times New Roman"/>
                <w:b/>
                <w:bCs/>
                <w:color w:val="000000"/>
                <w:sz w:val="16"/>
                <w:szCs w:val="16"/>
                <w:lang w:eastAsia="en-AU"/>
              </w:rPr>
              <w:t>Industry</w:t>
            </w:r>
          </w:p>
        </w:tc>
        <w:tc>
          <w:tcPr>
            <w:tcW w:w="850" w:type="dxa"/>
            <w:tcBorders>
              <w:top w:val="single" w:sz="8" w:space="0" w:color="auto"/>
              <w:left w:val="nil"/>
              <w:bottom w:val="single" w:sz="8" w:space="0" w:color="auto"/>
              <w:right w:val="single" w:sz="8" w:space="0" w:color="auto"/>
            </w:tcBorders>
            <w:shd w:val="clear" w:color="000000" w:fill="808080"/>
            <w:vAlign w:val="center"/>
            <w:hideMark/>
          </w:tcPr>
          <w:p w14:paraId="5443BC64"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Entities</w:t>
            </w:r>
          </w:p>
        </w:tc>
        <w:tc>
          <w:tcPr>
            <w:tcW w:w="1134" w:type="dxa"/>
            <w:tcBorders>
              <w:top w:val="single" w:sz="8" w:space="0" w:color="auto"/>
              <w:left w:val="nil"/>
              <w:bottom w:val="single" w:sz="8" w:space="0" w:color="auto"/>
              <w:right w:val="single" w:sz="8" w:space="0" w:color="auto"/>
            </w:tcBorders>
            <w:shd w:val="clear" w:color="000000" w:fill="808080"/>
            <w:noWrap/>
            <w:vAlign w:val="center"/>
            <w:hideMark/>
          </w:tcPr>
          <w:p w14:paraId="459F2D7B"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2004-05</w:t>
            </w:r>
          </w:p>
        </w:tc>
        <w:tc>
          <w:tcPr>
            <w:tcW w:w="1134" w:type="dxa"/>
            <w:tcBorders>
              <w:top w:val="single" w:sz="8" w:space="0" w:color="auto"/>
              <w:left w:val="nil"/>
              <w:bottom w:val="single" w:sz="8" w:space="0" w:color="auto"/>
              <w:right w:val="single" w:sz="8" w:space="0" w:color="auto"/>
            </w:tcBorders>
            <w:shd w:val="clear" w:color="000000" w:fill="808080"/>
            <w:noWrap/>
            <w:vAlign w:val="center"/>
            <w:hideMark/>
          </w:tcPr>
          <w:p w14:paraId="06A0A9C5"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2005-06</w:t>
            </w:r>
          </w:p>
        </w:tc>
        <w:tc>
          <w:tcPr>
            <w:tcW w:w="1208" w:type="dxa"/>
            <w:tcBorders>
              <w:top w:val="single" w:sz="8" w:space="0" w:color="auto"/>
              <w:left w:val="nil"/>
              <w:bottom w:val="single" w:sz="8" w:space="0" w:color="auto"/>
              <w:right w:val="single" w:sz="8" w:space="0" w:color="auto"/>
            </w:tcBorders>
            <w:shd w:val="clear" w:color="000000" w:fill="808080"/>
            <w:noWrap/>
            <w:vAlign w:val="center"/>
            <w:hideMark/>
          </w:tcPr>
          <w:p w14:paraId="5C9D9520"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2006-07</w:t>
            </w:r>
          </w:p>
        </w:tc>
        <w:tc>
          <w:tcPr>
            <w:tcW w:w="1202" w:type="dxa"/>
            <w:tcBorders>
              <w:top w:val="single" w:sz="8" w:space="0" w:color="auto"/>
              <w:left w:val="nil"/>
              <w:bottom w:val="single" w:sz="8" w:space="0" w:color="auto"/>
              <w:right w:val="single" w:sz="8" w:space="0" w:color="auto"/>
            </w:tcBorders>
            <w:shd w:val="clear" w:color="000000" w:fill="808080"/>
            <w:noWrap/>
            <w:vAlign w:val="center"/>
            <w:hideMark/>
          </w:tcPr>
          <w:p w14:paraId="246ECD0F"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2007-08</w:t>
            </w:r>
          </w:p>
        </w:tc>
        <w:tc>
          <w:tcPr>
            <w:tcW w:w="1276" w:type="dxa"/>
            <w:tcBorders>
              <w:top w:val="single" w:sz="8" w:space="0" w:color="auto"/>
              <w:left w:val="nil"/>
              <w:bottom w:val="single" w:sz="8" w:space="0" w:color="auto"/>
              <w:right w:val="single" w:sz="8" w:space="0" w:color="auto"/>
            </w:tcBorders>
            <w:shd w:val="clear" w:color="000000" w:fill="808080"/>
            <w:noWrap/>
            <w:vAlign w:val="center"/>
            <w:hideMark/>
          </w:tcPr>
          <w:p w14:paraId="49BD8985"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2008-09</w:t>
            </w:r>
          </w:p>
        </w:tc>
        <w:tc>
          <w:tcPr>
            <w:tcW w:w="1276" w:type="dxa"/>
            <w:tcBorders>
              <w:top w:val="single" w:sz="8" w:space="0" w:color="auto"/>
              <w:left w:val="nil"/>
              <w:bottom w:val="single" w:sz="8" w:space="0" w:color="auto"/>
              <w:right w:val="single" w:sz="8" w:space="0" w:color="auto"/>
            </w:tcBorders>
            <w:shd w:val="clear" w:color="000000" w:fill="808080"/>
            <w:noWrap/>
            <w:vAlign w:val="center"/>
            <w:hideMark/>
          </w:tcPr>
          <w:p w14:paraId="0751A1B1"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2009-10</w:t>
            </w:r>
          </w:p>
        </w:tc>
        <w:tc>
          <w:tcPr>
            <w:tcW w:w="1275" w:type="dxa"/>
            <w:tcBorders>
              <w:top w:val="single" w:sz="8" w:space="0" w:color="auto"/>
              <w:left w:val="nil"/>
              <w:bottom w:val="single" w:sz="8" w:space="0" w:color="auto"/>
              <w:right w:val="single" w:sz="8" w:space="0" w:color="auto"/>
            </w:tcBorders>
            <w:shd w:val="clear" w:color="000000" w:fill="808080"/>
            <w:noWrap/>
            <w:vAlign w:val="center"/>
            <w:hideMark/>
          </w:tcPr>
          <w:p w14:paraId="61B4A5C4"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2010-11</w:t>
            </w:r>
          </w:p>
        </w:tc>
        <w:tc>
          <w:tcPr>
            <w:tcW w:w="1276" w:type="dxa"/>
            <w:tcBorders>
              <w:top w:val="single" w:sz="8" w:space="0" w:color="auto"/>
              <w:left w:val="nil"/>
              <w:bottom w:val="single" w:sz="8" w:space="0" w:color="auto"/>
              <w:right w:val="single" w:sz="8" w:space="0" w:color="auto"/>
            </w:tcBorders>
            <w:shd w:val="clear" w:color="000000" w:fill="808080"/>
            <w:noWrap/>
            <w:vAlign w:val="center"/>
            <w:hideMark/>
          </w:tcPr>
          <w:p w14:paraId="6A483F52"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2011-12</w:t>
            </w:r>
          </w:p>
        </w:tc>
        <w:tc>
          <w:tcPr>
            <w:tcW w:w="1276" w:type="dxa"/>
            <w:tcBorders>
              <w:top w:val="single" w:sz="8" w:space="0" w:color="auto"/>
              <w:left w:val="nil"/>
              <w:bottom w:val="single" w:sz="8" w:space="0" w:color="auto"/>
              <w:right w:val="single" w:sz="8" w:space="0" w:color="auto"/>
            </w:tcBorders>
            <w:shd w:val="clear" w:color="000000" w:fill="808080"/>
            <w:noWrap/>
            <w:vAlign w:val="center"/>
            <w:hideMark/>
          </w:tcPr>
          <w:p w14:paraId="70B214F0"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2012-13</w:t>
            </w:r>
          </w:p>
        </w:tc>
        <w:tc>
          <w:tcPr>
            <w:tcW w:w="1276" w:type="dxa"/>
            <w:tcBorders>
              <w:top w:val="single" w:sz="8" w:space="0" w:color="auto"/>
              <w:left w:val="nil"/>
              <w:bottom w:val="single" w:sz="8" w:space="0" w:color="auto"/>
              <w:right w:val="single" w:sz="8" w:space="0" w:color="auto"/>
            </w:tcBorders>
            <w:shd w:val="clear" w:color="000000" w:fill="808080"/>
            <w:noWrap/>
            <w:vAlign w:val="center"/>
            <w:hideMark/>
          </w:tcPr>
          <w:p w14:paraId="7ADA2775" w14:textId="77777777" w:rsidR="0049239C" w:rsidRPr="0049239C" w:rsidRDefault="0049239C" w:rsidP="0049239C">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2013-14</w:t>
            </w:r>
          </w:p>
        </w:tc>
        <w:tc>
          <w:tcPr>
            <w:tcW w:w="1343" w:type="dxa"/>
            <w:tcBorders>
              <w:top w:val="single" w:sz="8" w:space="0" w:color="auto"/>
              <w:left w:val="nil"/>
              <w:bottom w:val="single" w:sz="8" w:space="0" w:color="auto"/>
              <w:right w:val="single" w:sz="8" w:space="0" w:color="auto"/>
            </w:tcBorders>
            <w:shd w:val="clear" w:color="000000" w:fill="808080"/>
            <w:vAlign w:val="center"/>
            <w:hideMark/>
          </w:tcPr>
          <w:p w14:paraId="1E289F7A" w14:textId="77777777" w:rsidR="0049239C" w:rsidRPr="0049239C" w:rsidRDefault="0049239C" w:rsidP="007373EF">
            <w:pPr>
              <w:spacing w:after="0" w:line="240" w:lineRule="auto"/>
              <w:jc w:val="center"/>
              <w:rPr>
                <w:rFonts w:ascii="Times New Roman" w:eastAsia="Times New Roman" w:hAnsi="Times New Roman" w:cs="Times New Roman"/>
                <w:b/>
                <w:bCs/>
                <w:color w:val="000000"/>
                <w:sz w:val="16"/>
                <w:szCs w:val="16"/>
                <w:lang w:eastAsia="en-AU"/>
              </w:rPr>
            </w:pPr>
            <w:r w:rsidRPr="0049239C">
              <w:rPr>
                <w:rFonts w:ascii="Times New Roman" w:eastAsia="Times New Roman" w:hAnsi="Times New Roman" w:cs="Times New Roman"/>
                <w:b/>
                <w:bCs/>
                <w:color w:val="000000"/>
                <w:sz w:val="16"/>
                <w:szCs w:val="16"/>
                <w:lang w:eastAsia="en-AU"/>
              </w:rPr>
              <w:t>2014-15</w:t>
            </w:r>
          </w:p>
        </w:tc>
      </w:tr>
      <w:tr w:rsidR="00742003" w:rsidRPr="0049239C" w14:paraId="5DB6CD85"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5F407861"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Accommodation and Food Services</w:t>
            </w:r>
          </w:p>
        </w:tc>
        <w:tc>
          <w:tcPr>
            <w:tcW w:w="850" w:type="dxa"/>
            <w:tcBorders>
              <w:top w:val="nil"/>
              <w:left w:val="nil"/>
              <w:bottom w:val="single" w:sz="8" w:space="0" w:color="auto"/>
              <w:right w:val="single" w:sz="8" w:space="0" w:color="auto"/>
            </w:tcBorders>
            <w:shd w:val="clear" w:color="auto" w:fill="auto"/>
            <w:noWrap/>
            <w:vAlign w:val="center"/>
            <w:hideMark/>
          </w:tcPr>
          <w:p w14:paraId="4756F947"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1193</w:t>
            </w:r>
          </w:p>
        </w:tc>
        <w:tc>
          <w:tcPr>
            <w:tcW w:w="1134" w:type="dxa"/>
            <w:tcBorders>
              <w:top w:val="nil"/>
              <w:left w:val="nil"/>
              <w:bottom w:val="single" w:sz="8" w:space="0" w:color="auto"/>
              <w:right w:val="single" w:sz="8" w:space="0" w:color="auto"/>
            </w:tcBorders>
            <w:shd w:val="clear" w:color="auto" w:fill="auto"/>
            <w:noWrap/>
            <w:vAlign w:val="center"/>
            <w:hideMark/>
          </w:tcPr>
          <w:p w14:paraId="6EA6030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$1,253,321.61</w:t>
            </w:r>
          </w:p>
        </w:tc>
        <w:tc>
          <w:tcPr>
            <w:tcW w:w="1134" w:type="dxa"/>
            <w:tcBorders>
              <w:top w:val="nil"/>
              <w:left w:val="nil"/>
              <w:bottom w:val="single" w:sz="8" w:space="0" w:color="auto"/>
              <w:right w:val="single" w:sz="8" w:space="0" w:color="auto"/>
            </w:tcBorders>
            <w:shd w:val="clear" w:color="auto" w:fill="auto"/>
            <w:noWrap/>
            <w:vAlign w:val="center"/>
            <w:hideMark/>
          </w:tcPr>
          <w:p w14:paraId="71CF863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$1,995,827.39</w:t>
            </w:r>
          </w:p>
        </w:tc>
        <w:tc>
          <w:tcPr>
            <w:tcW w:w="1208" w:type="dxa"/>
            <w:tcBorders>
              <w:top w:val="nil"/>
              <w:left w:val="nil"/>
              <w:bottom w:val="single" w:sz="8" w:space="0" w:color="auto"/>
              <w:right w:val="single" w:sz="8" w:space="0" w:color="auto"/>
            </w:tcBorders>
            <w:shd w:val="clear" w:color="auto" w:fill="auto"/>
            <w:noWrap/>
            <w:vAlign w:val="center"/>
            <w:hideMark/>
          </w:tcPr>
          <w:p w14:paraId="415C3E3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$1,637,945.26</w:t>
            </w:r>
          </w:p>
        </w:tc>
        <w:tc>
          <w:tcPr>
            <w:tcW w:w="1202" w:type="dxa"/>
            <w:tcBorders>
              <w:top w:val="nil"/>
              <w:left w:val="nil"/>
              <w:bottom w:val="single" w:sz="8" w:space="0" w:color="auto"/>
              <w:right w:val="single" w:sz="8" w:space="0" w:color="auto"/>
            </w:tcBorders>
            <w:shd w:val="clear" w:color="auto" w:fill="auto"/>
            <w:noWrap/>
            <w:vAlign w:val="center"/>
            <w:hideMark/>
          </w:tcPr>
          <w:p w14:paraId="0ACB051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$1,955,684.88</w:t>
            </w:r>
          </w:p>
        </w:tc>
        <w:tc>
          <w:tcPr>
            <w:tcW w:w="1276" w:type="dxa"/>
            <w:tcBorders>
              <w:top w:val="nil"/>
              <w:left w:val="nil"/>
              <w:bottom w:val="single" w:sz="8" w:space="0" w:color="auto"/>
              <w:right w:val="single" w:sz="8" w:space="0" w:color="auto"/>
            </w:tcBorders>
            <w:shd w:val="clear" w:color="auto" w:fill="auto"/>
            <w:noWrap/>
            <w:vAlign w:val="center"/>
            <w:hideMark/>
          </w:tcPr>
          <w:p w14:paraId="29901A8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$2,654,472.56</w:t>
            </w:r>
          </w:p>
        </w:tc>
        <w:tc>
          <w:tcPr>
            <w:tcW w:w="1276" w:type="dxa"/>
            <w:tcBorders>
              <w:top w:val="nil"/>
              <w:left w:val="nil"/>
              <w:bottom w:val="single" w:sz="8" w:space="0" w:color="auto"/>
              <w:right w:val="single" w:sz="8" w:space="0" w:color="auto"/>
            </w:tcBorders>
            <w:shd w:val="clear" w:color="auto" w:fill="auto"/>
            <w:noWrap/>
            <w:vAlign w:val="center"/>
            <w:hideMark/>
          </w:tcPr>
          <w:p w14:paraId="1856839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$2,162,683.95</w:t>
            </w:r>
          </w:p>
        </w:tc>
        <w:tc>
          <w:tcPr>
            <w:tcW w:w="1275" w:type="dxa"/>
            <w:tcBorders>
              <w:top w:val="nil"/>
              <w:left w:val="nil"/>
              <w:bottom w:val="single" w:sz="8" w:space="0" w:color="auto"/>
              <w:right w:val="single" w:sz="8" w:space="0" w:color="auto"/>
            </w:tcBorders>
            <w:shd w:val="clear" w:color="auto" w:fill="auto"/>
            <w:noWrap/>
            <w:vAlign w:val="center"/>
            <w:hideMark/>
          </w:tcPr>
          <w:p w14:paraId="4A02E37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$4,106,937.38</w:t>
            </w:r>
          </w:p>
        </w:tc>
        <w:tc>
          <w:tcPr>
            <w:tcW w:w="1276" w:type="dxa"/>
            <w:tcBorders>
              <w:top w:val="nil"/>
              <w:left w:val="nil"/>
              <w:bottom w:val="single" w:sz="8" w:space="0" w:color="auto"/>
              <w:right w:val="single" w:sz="8" w:space="0" w:color="auto"/>
            </w:tcBorders>
            <w:shd w:val="clear" w:color="auto" w:fill="auto"/>
            <w:noWrap/>
            <w:vAlign w:val="center"/>
            <w:hideMark/>
          </w:tcPr>
          <w:p w14:paraId="6BDD1B2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$7,679,049.99</w:t>
            </w:r>
          </w:p>
        </w:tc>
        <w:tc>
          <w:tcPr>
            <w:tcW w:w="1276" w:type="dxa"/>
            <w:tcBorders>
              <w:top w:val="nil"/>
              <w:left w:val="nil"/>
              <w:bottom w:val="single" w:sz="8" w:space="0" w:color="auto"/>
              <w:right w:val="single" w:sz="8" w:space="0" w:color="auto"/>
            </w:tcBorders>
            <w:shd w:val="clear" w:color="auto" w:fill="auto"/>
            <w:noWrap/>
            <w:vAlign w:val="center"/>
            <w:hideMark/>
          </w:tcPr>
          <w:p w14:paraId="1C66A51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$7,931,747.33</w:t>
            </w:r>
          </w:p>
        </w:tc>
        <w:tc>
          <w:tcPr>
            <w:tcW w:w="1276" w:type="dxa"/>
            <w:tcBorders>
              <w:top w:val="nil"/>
              <w:left w:val="nil"/>
              <w:bottom w:val="single" w:sz="8" w:space="0" w:color="auto"/>
              <w:right w:val="single" w:sz="8" w:space="0" w:color="auto"/>
            </w:tcBorders>
            <w:shd w:val="clear" w:color="auto" w:fill="auto"/>
            <w:noWrap/>
            <w:vAlign w:val="center"/>
            <w:hideMark/>
          </w:tcPr>
          <w:p w14:paraId="28D856F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$4,485,013.21</w:t>
            </w:r>
          </w:p>
        </w:tc>
        <w:tc>
          <w:tcPr>
            <w:tcW w:w="1343" w:type="dxa"/>
            <w:tcBorders>
              <w:top w:val="nil"/>
              <w:left w:val="nil"/>
              <w:bottom w:val="single" w:sz="8" w:space="0" w:color="auto"/>
              <w:right w:val="single" w:sz="8" w:space="0" w:color="auto"/>
            </w:tcBorders>
            <w:shd w:val="clear" w:color="auto" w:fill="auto"/>
            <w:noWrap/>
            <w:vAlign w:val="center"/>
            <w:hideMark/>
          </w:tcPr>
          <w:p w14:paraId="0E8D4C5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$1,398,961.78</w:t>
            </w:r>
          </w:p>
        </w:tc>
      </w:tr>
      <w:tr w:rsidR="00742003" w:rsidRPr="0049239C" w14:paraId="475A4301"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48F74354"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Administrative and Support Services</w:t>
            </w:r>
          </w:p>
        </w:tc>
        <w:tc>
          <w:tcPr>
            <w:tcW w:w="850" w:type="dxa"/>
            <w:tcBorders>
              <w:top w:val="nil"/>
              <w:left w:val="nil"/>
              <w:bottom w:val="single" w:sz="8" w:space="0" w:color="auto"/>
              <w:right w:val="single" w:sz="8" w:space="0" w:color="auto"/>
            </w:tcBorders>
            <w:shd w:val="clear" w:color="auto" w:fill="auto"/>
            <w:noWrap/>
            <w:vAlign w:val="center"/>
            <w:hideMark/>
          </w:tcPr>
          <w:p w14:paraId="50DEC974"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608</w:t>
            </w:r>
          </w:p>
        </w:tc>
        <w:tc>
          <w:tcPr>
            <w:tcW w:w="1134" w:type="dxa"/>
            <w:tcBorders>
              <w:top w:val="nil"/>
              <w:left w:val="nil"/>
              <w:bottom w:val="single" w:sz="8" w:space="0" w:color="auto"/>
              <w:right w:val="single" w:sz="8" w:space="0" w:color="auto"/>
            </w:tcBorders>
            <w:shd w:val="clear" w:color="auto" w:fill="auto"/>
            <w:noWrap/>
            <w:vAlign w:val="center"/>
            <w:hideMark/>
          </w:tcPr>
          <w:p w14:paraId="0DE33C1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$1,804,755.85</w:t>
            </w:r>
          </w:p>
        </w:tc>
        <w:tc>
          <w:tcPr>
            <w:tcW w:w="1134" w:type="dxa"/>
            <w:tcBorders>
              <w:top w:val="nil"/>
              <w:left w:val="nil"/>
              <w:bottom w:val="single" w:sz="8" w:space="0" w:color="auto"/>
              <w:right w:val="single" w:sz="8" w:space="0" w:color="auto"/>
            </w:tcBorders>
            <w:shd w:val="clear" w:color="auto" w:fill="auto"/>
            <w:noWrap/>
            <w:vAlign w:val="center"/>
            <w:hideMark/>
          </w:tcPr>
          <w:p w14:paraId="6185D74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$3,392,848.25</w:t>
            </w:r>
          </w:p>
        </w:tc>
        <w:tc>
          <w:tcPr>
            <w:tcW w:w="1208" w:type="dxa"/>
            <w:tcBorders>
              <w:top w:val="nil"/>
              <w:left w:val="nil"/>
              <w:bottom w:val="single" w:sz="8" w:space="0" w:color="auto"/>
              <w:right w:val="single" w:sz="8" w:space="0" w:color="auto"/>
            </w:tcBorders>
            <w:shd w:val="clear" w:color="auto" w:fill="auto"/>
            <w:noWrap/>
            <w:vAlign w:val="center"/>
            <w:hideMark/>
          </w:tcPr>
          <w:p w14:paraId="669FFE0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$2,390,650.97</w:t>
            </w:r>
          </w:p>
        </w:tc>
        <w:tc>
          <w:tcPr>
            <w:tcW w:w="1202" w:type="dxa"/>
            <w:tcBorders>
              <w:top w:val="nil"/>
              <w:left w:val="nil"/>
              <w:bottom w:val="single" w:sz="8" w:space="0" w:color="auto"/>
              <w:right w:val="single" w:sz="8" w:space="0" w:color="auto"/>
            </w:tcBorders>
            <w:shd w:val="clear" w:color="auto" w:fill="auto"/>
            <w:noWrap/>
            <w:vAlign w:val="center"/>
            <w:hideMark/>
          </w:tcPr>
          <w:p w14:paraId="22E23B5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$1,016,068.09</w:t>
            </w:r>
          </w:p>
        </w:tc>
        <w:tc>
          <w:tcPr>
            <w:tcW w:w="1276" w:type="dxa"/>
            <w:tcBorders>
              <w:top w:val="nil"/>
              <w:left w:val="nil"/>
              <w:bottom w:val="single" w:sz="8" w:space="0" w:color="auto"/>
              <w:right w:val="single" w:sz="8" w:space="0" w:color="auto"/>
            </w:tcBorders>
            <w:shd w:val="clear" w:color="auto" w:fill="auto"/>
            <w:noWrap/>
            <w:vAlign w:val="center"/>
            <w:hideMark/>
          </w:tcPr>
          <w:p w14:paraId="5C0AA9A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$5,856,292.52</w:t>
            </w:r>
          </w:p>
        </w:tc>
        <w:tc>
          <w:tcPr>
            <w:tcW w:w="1276" w:type="dxa"/>
            <w:tcBorders>
              <w:top w:val="nil"/>
              <w:left w:val="nil"/>
              <w:bottom w:val="single" w:sz="8" w:space="0" w:color="auto"/>
              <w:right w:val="single" w:sz="8" w:space="0" w:color="auto"/>
            </w:tcBorders>
            <w:shd w:val="clear" w:color="auto" w:fill="auto"/>
            <w:noWrap/>
            <w:vAlign w:val="center"/>
            <w:hideMark/>
          </w:tcPr>
          <w:p w14:paraId="201A747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$10,129,994.74</w:t>
            </w:r>
          </w:p>
        </w:tc>
        <w:tc>
          <w:tcPr>
            <w:tcW w:w="1275" w:type="dxa"/>
            <w:tcBorders>
              <w:top w:val="nil"/>
              <w:left w:val="nil"/>
              <w:bottom w:val="single" w:sz="8" w:space="0" w:color="auto"/>
              <w:right w:val="single" w:sz="8" w:space="0" w:color="auto"/>
            </w:tcBorders>
            <w:shd w:val="clear" w:color="auto" w:fill="auto"/>
            <w:noWrap/>
            <w:vAlign w:val="center"/>
            <w:hideMark/>
          </w:tcPr>
          <w:p w14:paraId="31F286B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$17,563,318.01</w:t>
            </w:r>
          </w:p>
        </w:tc>
        <w:tc>
          <w:tcPr>
            <w:tcW w:w="1276" w:type="dxa"/>
            <w:tcBorders>
              <w:top w:val="nil"/>
              <w:left w:val="nil"/>
              <w:bottom w:val="single" w:sz="8" w:space="0" w:color="auto"/>
              <w:right w:val="single" w:sz="8" w:space="0" w:color="auto"/>
            </w:tcBorders>
            <w:shd w:val="clear" w:color="auto" w:fill="auto"/>
            <w:noWrap/>
            <w:vAlign w:val="center"/>
            <w:hideMark/>
          </w:tcPr>
          <w:p w14:paraId="40270EF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$6,845,830.60</w:t>
            </w:r>
          </w:p>
        </w:tc>
        <w:tc>
          <w:tcPr>
            <w:tcW w:w="1276" w:type="dxa"/>
            <w:tcBorders>
              <w:top w:val="nil"/>
              <w:left w:val="nil"/>
              <w:bottom w:val="single" w:sz="8" w:space="0" w:color="auto"/>
              <w:right w:val="single" w:sz="8" w:space="0" w:color="auto"/>
            </w:tcBorders>
            <w:shd w:val="clear" w:color="auto" w:fill="auto"/>
            <w:noWrap/>
            <w:vAlign w:val="center"/>
            <w:hideMark/>
          </w:tcPr>
          <w:p w14:paraId="3577116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$9,852,431.13</w:t>
            </w:r>
          </w:p>
        </w:tc>
        <w:tc>
          <w:tcPr>
            <w:tcW w:w="1276" w:type="dxa"/>
            <w:tcBorders>
              <w:top w:val="nil"/>
              <w:left w:val="nil"/>
              <w:bottom w:val="single" w:sz="8" w:space="0" w:color="auto"/>
              <w:right w:val="single" w:sz="8" w:space="0" w:color="auto"/>
            </w:tcBorders>
            <w:shd w:val="clear" w:color="auto" w:fill="auto"/>
            <w:noWrap/>
            <w:vAlign w:val="center"/>
            <w:hideMark/>
          </w:tcPr>
          <w:p w14:paraId="33E42C5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$3,278,469.60</w:t>
            </w:r>
          </w:p>
        </w:tc>
        <w:tc>
          <w:tcPr>
            <w:tcW w:w="1343" w:type="dxa"/>
            <w:tcBorders>
              <w:top w:val="nil"/>
              <w:left w:val="nil"/>
              <w:bottom w:val="single" w:sz="8" w:space="0" w:color="auto"/>
              <w:right w:val="single" w:sz="8" w:space="0" w:color="auto"/>
            </w:tcBorders>
            <w:shd w:val="clear" w:color="auto" w:fill="auto"/>
            <w:noWrap/>
            <w:vAlign w:val="center"/>
            <w:hideMark/>
          </w:tcPr>
          <w:p w14:paraId="5385996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$2,127,260.37</w:t>
            </w:r>
          </w:p>
        </w:tc>
      </w:tr>
      <w:tr w:rsidR="00742003" w:rsidRPr="0049239C" w14:paraId="12602DDD"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6CC9679C"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Agriculture, Forestry and Fishing</w:t>
            </w:r>
          </w:p>
        </w:tc>
        <w:tc>
          <w:tcPr>
            <w:tcW w:w="850" w:type="dxa"/>
            <w:tcBorders>
              <w:top w:val="nil"/>
              <w:left w:val="nil"/>
              <w:bottom w:val="single" w:sz="8" w:space="0" w:color="auto"/>
              <w:right w:val="single" w:sz="8" w:space="0" w:color="auto"/>
            </w:tcBorders>
            <w:shd w:val="clear" w:color="auto" w:fill="auto"/>
            <w:noWrap/>
            <w:vAlign w:val="center"/>
            <w:hideMark/>
          </w:tcPr>
          <w:p w14:paraId="0598BB3E"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185</w:t>
            </w:r>
          </w:p>
        </w:tc>
        <w:tc>
          <w:tcPr>
            <w:tcW w:w="1134" w:type="dxa"/>
            <w:tcBorders>
              <w:top w:val="nil"/>
              <w:left w:val="nil"/>
              <w:bottom w:val="single" w:sz="8" w:space="0" w:color="auto"/>
              <w:right w:val="single" w:sz="8" w:space="0" w:color="auto"/>
            </w:tcBorders>
            <w:shd w:val="clear" w:color="auto" w:fill="auto"/>
            <w:noWrap/>
            <w:vAlign w:val="center"/>
            <w:hideMark/>
          </w:tcPr>
          <w:p w14:paraId="4F53FED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$1,282,167.44</w:t>
            </w:r>
          </w:p>
        </w:tc>
        <w:tc>
          <w:tcPr>
            <w:tcW w:w="1134" w:type="dxa"/>
            <w:tcBorders>
              <w:top w:val="nil"/>
              <w:left w:val="nil"/>
              <w:bottom w:val="single" w:sz="8" w:space="0" w:color="auto"/>
              <w:right w:val="single" w:sz="8" w:space="0" w:color="auto"/>
            </w:tcBorders>
            <w:shd w:val="clear" w:color="auto" w:fill="auto"/>
            <w:noWrap/>
            <w:vAlign w:val="center"/>
            <w:hideMark/>
          </w:tcPr>
          <w:p w14:paraId="64640BE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$1,009,146.13</w:t>
            </w:r>
          </w:p>
        </w:tc>
        <w:tc>
          <w:tcPr>
            <w:tcW w:w="1208" w:type="dxa"/>
            <w:tcBorders>
              <w:top w:val="nil"/>
              <w:left w:val="nil"/>
              <w:bottom w:val="single" w:sz="8" w:space="0" w:color="auto"/>
              <w:right w:val="single" w:sz="8" w:space="0" w:color="auto"/>
            </w:tcBorders>
            <w:shd w:val="clear" w:color="auto" w:fill="auto"/>
            <w:noWrap/>
            <w:vAlign w:val="center"/>
            <w:hideMark/>
          </w:tcPr>
          <w:p w14:paraId="6D2913D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$915,997.10</w:t>
            </w:r>
          </w:p>
        </w:tc>
        <w:tc>
          <w:tcPr>
            <w:tcW w:w="1202" w:type="dxa"/>
            <w:tcBorders>
              <w:top w:val="nil"/>
              <w:left w:val="nil"/>
              <w:bottom w:val="single" w:sz="8" w:space="0" w:color="auto"/>
              <w:right w:val="single" w:sz="8" w:space="0" w:color="auto"/>
            </w:tcBorders>
            <w:shd w:val="clear" w:color="auto" w:fill="auto"/>
            <w:noWrap/>
            <w:vAlign w:val="center"/>
            <w:hideMark/>
          </w:tcPr>
          <w:p w14:paraId="5BEB6CD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$1,886,940.24</w:t>
            </w:r>
          </w:p>
        </w:tc>
        <w:tc>
          <w:tcPr>
            <w:tcW w:w="1276" w:type="dxa"/>
            <w:tcBorders>
              <w:top w:val="nil"/>
              <w:left w:val="nil"/>
              <w:bottom w:val="single" w:sz="8" w:space="0" w:color="auto"/>
              <w:right w:val="single" w:sz="8" w:space="0" w:color="auto"/>
            </w:tcBorders>
            <w:shd w:val="clear" w:color="auto" w:fill="auto"/>
            <w:noWrap/>
            <w:vAlign w:val="center"/>
            <w:hideMark/>
          </w:tcPr>
          <w:p w14:paraId="71BC058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$993,456.01</w:t>
            </w:r>
          </w:p>
        </w:tc>
        <w:tc>
          <w:tcPr>
            <w:tcW w:w="1276" w:type="dxa"/>
            <w:tcBorders>
              <w:top w:val="nil"/>
              <w:left w:val="nil"/>
              <w:bottom w:val="single" w:sz="8" w:space="0" w:color="auto"/>
              <w:right w:val="single" w:sz="8" w:space="0" w:color="auto"/>
            </w:tcBorders>
            <w:shd w:val="clear" w:color="auto" w:fill="auto"/>
            <w:noWrap/>
            <w:vAlign w:val="center"/>
            <w:hideMark/>
          </w:tcPr>
          <w:p w14:paraId="552C91B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$3,341,427.55</w:t>
            </w:r>
          </w:p>
        </w:tc>
        <w:tc>
          <w:tcPr>
            <w:tcW w:w="1275" w:type="dxa"/>
            <w:tcBorders>
              <w:top w:val="nil"/>
              <w:left w:val="nil"/>
              <w:bottom w:val="single" w:sz="8" w:space="0" w:color="auto"/>
              <w:right w:val="single" w:sz="8" w:space="0" w:color="auto"/>
            </w:tcBorders>
            <w:shd w:val="clear" w:color="auto" w:fill="auto"/>
            <w:noWrap/>
            <w:vAlign w:val="center"/>
            <w:hideMark/>
          </w:tcPr>
          <w:p w14:paraId="29DFD20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$1,381,528.36</w:t>
            </w:r>
          </w:p>
        </w:tc>
        <w:tc>
          <w:tcPr>
            <w:tcW w:w="1276" w:type="dxa"/>
            <w:tcBorders>
              <w:top w:val="nil"/>
              <w:left w:val="nil"/>
              <w:bottom w:val="single" w:sz="8" w:space="0" w:color="auto"/>
              <w:right w:val="single" w:sz="8" w:space="0" w:color="auto"/>
            </w:tcBorders>
            <w:shd w:val="clear" w:color="auto" w:fill="auto"/>
            <w:noWrap/>
            <w:vAlign w:val="center"/>
            <w:hideMark/>
          </w:tcPr>
          <w:p w14:paraId="0A88621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$1,102,001.94</w:t>
            </w:r>
          </w:p>
        </w:tc>
        <w:tc>
          <w:tcPr>
            <w:tcW w:w="1276" w:type="dxa"/>
            <w:tcBorders>
              <w:top w:val="nil"/>
              <w:left w:val="nil"/>
              <w:bottom w:val="single" w:sz="8" w:space="0" w:color="auto"/>
              <w:right w:val="single" w:sz="8" w:space="0" w:color="auto"/>
            </w:tcBorders>
            <w:shd w:val="clear" w:color="auto" w:fill="auto"/>
            <w:noWrap/>
            <w:vAlign w:val="center"/>
            <w:hideMark/>
          </w:tcPr>
          <w:p w14:paraId="2D28754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$2,849,454.54</w:t>
            </w:r>
          </w:p>
        </w:tc>
        <w:tc>
          <w:tcPr>
            <w:tcW w:w="1276" w:type="dxa"/>
            <w:tcBorders>
              <w:top w:val="nil"/>
              <w:left w:val="nil"/>
              <w:bottom w:val="single" w:sz="8" w:space="0" w:color="auto"/>
              <w:right w:val="single" w:sz="8" w:space="0" w:color="auto"/>
            </w:tcBorders>
            <w:shd w:val="clear" w:color="auto" w:fill="auto"/>
            <w:noWrap/>
            <w:vAlign w:val="center"/>
            <w:hideMark/>
          </w:tcPr>
          <w:p w14:paraId="042926D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$1,073,246.06</w:t>
            </w:r>
          </w:p>
        </w:tc>
        <w:tc>
          <w:tcPr>
            <w:tcW w:w="1343" w:type="dxa"/>
            <w:tcBorders>
              <w:top w:val="nil"/>
              <w:left w:val="nil"/>
              <w:bottom w:val="single" w:sz="8" w:space="0" w:color="auto"/>
              <w:right w:val="single" w:sz="8" w:space="0" w:color="auto"/>
            </w:tcBorders>
            <w:shd w:val="clear" w:color="auto" w:fill="auto"/>
            <w:noWrap/>
            <w:vAlign w:val="center"/>
            <w:hideMark/>
          </w:tcPr>
          <w:p w14:paraId="39C33F4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$250,097.63</w:t>
            </w:r>
          </w:p>
        </w:tc>
      </w:tr>
      <w:tr w:rsidR="00742003" w:rsidRPr="0049239C" w14:paraId="0FA90C51"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0ECC364E"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Arts and Recreation Services</w:t>
            </w:r>
          </w:p>
        </w:tc>
        <w:tc>
          <w:tcPr>
            <w:tcW w:w="850" w:type="dxa"/>
            <w:tcBorders>
              <w:top w:val="nil"/>
              <w:left w:val="nil"/>
              <w:bottom w:val="single" w:sz="8" w:space="0" w:color="auto"/>
              <w:right w:val="single" w:sz="8" w:space="0" w:color="auto"/>
            </w:tcBorders>
            <w:shd w:val="clear" w:color="auto" w:fill="auto"/>
            <w:noWrap/>
            <w:vAlign w:val="center"/>
            <w:hideMark/>
          </w:tcPr>
          <w:p w14:paraId="4B4BF898"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210</w:t>
            </w:r>
          </w:p>
        </w:tc>
        <w:tc>
          <w:tcPr>
            <w:tcW w:w="1134" w:type="dxa"/>
            <w:tcBorders>
              <w:top w:val="nil"/>
              <w:left w:val="nil"/>
              <w:bottom w:val="single" w:sz="8" w:space="0" w:color="auto"/>
              <w:right w:val="single" w:sz="8" w:space="0" w:color="auto"/>
            </w:tcBorders>
            <w:shd w:val="clear" w:color="auto" w:fill="auto"/>
            <w:noWrap/>
            <w:vAlign w:val="center"/>
            <w:hideMark/>
          </w:tcPr>
          <w:p w14:paraId="3C8CCA2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$1,053,056.19</w:t>
            </w:r>
          </w:p>
        </w:tc>
        <w:tc>
          <w:tcPr>
            <w:tcW w:w="1134" w:type="dxa"/>
            <w:tcBorders>
              <w:top w:val="nil"/>
              <w:left w:val="nil"/>
              <w:bottom w:val="single" w:sz="8" w:space="0" w:color="auto"/>
              <w:right w:val="single" w:sz="8" w:space="0" w:color="auto"/>
            </w:tcBorders>
            <w:shd w:val="clear" w:color="auto" w:fill="auto"/>
            <w:noWrap/>
            <w:vAlign w:val="center"/>
            <w:hideMark/>
          </w:tcPr>
          <w:p w14:paraId="0033A8A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$117,045.38</w:t>
            </w:r>
          </w:p>
        </w:tc>
        <w:tc>
          <w:tcPr>
            <w:tcW w:w="1208" w:type="dxa"/>
            <w:tcBorders>
              <w:top w:val="nil"/>
              <w:left w:val="nil"/>
              <w:bottom w:val="single" w:sz="8" w:space="0" w:color="auto"/>
              <w:right w:val="single" w:sz="8" w:space="0" w:color="auto"/>
            </w:tcBorders>
            <w:shd w:val="clear" w:color="auto" w:fill="auto"/>
            <w:noWrap/>
            <w:vAlign w:val="center"/>
            <w:hideMark/>
          </w:tcPr>
          <w:p w14:paraId="58D93BB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$432,648.40</w:t>
            </w:r>
          </w:p>
        </w:tc>
        <w:tc>
          <w:tcPr>
            <w:tcW w:w="1202" w:type="dxa"/>
            <w:tcBorders>
              <w:top w:val="nil"/>
              <w:left w:val="nil"/>
              <w:bottom w:val="single" w:sz="8" w:space="0" w:color="auto"/>
              <w:right w:val="single" w:sz="8" w:space="0" w:color="auto"/>
            </w:tcBorders>
            <w:shd w:val="clear" w:color="auto" w:fill="auto"/>
            <w:noWrap/>
            <w:vAlign w:val="center"/>
            <w:hideMark/>
          </w:tcPr>
          <w:p w14:paraId="20D4FF2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$660,638.32</w:t>
            </w:r>
          </w:p>
        </w:tc>
        <w:tc>
          <w:tcPr>
            <w:tcW w:w="1276" w:type="dxa"/>
            <w:tcBorders>
              <w:top w:val="nil"/>
              <w:left w:val="nil"/>
              <w:bottom w:val="single" w:sz="8" w:space="0" w:color="auto"/>
              <w:right w:val="single" w:sz="8" w:space="0" w:color="auto"/>
            </w:tcBorders>
            <w:shd w:val="clear" w:color="auto" w:fill="auto"/>
            <w:noWrap/>
            <w:vAlign w:val="center"/>
            <w:hideMark/>
          </w:tcPr>
          <w:p w14:paraId="264C4B7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$1,529,120.46</w:t>
            </w:r>
          </w:p>
        </w:tc>
        <w:tc>
          <w:tcPr>
            <w:tcW w:w="1276" w:type="dxa"/>
            <w:tcBorders>
              <w:top w:val="nil"/>
              <w:left w:val="nil"/>
              <w:bottom w:val="single" w:sz="8" w:space="0" w:color="auto"/>
              <w:right w:val="single" w:sz="8" w:space="0" w:color="auto"/>
            </w:tcBorders>
            <w:shd w:val="clear" w:color="auto" w:fill="auto"/>
            <w:noWrap/>
            <w:vAlign w:val="center"/>
            <w:hideMark/>
          </w:tcPr>
          <w:p w14:paraId="57F7C9B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$3,682,321.41</w:t>
            </w:r>
          </w:p>
        </w:tc>
        <w:tc>
          <w:tcPr>
            <w:tcW w:w="1275" w:type="dxa"/>
            <w:tcBorders>
              <w:top w:val="nil"/>
              <w:left w:val="nil"/>
              <w:bottom w:val="single" w:sz="8" w:space="0" w:color="auto"/>
              <w:right w:val="single" w:sz="8" w:space="0" w:color="auto"/>
            </w:tcBorders>
            <w:shd w:val="clear" w:color="auto" w:fill="auto"/>
            <w:noWrap/>
            <w:vAlign w:val="center"/>
            <w:hideMark/>
          </w:tcPr>
          <w:p w14:paraId="5802D8E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$2,331,194.93</w:t>
            </w:r>
          </w:p>
        </w:tc>
        <w:tc>
          <w:tcPr>
            <w:tcW w:w="1276" w:type="dxa"/>
            <w:tcBorders>
              <w:top w:val="nil"/>
              <w:left w:val="nil"/>
              <w:bottom w:val="single" w:sz="8" w:space="0" w:color="auto"/>
              <w:right w:val="single" w:sz="8" w:space="0" w:color="auto"/>
            </w:tcBorders>
            <w:shd w:val="clear" w:color="auto" w:fill="auto"/>
            <w:noWrap/>
            <w:vAlign w:val="center"/>
            <w:hideMark/>
          </w:tcPr>
          <w:p w14:paraId="0049260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$2,438,509.22</w:t>
            </w:r>
          </w:p>
        </w:tc>
        <w:tc>
          <w:tcPr>
            <w:tcW w:w="1276" w:type="dxa"/>
            <w:tcBorders>
              <w:top w:val="nil"/>
              <w:left w:val="nil"/>
              <w:bottom w:val="single" w:sz="8" w:space="0" w:color="auto"/>
              <w:right w:val="single" w:sz="8" w:space="0" w:color="auto"/>
            </w:tcBorders>
            <w:shd w:val="clear" w:color="auto" w:fill="auto"/>
            <w:noWrap/>
            <w:vAlign w:val="center"/>
            <w:hideMark/>
          </w:tcPr>
          <w:p w14:paraId="1144FF9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$2,580,329.83</w:t>
            </w:r>
          </w:p>
        </w:tc>
        <w:tc>
          <w:tcPr>
            <w:tcW w:w="1276" w:type="dxa"/>
            <w:tcBorders>
              <w:top w:val="nil"/>
              <w:left w:val="nil"/>
              <w:bottom w:val="single" w:sz="8" w:space="0" w:color="auto"/>
              <w:right w:val="single" w:sz="8" w:space="0" w:color="auto"/>
            </w:tcBorders>
            <w:shd w:val="clear" w:color="auto" w:fill="auto"/>
            <w:noWrap/>
            <w:vAlign w:val="center"/>
            <w:hideMark/>
          </w:tcPr>
          <w:p w14:paraId="1F0EE36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$573,731.96</w:t>
            </w:r>
          </w:p>
        </w:tc>
        <w:tc>
          <w:tcPr>
            <w:tcW w:w="1343" w:type="dxa"/>
            <w:tcBorders>
              <w:top w:val="nil"/>
              <w:left w:val="nil"/>
              <w:bottom w:val="single" w:sz="8" w:space="0" w:color="auto"/>
              <w:right w:val="single" w:sz="8" w:space="0" w:color="auto"/>
            </w:tcBorders>
            <w:shd w:val="clear" w:color="auto" w:fill="auto"/>
            <w:noWrap/>
            <w:vAlign w:val="center"/>
            <w:hideMark/>
          </w:tcPr>
          <w:p w14:paraId="1937E06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$927,405.20</w:t>
            </w:r>
          </w:p>
        </w:tc>
      </w:tr>
      <w:tr w:rsidR="00742003" w:rsidRPr="0049239C" w14:paraId="6B4A2B37"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634A2FAE"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Construction</w:t>
            </w:r>
          </w:p>
        </w:tc>
        <w:tc>
          <w:tcPr>
            <w:tcW w:w="850" w:type="dxa"/>
            <w:tcBorders>
              <w:top w:val="nil"/>
              <w:left w:val="nil"/>
              <w:bottom w:val="single" w:sz="8" w:space="0" w:color="auto"/>
              <w:right w:val="single" w:sz="8" w:space="0" w:color="auto"/>
            </w:tcBorders>
            <w:shd w:val="clear" w:color="auto" w:fill="auto"/>
            <w:noWrap/>
            <w:vAlign w:val="center"/>
            <w:hideMark/>
          </w:tcPr>
          <w:p w14:paraId="3013FF27"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2307</w:t>
            </w:r>
          </w:p>
        </w:tc>
        <w:tc>
          <w:tcPr>
            <w:tcW w:w="1134" w:type="dxa"/>
            <w:tcBorders>
              <w:top w:val="nil"/>
              <w:left w:val="nil"/>
              <w:bottom w:val="single" w:sz="8" w:space="0" w:color="auto"/>
              <w:right w:val="single" w:sz="8" w:space="0" w:color="auto"/>
            </w:tcBorders>
            <w:shd w:val="clear" w:color="auto" w:fill="auto"/>
            <w:noWrap/>
            <w:vAlign w:val="center"/>
            <w:hideMark/>
          </w:tcPr>
          <w:p w14:paraId="0A3045F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$13,203,371.06</w:t>
            </w:r>
          </w:p>
        </w:tc>
        <w:tc>
          <w:tcPr>
            <w:tcW w:w="1134" w:type="dxa"/>
            <w:tcBorders>
              <w:top w:val="nil"/>
              <w:left w:val="nil"/>
              <w:bottom w:val="single" w:sz="8" w:space="0" w:color="auto"/>
              <w:right w:val="single" w:sz="8" w:space="0" w:color="auto"/>
            </w:tcBorders>
            <w:shd w:val="clear" w:color="auto" w:fill="auto"/>
            <w:noWrap/>
            <w:vAlign w:val="center"/>
            <w:hideMark/>
          </w:tcPr>
          <w:p w14:paraId="78F8396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$3,714,541.24</w:t>
            </w:r>
          </w:p>
        </w:tc>
        <w:tc>
          <w:tcPr>
            <w:tcW w:w="1208" w:type="dxa"/>
            <w:tcBorders>
              <w:top w:val="nil"/>
              <w:left w:val="nil"/>
              <w:bottom w:val="single" w:sz="8" w:space="0" w:color="auto"/>
              <w:right w:val="single" w:sz="8" w:space="0" w:color="auto"/>
            </w:tcBorders>
            <w:shd w:val="clear" w:color="auto" w:fill="auto"/>
            <w:noWrap/>
            <w:vAlign w:val="center"/>
            <w:hideMark/>
          </w:tcPr>
          <w:p w14:paraId="65BEA16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$7,588,603.40</w:t>
            </w:r>
          </w:p>
        </w:tc>
        <w:tc>
          <w:tcPr>
            <w:tcW w:w="1202" w:type="dxa"/>
            <w:tcBorders>
              <w:top w:val="nil"/>
              <w:left w:val="nil"/>
              <w:bottom w:val="single" w:sz="8" w:space="0" w:color="auto"/>
              <w:right w:val="single" w:sz="8" w:space="0" w:color="auto"/>
            </w:tcBorders>
            <w:shd w:val="clear" w:color="auto" w:fill="auto"/>
            <w:noWrap/>
            <w:vAlign w:val="center"/>
            <w:hideMark/>
          </w:tcPr>
          <w:p w14:paraId="5D437BE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$9,010,729.23</w:t>
            </w:r>
          </w:p>
        </w:tc>
        <w:tc>
          <w:tcPr>
            <w:tcW w:w="1276" w:type="dxa"/>
            <w:tcBorders>
              <w:top w:val="nil"/>
              <w:left w:val="nil"/>
              <w:bottom w:val="single" w:sz="8" w:space="0" w:color="auto"/>
              <w:right w:val="single" w:sz="8" w:space="0" w:color="auto"/>
            </w:tcBorders>
            <w:shd w:val="clear" w:color="auto" w:fill="auto"/>
            <w:noWrap/>
            <w:vAlign w:val="center"/>
            <w:hideMark/>
          </w:tcPr>
          <w:p w14:paraId="00F46A2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$12,850,383.43</w:t>
            </w:r>
          </w:p>
        </w:tc>
        <w:tc>
          <w:tcPr>
            <w:tcW w:w="1276" w:type="dxa"/>
            <w:tcBorders>
              <w:top w:val="nil"/>
              <w:left w:val="nil"/>
              <w:bottom w:val="single" w:sz="8" w:space="0" w:color="auto"/>
              <w:right w:val="single" w:sz="8" w:space="0" w:color="auto"/>
            </w:tcBorders>
            <w:shd w:val="clear" w:color="auto" w:fill="auto"/>
            <w:noWrap/>
            <w:vAlign w:val="center"/>
            <w:hideMark/>
          </w:tcPr>
          <w:p w14:paraId="3B9997A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$17,702,391.72</w:t>
            </w:r>
          </w:p>
        </w:tc>
        <w:tc>
          <w:tcPr>
            <w:tcW w:w="1275" w:type="dxa"/>
            <w:tcBorders>
              <w:top w:val="nil"/>
              <w:left w:val="nil"/>
              <w:bottom w:val="single" w:sz="8" w:space="0" w:color="auto"/>
              <w:right w:val="single" w:sz="8" w:space="0" w:color="auto"/>
            </w:tcBorders>
            <w:shd w:val="clear" w:color="auto" w:fill="auto"/>
            <w:noWrap/>
            <w:vAlign w:val="center"/>
            <w:hideMark/>
          </w:tcPr>
          <w:p w14:paraId="0E5C166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$22,588,249.89</w:t>
            </w:r>
          </w:p>
        </w:tc>
        <w:tc>
          <w:tcPr>
            <w:tcW w:w="1276" w:type="dxa"/>
            <w:tcBorders>
              <w:top w:val="nil"/>
              <w:left w:val="nil"/>
              <w:bottom w:val="single" w:sz="8" w:space="0" w:color="auto"/>
              <w:right w:val="single" w:sz="8" w:space="0" w:color="auto"/>
            </w:tcBorders>
            <w:shd w:val="clear" w:color="auto" w:fill="auto"/>
            <w:noWrap/>
            <w:vAlign w:val="center"/>
            <w:hideMark/>
          </w:tcPr>
          <w:p w14:paraId="7DD40A7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$33,691,181.84</w:t>
            </w:r>
          </w:p>
        </w:tc>
        <w:tc>
          <w:tcPr>
            <w:tcW w:w="1276" w:type="dxa"/>
            <w:tcBorders>
              <w:top w:val="nil"/>
              <w:left w:val="nil"/>
              <w:bottom w:val="single" w:sz="8" w:space="0" w:color="auto"/>
              <w:right w:val="single" w:sz="8" w:space="0" w:color="auto"/>
            </w:tcBorders>
            <w:shd w:val="clear" w:color="auto" w:fill="auto"/>
            <w:noWrap/>
            <w:vAlign w:val="center"/>
            <w:hideMark/>
          </w:tcPr>
          <w:p w14:paraId="4AA3498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$69,309,138.10</w:t>
            </w:r>
          </w:p>
        </w:tc>
        <w:tc>
          <w:tcPr>
            <w:tcW w:w="1276" w:type="dxa"/>
            <w:tcBorders>
              <w:top w:val="nil"/>
              <w:left w:val="nil"/>
              <w:bottom w:val="single" w:sz="8" w:space="0" w:color="auto"/>
              <w:right w:val="single" w:sz="8" w:space="0" w:color="auto"/>
            </w:tcBorders>
            <w:shd w:val="clear" w:color="auto" w:fill="auto"/>
            <w:noWrap/>
            <w:vAlign w:val="center"/>
            <w:hideMark/>
          </w:tcPr>
          <w:p w14:paraId="7548C47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$23,787,370.31</w:t>
            </w:r>
          </w:p>
        </w:tc>
        <w:tc>
          <w:tcPr>
            <w:tcW w:w="1343" w:type="dxa"/>
            <w:tcBorders>
              <w:top w:val="nil"/>
              <w:left w:val="nil"/>
              <w:bottom w:val="single" w:sz="8" w:space="0" w:color="auto"/>
              <w:right w:val="single" w:sz="8" w:space="0" w:color="auto"/>
            </w:tcBorders>
            <w:shd w:val="clear" w:color="auto" w:fill="auto"/>
            <w:noWrap/>
            <w:vAlign w:val="center"/>
            <w:hideMark/>
          </w:tcPr>
          <w:p w14:paraId="03A4FB5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$12,756,686.27</w:t>
            </w:r>
          </w:p>
        </w:tc>
      </w:tr>
      <w:tr w:rsidR="00742003" w:rsidRPr="0049239C" w14:paraId="0CD497FF"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1768C030"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Education and Training</w:t>
            </w:r>
          </w:p>
        </w:tc>
        <w:tc>
          <w:tcPr>
            <w:tcW w:w="850" w:type="dxa"/>
            <w:tcBorders>
              <w:top w:val="nil"/>
              <w:left w:val="nil"/>
              <w:bottom w:val="single" w:sz="8" w:space="0" w:color="auto"/>
              <w:right w:val="single" w:sz="8" w:space="0" w:color="auto"/>
            </w:tcBorders>
            <w:shd w:val="clear" w:color="auto" w:fill="auto"/>
            <w:noWrap/>
            <w:vAlign w:val="center"/>
            <w:hideMark/>
          </w:tcPr>
          <w:p w14:paraId="28A1B7CC"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226</w:t>
            </w:r>
          </w:p>
        </w:tc>
        <w:tc>
          <w:tcPr>
            <w:tcW w:w="1134" w:type="dxa"/>
            <w:tcBorders>
              <w:top w:val="nil"/>
              <w:left w:val="nil"/>
              <w:bottom w:val="single" w:sz="8" w:space="0" w:color="auto"/>
              <w:right w:val="single" w:sz="8" w:space="0" w:color="auto"/>
            </w:tcBorders>
            <w:shd w:val="clear" w:color="auto" w:fill="auto"/>
            <w:noWrap/>
            <w:vAlign w:val="center"/>
            <w:hideMark/>
          </w:tcPr>
          <w:p w14:paraId="5F14D61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$681,424.49</w:t>
            </w:r>
          </w:p>
        </w:tc>
        <w:tc>
          <w:tcPr>
            <w:tcW w:w="1134" w:type="dxa"/>
            <w:tcBorders>
              <w:top w:val="nil"/>
              <w:left w:val="nil"/>
              <w:bottom w:val="single" w:sz="8" w:space="0" w:color="auto"/>
              <w:right w:val="single" w:sz="8" w:space="0" w:color="auto"/>
            </w:tcBorders>
            <w:shd w:val="clear" w:color="auto" w:fill="auto"/>
            <w:noWrap/>
            <w:vAlign w:val="center"/>
            <w:hideMark/>
          </w:tcPr>
          <w:p w14:paraId="3D66070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$1,320,579.77</w:t>
            </w:r>
          </w:p>
        </w:tc>
        <w:tc>
          <w:tcPr>
            <w:tcW w:w="1208" w:type="dxa"/>
            <w:tcBorders>
              <w:top w:val="nil"/>
              <w:left w:val="nil"/>
              <w:bottom w:val="single" w:sz="8" w:space="0" w:color="auto"/>
              <w:right w:val="single" w:sz="8" w:space="0" w:color="auto"/>
            </w:tcBorders>
            <w:shd w:val="clear" w:color="auto" w:fill="auto"/>
            <w:noWrap/>
            <w:vAlign w:val="center"/>
            <w:hideMark/>
          </w:tcPr>
          <w:p w14:paraId="0E29374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$1,326,609.68</w:t>
            </w:r>
          </w:p>
        </w:tc>
        <w:tc>
          <w:tcPr>
            <w:tcW w:w="1202" w:type="dxa"/>
            <w:tcBorders>
              <w:top w:val="nil"/>
              <w:left w:val="nil"/>
              <w:bottom w:val="single" w:sz="8" w:space="0" w:color="auto"/>
              <w:right w:val="single" w:sz="8" w:space="0" w:color="auto"/>
            </w:tcBorders>
            <w:shd w:val="clear" w:color="auto" w:fill="auto"/>
            <w:noWrap/>
            <w:vAlign w:val="center"/>
            <w:hideMark/>
          </w:tcPr>
          <w:p w14:paraId="5E3A18B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$783,742.59</w:t>
            </w:r>
          </w:p>
        </w:tc>
        <w:tc>
          <w:tcPr>
            <w:tcW w:w="1276" w:type="dxa"/>
            <w:tcBorders>
              <w:top w:val="nil"/>
              <w:left w:val="nil"/>
              <w:bottom w:val="single" w:sz="8" w:space="0" w:color="auto"/>
              <w:right w:val="single" w:sz="8" w:space="0" w:color="auto"/>
            </w:tcBorders>
            <w:shd w:val="clear" w:color="auto" w:fill="auto"/>
            <w:noWrap/>
            <w:vAlign w:val="center"/>
            <w:hideMark/>
          </w:tcPr>
          <w:p w14:paraId="75D3560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$2,929,244.45</w:t>
            </w:r>
          </w:p>
        </w:tc>
        <w:tc>
          <w:tcPr>
            <w:tcW w:w="1276" w:type="dxa"/>
            <w:tcBorders>
              <w:top w:val="nil"/>
              <w:left w:val="nil"/>
              <w:bottom w:val="single" w:sz="8" w:space="0" w:color="auto"/>
              <w:right w:val="single" w:sz="8" w:space="0" w:color="auto"/>
            </w:tcBorders>
            <w:shd w:val="clear" w:color="auto" w:fill="auto"/>
            <w:noWrap/>
            <w:vAlign w:val="center"/>
            <w:hideMark/>
          </w:tcPr>
          <w:p w14:paraId="47996A0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$9,284,637.29</w:t>
            </w:r>
          </w:p>
        </w:tc>
        <w:tc>
          <w:tcPr>
            <w:tcW w:w="1275" w:type="dxa"/>
            <w:tcBorders>
              <w:top w:val="nil"/>
              <w:left w:val="nil"/>
              <w:bottom w:val="single" w:sz="8" w:space="0" w:color="auto"/>
              <w:right w:val="single" w:sz="8" w:space="0" w:color="auto"/>
            </w:tcBorders>
            <w:shd w:val="clear" w:color="auto" w:fill="auto"/>
            <w:noWrap/>
            <w:vAlign w:val="center"/>
            <w:hideMark/>
          </w:tcPr>
          <w:p w14:paraId="6385234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$6,177,570.66</w:t>
            </w:r>
          </w:p>
        </w:tc>
        <w:tc>
          <w:tcPr>
            <w:tcW w:w="1276" w:type="dxa"/>
            <w:tcBorders>
              <w:top w:val="nil"/>
              <w:left w:val="nil"/>
              <w:bottom w:val="single" w:sz="8" w:space="0" w:color="auto"/>
              <w:right w:val="single" w:sz="8" w:space="0" w:color="auto"/>
            </w:tcBorders>
            <w:shd w:val="clear" w:color="auto" w:fill="auto"/>
            <w:noWrap/>
            <w:vAlign w:val="center"/>
            <w:hideMark/>
          </w:tcPr>
          <w:p w14:paraId="05A8008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$2,833,366.06</w:t>
            </w:r>
          </w:p>
        </w:tc>
        <w:tc>
          <w:tcPr>
            <w:tcW w:w="1276" w:type="dxa"/>
            <w:tcBorders>
              <w:top w:val="nil"/>
              <w:left w:val="nil"/>
              <w:bottom w:val="single" w:sz="8" w:space="0" w:color="auto"/>
              <w:right w:val="single" w:sz="8" w:space="0" w:color="auto"/>
            </w:tcBorders>
            <w:shd w:val="clear" w:color="auto" w:fill="auto"/>
            <w:noWrap/>
            <w:vAlign w:val="center"/>
            <w:hideMark/>
          </w:tcPr>
          <w:p w14:paraId="19287CA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$8,280,571.96</w:t>
            </w:r>
          </w:p>
        </w:tc>
        <w:tc>
          <w:tcPr>
            <w:tcW w:w="1276" w:type="dxa"/>
            <w:tcBorders>
              <w:top w:val="nil"/>
              <w:left w:val="nil"/>
              <w:bottom w:val="single" w:sz="8" w:space="0" w:color="auto"/>
              <w:right w:val="single" w:sz="8" w:space="0" w:color="auto"/>
            </w:tcBorders>
            <w:shd w:val="clear" w:color="auto" w:fill="auto"/>
            <w:noWrap/>
            <w:vAlign w:val="center"/>
            <w:hideMark/>
          </w:tcPr>
          <w:p w14:paraId="4141FA9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$1,514,814.63</w:t>
            </w:r>
          </w:p>
        </w:tc>
        <w:tc>
          <w:tcPr>
            <w:tcW w:w="1343" w:type="dxa"/>
            <w:tcBorders>
              <w:top w:val="nil"/>
              <w:left w:val="nil"/>
              <w:bottom w:val="single" w:sz="8" w:space="0" w:color="auto"/>
              <w:right w:val="single" w:sz="8" w:space="0" w:color="auto"/>
            </w:tcBorders>
            <w:shd w:val="clear" w:color="auto" w:fill="auto"/>
            <w:noWrap/>
            <w:vAlign w:val="center"/>
            <w:hideMark/>
          </w:tcPr>
          <w:p w14:paraId="1B364A7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$662,956.23</w:t>
            </w:r>
          </w:p>
        </w:tc>
      </w:tr>
      <w:tr w:rsidR="00742003" w:rsidRPr="0049239C" w14:paraId="5B848380"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52D7CB68"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Electricity, Gas, Water and Waste Services</w:t>
            </w:r>
          </w:p>
        </w:tc>
        <w:tc>
          <w:tcPr>
            <w:tcW w:w="850" w:type="dxa"/>
            <w:tcBorders>
              <w:top w:val="nil"/>
              <w:left w:val="nil"/>
              <w:bottom w:val="single" w:sz="8" w:space="0" w:color="auto"/>
              <w:right w:val="single" w:sz="8" w:space="0" w:color="auto"/>
            </w:tcBorders>
            <w:shd w:val="clear" w:color="auto" w:fill="auto"/>
            <w:noWrap/>
            <w:vAlign w:val="center"/>
            <w:hideMark/>
          </w:tcPr>
          <w:p w14:paraId="3BA33058"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199</w:t>
            </w:r>
          </w:p>
        </w:tc>
        <w:tc>
          <w:tcPr>
            <w:tcW w:w="1134" w:type="dxa"/>
            <w:tcBorders>
              <w:top w:val="nil"/>
              <w:left w:val="nil"/>
              <w:bottom w:val="single" w:sz="8" w:space="0" w:color="auto"/>
              <w:right w:val="single" w:sz="8" w:space="0" w:color="auto"/>
            </w:tcBorders>
            <w:shd w:val="clear" w:color="auto" w:fill="auto"/>
            <w:noWrap/>
            <w:vAlign w:val="center"/>
            <w:hideMark/>
          </w:tcPr>
          <w:p w14:paraId="7E82787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$1,358,796.43</w:t>
            </w:r>
          </w:p>
        </w:tc>
        <w:tc>
          <w:tcPr>
            <w:tcW w:w="1134" w:type="dxa"/>
            <w:tcBorders>
              <w:top w:val="nil"/>
              <w:left w:val="nil"/>
              <w:bottom w:val="single" w:sz="8" w:space="0" w:color="auto"/>
              <w:right w:val="single" w:sz="8" w:space="0" w:color="auto"/>
            </w:tcBorders>
            <w:shd w:val="clear" w:color="auto" w:fill="auto"/>
            <w:noWrap/>
            <w:vAlign w:val="center"/>
            <w:hideMark/>
          </w:tcPr>
          <w:p w14:paraId="6E540E3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$461,644.97</w:t>
            </w:r>
          </w:p>
        </w:tc>
        <w:tc>
          <w:tcPr>
            <w:tcW w:w="1208" w:type="dxa"/>
            <w:tcBorders>
              <w:top w:val="nil"/>
              <w:left w:val="nil"/>
              <w:bottom w:val="single" w:sz="8" w:space="0" w:color="auto"/>
              <w:right w:val="single" w:sz="8" w:space="0" w:color="auto"/>
            </w:tcBorders>
            <w:shd w:val="clear" w:color="auto" w:fill="auto"/>
            <w:noWrap/>
            <w:vAlign w:val="center"/>
            <w:hideMark/>
          </w:tcPr>
          <w:p w14:paraId="29B1915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$200,171.88</w:t>
            </w:r>
          </w:p>
        </w:tc>
        <w:tc>
          <w:tcPr>
            <w:tcW w:w="1202" w:type="dxa"/>
            <w:tcBorders>
              <w:top w:val="nil"/>
              <w:left w:val="nil"/>
              <w:bottom w:val="single" w:sz="8" w:space="0" w:color="auto"/>
              <w:right w:val="single" w:sz="8" w:space="0" w:color="auto"/>
            </w:tcBorders>
            <w:shd w:val="clear" w:color="auto" w:fill="auto"/>
            <w:noWrap/>
            <w:vAlign w:val="center"/>
            <w:hideMark/>
          </w:tcPr>
          <w:p w14:paraId="1C22B11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$984,127.96</w:t>
            </w:r>
          </w:p>
        </w:tc>
        <w:tc>
          <w:tcPr>
            <w:tcW w:w="1276" w:type="dxa"/>
            <w:tcBorders>
              <w:top w:val="nil"/>
              <w:left w:val="nil"/>
              <w:bottom w:val="single" w:sz="8" w:space="0" w:color="auto"/>
              <w:right w:val="single" w:sz="8" w:space="0" w:color="auto"/>
            </w:tcBorders>
            <w:shd w:val="clear" w:color="auto" w:fill="auto"/>
            <w:noWrap/>
            <w:vAlign w:val="center"/>
            <w:hideMark/>
          </w:tcPr>
          <w:p w14:paraId="79EFC4E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$482,424.53</w:t>
            </w:r>
          </w:p>
        </w:tc>
        <w:tc>
          <w:tcPr>
            <w:tcW w:w="1276" w:type="dxa"/>
            <w:tcBorders>
              <w:top w:val="nil"/>
              <w:left w:val="nil"/>
              <w:bottom w:val="single" w:sz="8" w:space="0" w:color="auto"/>
              <w:right w:val="single" w:sz="8" w:space="0" w:color="auto"/>
            </w:tcBorders>
            <w:shd w:val="clear" w:color="auto" w:fill="auto"/>
            <w:noWrap/>
            <w:vAlign w:val="center"/>
            <w:hideMark/>
          </w:tcPr>
          <w:p w14:paraId="7E62733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$2,792,915.12</w:t>
            </w:r>
          </w:p>
        </w:tc>
        <w:tc>
          <w:tcPr>
            <w:tcW w:w="1275" w:type="dxa"/>
            <w:tcBorders>
              <w:top w:val="nil"/>
              <w:left w:val="nil"/>
              <w:bottom w:val="single" w:sz="8" w:space="0" w:color="auto"/>
              <w:right w:val="single" w:sz="8" w:space="0" w:color="auto"/>
            </w:tcBorders>
            <w:shd w:val="clear" w:color="auto" w:fill="auto"/>
            <w:noWrap/>
            <w:vAlign w:val="center"/>
            <w:hideMark/>
          </w:tcPr>
          <w:p w14:paraId="21EAEAF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$4,449,264.09</w:t>
            </w:r>
          </w:p>
        </w:tc>
        <w:tc>
          <w:tcPr>
            <w:tcW w:w="1276" w:type="dxa"/>
            <w:tcBorders>
              <w:top w:val="nil"/>
              <w:left w:val="nil"/>
              <w:bottom w:val="single" w:sz="8" w:space="0" w:color="auto"/>
              <w:right w:val="single" w:sz="8" w:space="0" w:color="auto"/>
            </w:tcBorders>
            <w:shd w:val="clear" w:color="auto" w:fill="auto"/>
            <w:noWrap/>
            <w:vAlign w:val="center"/>
            <w:hideMark/>
          </w:tcPr>
          <w:p w14:paraId="4C449B1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$8,876,436.09</w:t>
            </w:r>
          </w:p>
        </w:tc>
        <w:tc>
          <w:tcPr>
            <w:tcW w:w="1276" w:type="dxa"/>
            <w:tcBorders>
              <w:top w:val="nil"/>
              <w:left w:val="nil"/>
              <w:bottom w:val="single" w:sz="8" w:space="0" w:color="auto"/>
              <w:right w:val="single" w:sz="8" w:space="0" w:color="auto"/>
            </w:tcBorders>
            <w:shd w:val="clear" w:color="auto" w:fill="auto"/>
            <w:noWrap/>
            <w:vAlign w:val="center"/>
            <w:hideMark/>
          </w:tcPr>
          <w:p w14:paraId="7EFE6BE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$3,834,305.43</w:t>
            </w:r>
          </w:p>
        </w:tc>
        <w:tc>
          <w:tcPr>
            <w:tcW w:w="1276" w:type="dxa"/>
            <w:tcBorders>
              <w:top w:val="nil"/>
              <w:left w:val="nil"/>
              <w:bottom w:val="single" w:sz="8" w:space="0" w:color="auto"/>
              <w:right w:val="single" w:sz="8" w:space="0" w:color="auto"/>
            </w:tcBorders>
            <w:shd w:val="clear" w:color="auto" w:fill="auto"/>
            <w:noWrap/>
            <w:vAlign w:val="center"/>
            <w:hideMark/>
          </w:tcPr>
          <w:p w14:paraId="017ED07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$1,874,122.90</w:t>
            </w:r>
          </w:p>
        </w:tc>
        <w:tc>
          <w:tcPr>
            <w:tcW w:w="1343" w:type="dxa"/>
            <w:tcBorders>
              <w:top w:val="nil"/>
              <w:left w:val="nil"/>
              <w:bottom w:val="single" w:sz="8" w:space="0" w:color="auto"/>
              <w:right w:val="single" w:sz="8" w:space="0" w:color="auto"/>
            </w:tcBorders>
            <w:shd w:val="clear" w:color="auto" w:fill="auto"/>
            <w:noWrap/>
            <w:vAlign w:val="center"/>
            <w:hideMark/>
          </w:tcPr>
          <w:p w14:paraId="790F503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$18,772,737.02</w:t>
            </w:r>
          </w:p>
        </w:tc>
      </w:tr>
      <w:tr w:rsidR="00742003" w:rsidRPr="0049239C" w14:paraId="136DB1A8"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05B5BC1E"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Financial and Insurance Services</w:t>
            </w:r>
          </w:p>
        </w:tc>
        <w:tc>
          <w:tcPr>
            <w:tcW w:w="850" w:type="dxa"/>
            <w:tcBorders>
              <w:top w:val="nil"/>
              <w:left w:val="nil"/>
              <w:bottom w:val="single" w:sz="8" w:space="0" w:color="auto"/>
              <w:right w:val="single" w:sz="8" w:space="0" w:color="auto"/>
            </w:tcBorders>
            <w:shd w:val="clear" w:color="auto" w:fill="auto"/>
            <w:noWrap/>
            <w:vAlign w:val="center"/>
            <w:hideMark/>
          </w:tcPr>
          <w:p w14:paraId="27FE6C9E"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192</w:t>
            </w:r>
          </w:p>
        </w:tc>
        <w:tc>
          <w:tcPr>
            <w:tcW w:w="1134" w:type="dxa"/>
            <w:tcBorders>
              <w:top w:val="nil"/>
              <w:left w:val="nil"/>
              <w:bottom w:val="single" w:sz="8" w:space="0" w:color="auto"/>
              <w:right w:val="single" w:sz="8" w:space="0" w:color="auto"/>
            </w:tcBorders>
            <w:shd w:val="clear" w:color="auto" w:fill="auto"/>
            <w:noWrap/>
            <w:vAlign w:val="center"/>
            <w:hideMark/>
          </w:tcPr>
          <w:p w14:paraId="6699B93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$877,453.68</w:t>
            </w:r>
          </w:p>
        </w:tc>
        <w:tc>
          <w:tcPr>
            <w:tcW w:w="1134" w:type="dxa"/>
            <w:tcBorders>
              <w:top w:val="nil"/>
              <w:left w:val="nil"/>
              <w:bottom w:val="single" w:sz="8" w:space="0" w:color="auto"/>
              <w:right w:val="single" w:sz="8" w:space="0" w:color="auto"/>
            </w:tcBorders>
            <w:shd w:val="clear" w:color="auto" w:fill="auto"/>
            <w:noWrap/>
            <w:vAlign w:val="center"/>
            <w:hideMark/>
          </w:tcPr>
          <w:p w14:paraId="32629E2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$3,935,760.34</w:t>
            </w:r>
          </w:p>
        </w:tc>
        <w:tc>
          <w:tcPr>
            <w:tcW w:w="1208" w:type="dxa"/>
            <w:tcBorders>
              <w:top w:val="nil"/>
              <w:left w:val="nil"/>
              <w:bottom w:val="single" w:sz="8" w:space="0" w:color="auto"/>
              <w:right w:val="single" w:sz="8" w:space="0" w:color="auto"/>
            </w:tcBorders>
            <w:shd w:val="clear" w:color="auto" w:fill="auto"/>
            <w:noWrap/>
            <w:vAlign w:val="center"/>
            <w:hideMark/>
          </w:tcPr>
          <w:p w14:paraId="0C5A736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$667,072.00</w:t>
            </w:r>
          </w:p>
        </w:tc>
        <w:tc>
          <w:tcPr>
            <w:tcW w:w="1202" w:type="dxa"/>
            <w:tcBorders>
              <w:top w:val="nil"/>
              <w:left w:val="nil"/>
              <w:bottom w:val="single" w:sz="8" w:space="0" w:color="auto"/>
              <w:right w:val="single" w:sz="8" w:space="0" w:color="auto"/>
            </w:tcBorders>
            <w:shd w:val="clear" w:color="auto" w:fill="auto"/>
            <w:noWrap/>
            <w:vAlign w:val="center"/>
            <w:hideMark/>
          </w:tcPr>
          <w:p w14:paraId="050AB8A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$526,939.70</w:t>
            </w:r>
          </w:p>
        </w:tc>
        <w:tc>
          <w:tcPr>
            <w:tcW w:w="1276" w:type="dxa"/>
            <w:tcBorders>
              <w:top w:val="nil"/>
              <w:left w:val="nil"/>
              <w:bottom w:val="single" w:sz="8" w:space="0" w:color="auto"/>
              <w:right w:val="single" w:sz="8" w:space="0" w:color="auto"/>
            </w:tcBorders>
            <w:shd w:val="clear" w:color="auto" w:fill="auto"/>
            <w:noWrap/>
            <w:vAlign w:val="center"/>
            <w:hideMark/>
          </w:tcPr>
          <w:p w14:paraId="0759830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$2,716,403.36</w:t>
            </w:r>
          </w:p>
        </w:tc>
        <w:tc>
          <w:tcPr>
            <w:tcW w:w="1276" w:type="dxa"/>
            <w:tcBorders>
              <w:top w:val="nil"/>
              <w:left w:val="nil"/>
              <w:bottom w:val="single" w:sz="8" w:space="0" w:color="auto"/>
              <w:right w:val="single" w:sz="8" w:space="0" w:color="auto"/>
            </w:tcBorders>
            <w:shd w:val="clear" w:color="auto" w:fill="auto"/>
            <w:noWrap/>
            <w:vAlign w:val="center"/>
            <w:hideMark/>
          </w:tcPr>
          <w:p w14:paraId="10057B0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$1,566,627.44</w:t>
            </w:r>
          </w:p>
        </w:tc>
        <w:tc>
          <w:tcPr>
            <w:tcW w:w="1275" w:type="dxa"/>
            <w:tcBorders>
              <w:top w:val="nil"/>
              <w:left w:val="nil"/>
              <w:bottom w:val="single" w:sz="8" w:space="0" w:color="auto"/>
              <w:right w:val="single" w:sz="8" w:space="0" w:color="auto"/>
            </w:tcBorders>
            <w:shd w:val="clear" w:color="auto" w:fill="auto"/>
            <w:noWrap/>
            <w:vAlign w:val="center"/>
            <w:hideMark/>
          </w:tcPr>
          <w:p w14:paraId="3D4D148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$1,747,732.40</w:t>
            </w:r>
          </w:p>
        </w:tc>
        <w:tc>
          <w:tcPr>
            <w:tcW w:w="1276" w:type="dxa"/>
            <w:tcBorders>
              <w:top w:val="nil"/>
              <w:left w:val="nil"/>
              <w:bottom w:val="single" w:sz="8" w:space="0" w:color="auto"/>
              <w:right w:val="single" w:sz="8" w:space="0" w:color="auto"/>
            </w:tcBorders>
            <w:shd w:val="clear" w:color="auto" w:fill="auto"/>
            <w:noWrap/>
            <w:vAlign w:val="center"/>
            <w:hideMark/>
          </w:tcPr>
          <w:p w14:paraId="511880B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$2,934,617.89</w:t>
            </w:r>
          </w:p>
        </w:tc>
        <w:tc>
          <w:tcPr>
            <w:tcW w:w="1276" w:type="dxa"/>
            <w:tcBorders>
              <w:top w:val="nil"/>
              <w:left w:val="nil"/>
              <w:bottom w:val="single" w:sz="8" w:space="0" w:color="auto"/>
              <w:right w:val="single" w:sz="8" w:space="0" w:color="auto"/>
            </w:tcBorders>
            <w:shd w:val="clear" w:color="auto" w:fill="auto"/>
            <w:noWrap/>
            <w:vAlign w:val="center"/>
            <w:hideMark/>
          </w:tcPr>
          <w:p w14:paraId="340EBCE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$3,358,430.73</w:t>
            </w:r>
          </w:p>
        </w:tc>
        <w:tc>
          <w:tcPr>
            <w:tcW w:w="1276" w:type="dxa"/>
            <w:tcBorders>
              <w:top w:val="nil"/>
              <w:left w:val="nil"/>
              <w:bottom w:val="single" w:sz="8" w:space="0" w:color="auto"/>
              <w:right w:val="single" w:sz="8" w:space="0" w:color="auto"/>
            </w:tcBorders>
            <w:shd w:val="clear" w:color="auto" w:fill="auto"/>
            <w:noWrap/>
            <w:vAlign w:val="center"/>
            <w:hideMark/>
          </w:tcPr>
          <w:p w14:paraId="3470D9C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$3,300,614.52</w:t>
            </w:r>
          </w:p>
        </w:tc>
        <w:tc>
          <w:tcPr>
            <w:tcW w:w="1343" w:type="dxa"/>
            <w:tcBorders>
              <w:top w:val="nil"/>
              <w:left w:val="nil"/>
              <w:bottom w:val="single" w:sz="8" w:space="0" w:color="auto"/>
              <w:right w:val="single" w:sz="8" w:space="0" w:color="auto"/>
            </w:tcBorders>
            <w:shd w:val="clear" w:color="auto" w:fill="auto"/>
            <w:noWrap/>
            <w:vAlign w:val="center"/>
            <w:hideMark/>
          </w:tcPr>
          <w:p w14:paraId="685EAF0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$401,467.06</w:t>
            </w:r>
          </w:p>
        </w:tc>
      </w:tr>
      <w:tr w:rsidR="00742003" w:rsidRPr="0049239C" w14:paraId="5B9B1B65"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72453526"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Health Care and Social Assistance</w:t>
            </w:r>
          </w:p>
        </w:tc>
        <w:tc>
          <w:tcPr>
            <w:tcW w:w="850" w:type="dxa"/>
            <w:tcBorders>
              <w:top w:val="nil"/>
              <w:left w:val="nil"/>
              <w:bottom w:val="single" w:sz="8" w:space="0" w:color="auto"/>
              <w:right w:val="single" w:sz="8" w:space="0" w:color="auto"/>
            </w:tcBorders>
            <w:shd w:val="clear" w:color="auto" w:fill="auto"/>
            <w:noWrap/>
            <w:vAlign w:val="center"/>
            <w:hideMark/>
          </w:tcPr>
          <w:p w14:paraId="6414D8B5"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277</w:t>
            </w:r>
          </w:p>
        </w:tc>
        <w:tc>
          <w:tcPr>
            <w:tcW w:w="1134" w:type="dxa"/>
            <w:tcBorders>
              <w:top w:val="nil"/>
              <w:left w:val="nil"/>
              <w:bottom w:val="single" w:sz="8" w:space="0" w:color="auto"/>
              <w:right w:val="single" w:sz="8" w:space="0" w:color="auto"/>
            </w:tcBorders>
            <w:shd w:val="clear" w:color="auto" w:fill="auto"/>
            <w:noWrap/>
            <w:vAlign w:val="center"/>
            <w:hideMark/>
          </w:tcPr>
          <w:p w14:paraId="0ECA72C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$1,111,129.75</w:t>
            </w:r>
          </w:p>
        </w:tc>
        <w:tc>
          <w:tcPr>
            <w:tcW w:w="1134" w:type="dxa"/>
            <w:tcBorders>
              <w:top w:val="nil"/>
              <w:left w:val="nil"/>
              <w:bottom w:val="single" w:sz="8" w:space="0" w:color="auto"/>
              <w:right w:val="single" w:sz="8" w:space="0" w:color="auto"/>
            </w:tcBorders>
            <w:shd w:val="clear" w:color="auto" w:fill="auto"/>
            <w:noWrap/>
            <w:vAlign w:val="center"/>
            <w:hideMark/>
          </w:tcPr>
          <w:p w14:paraId="07A2A3D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$1,603,284.34</w:t>
            </w:r>
          </w:p>
        </w:tc>
        <w:tc>
          <w:tcPr>
            <w:tcW w:w="1208" w:type="dxa"/>
            <w:tcBorders>
              <w:top w:val="nil"/>
              <w:left w:val="nil"/>
              <w:bottom w:val="single" w:sz="8" w:space="0" w:color="auto"/>
              <w:right w:val="single" w:sz="8" w:space="0" w:color="auto"/>
            </w:tcBorders>
            <w:shd w:val="clear" w:color="auto" w:fill="auto"/>
            <w:noWrap/>
            <w:vAlign w:val="center"/>
            <w:hideMark/>
          </w:tcPr>
          <w:p w14:paraId="0573937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$2,878,866.40</w:t>
            </w:r>
          </w:p>
        </w:tc>
        <w:tc>
          <w:tcPr>
            <w:tcW w:w="1202" w:type="dxa"/>
            <w:tcBorders>
              <w:top w:val="nil"/>
              <w:left w:val="nil"/>
              <w:bottom w:val="single" w:sz="8" w:space="0" w:color="auto"/>
              <w:right w:val="single" w:sz="8" w:space="0" w:color="auto"/>
            </w:tcBorders>
            <w:shd w:val="clear" w:color="auto" w:fill="auto"/>
            <w:noWrap/>
            <w:vAlign w:val="center"/>
            <w:hideMark/>
          </w:tcPr>
          <w:p w14:paraId="3DED36D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$1,509,329.42</w:t>
            </w:r>
          </w:p>
        </w:tc>
        <w:tc>
          <w:tcPr>
            <w:tcW w:w="1276" w:type="dxa"/>
            <w:tcBorders>
              <w:top w:val="nil"/>
              <w:left w:val="nil"/>
              <w:bottom w:val="single" w:sz="8" w:space="0" w:color="auto"/>
              <w:right w:val="single" w:sz="8" w:space="0" w:color="auto"/>
            </w:tcBorders>
            <w:shd w:val="clear" w:color="auto" w:fill="auto"/>
            <w:noWrap/>
            <w:vAlign w:val="center"/>
            <w:hideMark/>
          </w:tcPr>
          <w:p w14:paraId="505CA9B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$2,477,975.85</w:t>
            </w:r>
          </w:p>
        </w:tc>
        <w:tc>
          <w:tcPr>
            <w:tcW w:w="1276" w:type="dxa"/>
            <w:tcBorders>
              <w:top w:val="nil"/>
              <w:left w:val="nil"/>
              <w:bottom w:val="single" w:sz="8" w:space="0" w:color="auto"/>
              <w:right w:val="single" w:sz="8" w:space="0" w:color="auto"/>
            </w:tcBorders>
            <w:shd w:val="clear" w:color="auto" w:fill="auto"/>
            <w:noWrap/>
            <w:vAlign w:val="center"/>
            <w:hideMark/>
          </w:tcPr>
          <w:p w14:paraId="0DE6ED3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$7,074,076.91</w:t>
            </w:r>
          </w:p>
        </w:tc>
        <w:tc>
          <w:tcPr>
            <w:tcW w:w="1275" w:type="dxa"/>
            <w:tcBorders>
              <w:top w:val="nil"/>
              <w:left w:val="nil"/>
              <w:bottom w:val="single" w:sz="8" w:space="0" w:color="auto"/>
              <w:right w:val="single" w:sz="8" w:space="0" w:color="auto"/>
            </w:tcBorders>
            <w:shd w:val="clear" w:color="auto" w:fill="auto"/>
            <w:noWrap/>
            <w:vAlign w:val="center"/>
            <w:hideMark/>
          </w:tcPr>
          <w:p w14:paraId="6F27A28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$4,887,842.82</w:t>
            </w:r>
          </w:p>
        </w:tc>
        <w:tc>
          <w:tcPr>
            <w:tcW w:w="1276" w:type="dxa"/>
            <w:tcBorders>
              <w:top w:val="nil"/>
              <w:left w:val="nil"/>
              <w:bottom w:val="single" w:sz="8" w:space="0" w:color="auto"/>
              <w:right w:val="single" w:sz="8" w:space="0" w:color="auto"/>
            </w:tcBorders>
            <w:shd w:val="clear" w:color="auto" w:fill="auto"/>
            <w:noWrap/>
            <w:vAlign w:val="center"/>
            <w:hideMark/>
          </w:tcPr>
          <w:p w14:paraId="5E9435A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$3,307,709.52</w:t>
            </w:r>
          </w:p>
        </w:tc>
        <w:tc>
          <w:tcPr>
            <w:tcW w:w="1276" w:type="dxa"/>
            <w:tcBorders>
              <w:top w:val="nil"/>
              <w:left w:val="nil"/>
              <w:bottom w:val="single" w:sz="8" w:space="0" w:color="auto"/>
              <w:right w:val="single" w:sz="8" w:space="0" w:color="auto"/>
            </w:tcBorders>
            <w:shd w:val="clear" w:color="auto" w:fill="auto"/>
            <w:noWrap/>
            <w:vAlign w:val="center"/>
            <w:hideMark/>
          </w:tcPr>
          <w:p w14:paraId="76DAD1C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$3,775,991.83</w:t>
            </w:r>
          </w:p>
        </w:tc>
        <w:tc>
          <w:tcPr>
            <w:tcW w:w="1276" w:type="dxa"/>
            <w:tcBorders>
              <w:top w:val="nil"/>
              <w:left w:val="nil"/>
              <w:bottom w:val="single" w:sz="8" w:space="0" w:color="auto"/>
              <w:right w:val="single" w:sz="8" w:space="0" w:color="auto"/>
            </w:tcBorders>
            <w:shd w:val="clear" w:color="auto" w:fill="auto"/>
            <w:noWrap/>
            <w:vAlign w:val="center"/>
            <w:hideMark/>
          </w:tcPr>
          <w:p w14:paraId="43AED38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$2,646,325.05</w:t>
            </w:r>
          </w:p>
        </w:tc>
        <w:tc>
          <w:tcPr>
            <w:tcW w:w="1343" w:type="dxa"/>
            <w:tcBorders>
              <w:top w:val="nil"/>
              <w:left w:val="nil"/>
              <w:bottom w:val="single" w:sz="8" w:space="0" w:color="auto"/>
              <w:right w:val="single" w:sz="8" w:space="0" w:color="auto"/>
            </w:tcBorders>
            <w:shd w:val="clear" w:color="auto" w:fill="auto"/>
            <w:noWrap/>
            <w:vAlign w:val="center"/>
            <w:hideMark/>
          </w:tcPr>
          <w:p w14:paraId="24F4BA4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$485,906.41</w:t>
            </w:r>
          </w:p>
        </w:tc>
      </w:tr>
      <w:tr w:rsidR="00742003" w:rsidRPr="0049239C" w14:paraId="40F00750"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6876D738"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Information Media and Telecommunications</w:t>
            </w:r>
          </w:p>
        </w:tc>
        <w:tc>
          <w:tcPr>
            <w:tcW w:w="850" w:type="dxa"/>
            <w:tcBorders>
              <w:top w:val="nil"/>
              <w:left w:val="nil"/>
              <w:bottom w:val="single" w:sz="8" w:space="0" w:color="auto"/>
              <w:right w:val="single" w:sz="8" w:space="0" w:color="auto"/>
            </w:tcBorders>
            <w:shd w:val="clear" w:color="auto" w:fill="auto"/>
            <w:noWrap/>
            <w:vAlign w:val="center"/>
            <w:hideMark/>
          </w:tcPr>
          <w:p w14:paraId="322B5DE8"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403</w:t>
            </w:r>
          </w:p>
        </w:tc>
        <w:tc>
          <w:tcPr>
            <w:tcW w:w="1134" w:type="dxa"/>
            <w:tcBorders>
              <w:top w:val="nil"/>
              <w:left w:val="nil"/>
              <w:bottom w:val="single" w:sz="8" w:space="0" w:color="auto"/>
              <w:right w:val="single" w:sz="8" w:space="0" w:color="auto"/>
            </w:tcBorders>
            <w:shd w:val="clear" w:color="auto" w:fill="auto"/>
            <w:noWrap/>
            <w:vAlign w:val="center"/>
            <w:hideMark/>
          </w:tcPr>
          <w:p w14:paraId="44BE499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$5,446,342.36</w:t>
            </w:r>
          </w:p>
        </w:tc>
        <w:tc>
          <w:tcPr>
            <w:tcW w:w="1134" w:type="dxa"/>
            <w:tcBorders>
              <w:top w:val="nil"/>
              <w:left w:val="nil"/>
              <w:bottom w:val="single" w:sz="8" w:space="0" w:color="auto"/>
              <w:right w:val="single" w:sz="8" w:space="0" w:color="auto"/>
            </w:tcBorders>
            <w:shd w:val="clear" w:color="auto" w:fill="auto"/>
            <w:noWrap/>
            <w:vAlign w:val="center"/>
            <w:hideMark/>
          </w:tcPr>
          <w:p w14:paraId="531A54E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$615,291.80</w:t>
            </w:r>
          </w:p>
        </w:tc>
        <w:tc>
          <w:tcPr>
            <w:tcW w:w="1208" w:type="dxa"/>
            <w:tcBorders>
              <w:top w:val="nil"/>
              <w:left w:val="nil"/>
              <w:bottom w:val="single" w:sz="8" w:space="0" w:color="auto"/>
              <w:right w:val="single" w:sz="8" w:space="0" w:color="auto"/>
            </w:tcBorders>
            <w:shd w:val="clear" w:color="auto" w:fill="auto"/>
            <w:noWrap/>
            <w:vAlign w:val="center"/>
            <w:hideMark/>
          </w:tcPr>
          <w:p w14:paraId="34376E4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$1,215,625.39</w:t>
            </w:r>
          </w:p>
        </w:tc>
        <w:tc>
          <w:tcPr>
            <w:tcW w:w="1202" w:type="dxa"/>
            <w:tcBorders>
              <w:top w:val="nil"/>
              <w:left w:val="nil"/>
              <w:bottom w:val="single" w:sz="8" w:space="0" w:color="auto"/>
              <w:right w:val="single" w:sz="8" w:space="0" w:color="auto"/>
            </w:tcBorders>
            <w:shd w:val="clear" w:color="auto" w:fill="auto"/>
            <w:noWrap/>
            <w:vAlign w:val="center"/>
            <w:hideMark/>
          </w:tcPr>
          <w:p w14:paraId="4D8F075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$1,012,283.08</w:t>
            </w:r>
          </w:p>
        </w:tc>
        <w:tc>
          <w:tcPr>
            <w:tcW w:w="1276" w:type="dxa"/>
            <w:tcBorders>
              <w:top w:val="nil"/>
              <w:left w:val="nil"/>
              <w:bottom w:val="single" w:sz="8" w:space="0" w:color="auto"/>
              <w:right w:val="single" w:sz="8" w:space="0" w:color="auto"/>
            </w:tcBorders>
            <w:shd w:val="clear" w:color="auto" w:fill="auto"/>
            <w:noWrap/>
            <w:vAlign w:val="center"/>
            <w:hideMark/>
          </w:tcPr>
          <w:p w14:paraId="031880A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$14,119,668.74</w:t>
            </w:r>
          </w:p>
        </w:tc>
        <w:tc>
          <w:tcPr>
            <w:tcW w:w="1276" w:type="dxa"/>
            <w:tcBorders>
              <w:top w:val="nil"/>
              <w:left w:val="nil"/>
              <w:bottom w:val="single" w:sz="8" w:space="0" w:color="auto"/>
              <w:right w:val="single" w:sz="8" w:space="0" w:color="auto"/>
            </w:tcBorders>
            <w:shd w:val="clear" w:color="auto" w:fill="auto"/>
            <w:noWrap/>
            <w:vAlign w:val="center"/>
            <w:hideMark/>
          </w:tcPr>
          <w:p w14:paraId="5E0B379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$4,349,353.80</w:t>
            </w:r>
          </w:p>
        </w:tc>
        <w:tc>
          <w:tcPr>
            <w:tcW w:w="1275" w:type="dxa"/>
            <w:tcBorders>
              <w:top w:val="nil"/>
              <w:left w:val="nil"/>
              <w:bottom w:val="single" w:sz="8" w:space="0" w:color="auto"/>
              <w:right w:val="single" w:sz="8" w:space="0" w:color="auto"/>
            </w:tcBorders>
            <w:shd w:val="clear" w:color="auto" w:fill="auto"/>
            <w:noWrap/>
            <w:vAlign w:val="center"/>
            <w:hideMark/>
          </w:tcPr>
          <w:p w14:paraId="6F5F8D6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$3,729,671.75</w:t>
            </w:r>
          </w:p>
        </w:tc>
        <w:tc>
          <w:tcPr>
            <w:tcW w:w="1276" w:type="dxa"/>
            <w:tcBorders>
              <w:top w:val="nil"/>
              <w:left w:val="nil"/>
              <w:bottom w:val="single" w:sz="8" w:space="0" w:color="auto"/>
              <w:right w:val="single" w:sz="8" w:space="0" w:color="auto"/>
            </w:tcBorders>
            <w:shd w:val="clear" w:color="auto" w:fill="auto"/>
            <w:noWrap/>
            <w:vAlign w:val="center"/>
            <w:hideMark/>
          </w:tcPr>
          <w:p w14:paraId="3FC1274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$8,517,808.98</w:t>
            </w:r>
          </w:p>
        </w:tc>
        <w:tc>
          <w:tcPr>
            <w:tcW w:w="1276" w:type="dxa"/>
            <w:tcBorders>
              <w:top w:val="nil"/>
              <w:left w:val="nil"/>
              <w:bottom w:val="single" w:sz="8" w:space="0" w:color="auto"/>
              <w:right w:val="single" w:sz="8" w:space="0" w:color="auto"/>
            </w:tcBorders>
            <w:shd w:val="clear" w:color="auto" w:fill="auto"/>
            <w:noWrap/>
            <w:vAlign w:val="center"/>
            <w:hideMark/>
          </w:tcPr>
          <w:p w14:paraId="700B92F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$26,639,541.46</w:t>
            </w:r>
          </w:p>
        </w:tc>
        <w:tc>
          <w:tcPr>
            <w:tcW w:w="1276" w:type="dxa"/>
            <w:tcBorders>
              <w:top w:val="nil"/>
              <w:left w:val="nil"/>
              <w:bottom w:val="single" w:sz="8" w:space="0" w:color="auto"/>
              <w:right w:val="single" w:sz="8" w:space="0" w:color="auto"/>
            </w:tcBorders>
            <w:shd w:val="clear" w:color="auto" w:fill="auto"/>
            <w:noWrap/>
            <w:vAlign w:val="center"/>
            <w:hideMark/>
          </w:tcPr>
          <w:p w14:paraId="07113FC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$4,331,016.54</w:t>
            </w:r>
          </w:p>
        </w:tc>
        <w:tc>
          <w:tcPr>
            <w:tcW w:w="1343" w:type="dxa"/>
            <w:tcBorders>
              <w:top w:val="nil"/>
              <w:left w:val="nil"/>
              <w:bottom w:val="single" w:sz="8" w:space="0" w:color="auto"/>
              <w:right w:val="single" w:sz="8" w:space="0" w:color="auto"/>
            </w:tcBorders>
            <w:shd w:val="clear" w:color="auto" w:fill="auto"/>
            <w:noWrap/>
            <w:vAlign w:val="center"/>
            <w:hideMark/>
          </w:tcPr>
          <w:p w14:paraId="3BC99F4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$3,593,760.32</w:t>
            </w:r>
          </w:p>
        </w:tc>
      </w:tr>
      <w:tr w:rsidR="00742003" w:rsidRPr="0049239C" w14:paraId="006BB0A5"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53555B75"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Manufacturing</w:t>
            </w:r>
          </w:p>
        </w:tc>
        <w:tc>
          <w:tcPr>
            <w:tcW w:w="850" w:type="dxa"/>
            <w:tcBorders>
              <w:top w:val="nil"/>
              <w:left w:val="nil"/>
              <w:bottom w:val="single" w:sz="8" w:space="0" w:color="auto"/>
              <w:right w:val="single" w:sz="8" w:space="0" w:color="auto"/>
            </w:tcBorders>
            <w:shd w:val="clear" w:color="auto" w:fill="auto"/>
            <w:noWrap/>
            <w:vAlign w:val="center"/>
            <w:hideMark/>
          </w:tcPr>
          <w:p w14:paraId="0CA277B7"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2127</w:t>
            </w:r>
          </w:p>
        </w:tc>
        <w:tc>
          <w:tcPr>
            <w:tcW w:w="1134" w:type="dxa"/>
            <w:tcBorders>
              <w:top w:val="nil"/>
              <w:left w:val="nil"/>
              <w:bottom w:val="single" w:sz="8" w:space="0" w:color="auto"/>
              <w:right w:val="single" w:sz="8" w:space="0" w:color="auto"/>
            </w:tcBorders>
            <w:shd w:val="clear" w:color="auto" w:fill="auto"/>
            <w:noWrap/>
            <w:vAlign w:val="center"/>
            <w:hideMark/>
          </w:tcPr>
          <w:p w14:paraId="4FD763A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$9,523,266.70</w:t>
            </w:r>
          </w:p>
        </w:tc>
        <w:tc>
          <w:tcPr>
            <w:tcW w:w="1134" w:type="dxa"/>
            <w:tcBorders>
              <w:top w:val="nil"/>
              <w:left w:val="nil"/>
              <w:bottom w:val="single" w:sz="8" w:space="0" w:color="auto"/>
              <w:right w:val="single" w:sz="8" w:space="0" w:color="auto"/>
            </w:tcBorders>
            <w:shd w:val="clear" w:color="auto" w:fill="auto"/>
            <w:noWrap/>
            <w:vAlign w:val="center"/>
            <w:hideMark/>
          </w:tcPr>
          <w:p w14:paraId="1516ABA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$11,822,526.97</w:t>
            </w:r>
          </w:p>
        </w:tc>
        <w:tc>
          <w:tcPr>
            <w:tcW w:w="1208" w:type="dxa"/>
            <w:tcBorders>
              <w:top w:val="nil"/>
              <w:left w:val="nil"/>
              <w:bottom w:val="single" w:sz="8" w:space="0" w:color="auto"/>
              <w:right w:val="single" w:sz="8" w:space="0" w:color="auto"/>
            </w:tcBorders>
            <w:shd w:val="clear" w:color="auto" w:fill="auto"/>
            <w:noWrap/>
            <w:vAlign w:val="center"/>
            <w:hideMark/>
          </w:tcPr>
          <w:p w14:paraId="21C4D38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$35,588,681.32</w:t>
            </w:r>
          </w:p>
        </w:tc>
        <w:tc>
          <w:tcPr>
            <w:tcW w:w="1202" w:type="dxa"/>
            <w:tcBorders>
              <w:top w:val="nil"/>
              <w:left w:val="nil"/>
              <w:bottom w:val="single" w:sz="8" w:space="0" w:color="auto"/>
              <w:right w:val="single" w:sz="8" w:space="0" w:color="auto"/>
            </w:tcBorders>
            <w:shd w:val="clear" w:color="auto" w:fill="auto"/>
            <w:noWrap/>
            <w:vAlign w:val="center"/>
            <w:hideMark/>
          </w:tcPr>
          <w:p w14:paraId="16F4C1E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$18,372,793.29</w:t>
            </w:r>
          </w:p>
        </w:tc>
        <w:tc>
          <w:tcPr>
            <w:tcW w:w="1276" w:type="dxa"/>
            <w:tcBorders>
              <w:top w:val="nil"/>
              <w:left w:val="nil"/>
              <w:bottom w:val="single" w:sz="8" w:space="0" w:color="auto"/>
              <w:right w:val="single" w:sz="8" w:space="0" w:color="auto"/>
            </w:tcBorders>
            <w:shd w:val="clear" w:color="auto" w:fill="auto"/>
            <w:noWrap/>
            <w:vAlign w:val="center"/>
            <w:hideMark/>
          </w:tcPr>
          <w:p w14:paraId="46BFBA8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$35,226,028.30</w:t>
            </w:r>
          </w:p>
        </w:tc>
        <w:tc>
          <w:tcPr>
            <w:tcW w:w="1276" w:type="dxa"/>
            <w:tcBorders>
              <w:top w:val="nil"/>
              <w:left w:val="nil"/>
              <w:bottom w:val="single" w:sz="8" w:space="0" w:color="auto"/>
              <w:right w:val="single" w:sz="8" w:space="0" w:color="auto"/>
            </w:tcBorders>
            <w:shd w:val="clear" w:color="auto" w:fill="auto"/>
            <w:noWrap/>
            <w:vAlign w:val="center"/>
            <w:hideMark/>
          </w:tcPr>
          <w:p w14:paraId="446366F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$45,479,189.04</w:t>
            </w:r>
          </w:p>
        </w:tc>
        <w:tc>
          <w:tcPr>
            <w:tcW w:w="1275" w:type="dxa"/>
            <w:tcBorders>
              <w:top w:val="nil"/>
              <w:left w:val="nil"/>
              <w:bottom w:val="single" w:sz="8" w:space="0" w:color="auto"/>
              <w:right w:val="single" w:sz="8" w:space="0" w:color="auto"/>
            </w:tcBorders>
            <w:shd w:val="clear" w:color="auto" w:fill="auto"/>
            <w:noWrap/>
            <w:vAlign w:val="center"/>
            <w:hideMark/>
          </w:tcPr>
          <w:p w14:paraId="34720C1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$48,445,589.31</w:t>
            </w:r>
          </w:p>
        </w:tc>
        <w:tc>
          <w:tcPr>
            <w:tcW w:w="1276" w:type="dxa"/>
            <w:tcBorders>
              <w:top w:val="nil"/>
              <w:left w:val="nil"/>
              <w:bottom w:val="single" w:sz="8" w:space="0" w:color="auto"/>
              <w:right w:val="single" w:sz="8" w:space="0" w:color="auto"/>
            </w:tcBorders>
            <w:shd w:val="clear" w:color="auto" w:fill="auto"/>
            <w:noWrap/>
            <w:vAlign w:val="center"/>
            <w:hideMark/>
          </w:tcPr>
          <w:p w14:paraId="1646999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$84,143,012.97</w:t>
            </w:r>
          </w:p>
        </w:tc>
        <w:tc>
          <w:tcPr>
            <w:tcW w:w="1276" w:type="dxa"/>
            <w:tcBorders>
              <w:top w:val="nil"/>
              <w:left w:val="nil"/>
              <w:bottom w:val="single" w:sz="8" w:space="0" w:color="auto"/>
              <w:right w:val="single" w:sz="8" w:space="0" w:color="auto"/>
            </w:tcBorders>
            <w:shd w:val="clear" w:color="auto" w:fill="auto"/>
            <w:noWrap/>
            <w:vAlign w:val="center"/>
            <w:hideMark/>
          </w:tcPr>
          <w:p w14:paraId="2D7ED10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$69,388,707.39</w:t>
            </w:r>
          </w:p>
        </w:tc>
        <w:tc>
          <w:tcPr>
            <w:tcW w:w="1276" w:type="dxa"/>
            <w:tcBorders>
              <w:top w:val="nil"/>
              <w:left w:val="nil"/>
              <w:bottom w:val="single" w:sz="8" w:space="0" w:color="auto"/>
              <w:right w:val="single" w:sz="8" w:space="0" w:color="auto"/>
            </w:tcBorders>
            <w:shd w:val="clear" w:color="auto" w:fill="auto"/>
            <w:noWrap/>
            <w:vAlign w:val="center"/>
            <w:hideMark/>
          </w:tcPr>
          <w:p w14:paraId="7526DD7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$39,387,818.40</w:t>
            </w:r>
          </w:p>
        </w:tc>
        <w:tc>
          <w:tcPr>
            <w:tcW w:w="1343" w:type="dxa"/>
            <w:tcBorders>
              <w:top w:val="nil"/>
              <w:left w:val="nil"/>
              <w:bottom w:val="single" w:sz="8" w:space="0" w:color="auto"/>
              <w:right w:val="single" w:sz="8" w:space="0" w:color="auto"/>
            </w:tcBorders>
            <w:shd w:val="clear" w:color="auto" w:fill="auto"/>
            <w:noWrap/>
            <w:vAlign w:val="center"/>
            <w:hideMark/>
          </w:tcPr>
          <w:p w14:paraId="6F0A7D0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$34,316,344.70</w:t>
            </w:r>
          </w:p>
        </w:tc>
      </w:tr>
      <w:tr w:rsidR="00742003" w:rsidRPr="0049239C" w14:paraId="68208EFF"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3E644C7C"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Mining</w:t>
            </w:r>
          </w:p>
        </w:tc>
        <w:tc>
          <w:tcPr>
            <w:tcW w:w="850" w:type="dxa"/>
            <w:tcBorders>
              <w:top w:val="nil"/>
              <w:left w:val="nil"/>
              <w:bottom w:val="single" w:sz="8" w:space="0" w:color="auto"/>
              <w:right w:val="single" w:sz="8" w:space="0" w:color="auto"/>
            </w:tcBorders>
            <w:shd w:val="clear" w:color="auto" w:fill="auto"/>
            <w:noWrap/>
            <w:vAlign w:val="center"/>
            <w:hideMark/>
          </w:tcPr>
          <w:p w14:paraId="28D700C6"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94</w:t>
            </w:r>
          </w:p>
        </w:tc>
        <w:tc>
          <w:tcPr>
            <w:tcW w:w="1134" w:type="dxa"/>
            <w:tcBorders>
              <w:top w:val="nil"/>
              <w:left w:val="nil"/>
              <w:bottom w:val="single" w:sz="8" w:space="0" w:color="auto"/>
              <w:right w:val="single" w:sz="8" w:space="0" w:color="auto"/>
            </w:tcBorders>
            <w:shd w:val="clear" w:color="auto" w:fill="auto"/>
            <w:noWrap/>
            <w:vAlign w:val="center"/>
            <w:hideMark/>
          </w:tcPr>
          <w:p w14:paraId="5B45750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$135,457.38</w:t>
            </w:r>
          </w:p>
        </w:tc>
        <w:tc>
          <w:tcPr>
            <w:tcW w:w="1134" w:type="dxa"/>
            <w:tcBorders>
              <w:top w:val="nil"/>
              <w:left w:val="nil"/>
              <w:bottom w:val="single" w:sz="8" w:space="0" w:color="auto"/>
              <w:right w:val="single" w:sz="8" w:space="0" w:color="auto"/>
            </w:tcBorders>
            <w:shd w:val="clear" w:color="auto" w:fill="auto"/>
            <w:noWrap/>
            <w:vAlign w:val="center"/>
            <w:hideMark/>
          </w:tcPr>
          <w:p w14:paraId="12A8A51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$1,073,155.74</w:t>
            </w:r>
          </w:p>
        </w:tc>
        <w:tc>
          <w:tcPr>
            <w:tcW w:w="1208" w:type="dxa"/>
            <w:tcBorders>
              <w:top w:val="nil"/>
              <w:left w:val="nil"/>
              <w:bottom w:val="single" w:sz="8" w:space="0" w:color="auto"/>
              <w:right w:val="single" w:sz="8" w:space="0" w:color="auto"/>
            </w:tcBorders>
            <w:shd w:val="clear" w:color="auto" w:fill="auto"/>
            <w:noWrap/>
            <w:vAlign w:val="center"/>
            <w:hideMark/>
          </w:tcPr>
          <w:p w14:paraId="6AD1C7E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$97,374.06</w:t>
            </w:r>
          </w:p>
        </w:tc>
        <w:tc>
          <w:tcPr>
            <w:tcW w:w="1202" w:type="dxa"/>
            <w:tcBorders>
              <w:top w:val="nil"/>
              <w:left w:val="nil"/>
              <w:bottom w:val="single" w:sz="8" w:space="0" w:color="auto"/>
              <w:right w:val="single" w:sz="8" w:space="0" w:color="auto"/>
            </w:tcBorders>
            <w:shd w:val="clear" w:color="auto" w:fill="auto"/>
            <w:noWrap/>
            <w:vAlign w:val="center"/>
            <w:hideMark/>
          </w:tcPr>
          <w:p w14:paraId="0CEFE33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$80,884.29</w:t>
            </w:r>
          </w:p>
        </w:tc>
        <w:tc>
          <w:tcPr>
            <w:tcW w:w="1276" w:type="dxa"/>
            <w:tcBorders>
              <w:top w:val="nil"/>
              <w:left w:val="nil"/>
              <w:bottom w:val="single" w:sz="8" w:space="0" w:color="auto"/>
              <w:right w:val="single" w:sz="8" w:space="0" w:color="auto"/>
            </w:tcBorders>
            <w:shd w:val="clear" w:color="auto" w:fill="auto"/>
            <w:noWrap/>
            <w:vAlign w:val="center"/>
            <w:hideMark/>
          </w:tcPr>
          <w:p w14:paraId="69ED2C5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$481,130.24</w:t>
            </w:r>
          </w:p>
        </w:tc>
        <w:tc>
          <w:tcPr>
            <w:tcW w:w="1276" w:type="dxa"/>
            <w:tcBorders>
              <w:top w:val="nil"/>
              <w:left w:val="nil"/>
              <w:bottom w:val="single" w:sz="8" w:space="0" w:color="auto"/>
              <w:right w:val="single" w:sz="8" w:space="0" w:color="auto"/>
            </w:tcBorders>
            <w:shd w:val="clear" w:color="auto" w:fill="auto"/>
            <w:noWrap/>
            <w:vAlign w:val="center"/>
            <w:hideMark/>
          </w:tcPr>
          <w:p w14:paraId="4ACA101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$2,779,823.28</w:t>
            </w:r>
          </w:p>
        </w:tc>
        <w:tc>
          <w:tcPr>
            <w:tcW w:w="1275" w:type="dxa"/>
            <w:tcBorders>
              <w:top w:val="nil"/>
              <w:left w:val="nil"/>
              <w:bottom w:val="single" w:sz="8" w:space="0" w:color="auto"/>
              <w:right w:val="single" w:sz="8" w:space="0" w:color="auto"/>
            </w:tcBorders>
            <w:shd w:val="clear" w:color="auto" w:fill="auto"/>
            <w:noWrap/>
            <w:vAlign w:val="center"/>
            <w:hideMark/>
          </w:tcPr>
          <w:p w14:paraId="44D92FE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$899,747.42</w:t>
            </w:r>
          </w:p>
        </w:tc>
        <w:tc>
          <w:tcPr>
            <w:tcW w:w="1276" w:type="dxa"/>
            <w:tcBorders>
              <w:top w:val="nil"/>
              <w:left w:val="nil"/>
              <w:bottom w:val="single" w:sz="8" w:space="0" w:color="auto"/>
              <w:right w:val="single" w:sz="8" w:space="0" w:color="auto"/>
            </w:tcBorders>
            <w:shd w:val="clear" w:color="auto" w:fill="auto"/>
            <w:noWrap/>
            <w:vAlign w:val="center"/>
            <w:hideMark/>
          </w:tcPr>
          <w:p w14:paraId="5B109FE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$1,904,802.37</w:t>
            </w:r>
          </w:p>
        </w:tc>
        <w:tc>
          <w:tcPr>
            <w:tcW w:w="1276" w:type="dxa"/>
            <w:tcBorders>
              <w:top w:val="nil"/>
              <w:left w:val="nil"/>
              <w:bottom w:val="single" w:sz="8" w:space="0" w:color="auto"/>
              <w:right w:val="single" w:sz="8" w:space="0" w:color="auto"/>
            </w:tcBorders>
            <w:shd w:val="clear" w:color="auto" w:fill="auto"/>
            <w:noWrap/>
            <w:vAlign w:val="center"/>
            <w:hideMark/>
          </w:tcPr>
          <w:p w14:paraId="27D3C7C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$1,524,821.11</w:t>
            </w:r>
          </w:p>
        </w:tc>
        <w:tc>
          <w:tcPr>
            <w:tcW w:w="1276" w:type="dxa"/>
            <w:tcBorders>
              <w:top w:val="nil"/>
              <w:left w:val="nil"/>
              <w:bottom w:val="single" w:sz="8" w:space="0" w:color="auto"/>
              <w:right w:val="single" w:sz="8" w:space="0" w:color="auto"/>
            </w:tcBorders>
            <w:shd w:val="clear" w:color="auto" w:fill="auto"/>
            <w:noWrap/>
            <w:vAlign w:val="center"/>
            <w:hideMark/>
          </w:tcPr>
          <w:p w14:paraId="02A3C2C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$34,244,152.84</w:t>
            </w:r>
          </w:p>
        </w:tc>
        <w:tc>
          <w:tcPr>
            <w:tcW w:w="1343" w:type="dxa"/>
            <w:tcBorders>
              <w:top w:val="nil"/>
              <w:left w:val="nil"/>
              <w:bottom w:val="single" w:sz="8" w:space="0" w:color="auto"/>
              <w:right w:val="single" w:sz="8" w:space="0" w:color="auto"/>
            </w:tcBorders>
            <w:shd w:val="clear" w:color="auto" w:fill="auto"/>
            <w:noWrap/>
            <w:vAlign w:val="center"/>
            <w:hideMark/>
          </w:tcPr>
          <w:p w14:paraId="5F735F6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$5,207,072.10</w:t>
            </w:r>
          </w:p>
        </w:tc>
      </w:tr>
      <w:tr w:rsidR="00742003" w:rsidRPr="0049239C" w14:paraId="443952BE"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441AB889"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Other Services</w:t>
            </w:r>
          </w:p>
        </w:tc>
        <w:tc>
          <w:tcPr>
            <w:tcW w:w="850" w:type="dxa"/>
            <w:tcBorders>
              <w:top w:val="nil"/>
              <w:left w:val="nil"/>
              <w:bottom w:val="single" w:sz="8" w:space="0" w:color="auto"/>
              <w:right w:val="single" w:sz="8" w:space="0" w:color="auto"/>
            </w:tcBorders>
            <w:shd w:val="clear" w:color="auto" w:fill="auto"/>
            <w:noWrap/>
            <w:vAlign w:val="center"/>
            <w:hideMark/>
          </w:tcPr>
          <w:p w14:paraId="502628D3"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1112</w:t>
            </w:r>
          </w:p>
        </w:tc>
        <w:tc>
          <w:tcPr>
            <w:tcW w:w="1134" w:type="dxa"/>
            <w:tcBorders>
              <w:top w:val="nil"/>
              <w:left w:val="nil"/>
              <w:bottom w:val="single" w:sz="8" w:space="0" w:color="auto"/>
              <w:right w:val="single" w:sz="8" w:space="0" w:color="auto"/>
            </w:tcBorders>
            <w:shd w:val="clear" w:color="auto" w:fill="auto"/>
            <w:noWrap/>
            <w:vAlign w:val="center"/>
            <w:hideMark/>
          </w:tcPr>
          <w:p w14:paraId="62F9045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$3,750,882.07</w:t>
            </w:r>
          </w:p>
        </w:tc>
        <w:tc>
          <w:tcPr>
            <w:tcW w:w="1134" w:type="dxa"/>
            <w:tcBorders>
              <w:top w:val="nil"/>
              <w:left w:val="nil"/>
              <w:bottom w:val="single" w:sz="8" w:space="0" w:color="auto"/>
              <w:right w:val="single" w:sz="8" w:space="0" w:color="auto"/>
            </w:tcBorders>
            <w:shd w:val="clear" w:color="auto" w:fill="auto"/>
            <w:noWrap/>
            <w:vAlign w:val="center"/>
            <w:hideMark/>
          </w:tcPr>
          <w:p w14:paraId="06274CD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$3,140,069.40</w:t>
            </w:r>
          </w:p>
        </w:tc>
        <w:tc>
          <w:tcPr>
            <w:tcW w:w="1208" w:type="dxa"/>
            <w:tcBorders>
              <w:top w:val="nil"/>
              <w:left w:val="nil"/>
              <w:bottom w:val="single" w:sz="8" w:space="0" w:color="auto"/>
              <w:right w:val="single" w:sz="8" w:space="0" w:color="auto"/>
            </w:tcBorders>
            <w:shd w:val="clear" w:color="auto" w:fill="auto"/>
            <w:noWrap/>
            <w:vAlign w:val="center"/>
            <w:hideMark/>
          </w:tcPr>
          <w:p w14:paraId="2CBC0E3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$3,167,466.09</w:t>
            </w:r>
          </w:p>
        </w:tc>
        <w:tc>
          <w:tcPr>
            <w:tcW w:w="1202" w:type="dxa"/>
            <w:tcBorders>
              <w:top w:val="nil"/>
              <w:left w:val="nil"/>
              <w:bottom w:val="single" w:sz="8" w:space="0" w:color="auto"/>
              <w:right w:val="single" w:sz="8" w:space="0" w:color="auto"/>
            </w:tcBorders>
            <w:shd w:val="clear" w:color="auto" w:fill="auto"/>
            <w:noWrap/>
            <w:vAlign w:val="center"/>
            <w:hideMark/>
          </w:tcPr>
          <w:p w14:paraId="457AA86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$2,699,029.85</w:t>
            </w:r>
          </w:p>
        </w:tc>
        <w:tc>
          <w:tcPr>
            <w:tcW w:w="1276" w:type="dxa"/>
            <w:tcBorders>
              <w:top w:val="nil"/>
              <w:left w:val="nil"/>
              <w:bottom w:val="single" w:sz="8" w:space="0" w:color="auto"/>
              <w:right w:val="single" w:sz="8" w:space="0" w:color="auto"/>
            </w:tcBorders>
            <w:shd w:val="clear" w:color="auto" w:fill="auto"/>
            <w:noWrap/>
            <w:vAlign w:val="center"/>
            <w:hideMark/>
          </w:tcPr>
          <w:p w14:paraId="0D9B4F6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$4,668,344.77</w:t>
            </w:r>
          </w:p>
        </w:tc>
        <w:tc>
          <w:tcPr>
            <w:tcW w:w="1276" w:type="dxa"/>
            <w:tcBorders>
              <w:top w:val="nil"/>
              <w:left w:val="nil"/>
              <w:bottom w:val="single" w:sz="8" w:space="0" w:color="auto"/>
              <w:right w:val="single" w:sz="8" w:space="0" w:color="auto"/>
            </w:tcBorders>
            <w:shd w:val="clear" w:color="auto" w:fill="auto"/>
            <w:noWrap/>
            <w:vAlign w:val="center"/>
            <w:hideMark/>
          </w:tcPr>
          <w:p w14:paraId="1A4145E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$4,554,324.38</w:t>
            </w:r>
          </w:p>
        </w:tc>
        <w:tc>
          <w:tcPr>
            <w:tcW w:w="1275" w:type="dxa"/>
            <w:tcBorders>
              <w:top w:val="nil"/>
              <w:left w:val="nil"/>
              <w:bottom w:val="single" w:sz="8" w:space="0" w:color="auto"/>
              <w:right w:val="single" w:sz="8" w:space="0" w:color="auto"/>
            </w:tcBorders>
            <w:shd w:val="clear" w:color="auto" w:fill="auto"/>
            <w:noWrap/>
            <w:vAlign w:val="center"/>
            <w:hideMark/>
          </w:tcPr>
          <w:p w14:paraId="5522BC6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$13,412,228.97</w:t>
            </w:r>
          </w:p>
        </w:tc>
        <w:tc>
          <w:tcPr>
            <w:tcW w:w="1276" w:type="dxa"/>
            <w:tcBorders>
              <w:top w:val="nil"/>
              <w:left w:val="nil"/>
              <w:bottom w:val="single" w:sz="8" w:space="0" w:color="auto"/>
              <w:right w:val="single" w:sz="8" w:space="0" w:color="auto"/>
            </w:tcBorders>
            <w:shd w:val="clear" w:color="auto" w:fill="auto"/>
            <w:noWrap/>
            <w:vAlign w:val="center"/>
            <w:hideMark/>
          </w:tcPr>
          <w:p w14:paraId="30A38CD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$6,002,937.93</w:t>
            </w:r>
          </w:p>
        </w:tc>
        <w:tc>
          <w:tcPr>
            <w:tcW w:w="1276" w:type="dxa"/>
            <w:tcBorders>
              <w:top w:val="nil"/>
              <w:left w:val="nil"/>
              <w:bottom w:val="single" w:sz="8" w:space="0" w:color="auto"/>
              <w:right w:val="single" w:sz="8" w:space="0" w:color="auto"/>
            </w:tcBorders>
            <w:shd w:val="clear" w:color="auto" w:fill="auto"/>
            <w:noWrap/>
            <w:vAlign w:val="center"/>
            <w:hideMark/>
          </w:tcPr>
          <w:p w14:paraId="0D5E2B5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$10,615,222.31</w:t>
            </w:r>
          </w:p>
        </w:tc>
        <w:tc>
          <w:tcPr>
            <w:tcW w:w="1276" w:type="dxa"/>
            <w:tcBorders>
              <w:top w:val="nil"/>
              <w:left w:val="nil"/>
              <w:bottom w:val="single" w:sz="8" w:space="0" w:color="auto"/>
              <w:right w:val="single" w:sz="8" w:space="0" w:color="auto"/>
            </w:tcBorders>
            <w:shd w:val="clear" w:color="auto" w:fill="auto"/>
            <w:noWrap/>
            <w:vAlign w:val="center"/>
            <w:hideMark/>
          </w:tcPr>
          <w:p w14:paraId="70B21E7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$16,620,942.90</w:t>
            </w:r>
          </w:p>
        </w:tc>
        <w:tc>
          <w:tcPr>
            <w:tcW w:w="1343" w:type="dxa"/>
            <w:tcBorders>
              <w:top w:val="nil"/>
              <w:left w:val="nil"/>
              <w:bottom w:val="single" w:sz="8" w:space="0" w:color="auto"/>
              <w:right w:val="single" w:sz="8" w:space="0" w:color="auto"/>
            </w:tcBorders>
            <w:shd w:val="clear" w:color="auto" w:fill="auto"/>
            <w:noWrap/>
            <w:vAlign w:val="center"/>
            <w:hideMark/>
          </w:tcPr>
          <w:p w14:paraId="7C46D3D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$11,721,258.48</w:t>
            </w:r>
          </w:p>
        </w:tc>
      </w:tr>
      <w:tr w:rsidR="00742003" w:rsidRPr="0049239C" w14:paraId="731B3D68"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66281E0F"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Professional, Scientific and Technical Services</w:t>
            </w:r>
          </w:p>
        </w:tc>
        <w:tc>
          <w:tcPr>
            <w:tcW w:w="850" w:type="dxa"/>
            <w:tcBorders>
              <w:top w:val="nil"/>
              <w:left w:val="nil"/>
              <w:bottom w:val="single" w:sz="8" w:space="0" w:color="auto"/>
              <w:right w:val="single" w:sz="8" w:space="0" w:color="auto"/>
            </w:tcBorders>
            <w:shd w:val="clear" w:color="auto" w:fill="auto"/>
            <w:noWrap/>
            <w:vAlign w:val="center"/>
            <w:hideMark/>
          </w:tcPr>
          <w:p w14:paraId="2C1619E4"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731</w:t>
            </w:r>
          </w:p>
        </w:tc>
        <w:tc>
          <w:tcPr>
            <w:tcW w:w="1134" w:type="dxa"/>
            <w:tcBorders>
              <w:top w:val="nil"/>
              <w:left w:val="nil"/>
              <w:bottom w:val="single" w:sz="8" w:space="0" w:color="auto"/>
              <w:right w:val="single" w:sz="8" w:space="0" w:color="auto"/>
            </w:tcBorders>
            <w:shd w:val="clear" w:color="auto" w:fill="auto"/>
            <w:noWrap/>
            <w:vAlign w:val="center"/>
            <w:hideMark/>
          </w:tcPr>
          <w:p w14:paraId="66EBFDA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$2,064,604.81</w:t>
            </w:r>
          </w:p>
        </w:tc>
        <w:tc>
          <w:tcPr>
            <w:tcW w:w="1134" w:type="dxa"/>
            <w:tcBorders>
              <w:top w:val="nil"/>
              <w:left w:val="nil"/>
              <w:bottom w:val="single" w:sz="8" w:space="0" w:color="auto"/>
              <w:right w:val="single" w:sz="8" w:space="0" w:color="auto"/>
            </w:tcBorders>
            <w:shd w:val="clear" w:color="auto" w:fill="auto"/>
            <w:noWrap/>
            <w:vAlign w:val="center"/>
            <w:hideMark/>
          </w:tcPr>
          <w:p w14:paraId="066E772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$3,262,780.53</w:t>
            </w:r>
          </w:p>
        </w:tc>
        <w:tc>
          <w:tcPr>
            <w:tcW w:w="1208" w:type="dxa"/>
            <w:tcBorders>
              <w:top w:val="nil"/>
              <w:left w:val="nil"/>
              <w:bottom w:val="single" w:sz="8" w:space="0" w:color="auto"/>
              <w:right w:val="single" w:sz="8" w:space="0" w:color="auto"/>
            </w:tcBorders>
            <w:shd w:val="clear" w:color="auto" w:fill="auto"/>
            <w:noWrap/>
            <w:vAlign w:val="center"/>
            <w:hideMark/>
          </w:tcPr>
          <w:p w14:paraId="56DE400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$3,614,883.44</w:t>
            </w:r>
          </w:p>
        </w:tc>
        <w:tc>
          <w:tcPr>
            <w:tcW w:w="1202" w:type="dxa"/>
            <w:tcBorders>
              <w:top w:val="nil"/>
              <w:left w:val="nil"/>
              <w:bottom w:val="single" w:sz="8" w:space="0" w:color="auto"/>
              <w:right w:val="single" w:sz="8" w:space="0" w:color="auto"/>
            </w:tcBorders>
            <w:shd w:val="clear" w:color="auto" w:fill="auto"/>
            <w:noWrap/>
            <w:vAlign w:val="center"/>
            <w:hideMark/>
          </w:tcPr>
          <w:p w14:paraId="274B281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$5,126,761.65</w:t>
            </w:r>
          </w:p>
        </w:tc>
        <w:tc>
          <w:tcPr>
            <w:tcW w:w="1276" w:type="dxa"/>
            <w:tcBorders>
              <w:top w:val="nil"/>
              <w:left w:val="nil"/>
              <w:bottom w:val="single" w:sz="8" w:space="0" w:color="auto"/>
              <w:right w:val="single" w:sz="8" w:space="0" w:color="auto"/>
            </w:tcBorders>
            <w:shd w:val="clear" w:color="auto" w:fill="auto"/>
            <w:noWrap/>
            <w:vAlign w:val="center"/>
            <w:hideMark/>
          </w:tcPr>
          <w:p w14:paraId="094E6C4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$4,933,497.52</w:t>
            </w:r>
          </w:p>
        </w:tc>
        <w:tc>
          <w:tcPr>
            <w:tcW w:w="1276" w:type="dxa"/>
            <w:tcBorders>
              <w:top w:val="nil"/>
              <w:left w:val="nil"/>
              <w:bottom w:val="single" w:sz="8" w:space="0" w:color="auto"/>
              <w:right w:val="single" w:sz="8" w:space="0" w:color="auto"/>
            </w:tcBorders>
            <w:shd w:val="clear" w:color="auto" w:fill="auto"/>
            <w:noWrap/>
            <w:vAlign w:val="center"/>
            <w:hideMark/>
          </w:tcPr>
          <w:p w14:paraId="209D8D4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$8,237,143.28</w:t>
            </w:r>
          </w:p>
        </w:tc>
        <w:tc>
          <w:tcPr>
            <w:tcW w:w="1275" w:type="dxa"/>
            <w:tcBorders>
              <w:top w:val="nil"/>
              <w:left w:val="nil"/>
              <w:bottom w:val="single" w:sz="8" w:space="0" w:color="auto"/>
              <w:right w:val="single" w:sz="8" w:space="0" w:color="auto"/>
            </w:tcBorders>
            <w:shd w:val="clear" w:color="auto" w:fill="auto"/>
            <w:noWrap/>
            <w:vAlign w:val="center"/>
            <w:hideMark/>
          </w:tcPr>
          <w:p w14:paraId="5742C02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$5,800,409.22</w:t>
            </w:r>
          </w:p>
        </w:tc>
        <w:tc>
          <w:tcPr>
            <w:tcW w:w="1276" w:type="dxa"/>
            <w:tcBorders>
              <w:top w:val="nil"/>
              <w:left w:val="nil"/>
              <w:bottom w:val="single" w:sz="8" w:space="0" w:color="auto"/>
              <w:right w:val="single" w:sz="8" w:space="0" w:color="auto"/>
            </w:tcBorders>
            <w:shd w:val="clear" w:color="auto" w:fill="auto"/>
            <w:noWrap/>
            <w:vAlign w:val="center"/>
            <w:hideMark/>
          </w:tcPr>
          <w:p w14:paraId="36D36C3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$8,743,791.13</w:t>
            </w:r>
          </w:p>
        </w:tc>
        <w:tc>
          <w:tcPr>
            <w:tcW w:w="1276" w:type="dxa"/>
            <w:tcBorders>
              <w:top w:val="nil"/>
              <w:left w:val="nil"/>
              <w:bottom w:val="single" w:sz="8" w:space="0" w:color="auto"/>
              <w:right w:val="single" w:sz="8" w:space="0" w:color="auto"/>
            </w:tcBorders>
            <w:shd w:val="clear" w:color="auto" w:fill="auto"/>
            <w:noWrap/>
            <w:vAlign w:val="center"/>
            <w:hideMark/>
          </w:tcPr>
          <w:p w14:paraId="67EA789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$3,562,665.99</w:t>
            </w:r>
          </w:p>
        </w:tc>
        <w:tc>
          <w:tcPr>
            <w:tcW w:w="1276" w:type="dxa"/>
            <w:tcBorders>
              <w:top w:val="nil"/>
              <w:left w:val="nil"/>
              <w:bottom w:val="single" w:sz="8" w:space="0" w:color="auto"/>
              <w:right w:val="single" w:sz="8" w:space="0" w:color="auto"/>
            </w:tcBorders>
            <w:shd w:val="clear" w:color="auto" w:fill="auto"/>
            <w:noWrap/>
            <w:vAlign w:val="center"/>
            <w:hideMark/>
          </w:tcPr>
          <w:p w14:paraId="2920AB5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$10,136,536.20</w:t>
            </w:r>
          </w:p>
        </w:tc>
        <w:tc>
          <w:tcPr>
            <w:tcW w:w="1343" w:type="dxa"/>
            <w:tcBorders>
              <w:top w:val="nil"/>
              <w:left w:val="nil"/>
              <w:bottom w:val="single" w:sz="8" w:space="0" w:color="auto"/>
              <w:right w:val="single" w:sz="8" w:space="0" w:color="auto"/>
            </w:tcBorders>
            <w:shd w:val="clear" w:color="auto" w:fill="auto"/>
            <w:noWrap/>
            <w:vAlign w:val="center"/>
            <w:hideMark/>
          </w:tcPr>
          <w:p w14:paraId="655B1AA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$3,666,849.88</w:t>
            </w:r>
          </w:p>
        </w:tc>
      </w:tr>
      <w:tr w:rsidR="00742003" w:rsidRPr="0049239C" w14:paraId="3F8FDFF4"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770FA175"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Public Administration and Safety</w:t>
            </w:r>
          </w:p>
        </w:tc>
        <w:tc>
          <w:tcPr>
            <w:tcW w:w="850" w:type="dxa"/>
            <w:tcBorders>
              <w:top w:val="nil"/>
              <w:left w:val="nil"/>
              <w:bottom w:val="single" w:sz="8" w:space="0" w:color="auto"/>
              <w:right w:val="single" w:sz="8" w:space="0" w:color="auto"/>
            </w:tcBorders>
            <w:shd w:val="clear" w:color="auto" w:fill="auto"/>
            <w:noWrap/>
            <w:vAlign w:val="center"/>
            <w:hideMark/>
          </w:tcPr>
          <w:p w14:paraId="2DB20E40"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56</w:t>
            </w:r>
          </w:p>
        </w:tc>
        <w:tc>
          <w:tcPr>
            <w:tcW w:w="1134" w:type="dxa"/>
            <w:tcBorders>
              <w:top w:val="nil"/>
              <w:left w:val="nil"/>
              <w:bottom w:val="single" w:sz="8" w:space="0" w:color="auto"/>
              <w:right w:val="single" w:sz="8" w:space="0" w:color="auto"/>
            </w:tcBorders>
            <w:shd w:val="clear" w:color="auto" w:fill="auto"/>
            <w:noWrap/>
            <w:vAlign w:val="center"/>
            <w:hideMark/>
          </w:tcPr>
          <w:p w14:paraId="22D973C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$106,745.52</w:t>
            </w:r>
          </w:p>
        </w:tc>
        <w:tc>
          <w:tcPr>
            <w:tcW w:w="1134" w:type="dxa"/>
            <w:tcBorders>
              <w:top w:val="nil"/>
              <w:left w:val="nil"/>
              <w:bottom w:val="single" w:sz="8" w:space="0" w:color="auto"/>
              <w:right w:val="single" w:sz="8" w:space="0" w:color="auto"/>
            </w:tcBorders>
            <w:shd w:val="clear" w:color="auto" w:fill="auto"/>
            <w:noWrap/>
            <w:vAlign w:val="center"/>
            <w:hideMark/>
          </w:tcPr>
          <w:p w14:paraId="0B3AB06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$153,818.18</w:t>
            </w:r>
          </w:p>
        </w:tc>
        <w:tc>
          <w:tcPr>
            <w:tcW w:w="1208" w:type="dxa"/>
            <w:tcBorders>
              <w:top w:val="nil"/>
              <w:left w:val="nil"/>
              <w:bottom w:val="single" w:sz="8" w:space="0" w:color="auto"/>
              <w:right w:val="single" w:sz="8" w:space="0" w:color="auto"/>
            </w:tcBorders>
            <w:shd w:val="clear" w:color="auto" w:fill="auto"/>
            <w:noWrap/>
            <w:vAlign w:val="center"/>
            <w:hideMark/>
          </w:tcPr>
          <w:p w14:paraId="658DE12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$114,913.28</w:t>
            </w:r>
          </w:p>
        </w:tc>
        <w:tc>
          <w:tcPr>
            <w:tcW w:w="1202" w:type="dxa"/>
            <w:tcBorders>
              <w:top w:val="nil"/>
              <w:left w:val="nil"/>
              <w:bottom w:val="single" w:sz="8" w:space="0" w:color="auto"/>
              <w:right w:val="single" w:sz="8" w:space="0" w:color="auto"/>
            </w:tcBorders>
            <w:shd w:val="clear" w:color="auto" w:fill="auto"/>
            <w:noWrap/>
            <w:vAlign w:val="center"/>
            <w:hideMark/>
          </w:tcPr>
          <w:p w14:paraId="0F0302B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$636,733.16</w:t>
            </w:r>
          </w:p>
        </w:tc>
        <w:tc>
          <w:tcPr>
            <w:tcW w:w="1276" w:type="dxa"/>
            <w:tcBorders>
              <w:top w:val="nil"/>
              <w:left w:val="nil"/>
              <w:bottom w:val="single" w:sz="8" w:space="0" w:color="auto"/>
              <w:right w:val="single" w:sz="8" w:space="0" w:color="auto"/>
            </w:tcBorders>
            <w:shd w:val="clear" w:color="auto" w:fill="auto"/>
            <w:noWrap/>
            <w:vAlign w:val="center"/>
            <w:hideMark/>
          </w:tcPr>
          <w:p w14:paraId="018CCC4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$644,137.48</w:t>
            </w:r>
          </w:p>
        </w:tc>
        <w:tc>
          <w:tcPr>
            <w:tcW w:w="1276" w:type="dxa"/>
            <w:tcBorders>
              <w:top w:val="nil"/>
              <w:left w:val="nil"/>
              <w:bottom w:val="single" w:sz="8" w:space="0" w:color="auto"/>
              <w:right w:val="single" w:sz="8" w:space="0" w:color="auto"/>
            </w:tcBorders>
            <w:shd w:val="clear" w:color="auto" w:fill="auto"/>
            <w:noWrap/>
            <w:vAlign w:val="center"/>
            <w:hideMark/>
          </w:tcPr>
          <w:p w14:paraId="11857B7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$501,621.96</w:t>
            </w:r>
          </w:p>
        </w:tc>
        <w:tc>
          <w:tcPr>
            <w:tcW w:w="1275" w:type="dxa"/>
            <w:tcBorders>
              <w:top w:val="nil"/>
              <w:left w:val="nil"/>
              <w:bottom w:val="single" w:sz="8" w:space="0" w:color="auto"/>
              <w:right w:val="single" w:sz="8" w:space="0" w:color="auto"/>
            </w:tcBorders>
            <w:shd w:val="clear" w:color="auto" w:fill="auto"/>
            <w:noWrap/>
            <w:vAlign w:val="center"/>
            <w:hideMark/>
          </w:tcPr>
          <w:p w14:paraId="48DD41A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$241,306.69</w:t>
            </w:r>
          </w:p>
        </w:tc>
        <w:tc>
          <w:tcPr>
            <w:tcW w:w="1276" w:type="dxa"/>
            <w:tcBorders>
              <w:top w:val="nil"/>
              <w:left w:val="nil"/>
              <w:bottom w:val="single" w:sz="8" w:space="0" w:color="auto"/>
              <w:right w:val="single" w:sz="8" w:space="0" w:color="auto"/>
            </w:tcBorders>
            <w:shd w:val="clear" w:color="auto" w:fill="auto"/>
            <w:noWrap/>
            <w:vAlign w:val="center"/>
            <w:hideMark/>
          </w:tcPr>
          <w:p w14:paraId="6B2C20A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$1,395,746.08</w:t>
            </w:r>
          </w:p>
        </w:tc>
        <w:tc>
          <w:tcPr>
            <w:tcW w:w="1276" w:type="dxa"/>
            <w:tcBorders>
              <w:top w:val="nil"/>
              <w:left w:val="nil"/>
              <w:bottom w:val="single" w:sz="8" w:space="0" w:color="auto"/>
              <w:right w:val="single" w:sz="8" w:space="0" w:color="auto"/>
            </w:tcBorders>
            <w:shd w:val="clear" w:color="auto" w:fill="auto"/>
            <w:noWrap/>
            <w:vAlign w:val="center"/>
            <w:hideMark/>
          </w:tcPr>
          <w:p w14:paraId="16ECC63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$58,135.50</w:t>
            </w:r>
          </w:p>
        </w:tc>
        <w:tc>
          <w:tcPr>
            <w:tcW w:w="1276" w:type="dxa"/>
            <w:tcBorders>
              <w:top w:val="nil"/>
              <w:left w:val="nil"/>
              <w:bottom w:val="single" w:sz="8" w:space="0" w:color="auto"/>
              <w:right w:val="single" w:sz="8" w:space="0" w:color="auto"/>
            </w:tcBorders>
            <w:shd w:val="clear" w:color="auto" w:fill="auto"/>
            <w:noWrap/>
            <w:vAlign w:val="center"/>
            <w:hideMark/>
          </w:tcPr>
          <w:p w14:paraId="147DCE7B"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343" w:type="dxa"/>
            <w:tcBorders>
              <w:top w:val="nil"/>
              <w:left w:val="nil"/>
              <w:bottom w:val="single" w:sz="8" w:space="0" w:color="auto"/>
              <w:right w:val="single" w:sz="8" w:space="0" w:color="auto"/>
            </w:tcBorders>
            <w:shd w:val="clear" w:color="auto" w:fill="auto"/>
            <w:noWrap/>
            <w:vAlign w:val="center"/>
            <w:hideMark/>
          </w:tcPr>
          <w:p w14:paraId="396700A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$34,509.76</w:t>
            </w:r>
          </w:p>
        </w:tc>
      </w:tr>
      <w:tr w:rsidR="00742003" w:rsidRPr="0049239C" w14:paraId="755AE9EE"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0D8F67B7"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Rental, Hiring and Real Estate Services</w:t>
            </w:r>
          </w:p>
        </w:tc>
        <w:tc>
          <w:tcPr>
            <w:tcW w:w="850" w:type="dxa"/>
            <w:tcBorders>
              <w:top w:val="nil"/>
              <w:left w:val="nil"/>
              <w:bottom w:val="single" w:sz="8" w:space="0" w:color="auto"/>
              <w:right w:val="single" w:sz="8" w:space="0" w:color="auto"/>
            </w:tcBorders>
            <w:shd w:val="clear" w:color="auto" w:fill="auto"/>
            <w:noWrap/>
            <w:vAlign w:val="center"/>
            <w:hideMark/>
          </w:tcPr>
          <w:p w14:paraId="518A8350"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246</w:t>
            </w:r>
          </w:p>
        </w:tc>
        <w:tc>
          <w:tcPr>
            <w:tcW w:w="1134" w:type="dxa"/>
            <w:tcBorders>
              <w:top w:val="nil"/>
              <w:left w:val="nil"/>
              <w:bottom w:val="single" w:sz="8" w:space="0" w:color="auto"/>
              <w:right w:val="single" w:sz="8" w:space="0" w:color="auto"/>
            </w:tcBorders>
            <w:shd w:val="clear" w:color="auto" w:fill="auto"/>
            <w:noWrap/>
            <w:vAlign w:val="center"/>
            <w:hideMark/>
          </w:tcPr>
          <w:p w14:paraId="49DC77D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$604,841.62</w:t>
            </w:r>
          </w:p>
        </w:tc>
        <w:tc>
          <w:tcPr>
            <w:tcW w:w="1134" w:type="dxa"/>
            <w:tcBorders>
              <w:top w:val="nil"/>
              <w:left w:val="nil"/>
              <w:bottom w:val="single" w:sz="8" w:space="0" w:color="auto"/>
              <w:right w:val="single" w:sz="8" w:space="0" w:color="auto"/>
            </w:tcBorders>
            <w:shd w:val="clear" w:color="auto" w:fill="auto"/>
            <w:noWrap/>
            <w:vAlign w:val="center"/>
            <w:hideMark/>
          </w:tcPr>
          <w:p w14:paraId="29EF576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$445,754.44</w:t>
            </w:r>
          </w:p>
        </w:tc>
        <w:tc>
          <w:tcPr>
            <w:tcW w:w="1208" w:type="dxa"/>
            <w:tcBorders>
              <w:top w:val="nil"/>
              <w:left w:val="nil"/>
              <w:bottom w:val="single" w:sz="8" w:space="0" w:color="auto"/>
              <w:right w:val="single" w:sz="8" w:space="0" w:color="auto"/>
            </w:tcBorders>
            <w:shd w:val="clear" w:color="auto" w:fill="auto"/>
            <w:noWrap/>
            <w:vAlign w:val="center"/>
            <w:hideMark/>
          </w:tcPr>
          <w:p w14:paraId="5DF865B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$140,677.00</w:t>
            </w:r>
          </w:p>
        </w:tc>
        <w:tc>
          <w:tcPr>
            <w:tcW w:w="1202" w:type="dxa"/>
            <w:tcBorders>
              <w:top w:val="nil"/>
              <w:left w:val="nil"/>
              <w:bottom w:val="single" w:sz="8" w:space="0" w:color="auto"/>
              <w:right w:val="single" w:sz="8" w:space="0" w:color="auto"/>
            </w:tcBorders>
            <w:shd w:val="clear" w:color="auto" w:fill="auto"/>
            <w:noWrap/>
            <w:vAlign w:val="center"/>
            <w:hideMark/>
          </w:tcPr>
          <w:p w14:paraId="1D62841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$678,971.89</w:t>
            </w:r>
          </w:p>
        </w:tc>
        <w:tc>
          <w:tcPr>
            <w:tcW w:w="1276" w:type="dxa"/>
            <w:tcBorders>
              <w:top w:val="nil"/>
              <w:left w:val="nil"/>
              <w:bottom w:val="single" w:sz="8" w:space="0" w:color="auto"/>
              <w:right w:val="single" w:sz="8" w:space="0" w:color="auto"/>
            </w:tcBorders>
            <w:shd w:val="clear" w:color="auto" w:fill="auto"/>
            <w:noWrap/>
            <w:vAlign w:val="center"/>
            <w:hideMark/>
          </w:tcPr>
          <w:p w14:paraId="6771DD5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$545,773.16</w:t>
            </w:r>
          </w:p>
        </w:tc>
        <w:tc>
          <w:tcPr>
            <w:tcW w:w="1276" w:type="dxa"/>
            <w:tcBorders>
              <w:top w:val="nil"/>
              <w:left w:val="nil"/>
              <w:bottom w:val="single" w:sz="8" w:space="0" w:color="auto"/>
              <w:right w:val="single" w:sz="8" w:space="0" w:color="auto"/>
            </w:tcBorders>
            <w:shd w:val="clear" w:color="auto" w:fill="auto"/>
            <w:noWrap/>
            <w:vAlign w:val="center"/>
            <w:hideMark/>
          </w:tcPr>
          <w:p w14:paraId="16461A6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$321,272.22</w:t>
            </w:r>
          </w:p>
        </w:tc>
        <w:tc>
          <w:tcPr>
            <w:tcW w:w="1275" w:type="dxa"/>
            <w:tcBorders>
              <w:top w:val="nil"/>
              <w:left w:val="nil"/>
              <w:bottom w:val="single" w:sz="8" w:space="0" w:color="auto"/>
              <w:right w:val="single" w:sz="8" w:space="0" w:color="auto"/>
            </w:tcBorders>
            <w:shd w:val="clear" w:color="auto" w:fill="auto"/>
            <w:noWrap/>
            <w:vAlign w:val="center"/>
            <w:hideMark/>
          </w:tcPr>
          <w:p w14:paraId="1A70485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$937,631.21</w:t>
            </w:r>
          </w:p>
        </w:tc>
        <w:tc>
          <w:tcPr>
            <w:tcW w:w="1276" w:type="dxa"/>
            <w:tcBorders>
              <w:top w:val="nil"/>
              <w:left w:val="nil"/>
              <w:bottom w:val="single" w:sz="8" w:space="0" w:color="auto"/>
              <w:right w:val="single" w:sz="8" w:space="0" w:color="auto"/>
            </w:tcBorders>
            <w:shd w:val="clear" w:color="auto" w:fill="auto"/>
            <w:noWrap/>
            <w:vAlign w:val="center"/>
            <w:hideMark/>
          </w:tcPr>
          <w:p w14:paraId="6094512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$1,505,525.94</w:t>
            </w:r>
          </w:p>
        </w:tc>
        <w:tc>
          <w:tcPr>
            <w:tcW w:w="1276" w:type="dxa"/>
            <w:tcBorders>
              <w:top w:val="nil"/>
              <w:left w:val="nil"/>
              <w:bottom w:val="single" w:sz="8" w:space="0" w:color="auto"/>
              <w:right w:val="single" w:sz="8" w:space="0" w:color="auto"/>
            </w:tcBorders>
            <w:shd w:val="clear" w:color="auto" w:fill="auto"/>
            <w:noWrap/>
            <w:vAlign w:val="center"/>
            <w:hideMark/>
          </w:tcPr>
          <w:p w14:paraId="34F92DD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$1,964,392.93</w:t>
            </w:r>
          </w:p>
        </w:tc>
        <w:tc>
          <w:tcPr>
            <w:tcW w:w="1276" w:type="dxa"/>
            <w:tcBorders>
              <w:top w:val="nil"/>
              <w:left w:val="nil"/>
              <w:bottom w:val="single" w:sz="8" w:space="0" w:color="auto"/>
              <w:right w:val="single" w:sz="8" w:space="0" w:color="auto"/>
            </w:tcBorders>
            <w:shd w:val="clear" w:color="auto" w:fill="auto"/>
            <w:noWrap/>
            <w:vAlign w:val="center"/>
            <w:hideMark/>
          </w:tcPr>
          <w:p w14:paraId="565F61B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$1,200,511.33</w:t>
            </w:r>
          </w:p>
        </w:tc>
        <w:tc>
          <w:tcPr>
            <w:tcW w:w="1343" w:type="dxa"/>
            <w:tcBorders>
              <w:top w:val="nil"/>
              <w:left w:val="nil"/>
              <w:bottom w:val="single" w:sz="8" w:space="0" w:color="auto"/>
              <w:right w:val="single" w:sz="8" w:space="0" w:color="auto"/>
            </w:tcBorders>
            <w:shd w:val="clear" w:color="auto" w:fill="auto"/>
            <w:noWrap/>
            <w:vAlign w:val="center"/>
            <w:hideMark/>
          </w:tcPr>
          <w:p w14:paraId="2433E16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$1,732,725.71</w:t>
            </w:r>
          </w:p>
        </w:tc>
      </w:tr>
      <w:tr w:rsidR="00742003" w:rsidRPr="0049239C" w14:paraId="2B1AE3D7"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3BCD5489"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Retail Trade</w:t>
            </w:r>
          </w:p>
        </w:tc>
        <w:tc>
          <w:tcPr>
            <w:tcW w:w="850" w:type="dxa"/>
            <w:tcBorders>
              <w:top w:val="nil"/>
              <w:left w:val="nil"/>
              <w:bottom w:val="single" w:sz="8" w:space="0" w:color="auto"/>
              <w:right w:val="single" w:sz="8" w:space="0" w:color="auto"/>
            </w:tcBorders>
            <w:shd w:val="clear" w:color="auto" w:fill="auto"/>
            <w:noWrap/>
            <w:vAlign w:val="center"/>
            <w:hideMark/>
          </w:tcPr>
          <w:p w14:paraId="4F30D606"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2022</w:t>
            </w:r>
          </w:p>
        </w:tc>
        <w:tc>
          <w:tcPr>
            <w:tcW w:w="1134" w:type="dxa"/>
            <w:tcBorders>
              <w:top w:val="nil"/>
              <w:left w:val="nil"/>
              <w:bottom w:val="single" w:sz="8" w:space="0" w:color="auto"/>
              <w:right w:val="single" w:sz="8" w:space="0" w:color="auto"/>
            </w:tcBorders>
            <w:shd w:val="clear" w:color="auto" w:fill="auto"/>
            <w:noWrap/>
            <w:vAlign w:val="center"/>
            <w:hideMark/>
          </w:tcPr>
          <w:p w14:paraId="1F8F7E3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$4,729,720.24</w:t>
            </w:r>
          </w:p>
        </w:tc>
        <w:tc>
          <w:tcPr>
            <w:tcW w:w="1134" w:type="dxa"/>
            <w:tcBorders>
              <w:top w:val="nil"/>
              <w:left w:val="nil"/>
              <w:bottom w:val="single" w:sz="8" w:space="0" w:color="auto"/>
              <w:right w:val="single" w:sz="8" w:space="0" w:color="auto"/>
            </w:tcBorders>
            <w:shd w:val="clear" w:color="auto" w:fill="auto"/>
            <w:noWrap/>
            <w:vAlign w:val="center"/>
            <w:hideMark/>
          </w:tcPr>
          <w:p w14:paraId="5EEAF71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$4,596,948.93</w:t>
            </w:r>
          </w:p>
        </w:tc>
        <w:tc>
          <w:tcPr>
            <w:tcW w:w="1208" w:type="dxa"/>
            <w:tcBorders>
              <w:top w:val="nil"/>
              <w:left w:val="nil"/>
              <w:bottom w:val="single" w:sz="8" w:space="0" w:color="auto"/>
              <w:right w:val="single" w:sz="8" w:space="0" w:color="auto"/>
            </w:tcBorders>
            <w:shd w:val="clear" w:color="auto" w:fill="auto"/>
            <w:noWrap/>
            <w:vAlign w:val="center"/>
            <w:hideMark/>
          </w:tcPr>
          <w:p w14:paraId="77166D78"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$6,570,383.18</w:t>
            </w:r>
          </w:p>
        </w:tc>
        <w:tc>
          <w:tcPr>
            <w:tcW w:w="1202" w:type="dxa"/>
            <w:tcBorders>
              <w:top w:val="nil"/>
              <w:left w:val="nil"/>
              <w:bottom w:val="single" w:sz="8" w:space="0" w:color="auto"/>
              <w:right w:val="single" w:sz="8" w:space="0" w:color="auto"/>
            </w:tcBorders>
            <w:shd w:val="clear" w:color="auto" w:fill="auto"/>
            <w:noWrap/>
            <w:vAlign w:val="center"/>
            <w:hideMark/>
          </w:tcPr>
          <w:p w14:paraId="32728A4F"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$5,496,131.64</w:t>
            </w:r>
          </w:p>
        </w:tc>
        <w:tc>
          <w:tcPr>
            <w:tcW w:w="1276" w:type="dxa"/>
            <w:tcBorders>
              <w:top w:val="nil"/>
              <w:left w:val="nil"/>
              <w:bottom w:val="single" w:sz="8" w:space="0" w:color="auto"/>
              <w:right w:val="single" w:sz="8" w:space="0" w:color="auto"/>
            </w:tcBorders>
            <w:shd w:val="clear" w:color="auto" w:fill="auto"/>
            <w:noWrap/>
            <w:vAlign w:val="center"/>
            <w:hideMark/>
          </w:tcPr>
          <w:p w14:paraId="6F30B9F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$7,035,206.19</w:t>
            </w:r>
          </w:p>
        </w:tc>
        <w:tc>
          <w:tcPr>
            <w:tcW w:w="1276" w:type="dxa"/>
            <w:tcBorders>
              <w:top w:val="nil"/>
              <w:left w:val="nil"/>
              <w:bottom w:val="single" w:sz="8" w:space="0" w:color="auto"/>
              <w:right w:val="single" w:sz="8" w:space="0" w:color="auto"/>
            </w:tcBorders>
            <w:shd w:val="clear" w:color="auto" w:fill="auto"/>
            <w:noWrap/>
            <w:vAlign w:val="center"/>
            <w:hideMark/>
          </w:tcPr>
          <w:p w14:paraId="3B5AF43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$13,573,709.18</w:t>
            </w:r>
          </w:p>
        </w:tc>
        <w:tc>
          <w:tcPr>
            <w:tcW w:w="1275" w:type="dxa"/>
            <w:tcBorders>
              <w:top w:val="nil"/>
              <w:left w:val="nil"/>
              <w:bottom w:val="single" w:sz="8" w:space="0" w:color="auto"/>
              <w:right w:val="single" w:sz="8" w:space="0" w:color="auto"/>
            </w:tcBorders>
            <w:shd w:val="clear" w:color="auto" w:fill="auto"/>
            <w:noWrap/>
            <w:vAlign w:val="center"/>
            <w:hideMark/>
          </w:tcPr>
          <w:p w14:paraId="2B58111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$9,310,729.69</w:t>
            </w:r>
          </w:p>
        </w:tc>
        <w:tc>
          <w:tcPr>
            <w:tcW w:w="1276" w:type="dxa"/>
            <w:tcBorders>
              <w:top w:val="nil"/>
              <w:left w:val="nil"/>
              <w:bottom w:val="single" w:sz="8" w:space="0" w:color="auto"/>
              <w:right w:val="single" w:sz="8" w:space="0" w:color="auto"/>
            </w:tcBorders>
            <w:shd w:val="clear" w:color="auto" w:fill="auto"/>
            <w:noWrap/>
            <w:vAlign w:val="center"/>
            <w:hideMark/>
          </w:tcPr>
          <w:p w14:paraId="6C9465C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$20,681,319.01</w:t>
            </w:r>
          </w:p>
        </w:tc>
        <w:tc>
          <w:tcPr>
            <w:tcW w:w="1276" w:type="dxa"/>
            <w:tcBorders>
              <w:top w:val="nil"/>
              <w:left w:val="nil"/>
              <w:bottom w:val="single" w:sz="8" w:space="0" w:color="auto"/>
              <w:right w:val="single" w:sz="8" w:space="0" w:color="auto"/>
            </w:tcBorders>
            <w:shd w:val="clear" w:color="auto" w:fill="auto"/>
            <w:noWrap/>
            <w:vAlign w:val="center"/>
            <w:hideMark/>
          </w:tcPr>
          <w:p w14:paraId="1411C65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$21,393,779.88</w:t>
            </w:r>
          </w:p>
        </w:tc>
        <w:tc>
          <w:tcPr>
            <w:tcW w:w="1276" w:type="dxa"/>
            <w:tcBorders>
              <w:top w:val="nil"/>
              <w:left w:val="nil"/>
              <w:bottom w:val="single" w:sz="8" w:space="0" w:color="auto"/>
              <w:right w:val="single" w:sz="8" w:space="0" w:color="auto"/>
            </w:tcBorders>
            <w:shd w:val="clear" w:color="auto" w:fill="auto"/>
            <w:noWrap/>
            <w:vAlign w:val="center"/>
            <w:hideMark/>
          </w:tcPr>
          <w:p w14:paraId="08F27D8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$15,463,411.85</w:t>
            </w:r>
          </w:p>
        </w:tc>
        <w:tc>
          <w:tcPr>
            <w:tcW w:w="1343" w:type="dxa"/>
            <w:tcBorders>
              <w:top w:val="nil"/>
              <w:left w:val="nil"/>
              <w:bottom w:val="single" w:sz="8" w:space="0" w:color="auto"/>
              <w:right w:val="single" w:sz="8" w:space="0" w:color="auto"/>
            </w:tcBorders>
            <w:shd w:val="clear" w:color="auto" w:fill="auto"/>
            <w:noWrap/>
            <w:vAlign w:val="center"/>
            <w:hideMark/>
          </w:tcPr>
          <w:p w14:paraId="59C664EE"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$7,784,292.51</w:t>
            </w:r>
          </w:p>
        </w:tc>
      </w:tr>
      <w:tr w:rsidR="00742003" w:rsidRPr="0049239C" w14:paraId="4B50DC23" w14:textId="77777777" w:rsidTr="007373EF">
        <w:trPr>
          <w:trHeight w:val="438"/>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41A37FBB"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Transport, Postal and Warehousing</w:t>
            </w:r>
          </w:p>
        </w:tc>
        <w:tc>
          <w:tcPr>
            <w:tcW w:w="850" w:type="dxa"/>
            <w:tcBorders>
              <w:top w:val="nil"/>
              <w:left w:val="nil"/>
              <w:bottom w:val="single" w:sz="8" w:space="0" w:color="auto"/>
              <w:right w:val="single" w:sz="8" w:space="0" w:color="auto"/>
            </w:tcBorders>
            <w:shd w:val="clear" w:color="auto" w:fill="auto"/>
            <w:noWrap/>
            <w:vAlign w:val="center"/>
            <w:hideMark/>
          </w:tcPr>
          <w:p w14:paraId="3867ED7E"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838</w:t>
            </w:r>
          </w:p>
        </w:tc>
        <w:tc>
          <w:tcPr>
            <w:tcW w:w="1134" w:type="dxa"/>
            <w:tcBorders>
              <w:top w:val="nil"/>
              <w:left w:val="nil"/>
              <w:bottom w:val="single" w:sz="8" w:space="0" w:color="auto"/>
              <w:right w:val="single" w:sz="8" w:space="0" w:color="auto"/>
            </w:tcBorders>
            <w:shd w:val="clear" w:color="auto" w:fill="auto"/>
            <w:noWrap/>
            <w:vAlign w:val="center"/>
            <w:hideMark/>
          </w:tcPr>
          <w:p w14:paraId="060EDC5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$3,521,818.54</w:t>
            </w:r>
          </w:p>
        </w:tc>
        <w:tc>
          <w:tcPr>
            <w:tcW w:w="1134" w:type="dxa"/>
            <w:tcBorders>
              <w:top w:val="nil"/>
              <w:left w:val="nil"/>
              <w:bottom w:val="single" w:sz="8" w:space="0" w:color="auto"/>
              <w:right w:val="single" w:sz="8" w:space="0" w:color="auto"/>
            </w:tcBorders>
            <w:shd w:val="clear" w:color="auto" w:fill="auto"/>
            <w:noWrap/>
            <w:vAlign w:val="center"/>
            <w:hideMark/>
          </w:tcPr>
          <w:p w14:paraId="03276F6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$1,682,765.62</w:t>
            </w:r>
          </w:p>
        </w:tc>
        <w:tc>
          <w:tcPr>
            <w:tcW w:w="1208" w:type="dxa"/>
            <w:tcBorders>
              <w:top w:val="nil"/>
              <w:left w:val="nil"/>
              <w:bottom w:val="single" w:sz="8" w:space="0" w:color="auto"/>
              <w:right w:val="single" w:sz="8" w:space="0" w:color="auto"/>
            </w:tcBorders>
            <w:shd w:val="clear" w:color="auto" w:fill="auto"/>
            <w:noWrap/>
            <w:vAlign w:val="center"/>
            <w:hideMark/>
          </w:tcPr>
          <w:p w14:paraId="1AE8FFE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$3,454,962.83</w:t>
            </w:r>
          </w:p>
        </w:tc>
        <w:tc>
          <w:tcPr>
            <w:tcW w:w="1202" w:type="dxa"/>
            <w:tcBorders>
              <w:top w:val="nil"/>
              <w:left w:val="nil"/>
              <w:bottom w:val="single" w:sz="8" w:space="0" w:color="auto"/>
              <w:right w:val="single" w:sz="8" w:space="0" w:color="auto"/>
            </w:tcBorders>
            <w:shd w:val="clear" w:color="auto" w:fill="auto"/>
            <w:noWrap/>
            <w:vAlign w:val="center"/>
            <w:hideMark/>
          </w:tcPr>
          <w:p w14:paraId="77AD4F8D"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$5,039,316.78</w:t>
            </w:r>
          </w:p>
        </w:tc>
        <w:tc>
          <w:tcPr>
            <w:tcW w:w="1276" w:type="dxa"/>
            <w:tcBorders>
              <w:top w:val="nil"/>
              <w:left w:val="nil"/>
              <w:bottom w:val="single" w:sz="8" w:space="0" w:color="auto"/>
              <w:right w:val="single" w:sz="8" w:space="0" w:color="auto"/>
            </w:tcBorders>
            <w:shd w:val="clear" w:color="auto" w:fill="auto"/>
            <w:noWrap/>
            <w:vAlign w:val="center"/>
            <w:hideMark/>
          </w:tcPr>
          <w:p w14:paraId="4ED1CBE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$8,842,084.04</w:t>
            </w:r>
          </w:p>
        </w:tc>
        <w:tc>
          <w:tcPr>
            <w:tcW w:w="1276" w:type="dxa"/>
            <w:tcBorders>
              <w:top w:val="nil"/>
              <w:left w:val="nil"/>
              <w:bottom w:val="single" w:sz="8" w:space="0" w:color="auto"/>
              <w:right w:val="single" w:sz="8" w:space="0" w:color="auto"/>
            </w:tcBorders>
            <w:shd w:val="clear" w:color="auto" w:fill="auto"/>
            <w:noWrap/>
            <w:vAlign w:val="center"/>
            <w:hideMark/>
          </w:tcPr>
          <w:p w14:paraId="61877A1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$12,460,643.69</w:t>
            </w:r>
          </w:p>
        </w:tc>
        <w:tc>
          <w:tcPr>
            <w:tcW w:w="1275" w:type="dxa"/>
            <w:tcBorders>
              <w:top w:val="nil"/>
              <w:left w:val="nil"/>
              <w:bottom w:val="single" w:sz="8" w:space="0" w:color="auto"/>
              <w:right w:val="single" w:sz="8" w:space="0" w:color="auto"/>
            </w:tcBorders>
            <w:shd w:val="clear" w:color="auto" w:fill="auto"/>
            <w:noWrap/>
            <w:vAlign w:val="center"/>
            <w:hideMark/>
          </w:tcPr>
          <w:p w14:paraId="256387C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$8,419,586.85</w:t>
            </w:r>
          </w:p>
        </w:tc>
        <w:tc>
          <w:tcPr>
            <w:tcW w:w="1276" w:type="dxa"/>
            <w:tcBorders>
              <w:top w:val="nil"/>
              <w:left w:val="nil"/>
              <w:bottom w:val="single" w:sz="8" w:space="0" w:color="auto"/>
              <w:right w:val="single" w:sz="8" w:space="0" w:color="auto"/>
            </w:tcBorders>
            <w:shd w:val="clear" w:color="auto" w:fill="auto"/>
            <w:noWrap/>
            <w:vAlign w:val="center"/>
            <w:hideMark/>
          </w:tcPr>
          <w:p w14:paraId="765D3C80"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$24,988,811.62</w:t>
            </w:r>
          </w:p>
        </w:tc>
        <w:tc>
          <w:tcPr>
            <w:tcW w:w="1276" w:type="dxa"/>
            <w:tcBorders>
              <w:top w:val="nil"/>
              <w:left w:val="nil"/>
              <w:bottom w:val="single" w:sz="8" w:space="0" w:color="auto"/>
              <w:right w:val="single" w:sz="8" w:space="0" w:color="auto"/>
            </w:tcBorders>
            <w:shd w:val="clear" w:color="auto" w:fill="auto"/>
            <w:noWrap/>
            <w:vAlign w:val="center"/>
            <w:hideMark/>
          </w:tcPr>
          <w:p w14:paraId="71E6FED2"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$7,086,853.75</w:t>
            </w:r>
          </w:p>
        </w:tc>
        <w:tc>
          <w:tcPr>
            <w:tcW w:w="1276" w:type="dxa"/>
            <w:tcBorders>
              <w:top w:val="nil"/>
              <w:left w:val="nil"/>
              <w:bottom w:val="single" w:sz="8" w:space="0" w:color="auto"/>
              <w:right w:val="single" w:sz="8" w:space="0" w:color="auto"/>
            </w:tcBorders>
            <w:shd w:val="clear" w:color="auto" w:fill="auto"/>
            <w:noWrap/>
            <w:vAlign w:val="center"/>
            <w:hideMark/>
          </w:tcPr>
          <w:p w14:paraId="45CAB5F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$11,357,953.04</w:t>
            </w:r>
          </w:p>
        </w:tc>
        <w:tc>
          <w:tcPr>
            <w:tcW w:w="1343" w:type="dxa"/>
            <w:tcBorders>
              <w:top w:val="nil"/>
              <w:left w:val="nil"/>
              <w:bottom w:val="single" w:sz="8" w:space="0" w:color="auto"/>
              <w:right w:val="single" w:sz="8" w:space="0" w:color="auto"/>
            </w:tcBorders>
            <w:shd w:val="clear" w:color="auto" w:fill="auto"/>
            <w:noWrap/>
            <w:vAlign w:val="center"/>
            <w:hideMark/>
          </w:tcPr>
          <w:p w14:paraId="0CB30844"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$2,971,741.73</w:t>
            </w:r>
          </w:p>
        </w:tc>
      </w:tr>
      <w:tr w:rsidR="00742003" w:rsidRPr="0049239C" w14:paraId="60BDF2C8"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781A16D5"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Wholesale Trade</w:t>
            </w:r>
          </w:p>
        </w:tc>
        <w:tc>
          <w:tcPr>
            <w:tcW w:w="850" w:type="dxa"/>
            <w:tcBorders>
              <w:top w:val="nil"/>
              <w:left w:val="nil"/>
              <w:bottom w:val="single" w:sz="8" w:space="0" w:color="auto"/>
              <w:right w:val="single" w:sz="8" w:space="0" w:color="auto"/>
            </w:tcBorders>
            <w:shd w:val="clear" w:color="auto" w:fill="auto"/>
            <w:noWrap/>
            <w:vAlign w:val="center"/>
            <w:hideMark/>
          </w:tcPr>
          <w:p w14:paraId="1BEAEDB4"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408</w:t>
            </w:r>
          </w:p>
        </w:tc>
        <w:tc>
          <w:tcPr>
            <w:tcW w:w="1134" w:type="dxa"/>
            <w:tcBorders>
              <w:top w:val="nil"/>
              <w:left w:val="nil"/>
              <w:bottom w:val="single" w:sz="8" w:space="0" w:color="auto"/>
              <w:right w:val="single" w:sz="8" w:space="0" w:color="auto"/>
            </w:tcBorders>
            <w:shd w:val="clear" w:color="auto" w:fill="auto"/>
            <w:noWrap/>
            <w:vAlign w:val="center"/>
            <w:hideMark/>
          </w:tcPr>
          <w:p w14:paraId="1EADE3B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$1,831,341.29</w:t>
            </w:r>
          </w:p>
        </w:tc>
        <w:tc>
          <w:tcPr>
            <w:tcW w:w="1134" w:type="dxa"/>
            <w:tcBorders>
              <w:top w:val="nil"/>
              <w:left w:val="nil"/>
              <w:bottom w:val="single" w:sz="8" w:space="0" w:color="auto"/>
              <w:right w:val="single" w:sz="8" w:space="0" w:color="auto"/>
            </w:tcBorders>
            <w:shd w:val="clear" w:color="auto" w:fill="auto"/>
            <w:noWrap/>
            <w:vAlign w:val="center"/>
            <w:hideMark/>
          </w:tcPr>
          <w:p w14:paraId="1004B3D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$457,508.79</w:t>
            </w:r>
          </w:p>
        </w:tc>
        <w:tc>
          <w:tcPr>
            <w:tcW w:w="1208" w:type="dxa"/>
            <w:tcBorders>
              <w:top w:val="nil"/>
              <w:left w:val="nil"/>
              <w:bottom w:val="single" w:sz="8" w:space="0" w:color="auto"/>
              <w:right w:val="single" w:sz="8" w:space="0" w:color="auto"/>
            </w:tcBorders>
            <w:shd w:val="clear" w:color="auto" w:fill="auto"/>
            <w:noWrap/>
            <w:vAlign w:val="center"/>
            <w:hideMark/>
          </w:tcPr>
          <w:p w14:paraId="1F746EAA"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$1,603,123.25</w:t>
            </w:r>
          </w:p>
        </w:tc>
        <w:tc>
          <w:tcPr>
            <w:tcW w:w="1202" w:type="dxa"/>
            <w:tcBorders>
              <w:top w:val="nil"/>
              <w:left w:val="nil"/>
              <w:bottom w:val="single" w:sz="8" w:space="0" w:color="auto"/>
              <w:right w:val="single" w:sz="8" w:space="0" w:color="auto"/>
            </w:tcBorders>
            <w:shd w:val="clear" w:color="auto" w:fill="auto"/>
            <w:noWrap/>
            <w:vAlign w:val="center"/>
            <w:hideMark/>
          </w:tcPr>
          <w:p w14:paraId="50C639A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$1,659,526.79</w:t>
            </w:r>
          </w:p>
        </w:tc>
        <w:tc>
          <w:tcPr>
            <w:tcW w:w="1276" w:type="dxa"/>
            <w:tcBorders>
              <w:top w:val="nil"/>
              <w:left w:val="nil"/>
              <w:bottom w:val="single" w:sz="8" w:space="0" w:color="auto"/>
              <w:right w:val="single" w:sz="8" w:space="0" w:color="auto"/>
            </w:tcBorders>
            <w:shd w:val="clear" w:color="auto" w:fill="auto"/>
            <w:noWrap/>
            <w:vAlign w:val="center"/>
            <w:hideMark/>
          </w:tcPr>
          <w:p w14:paraId="5F9DFFCC"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$2,129,586.35</w:t>
            </w:r>
          </w:p>
        </w:tc>
        <w:tc>
          <w:tcPr>
            <w:tcW w:w="1276" w:type="dxa"/>
            <w:tcBorders>
              <w:top w:val="nil"/>
              <w:left w:val="nil"/>
              <w:bottom w:val="single" w:sz="8" w:space="0" w:color="auto"/>
              <w:right w:val="single" w:sz="8" w:space="0" w:color="auto"/>
            </w:tcBorders>
            <w:shd w:val="clear" w:color="auto" w:fill="auto"/>
            <w:noWrap/>
            <w:vAlign w:val="center"/>
            <w:hideMark/>
          </w:tcPr>
          <w:p w14:paraId="4B6B304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$3,695,187.27</w:t>
            </w:r>
          </w:p>
        </w:tc>
        <w:tc>
          <w:tcPr>
            <w:tcW w:w="1275" w:type="dxa"/>
            <w:tcBorders>
              <w:top w:val="nil"/>
              <w:left w:val="nil"/>
              <w:bottom w:val="single" w:sz="8" w:space="0" w:color="auto"/>
              <w:right w:val="single" w:sz="8" w:space="0" w:color="auto"/>
            </w:tcBorders>
            <w:shd w:val="clear" w:color="auto" w:fill="auto"/>
            <w:noWrap/>
            <w:vAlign w:val="center"/>
            <w:hideMark/>
          </w:tcPr>
          <w:p w14:paraId="6A287866"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$1,846,431.55</w:t>
            </w:r>
          </w:p>
        </w:tc>
        <w:tc>
          <w:tcPr>
            <w:tcW w:w="1276" w:type="dxa"/>
            <w:tcBorders>
              <w:top w:val="nil"/>
              <w:left w:val="nil"/>
              <w:bottom w:val="single" w:sz="8" w:space="0" w:color="auto"/>
              <w:right w:val="single" w:sz="8" w:space="0" w:color="auto"/>
            </w:tcBorders>
            <w:shd w:val="clear" w:color="auto" w:fill="auto"/>
            <w:noWrap/>
            <w:vAlign w:val="center"/>
            <w:hideMark/>
          </w:tcPr>
          <w:p w14:paraId="2D9FC20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$3,134,927.53</w:t>
            </w:r>
          </w:p>
        </w:tc>
        <w:tc>
          <w:tcPr>
            <w:tcW w:w="1276" w:type="dxa"/>
            <w:tcBorders>
              <w:top w:val="nil"/>
              <w:left w:val="nil"/>
              <w:bottom w:val="single" w:sz="8" w:space="0" w:color="auto"/>
              <w:right w:val="single" w:sz="8" w:space="0" w:color="auto"/>
            </w:tcBorders>
            <w:shd w:val="clear" w:color="auto" w:fill="auto"/>
            <w:noWrap/>
            <w:vAlign w:val="center"/>
            <w:hideMark/>
          </w:tcPr>
          <w:p w14:paraId="64E2C89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$3,240,377.74</w:t>
            </w:r>
          </w:p>
        </w:tc>
        <w:tc>
          <w:tcPr>
            <w:tcW w:w="1276" w:type="dxa"/>
            <w:tcBorders>
              <w:top w:val="nil"/>
              <w:left w:val="nil"/>
              <w:bottom w:val="single" w:sz="8" w:space="0" w:color="auto"/>
              <w:right w:val="single" w:sz="8" w:space="0" w:color="auto"/>
            </w:tcBorders>
            <w:shd w:val="clear" w:color="auto" w:fill="auto"/>
            <w:noWrap/>
            <w:vAlign w:val="center"/>
            <w:hideMark/>
          </w:tcPr>
          <w:p w14:paraId="6B35A74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$4,721,349.80</w:t>
            </w:r>
          </w:p>
        </w:tc>
        <w:tc>
          <w:tcPr>
            <w:tcW w:w="1343" w:type="dxa"/>
            <w:tcBorders>
              <w:top w:val="nil"/>
              <w:left w:val="nil"/>
              <w:bottom w:val="single" w:sz="8" w:space="0" w:color="auto"/>
              <w:right w:val="single" w:sz="8" w:space="0" w:color="auto"/>
            </w:tcBorders>
            <w:shd w:val="clear" w:color="auto" w:fill="auto"/>
            <w:noWrap/>
            <w:vAlign w:val="center"/>
            <w:hideMark/>
          </w:tcPr>
          <w:p w14:paraId="045F8D57"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$855,482.45</w:t>
            </w:r>
          </w:p>
        </w:tc>
      </w:tr>
      <w:tr w:rsidR="00742003" w:rsidRPr="0049239C" w14:paraId="5C0148F4"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808080"/>
            <w:vAlign w:val="center"/>
            <w:hideMark/>
          </w:tcPr>
          <w:p w14:paraId="7217DAFD"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Not recorded</w:t>
            </w:r>
          </w:p>
        </w:tc>
        <w:tc>
          <w:tcPr>
            <w:tcW w:w="850" w:type="dxa"/>
            <w:tcBorders>
              <w:top w:val="nil"/>
              <w:left w:val="nil"/>
              <w:bottom w:val="single" w:sz="8" w:space="0" w:color="auto"/>
              <w:right w:val="single" w:sz="8" w:space="0" w:color="auto"/>
            </w:tcBorders>
            <w:shd w:val="clear" w:color="auto" w:fill="auto"/>
            <w:noWrap/>
            <w:vAlign w:val="center"/>
            <w:hideMark/>
          </w:tcPr>
          <w:p w14:paraId="1839112D" w14:textId="77777777" w:rsidR="0049239C" w:rsidRPr="007373EF" w:rsidRDefault="0049239C" w:rsidP="0049239C">
            <w:pPr>
              <w:spacing w:after="0" w:line="240" w:lineRule="auto"/>
              <w:jc w:val="center"/>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518</w:t>
            </w:r>
          </w:p>
        </w:tc>
        <w:tc>
          <w:tcPr>
            <w:tcW w:w="1134" w:type="dxa"/>
            <w:tcBorders>
              <w:top w:val="nil"/>
              <w:left w:val="nil"/>
              <w:bottom w:val="single" w:sz="8" w:space="0" w:color="auto"/>
              <w:right w:val="single" w:sz="8" w:space="0" w:color="auto"/>
            </w:tcBorders>
            <w:shd w:val="clear" w:color="auto" w:fill="auto"/>
            <w:noWrap/>
            <w:vAlign w:val="center"/>
            <w:hideMark/>
          </w:tcPr>
          <w:p w14:paraId="6054A929"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$12,395,267.58</w:t>
            </w:r>
          </w:p>
        </w:tc>
        <w:tc>
          <w:tcPr>
            <w:tcW w:w="1134" w:type="dxa"/>
            <w:tcBorders>
              <w:top w:val="nil"/>
              <w:left w:val="nil"/>
              <w:bottom w:val="single" w:sz="8" w:space="0" w:color="auto"/>
              <w:right w:val="single" w:sz="8" w:space="0" w:color="auto"/>
            </w:tcBorders>
            <w:shd w:val="clear" w:color="auto" w:fill="auto"/>
            <w:noWrap/>
            <w:vAlign w:val="center"/>
            <w:hideMark/>
          </w:tcPr>
          <w:p w14:paraId="2AEA847B"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$6,706,330.55</w:t>
            </w:r>
          </w:p>
        </w:tc>
        <w:tc>
          <w:tcPr>
            <w:tcW w:w="1208" w:type="dxa"/>
            <w:tcBorders>
              <w:top w:val="nil"/>
              <w:left w:val="nil"/>
              <w:bottom w:val="single" w:sz="8" w:space="0" w:color="auto"/>
              <w:right w:val="single" w:sz="8" w:space="0" w:color="auto"/>
            </w:tcBorders>
            <w:shd w:val="clear" w:color="auto" w:fill="auto"/>
            <w:noWrap/>
            <w:vAlign w:val="center"/>
            <w:hideMark/>
          </w:tcPr>
          <w:p w14:paraId="01E91C75"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$1,154,355.41</w:t>
            </w:r>
          </w:p>
        </w:tc>
        <w:tc>
          <w:tcPr>
            <w:tcW w:w="1202" w:type="dxa"/>
            <w:tcBorders>
              <w:top w:val="nil"/>
              <w:left w:val="nil"/>
              <w:bottom w:val="single" w:sz="8" w:space="0" w:color="auto"/>
              <w:right w:val="single" w:sz="8" w:space="0" w:color="auto"/>
            </w:tcBorders>
            <w:shd w:val="clear" w:color="auto" w:fill="auto"/>
            <w:noWrap/>
            <w:vAlign w:val="center"/>
            <w:hideMark/>
          </w:tcPr>
          <w:p w14:paraId="66F569B3"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$13,730.87</w:t>
            </w:r>
          </w:p>
        </w:tc>
        <w:tc>
          <w:tcPr>
            <w:tcW w:w="1276" w:type="dxa"/>
            <w:tcBorders>
              <w:top w:val="nil"/>
              <w:left w:val="nil"/>
              <w:bottom w:val="single" w:sz="8" w:space="0" w:color="auto"/>
              <w:right w:val="single" w:sz="8" w:space="0" w:color="auto"/>
            </w:tcBorders>
            <w:shd w:val="clear" w:color="auto" w:fill="auto"/>
            <w:noWrap/>
            <w:vAlign w:val="center"/>
            <w:hideMark/>
          </w:tcPr>
          <w:p w14:paraId="6FE4F6E1" w14:textId="77777777" w:rsidR="0049239C" w:rsidRPr="007373EF" w:rsidRDefault="0049239C" w:rsidP="0049239C">
            <w:pPr>
              <w:spacing w:after="0" w:line="240" w:lineRule="auto"/>
              <w:jc w:val="right"/>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$9,238.53</w:t>
            </w:r>
          </w:p>
        </w:tc>
        <w:tc>
          <w:tcPr>
            <w:tcW w:w="1276" w:type="dxa"/>
            <w:tcBorders>
              <w:top w:val="nil"/>
              <w:left w:val="nil"/>
              <w:bottom w:val="single" w:sz="8" w:space="0" w:color="auto"/>
              <w:right w:val="single" w:sz="8" w:space="0" w:color="auto"/>
            </w:tcBorders>
            <w:shd w:val="clear" w:color="auto" w:fill="auto"/>
            <w:noWrap/>
            <w:vAlign w:val="center"/>
            <w:hideMark/>
          </w:tcPr>
          <w:p w14:paraId="3DE01A70"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275" w:type="dxa"/>
            <w:tcBorders>
              <w:top w:val="nil"/>
              <w:left w:val="nil"/>
              <w:bottom w:val="single" w:sz="8" w:space="0" w:color="auto"/>
              <w:right w:val="single" w:sz="8" w:space="0" w:color="auto"/>
            </w:tcBorders>
            <w:shd w:val="clear" w:color="auto" w:fill="auto"/>
            <w:noWrap/>
            <w:vAlign w:val="center"/>
            <w:hideMark/>
          </w:tcPr>
          <w:p w14:paraId="59630889"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276" w:type="dxa"/>
            <w:tcBorders>
              <w:top w:val="nil"/>
              <w:left w:val="nil"/>
              <w:bottom w:val="single" w:sz="8" w:space="0" w:color="auto"/>
              <w:right w:val="single" w:sz="8" w:space="0" w:color="auto"/>
            </w:tcBorders>
            <w:shd w:val="clear" w:color="auto" w:fill="auto"/>
            <w:noWrap/>
            <w:vAlign w:val="center"/>
            <w:hideMark/>
          </w:tcPr>
          <w:p w14:paraId="474B6568"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276" w:type="dxa"/>
            <w:tcBorders>
              <w:top w:val="nil"/>
              <w:left w:val="nil"/>
              <w:bottom w:val="single" w:sz="8" w:space="0" w:color="auto"/>
              <w:right w:val="single" w:sz="8" w:space="0" w:color="auto"/>
            </w:tcBorders>
            <w:shd w:val="clear" w:color="auto" w:fill="auto"/>
            <w:noWrap/>
            <w:vAlign w:val="center"/>
            <w:hideMark/>
          </w:tcPr>
          <w:p w14:paraId="327E275D"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276" w:type="dxa"/>
            <w:tcBorders>
              <w:top w:val="nil"/>
              <w:left w:val="nil"/>
              <w:bottom w:val="single" w:sz="8" w:space="0" w:color="auto"/>
              <w:right w:val="single" w:sz="8" w:space="0" w:color="auto"/>
            </w:tcBorders>
            <w:shd w:val="clear" w:color="auto" w:fill="auto"/>
            <w:noWrap/>
            <w:vAlign w:val="center"/>
            <w:hideMark/>
          </w:tcPr>
          <w:p w14:paraId="2CB8F9CC"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c>
          <w:tcPr>
            <w:tcW w:w="1343" w:type="dxa"/>
            <w:tcBorders>
              <w:top w:val="nil"/>
              <w:left w:val="nil"/>
              <w:bottom w:val="single" w:sz="8" w:space="0" w:color="auto"/>
              <w:right w:val="single" w:sz="8" w:space="0" w:color="auto"/>
            </w:tcBorders>
            <w:shd w:val="clear" w:color="auto" w:fill="auto"/>
            <w:noWrap/>
            <w:vAlign w:val="center"/>
            <w:hideMark/>
          </w:tcPr>
          <w:p w14:paraId="4F53C6DF" w14:textId="77777777" w:rsidR="0049239C" w:rsidRPr="007373EF" w:rsidRDefault="0049239C" w:rsidP="0049239C">
            <w:pPr>
              <w:spacing w:after="0" w:line="240" w:lineRule="auto"/>
              <w:rPr>
                <w:rFonts w:ascii="Arial Narrow" w:eastAsia="Times New Roman" w:hAnsi="Arial Narrow" w:cs="Times New Roman"/>
                <w:color w:val="000000"/>
                <w:sz w:val="16"/>
                <w:szCs w:val="16"/>
                <w:lang w:eastAsia="en-AU"/>
              </w:rPr>
            </w:pPr>
            <w:r w:rsidRPr="007373EF">
              <w:rPr>
                <w:rFonts w:ascii="Arial Narrow" w:eastAsia="Times New Roman" w:hAnsi="Arial Narrow" w:cs="Times New Roman"/>
                <w:color w:val="000000"/>
                <w:sz w:val="16"/>
                <w:szCs w:val="16"/>
                <w:lang w:eastAsia="en-AU"/>
              </w:rPr>
              <w:t> </w:t>
            </w:r>
          </w:p>
        </w:tc>
      </w:tr>
      <w:tr w:rsidR="00742003" w:rsidRPr="0049239C" w14:paraId="190A440C" w14:textId="77777777" w:rsidTr="007373EF">
        <w:trPr>
          <w:trHeight w:val="317"/>
          <w:jc w:val="center"/>
        </w:trPr>
        <w:tc>
          <w:tcPr>
            <w:tcW w:w="1925" w:type="dxa"/>
            <w:tcBorders>
              <w:top w:val="nil"/>
              <w:left w:val="single" w:sz="8" w:space="0" w:color="auto"/>
              <w:bottom w:val="single" w:sz="8" w:space="0" w:color="auto"/>
              <w:right w:val="single" w:sz="8" w:space="0" w:color="auto"/>
            </w:tcBorders>
            <w:shd w:val="clear" w:color="000000" w:fill="BFBFBF"/>
            <w:noWrap/>
            <w:vAlign w:val="center"/>
            <w:hideMark/>
          </w:tcPr>
          <w:p w14:paraId="3858A0B8" w14:textId="77777777" w:rsidR="0049239C" w:rsidRPr="007373EF" w:rsidRDefault="0049239C" w:rsidP="007373EF">
            <w:pPr>
              <w:spacing w:after="0" w:line="240" w:lineRule="auto"/>
              <w:ind w:left="115" w:hanging="142"/>
              <w:rPr>
                <w:rFonts w:ascii="Arial Narrow" w:eastAsia="Times New Roman" w:hAnsi="Arial Narrow" w:cs="Times New Roman"/>
                <w:bCs/>
                <w:color w:val="000000"/>
                <w:sz w:val="16"/>
                <w:szCs w:val="16"/>
                <w:lang w:eastAsia="en-AU"/>
              </w:rPr>
            </w:pPr>
            <w:r w:rsidRPr="007373EF">
              <w:rPr>
                <w:rFonts w:ascii="Arial Narrow" w:eastAsia="Times New Roman" w:hAnsi="Arial Narrow" w:cs="Times New Roman"/>
                <w:bCs/>
                <w:color w:val="000000"/>
                <w:sz w:val="16"/>
                <w:szCs w:val="16"/>
                <w:lang w:eastAsia="en-AU"/>
              </w:rPr>
              <w:t>Grand Total</w:t>
            </w:r>
          </w:p>
        </w:tc>
        <w:tc>
          <w:tcPr>
            <w:tcW w:w="850" w:type="dxa"/>
            <w:tcBorders>
              <w:top w:val="nil"/>
              <w:left w:val="nil"/>
              <w:bottom w:val="single" w:sz="8" w:space="0" w:color="auto"/>
              <w:right w:val="single" w:sz="8" w:space="0" w:color="auto"/>
            </w:tcBorders>
            <w:shd w:val="clear" w:color="000000" w:fill="BFBFBF"/>
            <w:noWrap/>
            <w:vAlign w:val="center"/>
            <w:hideMark/>
          </w:tcPr>
          <w:p w14:paraId="3B1A71C9" w14:textId="77777777" w:rsidR="0049239C" w:rsidRPr="007373EF" w:rsidRDefault="0049239C" w:rsidP="0049239C">
            <w:pPr>
              <w:spacing w:after="0" w:line="240" w:lineRule="auto"/>
              <w:jc w:val="center"/>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13952</w:t>
            </w:r>
          </w:p>
        </w:tc>
        <w:tc>
          <w:tcPr>
            <w:tcW w:w="1134" w:type="dxa"/>
            <w:tcBorders>
              <w:top w:val="nil"/>
              <w:left w:val="nil"/>
              <w:bottom w:val="single" w:sz="8" w:space="0" w:color="auto"/>
              <w:right w:val="single" w:sz="8" w:space="0" w:color="auto"/>
            </w:tcBorders>
            <w:shd w:val="clear" w:color="000000" w:fill="BFBFBF"/>
            <w:noWrap/>
            <w:vAlign w:val="center"/>
            <w:hideMark/>
          </w:tcPr>
          <w:p w14:paraId="008BF5AE"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$66,735,764.61</w:t>
            </w:r>
          </w:p>
        </w:tc>
        <w:tc>
          <w:tcPr>
            <w:tcW w:w="1134" w:type="dxa"/>
            <w:tcBorders>
              <w:top w:val="nil"/>
              <w:left w:val="nil"/>
              <w:bottom w:val="single" w:sz="8" w:space="0" w:color="auto"/>
              <w:right w:val="single" w:sz="8" w:space="0" w:color="auto"/>
            </w:tcBorders>
            <w:shd w:val="clear" w:color="000000" w:fill="BFBFBF"/>
            <w:noWrap/>
            <w:vAlign w:val="center"/>
            <w:hideMark/>
          </w:tcPr>
          <w:p w14:paraId="145CB688"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$51,507,628.76</w:t>
            </w:r>
          </w:p>
        </w:tc>
        <w:tc>
          <w:tcPr>
            <w:tcW w:w="1208" w:type="dxa"/>
            <w:tcBorders>
              <w:top w:val="nil"/>
              <w:left w:val="nil"/>
              <w:bottom w:val="single" w:sz="8" w:space="0" w:color="auto"/>
              <w:right w:val="single" w:sz="8" w:space="0" w:color="auto"/>
            </w:tcBorders>
            <w:shd w:val="clear" w:color="000000" w:fill="BFBFBF"/>
            <w:noWrap/>
            <w:vAlign w:val="center"/>
            <w:hideMark/>
          </w:tcPr>
          <w:p w14:paraId="43D33A3A"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$74,761,010.34</w:t>
            </w:r>
          </w:p>
        </w:tc>
        <w:tc>
          <w:tcPr>
            <w:tcW w:w="1202" w:type="dxa"/>
            <w:tcBorders>
              <w:top w:val="nil"/>
              <w:left w:val="nil"/>
              <w:bottom w:val="single" w:sz="8" w:space="0" w:color="auto"/>
              <w:right w:val="single" w:sz="8" w:space="0" w:color="auto"/>
            </w:tcBorders>
            <w:shd w:val="clear" w:color="000000" w:fill="BFBFBF"/>
            <w:noWrap/>
            <w:vAlign w:val="center"/>
            <w:hideMark/>
          </w:tcPr>
          <w:p w14:paraId="196D989B"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$59,150,363.72</w:t>
            </w:r>
          </w:p>
        </w:tc>
        <w:tc>
          <w:tcPr>
            <w:tcW w:w="1276" w:type="dxa"/>
            <w:tcBorders>
              <w:top w:val="nil"/>
              <w:left w:val="nil"/>
              <w:bottom w:val="single" w:sz="8" w:space="0" w:color="auto"/>
              <w:right w:val="single" w:sz="8" w:space="0" w:color="auto"/>
            </w:tcBorders>
            <w:shd w:val="clear" w:color="000000" w:fill="BFBFBF"/>
            <w:noWrap/>
            <w:vAlign w:val="center"/>
            <w:hideMark/>
          </w:tcPr>
          <w:p w14:paraId="1C841FCB"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$111,124,468.49</w:t>
            </w:r>
          </w:p>
        </w:tc>
        <w:tc>
          <w:tcPr>
            <w:tcW w:w="1276" w:type="dxa"/>
            <w:tcBorders>
              <w:top w:val="nil"/>
              <w:left w:val="nil"/>
              <w:bottom w:val="single" w:sz="8" w:space="0" w:color="auto"/>
              <w:right w:val="single" w:sz="8" w:space="0" w:color="auto"/>
            </w:tcBorders>
            <w:shd w:val="clear" w:color="000000" w:fill="BFBFBF"/>
            <w:noWrap/>
            <w:vAlign w:val="center"/>
            <w:hideMark/>
          </w:tcPr>
          <w:p w14:paraId="13C46C0A"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$153,689,344.23</w:t>
            </w:r>
          </w:p>
        </w:tc>
        <w:tc>
          <w:tcPr>
            <w:tcW w:w="1275" w:type="dxa"/>
            <w:tcBorders>
              <w:top w:val="nil"/>
              <w:left w:val="nil"/>
              <w:bottom w:val="single" w:sz="8" w:space="0" w:color="auto"/>
              <w:right w:val="single" w:sz="8" w:space="0" w:color="auto"/>
            </w:tcBorders>
            <w:shd w:val="clear" w:color="000000" w:fill="BFBFBF"/>
            <w:noWrap/>
            <w:vAlign w:val="center"/>
            <w:hideMark/>
          </w:tcPr>
          <w:p w14:paraId="7171856F"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$158,276,971.20</w:t>
            </w:r>
          </w:p>
        </w:tc>
        <w:tc>
          <w:tcPr>
            <w:tcW w:w="1276" w:type="dxa"/>
            <w:tcBorders>
              <w:top w:val="nil"/>
              <w:left w:val="nil"/>
              <w:bottom w:val="single" w:sz="8" w:space="0" w:color="auto"/>
              <w:right w:val="single" w:sz="8" w:space="0" w:color="auto"/>
            </w:tcBorders>
            <w:shd w:val="clear" w:color="000000" w:fill="BFBFBF"/>
            <w:noWrap/>
            <w:vAlign w:val="center"/>
            <w:hideMark/>
          </w:tcPr>
          <w:p w14:paraId="2B18F04E"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$230,727,386.71</w:t>
            </w:r>
          </w:p>
        </w:tc>
        <w:tc>
          <w:tcPr>
            <w:tcW w:w="1276" w:type="dxa"/>
            <w:tcBorders>
              <w:top w:val="nil"/>
              <w:left w:val="nil"/>
              <w:bottom w:val="single" w:sz="8" w:space="0" w:color="auto"/>
              <w:right w:val="single" w:sz="8" w:space="0" w:color="auto"/>
            </w:tcBorders>
            <w:shd w:val="clear" w:color="000000" w:fill="BFBFBF"/>
            <w:noWrap/>
            <w:vAlign w:val="center"/>
            <w:hideMark/>
          </w:tcPr>
          <w:p w14:paraId="76C7B946"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$257,246,898.94</w:t>
            </w:r>
          </w:p>
        </w:tc>
        <w:tc>
          <w:tcPr>
            <w:tcW w:w="1276" w:type="dxa"/>
            <w:tcBorders>
              <w:top w:val="nil"/>
              <w:left w:val="nil"/>
              <w:bottom w:val="single" w:sz="8" w:space="0" w:color="auto"/>
              <w:right w:val="single" w:sz="8" w:space="0" w:color="auto"/>
            </w:tcBorders>
            <w:shd w:val="clear" w:color="000000" w:fill="BFBFBF"/>
            <w:noWrap/>
            <w:vAlign w:val="center"/>
            <w:hideMark/>
          </w:tcPr>
          <w:p w14:paraId="671BA392"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$179,997,401.14</w:t>
            </w:r>
          </w:p>
        </w:tc>
        <w:tc>
          <w:tcPr>
            <w:tcW w:w="1343" w:type="dxa"/>
            <w:tcBorders>
              <w:top w:val="nil"/>
              <w:left w:val="nil"/>
              <w:bottom w:val="single" w:sz="8" w:space="0" w:color="auto"/>
              <w:right w:val="single" w:sz="8" w:space="0" w:color="auto"/>
            </w:tcBorders>
            <w:shd w:val="clear" w:color="000000" w:fill="BFBFBF"/>
            <w:noWrap/>
            <w:vAlign w:val="center"/>
            <w:hideMark/>
          </w:tcPr>
          <w:p w14:paraId="2A5EFC85" w14:textId="77777777" w:rsidR="0049239C" w:rsidRPr="007373EF" w:rsidRDefault="0049239C" w:rsidP="0049239C">
            <w:pPr>
              <w:spacing w:after="0" w:line="240" w:lineRule="auto"/>
              <w:jc w:val="right"/>
              <w:rPr>
                <w:rFonts w:ascii="Arial Narrow" w:eastAsia="Times New Roman" w:hAnsi="Arial Narrow" w:cs="Times New Roman"/>
                <w:b/>
                <w:bCs/>
                <w:color w:val="000000"/>
                <w:sz w:val="16"/>
                <w:szCs w:val="16"/>
                <w:lang w:eastAsia="en-AU"/>
              </w:rPr>
            </w:pPr>
            <w:r w:rsidRPr="007373EF">
              <w:rPr>
                <w:rFonts w:ascii="Arial Narrow" w:eastAsia="Times New Roman" w:hAnsi="Arial Narrow" w:cs="Times New Roman"/>
                <w:b/>
                <w:bCs/>
                <w:color w:val="000000"/>
                <w:sz w:val="16"/>
                <w:szCs w:val="16"/>
                <w:lang w:eastAsia="en-AU"/>
              </w:rPr>
              <w:t>$109,667,515.61</w:t>
            </w:r>
          </w:p>
        </w:tc>
      </w:tr>
    </w:tbl>
    <w:p w14:paraId="39E15002" w14:textId="77777777" w:rsidR="00E535DE" w:rsidRPr="00655961" w:rsidRDefault="00E535DE" w:rsidP="007373EF">
      <w:pPr>
        <w:rPr>
          <w:rFonts w:ascii="Times New Roman" w:hAnsi="Times New Roman" w:cs="Times New Roman"/>
          <w:b/>
          <w:sz w:val="16"/>
          <w:szCs w:val="16"/>
        </w:rPr>
      </w:pPr>
    </w:p>
    <w:sectPr w:rsidR="00E535DE" w:rsidRPr="00655961" w:rsidSect="007373EF">
      <w:pgSz w:w="16838" w:h="11906" w:orient="landscape"/>
      <w:pgMar w:top="709" w:right="1440" w:bottom="1276" w:left="1440" w:header="708" w:footer="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52FF" w14:textId="77777777" w:rsidR="00B97105" w:rsidRDefault="00B97105" w:rsidP="00062BA1">
      <w:pPr>
        <w:spacing w:after="0" w:line="240" w:lineRule="auto"/>
      </w:pPr>
      <w:r>
        <w:separator/>
      </w:r>
    </w:p>
  </w:endnote>
  <w:endnote w:type="continuationSeparator" w:id="0">
    <w:p w14:paraId="217DCC66" w14:textId="77777777" w:rsidR="00B97105" w:rsidRDefault="00B97105" w:rsidP="0006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DCB00" w14:textId="77777777" w:rsidR="0000311A" w:rsidRDefault="0000311A" w:rsidP="006A0AC9">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Department of Employment</w:t>
    </w:r>
  </w:p>
  <w:p w14:paraId="40C1CC8A" w14:textId="77777777" w:rsidR="0000311A" w:rsidRDefault="0000311A" w:rsidP="006A0AC9">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E0848" w:rsidRPr="00BE084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5D0A89E" w14:textId="77777777" w:rsidR="0000311A" w:rsidRDefault="00003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05EF2" w14:textId="77777777" w:rsidR="00B97105" w:rsidRDefault="00B97105" w:rsidP="00062BA1">
      <w:pPr>
        <w:spacing w:after="0" w:line="240" w:lineRule="auto"/>
      </w:pPr>
      <w:r>
        <w:separator/>
      </w:r>
    </w:p>
  </w:footnote>
  <w:footnote w:type="continuationSeparator" w:id="0">
    <w:p w14:paraId="0A27AF3D" w14:textId="77777777" w:rsidR="00B97105" w:rsidRDefault="00B97105" w:rsidP="00062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0444050"/>
    <w:lvl w:ilvl="0">
      <w:start w:val="1"/>
      <w:numFmt w:val="decimal"/>
      <w:lvlText w:val="%1."/>
      <w:lvlJc w:val="left"/>
      <w:pPr>
        <w:tabs>
          <w:tab w:val="num" w:pos="643"/>
        </w:tabs>
        <w:ind w:left="643" w:hanging="360"/>
      </w:pPr>
    </w:lvl>
  </w:abstractNum>
  <w:abstractNum w:abstractNumId="1">
    <w:nsid w:val="FFFFFFFE"/>
    <w:multiLevelType w:val="singleLevel"/>
    <w:tmpl w:val="FFFFFFFF"/>
    <w:lvl w:ilvl="0">
      <w:numFmt w:val="decimal"/>
      <w:lvlText w:val="*"/>
      <w:lvlJc w:val="left"/>
    </w:lvl>
  </w:abstractNum>
  <w:abstractNum w:abstractNumId="2">
    <w:nsid w:val="00E33655"/>
    <w:multiLevelType w:val="multilevel"/>
    <w:tmpl w:val="AB7EB00E"/>
    <w:lvl w:ilvl="0">
      <w:start w:val="1"/>
      <w:numFmt w:val="bullet"/>
      <w:pStyle w:val="Talkingpoin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49B5AF2"/>
    <w:multiLevelType w:val="hybridMultilevel"/>
    <w:tmpl w:val="5A32BFBA"/>
    <w:lvl w:ilvl="0" w:tplc="E80A89E4">
      <w:start w:val="1"/>
      <w:numFmt w:val="bullet"/>
      <w:lvlText w:val="o"/>
      <w:lvlJc w:val="left"/>
      <w:pPr>
        <w:ind w:left="360" w:hanging="360"/>
      </w:pPr>
      <w:rPr>
        <w:rFonts w:ascii="Courier New" w:hAnsi="Courier New" w:cs="Courier New" w:hint="default"/>
      </w:rPr>
    </w:lvl>
    <w:lvl w:ilvl="1" w:tplc="52CE051E">
      <w:start w:val="1"/>
      <w:numFmt w:val="bullet"/>
      <w:lvlText w:val="o"/>
      <w:lvlJc w:val="left"/>
      <w:pPr>
        <w:ind w:left="1080" w:hanging="360"/>
      </w:pPr>
      <w:rPr>
        <w:rFonts w:ascii="Courier New" w:hAnsi="Courier New" w:cs="Courier New" w:hint="default"/>
      </w:rPr>
    </w:lvl>
    <w:lvl w:ilvl="2" w:tplc="A3AC9D8A">
      <w:start w:val="1"/>
      <w:numFmt w:val="bullet"/>
      <w:lvlText w:val=""/>
      <w:lvlJc w:val="left"/>
      <w:pPr>
        <w:ind w:left="1800" w:hanging="360"/>
      </w:pPr>
      <w:rPr>
        <w:rFonts w:ascii="Wingdings" w:hAnsi="Wingdings" w:hint="default"/>
      </w:rPr>
    </w:lvl>
    <w:lvl w:ilvl="3" w:tplc="589232CA">
      <w:start w:val="1"/>
      <w:numFmt w:val="bullet"/>
      <w:lvlText w:val=""/>
      <w:lvlJc w:val="left"/>
      <w:pPr>
        <w:ind w:left="2520" w:hanging="360"/>
      </w:pPr>
      <w:rPr>
        <w:rFonts w:ascii="Symbol" w:hAnsi="Symbol" w:hint="default"/>
      </w:rPr>
    </w:lvl>
    <w:lvl w:ilvl="4" w:tplc="B79A373E">
      <w:start w:val="1"/>
      <w:numFmt w:val="bullet"/>
      <w:lvlText w:val="o"/>
      <w:lvlJc w:val="left"/>
      <w:pPr>
        <w:ind w:left="3240" w:hanging="360"/>
      </w:pPr>
      <w:rPr>
        <w:rFonts w:ascii="Courier New" w:hAnsi="Courier New" w:cs="Courier New" w:hint="default"/>
      </w:rPr>
    </w:lvl>
    <w:lvl w:ilvl="5" w:tplc="CEEA990C">
      <w:start w:val="1"/>
      <w:numFmt w:val="bullet"/>
      <w:lvlText w:val=""/>
      <w:lvlJc w:val="left"/>
      <w:pPr>
        <w:ind w:left="3960" w:hanging="360"/>
      </w:pPr>
      <w:rPr>
        <w:rFonts w:ascii="Wingdings" w:hAnsi="Wingdings" w:hint="default"/>
      </w:rPr>
    </w:lvl>
    <w:lvl w:ilvl="6" w:tplc="00146112">
      <w:start w:val="1"/>
      <w:numFmt w:val="bullet"/>
      <w:lvlText w:val=""/>
      <w:lvlJc w:val="left"/>
      <w:pPr>
        <w:ind w:left="4680" w:hanging="360"/>
      </w:pPr>
      <w:rPr>
        <w:rFonts w:ascii="Symbol" w:hAnsi="Symbol" w:hint="default"/>
      </w:rPr>
    </w:lvl>
    <w:lvl w:ilvl="7" w:tplc="6EA07330">
      <w:start w:val="1"/>
      <w:numFmt w:val="bullet"/>
      <w:lvlText w:val="o"/>
      <w:lvlJc w:val="left"/>
      <w:pPr>
        <w:ind w:left="5400" w:hanging="360"/>
      </w:pPr>
      <w:rPr>
        <w:rFonts w:ascii="Courier New" w:hAnsi="Courier New" w:cs="Courier New" w:hint="default"/>
      </w:rPr>
    </w:lvl>
    <w:lvl w:ilvl="8" w:tplc="599E8DF2">
      <w:start w:val="1"/>
      <w:numFmt w:val="bullet"/>
      <w:lvlText w:val=""/>
      <w:lvlJc w:val="left"/>
      <w:pPr>
        <w:ind w:left="6120" w:hanging="360"/>
      </w:pPr>
      <w:rPr>
        <w:rFonts w:ascii="Wingdings" w:hAnsi="Wingdings" w:hint="default"/>
      </w:rPr>
    </w:lvl>
  </w:abstractNum>
  <w:abstractNum w:abstractNumId="4">
    <w:nsid w:val="08CF1E51"/>
    <w:multiLevelType w:val="hybridMultilevel"/>
    <w:tmpl w:val="97369852"/>
    <w:lvl w:ilvl="0" w:tplc="0C090001">
      <w:start w:val="1"/>
      <w:numFmt w:val="bullet"/>
      <w:lvlText w:val=""/>
      <w:lvlJc w:val="left"/>
      <w:pPr>
        <w:ind w:left="720" w:hanging="360"/>
      </w:pPr>
      <w:rPr>
        <w:rFonts w:ascii="Symbol" w:hAnsi="Symbol" w:hint="default"/>
        <w:i w:val="0"/>
        <w:sz w:val="24"/>
        <w:szCs w:val="24"/>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423FB4"/>
    <w:multiLevelType w:val="hybridMultilevel"/>
    <w:tmpl w:val="9B2EA5EA"/>
    <w:lvl w:ilvl="0" w:tplc="AC42EB5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0E3662B7"/>
    <w:multiLevelType w:val="hybridMultilevel"/>
    <w:tmpl w:val="8AC64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C90DEC"/>
    <w:multiLevelType w:val="hybridMultilevel"/>
    <w:tmpl w:val="986A9A4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166025CD"/>
    <w:multiLevelType w:val="hybridMultilevel"/>
    <w:tmpl w:val="D6040744"/>
    <w:lvl w:ilvl="0" w:tplc="CED67FA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BD6B20"/>
    <w:multiLevelType w:val="hybridMultilevel"/>
    <w:tmpl w:val="138089C0"/>
    <w:lvl w:ilvl="0" w:tplc="E6A4B57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C8177F"/>
    <w:multiLevelType w:val="hybridMultilevel"/>
    <w:tmpl w:val="2D0EC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184846E3"/>
    <w:multiLevelType w:val="hybridMultilevel"/>
    <w:tmpl w:val="4E4050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3B1103"/>
    <w:multiLevelType w:val="hybridMultilevel"/>
    <w:tmpl w:val="B498DB54"/>
    <w:lvl w:ilvl="0" w:tplc="CED67FAA">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B25111F"/>
    <w:multiLevelType w:val="hybridMultilevel"/>
    <w:tmpl w:val="1D00E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C34257A"/>
    <w:multiLevelType w:val="hybridMultilevel"/>
    <w:tmpl w:val="AA7606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225C6C53"/>
    <w:multiLevelType w:val="hybridMultilevel"/>
    <w:tmpl w:val="DE7863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5126BEE"/>
    <w:multiLevelType w:val="hybridMultilevel"/>
    <w:tmpl w:val="B7E457EA"/>
    <w:lvl w:ilvl="0" w:tplc="1842EA48">
      <w:numFmt w:val="bullet"/>
      <w:lvlText w:val="-"/>
      <w:lvlJc w:val="left"/>
      <w:pPr>
        <w:ind w:left="216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nsid w:val="256E34EF"/>
    <w:multiLevelType w:val="hybridMultilevel"/>
    <w:tmpl w:val="6FBAB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57A6ED2"/>
    <w:multiLevelType w:val="hybridMultilevel"/>
    <w:tmpl w:val="E132D746"/>
    <w:lvl w:ilvl="0" w:tplc="48729414">
      <w:start w:val="1"/>
      <w:numFmt w:val="decimal"/>
      <w:lvlText w:val="%1."/>
      <w:lvlJc w:val="left"/>
      <w:pPr>
        <w:ind w:left="2487" w:hanging="360"/>
      </w:pPr>
      <w:rPr>
        <w:b w:val="0"/>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start w:val="1"/>
      <w:numFmt w:val="lowerLetter"/>
      <w:lvlText w:val="%5."/>
      <w:lvlJc w:val="left"/>
      <w:pPr>
        <w:ind w:left="3742" w:hanging="360"/>
      </w:pPr>
    </w:lvl>
    <w:lvl w:ilvl="5" w:tplc="0C09001B">
      <w:start w:val="1"/>
      <w:numFmt w:val="lowerRoman"/>
      <w:lvlText w:val="%6."/>
      <w:lvlJc w:val="right"/>
      <w:pPr>
        <w:ind w:left="4462" w:hanging="180"/>
      </w:pPr>
    </w:lvl>
    <w:lvl w:ilvl="6" w:tplc="0C09000F">
      <w:start w:val="1"/>
      <w:numFmt w:val="decimal"/>
      <w:lvlText w:val="%7."/>
      <w:lvlJc w:val="left"/>
      <w:pPr>
        <w:ind w:left="5182" w:hanging="360"/>
      </w:pPr>
    </w:lvl>
    <w:lvl w:ilvl="7" w:tplc="0C090019">
      <w:start w:val="1"/>
      <w:numFmt w:val="lowerLetter"/>
      <w:lvlText w:val="%8."/>
      <w:lvlJc w:val="left"/>
      <w:pPr>
        <w:ind w:left="5902" w:hanging="360"/>
      </w:pPr>
    </w:lvl>
    <w:lvl w:ilvl="8" w:tplc="0C09001B">
      <w:start w:val="1"/>
      <w:numFmt w:val="lowerRoman"/>
      <w:lvlText w:val="%9."/>
      <w:lvlJc w:val="right"/>
      <w:pPr>
        <w:ind w:left="6622" w:hanging="180"/>
      </w:pPr>
    </w:lvl>
  </w:abstractNum>
  <w:abstractNum w:abstractNumId="19">
    <w:nsid w:val="2B4F31F3"/>
    <w:multiLevelType w:val="hybridMultilevel"/>
    <w:tmpl w:val="4F3AF04E"/>
    <w:lvl w:ilvl="0" w:tplc="1842EA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03A70B8"/>
    <w:multiLevelType w:val="multilevel"/>
    <w:tmpl w:val="04CA37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2877D0"/>
    <w:multiLevelType w:val="hybridMultilevel"/>
    <w:tmpl w:val="72C68AF2"/>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2">
    <w:nsid w:val="383F0588"/>
    <w:multiLevelType w:val="hybridMultilevel"/>
    <w:tmpl w:val="8C38A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FE46150"/>
    <w:multiLevelType w:val="hybridMultilevel"/>
    <w:tmpl w:val="E96214D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1080A6A"/>
    <w:multiLevelType w:val="hybridMultilevel"/>
    <w:tmpl w:val="31FA9AD0"/>
    <w:lvl w:ilvl="0" w:tplc="5C4EACB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1146863"/>
    <w:multiLevelType w:val="hybridMultilevel"/>
    <w:tmpl w:val="CF6620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nsid w:val="443E390F"/>
    <w:multiLevelType w:val="multilevel"/>
    <w:tmpl w:val="725A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8B1973"/>
    <w:multiLevelType w:val="hybridMultilevel"/>
    <w:tmpl w:val="EE82AD44"/>
    <w:lvl w:ilvl="0" w:tplc="CED67FA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AA3F17"/>
    <w:multiLevelType w:val="hybridMultilevel"/>
    <w:tmpl w:val="0932066C"/>
    <w:lvl w:ilvl="0" w:tplc="985EB388">
      <w:start w:val="1"/>
      <w:numFmt w:val="bullet"/>
      <w:lvlText w:val=""/>
      <w:lvlJc w:val="left"/>
      <w:pPr>
        <w:ind w:left="780" w:hanging="360"/>
      </w:pPr>
      <w:rPr>
        <w:rFonts w:ascii="Symbol" w:hAnsi="Symbol" w:hint="default"/>
      </w:rPr>
    </w:lvl>
    <w:lvl w:ilvl="1" w:tplc="0180FDFE">
      <w:start w:val="1"/>
      <w:numFmt w:val="bullet"/>
      <w:lvlText w:val="o"/>
      <w:lvlJc w:val="left"/>
      <w:pPr>
        <w:ind w:left="1500" w:hanging="360"/>
      </w:pPr>
      <w:rPr>
        <w:rFonts w:ascii="Courier New" w:hAnsi="Courier New" w:cs="Courier New" w:hint="default"/>
      </w:rPr>
    </w:lvl>
    <w:lvl w:ilvl="2" w:tplc="9C2001EE">
      <w:start w:val="1"/>
      <w:numFmt w:val="bullet"/>
      <w:lvlText w:val=""/>
      <w:lvlJc w:val="left"/>
      <w:pPr>
        <w:ind w:left="2220" w:hanging="360"/>
      </w:pPr>
      <w:rPr>
        <w:rFonts w:ascii="Wingdings" w:hAnsi="Wingdings" w:hint="default"/>
      </w:rPr>
    </w:lvl>
    <w:lvl w:ilvl="3" w:tplc="8350F1C2">
      <w:start w:val="1"/>
      <w:numFmt w:val="bullet"/>
      <w:lvlText w:val=""/>
      <w:lvlJc w:val="left"/>
      <w:pPr>
        <w:ind w:left="2940" w:hanging="360"/>
      </w:pPr>
      <w:rPr>
        <w:rFonts w:ascii="Symbol" w:hAnsi="Symbol" w:hint="default"/>
      </w:rPr>
    </w:lvl>
    <w:lvl w:ilvl="4" w:tplc="682CE3FE">
      <w:start w:val="1"/>
      <w:numFmt w:val="bullet"/>
      <w:lvlText w:val="o"/>
      <w:lvlJc w:val="left"/>
      <w:pPr>
        <w:ind w:left="3660" w:hanging="360"/>
      </w:pPr>
      <w:rPr>
        <w:rFonts w:ascii="Courier New" w:hAnsi="Courier New" w:cs="Courier New" w:hint="default"/>
      </w:rPr>
    </w:lvl>
    <w:lvl w:ilvl="5" w:tplc="46441A78">
      <w:start w:val="1"/>
      <w:numFmt w:val="bullet"/>
      <w:lvlText w:val=""/>
      <w:lvlJc w:val="left"/>
      <w:pPr>
        <w:ind w:left="4380" w:hanging="360"/>
      </w:pPr>
      <w:rPr>
        <w:rFonts w:ascii="Wingdings" w:hAnsi="Wingdings" w:hint="default"/>
      </w:rPr>
    </w:lvl>
    <w:lvl w:ilvl="6" w:tplc="DFA2D198">
      <w:start w:val="1"/>
      <w:numFmt w:val="bullet"/>
      <w:lvlText w:val=""/>
      <w:lvlJc w:val="left"/>
      <w:pPr>
        <w:ind w:left="5100" w:hanging="360"/>
      </w:pPr>
      <w:rPr>
        <w:rFonts w:ascii="Symbol" w:hAnsi="Symbol" w:hint="default"/>
      </w:rPr>
    </w:lvl>
    <w:lvl w:ilvl="7" w:tplc="3C0A9E68">
      <w:start w:val="1"/>
      <w:numFmt w:val="bullet"/>
      <w:lvlText w:val="o"/>
      <w:lvlJc w:val="left"/>
      <w:pPr>
        <w:ind w:left="5820" w:hanging="360"/>
      </w:pPr>
      <w:rPr>
        <w:rFonts w:ascii="Courier New" w:hAnsi="Courier New" w:cs="Courier New" w:hint="default"/>
      </w:rPr>
    </w:lvl>
    <w:lvl w:ilvl="8" w:tplc="6FC69088">
      <w:start w:val="1"/>
      <w:numFmt w:val="bullet"/>
      <w:lvlText w:val=""/>
      <w:lvlJc w:val="left"/>
      <w:pPr>
        <w:ind w:left="6540" w:hanging="360"/>
      </w:pPr>
      <w:rPr>
        <w:rFonts w:ascii="Wingdings" w:hAnsi="Wingdings" w:hint="default"/>
      </w:rPr>
    </w:lvl>
  </w:abstractNum>
  <w:abstractNum w:abstractNumId="29">
    <w:nsid w:val="4F76339E"/>
    <w:multiLevelType w:val="hybridMultilevel"/>
    <w:tmpl w:val="0256E78E"/>
    <w:lvl w:ilvl="0" w:tplc="CED67FA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2BF2799"/>
    <w:multiLevelType w:val="hybridMultilevel"/>
    <w:tmpl w:val="B95C7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9140B3"/>
    <w:multiLevelType w:val="hybridMultilevel"/>
    <w:tmpl w:val="880A8F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2">
    <w:nsid w:val="60BA04D6"/>
    <w:multiLevelType w:val="hybridMultilevel"/>
    <w:tmpl w:val="80E0AFA0"/>
    <w:lvl w:ilvl="0" w:tplc="CED67FA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845232"/>
    <w:multiLevelType w:val="hybridMultilevel"/>
    <w:tmpl w:val="E606004E"/>
    <w:lvl w:ilvl="0" w:tplc="0C090001">
      <w:start w:val="1"/>
      <w:numFmt w:val="bullet"/>
      <w:lvlText w:val=""/>
      <w:lvlJc w:val="left"/>
      <w:pPr>
        <w:ind w:left="720" w:hanging="360"/>
      </w:pPr>
      <w:rPr>
        <w:rFonts w:ascii="Symbol" w:hAnsi="Symbol" w:hint="default"/>
        <w:i w:val="0"/>
        <w:sz w:val="24"/>
        <w:szCs w:val="24"/>
      </w:rPr>
    </w:lvl>
    <w:lvl w:ilvl="1" w:tplc="0C090001">
      <w:start w:val="1"/>
      <w:numFmt w:val="bullet"/>
      <w:lvlText w:val=""/>
      <w:lvlJc w:val="left"/>
      <w:pPr>
        <w:ind w:left="1440" w:hanging="360"/>
      </w:pPr>
      <w:rPr>
        <w:rFonts w:ascii="Symbol" w:hAnsi="Symbol" w:hint="default"/>
      </w:rPr>
    </w:lvl>
    <w:lvl w:ilvl="2" w:tplc="1DBAD336">
      <w:start w:val="38"/>
      <w:numFmt w:val="decimal"/>
      <w:lvlText w:val="%3."/>
      <w:lvlJc w:val="left"/>
      <w:pPr>
        <w:ind w:left="2340" w:hanging="360"/>
      </w:pPr>
      <w:rPr>
        <w:rFonts w:ascii="Times New Roman" w:hAnsi="Times New Roman" w:cs="Times New Roman" w:hint="default"/>
        <w:sz w:val="24"/>
        <w:szCs w:val="24"/>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B735848"/>
    <w:multiLevelType w:val="hybridMultilevel"/>
    <w:tmpl w:val="24EA8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6ED236E4"/>
    <w:multiLevelType w:val="hybridMultilevel"/>
    <w:tmpl w:val="9D228D8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nsid w:val="70512EFE"/>
    <w:multiLevelType w:val="hybridMultilevel"/>
    <w:tmpl w:val="F5FC4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D607D7"/>
    <w:multiLevelType w:val="hybridMultilevel"/>
    <w:tmpl w:val="D7C4FF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1201F89"/>
    <w:multiLevelType w:val="hybridMultilevel"/>
    <w:tmpl w:val="E7E2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363716D"/>
    <w:multiLevelType w:val="hybridMultilevel"/>
    <w:tmpl w:val="B57024CE"/>
    <w:lvl w:ilvl="0" w:tplc="0C090001">
      <w:start w:val="1"/>
      <w:numFmt w:val="bullet"/>
      <w:lvlText w:val=""/>
      <w:lvlJc w:val="left"/>
      <w:pPr>
        <w:ind w:left="3763"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nsid w:val="77E60812"/>
    <w:multiLevelType w:val="hybridMultilevel"/>
    <w:tmpl w:val="CCFA42C8"/>
    <w:lvl w:ilvl="0" w:tplc="FFFFFFFF">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2">
    <w:nsid w:val="795213C7"/>
    <w:multiLevelType w:val="hybridMultilevel"/>
    <w:tmpl w:val="E586C162"/>
    <w:lvl w:ilvl="0" w:tplc="1842EA48">
      <w:numFmt w:val="bullet"/>
      <w:lvlText w:val="-"/>
      <w:lvlJc w:val="left"/>
      <w:pPr>
        <w:ind w:left="784" w:hanging="360"/>
      </w:pPr>
      <w:rPr>
        <w:rFonts w:ascii="Calibri" w:eastAsiaTheme="minorHAnsi" w:hAnsi="Calibri" w:cs="Calibri"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3">
    <w:nsid w:val="7CF10C5C"/>
    <w:multiLevelType w:val="hybridMultilevel"/>
    <w:tmpl w:val="ABC426A8"/>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4">
    <w:nsid w:val="7D34139E"/>
    <w:multiLevelType w:val="hybridMultilevel"/>
    <w:tmpl w:val="7696B384"/>
    <w:lvl w:ilvl="0" w:tplc="CED67FAA">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E02638A"/>
    <w:multiLevelType w:val="hybridMultilevel"/>
    <w:tmpl w:val="E4E0F210"/>
    <w:lvl w:ilvl="0" w:tplc="091AA044">
      <w:start w:val="1"/>
      <w:numFmt w:val="decimal"/>
      <w:pStyle w:val="Itemtextnumbered"/>
      <w:lvlText w:val="%1."/>
      <w:lvlJc w:val="left"/>
      <w:pPr>
        <w:tabs>
          <w:tab w:val="num" w:pos="227"/>
        </w:tabs>
        <w:ind w:left="284" w:hanging="284"/>
      </w:pPr>
      <w:rPr>
        <w:rFonts w:ascii="Times New Roman" w:hAnsi="Times New Roman" w:hint="default"/>
        <w:b w:val="0"/>
        <w:i w:val="0"/>
        <w:sz w:val="24"/>
      </w:rPr>
    </w:lvl>
    <w:lvl w:ilvl="1" w:tplc="0C09001B">
      <w:start w:val="1"/>
      <w:numFmt w:val="lowerRoman"/>
      <w:lvlText w:val="%2."/>
      <w:lvlJc w:val="right"/>
      <w:pPr>
        <w:tabs>
          <w:tab w:val="num" w:pos="502"/>
        </w:tabs>
        <w:ind w:left="502" w:hanging="360"/>
      </w:pPr>
      <w:rPr>
        <w:rFonts w:hint="default"/>
        <w:b/>
      </w:rPr>
    </w:lvl>
    <w:lvl w:ilvl="2" w:tplc="0C09001B">
      <w:start w:val="1"/>
      <w:numFmt w:val="lowerRoman"/>
      <w:lvlText w:val="%3."/>
      <w:lvlJc w:val="right"/>
      <w:pPr>
        <w:tabs>
          <w:tab w:val="num" w:pos="2160"/>
        </w:tabs>
        <w:ind w:left="2160" w:hanging="180"/>
      </w:pPr>
      <w:rPr>
        <w:b w:val="0"/>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0"/>
  </w:num>
  <w:num w:numId="2">
    <w:abstractNumId w:val="37"/>
  </w:num>
  <w:num w:numId="3">
    <w:abstractNumId w:val="31"/>
  </w:num>
  <w:num w:numId="4">
    <w:abstractNumId w:val="21"/>
  </w:num>
  <w:num w:numId="5">
    <w:abstractNumId w:val="10"/>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23"/>
  </w:num>
  <w:num w:numId="8">
    <w:abstractNumId w:val="43"/>
  </w:num>
  <w:num w:numId="9">
    <w:abstractNumId w:val="45"/>
  </w:num>
  <w:num w:numId="10">
    <w:abstractNumId w:val="34"/>
  </w:num>
  <w:num w:numId="11">
    <w:abstractNumId w:val="13"/>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3"/>
  </w:num>
  <w:num w:numId="15">
    <w:abstractNumId w:val="19"/>
  </w:num>
  <w:num w:numId="16">
    <w:abstractNumId w:val="16"/>
  </w:num>
  <w:num w:numId="17">
    <w:abstractNumId w:val="42"/>
  </w:num>
  <w:num w:numId="18">
    <w:abstractNumId w:val="28"/>
  </w:num>
  <w:num w:numId="19">
    <w:abstractNumId w:val="12"/>
  </w:num>
  <w:num w:numId="20">
    <w:abstractNumId w:val="39"/>
  </w:num>
  <w:num w:numId="21">
    <w:abstractNumId w:val="6"/>
  </w:num>
  <w:num w:numId="22">
    <w:abstractNumId w:val="35"/>
  </w:num>
  <w:num w:numId="23">
    <w:abstractNumId w:val="26"/>
  </w:num>
  <w:num w:numId="24">
    <w:abstractNumId w:val="9"/>
  </w:num>
  <w:num w:numId="25">
    <w:abstractNumId w:val="11"/>
  </w:num>
  <w:num w:numId="26">
    <w:abstractNumId w:val="1"/>
    <w:lvlOverride w:ilvl="0">
      <w:lvl w:ilvl="0">
        <w:numFmt w:val="bullet"/>
        <w:lvlText w:val=""/>
        <w:legacy w:legacy="1" w:legacySpace="0" w:legacyIndent="283"/>
        <w:lvlJc w:val="left"/>
        <w:rPr>
          <w:rFonts w:ascii="Symbol" w:hAnsi="Symbol" w:hint="default"/>
        </w:rPr>
      </w:lvl>
    </w:lvlOverride>
  </w:num>
  <w:num w:numId="27">
    <w:abstractNumId w:val="2"/>
  </w:num>
  <w:num w:numId="28">
    <w:abstractNumId w:val="1"/>
    <w:lvlOverride w:ilvl="0">
      <w:lvl w:ilvl="0">
        <w:numFmt w:val="bullet"/>
        <w:lvlText w:val=""/>
        <w:lvlJc w:val="left"/>
        <w:pPr>
          <w:tabs>
            <w:tab w:val="num" w:pos="283"/>
          </w:tabs>
          <w:ind w:left="283" w:hanging="283"/>
        </w:pPr>
        <w:rPr>
          <w:rFonts w:ascii="Symbol" w:hAnsi="Symbol" w:hint="default"/>
        </w:rPr>
      </w:lvl>
    </w:lvlOverride>
  </w:num>
  <w:num w:numId="29">
    <w:abstractNumId w:val="3"/>
  </w:num>
  <w:num w:numId="30">
    <w:abstractNumId w:val="14"/>
  </w:num>
  <w:num w:numId="31">
    <w:abstractNumId w:val="40"/>
  </w:num>
  <w:num w:numId="32">
    <w:abstractNumId w:val="36"/>
  </w:num>
  <w:num w:numId="33">
    <w:abstractNumId w:val="7"/>
  </w:num>
  <w:num w:numId="34">
    <w:abstractNumId w:val="4"/>
  </w:num>
  <w:num w:numId="35">
    <w:abstractNumId w:val="38"/>
  </w:num>
  <w:num w:numId="36">
    <w:abstractNumId w:val="25"/>
  </w:num>
  <w:num w:numId="37">
    <w:abstractNumId w:val="0"/>
  </w:num>
  <w:num w:numId="38">
    <w:abstractNumId w:val="41"/>
  </w:num>
  <w:num w:numId="39">
    <w:abstractNumId w:val="24"/>
  </w:num>
  <w:num w:numId="40">
    <w:abstractNumId w:val="3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8"/>
  </w:num>
  <w:num w:numId="44">
    <w:abstractNumId w:val="32"/>
  </w:num>
  <w:num w:numId="45">
    <w:abstractNumId w:val="29"/>
  </w:num>
  <w:num w:numId="46">
    <w:abstractNumId w:val="44"/>
  </w:num>
  <w:num w:numId="47">
    <w:abstractNumId w:val="40"/>
  </w:num>
  <w:num w:numId="48">
    <w:abstractNumId w:val="36"/>
  </w:num>
  <w:num w:numId="49">
    <w:abstractNumId w:val="22"/>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num>
  <w:num w:numId="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A1"/>
    <w:rsid w:val="0000311A"/>
    <w:rsid w:val="000048E6"/>
    <w:rsid w:val="00004EB4"/>
    <w:rsid w:val="00005D11"/>
    <w:rsid w:val="00007BDE"/>
    <w:rsid w:val="00017BB7"/>
    <w:rsid w:val="000254BE"/>
    <w:rsid w:val="00033F18"/>
    <w:rsid w:val="000440BE"/>
    <w:rsid w:val="0005711C"/>
    <w:rsid w:val="0005722A"/>
    <w:rsid w:val="000602B0"/>
    <w:rsid w:val="00060EA8"/>
    <w:rsid w:val="00061DDB"/>
    <w:rsid w:val="00062BA1"/>
    <w:rsid w:val="000647C6"/>
    <w:rsid w:val="00075CA1"/>
    <w:rsid w:val="00075CB1"/>
    <w:rsid w:val="00077232"/>
    <w:rsid w:val="00095CF6"/>
    <w:rsid w:val="00096D66"/>
    <w:rsid w:val="000A0DA0"/>
    <w:rsid w:val="000A195F"/>
    <w:rsid w:val="000A2511"/>
    <w:rsid w:val="000A6C52"/>
    <w:rsid w:val="000A7820"/>
    <w:rsid w:val="000B5405"/>
    <w:rsid w:val="000B5D84"/>
    <w:rsid w:val="000B6CC2"/>
    <w:rsid w:val="000D129B"/>
    <w:rsid w:val="000D5F7C"/>
    <w:rsid w:val="000E2A94"/>
    <w:rsid w:val="000F3CB2"/>
    <w:rsid w:val="00104487"/>
    <w:rsid w:val="00107213"/>
    <w:rsid w:val="001116F8"/>
    <w:rsid w:val="001337C7"/>
    <w:rsid w:val="00135707"/>
    <w:rsid w:val="00135911"/>
    <w:rsid w:val="001410D9"/>
    <w:rsid w:val="00141EDE"/>
    <w:rsid w:val="00151D72"/>
    <w:rsid w:val="0016344A"/>
    <w:rsid w:val="00180CC8"/>
    <w:rsid w:val="00181B34"/>
    <w:rsid w:val="001953C0"/>
    <w:rsid w:val="00196CE5"/>
    <w:rsid w:val="001A0CE6"/>
    <w:rsid w:val="001A47B7"/>
    <w:rsid w:val="001B244F"/>
    <w:rsid w:val="001D08B5"/>
    <w:rsid w:val="001E31AE"/>
    <w:rsid w:val="001F26EF"/>
    <w:rsid w:val="001F43A8"/>
    <w:rsid w:val="001F70FB"/>
    <w:rsid w:val="0020361D"/>
    <w:rsid w:val="0020531C"/>
    <w:rsid w:val="00217164"/>
    <w:rsid w:val="0022220F"/>
    <w:rsid w:val="0022252C"/>
    <w:rsid w:val="00242EB8"/>
    <w:rsid w:val="002565CA"/>
    <w:rsid w:val="00270647"/>
    <w:rsid w:val="00275408"/>
    <w:rsid w:val="00281534"/>
    <w:rsid w:val="00284A79"/>
    <w:rsid w:val="002867F4"/>
    <w:rsid w:val="00292255"/>
    <w:rsid w:val="00292277"/>
    <w:rsid w:val="00293D65"/>
    <w:rsid w:val="002A72B9"/>
    <w:rsid w:val="002B1F58"/>
    <w:rsid w:val="002C2CCD"/>
    <w:rsid w:val="002D3525"/>
    <w:rsid w:val="002D3F12"/>
    <w:rsid w:val="002D75D8"/>
    <w:rsid w:val="002E2B0B"/>
    <w:rsid w:val="002F5133"/>
    <w:rsid w:val="00303112"/>
    <w:rsid w:val="00316644"/>
    <w:rsid w:val="0032116A"/>
    <w:rsid w:val="00323760"/>
    <w:rsid w:val="00323B4A"/>
    <w:rsid w:val="00355670"/>
    <w:rsid w:val="00360D7B"/>
    <w:rsid w:val="00364588"/>
    <w:rsid w:val="00367329"/>
    <w:rsid w:val="00367CEC"/>
    <w:rsid w:val="00375486"/>
    <w:rsid w:val="003770E3"/>
    <w:rsid w:val="0038032A"/>
    <w:rsid w:val="00380CF3"/>
    <w:rsid w:val="00385B2F"/>
    <w:rsid w:val="00386F92"/>
    <w:rsid w:val="00387056"/>
    <w:rsid w:val="00392624"/>
    <w:rsid w:val="003954D7"/>
    <w:rsid w:val="00396343"/>
    <w:rsid w:val="003964DD"/>
    <w:rsid w:val="003A4851"/>
    <w:rsid w:val="003A56BF"/>
    <w:rsid w:val="003A5D3E"/>
    <w:rsid w:val="003C4096"/>
    <w:rsid w:val="003F300F"/>
    <w:rsid w:val="003F3C78"/>
    <w:rsid w:val="003F5FD1"/>
    <w:rsid w:val="00401902"/>
    <w:rsid w:val="004049BD"/>
    <w:rsid w:val="004112B1"/>
    <w:rsid w:val="00417F1A"/>
    <w:rsid w:val="0043402F"/>
    <w:rsid w:val="00434097"/>
    <w:rsid w:val="00440149"/>
    <w:rsid w:val="00442658"/>
    <w:rsid w:val="00451AB8"/>
    <w:rsid w:val="00454572"/>
    <w:rsid w:val="00454FF5"/>
    <w:rsid w:val="00456080"/>
    <w:rsid w:val="004641D4"/>
    <w:rsid w:val="00470BAE"/>
    <w:rsid w:val="004749F8"/>
    <w:rsid w:val="00475B92"/>
    <w:rsid w:val="00475EF6"/>
    <w:rsid w:val="0047798A"/>
    <w:rsid w:val="004851EF"/>
    <w:rsid w:val="0049089F"/>
    <w:rsid w:val="00490D2F"/>
    <w:rsid w:val="00491CE4"/>
    <w:rsid w:val="0049239C"/>
    <w:rsid w:val="00497DE0"/>
    <w:rsid w:val="004A00F1"/>
    <w:rsid w:val="004A4274"/>
    <w:rsid w:val="004B4BF7"/>
    <w:rsid w:val="00502313"/>
    <w:rsid w:val="0052212B"/>
    <w:rsid w:val="00525C4D"/>
    <w:rsid w:val="005379A4"/>
    <w:rsid w:val="005502BF"/>
    <w:rsid w:val="00551179"/>
    <w:rsid w:val="005551DF"/>
    <w:rsid w:val="005672D3"/>
    <w:rsid w:val="005677CA"/>
    <w:rsid w:val="00575463"/>
    <w:rsid w:val="005945D8"/>
    <w:rsid w:val="005A19D3"/>
    <w:rsid w:val="005A796C"/>
    <w:rsid w:val="005B29B8"/>
    <w:rsid w:val="005B29C4"/>
    <w:rsid w:val="005B52D9"/>
    <w:rsid w:val="005C167F"/>
    <w:rsid w:val="005D683E"/>
    <w:rsid w:val="005F361B"/>
    <w:rsid w:val="006013A0"/>
    <w:rsid w:val="00603141"/>
    <w:rsid w:val="006056B1"/>
    <w:rsid w:val="00607B9B"/>
    <w:rsid w:val="00612392"/>
    <w:rsid w:val="00621A82"/>
    <w:rsid w:val="006222A9"/>
    <w:rsid w:val="00630548"/>
    <w:rsid w:val="006309B9"/>
    <w:rsid w:val="00636556"/>
    <w:rsid w:val="00643F49"/>
    <w:rsid w:val="00650C60"/>
    <w:rsid w:val="00655961"/>
    <w:rsid w:val="006651C4"/>
    <w:rsid w:val="006702AA"/>
    <w:rsid w:val="0067633F"/>
    <w:rsid w:val="00680B62"/>
    <w:rsid w:val="006870A2"/>
    <w:rsid w:val="0069404A"/>
    <w:rsid w:val="006A0AC9"/>
    <w:rsid w:val="006A602A"/>
    <w:rsid w:val="006A6423"/>
    <w:rsid w:val="006A6DD7"/>
    <w:rsid w:val="006B107D"/>
    <w:rsid w:val="006B2A52"/>
    <w:rsid w:val="006B4C4E"/>
    <w:rsid w:val="006C5C65"/>
    <w:rsid w:val="006C6109"/>
    <w:rsid w:val="006C68EA"/>
    <w:rsid w:val="006D58CA"/>
    <w:rsid w:val="006E6D96"/>
    <w:rsid w:val="006F0684"/>
    <w:rsid w:val="006F40DF"/>
    <w:rsid w:val="00707F6B"/>
    <w:rsid w:val="007115DA"/>
    <w:rsid w:val="007373EF"/>
    <w:rsid w:val="0073795F"/>
    <w:rsid w:val="00742003"/>
    <w:rsid w:val="0075682A"/>
    <w:rsid w:val="00756934"/>
    <w:rsid w:val="00761F3F"/>
    <w:rsid w:val="00774D86"/>
    <w:rsid w:val="0077754D"/>
    <w:rsid w:val="00783AC1"/>
    <w:rsid w:val="007877EC"/>
    <w:rsid w:val="00790BA4"/>
    <w:rsid w:val="0079209B"/>
    <w:rsid w:val="007A1221"/>
    <w:rsid w:val="007A5D0B"/>
    <w:rsid w:val="007B3D94"/>
    <w:rsid w:val="007D47A0"/>
    <w:rsid w:val="007E08C6"/>
    <w:rsid w:val="007E1B7E"/>
    <w:rsid w:val="007E50F3"/>
    <w:rsid w:val="007E5D09"/>
    <w:rsid w:val="00802085"/>
    <w:rsid w:val="00802414"/>
    <w:rsid w:val="0082087A"/>
    <w:rsid w:val="00825608"/>
    <w:rsid w:val="00841A4A"/>
    <w:rsid w:val="00842B1F"/>
    <w:rsid w:val="00843726"/>
    <w:rsid w:val="00846D99"/>
    <w:rsid w:val="008574C5"/>
    <w:rsid w:val="00870631"/>
    <w:rsid w:val="008742E3"/>
    <w:rsid w:val="00874FA1"/>
    <w:rsid w:val="008873C3"/>
    <w:rsid w:val="008A22D5"/>
    <w:rsid w:val="008C6C20"/>
    <w:rsid w:val="008D377F"/>
    <w:rsid w:val="008E34CA"/>
    <w:rsid w:val="008E3C9B"/>
    <w:rsid w:val="008E7635"/>
    <w:rsid w:val="00907B92"/>
    <w:rsid w:val="00911482"/>
    <w:rsid w:val="00920C5A"/>
    <w:rsid w:val="0092232A"/>
    <w:rsid w:val="0092668C"/>
    <w:rsid w:val="00926A4D"/>
    <w:rsid w:val="00927F75"/>
    <w:rsid w:val="009322D4"/>
    <w:rsid w:val="00937C4C"/>
    <w:rsid w:val="00961D76"/>
    <w:rsid w:val="00967CFB"/>
    <w:rsid w:val="00972C1C"/>
    <w:rsid w:val="00984558"/>
    <w:rsid w:val="0098522D"/>
    <w:rsid w:val="00986D2A"/>
    <w:rsid w:val="00987E11"/>
    <w:rsid w:val="009921DF"/>
    <w:rsid w:val="009960A1"/>
    <w:rsid w:val="009977E7"/>
    <w:rsid w:val="009A0092"/>
    <w:rsid w:val="009A1998"/>
    <w:rsid w:val="009A2E7F"/>
    <w:rsid w:val="009C42CF"/>
    <w:rsid w:val="009C56B3"/>
    <w:rsid w:val="009E04F6"/>
    <w:rsid w:val="009E17E7"/>
    <w:rsid w:val="009E5E29"/>
    <w:rsid w:val="009F3687"/>
    <w:rsid w:val="00A0005C"/>
    <w:rsid w:val="00A00B7F"/>
    <w:rsid w:val="00A05312"/>
    <w:rsid w:val="00A06325"/>
    <w:rsid w:val="00A126E1"/>
    <w:rsid w:val="00A131DE"/>
    <w:rsid w:val="00A234EA"/>
    <w:rsid w:val="00A2737C"/>
    <w:rsid w:val="00A3494E"/>
    <w:rsid w:val="00A40958"/>
    <w:rsid w:val="00A63C28"/>
    <w:rsid w:val="00A70FDD"/>
    <w:rsid w:val="00A726FD"/>
    <w:rsid w:val="00A76772"/>
    <w:rsid w:val="00A774EA"/>
    <w:rsid w:val="00A86B78"/>
    <w:rsid w:val="00A86EEB"/>
    <w:rsid w:val="00A9334D"/>
    <w:rsid w:val="00A9454F"/>
    <w:rsid w:val="00A973DE"/>
    <w:rsid w:val="00AA3FD6"/>
    <w:rsid w:val="00AA4EDF"/>
    <w:rsid w:val="00AB0F56"/>
    <w:rsid w:val="00AB64EC"/>
    <w:rsid w:val="00AC31E9"/>
    <w:rsid w:val="00AC739C"/>
    <w:rsid w:val="00AD3636"/>
    <w:rsid w:val="00AE1DD1"/>
    <w:rsid w:val="00AE2C84"/>
    <w:rsid w:val="00AE70EA"/>
    <w:rsid w:val="00AF3E92"/>
    <w:rsid w:val="00B01F2F"/>
    <w:rsid w:val="00B2366A"/>
    <w:rsid w:val="00B3261A"/>
    <w:rsid w:val="00B33DFF"/>
    <w:rsid w:val="00B363F0"/>
    <w:rsid w:val="00B44404"/>
    <w:rsid w:val="00B502AB"/>
    <w:rsid w:val="00B5491A"/>
    <w:rsid w:val="00B601B1"/>
    <w:rsid w:val="00B65646"/>
    <w:rsid w:val="00B657CB"/>
    <w:rsid w:val="00B71106"/>
    <w:rsid w:val="00B97105"/>
    <w:rsid w:val="00BA20EB"/>
    <w:rsid w:val="00BB0CE2"/>
    <w:rsid w:val="00BC499B"/>
    <w:rsid w:val="00BD0B47"/>
    <w:rsid w:val="00BD56A6"/>
    <w:rsid w:val="00BE0848"/>
    <w:rsid w:val="00BE3ABB"/>
    <w:rsid w:val="00BE3CA0"/>
    <w:rsid w:val="00C01227"/>
    <w:rsid w:val="00C017C9"/>
    <w:rsid w:val="00C01D7F"/>
    <w:rsid w:val="00C02164"/>
    <w:rsid w:val="00C05209"/>
    <w:rsid w:val="00C149CB"/>
    <w:rsid w:val="00C17740"/>
    <w:rsid w:val="00C26478"/>
    <w:rsid w:val="00C276A2"/>
    <w:rsid w:val="00C27705"/>
    <w:rsid w:val="00C40E95"/>
    <w:rsid w:val="00C5735B"/>
    <w:rsid w:val="00C63F22"/>
    <w:rsid w:val="00C65C3D"/>
    <w:rsid w:val="00C6786B"/>
    <w:rsid w:val="00C83F65"/>
    <w:rsid w:val="00C848DE"/>
    <w:rsid w:val="00C92CE1"/>
    <w:rsid w:val="00CB7918"/>
    <w:rsid w:val="00CC21D2"/>
    <w:rsid w:val="00CC6103"/>
    <w:rsid w:val="00CC6239"/>
    <w:rsid w:val="00CD7254"/>
    <w:rsid w:val="00CE6BCD"/>
    <w:rsid w:val="00CE6C65"/>
    <w:rsid w:val="00D014A7"/>
    <w:rsid w:val="00D02E6B"/>
    <w:rsid w:val="00D14B13"/>
    <w:rsid w:val="00D179B7"/>
    <w:rsid w:val="00D322BF"/>
    <w:rsid w:val="00D376D7"/>
    <w:rsid w:val="00D4161E"/>
    <w:rsid w:val="00D506D1"/>
    <w:rsid w:val="00D54E03"/>
    <w:rsid w:val="00D5791A"/>
    <w:rsid w:val="00D64D2C"/>
    <w:rsid w:val="00D6580F"/>
    <w:rsid w:val="00D96BCD"/>
    <w:rsid w:val="00DA3B69"/>
    <w:rsid w:val="00DA7D35"/>
    <w:rsid w:val="00DB065A"/>
    <w:rsid w:val="00DB5721"/>
    <w:rsid w:val="00DC237B"/>
    <w:rsid w:val="00DC37BC"/>
    <w:rsid w:val="00DC544D"/>
    <w:rsid w:val="00DC7480"/>
    <w:rsid w:val="00DD38F1"/>
    <w:rsid w:val="00DD3D29"/>
    <w:rsid w:val="00DE5B60"/>
    <w:rsid w:val="00DE6490"/>
    <w:rsid w:val="00DE66E2"/>
    <w:rsid w:val="00DF07CC"/>
    <w:rsid w:val="00E30585"/>
    <w:rsid w:val="00E32A33"/>
    <w:rsid w:val="00E4349A"/>
    <w:rsid w:val="00E44E81"/>
    <w:rsid w:val="00E46C62"/>
    <w:rsid w:val="00E5086E"/>
    <w:rsid w:val="00E52215"/>
    <w:rsid w:val="00E535DE"/>
    <w:rsid w:val="00E55A30"/>
    <w:rsid w:val="00E55B7D"/>
    <w:rsid w:val="00E61841"/>
    <w:rsid w:val="00E65FEB"/>
    <w:rsid w:val="00E731E5"/>
    <w:rsid w:val="00E755B2"/>
    <w:rsid w:val="00E814CA"/>
    <w:rsid w:val="00EB1073"/>
    <w:rsid w:val="00EB1849"/>
    <w:rsid w:val="00EC10E2"/>
    <w:rsid w:val="00EC17AB"/>
    <w:rsid w:val="00EC2988"/>
    <w:rsid w:val="00EC4B5B"/>
    <w:rsid w:val="00EC73F2"/>
    <w:rsid w:val="00ED1FCE"/>
    <w:rsid w:val="00EE13CC"/>
    <w:rsid w:val="00EF1A1F"/>
    <w:rsid w:val="00EF2D81"/>
    <w:rsid w:val="00EF6ABF"/>
    <w:rsid w:val="00EF6B58"/>
    <w:rsid w:val="00F02AA0"/>
    <w:rsid w:val="00F0611E"/>
    <w:rsid w:val="00F07637"/>
    <w:rsid w:val="00F0768B"/>
    <w:rsid w:val="00F127BB"/>
    <w:rsid w:val="00F23E72"/>
    <w:rsid w:val="00F3684E"/>
    <w:rsid w:val="00F37DE6"/>
    <w:rsid w:val="00F409E0"/>
    <w:rsid w:val="00F4314D"/>
    <w:rsid w:val="00F53EFF"/>
    <w:rsid w:val="00F56F34"/>
    <w:rsid w:val="00F62F31"/>
    <w:rsid w:val="00F807E4"/>
    <w:rsid w:val="00F82D3F"/>
    <w:rsid w:val="00F9020A"/>
    <w:rsid w:val="00F94E59"/>
    <w:rsid w:val="00F9704E"/>
    <w:rsid w:val="00FA40AB"/>
    <w:rsid w:val="00FA7B20"/>
    <w:rsid w:val="00FC1C06"/>
    <w:rsid w:val="00FC6701"/>
    <w:rsid w:val="00FE1552"/>
    <w:rsid w:val="00FE2BA0"/>
    <w:rsid w:val="00FE4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A1"/>
    <w:rPr>
      <w:rFonts w:ascii="Tahoma" w:hAnsi="Tahoma" w:cs="Tahoma"/>
      <w:sz w:val="16"/>
      <w:szCs w:val="16"/>
    </w:rPr>
  </w:style>
  <w:style w:type="paragraph" w:styleId="Header">
    <w:name w:val="header"/>
    <w:basedOn w:val="Normal"/>
    <w:link w:val="HeaderChar"/>
    <w:uiPriority w:val="99"/>
    <w:unhideWhenUsed/>
    <w:rsid w:val="00062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A1"/>
  </w:style>
  <w:style w:type="paragraph" w:styleId="Footer">
    <w:name w:val="footer"/>
    <w:basedOn w:val="Normal"/>
    <w:link w:val="FooterChar"/>
    <w:uiPriority w:val="99"/>
    <w:unhideWhenUsed/>
    <w:rsid w:val="00062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A1"/>
  </w:style>
  <w:style w:type="paragraph" w:styleId="ListParagraph">
    <w:name w:val="List Paragraph"/>
    <w:aliases w:val="List Paragraph1,Recommendation,List Paragraph11"/>
    <w:basedOn w:val="Normal"/>
    <w:link w:val="ListParagraphChar"/>
    <w:qFormat/>
    <w:rsid w:val="00355670"/>
    <w:pPr>
      <w:ind w:left="720"/>
      <w:contextualSpacing/>
    </w:pPr>
  </w:style>
  <w:style w:type="paragraph" w:styleId="FootnoteText">
    <w:name w:val="footnote text"/>
    <w:basedOn w:val="Normal"/>
    <w:link w:val="FootnoteTextChar"/>
    <w:uiPriority w:val="99"/>
    <w:semiHidden/>
    <w:unhideWhenUsed/>
    <w:rsid w:val="00DE6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0"/>
    <w:rPr>
      <w:sz w:val="20"/>
      <w:szCs w:val="20"/>
    </w:rPr>
  </w:style>
  <w:style w:type="character" w:styleId="FootnoteReference">
    <w:name w:val="footnote reference"/>
    <w:basedOn w:val="DefaultParagraphFont"/>
    <w:uiPriority w:val="99"/>
    <w:semiHidden/>
    <w:unhideWhenUsed/>
    <w:rsid w:val="00DE6490"/>
    <w:rPr>
      <w:vertAlign w:val="superscript"/>
    </w:rPr>
  </w:style>
  <w:style w:type="paragraph" w:customStyle="1" w:styleId="Itemtextnumbered">
    <w:name w:val="Item text (numbered)"/>
    <w:basedOn w:val="Normal"/>
    <w:link w:val="ItemtextnumberedChar"/>
    <w:qFormat/>
    <w:rsid w:val="00A726FD"/>
    <w:pPr>
      <w:numPr>
        <w:numId w:val="9"/>
      </w:numPr>
      <w:tabs>
        <w:tab w:val="clear" w:pos="227"/>
        <w:tab w:val="num" w:pos="567"/>
      </w:tabs>
      <w:spacing w:after="240" w:line="240" w:lineRule="auto"/>
      <w:ind w:left="0" w:firstLine="0"/>
    </w:pPr>
    <w:rPr>
      <w:rFonts w:ascii="Times New Roman" w:eastAsia="Times New Roman" w:hAnsi="Times New Roman" w:cs="Times New Roman"/>
      <w:sz w:val="24"/>
      <w:szCs w:val="20"/>
    </w:rPr>
  </w:style>
  <w:style w:type="character" w:customStyle="1" w:styleId="ItemtextnumberedChar">
    <w:name w:val="Item text (numbered) Char"/>
    <w:basedOn w:val="DefaultParagraphFont"/>
    <w:link w:val="Itemtextnumbered"/>
    <w:rsid w:val="00A726FD"/>
    <w:rPr>
      <w:rFonts w:ascii="Times New Roman" w:eastAsia="Times New Roman" w:hAnsi="Times New Roman" w:cs="Times New Roman"/>
      <w:sz w:val="24"/>
      <w:szCs w:val="20"/>
    </w:rPr>
  </w:style>
  <w:style w:type="table" w:styleId="TableGrid">
    <w:name w:val="Table Grid"/>
    <w:basedOn w:val="TableNormal"/>
    <w:uiPriority w:val="59"/>
    <w:rsid w:val="00996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75486"/>
    <w:pPr>
      <w:spacing w:before="100" w:beforeAutospacing="1" w:after="100" w:afterAutospacing="1" w:line="240" w:lineRule="auto"/>
    </w:pPr>
    <w:rPr>
      <w:rFonts w:ascii="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07F6B"/>
    <w:rPr>
      <w:sz w:val="16"/>
      <w:szCs w:val="16"/>
    </w:rPr>
  </w:style>
  <w:style w:type="paragraph" w:styleId="CommentText">
    <w:name w:val="annotation text"/>
    <w:basedOn w:val="Normal"/>
    <w:link w:val="CommentTextChar"/>
    <w:uiPriority w:val="99"/>
    <w:semiHidden/>
    <w:unhideWhenUsed/>
    <w:rsid w:val="00707F6B"/>
    <w:pPr>
      <w:spacing w:line="240" w:lineRule="auto"/>
    </w:pPr>
    <w:rPr>
      <w:sz w:val="20"/>
      <w:szCs w:val="20"/>
    </w:rPr>
  </w:style>
  <w:style w:type="character" w:customStyle="1" w:styleId="CommentTextChar">
    <w:name w:val="Comment Text Char"/>
    <w:basedOn w:val="DefaultParagraphFont"/>
    <w:link w:val="CommentText"/>
    <w:uiPriority w:val="99"/>
    <w:semiHidden/>
    <w:rsid w:val="00707F6B"/>
    <w:rPr>
      <w:sz w:val="20"/>
      <w:szCs w:val="20"/>
    </w:rPr>
  </w:style>
  <w:style w:type="paragraph" w:styleId="CommentSubject">
    <w:name w:val="annotation subject"/>
    <w:basedOn w:val="CommentText"/>
    <w:next w:val="CommentText"/>
    <w:link w:val="CommentSubjectChar"/>
    <w:uiPriority w:val="99"/>
    <w:semiHidden/>
    <w:unhideWhenUsed/>
    <w:rsid w:val="00707F6B"/>
    <w:rPr>
      <w:b/>
      <w:bCs/>
    </w:rPr>
  </w:style>
  <w:style w:type="character" w:customStyle="1" w:styleId="CommentSubjectChar">
    <w:name w:val="Comment Subject Char"/>
    <w:basedOn w:val="CommentTextChar"/>
    <w:link w:val="CommentSubject"/>
    <w:uiPriority w:val="99"/>
    <w:semiHidden/>
    <w:rsid w:val="00707F6B"/>
    <w:rPr>
      <w:b/>
      <w:bCs/>
      <w:sz w:val="20"/>
      <w:szCs w:val="20"/>
    </w:rPr>
  </w:style>
  <w:style w:type="paragraph" w:styleId="Revision">
    <w:name w:val="Revision"/>
    <w:hidden/>
    <w:uiPriority w:val="99"/>
    <w:semiHidden/>
    <w:rsid w:val="00783AC1"/>
    <w:pPr>
      <w:spacing w:after="0" w:line="240" w:lineRule="auto"/>
    </w:pPr>
  </w:style>
  <w:style w:type="paragraph" w:customStyle="1" w:styleId="Talkingpoint">
    <w:name w:val="Talking point"/>
    <w:basedOn w:val="Normal"/>
    <w:rsid w:val="00927F75"/>
    <w:pPr>
      <w:numPr>
        <w:numId w:val="27"/>
      </w:numPr>
      <w:spacing w:after="120" w:line="360" w:lineRule="auto"/>
    </w:pPr>
    <w:rPr>
      <w:rFonts w:ascii="Arial" w:eastAsia="Times New Roman" w:hAnsi="Arial" w:cs="Times New Roman"/>
      <w:sz w:val="24"/>
      <w:szCs w:val="24"/>
    </w:rPr>
  </w:style>
  <w:style w:type="character" w:customStyle="1" w:styleId="apple-converted-space">
    <w:name w:val="apple-converted-space"/>
    <w:basedOn w:val="DefaultParagraphFont"/>
    <w:rsid w:val="0005711C"/>
  </w:style>
  <w:style w:type="character" w:styleId="Emphasis">
    <w:name w:val="Emphasis"/>
    <w:basedOn w:val="DefaultParagraphFont"/>
    <w:uiPriority w:val="20"/>
    <w:qFormat/>
    <w:rsid w:val="0005711C"/>
    <w:rPr>
      <w:i/>
      <w:iCs/>
    </w:rPr>
  </w:style>
  <w:style w:type="character" w:customStyle="1" w:styleId="ListParagraphChar">
    <w:name w:val="List Paragraph Char"/>
    <w:aliases w:val="List Paragraph1 Char,Recommendation Char,List Paragraph11 Char"/>
    <w:basedOn w:val="DefaultParagraphFont"/>
    <w:link w:val="ListParagraph"/>
    <w:locked/>
    <w:rsid w:val="00044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A1"/>
    <w:rPr>
      <w:rFonts w:ascii="Tahoma" w:hAnsi="Tahoma" w:cs="Tahoma"/>
      <w:sz w:val="16"/>
      <w:szCs w:val="16"/>
    </w:rPr>
  </w:style>
  <w:style w:type="paragraph" w:styleId="Header">
    <w:name w:val="header"/>
    <w:basedOn w:val="Normal"/>
    <w:link w:val="HeaderChar"/>
    <w:uiPriority w:val="99"/>
    <w:unhideWhenUsed/>
    <w:rsid w:val="00062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A1"/>
  </w:style>
  <w:style w:type="paragraph" w:styleId="Footer">
    <w:name w:val="footer"/>
    <w:basedOn w:val="Normal"/>
    <w:link w:val="FooterChar"/>
    <w:uiPriority w:val="99"/>
    <w:unhideWhenUsed/>
    <w:rsid w:val="00062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A1"/>
  </w:style>
  <w:style w:type="paragraph" w:styleId="ListParagraph">
    <w:name w:val="List Paragraph"/>
    <w:aliases w:val="List Paragraph1,Recommendation,List Paragraph11"/>
    <w:basedOn w:val="Normal"/>
    <w:link w:val="ListParagraphChar"/>
    <w:qFormat/>
    <w:rsid w:val="00355670"/>
    <w:pPr>
      <w:ind w:left="720"/>
      <w:contextualSpacing/>
    </w:pPr>
  </w:style>
  <w:style w:type="paragraph" w:styleId="FootnoteText">
    <w:name w:val="footnote text"/>
    <w:basedOn w:val="Normal"/>
    <w:link w:val="FootnoteTextChar"/>
    <w:uiPriority w:val="99"/>
    <w:semiHidden/>
    <w:unhideWhenUsed/>
    <w:rsid w:val="00DE6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0"/>
    <w:rPr>
      <w:sz w:val="20"/>
      <w:szCs w:val="20"/>
    </w:rPr>
  </w:style>
  <w:style w:type="character" w:styleId="FootnoteReference">
    <w:name w:val="footnote reference"/>
    <w:basedOn w:val="DefaultParagraphFont"/>
    <w:uiPriority w:val="99"/>
    <w:semiHidden/>
    <w:unhideWhenUsed/>
    <w:rsid w:val="00DE6490"/>
    <w:rPr>
      <w:vertAlign w:val="superscript"/>
    </w:rPr>
  </w:style>
  <w:style w:type="paragraph" w:customStyle="1" w:styleId="Itemtextnumbered">
    <w:name w:val="Item text (numbered)"/>
    <w:basedOn w:val="Normal"/>
    <w:link w:val="ItemtextnumberedChar"/>
    <w:qFormat/>
    <w:rsid w:val="00A726FD"/>
    <w:pPr>
      <w:numPr>
        <w:numId w:val="9"/>
      </w:numPr>
      <w:tabs>
        <w:tab w:val="clear" w:pos="227"/>
        <w:tab w:val="num" w:pos="567"/>
      </w:tabs>
      <w:spacing w:after="240" w:line="240" w:lineRule="auto"/>
      <w:ind w:left="0" w:firstLine="0"/>
    </w:pPr>
    <w:rPr>
      <w:rFonts w:ascii="Times New Roman" w:eastAsia="Times New Roman" w:hAnsi="Times New Roman" w:cs="Times New Roman"/>
      <w:sz w:val="24"/>
      <w:szCs w:val="20"/>
    </w:rPr>
  </w:style>
  <w:style w:type="character" w:customStyle="1" w:styleId="ItemtextnumberedChar">
    <w:name w:val="Item text (numbered) Char"/>
    <w:basedOn w:val="DefaultParagraphFont"/>
    <w:link w:val="Itemtextnumbered"/>
    <w:rsid w:val="00A726FD"/>
    <w:rPr>
      <w:rFonts w:ascii="Times New Roman" w:eastAsia="Times New Roman" w:hAnsi="Times New Roman" w:cs="Times New Roman"/>
      <w:sz w:val="24"/>
      <w:szCs w:val="20"/>
    </w:rPr>
  </w:style>
  <w:style w:type="table" w:styleId="TableGrid">
    <w:name w:val="Table Grid"/>
    <w:basedOn w:val="TableNormal"/>
    <w:uiPriority w:val="59"/>
    <w:rsid w:val="00996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75486"/>
    <w:pPr>
      <w:spacing w:before="100" w:beforeAutospacing="1" w:after="100" w:afterAutospacing="1" w:line="240" w:lineRule="auto"/>
    </w:pPr>
    <w:rPr>
      <w:rFonts w:ascii="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707F6B"/>
    <w:rPr>
      <w:sz w:val="16"/>
      <w:szCs w:val="16"/>
    </w:rPr>
  </w:style>
  <w:style w:type="paragraph" w:styleId="CommentText">
    <w:name w:val="annotation text"/>
    <w:basedOn w:val="Normal"/>
    <w:link w:val="CommentTextChar"/>
    <w:uiPriority w:val="99"/>
    <w:semiHidden/>
    <w:unhideWhenUsed/>
    <w:rsid w:val="00707F6B"/>
    <w:pPr>
      <w:spacing w:line="240" w:lineRule="auto"/>
    </w:pPr>
    <w:rPr>
      <w:sz w:val="20"/>
      <w:szCs w:val="20"/>
    </w:rPr>
  </w:style>
  <w:style w:type="character" w:customStyle="1" w:styleId="CommentTextChar">
    <w:name w:val="Comment Text Char"/>
    <w:basedOn w:val="DefaultParagraphFont"/>
    <w:link w:val="CommentText"/>
    <w:uiPriority w:val="99"/>
    <w:semiHidden/>
    <w:rsid w:val="00707F6B"/>
    <w:rPr>
      <w:sz w:val="20"/>
      <w:szCs w:val="20"/>
    </w:rPr>
  </w:style>
  <w:style w:type="paragraph" w:styleId="CommentSubject">
    <w:name w:val="annotation subject"/>
    <w:basedOn w:val="CommentText"/>
    <w:next w:val="CommentText"/>
    <w:link w:val="CommentSubjectChar"/>
    <w:uiPriority w:val="99"/>
    <w:semiHidden/>
    <w:unhideWhenUsed/>
    <w:rsid w:val="00707F6B"/>
    <w:rPr>
      <w:b/>
      <w:bCs/>
    </w:rPr>
  </w:style>
  <w:style w:type="character" w:customStyle="1" w:styleId="CommentSubjectChar">
    <w:name w:val="Comment Subject Char"/>
    <w:basedOn w:val="CommentTextChar"/>
    <w:link w:val="CommentSubject"/>
    <w:uiPriority w:val="99"/>
    <w:semiHidden/>
    <w:rsid w:val="00707F6B"/>
    <w:rPr>
      <w:b/>
      <w:bCs/>
      <w:sz w:val="20"/>
      <w:szCs w:val="20"/>
    </w:rPr>
  </w:style>
  <w:style w:type="paragraph" w:styleId="Revision">
    <w:name w:val="Revision"/>
    <w:hidden/>
    <w:uiPriority w:val="99"/>
    <w:semiHidden/>
    <w:rsid w:val="00783AC1"/>
    <w:pPr>
      <w:spacing w:after="0" w:line="240" w:lineRule="auto"/>
    </w:pPr>
  </w:style>
  <w:style w:type="paragraph" w:customStyle="1" w:styleId="Talkingpoint">
    <w:name w:val="Talking point"/>
    <w:basedOn w:val="Normal"/>
    <w:rsid w:val="00927F75"/>
    <w:pPr>
      <w:numPr>
        <w:numId w:val="27"/>
      </w:numPr>
      <w:spacing w:after="120" w:line="360" w:lineRule="auto"/>
    </w:pPr>
    <w:rPr>
      <w:rFonts w:ascii="Arial" w:eastAsia="Times New Roman" w:hAnsi="Arial" w:cs="Times New Roman"/>
      <w:sz w:val="24"/>
      <w:szCs w:val="24"/>
    </w:rPr>
  </w:style>
  <w:style w:type="character" w:customStyle="1" w:styleId="apple-converted-space">
    <w:name w:val="apple-converted-space"/>
    <w:basedOn w:val="DefaultParagraphFont"/>
    <w:rsid w:val="0005711C"/>
  </w:style>
  <w:style w:type="character" w:styleId="Emphasis">
    <w:name w:val="Emphasis"/>
    <w:basedOn w:val="DefaultParagraphFont"/>
    <w:uiPriority w:val="20"/>
    <w:qFormat/>
    <w:rsid w:val="0005711C"/>
    <w:rPr>
      <w:i/>
      <w:iCs/>
    </w:rPr>
  </w:style>
  <w:style w:type="character" w:customStyle="1" w:styleId="ListParagraphChar">
    <w:name w:val="List Paragraph Char"/>
    <w:aliases w:val="List Paragraph1 Char,Recommendation Char,List Paragraph11 Char"/>
    <w:basedOn w:val="DefaultParagraphFont"/>
    <w:link w:val="ListParagraph"/>
    <w:locked/>
    <w:rsid w:val="0004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726">
      <w:bodyDiv w:val="1"/>
      <w:marLeft w:val="0"/>
      <w:marRight w:val="0"/>
      <w:marTop w:val="0"/>
      <w:marBottom w:val="0"/>
      <w:divBdr>
        <w:top w:val="none" w:sz="0" w:space="0" w:color="auto"/>
        <w:left w:val="none" w:sz="0" w:space="0" w:color="auto"/>
        <w:bottom w:val="none" w:sz="0" w:space="0" w:color="auto"/>
        <w:right w:val="none" w:sz="0" w:space="0" w:color="auto"/>
      </w:divBdr>
    </w:div>
    <w:div w:id="21640401">
      <w:bodyDiv w:val="1"/>
      <w:marLeft w:val="0"/>
      <w:marRight w:val="0"/>
      <w:marTop w:val="0"/>
      <w:marBottom w:val="0"/>
      <w:divBdr>
        <w:top w:val="none" w:sz="0" w:space="0" w:color="auto"/>
        <w:left w:val="none" w:sz="0" w:space="0" w:color="auto"/>
        <w:bottom w:val="none" w:sz="0" w:space="0" w:color="auto"/>
        <w:right w:val="none" w:sz="0" w:space="0" w:color="auto"/>
      </w:divBdr>
    </w:div>
    <w:div w:id="28989718">
      <w:bodyDiv w:val="1"/>
      <w:marLeft w:val="0"/>
      <w:marRight w:val="0"/>
      <w:marTop w:val="0"/>
      <w:marBottom w:val="0"/>
      <w:divBdr>
        <w:top w:val="none" w:sz="0" w:space="0" w:color="auto"/>
        <w:left w:val="none" w:sz="0" w:space="0" w:color="auto"/>
        <w:bottom w:val="none" w:sz="0" w:space="0" w:color="auto"/>
        <w:right w:val="none" w:sz="0" w:space="0" w:color="auto"/>
      </w:divBdr>
    </w:div>
    <w:div w:id="29116151">
      <w:bodyDiv w:val="1"/>
      <w:marLeft w:val="0"/>
      <w:marRight w:val="0"/>
      <w:marTop w:val="0"/>
      <w:marBottom w:val="0"/>
      <w:divBdr>
        <w:top w:val="none" w:sz="0" w:space="0" w:color="auto"/>
        <w:left w:val="none" w:sz="0" w:space="0" w:color="auto"/>
        <w:bottom w:val="none" w:sz="0" w:space="0" w:color="auto"/>
        <w:right w:val="none" w:sz="0" w:space="0" w:color="auto"/>
      </w:divBdr>
    </w:div>
    <w:div w:id="63071502">
      <w:bodyDiv w:val="1"/>
      <w:marLeft w:val="0"/>
      <w:marRight w:val="0"/>
      <w:marTop w:val="0"/>
      <w:marBottom w:val="0"/>
      <w:divBdr>
        <w:top w:val="none" w:sz="0" w:space="0" w:color="auto"/>
        <w:left w:val="none" w:sz="0" w:space="0" w:color="auto"/>
        <w:bottom w:val="none" w:sz="0" w:space="0" w:color="auto"/>
        <w:right w:val="none" w:sz="0" w:space="0" w:color="auto"/>
      </w:divBdr>
    </w:div>
    <w:div w:id="83304495">
      <w:bodyDiv w:val="1"/>
      <w:marLeft w:val="0"/>
      <w:marRight w:val="0"/>
      <w:marTop w:val="0"/>
      <w:marBottom w:val="0"/>
      <w:divBdr>
        <w:top w:val="none" w:sz="0" w:space="0" w:color="auto"/>
        <w:left w:val="none" w:sz="0" w:space="0" w:color="auto"/>
        <w:bottom w:val="none" w:sz="0" w:space="0" w:color="auto"/>
        <w:right w:val="none" w:sz="0" w:space="0" w:color="auto"/>
      </w:divBdr>
    </w:div>
    <w:div w:id="208227529">
      <w:bodyDiv w:val="1"/>
      <w:marLeft w:val="0"/>
      <w:marRight w:val="0"/>
      <w:marTop w:val="0"/>
      <w:marBottom w:val="0"/>
      <w:divBdr>
        <w:top w:val="none" w:sz="0" w:space="0" w:color="auto"/>
        <w:left w:val="none" w:sz="0" w:space="0" w:color="auto"/>
        <w:bottom w:val="none" w:sz="0" w:space="0" w:color="auto"/>
        <w:right w:val="none" w:sz="0" w:space="0" w:color="auto"/>
      </w:divBdr>
    </w:div>
    <w:div w:id="214321583">
      <w:bodyDiv w:val="1"/>
      <w:marLeft w:val="0"/>
      <w:marRight w:val="0"/>
      <w:marTop w:val="0"/>
      <w:marBottom w:val="0"/>
      <w:divBdr>
        <w:top w:val="none" w:sz="0" w:space="0" w:color="auto"/>
        <w:left w:val="none" w:sz="0" w:space="0" w:color="auto"/>
        <w:bottom w:val="none" w:sz="0" w:space="0" w:color="auto"/>
        <w:right w:val="none" w:sz="0" w:space="0" w:color="auto"/>
      </w:divBdr>
    </w:div>
    <w:div w:id="238294660">
      <w:bodyDiv w:val="1"/>
      <w:marLeft w:val="0"/>
      <w:marRight w:val="0"/>
      <w:marTop w:val="0"/>
      <w:marBottom w:val="0"/>
      <w:divBdr>
        <w:top w:val="none" w:sz="0" w:space="0" w:color="auto"/>
        <w:left w:val="none" w:sz="0" w:space="0" w:color="auto"/>
        <w:bottom w:val="none" w:sz="0" w:space="0" w:color="auto"/>
        <w:right w:val="none" w:sz="0" w:space="0" w:color="auto"/>
      </w:divBdr>
    </w:div>
    <w:div w:id="257950843">
      <w:bodyDiv w:val="1"/>
      <w:marLeft w:val="0"/>
      <w:marRight w:val="0"/>
      <w:marTop w:val="0"/>
      <w:marBottom w:val="0"/>
      <w:divBdr>
        <w:top w:val="none" w:sz="0" w:space="0" w:color="auto"/>
        <w:left w:val="none" w:sz="0" w:space="0" w:color="auto"/>
        <w:bottom w:val="none" w:sz="0" w:space="0" w:color="auto"/>
        <w:right w:val="none" w:sz="0" w:space="0" w:color="auto"/>
      </w:divBdr>
    </w:div>
    <w:div w:id="289014176">
      <w:bodyDiv w:val="1"/>
      <w:marLeft w:val="0"/>
      <w:marRight w:val="0"/>
      <w:marTop w:val="0"/>
      <w:marBottom w:val="0"/>
      <w:divBdr>
        <w:top w:val="none" w:sz="0" w:space="0" w:color="auto"/>
        <w:left w:val="none" w:sz="0" w:space="0" w:color="auto"/>
        <w:bottom w:val="none" w:sz="0" w:space="0" w:color="auto"/>
        <w:right w:val="none" w:sz="0" w:space="0" w:color="auto"/>
      </w:divBdr>
    </w:div>
    <w:div w:id="333578379">
      <w:bodyDiv w:val="1"/>
      <w:marLeft w:val="0"/>
      <w:marRight w:val="0"/>
      <w:marTop w:val="0"/>
      <w:marBottom w:val="0"/>
      <w:divBdr>
        <w:top w:val="none" w:sz="0" w:space="0" w:color="auto"/>
        <w:left w:val="none" w:sz="0" w:space="0" w:color="auto"/>
        <w:bottom w:val="none" w:sz="0" w:space="0" w:color="auto"/>
        <w:right w:val="none" w:sz="0" w:space="0" w:color="auto"/>
      </w:divBdr>
    </w:div>
    <w:div w:id="344017649">
      <w:bodyDiv w:val="1"/>
      <w:marLeft w:val="0"/>
      <w:marRight w:val="0"/>
      <w:marTop w:val="0"/>
      <w:marBottom w:val="0"/>
      <w:divBdr>
        <w:top w:val="none" w:sz="0" w:space="0" w:color="auto"/>
        <w:left w:val="none" w:sz="0" w:space="0" w:color="auto"/>
        <w:bottom w:val="none" w:sz="0" w:space="0" w:color="auto"/>
        <w:right w:val="none" w:sz="0" w:space="0" w:color="auto"/>
      </w:divBdr>
    </w:div>
    <w:div w:id="347219766">
      <w:bodyDiv w:val="1"/>
      <w:marLeft w:val="0"/>
      <w:marRight w:val="0"/>
      <w:marTop w:val="0"/>
      <w:marBottom w:val="0"/>
      <w:divBdr>
        <w:top w:val="none" w:sz="0" w:space="0" w:color="auto"/>
        <w:left w:val="none" w:sz="0" w:space="0" w:color="auto"/>
        <w:bottom w:val="none" w:sz="0" w:space="0" w:color="auto"/>
        <w:right w:val="none" w:sz="0" w:space="0" w:color="auto"/>
      </w:divBdr>
    </w:div>
    <w:div w:id="357661193">
      <w:bodyDiv w:val="1"/>
      <w:marLeft w:val="0"/>
      <w:marRight w:val="0"/>
      <w:marTop w:val="0"/>
      <w:marBottom w:val="0"/>
      <w:divBdr>
        <w:top w:val="none" w:sz="0" w:space="0" w:color="auto"/>
        <w:left w:val="none" w:sz="0" w:space="0" w:color="auto"/>
        <w:bottom w:val="none" w:sz="0" w:space="0" w:color="auto"/>
        <w:right w:val="none" w:sz="0" w:space="0" w:color="auto"/>
      </w:divBdr>
    </w:div>
    <w:div w:id="678854235">
      <w:bodyDiv w:val="1"/>
      <w:marLeft w:val="0"/>
      <w:marRight w:val="0"/>
      <w:marTop w:val="0"/>
      <w:marBottom w:val="0"/>
      <w:divBdr>
        <w:top w:val="none" w:sz="0" w:space="0" w:color="auto"/>
        <w:left w:val="none" w:sz="0" w:space="0" w:color="auto"/>
        <w:bottom w:val="none" w:sz="0" w:space="0" w:color="auto"/>
        <w:right w:val="none" w:sz="0" w:space="0" w:color="auto"/>
      </w:divBdr>
    </w:div>
    <w:div w:id="772559229">
      <w:bodyDiv w:val="1"/>
      <w:marLeft w:val="0"/>
      <w:marRight w:val="0"/>
      <w:marTop w:val="0"/>
      <w:marBottom w:val="0"/>
      <w:divBdr>
        <w:top w:val="none" w:sz="0" w:space="0" w:color="auto"/>
        <w:left w:val="none" w:sz="0" w:space="0" w:color="auto"/>
        <w:bottom w:val="none" w:sz="0" w:space="0" w:color="auto"/>
        <w:right w:val="none" w:sz="0" w:space="0" w:color="auto"/>
      </w:divBdr>
    </w:div>
    <w:div w:id="814686278">
      <w:bodyDiv w:val="1"/>
      <w:marLeft w:val="0"/>
      <w:marRight w:val="0"/>
      <w:marTop w:val="0"/>
      <w:marBottom w:val="0"/>
      <w:divBdr>
        <w:top w:val="none" w:sz="0" w:space="0" w:color="auto"/>
        <w:left w:val="none" w:sz="0" w:space="0" w:color="auto"/>
        <w:bottom w:val="none" w:sz="0" w:space="0" w:color="auto"/>
        <w:right w:val="none" w:sz="0" w:space="0" w:color="auto"/>
      </w:divBdr>
    </w:div>
    <w:div w:id="823816200">
      <w:bodyDiv w:val="1"/>
      <w:marLeft w:val="0"/>
      <w:marRight w:val="0"/>
      <w:marTop w:val="0"/>
      <w:marBottom w:val="0"/>
      <w:divBdr>
        <w:top w:val="none" w:sz="0" w:space="0" w:color="auto"/>
        <w:left w:val="none" w:sz="0" w:space="0" w:color="auto"/>
        <w:bottom w:val="none" w:sz="0" w:space="0" w:color="auto"/>
        <w:right w:val="none" w:sz="0" w:space="0" w:color="auto"/>
      </w:divBdr>
      <w:divsChild>
        <w:div w:id="2005011208">
          <w:marLeft w:val="0"/>
          <w:marRight w:val="0"/>
          <w:marTop w:val="0"/>
          <w:marBottom w:val="0"/>
          <w:divBdr>
            <w:top w:val="single" w:sz="6" w:space="0" w:color="CCCCCC"/>
            <w:left w:val="none" w:sz="0" w:space="0" w:color="auto"/>
            <w:bottom w:val="single" w:sz="6" w:space="0" w:color="FFFFFF"/>
            <w:right w:val="none" w:sz="0" w:space="0" w:color="auto"/>
          </w:divBdr>
          <w:divsChild>
            <w:div w:id="1291322268">
              <w:marLeft w:val="0"/>
              <w:marRight w:val="0"/>
              <w:marTop w:val="100"/>
              <w:marBottom w:val="100"/>
              <w:divBdr>
                <w:top w:val="none" w:sz="0" w:space="0" w:color="auto"/>
                <w:left w:val="none" w:sz="0" w:space="0" w:color="auto"/>
                <w:bottom w:val="none" w:sz="0" w:space="0" w:color="auto"/>
                <w:right w:val="none" w:sz="0" w:space="0" w:color="auto"/>
              </w:divBdr>
              <w:divsChild>
                <w:div w:id="21385252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58472712">
      <w:bodyDiv w:val="1"/>
      <w:marLeft w:val="0"/>
      <w:marRight w:val="0"/>
      <w:marTop w:val="0"/>
      <w:marBottom w:val="0"/>
      <w:divBdr>
        <w:top w:val="none" w:sz="0" w:space="0" w:color="auto"/>
        <w:left w:val="none" w:sz="0" w:space="0" w:color="auto"/>
        <w:bottom w:val="none" w:sz="0" w:space="0" w:color="auto"/>
        <w:right w:val="none" w:sz="0" w:space="0" w:color="auto"/>
      </w:divBdr>
    </w:div>
    <w:div w:id="901451972">
      <w:bodyDiv w:val="1"/>
      <w:marLeft w:val="0"/>
      <w:marRight w:val="0"/>
      <w:marTop w:val="0"/>
      <w:marBottom w:val="0"/>
      <w:divBdr>
        <w:top w:val="none" w:sz="0" w:space="0" w:color="auto"/>
        <w:left w:val="none" w:sz="0" w:space="0" w:color="auto"/>
        <w:bottom w:val="none" w:sz="0" w:space="0" w:color="auto"/>
        <w:right w:val="none" w:sz="0" w:space="0" w:color="auto"/>
      </w:divBdr>
    </w:div>
    <w:div w:id="1041704955">
      <w:bodyDiv w:val="1"/>
      <w:marLeft w:val="0"/>
      <w:marRight w:val="0"/>
      <w:marTop w:val="0"/>
      <w:marBottom w:val="0"/>
      <w:divBdr>
        <w:top w:val="none" w:sz="0" w:space="0" w:color="auto"/>
        <w:left w:val="none" w:sz="0" w:space="0" w:color="auto"/>
        <w:bottom w:val="none" w:sz="0" w:space="0" w:color="auto"/>
        <w:right w:val="none" w:sz="0" w:space="0" w:color="auto"/>
      </w:divBdr>
    </w:div>
    <w:div w:id="1077484261">
      <w:bodyDiv w:val="1"/>
      <w:marLeft w:val="0"/>
      <w:marRight w:val="0"/>
      <w:marTop w:val="0"/>
      <w:marBottom w:val="0"/>
      <w:divBdr>
        <w:top w:val="none" w:sz="0" w:space="0" w:color="auto"/>
        <w:left w:val="none" w:sz="0" w:space="0" w:color="auto"/>
        <w:bottom w:val="none" w:sz="0" w:space="0" w:color="auto"/>
        <w:right w:val="none" w:sz="0" w:space="0" w:color="auto"/>
      </w:divBdr>
    </w:div>
    <w:div w:id="1093866318">
      <w:bodyDiv w:val="1"/>
      <w:marLeft w:val="0"/>
      <w:marRight w:val="0"/>
      <w:marTop w:val="0"/>
      <w:marBottom w:val="0"/>
      <w:divBdr>
        <w:top w:val="none" w:sz="0" w:space="0" w:color="auto"/>
        <w:left w:val="none" w:sz="0" w:space="0" w:color="auto"/>
        <w:bottom w:val="none" w:sz="0" w:space="0" w:color="auto"/>
        <w:right w:val="none" w:sz="0" w:space="0" w:color="auto"/>
      </w:divBdr>
    </w:div>
    <w:div w:id="1133984909">
      <w:bodyDiv w:val="1"/>
      <w:marLeft w:val="0"/>
      <w:marRight w:val="0"/>
      <w:marTop w:val="0"/>
      <w:marBottom w:val="0"/>
      <w:divBdr>
        <w:top w:val="none" w:sz="0" w:space="0" w:color="auto"/>
        <w:left w:val="none" w:sz="0" w:space="0" w:color="auto"/>
        <w:bottom w:val="none" w:sz="0" w:space="0" w:color="auto"/>
        <w:right w:val="none" w:sz="0" w:space="0" w:color="auto"/>
      </w:divBdr>
    </w:div>
    <w:div w:id="1237864751">
      <w:bodyDiv w:val="1"/>
      <w:marLeft w:val="0"/>
      <w:marRight w:val="0"/>
      <w:marTop w:val="0"/>
      <w:marBottom w:val="0"/>
      <w:divBdr>
        <w:top w:val="none" w:sz="0" w:space="0" w:color="auto"/>
        <w:left w:val="none" w:sz="0" w:space="0" w:color="auto"/>
        <w:bottom w:val="none" w:sz="0" w:space="0" w:color="auto"/>
        <w:right w:val="none" w:sz="0" w:space="0" w:color="auto"/>
      </w:divBdr>
    </w:div>
    <w:div w:id="1300064445">
      <w:bodyDiv w:val="1"/>
      <w:marLeft w:val="0"/>
      <w:marRight w:val="0"/>
      <w:marTop w:val="0"/>
      <w:marBottom w:val="0"/>
      <w:divBdr>
        <w:top w:val="none" w:sz="0" w:space="0" w:color="auto"/>
        <w:left w:val="none" w:sz="0" w:space="0" w:color="auto"/>
        <w:bottom w:val="none" w:sz="0" w:space="0" w:color="auto"/>
        <w:right w:val="none" w:sz="0" w:space="0" w:color="auto"/>
      </w:divBdr>
    </w:div>
    <w:div w:id="1339500227">
      <w:bodyDiv w:val="1"/>
      <w:marLeft w:val="0"/>
      <w:marRight w:val="0"/>
      <w:marTop w:val="0"/>
      <w:marBottom w:val="0"/>
      <w:divBdr>
        <w:top w:val="none" w:sz="0" w:space="0" w:color="auto"/>
        <w:left w:val="none" w:sz="0" w:space="0" w:color="auto"/>
        <w:bottom w:val="none" w:sz="0" w:space="0" w:color="auto"/>
        <w:right w:val="none" w:sz="0" w:space="0" w:color="auto"/>
      </w:divBdr>
    </w:div>
    <w:div w:id="1355888869">
      <w:bodyDiv w:val="1"/>
      <w:marLeft w:val="0"/>
      <w:marRight w:val="0"/>
      <w:marTop w:val="0"/>
      <w:marBottom w:val="0"/>
      <w:divBdr>
        <w:top w:val="none" w:sz="0" w:space="0" w:color="auto"/>
        <w:left w:val="none" w:sz="0" w:space="0" w:color="auto"/>
        <w:bottom w:val="none" w:sz="0" w:space="0" w:color="auto"/>
        <w:right w:val="none" w:sz="0" w:space="0" w:color="auto"/>
      </w:divBdr>
    </w:div>
    <w:div w:id="1411998027">
      <w:bodyDiv w:val="1"/>
      <w:marLeft w:val="0"/>
      <w:marRight w:val="0"/>
      <w:marTop w:val="0"/>
      <w:marBottom w:val="0"/>
      <w:divBdr>
        <w:top w:val="none" w:sz="0" w:space="0" w:color="auto"/>
        <w:left w:val="none" w:sz="0" w:space="0" w:color="auto"/>
        <w:bottom w:val="none" w:sz="0" w:space="0" w:color="auto"/>
        <w:right w:val="none" w:sz="0" w:space="0" w:color="auto"/>
      </w:divBdr>
    </w:div>
    <w:div w:id="1441532385">
      <w:bodyDiv w:val="1"/>
      <w:marLeft w:val="0"/>
      <w:marRight w:val="0"/>
      <w:marTop w:val="0"/>
      <w:marBottom w:val="0"/>
      <w:divBdr>
        <w:top w:val="none" w:sz="0" w:space="0" w:color="auto"/>
        <w:left w:val="none" w:sz="0" w:space="0" w:color="auto"/>
        <w:bottom w:val="none" w:sz="0" w:space="0" w:color="auto"/>
        <w:right w:val="none" w:sz="0" w:space="0" w:color="auto"/>
      </w:divBdr>
    </w:div>
    <w:div w:id="1492982523">
      <w:bodyDiv w:val="1"/>
      <w:marLeft w:val="0"/>
      <w:marRight w:val="0"/>
      <w:marTop w:val="0"/>
      <w:marBottom w:val="0"/>
      <w:divBdr>
        <w:top w:val="none" w:sz="0" w:space="0" w:color="auto"/>
        <w:left w:val="none" w:sz="0" w:space="0" w:color="auto"/>
        <w:bottom w:val="none" w:sz="0" w:space="0" w:color="auto"/>
        <w:right w:val="none" w:sz="0" w:space="0" w:color="auto"/>
      </w:divBdr>
    </w:div>
    <w:div w:id="1534614239">
      <w:bodyDiv w:val="1"/>
      <w:marLeft w:val="0"/>
      <w:marRight w:val="0"/>
      <w:marTop w:val="0"/>
      <w:marBottom w:val="0"/>
      <w:divBdr>
        <w:top w:val="none" w:sz="0" w:space="0" w:color="auto"/>
        <w:left w:val="none" w:sz="0" w:space="0" w:color="auto"/>
        <w:bottom w:val="none" w:sz="0" w:space="0" w:color="auto"/>
        <w:right w:val="none" w:sz="0" w:space="0" w:color="auto"/>
      </w:divBdr>
    </w:div>
    <w:div w:id="1604648967">
      <w:bodyDiv w:val="1"/>
      <w:marLeft w:val="0"/>
      <w:marRight w:val="0"/>
      <w:marTop w:val="0"/>
      <w:marBottom w:val="0"/>
      <w:divBdr>
        <w:top w:val="none" w:sz="0" w:space="0" w:color="auto"/>
        <w:left w:val="none" w:sz="0" w:space="0" w:color="auto"/>
        <w:bottom w:val="none" w:sz="0" w:space="0" w:color="auto"/>
        <w:right w:val="none" w:sz="0" w:space="0" w:color="auto"/>
      </w:divBdr>
    </w:div>
    <w:div w:id="1607883990">
      <w:bodyDiv w:val="1"/>
      <w:marLeft w:val="0"/>
      <w:marRight w:val="0"/>
      <w:marTop w:val="0"/>
      <w:marBottom w:val="0"/>
      <w:divBdr>
        <w:top w:val="none" w:sz="0" w:space="0" w:color="auto"/>
        <w:left w:val="none" w:sz="0" w:space="0" w:color="auto"/>
        <w:bottom w:val="none" w:sz="0" w:space="0" w:color="auto"/>
        <w:right w:val="none" w:sz="0" w:space="0" w:color="auto"/>
      </w:divBdr>
    </w:div>
    <w:div w:id="1645499826">
      <w:bodyDiv w:val="1"/>
      <w:marLeft w:val="0"/>
      <w:marRight w:val="0"/>
      <w:marTop w:val="0"/>
      <w:marBottom w:val="0"/>
      <w:divBdr>
        <w:top w:val="none" w:sz="0" w:space="0" w:color="auto"/>
        <w:left w:val="none" w:sz="0" w:space="0" w:color="auto"/>
        <w:bottom w:val="none" w:sz="0" w:space="0" w:color="auto"/>
        <w:right w:val="none" w:sz="0" w:space="0" w:color="auto"/>
      </w:divBdr>
    </w:div>
    <w:div w:id="1757360337">
      <w:bodyDiv w:val="1"/>
      <w:marLeft w:val="0"/>
      <w:marRight w:val="0"/>
      <w:marTop w:val="0"/>
      <w:marBottom w:val="0"/>
      <w:divBdr>
        <w:top w:val="none" w:sz="0" w:space="0" w:color="auto"/>
        <w:left w:val="none" w:sz="0" w:space="0" w:color="auto"/>
        <w:bottom w:val="none" w:sz="0" w:space="0" w:color="auto"/>
        <w:right w:val="none" w:sz="0" w:space="0" w:color="auto"/>
      </w:divBdr>
    </w:div>
    <w:div w:id="1785727618">
      <w:bodyDiv w:val="1"/>
      <w:marLeft w:val="0"/>
      <w:marRight w:val="0"/>
      <w:marTop w:val="0"/>
      <w:marBottom w:val="0"/>
      <w:divBdr>
        <w:top w:val="none" w:sz="0" w:space="0" w:color="auto"/>
        <w:left w:val="none" w:sz="0" w:space="0" w:color="auto"/>
        <w:bottom w:val="none" w:sz="0" w:space="0" w:color="auto"/>
        <w:right w:val="none" w:sz="0" w:space="0" w:color="auto"/>
      </w:divBdr>
    </w:div>
    <w:div w:id="1795908941">
      <w:bodyDiv w:val="1"/>
      <w:marLeft w:val="0"/>
      <w:marRight w:val="0"/>
      <w:marTop w:val="0"/>
      <w:marBottom w:val="0"/>
      <w:divBdr>
        <w:top w:val="none" w:sz="0" w:space="0" w:color="auto"/>
        <w:left w:val="none" w:sz="0" w:space="0" w:color="auto"/>
        <w:bottom w:val="none" w:sz="0" w:space="0" w:color="auto"/>
        <w:right w:val="none" w:sz="0" w:space="0" w:color="auto"/>
      </w:divBdr>
    </w:div>
    <w:div w:id="1937135613">
      <w:bodyDiv w:val="1"/>
      <w:marLeft w:val="0"/>
      <w:marRight w:val="0"/>
      <w:marTop w:val="0"/>
      <w:marBottom w:val="0"/>
      <w:divBdr>
        <w:top w:val="none" w:sz="0" w:space="0" w:color="auto"/>
        <w:left w:val="none" w:sz="0" w:space="0" w:color="auto"/>
        <w:bottom w:val="none" w:sz="0" w:space="0" w:color="auto"/>
        <w:right w:val="none" w:sz="0" w:space="0" w:color="auto"/>
      </w:divBdr>
    </w:div>
    <w:div w:id="1965959791">
      <w:bodyDiv w:val="1"/>
      <w:marLeft w:val="0"/>
      <w:marRight w:val="0"/>
      <w:marTop w:val="0"/>
      <w:marBottom w:val="0"/>
      <w:divBdr>
        <w:top w:val="none" w:sz="0" w:space="0" w:color="auto"/>
        <w:left w:val="none" w:sz="0" w:space="0" w:color="auto"/>
        <w:bottom w:val="none" w:sz="0" w:space="0" w:color="auto"/>
        <w:right w:val="none" w:sz="0" w:space="0" w:color="auto"/>
      </w:divBdr>
    </w:div>
    <w:div w:id="20982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98650075224388"/>
          <c:y val="5.1400554097404488E-2"/>
          <c:w val="0.70967277435753484"/>
          <c:h val="0.73956802274715661"/>
        </c:manualLayout>
      </c:layout>
      <c:lineChart>
        <c:grouping val="standard"/>
        <c:varyColors val="0"/>
        <c:ser>
          <c:idx val="0"/>
          <c:order val="0"/>
          <c:tx>
            <c:strRef>
              <c:f>Sheet2!$C$10</c:f>
              <c:strCache>
                <c:ptCount val="1"/>
                <c:pt idx="0">
                  <c:v>Large</c:v>
                </c:pt>
              </c:strCache>
            </c:strRef>
          </c:tx>
          <c:marker>
            <c:symbol val="none"/>
          </c:marker>
          <c:cat>
            <c:strRef>
              <c:f>Sheet2!$D$9:$X$9</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Sheet2!$D$10:$X$10</c:f>
              <c:numCache>
                <c:formatCode>0.00%</c:formatCode>
                <c:ptCount val="10"/>
                <c:pt idx="0">
                  <c:v>0.16267268283269617</c:v>
                </c:pt>
                <c:pt idx="1">
                  <c:v>8.8637077262339117E-2</c:v>
                </c:pt>
                <c:pt idx="2">
                  <c:v>0.12738145694781683</c:v>
                </c:pt>
                <c:pt idx="3">
                  <c:v>0.15249057694213616</c:v>
                </c:pt>
                <c:pt idx="4">
                  <c:v>0.11100783992600226</c:v>
                </c:pt>
                <c:pt idx="5">
                  <c:v>7.4607761764148184E-2</c:v>
                </c:pt>
                <c:pt idx="6">
                  <c:v>0.16568435572894008</c:v>
                </c:pt>
                <c:pt idx="7">
                  <c:v>0.304600432060257</c:v>
                </c:pt>
                <c:pt idx="8">
                  <c:v>0.25562130992038617</c:v>
                </c:pt>
                <c:pt idx="9">
                  <c:v>0.19004672069344747</c:v>
                </c:pt>
              </c:numCache>
            </c:numRef>
          </c:val>
          <c:smooth val="0"/>
        </c:ser>
        <c:ser>
          <c:idx val="1"/>
          <c:order val="1"/>
          <c:tx>
            <c:strRef>
              <c:f>Sheet2!$C$11</c:f>
              <c:strCache>
                <c:ptCount val="1"/>
                <c:pt idx="0">
                  <c:v>Medium</c:v>
                </c:pt>
              </c:strCache>
            </c:strRef>
          </c:tx>
          <c:marker>
            <c:symbol val="none"/>
          </c:marker>
          <c:cat>
            <c:strRef>
              <c:f>Sheet2!$D$9:$X$9</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Sheet2!$D$11:$X$11</c:f>
              <c:numCache>
                <c:formatCode>0.00%</c:formatCode>
                <c:ptCount val="10"/>
                <c:pt idx="0">
                  <c:v>0.56238376198024653</c:v>
                </c:pt>
                <c:pt idx="1">
                  <c:v>0.57602971043856688</c:v>
                </c:pt>
                <c:pt idx="2">
                  <c:v>0.60088666987910577</c:v>
                </c:pt>
                <c:pt idx="3">
                  <c:v>0.55050420237720221</c:v>
                </c:pt>
                <c:pt idx="4">
                  <c:v>0.67104576555711903</c:v>
                </c:pt>
                <c:pt idx="5">
                  <c:v>0.73529252100186415</c:v>
                </c:pt>
                <c:pt idx="6">
                  <c:v>0.5950345832116859</c:v>
                </c:pt>
                <c:pt idx="7">
                  <c:v>0.48804843220251976</c:v>
                </c:pt>
                <c:pt idx="8">
                  <c:v>0.5353814953941306</c:v>
                </c:pt>
                <c:pt idx="9">
                  <c:v>0.62441282839735113</c:v>
                </c:pt>
              </c:numCache>
            </c:numRef>
          </c:val>
          <c:smooth val="0"/>
        </c:ser>
        <c:ser>
          <c:idx val="2"/>
          <c:order val="2"/>
          <c:tx>
            <c:strRef>
              <c:f>Sheet2!$C$12</c:f>
              <c:strCache>
                <c:ptCount val="1"/>
                <c:pt idx="0">
                  <c:v>Small</c:v>
                </c:pt>
              </c:strCache>
            </c:strRef>
          </c:tx>
          <c:marker>
            <c:symbol val="none"/>
          </c:marker>
          <c:cat>
            <c:strRef>
              <c:f>Sheet2!$D$9:$X$9</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Sheet2!$D$12:$X$12</c:f>
              <c:numCache>
                <c:formatCode>0.00%</c:formatCode>
                <c:ptCount val="10"/>
                <c:pt idx="0">
                  <c:v>0.27494355518705726</c:v>
                </c:pt>
                <c:pt idx="1">
                  <c:v>0.33533321229909402</c:v>
                </c:pt>
                <c:pt idx="2">
                  <c:v>0.27173187317307729</c:v>
                </c:pt>
                <c:pt idx="3">
                  <c:v>0.2970052206806616</c:v>
                </c:pt>
                <c:pt idx="4">
                  <c:v>0.21794639451687875</c:v>
                </c:pt>
                <c:pt idx="5">
                  <c:v>0.19009971723398772</c:v>
                </c:pt>
                <c:pt idx="6">
                  <c:v>0.23928106105937413</c:v>
                </c:pt>
                <c:pt idx="7">
                  <c:v>0.20735113573722319</c:v>
                </c:pt>
                <c:pt idx="8">
                  <c:v>0.2089971946854832</c:v>
                </c:pt>
                <c:pt idx="9">
                  <c:v>0.1855404509092014</c:v>
                </c:pt>
              </c:numCache>
            </c:numRef>
          </c:val>
          <c:smooth val="0"/>
        </c:ser>
        <c:ser>
          <c:idx val="3"/>
          <c:order val="3"/>
          <c:tx>
            <c:strRef>
              <c:f>Sheet2!$C$13</c:f>
              <c:strCache>
                <c:ptCount val="1"/>
                <c:pt idx="0">
                  <c:v>Grand Total</c:v>
                </c:pt>
              </c:strCache>
            </c:strRef>
          </c:tx>
          <c:marker>
            <c:symbol val="none"/>
          </c:marker>
          <c:cat>
            <c:strRef>
              <c:f>Sheet2!$D$9:$X$9</c:f>
              <c:strCache>
                <c:ptCount val="10"/>
                <c:pt idx="0">
                  <c:v>2004-05</c:v>
                </c:pt>
                <c:pt idx="1">
                  <c:v>2005-06</c:v>
                </c:pt>
                <c:pt idx="2">
                  <c:v>2006-07</c:v>
                </c:pt>
                <c:pt idx="3">
                  <c:v>2007-08</c:v>
                </c:pt>
                <c:pt idx="4">
                  <c:v>2008-09</c:v>
                </c:pt>
                <c:pt idx="5">
                  <c:v>2009-10</c:v>
                </c:pt>
                <c:pt idx="6">
                  <c:v>2010-11</c:v>
                </c:pt>
                <c:pt idx="7">
                  <c:v>2011-12</c:v>
                </c:pt>
                <c:pt idx="8">
                  <c:v>2012-13</c:v>
                </c:pt>
                <c:pt idx="9">
                  <c:v>2013-14</c:v>
                </c:pt>
              </c:strCache>
            </c:strRef>
          </c:cat>
          <c:val>
            <c:numRef>
              <c:f>Sheet2!$D$13:$X$13</c:f>
              <c:numCache>
                <c:formatCode>General</c:formatCode>
                <c:ptCount val="10"/>
              </c:numCache>
            </c:numRef>
          </c:val>
          <c:smooth val="0"/>
        </c:ser>
        <c:dLbls>
          <c:showLegendKey val="0"/>
          <c:showVal val="0"/>
          <c:showCatName val="0"/>
          <c:showSerName val="0"/>
          <c:showPercent val="0"/>
          <c:showBubbleSize val="0"/>
        </c:dLbls>
        <c:marker val="1"/>
        <c:smooth val="0"/>
        <c:axId val="67221376"/>
        <c:axId val="67222912"/>
      </c:lineChart>
      <c:catAx>
        <c:axId val="67221376"/>
        <c:scaling>
          <c:orientation val="minMax"/>
        </c:scaling>
        <c:delete val="0"/>
        <c:axPos val="b"/>
        <c:majorTickMark val="out"/>
        <c:minorTickMark val="none"/>
        <c:tickLblPos val="nextTo"/>
        <c:crossAx val="67222912"/>
        <c:crosses val="autoZero"/>
        <c:auto val="1"/>
        <c:lblAlgn val="ctr"/>
        <c:lblOffset val="100"/>
        <c:noMultiLvlLbl val="0"/>
      </c:catAx>
      <c:valAx>
        <c:axId val="67222912"/>
        <c:scaling>
          <c:orientation val="minMax"/>
        </c:scaling>
        <c:delete val="0"/>
        <c:axPos val="l"/>
        <c:majorGridlines/>
        <c:numFmt formatCode="0.00%" sourceLinked="1"/>
        <c:majorTickMark val="out"/>
        <c:minorTickMark val="none"/>
        <c:tickLblPos val="nextTo"/>
        <c:crossAx val="67221376"/>
        <c:crosses val="autoZero"/>
        <c:crossBetween val="between"/>
      </c:valAx>
    </c:plotArea>
    <c:legend>
      <c:legendPos val="r"/>
      <c:legendEntry>
        <c:idx val="3"/>
        <c:delete val="1"/>
      </c:legendEntry>
      <c:overlay val="0"/>
    </c:legend>
    <c:plotVisOnly val="1"/>
    <c:dispBlanksAs val="gap"/>
    <c:showDLblsOverMax val="0"/>
  </c:chart>
  <c:spPr>
    <a:ln>
      <a:solidFill>
        <a:schemeClr val="accent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12</Sub_x0020_number>
    <Submitter_x0020_type xmlns="7f4cf430-939c-4e86-a306-e6be23f89472">Government / government body</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E549-F1F3-46AB-8169-0BF5190DEA80}">
  <ds:schemaRefs>
    <ds:schemaRef ds:uri="http://schemas.microsoft.com/office/2006/metadata/customXsn"/>
  </ds:schemaRefs>
</ds:datastoreItem>
</file>

<file path=customXml/itemProps2.xml><?xml version="1.0" encoding="utf-8"?>
<ds:datastoreItem xmlns:ds="http://schemas.openxmlformats.org/officeDocument/2006/customXml" ds:itemID="{202D6451-BF07-4A5A-A486-B9FFB3758016}">
  <ds:schemaRefs>
    <ds:schemaRef ds:uri="http://schemas.microsoft.com/sharepoint/events"/>
  </ds:schemaRefs>
</ds:datastoreItem>
</file>

<file path=customXml/itemProps3.xml><?xml version="1.0" encoding="utf-8"?>
<ds:datastoreItem xmlns:ds="http://schemas.openxmlformats.org/officeDocument/2006/customXml" ds:itemID="{EB633366-74A4-4641-A13C-AB0C9611A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BD194B-E34D-4FAF-90DF-74D8BB805C9A}">
  <ds:schemaRefs>
    <ds:schemaRef ds:uri="http://schemas.microsoft.com/office/2006/documentManagement/types"/>
    <ds:schemaRef ds:uri="7f4cf430-939c-4e86-a306-e6be23f89472"/>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ee13c9c8-6565-4e71-a0a2-a2050e330ad8"/>
    <ds:schemaRef ds:uri="http://schemas.microsoft.com/office/2006/metadata/properties"/>
  </ds:schemaRefs>
</ds:datastoreItem>
</file>

<file path=customXml/itemProps5.xml><?xml version="1.0" encoding="utf-8"?>
<ds:datastoreItem xmlns:ds="http://schemas.openxmlformats.org/officeDocument/2006/customXml" ds:itemID="{56905B67-134D-4664-830C-AE237D38301B}">
  <ds:schemaRefs>
    <ds:schemaRef ds:uri="http://schemas.microsoft.com/sharepoint/v3/contenttype/forms"/>
  </ds:schemaRefs>
</ds:datastoreItem>
</file>

<file path=customXml/itemProps6.xml><?xml version="1.0" encoding="utf-8"?>
<ds:datastoreItem xmlns:ds="http://schemas.openxmlformats.org/officeDocument/2006/customXml" ds:itemID="{6E8B744B-BCD2-4D57-B785-136BA82D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Submission 12 - Department of Employment - Business Set-up, Transfer and Closure - Public inquiry</vt:lpstr>
    </vt:vector>
  </TitlesOfParts>
  <Company>Department of Employment</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Department of Employment - Business Set-up, Transfer and Closure - Public inquiry</dc:title>
  <dc:creator>Department of Employment</dc:creator>
  <cp:lastModifiedBy>Mark Pimperl</cp:lastModifiedBy>
  <cp:revision>3</cp:revision>
  <cp:lastPrinted>2015-02-18T23:09:00Z</cp:lastPrinted>
  <dcterms:created xsi:type="dcterms:W3CDTF">2015-02-25T05:47:00Z</dcterms:created>
  <dcterms:modified xsi:type="dcterms:W3CDTF">2015-02-25T06:00:00Z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ActiveItemUniqueId">
    <vt:lpwstr>{76f49620-9fc1-466b-8521-16570dbde05a}</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{ee13c9c8-6565-4e71-a0a2-a2050e330ad8}</vt:lpwstr>
  </property>
  <property fmtid="{D5CDD505-2E9C-101B-9397-08002B2CF9AE}" pid="7" name="RecordPoint_ActiveItemWebId">
    <vt:lpwstr>{7f4cf430-939c-4e86-a306-e6be23f89472}</vt:lpwstr>
  </property>
</Properties>
</file>