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0081D" w14:textId="77777777" w:rsidR="00213947" w:rsidRDefault="00213947">
      <w:pPr>
        <w:pStyle w:val="BodyA"/>
        <w:spacing w:line="360" w:lineRule="auto"/>
        <w:jc w:val="both"/>
      </w:pPr>
    </w:p>
    <w:p w14:paraId="5AE408FD" w14:textId="77777777" w:rsidR="00213947" w:rsidRDefault="00213947">
      <w:pPr>
        <w:pStyle w:val="BodyA"/>
        <w:spacing w:line="360" w:lineRule="auto"/>
        <w:jc w:val="both"/>
        <w:rPr>
          <w:b/>
          <w:bCs/>
        </w:rPr>
      </w:pPr>
    </w:p>
    <w:p w14:paraId="7939C48C" w14:textId="77777777" w:rsidR="00213947" w:rsidRDefault="00213947">
      <w:pPr>
        <w:pStyle w:val="BodyA"/>
        <w:spacing w:line="360" w:lineRule="auto"/>
        <w:jc w:val="both"/>
        <w:rPr>
          <w:b/>
          <w:bCs/>
        </w:rPr>
      </w:pPr>
    </w:p>
    <w:p w14:paraId="38362B9E" w14:textId="77777777" w:rsidR="00213947" w:rsidRDefault="00213947">
      <w:pPr>
        <w:pStyle w:val="BodyA"/>
        <w:spacing w:line="360" w:lineRule="auto"/>
        <w:jc w:val="both"/>
        <w:rPr>
          <w:b/>
          <w:bCs/>
        </w:rPr>
      </w:pPr>
    </w:p>
    <w:p w14:paraId="11341083" w14:textId="77777777" w:rsidR="00213947" w:rsidRDefault="00213947">
      <w:pPr>
        <w:pStyle w:val="BodyA"/>
        <w:spacing w:line="360" w:lineRule="auto"/>
        <w:jc w:val="both"/>
        <w:rPr>
          <w:b/>
          <w:bCs/>
        </w:rPr>
      </w:pPr>
    </w:p>
    <w:p w14:paraId="156A2957" w14:textId="77777777" w:rsidR="00213947" w:rsidRDefault="00213947">
      <w:pPr>
        <w:pStyle w:val="BodyA"/>
        <w:spacing w:line="360" w:lineRule="auto"/>
        <w:jc w:val="both"/>
        <w:rPr>
          <w:b/>
          <w:bCs/>
        </w:rPr>
      </w:pPr>
    </w:p>
    <w:p w14:paraId="24C0A77A" w14:textId="77777777" w:rsidR="00213947" w:rsidRDefault="00213947">
      <w:pPr>
        <w:pStyle w:val="BodyA"/>
        <w:spacing w:line="360" w:lineRule="auto"/>
        <w:jc w:val="both"/>
        <w:rPr>
          <w:b/>
          <w:bCs/>
        </w:rPr>
      </w:pPr>
    </w:p>
    <w:p w14:paraId="0DE5C7FE" w14:textId="77777777" w:rsidR="00213947" w:rsidRDefault="00213947">
      <w:pPr>
        <w:pStyle w:val="BodyA"/>
        <w:spacing w:line="360" w:lineRule="auto"/>
        <w:jc w:val="both"/>
        <w:rPr>
          <w:b/>
          <w:bCs/>
        </w:rPr>
      </w:pPr>
    </w:p>
    <w:p w14:paraId="4336187D" w14:textId="77777777" w:rsidR="00213947" w:rsidRDefault="00145434">
      <w:pPr>
        <w:pStyle w:val="BodyA"/>
        <w:spacing w:line="360" w:lineRule="auto"/>
        <w:jc w:val="center"/>
        <w:rPr>
          <w:b/>
          <w:bCs/>
          <w:sz w:val="28"/>
          <w:szCs w:val="28"/>
        </w:rPr>
      </w:pPr>
      <w:r>
        <w:rPr>
          <w:b/>
          <w:bCs/>
          <w:sz w:val="28"/>
          <w:szCs w:val="28"/>
        </w:rPr>
        <w:t>Submission by Interns Australia</w:t>
      </w:r>
    </w:p>
    <w:p w14:paraId="0D565C9D" w14:textId="77777777" w:rsidR="00213947" w:rsidRDefault="00213947">
      <w:pPr>
        <w:pStyle w:val="BodyA"/>
        <w:spacing w:line="360" w:lineRule="auto"/>
        <w:jc w:val="center"/>
        <w:rPr>
          <w:b/>
          <w:bCs/>
          <w:sz w:val="28"/>
          <w:szCs w:val="28"/>
        </w:rPr>
      </w:pPr>
    </w:p>
    <w:p w14:paraId="452BA769" w14:textId="77777777" w:rsidR="00213947" w:rsidRDefault="00145434">
      <w:pPr>
        <w:pStyle w:val="BodyA"/>
        <w:spacing w:line="360" w:lineRule="auto"/>
        <w:jc w:val="center"/>
        <w:rPr>
          <w:sz w:val="28"/>
          <w:szCs w:val="28"/>
        </w:rPr>
      </w:pPr>
      <w:r>
        <w:rPr>
          <w:rFonts w:ascii="Gill Sans" w:eastAsia="Gill Sans" w:hAnsi="Gill Sans" w:cs="Gill Sans"/>
          <w:noProof/>
          <w:lang w:val="en-AU"/>
        </w:rPr>
        <w:drawing>
          <wp:inline distT="0" distB="0" distL="0" distR="0" wp14:anchorId="6620C574" wp14:editId="1243CF88">
            <wp:extent cx="1151070" cy="1076325"/>
            <wp:effectExtent l="0" t="0" r="0" b="0"/>
            <wp:docPr id="1073741825" name="officeArt object" descr=":Visual Identity:IA logo.jpg"/>
            <wp:cNvGraphicFramePr/>
            <a:graphic xmlns:a="http://schemas.openxmlformats.org/drawingml/2006/main">
              <a:graphicData uri="http://schemas.openxmlformats.org/drawingml/2006/picture">
                <pic:pic xmlns:pic="http://schemas.openxmlformats.org/drawingml/2006/picture">
                  <pic:nvPicPr>
                    <pic:cNvPr id="1073741825" name="image1.jpeg" descr=":Visual Identity:IA logo.jpg"/>
                    <pic:cNvPicPr/>
                  </pic:nvPicPr>
                  <pic:blipFill>
                    <a:blip r:embed="rId14">
                      <a:extLst/>
                    </a:blip>
                    <a:stretch>
                      <a:fillRect/>
                    </a:stretch>
                  </pic:blipFill>
                  <pic:spPr>
                    <a:xfrm>
                      <a:off x="0" y="0"/>
                      <a:ext cx="1151070" cy="1076325"/>
                    </a:xfrm>
                    <a:prstGeom prst="rect">
                      <a:avLst/>
                    </a:prstGeom>
                    <a:ln w="12700" cap="flat">
                      <a:noFill/>
                      <a:miter lim="400000"/>
                    </a:ln>
                    <a:effectLst/>
                  </pic:spPr>
                </pic:pic>
              </a:graphicData>
            </a:graphic>
          </wp:inline>
        </w:drawing>
      </w:r>
    </w:p>
    <w:p w14:paraId="36C23FB6" w14:textId="77777777" w:rsidR="00213947" w:rsidRDefault="00213947">
      <w:pPr>
        <w:pStyle w:val="BodyA"/>
        <w:spacing w:line="360" w:lineRule="auto"/>
        <w:jc w:val="center"/>
        <w:rPr>
          <w:b/>
          <w:bCs/>
          <w:sz w:val="28"/>
          <w:szCs w:val="28"/>
        </w:rPr>
      </w:pPr>
    </w:p>
    <w:p w14:paraId="5512F76B" w14:textId="77777777" w:rsidR="00213947" w:rsidRDefault="00145434">
      <w:pPr>
        <w:pStyle w:val="BodyA"/>
        <w:spacing w:line="360" w:lineRule="auto"/>
        <w:jc w:val="center"/>
        <w:rPr>
          <w:sz w:val="28"/>
          <w:szCs w:val="28"/>
        </w:rPr>
      </w:pPr>
      <w:r>
        <w:rPr>
          <w:sz w:val="28"/>
          <w:szCs w:val="28"/>
        </w:rPr>
        <w:t>Productivity Commission</w:t>
      </w:r>
    </w:p>
    <w:p w14:paraId="53AA9697" w14:textId="77777777" w:rsidR="00213947" w:rsidRDefault="00145434">
      <w:pPr>
        <w:pStyle w:val="BodyA"/>
        <w:spacing w:line="360" w:lineRule="auto"/>
        <w:jc w:val="center"/>
        <w:rPr>
          <w:sz w:val="28"/>
          <w:szCs w:val="28"/>
        </w:rPr>
      </w:pPr>
      <w:r>
        <w:rPr>
          <w:sz w:val="28"/>
          <w:szCs w:val="28"/>
        </w:rPr>
        <w:t>Inquiry into the Workplace Relations Framework</w:t>
      </w:r>
    </w:p>
    <w:p w14:paraId="52600D13" w14:textId="77777777" w:rsidR="00213947" w:rsidRDefault="00213947">
      <w:pPr>
        <w:pStyle w:val="BodyA"/>
        <w:spacing w:line="360" w:lineRule="auto"/>
        <w:jc w:val="center"/>
        <w:rPr>
          <w:sz w:val="28"/>
          <w:szCs w:val="28"/>
        </w:rPr>
      </w:pPr>
    </w:p>
    <w:p w14:paraId="49E27329" w14:textId="77777777" w:rsidR="00213947" w:rsidRDefault="00145434">
      <w:pPr>
        <w:pStyle w:val="BodyA"/>
        <w:spacing w:line="360" w:lineRule="auto"/>
        <w:jc w:val="center"/>
        <w:rPr>
          <w:sz w:val="28"/>
          <w:szCs w:val="28"/>
        </w:rPr>
      </w:pPr>
      <w:r>
        <w:rPr>
          <w:sz w:val="28"/>
          <w:szCs w:val="28"/>
        </w:rPr>
        <w:t>March 2015</w:t>
      </w:r>
    </w:p>
    <w:p w14:paraId="0F68BCE5" w14:textId="77777777" w:rsidR="00213947" w:rsidRDefault="00213947" w:rsidP="002275B4">
      <w:pPr>
        <w:pStyle w:val="BodyA"/>
        <w:spacing w:line="360" w:lineRule="auto"/>
        <w:rPr>
          <w:sz w:val="28"/>
          <w:szCs w:val="28"/>
        </w:rPr>
      </w:pPr>
    </w:p>
    <w:p w14:paraId="40235E3B" w14:textId="77777777" w:rsidR="002275B4" w:rsidRDefault="002275B4" w:rsidP="002275B4">
      <w:pPr>
        <w:pStyle w:val="BodyA"/>
        <w:spacing w:line="360" w:lineRule="auto"/>
        <w:rPr>
          <w:sz w:val="28"/>
          <w:szCs w:val="28"/>
        </w:rPr>
      </w:pPr>
    </w:p>
    <w:p w14:paraId="27E2CA63" w14:textId="77777777" w:rsidR="00213947" w:rsidRDefault="00213947">
      <w:pPr>
        <w:pStyle w:val="BodyA"/>
        <w:spacing w:line="360" w:lineRule="auto"/>
        <w:jc w:val="center"/>
        <w:rPr>
          <w:sz w:val="28"/>
          <w:szCs w:val="28"/>
        </w:rPr>
      </w:pPr>
    </w:p>
    <w:p w14:paraId="427B0059" w14:textId="77777777" w:rsidR="00213947" w:rsidRDefault="00213947">
      <w:pPr>
        <w:pStyle w:val="BodyA"/>
        <w:spacing w:line="360" w:lineRule="auto"/>
        <w:jc w:val="center"/>
        <w:rPr>
          <w:sz w:val="28"/>
          <w:szCs w:val="28"/>
        </w:rPr>
      </w:pPr>
    </w:p>
    <w:p w14:paraId="03C91BA5" w14:textId="77777777" w:rsidR="00213947" w:rsidRDefault="00213947">
      <w:pPr>
        <w:pStyle w:val="BodyA"/>
        <w:spacing w:line="360" w:lineRule="auto"/>
        <w:jc w:val="center"/>
        <w:rPr>
          <w:sz w:val="28"/>
          <w:szCs w:val="28"/>
        </w:rPr>
      </w:pPr>
    </w:p>
    <w:p w14:paraId="55363D17" w14:textId="77777777" w:rsidR="00213947" w:rsidRDefault="00213947">
      <w:pPr>
        <w:pStyle w:val="BodyA"/>
        <w:spacing w:line="360" w:lineRule="auto"/>
        <w:jc w:val="center"/>
        <w:rPr>
          <w:sz w:val="28"/>
          <w:szCs w:val="28"/>
        </w:rPr>
      </w:pPr>
    </w:p>
    <w:p w14:paraId="1CD28562" w14:textId="77777777" w:rsidR="00213947" w:rsidRDefault="00213947">
      <w:pPr>
        <w:pStyle w:val="BodyA"/>
        <w:spacing w:line="360" w:lineRule="auto"/>
        <w:jc w:val="center"/>
        <w:rPr>
          <w:sz w:val="28"/>
          <w:szCs w:val="28"/>
        </w:rPr>
      </w:pPr>
    </w:p>
    <w:p w14:paraId="5353B4E7" w14:textId="77777777" w:rsidR="00213947" w:rsidRDefault="00213947">
      <w:pPr>
        <w:pStyle w:val="BodyA"/>
        <w:spacing w:line="360" w:lineRule="auto"/>
        <w:jc w:val="center"/>
        <w:rPr>
          <w:sz w:val="28"/>
          <w:szCs w:val="28"/>
        </w:rPr>
      </w:pPr>
    </w:p>
    <w:p w14:paraId="4D4FD384" w14:textId="77777777" w:rsidR="00213947" w:rsidRDefault="00213947">
      <w:pPr>
        <w:pStyle w:val="BodyA"/>
        <w:spacing w:line="360" w:lineRule="auto"/>
        <w:jc w:val="center"/>
        <w:rPr>
          <w:sz w:val="28"/>
          <w:szCs w:val="28"/>
        </w:rPr>
      </w:pPr>
    </w:p>
    <w:p w14:paraId="0A724161" w14:textId="77777777" w:rsidR="00213947" w:rsidRDefault="00213947">
      <w:pPr>
        <w:pStyle w:val="BodyA"/>
        <w:spacing w:line="360" w:lineRule="auto"/>
        <w:jc w:val="center"/>
        <w:rPr>
          <w:sz w:val="28"/>
          <w:szCs w:val="28"/>
        </w:rPr>
      </w:pPr>
    </w:p>
    <w:p w14:paraId="5C42D238" w14:textId="77777777" w:rsidR="00213947" w:rsidRDefault="00213947">
      <w:pPr>
        <w:pStyle w:val="BodyA"/>
        <w:spacing w:line="360" w:lineRule="auto"/>
        <w:jc w:val="center"/>
        <w:rPr>
          <w:sz w:val="28"/>
          <w:szCs w:val="28"/>
        </w:rPr>
      </w:pPr>
    </w:p>
    <w:p w14:paraId="0A87A017" w14:textId="77777777" w:rsidR="00213947" w:rsidRDefault="00213947">
      <w:pPr>
        <w:pStyle w:val="BodyA"/>
        <w:spacing w:line="360" w:lineRule="auto"/>
        <w:jc w:val="both"/>
        <w:rPr>
          <w:sz w:val="28"/>
          <w:szCs w:val="28"/>
        </w:rPr>
      </w:pPr>
    </w:p>
    <w:p w14:paraId="10153B7F" w14:textId="77777777" w:rsidR="00213947" w:rsidRDefault="00213947">
      <w:pPr>
        <w:pStyle w:val="BodyA"/>
        <w:spacing w:line="360" w:lineRule="auto"/>
        <w:jc w:val="both"/>
        <w:rPr>
          <w:sz w:val="28"/>
          <w:szCs w:val="28"/>
        </w:rPr>
      </w:pPr>
    </w:p>
    <w:p w14:paraId="19981FE6" w14:textId="77777777" w:rsidR="00213947" w:rsidRPr="002275B4" w:rsidRDefault="00145434">
      <w:pPr>
        <w:pStyle w:val="BodyA"/>
        <w:spacing w:line="360" w:lineRule="auto"/>
        <w:jc w:val="both"/>
        <w:rPr>
          <w:b/>
          <w:bCs/>
          <w:sz w:val="21"/>
          <w:szCs w:val="21"/>
        </w:rPr>
      </w:pPr>
      <w:r w:rsidRPr="002275B4">
        <w:rPr>
          <w:b/>
          <w:bCs/>
          <w:sz w:val="21"/>
          <w:szCs w:val="21"/>
        </w:rPr>
        <w:lastRenderedPageBreak/>
        <w:t>Authors of this report</w:t>
      </w:r>
    </w:p>
    <w:p w14:paraId="7C0C8D32" w14:textId="77777777" w:rsidR="00213947" w:rsidRPr="002275B4" w:rsidRDefault="00213947">
      <w:pPr>
        <w:pStyle w:val="BodyA"/>
        <w:spacing w:line="360" w:lineRule="auto"/>
        <w:jc w:val="both"/>
        <w:rPr>
          <w:b/>
          <w:bCs/>
          <w:sz w:val="21"/>
          <w:szCs w:val="21"/>
        </w:rPr>
      </w:pPr>
    </w:p>
    <w:p w14:paraId="0891C4C8" w14:textId="77777777" w:rsidR="00213947" w:rsidRPr="002275B4" w:rsidRDefault="00145434">
      <w:pPr>
        <w:pStyle w:val="BodyA"/>
        <w:spacing w:line="360" w:lineRule="auto"/>
        <w:jc w:val="both"/>
        <w:rPr>
          <w:sz w:val="21"/>
          <w:szCs w:val="21"/>
        </w:rPr>
      </w:pPr>
      <w:r w:rsidRPr="002275B4">
        <w:rPr>
          <w:sz w:val="21"/>
          <w:szCs w:val="21"/>
        </w:rPr>
        <w:t xml:space="preserve">Jack </w:t>
      </w:r>
      <w:proofErr w:type="spellStart"/>
      <w:r w:rsidRPr="002275B4">
        <w:rPr>
          <w:sz w:val="21"/>
          <w:szCs w:val="21"/>
        </w:rPr>
        <w:t>Kenchington</w:t>
      </w:r>
      <w:proofErr w:type="spellEnd"/>
      <w:r w:rsidRPr="002275B4">
        <w:rPr>
          <w:sz w:val="21"/>
          <w:szCs w:val="21"/>
        </w:rPr>
        <w:t>-Evans, Colleen Chen</w:t>
      </w:r>
    </w:p>
    <w:p w14:paraId="5B36EBAB" w14:textId="77777777" w:rsidR="00213947" w:rsidRPr="002275B4" w:rsidRDefault="00213947">
      <w:pPr>
        <w:pStyle w:val="BodyA"/>
        <w:spacing w:line="360" w:lineRule="auto"/>
        <w:jc w:val="both"/>
        <w:rPr>
          <w:sz w:val="21"/>
          <w:szCs w:val="21"/>
        </w:rPr>
      </w:pPr>
    </w:p>
    <w:p w14:paraId="64FBF61B" w14:textId="77777777" w:rsidR="00213947" w:rsidRPr="002275B4" w:rsidRDefault="00145434">
      <w:pPr>
        <w:pStyle w:val="BodyA"/>
        <w:spacing w:line="360" w:lineRule="auto"/>
        <w:jc w:val="both"/>
        <w:rPr>
          <w:b/>
          <w:bCs/>
          <w:sz w:val="21"/>
          <w:szCs w:val="21"/>
          <w:lang w:val="fr-FR"/>
        </w:rPr>
      </w:pPr>
      <w:r w:rsidRPr="002275B4">
        <w:rPr>
          <w:b/>
          <w:bCs/>
          <w:sz w:val="21"/>
          <w:szCs w:val="21"/>
          <w:lang w:val="fr-FR"/>
        </w:rPr>
        <w:t xml:space="preserve">Contact </w:t>
      </w:r>
      <w:proofErr w:type="spellStart"/>
      <w:r w:rsidRPr="002275B4">
        <w:rPr>
          <w:b/>
          <w:bCs/>
          <w:sz w:val="21"/>
          <w:szCs w:val="21"/>
          <w:lang w:val="fr-FR"/>
        </w:rPr>
        <w:t>details</w:t>
      </w:r>
      <w:proofErr w:type="spellEnd"/>
    </w:p>
    <w:p w14:paraId="4D486B7D" w14:textId="014ECDA2" w:rsidR="00213947" w:rsidRPr="002A4347" w:rsidRDefault="006321BC">
      <w:pPr>
        <w:pStyle w:val="BodyA"/>
        <w:spacing w:line="360" w:lineRule="auto"/>
        <w:jc w:val="both"/>
        <w:rPr>
          <w:sz w:val="21"/>
          <w:szCs w:val="21"/>
          <w:lang w:val="fr-FR"/>
        </w:rPr>
      </w:pPr>
      <w:hyperlink r:id="rId15" w:history="1">
        <w:r w:rsidR="00145434" w:rsidRPr="002275B4">
          <w:rPr>
            <w:rStyle w:val="Hyperlink0"/>
            <w:sz w:val="21"/>
            <w:szCs w:val="21"/>
          </w:rPr>
          <w:t>admin@internsaustralia.org</w:t>
        </w:r>
      </w:hyperlink>
      <w:r w:rsidR="00145434" w:rsidRPr="002275B4">
        <w:rPr>
          <w:sz w:val="21"/>
          <w:szCs w:val="21"/>
          <w:lang w:val="fr-FR"/>
        </w:rPr>
        <w:br/>
      </w:r>
      <w:hyperlink r:id="rId16" w:history="1">
        <w:r w:rsidR="00145434" w:rsidRPr="002275B4">
          <w:rPr>
            <w:rStyle w:val="Hyperlink0"/>
            <w:sz w:val="21"/>
            <w:szCs w:val="21"/>
          </w:rPr>
          <w:t>www.internsaustralia.org</w:t>
        </w:r>
      </w:hyperlink>
      <w:r w:rsidR="00145434" w:rsidRPr="002275B4">
        <w:rPr>
          <w:sz w:val="21"/>
          <w:szCs w:val="21"/>
          <w:u w:val="single"/>
          <w:lang w:val="fr-FR"/>
        </w:rPr>
        <w:t xml:space="preserve"> </w:t>
      </w:r>
    </w:p>
    <w:p w14:paraId="1CF1BF91" w14:textId="77777777" w:rsidR="002A4347" w:rsidRDefault="002A4347">
      <w:pPr>
        <w:pStyle w:val="BodyA"/>
        <w:spacing w:line="360" w:lineRule="auto"/>
        <w:jc w:val="both"/>
        <w:rPr>
          <w:sz w:val="21"/>
          <w:szCs w:val="21"/>
          <w:u w:val="single"/>
          <w:lang w:val="fr-FR"/>
        </w:rPr>
      </w:pPr>
    </w:p>
    <w:p w14:paraId="47337CEB" w14:textId="77777777" w:rsidR="002A4347" w:rsidRPr="002275B4" w:rsidRDefault="002A4347">
      <w:pPr>
        <w:pStyle w:val="BodyA"/>
        <w:spacing w:line="360" w:lineRule="auto"/>
        <w:jc w:val="both"/>
        <w:rPr>
          <w:sz w:val="21"/>
          <w:szCs w:val="21"/>
          <w:u w:val="single"/>
          <w:lang w:val="fr-FR"/>
        </w:rPr>
      </w:pPr>
      <w:bookmarkStart w:id="0" w:name="_GoBack"/>
      <w:bookmarkEnd w:id="0"/>
    </w:p>
    <w:p w14:paraId="6E508747" w14:textId="77777777" w:rsidR="00213947" w:rsidRPr="002275B4" w:rsidRDefault="00213947">
      <w:pPr>
        <w:pStyle w:val="BodyA"/>
        <w:spacing w:line="360" w:lineRule="auto"/>
        <w:jc w:val="both"/>
        <w:rPr>
          <w:sz w:val="21"/>
          <w:szCs w:val="21"/>
          <w:u w:val="single"/>
          <w:lang w:val="fr-FR"/>
        </w:rPr>
      </w:pPr>
    </w:p>
    <w:p w14:paraId="2262AC13" w14:textId="77777777" w:rsidR="00213947" w:rsidRPr="002275B4" w:rsidRDefault="00145434">
      <w:pPr>
        <w:pStyle w:val="BodyA"/>
        <w:spacing w:line="360" w:lineRule="auto"/>
        <w:jc w:val="both"/>
        <w:rPr>
          <w:b/>
          <w:bCs/>
          <w:sz w:val="21"/>
          <w:szCs w:val="21"/>
          <w:lang w:val="fr-FR"/>
        </w:rPr>
      </w:pPr>
      <w:r w:rsidRPr="002275B4">
        <w:rPr>
          <w:b/>
          <w:bCs/>
          <w:sz w:val="21"/>
          <w:szCs w:val="21"/>
          <w:lang w:val="fr-FR"/>
        </w:rPr>
        <w:t>Contents</w:t>
      </w:r>
    </w:p>
    <w:p w14:paraId="3E70235A" w14:textId="77777777" w:rsidR="00213947" w:rsidRPr="002275B4" w:rsidRDefault="00213947">
      <w:pPr>
        <w:pStyle w:val="BodyA"/>
        <w:widowControl w:val="0"/>
        <w:spacing w:line="360" w:lineRule="auto"/>
        <w:jc w:val="both"/>
        <w:rPr>
          <w:b/>
          <w:bCs/>
          <w:sz w:val="21"/>
          <w:szCs w:val="21"/>
          <w:lang w:val="fr-FR"/>
        </w:rPr>
      </w:pPr>
    </w:p>
    <w:tbl>
      <w:tblPr>
        <w:tblW w:w="957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36"/>
        <w:gridCol w:w="537"/>
      </w:tblGrid>
      <w:tr w:rsidR="00213947" w:rsidRPr="002275B4" w14:paraId="2C2CF691" w14:textId="77777777">
        <w:trPr>
          <w:trHeight w:val="279"/>
        </w:trPr>
        <w:tc>
          <w:tcPr>
            <w:tcW w:w="9036" w:type="dxa"/>
            <w:tcBorders>
              <w:top w:val="nil"/>
              <w:left w:val="nil"/>
              <w:bottom w:val="nil"/>
              <w:right w:val="nil"/>
            </w:tcBorders>
            <w:shd w:val="clear" w:color="auto" w:fill="FFFFFF"/>
            <w:tcMar>
              <w:top w:w="80" w:type="dxa"/>
              <w:left w:w="80" w:type="dxa"/>
              <w:bottom w:w="80" w:type="dxa"/>
              <w:right w:w="80" w:type="dxa"/>
            </w:tcMar>
          </w:tcPr>
          <w:p w14:paraId="6F09145A" w14:textId="77777777" w:rsidR="00213947" w:rsidRPr="002275B4" w:rsidRDefault="00145434">
            <w:pPr>
              <w:pStyle w:val="TableStyle2A"/>
              <w:rPr>
                <w:sz w:val="21"/>
                <w:szCs w:val="21"/>
              </w:rPr>
            </w:pPr>
            <w:r w:rsidRPr="002275B4">
              <w:rPr>
                <w:sz w:val="21"/>
                <w:szCs w:val="21"/>
              </w:rPr>
              <w:t>Introduction</w:t>
            </w:r>
          </w:p>
        </w:tc>
        <w:tc>
          <w:tcPr>
            <w:tcW w:w="537" w:type="dxa"/>
            <w:tcBorders>
              <w:top w:val="nil"/>
              <w:left w:val="nil"/>
              <w:bottom w:val="nil"/>
              <w:right w:val="nil"/>
            </w:tcBorders>
            <w:shd w:val="clear" w:color="auto" w:fill="FFFFFF"/>
            <w:tcMar>
              <w:top w:w="80" w:type="dxa"/>
              <w:left w:w="80" w:type="dxa"/>
              <w:bottom w:w="80" w:type="dxa"/>
              <w:right w:w="80" w:type="dxa"/>
            </w:tcMar>
          </w:tcPr>
          <w:p w14:paraId="4A5EA6AC" w14:textId="77777777" w:rsidR="00213947" w:rsidRPr="002275B4" w:rsidRDefault="00145434">
            <w:pPr>
              <w:pStyle w:val="TableStyle2A"/>
              <w:jc w:val="right"/>
              <w:rPr>
                <w:sz w:val="21"/>
                <w:szCs w:val="21"/>
              </w:rPr>
            </w:pPr>
            <w:r w:rsidRPr="002275B4">
              <w:rPr>
                <w:sz w:val="21"/>
                <w:szCs w:val="21"/>
              </w:rPr>
              <w:t>3</w:t>
            </w:r>
          </w:p>
        </w:tc>
      </w:tr>
      <w:tr w:rsidR="00213947" w:rsidRPr="002275B4" w14:paraId="0A723187" w14:textId="77777777">
        <w:trPr>
          <w:trHeight w:val="279"/>
        </w:trPr>
        <w:tc>
          <w:tcPr>
            <w:tcW w:w="9036" w:type="dxa"/>
            <w:tcBorders>
              <w:top w:val="nil"/>
              <w:left w:val="nil"/>
              <w:bottom w:val="nil"/>
              <w:right w:val="nil"/>
            </w:tcBorders>
            <w:shd w:val="clear" w:color="auto" w:fill="FFFFFF"/>
            <w:tcMar>
              <w:top w:w="80" w:type="dxa"/>
              <w:left w:w="80" w:type="dxa"/>
              <w:bottom w:w="80" w:type="dxa"/>
              <w:right w:w="80" w:type="dxa"/>
            </w:tcMar>
          </w:tcPr>
          <w:p w14:paraId="53FBE999" w14:textId="77777777" w:rsidR="00213947" w:rsidRPr="002275B4" w:rsidRDefault="00145434">
            <w:pPr>
              <w:pStyle w:val="BodyA"/>
              <w:spacing w:line="360" w:lineRule="auto"/>
              <w:ind w:left="720"/>
              <w:jc w:val="both"/>
              <w:rPr>
                <w:sz w:val="21"/>
                <w:szCs w:val="21"/>
              </w:rPr>
            </w:pPr>
            <w:r w:rsidRPr="002275B4">
              <w:rPr>
                <w:sz w:val="21"/>
                <w:szCs w:val="21"/>
              </w:rPr>
              <w:t>About Interns Australia</w:t>
            </w:r>
          </w:p>
        </w:tc>
        <w:tc>
          <w:tcPr>
            <w:tcW w:w="537" w:type="dxa"/>
            <w:tcBorders>
              <w:top w:val="nil"/>
              <w:left w:val="nil"/>
              <w:bottom w:val="nil"/>
              <w:right w:val="nil"/>
            </w:tcBorders>
            <w:shd w:val="clear" w:color="auto" w:fill="FFFFFF"/>
            <w:tcMar>
              <w:top w:w="80" w:type="dxa"/>
              <w:left w:w="80" w:type="dxa"/>
              <w:bottom w:w="80" w:type="dxa"/>
              <w:right w:w="80" w:type="dxa"/>
            </w:tcMar>
          </w:tcPr>
          <w:p w14:paraId="023D7305" w14:textId="77777777" w:rsidR="00213947" w:rsidRPr="002275B4" w:rsidRDefault="00145434">
            <w:pPr>
              <w:pStyle w:val="TableStyle2A"/>
              <w:jc w:val="right"/>
              <w:rPr>
                <w:sz w:val="21"/>
                <w:szCs w:val="21"/>
              </w:rPr>
            </w:pPr>
            <w:r w:rsidRPr="002275B4">
              <w:rPr>
                <w:sz w:val="21"/>
                <w:szCs w:val="21"/>
              </w:rPr>
              <w:t>3</w:t>
            </w:r>
          </w:p>
        </w:tc>
      </w:tr>
      <w:tr w:rsidR="00213947" w:rsidRPr="002275B4" w14:paraId="59556BA0" w14:textId="77777777">
        <w:trPr>
          <w:trHeight w:val="279"/>
        </w:trPr>
        <w:tc>
          <w:tcPr>
            <w:tcW w:w="9036" w:type="dxa"/>
            <w:tcBorders>
              <w:top w:val="nil"/>
              <w:left w:val="nil"/>
              <w:bottom w:val="nil"/>
              <w:right w:val="nil"/>
            </w:tcBorders>
            <w:shd w:val="clear" w:color="auto" w:fill="FFFFFF"/>
            <w:tcMar>
              <w:top w:w="80" w:type="dxa"/>
              <w:left w:w="80" w:type="dxa"/>
              <w:bottom w:w="80" w:type="dxa"/>
              <w:right w:w="80" w:type="dxa"/>
            </w:tcMar>
          </w:tcPr>
          <w:p w14:paraId="59E2D00D" w14:textId="77777777" w:rsidR="00213947" w:rsidRPr="002275B4" w:rsidRDefault="00145434">
            <w:pPr>
              <w:pStyle w:val="BodyA"/>
              <w:spacing w:line="360" w:lineRule="auto"/>
              <w:jc w:val="both"/>
              <w:rPr>
                <w:sz w:val="21"/>
                <w:szCs w:val="21"/>
              </w:rPr>
            </w:pPr>
            <w:r w:rsidRPr="002275B4">
              <w:rPr>
                <w:sz w:val="21"/>
                <w:szCs w:val="21"/>
              </w:rPr>
              <w:tab/>
              <w:t>The policy challenge of internships, relevant Terms of Reference</w:t>
            </w:r>
          </w:p>
        </w:tc>
        <w:tc>
          <w:tcPr>
            <w:tcW w:w="537" w:type="dxa"/>
            <w:tcBorders>
              <w:top w:val="nil"/>
              <w:left w:val="nil"/>
              <w:bottom w:val="nil"/>
              <w:right w:val="nil"/>
            </w:tcBorders>
            <w:shd w:val="clear" w:color="auto" w:fill="FFFFFF"/>
            <w:tcMar>
              <w:top w:w="80" w:type="dxa"/>
              <w:left w:w="80" w:type="dxa"/>
              <w:bottom w:w="80" w:type="dxa"/>
              <w:right w:w="80" w:type="dxa"/>
            </w:tcMar>
          </w:tcPr>
          <w:p w14:paraId="6D54628B" w14:textId="77777777" w:rsidR="00213947" w:rsidRPr="002275B4" w:rsidRDefault="00145434">
            <w:pPr>
              <w:pStyle w:val="TableStyle2A"/>
              <w:jc w:val="right"/>
              <w:rPr>
                <w:sz w:val="21"/>
                <w:szCs w:val="21"/>
              </w:rPr>
            </w:pPr>
            <w:r w:rsidRPr="002275B4">
              <w:rPr>
                <w:sz w:val="21"/>
                <w:szCs w:val="21"/>
              </w:rPr>
              <w:t>3</w:t>
            </w:r>
          </w:p>
        </w:tc>
      </w:tr>
      <w:tr w:rsidR="00213947" w:rsidRPr="002275B4" w14:paraId="6DA464C8" w14:textId="77777777">
        <w:trPr>
          <w:trHeight w:val="279"/>
        </w:trPr>
        <w:tc>
          <w:tcPr>
            <w:tcW w:w="9036" w:type="dxa"/>
            <w:tcBorders>
              <w:top w:val="nil"/>
              <w:left w:val="nil"/>
              <w:bottom w:val="nil"/>
              <w:right w:val="nil"/>
            </w:tcBorders>
            <w:shd w:val="clear" w:color="auto" w:fill="FFFFFF"/>
            <w:tcMar>
              <w:top w:w="80" w:type="dxa"/>
              <w:left w:w="80" w:type="dxa"/>
              <w:bottom w:w="80" w:type="dxa"/>
              <w:right w:w="80" w:type="dxa"/>
            </w:tcMar>
          </w:tcPr>
          <w:p w14:paraId="3D0EC001" w14:textId="77777777" w:rsidR="00213947" w:rsidRPr="002275B4" w:rsidRDefault="00145434">
            <w:pPr>
              <w:pStyle w:val="TableStyle2A"/>
              <w:ind w:left="720"/>
              <w:rPr>
                <w:sz w:val="21"/>
                <w:szCs w:val="21"/>
              </w:rPr>
            </w:pPr>
            <w:r w:rsidRPr="002275B4">
              <w:rPr>
                <w:sz w:val="21"/>
                <w:szCs w:val="21"/>
              </w:rPr>
              <w:t>Australia</w:t>
            </w:r>
            <w:r w:rsidRPr="002275B4">
              <w:rPr>
                <w:rFonts w:hAnsi="Helvetica"/>
                <w:sz w:val="21"/>
                <w:szCs w:val="21"/>
              </w:rPr>
              <w:t>’</w:t>
            </w:r>
            <w:r w:rsidRPr="002275B4">
              <w:rPr>
                <w:sz w:val="21"/>
                <w:szCs w:val="21"/>
              </w:rPr>
              <w:t xml:space="preserve">s internship practices </w:t>
            </w:r>
          </w:p>
        </w:tc>
        <w:tc>
          <w:tcPr>
            <w:tcW w:w="537" w:type="dxa"/>
            <w:tcBorders>
              <w:top w:val="nil"/>
              <w:left w:val="nil"/>
              <w:bottom w:val="nil"/>
              <w:right w:val="nil"/>
            </w:tcBorders>
            <w:shd w:val="clear" w:color="auto" w:fill="FFFFFF"/>
            <w:tcMar>
              <w:top w:w="80" w:type="dxa"/>
              <w:left w:w="80" w:type="dxa"/>
              <w:bottom w:w="80" w:type="dxa"/>
              <w:right w:w="80" w:type="dxa"/>
            </w:tcMar>
          </w:tcPr>
          <w:p w14:paraId="79E8A8E5" w14:textId="77777777" w:rsidR="00213947" w:rsidRPr="002275B4" w:rsidRDefault="002275B4">
            <w:pPr>
              <w:pStyle w:val="TableStyle2A"/>
              <w:jc w:val="right"/>
              <w:rPr>
                <w:sz w:val="21"/>
                <w:szCs w:val="21"/>
              </w:rPr>
            </w:pPr>
            <w:r>
              <w:rPr>
                <w:sz w:val="21"/>
                <w:szCs w:val="21"/>
              </w:rPr>
              <w:t>3</w:t>
            </w:r>
          </w:p>
        </w:tc>
      </w:tr>
      <w:tr w:rsidR="00213947" w:rsidRPr="002275B4" w14:paraId="2E11CB28" w14:textId="77777777">
        <w:trPr>
          <w:trHeight w:val="279"/>
        </w:trPr>
        <w:tc>
          <w:tcPr>
            <w:tcW w:w="9036" w:type="dxa"/>
            <w:tcBorders>
              <w:top w:val="nil"/>
              <w:left w:val="nil"/>
              <w:bottom w:val="nil"/>
              <w:right w:val="nil"/>
            </w:tcBorders>
            <w:shd w:val="clear" w:color="auto" w:fill="FFFFFF"/>
            <w:tcMar>
              <w:top w:w="80" w:type="dxa"/>
              <w:left w:w="80" w:type="dxa"/>
              <w:bottom w:w="80" w:type="dxa"/>
              <w:right w:w="80" w:type="dxa"/>
            </w:tcMar>
          </w:tcPr>
          <w:p w14:paraId="56BB35C8" w14:textId="77777777" w:rsidR="00213947" w:rsidRPr="002275B4" w:rsidRDefault="0014543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sz w:val="21"/>
                <w:szCs w:val="21"/>
              </w:rPr>
            </w:pPr>
            <w:r w:rsidRPr="002275B4">
              <w:rPr>
                <w:sz w:val="21"/>
                <w:szCs w:val="21"/>
              </w:rPr>
              <w:t>Current workplace relations framework affecting internships</w:t>
            </w:r>
          </w:p>
        </w:tc>
        <w:tc>
          <w:tcPr>
            <w:tcW w:w="537" w:type="dxa"/>
            <w:tcBorders>
              <w:top w:val="nil"/>
              <w:left w:val="nil"/>
              <w:bottom w:val="nil"/>
              <w:right w:val="nil"/>
            </w:tcBorders>
            <w:shd w:val="clear" w:color="auto" w:fill="FFFFFF"/>
            <w:tcMar>
              <w:top w:w="80" w:type="dxa"/>
              <w:left w:w="80" w:type="dxa"/>
              <w:bottom w:w="80" w:type="dxa"/>
              <w:right w:w="80" w:type="dxa"/>
            </w:tcMar>
          </w:tcPr>
          <w:p w14:paraId="670B0D80" w14:textId="77777777" w:rsidR="00213947" w:rsidRPr="002275B4" w:rsidRDefault="002275B4">
            <w:pPr>
              <w:pStyle w:val="TableStyle2A"/>
              <w:jc w:val="right"/>
              <w:rPr>
                <w:sz w:val="21"/>
                <w:szCs w:val="21"/>
              </w:rPr>
            </w:pPr>
            <w:r>
              <w:rPr>
                <w:sz w:val="21"/>
                <w:szCs w:val="21"/>
              </w:rPr>
              <w:t>4</w:t>
            </w:r>
          </w:p>
        </w:tc>
      </w:tr>
      <w:tr w:rsidR="00213947" w:rsidRPr="002275B4" w14:paraId="3A5404DD" w14:textId="77777777">
        <w:trPr>
          <w:trHeight w:val="279"/>
        </w:trPr>
        <w:tc>
          <w:tcPr>
            <w:tcW w:w="9036" w:type="dxa"/>
            <w:tcBorders>
              <w:top w:val="nil"/>
              <w:left w:val="nil"/>
              <w:bottom w:val="nil"/>
              <w:right w:val="nil"/>
            </w:tcBorders>
            <w:shd w:val="clear" w:color="auto" w:fill="FFFFFF"/>
            <w:tcMar>
              <w:top w:w="80" w:type="dxa"/>
              <w:left w:w="80" w:type="dxa"/>
              <w:bottom w:w="80" w:type="dxa"/>
              <w:right w:w="80" w:type="dxa"/>
            </w:tcMar>
          </w:tcPr>
          <w:p w14:paraId="7BAB8755" w14:textId="77777777" w:rsidR="00213947" w:rsidRPr="002275B4" w:rsidRDefault="00145434">
            <w:pPr>
              <w:pStyle w:val="TableStyle2A"/>
              <w:rPr>
                <w:sz w:val="21"/>
                <w:szCs w:val="21"/>
              </w:rPr>
            </w:pPr>
            <w:r w:rsidRPr="002275B4">
              <w:rPr>
                <w:sz w:val="21"/>
                <w:szCs w:val="21"/>
              </w:rPr>
              <w:t>Problems with the current regulatory regime</w:t>
            </w:r>
          </w:p>
        </w:tc>
        <w:tc>
          <w:tcPr>
            <w:tcW w:w="537" w:type="dxa"/>
            <w:tcBorders>
              <w:top w:val="nil"/>
              <w:left w:val="nil"/>
              <w:bottom w:val="nil"/>
              <w:right w:val="nil"/>
            </w:tcBorders>
            <w:shd w:val="clear" w:color="auto" w:fill="FFFFFF"/>
            <w:tcMar>
              <w:top w:w="80" w:type="dxa"/>
              <w:left w:w="80" w:type="dxa"/>
              <w:bottom w:w="80" w:type="dxa"/>
              <w:right w:w="80" w:type="dxa"/>
            </w:tcMar>
          </w:tcPr>
          <w:p w14:paraId="7E73C4DB" w14:textId="77777777" w:rsidR="00213947" w:rsidRPr="002275B4" w:rsidRDefault="002275B4">
            <w:pPr>
              <w:pStyle w:val="TableStyle2A"/>
              <w:jc w:val="right"/>
              <w:rPr>
                <w:sz w:val="21"/>
                <w:szCs w:val="21"/>
              </w:rPr>
            </w:pPr>
            <w:r w:rsidRPr="002275B4">
              <w:rPr>
                <w:sz w:val="21"/>
                <w:szCs w:val="21"/>
              </w:rPr>
              <w:t>5</w:t>
            </w:r>
          </w:p>
        </w:tc>
      </w:tr>
      <w:tr w:rsidR="00213947" w:rsidRPr="002275B4" w14:paraId="48BD57DE" w14:textId="77777777">
        <w:trPr>
          <w:trHeight w:val="279"/>
        </w:trPr>
        <w:tc>
          <w:tcPr>
            <w:tcW w:w="9036" w:type="dxa"/>
            <w:tcBorders>
              <w:top w:val="nil"/>
              <w:left w:val="nil"/>
              <w:bottom w:val="nil"/>
              <w:right w:val="nil"/>
            </w:tcBorders>
            <w:shd w:val="clear" w:color="auto" w:fill="FFFFFF"/>
            <w:tcMar>
              <w:top w:w="80" w:type="dxa"/>
              <w:left w:w="80" w:type="dxa"/>
              <w:bottom w:w="80" w:type="dxa"/>
              <w:right w:w="80" w:type="dxa"/>
            </w:tcMar>
          </w:tcPr>
          <w:p w14:paraId="444B5D23" w14:textId="77777777" w:rsidR="00213947" w:rsidRPr="002275B4" w:rsidRDefault="00145434">
            <w:pPr>
              <w:pStyle w:val="TableStyle2A"/>
              <w:ind w:left="720"/>
              <w:rPr>
                <w:sz w:val="21"/>
                <w:szCs w:val="21"/>
              </w:rPr>
            </w:pPr>
            <w:r w:rsidRPr="002275B4">
              <w:rPr>
                <w:sz w:val="21"/>
                <w:szCs w:val="21"/>
              </w:rPr>
              <w:t>Inequalities</w:t>
            </w:r>
          </w:p>
        </w:tc>
        <w:tc>
          <w:tcPr>
            <w:tcW w:w="537" w:type="dxa"/>
            <w:tcBorders>
              <w:top w:val="nil"/>
              <w:left w:val="nil"/>
              <w:bottom w:val="nil"/>
              <w:right w:val="nil"/>
            </w:tcBorders>
            <w:shd w:val="clear" w:color="auto" w:fill="FFFFFF"/>
            <w:tcMar>
              <w:top w:w="80" w:type="dxa"/>
              <w:left w:w="80" w:type="dxa"/>
              <w:bottom w:w="80" w:type="dxa"/>
              <w:right w:w="80" w:type="dxa"/>
            </w:tcMar>
          </w:tcPr>
          <w:p w14:paraId="1A40F32A" w14:textId="77777777" w:rsidR="00213947" w:rsidRPr="002275B4" w:rsidRDefault="002275B4" w:rsidP="002275B4">
            <w:pPr>
              <w:pStyle w:val="TableStyle2A"/>
              <w:tabs>
                <w:tab w:val="left" w:pos="236"/>
                <w:tab w:val="right" w:pos="377"/>
              </w:tabs>
              <w:rPr>
                <w:sz w:val="21"/>
                <w:szCs w:val="21"/>
              </w:rPr>
            </w:pPr>
            <w:r w:rsidRPr="002275B4">
              <w:rPr>
                <w:sz w:val="21"/>
                <w:szCs w:val="21"/>
              </w:rPr>
              <w:tab/>
            </w:r>
            <w:r w:rsidRPr="002275B4">
              <w:rPr>
                <w:sz w:val="21"/>
                <w:szCs w:val="21"/>
              </w:rPr>
              <w:tab/>
              <w:t>5</w:t>
            </w:r>
          </w:p>
        </w:tc>
      </w:tr>
      <w:tr w:rsidR="00213947" w:rsidRPr="002275B4" w14:paraId="08724958" w14:textId="77777777">
        <w:trPr>
          <w:trHeight w:val="279"/>
        </w:trPr>
        <w:tc>
          <w:tcPr>
            <w:tcW w:w="9036" w:type="dxa"/>
            <w:tcBorders>
              <w:top w:val="nil"/>
              <w:left w:val="nil"/>
              <w:bottom w:val="nil"/>
              <w:right w:val="nil"/>
            </w:tcBorders>
            <w:shd w:val="clear" w:color="auto" w:fill="FFFFFF"/>
            <w:tcMar>
              <w:top w:w="80" w:type="dxa"/>
              <w:left w:w="80" w:type="dxa"/>
              <w:bottom w:w="80" w:type="dxa"/>
              <w:right w:w="80" w:type="dxa"/>
            </w:tcMar>
          </w:tcPr>
          <w:p w14:paraId="22E0AFAD" w14:textId="77777777" w:rsidR="00213947" w:rsidRPr="002275B4" w:rsidRDefault="00145434">
            <w:pPr>
              <w:pStyle w:val="TableStyle2A"/>
              <w:ind w:left="720"/>
              <w:rPr>
                <w:sz w:val="21"/>
                <w:szCs w:val="21"/>
              </w:rPr>
            </w:pPr>
            <w:r w:rsidRPr="002275B4">
              <w:rPr>
                <w:sz w:val="21"/>
                <w:szCs w:val="21"/>
              </w:rPr>
              <w:t>Inefficiencies</w:t>
            </w:r>
          </w:p>
        </w:tc>
        <w:tc>
          <w:tcPr>
            <w:tcW w:w="537" w:type="dxa"/>
            <w:tcBorders>
              <w:top w:val="nil"/>
              <w:left w:val="nil"/>
              <w:bottom w:val="nil"/>
              <w:right w:val="nil"/>
            </w:tcBorders>
            <w:shd w:val="clear" w:color="auto" w:fill="FFFFFF"/>
            <w:tcMar>
              <w:top w:w="80" w:type="dxa"/>
              <w:left w:w="80" w:type="dxa"/>
              <w:bottom w:w="80" w:type="dxa"/>
              <w:right w:w="80" w:type="dxa"/>
            </w:tcMar>
          </w:tcPr>
          <w:p w14:paraId="20C03307" w14:textId="77777777" w:rsidR="00213947" w:rsidRPr="002275B4" w:rsidRDefault="00145434">
            <w:pPr>
              <w:pStyle w:val="TableStyle2A"/>
              <w:jc w:val="right"/>
              <w:rPr>
                <w:sz w:val="21"/>
                <w:szCs w:val="21"/>
              </w:rPr>
            </w:pPr>
            <w:r w:rsidRPr="002275B4">
              <w:rPr>
                <w:sz w:val="21"/>
                <w:szCs w:val="21"/>
              </w:rPr>
              <w:t>6</w:t>
            </w:r>
          </w:p>
        </w:tc>
      </w:tr>
      <w:tr w:rsidR="00213947" w:rsidRPr="002275B4" w14:paraId="73413CFB" w14:textId="77777777">
        <w:trPr>
          <w:trHeight w:val="279"/>
        </w:trPr>
        <w:tc>
          <w:tcPr>
            <w:tcW w:w="9036" w:type="dxa"/>
            <w:tcBorders>
              <w:top w:val="nil"/>
              <w:left w:val="nil"/>
              <w:bottom w:val="nil"/>
              <w:right w:val="nil"/>
            </w:tcBorders>
            <w:shd w:val="clear" w:color="auto" w:fill="FFFFFF"/>
            <w:tcMar>
              <w:top w:w="80" w:type="dxa"/>
              <w:left w:w="80" w:type="dxa"/>
              <w:bottom w:w="80" w:type="dxa"/>
              <w:right w:w="80" w:type="dxa"/>
            </w:tcMar>
          </w:tcPr>
          <w:p w14:paraId="2374787B" w14:textId="77777777" w:rsidR="00213947" w:rsidRPr="002275B4" w:rsidRDefault="00145434">
            <w:pPr>
              <w:pStyle w:val="TableStyle2A"/>
              <w:rPr>
                <w:sz w:val="21"/>
                <w:szCs w:val="21"/>
              </w:rPr>
            </w:pPr>
            <w:r w:rsidRPr="002275B4">
              <w:rPr>
                <w:sz w:val="21"/>
                <w:szCs w:val="21"/>
              </w:rPr>
              <w:t>Recommendations</w:t>
            </w:r>
          </w:p>
        </w:tc>
        <w:tc>
          <w:tcPr>
            <w:tcW w:w="537" w:type="dxa"/>
            <w:tcBorders>
              <w:top w:val="nil"/>
              <w:left w:val="nil"/>
              <w:bottom w:val="nil"/>
              <w:right w:val="nil"/>
            </w:tcBorders>
            <w:shd w:val="clear" w:color="auto" w:fill="FFFFFF"/>
            <w:tcMar>
              <w:top w:w="80" w:type="dxa"/>
              <w:left w:w="80" w:type="dxa"/>
              <w:bottom w:w="80" w:type="dxa"/>
              <w:right w:w="80" w:type="dxa"/>
            </w:tcMar>
          </w:tcPr>
          <w:p w14:paraId="463ED369" w14:textId="77777777" w:rsidR="00213947" w:rsidRPr="002275B4" w:rsidRDefault="002275B4">
            <w:pPr>
              <w:pStyle w:val="TableStyle2A"/>
              <w:jc w:val="right"/>
              <w:rPr>
                <w:sz w:val="21"/>
                <w:szCs w:val="21"/>
              </w:rPr>
            </w:pPr>
            <w:r>
              <w:rPr>
                <w:sz w:val="21"/>
                <w:szCs w:val="21"/>
              </w:rPr>
              <w:t>6</w:t>
            </w:r>
          </w:p>
        </w:tc>
      </w:tr>
      <w:tr w:rsidR="00213947" w:rsidRPr="002275B4" w14:paraId="21CC4C86" w14:textId="77777777">
        <w:trPr>
          <w:trHeight w:val="279"/>
        </w:trPr>
        <w:tc>
          <w:tcPr>
            <w:tcW w:w="9036" w:type="dxa"/>
            <w:tcBorders>
              <w:top w:val="nil"/>
              <w:left w:val="nil"/>
              <w:bottom w:val="nil"/>
              <w:right w:val="nil"/>
            </w:tcBorders>
            <w:shd w:val="clear" w:color="auto" w:fill="FFFFFF"/>
            <w:tcMar>
              <w:top w:w="80" w:type="dxa"/>
              <w:left w:w="80" w:type="dxa"/>
              <w:bottom w:w="80" w:type="dxa"/>
              <w:right w:w="80" w:type="dxa"/>
            </w:tcMar>
          </w:tcPr>
          <w:p w14:paraId="28CD6138" w14:textId="77777777" w:rsidR="00213947" w:rsidRPr="002275B4" w:rsidRDefault="00145434">
            <w:pPr>
              <w:pStyle w:val="TableStyle2A"/>
              <w:ind w:left="720"/>
              <w:rPr>
                <w:sz w:val="21"/>
                <w:szCs w:val="21"/>
              </w:rPr>
            </w:pPr>
            <w:r w:rsidRPr="002275B4">
              <w:rPr>
                <w:sz w:val="21"/>
                <w:szCs w:val="21"/>
              </w:rPr>
              <w:t>Reforms to the workplace relations framework</w:t>
            </w:r>
          </w:p>
        </w:tc>
        <w:tc>
          <w:tcPr>
            <w:tcW w:w="537" w:type="dxa"/>
            <w:tcBorders>
              <w:top w:val="nil"/>
              <w:left w:val="nil"/>
              <w:bottom w:val="nil"/>
              <w:right w:val="nil"/>
            </w:tcBorders>
            <w:shd w:val="clear" w:color="auto" w:fill="FFFFFF"/>
            <w:tcMar>
              <w:top w:w="80" w:type="dxa"/>
              <w:left w:w="80" w:type="dxa"/>
              <w:bottom w:w="80" w:type="dxa"/>
              <w:right w:w="80" w:type="dxa"/>
            </w:tcMar>
          </w:tcPr>
          <w:p w14:paraId="6A177ABB" w14:textId="77777777" w:rsidR="00213947" w:rsidRPr="002275B4" w:rsidRDefault="002275B4" w:rsidP="002275B4">
            <w:pPr>
              <w:pStyle w:val="TableStyle2A"/>
              <w:tabs>
                <w:tab w:val="left" w:pos="193"/>
                <w:tab w:val="right" w:pos="377"/>
              </w:tabs>
              <w:rPr>
                <w:sz w:val="21"/>
                <w:szCs w:val="21"/>
              </w:rPr>
            </w:pPr>
            <w:r>
              <w:rPr>
                <w:sz w:val="21"/>
                <w:szCs w:val="21"/>
              </w:rPr>
              <w:tab/>
            </w:r>
            <w:r>
              <w:rPr>
                <w:sz w:val="21"/>
                <w:szCs w:val="21"/>
              </w:rPr>
              <w:tab/>
              <w:t>7</w:t>
            </w:r>
          </w:p>
        </w:tc>
      </w:tr>
      <w:tr w:rsidR="00213947" w:rsidRPr="002275B4" w14:paraId="6DAABCDA" w14:textId="77777777">
        <w:trPr>
          <w:trHeight w:val="279"/>
        </w:trPr>
        <w:tc>
          <w:tcPr>
            <w:tcW w:w="9036" w:type="dxa"/>
            <w:tcBorders>
              <w:top w:val="nil"/>
              <w:left w:val="nil"/>
              <w:bottom w:val="nil"/>
              <w:right w:val="nil"/>
            </w:tcBorders>
            <w:shd w:val="clear" w:color="auto" w:fill="FFFFFF"/>
            <w:tcMar>
              <w:top w:w="80" w:type="dxa"/>
              <w:left w:w="80" w:type="dxa"/>
              <w:bottom w:w="80" w:type="dxa"/>
              <w:right w:w="80" w:type="dxa"/>
            </w:tcMar>
          </w:tcPr>
          <w:p w14:paraId="35A07C6F" w14:textId="77777777" w:rsidR="00213947" w:rsidRPr="002275B4" w:rsidRDefault="00145434">
            <w:pPr>
              <w:pStyle w:val="TableStyle2A"/>
              <w:ind w:left="720"/>
              <w:rPr>
                <w:sz w:val="21"/>
                <w:szCs w:val="21"/>
              </w:rPr>
            </w:pPr>
            <w:r w:rsidRPr="002275B4">
              <w:rPr>
                <w:sz w:val="21"/>
                <w:szCs w:val="21"/>
              </w:rPr>
              <w:t>Reforms beyond the terms of reference</w:t>
            </w:r>
          </w:p>
        </w:tc>
        <w:tc>
          <w:tcPr>
            <w:tcW w:w="537" w:type="dxa"/>
            <w:tcBorders>
              <w:top w:val="nil"/>
              <w:left w:val="nil"/>
              <w:bottom w:val="nil"/>
              <w:right w:val="nil"/>
            </w:tcBorders>
            <w:shd w:val="clear" w:color="auto" w:fill="FFFFFF"/>
            <w:tcMar>
              <w:top w:w="80" w:type="dxa"/>
              <w:left w:w="80" w:type="dxa"/>
              <w:bottom w:w="80" w:type="dxa"/>
              <w:right w:w="80" w:type="dxa"/>
            </w:tcMar>
          </w:tcPr>
          <w:p w14:paraId="68D27A4D" w14:textId="77777777" w:rsidR="00213947" w:rsidRPr="002275B4" w:rsidRDefault="00145434">
            <w:pPr>
              <w:pStyle w:val="TableStyle2A"/>
              <w:jc w:val="right"/>
              <w:rPr>
                <w:sz w:val="21"/>
                <w:szCs w:val="21"/>
              </w:rPr>
            </w:pPr>
            <w:r w:rsidRPr="002275B4">
              <w:rPr>
                <w:sz w:val="21"/>
                <w:szCs w:val="21"/>
              </w:rPr>
              <w:t>7</w:t>
            </w:r>
          </w:p>
        </w:tc>
      </w:tr>
      <w:tr w:rsidR="00213947" w:rsidRPr="002275B4" w14:paraId="2902BBB9" w14:textId="77777777">
        <w:trPr>
          <w:trHeight w:val="279"/>
        </w:trPr>
        <w:tc>
          <w:tcPr>
            <w:tcW w:w="9036" w:type="dxa"/>
            <w:tcBorders>
              <w:top w:val="nil"/>
              <w:left w:val="nil"/>
              <w:bottom w:val="nil"/>
              <w:right w:val="nil"/>
            </w:tcBorders>
            <w:shd w:val="clear" w:color="auto" w:fill="FFFFFF"/>
            <w:tcMar>
              <w:top w:w="80" w:type="dxa"/>
              <w:left w:w="80" w:type="dxa"/>
              <w:bottom w:w="80" w:type="dxa"/>
              <w:right w:w="80" w:type="dxa"/>
            </w:tcMar>
          </w:tcPr>
          <w:p w14:paraId="4A1BF214" w14:textId="77777777" w:rsidR="00213947" w:rsidRPr="002275B4" w:rsidRDefault="00145434">
            <w:pPr>
              <w:pStyle w:val="TableStyle2A"/>
              <w:ind w:left="720"/>
              <w:rPr>
                <w:sz w:val="21"/>
                <w:szCs w:val="21"/>
              </w:rPr>
            </w:pPr>
            <w:r w:rsidRPr="002275B4">
              <w:rPr>
                <w:sz w:val="21"/>
                <w:szCs w:val="21"/>
              </w:rPr>
              <w:t>Opportunities for further research</w:t>
            </w:r>
          </w:p>
        </w:tc>
        <w:tc>
          <w:tcPr>
            <w:tcW w:w="537" w:type="dxa"/>
            <w:tcBorders>
              <w:top w:val="nil"/>
              <w:left w:val="nil"/>
              <w:bottom w:val="nil"/>
              <w:right w:val="nil"/>
            </w:tcBorders>
            <w:shd w:val="clear" w:color="auto" w:fill="FFFFFF"/>
            <w:tcMar>
              <w:top w:w="80" w:type="dxa"/>
              <w:left w:w="80" w:type="dxa"/>
              <w:bottom w:w="80" w:type="dxa"/>
              <w:right w:w="80" w:type="dxa"/>
            </w:tcMar>
          </w:tcPr>
          <w:p w14:paraId="2D22BEE9" w14:textId="77777777" w:rsidR="00213947" w:rsidRPr="002275B4" w:rsidRDefault="00145434">
            <w:pPr>
              <w:pStyle w:val="TableStyle2A"/>
              <w:jc w:val="right"/>
              <w:rPr>
                <w:sz w:val="21"/>
                <w:szCs w:val="21"/>
              </w:rPr>
            </w:pPr>
            <w:r w:rsidRPr="002275B4">
              <w:rPr>
                <w:sz w:val="21"/>
                <w:szCs w:val="21"/>
              </w:rPr>
              <w:t>8</w:t>
            </w:r>
          </w:p>
        </w:tc>
      </w:tr>
    </w:tbl>
    <w:p w14:paraId="68E88232" w14:textId="77777777" w:rsidR="00213947" w:rsidRPr="002275B4" w:rsidRDefault="00213947">
      <w:pPr>
        <w:pStyle w:val="BodyA"/>
        <w:widowControl w:val="0"/>
        <w:jc w:val="both"/>
        <w:rPr>
          <w:b/>
          <w:bCs/>
          <w:sz w:val="21"/>
          <w:szCs w:val="21"/>
          <w:lang w:val="fr-FR"/>
        </w:rPr>
      </w:pPr>
    </w:p>
    <w:p w14:paraId="3AD797C6" w14:textId="77777777" w:rsidR="00213947" w:rsidRPr="002275B4" w:rsidRDefault="00213947">
      <w:pPr>
        <w:pStyle w:val="BodyA"/>
        <w:jc w:val="both"/>
        <w:rPr>
          <w:b/>
          <w:bCs/>
          <w:sz w:val="21"/>
          <w:szCs w:val="21"/>
        </w:rPr>
      </w:pPr>
    </w:p>
    <w:p w14:paraId="7BE65813" w14:textId="77777777" w:rsidR="00213947" w:rsidRPr="002275B4" w:rsidRDefault="00213947">
      <w:pPr>
        <w:pStyle w:val="BodyA"/>
        <w:spacing w:line="360" w:lineRule="auto"/>
        <w:jc w:val="both"/>
        <w:rPr>
          <w:b/>
          <w:bCs/>
          <w:sz w:val="21"/>
          <w:szCs w:val="21"/>
        </w:rPr>
      </w:pPr>
    </w:p>
    <w:p w14:paraId="4ECDC63D" w14:textId="77777777" w:rsidR="00213947" w:rsidRPr="002275B4" w:rsidRDefault="00213947">
      <w:pPr>
        <w:pStyle w:val="BodyA"/>
        <w:spacing w:line="360" w:lineRule="auto"/>
        <w:jc w:val="both"/>
        <w:rPr>
          <w:b/>
          <w:bCs/>
          <w:sz w:val="21"/>
          <w:szCs w:val="21"/>
        </w:rPr>
      </w:pPr>
    </w:p>
    <w:p w14:paraId="473AFD3C" w14:textId="77777777" w:rsidR="00213947" w:rsidRPr="002275B4" w:rsidRDefault="00213947">
      <w:pPr>
        <w:pStyle w:val="BodyA"/>
        <w:spacing w:line="360" w:lineRule="auto"/>
        <w:jc w:val="both"/>
        <w:rPr>
          <w:b/>
          <w:bCs/>
          <w:sz w:val="21"/>
          <w:szCs w:val="21"/>
        </w:rPr>
      </w:pPr>
    </w:p>
    <w:p w14:paraId="3D11AFED" w14:textId="77777777" w:rsidR="00213947" w:rsidRPr="002275B4" w:rsidRDefault="00213947">
      <w:pPr>
        <w:pStyle w:val="BodyA"/>
        <w:spacing w:line="360" w:lineRule="auto"/>
        <w:jc w:val="both"/>
        <w:rPr>
          <w:b/>
          <w:bCs/>
          <w:sz w:val="21"/>
          <w:szCs w:val="21"/>
        </w:rPr>
      </w:pPr>
    </w:p>
    <w:p w14:paraId="6A96FBB9" w14:textId="77777777" w:rsidR="00213947" w:rsidRPr="002275B4" w:rsidRDefault="00213947">
      <w:pPr>
        <w:pStyle w:val="BodyA"/>
        <w:spacing w:line="360" w:lineRule="auto"/>
        <w:jc w:val="both"/>
        <w:rPr>
          <w:b/>
          <w:bCs/>
          <w:sz w:val="21"/>
          <w:szCs w:val="21"/>
        </w:rPr>
      </w:pPr>
    </w:p>
    <w:p w14:paraId="3D43E63D" w14:textId="77777777" w:rsidR="00213947" w:rsidRPr="002275B4" w:rsidRDefault="00213947">
      <w:pPr>
        <w:pStyle w:val="BodyA"/>
        <w:spacing w:line="360" w:lineRule="auto"/>
        <w:jc w:val="both"/>
        <w:rPr>
          <w:b/>
          <w:bCs/>
          <w:sz w:val="21"/>
          <w:szCs w:val="21"/>
        </w:rPr>
      </w:pPr>
    </w:p>
    <w:p w14:paraId="70E47990" w14:textId="77777777" w:rsidR="00213947" w:rsidRPr="002275B4" w:rsidRDefault="00213947">
      <w:pPr>
        <w:pStyle w:val="BodyA"/>
        <w:spacing w:line="360" w:lineRule="auto"/>
        <w:jc w:val="both"/>
        <w:rPr>
          <w:b/>
          <w:bCs/>
          <w:sz w:val="21"/>
          <w:szCs w:val="21"/>
        </w:rPr>
      </w:pPr>
    </w:p>
    <w:p w14:paraId="08188D7D" w14:textId="77777777" w:rsidR="002275B4" w:rsidRPr="002275B4" w:rsidRDefault="002275B4">
      <w:pPr>
        <w:pStyle w:val="BodyA"/>
        <w:spacing w:line="360" w:lineRule="auto"/>
        <w:jc w:val="both"/>
        <w:rPr>
          <w:b/>
          <w:bCs/>
          <w:sz w:val="21"/>
          <w:szCs w:val="21"/>
        </w:rPr>
      </w:pPr>
    </w:p>
    <w:p w14:paraId="30F8B7C6" w14:textId="77777777" w:rsidR="00213947" w:rsidRDefault="00213947">
      <w:pPr>
        <w:pStyle w:val="BodyA"/>
        <w:spacing w:line="360" w:lineRule="auto"/>
        <w:jc w:val="both"/>
        <w:rPr>
          <w:b/>
          <w:bCs/>
          <w:sz w:val="21"/>
          <w:szCs w:val="21"/>
        </w:rPr>
      </w:pPr>
    </w:p>
    <w:p w14:paraId="50AEE5B8" w14:textId="77777777" w:rsidR="002275B4" w:rsidRDefault="002275B4">
      <w:pPr>
        <w:pStyle w:val="BodyA"/>
        <w:spacing w:line="360" w:lineRule="auto"/>
        <w:jc w:val="both"/>
        <w:rPr>
          <w:b/>
          <w:bCs/>
          <w:sz w:val="21"/>
          <w:szCs w:val="21"/>
        </w:rPr>
      </w:pPr>
    </w:p>
    <w:p w14:paraId="60AFA5EC" w14:textId="77777777" w:rsidR="002275B4" w:rsidRPr="002275B4" w:rsidRDefault="002275B4">
      <w:pPr>
        <w:pStyle w:val="BodyA"/>
        <w:spacing w:line="360" w:lineRule="auto"/>
        <w:jc w:val="both"/>
        <w:rPr>
          <w:b/>
          <w:bCs/>
          <w:sz w:val="21"/>
          <w:szCs w:val="21"/>
        </w:rPr>
      </w:pPr>
    </w:p>
    <w:p w14:paraId="4D7D4605" w14:textId="77777777" w:rsidR="00213947" w:rsidRPr="002275B4" w:rsidRDefault="00213947">
      <w:pPr>
        <w:pStyle w:val="BodyB"/>
        <w:rPr>
          <w:b/>
          <w:bCs/>
          <w:sz w:val="21"/>
          <w:szCs w:val="21"/>
        </w:rPr>
      </w:pPr>
    </w:p>
    <w:p w14:paraId="59F40E3F" w14:textId="77777777" w:rsidR="00213947" w:rsidRPr="002275B4" w:rsidRDefault="00213947">
      <w:pPr>
        <w:pStyle w:val="BodyB"/>
        <w:rPr>
          <w:rFonts w:ascii="Helvetica" w:eastAsia="Helvetica" w:hAnsi="Helvetica" w:cs="Helvetica"/>
          <w:b/>
          <w:bCs/>
          <w:sz w:val="21"/>
          <w:szCs w:val="21"/>
        </w:rPr>
      </w:pPr>
    </w:p>
    <w:p w14:paraId="02D37E54" w14:textId="77777777" w:rsidR="00213947" w:rsidRPr="002275B4" w:rsidRDefault="00145434">
      <w:pPr>
        <w:pStyle w:val="BodyA"/>
        <w:spacing w:line="360" w:lineRule="auto"/>
        <w:jc w:val="both"/>
        <w:rPr>
          <w:b/>
          <w:bCs/>
          <w:sz w:val="21"/>
          <w:szCs w:val="21"/>
        </w:rPr>
      </w:pPr>
      <w:r w:rsidRPr="002275B4">
        <w:rPr>
          <w:b/>
          <w:bCs/>
          <w:sz w:val="21"/>
          <w:szCs w:val="21"/>
        </w:rPr>
        <w:t>Introduction</w:t>
      </w:r>
    </w:p>
    <w:p w14:paraId="06A1FE2A" w14:textId="77777777" w:rsidR="002275B4" w:rsidRDefault="002275B4">
      <w:pPr>
        <w:pStyle w:val="BodyA"/>
        <w:spacing w:line="360" w:lineRule="auto"/>
        <w:jc w:val="both"/>
        <w:rPr>
          <w:b/>
          <w:bCs/>
          <w:sz w:val="21"/>
          <w:szCs w:val="21"/>
        </w:rPr>
      </w:pPr>
    </w:p>
    <w:p w14:paraId="0FA033BB" w14:textId="77777777" w:rsidR="00213947" w:rsidRPr="002275B4" w:rsidRDefault="00145434">
      <w:pPr>
        <w:pStyle w:val="BodyA"/>
        <w:spacing w:line="360" w:lineRule="auto"/>
        <w:jc w:val="both"/>
        <w:rPr>
          <w:b/>
          <w:bCs/>
          <w:sz w:val="21"/>
          <w:szCs w:val="21"/>
        </w:rPr>
      </w:pPr>
      <w:r w:rsidRPr="002275B4">
        <w:rPr>
          <w:b/>
          <w:bCs/>
          <w:sz w:val="21"/>
          <w:szCs w:val="21"/>
        </w:rPr>
        <w:tab/>
        <w:t>About Interns Australia</w:t>
      </w:r>
    </w:p>
    <w:p w14:paraId="0FED4654" w14:textId="77777777" w:rsidR="00213947" w:rsidRPr="002275B4" w:rsidRDefault="00213947">
      <w:pPr>
        <w:pStyle w:val="BodyA"/>
        <w:spacing w:line="360" w:lineRule="auto"/>
        <w:jc w:val="both"/>
        <w:rPr>
          <w:sz w:val="21"/>
          <w:szCs w:val="21"/>
        </w:rPr>
      </w:pPr>
    </w:p>
    <w:p w14:paraId="1CAFB59D" w14:textId="77777777" w:rsidR="00213947" w:rsidRPr="002275B4" w:rsidRDefault="00145434">
      <w:pPr>
        <w:pStyle w:val="BodyA"/>
        <w:spacing w:line="360" w:lineRule="auto"/>
        <w:jc w:val="both"/>
        <w:rPr>
          <w:sz w:val="21"/>
          <w:szCs w:val="21"/>
        </w:rPr>
      </w:pPr>
      <w:r w:rsidRPr="002275B4">
        <w:rPr>
          <w:sz w:val="21"/>
          <w:szCs w:val="21"/>
        </w:rPr>
        <w:t>Interns Australia is the support and advocacy body for interns and students undergoing work placements in Australia. As a non-party-political body, our goal is to engage and empower interns, employers, government and other stakeholders to create an employment landscape that is fair, regulated and protects the dignity of interns.</w:t>
      </w:r>
    </w:p>
    <w:p w14:paraId="1BD7190E" w14:textId="77777777" w:rsidR="00213947" w:rsidRPr="002275B4" w:rsidRDefault="00213947">
      <w:pPr>
        <w:pStyle w:val="BodyA"/>
        <w:spacing w:line="360" w:lineRule="auto"/>
        <w:jc w:val="both"/>
        <w:rPr>
          <w:sz w:val="21"/>
          <w:szCs w:val="21"/>
        </w:rPr>
      </w:pPr>
    </w:p>
    <w:p w14:paraId="25E8E74C" w14:textId="77777777" w:rsidR="00213947" w:rsidRPr="002275B4" w:rsidRDefault="00145434">
      <w:pPr>
        <w:pStyle w:val="BodyA"/>
        <w:spacing w:line="360" w:lineRule="auto"/>
        <w:jc w:val="both"/>
        <w:rPr>
          <w:b/>
          <w:bCs/>
          <w:sz w:val="21"/>
          <w:szCs w:val="21"/>
        </w:rPr>
      </w:pPr>
      <w:r w:rsidRPr="002275B4">
        <w:rPr>
          <w:b/>
          <w:bCs/>
          <w:sz w:val="21"/>
          <w:szCs w:val="21"/>
        </w:rPr>
        <w:tab/>
        <w:t>The policy challenge of internships, relevant Terms of Reference</w:t>
      </w:r>
    </w:p>
    <w:p w14:paraId="72FE0917" w14:textId="77777777" w:rsidR="00213947" w:rsidRPr="002275B4" w:rsidRDefault="00213947">
      <w:pPr>
        <w:pStyle w:val="BodyA"/>
        <w:spacing w:line="360" w:lineRule="auto"/>
        <w:jc w:val="both"/>
        <w:rPr>
          <w:b/>
          <w:bCs/>
          <w:sz w:val="21"/>
          <w:szCs w:val="21"/>
        </w:rPr>
      </w:pPr>
    </w:p>
    <w:p w14:paraId="16AF9B93" w14:textId="77777777" w:rsidR="00213947" w:rsidRPr="002275B4" w:rsidRDefault="00145434">
      <w:pPr>
        <w:pStyle w:val="BodyA"/>
        <w:spacing w:line="360" w:lineRule="auto"/>
        <w:jc w:val="both"/>
        <w:rPr>
          <w:sz w:val="21"/>
          <w:szCs w:val="21"/>
        </w:rPr>
      </w:pPr>
      <w:r w:rsidRPr="002275B4">
        <w:rPr>
          <w:sz w:val="21"/>
          <w:szCs w:val="21"/>
        </w:rPr>
        <w:t xml:space="preserve">Internships present benefits and risks. Where the work performed is educational, the intern gains valuable vocational skills and insights prior to entering the workforce </w:t>
      </w:r>
      <w:proofErr w:type="gramStart"/>
      <w:r w:rsidRPr="002275B4">
        <w:rPr>
          <w:sz w:val="21"/>
          <w:szCs w:val="21"/>
        </w:rPr>
        <w:t>proper,</w:t>
      </w:r>
      <w:proofErr w:type="gramEnd"/>
      <w:r w:rsidRPr="002275B4">
        <w:rPr>
          <w:sz w:val="21"/>
          <w:szCs w:val="21"/>
        </w:rPr>
        <w:t xml:space="preserve"> and internships allow </w:t>
      </w:r>
      <w:proofErr w:type="spellStart"/>
      <w:r w:rsidRPr="002275B4">
        <w:rPr>
          <w:sz w:val="21"/>
          <w:szCs w:val="21"/>
        </w:rPr>
        <w:t>organisations</w:t>
      </w:r>
      <w:proofErr w:type="spellEnd"/>
      <w:r w:rsidRPr="002275B4">
        <w:rPr>
          <w:sz w:val="21"/>
          <w:szCs w:val="21"/>
        </w:rPr>
        <w:t xml:space="preserve"> to build relationships with potential future staff, making recruitment more efficient.</w:t>
      </w:r>
      <w:r w:rsidRPr="002275B4">
        <w:rPr>
          <w:rFonts w:ascii="Times New Roman" w:eastAsia="Times New Roman" w:hAnsi="Times New Roman" w:cs="Times New Roman"/>
          <w:sz w:val="21"/>
          <w:szCs w:val="21"/>
          <w:vertAlign w:val="superscript"/>
        </w:rPr>
        <w:footnoteReference w:id="2"/>
      </w:r>
      <w:r w:rsidRPr="002275B4">
        <w:rPr>
          <w:sz w:val="21"/>
          <w:szCs w:val="21"/>
        </w:rPr>
        <w:t xml:space="preserve"> However, if the intern performs valuable and regular work for the </w:t>
      </w:r>
      <w:proofErr w:type="spellStart"/>
      <w:r w:rsidRPr="002275B4">
        <w:rPr>
          <w:sz w:val="21"/>
          <w:szCs w:val="21"/>
        </w:rPr>
        <w:t>organisation</w:t>
      </w:r>
      <w:proofErr w:type="spellEnd"/>
      <w:r w:rsidRPr="002275B4">
        <w:rPr>
          <w:sz w:val="21"/>
          <w:szCs w:val="21"/>
        </w:rPr>
        <w:t xml:space="preserve"> but is not remunerated as a regular employee, not only is the intern denied fair </w:t>
      </w:r>
      <w:proofErr w:type="gramStart"/>
      <w:r w:rsidRPr="002275B4">
        <w:rPr>
          <w:sz w:val="21"/>
          <w:szCs w:val="21"/>
        </w:rPr>
        <w:t>remuneration,</w:t>
      </w:r>
      <w:proofErr w:type="gramEnd"/>
      <w:r w:rsidRPr="002275B4">
        <w:rPr>
          <w:sz w:val="21"/>
          <w:szCs w:val="21"/>
        </w:rPr>
        <w:t xml:space="preserve"> their unpaid work undercuts the </w:t>
      </w:r>
      <w:proofErr w:type="spellStart"/>
      <w:r w:rsidRPr="002275B4">
        <w:rPr>
          <w:sz w:val="21"/>
          <w:szCs w:val="21"/>
        </w:rPr>
        <w:t>labour</w:t>
      </w:r>
      <w:proofErr w:type="spellEnd"/>
      <w:r w:rsidRPr="002275B4">
        <w:rPr>
          <w:sz w:val="21"/>
          <w:szCs w:val="21"/>
        </w:rPr>
        <w:t xml:space="preserve"> value of the paid workers responsible for these tasks.</w:t>
      </w:r>
      <w:r w:rsidRPr="002275B4">
        <w:rPr>
          <w:rFonts w:ascii="Times New Roman" w:eastAsia="Times New Roman" w:hAnsi="Times New Roman" w:cs="Times New Roman"/>
          <w:sz w:val="21"/>
          <w:szCs w:val="21"/>
          <w:vertAlign w:val="superscript"/>
        </w:rPr>
        <w:footnoteReference w:id="3"/>
      </w:r>
      <w:r w:rsidRPr="002275B4">
        <w:rPr>
          <w:sz w:val="21"/>
          <w:szCs w:val="21"/>
        </w:rPr>
        <w:t xml:space="preserve"> Similar to other forms of unpaid work - volunteering, unpaid trials - unpaid internships challenge a once-prevailing industrial relations norm and social standard: that work should be remunerated.</w:t>
      </w:r>
      <w:r w:rsidRPr="002275B4">
        <w:rPr>
          <w:rFonts w:ascii="Times New Roman" w:eastAsia="Times New Roman" w:hAnsi="Times New Roman" w:cs="Times New Roman"/>
          <w:sz w:val="21"/>
          <w:szCs w:val="21"/>
          <w:vertAlign w:val="superscript"/>
        </w:rPr>
        <w:footnoteReference w:id="4"/>
      </w:r>
    </w:p>
    <w:p w14:paraId="69F01AF6" w14:textId="77777777" w:rsidR="00213947" w:rsidRPr="002275B4" w:rsidRDefault="00213947">
      <w:pPr>
        <w:pStyle w:val="BodyA"/>
        <w:spacing w:line="360" w:lineRule="auto"/>
        <w:jc w:val="both"/>
        <w:rPr>
          <w:sz w:val="21"/>
          <w:szCs w:val="21"/>
        </w:rPr>
      </w:pPr>
    </w:p>
    <w:p w14:paraId="3B4730ED" w14:textId="77777777" w:rsidR="00213947" w:rsidRPr="002275B4" w:rsidRDefault="00145434">
      <w:pPr>
        <w:pStyle w:val="BodyA"/>
        <w:spacing w:line="360" w:lineRule="auto"/>
        <w:jc w:val="both"/>
        <w:rPr>
          <w:sz w:val="21"/>
          <w:szCs w:val="21"/>
        </w:rPr>
      </w:pPr>
      <w:r w:rsidRPr="002275B4">
        <w:rPr>
          <w:sz w:val="21"/>
          <w:szCs w:val="21"/>
        </w:rPr>
        <w:t>This submission addresses the following specific matters listed in the terms of reference provided by Treasurer Joseph Hockey for evaluating the operation of Australia</w:t>
      </w:r>
      <w:r w:rsidRPr="002275B4">
        <w:rPr>
          <w:rFonts w:hAnsi="Helvetica"/>
          <w:sz w:val="21"/>
          <w:szCs w:val="21"/>
        </w:rPr>
        <w:t>’</w:t>
      </w:r>
      <w:r w:rsidRPr="002275B4">
        <w:rPr>
          <w:sz w:val="21"/>
          <w:szCs w:val="21"/>
        </w:rPr>
        <w:t>s workplace relations framework:</w:t>
      </w:r>
    </w:p>
    <w:p w14:paraId="352CBA9B" w14:textId="77777777" w:rsidR="00213947" w:rsidRPr="002275B4" w:rsidRDefault="00213947">
      <w:pPr>
        <w:pStyle w:val="BodyA"/>
        <w:spacing w:line="360" w:lineRule="auto"/>
        <w:jc w:val="both"/>
        <w:rPr>
          <w:sz w:val="21"/>
          <w:szCs w:val="21"/>
        </w:rPr>
      </w:pPr>
    </w:p>
    <w:p w14:paraId="0FFFA33B" w14:textId="77777777" w:rsidR="00213947" w:rsidRPr="002275B4" w:rsidRDefault="00145434">
      <w:pPr>
        <w:pStyle w:val="BodyA"/>
        <w:numPr>
          <w:ilvl w:val="0"/>
          <w:numId w:val="3"/>
        </w:numPr>
        <w:tabs>
          <w:tab w:val="num" w:pos="180"/>
        </w:tabs>
        <w:spacing w:line="360" w:lineRule="auto"/>
        <w:ind w:left="180" w:hanging="180"/>
        <w:jc w:val="both"/>
        <w:rPr>
          <w:sz w:val="21"/>
          <w:szCs w:val="21"/>
        </w:rPr>
      </w:pPr>
      <w:r w:rsidRPr="002275B4">
        <w:rPr>
          <w:sz w:val="21"/>
          <w:szCs w:val="21"/>
        </w:rPr>
        <w:t>fair and equitable pay and conditions for employees, including the maintenance of a relevant safety net</w:t>
      </w:r>
    </w:p>
    <w:p w14:paraId="5D25B685" w14:textId="77777777" w:rsidR="00213947" w:rsidRPr="002275B4" w:rsidRDefault="00145434">
      <w:pPr>
        <w:pStyle w:val="BodyA"/>
        <w:numPr>
          <w:ilvl w:val="0"/>
          <w:numId w:val="6"/>
        </w:numPr>
        <w:tabs>
          <w:tab w:val="num" w:pos="180"/>
        </w:tabs>
        <w:spacing w:line="360" w:lineRule="auto"/>
        <w:ind w:left="180" w:hanging="180"/>
        <w:jc w:val="both"/>
        <w:rPr>
          <w:sz w:val="21"/>
          <w:szCs w:val="21"/>
        </w:rPr>
      </w:pPr>
      <w:proofErr w:type="gramStart"/>
      <w:r w:rsidRPr="002275B4">
        <w:rPr>
          <w:sz w:val="21"/>
          <w:szCs w:val="21"/>
        </w:rPr>
        <w:t>patterns</w:t>
      </w:r>
      <w:proofErr w:type="gramEnd"/>
      <w:r w:rsidRPr="002275B4">
        <w:rPr>
          <w:sz w:val="21"/>
          <w:szCs w:val="21"/>
        </w:rPr>
        <w:t xml:space="preserve"> of engagement in the </w:t>
      </w:r>
      <w:proofErr w:type="spellStart"/>
      <w:r w:rsidRPr="002275B4">
        <w:rPr>
          <w:sz w:val="21"/>
          <w:szCs w:val="21"/>
        </w:rPr>
        <w:t>labour</w:t>
      </w:r>
      <w:proofErr w:type="spellEnd"/>
      <w:r w:rsidRPr="002275B4">
        <w:rPr>
          <w:sz w:val="21"/>
          <w:szCs w:val="21"/>
        </w:rPr>
        <w:t xml:space="preserve"> market</w:t>
      </w:r>
      <w:r w:rsidR="002275B4">
        <w:rPr>
          <w:sz w:val="21"/>
          <w:szCs w:val="21"/>
        </w:rPr>
        <w:t>.</w:t>
      </w:r>
    </w:p>
    <w:p w14:paraId="0AD7ECFA" w14:textId="77777777" w:rsidR="002275B4" w:rsidRPr="002275B4" w:rsidRDefault="002275B4" w:rsidP="002275B4">
      <w:pPr>
        <w:pStyle w:val="BodyA"/>
        <w:spacing w:line="360" w:lineRule="auto"/>
        <w:jc w:val="both"/>
        <w:rPr>
          <w:b/>
          <w:bCs/>
          <w:sz w:val="21"/>
          <w:szCs w:val="21"/>
        </w:rPr>
      </w:pPr>
    </w:p>
    <w:p w14:paraId="18AAF270" w14:textId="77777777" w:rsidR="00213947" w:rsidRPr="002275B4" w:rsidRDefault="00145434">
      <w:pPr>
        <w:pStyle w:val="BodyA"/>
        <w:spacing w:line="360" w:lineRule="auto"/>
        <w:ind w:left="720"/>
        <w:jc w:val="both"/>
        <w:rPr>
          <w:b/>
          <w:bCs/>
          <w:sz w:val="21"/>
          <w:szCs w:val="21"/>
        </w:rPr>
      </w:pPr>
      <w:r w:rsidRPr="002275B4">
        <w:rPr>
          <w:b/>
          <w:bCs/>
          <w:sz w:val="21"/>
          <w:szCs w:val="21"/>
        </w:rPr>
        <w:t>Australia</w:t>
      </w:r>
      <w:r w:rsidRPr="002275B4">
        <w:rPr>
          <w:rFonts w:hAnsi="Helvetica"/>
          <w:b/>
          <w:bCs/>
          <w:sz w:val="21"/>
          <w:szCs w:val="21"/>
        </w:rPr>
        <w:t>’</w:t>
      </w:r>
      <w:r w:rsidRPr="002275B4">
        <w:rPr>
          <w:b/>
          <w:bCs/>
          <w:sz w:val="21"/>
          <w:szCs w:val="21"/>
        </w:rPr>
        <w:t xml:space="preserve">s internship practices </w:t>
      </w:r>
    </w:p>
    <w:p w14:paraId="71236E54" w14:textId="77777777" w:rsidR="002275B4" w:rsidRDefault="002275B4">
      <w:pPr>
        <w:pStyle w:val="BodyA"/>
        <w:spacing w:line="360" w:lineRule="auto"/>
        <w:jc w:val="both"/>
        <w:rPr>
          <w:sz w:val="21"/>
          <w:szCs w:val="21"/>
        </w:rPr>
      </w:pPr>
    </w:p>
    <w:p w14:paraId="774C7CD5" w14:textId="77777777" w:rsidR="00213947" w:rsidRPr="002275B4" w:rsidRDefault="00145434">
      <w:pPr>
        <w:pStyle w:val="BodyA"/>
        <w:spacing w:line="360" w:lineRule="auto"/>
        <w:jc w:val="both"/>
        <w:rPr>
          <w:sz w:val="21"/>
          <w:szCs w:val="21"/>
        </w:rPr>
      </w:pPr>
      <w:r w:rsidRPr="002275B4">
        <w:rPr>
          <w:sz w:val="21"/>
          <w:szCs w:val="21"/>
        </w:rPr>
        <w:t xml:space="preserve">It is difficult to accurately </w:t>
      </w:r>
      <w:proofErr w:type="spellStart"/>
      <w:r w:rsidRPr="002275B4">
        <w:rPr>
          <w:sz w:val="21"/>
          <w:szCs w:val="21"/>
        </w:rPr>
        <w:t>characterise</w:t>
      </w:r>
      <w:proofErr w:type="spellEnd"/>
      <w:r w:rsidRPr="002275B4">
        <w:rPr>
          <w:sz w:val="21"/>
          <w:szCs w:val="21"/>
        </w:rPr>
        <w:t xml:space="preserve"> the nature and prevalence of internships in Australia, as there is a lack of legal certainty and empirical data in the field.</w:t>
      </w:r>
      <w:r w:rsidRPr="002275B4">
        <w:rPr>
          <w:rFonts w:ascii="Times New Roman" w:eastAsia="Times New Roman" w:hAnsi="Times New Roman" w:cs="Times New Roman"/>
          <w:sz w:val="21"/>
          <w:szCs w:val="21"/>
          <w:vertAlign w:val="superscript"/>
        </w:rPr>
        <w:footnoteReference w:id="5"/>
      </w:r>
      <w:r w:rsidRPr="002275B4">
        <w:rPr>
          <w:sz w:val="21"/>
          <w:szCs w:val="21"/>
        </w:rPr>
        <w:t xml:space="preserve"> Surveys conducted by Interns Australia have reflected a diverse range of internship practices, with significant variance in: hours of work performed; </w:t>
      </w:r>
      <w:r w:rsidRPr="002275B4">
        <w:rPr>
          <w:sz w:val="21"/>
          <w:szCs w:val="21"/>
        </w:rPr>
        <w:lastRenderedPageBreak/>
        <w:t xml:space="preserve">length of the internship; supervision of work; whether remuneration is provided; whether the internships </w:t>
      </w:r>
      <w:proofErr w:type="gramStart"/>
      <w:r w:rsidRPr="002275B4">
        <w:rPr>
          <w:sz w:val="21"/>
          <w:szCs w:val="21"/>
        </w:rPr>
        <w:t>is</w:t>
      </w:r>
      <w:proofErr w:type="gramEnd"/>
      <w:r w:rsidRPr="002275B4">
        <w:rPr>
          <w:sz w:val="21"/>
          <w:szCs w:val="21"/>
        </w:rPr>
        <w:t xml:space="preserve"> part of a formal education course.</w:t>
      </w:r>
      <w:r w:rsidRPr="002275B4">
        <w:rPr>
          <w:rFonts w:ascii="Times New Roman" w:eastAsia="Times New Roman" w:hAnsi="Times New Roman" w:cs="Times New Roman"/>
          <w:sz w:val="21"/>
          <w:szCs w:val="21"/>
          <w:vertAlign w:val="superscript"/>
        </w:rPr>
        <w:footnoteReference w:id="6"/>
      </w:r>
    </w:p>
    <w:p w14:paraId="4C5DDC02" w14:textId="77777777" w:rsidR="00213947" w:rsidRPr="002275B4" w:rsidRDefault="00213947">
      <w:pPr>
        <w:pStyle w:val="BodyA"/>
        <w:spacing w:line="360" w:lineRule="auto"/>
        <w:jc w:val="both"/>
        <w:rPr>
          <w:sz w:val="21"/>
          <w:szCs w:val="21"/>
        </w:rPr>
      </w:pPr>
    </w:p>
    <w:p w14:paraId="47CE1078" w14:textId="77777777" w:rsidR="00213947" w:rsidRPr="002275B4" w:rsidRDefault="00145434">
      <w:pPr>
        <w:pStyle w:val="BodyA"/>
        <w:spacing w:line="360" w:lineRule="auto"/>
        <w:jc w:val="both"/>
        <w:rPr>
          <w:sz w:val="21"/>
          <w:szCs w:val="21"/>
        </w:rPr>
      </w:pPr>
      <w:r w:rsidRPr="002275B4">
        <w:rPr>
          <w:sz w:val="21"/>
          <w:szCs w:val="21"/>
        </w:rPr>
        <w:t xml:space="preserve">In contrast to the Australian experience, internships in the United States have been more thoroughly </w:t>
      </w:r>
      <w:proofErr w:type="gramStart"/>
      <w:r w:rsidRPr="002275B4">
        <w:rPr>
          <w:sz w:val="21"/>
          <w:szCs w:val="21"/>
        </w:rPr>
        <w:t>documented,</w:t>
      </w:r>
      <w:proofErr w:type="gramEnd"/>
      <w:r w:rsidRPr="002275B4">
        <w:rPr>
          <w:sz w:val="21"/>
          <w:szCs w:val="21"/>
        </w:rPr>
        <w:t xml:space="preserve"> culminating in the seminal </w:t>
      </w:r>
      <w:r w:rsidRPr="002275B4">
        <w:rPr>
          <w:color w:val="auto"/>
          <w:sz w:val="21"/>
          <w:szCs w:val="21"/>
        </w:rPr>
        <w:t xml:space="preserve">essay </w:t>
      </w:r>
      <w:r w:rsidRPr="002275B4">
        <w:rPr>
          <w:rFonts w:ascii="Arial"/>
          <w:i/>
          <w:iCs/>
          <w:color w:val="auto"/>
          <w:sz w:val="21"/>
          <w:szCs w:val="21"/>
          <w:shd w:val="clear" w:color="auto" w:fill="FFFFFF"/>
        </w:rPr>
        <w:t>The Employment Law Rights of Student</w:t>
      </w:r>
      <w:r w:rsidRPr="002275B4">
        <w:rPr>
          <w:rFonts w:hAnsi="Arial"/>
          <w:i/>
          <w:iCs/>
          <w:color w:val="auto"/>
          <w:sz w:val="21"/>
          <w:szCs w:val="21"/>
          <w:shd w:val="clear" w:color="auto" w:fill="FFFFFF"/>
        </w:rPr>
        <w:t> </w:t>
      </w:r>
      <w:r w:rsidRPr="002275B4">
        <w:rPr>
          <w:rFonts w:ascii="Arial"/>
          <w:i/>
          <w:iCs/>
          <w:color w:val="auto"/>
          <w:sz w:val="21"/>
          <w:szCs w:val="21"/>
          <w:shd w:val="clear" w:color="auto" w:fill="FFFFFF"/>
        </w:rPr>
        <w:t>Interns</w:t>
      </w:r>
      <w:r w:rsidRPr="002275B4">
        <w:rPr>
          <w:color w:val="auto"/>
          <w:sz w:val="21"/>
          <w:szCs w:val="21"/>
        </w:rPr>
        <w:t xml:space="preserve"> by </w:t>
      </w:r>
      <w:r w:rsidRPr="002275B4">
        <w:rPr>
          <w:sz w:val="21"/>
          <w:szCs w:val="21"/>
        </w:rPr>
        <w:t xml:space="preserve">David Yamada as well as the influential book </w:t>
      </w:r>
      <w:r w:rsidRPr="002275B4">
        <w:rPr>
          <w:i/>
          <w:iCs/>
          <w:sz w:val="21"/>
          <w:szCs w:val="21"/>
        </w:rPr>
        <w:t>Intern Nation</w:t>
      </w:r>
      <w:r w:rsidRPr="002275B4">
        <w:rPr>
          <w:sz w:val="21"/>
          <w:szCs w:val="21"/>
        </w:rPr>
        <w:t xml:space="preserve"> by Ross </w:t>
      </w:r>
      <w:proofErr w:type="spellStart"/>
      <w:r w:rsidRPr="002275B4">
        <w:rPr>
          <w:sz w:val="21"/>
          <w:szCs w:val="21"/>
        </w:rPr>
        <w:t>Perlin</w:t>
      </w:r>
      <w:proofErr w:type="spellEnd"/>
      <w:r w:rsidRPr="002275B4">
        <w:rPr>
          <w:sz w:val="21"/>
          <w:szCs w:val="21"/>
        </w:rPr>
        <w:t>.</w:t>
      </w:r>
      <w:r w:rsidRPr="002275B4">
        <w:rPr>
          <w:rFonts w:ascii="Times New Roman" w:eastAsia="Times New Roman" w:hAnsi="Times New Roman" w:cs="Times New Roman"/>
          <w:sz w:val="21"/>
          <w:szCs w:val="21"/>
          <w:vertAlign w:val="superscript"/>
        </w:rPr>
        <w:footnoteReference w:id="7"/>
      </w:r>
      <w:r w:rsidRPr="002275B4">
        <w:rPr>
          <w:sz w:val="21"/>
          <w:szCs w:val="21"/>
        </w:rPr>
        <w:t xml:space="preserve"> In the United States, internships are overwhelmingly unpaid, and are a virtual prerequisite for employment in professional </w:t>
      </w:r>
      <w:proofErr w:type="spellStart"/>
      <w:r w:rsidRPr="002275B4">
        <w:rPr>
          <w:sz w:val="21"/>
          <w:szCs w:val="21"/>
        </w:rPr>
        <w:t>labour</w:t>
      </w:r>
      <w:proofErr w:type="spellEnd"/>
      <w:r w:rsidRPr="002275B4">
        <w:rPr>
          <w:sz w:val="21"/>
          <w:szCs w:val="21"/>
        </w:rPr>
        <w:t xml:space="preserve"> markets.</w:t>
      </w:r>
      <w:r w:rsidRPr="002275B4">
        <w:rPr>
          <w:rFonts w:ascii="Times New Roman" w:eastAsia="Times New Roman" w:hAnsi="Times New Roman" w:cs="Times New Roman"/>
          <w:sz w:val="21"/>
          <w:szCs w:val="21"/>
          <w:vertAlign w:val="superscript"/>
        </w:rPr>
        <w:footnoteReference w:id="8"/>
      </w:r>
      <w:r w:rsidRPr="002275B4">
        <w:rPr>
          <w:sz w:val="21"/>
          <w:szCs w:val="21"/>
        </w:rPr>
        <w:t xml:space="preserve">  Previously used in the medical profession to define a person with a degree but without a license to practice, internships began to gain popularity in the 1970s, expanding into the service and knowledge sectors of the </w:t>
      </w:r>
      <w:proofErr w:type="spellStart"/>
      <w:r w:rsidRPr="002275B4">
        <w:rPr>
          <w:sz w:val="21"/>
          <w:szCs w:val="21"/>
        </w:rPr>
        <w:t>labour</w:t>
      </w:r>
      <w:proofErr w:type="spellEnd"/>
      <w:r w:rsidRPr="002275B4">
        <w:rPr>
          <w:sz w:val="21"/>
          <w:szCs w:val="21"/>
        </w:rPr>
        <w:t xml:space="preserve"> market and replacing traditional employment practices.</w:t>
      </w:r>
      <w:r w:rsidRPr="002275B4">
        <w:rPr>
          <w:rFonts w:ascii="Times New Roman" w:eastAsia="Times New Roman" w:hAnsi="Times New Roman" w:cs="Times New Roman"/>
          <w:sz w:val="21"/>
          <w:szCs w:val="21"/>
          <w:vertAlign w:val="superscript"/>
        </w:rPr>
        <w:footnoteReference w:id="9"/>
      </w:r>
    </w:p>
    <w:p w14:paraId="475A99F8" w14:textId="77777777" w:rsidR="00213947" w:rsidRPr="002275B4" w:rsidRDefault="00213947">
      <w:pPr>
        <w:pStyle w:val="BodyA"/>
        <w:spacing w:line="360" w:lineRule="auto"/>
        <w:jc w:val="both"/>
        <w:rPr>
          <w:sz w:val="21"/>
          <w:szCs w:val="21"/>
        </w:rPr>
      </w:pPr>
    </w:p>
    <w:p w14:paraId="79D198C8" w14:textId="77777777" w:rsidR="002275B4" w:rsidRDefault="00145434">
      <w:pPr>
        <w:pStyle w:val="BodyA"/>
        <w:spacing w:line="360" w:lineRule="auto"/>
        <w:jc w:val="both"/>
        <w:rPr>
          <w:sz w:val="21"/>
          <w:szCs w:val="21"/>
        </w:rPr>
      </w:pPr>
      <w:r w:rsidRPr="002275B4">
        <w:rPr>
          <w:sz w:val="21"/>
          <w:szCs w:val="21"/>
        </w:rPr>
        <w:t xml:space="preserve">Stewart and Owens consider </w:t>
      </w:r>
      <w:proofErr w:type="spellStart"/>
      <w:r w:rsidRPr="002275B4">
        <w:rPr>
          <w:sz w:val="21"/>
          <w:szCs w:val="21"/>
        </w:rPr>
        <w:t>Perlin</w:t>
      </w:r>
      <w:r w:rsidRPr="002275B4">
        <w:rPr>
          <w:rFonts w:hAnsi="Helvetica"/>
          <w:sz w:val="21"/>
          <w:szCs w:val="21"/>
        </w:rPr>
        <w:t>’</w:t>
      </w:r>
      <w:r w:rsidRPr="002275B4">
        <w:rPr>
          <w:sz w:val="21"/>
          <w:szCs w:val="21"/>
        </w:rPr>
        <w:t>s</w:t>
      </w:r>
      <w:proofErr w:type="spellEnd"/>
      <w:r w:rsidRPr="002275B4">
        <w:rPr>
          <w:sz w:val="21"/>
          <w:szCs w:val="21"/>
        </w:rPr>
        <w:t xml:space="preserve"> observations to apply generally to developed economies, and specifically to Australia.</w:t>
      </w:r>
      <w:r w:rsidRPr="002275B4">
        <w:rPr>
          <w:rFonts w:ascii="Times New Roman" w:eastAsia="Times New Roman" w:hAnsi="Times New Roman" w:cs="Times New Roman"/>
          <w:sz w:val="21"/>
          <w:szCs w:val="21"/>
          <w:vertAlign w:val="superscript"/>
        </w:rPr>
        <w:footnoteReference w:id="10"/>
      </w:r>
      <w:r w:rsidRPr="002275B4">
        <w:rPr>
          <w:sz w:val="21"/>
          <w:szCs w:val="21"/>
        </w:rPr>
        <w:t xml:space="preserve"> Their research into unremunerated student work notes that although in 2010 only 19% of Australian students had completed performed unpaid work alongside their studies,</w:t>
      </w:r>
      <w:r w:rsidRPr="002275B4">
        <w:rPr>
          <w:rFonts w:ascii="Times New Roman" w:eastAsia="Times New Roman" w:hAnsi="Times New Roman" w:cs="Times New Roman"/>
          <w:sz w:val="21"/>
          <w:szCs w:val="21"/>
          <w:vertAlign w:val="superscript"/>
        </w:rPr>
        <w:footnoteReference w:id="11"/>
      </w:r>
      <w:r w:rsidRPr="002275B4">
        <w:rPr>
          <w:sz w:val="21"/>
          <w:szCs w:val="21"/>
        </w:rPr>
        <w:t xml:space="preserve"> this number is increasingly rapidly, and is currently </w:t>
      </w:r>
      <w:r w:rsidRPr="002275B4">
        <w:rPr>
          <w:rFonts w:hAnsi="Helvetica"/>
          <w:sz w:val="21"/>
          <w:szCs w:val="21"/>
        </w:rPr>
        <w:t>“</w:t>
      </w:r>
      <w:r w:rsidRPr="002275B4">
        <w:rPr>
          <w:sz w:val="21"/>
          <w:szCs w:val="21"/>
        </w:rPr>
        <w:t>on a scale substantial enough to warrant attention as a serious legal, practical and policy challenge in Australia.</w:t>
      </w:r>
      <w:r w:rsidRPr="002275B4">
        <w:rPr>
          <w:rFonts w:hAnsi="Helvetica"/>
          <w:sz w:val="21"/>
          <w:szCs w:val="21"/>
        </w:rPr>
        <w:t>”</w:t>
      </w:r>
      <w:r w:rsidRPr="002275B4">
        <w:rPr>
          <w:rFonts w:ascii="Times New Roman" w:eastAsia="Times New Roman" w:hAnsi="Times New Roman" w:cs="Times New Roman"/>
          <w:sz w:val="21"/>
          <w:szCs w:val="21"/>
          <w:vertAlign w:val="superscript"/>
        </w:rPr>
        <w:footnoteReference w:id="12"/>
      </w:r>
      <w:r w:rsidRPr="002275B4">
        <w:rPr>
          <w:sz w:val="21"/>
          <w:szCs w:val="21"/>
        </w:rPr>
        <w:t xml:space="preserve"> </w:t>
      </w:r>
    </w:p>
    <w:p w14:paraId="78DF1AC0" w14:textId="77777777" w:rsidR="002275B4" w:rsidRPr="002275B4" w:rsidRDefault="002275B4">
      <w:pPr>
        <w:pStyle w:val="BodyA"/>
        <w:spacing w:line="360" w:lineRule="auto"/>
        <w:jc w:val="both"/>
        <w:rPr>
          <w:sz w:val="21"/>
          <w:szCs w:val="21"/>
        </w:rPr>
      </w:pPr>
    </w:p>
    <w:p w14:paraId="22123FBF" w14:textId="77777777" w:rsidR="00213947" w:rsidRPr="002275B4" w:rsidRDefault="00145434">
      <w:pPr>
        <w:pStyle w:val="BodyA"/>
        <w:spacing w:line="360" w:lineRule="auto"/>
        <w:jc w:val="both"/>
        <w:rPr>
          <w:b/>
          <w:bCs/>
          <w:sz w:val="21"/>
          <w:szCs w:val="21"/>
        </w:rPr>
      </w:pPr>
      <w:r w:rsidRPr="002275B4">
        <w:rPr>
          <w:b/>
          <w:bCs/>
          <w:sz w:val="21"/>
          <w:szCs w:val="21"/>
        </w:rPr>
        <w:tab/>
        <w:t>Current workplace relations framework affecting internships</w:t>
      </w:r>
    </w:p>
    <w:p w14:paraId="31244FF0" w14:textId="77777777" w:rsidR="00213947" w:rsidRPr="002275B4" w:rsidRDefault="00213947">
      <w:pPr>
        <w:pStyle w:val="TableStyle2A"/>
        <w:spacing w:line="360" w:lineRule="auto"/>
        <w:ind w:left="655"/>
        <w:rPr>
          <w:b/>
          <w:bCs/>
          <w:sz w:val="21"/>
          <w:szCs w:val="21"/>
        </w:rPr>
      </w:pPr>
    </w:p>
    <w:p w14:paraId="591B83F3" w14:textId="77777777" w:rsidR="00213947" w:rsidRPr="002275B4" w:rsidRDefault="00145434">
      <w:pPr>
        <w:pStyle w:val="BodyA"/>
        <w:spacing w:line="360" w:lineRule="auto"/>
        <w:jc w:val="both"/>
        <w:rPr>
          <w:sz w:val="21"/>
          <w:szCs w:val="21"/>
        </w:rPr>
      </w:pPr>
      <w:r w:rsidRPr="002275B4">
        <w:rPr>
          <w:sz w:val="21"/>
          <w:szCs w:val="21"/>
        </w:rPr>
        <w:t>Perhaps reflecting the diverse nature of industry practices, and the lack of research into the area</w:t>
      </w:r>
      <w:proofErr w:type="gramStart"/>
      <w:r w:rsidRPr="002275B4">
        <w:rPr>
          <w:sz w:val="21"/>
          <w:szCs w:val="21"/>
        </w:rPr>
        <w:t>,  internships</w:t>
      </w:r>
      <w:proofErr w:type="gramEnd"/>
      <w:r w:rsidRPr="002275B4">
        <w:rPr>
          <w:sz w:val="21"/>
          <w:szCs w:val="21"/>
        </w:rPr>
        <w:t xml:space="preserve"> are not specifically defined or regulated by Australia</w:t>
      </w:r>
      <w:r w:rsidRPr="002275B4">
        <w:rPr>
          <w:rFonts w:hAnsi="Helvetica"/>
          <w:sz w:val="21"/>
          <w:szCs w:val="21"/>
        </w:rPr>
        <w:t>’</w:t>
      </w:r>
      <w:r w:rsidRPr="002275B4">
        <w:rPr>
          <w:sz w:val="21"/>
          <w:szCs w:val="21"/>
        </w:rPr>
        <w:t xml:space="preserve">s workplace relations framework. The </w:t>
      </w:r>
      <w:r w:rsidRPr="002275B4">
        <w:rPr>
          <w:i/>
          <w:iCs/>
          <w:sz w:val="21"/>
          <w:szCs w:val="21"/>
        </w:rPr>
        <w:t xml:space="preserve">Fair Work Act 2009 </w:t>
      </w:r>
      <w:r w:rsidRPr="002275B4">
        <w:rPr>
          <w:sz w:val="21"/>
          <w:szCs w:val="21"/>
        </w:rPr>
        <w:t>(</w:t>
      </w:r>
      <w:proofErr w:type="spellStart"/>
      <w:r w:rsidRPr="002275B4">
        <w:rPr>
          <w:sz w:val="21"/>
          <w:szCs w:val="21"/>
        </w:rPr>
        <w:t>Cth</w:t>
      </w:r>
      <w:proofErr w:type="spellEnd"/>
      <w:r w:rsidRPr="002275B4">
        <w:rPr>
          <w:sz w:val="21"/>
          <w:szCs w:val="21"/>
        </w:rPr>
        <w:t xml:space="preserve">) (FW Act) contemplates that unpaid work may be performed on as a </w:t>
      </w:r>
      <w:r w:rsidRPr="002275B4">
        <w:rPr>
          <w:rFonts w:hAnsi="Helvetica"/>
          <w:sz w:val="21"/>
          <w:szCs w:val="21"/>
        </w:rPr>
        <w:t>“</w:t>
      </w:r>
      <w:r w:rsidRPr="002275B4">
        <w:rPr>
          <w:sz w:val="21"/>
          <w:szCs w:val="21"/>
        </w:rPr>
        <w:t>vocational placement</w:t>
      </w:r>
      <w:proofErr w:type="gramStart"/>
      <w:r w:rsidRPr="002275B4">
        <w:rPr>
          <w:rFonts w:hAnsi="Helvetica"/>
          <w:sz w:val="21"/>
          <w:szCs w:val="21"/>
        </w:rPr>
        <w:t xml:space="preserve">” </w:t>
      </w:r>
      <w:r w:rsidRPr="002275B4">
        <w:rPr>
          <w:sz w:val="21"/>
          <w:szCs w:val="21"/>
        </w:rPr>
        <w:t>.</w:t>
      </w:r>
      <w:proofErr w:type="gramEnd"/>
      <w:r w:rsidRPr="002275B4">
        <w:rPr>
          <w:rFonts w:ascii="Times New Roman" w:eastAsia="Times New Roman" w:hAnsi="Times New Roman" w:cs="Times New Roman"/>
          <w:sz w:val="21"/>
          <w:szCs w:val="21"/>
          <w:vertAlign w:val="superscript"/>
        </w:rPr>
        <w:footnoteReference w:id="13"/>
      </w:r>
      <w:r w:rsidRPr="002275B4">
        <w:rPr>
          <w:sz w:val="21"/>
          <w:szCs w:val="21"/>
        </w:rPr>
        <w:t xml:space="preserve"> In this instance, students who perform work as part of a formal education course are not considered </w:t>
      </w:r>
      <w:r w:rsidRPr="002275B4">
        <w:rPr>
          <w:rFonts w:hAnsi="Helvetica"/>
          <w:sz w:val="21"/>
          <w:szCs w:val="21"/>
        </w:rPr>
        <w:t>“</w:t>
      </w:r>
      <w:r w:rsidRPr="002275B4">
        <w:rPr>
          <w:sz w:val="21"/>
          <w:szCs w:val="21"/>
        </w:rPr>
        <w:t>national system employees</w:t>
      </w:r>
      <w:r w:rsidRPr="002275B4">
        <w:rPr>
          <w:rFonts w:hAnsi="Helvetica"/>
          <w:sz w:val="21"/>
          <w:szCs w:val="21"/>
        </w:rPr>
        <w:t>”</w:t>
      </w:r>
      <w:r w:rsidRPr="002275B4">
        <w:rPr>
          <w:sz w:val="21"/>
          <w:szCs w:val="21"/>
        </w:rPr>
        <w:t xml:space="preserve">; a prerequisite status for enjoying the majority of national and industry-specific employee entitlements. </w:t>
      </w:r>
    </w:p>
    <w:p w14:paraId="0FA1F259" w14:textId="77777777" w:rsidR="00213947" w:rsidRPr="002275B4" w:rsidRDefault="00213947">
      <w:pPr>
        <w:pStyle w:val="BodyA"/>
        <w:spacing w:line="360" w:lineRule="auto"/>
        <w:jc w:val="both"/>
        <w:rPr>
          <w:sz w:val="21"/>
          <w:szCs w:val="21"/>
        </w:rPr>
      </w:pPr>
    </w:p>
    <w:p w14:paraId="52DAF77A" w14:textId="77777777" w:rsidR="00213947" w:rsidRPr="002275B4" w:rsidRDefault="00145434">
      <w:pPr>
        <w:pStyle w:val="BodyA"/>
        <w:spacing w:line="360" w:lineRule="auto"/>
        <w:jc w:val="both"/>
        <w:rPr>
          <w:sz w:val="21"/>
          <w:szCs w:val="21"/>
        </w:rPr>
      </w:pPr>
      <w:r w:rsidRPr="002275B4">
        <w:rPr>
          <w:sz w:val="21"/>
          <w:szCs w:val="21"/>
        </w:rPr>
        <w:t>In theory, if an intern</w:t>
      </w:r>
      <w:r w:rsidRPr="002275B4">
        <w:rPr>
          <w:rFonts w:hAnsi="Helvetica"/>
          <w:sz w:val="21"/>
          <w:szCs w:val="21"/>
        </w:rPr>
        <w:t>’</w:t>
      </w:r>
      <w:r w:rsidRPr="002275B4">
        <w:rPr>
          <w:sz w:val="21"/>
          <w:szCs w:val="21"/>
        </w:rPr>
        <w:t>s work is not performed in satisfaction of an education course, the FW Act treats them as regular employees, entitling the intern to minimum pay and conditions. Yet non-compliance with these minimum conditions appears to be widespread; the Fair Work Ombudsman (FWO) has identified an emerging issue of exploitative, unpaid internships, as an area of interest,</w:t>
      </w:r>
      <w:r w:rsidRPr="002275B4">
        <w:rPr>
          <w:rFonts w:ascii="Times New Roman" w:eastAsia="Times New Roman" w:hAnsi="Times New Roman" w:cs="Times New Roman"/>
          <w:sz w:val="21"/>
          <w:szCs w:val="21"/>
          <w:vertAlign w:val="superscript"/>
        </w:rPr>
        <w:footnoteReference w:id="14"/>
      </w:r>
      <w:r w:rsidRPr="002275B4">
        <w:rPr>
          <w:sz w:val="21"/>
          <w:szCs w:val="21"/>
        </w:rPr>
        <w:t xml:space="preserve"> and recently </w:t>
      </w:r>
      <w:r w:rsidRPr="002275B4">
        <w:rPr>
          <w:sz w:val="21"/>
          <w:szCs w:val="21"/>
        </w:rPr>
        <w:lastRenderedPageBreak/>
        <w:t>completed its first successful prosecution of an employer for the underpayment of interns.</w:t>
      </w:r>
      <w:r w:rsidRPr="002275B4">
        <w:rPr>
          <w:rFonts w:ascii="Times New Roman" w:eastAsia="Times New Roman" w:hAnsi="Times New Roman" w:cs="Times New Roman"/>
          <w:sz w:val="21"/>
          <w:szCs w:val="21"/>
          <w:vertAlign w:val="superscript"/>
        </w:rPr>
        <w:footnoteReference w:id="15"/>
      </w:r>
      <w:r w:rsidRPr="002275B4">
        <w:rPr>
          <w:sz w:val="21"/>
          <w:szCs w:val="21"/>
        </w:rPr>
        <w:t xml:space="preserve"> In the survey conducted by Interns Australia, it has also been found that only a small portion of unpaid internships were performed under the framework permitted by the FW Act.</w:t>
      </w:r>
      <w:r w:rsidRPr="002275B4">
        <w:rPr>
          <w:rFonts w:ascii="Times New Roman" w:eastAsia="Times New Roman" w:hAnsi="Times New Roman" w:cs="Times New Roman"/>
          <w:sz w:val="21"/>
          <w:szCs w:val="21"/>
          <w:vertAlign w:val="superscript"/>
        </w:rPr>
        <w:footnoteReference w:id="16"/>
      </w:r>
    </w:p>
    <w:p w14:paraId="3554F789" w14:textId="77777777" w:rsidR="00213947" w:rsidRPr="002275B4" w:rsidRDefault="00213947">
      <w:pPr>
        <w:pStyle w:val="BodyA"/>
        <w:spacing w:line="360" w:lineRule="auto"/>
        <w:jc w:val="both"/>
        <w:rPr>
          <w:sz w:val="21"/>
          <w:szCs w:val="21"/>
        </w:rPr>
      </w:pPr>
    </w:p>
    <w:p w14:paraId="17A9120C" w14:textId="77777777" w:rsidR="00213947" w:rsidRPr="002275B4" w:rsidRDefault="00145434">
      <w:pPr>
        <w:pStyle w:val="BodyA"/>
        <w:spacing w:line="360" w:lineRule="auto"/>
        <w:jc w:val="both"/>
        <w:rPr>
          <w:sz w:val="21"/>
          <w:szCs w:val="21"/>
        </w:rPr>
      </w:pPr>
      <w:r w:rsidRPr="002275B4">
        <w:rPr>
          <w:sz w:val="21"/>
          <w:szCs w:val="21"/>
        </w:rPr>
        <w:t xml:space="preserve">Outside of the workplace relations framework, if an internship is part of a </w:t>
      </w:r>
      <w:r w:rsidRPr="002275B4">
        <w:rPr>
          <w:rFonts w:hAnsi="Helvetica"/>
          <w:sz w:val="21"/>
          <w:szCs w:val="21"/>
        </w:rPr>
        <w:t>“</w:t>
      </w:r>
      <w:r w:rsidRPr="002275B4">
        <w:rPr>
          <w:sz w:val="21"/>
          <w:szCs w:val="21"/>
        </w:rPr>
        <w:t>vocational placement</w:t>
      </w:r>
      <w:r w:rsidRPr="002275B4">
        <w:rPr>
          <w:rFonts w:hAnsi="Helvetica"/>
          <w:sz w:val="21"/>
          <w:szCs w:val="21"/>
        </w:rPr>
        <w:t>”</w:t>
      </w:r>
      <w:r w:rsidRPr="002275B4">
        <w:rPr>
          <w:sz w:val="21"/>
          <w:szCs w:val="21"/>
        </w:rPr>
        <w:t xml:space="preserve">, it may fall under the regulatory auspices of the Tertiary Education Quality and Standards Agency (TEQSA), empowered by the </w:t>
      </w:r>
      <w:r w:rsidRPr="002275B4">
        <w:rPr>
          <w:i/>
          <w:iCs/>
          <w:sz w:val="21"/>
          <w:szCs w:val="21"/>
        </w:rPr>
        <w:t xml:space="preserve">Tertiary Education Quality and Standards Agency Act 2011 </w:t>
      </w:r>
      <w:r w:rsidRPr="002275B4">
        <w:rPr>
          <w:sz w:val="21"/>
          <w:szCs w:val="21"/>
        </w:rPr>
        <w:t>(</w:t>
      </w:r>
      <w:proofErr w:type="spellStart"/>
      <w:r w:rsidRPr="002275B4">
        <w:rPr>
          <w:sz w:val="21"/>
          <w:szCs w:val="21"/>
        </w:rPr>
        <w:t>Cth</w:t>
      </w:r>
      <w:proofErr w:type="spellEnd"/>
      <w:r w:rsidRPr="002275B4">
        <w:rPr>
          <w:sz w:val="21"/>
          <w:szCs w:val="21"/>
        </w:rPr>
        <w:t>).</w:t>
      </w:r>
      <w:r w:rsidRPr="002275B4">
        <w:rPr>
          <w:rFonts w:ascii="Times New Roman" w:eastAsia="Times New Roman" w:hAnsi="Times New Roman" w:cs="Times New Roman"/>
          <w:sz w:val="21"/>
          <w:szCs w:val="21"/>
          <w:vertAlign w:val="superscript"/>
        </w:rPr>
        <w:footnoteReference w:id="17"/>
      </w:r>
      <w:r w:rsidRPr="002275B4">
        <w:rPr>
          <w:sz w:val="21"/>
          <w:szCs w:val="21"/>
        </w:rPr>
        <w:t xml:space="preserve"> However, the paid or unpaid nature of the internship is not currently monitored by the TEQSA - which enforces accredited tertiary educators</w:t>
      </w:r>
      <w:r w:rsidRPr="002275B4">
        <w:rPr>
          <w:rFonts w:hAnsi="Helvetica"/>
          <w:sz w:val="21"/>
          <w:szCs w:val="21"/>
        </w:rPr>
        <w:t xml:space="preserve">’ </w:t>
      </w:r>
      <w:r w:rsidRPr="002275B4">
        <w:rPr>
          <w:sz w:val="21"/>
          <w:szCs w:val="21"/>
        </w:rPr>
        <w:t xml:space="preserve">conformance with the </w:t>
      </w:r>
      <w:r w:rsidRPr="002275B4">
        <w:rPr>
          <w:i/>
          <w:iCs/>
          <w:sz w:val="21"/>
          <w:szCs w:val="21"/>
        </w:rPr>
        <w:t xml:space="preserve">Higher Education Standards Framework (Threshold Standards) 2011 </w:t>
      </w:r>
      <w:r w:rsidRPr="002275B4">
        <w:rPr>
          <w:sz w:val="21"/>
          <w:szCs w:val="21"/>
        </w:rPr>
        <w:t>(</w:t>
      </w:r>
      <w:proofErr w:type="spellStart"/>
      <w:r w:rsidRPr="002275B4">
        <w:rPr>
          <w:sz w:val="21"/>
          <w:szCs w:val="21"/>
        </w:rPr>
        <w:t>Cth</w:t>
      </w:r>
      <w:proofErr w:type="spellEnd"/>
      <w:r w:rsidRPr="002275B4">
        <w:rPr>
          <w:sz w:val="21"/>
          <w:szCs w:val="21"/>
        </w:rPr>
        <w:t>) (Standards), and currently the Standards</w:t>
      </w:r>
      <w:r w:rsidRPr="002275B4">
        <w:rPr>
          <w:rFonts w:hAnsi="Helvetica"/>
          <w:sz w:val="21"/>
          <w:szCs w:val="21"/>
        </w:rPr>
        <w:t xml:space="preserve">’ </w:t>
      </w:r>
      <w:r w:rsidRPr="002275B4">
        <w:rPr>
          <w:sz w:val="21"/>
          <w:szCs w:val="21"/>
        </w:rPr>
        <w:t>interest in students</w:t>
      </w:r>
      <w:r w:rsidRPr="002275B4">
        <w:rPr>
          <w:rFonts w:hAnsi="Helvetica"/>
          <w:sz w:val="21"/>
          <w:szCs w:val="21"/>
        </w:rPr>
        <w:t xml:space="preserve">’ </w:t>
      </w:r>
      <w:r w:rsidRPr="002275B4">
        <w:rPr>
          <w:sz w:val="21"/>
          <w:szCs w:val="21"/>
        </w:rPr>
        <w:t>experience does not extend to, for example, financial welfare, or equitable access to internships.</w:t>
      </w:r>
      <w:r w:rsidRPr="002275B4">
        <w:rPr>
          <w:rFonts w:ascii="Times New Roman" w:eastAsia="Times New Roman" w:hAnsi="Times New Roman" w:cs="Times New Roman"/>
          <w:sz w:val="21"/>
          <w:szCs w:val="21"/>
          <w:vertAlign w:val="superscript"/>
        </w:rPr>
        <w:footnoteReference w:id="18"/>
      </w:r>
      <w:r w:rsidRPr="002275B4">
        <w:rPr>
          <w:sz w:val="21"/>
          <w:szCs w:val="21"/>
        </w:rPr>
        <w:t xml:space="preserve"> It is beyond the scope of this inquiry to consider legislative changes beyond the FW Act, but Interns Australia notes that reforms to TEQSA and the Standards may address the inefficiencies and inequities of the status quo, identified in the following sections. </w:t>
      </w:r>
    </w:p>
    <w:p w14:paraId="4C261094" w14:textId="77777777" w:rsidR="002275B4" w:rsidRPr="002275B4" w:rsidRDefault="002275B4">
      <w:pPr>
        <w:pStyle w:val="BodyA"/>
        <w:spacing w:line="360" w:lineRule="auto"/>
        <w:jc w:val="both"/>
        <w:rPr>
          <w:b/>
          <w:bCs/>
          <w:sz w:val="21"/>
          <w:szCs w:val="21"/>
        </w:rPr>
      </w:pPr>
    </w:p>
    <w:p w14:paraId="6B56DCC6" w14:textId="77777777" w:rsidR="00213947" w:rsidRPr="002275B4" w:rsidRDefault="00145434">
      <w:pPr>
        <w:pStyle w:val="BodyA"/>
        <w:spacing w:line="360" w:lineRule="auto"/>
        <w:jc w:val="both"/>
        <w:rPr>
          <w:b/>
          <w:bCs/>
          <w:sz w:val="21"/>
          <w:szCs w:val="21"/>
        </w:rPr>
      </w:pPr>
      <w:r w:rsidRPr="002275B4">
        <w:rPr>
          <w:b/>
          <w:bCs/>
          <w:sz w:val="21"/>
          <w:szCs w:val="21"/>
        </w:rPr>
        <w:t>Problems with the current regulatory regime</w:t>
      </w:r>
    </w:p>
    <w:p w14:paraId="7E607E0E" w14:textId="77777777" w:rsidR="002275B4" w:rsidRPr="002275B4" w:rsidRDefault="00145434">
      <w:pPr>
        <w:pStyle w:val="BodyA"/>
        <w:spacing w:line="360" w:lineRule="auto"/>
        <w:jc w:val="both"/>
        <w:rPr>
          <w:sz w:val="21"/>
          <w:szCs w:val="21"/>
        </w:rPr>
      </w:pPr>
      <w:r w:rsidRPr="002275B4">
        <w:rPr>
          <w:sz w:val="21"/>
          <w:szCs w:val="21"/>
        </w:rPr>
        <w:tab/>
      </w:r>
    </w:p>
    <w:p w14:paraId="56D0CF1A" w14:textId="77777777" w:rsidR="00213947" w:rsidRPr="002275B4" w:rsidRDefault="00145434" w:rsidP="002275B4">
      <w:pPr>
        <w:pStyle w:val="BodyA"/>
        <w:spacing w:line="360" w:lineRule="auto"/>
        <w:ind w:firstLine="720"/>
        <w:jc w:val="both"/>
        <w:rPr>
          <w:b/>
          <w:bCs/>
          <w:sz w:val="21"/>
          <w:szCs w:val="21"/>
        </w:rPr>
      </w:pPr>
      <w:r w:rsidRPr="002275B4">
        <w:rPr>
          <w:b/>
          <w:bCs/>
          <w:sz w:val="21"/>
          <w:szCs w:val="21"/>
        </w:rPr>
        <w:t>Inequalities</w:t>
      </w:r>
    </w:p>
    <w:p w14:paraId="23A60791" w14:textId="77777777" w:rsidR="00213947" w:rsidRPr="002275B4" w:rsidRDefault="00213947">
      <w:pPr>
        <w:pStyle w:val="BodyA"/>
        <w:spacing w:line="360" w:lineRule="auto"/>
        <w:jc w:val="both"/>
        <w:rPr>
          <w:b/>
          <w:bCs/>
          <w:sz w:val="21"/>
          <w:szCs w:val="21"/>
        </w:rPr>
      </w:pPr>
    </w:p>
    <w:p w14:paraId="337D0777" w14:textId="77777777" w:rsidR="00213947" w:rsidRPr="002275B4" w:rsidRDefault="00145434">
      <w:pPr>
        <w:pStyle w:val="BodyA"/>
        <w:spacing w:line="360" w:lineRule="auto"/>
        <w:jc w:val="both"/>
        <w:rPr>
          <w:sz w:val="21"/>
          <w:szCs w:val="21"/>
        </w:rPr>
      </w:pPr>
      <w:r w:rsidRPr="002275B4">
        <w:rPr>
          <w:sz w:val="21"/>
          <w:szCs w:val="21"/>
        </w:rPr>
        <w:t>Persons from lower SES groups have relatively less financial resources to support themselves when performing unremunerated work and education, and are less likely to participate in these activities, than the rest of the population.</w:t>
      </w:r>
      <w:r w:rsidRPr="002275B4">
        <w:rPr>
          <w:rFonts w:ascii="Times New Roman" w:eastAsia="Times New Roman" w:hAnsi="Times New Roman" w:cs="Times New Roman"/>
          <w:sz w:val="21"/>
          <w:szCs w:val="21"/>
          <w:vertAlign w:val="superscript"/>
        </w:rPr>
        <w:footnoteReference w:id="19"/>
      </w:r>
      <w:r w:rsidRPr="002275B4">
        <w:rPr>
          <w:sz w:val="21"/>
          <w:szCs w:val="21"/>
        </w:rPr>
        <w:t xml:space="preserve"> In the absence of regulatory intervention, they are less likely to perform unpaid internships, and, as demonstrated above, are in turn are less likely to enter into the professional </w:t>
      </w:r>
      <w:proofErr w:type="spellStart"/>
      <w:r w:rsidRPr="002275B4">
        <w:rPr>
          <w:sz w:val="21"/>
          <w:szCs w:val="21"/>
        </w:rPr>
        <w:t>labour</w:t>
      </w:r>
      <w:proofErr w:type="spellEnd"/>
      <w:r w:rsidRPr="002275B4">
        <w:rPr>
          <w:sz w:val="21"/>
          <w:szCs w:val="21"/>
        </w:rPr>
        <w:t xml:space="preserve"> market.</w:t>
      </w:r>
    </w:p>
    <w:p w14:paraId="5E942623" w14:textId="77777777" w:rsidR="00213947" w:rsidRPr="002275B4" w:rsidRDefault="00213947">
      <w:pPr>
        <w:pStyle w:val="BodyA"/>
        <w:spacing w:line="360" w:lineRule="auto"/>
        <w:jc w:val="both"/>
        <w:rPr>
          <w:sz w:val="21"/>
          <w:szCs w:val="21"/>
        </w:rPr>
      </w:pPr>
    </w:p>
    <w:p w14:paraId="7487F89C" w14:textId="77777777" w:rsidR="00213947" w:rsidRPr="002275B4" w:rsidRDefault="00145434">
      <w:pPr>
        <w:pStyle w:val="BodyA"/>
        <w:spacing w:line="360" w:lineRule="auto"/>
        <w:jc w:val="both"/>
        <w:rPr>
          <w:sz w:val="21"/>
          <w:szCs w:val="21"/>
        </w:rPr>
      </w:pPr>
      <w:r w:rsidRPr="002275B4">
        <w:rPr>
          <w:sz w:val="21"/>
          <w:szCs w:val="21"/>
        </w:rPr>
        <w:t>This inequitable access to internships has a number of political and economic corollaries. Professional workers are almost universally more privileged than their technical and unskilled colleagues: better remunerated; healthier; more politically influential; likely to have better educated children; less likely to be in a lower SES group.</w:t>
      </w:r>
      <w:r w:rsidRPr="002275B4">
        <w:rPr>
          <w:rFonts w:ascii="Times New Roman" w:eastAsia="Times New Roman" w:hAnsi="Times New Roman" w:cs="Times New Roman"/>
          <w:sz w:val="21"/>
          <w:szCs w:val="21"/>
          <w:vertAlign w:val="superscript"/>
        </w:rPr>
        <w:footnoteReference w:id="20"/>
      </w:r>
      <w:r w:rsidRPr="002275B4">
        <w:rPr>
          <w:sz w:val="21"/>
          <w:szCs w:val="21"/>
        </w:rPr>
        <w:t xml:space="preserve"> This last outcome indicates that the problem may form a vicious cycle wherein one generation</w:t>
      </w:r>
      <w:r w:rsidRPr="002275B4">
        <w:rPr>
          <w:rFonts w:hAnsi="Helvetica"/>
          <w:sz w:val="21"/>
          <w:szCs w:val="21"/>
        </w:rPr>
        <w:t>’</w:t>
      </w:r>
      <w:r w:rsidRPr="002275B4">
        <w:rPr>
          <w:sz w:val="21"/>
          <w:szCs w:val="21"/>
        </w:rPr>
        <w:t>s disadvantage compounds the next. Whether, and what amount of, economic and political inequality is or is not a problem, is a question of value and interest, and is discussed further below.</w:t>
      </w:r>
    </w:p>
    <w:p w14:paraId="1F596818" w14:textId="77777777" w:rsidR="00213947" w:rsidRPr="002275B4" w:rsidRDefault="00213947">
      <w:pPr>
        <w:pStyle w:val="BodyA"/>
        <w:spacing w:line="360" w:lineRule="auto"/>
        <w:jc w:val="both"/>
        <w:rPr>
          <w:sz w:val="21"/>
          <w:szCs w:val="21"/>
        </w:rPr>
      </w:pPr>
    </w:p>
    <w:p w14:paraId="43FB1817" w14:textId="77777777" w:rsidR="00213947" w:rsidRPr="002275B4" w:rsidRDefault="00145434">
      <w:pPr>
        <w:pStyle w:val="TableStyle2A"/>
        <w:spacing w:line="360" w:lineRule="auto"/>
        <w:ind w:left="655"/>
        <w:rPr>
          <w:b/>
          <w:bCs/>
          <w:sz w:val="21"/>
          <w:szCs w:val="21"/>
        </w:rPr>
      </w:pPr>
      <w:r w:rsidRPr="002275B4">
        <w:rPr>
          <w:b/>
          <w:bCs/>
          <w:sz w:val="21"/>
          <w:szCs w:val="21"/>
        </w:rPr>
        <w:lastRenderedPageBreak/>
        <w:t>Inefficiencies</w:t>
      </w:r>
    </w:p>
    <w:p w14:paraId="12D80D1D" w14:textId="77777777" w:rsidR="00213947" w:rsidRPr="002275B4" w:rsidRDefault="00213947">
      <w:pPr>
        <w:pStyle w:val="TableStyle2A"/>
        <w:spacing w:line="360" w:lineRule="auto"/>
        <w:ind w:left="655"/>
        <w:rPr>
          <w:b/>
          <w:bCs/>
          <w:sz w:val="21"/>
          <w:szCs w:val="21"/>
        </w:rPr>
      </w:pPr>
    </w:p>
    <w:p w14:paraId="057BD473" w14:textId="77777777" w:rsidR="00213947" w:rsidRPr="002275B4" w:rsidRDefault="00145434">
      <w:pPr>
        <w:pStyle w:val="BodyA"/>
        <w:spacing w:line="360" w:lineRule="auto"/>
        <w:jc w:val="both"/>
        <w:rPr>
          <w:sz w:val="21"/>
          <w:szCs w:val="21"/>
        </w:rPr>
      </w:pPr>
      <w:r w:rsidRPr="002275B4">
        <w:rPr>
          <w:sz w:val="21"/>
          <w:szCs w:val="21"/>
        </w:rPr>
        <w:t xml:space="preserve">Without adequate regulation and proactive policy response to the rise in illegal and unpaid internships, the public bears additional costs to fund unemployed students through direct income support costs and a reduction in government revenue via taxes. Based on 144,000 Youth Allowance and </w:t>
      </w:r>
      <w:proofErr w:type="spellStart"/>
      <w:r w:rsidRPr="002275B4">
        <w:rPr>
          <w:sz w:val="21"/>
          <w:szCs w:val="21"/>
        </w:rPr>
        <w:t>Austudy</w:t>
      </w:r>
      <w:proofErr w:type="spellEnd"/>
      <w:r w:rsidRPr="002275B4">
        <w:rPr>
          <w:sz w:val="21"/>
          <w:szCs w:val="21"/>
        </w:rPr>
        <w:t xml:space="preserve"> recipients in higher education, who on conservative estimates currently receive a minimum full rate of $190 per fortnight, the amount could be projected in the order of $213m based on 30% of current support recipients.</w:t>
      </w:r>
      <w:r w:rsidRPr="002275B4">
        <w:rPr>
          <w:rFonts w:ascii="Times New Roman" w:eastAsia="Times New Roman" w:hAnsi="Times New Roman" w:cs="Times New Roman"/>
          <w:sz w:val="21"/>
          <w:szCs w:val="21"/>
          <w:vertAlign w:val="superscript"/>
        </w:rPr>
        <w:footnoteReference w:id="21"/>
      </w:r>
    </w:p>
    <w:p w14:paraId="7A91FB1E" w14:textId="77777777" w:rsidR="00213947" w:rsidRPr="002275B4" w:rsidRDefault="00213947">
      <w:pPr>
        <w:pStyle w:val="BodyA"/>
        <w:spacing w:line="360" w:lineRule="auto"/>
        <w:jc w:val="both"/>
        <w:rPr>
          <w:sz w:val="21"/>
          <w:szCs w:val="21"/>
        </w:rPr>
      </w:pPr>
    </w:p>
    <w:p w14:paraId="4D5BA8B5" w14:textId="77777777" w:rsidR="00213947" w:rsidRPr="002275B4" w:rsidRDefault="00145434">
      <w:pPr>
        <w:pStyle w:val="BodyA"/>
        <w:spacing w:line="360" w:lineRule="auto"/>
        <w:jc w:val="both"/>
        <w:rPr>
          <w:color w:val="FF2C21"/>
          <w:sz w:val="21"/>
          <w:szCs w:val="21"/>
        </w:rPr>
      </w:pPr>
      <w:r w:rsidRPr="002275B4">
        <w:rPr>
          <w:sz w:val="21"/>
          <w:szCs w:val="21"/>
        </w:rPr>
        <w:t>Furthermore, the skills mismatch or shortage can suppress earnings for new graduates as they experience delay in entry into the workforce.</w:t>
      </w:r>
      <w:r w:rsidRPr="002275B4">
        <w:rPr>
          <w:rFonts w:ascii="Times New Roman" w:eastAsia="Times New Roman" w:hAnsi="Times New Roman" w:cs="Times New Roman"/>
          <w:sz w:val="21"/>
          <w:szCs w:val="21"/>
          <w:vertAlign w:val="superscript"/>
        </w:rPr>
        <w:footnoteReference w:id="22"/>
      </w:r>
      <w:r w:rsidRPr="002275B4">
        <w:rPr>
          <w:sz w:val="21"/>
          <w:szCs w:val="21"/>
        </w:rPr>
        <w:t xml:space="preserve"> According to Graduate Careers Australia, reduced skill shortages and enhanced productivity assessed at a 15% improvement or margin in commencing graduate earnings for ex-interns, represent approximately $330m annually per cohort for the first year post-graduation in foregone wages, assuming convergence thereafter to common wages for all graduates.</w:t>
      </w:r>
      <w:r w:rsidRPr="002275B4">
        <w:rPr>
          <w:rFonts w:ascii="Times New Roman" w:eastAsia="Times New Roman" w:hAnsi="Times New Roman" w:cs="Times New Roman"/>
          <w:sz w:val="21"/>
          <w:szCs w:val="21"/>
          <w:vertAlign w:val="superscript"/>
        </w:rPr>
        <w:footnoteReference w:id="23"/>
      </w:r>
    </w:p>
    <w:p w14:paraId="5063F681" w14:textId="77777777" w:rsidR="002275B4" w:rsidRPr="002275B4" w:rsidRDefault="002275B4">
      <w:pPr>
        <w:pStyle w:val="BodyA"/>
        <w:spacing w:line="360" w:lineRule="auto"/>
        <w:jc w:val="both"/>
        <w:rPr>
          <w:b/>
          <w:bCs/>
          <w:sz w:val="21"/>
          <w:szCs w:val="21"/>
        </w:rPr>
      </w:pPr>
    </w:p>
    <w:p w14:paraId="25F48908" w14:textId="77777777" w:rsidR="00213947" w:rsidRPr="002275B4" w:rsidRDefault="00145434">
      <w:pPr>
        <w:pStyle w:val="BodyA"/>
        <w:spacing w:line="360" w:lineRule="auto"/>
        <w:jc w:val="both"/>
        <w:rPr>
          <w:b/>
          <w:bCs/>
          <w:sz w:val="21"/>
          <w:szCs w:val="21"/>
        </w:rPr>
      </w:pPr>
      <w:r w:rsidRPr="002275B4">
        <w:rPr>
          <w:b/>
          <w:bCs/>
          <w:sz w:val="21"/>
          <w:szCs w:val="21"/>
        </w:rPr>
        <w:t xml:space="preserve">Recommendations </w:t>
      </w:r>
    </w:p>
    <w:p w14:paraId="3139CD67" w14:textId="77777777" w:rsidR="00213947" w:rsidRPr="002275B4" w:rsidRDefault="00213947">
      <w:pPr>
        <w:pStyle w:val="BodyA"/>
        <w:spacing w:line="360" w:lineRule="auto"/>
        <w:jc w:val="both"/>
        <w:rPr>
          <w:b/>
          <w:bCs/>
          <w:sz w:val="21"/>
          <w:szCs w:val="21"/>
        </w:rPr>
      </w:pPr>
    </w:p>
    <w:p w14:paraId="1189A590" w14:textId="77777777" w:rsidR="00213947" w:rsidRPr="002275B4" w:rsidRDefault="00145434">
      <w:pPr>
        <w:pStyle w:val="BodyA"/>
        <w:spacing w:line="360" w:lineRule="auto"/>
        <w:jc w:val="both"/>
        <w:rPr>
          <w:b/>
          <w:bCs/>
          <w:sz w:val="21"/>
          <w:szCs w:val="21"/>
        </w:rPr>
      </w:pPr>
      <w:r w:rsidRPr="002275B4">
        <w:rPr>
          <w:b/>
          <w:bCs/>
          <w:sz w:val="21"/>
          <w:szCs w:val="21"/>
        </w:rPr>
        <w:tab/>
        <w:t>Reforms to the workplace relations framework</w:t>
      </w:r>
    </w:p>
    <w:p w14:paraId="68A1412E" w14:textId="77777777" w:rsidR="00213947" w:rsidRPr="002275B4" w:rsidRDefault="00213947">
      <w:pPr>
        <w:pStyle w:val="BodyA"/>
        <w:spacing w:line="360" w:lineRule="auto"/>
        <w:jc w:val="both"/>
        <w:rPr>
          <w:b/>
          <w:bCs/>
          <w:sz w:val="21"/>
          <w:szCs w:val="21"/>
        </w:rPr>
      </w:pPr>
    </w:p>
    <w:p w14:paraId="0D4E6093" w14:textId="77777777" w:rsidR="00213947" w:rsidRPr="002275B4" w:rsidRDefault="00145434">
      <w:pPr>
        <w:pStyle w:val="BodyA"/>
        <w:spacing w:line="360" w:lineRule="auto"/>
        <w:jc w:val="both"/>
        <w:rPr>
          <w:sz w:val="21"/>
          <w:szCs w:val="21"/>
        </w:rPr>
      </w:pPr>
      <w:r w:rsidRPr="002275B4">
        <w:rPr>
          <w:sz w:val="21"/>
          <w:szCs w:val="21"/>
        </w:rPr>
        <w:t>The Productivity Commission has invited empirically-based proposals for reform. Unfortunately, due to the limited research in this area, Interns Australia is unable to provide comprehensively researched options. Nevertheless, Interns Australia considers there are prima facie, sensible cases for the following actions and changes:</w:t>
      </w:r>
    </w:p>
    <w:p w14:paraId="12DB993C" w14:textId="77777777" w:rsidR="00213947" w:rsidRPr="002275B4" w:rsidRDefault="00213947">
      <w:pPr>
        <w:pStyle w:val="BodyA"/>
        <w:spacing w:line="360" w:lineRule="auto"/>
        <w:jc w:val="both"/>
        <w:rPr>
          <w:sz w:val="21"/>
          <w:szCs w:val="21"/>
        </w:rPr>
      </w:pPr>
    </w:p>
    <w:p w14:paraId="0D923E42" w14:textId="77777777" w:rsidR="00213947" w:rsidRPr="002275B4" w:rsidRDefault="00145434">
      <w:pPr>
        <w:pStyle w:val="BodyA"/>
        <w:numPr>
          <w:ilvl w:val="0"/>
          <w:numId w:val="9"/>
        </w:numPr>
        <w:tabs>
          <w:tab w:val="num" w:pos="360"/>
        </w:tabs>
        <w:spacing w:line="360" w:lineRule="auto"/>
        <w:ind w:left="360" w:hanging="360"/>
        <w:jc w:val="both"/>
        <w:rPr>
          <w:sz w:val="21"/>
          <w:szCs w:val="21"/>
        </w:rPr>
      </w:pPr>
      <w:r w:rsidRPr="002275B4">
        <w:rPr>
          <w:sz w:val="21"/>
          <w:szCs w:val="21"/>
        </w:rPr>
        <w:t xml:space="preserve">That the Commission formally </w:t>
      </w:r>
      <w:proofErr w:type="spellStart"/>
      <w:proofErr w:type="gramStart"/>
      <w:r w:rsidRPr="002275B4">
        <w:rPr>
          <w:sz w:val="21"/>
          <w:szCs w:val="21"/>
        </w:rPr>
        <w:t>recognise</w:t>
      </w:r>
      <w:proofErr w:type="spellEnd"/>
      <w:proofErr w:type="gramEnd"/>
      <w:r w:rsidRPr="002275B4">
        <w:rPr>
          <w:sz w:val="21"/>
          <w:szCs w:val="21"/>
        </w:rPr>
        <w:t xml:space="preserve"> that there is widespread and increasing non-compliance with the FW Act provisions obliging remuneration and conditions to interns properly </w:t>
      </w:r>
      <w:proofErr w:type="spellStart"/>
      <w:r w:rsidRPr="002275B4">
        <w:rPr>
          <w:sz w:val="21"/>
          <w:szCs w:val="21"/>
        </w:rPr>
        <w:t>characterised</w:t>
      </w:r>
      <w:proofErr w:type="spellEnd"/>
      <w:r w:rsidRPr="002275B4">
        <w:rPr>
          <w:sz w:val="21"/>
          <w:szCs w:val="21"/>
        </w:rPr>
        <w:t xml:space="preserve"> as national system employees. </w:t>
      </w:r>
    </w:p>
    <w:p w14:paraId="3E6B2AF1" w14:textId="77777777" w:rsidR="00213947" w:rsidRPr="002275B4" w:rsidRDefault="00145434">
      <w:pPr>
        <w:pStyle w:val="BodyA"/>
        <w:numPr>
          <w:ilvl w:val="0"/>
          <w:numId w:val="9"/>
        </w:numPr>
        <w:tabs>
          <w:tab w:val="num" w:pos="360"/>
        </w:tabs>
        <w:spacing w:line="360" w:lineRule="auto"/>
        <w:ind w:left="360" w:hanging="360"/>
        <w:jc w:val="both"/>
        <w:rPr>
          <w:sz w:val="21"/>
          <w:szCs w:val="21"/>
        </w:rPr>
      </w:pPr>
      <w:r w:rsidRPr="002275B4">
        <w:rPr>
          <w:sz w:val="21"/>
          <w:szCs w:val="21"/>
        </w:rPr>
        <w:t xml:space="preserve">That the Commission formally </w:t>
      </w:r>
      <w:proofErr w:type="spellStart"/>
      <w:r w:rsidRPr="002275B4">
        <w:rPr>
          <w:sz w:val="21"/>
          <w:szCs w:val="21"/>
        </w:rPr>
        <w:t>recognise</w:t>
      </w:r>
      <w:proofErr w:type="spellEnd"/>
      <w:r w:rsidRPr="002275B4">
        <w:rPr>
          <w:sz w:val="21"/>
          <w:szCs w:val="21"/>
        </w:rPr>
        <w:t xml:space="preserve"> that this non-compliance leads to social inequities and market inefficiencies, including creating barriers to entry into professional </w:t>
      </w:r>
      <w:proofErr w:type="spellStart"/>
      <w:r w:rsidRPr="002275B4">
        <w:rPr>
          <w:sz w:val="21"/>
          <w:szCs w:val="21"/>
        </w:rPr>
        <w:t>labour</w:t>
      </w:r>
      <w:proofErr w:type="spellEnd"/>
      <w:r w:rsidRPr="002275B4">
        <w:rPr>
          <w:sz w:val="21"/>
          <w:szCs w:val="21"/>
        </w:rPr>
        <w:t xml:space="preserve"> markets for  persons from lower socio-economic status groups and a diminished pool of skilled </w:t>
      </w:r>
      <w:proofErr w:type="spellStart"/>
      <w:r w:rsidRPr="002275B4">
        <w:rPr>
          <w:sz w:val="21"/>
          <w:szCs w:val="21"/>
        </w:rPr>
        <w:t>labour</w:t>
      </w:r>
      <w:proofErr w:type="spellEnd"/>
      <w:r w:rsidRPr="002275B4">
        <w:rPr>
          <w:sz w:val="21"/>
          <w:szCs w:val="21"/>
        </w:rPr>
        <w:t xml:space="preserve"> due to </w:t>
      </w:r>
      <w:proofErr w:type="spellStart"/>
      <w:r w:rsidRPr="002275B4">
        <w:rPr>
          <w:sz w:val="21"/>
          <w:szCs w:val="21"/>
        </w:rPr>
        <w:t>underutilisation</w:t>
      </w:r>
      <w:proofErr w:type="spellEnd"/>
      <w:r w:rsidRPr="002275B4">
        <w:rPr>
          <w:sz w:val="21"/>
          <w:szCs w:val="21"/>
        </w:rPr>
        <w:t xml:space="preserve"> of skills.</w:t>
      </w:r>
    </w:p>
    <w:p w14:paraId="305B2589" w14:textId="77777777" w:rsidR="00213947" w:rsidRPr="002275B4" w:rsidRDefault="00145434">
      <w:pPr>
        <w:pStyle w:val="BodyA"/>
        <w:numPr>
          <w:ilvl w:val="0"/>
          <w:numId w:val="9"/>
        </w:numPr>
        <w:tabs>
          <w:tab w:val="num" w:pos="360"/>
        </w:tabs>
        <w:spacing w:line="360" w:lineRule="auto"/>
        <w:ind w:left="360" w:hanging="360"/>
        <w:jc w:val="both"/>
        <w:rPr>
          <w:sz w:val="21"/>
          <w:szCs w:val="21"/>
        </w:rPr>
      </w:pPr>
      <w:r w:rsidRPr="002275B4">
        <w:rPr>
          <w:sz w:val="21"/>
          <w:szCs w:val="21"/>
        </w:rPr>
        <w:t xml:space="preserve">That the Commission recommend that the FWO address this noncompliance through further education and prosecution campaigns, including by raising awareness among interns and prospective interns of their workplace rights. </w:t>
      </w:r>
    </w:p>
    <w:p w14:paraId="33BBC546" w14:textId="77777777" w:rsidR="00213947" w:rsidRPr="002275B4" w:rsidRDefault="00145434">
      <w:pPr>
        <w:pStyle w:val="BodyA"/>
        <w:numPr>
          <w:ilvl w:val="0"/>
          <w:numId w:val="9"/>
        </w:numPr>
        <w:tabs>
          <w:tab w:val="num" w:pos="360"/>
        </w:tabs>
        <w:spacing w:line="360" w:lineRule="auto"/>
        <w:ind w:left="360" w:hanging="360"/>
        <w:jc w:val="both"/>
        <w:rPr>
          <w:sz w:val="21"/>
          <w:szCs w:val="21"/>
        </w:rPr>
      </w:pPr>
      <w:r w:rsidRPr="002275B4">
        <w:rPr>
          <w:sz w:val="21"/>
          <w:szCs w:val="21"/>
        </w:rPr>
        <w:lastRenderedPageBreak/>
        <w:t xml:space="preserve">That the Commission </w:t>
      </w:r>
      <w:proofErr w:type="gramStart"/>
      <w:r w:rsidRPr="002275B4">
        <w:rPr>
          <w:sz w:val="21"/>
          <w:szCs w:val="21"/>
        </w:rPr>
        <w:t>investigate</w:t>
      </w:r>
      <w:proofErr w:type="gramEnd"/>
      <w:r w:rsidRPr="002275B4">
        <w:rPr>
          <w:sz w:val="21"/>
          <w:szCs w:val="21"/>
        </w:rPr>
        <w:t xml:space="preserve"> an appropriate regulatory body to oversee the compliance of </w:t>
      </w:r>
      <w:r w:rsidRPr="002275B4">
        <w:rPr>
          <w:rFonts w:hAnsi="Helvetica"/>
          <w:sz w:val="21"/>
          <w:szCs w:val="21"/>
        </w:rPr>
        <w:t>‘</w:t>
      </w:r>
      <w:r w:rsidRPr="002275B4">
        <w:rPr>
          <w:sz w:val="21"/>
          <w:szCs w:val="21"/>
        </w:rPr>
        <w:t>vocational placement</w:t>
      </w:r>
      <w:r w:rsidRPr="002275B4">
        <w:rPr>
          <w:rFonts w:hAnsi="Helvetica"/>
          <w:sz w:val="21"/>
          <w:szCs w:val="21"/>
        </w:rPr>
        <w:t xml:space="preserve">’ </w:t>
      </w:r>
      <w:r w:rsidRPr="002275B4">
        <w:rPr>
          <w:sz w:val="21"/>
          <w:szCs w:val="21"/>
        </w:rPr>
        <w:t>programs under the FW Act.</w:t>
      </w:r>
    </w:p>
    <w:p w14:paraId="458BD35D" w14:textId="77777777" w:rsidR="00213947" w:rsidRPr="002275B4" w:rsidRDefault="00145434">
      <w:pPr>
        <w:pStyle w:val="BodyA"/>
        <w:numPr>
          <w:ilvl w:val="0"/>
          <w:numId w:val="9"/>
        </w:numPr>
        <w:tabs>
          <w:tab w:val="num" w:pos="360"/>
        </w:tabs>
        <w:spacing w:line="360" w:lineRule="auto"/>
        <w:ind w:left="360" w:hanging="360"/>
        <w:jc w:val="both"/>
        <w:rPr>
          <w:sz w:val="21"/>
          <w:szCs w:val="21"/>
        </w:rPr>
      </w:pPr>
      <w:r w:rsidRPr="002275B4">
        <w:rPr>
          <w:sz w:val="21"/>
          <w:szCs w:val="21"/>
        </w:rPr>
        <w:t xml:space="preserve">That the Commission review the ramifications of the internship provider industry in the sale and marketing of work experience as a product, converting the </w:t>
      </w:r>
      <w:proofErr w:type="spellStart"/>
      <w:r w:rsidRPr="002275B4">
        <w:rPr>
          <w:sz w:val="21"/>
          <w:szCs w:val="21"/>
        </w:rPr>
        <w:t>labour</w:t>
      </w:r>
      <w:proofErr w:type="spellEnd"/>
      <w:r w:rsidRPr="002275B4">
        <w:rPr>
          <w:sz w:val="21"/>
          <w:szCs w:val="21"/>
        </w:rPr>
        <w:t xml:space="preserve"> issue into a consumer issue, and diminishing the FWO</w:t>
      </w:r>
      <w:r w:rsidRPr="002275B4">
        <w:rPr>
          <w:rFonts w:hAnsi="Helvetica"/>
          <w:sz w:val="21"/>
          <w:szCs w:val="21"/>
        </w:rPr>
        <w:t>’</w:t>
      </w:r>
      <w:r w:rsidRPr="002275B4">
        <w:rPr>
          <w:sz w:val="21"/>
          <w:szCs w:val="21"/>
        </w:rPr>
        <w:t>s abilities to prosecute noncompliant businesses.</w:t>
      </w:r>
    </w:p>
    <w:p w14:paraId="203874D3" w14:textId="77777777" w:rsidR="00213947" w:rsidRPr="002275B4" w:rsidRDefault="00213947">
      <w:pPr>
        <w:pStyle w:val="BodyA"/>
        <w:spacing w:line="360" w:lineRule="auto"/>
        <w:jc w:val="both"/>
        <w:rPr>
          <w:b/>
          <w:bCs/>
          <w:sz w:val="21"/>
          <w:szCs w:val="21"/>
        </w:rPr>
      </w:pPr>
    </w:p>
    <w:p w14:paraId="30E6748E" w14:textId="77777777" w:rsidR="00213947" w:rsidRPr="002275B4" w:rsidRDefault="00145434">
      <w:pPr>
        <w:pStyle w:val="TableStyle2A"/>
        <w:spacing w:line="360" w:lineRule="auto"/>
        <w:ind w:left="655"/>
        <w:rPr>
          <w:b/>
          <w:bCs/>
          <w:sz w:val="21"/>
          <w:szCs w:val="21"/>
        </w:rPr>
      </w:pPr>
      <w:r w:rsidRPr="002275B4">
        <w:rPr>
          <w:b/>
          <w:bCs/>
          <w:sz w:val="21"/>
          <w:szCs w:val="21"/>
        </w:rPr>
        <w:t>Reforms beyond the terms of reference</w:t>
      </w:r>
    </w:p>
    <w:p w14:paraId="14124461" w14:textId="77777777" w:rsidR="00213947" w:rsidRPr="002275B4" w:rsidRDefault="00213947">
      <w:pPr>
        <w:pStyle w:val="BodyA"/>
        <w:spacing w:line="360" w:lineRule="auto"/>
        <w:jc w:val="both"/>
        <w:rPr>
          <w:sz w:val="21"/>
          <w:szCs w:val="21"/>
        </w:rPr>
      </w:pPr>
    </w:p>
    <w:p w14:paraId="1BD5FA15" w14:textId="77777777" w:rsidR="00213947" w:rsidRPr="002275B4" w:rsidRDefault="00145434">
      <w:pPr>
        <w:pStyle w:val="BodyA"/>
        <w:spacing w:line="360" w:lineRule="auto"/>
        <w:jc w:val="both"/>
        <w:rPr>
          <w:sz w:val="21"/>
          <w:szCs w:val="21"/>
        </w:rPr>
      </w:pPr>
      <w:r w:rsidRPr="002275B4">
        <w:rPr>
          <w:sz w:val="21"/>
          <w:szCs w:val="21"/>
        </w:rPr>
        <w:t>More public-private partnership between industry, universities and government under a National Internship Scheme would create a sustainable and efficient way of funding the program as outcomes would be enhanced were industry itself to accepted responsibility for its role in job-ready training in partnership with universities.</w:t>
      </w:r>
      <w:r w:rsidRPr="002275B4">
        <w:rPr>
          <w:rFonts w:ascii="Times New Roman" w:eastAsia="Times New Roman" w:hAnsi="Times New Roman" w:cs="Times New Roman"/>
          <w:sz w:val="21"/>
          <w:szCs w:val="21"/>
          <w:vertAlign w:val="superscript"/>
        </w:rPr>
        <w:footnoteReference w:id="24"/>
      </w:r>
    </w:p>
    <w:p w14:paraId="7AE7BDFC" w14:textId="77777777" w:rsidR="00213947" w:rsidRPr="002275B4" w:rsidRDefault="00213947">
      <w:pPr>
        <w:pStyle w:val="BodyA"/>
        <w:spacing w:line="360" w:lineRule="auto"/>
        <w:jc w:val="both"/>
        <w:rPr>
          <w:sz w:val="21"/>
          <w:szCs w:val="21"/>
        </w:rPr>
      </w:pPr>
    </w:p>
    <w:p w14:paraId="27705BE4" w14:textId="77777777" w:rsidR="00213947" w:rsidRPr="002275B4" w:rsidRDefault="00145434">
      <w:pPr>
        <w:pStyle w:val="BodyA"/>
        <w:spacing w:line="360" w:lineRule="auto"/>
        <w:jc w:val="both"/>
        <w:rPr>
          <w:sz w:val="21"/>
          <w:szCs w:val="21"/>
        </w:rPr>
      </w:pPr>
      <w:r w:rsidRPr="002275B4">
        <w:rPr>
          <w:sz w:val="21"/>
          <w:szCs w:val="21"/>
        </w:rPr>
        <w:t>A National Internship Scheme would also boost Australia</w:t>
      </w:r>
      <w:r w:rsidRPr="002275B4">
        <w:rPr>
          <w:rFonts w:hAnsi="Helvetica"/>
          <w:sz w:val="21"/>
          <w:szCs w:val="21"/>
        </w:rPr>
        <w:t>’</w:t>
      </w:r>
      <w:r w:rsidRPr="002275B4">
        <w:rPr>
          <w:sz w:val="21"/>
          <w:szCs w:val="21"/>
        </w:rPr>
        <w:t xml:space="preserve">s competitive advantage in education export. As other countries are now emulating policies allowing for full-time international students to work up to twenty hours per week during study periods and unlimited hours when the course is not in session, well-designed workplace integrated learning opportunities that help international students gain employment and bridge the current skills gap can help retain skilled migration and increase the attractiveness of Australian higher education. </w:t>
      </w:r>
    </w:p>
    <w:p w14:paraId="1C821086" w14:textId="77777777" w:rsidR="00213947" w:rsidRPr="002275B4" w:rsidRDefault="00213947">
      <w:pPr>
        <w:pStyle w:val="BodyA"/>
        <w:spacing w:line="360" w:lineRule="auto"/>
        <w:jc w:val="both"/>
        <w:rPr>
          <w:sz w:val="21"/>
          <w:szCs w:val="21"/>
        </w:rPr>
      </w:pPr>
    </w:p>
    <w:p w14:paraId="44C09E3A" w14:textId="77777777" w:rsidR="00213947" w:rsidRPr="002275B4" w:rsidRDefault="00145434">
      <w:pPr>
        <w:pStyle w:val="BodyA"/>
        <w:spacing w:line="360" w:lineRule="auto"/>
        <w:jc w:val="both"/>
        <w:rPr>
          <w:color w:val="FF2C21"/>
          <w:sz w:val="21"/>
          <w:szCs w:val="21"/>
        </w:rPr>
      </w:pPr>
      <w:r w:rsidRPr="002275B4">
        <w:rPr>
          <w:sz w:val="21"/>
          <w:szCs w:val="21"/>
        </w:rPr>
        <w:t>Additionally, Interns Australia will shortly launch the National Internship Accreditation Scheme (NIAS); Australia</w:t>
      </w:r>
      <w:r w:rsidRPr="002275B4">
        <w:rPr>
          <w:rFonts w:hAnsi="Helvetica"/>
          <w:sz w:val="21"/>
          <w:szCs w:val="21"/>
        </w:rPr>
        <w:t>’</w:t>
      </w:r>
      <w:r w:rsidRPr="002275B4">
        <w:rPr>
          <w:sz w:val="21"/>
          <w:szCs w:val="21"/>
        </w:rPr>
        <w:t>s first independent internship accreditation program. Developed in collaboration with employment specialists, employers, industry, government agencies, interns and students, the NIAS supports employers and interns to identify, commit to and create a culture of fair and high quality internships. The NIAS is a market-based solution that provides employers with best practice internship guidelines, accredits employers who meet these guidelines, and, through accreditation, provides prospective interns with confidence in the fairness and quality of participating internship programs.</w:t>
      </w:r>
    </w:p>
    <w:p w14:paraId="2C82DDBB" w14:textId="77777777" w:rsidR="00213947" w:rsidRPr="002275B4" w:rsidRDefault="00213947">
      <w:pPr>
        <w:pStyle w:val="TableStyle2A"/>
        <w:spacing w:line="360" w:lineRule="auto"/>
        <w:ind w:left="655"/>
        <w:rPr>
          <w:b/>
          <w:bCs/>
          <w:sz w:val="21"/>
          <w:szCs w:val="21"/>
        </w:rPr>
      </w:pPr>
    </w:p>
    <w:p w14:paraId="33810D6D" w14:textId="77777777" w:rsidR="00213947" w:rsidRPr="002275B4" w:rsidRDefault="00145434">
      <w:pPr>
        <w:pStyle w:val="TableStyle2A"/>
        <w:spacing w:line="360" w:lineRule="auto"/>
        <w:ind w:left="655"/>
        <w:rPr>
          <w:b/>
          <w:bCs/>
          <w:sz w:val="21"/>
          <w:szCs w:val="21"/>
        </w:rPr>
      </w:pPr>
      <w:r w:rsidRPr="002275B4">
        <w:rPr>
          <w:b/>
          <w:bCs/>
          <w:sz w:val="21"/>
          <w:szCs w:val="21"/>
        </w:rPr>
        <w:t>Opportunities for further research</w:t>
      </w:r>
    </w:p>
    <w:p w14:paraId="78ECD4CD" w14:textId="77777777" w:rsidR="00213947" w:rsidRPr="002275B4" w:rsidRDefault="00213947">
      <w:pPr>
        <w:pStyle w:val="BodyA"/>
        <w:spacing w:line="360" w:lineRule="auto"/>
        <w:jc w:val="both"/>
        <w:rPr>
          <w:color w:val="FF2C21"/>
          <w:sz w:val="21"/>
          <w:szCs w:val="21"/>
        </w:rPr>
      </w:pPr>
    </w:p>
    <w:p w14:paraId="30ACC43E" w14:textId="77777777" w:rsidR="002275B4" w:rsidRPr="002275B4" w:rsidRDefault="00145434">
      <w:pPr>
        <w:pStyle w:val="BodyA"/>
        <w:spacing w:line="360" w:lineRule="auto"/>
        <w:jc w:val="both"/>
        <w:rPr>
          <w:sz w:val="21"/>
          <w:szCs w:val="21"/>
        </w:rPr>
      </w:pPr>
      <w:r w:rsidRPr="002275B4">
        <w:rPr>
          <w:sz w:val="21"/>
          <w:szCs w:val="21"/>
        </w:rPr>
        <w:t>The Australian Research Council has provided further funding to support the research by Stewart and Owens following the broad interest generated by their 2013 FWO report. The research will span four years, providing analysis on a global and comparative context, examining policy and regulatory responses in Canada, Europe (including Britain), New Zealand, and the United States. It is expected to identify optimum approaches to the regulation of post-secondary work experience, and thereby expand policy debates and enhance future law reform.</w:t>
      </w:r>
      <w:r w:rsidRPr="002275B4">
        <w:rPr>
          <w:rFonts w:ascii="Times New Roman" w:eastAsia="Times New Roman" w:hAnsi="Times New Roman" w:cs="Times New Roman"/>
          <w:sz w:val="21"/>
          <w:szCs w:val="21"/>
          <w:vertAlign w:val="superscript"/>
        </w:rPr>
        <w:footnoteReference w:id="25"/>
      </w:r>
    </w:p>
    <w:p w14:paraId="6EF15D74" w14:textId="77777777" w:rsidR="00213947" w:rsidRPr="002275B4" w:rsidRDefault="00145434">
      <w:pPr>
        <w:pStyle w:val="BodyA"/>
        <w:spacing w:line="360" w:lineRule="auto"/>
        <w:jc w:val="both"/>
        <w:rPr>
          <w:b/>
          <w:bCs/>
          <w:sz w:val="21"/>
          <w:szCs w:val="21"/>
        </w:rPr>
      </w:pPr>
      <w:r w:rsidRPr="002275B4">
        <w:rPr>
          <w:b/>
          <w:bCs/>
          <w:sz w:val="21"/>
          <w:szCs w:val="21"/>
        </w:rPr>
        <w:lastRenderedPageBreak/>
        <w:t>References</w:t>
      </w:r>
    </w:p>
    <w:p w14:paraId="3C9B30AA" w14:textId="77777777" w:rsidR="00213947" w:rsidRPr="002275B4" w:rsidRDefault="00145434">
      <w:pPr>
        <w:pStyle w:val="BodyA"/>
        <w:spacing w:line="360" w:lineRule="auto"/>
        <w:jc w:val="both"/>
        <w:rPr>
          <w:sz w:val="21"/>
          <w:szCs w:val="21"/>
        </w:rPr>
      </w:pPr>
      <w:r w:rsidRPr="002275B4">
        <w:rPr>
          <w:sz w:val="21"/>
          <w:szCs w:val="21"/>
        </w:rPr>
        <w:tab/>
      </w:r>
    </w:p>
    <w:p w14:paraId="28A6B776" w14:textId="77777777" w:rsidR="00213947" w:rsidRPr="002275B4" w:rsidRDefault="00145434">
      <w:pPr>
        <w:pStyle w:val="BodyA"/>
        <w:spacing w:line="360" w:lineRule="auto"/>
        <w:jc w:val="both"/>
        <w:rPr>
          <w:i/>
          <w:iCs/>
          <w:sz w:val="21"/>
          <w:szCs w:val="21"/>
        </w:rPr>
      </w:pPr>
      <w:r w:rsidRPr="002275B4">
        <w:rPr>
          <w:sz w:val="21"/>
          <w:szCs w:val="21"/>
        </w:rPr>
        <w:tab/>
      </w:r>
      <w:r w:rsidRPr="002275B4">
        <w:rPr>
          <w:i/>
          <w:iCs/>
          <w:sz w:val="21"/>
          <w:szCs w:val="21"/>
        </w:rPr>
        <w:t>Books, articles, speeches</w:t>
      </w:r>
    </w:p>
    <w:p w14:paraId="1ED8EB35" w14:textId="77777777" w:rsidR="00213947" w:rsidRPr="002275B4" w:rsidRDefault="00213947">
      <w:pPr>
        <w:pStyle w:val="FootnoteText"/>
        <w:rPr>
          <w:rFonts w:ascii="Helvetica" w:eastAsia="Helvetica" w:hAnsi="Helvetica" w:cs="Helvetica"/>
          <w:sz w:val="21"/>
          <w:szCs w:val="21"/>
        </w:rPr>
      </w:pPr>
    </w:p>
    <w:p w14:paraId="02C412B8" w14:textId="77777777" w:rsidR="00213947" w:rsidRPr="002275B4" w:rsidRDefault="00145434">
      <w:pPr>
        <w:pStyle w:val="FootnoteText"/>
        <w:rPr>
          <w:rFonts w:ascii="Helvetica" w:eastAsia="Helvetica" w:hAnsi="Helvetica" w:cs="Helvetica"/>
          <w:sz w:val="21"/>
          <w:szCs w:val="21"/>
        </w:rPr>
      </w:pPr>
      <w:r w:rsidRPr="002275B4">
        <w:rPr>
          <w:rFonts w:ascii="Helvetica"/>
          <w:sz w:val="21"/>
          <w:szCs w:val="21"/>
        </w:rPr>
        <w:t>Universities Australia, A National Internship Scheme, Position Paper (May 2008)</w:t>
      </w:r>
    </w:p>
    <w:p w14:paraId="370ED4BE" w14:textId="77777777" w:rsidR="00213947" w:rsidRPr="002275B4" w:rsidRDefault="00213947">
      <w:pPr>
        <w:pStyle w:val="FootnoteText"/>
        <w:rPr>
          <w:rFonts w:ascii="Helvetica" w:eastAsia="Helvetica" w:hAnsi="Helvetica" w:cs="Helvetica"/>
          <w:sz w:val="21"/>
          <w:szCs w:val="21"/>
        </w:rPr>
      </w:pPr>
    </w:p>
    <w:p w14:paraId="4F0443D5" w14:textId="77777777" w:rsidR="00213947" w:rsidRPr="002275B4" w:rsidRDefault="00145434">
      <w:pPr>
        <w:pStyle w:val="Footnote"/>
        <w:rPr>
          <w:sz w:val="21"/>
          <w:szCs w:val="21"/>
        </w:rPr>
      </w:pPr>
      <w:proofErr w:type="spellStart"/>
      <w:r w:rsidRPr="002275B4">
        <w:rPr>
          <w:rFonts w:eastAsia="Arial Unicode MS" w:hAnsi="Arial Unicode MS" w:cs="Arial Unicode MS"/>
          <w:sz w:val="21"/>
          <w:szCs w:val="21"/>
        </w:rPr>
        <w:t>Organisation</w:t>
      </w:r>
      <w:proofErr w:type="spellEnd"/>
      <w:r w:rsidRPr="002275B4">
        <w:rPr>
          <w:rFonts w:eastAsia="Arial Unicode MS" w:hAnsi="Arial Unicode MS" w:cs="Arial Unicode MS"/>
          <w:sz w:val="21"/>
          <w:szCs w:val="21"/>
        </w:rPr>
        <w:t xml:space="preserve"> for Economic Co-operation and Development, </w:t>
      </w:r>
      <w:r w:rsidRPr="002275B4">
        <w:rPr>
          <w:rFonts w:hAnsi="Arial Unicode MS"/>
          <w:sz w:val="21"/>
          <w:szCs w:val="21"/>
        </w:rPr>
        <w:t>‘</w:t>
      </w:r>
      <w:r w:rsidRPr="002275B4">
        <w:rPr>
          <w:rFonts w:eastAsia="Arial Unicode MS" w:hAnsi="Arial Unicode MS" w:cs="Arial Unicode MS"/>
          <w:sz w:val="21"/>
          <w:szCs w:val="21"/>
        </w:rPr>
        <w:t>Earnings inequality, low-paid employment and earnings mobility</w:t>
      </w:r>
      <w:r w:rsidRPr="002275B4">
        <w:rPr>
          <w:rFonts w:hAnsi="Arial Unicode MS"/>
          <w:sz w:val="21"/>
          <w:szCs w:val="21"/>
        </w:rPr>
        <w:t>’</w:t>
      </w:r>
      <w:r w:rsidRPr="002275B4">
        <w:rPr>
          <w:rFonts w:eastAsia="Arial Unicode MS" w:hAnsi="Arial Unicode MS" w:cs="Arial Unicode MS"/>
          <w:sz w:val="21"/>
          <w:szCs w:val="21"/>
        </w:rPr>
        <w:t xml:space="preserve"> </w:t>
      </w:r>
      <w:r w:rsidRPr="002275B4">
        <w:rPr>
          <w:rFonts w:eastAsia="Arial Unicode MS" w:hAnsi="Arial Unicode MS" w:cs="Arial Unicode MS"/>
          <w:i/>
          <w:iCs/>
          <w:sz w:val="21"/>
          <w:szCs w:val="21"/>
        </w:rPr>
        <w:t>OECD Employment Outlook 1996</w:t>
      </w:r>
      <w:r w:rsidRPr="002275B4">
        <w:rPr>
          <w:rFonts w:eastAsia="Arial Unicode MS" w:hAnsi="Arial Unicode MS" w:cs="Arial Unicode MS"/>
          <w:sz w:val="21"/>
          <w:szCs w:val="21"/>
          <w:lang w:val="nl-NL"/>
        </w:rPr>
        <w:t>, Chapter 3</w:t>
      </w:r>
      <w:r w:rsidRPr="002275B4">
        <w:rPr>
          <w:rFonts w:eastAsia="Arial Unicode MS" w:hAnsi="Arial Unicode MS" w:cs="Arial Unicode MS"/>
          <w:sz w:val="21"/>
          <w:szCs w:val="21"/>
        </w:rPr>
        <w:t xml:space="preserve"> </w:t>
      </w:r>
    </w:p>
    <w:p w14:paraId="71AB25CE" w14:textId="77777777" w:rsidR="00213947" w:rsidRPr="002275B4" w:rsidRDefault="00213947">
      <w:pPr>
        <w:pStyle w:val="Footnote"/>
        <w:rPr>
          <w:sz w:val="21"/>
          <w:szCs w:val="21"/>
        </w:rPr>
      </w:pPr>
    </w:p>
    <w:p w14:paraId="4DD65176" w14:textId="77777777" w:rsidR="00213947" w:rsidRPr="002275B4" w:rsidRDefault="00145434">
      <w:pPr>
        <w:pStyle w:val="Footnote"/>
        <w:spacing w:line="288" w:lineRule="auto"/>
        <w:rPr>
          <w:sz w:val="21"/>
          <w:szCs w:val="21"/>
        </w:rPr>
      </w:pPr>
      <w:proofErr w:type="spellStart"/>
      <w:r w:rsidRPr="002275B4">
        <w:rPr>
          <w:sz w:val="21"/>
          <w:szCs w:val="21"/>
        </w:rPr>
        <w:t>Argy</w:t>
      </w:r>
      <w:proofErr w:type="spellEnd"/>
      <w:r w:rsidRPr="002275B4">
        <w:rPr>
          <w:sz w:val="21"/>
          <w:szCs w:val="21"/>
        </w:rPr>
        <w:t xml:space="preserve"> F, ‘Education inequalities in Australia’ </w:t>
      </w:r>
      <w:r w:rsidRPr="002275B4">
        <w:rPr>
          <w:i/>
          <w:iCs/>
          <w:sz w:val="21"/>
          <w:szCs w:val="21"/>
        </w:rPr>
        <w:t>The New Critic</w:t>
      </w:r>
      <w:r w:rsidRPr="002275B4">
        <w:rPr>
          <w:sz w:val="21"/>
          <w:szCs w:val="21"/>
        </w:rPr>
        <w:t xml:space="preserve"> (May 2007, online)</w:t>
      </w:r>
    </w:p>
    <w:p w14:paraId="31FFFED9" w14:textId="77777777" w:rsidR="00213947" w:rsidRPr="002275B4" w:rsidRDefault="00213947">
      <w:pPr>
        <w:pStyle w:val="Footnote"/>
        <w:spacing w:line="288" w:lineRule="auto"/>
        <w:rPr>
          <w:sz w:val="21"/>
          <w:szCs w:val="21"/>
        </w:rPr>
      </w:pPr>
    </w:p>
    <w:p w14:paraId="44E0A2A6" w14:textId="77777777" w:rsidR="00213947" w:rsidRPr="002275B4" w:rsidRDefault="00145434">
      <w:pPr>
        <w:pStyle w:val="Footnote"/>
        <w:spacing w:line="288" w:lineRule="auto"/>
        <w:rPr>
          <w:sz w:val="21"/>
          <w:szCs w:val="21"/>
        </w:rPr>
      </w:pPr>
      <w:r w:rsidRPr="002275B4">
        <w:rPr>
          <w:sz w:val="21"/>
          <w:szCs w:val="21"/>
        </w:rPr>
        <w:t>Braun S, ‘</w:t>
      </w:r>
      <w:proofErr w:type="gramStart"/>
      <w:r w:rsidRPr="002275B4">
        <w:rPr>
          <w:sz w:val="21"/>
          <w:szCs w:val="21"/>
        </w:rPr>
        <w:t>The</w:t>
      </w:r>
      <w:proofErr w:type="gramEnd"/>
      <w:r w:rsidRPr="002275B4">
        <w:rPr>
          <w:sz w:val="21"/>
          <w:szCs w:val="21"/>
        </w:rPr>
        <w:t xml:space="preserve"> Obama ‘Crackdown’: Another Failed Attempt to Regulate the Exploitation of Unpaid Internships’ 41 </w:t>
      </w:r>
      <w:r w:rsidRPr="002275B4">
        <w:rPr>
          <w:i/>
          <w:iCs/>
          <w:sz w:val="21"/>
          <w:szCs w:val="21"/>
        </w:rPr>
        <w:t>Southwestern Law Review</w:t>
      </w:r>
      <w:r w:rsidRPr="002275B4">
        <w:rPr>
          <w:sz w:val="21"/>
          <w:szCs w:val="21"/>
        </w:rPr>
        <w:t xml:space="preserve"> (2012)</w:t>
      </w:r>
    </w:p>
    <w:p w14:paraId="78CC8FA5" w14:textId="77777777" w:rsidR="00213947" w:rsidRPr="002275B4" w:rsidRDefault="00213947">
      <w:pPr>
        <w:pStyle w:val="Footnote"/>
        <w:spacing w:line="288" w:lineRule="auto"/>
        <w:rPr>
          <w:sz w:val="21"/>
          <w:szCs w:val="21"/>
        </w:rPr>
      </w:pPr>
    </w:p>
    <w:p w14:paraId="5AAFA8DF" w14:textId="77777777" w:rsidR="00213947" w:rsidRPr="002275B4" w:rsidRDefault="00145434">
      <w:pPr>
        <w:pStyle w:val="Footnote"/>
        <w:spacing w:line="288" w:lineRule="auto"/>
        <w:rPr>
          <w:i/>
          <w:iCs/>
          <w:sz w:val="21"/>
          <w:szCs w:val="21"/>
        </w:rPr>
      </w:pPr>
      <w:proofErr w:type="spellStart"/>
      <w:r w:rsidRPr="002275B4">
        <w:rPr>
          <w:sz w:val="21"/>
          <w:szCs w:val="21"/>
        </w:rPr>
        <w:t>Coorley</w:t>
      </w:r>
      <w:proofErr w:type="spellEnd"/>
      <w:r w:rsidRPr="002275B4">
        <w:rPr>
          <w:sz w:val="21"/>
          <w:szCs w:val="21"/>
        </w:rPr>
        <w:t xml:space="preserve"> P, ‘Hockey’s budget hole heading to $41b’ </w:t>
      </w:r>
      <w:r w:rsidRPr="002275B4">
        <w:rPr>
          <w:i/>
          <w:iCs/>
          <w:sz w:val="21"/>
          <w:szCs w:val="21"/>
        </w:rPr>
        <w:t xml:space="preserve">The Financial </w:t>
      </w:r>
      <w:proofErr w:type="gramStart"/>
      <w:r w:rsidRPr="002275B4">
        <w:rPr>
          <w:i/>
          <w:iCs/>
          <w:sz w:val="21"/>
          <w:szCs w:val="21"/>
        </w:rPr>
        <w:t>Review</w:t>
      </w:r>
      <w:r w:rsidRPr="002275B4">
        <w:rPr>
          <w:sz w:val="21"/>
          <w:szCs w:val="21"/>
        </w:rPr>
        <w:t xml:space="preserve">  (</w:t>
      </w:r>
      <w:proofErr w:type="gramEnd"/>
      <w:r w:rsidRPr="002275B4">
        <w:rPr>
          <w:sz w:val="21"/>
          <w:szCs w:val="21"/>
        </w:rPr>
        <w:t>17 July 2014)</w:t>
      </w:r>
    </w:p>
    <w:p w14:paraId="1FEE5D7D" w14:textId="77777777" w:rsidR="00213947" w:rsidRPr="002275B4" w:rsidRDefault="00213947">
      <w:pPr>
        <w:pStyle w:val="BodyA"/>
        <w:spacing w:line="288" w:lineRule="auto"/>
        <w:jc w:val="both"/>
        <w:rPr>
          <w:i/>
          <w:iCs/>
          <w:sz w:val="21"/>
          <w:szCs w:val="21"/>
        </w:rPr>
      </w:pPr>
    </w:p>
    <w:p w14:paraId="16853C29" w14:textId="77777777" w:rsidR="00213947" w:rsidRPr="002275B4" w:rsidRDefault="00145434">
      <w:pPr>
        <w:pStyle w:val="BodyA"/>
        <w:spacing w:line="288" w:lineRule="auto"/>
        <w:jc w:val="both"/>
        <w:rPr>
          <w:i/>
          <w:iCs/>
          <w:sz w:val="21"/>
          <w:szCs w:val="21"/>
        </w:rPr>
      </w:pPr>
      <w:proofErr w:type="spellStart"/>
      <w:r w:rsidRPr="002275B4">
        <w:rPr>
          <w:sz w:val="21"/>
          <w:szCs w:val="21"/>
        </w:rPr>
        <w:t>Durack</w:t>
      </w:r>
      <w:proofErr w:type="spellEnd"/>
      <w:r w:rsidRPr="002275B4">
        <w:rPr>
          <w:sz w:val="21"/>
          <w:szCs w:val="21"/>
        </w:rPr>
        <w:t xml:space="preserve"> K, </w:t>
      </w:r>
      <w:r w:rsidRPr="002275B4">
        <w:rPr>
          <w:rFonts w:hAnsi="Helvetica"/>
          <w:sz w:val="21"/>
          <w:szCs w:val="21"/>
        </w:rPr>
        <w:t>‘</w:t>
      </w:r>
      <w:r w:rsidRPr="002275B4">
        <w:rPr>
          <w:sz w:val="21"/>
          <w:szCs w:val="21"/>
        </w:rPr>
        <w:t>Sweating Employment: Ethical and Legal Issues with Unpaid Student Internships</w:t>
      </w:r>
      <w:r w:rsidRPr="002275B4">
        <w:rPr>
          <w:rFonts w:hAnsi="Helvetica"/>
          <w:sz w:val="21"/>
          <w:szCs w:val="21"/>
        </w:rPr>
        <w:t>’</w:t>
      </w:r>
      <w:r w:rsidRPr="002275B4">
        <w:rPr>
          <w:sz w:val="21"/>
          <w:szCs w:val="21"/>
        </w:rPr>
        <w:t xml:space="preserve">, 65.2 </w:t>
      </w:r>
      <w:r w:rsidRPr="002275B4">
        <w:rPr>
          <w:i/>
          <w:iCs/>
          <w:sz w:val="21"/>
          <w:szCs w:val="21"/>
        </w:rPr>
        <w:t>College Composition and Communication</w:t>
      </w:r>
      <w:r w:rsidRPr="002275B4">
        <w:rPr>
          <w:sz w:val="21"/>
          <w:szCs w:val="21"/>
        </w:rPr>
        <w:t xml:space="preserve"> (2013)</w:t>
      </w:r>
    </w:p>
    <w:p w14:paraId="1061A9C5" w14:textId="77777777" w:rsidR="00213947" w:rsidRPr="002275B4" w:rsidRDefault="00213947">
      <w:pPr>
        <w:pStyle w:val="Footnote"/>
        <w:spacing w:line="288" w:lineRule="auto"/>
        <w:rPr>
          <w:i/>
          <w:iCs/>
          <w:sz w:val="21"/>
          <w:szCs w:val="21"/>
        </w:rPr>
      </w:pPr>
    </w:p>
    <w:p w14:paraId="0DBA98E0" w14:textId="77777777" w:rsidR="00213947" w:rsidRPr="002275B4" w:rsidRDefault="00145434">
      <w:pPr>
        <w:pStyle w:val="Footnote"/>
        <w:spacing w:line="288" w:lineRule="auto"/>
        <w:rPr>
          <w:i/>
          <w:iCs/>
          <w:sz w:val="21"/>
          <w:szCs w:val="21"/>
        </w:rPr>
      </w:pPr>
      <w:r w:rsidRPr="002275B4">
        <w:rPr>
          <w:sz w:val="21"/>
          <w:szCs w:val="21"/>
        </w:rPr>
        <w:t>Kearney G, ‘Unpaid Work Experience: A Union Perspective’ speech, Melbourne (28 February 2013)</w:t>
      </w:r>
    </w:p>
    <w:p w14:paraId="4A878697" w14:textId="77777777" w:rsidR="00213947" w:rsidRPr="002275B4" w:rsidRDefault="00213947">
      <w:pPr>
        <w:pStyle w:val="Footnote"/>
        <w:spacing w:line="288" w:lineRule="auto"/>
        <w:rPr>
          <w:i/>
          <w:iCs/>
          <w:sz w:val="21"/>
          <w:szCs w:val="21"/>
        </w:rPr>
      </w:pPr>
    </w:p>
    <w:p w14:paraId="4C43380E" w14:textId="77777777" w:rsidR="00213947" w:rsidRPr="002275B4" w:rsidRDefault="00145434">
      <w:pPr>
        <w:pStyle w:val="Footnote"/>
        <w:spacing w:line="288" w:lineRule="auto"/>
        <w:rPr>
          <w:sz w:val="21"/>
          <w:szCs w:val="21"/>
        </w:rPr>
      </w:pPr>
      <w:r w:rsidRPr="002275B4">
        <w:rPr>
          <w:sz w:val="21"/>
          <w:szCs w:val="21"/>
        </w:rPr>
        <w:t xml:space="preserve">Lucas C, ‘Companies freeloading on unprotected </w:t>
      </w:r>
      <w:proofErr w:type="spellStart"/>
      <w:r w:rsidRPr="002275B4">
        <w:rPr>
          <w:sz w:val="21"/>
          <w:szCs w:val="21"/>
        </w:rPr>
        <w:t>interns’</w:t>
      </w:r>
      <w:proofErr w:type="gramStart"/>
      <w:r w:rsidRPr="002275B4">
        <w:rPr>
          <w:sz w:val="21"/>
          <w:szCs w:val="21"/>
        </w:rPr>
        <w:t>,</w:t>
      </w:r>
      <w:r w:rsidRPr="002275B4">
        <w:rPr>
          <w:i/>
          <w:iCs/>
          <w:sz w:val="21"/>
          <w:szCs w:val="21"/>
        </w:rPr>
        <w:t>The</w:t>
      </w:r>
      <w:proofErr w:type="spellEnd"/>
      <w:proofErr w:type="gramEnd"/>
      <w:r w:rsidRPr="002275B4">
        <w:rPr>
          <w:i/>
          <w:iCs/>
          <w:sz w:val="21"/>
          <w:szCs w:val="21"/>
        </w:rPr>
        <w:t xml:space="preserve"> Age </w:t>
      </w:r>
      <w:r w:rsidRPr="002275B4">
        <w:rPr>
          <w:sz w:val="21"/>
          <w:szCs w:val="21"/>
        </w:rPr>
        <w:t>(21 April 2014)</w:t>
      </w:r>
    </w:p>
    <w:p w14:paraId="49CA4BD3" w14:textId="77777777" w:rsidR="00213947" w:rsidRPr="002275B4" w:rsidRDefault="00213947">
      <w:pPr>
        <w:pStyle w:val="Footnote"/>
        <w:spacing w:line="288" w:lineRule="auto"/>
        <w:rPr>
          <w:sz w:val="21"/>
          <w:szCs w:val="21"/>
        </w:rPr>
      </w:pPr>
    </w:p>
    <w:p w14:paraId="70CBB637" w14:textId="77777777" w:rsidR="00213947" w:rsidRPr="002275B4" w:rsidRDefault="00145434">
      <w:pPr>
        <w:pStyle w:val="Footnote"/>
        <w:spacing w:line="288" w:lineRule="auto"/>
        <w:rPr>
          <w:i/>
          <w:iCs/>
          <w:sz w:val="21"/>
          <w:szCs w:val="21"/>
        </w:rPr>
      </w:pPr>
      <w:proofErr w:type="spellStart"/>
      <w:r w:rsidRPr="002275B4">
        <w:rPr>
          <w:sz w:val="21"/>
          <w:szCs w:val="21"/>
        </w:rPr>
        <w:t>Perlin</w:t>
      </w:r>
      <w:proofErr w:type="spellEnd"/>
      <w:r w:rsidRPr="002275B4">
        <w:rPr>
          <w:sz w:val="21"/>
          <w:szCs w:val="21"/>
        </w:rPr>
        <w:t xml:space="preserve"> R, </w:t>
      </w:r>
      <w:r w:rsidRPr="002275B4">
        <w:rPr>
          <w:i/>
          <w:iCs/>
          <w:sz w:val="21"/>
          <w:szCs w:val="21"/>
        </w:rPr>
        <w:t xml:space="preserve">Intern Nation </w:t>
      </w:r>
      <w:r w:rsidRPr="002275B4">
        <w:rPr>
          <w:sz w:val="21"/>
          <w:szCs w:val="21"/>
        </w:rPr>
        <w:t>(Verso, London, 2011)</w:t>
      </w:r>
    </w:p>
    <w:p w14:paraId="521A50A5" w14:textId="77777777" w:rsidR="00213947" w:rsidRPr="002275B4" w:rsidRDefault="00213947">
      <w:pPr>
        <w:pStyle w:val="Footnote"/>
        <w:spacing w:line="288" w:lineRule="auto"/>
        <w:rPr>
          <w:i/>
          <w:iCs/>
          <w:sz w:val="21"/>
          <w:szCs w:val="21"/>
        </w:rPr>
      </w:pPr>
    </w:p>
    <w:p w14:paraId="56949CBC" w14:textId="77777777" w:rsidR="00213947" w:rsidRPr="002275B4" w:rsidRDefault="00145434">
      <w:pPr>
        <w:pStyle w:val="Footnote"/>
        <w:spacing w:line="288" w:lineRule="auto"/>
        <w:rPr>
          <w:i/>
          <w:iCs/>
          <w:sz w:val="21"/>
          <w:szCs w:val="21"/>
        </w:rPr>
      </w:pPr>
      <w:r w:rsidRPr="002275B4">
        <w:rPr>
          <w:sz w:val="21"/>
          <w:szCs w:val="21"/>
        </w:rPr>
        <w:t>Wilson N, ‘Experience and exploitation: defining internships’, The Drum (19 April 2012)</w:t>
      </w:r>
    </w:p>
    <w:p w14:paraId="1E4DCD7D" w14:textId="77777777" w:rsidR="00213947" w:rsidRPr="002275B4" w:rsidRDefault="00213947">
      <w:pPr>
        <w:pStyle w:val="Footnote"/>
        <w:spacing w:line="288" w:lineRule="auto"/>
        <w:rPr>
          <w:i/>
          <w:iCs/>
          <w:sz w:val="21"/>
          <w:szCs w:val="21"/>
        </w:rPr>
      </w:pPr>
    </w:p>
    <w:p w14:paraId="29D0EB2F" w14:textId="77777777" w:rsidR="00213947" w:rsidRPr="002275B4" w:rsidRDefault="00145434">
      <w:pPr>
        <w:pStyle w:val="BodyA"/>
        <w:spacing w:line="288" w:lineRule="auto"/>
        <w:jc w:val="both"/>
        <w:rPr>
          <w:i/>
          <w:iCs/>
          <w:sz w:val="21"/>
          <w:szCs w:val="21"/>
        </w:rPr>
      </w:pPr>
      <w:r w:rsidRPr="002275B4">
        <w:rPr>
          <w:i/>
          <w:iCs/>
          <w:sz w:val="21"/>
          <w:szCs w:val="21"/>
        </w:rPr>
        <w:tab/>
        <w:t>Reports</w:t>
      </w:r>
    </w:p>
    <w:p w14:paraId="4EDB3B72" w14:textId="77777777" w:rsidR="00213947" w:rsidRPr="002275B4" w:rsidRDefault="00213947">
      <w:pPr>
        <w:pStyle w:val="Footnote"/>
        <w:spacing w:line="288" w:lineRule="auto"/>
        <w:rPr>
          <w:i/>
          <w:iCs/>
          <w:sz w:val="21"/>
          <w:szCs w:val="21"/>
        </w:rPr>
      </w:pPr>
    </w:p>
    <w:p w14:paraId="4B84684B" w14:textId="77777777" w:rsidR="00213947" w:rsidRPr="002275B4" w:rsidRDefault="00145434">
      <w:pPr>
        <w:pStyle w:val="Footnote"/>
        <w:spacing w:line="288" w:lineRule="auto"/>
        <w:rPr>
          <w:sz w:val="21"/>
          <w:szCs w:val="21"/>
        </w:rPr>
      </w:pPr>
      <w:proofErr w:type="spellStart"/>
      <w:r w:rsidRPr="002275B4">
        <w:rPr>
          <w:sz w:val="21"/>
          <w:szCs w:val="21"/>
        </w:rPr>
        <w:t>Argy</w:t>
      </w:r>
      <w:proofErr w:type="spellEnd"/>
      <w:r w:rsidRPr="002275B4">
        <w:rPr>
          <w:sz w:val="21"/>
          <w:szCs w:val="21"/>
        </w:rPr>
        <w:t xml:space="preserve"> F, 'Equality of Opportunity in Australia’, Australia Institute (April 2008)</w:t>
      </w:r>
    </w:p>
    <w:p w14:paraId="31A1E3F5" w14:textId="77777777" w:rsidR="00213947" w:rsidRPr="002275B4" w:rsidRDefault="00213947">
      <w:pPr>
        <w:pStyle w:val="Footnote"/>
        <w:spacing w:line="288" w:lineRule="auto"/>
        <w:rPr>
          <w:sz w:val="21"/>
          <w:szCs w:val="21"/>
        </w:rPr>
      </w:pPr>
    </w:p>
    <w:p w14:paraId="2AB2F842" w14:textId="77777777" w:rsidR="00213947" w:rsidRPr="002275B4" w:rsidRDefault="00145434">
      <w:pPr>
        <w:pStyle w:val="Footnote"/>
        <w:spacing w:line="288" w:lineRule="auto"/>
        <w:rPr>
          <w:sz w:val="21"/>
          <w:szCs w:val="21"/>
        </w:rPr>
      </w:pPr>
      <w:r w:rsidRPr="002275B4">
        <w:rPr>
          <w:sz w:val="21"/>
          <w:szCs w:val="21"/>
        </w:rPr>
        <w:t>Australian Chamber of Commerce and Industry, ‘Learning to Work’ (April 2014)</w:t>
      </w:r>
    </w:p>
    <w:p w14:paraId="2EEAD60B" w14:textId="77777777" w:rsidR="00213947" w:rsidRPr="002275B4" w:rsidRDefault="00213947">
      <w:pPr>
        <w:pStyle w:val="Footnote"/>
        <w:spacing w:line="288" w:lineRule="auto"/>
        <w:rPr>
          <w:sz w:val="21"/>
          <w:szCs w:val="21"/>
        </w:rPr>
      </w:pPr>
    </w:p>
    <w:p w14:paraId="02222437" w14:textId="77777777" w:rsidR="00213947" w:rsidRPr="002275B4" w:rsidRDefault="00145434">
      <w:pPr>
        <w:pStyle w:val="FootnoteText"/>
        <w:rPr>
          <w:rFonts w:ascii="Helvetica" w:eastAsia="Helvetica" w:hAnsi="Helvetica" w:cs="Helvetica"/>
          <w:sz w:val="21"/>
          <w:szCs w:val="21"/>
        </w:rPr>
      </w:pPr>
      <w:r w:rsidRPr="002275B4">
        <w:rPr>
          <w:rFonts w:ascii="Helvetica"/>
          <w:sz w:val="21"/>
          <w:szCs w:val="21"/>
        </w:rPr>
        <w:t xml:space="preserve">Australian Research Council (2014) Number of Successful Discovery Projects Proposals for Funding Commencing in 2015 by State and </w:t>
      </w:r>
      <w:proofErr w:type="spellStart"/>
      <w:r w:rsidRPr="002275B4">
        <w:rPr>
          <w:rFonts w:ascii="Helvetica"/>
          <w:sz w:val="21"/>
          <w:szCs w:val="21"/>
        </w:rPr>
        <w:t>Organisation</w:t>
      </w:r>
      <w:proofErr w:type="spellEnd"/>
    </w:p>
    <w:p w14:paraId="72D3F8A4" w14:textId="77777777" w:rsidR="00213947" w:rsidRPr="002275B4" w:rsidRDefault="00213947">
      <w:pPr>
        <w:pStyle w:val="Footnote"/>
        <w:spacing w:line="288" w:lineRule="auto"/>
        <w:rPr>
          <w:sz w:val="21"/>
          <w:szCs w:val="21"/>
        </w:rPr>
      </w:pPr>
    </w:p>
    <w:p w14:paraId="48F6A14B" w14:textId="77777777" w:rsidR="00213947" w:rsidRPr="002275B4" w:rsidRDefault="00145434">
      <w:pPr>
        <w:pStyle w:val="Footnote"/>
        <w:spacing w:line="288" w:lineRule="auto"/>
        <w:rPr>
          <w:sz w:val="21"/>
          <w:szCs w:val="21"/>
        </w:rPr>
      </w:pPr>
      <w:r w:rsidRPr="002275B4">
        <w:rPr>
          <w:sz w:val="21"/>
          <w:szCs w:val="21"/>
        </w:rPr>
        <w:t>Centre for the Study of Higher Education, ‘Participation and Equity’, Universities Australia (March 2008)</w:t>
      </w:r>
    </w:p>
    <w:p w14:paraId="38969270" w14:textId="77777777" w:rsidR="00213947" w:rsidRPr="002275B4" w:rsidRDefault="00213947">
      <w:pPr>
        <w:pStyle w:val="BodyA"/>
        <w:spacing w:line="288" w:lineRule="auto"/>
        <w:jc w:val="both"/>
        <w:rPr>
          <w:sz w:val="21"/>
          <w:szCs w:val="21"/>
        </w:rPr>
      </w:pPr>
    </w:p>
    <w:p w14:paraId="037CA483" w14:textId="77777777" w:rsidR="00213947" w:rsidRPr="002275B4" w:rsidRDefault="00145434">
      <w:pPr>
        <w:pStyle w:val="BodyA"/>
        <w:spacing w:line="288" w:lineRule="auto"/>
        <w:jc w:val="both"/>
        <w:rPr>
          <w:sz w:val="21"/>
          <w:szCs w:val="21"/>
        </w:rPr>
      </w:pPr>
      <w:r w:rsidRPr="002275B4">
        <w:rPr>
          <w:sz w:val="21"/>
          <w:szCs w:val="21"/>
        </w:rPr>
        <w:t>Her Majesty</w:t>
      </w:r>
      <w:r w:rsidRPr="002275B4">
        <w:rPr>
          <w:rFonts w:hAnsi="Helvetica"/>
          <w:sz w:val="21"/>
          <w:szCs w:val="21"/>
        </w:rPr>
        <w:t>’</w:t>
      </w:r>
      <w:r w:rsidRPr="002275B4">
        <w:rPr>
          <w:sz w:val="21"/>
          <w:szCs w:val="21"/>
        </w:rPr>
        <w:t xml:space="preserve">s Government, </w:t>
      </w:r>
      <w:r w:rsidRPr="002275B4">
        <w:rPr>
          <w:rFonts w:hAnsi="Helvetica"/>
          <w:sz w:val="21"/>
          <w:szCs w:val="21"/>
        </w:rPr>
        <w:t>‘</w:t>
      </w:r>
      <w:r w:rsidRPr="002275B4">
        <w:rPr>
          <w:sz w:val="21"/>
          <w:szCs w:val="21"/>
        </w:rPr>
        <w:t xml:space="preserve">Opening Doors, Breaking </w:t>
      </w:r>
      <w:proofErr w:type="gramStart"/>
      <w:r w:rsidRPr="002275B4">
        <w:rPr>
          <w:sz w:val="21"/>
          <w:szCs w:val="21"/>
        </w:rPr>
        <w:t>Down</w:t>
      </w:r>
      <w:proofErr w:type="gramEnd"/>
      <w:r w:rsidRPr="002275B4">
        <w:rPr>
          <w:sz w:val="21"/>
          <w:szCs w:val="21"/>
        </w:rPr>
        <w:t xml:space="preserve"> Barriers, A Strategy for Social Mobility</w:t>
      </w:r>
      <w:r w:rsidRPr="002275B4">
        <w:rPr>
          <w:rFonts w:hAnsi="Helvetica"/>
          <w:sz w:val="21"/>
          <w:szCs w:val="21"/>
        </w:rPr>
        <w:t xml:space="preserve">’ </w:t>
      </w:r>
      <w:r w:rsidRPr="002275B4">
        <w:rPr>
          <w:sz w:val="21"/>
          <w:szCs w:val="21"/>
        </w:rPr>
        <w:t>(April 2011)</w:t>
      </w:r>
    </w:p>
    <w:p w14:paraId="5FBFF68D" w14:textId="77777777" w:rsidR="00213947" w:rsidRPr="002275B4" w:rsidRDefault="00213947">
      <w:pPr>
        <w:pStyle w:val="Footnote"/>
        <w:spacing w:line="288" w:lineRule="auto"/>
        <w:rPr>
          <w:sz w:val="21"/>
          <w:szCs w:val="21"/>
        </w:rPr>
      </w:pPr>
    </w:p>
    <w:p w14:paraId="62626B91" w14:textId="77777777" w:rsidR="00213947" w:rsidRPr="002275B4" w:rsidRDefault="00145434">
      <w:pPr>
        <w:pStyle w:val="Footnote"/>
        <w:spacing w:line="288" w:lineRule="auto"/>
        <w:rPr>
          <w:i/>
          <w:iCs/>
          <w:sz w:val="21"/>
          <w:szCs w:val="21"/>
        </w:rPr>
      </w:pPr>
      <w:r w:rsidRPr="002275B4">
        <w:rPr>
          <w:sz w:val="21"/>
          <w:szCs w:val="21"/>
        </w:rPr>
        <w:t>Interns Australia, ‘Inquiry into volunteering and unpaid work placements among children and young people in NSW’ (January 2014)</w:t>
      </w:r>
    </w:p>
    <w:p w14:paraId="74C58C8A" w14:textId="77777777" w:rsidR="00213947" w:rsidRPr="002275B4" w:rsidRDefault="00213947">
      <w:pPr>
        <w:pStyle w:val="BodyA"/>
        <w:spacing w:line="288" w:lineRule="auto"/>
        <w:jc w:val="both"/>
        <w:rPr>
          <w:i/>
          <w:iCs/>
          <w:sz w:val="21"/>
          <w:szCs w:val="21"/>
        </w:rPr>
      </w:pPr>
    </w:p>
    <w:p w14:paraId="59AD756E" w14:textId="77777777" w:rsidR="00213947" w:rsidRPr="002275B4" w:rsidRDefault="00145434">
      <w:pPr>
        <w:pStyle w:val="BodyA"/>
        <w:spacing w:line="288" w:lineRule="auto"/>
        <w:jc w:val="both"/>
        <w:rPr>
          <w:sz w:val="21"/>
          <w:szCs w:val="21"/>
        </w:rPr>
      </w:pPr>
      <w:r w:rsidRPr="002275B4">
        <w:rPr>
          <w:sz w:val="21"/>
          <w:szCs w:val="21"/>
        </w:rPr>
        <w:t xml:space="preserve">Jordan-Baird C, </w:t>
      </w:r>
      <w:r w:rsidRPr="002275B4">
        <w:rPr>
          <w:rFonts w:hAnsi="Helvetica"/>
          <w:sz w:val="21"/>
          <w:szCs w:val="21"/>
        </w:rPr>
        <w:t>‘</w:t>
      </w:r>
      <w:r w:rsidRPr="002275B4">
        <w:rPr>
          <w:sz w:val="21"/>
          <w:szCs w:val="21"/>
        </w:rPr>
        <w:t>Experience Essential, Remuneration: None</w:t>
      </w:r>
      <w:r w:rsidRPr="002275B4">
        <w:rPr>
          <w:rFonts w:hAnsi="Helvetica"/>
          <w:sz w:val="21"/>
          <w:szCs w:val="21"/>
        </w:rPr>
        <w:t>’</w:t>
      </w:r>
      <w:r w:rsidRPr="002275B4">
        <w:rPr>
          <w:sz w:val="21"/>
          <w:szCs w:val="21"/>
        </w:rPr>
        <w:t xml:space="preserve">, Centre for Employment and </w:t>
      </w:r>
      <w:proofErr w:type="spellStart"/>
      <w:r w:rsidRPr="002275B4">
        <w:rPr>
          <w:sz w:val="21"/>
          <w:szCs w:val="21"/>
        </w:rPr>
        <w:t>Labour</w:t>
      </w:r>
      <w:proofErr w:type="spellEnd"/>
      <w:r w:rsidRPr="002275B4">
        <w:rPr>
          <w:sz w:val="21"/>
          <w:szCs w:val="21"/>
        </w:rPr>
        <w:t xml:space="preserve"> Relations Law (June 2013)</w:t>
      </w:r>
    </w:p>
    <w:p w14:paraId="6E7EDAFE" w14:textId="77777777" w:rsidR="00213947" w:rsidRPr="002275B4" w:rsidRDefault="00213947">
      <w:pPr>
        <w:pStyle w:val="Footnote"/>
        <w:spacing w:line="288" w:lineRule="auto"/>
        <w:rPr>
          <w:sz w:val="21"/>
          <w:szCs w:val="21"/>
        </w:rPr>
      </w:pPr>
    </w:p>
    <w:p w14:paraId="13A440E8" w14:textId="77777777" w:rsidR="00213947" w:rsidRPr="002275B4" w:rsidRDefault="00145434">
      <w:pPr>
        <w:pStyle w:val="FootnoteText"/>
        <w:rPr>
          <w:rFonts w:ascii="Helvetica" w:eastAsia="Helvetica" w:hAnsi="Helvetica" w:cs="Helvetica"/>
          <w:sz w:val="21"/>
          <w:szCs w:val="21"/>
        </w:rPr>
      </w:pPr>
      <w:r w:rsidRPr="002275B4">
        <w:rPr>
          <w:rFonts w:ascii="Helvetica"/>
          <w:sz w:val="21"/>
          <w:szCs w:val="21"/>
        </w:rPr>
        <w:t>Mason G et al, How Much Does Higher Education Enhance the Employability of Graduates</w:t>
      </w:r>
      <w:proofErr w:type="gramStart"/>
      <w:r w:rsidRPr="002275B4">
        <w:rPr>
          <w:rFonts w:ascii="Helvetica"/>
          <w:sz w:val="21"/>
          <w:szCs w:val="21"/>
        </w:rPr>
        <w:t>?,</w:t>
      </w:r>
      <w:proofErr w:type="gramEnd"/>
      <w:r w:rsidRPr="002275B4">
        <w:rPr>
          <w:rFonts w:ascii="Helvetica"/>
          <w:sz w:val="21"/>
          <w:szCs w:val="21"/>
        </w:rPr>
        <w:t xml:space="preserve"> London, HEFCE, August 2003)</w:t>
      </w:r>
    </w:p>
    <w:p w14:paraId="1F5AB6B6" w14:textId="77777777" w:rsidR="00213947" w:rsidRPr="002275B4" w:rsidRDefault="00213947">
      <w:pPr>
        <w:pStyle w:val="Footnote"/>
        <w:spacing w:line="288" w:lineRule="auto"/>
        <w:rPr>
          <w:sz w:val="21"/>
          <w:szCs w:val="21"/>
        </w:rPr>
      </w:pPr>
    </w:p>
    <w:p w14:paraId="762020F5" w14:textId="77777777" w:rsidR="00213947" w:rsidRPr="002275B4" w:rsidRDefault="00145434">
      <w:pPr>
        <w:pStyle w:val="Footnote"/>
        <w:spacing w:line="288" w:lineRule="auto"/>
        <w:rPr>
          <w:i/>
          <w:iCs/>
          <w:sz w:val="21"/>
          <w:szCs w:val="21"/>
        </w:rPr>
      </w:pPr>
      <w:proofErr w:type="spellStart"/>
      <w:r w:rsidRPr="002275B4">
        <w:rPr>
          <w:sz w:val="21"/>
          <w:szCs w:val="21"/>
        </w:rPr>
        <w:lastRenderedPageBreak/>
        <w:t>Organisation</w:t>
      </w:r>
      <w:proofErr w:type="spellEnd"/>
      <w:r w:rsidRPr="002275B4">
        <w:rPr>
          <w:sz w:val="21"/>
          <w:szCs w:val="21"/>
        </w:rPr>
        <w:t xml:space="preserve"> for Economic Co-operation and Development, ‘Earnings inequality, low-paid employment and earnings mobility’ </w:t>
      </w:r>
      <w:r w:rsidRPr="002275B4">
        <w:rPr>
          <w:i/>
          <w:iCs/>
          <w:sz w:val="21"/>
          <w:szCs w:val="21"/>
        </w:rPr>
        <w:t xml:space="preserve">OECD Employment Outlook </w:t>
      </w:r>
      <w:r w:rsidRPr="002275B4">
        <w:rPr>
          <w:sz w:val="21"/>
          <w:szCs w:val="21"/>
        </w:rPr>
        <w:t>(1996)</w:t>
      </w:r>
    </w:p>
    <w:p w14:paraId="499D43B9" w14:textId="77777777" w:rsidR="00213947" w:rsidRPr="002275B4" w:rsidRDefault="00213947">
      <w:pPr>
        <w:pStyle w:val="Footnote"/>
        <w:spacing w:line="288" w:lineRule="auto"/>
        <w:rPr>
          <w:i/>
          <w:iCs/>
          <w:sz w:val="21"/>
          <w:szCs w:val="21"/>
        </w:rPr>
      </w:pPr>
    </w:p>
    <w:p w14:paraId="313BFFA0" w14:textId="77777777" w:rsidR="00213947" w:rsidRPr="002275B4" w:rsidRDefault="00145434">
      <w:pPr>
        <w:pStyle w:val="Footnote"/>
        <w:spacing w:line="288" w:lineRule="auto"/>
        <w:rPr>
          <w:sz w:val="21"/>
          <w:szCs w:val="21"/>
        </w:rPr>
      </w:pPr>
      <w:proofErr w:type="spellStart"/>
      <w:r w:rsidRPr="002275B4">
        <w:rPr>
          <w:sz w:val="21"/>
          <w:szCs w:val="21"/>
        </w:rPr>
        <w:t>Orrell</w:t>
      </w:r>
      <w:proofErr w:type="spellEnd"/>
      <w:r w:rsidRPr="002275B4">
        <w:rPr>
          <w:sz w:val="21"/>
          <w:szCs w:val="21"/>
        </w:rPr>
        <w:t xml:space="preserve"> J, ‘Work-integrated Learning’, Australian Learning and Teaching Council (2011)</w:t>
      </w:r>
    </w:p>
    <w:p w14:paraId="65CA7AC9" w14:textId="77777777" w:rsidR="00213947" w:rsidRPr="002275B4" w:rsidRDefault="00213947">
      <w:pPr>
        <w:pStyle w:val="Footnote"/>
        <w:spacing w:line="288" w:lineRule="auto"/>
        <w:rPr>
          <w:sz w:val="21"/>
          <w:szCs w:val="21"/>
        </w:rPr>
      </w:pPr>
    </w:p>
    <w:p w14:paraId="23D54CCF" w14:textId="77777777" w:rsidR="00213947" w:rsidRPr="002275B4" w:rsidRDefault="00145434">
      <w:pPr>
        <w:pStyle w:val="Footnote"/>
        <w:spacing w:line="288" w:lineRule="auto"/>
        <w:rPr>
          <w:sz w:val="21"/>
          <w:szCs w:val="21"/>
        </w:rPr>
      </w:pPr>
      <w:r w:rsidRPr="002275B4">
        <w:rPr>
          <w:sz w:val="21"/>
          <w:szCs w:val="21"/>
        </w:rPr>
        <w:t xml:space="preserve">Richardson D and Dennis R, ‘Income &amp; Wealth Inequality in Australia’, </w:t>
      </w:r>
      <w:proofErr w:type="gramStart"/>
      <w:r w:rsidRPr="002275B4">
        <w:rPr>
          <w:sz w:val="21"/>
          <w:szCs w:val="21"/>
        </w:rPr>
        <w:t>The</w:t>
      </w:r>
      <w:proofErr w:type="gramEnd"/>
      <w:r w:rsidRPr="002275B4">
        <w:rPr>
          <w:sz w:val="21"/>
          <w:szCs w:val="21"/>
        </w:rPr>
        <w:t xml:space="preserve"> Australia Institute (July 2014) </w:t>
      </w:r>
    </w:p>
    <w:p w14:paraId="48F0683B" w14:textId="77777777" w:rsidR="00213947" w:rsidRPr="002275B4" w:rsidRDefault="00213947">
      <w:pPr>
        <w:pStyle w:val="Footnote"/>
        <w:spacing w:line="288" w:lineRule="auto"/>
        <w:rPr>
          <w:sz w:val="21"/>
          <w:szCs w:val="21"/>
        </w:rPr>
      </w:pPr>
    </w:p>
    <w:p w14:paraId="49DB80C4" w14:textId="77777777" w:rsidR="00213947" w:rsidRPr="002275B4" w:rsidRDefault="00145434">
      <w:pPr>
        <w:pStyle w:val="Footnote"/>
        <w:spacing w:line="288" w:lineRule="auto"/>
        <w:rPr>
          <w:sz w:val="21"/>
          <w:szCs w:val="21"/>
        </w:rPr>
      </w:pPr>
      <w:r w:rsidRPr="002275B4">
        <w:rPr>
          <w:sz w:val="21"/>
          <w:szCs w:val="21"/>
        </w:rPr>
        <w:t>Stewart A and Owens R, ‘Experience or Exploitation?</w:t>
      </w:r>
      <w:proofErr w:type="gramStart"/>
      <w:r w:rsidRPr="002275B4">
        <w:rPr>
          <w:sz w:val="21"/>
          <w:szCs w:val="21"/>
        </w:rPr>
        <w:t>’,</w:t>
      </w:r>
      <w:proofErr w:type="gramEnd"/>
      <w:r w:rsidRPr="002275B4">
        <w:rPr>
          <w:sz w:val="21"/>
          <w:szCs w:val="21"/>
        </w:rPr>
        <w:t xml:space="preserve"> Fair Work Ombudsman (January 2013) </w:t>
      </w:r>
    </w:p>
    <w:p w14:paraId="04E7B72C" w14:textId="77777777" w:rsidR="00213947" w:rsidRPr="002275B4" w:rsidRDefault="00213947">
      <w:pPr>
        <w:pStyle w:val="Footnote"/>
        <w:spacing w:line="288" w:lineRule="auto"/>
        <w:rPr>
          <w:sz w:val="21"/>
          <w:szCs w:val="21"/>
        </w:rPr>
      </w:pPr>
    </w:p>
    <w:p w14:paraId="486ACFE7" w14:textId="77777777" w:rsidR="00213947" w:rsidRPr="002275B4" w:rsidRDefault="00145434">
      <w:pPr>
        <w:pStyle w:val="Footnote"/>
        <w:spacing w:line="288" w:lineRule="auto"/>
        <w:rPr>
          <w:sz w:val="21"/>
          <w:szCs w:val="21"/>
        </w:rPr>
      </w:pPr>
      <w:r w:rsidRPr="002275B4">
        <w:rPr>
          <w:sz w:val="21"/>
          <w:szCs w:val="21"/>
        </w:rPr>
        <w:t>Tertiary Education Quality and Standards Agency, ‘Risk Assessment Framework’ (March 2014)</w:t>
      </w:r>
    </w:p>
    <w:p w14:paraId="44B69E3E" w14:textId="77777777" w:rsidR="00213947" w:rsidRPr="002275B4" w:rsidRDefault="00213947">
      <w:pPr>
        <w:pStyle w:val="Footnote"/>
        <w:spacing w:line="288" w:lineRule="auto"/>
        <w:rPr>
          <w:sz w:val="21"/>
          <w:szCs w:val="21"/>
        </w:rPr>
      </w:pPr>
    </w:p>
    <w:p w14:paraId="2CE19BBF" w14:textId="77777777" w:rsidR="00213947" w:rsidRPr="002275B4" w:rsidRDefault="00145434">
      <w:pPr>
        <w:pStyle w:val="Footnote"/>
        <w:spacing w:line="288" w:lineRule="auto"/>
        <w:rPr>
          <w:sz w:val="21"/>
          <w:szCs w:val="21"/>
        </w:rPr>
      </w:pPr>
      <w:r w:rsidRPr="002275B4">
        <w:rPr>
          <w:sz w:val="21"/>
          <w:szCs w:val="21"/>
        </w:rPr>
        <w:t xml:space="preserve">Yamada D, ‘The Employment Rights of Student Interns’, 35 </w:t>
      </w:r>
      <w:r w:rsidRPr="002275B4">
        <w:rPr>
          <w:i/>
          <w:iCs/>
          <w:sz w:val="21"/>
          <w:szCs w:val="21"/>
        </w:rPr>
        <w:t xml:space="preserve">Connecticut Law Review </w:t>
      </w:r>
    </w:p>
    <w:sectPr w:rsidR="00213947" w:rsidRPr="002275B4" w:rsidSect="002275B4">
      <w:headerReference w:type="default" r:id="rId17"/>
      <w:footerReference w:type="default" r:id="rId18"/>
      <w:pgSz w:w="11900" w:h="16840"/>
      <w:pgMar w:top="851" w:right="1134" w:bottom="851" w:left="1134" w:header="709"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66A61" w14:textId="77777777" w:rsidR="00145434" w:rsidRDefault="00145434">
      <w:r>
        <w:separator/>
      </w:r>
    </w:p>
  </w:endnote>
  <w:endnote w:type="continuationSeparator" w:id="0">
    <w:p w14:paraId="0C289B7A" w14:textId="77777777" w:rsidR="00145434" w:rsidRDefault="00145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C7202" w14:textId="77777777" w:rsidR="00213947" w:rsidRDefault="00145434">
    <w:pPr>
      <w:pStyle w:val="Footer"/>
      <w:jc w:val="center"/>
    </w:pPr>
    <w:r>
      <w:fldChar w:fldCharType="begin"/>
    </w:r>
    <w:r>
      <w:instrText xml:space="preserve"> PAGE </w:instrText>
    </w:r>
    <w:r>
      <w:fldChar w:fldCharType="separate"/>
    </w:r>
    <w:r w:rsidR="006321B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D4675" w14:textId="77777777" w:rsidR="00145434" w:rsidRDefault="00145434">
      <w:r>
        <w:separator/>
      </w:r>
    </w:p>
  </w:footnote>
  <w:footnote w:type="continuationSeparator" w:id="0">
    <w:p w14:paraId="50A7FB65" w14:textId="77777777" w:rsidR="00145434" w:rsidRDefault="00145434">
      <w:r>
        <w:continuationSeparator/>
      </w:r>
    </w:p>
  </w:footnote>
  <w:footnote w:type="continuationNotice" w:id="1">
    <w:p w14:paraId="3BD7F032" w14:textId="77777777" w:rsidR="00145434" w:rsidRDefault="00145434"/>
  </w:footnote>
  <w:footnote w:id="2">
    <w:p w14:paraId="466C4C92" w14:textId="77777777" w:rsidR="00213947" w:rsidRDefault="00145434">
      <w:pPr>
        <w:pStyle w:val="Footnote"/>
      </w:pPr>
      <w:r>
        <w:rPr>
          <w:rFonts w:ascii="Times New Roman" w:eastAsia="Times New Roman" w:hAnsi="Times New Roman" w:cs="Times New Roman"/>
          <w:vertAlign w:val="superscript"/>
        </w:rPr>
        <w:footnoteRef/>
      </w:r>
      <w:r>
        <w:rPr>
          <w:rFonts w:eastAsia="Arial Unicode MS" w:hAnsi="Arial Unicode MS" w:cs="Arial Unicode MS"/>
          <w:sz w:val="20"/>
          <w:szCs w:val="20"/>
        </w:rPr>
        <w:t xml:space="preserve"> Janice </w:t>
      </w:r>
      <w:proofErr w:type="spellStart"/>
      <w:r>
        <w:rPr>
          <w:rFonts w:eastAsia="Arial Unicode MS" w:hAnsi="Arial Unicode MS" w:cs="Arial Unicode MS"/>
          <w:sz w:val="20"/>
          <w:szCs w:val="20"/>
        </w:rPr>
        <w:t>Orrell</w:t>
      </w:r>
      <w:proofErr w:type="spellEnd"/>
      <w:r>
        <w:rPr>
          <w:rFonts w:eastAsia="Arial Unicode MS" w:hAnsi="Arial Unicode MS" w:cs="Arial Unicode MS"/>
          <w:sz w:val="20"/>
          <w:szCs w:val="20"/>
        </w:rPr>
        <w:t xml:space="preserve">, </w:t>
      </w:r>
      <w:r>
        <w:rPr>
          <w:rFonts w:ascii="Arial Unicode MS" w:eastAsia="Arial Unicode MS" w:cs="Arial Unicode MS"/>
          <w:sz w:val="20"/>
          <w:szCs w:val="20"/>
        </w:rPr>
        <w:t>‘</w:t>
      </w:r>
      <w:r>
        <w:rPr>
          <w:rFonts w:eastAsia="Arial Unicode MS" w:hAnsi="Arial Unicode MS" w:cs="Arial Unicode MS"/>
          <w:sz w:val="20"/>
          <w:szCs w:val="20"/>
        </w:rPr>
        <w:t>Work-integrated Learning</w:t>
      </w:r>
      <w:r>
        <w:rPr>
          <w:rFonts w:ascii="Arial Unicode MS" w:eastAsia="Arial Unicode MS" w:cs="Arial Unicode MS"/>
          <w:sz w:val="20"/>
          <w:szCs w:val="20"/>
        </w:rPr>
        <w:t>’</w:t>
      </w:r>
      <w:r>
        <w:rPr>
          <w:rFonts w:eastAsia="Arial Unicode MS" w:hAnsi="Arial Unicode MS" w:cs="Arial Unicode MS"/>
          <w:sz w:val="20"/>
          <w:szCs w:val="20"/>
        </w:rPr>
        <w:t>, Australian Learning and Teaching Council (2011) p 5.</w:t>
      </w:r>
    </w:p>
  </w:footnote>
  <w:footnote w:id="3">
    <w:p w14:paraId="43C24B1D" w14:textId="77777777" w:rsidR="00213947" w:rsidRDefault="00145434">
      <w:pPr>
        <w:pStyle w:val="Footnote"/>
      </w:pPr>
      <w:r>
        <w:rPr>
          <w:rFonts w:ascii="Times New Roman" w:eastAsia="Times New Roman" w:hAnsi="Times New Roman" w:cs="Times New Roman"/>
          <w:vertAlign w:val="superscript"/>
        </w:rPr>
        <w:footnoteRef/>
      </w:r>
      <w:r>
        <w:rPr>
          <w:rFonts w:eastAsia="Arial Unicode MS" w:hAnsi="Arial Unicode MS" w:cs="Arial Unicode MS"/>
          <w:sz w:val="20"/>
          <w:szCs w:val="20"/>
        </w:rPr>
        <w:t xml:space="preserve"> Nicholas Wilson, </w:t>
      </w:r>
      <w:r>
        <w:rPr>
          <w:rFonts w:ascii="Arial Unicode MS" w:eastAsia="Arial Unicode MS" w:cs="Arial Unicode MS"/>
          <w:sz w:val="20"/>
          <w:szCs w:val="20"/>
        </w:rPr>
        <w:t>‘</w:t>
      </w:r>
      <w:r>
        <w:rPr>
          <w:rFonts w:eastAsia="Arial Unicode MS" w:hAnsi="Arial Unicode MS" w:cs="Arial Unicode MS"/>
          <w:sz w:val="20"/>
          <w:szCs w:val="20"/>
        </w:rPr>
        <w:t>Experience and exploitation: defining internships</w:t>
      </w:r>
      <w:r>
        <w:rPr>
          <w:rFonts w:ascii="Arial Unicode MS" w:eastAsia="Arial Unicode MS" w:cs="Arial Unicode MS"/>
          <w:sz w:val="20"/>
          <w:szCs w:val="20"/>
        </w:rPr>
        <w:t>’</w:t>
      </w:r>
      <w:r>
        <w:rPr>
          <w:rFonts w:eastAsia="Arial Unicode MS" w:hAnsi="Arial Unicode MS" w:cs="Arial Unicode MS"/>
          <w:sz w:val="20"/>
          <w:szCs w:val="20"/>
        </w:rPr>
        <w:t xml:space="preserve">, </w:t>
      </w:r>
      <w:r>
        <w:rPr>
          <w:rFonts w:eastAsia="Arial Unicode MS" w:hAnsi="Arial Unicode MS" w:cs="Arial Unicode MS"/>
          <w:i/>
          <w:iCs/>
          <w:sz w:val="20"/>
          <w:szCs w:val="20"/>
        </w:rPr>
        <w:t xml:space="preserve">The Drum </w:t>
      </w:r>
      <w:r>
        <w:rPr>
          <w:rFonts w:eastAsia="Arial Unicode MS" w:hAnsi="Arial Unicode MS" w:cs="Arial Unicode MS"/>
          <w:sz w:val="20"/>
          <w:szCs w:val="20"/>
        </w:rPr>
        <w:t>(19 April 2012) http://www.abc.net.au/unleashed/3960252.html (accessed 18 September 2014).</w:t>
      </w:r>
    </w:p>
  </w:footnote>
  <w:footnote w:id="4">
    <w:p w14:paraId="0FC87BB8" w14:textId="77777777" w:rsidR="00213947" w:rsidRDefault="00145434">
      <w:pPr>
        <w:pStyle w:val="Footnote"/>
      </w:pPr>
      <w:r>
        <w:rPr>
          <w:rFonts w:ascii="Times New Roman" w:eastAsia="Times New Roman" w:hAnsi="Times New Roman" w:cs="Times New Roman"/>
          <w:vertAlign w:val="superscript"/>
        </w:rPr>
        <w:footnoteRef/>
      </w:r>
      <w:r>
        <w:rPr>
          <w:rFonts w:eastAsia="Arial Unicode MS" w:hAnsi="Arial Unicode MS" w:cs="Arial Unicode MS"/>
          <w:sz w:val="20"/>
          <w:szCs w:val="20"/>
        </w:rPr>
        <w:t xml:space="preserve"> See, for example, </w:t>
      </w:r>
      <w:r>
        <w:rPr>
          <w:rFonts w:eastAsia="Arial Unicode MS" w:hAnsi="Arial Unicode MS" w:cs="Arial Unicode MS"/>
          <w:i/>
          <w:iCs/>
          <w:sz w:val="20"/>
          <w:szCs w:val="20"/>
        </w:rPr>
        <w:t xml:space="preserve">Ex parte H.V. McKay </w:t>
      </w:r>
      <w:r>
        <w:rPr>
          <w:rFonts w:eastAsia="Arial Unicode MS" w:hAnsi="Arial Unicode MS" w:cs="Arial Unicode MS"/>
          <w:sz w:val="20"/>
          <w:szCs w:val="20"/>
        </w:rPr>
        <w:t xml:space="preserve">(1907) 2 CAR 1 which established a minimum, social wage in Australia. </w:t>
      </w:r>
    </w:p>
  </w:footnote>
  <w:footnote w:id="5">
    <w:p w14:paraId="193EEFB4" w14:textId="77777777" w:rsidR="00213947" w:rsidRDefault="00145434">
      <w:pPr>
        <w:pStyle w:val="Footnote"/>
      </w:pPr>
      <w:r>
        <w:rPr>
          <w:rFonts w:ascii="Times New Roman" w:eastAsia="Times New Roman" w:hAnsi="Times New Roman" w:cs="Times New Roman"/>
          <w:vertAlign w:val="superscript"/>
        </w:rPr>
        <w:footnoteRef/>
      </w:r>
      <w:r>
        <w:rPr>
          <w:rFonts w:eastAsia="Arial Unicode MS" w:hAnsi="Arial Unicode MS" w:cs="Arial Unicode MS"/>
          <w:sz w:val="20"/>
          <w:szCs w:val="20"/>
        </w:rPr>
        <w:t xml:space="preserve"> </w:t>
      </w:r>
      <w:proofErr w:type="gramStart"/>
      <w:r>
        <w:rPr>
          <w:rFonts w:eastAsia="Arial Unicode MS" w:hAnsi="Arial Unicode MS" w:cs="Arial Unicode MS"/>
          <w:sz w:val="20"/>
          <w:szCs w:val="20"/>
        </w:rPr>
        <w:t>Andrew Stewart and Rosemary Owens, 2013, Experience or Exploitation?</w:t>
      </w:r>
      <w:proofErr w:type="gramEnd"/>
      <w:r>
        <w:rPr>
          <w:rFonts w:eastAsia="Arial Unicode MS" w:hAnsi="Arial Unicode MS" w:cs="Arial Unicode MS"/>
          <w:sz w:val="20"/>
          <w:szCs w:val="20"/>
        </w:rPr>
        <w:t xml:space="preserve"> The Nature, Prevalence and Regulation of Unpaid Work Experience, Internships and Trial Periods in Australia, Fair Work Ombudsman, available online: </w:t>
      </w:r>
      <w:hyperlink r:id="rId1" w:history="1">
        <w:r>
          <w:rPr>
            <w:rStyle w:val="Hyperlink1"/>
            <w:rFonts w:eastAsia="Arial Unicode MS" w:hAnsi="Arial Unicode MS" w:cs="Arial Unicode MS"/>
          </w:rPr>
          <w:t>http://www.fairwork.gov.au/Publications/Research/UW-complete-report.pdf</w:t>
        </w:r>
      </w:hyperlink>
    </w:p>
  </w:footnote>
  <w:footnote w:id="6">
    <w:p w14:paraId="1E7E862A" w14:textId="77777777" w:rsidR="00213947" w:rsidRDefault="00145434">
      <w:pPr>
        <w:pStyle w:val="Footnote"/>
      </w:pPr>
      <w:r>
        <w:rPr>
          <w:rFonts w:ascii="Times New Roman" w:eastAsia="Times New Roman" w:hAnsi="Times New Roman" w:cs="Times New Roman"/>
          <w:vertAlign w:val="superscript"/>
        </w:rPr>
        <w:footnoteRef/>
      </w:r>
      <w:r>
        <w:rPr>
          <w:rFonts w:eastAsia="Arial Unicode MS" w:hAnsi="Arial Unicode MS" w:cs="Arial Unicode MS"/>
          <w:sz w:val="20"/>
          <w:szCs w:val="20"/>
        </w:rPr>
        <w:t xml:space="preserve"> Interns Australia, National Internship Survey Interim Report (April 2014) Available online </w:t>
      </w:r>
      <w:hyperlink r:id="rId2" w:history="1">
        <w:r>
          <w:rPr>
            <w:rStyle w:val="Hyperlink1"/>
            <w:rFonts w:eastAsia="Arial Unicode MS" w:hAnsi="Arial Unicode MS" w:cs="Arial Unicode MS"/>
          </w:rPr>
          <w:t>http://www.mediafire.com/view/yz5x175w28l93u9/Interns_Australia_Releases_Results_of_Intern_Survey_(Edwin).pdf</w:t>
        </w:r>
      </w:hyperlink>
      <w:r>
        <w:rPr>
          <w:rFonts w:eastAsia="Arial Unicode MS" w:hAnsi="Arial Unicode MS" w:cs="Arial Unicode MS"/>
          <w:sz w:val="20"/>
          <w:szCs w:val="20"/>
        </w:rPr>
        <w:t xml:space="preserve"> </w:t>
      </w:r>
    </w:p>
  </w:footnote>
  <w:footnote w:id="7">
    <w:p w14:paraId="76EDAE74" w14:textId="77777777" w:rsidR="00213947" w:rsidRDefault="00145434">
      <w:pPr>
        <w:pStyle w:val="Footnote"/>
      </w:pPr>
      <w:r>
        <w:rPr>
          <w:rFonts w:ascii="Times New Roman" w:eastAsia="Times New Roman" w:hAnsi="Times New Roman" w:cs="Times New Roman"/>
          <w:vertAlign w:val="superscript"/>
        </w:rPr>
        <w:footnoteRef/>
      </w:r>
      <w:r>
        <w:rPr>
          <w:rFonts w:eastAsia="Arial Unicode MS" w:hAnsi="Arial Unicode MS" w:cs="Arial Unicode MS"/>
          <w:sz w:val="20"/>
          <w:szCs w:val="20"/>
        </w:rPr>
        <w:t xml:space="preserve"> </w:t>
      </w:r>
      <w:proofErr w:type="gramStart"/>
      <w:r>
        <w:rPr>
          <w:rFonts w:eastAsia="Arial Unicode MS" w:hAnsi="Arial Unicode MS" w:cs="Arial Unicode MS"/>
          <w:sz w:val="20"/>
          <w:szCs w:val="20"/>
        </w:rPr>
        <w:t>Verso, London, 2011.</w:t>
      </w:r>
      <w:proofErr w:type="gramEnd"/>
      <w:r>
        <w:rPr>
          <w:rFonts w:eastAsia="Arial Unicode MS" w:hAnsi="Arial Unicode MS" w:cs="Arial Unicode MS"/>
          <w:sz w:val="20"/>
          <w:szCs w:val="20"/>
        </w:rPr>
        <w:t xml:space="preserve"> </w:t>
      </w:r>
    </w:p>
  </w:footnote>
  <w:footnote w:id="8">
    <w:p w14:paraId="174A96FF" w14:textId="77777777" w:rsidR="00213947" w:rsidRDefault="00145434">
      <w:pPr>
        <w:pStyle w:val="Footnote"/>
      </w:pPr>
      <w:r>
        <w:rPr>
          <w:rFonts w:ascii="Times New Roman" w:eastAsia="Times New Roman" w:hAnsi="Times New Roman" w:cs="Times New Roman"/>
          <w:vertAlign w:val="superscript"/>
        </w:rPr>
        <w:footnoteRef/>
      </w:r>
      <w:r>
        <w:rPr>
          <w:rFonts w:eastAsia="Arial Unicode MS" w:hAnsi="Arial Unicode MS" w:cs="Arial Unicode MS"/>
          <w:sz w:val="20"/>
          <w:szCs w:val="20"/>
        </w:rPr>
        <w:t xml:space="preserve"> David Yamada, </w:t>
      </w:r>
      <w:r>
        <w:rPr>
          <w:rFonts w:ascii="Arial Unicode MS" w:eastAsia="Arial Unicode MS" w:cs="Arial Unicode MS"/>
          <w:sz w:val="20"/>
          <w:szCs w:val="20"/>
        </w:rPr>
        <w:t>‘</w:t>
      </w:r>
      <w:r>
        <w:rPr>
          <w:rFonts w:eastAsia="Arial Unicode MS" w:hAnsi="Arial Unicode MS" w:cs="Arial Unicode MS"/>
          <w:sz w:val="20"/>
          <w:szCs w:val="20"/>
        </w:rPr>
        <w:t>The Employment Rights of Student Interns</w:t>
      </w:r>
      <w:r>
        <w:rPr>
          <w:rFonts w:ascii="Arial Unicode MS" w:eastAsia="Arial Unicode MS" w:cs="Arial Unicode MS"/>
          <w:sz w:val="20"/>
          <w:szCs w:val="20"/>
        </w:rPr>
        <w:t>’</w:t>
      </w:r>
      <w:r>
        <w:rPr>
          <w:rFonts w:eastAsia="Arial Unicode MS" w:hAnsi="Arial Unicode MS" w:cs="Arial Unicode MS"/>
          <w:sz w:val="20"/>
          <w:szCs w:val="20"/>
        </w:rPr>
        <w:t xml:space="preserve">, 35 </w:t>
      </w:r>
      <w:r>
        <w:rPr>
          <w:rFonts w:eastAsia="Arial Unicode MS" w:hAnsi="Arial Unicode MS" w:cs="Arial Unicode MS"/>
          <w:i/>
          <w:iCs/>
          <w:sz w:val="20"/>
          <w:szCs w:val="20"/>
        </w:rPr>
        <w:t xml:space="preserve">Connecticut Law Review </w:t>
      </w:r>
      <w:r>
        <w:rPr>
          <w:rFonts w:eastAsia="Arial Unicode MS" w:hAnsi="Arial Unicode MS" w:cs="Arial Unicode MS"/>
          <w:sz w:val="20"/>
          <w:szCs w:val="20"/>
        </w:rPr>
        <w:t>p 215.</w:t>
      </w:r>
    </w:p>
  </w:footnote>
  <w:footnote w:id="9">
    <w:p w14:paraId="238F7C0C" w14:textId="77777777" w:rsidR="00213947" w:rsidRDefault="00145434">
      <w:pPr>
        <w:pStyle w:val="FootnoteText"/>
      </w:pPr>
      <w:r>
        <w:rPr>
          <w:vertAlign w:val="superscript"/>
        </w:rPr>
        <w:footnoteRef/>
      </w:r>
      <w:r>
        <w:rPr>
          <w:rFonts w:ascii="Helvetica"/>
        </w:rPr>
        <w:t xml:space="preserve"> Clara Jordan-Baird, </w:t>
      </w:r>
      <w:r>
        <w:rPr>
          <w:rFonts w:hAnsi="Helvetica"/>
        </w:rPr>
        <w:t>‘</w:t>
      </w:r>
      <w:r>
        <w:rPr>
          <w:rFonts w:ascii="Helvetica"/>
        </w:rPr>
        <w:t>Experience Essential, Remuneration: None,</w:t>
      </w:r>
      <w:r>
        <w:rPr>
          <w:rFonts w:hAnsi="Helvetica"/>
        </w:rPr>
        <w:t>’</w:t>
      </w:r>
      <w:r>
        <w:rPr>
          <w:rFonts w:ascii="Helvetica"/>
        </w:rPr>
        <w:t xml:space="preserve">, Centre for Employment and </w:t>
      </w:r>
      <w:proofErr w:type="spellStart"/>
      <w:r>
        <w:rPr>
          <w:rFonts w:ascii="Helvetica"/>
        </w:rPr>
        <w:t>Labour</w:t>
      </w:r>
      <w:proofErr w:type="spellEnd"/>
      <w:r>
        <w:rPr>
          <w:rFonts w:ascii="Helvetica"/>
        </w:rPr>
        <w:t xml:space="preserve"> Relations Law, The University of Melbourne, June 2013</w:t>
      </w:r>
    </w:p>
  </w:footnote>
  <w:footnote w:id="10">
    <w:p w14:paraId="52968FCE" w14:textId="77777777" w:rsidR="00213947" w:rsidRDefault="00145434">
      <w:pPr>
        <w:pStyle w:val="Footnote"/>
      </w:pPr>
      <w:r>
        <w:rPr>
          <w:rFonts w:ascii="Times New Roman" w:eastAsia="Times New Roman" w:hAnsi="Times New Roman" w:cs="Times New Roman"/>
          <w:vertAlign w:val="superscript"/>
        </w:rPr>
        <w:footnoteRef/>
      </w:r>
      <w:r>
        <w:rPr>
          <w:rFonts w:eastAsia="Arial Unicode MS" w:hAnsi="Arial Unicode MS" w:cs="Arial Unicode MS"/>
          <w:sz w:val="20"/>
          <w:szCs w:val="20"/>
        </w:rPr>
        <w:t xml:space="preserve"> </w:t>
      </w:r>
      <w:proofErr w:type="gramStart"/>
      <w:r>
        <w:rPr>
          <w:rFonts w:eastAsia="Arial Unicode MS" w:hAnsi="Arial Unicode MS" w:cs="Arial Unicode MS"/>
          <w:sz w:val="20"/>
          <w:szCs w:val="20"/>
        </w:rPr>
        <w:t>Above n 1, p 21.</w:t>
      </w:r>
      <w:proofErr w:type="gramEnd"/>
    </w:p>
  </w:footnote>
  <w:footnote w:id="11">
    <w:p w14:paraId="7517BB8F" w14:textId="77777777" w:rsidR="00213947" w:rsidRDefault="00145434">
      <w:pPr>
        <w:pStyle w:val="Footnote"/>
      </w:pPr>
      <w:r>
        <w:rPr>
          <w:rFonts w:ascii="Times New Roman" w:eastAsia="Times New Roman" w:hAnsi="Times New Roman" w:cs="Times New Roman"/>
          <w:vertAlign w:val="superscript"/>
        </w:rPr>
        <w:footnoteRef/>
      </w:r>
      <w:r>
        <w:rPr>
          <w:rFonts w:eastAsia="Arial Unicode MS" w:hAnsi="Arial Unicode MS" w:cs="Arial Unicode MS"/>
          <w:sz w:val="20"/>
          <w:szCs w:val="20"/>
        </w:rPr>
        <w:t xml:space="preserve"> </w:t>
      </w:r>
      <w:proofErr w:type="gramStart"/>
      <w:r>
        <w:rPr>
          <w:rFonts w:eastAsia="Arial Unicode MS" w:hAnsi="Arial Unicode MS" w:cs="Arial Unicode MS"/>
          <w:sz w:val="20"/>
          <w:szCs w:val="20"/>
        </w:rPr>
        <w:t>Ibid. p 2.</w:t>
      </w:r>
      <w:proofErr w:type="gramEnd"/>
    </w:p>
  </w:footnote>
  <w:footnote w:id="12">
    <w:p w14:paraId="2A83421B" w14:textId="77777777" w:rsidR="00213947" w:rsidRDefault="00145434">
      <w:pPr>
        <w:pStyle w:val="Footnote"/>
      </w:pPr>
      <w:r>
        <w:rPr>
          <w:rFonts w:ascii="Times New Roman" w:eastAsia="Times New Roman" w:hAnsi="Times New Roman" w:cs="Times New Roman"/>
          <w:vertAlign w:val="superscript"/>
        </w:rPr>
        <w:footnoteRef/>
      </w:r>
      <w:r>
        <w:rPr>
          <w:rFonts w:eastAsia="Arial Unicode MS" w:hAnsi="Arial Unicode MS" w:cs="Arial Unicode MS"/>
          <w:sz w:val="20"/>
          <w:szCs w:val="20"/>
        </w:rPr>
        <w:t xml:space="preserve"> </w:t>
      </w:r>
      <w:proofErr w:type="gramStart"/>
      <w:r>
        <w:rPr>
          <w:rFonts w:eastAsia="Arial Unicode MS" w:hAnsi="Arial Unicode MS" w:cs="Arial Unicode MS"/>
          <w:sz w:val="20"/>
          <w:szCs w:val="20"/>
        </w:rPr>
        <w:t>Ibid. xi.</w:t>
      </w:r>
      <w:proofErr w:type="gramEnd"/>
    </w:p>
  </w:footnote>
  <w:footnote w:id="13">
    <w:p w14:paraId="088BC188" w14:textId="77777777" w:rsidR="00213947" w:rsidRDefault="00145434">
      <w:pPr>
        <w:pStyle w:val="Footnote"/>
      </w:pPr>
      <w:r>
        <w:rPr>
          <w:rFonts w:ascii="Times New Roman" w:eastAsia="Times New Roman" w:hAnsi="Times New Roman" w:cs="Times New Roman"/>
          <w:vertAlign w:val="superscript"/>
        </w:rPr>
        <w:footnoteRef/>
      </w:r>
      <w:r>
        <w:rPr>
          <w:rFonts w:eastAsia="Arial Unicode MS" w:hAnsi="Arial Unicode MS" w:cs="Arial Unicode MS"/>
          <w:sz w:val="20"/>
          <w:szCs w:val="20"/>
        </w:rPr>
        <w:t xml:space="preserve"> </w:t>
      </w:r>
      <w:proofErr w:type="gramStart"/>
      <w:r>
        <w:rPr>
          <w:rFonts w:eastAsia="Arial Unicode MS" w:hAnsi="Arial Unicode MS" w:cs="Arial Unicode MS"/>
          <w:i/>
          <w:iCs/>
          <w:sz w:val="20"/>
          <w:szCs w:val="20"/>
        </w:rPr>
        <w:t>Fair Work Act 2009</w:t>
      </w:r>
      <w:r>
        <w:rPr>
          <w:rFonts w:eastAsia="Arial Unicode MS" w:hAnsi="Arial Unicode MS" w:cs="Arial Unicode MS"/>
          <w:sz w:val="20"/>
          <w:szCs w:val="20"/>
        </w:rPr>
        <w:t xml:space="preserve"> (</w:t>
      </w:r>
      <w:proofErr w:type="spellStart"/>
      <w:r>
        <w:rPr>
          <w:rFonts w:eastAsia="Arial Unicode MS" w:hAnsi="Arial Unicode MS" w:cs="Arial Unicode MS"/>
          <w:sz w:val="20"/>
          <w:szCs w:val="20"/>
        </w:rPr>
        <w:t>Cth</w:t>
      </w:r>
      <w:proofErr w:type="spellEnd"/>
      <w:r>
        <w:rPr>
          <w:rFonts w:eastAsia="Arial Unicode MS" w:hAnsi="Arial Unicode MS" w:cs="Arial Unicode MS"/>
          <w:sz w:val="20"/>
          <w:szCs w:val="20"/>
        </w:rPr>
        <w:t>) s13.</w:t>
      </w:r>
      <w:proofErr w:type="gramEnd"/>
    </w:p>
  </w:footnote>
  <w:footnote w:id="14">
    <w:p w14:paraId="748C28F6" w14:textId="77777777" w:rsidR="00213947" w:rsidRDefault="00145434">
      <w:pPr>
        <w:pStyle w:val="Footnote"/>
      </w:pPr>
      <w:r>
        <w:rPr>
          <w:rFonts w:ascii="Times New Roman" w:eastAsia="Times New Roman" w:hAnsi="Times New Roman" w:cs="Times New Roman"/>
          <w:vertAlign w:val="superscript"/>
        </w:rPr>
        <w:footnoteRef/>
      </w:r>
      <w:r>
        <w:rPr>
          <w:rFonts w:eastAsia="Arial Unicode MS" w:hAnsi="Arial Unicode MS" w:cs="Arial Unicode MS"/>
          <w:sz w:val="20"/>
          <w:szCs w:val="20"/>
        </w:rPr>
        <w:t xml:space="preserve"> Nicholas Wilson, </w:t>
      </w:r>
      <w:r>
        <w:rPr>
          <w:rFonts w:ascii="Arial Unicode MS" w:eastAsia="Arial Unicode MS" w:cs="Arial Unicode MS"/>
          <w:sz w:val="20"/>
          <w:szCs w:val="20"/>
        </w:rPr>
        <w:t>‘</w:t>
      </w:r>
      <w:r>
        <w:rPr>
          <w:rFonts w:eastAsia="Arial Unicode MS" w:hAnsi="Arial Unicode MS" w:cs="Arial Unicode MS"/>
          <w:sz w:val="20"/>
          <w:szCs w:val="20"/>
        </w:rPr>
        <w:t>Experience and exploitation: defining internships</w:t>
      </w:r>
      <w:r>
        <w:rPr>
          <w:rFonts w:ascii="Arial Unicode MS" w:eastAsia="Arial Unicode MS" w:cs="Arial Unicode MS"/>
          <w:sz w:val="20"/>
          <w:szCs w:val="20"/>
        </w:rPr>
        <w:t>’</w:t>
      </w:r>
      <w:r>
        <w:rPr>
          <w:rFonts w:eastAsia="Arial Unicode MS" w:hAnsi="Arial Unicode MS" w:cs="Arial Unicode MS"/>
          <w:sz w:val="20"/>
          <w:szCs w:val="20"/>
        </w:rPr>
        <w:t xml:space="preserve">, </w:t>
      </w:r>
      <w:r>
        <w:rPr>
          <w:rFonts w:eastAsia="Arial Unicode MS" w:hAnsi="Arial Unicode MS" w:cs="Arial Unicode MS"/>
          <w:i/>
          <w:iCs/>
          <w:sz w:val="20"/>
          <w:szCs w:val="20"/>
        </w:rPr>
        <w:t xml:space="preserve">The Drum </w:t>
      </w:r>
      <w:r>
        <w:rPr>
          <w:rFonts w:eastAsia="Arial Unicode MS" w:hAnsi="Arial Unicode MS" w:cs="Arial Unicode MS"/>
          <w:sz w:val="20"/>
          <w:szCs w:val="20"/>
        </w:rPr>
        <w:t xml:space="preserve">(19 April 2012) </w:t>
      </w:r>
      <w:hyperlink r:id="rId3" w:history="1">
        <w:r>
          <w:rPr>
            <w:rStyle w:val="Hyperlink1"/>
            <w:rFonts w:eastAsia="Arial Unicode MS" w:hAnsi="Arial Unicode MS" w:cs="Arial Unicode MS"/>
          </w:rPr>
          <w:t>http://www.abc.net.au/unleashed/3960252.html</w:t>
        </w:r>
      </w:hyperlink>
      <w:r>
        <w:rPr>
          <w:rFonts w:eastAsia="Arial Unicode MS" w:hAnsi="Arial Unicode MS" w:cs="Arial Unicode MS"/>
          <w:sz w:val="20"/>
          <w:szCs w:val="20"/>
        </w:rPr>
        <w:t>.</w:t>
      </w:r>
    </w:p>
  </w:footnote>
  <w:footnote w:id="15">
    <w:p w14:paraId="400C6C2A" w14:textId="77777777" w:rsidR="00213947" w:rsidRDefault="00145434">
      <w:pPr>
        <w:pStyle w:val="Footnote"/>
      </w:pPr>
      <w:r>
        <w:rPr>
          <w:rFonts w:ascii="Times New Roman" w:eastAsia="Times New Roman" w:hAnsi="Times New Roman" w:cs="Times New Roman"/>
          <w:vertAlign w:val="superscript"/>
        </w:rPr>
        <w:footnoteRef/>
      </w:r>
      <w:r>
        <w:rPr>
          <w:rFonts w:eastAsia="Arial Unicode MS" w:hAnsi="Arial Unicode MS" w:cs="Arial Unicode MS"/>
          <w:sz w:val="20"/>
          <w:szCs w:val="20"/>
        </w:rPr>
        <w:t xml:space="preserve"> </w:t>
      </w:r>
      <w:proofErr w:type="gramStart"/>
      <w:r>
        <w:rPr>
          <w:rFonts w:eastAsia="Arial Unicode MS" w:hAnsi="Arial Unicode MS" w:cs="Arial Unicode MS"/>
          <w:sz w:val="20"/>
          <w:szCs w:val="20"/>
        </w:rPr>
        <w:t xml:space="preserve">Fair Work Ombudsman v </w:t>
      </w:r>
      <w:proofErr w:type="spellStart"/>
      <w:r>
        <w:rPr>
          <w:rFonts w:eastAsia="Arial Unicode MS" w:hAnsi="Arial Unicode MS" w:cs="Arial Unicode MS"/>
          <w:sz w:val="20"/>
          <w:szCs w:val="20"/>
        </w:rPr>
        <w:t>Crocmedia</w:t>
      </w:r>
      <w:proofErr w:type="spellEnd"/>
      <w:r>
        <w:rPr>
          <w:rFonts w:eastAsia="Arial Unicode MS" w:hAnsi="Arial Unicode MS" w:cs="Arial Unicode MS"/>
          <w:sz w:val="20"/>
          <w:szCs w:val="20"/>
        </w:rPr>
        <w:t xml:space="preserve"> Pty Ltd [2015] FCCA 140.</w:t>
      </w:r>
      <w:proofErr w:type="gramEnd"/>
    </w:p>
  </w:footnote>
  <w:footnote w:id="16">
    <w:p w14:paraId="379E5868" w14:textId="77777777" w:rsidR="00213947" w:rsidRDefault="00145434">
      <w:pPr>
        <w:pStyle w:val="FootnoteText"/>
      </w:pPr>
      <w:r>
        <w:rPr>
          <w:vertAlign w:val="superscript"/>
        </w:rPr>
        <w:footnoteRef/>
      </w:r>
      <w:r>
        <w:rPr>
          <w:rFonts w:ascii="Helvetica"/>
        </w:rPr>
        <w:t xml:space="preserve"> </w:t>
      </w:r>
      <w:proofErr w:type="gramStart"/>
      <w:r>
        <w:rPr>
          <w:rFonts w:ascii="Helvetica"/>
        </w:rPr>
        <w:t>Above n 5.</w:t>
      </w:r>
      <w:proofErr w:type="gramEnd"/>
    </w:p>
  </w:footnote>
  <w:footnote w:id="17">
    <w:p w14:paraId="50B25CC1" w14:textId="77777777" w:rsidR="00213947" w:rsidRDefault="00145434">
      <w:pPr>
        <w:pStyle w:val="Footnote"/>
      </w:pPr>
      <w:r>
        <w:rPr>
          <w:rFonts w:ascii="Times New Roman" w:eastAsia="Times New Roman" w:hAnsi="Times New Roman" w:cs="Times New Roman"/>
          <w:vertAlign w:val="superscript"/>
        </w:rPr>
        <w:footnoteRef/>
      </w:r>
      <w:r>
        <w:rPr>
          <w:rFonts w:eastAsia="Arial Unicode MS" w:hAnsi="Arial Unicode MS" w:cs="Arial Unicode MS"/>
          <w:sz w:val="20"/>
          <w:szCs w:val="20"/>
        </w:rPr>
        <w:t xml:space="preserve"> </w:t>
      </w:r>
      <w:proofErr w:type="gramStart"/>
      <w:r>
        <w:rPr>
          <w:rFonts w:eastAsia="Arial Unicode MS" w:hAnsi="Arial Unicode MS" w:cs="Arial Unicode MS"/>
          <w:i/>
          <w:iCs/>
          <w:sz w:val="20"/>
          <w:szCs w:val="20"/>
        </w:rPr>
        <w:t xml:space="preserve">Tertiary Education Quality and Standards Agency Act 2011 </w:t>
      </w:r>
      <w:r>
        <w:rPr>
          <w:rFonts w:eastAsia="Arial Unicode MS" w:hAnsi="Arial Unicode MS" w:cs="Arial Unicode MS"/>
          <w:sz w:val="20"/>
          <w:szCs w:val="20"/>
        </w:rPr>
        <w:t>(</w:t>
      </w:r>
      <w:proofErr w:type="spellStart"/>
      <w:r>
        <w:rPr>
          <w:rFonts w:eastAsia="Arial Unicode MS" w:hAnsi="Arial Unicode MS" w:cs="Arial Unicode MS"/>
          <w:sz w:val="20"/>
          <w:szCs w:val="20"/>
        </w:rPr>
        <w:t>Cth</w:t>
      </w:r>
      <w:proofErr w:type="spellEnd"/>
      <w:r>
        <w:rPr>
          <w:rFonts w:eastAsia="Arial Unicode MS" w:hAnsi="Arial Unicode MS" w:cs="Arial Unicode MS"/>
          <w:sz w:val="20"/>
          <w:szCs w:val="20"/>
        </w:rPr>
        <w:t>) s 134.</w:t>
      </w:r>
      <w:proofErr w:type="gramEnd"/>
    </w:p>
  </w:footnote>
  <w:footnote w:id="18">
    <w:p w14:paraId="659D432F" w14:textId="77777777" w:rsidR="00213947" w:rsidRDefault="00145434">
      <w:pPr>
        <w:pStyle w:val="Footnote"/>
      </w:pPr>
      <w:r>
        <w:rPr>
          <w:rFonts w:ascii="Times New Roman" w:eastAsia="Times New Roman" w:hAnsi="Times New Roman" w:cs="Times New Roman"/>
          <w:vertAlign w:val="superscript"/>
        </w:rPr>
        <w:footnoteRef/>
      </w:r>
      <w:r>
        <w:rPr>
          <w:rFonts w:eastAsia="Arial Unicode MS" w:hAnsi="Arial Unicode MS" w:cs="Arial Unicode MS"/>
          <w:sz w:val="20"/>
          <w:szCs w:val="20"/>
        </w:rPr>
        <w:t xml:space="preserve"> </w:t>
      </w:r>
      <w:proofErr w:type="gramStart"/>
      <w:r>
        <w:rPr>
          <w:rFonts w:eastAsia="Arial Unicode MS" w:hAnsi="Arial Unicode MS" w:cs="Arial Unicode MS"/>
          <w:i/>
          <w:iCs/>
          <w:sz w:val="20"/>
          <w:szCs w:val="20"/>
        </w:rPr>
        <w:t xml:space="preserve">Higher Education Standards Framework (Threshold Standards) 2011 </w:t>
      </w:r>
      <w:r>
        <w:rPr>
          <w:rFonts w:eastAsia="Arial Unicode MS" w:hAnsi="Arial Unicode MS" w:cs="Arial Unicode MS"/>
          <w:sz w:val="20"/>
          <w:szCs w:val="20"/>
        </w:rPr>
        <w:t>(</w:t>
      </w:r>
      <w:proofErr w:type="spellStart"/>
      <w:r>
        <w:rPr>
          <w:rFonts w:eastAsia="Arial Unicode MS" w:hAnsi="Arial Unicode MS" w:cs="Arial Unicode MS"/>
          <w:sz w:val="20"/>
          <w:szCs w:val="20"/>
        </w:rPr>
        <w:t>Cth</w:t>
      </w:r>
      <w:proofErr w:type="spellEnd"/>
      <w:r>
        <w:rPr>
          <w:rFonts w:eastAsia="Arial Unicode MS" w:hAnsi="Arial Unicode MS" w:cs="Arial Unicode MS"/>
          <w:sz w:val="20"/>
          <w:szCs w:val="20"/>
        </w:rPr>
        <w:t>) s 6.</w:t>
      </w:r>
      <w:proofErr w:type="gramEnd"/>
    </w:p>
  </w:footnote>
  <w:footnote w:id="19">
    <w:p w14:paraId="5D275191" w14:textId="77777777" w:rsidR="00213947" w:rsidRDefault="00145434">
      <w:pPr>
        <w:pStyle w:val="Footnote"/>
      </w:pPr>
      <w:r>
        <w:rPr>
          <w:rFonts w:ascii="Times New Roman" w:eastAsia="Times New Roman" w:hAnsi="Times New Roman" w:cs="Times New Roman"/>
          <w:vertAlign w:val="superscript"/>
        </w:rPr>
        <w:footnoteRef/>
      </w:r>
      <w:r>
        <w:rPr>
          <w:rFonts w:eastAsia="Arial Unicode MS" w:hAnsi="Arial Unicode MS" w:cs="Arial Unicode MS"/>
          <w:sz w:val="20"/>
          <w:szCs w:val="20"/>
        </w:rPr>
        <w:t xml:space="preserve"> Centre for the Study of Higher Education, </w:t>
      </w:r>
      <w:r>
        <w:rPr>
          <w:rFonts w:ascii="Arial Unicode MS" w:eastAsia="Arial Unicode MS" w:cs="Arial Unicode MS"/>
          <w:sz w:val="20"/>
          <w:szCs w:val="20"/>
        </w:rPr>
        <w:t>‘</w:t>
      </w:r>
      <w:r>
        <w:rPr>
          <w:rFonts w:eastAsia="Arial Unicode MS" w:hAnsi="Arial Unicode MS" w:cs="Arial Unicode MS"/>
          <w:sz w:val="20"/>
          <w:szCs w:val="20"/>
        </w:rPr>
        <w:t>Participation and Equity</w:t>
      </w:r>
      <w:r>
        <w:rPr>
          <w:rFonts w:ascii="Arial Unicode MS" w:eastAsia="Arial Unicode MS" w:cs="Arial Unicode MS"/>
          <w:sz w:val="20"/>
          <w:szCs w:val="20"/>
        </w:rPr>
        <w:t>’</w:t>
      </w:r>
      <w:r>
        <w:rPr>
          <w:rFonts w:eastAsia="Arial Unicode MS" w:hAnsi="Arial Unicode MS" w:cs="Arial Unicode MS"/>
          <w:sz w:val="20"/>
          <w:szCs w:val="20"/>
        </w:rPr>
        <w:t>, Universities Australia (March 2008) p 23.</w:t>
      </w:r>
    </w:p>
  </w:footnote>
  <w:footnote w:id="20">
    <w:p w14:paraId="48710C4E" w14:textId="77777777" w:rsidR="00213947" w:rsidRDefault="00145434">
      <w:pPr>
        <w:pStyle w:val="Footnote"/>
      </w:pPr>
      <w:r>
        <w:rPr>
          <w:rFonts w:ascii="Times New Roman" w:eastAsia="Times New Roman" w:hAnsi="Times New Roman" w:cs="Times New Roman"/>
          <w:vertAlign w:val="superscript"/>
        </w:rPr>
        <w:footnoteRef/>
      </w:r>
      <w:r>
        <w:rPr>
          <w:rFonts w:eastAsia="Arial Unicode MS" w:hAnsi="Arial Unicode MS" w:cs="Arial Unicode MS"/>
          <w:sz w:val="20"/>
          <w:szCs w:val="20"/>
        </w:rPr>
        <w:t xml:space="preserve"> </w:t>
      </w:r>
      <w:proofErr w:type="spellStart"/>
      <w:r>
        <w:rPr>
          <w:rFonts w:eastAsia="Arial Unicode MS" w:hAnsi="Arial Unicode MS" w:cs="Arial Unicode MS"/>
          <w:sz w:val="20"/>
          <w:szCs w:val="20"/>
        </w:rPr>
        <w:t>Organisation</w:t>
      </w:r>
      <w:proofErr w:type="spellEnd"/>
      <w:r>
        <w:rPr>
          <w:rFonts w:eastAsia="Arial Unicode MS" w:hAnsi="Arial Unicode MS" w:cs="Arial Unicode MS"/>
          <w:sz w:val="20"/>
          <w:szCs w:val="20"/>
        </w:rPr>
        <w:t xml:space="preserve"> for Economic Co-operation and Development, </w:t>
      </w:r>
      <w:r>
        <w:rPr>
          <w:rFonts w:ascii="Arial Unicode MS" w:eastAsia="Arial Unicode MS" w:cs="Arial Unicode MS"/>
          <w:sz w:val="20"/>
          <w:szCs w:val="20"/>
        </w:rPr>
        <w:t>‘</w:t>
      </w:r>
      <w:r>
        <w:rPr>
          <w:rFonts w:eastAsia="Arial Unicode MS" w:hAnsi="Arial Unicode MS" w:cs="Arial Unicode MS"/>
          <w:sz w:val="20"/>
          <w:szCs w:val="20"/>
        </w:rPr>
        <w:t>Earnings inequality, low-paid employment and earnings mobility</w:t>
      </w:r>
      <w:r>
        <w:rPr>
          <w:rFonts w:ascii="Arial Unicode MS" w:eastAsia="Arial Unicode MS" w:cs="Arial Unicode MS"/>
          <w:sz w:val="20"/>
          <w:szCs w:val="20"/>
        </w:rPr>
        <w:t>’</w:t>
      </w:r>
      <w:r>
        <w:rPr>
          <w:rFonts w:ascii="Arial Unicode MS" w:eastAsia="Arial Unicode MS" w:cs="Arial Unicode MS"/>
          <w:sz w:val="20"/>
          <w:szCs w:val="20"/>
        </w:rPr>
        <w:t xml:space="preserve"> </w:t>
      </w:r>
      <w:r>
        <w:rPr>
          <w:rFonts w:eastAsia="Arial Unicode MS" w:hAnsi="Arial Unicode MS" w:cs="Arial Unicode MS"/>
          <w:i/>
          <w:iCs/>
          <w:sz w:val="20"/>
          <w:szCs w:val="20"/>
        </w:rPr>
        <w:t>OECD Employment Outlook 1996</w:t>
      </w:r>
      <w:r>
        <w:rPr>
          <w:rFonts w:eastAsia="Arial Unicode MS" w:hAnsi="Arial Unicode MS" w:cs="Arial Unicode MS"/>
          <w:sz w:val="20"/>
          <w:szCs w:val="20"/>
          <w:lang w:val="nl-NL"/>
        </w:rPr>
        <w:t>, Chapter 3</w:t>
      </w:r>
      <w:r>
        <w:rPr>
          <w:rFonts w:eastAsia="Arial Unicode MS" w:hAnsi="Arial Unicode MS" w:cs="Arial Unicode MS"/>
          <w:sz w:val="20"/>
          <w:szCs w:val="20"/>
        </w:rPr>
        <w:t xml:space="preserve">, cited in Fred </w:t>
      </w:r>
      <w:proofErr w:type="spellStart"/>
      <w:r>
        <w:rPr>
          <w:rFonts w:eastAsia="Arial Unicode MS" w:hAnsi="Arial Unicode MS" w:cs="Arial Unicode MS"/>
          <w:sz w:val="20"/>
          <w:szCs w:val="20"/>
        </w:rPr>
        <w:t>Argy</w:t>
      </w:r>
      <w:proofErr w:type="spellEnd"/>
      <w:r>
        <w:rPr>
          <w:rFonts w:eastAsia="Arial Unicode MS" w:hAnsi="Arial Unicode MS" w:cs="Arial Unicode MS"/>
          <w:sz w:val="20"/>
          <w:szCs w:val="20"/>
        </w:rPr>
        <w:t>, 'Equality of Opportunity in Australia</w:t>
      </w:r>
      <w:r>
        <w:rPr>
          <w:rFonts w:ascii="Arial Unicode MS" w:eastAsia="Arial Unicode MS" w:cs="Arial Unicode MS"/>
          <w:sz w:val="20"/>
          <w:szCs w:val="20"/>
        </w:rPr>
        <w:t>’</w:t>
      </w:r>
      <w:r>
        <w:rPr>
          <w:rFonts w:ascii="Arial Unicode MS" w:eastAsia="Arial Unicode MS" w:cs="Arial Unicode MS"/>
          <w:sz w:val="20"/>
          <w:szCs w:val="20"/>
        </w:rPr>
        <w:t xml:space="preserve"> </w:t>
      </w:r>
      <w:r>
        <w:rPr>
          <w:rFonts w:eastAsia="Arial Unicode MS" w:hAnsi="Arial Unicode MS" w:cs="Arial Unicode MS"/>
          <w:sz w:val="20"/>
          <w:szCs w:val="20"/>
        </w:rPr>
        <w:t>Australia Institute (April 2008) p 5.</w:t>
      </w:r>
    </w:p>
  </w:footnote>
  <w:footnote w:id="21">
    <w:p w14:paraId="33F1E401" w14:textId="77777777" w:rsidR="00213947" w:rsidRDefault="00145434">
      <w:pPr>
        <w:pStyle w:val="FootnoteText"/>
      </w:pPr>
      <w:r>
        <w:rPr>
          <w:vertAlign w:val="superscript"/>
        </w:rPr>
        <w:footnoteRef/>
      </w:r>
      <w:r>
        <w:rPr>
          <w:rFonts w:ascii="Helvetica"/>
        </w:rPr>
        <w:t>Universities Australia, A National Internship Scheme, Position Paper (May 2008) p. 13</w:t>
      </w:r>
    </w:p>
  </w:footnote>
  <w:footnote w:id="22">
    <w:p w14:paraId="61C4C1C5" w14:textId="77777777" w:rsidR="00213947" w:rsidRDefault="00145434">
      <w:pPr>
        <w:pStyle w:val="FootnoteText"/>
      </w:pPr>
      <w:r>
        <w:rPr>
          <w:vertAlign w:val="superscript"/>
        </w:rPr>
        <w:footnoteRef/>
      </w:r>
      <w:r>
        <w:rPr>
          <w:rFonts w:ascii="Helvetica"/>
        </w:rPr>
        <w:t xml:space="preserve"> G. Mason et al, How Much Does Higher Education Enhance the Employability of Graduates</w:t>
      </w:r>
      <w:proofErr w:type="gramStart"/>
      <w:r>
        <w:rPr>
          <w:rFonts w:ascii="Helvetica"/>
        </w:rPr>
        <w:t>?,</w:t>
      </w:r>
      <w:proofErr w:type="gramEnd"/>
      <w:r>
        <w:rPr>
          <w:rFonts w:ascii="Helvetica"/>
        </w:rPr>
        <w:t xml:space="preserve"> London, HEFCE, August 2003). http://www.hefce.ac.uk/Pubs/rdreports/2003/rd13_03</w:t>
      </w:r>
    </w:p>
  </w:footnote>
  <w:footnote w:id="23">
    <w:p w14:paraId="544A8060" w14:textId="77777777" w:rsidR="00213947" w:rsidRDefault="00145434">
      <w:pPr>
        <w:pStyle w:val="FootnoteText"/>
      </w:pPr>
      <w:r>
        <w:rPr>
          <w:vertAlign w:val="superscript"/>
        </w:rPr>
        <w:footnoteRef/>
      </w:r>
      <w:r>
        <w:rPr>
          <w:rFonts w:ascii="Helvetica"/>
        </w:rPr>
        <w:t xml:space="preserve"> Universities Australia, </w:t>
      </w:r>
      <w:proofErr w:type="gramStart"/>
      <w:r>
        <w:rPr>
          <w:rFonts w:ascii="Helvetica"/>
        </w:rPr>
        <w:t>A</w:t>
      </w:r>
      <w:proofErr w:type="gramEnd"/>
      <w:r>
        <w:rPr>
          <w:rFonts w:ascii="Helvetica"/>
        </w:rPr>
        <w:t xml:space="preserve"> National Internship Scheme, Position Paper (May 2008) p 13.</w:t>
      </w:r>
    </w:p>
  </w:footnote>
  <w:footnote w:id="24">
    <w:p w14:paraId="492BCC99" w14:textId="77777777" w:rsidR="00213947" w:rsidRDefault="00145434">
      <w:pPr>
        <w:pStyle w:val="FootnoteText"/>
      </w:pPr>
      <w:r>
        <w:rPr>
          <w:vertAlign w:val="superscript"/>
        </w:rPr>
        <w:footnoteRef/>
      </w:r>
      <w:r>
        <w:rPr>
          <w:rFonts w:ascii="Helvetica"/>
        </w:rPr>
        <w:t xml:space="preserve"> </w:t>
      </w:r>
      <w:proofErr w:type="gramStart"/>
      <w:r>
        <w:rPr>
          <w:rFonts w:ascii="Helvetica"/>
        </w:rPr>
        <w:t>Above n 22 p 5.</w:t>
      </w:r>
      <w:proofErr w:type="gramEnd"/>
    </w:p>
  </w:footnote>
  <w:footnote w:id="25">
    <w:p w14:paraId="3054EEBD" w14:textId="77777777" w:rsidR="00213947" w:rsidRDefault="00145434">
      <w:pPr>
        <w:pStyle w:val="FootnoteText"/>
      </w:pPr>
      <w:r>
        <w:rPr>
          <w:vertAlign w:val="superscript"/>
        </w:rPr>
        <w:footnoteRef/>
      </w:r>
      <w:r>
        <w:rPr>
          <w:rFonts w:ascii="Helvetica"/>
        </w:rPr>
        <w:t xml:space="preserve"> Australian Research Council (2014) Number of Successful Discovery Projects Proposals for Funding Commencing in 2015 by State and </w:t>
      </w:r>
      <w:proofErr w:type="spellStart"/>
      <w:r>
        <w:rPr>
          <w:rFonts w:ascii="Helvetica"/>
        </w:rPr>
        <w:t>Organisation</w:t>
      </w:r>
      <w:proofErr w:type="spellEnd"/>
      <w:r>
        <w:rPr>
          <w:rFonts w:ascii="Helvetica"/>
        </w:rPr>
        <w:t xml:space="preserve">, </w:t>
      </w:r>
      <w:hyperlink r:id="rId4" w:history="1">
        <w:r>
          <w:rPr>
            <w:rStyle w:val="Hyperlink2"/>
          </w:rPr>
          <w:t>http://www.arc.gov.au/pdf/DP15/DP15_Listing_by_State_and_Org.pdf</w:t>
        </w:r>
      </w:hyperlink>
      <w:r>
        <w:rPr>
          <w:rFonts w:eastAsia="Arial Unicode MS" w:hAnsi="Arial Unicode MS" w:cs="Arial Unicode M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81B4E" w14:textId="77777777" w:rsidR="00213947" w:rsidRDefault="00213947">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07123"/>
    <w:multiLevelType w:val="multilevel"/>
    <w:tmpl w:val="5016BE38"/>
    <w:lvl w:ilvl="0">
      <w:start w:val="1"/>
      <w:numFmt w:val="decimal"/>
      <w:lvlText w:val="%1."/>
      <w:lvlJc w:val="left"/>
      <w:rPr>
        <w:position w:val="0"/>
        <w:rtl w:val="0"/>
      </w:rPr>
    </w:lvl>
    <w:lvl w:ilvl="1">
      <w:start w:val="1"/>
      <w:numFmt w:val="decimal"/>
      <w:lvlText w:val="%2."/>
      <w:lvlJc w:val="left"/>
      <w:rPr>
        <w:position w:val="0"/>
        <w:rtl w:val="0"/>
      </w:rPr>
    </w:lvl>
    <w:lvl w:ilvl="2">
      <w:start w:val="1"/>
      <w:numFmt w:val="decimal"/>
      <w:lvlText w:val="%3."/>
      <w:lvlJc w:val="left"/>
      <w:rPr>
        <w:position w:val="0"/>
        <w:rtl w:val="0"/>
      </w:rPr>
    </w:lvl>
    <w:lvl w:ilvl="3">
      <w:start w:val="1"/>
      <w:numFmt w:val="decimal"/>
      <w:lvlText w:val="%4."/>
      <w:lvlJc w:val="left"/>
      <w:rPr>
        <w:position w:val="0"/>
        <w:rtl w:val="0"/>
      </w:rPr>
    </w:lvl>
    <w:lvl w:ilvl="4">
      <w:start w:val="1"/>
      <w:numFmt w:val="decimal"/>
      <w:lvlText w:val="%5."/>
      <w:lvlJc w:val="left"/>
      <w:rPr>
        <w:position w:val="0"/>
        <w:rtl w:val="0"/>
      </w:rPr>
    </w:lvl>
    <w:lvl w:ilvl="5">
      <w:start w:val="1"/>
      <w:numFmt w:val="decimal"/>
      <w:lvlText w:val="%6."/>
      <w:lvlJc w:val="left"/>
      <w:rPr>
        <w:position w:val="0"/>
        <w:rtl w:val="0"/>
      </w:rPr>
    </w:lvl>
    <w:lvl w:ilvl="6">
      <w:start w:val="1"/>
      <w:numFmt w:val="decimal"/>
      <w:lvlText w:val="%7."/>
      <w:lvlJc w:val="left"/>
      <w:rPr>
        <w:position w:val="0"/>
        <w:rtl w:val="0"/>
      </w:rPr>
    </w:lvl>
    <w:lvl w:ilvl="7">
      <w:start w:val="1"/>
      <w:numFmt w:val="decimal"/>
      <w:lvlText w:val="%8."/>
      <w:lvlJc w:val="left"/>
      <w:rPr>
        <w:position w:val="0"/>
        <w:rtl w:val="0"/>
      </w:rPr>
    </w:lvl>
    <w:lvl w:ilvl="8">
      <w:start w:val="1"/>
      <w:numFmt w:val="decimal"/>
      <w:lvlText w:val="%9."/>
      <w:lvlJc w:val="left"/>
      <w:rPr>
        <w:position w:val="0"/>
        <w:rtl w:val="0"/>
      </w:rPr>
    </w:lvl>
  </w:abstractNum>
  <w:abstractNum w:abstractNumId="1">
    <w:nsid w:val="173C7DF4"/>
    <w:multiLevelType w:val="multilevel"/>
    <w:tmpl w:val="95B8423C"/>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
    <w:nsid w:val="1EEA3FAD"/>
    <w:multiLevelType w:val="multilevel"/>
    <w:tmpl w:val="34F04504"/>
    <w:styleLink w:val="List21"/>
    <w:lvl w:ilvl="0">
      <w:start w:val="1"/>
      <w:numFmt w:val="decimal"/>
      <w:lvlText w:val="%1."/>
      <w:lvlJc w:val="left"/>
      <w:rPr>
        <w:position w:val="0"/>
        <w:rtl w:val="0"/>
      </w:rPr>
    </w:lvl>
    <w:lvl w:ilvl="1">
      <w:start w:val="1"/>
      <w:numFmt w:val="decimal"/>
      <w:lvlText w:val="%2."/>
      <w:lvlJc w:val="left"/>
      <w:rPr>
        <w:position w:val="0"/>
        <w:rtl w:val="0"/>
      </w:rPr>
    </w:lvl>
    <w:lvl w:ilvl="2">
      <w:start w:val="1"/>
      <w:numFmt w:val="decimal"/>
      <w:lvlText w:val="%3."/>
      <w:lvlJc w:val="left"/>
      <w:rPr>
        <w:position w:val="0"/>
        <w:rtl w:val="0"/>
      </w:rPr>
    </w:lvl>
    <w:lvl w:ilvl="3">
      <w:start w:val="1"/>
      <w:numFmt w:val="decimal"/>
      <w:lvlText w:val="%4."/>
      <w:lvlJc w:val="left"/>
      <w:rPr>
        <w:position w:val="0"/>
        <w:rtl w:val="0"/>
      </w:rPr>
    </w:lvl>
    <w:lvl w:ilvl="4">
      <w:start w:val="1"/>
      <w:numFmt w:val="decimal"/>
      <w:lvlText w:val="%5."/>
      <w:lvlJc w:val="left"/>
      <w:rPr>
        <w:position w:val="0"/>
        <w:rtl w:val="0"/>
      </w:rPr>
    </w:lvl>
    <w:lvl w:ilvl="5">
      <w:start w:val="1"/>
      <w:numFmt w:val="decimal"/>
      <w:lvlText w:val="%6."/>
      <w:lvlJc w:val="left"/>
      <w:rPr>
        <w:position w:val="0"/>
        <w:rtl w:val="0"/>
      </w:rPr>
    </w:lvl>
    <w:lvl w:ilvl="6">
      <w:start w:val="1"/>
      <w:numFmt w:val="decimal"/>
      <w:lvlText w:val="%7."/>
      <w:lvlJc w:val="left"/>
      <w:rPr>
        <w:position w:val="0"/>
        <w:rtl w:val="0"/>
      </w:rPr>
    </w:lvl>
    <w:lvl w:ilvl="7">
      <w:start w:val="1"/>
      <w:numFmt w:val="decimal"/>
      <w:lvlText w:val="%8."/>
      <w:lvlJc w:val="left"/>
      <w:rPr>
        <w:position w:val="0"/>
        <w:rtl w:val="0"/>
      </w:rPr>
    </w:lvl>
    <w:lvl w:ilvl="8">
      <w:start w:val="1"/>
      <w:numFmt w:val="decimal"/>
      <w:lvlText w:val="%9."/>
      <w:lvlJc w:val="left"/>
      <w:rPr>
        <w:position w:val="0"/>
        <w:rtl w:val="0"/>
      </w:rPr>
    </w:lvl>
  </w:abstractNum>
  <w:abstractNum w:abstractNumId="3">
    <w:nsid w:val="20214667"/>
    <w:multiLevelType w:val="multilevel"/>
    <w:tmpl w:val="45FE78E4"/>
    <w:lvl w:ilvl="0">
      <w:start w:val="1"/>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
    <w:nsid w:val="277A200B"/>
    <w:multiLevelType w:val="multilevel"/>
    <w:tmpl w:val="074C3A0E"/>
    <w:lvl w:ilvl="0">
      <w:start w:val="1"/>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5">
    <w:nsid w:val="2A205011"/>
    <w:multiLevelType w:val="multilevel"/>
    <w:tmpl w:val="D2882872"/>
    <w:styleLink w:val="List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6">
    <w:nsid w:val="365818D9"/>
    <w:multiLevelType w:val="multilevel"/>
    <w:tmpl w:val="F3D27894"/>
    <w:styleLink w:val="List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7">
    <w:nsid w:val="5792365A"/>
    <w:multiLevelType w:val="multilevel"/>
    <w:tmpl w:val="A31C068C"/>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8">
    <w:nsid w:val="7BDA1AC6"/>
    <w:multiLevelType w:val="multilevel"/>
    <w:tmpl w:val="A46A137E"/>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num w:numId="1">
    <w:abstractNumId w:val="4"/>
  </w:num>
  <w:num w:numId="2">
    <w:abstractNumId w:val="7"/>
  </w:num>
  <w:num w:numId="3">
    <w:abstractNumId w:val="6"/>
  </w:num>
  <w:num w:numId="4">
    <w:abstractNumId w:val="3"/>
  </w:num>
  <w:num w:numId="5">
    <w:abstractNumId w:val="1"/>
  </w:num>
  <w:num w:numId="6">
    <w:abstractNumId w:val="5"/>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213947"/>
    <w:rsid w:val="00145434"/>
    <w:rsid w:val="00213947"/>
    <w:rsid w:val="002275B4"/>
    <w:rsid w:val="002A4347"/>
    <w:rsid w:val="006321BC"/>
    <w:rsid w:val="00CD5D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hAnsi="Arial Unicode MS" w:cs="Arial Unicode MS"/>
      <w:color w:val="000000"/>
      <w:sz w:val="24"/>
      <w:szCs w:val="24"/>
      <w:u w:color="000000"/>
      <w:lang w:val="en-US"/>
    </w:rPr>
  </w:style>
  <w:style w:type="paragraph" w:customStyle="1" w:styleId="BodyA">
    <w:name w:val="Body A"/>
    <w:rPr>
      <w:rFonts w:ascii="Helvetica" w:hAnsi="Arial Unicode MS" w:cs="Arial Unicode MS"/>
      <w:color w:val="000000"/>
      <w:sz w:val="22"/>
      <w:szCs w:val="22"/>
      <w:u w:color="000000"/>
      <w:lang w:val="en-US"/>
    </w:rPr>
  </w:style>
  <w:style w:type="character" w:customStyle="1" w:styleId="None">
    <w:name w:val="None"/>
  </w:style>
  <w:style w:type="character" w:customStyle="1" w:styleId="Hyperlink0">
    <w:name w:val="Hyperlink.0"/>
    <w:basedOn w:val="None"/>
    <w:rPr>
      <w:u w:val="single"/>
      <w:lang w:val="fr-FR"/>
    </w:rPr>
  </w:style>
  <w:style w:type="paragraph" w:customStyle="1" w:styleId="TableStyle2A">
    <w:name w:val="Table Style 2 A"/>
    <w:rPr>
      <w:rFonts w:ascii="Helvetica" w:hAnsi="Arial Unicode MS" w:cs="Arial Unicode MS"/>
      <w:color w:val="000000"/>
      <w:u w:color="000000"/>
      <w:lang w:val="en-US"/>
    </w:rPr>
  </w:style>
  <w:style w:type="paragraph" w:customStyle="1" w:styleId="Default">
    <w:name w:val="Default"/>
    <w:rPr>
      <w:rFonts w:ascii="Helvetica" w:hAnsi="Arial Unicode MS" w:cs="Arial Unicode MS"/>
      <w:color w:val="000000"/>
      <w:sz w:val="22"/>
      <w:szCs w:val="22"/>
      <w:u w:color="000000"/>
      <w:lang w:val="en-US"/>
    </w:rPr>
  </w:style>
  <w:style w:type="paragraph" w:customStyle="1" w:styleId="BodyB">
    <w:name w:val="Body B"/>
    <w:rPr>
      <w:rFonts w:eastAsia="Times New Roman"/>
      <w:color w:val="000000"/>
      <w:sz w:val="24"/>
      <w:szCs w:val="24"/>
      <w:u w:color="000000"/>
      <w:lang w:val="en-US"/>
    </w:rPr>
  </w:style>
  <w:style w:type="paragraph" w:customStyle="1" w:styleId="Footnote">
    <w:name w:val="Footnote"/>
    <w:rPr>
      <w:rFonts w:ascii="Helvetica" w:eastAsia="Helvetica" w:hAnsi="Helvetica" w:cs="Helvetica"/>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character" w:customStyle="1" w:styleId="Hyperlink1">
    <w:name w:val="Hyperlink.1"/>
    <w:basedOn w:val="None"/>
    <w:rPr>
      <w:sz w:val="20"/>
      <w:szCs w:val="20"/>
      <w:u w:val="single"/>
      <w:lang w:val="en-US"/>
    </w:rPr>
  </w:style>
  <w:style w:type="paragraph" w:styleId="FootnoteText">
    <w:name w:val="footnote text"/>
    <w:rPr>
      <w:rFonts w:eastAsia="Times New Roman"/>
      <w:color w:val="000000"/>
      <w:u w:color="000000"/>
      <w:lang w:val="en-US"/>
    </w:rPr>
  </w:style>
  <w:style w:type="numbering" w:customStyle="1" w:styleId="List21">
    <w:name w:val="List 21"/>
    <w:basedOn w:val="ImportedStyle3"/>
    <w:pPr>
      <w:numPr>
        <w:numId w:val="9"/>
      </w:numPr>
    </w:pPr>
  </w:style>
  <w:style w:type="numbering" w:customStyle="1" w:styleId="ImportedStyle3">
    <w:name w:val="Imported Style 3"/>
  </w:style>
  <w:style w:type="character" w:customStyle="1" w:styleId="Hyperlink2">
    <w:name w:val="Hyperlink.2"/>
    <w:basedOn w:val="None"/>
    <w:rPr>
      <w:rFonts w:ascii="Helvetica" w:eastAsia="Helvetica" w:hAnsi="Helvetica" w:cs="Helvetica"/>
      <w:u w:val="single"/>
    </w:rPr>
  </w:style>
  <w:style w:type="paragraph" w:styleId="BalloonText">
    <w:name w:val="Balloon Text"/>
    <w:basedOn w:val="Normal"/>
    <w:link w:val="BalloonTextChar"/>
    <w:uiPriority w:val="99"/>
    <w:semiHidden/>
    <w:unhideWhenUsed/>
    <w:rsid w:val="002275B4"/>
    <w:rPr>
      <w:rFonts w:ascii="Tahoma" w:hAnsi="Tahoma" w:cs="Tahoma"/>
      <w:sz w:val="16"/>
      <w:szCs w:val="16"/>
    </w:rPr>
  </w:style>
  <w:style w:type="character" w:customStyle="1" w:styleId="BalloonTextChar">
    <w:name w:val="Balloon Text Char"/>
    <w:basedOn w:val="DefaultParagraphFont"/>
    <w:link w:val="BalloonText"/>
    <w:uiPriority w:val="99"/>
    <w:semiHidden/>
    <w:rsid w:val="002275B4"/>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hAnsi="Arial Unicode MS" w:cs="Arial Unicode MS"/>
      <w:color w:val="000000"/>
      <w:sz w:val="24"/>
      <w:szCs w:val="24"/>
      <w:u w:color="000000"/>
      <w:lang w:val="en-US"/>
    </w:rPr>
  </w:style>
  <w:style w:type="paragraph" w:customStyle="1" w:styleId="BodyA">
    <w:name w:val="Body A"/>
    <w:rPr>
      <w:rFonts w:ascii="Helvetica" w:hAnsi="Arial Unicode MS" w:cs="Arial Unicode MS"/>
      <w:color w:val="000000"/>
      <w:sz w:val="22"/>
      <w:szCs w:val="22"/>
      <w:u w:color="000000"/>
      <w:lang w:val="en-US"/>
    </w:rPr>
  </w:style>
  <w:style w:type="character" w:customStyle="1" w:styleId="None">
    <w:name w:val="None"/>
  </w:style>
  <w:style w:type="character" w:customStyle="1" w:styleId="Hyperlink0">
    <w:name w:val="Hyperlink.0"/>
    <w:basedOn w:val="None"/>
    <w:rPr>
      <w:u w:val="single"/>
      <w:lang w:val="fr-FR"/>
    </w:rPr>
  </w:style>
  <w:style w:type="paragraph" w:customStyle="1" w:styleId="TableStyle2A">
    <w:name w:val="Table Style 2 A"/>
    <w:rPr>
      <w:rFonts w:ascii="Helvetica" w:hAnsi="Arial Unicode MS" w:cs="Arial Unicode MS"/>
      <w:color w:val="000000"/>
      <w:u w:color="000000"/>
      <w:lang w:val="en-US"/>
    </w:rPr>
  </w:style>
  <w:style w:type="paragraph" w:customStyle="1" w:styleId="Default">
    <w:name w:val="Default"/>
    <w:rPr>
      <w:rFonts w:ascii="Helvetica" w:hAnsi="Arial Unicode MS" w:cs="Arial Unicode MS"/>
      <w:color w:val="000000"/>
      <w:sz w:val="22"/>
      <w:szCs w:val="22"/>
      <w:u w:color="000000"/>
      <w:lang w:val="en-US"/>
    </w:rPr>
  </w:style>
  <w:style w:type="paragraph" w:customStyle="1" w:styleId="BodyB">
    <w:name w:val="Body B"/>
    <w:rPr>
      <w:rFonts w:eastAsia="Times New Roman"/>
      <w:color w:val="000000"/>
      <w:sz w:val="24"/>
      <w:szCs w:val="24"/>
      <w:u w:color="000000"/>
      <w:lang w:val="en-US"/>
    </w:rPr>
  </w:style>
  <w:style w:type="paragraph" w:customStyle="1" w:styleId="Footnote">
    <w:name w:val="Footnote"/>
    <w:rPr>
      <w:rFonts w:ascii="Helvetica" w:eastAsia="Helvetica" w:hAnsi="Helvetica" w:cs="Helvetica"/>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character" w:customStyle="1" w:styleId="Hyperlink1">
    <w:name w:val="Hyperlink.1"/>
    <w:basedOn w:val="None"/>
    <w:rPr>
      <w:sz w:val="20"/>
      <w:szCs w:val="20"/>
      <w:u w:val="single"/>
      <w:lang w:val="en-US"/>
    </w:rPr>
  </w:style>
  <w:style w:type="paragraph" w:styleId="FootnoteText">
    <w:name w:val="footnote text"/>
    <w:rPr>
      <w:rFonts w:eastAsia="Times New Roman"/>
      <w:color w:val="000000"/>
      <w:u w:color="000000"/>
      <w:lang w:val="en-US"/>
    </w:rPr>
  </w:style>
  <w:style w:type="numbering" w:customStyle="1" w:styleId="List21">
    <w:name w:val="List 21"/>
    <w:basedOn w:val="ImportedStyle3"/>
    <w:pPr>
      <w:numPr>
        <w:numId w:val="9"/>
      </w:numPr>
    </w:pPr>
  </w:style>
  <w:style w:type="numbering" w:customStyle="1" w:styleId="ImportedStyle3">
    <w:name w:val="Imported Style 3"/>
  </w:style>
  <w:style w:type="character" w:customStyle="1" w:styleId="Hyperlink2">
    <w:name w:val="Hyperlink.2"/>
    <w:basedOn w:val="None"/>
    <w:rPr>
      <w:rFonts w:ascii="Helvetica" w:eastAsia="Helvetica" w:hAnsi="Helvetica" w:cs="Helvetica"/>
      <w:u w:val="single"/>
    </w:rPr>
  </w:style>
  <w:style w:type="paragraph" w:styleId="BalloonText">
    <w:name w:val="Balloon Text"/>
    <w:basedOn w:val="Normal"/>
    <w:link w:val="BalloonTextChar"/>
    <w:uiPriority w:val="99"/>
    <w:semiHidden/>
    <w:unhideWhenUsed/>
    <w:rsid w:val="002275B4"/>
    <w:rPr>
      <w:rFonts w:ascii="Tahoma" w:hAnsi="Tahoma" w:cs="Tahoma"/>
      <w:sz w:val="16"/>
      <w:szCs w:val="16"/>
    </w:rPr>
  </w:style>
  <w:style w:type="character" w:customStyle="1" w:styleId="BalloonTextChar">
    <w:name w:val="Balloon Text Char"/>
    <w:basedOn w:val="DefaultParagraphFont"/>
    <w:link w:val="BalloonText"/>
    <w:uiPriority w:val="99"/>
    <w:semiHidden/>
    <w:rsid w:val="002275B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nternsaustralia.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admin@internsaustralia.org"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abc.net.au/unleashed/3960252.html" TargetMode="External"/><Relationship Id="rId2" Type="http://schemas.openxmlformats.org/officeDocument/2006/relationships/hyperlink" Target="http://www.mediafire.com/view/yz5x175w28l93u9/Interns_Australia_Releases_Results_of_Intern_Survey_(Edwin).pdf" TargetMode="External"/><Relationship Id="rId1" Type="http://schemas.openxmlformats.org/officeDocument/2006/relationships/hyperlink" Target="http://www.fairwork.gov.au/publications/research/uw-complete-report.pdf" TargetMode="External"/><Relationship Id="rId4" Type="http://schemas.openxmlformats.org/officeDocument/2006/relationships/hyperlink" Target="http://www.arc.gov.au/pdf/dp15/dp15_listing_by_state_and_org.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D3055-924C-4165-B83E-5E2EF8A707FF}">
  <ds:schemaRefs>
    <ds:schemaRef ds:uri="http://schemas.microsoft.com/office/2006/metadata/customXsn"/>
  </ds:schemaRefs>
</ds:datastoreItem>
</file>

<file path=customXml/itemProps2.xml><?xml version="1.0" encoding="utf-8"?>
<ds:datastoreItem xmlns:ds="http://schemas.openxmlformats.org/officeDocument/2006/customXml" ds:itemID="{8D4EF92B-2AEC-46D7-9E0E-852B504BE497}">
  <ds:schemaRefs>
    <ds:schemaRef ds:uri="http://schemas.microsoft.com/sharepoint/events"/>
  </ds:schemaRefs>
</ds:datastoreItem>
</file>

<file path=customXml/itemProps3.xml><?xml version="1.0" encoding="utf-8"?>
<ds:datastoreItem xmlns:ds="http://schemas.openxmlformats.org/officeDocument/2006/customXml" ds:itemID="{D63AD8EA-A970-45B1-BF0D-D7DF813A2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40D6A7B-467A-432C-880E-3C0BC78EC2AF}">
  <ds:schemaRef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elements/1.1/"/>
    <ds:schemaRef ds:uri="http://purl.org/dc/dcmitype/"/>
  </ds:schemaRefs>
</ds:datastoreItem>
</file>

<file path=customXml/itemProps5.xml><?xml version="1.0" encoding="utf-8"?>
<ds:datastoreItem xmlns:ds="http://schemas.openxmlformats.org/officeDocument/2006/customXml" ds:itemID="{2CA4981C-3DA1-4C73-B591-F74C27EA0B0A}">
  <ds:schemaRefs>
    <ds:schemaRef ds:uri="http://schemas.microsoft.com/sharepoint/v3/contenttype/forms"/>
  </ds:schemaRefs>
</ds:datastoreItem>
</file>

<file path=customXml/itemProps6.xml><?xml version="1.0" encoding="utf-8"?>
<ds:datastoreItem xmlns:ds="http://schemas.openxmlformats.org/officeDocument/2006/customXml" ds:itemID="{4BE2A363-179A-4285-9953-A4685D63F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2202</Words>
  <Characters>12555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Submission 66 - Interns Australia - Workplace Relations Framework - Public inquiry</vt:lpstr>
    </vt:vector>
  </TitlesOfParts>
  <Company>Interns Australia</Company>
  <LinksUpToDate>false</LinksUpToDate>
  <CharactersWithSpaces>14728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66 - Interns Australia - Workplace Relations Framework - Public inquiry</dc:title>
  <dc:creator>Interns Australia</dc:creator>
  <cp:lastModifiedBy>Productivity Commission</cp:lastModifiedBy>
  <cp:revision>4</cp:revision>
  <dcterms:created xsi:type="dcterms:W3CDTF">2015-03-17T06:52:00Z</dcterms:created>
  <dcterms:modified xsi:type="dcterms:W3CDTF">2015-03-18T21:54:00Z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