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02577" w14:textId="77777777" w:rsidR="00F6441D" w:rsidRPr="00611B18" w:rsidRDefault="00611B18" w:rsidP="00611B18">
      <w:pPr>
        <w:rPr>
          <w:rFonts w:ascii="Arial" w:hAnsi="Arial"/>
          <w:color w:val="808080"/>
          <w:sz w:val="16"/>
        </w:rPr>
      </w:pPr>
      <w:r>
        <w:rPr>
          <w:rStyle w:val="Reference"/>
        </w:rPr>
        <w:t xml:space="preserve"> </w:t>
      </w:r>
      <w:r w:rsidR="005F51DD">
        <w:rPr>
          <w:szCs w:val="24"/>
        </w:rPr>
        <w:t>13/03/2015</w:t>
      </w:r>
    </w:p>
    <w:p w14:paraId="7BBA3858" w14:textId="77777777" w:rsidR="0071451E" w:rsidRDefault="00611B18" w:rsidP="00A67A8C">
      <w:pPr>
        <w:pStyle w:val="Address"/>
        <w:spacing w:before="0"/>
      </w:pPr>
      <w:r>
        <w:t>Peter Harris AO</w:t>
      </w:r>
    </w:p>
    <w:p w14:paraId="32107A63" w14:textId="77777777" w:rsidR="0071451E" w:rsidRDefault="00611B18" w:rsidP="00A67A8C">
      <w:pPr>
        <w:pStyle w:val="Address"/>
        <w:spacing w:before="0"/>
      </w:pPr>
      <w:proofErr w:type="gramStart"/>
      <w:r>
        <w:t>Chairman.</w:t>
      </w:r>
      <w:proofErr w:type="gramEnd"/>
      <w:r>
        <w:t xml:space="preserve"> </w:t>
      </w:r>
      <w:proofErr w:type="gramStart"/>
      <w:r>
        <w:t>The Hearing into Workplace Relations.</w:t>
      </w:r>
      <w:proofErr w:type="gramEnd"/>
    </w:p>
    <w:p w14:paraId="3D33E987" w14:textId="77777777" w:rsidR="0071451E" w:rsidRDefault="00611B18" w:rsidP="00A67A8C">
      <w:pPr>
        <w:pStyle w:val="Address"/>
        <w:spacing w:before="0"/>
      </w:pPr>
      <w:proofErr w:type="gramStart"/>
      <w:r>
        <w:t>Australian Government Productivity Commission.</w:t>
      </w:r>
      <w:proofErr w:type="gramEnd"/>
    </w:p>
    <w:p w14:paraId="0B92B76A" w14:textId="77777777" w:rsidR="0071451E" w:rsidRDefault="00611B18" w:rsidP="00A67A8C">
      <w:pPr>
        <w:pStyle w:val="Address"/>
        <w:spacing w:before="0"/>
      </w:pPr>
      <w:r>
        <w:t xml:space="preserve"> </w:t>
      </w:r>
    </w:p>
    <w:p w14:paraId="1693090B" w14:textId="77777777" w:rsidR="0071451E" w:rsidRDefault="0071451E" w:rsidP="0071451E">
      <w:r>
        <w:t xml:space="preserve">Dear </w:t>
      </w:r>
      <w:r w:rsidR="00611B18">
        <w:t>Chairman</w:t>
      </w:r>
      <w:r>
        <w:t>,</w:t>
      </w:r>
    </w:p>
    <w:p w14:paraId="21CEB2EE" w14:textId="77777777" w:rsidR="008D2DC1" w:rsidRDefault="005F51DD" w:rsidP="001E5C24">
      <w:pPr>
        <w:pStyle w:val="Heading2"/>
      </w:pPr>
      <w:proofErr w:type="gramStart"/>
      <w:r>
        <w:t>Submission to the Productivit</w:t>
      </w:r>
      <w:r w:rsidR="002A79BC">
        <w:t>y</w:t>
      </w:r>
      <w:r>
        <w:t xml:space="preserve"> Commission hearing into </w:t>
      </w:r>
      <w:r w:rsidR="002A79BC">
        <w:t xml:space="preserve">the </w:t>
      </w:r>
      <w:r>
        <w:t>Workplace Relations Framework.</w:t>
      </w:r>
      <w:proofErr w:type="gramEnd"/>
    </w:p>
    <w:p w14:paraId="11B31653" w14:textId="77777777" w:rsidR="005F51DD" w:rsidRPr="005F51DD" w:rsidRDefault="005F51DD" w:rsidP="005F51DD">
      <w:r>
        <w:t>Our submission is dated 1/3/2015 and has been published in the Commission web pages.  This</w:t>
      </w:r>
      <w:r w:rsidR="00F350B8">
        <w:t xml:space="preserve"> letter</w:t>
      </w:r>
      <w:r>
        <w:t xml:space="preserve"> covers an added matter that has just become public and is presented in haste to fall within the Commission’s requirement tha</w:t>
      </w:r>
      <w:r w:rsidR="00611B18">
        <w:t>t</w:t>
      </w:r>
      <w:r>
        <w:t xml:space="preserve"> su</w:t>
      </w:r>
      <w:r w:rsidR="00F350B8">
        <w:t>bmissions are to be received by</w:t>
      </w:r>
      <w:r w:rsidR="00611B18">
        <w:t xml:space="preserve"> today 13</w:t>
      </w:r>
      <w:r w:rsidR="00611B18" w:rsidRPr="00611B18">
        <w:rPr>
          <w:vertAlign w:val="superscript"/>
        </w:rPr>
        <w:t>th</w:t>
      </w:r>
      <w:r w:rsidR="00611B18">
        <w:t xml:space="preserve"> </w:t>
      </w:r>
      <w:r>
        <w:t>March</w:t>
      </w:r>
      <w:r w:rsidR="00611B18">
        <w:t xml:space="preserve"> 2015.</w:t>
      </w:r>
    </w:p>
    <w:p w14:paraId="1E6C3B08" w14:textId="77777777" w:rsidR="0071451E" w:rsidRDefault="00AB1155" w:rsidP="008929A2">
      <w:pPr>
        <w:rPr>
          <w:szCs w:val="24"/>
        </w:rPr>
      </w:pPr>
      <w:r>
        <w:rPr>
          <w:szCs w:val="24"/>
        </w:rPr>
        <w:t>The following text has been copied fro</w:t>
      </w:r>
      <w:r w:rsidR="007830B2">
        <w:rPr>
          <w:szCs w:val="24"/>
        </w:rPr>
        <w:t>m the most recent e</w:t>
      </w:r>
      <w:r w:rsidR="00F350B8">
        <w:rPr>
          <w:szCs w:val="24"/>
        </w:rPr>
        <w:t>dition of “</w:t>
      </w:r>
      <w:r>
        <w:rPr>
          <w:szCs w:val="24"/>
        </w:rPr>
        <w:t xml:space="preserve">World Cargo News” </w:t>
      </w:r>
    </w:p>
    <w:p w14:paraId="39216352" w14:textId="77777777" w:rsidR="00AB1155" w:rsidRDefault="00AB1155" w:rsidP="008929A2">
      <w:pPr>
        <w:rPr>
          <w:szCs w:val="24"/>
        </w:rPr>
      </w:pPr>
      <w:r>
        <w:rPr>
          <w:szCs w:val="24"/>
        </w:rPr>
        <w:t>Quote:</w:t>
      </w:r>
    </w:p>
    <w:p w14:paraId="50EC0A38" w14:textId="77777777" w:rsidR="00AB1155" w:rsidRPr="004736B3" w:rsidRDefault="00611B18" w:rsidP="00AB1155">
      <w:pPr>
        <w:rPr>
          <w:i/>
        </w:rPr>
      </w:pPr>
      <w:r w:rsidRPr="004736B3">
        <w:rPr>
          <w:i/>
        </w:rPr>
        <w:t xml:space="preserve"> </w:t>
      </w:r>
      <w:r w:rsidR="00AB1155" w:rsidRPr="004736B3">
        <w:rPr>
          <w:i/>
        </w:rPr>
        <w:t xml:space="preserve">  WORLD CARGO NEWS</w:t>
      </w:r>
    </w:p>
    <w:p w14:paraId="0A50E07C" w14:textId="77777777" w:rsidR="00AB1155" w:rsidRPr="004736B3" w:rsidRDefault="00AB1155" w:rsidP="00AB1155">
      <w:pPr>
        <w:rPr>
          <w:i/>
        </w:rPr>
      </w:pPr>
      <w:r w:rsidRPr="004736B3">
        <w:rPr>
          <w:i/>
        </w:rPr>
        <w:t>Published: 11 March 2015</w:t>
      </w:r>
    </w:p>
    <w:p w14:paraId="5BC0BC3A" w14:textId="77777777" w:rsidR="00AB1155" w:rsidRPr="004736B3" w:rsidRDefault="00AB1155" w:rsidP="00AB1155">
      <w:pPr>
        <w:rPr>
          <w:b/>
          <w:i/>
        </w:rPr>
      </w:pPr>
      <w:r w:rsidRPr="004736B3">
        <w:rPr>
          <w:b/>
          <w:i/>
        </w:rPr>
        <w:t>Melbourne operators face huge rent increases</w:t>
      </w:r>
    </w:p>
    <w:p w14:paraId="0C01EC58" w14:textId="77777777" w:rsidR="00AB1155" w:rsidRPr="004736B3" w:rsidRDefault="00AB1155" w:rsidP="00AB1155">
      <w:pPr>
        <w:rPr>
          <w:i/>
        </w:rPr>
      </w:pPr>
      <w:r w:rsidRPr="004736B3">
        <w:rPr>
          <w:i/>
        </w:rPr>
        <w:t>Tenants, users and customers are to make a united approach to the Australian Competition and Consumer Commission seeking regulation of major Australian ports.</w:t>
      </w:r>
    </w:p>
    <w:p w14:paraId="40D49554" w14:textId="77777777" w:rsidR="00AB1155" w:rsidRPr="004736B3" w:rsidRDefault="00AB1155" w:rsidP="00AB1155">
      <w:pPr>
        <w:rPr>
          <w:i/>
        </w:rPr>
      </w:pPr>
      <w:r w:rsidRPr="004736B3">
        <w:rPr>
          <w:i/>
        </w:rPr>
        <w:t xml:space="preserve">The move follows revelations the soon-to-be-privatised Port of Melbourne Corporation is seeking a 767% increase in land rental from stevedore DP World Australia, from around </w:t>
      </w:r>
      <w:proofErr w:type="gramStart"/>
      <w:r w:rsidRPr="004736B3">
        <w:rPr>
          <w:i/>
        </w:rPr>
        <w:t>A$</w:t>
      </w:r>
      <w:proofErr w:type="gramEnd"/>
      <w:r w:rsidRPr="004736B3">
        <w:rPr>
          <w:i/>
        </w:rPr>
        <w:t xml:space="preserve">15 </w:t>
      </w:r>
      <w:proofErr w:type="spellStart"/>
      <w:r w:rsidRPr="004736B3">
        <w:rPr>
          <w:i/>
        </w:rPr>
        <w:t>sq</w:t>
      </w:r>
      <w:proofErr w:type="spellEnd"/>
      <w:r w:rsidRPr="004736B3">
        <w:rPr>
          <w:i/>
        </w:rPr>
        <w:t xml:space="preserve"> m to $120 a square metre.</w:t>
      </w:r>
    </w:p>
    <w:p w14:paraId="36719B8C" w14:textId="77777777" w:rsidR="00AB1155" w:rsidRPr="004736B3" w:rsidRDefault="00AB1155" w:rsidP="00AB1155">
      <w:pPr>
        <w:rPr>
          <w:i/>
        </w:rPr>
      </w:pPr>
      <w:r w:rsidRPr="004736B3">
        <w:rPr>
          <w:i/>
        </w:rPr>
        <w:t xml:space="preserve">The </w:t>
      </w:r>
      <w:proofErr w:type="spellStart"/>
      <w:r w:rsidRPr="004736B3">
        <w:rPr>
          <w:i/>
        </w:rPr>
        <w:t>PoMC</w:t>
      </w:r>
      <w:proofErr w:type="spellEnd"/>
      <w:r w:rsidRPr="004736B3">
        <w:rPr>
          <w:i/>
        </w:rPr>
        <w:t xml:space="preserve"> and its owner the Victorian Government have defended the rise as the outcome of an independent and regular review but the move is widely regarded as part of a “fattening-up” of Melbourne ahead of the proposed sale of a long-term lease.</w:t>
      </w:r>
    </w:p>
    <w:p w14:paraId="3F691024" w14:textId="77777777" w:rsidR="00AB1155" w:rsidRPr="004736B3" w:rsidRDefault="00AB1155" w:rsidP="00AB1155">
      <w:pPr>
        <w:rPr>
          <w:i/>
        </w:rPr>
      </w:pPr>
      <w:r w:rsidRPr="004736B3">
        <w:rPr>
          <w:i/>
        </w:rPr>
        <w:t>Privatisation proponents have suggested the government could secure as much as $7Bn for the port, with an expressions-of-interest process now getting underway.</w:t>
      </w:r>
    </w:p>
    <w:p w14:paraId="3C9D1D74" w14:textId="77777777" w:rsidR="00AB1155" w:rsidRPr="004736B3" w:rsidRDefault="00AB1155" w:rsidP="00AB1155">
      <w:pPr>
        <w:rPr>
          <w:i/>
        </w:rPr>
      </w:pPr>
      <w:r w:rsidRPr="004736B3">
        <w:rPr>
          <w:i/>
        </w:rPr>
        <w:t xml:space="preserve">DPWA rival Patrick is due to have its lease reviewed next year and John Mullen, chief executive of parent </w:t>
      </w:r>
      <w:proofErr w:type="spellStart"/>
      <w:r w:rsidRPr="004736B3">
        <w:rPr>
          <w:i/>
        </w:rPr>
        <w:t>Asciano</w:t>
      </w:r>
      <w:proofErr w:type="spellEnd"/>
      <w:r w:rsidRPr="004736B3">
        <w:rPr>
          <w:i/>
        </w:rPr>
        <w:t>, today (11 March) warned that his company was already evaluating how much business could/would be diverted to other ports including Adelaide and Sydney if similar increases are applied. He estimated the cost of handling an average container would rise by $82.</w:t>
      </w:r>
    </w:p>
    <w:p w14:paraId="727FC5F3" w14:textId="77777777" w:rsidR="00AB1155" w:rsidRPr="004736B3" w:rsidRDefault="00AB1155" w:rsidP="00AB1155">
      <w:pPr>
        <w:rPr>
          <w:i/>
        </w:rPr>
      </w:pPr>
      <w:r w:rsidRPr="004736B3">
        <w:rPr>
          <w:i/>
        </w:rPr>
        <w:t>In a press release Mullen was highly critical of governments “artificially ramping up the value” of port assets. “While higher rents, longer committed lease periods and entrenched monopoly positions for port authorities help generate maximum value from port asset sales, the resulting flow through to costs become an additional tax on a state’s importers and exporters, pushing up prices for consumers and making it harder for struggling manufacturers and exporters to compete.</w:t>
      </w:r>
    </w:p>
    <w:p w14:paraId="2ADA012D" w14:textId="77777777" w:rsidR="00AB1155" w:rsidRPr="004736B3" w:rsidRDefault="00AB1155" w:rsidP="00AB1155">
      <w:pPr>
        <w:rPr>
          <w:i/>
        </w:rPr>
      </w:pPr>
      <w:r w:rsidRPr="004736B3">
        <w:rPr>
          <w:i/>
        </w:rPr>
        <w:lastRenderedPageBreak/>
        <w:t>“It’s a golden gravy train for state governments, investment banks and consultants, but ultimately its local industry and consumers that are left to pay the bill, Mulled said.”</w:t>
      </w:r>
    </w:p>
    <w:p w14:paraId="086BE59B" w14:textId="77777777" w:rsidR="00AB1155" w:rsidRPr="004736B3" w:rsidRDefault="00AB1155" w:rsidP="00AB1155">
      <w:pPr>
        <w:rPr>
          <w:i/>
        </w:rPr>
      </w:pPr>
      <w:r w:rsidRPr="004736B3">
        <w:rPr>
          <w:i/>
        </w:rPr>
        <w:t xml:space="preserve">The </w:t>
      </w:r>
      <w:proofErr w:type="spellStart"/>
      <w:r w:rsidRPr="004736B3">
        <w:rPr>
          <w:i/>
        </w:rPr>
        <w:t>PoMC</w:t>
      </w:r>
      <w:proofErr w:type="spellEnd"/>
      <w:r w:rsidRPr="004736B3">
        <w:rPr>
          <w:i/>
        </w:rPr>
        <w:t xml:space="preserve"> “money grab” has been widely condemned by maritime and industry bodies, including Shipping Australia, the Australian Peak Shippers Association and the Victorian Transport Association, as well as by the Tasmanian Government, which notes that over 90% of the island state’s containerised exports and imports pass through Melbourne.</w:t>
      </w:r>
    </w:p>
    <w:p w14:paraId="2E541F03" w14:textId="77777777" w:rsidR="00AB1155" w:rsidRPr="004736B3" w:rsidRDefault="00AB1155" w:rsidP="00AB1155">
      <w:pPr>
        <w:rPr>
          <w:i/>
        </w:rPr>
      </w:pPr>
      <w:proofErr w:type="spellStart"/>
      <w:r w:rsidRPr="004736B3">
        <w:rPr>
          <w:i/>
        </w:rPr>
        <w:t>Asciano</w:t>
      </w:r>
      <w:proofErr w:type="spellEnd"/>
      <w:r w:rsidRPr="004736B3">
        <w:rPr>
          <w:i/>
        </w:rPr>
        <w:t xml:space="preserve"> argues that the rent increases in Melbourne are such that they “will significantly alter the economics that currently make it impractical to divert material volumes from one port to another in Australia. We estimate up to 20 % of current container volumes through the Port of Melbourne could be lost”.</w:t>
      </w:r>
    </w:p>
    <w:p w14:paraId="6C36764D" w14:textId="77777777" w:rsidR="00AB1155" w:rsidRPr="004736B3" w:rsidRDefault="00AB1155" w:rsidP="00AB1155">
      <w:pPr>
        <w:rPr>
          <w:i/>
        </w:rPr>
      </w:pPr>
      <w:r w:rsidRPr="004736B3">
        <w:rPr>
          <w:i/>
        </w:rPr>
        <w:t>However, a wider concern that Melbourne will just be the latest port to push up prices in connection with privatisation – following similar behaviour by Brisbane, Newcastle, Port Botany (Sydney) and Port Kembla – is driving the ACCC push. The Commission has already expressed its concern over the pricing power of monopoly infrastructure providers.</w:t>
      </w:r>
    </w:p>
    <w:p w14:paraId="00655B5E" w14:textId="77777777" w:rsidR="00AB1155" w:rsidRPr="004736B3" w:rsidRDefault="00AB1155" w:rsidP="00AB1155">
      <w:pPr>
        <w:rPr>
          <w:i/>
        </w:rPr>
      </w:pPr>
      <w:r w:rsidRPr="004736B3">
        <w:rPr>
          <w:i/>
        </w:rPr>
        <w:t>Well-placed sources suggest the new Melbourne rents have been determined by the rent global terminal operator ICTSI was prepared to pay last year to secure the port’s third international container terminal development at Webb Dock.</w:t>
      </w:r>
    </w:p>
    <w:p w14:paraId="4B6ECE22" w14:textId="77777777" w:rsidR="00AB1155" w:rsidRPr="00AB1155" w:rsidRDefault="00AB1155" w:rsidP="00AB1155">
      <w:proofErr w:type="gramStart"/>
      <w:r>
        <w:t>Unquote.</w:t>
      </w:r>
      <w:proofErr w:type="gramEnd"/>
    </w:p>
    <w:p w14:paraId="74E6D5E7" w14:textId="77777777" w:rsidR="002A79BC" w:rsidRDefault="002A79BC" w:rsidP="0016707D">
      <w:pPr>
        <w:rPr>
          <w:szCs w:val="24"/>
        </w:rPr>
      </w:pPr>
    </w:p>
    <w:p w14:paraId="56A8E831" w14:textId="77777777" w:rsidR="002A79BC" w:rsidRDefault="002A79BC" w:rsidP="0016707D">
      <w:pPr>
        <w:rPr>
          <w:szCs w:val="24"/>
        </w:rPr>
      </w:pPr>
    </w:p>
    <w:p w14:paraId="28E08195" w14:textId="77777777" w:rsidR="00D47FBF" w:rsidRDefault="00AB1155" w:rsidP="0016707D">
      <w:pPr>
        <w:rPr>
          <w:szCs w:val="24"/>
        </w:rPr>
      </w:pPr>
      <w:r>
        <w:rPr>
          <w:szCs w:val="24"/>
        </w:rPr>
        <w:t>We have every reason to expect this form and degree of cost escalation will be copied in all other main land ports.</w:t>
      </w:r>
    </w:p>
    <w:p w14:paraId="47D80C8B" w14:textId="77777777" w:rsidR="00AB1155" w:rsidRDefault="00AB1155" w:rsidP="0016707D">
      <w:pPr>
        <w:rPr>
          <w:szCs w:val="24"/>
        </w:rPr>
      </w:pPr>
      <w:r>
        <w:rPr>
          <w:szCs w:val="24"/>
        </w:rPr>
        <w:t>It is also quite clear that two consequential effects will follow.</w:t>
      </w:r>
    </w:p>
    <w:p w14:paraId="4665FB0D" w14:textId="77777777" w:rsidR="00AB1155" w:rsidRDefault="00D471C2" w:rsidP="00AB1155">
      <w:pPr>
        <w:pStyle w:val="ListParagraph"/>
        <w:numPr>
          <w:ilvl w:val="0"/>
          <w:numId w:val="13"/>
        </w:numPr>
        <w:rPr>
          <w:szCs w:val="24"/>
        </w:rPr>
      </w:pPr>
      <w:r>
        <w:rPr>
          <w:szCs w:val="24"/>
        </w:rPr>
        <w:t xml:space="preserve">The cost increases will </w:t>
      </w:r>
      <w:r w:rsidR="00BA2196">
        <w:rPr>
          <w:szCs w:val="24"/>
        </w:rPr>
        <w:t>quickly pass</w:t>
      </w:r>
      <w:r>
        <w:rPr>
          <w:szCs w:val="24"/>
        </w:rPr>
        <w:t xml:space="preserve"> through the systems to consumers in Australia and will penalise Australian exporters competing in international markets.</w:t>
      </w:r>
    </w:p>
    <w:p w14:paraId="515CF14C" w14:textId="77777777" w:rsidR="00D471C2" w:rsidRDefault="00D471C2" w:rsidP="00D471C2">
      <w:pPr>
        <w:pStyle w:val="ListParagraph"/>
        <w:numPr>
          <w:ilvl w:val="0"/>
          <w:numId w:val="13"/>
        </w:numPr>
        <w:rPr>
          <w:szCs w:val="24"/>
        </w:rPr>
      </w:pPr>
      <w:r>
        <w:rPr>
          <w:szCs w:val="24"/>
        </w:rPr>
        <w:t>The job shedding moves to port automation will no</w:t>
      </w:r>
      <w:r w:rsidR="004736B3">
        <w:rPr>
          <w:szCs w:val="24"/>
        </w:rPr>
        <w:t xml:space="preserve">t pause and may intensify.  It </w:t>
      </w:r>
      <w:r>
        <w:rPr>
          <w:szCs w:val="24"/>
        </w:rPr>
        <w:t>is reasonable to predict that our ports will be virt</w:t>
      </w:r>
      <w:r w:rsidR="00F350B8">
        <w:rPr>
          <w:szCs w:val="24"/>
        </w:rPr>
        <w:t>ually without waterside workers</w:t>
      </w:r>
      <w:r>
        <w:rPr>
          <w:szCs w:val="24"/>
        </w:rPr>
        <w:t xml:space="preserve"> in 5 to 10 years.  This prediction is based on </w:t>
      </w:r>
      <w:r w:rsidR="004736B3">
        <w:rPr>
          <w:szCs w:val="24"/>
        </w:rPr>
        <w:t xml:space="preserve">Shannon </w:t>
      </w:r>
      <w:r w:rsidRPr="00D471C2">
        <w:rPr>
          <w:szCs w:val="24"/>
        </w:rPr>
        <w:t>knowledge of the industry</w:t>
      </w:r>
      <w:r>
        <w:rPr>
          <w:szCs w:val="24"/>
        </w:rPr>
        <w:t>.</w:t>
      </w:r>
    </w:p>
    <w:p w14:paraId="75A1C6B3" w14:textId="77777777" w:rsidR="004736B3" w:rsidRDefault="00CC3417" w:rsidP="004736B3">
      <w:pPr>
        <w:rPr>
          <w:szCs w:val="24"/>
        </w:rPr>
      </w:pPr>
      <w:r>
        <w:rPr>
          <w:szCs w:val="24"/>
        </w:rPr>
        <w:t xml:space="preserve">We are aware that this matter is not within the Commission’s terms of reference.  We believe the Workplace Relations reform is exceedingly important and we have made an appropriate effort to produce a practical submission.  We are concerned that this event, the </w:t>
      </w:r>
      <w:r w:rsidR="004736B3">
        <w:rPr>
          <w:szCs w:val="24"/>
        </w:rPr>
        <w:t xml:space="preserve">cost increases </w:t>
      </w:r>
      <w:r w:rsidR="00F350B8">
        <w:rPr>
          <w:szCs w:val="24"/>
        </w:rPr>
        <w:t>and the way they are imposed,</w:t>
      </w:r>
      <w:r w:rsidR="004736B3">
        <w:rPr>
          <w:szCs w:val="24"/>
        </w:rPr>
        <w:t xml:space="preserve"> will hinder the public acceptance of any improvements to Workplace Relations </w:t>
      </w:r>
      <w:r w:rsidR="002A79BC">
        <w:rPr>
          <w:szCs w:val="24"/>
        </w:rPr>
        <w:t xml:space="preserve">that </w:t>
      </w:r>
      <w:r w:rsidR="00D12325">
        <w:rPr>
          <w:szCs w:val="24"/>
        </w:rPr>
        <w:t xml:space="preserve">the PC recommends because it reinforces public </w:t>
      </w:r>
      <w:r w:rsidR="00BA2196">
        <w:rPr>
          <w:szCs w:val="24"/>
        </w:rPr>
        <w:t xml:space="preserve">distrust and </w:t>
      </w:r>
      <w:r w:rsidR="00D12325">
        <w:rPr>
          <w:szCs w:val="24"/>
        </w:rPr>
        <w:t>cynicism of governments.</w:t>
      </w:r>
    </w:p>
    <w:p w14:paraId="5A50B5EA" w14:textId="77777777" w:rsidR="002A79BC" w:rsidRDefault="002A79BC" w:rsidP="004736B3">
      <w:pPr>
        <w:rPr>
          <w:szCs w:val="24"/>
        </w:rPr>
      </w:pPr>
      <w:r>
        <w:rPr>
          <w:szCs w:val="24"/>
        </w:rPr>
        <w:t>Sincerely,</w:t>
      </w:r>
    </w:p>
    <w:p w14:paraId="655FB9A2" w14:textId="782130B5" w:rsidR="002A79BC" w:rsidRDefault="002A79BC" w:rsidP="004736B3">
      <w:pPr>
        <w:rPr>
          <w:noProof/>
          <w:szCs w:val="24"/>
          <w:lang w:eastAsia="en-AU"/>
        </w:rPr>
      </w:pPr>
    </w:p>
    <w:p w14:paraId="2C5678CE" w14:textId="77777777" w:rsidR="00833E92" w:rsidRDefault="00833E92" w:rsidP="004736B3">
      <w:pPr>
        <w:rPr>
          <w:szCs w:val="24"/>
        </w:rPr>
      </w:pPr>
      <w:bookmarkStart w:id="0" w:name="_GoBack"/>
      <w:bookmarkEnd w:id="0"/>
    </w:p>
    <w:p w14:paraId="24615DB6" w14:textId="77777777" w:rsidR="002A79BC" w:rsidRPr="004736B3" w:rsidRDefault="002A79BC" w:rsidP="004736B3">
      <w:pPr>
        <w:rPr>
          <w:szCs w:val="24"/>
        </w:rPr>
      </w:pPr>
      <w:r>
        <w:rPr>
          <w:szCs w:val="24"/>
        </w:rPr>
        <w:t>JW Shannon</w:t>
      </w:r>
      <w:r w:rsidR="00F350B8">
        <w:rPr>
          <w:szCs w:val="24"/>
        </w:rPr>
        <w:t xml:space="preserve">. </w:t>
      </w:r>
      <w:proofErr w:type="gramStart"/>
      <w:r>
        <w:rPr>
          <w:szCs w:val="24"/>
        </w:rPr>
        <w:t>.</w:t>
      </w:r>
      <w:r w:rsidR="00F350B8">
        <w:rPr>
          <w:szCs w:val="24"/>
        </w:rPr>
        <w:t xml:space="preserve">FIE Aust. </w:t>
      </w:r>
      <w:proofErr w:type="spellStart"/>
      <w:r w:rsidR="00F350B8">
        <w:rPr>
          <w:szCs w:val="24"/>
        </w:rPr>
        <w:t>CPEng</w:t>
      </w:r>
      <w:proofErr w:type="spellEnd"/>
      <w:r w:rsidR="00F350B8">
        <w:rPr>
          <w:szCs w:val="24"/>
        </w:rPr>
        <w:t>.</w:t>
      </w:r>
      <w:proofErr w:type="gramEnd"/>
      <w:r w:rsidR="00F350B8">
        <w:rPr>
          <w:szCs w:val="24"/>
        </w:rPr>
        <w:t xml:space="preserve"> NPER</w:t>
      </w:r>
    </w:p>
    <w:sectPr w:rsidR="002A79BC" w:rsidRPr="004736B3" w:rsidSect="00EE7B6D">
      <w:footerReference w:type="default" r:id="rId13"/>
      <w:headerReference w:type="first" r:id="rId14"/>
      <w:footerReference w:type="first" r:id="rId15"/>
      <w:pgSz w:w="11907" w:h="16840" w:code="9"/>
      <w:pgMar w:top="1418" w:right="1140" w:bottom="1418" w:left="1412" w:header="720" w:footer="99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B1AB2" w14:textId="77777777" w:rsidR="00C17E7C" w:rsidRDefault="00C17E7C">
      <w:r>
        <w:separator/>
      </w:r>
    </w:p>
  </w:endnote>
  <w:endnote w:type="continuationSeparator" w:id="0">
    <w:p w14:paraId="15BFBAF9" w14:textId="77777777" w:rsidR="00C17E7C" w:rsidRDefault="00C1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79733" w14:textId="77777777" w:rsidR="001E5C24" w:rsidRPr="00320205" w:rsidRDefault="001E5C24" w:rsidP="00320205">
    <w:pPr>
      <w:pStyle w:val="Footer"/>
      <w:jc w:val="center"/>
      <w:rPr>
        <w:lang w:val="en-US"/>
      </w:rPr>
    </w:pPr>
    <w:r>
      <w:rPr>
        <w:lang w:val="en-US"/>
      </w:rPr>
      <w:t xml:space="preserve">Page </w:t>
    </w:r>
    <w:r w:rsidR="00DD6773">
      <w:rPr>
        <w:rStyle w:val="PageNumber"/>
      </w:rPr>
      <w:fldChar w:fldCharType="begin"/>
    </w:r>
    <w:r>
      <w:rPr>
        <w:rStyle w:val="PageNumber"/>
      </w:rPr>
      <w:instrText xml:space="preserve"> PAGE </w:instrText>
    </w:r>
    <w:r w:rsidR="00DD6773">
      <w:rPr>
        <w:rStyle w:val="PageNumber"/>
      </w:rPr>
      <w:fldChar w:fldCharType="separate"/>
    </w:r>
    <w:r w:rsidR="00833E92">
      <w:rPr>
        <w:rStyle w:val="PageNumber"/>
        <w:noProof/>
      </w:rPr>
      <w:t>2</w:t>
    </w:r>
    <w:r w:rsidR="00DD6773">
      <w:rPr>
        <w:rStyle w:val="PageNumber"/>
      </w:rPr>
      <w:fldChar w:fldCharType="end"/>
    </w:r>
    <w:r>
      <w:rPr>
        <w:rStyle w:val="PageNumber"/>
      </w:rPr>
      <w:t xml:space="preserve"> of </w:t>
    </w:r>
    <w:r w:rsidR="00DD6773">
      <w:rPr>
        <w:rStyle w:val="PageNumber"/>
      </w:rPr>
      <w:fldChar w:fldCharType="begin"/>
    </w:r>
    <w:r>
      <w:rPr>
        <w:rStyle w:val="PageNumber"/>
      </w:rPr>
      <w:instrText xml:space="preserve"> NUMPAGES </w:instrText>
    </w:r>
    <w:r w:rsidR="00DD6773">
      <w:rPr>
        <w:rStyle w:val="PageNumber"/>
      </w:rPr>
      <w:fldChar w:fldCharType="separate"/>
    </w:r>
    <w:r w:rsidR="00833E92">
      <w:rPr>
        <w:rStyle w:val="PageNumber"/>
        <w:noProof/>
      </w:rPr>
      <w:t>2</w:t>
    </w:r>
    <w:r w:rsidR="00DD677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03BFF" w14:textId="7C27A4BA" w:rsidR="001E5C24" w:rsidRDefault="001E5C24">
    <w:pPr>
      <w:pStyle w:val="Footer"/>
      <w:pBdr>
        <w:top w:val="single" w:sz="6" w:space="1" w:color="auto"/>
      </w:pBdr>
      <w:tabs>
        <w:tab w:val="clear" w:pos="4320"/>
        <w:tab w:val="clear" w:pos="8640"/>
        <w:tab w:val="left" w:pos="1701"/>
        <w:tab w:val="left" w:pos="5103"/>
        <w:tab w:val="right" w:pos="9356"/>
      </w:tabs>
      <w:rPr>
        <w:sz w:val="16"/>
      </w:rPr>
    </w:pPr>
    <w:r>
      <w:rPr>
        <w:sz w:val="16"/>
      </w:rPr>
      <w:tab/>
      <w:t>International Telephone 61-7-3822 8272</w:t>
    </w:r>
    <w:r>
      <w:rPr>
        <w:sz w:val="16"/>
      </w:rPr>
      <w:tab/>
      <w:t xml:space="preserve">Domestic </w:t>
    </w:r>
    <w:proofErr w:type="gramStart"/>
    <w:r>
      <w:rPr>
        <w:sz w:val="16"/>
      </w:rPr>
      <w:t>Tele</w:t>
    </w:r>
    <w:r w:rsidR="000C51F6">
      <w:rPr>
        <w:sz w:val="16"/>
      </w:rPr>
      <w:t>phone  (</w:t>
    </w:r>
    <w:proofErr w:type="gramEnd"/>
    <w:r w:rsidR="000C51F6">
      <w:rPr>
        <w:sz w:val="16"/>
      </w:rPr>
      <w:t>07)</w:t>
    </w:r>
    <w:r w:rsidR="00EB7ADE">
      <w:rPr>
        <w:sz w:val="16"/>
      </w:rPr>
      <w:t xml:space="preserve"> </w:t>
    </w:r>
    <w:r w:rsidR="000C51F6">
      <w:rPr>
        <w:sz w:val="16"/>
      </w:rPr>
      <w:t>3822 8272</w:t>
    </w:r>
    <w:r w:rsidR="000C51F6">
      <w:rPr>
        <w:sz w:val="16"/>
      </w:rPr>
      <w:tab/>
    </w:r>
  </w:p>
  <w:p w14:paraId="2B8A5F2F" w14:textId="254E64BC" w:rsidR="001E5C24" w:rsidRDefault="001E5C24" w:rsidP="00CF4BD0">
    <w:pPr>
      <w:pStyle w:val="Footer"/>
      <w:tabs>
        <w:tab w:val="clear" w:pos="4320"/>
        <w:tab w:val="clear" w:pos="8640"/>
        <w:tab w:val="left" w:pos="1701"/>
        <w:tab w:val="left" w:pos="5103"/>
        <w:tab w:val="right" w:pos="9355"/>
      </w:tabs>
      <w:spacing w:before="0"/>
      <w:rPr>
        <w:sz w:val="16"/>
      </w:rPr>
    </w:pPr>
    <w:r>
      <w:rPr>
        <w:sz w:val="16"/>
      </w:rPr>
      <w:tab/>
      <w:t xml:space="preserve">International </w:t>
    </w:r>
    <w:proofErr w:type="gramStart"/>
    <w:r>
      <w:rPr>
        <w:sz w:val="16"/>
      </w:rPr>
      <w:t>Facsimile  61</w:t>
    </w:r>
    <w:proofErr w:type="gramEnd"/>
    <w:r>
      <w:rPr>
        <w:sz w:val="16"/>
      </w:rPr>
      <w:t xml:space="preserve">-7 </w:t>
    </w:r>
    <w:r w:rsidR="00EB7ADE">
      <w:rPr>
        <w:sz w:val="16"/>
      </w:rPr>
      <w:t>-</w:t>
    </w:r>
    <w:r>
      <w:rPr>
        <w:sz w:val="16"/>
      </w:rPr>
      <w:t>3822 8282</w:t>
    </w:r>
    <w:r>
      <w:rPr>
        <w:sz w:val="16"/>
      </w:rPr>
      <w:tab/>
      <w:t xml:space="preserve">Domestic Facsimile   (07) 3822 </w:t>
    </w:r>
    <w:r w:rsidR="000C51F6">
      <w:rPr>
        <w:sz w:val="16"/>
      </w:rPr>
      <w:t>8282</w:t>
    </w:r>
    <w:r w:rsidR="000C51F6">
      <w:rPr>
        <w:sz w:val="16"/>
      </w:rPr>
      <w:tab/>
    </w:r>
  </w:p>
  <w:p w14:paraId="767254BB" w14:textId="17E773B3" w:rsidR="001E5C24" w:rsidRDefault="00531253" w:rsidP="00CF4BD0">
    <w:pPr>
      <w:pStyle w:val="Footer"/>
      <w:tabs>
        <w:tab w:val="clear" w:pos="4320"/>
        <w:tab w:val="clear" w:pos="8640"/>
        <w:tab w:val="left" w:pos="1701"/>
        <w:tab w:val="left" w:pos="5103"/>
        <w:tab w:val="right" w:pos="9356"/>
      </w:tabs>
      <w:spacing w:before="0"/>
      <w:rPr>
        <w:sz w:val="16"/>
      </w:rPr>
    </w:pPr>
    <w:r>
      <w:rPr>
        <w:sz w:val="16"/>
      </w:rPr>
      <w:tab/>
    </w:r>
    <w:r w:rsidR="00EB7ADE">
      <w:rPr>
        <w:sz w:val="16"/>
      </w:rPr>
      <w:tab/>
    </w:r>
    <w:r w:rsidR="000C51F6">
      <w:rPr>
        <w:sz w:val="16"/>
      </w:rPr>
      <w:tab/>
    </w:r>
  </w:p>
  <w:p w14:paraId="1B296ECA" w14:textId="77777777" w:rsidR="000C51F6" w:rsidRDefault="000C51F6" w:rsidP="00CF4BD0">
    <w:pPr>
      <w:pStyle w:val="Footer"/>
      <w:tabs>
        <w:tab w:val="clear" w:pos="4320"/>
        <w:tab w:val="clear" w:pos="8640"/>
        <w:tab w:val="left" w:pos="1701"/>
        <w:tab w:val="left" w:pos="5103"/>
        <w:tab w:val="right" w:pos="9356"/>
      </w:tabs>
      <w:spacing w:before="0"/>
    </w:pPr>
  </w:p>
  <w:p w14:paraId="1F8C0198" w14:textId="77777777" w:rsidR="001E5C24" w:rsidRDefault="001E5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EB5C0" w14:textId="77777777" w:rsidR="00C17E7C" w:rsidRDefault="00C17E7C">
      <w:r>
        <w:separator/>
      </w:r>
    </w:p>
  </w:footnote>
  <w:footnote w:type="continuationSeparator" w:id="0">
    <w:p w14:paraId="78723CDB" w14:textId="77777777" w:rsidR="00C17E7C" w:rsidRDefault="00C17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4DF89" w14:textId="77777777" w:rsidR="001E5C24" w:rsidRDefault="001E5C24">
    <w:pPr>
      <w:pStyle w:val="Header"/>
      <w:rPr>
        <w:b/>
        <w:sz w:val="28"/>
      </w:rPr>
    </w:pPr>
    <w:proofErr w:type="gramStart"/>
    <w:r>
      <w:rPr>
        <w:b/>
        <w:sz w:val="36"/>
      </w:rPr>
      <w:t>J.W.SHANNON  ENGINEERS</w:t>
    </w:r>
    <w:proofErr w:type="gramEnd"/>
    <w:r>
      <w:rPr>
        <w:b/>
        <w:sz w:val="36"/>
      </w:rPr>
      <w:t xml:space="preserve">      -------      </w:t>
    </w:r>
    <w:r>
      <w:rPr>
        <w:b/>
        <w:sz w:val="28"/>
      </w:rPr>
      <w:t>Consulting Engineers</w:t>
    </w:r>
  </w:p>
  <w:p w14:paraId="56606DF9" w14:textId="77777777" w:rsidR="001E5C24" w:rsidRDefault="001E5C24">
    <w:pPr>
      <w:pStyle w:val="Header"/>
      <w:pBdr>
        <w:bottom w:val="single" w:sz="12" w:space="1" w:color="auto"/>
      </w:pBdr>
      <w:tabs>
        <w:tab w:val="clear" w:pos="8640"/>
        <w:tab w:val="right" w:pos="9356"/>
      </w:tabs>
    </w:pPr>
    <w:r>
      <w:t xml:space="preserve">Principal </w:t>
    </w:r>
    <w:proofErr w:type="spellStart"/>
    <w:proofErr w:type="gramStart"/>
    <w:r>
      <w:t>J.W.Shannon</w:t>
    </w:r>
    <w:proofErr w:type="spellEnd"/>
    <w:r>
      <w:t xml:space="preserve">  FIE</w:t>
    </w:r>
    <w:proofErr w:type="gramEnd"/>
    <w:r>
      <w:t xml:space="preserve"> Aust.  C.P. Eng.</w:t>
    </w:r>
    <w:r>
      <w:tab/>
    </w:r>
    <w:r>
      <w:tab/>
    </w:r>
    <w:r>
      <w:rPr>
        <w:sz w:val="22"/>
      </w:rPr>
      <w:t>ABN 97 935 593 709</w:t>
    </w:r>
  </w:p>
  <w:p w14:paraId="4C67D62D" w14:textId="77777777" w:rsidR="001E5C24" w:rsidRDefault="001E5C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762A6"/>
    <w:multiLevelType w:val="hybridMultilevel"/>
    <w:tmpl w:val="71F435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C857F9F"/>
    <w:multiLevelType w:val="hybridMultilevel"/>
    <w:tmpl w:val="9B268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9C430AC"/>
    <w:multiLevelType w:val="hybridMultilevel"/>
    <w:tmpl w:val="D5220D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2B50068"/>
    <w:multiLevelType w:val="hybridMultilevel"/>
    <w:tmpl w:val="A3B252E2"/>
    <w:lvl w:ilvl="0" w:tplc="0809000F">
      <w:start w:val="1"/>
      <w:numFmt w:val="decimal"/>
      <w:lvlText w:val="%1."/>
      <w:lvlJc w:val="left"/>
      <w:pPr>
        <w:tabs>
          <w:tab w:val="num" w:pos="663"/>
        </w:tabs>
        <w:ind w:left="663" w:hanging="360"/>
      </w:pPr>
    </w:lvl>
    <w:lvl w:ilvl="1" w:tplc="08090019" w:tentative="1">
      <w:start w:val="1"/>
      <w:numFmt w:val="lowerLetter"/>
      <w:lvlText w:val="%2."/>
      <w:lvlJc w:val="left"/>
      <w:pPr>
        <w:tabs>
          <w:tab w:val="num" w:pos="1383"/>
        </w:tabs>
        <w:ind w:left="1383" w:hanging="360"/>
      </w:pPr>
    </w:lvl>
    <w:lvl w:ilvl="2" w:tplc="0809001B" w:tentative="1">
      <w:start w:val="1"/>
      <w:numFmt w:val="lowerRoman"/>
      <w:lvlText w:val="%3."/>
      <w:lvlJc w:val="right"/>
      <w:pPr>
        <w:tabs>
          <w:tab w:val="num" w:pos="2103"/>
        </w:tabs>
        <w:ind w:left="2103" w:hanging="180"/>
      </w:pPr>
    </w:lvl>
    <w:lvl w:ilvl="3" w:tplc="0809000F" w:tentative="1">
      <w:start w:val="1"/>
      <w:numFmt w:val="decimal"/>
      <w:lvlText w:val="%4."/>
      <w:lvlJc w:val="left"/>
      <w:pPr>
        <w:tabs>
          <w:tab w:val="num" w:pos="2823"/>
        </w:tabs>
        <w:ind w:left="2823" w:hanging="360"/>
      </w:pPr>
    </w:lvl>
    <w:lvl w:ilvl="4" w:tplc="08090019" w:tentative="1">
      <w:start w:val="1"/>
      <w:numFmt w:val="lowerLetter"/>
      <w:lvlText w:val="%5."/>
      <w:lvlJc w:val="left"/>
      <w:pPr>
        <w:tabs>
          <w:tab w:val="num" w:pos="3543"/>
        </w:tabs>
        <w:ind w:left="3543" w:hanging="360"/>
      </w:pPr>
    </w:lvl>
    <w:lvl w:ilvl="5" w:tplc="0809001B" w:tentative="1">
      <w:start w:val="1"/>
      <w:numFmt w:val="lowerRoman"/>
      <w:lvlText w:val="%6."/>
      <w:lvlJc w:val="right"/>
      <w:pPr>
        <w:tabs>
          <w:tab w:val="num" w:pos="4263"/>
        </w:tabs>
        <w:ind w:left="4263" w:hanging="180"/>
      </w:pPr>
    </w:lvl>
    <w:lvl w:ilvl="6" w:tplc="0809000F" w:tentative="1">
      <w:start w:val="1"/>
      <w:numFmt w:val="decimal"/>
      <w:lvlText w:val="%7."/>
      <w:lvlJc w:val="left"/>
      <w:pPr>
        <w:tabs>
          <w:tab w:val="num" w:pos="4983"/>
        </w:tabs>
        <w:ind w:left="4983" w:hanging="360"/>
      </w:pPr>
    </w:lvl>
    <w:lvl w:ilvl="7" w:tplc="08090019" w:tentative="1">
      <w:start w:val="1"/>
      <w:numFmt w:val="lowerLetter"/>
      <w:lvlText w:val="%8."/>
      <w:lvlJc w:val="left"/>
      <w:pPr>
        <w:tabs>
          <w:tab w:val="num" w:pos="5703"/>
        </w:tabs>
        <w:ind w:left="5703" w:hanging="360"/>
      </w:pPr>
    </w:lvl>
    <w:lvl w:ilvl="8" w:tplc="0809001B" w:tentative="1">
      <w:start w:val="1"/>
      <w:numFmt w:val="lowerRoman"/>
      <w:lvlText w:val="%9."/>
      <w:lvlJc w:val="right"/>
      <w:pPr>
        <w:tabs>
          <w:tab w:val="num" w:pos="6423"/>
        </w:tabs>
        <w:ind w:left="6423" w:hanging="180"/>
      </w:pPr>
    </w:lvl>
  </w:abstractNum>
  <w:abstractNum w:abstractNumId="4">
    <w:nsid w:val="47930ED1"/>
    <w:multiLevelType w:val="hybridMultilevel"/>
    <w:tmpl w:val="26E486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8CD3359"/>
    <w:multiLevelType w:val="hybridMultilevel"/>
    <w:tmpl w:val="39248C72"/>
    <w:lvl w:ilvl="0" w:tplc="08090001">
      <w:start w:val="1"/>
      <w:numFmt w:val="bullet"/>
      <w:lvlText w:val=""/>
      <w:lvlJc w:val="left"/>
      <w:pPr>
        <w:tabs>
          <w:tab w:val="num" w:pos="1575"/>
        </w:tabs>
        <w:ind w:left="1575" w:hanging="360"/>
      </w:pPr>
      <w:rPr>
        <w:rFonts w:ascii="Symbol" w:hAnsi="Symbol" w:hint="default"/>
      </w:rPr>
    </w:lvl>
    <w:lvl w:ilvl="1" w:tplc="08090003" w:tentative="1">
      <w:start w:val="1"/>
      <w:numFmt w:val="bullet"/>
      <w:lvlText w:val="o"/>
      <w:lvlJc w:val="left"/>
      <w:pPr>
        <w:tabs>
          <w:tab w:val="num" w:pos="2295"/>
        </w:tabs>
        <w:ind w:left="2295" w:hanging="360"/>
      </w:pPr>
      <w:rPr>
        <w:rFonts w:ascii="Courier New" w:hAnsi="Courier New" w:cs="Courier New" w:hint="default"/>
      </w:rPr>
    </w:lvl>
    <w:lvl w:ilvl="2" w:tplc="08090005" w:tentative="1">
      <w:start w:val="1"/>
      <w:numFmt w:val="bullet"/>
      <w:lvlText w:val=""/>
      <w:lvlJc w:val="left"/>
      <w:pPr>
        <w:tabs>
          <w:tab w:val="num" w:pos="3015"/>
        </w:tabs>
        <w:ind w:left="3015" w:hanging="360"/>
      </w:pPr>
      <w:rPr>
        <w:rFonts w:ascii="Wingdings" w:hAnsi="Wingdings" w:hint="default"/>
      </w:rPr>
    </w:lvl>
    <w:lvl w:ilvl="3" w:tplc="08090001" w:tentative="1">
      <w:start w:val="1"/>
      <w:numFmt w:val="bullet"/>
      <w:lvlText w:val=""/>
      <w:lvlJc w:val="left"/>
      <w:pPr>
        <w:tabs>
          <w:tab w:val="num" w:pos="3735"/>
        </w:tabs>
        <w:ind w:left="3735" w:hanging="360"/>
      </w:pPr>
      <w:rPr>
        <w:rFonts w:ascii="Symbol" w:hAnsi="Symbol" w:hint="default"/>
      </w:rPr>
    </w:lvl>
    <w:lvl w:ilvl="4" w:tplc="08090003" w:tentative="1">
      <w:start w:val="1"/>
      <w:numFmt w:val="bullet"/>
      <w:lvlText w:val="o"/>
      <w:lvlJc w:val="left"/>
      <w:pPr>
        <w:tabs>
          <w:tab w:val="num" w:pos="4455"/>
        </w:tabs>
        <w:ind w:left="4455" w:hanging="360"/>
      </w:pPr>
      <w:rPr>
        <w:rFonts w:ascii="Courier New" w:hAnsi="Courier New" w:cs="Courier New" w:hint="default"/>
      </w:rPr>
    </w:lvl>
    <w:lvl w:ilvl="5" w:tplc="08090005" w:tentative="1">
      <w:start w:val="1"/>
      <w:numFmt w:val="bullet"/>
      <w:lvlText w:val=""/>
      <w:lvlJc w:val="left"/>
      <w:pPr>
        <w:tabs>
          <w:tab w:val="num" w:pos="5175"/>
        </w:tabs>
        <w:ind w:left="5175" w:hanging="360"/>
      </w:pPr>
      <w:rPr>
        <w:rFonts w:ascii="Wingdings" w:hAnsi="Wingdings" w:hint="default"/>
      </w:rPr>
    </w:lvl>
    <w:lvl w:ilvl="6" w:tplc="08090001" w:tentative="1">
      <w:start w:val="1"/>
      <w:numFmt w:val="bullet"/>
      <w:lvlText w:val=""/>
      <w:lvlJc w:val="left"/>
      <w:pPr>
        <w:tabs>
          <w:tab w:val="num" w:pos="5895"/>
        </w:tabs>
        <w:ind w:left="5895" w:hanging="360"/>
      </w:pPr>
      <w:rPr>
        <w:rFonts w:ascii="Symbol" w:hAnsi="Symbol" w:hint="default"/>
      </w:rPr>
    </w:lvl>
    <w:lvl w:ilvl="7" w:tplc="08090003" w:tentative="1">
      <w:start w:val="1"/>
      <w:numFmt w:val="bullet"/>
      <w:lvlText w:val="o"/>
      <w:lvlJc w:val="left"/>
      <w:pPr>
        <w:tabs>
          <w:tab w:val="num" w:pos="6615"/>
        </w:tabs>
        <w:ind w:left="6615" w:hanging="360"/>
      </w:pPr>
      <w:rPr>
        <w:rFonts w:ascii="Courier New" w:hAnsi="Courier New" w:cs="Courier New" w:hint="default"/>
      </w:rPr>
    </w:lvl>
    <w:lvl w:ilvl="8" w:tplc="08090005" w:tentative="1">
      <w:start w:val="1"/>
      <w:numFmt w:val="bullet"/>
      <w:lvlText w:val=""/>
      <w:lvlJc w:val="left"/>
      <w:pPr>
        <w:tabs>
          <w:tab w:val="num" w:pos="7335"/>
        </w:tabs>
        <w:ind w:left="7335" w:hanging="360"/>
      </w:pPr>
      <w:rPr>
        <w:rFonts w:ascii="Wingdings" w:hAnsi="Wingdings" w:hint="default"/>
      </w:rPr>
    </w:lvl>
  </w:abstractNum>
  <w:abstractNum w:abstractNumId="6">
    <w:nsid w:val="5A61099E"/>
    <w:multiLevelType w:val="hybridMultilevel"/>
    <w:tmpl w:val="60F629C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699556B7"/>
    <w:multiLevelType w:val="hybridMultilevel"/>
    <w:tmpl w:val="FA647F92"/>
    <w:lvl w:ilvl="0" w:tplc="46127B36">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C8D1D3C"/>
    <w:multiLevelType w:val="hybridMultilevel"/>
    <w:tmpl w:val="8BBC2484"/>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
    <w:nsid w:val="717261C9"/>
    <w:multiLevelType w:val="hybridMultilevel"/>
    <w:tmpl w:val="5A1AF4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789F45AE"/>
    <w:multiLevelType w:val="hybridMultilevel"/>
    <w:tmpl w:val="C15C8B10"/>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1">
    <w:nsid w:val="7A6F55DA"/>
    <w:multiLevelType w:val="hybridMultilevel"/>
    <w:tmpl w:val="D2F81192"/>
    <w:lvl w:ilvl="0" w:tplc="95D46B26">
      <w:start w:val="2"/>
      <w:numFmt w:val="decimal"/>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7BED76D6"/>
    <w:multiLevelType w:val="hybridMultilevel"/>
    <w:tmpl w:val="7BC4A20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11"/>
  </w:num>
  <w:num w:numId="5">
    <w:abstractNumId w:val="8"/>
  </w:num>
  <w:num w:numId="6">
    <w:abstractNumId w:val="10"/>
  </w:num>
  <w:num w:numId="7">
    <w:abstractNumId w:val="5"/>
  </w:num>
  <w:num w:numId="8">
    <w:abstractNumId w:val="3"/>
  </w:num>
  <w:num w:numId="9">
    <w:abstractNumId w:val="12"/>
  </w:num>
  <w:num w:numId="10">
    <w:abstractNumId w:val="7"/>
  </w:num>
  <w:num w:numId="11">
    <w:abstractNumId w:val="9"/>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B83"/>
    <w:rsid w:val="000111FB"/>
    <w:rsid w:val="00066A05"/>
    <w:rsid w:val="0008541A"/>
    <w:rsid w:val="000A5A6B"/>
    <w:rsid w:val="000C51F6"/>
    <w:rsid w:val="000D3A1A"/>
    <w:rsid w:val="000D407B"/>
    <w:rsid w:val="000F2724"/>
    <w:rsid w:val="001227BA"/>
    <w:rsid w:val="00125D91"/>
    <w:rsid w:val="001319AC"/>
    <w:rsid w:val="00140DF5"/>
    <w:rsid w:val="001558FD"/>
    <w:rsid w:val="00160908"/>
    <w:rsid w:val="001660C0"/>
    <w:rsid w:val="0016707D"/>
    <w:rsid w:val="00182E3F"/>
    <w:rsid w:val="00190CF2"/>
    <w:rsid w:val="001B7839"/>
    <w:rsid w:val="001E5C24"/>
    <w:rsid w:val="001E6121"/>
    <w:rsid w:val="001F46EA"/>
    <w:rsid w:val="00232435"/>
    <w:rsid w:val="002439B8"/>
    <w:rsid w:val="0027057B"/>
    <w:rsid w:val="002A79BC"/>
    <w:rsid w:val="002D7B92"/>
    <w:rsid w:val="002F0CF6"/>
    <w:rsid w:val="003025A9"/>
    <w:rsid w:val="00315519"/>
    <w:rsid w:val="00320205"/>
    <w:rsid w:val="00341B49"/>
    <w:rsid w:val="00342179"/>
    <w:rsid w:val="003666FC"/>
    <w:rsid w:val="00372782"/>
    <w:rsid w:val="00377D01"/>
    <w:rsid w:val="003870C1"/>
    <w:rsid w:val="003B684C"/>
    <w:rsid w:val="003F68B0"/>
    <w:rsid w:val="00407C09"/>
    <w:rsid w:val="0044671B"/>
    <w:rsid w:val="004736B3"/>
    <w:rsid w:val="0049554D"/>
    <w:rsid w:val="004B5B83"/>
    <w:rsid w:val="00502031"/>
    <w:rsid w:val="00514464"/>
    <w:rsid w:val="005171D4"/>
    <w:rsid w:val="00531253"/>
    <w:rsid w:val="005450FB"/>
    <w:rsid w:val="005635DC"/>
    <w:rsid w:val="005E0286"/>
    <w:rsid w:val="005F51DD"/>
    <w:rsid w:val="00611B18"/>
    <w:rsid w:val="00630ACB"/>
    <w:rsid w:val="00634B4C"/>
    <w:rsid w:val="006658B5"/>
    <w:rsid w:val="006A1A48"/>
    <w:rsid w:val="006A289A"/>
    <w:rsid w:val="006A44B6"/>
    <w:rsid w:val="006C339F"/>
    <w:rsid w:val="006C4F42"/>
    <w:rsid w:val="006E4715"/>
    <w:rsid w:val="0071251A"/>
    <w:rsid w:val="0071451E"/>
    <w:rsid w:val="00722286"/>
    <w:rsid w:val="00735CD0"/>
    <w:rsid w:val="00744345"/>
    <w:rsid w:val="00766009"/>
    <w:rsid w:val="00774726"/>
    <w:rsid w:val="007830B2"/>
    <w:rsid w:val="00796469"/>
    <w:rsid w:val="00806153"/>
    <w:rsid w:val="00810928"/>
    <w:rsid w:val="00812BD2"/>
    <w:rsid w:val="008135FC"/>
    <w:rsid w:val="00833E92"/>
    <w:rsid w:val="00840C9D"/>
    <w:rsid w:val="00854EDD"/>
    <w:rsid w:val="008929A2"/>
    <w:rsid w:val="008A109B"/>
    <w:rsid w:val="008C46AF"/>
    <w:rsid w:val="008D08FC"/>
    <w:rsid w:val="008D2DC1"/>
    <w:rsid w:val="008D5A8E"/>
    <w:rsid w:val="00904B93"/>
    <w:rsid w:val="009123EE"/>
    <w:rsid w:val="009216FD"/>
    <w:rsid w:val="00944DB3"/>
    <w:rsid w:val="00955721"/>
    <w:rsid w:val="0097195D"/>
    <w:rsid w:val="0098699A"/>
    <w:rsid w:val="00986E1C"/>
    <w:rsid w:val="00991F1E"/>
    <w:rsid w:val="009A23E9"/>
    <w:rsid w:val="009C1FDA"/>
    <w:rsid w:val="00A65F29"/>
    <w:rsid w:val="00A67A8C"/>
    <w:rsid w:val="00A92221"/>
    <w:rsid w:val="00AB1155"/>
    <w:rsid w:val="00AC76B8"/>
    <w:rsid w:val="00AE4DB7"/>
    <w:rsid w:val="00AF17A0"/>
    <w:rsid w:val="00AF298F"/>
    <w:rsid w:val="00AF7042"/>
    <w:rsid w:val="00B007D0"/>
    <w:rsid w:val="00B344D0"/>
    <w:rsid w:val="00B539F5"/>
    <w:rsid w:val="00B56423"/>
    <w:rsid w:val="00B815E7"/>
    <w:rsid w:val="00B81687"/>
    <w:rsid w:val="00B91513"/>
    <w:rsid w:val="00BA2196"/>
    <w:rsid w:val="00BA5AD2"/>
    <w:rsid w:val="00BD3896"/>
    <w:rsid w:val="00BD7935"/>
    <w:rsid w:val="00C0424D"/>
    <w:rsid w:val="00C160BC"/>
    <w:rsid w:val="00C17E7C"/>
    <w:rsid w:val="00C33323"/>
    <w:rsid w:val="00C350FD"/>
    <w:rsid w:val="00C462BF"/>
    <w:rsid w:val="00C6621F"/>
    <w:rsid w:val="00C84316"/>
    <w:rsid w:val="00C87EAB"/>
    <w:rsid w:val="00C95709"/>
    <w:rsid w:val="00CA6911"/>
    <w:rsid w:val="00CB7A96"/>
    <w:rsid w:val="00CC3417"/>
    <w:rsid w:val="00CE51E2"/>
    <w:rsid w:val="00CF4BD0"/>
    <w:rsid w:val="00D051E8"/>
    <w:rsid w:val="00D12325"/>
    <w:rsid w:val="00D471C2"/>
    <w:rsid w:val="00D476A3"/>
    <w:rsid w:val="00D47FBF"/>
    <w:rsid w:val="00D5552A"/>
    <w:rsid w:val="00D63A52"/>
    <w:rsid w:val="00D7069E"/>
    <w:rsid w:val="00DB3080"/>
    <w:rsid w:val="00DD6157"/>
    <w:rsid w:val="00DD6773"/>
    <w:rsid w:val="00DF2F7D"/>
    <w:rsid w:val="00DF6508"/>
    <w:rsid w:val="00E041CB"/>
    <w:rsid w:val="00E34E94"/>
    <w:rsid w:val="00E46BF4"/>
    <w:rsid w:val="00E535FB"/>
    <w:rsid w:val="00E5431D"/>
    <w:rsid w:val="00E5706A"/>
    <w:rsid w:val="00E822AF"/>
    <w:rsid w:val="00E94477"/>
    <w:rsid w:val="00EA30DB"/>
    <w:rsid w:val="00EA6D59"/>
    <w:rsid w:val="00EB1A38"/>
    <w:rsid w:val="00EB7ADE"/>
    <w:rsid w:val="00EE2E43"/>
    <w:rsid w:val="00EE3285"/>
    <w:rsid w:val="00EE7B6D"/>
    <w:rsid w:val="00EF55D7"/>
    <w:rsid w:val="00F350B8"/>
    <w:rsid w:val="00F378AE"/>
    <w:rsid w:val="00F427E9"/>
    <w:rsid w:val="00F52060"/>
    <w:rsid w:val="00F6441D"/>
    <w:rsid w:val="00FF6D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F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2BD2"/>
    <w:pPr>
      <w:spacing w:before="120" w:after="120"/>
    </w:pPr>
    <w:rPr>
      <w:sz w:val="24"/>
      <w:lang w:eastAsia="en-GB"/>
    </w:rPr>
  </w:style>
  <w:style w:type="paragraph" w:styleId="Heading1">
    <w:name w:val="heading 1"/>
    <w:basedOn w:val="Normal"/>
    <w:next w:val="Normal"/>
    <w:qFormat/>
    <w:rsid w:val="001E5C24"/>
    <w:pPr>
      <w:keepNext/>
      <w:jc w:val="center"/>
      <w:outlineLvl w:val="0"/>
    </w:pPr>
    <w:rPr>
      <w:rFonts w:ascii="Arial" w:hAnsi="Arial"/>
      <w:b/>
      <w:sz w:val="26"/>
    </w:rPr>
  </w:style>
  <w:style w:type="paragraph" w:styleId="Heading2">
    <w:name w:val="heading 2"/>
    <w:basedOn w:val="Normal"/>
    <w:next w:val="Normal"/>
    <w:qFormat/>
    <w:rsid w:val="001E5C24"/>
    <w:pPr>
      <w:keepNext/>
      <w:spacing w:after="60"/>
      <w:outlineLvl w:val="1"/>
    </w:pPr>
    <w:rPr>
      <w:b/>
    </w:rPr>
  </w:style>
  <w:style w:type="paragraph" w:styleId="Heading3">
    <w:name w:val="heading 3"/>
    <w:basedOn w:val="Normal"/>
    <w:next w:val="Normal"/>
    <w:qFormat/>
    <w:rsid w:val="00EE7B6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7B6D"/>
    <w:pPr>
      <w:tabs>
        <w:tab w:val="center" w:pos="4320"/>
        <w:tab w:val="right" w:pos="8640"/>
      </w:tabs>
    </w:pPr>
  </w:style>
  <w:style w:type="paragraph" w:styleId="Footer">
    <w:name w:val="footer"/>
    <w:basedOn w:val="Normal"/>
    <w:rsid w:val="00EF55D7"/>
    <w:pPr>
      <w:tabs>
        <w:tab w:val="center" w:pos="4320"/>
        <w:tab w:val="right" w:pos="8640"/>
      </w:tabs>
      <w:spacing w:after="0"/>
    </w:pPr>
  </w:style>
  <w:style w:type="paragraph" w:styleId="BodyText2">
    <w:name w:val="Body Text 2"/>
    <w:basedOn w:val="Normal"/>
    <w:rsid w:val="00EE7B6D"/>
    <w:pPr>
      <w:ind w:left="357" w:hanging="357"/>
    </w:pPr>
    <w:rPr>
      <w:lang w:val="en-GB"/>
    </w:rPr>
  </w:style>
  <w:style w:type="paragraph" w:styleId="BodyTextIndent2">
    <w:name w:val="Body Text Indent 2"/>
    <w:basedOn w:val="Normal"/>
    <w:rsid w:val="00EE7B6D"/>
    <w:pPr>
      <w:ind w:left="284" w:hanging="284"/>
    </w:pPr>
    <w:rPr>
      <w:lang w:val="en-GB"/>
    </w:rPr>
  </w:style>
  <w:style w:type="character" w:styleId="Hyperlink">
    <w:name w:val="Hyperlink"/>
    <w:basedOn w:val="DefaultParagraphFont"/>
    <w:rsid w:val="00EE7B6D"/>
    <w:rPr>
      <w:color w:val="0000FF"/>
      <w:u w:val="single"/>
    </w:rPr>
  </w:style>
  <w:style w:type="paragraph" w:styleId="BodyText">
    <w:name w:val="Body Text"/>
    <w:basedOn w:val="Normal"/>
    <w:rsid w:val="00EE7B6D"/>
    <w:pPr>
      <w:tabs>
        <w:tab w:val="right" w:pos="8789"/>
      </w:tabs>
      <w:ind w:right="3121"/>
    </w:pPr>
  </w:style>
  <w:style w:type="table" w:styleId="TableGrid">
    <w:name w:val="Table Grid"/>
    <w:basedOn w:val="TableNormal"/>
    <w:rsid w:val="00B344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A30DB"/>
    <w:rPr>
      <w:rFonts w:ascii="Tahoma" w:hAnsi="Tahoma" w:cs="Tahoma"/>
      <w:sz w:val="16"/>
      <w:szCs w:val="16"/>
    </w:rPr>
  </w:style>
  <w:style w:type="character" w:styleId="PageNumber">
    <w:name w:val="page number"/>
    <w:basedOn w:val="DefaultParagraphFont"/>
    <w:rsid w:val="00320205"/>
  </w:style>
  <w:style w:type="paragraph" w:styleId="Revision">
    <w:name w:val="Revision"/>
    <w:hidden/>
    <w:uiPriority w:val="99"/>
    <w:semiHidden/>
    <w:rsid w:val="00C33323"/>
    <w:rPr>
      <w:sz w:val="24"/>
      <w:lang w:val="en-GB" w:eastAsia="en-GB"/>
    </w:rPr>
  </w:style>
  <w:style w:type="character" w:styleId="CommentReference">
    <w:name w:val="annotation reference"/>
    <w:basedOn w:val="DefaultParagraphFont"/>
    <w:rsid w:val="00C33323"/>
    <w:rPr>
      <w:sz w:val="16"/>
      <w:szCs w:val="16"/>
    </w:rPr>
  </w:style>
  <w:style w:type="paragraph" w:styleId="CommentText">
    <w:name w:val="annotation text"/>
    <w:basedOn w:val="Normal"/>
    <w:link w:val="CommentTextChar"/>
    <w:rsid w:val="00C33323"/>
    <w:rPr>
      <w:sz w:val="20"/>
    </w:rPr>
  </w:style>
  <w:style w:type="character" w:customStyle="1" w:styleId="CommentTextChar">
    <w:name w:val="Comment Text Char"/>
    <w:basedOn w:val="DefaultParagraphFont"/>
    <w:link w:val="CommentText"/>
    <w:rsid w:val="00C33323"/>
    <w:rPr>
      <w:lang w:val="en-GB" w:eastAsia="en-GB"/>
    </w:rPr>
  </w:style>
  <w:style w:type="paragraph" w:styleId="CommentSubject">
    <w:name w:val="annotation subject"/>
    <w:basedOn w:val="CommentText"/>
    <w:next w:val="CommentText"/>
    <w:link w:val="CommentSubjectChar"/>
    <w:rsid w:val="00C33323"/>
    <w:rPr>
      <w:b/>
      <w:bCs/>
    </w:rPr>
  </w:style>
  <w:style w:type="character" w:customStyle="1" w:styleId="CommentSubjectChar">
    <w:name w:val="Comment Subject Char"/>
    <w:basedOn w:val="CommentTextChar"/>
    <w:link w:val="CommentSubject"/>
    <w:rsid w:val="00C33323"/>
    <w:rPr>
      <w:b/>
      <w:bCs/>
      <w:lang w:val="en-GB" w:eastAsia="en-GB"/>
    </w:rPr>
  </w:style>
  <w:style w:type="character" w:customStyle="1" w:styleId="Reference">
    <w:name w:val="Reference"/>
    <w:basedOn w:val="DefaultParagraphFont"/>
    <w:rsid w:val="008929A2"/>
    <w:rPr>
      <w:rFonts w:ascii="Arial" w:hAnsi="Arial"/>
      <w:color w:val="808080"/>
      <w:sz w:val="16"/>
    </w:rPr>
  </w:style>
  <w:style w:type="paragraph" w:customStyle="1" w:styleId="Address">
    <w:name w:val="Address"/>
    <w:basedOn w:val="Normal"/>
    <w:qFormat/>
    <w:rsid w:val="0071451E"/>
    <w:pPr>
      <w:spacing w:after="0"/>
    </w:pPr>
  </w:style>
  <w:style w:type="paragraph" w:styleId="ListParagraph">
    <w:name w:val="List Paragraph"/>
    <w:basedOn w:val="Normal"/>
    <w:uiPriority w:val="34"/>
    <w:qFormat/>
    <w:rsid w:val="00AB11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2BD2"/>
    <w:pPr>
      <w:spacing w:before="120" w:after="120"/>
    </w:pPr>
    <w:rPr>
      <w:sz w:val="24"/>
      <w:lang w:eastAsia="en-GB"/>
    </w:rPr>
  </w:style>
  <w:style w:type="paragraph" w:styleId="Heading1">
    <w:name w:val="heading 1"/>
    <w:basedOn w:val="Normal"/>
    <w:next w:val="Normal"/>
    <w:qFormat/>
    <w:rsid w:val="001E5C24"/>
    <w:pPr>
      <w:keepNext/>
      <w:jc w:val="center"/>
      <w:outlineLvl w:val="0"/>
    </w:pPr>
    <w:rPr>
      <w:rFonts w:ascii="Arial" w:hAnsi="Arial"/>
      <w:b/>
      <w:sz w:val="26"/>
    </w:rPr>
  </w:style>
  <w:style w:type="paragraph" w:styleId="Heading2">
    <w:name w:val="heading 2"/>
    <w:basedOn w:val="Normal"/>
    <w:next w:val="Normal"/>
    <w:qFormat/>
    <w:rsid w:val="001E5C24"/>
    <w:pPr>
      <w:keepNext/>
      <w:spacing w:after="60"/>
      <w:outlineLvl w:val="1"/>
    </w:pPr>
    <w:rPr>
      <w:b/>
    </w:rPr>
  </w:style>
  <w:style w:type="paragraph" w:styleId="Heading3">
    <w:name w:val="heading 3"/>
    <w:basedOn w:val="Normal"/>
    <w:next w:val="Normal"/>
    <w:qFormat/>
    <w:rsid w:val="00EE7B6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7B6D"/>
    <w:pPr>
      <w:tabs>
        <w:tab w:val="center" w:pos="4320"/>
        <w:tab w:val="right" w:pos="8640"/>
      </w:tabs>
    </w:pPr>
  </w:style>
  <w:style w:type="paragraph" w:styleId="Footer">
    <w:name w:val="footer"/>
    <w:basedOn w:val="Normal"/>
    <w:rsid w:val="00EF55D7"/>
    <w:pPr>
      <w:tabs>
        <w:tab w:val="center" w:pos="4320"/>
        <w:tab w:val="right" w:pos="8640"/>
      </w:tabs>
      <w:spacing w:after="0"/>
    </w:pPr>
  </w:style>
  <w:style w:type="paragraph" w:styleId="BodyText2">
    <w:name w:val="Body Text 2"/>
    <w:basedOn w:val="Normal"/>
    <w:rsid w:val="00EE7B6D"/>
    <w:pPr>
      <w:ind w:left="357" w:hanging="357"/>
    </w:pPr>
    <w:rPr>
      <w:lang w:val="en-GB"/>
    </w:rPr>
  </w:style>
  <w:style w:type="paragraph" w:styleId="BodyTextIndent2">
    <w:name w:val="Body Text Indent 2"/>
    <w:basedOn w:val="Normal"/>
    <w:rsid w:val="00EE7B6D"/>
    <w:pPr>
      <w:ind w:left="284" w:hanging="284"/>
    </w:pPr>
    <w:rPr>
      <w:lang w:val="en-GB"/>
    </w:rPr>
  </w:style>
  <w:style w:type="character" w:styleId="Hyperlink">
    <w:name w:val="Hyperlink"/>
    <w:basedOn w:val="DefaultParagraphFont"/>
    <w:rsid w:val="00EE7B6D"/>
    <w:rPr>
      <w:color w:val="0000FF"/>
      <w:u w:val="single"/>
    </w:rPr>
  </w:style>
  <w:style w:type="paragraph" w:styleId="BodyText">
    <w:name w:val="Body Text"/>
    <w:basedOn w:val="Normal"/>
    <w:rsid w:val="00EE7B6D"/>
    <w:pPr>
      <w:tabs>
        <w:tab w:val="right" w:pos="8789"/>
      </w:tabs>
      <w:ind w:right="3121"/>
    </w:pPr>
  </w:style>
  <w:style w:type="table" w:styleId="TableGrid">
    <w:name w:val="Table Grid"/>
    <w:basedOn w:val="TableNormal"/>
    <w:rsid w:val="00B344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A30DB"/>
    <w:rPr>
      <w:rFonts w:ascii="Tahoma" w:hAnsi="Tahoma" w:cs="Tahoma"/>
      <w:sz w:val="16"/>
      <w:szCs w:val="16"/>
    </w:rPr>
  </w:style>
  <w:style w:type="character" w:styleId="PageNumber">
    <w:name w:val="page number"/>
    <w:basedOn w:val="DefaultParagraphFont"/>
    <w:rsid w:val="00320205"/>
  </w:style>
  <w:style w:type="paragraph" w:styleId="Revision">
    <w:name w:val="Revision"/>
    <w:hidden/>
    <w:uiPriority w:val="99"/>
    <w:semiHidden/>
    <w:rsid w:val="00C33323"/>
    <w:rPr>
      <w:sz w:val="24"/>
      <w:lang w:val="en-GB" w:eastAsia="en-GB"/>
    </w:rPr>
  </w:style>
  <w:style w:type="character" w:styleId="CommentReference">
    <w:name w:val="annotation reference"/>
    <w:basedOn w:val="DefaultParagraphFont"/>
    <w:rsid w:val="00C33323"/>
    <w:rPr>
      <w:sz w:val="16"/>
      <w:szCs w:val="16"/>
    </w:rPr>
  </w:style>
  <w:style w:type="paragraph" w:styleId="CommentText">
    <w:name w:val="annotation text"/>
    <w:basedOn w:val="Normal"/>
    <w:link w:val="CommentTextChar"/>
    <w:rsid w:val="00C33323"/>
    <w:rPr>
      <w:sz w:val="20"/>
    </w:rPr>
  </w:style>
  <w:style w:type="character" w:customStyle="1" w:styleId="CommentTextChar">
    <w:name w:val="Comment Text Char"/>
    <w:basedOn w:val="DefaultParagraphFont"/>
    <w:link w:val="CommentText"/>
    <w:rsid w:val="00C33323"/>
    <w:rPr>
      <w:lang w:val="en-GB" w:eastAsia="en-GB"/>
    </w:rPr>
  </w:style>
  <w:style w:type="paragraph" w:styleId="CommentSubject">
    <w:name w:val="annotation subject"/>
    <w:basedOn w:val="CommentText"/>
    <w:next w:val="CommentText"/>
    <w:link w:val="CommentSubjectChar"/>
    <w:rsid w:val="00C33323"/>
    <w:rPr>
      <w:b/>
      <w:bCs/>
    </w:rPr>
  </w:style>
  <w:style w:type="character" w:customStyle="1" w:styleId="CommentSubjectChar">
    <w:name w:val="Comment Subject Char"/>
    <w:basedOn w:val="CommentTextChar"/>
    <w:link w:val="CommentSubject"/>
    <w:rsid w:val="00C33323"/>
    <w:rPr>
      <w:b/>
      <w:bCs/>
      <w:lang w:val="en-GB" w:eastAsia="en-GB"/>
    </w:rPr>
  </w:style>
  <w:style w:type="character" w:customStyle="1" w:styleId="Reference">
    <w:name w:val="Reference"/>
    <w:basedOn w:val="DefaultParagraphFont"/>
    <w:rsid w:val="008929A2"/>
    <w:rPr>
      <w:rFonts w:ascii="Arial" w:hAnsi="Arial"/>
      <w:color w:val="808080"/>
      <w:sz w:val="16"/>
    </w:rPr>
  </w:style>
  <w:style w:type="paragraph" w:customStyle="1" w:styleId="Address">
    <w:name w:val="Address"/>
    <w:basedOn w:val="Normal"/>
    <w:qFormat/>
    <w:rsid w:val="0071451E"/>
    <w:pPr>
      <w:spacing w:after="0"/>
    </w:pPr>
  </w:style>
  <w:style w:type="paragraph" w:styleId="ListParagraph">
    <w:name w:val="List Paragraph"/>
    <w:basedOn w:val="Normal"/>
    <w:uiPriority w:val="34"/>
    <w:qFormat/>
    <w:rsid w:val="00AB1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4305A1-D199-4CD2-BE7D-C7965D985CCF}">
  <ds:schemaRefs>
    <ds:schemaRef ds:uri="http://schemas.microsoft.com/office/2006/metadata/customXsn"/>
  </ds:schemaRefs>
</ds:datastoreItem>
</file>

<file path=customXml/itemProps2.xml><?xml version="1.0" encoding="utf-8"?>
<ds:datastoreItem xmlns:ds="http://schemas.openxmlformats.org/officeDocument/2006/customXml" ds:itemID="{E211B8F0-CECC-4F0B-A2A4-82DCF17FA599}">
  <ds:schemaRefs>
    <ds:schemaRef ds:uri="http://schemas.microsoft.com/sharepoint/events"/>
  </ds:schemaRefs>
</ds:datastoreItem>
</file>

<file path=customXml/itemProps3.xml><?xml version="1.0" encoding="utf-8"?>
<ds:datastoreItem xmlns:ds="http://schemas.openxmlformats.org/officeDocument/2006/customXml" ds:itemID="{C6C13A8F-16B9-4DAA-BCD9-0C3BBD655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970F870-B5F9-4C94-A47A-4497607AE457}">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www.w3.org/XML/1998/namespace"/>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F0151579-A0E1-4B73-990F-2B1B807B3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753</Words>
  <Characters>4093</Characters>
  <Application>Microsoft Office Word</Application>
  <DocSecurity>0</DocSecurity>
  <Lines>80</Lines>
  <Paragraphs>28</Paragraphs>
  <ScaleCrop>false</ScaleCrop>
  <HeadingPairs>
    <vt:vector size="2" baseType="variant">
      <vt:variant>
        <vt:lpstr>Title</vt:lpstr>
      </vt:variant>
      <vt:variant>
        <vt:i4>1</vt:i4>
      </vt:variant>
    </vt:vector>
  </HeadingPairs>
  <TitlesOfParts>
    <vt:vector size="1" baseType="lpstr">
      <vt:lpstr>Submission 67 - JW Shannon Engineers - Workplace Relations Framework - Public inquiry</vt:lpstr>
    </vt:vector>
  </TitlesOfParts>
  <Company>JW Shannon Engineers</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67 - JW Shannon Engineers - Workplace Relations Framework - Public inquiry</dc:title>
  <dc:creator>JW Shannon Engineers</dc:creator>
  <cp:lastModifiedBy>Productivity Commission</cp:lastModifiedBy>
  <cp:revision>5</cp:revision>
  <cp:lastPrinted>2015-03-13T00:15:00Z</cp:lastPrinted>
  <dcterms:created xsi:type="dcterms:W3CDTF">2015-03-17T22:30:00Z</dcterms:created>
  <dcterms:modified xsi:type="dcterms:W3CDTF">2015-03-19T03:05:00Z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ActiveItemUniqueId">
    <vt:lpwstr/>
  </property>
  <property fmtid="{D5CDD505-2E9C-101B-9397-08002B2CF9AE}" pid="4" name="RecordPoint_WorkflowType">
    <vt:lpwstr/>
  </property>
  <property fmtid="{D5CDD505-2E9C-101B-9397-08002B2CF9AE}" pid="5" name="RecordPoint_ActiveItemSiteId">
    <vt:lpwstr/>
  </property>
  <property fmtid="{D5CDD505-2E9C-101B-9397-08002B2CF9AE}" pid="6" name="RecordPoint_ActiveItemList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