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88" w:rsidRPr="00A371DB" w:rsidRDefault="00EA2282" w:rsidP="00EA2282">
      <w:pPr>
        <w:pStyle w:val="NoSpacing"/>
        <w:rPr>
          <w:rFonts w:ascii="Palatino" w:hAnsi="Palatino"/>
          <w:sz w:val="20"/>
          <w:szCs w:val="20"/>
        </w:rPr>
      </w:pPr>
      <w:bookmarkStart w:id="0" w:name="_GoBack"/>
      <w:bookmarkEnd w:id="0"/>
      <w:r w:rsidRPr="00A371DB">
        <w:rPr>
          <w:rFonts w:ascii="Palatino" w:hAnsi="Palatino"/>
          <w:noProof/>
          <w:sz w:val="20"/>
          <w:szCs w:val="20"/>
        </w:rPr>
        <w:drawing>
          <wp:anchor distT="0" distB="0" distL="114300" distR="114300" simplePos="0" relativeHeight="251656704" behindDoc="0" locked="1" layoutInCell="1" allowOverlap="1" wp14:anchorId="5C17EDDE" wp14:editId="1D0D4859">
            <wp:simplePos x="0" y="0"/>
            <wp:positionH relativeFrom="margin">
              <wp:posOffset>5208270</wp:posOffset>
            </wp:positionH>
            <wp:positionV relativeFrom="margin">
              <wp:posOffset>8138795</wp:posOffset>
            </wp:positionV>
            <wp:extent cx="689610" cy="6858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lip>
                    <a:srcRect/>
                    <a:stretch>
                      <a:fillRect/>
                    </a:stretch>
                  </pic:blipFill>
                  <pic:spPr bwMode="auto">
                    <a:xfrm>
                      <a:off x="0" y="0"/>
                      <a:ext cx="689610" cy="685800"/>
                    </a:xfrm>
                    <a:prstGeom prst="rect">
                      <a:avLst/>
                    </a:prstGeom>
                    <a:noFill/>
                    <a:ln w="9525">
                      <a:noFill/>
                      <a:miter lim="800000"/>
                      <a:headEnd/>
                      <a:tailEnd/>
                    </a:ln>
                  </pic:spPr>
                </pic:pic>
              </a:graphicData>
            </a:graphic>
          </wp:anchor>
        </w:drawing>
      </w:r>
      <w:r w:rsidR="007B3F88" w:rsidRPr="00A371DB">
        <w:rPr>
          <w:rFonts w:ascii="Palatino" w:hAnsi="Palatino"/>
          <w:noProof/>
          <w:sz w:val="20"/>
          <w:szCs w:val="20"/>
        </w:rPr>
        <w:drawing>
          <wp:anchor distT="0" distB="0" distL="114300" distR="114300" simplePos="0" relativeHeight="251657728" behindDoc="1" locked="0" layoutInCell="1" allowOverlap="1" wp14:anchorId="219D4AFC" wp14:editId="2A52786B">
            <wp:simplePos x="0" y="0"/>
            <wp:positionH relativeFrom="margin">
              <wp:align>right</wp:align>
            </wp:positionH>
            <wp:positionV relativeFrom="margin">
              <wp:align>top</wp:align>
            </wp:positionV>
            <wp:extent cx="1527810" cy="1455420"/>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27810" cy="1455420"/>
                    </a:xfrm>
                    <a:prstGeom prst="rect">
                      <a:avLst/>
                    </a:prstGeom>
                    <a:noFill/>
                    <a:ln w="9525">
                      <a:noFill/>
                      <a:miter lim="800000"/>
                      <a:headEnd/>
                      <a:tailEnd/>
                    </a:ln>
                  </pic:spPr>
                </pic:pic>
              </a:graphicData>
            </a:graphic>
          </wp:anchor>
        </w:drawing>
      </w:r>
      <w:r w:rsidR="00D75BDB">
        <w:rPr>
          <w:rFonts w:ascii="Palatino" w:hAnsi="Palatino"/>
          <w:noProof/>
          <w:sz w:val="20"/>
          <w:szCs w:val="20"/>
        </w:rPr>
        <mc:AlternateContent>
          <mc:Choice Requires="wps">
            <w:drawing>
              <wp:anchor distT="0" distB="0" distL="114300" distR="114300" simplePos="0" relativeHeight="251658752" behindDoc="1" locked="1" layoutInCell="1" allowOverlap="1">
                <wp:simplePos x="0" y="0"/>
                <wp:positionH relativeFrom="margin">
                  <wp:align>center</wp:align>
                </wp:positionH>
                <wp:positionV relativeFrom="margin">
                  <wp:align>bottom</wp:align>
                </wp:positionV>
                <wp:extent cx="5913755" cy="953770"/>
                <wp:effectExtent l="0" t="0" r="10795" b="18415"/>
                <wp:wrapThrough wrapText="bothSides">
                  <wp:wrapPolygon edited="0">
                    <wp:start x="0" y="0"/>
                    <wp:lineTo x="0" y="21586"/>
                    <wp:lineTo x="21570" y="21586"/>
                    <wp:lineTo x="2157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953770"/>
                        </a:xfrm>
                        <a:prstGeom prst="rect">
                          <a:avLst/>
                        </a:prstGeom>
                        <a:solidFill>
                          <a:srgbClr val="FFFFFF"/>
                        </a:solidFill>
                        <a:ln w="9525">
                          <a:solidFill>
                            <a:schemeClr val="bg1">
                              <a:lumMod val="100000"/>
                              <a:lumOff val="0"/>
                            </a:schemeClr>
                          </a:solidFill>
                          <a:miter lim="800000"/>
                          <a:headEnd/>
                          <a:tailEnd/>
                        </a:ln>
                      </wps:spPr>
                      <wps:txbx>
                        <w:txbxContent>
                          <w:p w:rsidR="00EA2282" w:rsidRPr="00EA2282" w:rsidRDefault="00EA2282" w:rsidP="00EA2282">
                            <w:pPr>
                              <w:pStyle w:val="Footer"/>
                              <w:rPr>
                                <w:rFonts w:ascii="Calibri" w:hAnsi="Calibri"/>
                                <w:sz w:val="22"/>
                              </w:rPr>
                            </w:pPr>
                            <w:r w:rsidRPr="00566DDE">
                              <w:rPr>
                                <w:rFonts w:ascii="Calibri" w:hAnsi="Calibri"/>
                                <w:b/>
                                <w:sz w:val="22"/>
                              </w:rPr>
                              <w:t xml:space="preserve">16 Carrington St, Lismore, 2480 </w:t>
                            </w:r>
                            <w:r w:rsidRPr="00566DDE">
                              <w:rPr>
                                <w:rFonts w:ascii="Calibri" w:hAnsi="Calibri"/>
                                <w:sz w:val="22"/>
                              </w:rPr>
                              <w:t xml:space="preserve">            PO Box 212 Lismore 2480   </w:t>
                            </w:r>
                          </w:p>
                          <w:p w:rsidR="00EA2282" w:rsidRPr="00566DDE" w:rsidRDefault="00EA2282" w:rsidP="00EA2282">
                            <w:pPr>
                              <w:pStyle w:val="Footer"/>
                              <w:rPr>
                                <w:rFonts w:ascii="Calibri" w:hAnsi="Calibri"/>
                                <w:sz w:val="22"/>
                              </w:rPr>
                            </w:pPr>
                            <w:r w:rsidRPr="00566DDE">
                              <w:rPr>
                                <w:rFonts w:ascii="Calibri" w:hAnsi="Calibri"/>
                                <w:b/>
                                <w:sz w:val="22"/>
                              </w:rPr>
                              <w:t>Administration &amp; Legal Service</w:t>
                            </w:r>
                            <w:r w:rsidRPr="00566DDE">
                              <w:rPr>
                                <w:rFonts w:ascii="Calibri" w:hAnsi="Calibri"/>
                                <w:sz w:val="22"/>
                              </w:rPr>
                              <w:t xml:space="preserve">              02 6621 1000   Fax 02 6621 1011</w:t>
                            </w:r>
                            <w:r>
                              <w:rPr>
                                <w:rFonts w:ascii="Calibri" w:hAnsi="Calibri"/>
                                <w:sz w:val="22"/>
                              </w:rPr>
                              <w:tab/>
                            </w:r>
                          </w:p>
                          <w:p w:rsidR="00EA2282" w:rsidRPr="00566DDE" w:rsidRDefault="00EA2282" w:rsidP="00EA2282">
                            <w:pPr>
                              <w:pStyle w:val="Footer"/>
                              <w:rPr>
                                <w:rFonts w:ascii="Calibri" w:hAnsi="Calibri"/>
                                <w:sz w:val="22"/>
                              </w:rPr>
                            </w:pPr>
                            <w:r w:rsidRPr="00566DDE">
                              <w:rPr>
                                <w:rFonts w:ascii="Calibri" w:hAnsi="Calibri"/>
                                <w:b/>
                                <w:sz w:val="22"/>
                              </w:rPr>
                              <w:t>Tenants Advice &amp; Advocacy Service</w:t>
                            </w:r>
                            <w:r w:rsidRPr="00566DDE">
                              <w:rPr>
                                <w:rFonts w:ascii="Calibri" w:hAnsi="Calibri"/>
                                <w:sz w:val="22"/>
                              </w:rPr>
                              <w:tab/>
                              <w:t xml:space="preserve">      02 6621 1022   1800 649 135   Fax 02 6621 1033</w:t>
                            </w:r>
                          </w:p>
                          <w:p w:rsidR="00EA2282" w:rsidRPr="00566DDE" w:rsidRDefault="00EA2282" w:rsidP="00EA2282">
                            <w:pPr>
                              <w:pStyle w:val="Footer"/>
                              <w:rPr>
                                <w:rFonts w:ascii="Calibri" w:hAnsi="Calibri"/>
                                <w:sz w:val="22"/>
                              </w:rPr>
                            </w:pPr>
                            <w:r w:rsidRPr="00566DDE">
                              <w:rPr>
                                <w:rFonts w:ascii="Calibri" w:hAnsi="Calibri"/>
                                <w:b/>
                                <w:sz w:val="22"/>
                              </w:rPr>
                              <w:t xml:space="preserve">Women’s Domestic Violence Court Advocacy </w:t>
                            </w:r>
                            <w:proofErr w:type="gramStart"/>
                            <w:r w:rsidRPr="00566DDE">
                              <w:rPr>
                                <w:rFonts w:ascii="Calibri" w:hAnsi="Calibri"/>
                                <w:b/>
                                <w:sz w:val="22"/>
                              </w:rPr>
                              <w:t>Service</w:t>
                            </w:r>
                            <w:r w:rsidRPr="00566DDE">
                              <w:rPr>
                                <w:rFonts w:ascii="Calibri" w:hAnsi="Calibri"/>
                                <w:sz w:val="22"/>
                              </w:rPr>
                              <w:t xml:space="preserve">  1300</w:t>
                            </w:r>
                            <w:proofErr w:type="gramEnd"/>
                            <w:r w:rsidRPr="00566DDE">
                              <w:rPr>
                                <w:rFonts w:ascii="Calibri" w:hAnsi="Calibri"/>
                                <w:sz w:val="22"/>
                              </w:rPr>
                              <w:t xml:space="preserve"> 720 606   Fax 02 6621 1055</w:t>
                            </w:r>
                          </w:p>
                          <w:p w:rsidR="00EA2282" w:rsidRPr="00EA2282" w:rsidRDefault="00EA2282" w:rsidP="00EA2282">
                            <w:pPr>
                              <w:jc w:val="center"/>
                              <w:rPr>
                                <w:rFonts w:ascii="Calibri" w:hAnsi="Calibri"/>
                                <w:sz w:val="22"/>
                              </w:rPr>
                            </w:pPr>
                            <w:r w:rsidRPr="00566DDE">
                              <w:rPr>
                                <w:rFonts w:ascii="Calibri" w:hAnsi="Calibri"/>
                                <w:sz w:val="22"/>
                              </w:rPr>
                              <w:t>ABN 98 071 395 652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5.65pt;height:75.1pt;z-index:-251657728;visibility:visible;mso-wrap-style:square;mso-width-percent:0;mso-height-percent:200;mso-wrap-distance-left:9pt;mso-wrap-distance-top:0;mso-wrap-distance-right:9pt;mso-wrap-distance-bottom:0;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" strokecolor="white [3212]">
                <v:textbox style="mso-fit-shape-to-text:t">
                  <w:txbxContent>
                    <w:p w:rsidR="00EA2282" w:rsidRPr="00EA2282" w:rsidRDefault="00EA2282" w:rsidP="00EA2282">
                      <w:pPr>
                        <w:pStyle w:val="Footer"/>
                        <w:rPr>
                          <w:rFonts w:ascii="Calibri" w:hAnsi="Calibri"/>
                          <w:sz w:val="22"/>
                        </w:rPr>
                      </w:pPr>
                      <w:r w:rsidRPr="00566DDE">
                        <w:rPr>
                          <w:rFonts w:ascii="Calibri" w:hAnsi="Calibri"/>
                          <w:b/>
                          <w:sz w:val="22"/>
                        </w:rPr>
                        <w:t xml:space="preserve">16 Carrington St, Lismore, 2480 </w:t>
                      </w:r>
                      <w:r w:rsidRPr="00566DDE">
                        <w:rPr>
                          <w:rFonts w:ascii="Calibri" w:hAnsi="Calibri"/>
                          <w:sz w:val="22"/>
                        </w:rPr>
                        <w:t xml:space="preserve">            PO Box 212 Lismore 2480   </w:t>
                      </w:r>
                    </w:p>
                    <w:p w:rsidR="00EA2282" w:rsidRPr="00566DDE" w:rsidRDefault="00EA2282" w:rsidP="00EA2282">
                      <w:pPr>
                        <w:pStyle w:val="Footer"/>
                        <w:rPr>
                          <w:rFonts w:ascii="Calibri" w:hAnsi="Calibri"/>
                          <w:sz w:val="22"/>
                        </w:rPr>
                      </w:pPr>
                      <w:r w:rsidRPr="00566DDE">
                        <w:rPr>
                          <w:rFonts w:ascii="Calibri" w:hAnsi="Calibri"/>
                          <w:b/>
                          <w:sz w:val="22"/>
                        </w:rPr>
                        <w:t>Administration &amp; Legal Service</w:t>
                      </w:r>
                      <w:r w:rsidRPr="00566DDE">
                        <w:rPr>
                          <w:rFonts w:ascii="Calibri" w:hAnsi="Calibri"/>
                          <w:sz w:val="22"/>
                        </w:rPr>
                        <w:t xml:space="preserve">              02 6621 1000   Fax 02 6621 1011</w:t>
                      </w:r>
                      <w:r>
                        <w:rPr>
                          <w:rFonts w:ascii="Calibri" w:hAnsi="Calibri"/>
                          <w:sz w:val="22"/>
                        </w:rPr>
                        <w:tab/>
                      </w:r>
                    </w:p>
                    <w:p w:rsidR="00EA2282" w:rsidRPr="00566DDE" w:rsidRDefault="00EA2282" w:rsidP="00EA2282">
                      <w:pPr>
                        <w:pStyle w:val="Footer"/>
                        <w:rPr>
                          <w:rFonts w:ascii="Calibri" w:hAnsi="Calibri"/>
                          <w:sz w:val="22"/>
                        </w:rPr>
                      </w:pPr>
                      <w:r w:rsidRPr="00566DDE">
                        <w:rPr>
                          <w:rFonts w:ascii="Calibri" w:hAnsi="Calibri"/>
                          <w:b/>
                          <w:sz w:val="22"/>
                        </w:rPr>
                        <w:t>Tenants Advice &amp; Advocacy Service</w:t>
                      </w:r>
                      <w:r w:rsidRPr="00566DDE">
                        <w:rPr>
                          <w:rFonts w:ascii="Calibri" w:hAnsi="Calibri"/>
                          <w:sz w:val="22"/>
                        </w:rPr>
                        <w:tab/>
                        <w:t xml:space="preserve">      02 6621 1022   1800 649 135   Fax 02 6621 1033</w:t>
                      </w:r>
                    </w:p>
                    <w:p w:rsidR="00EA2282" w:rsidRPr="00566DDE" w:rsidRDefault="00EA2282" w:rsidP="00EA2282">
                      <w:pPr>
                        <w:pStyle w:val="Footer"/>
                        <w:rPr>
                          <w:rFonts w:ascii="Calibri" w:hAnsi="Calibri"/>
                          <w:sz w:val="22"/>
                        </w:rPr>
                      </w:pPr>
                      <w:r w:rsidRPr="00566DDE">
                        <w:rPr>
                          <w:rFonts w:ascii="Calibri" w:hAnsi="Calibri"/>
                          <w:b/>
                          <w:sz w:val="22"/>
                        </w:rPr>
                        <w:t xml:space="preserve">Women’s Domestic Violence Court Advocacy </w:t>
                      </w:r>
                      <w:proofErr w:type="gramStart"/>
                      <w:r w:rsidRPr="00566DDE">
                        <w:rPr>
                          <w:rFonts w:ascii="Calibri" w:hAnsi="Calibri"/>
                          <w:b/>
                          <w:sz w:val="22"/>
                        </w:rPr>
                        <w:t>Service</w:t>
                      </w:r>
                      <w:r w:rsidRPr="00566DDE">
                        <w:rPr>
                          <w:rFonts w:ascii="Calibri" w:hAnsi="Calibri"/>
                          <w:sz w:val="22"/>
                        </w:rPr>
                        <w:t xml:space="preserve">  1300</w:t>
                      </w:r>
                      <w:proofErr w:type="gramEnd"/>
                      <w:r w:rsidRPr="00566DDE">
                        <w:rPr>
                          <w:rFonts w:ascii="Calibri" w:hAnsi="Calibri"/>
                          <w:sz w:val="22"/>
                        </w:rPr>
                        <w:t xml:space="preserve"> 720 606   Fax 02 6621 1055</w:t>
                      </w:r>
                    </w:p>
                    <w:p w:rsidR="00EA2282" w:rsidRPr="00EA2282" w:rsidRDefault="00EA2282" w:rsidP="00EA2282">
                      <w:pPr>
                        <w:jc w:val="center"/>
                        <w:rPr>
                          <w:rFonts w:ascii="Calibri" w:hAnsi="Calibri"/>
                          <w:sz w:val="22"/>
                        </w:rPr>
                      </w:pPr>
                      <w:r w:rsidRPr="00566DDE">
                        <w:rPr>
                          <w:rFonts w:ascii="Calibri" w:hAnsi="Calibri"/>
                          <w:sz w:val="22"/>
                        </w:rPr>
                        <w:t>ABN 98 071 395 652</w:t>
                      </w:r>
                    </w:p>
                  </w:txbxContent>
                </v:textbox>
                <w10:wrap type="through" anchorx="margin" anchory="margin"/>
                <w10:anchorlock/>
              </v:shape>
            </w:pict>
          </mc:Fallback>
        </mc:AlternateContent>
      </w:r>
      <w:r w:rsidR="00A371DB">
        <w:rPr>
          <w:rFonts w:ascii="Palatino" w:hAnsi="Palatino"/>
          <w:sz w:val="20"/>
          <w:szCs w:val="20"/>
        </w:rPr>
        <w:tab/>
      </w:r>
    </w:p>
    <w:p w:rsidR="00203F1B" w:rsidRDefault="00D75BDB" w:rsidP="00EA2282">
      <w:pPr>
        <w:pStyle w:val="NoSpacing"/>
        <w:rPr>
          <w:rFonts w:ascii="Palatino" w:hAnsi="Palatino"/>
        </w:rPr>
      </w:pPr>
      <w:r>
        <w:rPr>
          <w:rFonts w:ascii="Palatino" w:hAnsi="Palatino"/>
        </w:rPr>
        <w:t>13 March 2015</w:t>
      </w:r>
    </w:p>
    <w:p w:rsidR="00D75BDB" w:rsidRDefault="00D75BDB" w:rsidP="00EA2282">
      <w:pPr>
        <w:pStyle w:val="NoSpacing"/>
        <w:rPr>
          <w:rFonts w:ascii="Palatino" w:hAnsi="Palatino"/>
        </w:rPr>
      </w:pPr>
    </w:p>
    <w:p w:rsidR="00D75BDB" w:rsidRDefault="00D75BDB" w:rsidP="00EA2282">
      <w:pPr>
        <w:pStyle w:val="NoSpacing"/>
        <w:rPr>
          <w:rFonts w:ascii="Palatino" w:hAnsi="Palatino"/>
        </w:rPr>
      </w:pPr>
    </w:p>
    <w:p w:rsidR="00D75BDB" w:rsidRDefault="00D75BDB" w:rsidP="00EA2282">
      <w:pPr>
        <w:pStyle w:val="NoSpacing"/>
        <w:rPr>
          <w:rFonts w:ascii="Palatino" w:hAnsi="Palatino"/>
        </w:rPr>
      </w:pPr>
      <w:r>
        <w:rPr>
          <w:rFonts w:ascii="Palatino" w:hAnsi="Palatino"/>
        </w:rPr>
        <w:t>Productivity Commission</w:t>
      </w:r>
    </w:p>
    <w:p w:rsidR="00203F1B" w:rsidRDefault="00D75BDB" w:rsidP="00EA2282">
      <w:pPr>
        <w:pStyle w:val="NoSpacing"/>
        <w:rPr>
          <w:rFonts w:ascii="Palatino" w:hAnsi="Palatino"/>
        </w:rPr>
      </w:pPr>
      <w:r>
        <w:rPr>
          <w:rFonts w:ascii="Palatino" w:hAnsi="Palatino"/>
        </w:rPr>
        <w:t>Inquiry into Workplace Relations Framework</w:t>
      </w:r>
    </w:p>
    <w:p w:rsidR="00126FE7" w:rsidRDefault="00126FE7" w:rsidP="00EA2282">
      <w:pPr>
        <w:pStyle w:val="NoSpacing"/>
        <w:rPr>
          <w:rFonts w:ascii="Palatino" w:hAnsi="Palatino"/>
        </w:rPr>
      </w:pPr>
    </w:p>
    <w:p w:rsidR="000952DF" w:rsidRDefault="00D75BDB" w:rsidP="00EA2282">
      <w:pPr>
        <w:pStyle w:val="NoSpacing"/>
        <w:rPr>
          <w:rFonts w:ascii="Palatino" w:hAnsi="Palatino"/>
        </w:rPr>
      </w:pPr>
      <w:r>
        <w:rPr>
          <w:rFonts w:ascii="Palatino" w:hAnsi="Palatino"/>
        </w:rPr>
        <w:t>BY EMAIL: workplace.relations@pc.gov.au</w:t>
      </w:r>
    </w:p>
    <w:p w:rsidR="000952DF" w:rsidRDefault="000952DF" w:rsidP="00EA2282">
      <w:pPr>
        <w:pStyle w:val="NoSpacing"/>
        <w:rPr>
          <w:rFonts w:ascii="Palatino" w:hAnsi="Palatino"/>
        </w:rPr>
      </w:pPr>
    </w:p>
    <w:p w:rsidR="000952DF" w:rsidRDefault="000952DF" w:rsidP="00EA2282">
      <w:pPr>
        <w:pStyle w:val="NoSpacing"/>
        <w:rPr>
          <w:rFonts w:ascii="Palatino" w:hAnsi="Palatino"/>
        </w:rPr>
      </w:pPr>
    </w:p>
    <w:p w:rsidR="000952DF" w:rsidRDefault="000952DF" w:rsidP="00EA2282">
      <w:pPr>
        <w:pStyle w:val="NoSpacing"/>
        <w:rPr>
          <w:rFonts w:ascii="Palatino" w:hAnsi="Palatino"/>
        </w:rPr>
      </w:pPr>
      <w:r>
        <w:rPr>
          <w:rFonts w:ascii="Palatino" w:hAnsi="Palatino"/>
        </w:rPr>
        <w:t>Dear</w:t>
      </w:r>
      <w:r w:rsidR="00126FE7">
        <w:rPr>
          <w:rFonts w:ascii="Palatino" w:hAnsi="Palatino"/>
        </w:rPr>
        <w:t xml:space="preserve"> </w:t>
      </w:r>
      <w:r w:rsidR="00D75BDB">
        <w:rPr>
          <w:rFonts w:ascii="Palatino" w:hAnsi="Palatino"/>
        </w:rPr>
        <w:t>sir or madam</w:t>
      </w:r>
    </w:p>
    <w:p w:rsidR="000952DF" w:rsidRDefault="000952DF" w:rsidP="00EA2282">
      <w:pPr>
        <w:pStyle w:val="NoSpacing"/>
        <w:rPr>
          <w:rFonts w:ascii="Palatino" w:hAnsi="Palatino"/>
        </w:rPr>
      </w:pPr>
    </w:p>
    <w:p w:rsidR="00126FE7" w:rsidRPr="00D75BDB" w:rsidRDefault="00D75BDB" w:rsidP="00126FE7">
      <w:pPr>
        <w:pStyle w:val="NoSpacing"/>
        <w:rPr>
          <w:rFonts w:ascii="Palatino" w:hAnsi="Palatino"/>
          <w:b/>
        </w:rPr>
      </w:pPr>
      <w:r w:rsidRPr="00D75BDB">
        <w:rPr>
          <w:rFonts w:ascii="Palatino" w:hAnsi="Palatino"/>
          <w:b/>
        </w:rPr>
        <w:t>COMMENTS RELATING TO TERMINATION OF EMPLOYMENT</w:t>
      </w:r>
    </w:p>
    <w:p w:rsidR="00081018" w:rsidRDefault="00081018" w:rsidP="00126FE7">
      <w:pPr>
        <w:pStyle w:val="NoSpacing"/>
        <w:rPr>
          <w:rFonts w:ascii="Palatino" w:hAnsi="Palatino"/>
        </w:rPr>
      </w:pPr>
    </w:p>
    <w:p w:rsidR="00803095" w:rsidRDefault="00D75BDB" w:rsidP="00126FE7">
      <w:pPr>
        <w:pStyle w:val="NoSpacing"/>
        <w:rPr>
          <w:rFonts w:ascii="Palatino" w:hAnsi="Palatino"/>
        </w:rPr>
      </w:pPr>
      <w:r>
        <w:rPr>
          <w:rFonts w:ascii="Palatino" w:hAnsi="Palatino"/>
        </w:rPr>
        <w:t xml:space="preserve">The Northern Rivers Community Legal Centre provides free civil law advice and assistance between Tweed Heads and Grafton and west to Drake.  </w:t>
      </w:r>
      <w:r w:rsidR="00BE3A6A">
        <w:rPr>
          <w:rFonts w:ascii="Palatino" w:hAnsi="Palatino"/>
        </w:rPr>
        <w:t>We have assisted many clients in relation to employment entitlements and</w:t>
      </w:r>
      <w:r w:rsidR="00925E40">
        <w:rPr>
          <w:rFonts w:ascii="Palatino" w:hAnsi="Palatino"/>
        </w:rPr>
        <w:t xml:space="preserve"> termination of employment.  </w:t>
      </w:r>
    </w:p>
    <w:p w:rsidR="00803095" w:rsidRDefault="00803095" w:rsidP="00126FE7">
      <w:pPr>
        <w:pStyle w:val="NoSpacing"/>
        <w:rPr>
          <w:rFonts w:ascii="Palatino" w:hAnsi="Palatino"/>
        </w:rPr>
      </w:pPr>
    </w:p>
    <w:p w:rsidR="00081018" w:rsidRDefault="00925E40" w:rsidP="00126FE7">
      <w:pPr>
        <w:pStyle w:val="NoSpacing"/>
        <w:rPr>
          <w:rFonts w:ascii="Palatino" w:hAnsi="Palatino"/>
        </w:rPr>
      </w:pPr>
      <w:r>
        <w:rPr>
          <w:rFonts w:ascii="Palatino" w:hAnsi="Palatino"/>
        </w:rPr>
        <w:t>We have noticed the follow issues that we hope will be addressed by your inquiry:</w:t>
      </w:r>
    </w:p>
    <w:p w:rsidR="00803095" w:rsidRDefault="00803095" w:rsidP="00126FE7">
      <w:pPr>
        <w:pStyle w:val="NoSpacing"/>
        <w:rPr>
          <w:rFonts w:ascii="Palatino" w:hAnsi="Palatino"/>
        </w:rPr>
      </w:pPr>
    </w:p>
    <w:p w:rsidR="00803095" w:rsidRDefault="00925E40" w:rsidP="00925E40">
      <w:pPr>
        <w:pStyle w:val="NoSpacing"/>
        <w:numPr>
          <w:ilvl w:val="0"/>
          <w:numId w:val="2"/>
        </w:numPr>
        <w:rPr>
          <w:rFonts w:ascii="Palatino" w:hAnsi="Palatino"/>
        </w:rPr>
      </w:pPr>
      <w:r>
        <w:rPr>
          <w:rFonts w:ascii="Palatino" w:hAnsi="Palatino"/>
        </w:rPr>
        <w:t xml:space="preserve">The most difficult issue for our clients is in the process for hearing general protections claims under Part 3-1of the </w:t>
      </w:r>
      <w:r w:rsidRPr="00925E40">
        <w:rPr>
          <w:rFonts w:ascii="Palatino" w:hAnsi="Palatino"/>
          <w:i/>
        </w:rPr>
        <w:t>Fair Work Act 2009</w:t>
      </w:r>
      <w:r>
        <w:rPr>
          <w:rFonts w:ascii="Palatino" w:hAnsi="Palatino"/>
        </w:rPr>
        <w:t xml:space="preserve">.  Our clients’ general protections claims proceed to conciliation and if they are not resolved at conciliation must proceed to the Federal Circuit Court (FCC).  The FCC does not provide a circuit to Lismore for employment matters so matters must be heard in Brisbane.  We are severely under resourced and </w:t>
      </w:r>
      <w:r w:rsidR="0043637F">
        <w:rPr>
          <w:rFonts w:ascii="Palatino" w:hAnsi="Palatino"/>
        </w:rPr>
        <w:t xml:space="preserve">often </w:t>
      </w:r>
      <w:r>
        <w:rPr>
          <w:rFonts w:ascii="Palatino" w:hAnsi="Palatino"/>
        </w:rPr>
        <w:t xml:space="preserve">cannot offer representation in Brisbane.  This makes it very difficult for our clients to pursue this avenue and they are often forced to settle for paltry amounts at conciliation despite having strong claims against their employer.  </w:t>
      </w:r>
    </w:p>
    <w:p w:rsidR="00803095" w:rsidRDefault="00803095" w:rsidP="00803095">
      <w:pPr>
        <w:pStyle w:val="NoSpacing"/>
        <w:ind w:left="720"/>
        <w:rPr>
          <w:rFonts w:ascii="Palatino" w:hAnsi="Palatino"/>
        </w:rPr>
      </w:pPr>
    </w:p>
    <w:p w:rsidR="00925E40" w:rsidRPr="00803095" w:rsidRDefault="00925E40" w:rsidP="00803095">
      <w:pPr>
        <w:pStyle w:val="NoSpacing"/>
        <w:ind w:left="720"/>
        <w:rPr>
          <w:rFonts w:ascii="Palatino" w:hAnsi="Palatino"/>
          <w:b/>
        </w:rPr>
      </w:pPr>
      <w:r w:rsidRPr="00803095">
        <w:rPr>
          <w:rFonts w:ascii="Palatino" w:hAnsi="Palatino"/>
          <w:b/>
        </w:rPr>
        <w:t xml:space="preserve">We suggest that the Far Work Commission </w:t>
      </w:r>
      <w:r w:rsidR="00BB781D" w:rsidRPr="00803095">
        <w:rPr>
          <w:rFonts w:ascii="Palatino" w:hAnsi="Palatino"/>
          <w:b/>
        </w:rPr>
        <w:t>(FWC)</w:t>
      </w:r>
      <w:r w:rsidR="00803095" w:rsidRPr="00803095">
        <w:rPr>
          <w:rFonts w:ascii="Palatino" w:hAnsi="Palatino"/>
          <w:b/>
        </w:rPr>
        <w:t xml:space="preserve"> </w:t>
      </w:r>
      <w:r w:rsidRPr="00803095">
        <w:rPr>
          <w:rFonts w:ascii="Palatino" w:hAnsi="Palatino"/>
          <w:b/>
        </w:rPr>
        <w:t>be able to hear general protections claims or that the FCC be resourced to enable it to be able to sit on circuit as it does for family law matters.</w:t>
      </w:r>
    </w:p>
    <w:p w:rsidR="00803095" w:rsidRDefault="00803095" w:rsidP="00803095">
      <w:pPr>
        <w:pStyle w:val="NoSpacing"/>
        <w:ind w:left="720"/>
        <w:rPr>
          <w:rFonts w:ascii="Palatino" w:hAnsi="Palatino"/>
        </w:rPr>
      </w:pPr>
    </w:p>
    <w:p w:rsidR="00BB781D" w:rsidRDefault="00925E40" w:rsidP="00925E40">
      <w:pPr>
        <w:pStyle w:val="NoSpacing"/>
        <w:numPr>
          <w:ilvl w:val="0"/>
          <w:numId w:val="2"/>
        </w:numPr>
        <w:rPr>
          <w:rFonts w:ascii="Palatino" w:hAnsi="Palatino"/>
        </w:rPr>
      </w:pPr>
      <w:r>
        <w:rPr>
          <w:rFonts w:ascii="Palatino" w:hAnsi="Palatino"/>
        </w:rPr>
        <w:t xml:space="preserve">The 21 day time limit for filing an Application in relation to dismissal </w:t>
      </w:r>
      <w:r w:rsidR="00BB781D">
        <w:rPr>
          <w:rFonts w:ascii="Palatino" w:hAnsi="Palatino"/>
        </w:rPr>
        <w:t xml:space="preserve">is too short in many circumstances.  Some of our clients have been dismissed after a lengthy campaign of bullying by employers.  Their first point of call after dismissal is a doctor as their mental health has been seriously affected.  Many are depressed and start taking depression or anti-anxiety medication after their termination.  In </w:t>
      </w:r>
      <w:proofErr w:type="gramStart"/>
      <w:r w:rsidR="00BB781D">
        <w:rPr>
          <w:rFonts w:ascii="Palatino" w:hAnsi="Palatino"/>
        </w:rPr>
        <w:t>this state employees</w:t>
      </w:r>
      <w:proofErr w:type="gramEnd"/>
      <w:r w:rsidR="00BB781D">
        <w:rPr>
          <w:rFonts w:ascii="Palatino" w:hAnsi="Palatino"/>
        </w:rPr>
        <w:t xml:space="preserve"> are often not able to prioritise obtaining legal assistance, providing instructions, identifying relevant documents or competently instructing a solicitor.   </w:t>
      </w:r>
    </w:p>
    <w:p w:rsidR="00BB781D" w:rsidRDefault="00BB781D" w:rsidP="00BB781D">
      <w:pPr>
        <w:pStyle w:val="NoSpacing"/>
        <w:ind w:left="720"/>
        <w:rPr>
          <w:rFonts w:ascii="Palatino" w:hAnsi="Palatino"/>
        </w:rPr>
      </w:pPr>
    </w:p>
    <w:p w:rsidR="00BB781D" w:rsidRDefault="00BB781D" w:rsidP="00BB781D">
      <w:pPr>
        <w:pStyle w:val="NoSpacing"/>
        <w:ind w:left="720"/>
        <w:rPr>
          <w:rFonts w:ascii="Palatino" w:hAnsi="Palatino"/>
        </w:rPr>
      </w:pPr>
      <w:r>
        <w:rPr>
          <w:rFonts w:ascii="Palatino" w:hAnsi="Palatino"/>
        </w:rPr>
        <w:lastRenderedPageBreak/>
        <w:t xml:space="preserve">Further some employers delay providing separation certificates or clarifying reasons for dismissal which means employees do not seek advice immediately after their dismissal.  </w:t>
      </w:r>
    </w:p>
    <w:p w:rsidR="0043637F" w:rsidRDefault="0043637F" w:rsidP="00BB781D">
      <w:pPr>
        <w:pStyle w:val="NoSpacing"/>
        <w:ind w:left="720"/>
        <w:rPr>
          <w:rFonts w:ascii="Palatino" w:hAnsi="Palatino"/>
        </w:rPr>
      </w:pPr>
    </w:p>
    <w:p w:rsidR="00BB781D" w:rsidRDefault="00BB781D" w:rsidP="00BB781D">
      <w:pPr>
        <w:pStyle w:val="NoSpacing"/>
        <w:ind w:left="720"/>
        <w:rPr>
          <w:rFonts w:ascii="Palatino" w:hAnsi="Palatino"/>
        </w:rPr>
      </w:pPr>
      <w:r>
        <w:rPr>
          <w:rFonts w:ascii="Palatino" w:hAnsi="Palatino"/>
        </w:rPr>
        <w:t xml:space="preserve">Additionally, the 21 day time limit </w:t>
      </w:r>
      <w:r w:rsidR="00925E40">
        <w:rPr>
          <w:rFonts w:ascii="Palatino" w:hAnsi="Palatino"/>
        </w:rPr>
        <w:t xml:space="preserve">puts </w:t>
      </w:r>
      <w:r>
        <w:rPr>
          <w:rFonts w:ascii="Palatino" w:hAnsi="Palatino"/>
        </w:rPr>
        <w:t>undue</w:t>
      </w:r>
      <w:r w:rsidR="00925E40">
        <w:rPr>
          <w:rFonts w:ascii="Palatino" w:hAnsi="Palatino"/>
        </w:rPr>
        <w:t xml:space="preserve"> pressure on our service which is under resourced and looks to be further squeezed by funding cuts effective 30 June 2015.  </w:t>
      </w:r>
      <w:r>
        <w:rPr>
          <w:rFonts w:ascii="Palatino" w:hAnsi="Palatino"/>
        </w:rPr>
        <w:t xml:space="preserve">With </w:t>
      </w:r>
      <w:r w:rsidR="00925E40">
        <w:rPr>
          <w:rFonts w:ascii="Palatino" w:hAnsi="Palatino"/>
        </w:rPr>
        <w:t xml:space="preserve">the short timeframe </w:t>
      </w:r>
      <w:r>
        <w:rPr>
          <w:rFonts w:ascii="Palatino" w:hAnsi="Palatino"/>
        </w:rPr>
        <w:t xml:space="preserve">to file Applications to the FWC </w:t>
      </w:r>
      <w:r w:rsidR="00925E40">
        <w:rPr>
          <w:rFonts w:ascii="Palatino" w:hAnsi="Palatino"/>
        </w:rPr>
        <w:t xml:space="preserve">we have to prioritise employment matters </w:t>
      </w:r>
      <w:r>
        <w:rPr>
          <w:rFonts w:ascii="Palatino" w:hAnsi="Palatino"/>
        </w:rPr>
        <w:t xml:space="preserve">putting pressure on our service and creating longer wait times for other clients.  </w:t>
      </w:r>
    </w:p>
    <w:p w:rsidR="00BB781D" w:rsidRDefault="00BB781D" w:rsidP="00BB781D">
      <w:pPr>
        <w:pStyle w:val="NoSpacing"/>
        <w:ind w:left="720"/>
        <w:rPr>
          <w:rFonts w:ascii="Palatino" w:hAnsi="Palatino"/>
        </w:rPr>
      </w:pPr>
    </w:p>
    <w:p w:rsidR="00925E40" w:rsidRPr="00803095" w:rsidRDefault="00BB781D" w:rsidP="00BB781D">
      <w:pPr>
        <w:pStyle w:val="NoSpacing"/>
        <w:ind w:left="720"/>
        <w:rPr>
          <w:rFonts w:ascii="Palatino" w:hAnsi="Palatino"/>
          <w:b/>
        </w:rPr>
      </w:pPr>
      <w:r w:rsidRPr="00803095">
        <w:rPr>
          <w:rFonts w:ascii="Palatino" w:hAnsi="Palatino"/>
          <w:b/>
        </w:rPr>
        <w:t>For these reasons we suggest that 28 days might be a more realistic time frame and not cause any undue hardship on employers.</w:t>
      </w:r>
    </w:p>
    <w:p w:rsidR="00925E40" w:rsidRDefault="00925E40" w:rsidP="00126FE7">
      <w:pPr>
        <w:pStyle w:val="NoSpacing"/>
        <w:rPr>
          <w:rFonts w:ascii="Palatino" w:hAnsi="Palatino"/>
        </w:rPr>
      </w:pPr>
    </w:p>
    <w:p w:rsidR="00803095" w:rsidRDefault="00BB781D" w:rsidP="00BB781D">
      <w:pPr>
        <w:pStyle w:val="NoSpacing"/>
        <w:numPr>
          <w:ilvl w:val="0"/>
          <w:numId w:val="2"/>
        </w:numPr>
        <w:rPr>
          <w:rFonts w:ascii="Palatino" w:hAnsi="Palatino"/>
        </w:rPr>
      </w:pPr>
      <w:r>
        <w:rPr>
          <w:rFonts w:ascii="Palatino" w:hAnsi="Palatino"/>
        </w:rPr>
        <w:t xml:space="preserve">We have had several termination matters proceed to conciliation where the employer has not filed a Response to the Application.  This makes it very difficult for us to advise our clients as to their prospects of success and </w:t>
      </w:r>
      <w:r w:rsidR="00803095">
        <w:rPr>
          <w:rFonts w:ascii="Palatino" w:hAnsi="Palatino"/>
        </w:rPr>
        <w:t xml:space="preserve">to advise them whether the settlement figure offered is reasonable.  </w:t>
      </w:r>
    </w:p>
    <w:p w:rsidR="00803095" w:rsidRDefault="00803095" w:rsidP="00803095">
      <w:pPr>
        <w:pStyle w:val="NoSpacing"/>
        <w:ind w:left="720"/>
        <w:rPr>
          <w:rFonts w:ascii="Palatino" w:hAnsi="Palatino"/>
        </w:rPr>
      </w:pPr>
    </w:p>
    <w:p w:rsidR="00081018" w:rsidRDefault="00803095" w:rsidP="00803095">
      <w:pPr>
        <w:pStyle w:val="NoSpacing"/>
        <w:ind w:left="720"/>
        <w:rPr>
          <w:rFonts w:ascii="Palatino" w:hAnsi="Palatino"/>
          <w:b/>
        </w:rPr>
      </w:pPr>
      <w:r w:rsidRPr="00803095">
        <w:rPr>
          <w:rFonts w:ascii="Palatino" w:hAnsi="Palatino"/>
          <w:b/>
        </w:rPr>
        <w:t>We suggest that the legislation be amended to require employers to file a Response prior to conciliation.</w:t>
      </w:r>
    </w:p>
    <w:p w:rsidR="00803095" w:rsidRPr="00803095" w:rsidRDefault="00803095" w:rsidP="00803095">
      <w:pPr>
        <w:pStyle w:val="NoSpacing"/>
        <w:ind w:left="720"/>
        <w:rPr>
          <w:rFonts w:ascii="Palatino" w:hAnsi="Palatino"/>
          <w:b/>
        </w:rPr>
      </w:pPr>
    </w:p>
    <w:p w:rsidR="00803095" w:rsidRDefault="00803095" w:rsidP="00BB781D">
      <w:pPr>
        <w:pStyle w:val="NoSpacing"/>
        <w:numPr>
          <w:ilvl w:val="0"/>
          <w:numId w:val="2"/>
        </w:numPr>
        <w:rPr>
          <w:rFonts w:ascii="Palatino" w:hAnsi="Palatino"/>
        </w:rPr>
      </w:pPr>
      <w:r>
        <w:rPr>
          <w:rFonts w:ascii="Palatino" w:hAnsi="Palatino"/>
        </w:rPr>
        <w:t xml:space="preserve">Our clients have reported dissatisfaction with the services provided by the Fair Work Ombudsman (FWO) in relation to employment entitlements.  They report that the Ombudsman has done little, if anything, to calculate or chase their entitlements and they have been referred to us for assistance with local court proceedings to recover their entitlements. </w:t>
      </w:r>
    </w:p>
    <w:p w:rsidR="00803095" w:rsidRDefault="00803095" w:rsidP="00803095">
      <w:pPr>
        <w:pStyle w:val="NoSpacing"/>
        <w:ind w:left="720"/>
        <w:rPr>
          <w:rFonts w:ascii="Palatino" w:hAnsi="Palatino"/>
        </w:rPr>
      </w:pPr>
    </w:p>
    <w:p w:rsidR="00803095" w:rsidRDefault="00803095" w:rsidP="00803095">
      <w:pPr>
        <w:pStyle w:val="NoSpacing"/>
        <w:ind w:left="720"/>
        <w:rPr>
          <w:rFonts w:ascii="Palatino" w:hAnsi="Palatino"/>
        </w:rPr>
      </w:pPr>
      <w:r>
        <w:rPr>
          <w:rFonts w:ascii="Palatino" w:hAnsi="Palatino"/>
        </w:rPr>
        <w:t xml:space="preserve">It is often difficult for employees to obtain necessary records from employers, identify relevant Awards and calculate what their correct entitlements are.  </w:t>
      </w:r>
    </w:p>
    <w:p w:rsidR="00803095" w:rsidRDefault="00803095" w:rsidP="00803095">
      <w:pPr>
        <w:pStyle w:val="NoSpacing"/>
        <w:ind w:left="720"/>
        <w:rPr>
          <w:rFonts w:ascii="Palatino" w:hAnsi="Palatino"/>
        </w:rPr>
      </w:pPr>
    </w:p>
    <w:p w:rsidR="00803095" w:rsidRPr="0043637F" w:rsidRDefault="00803095" w:rsidP="00803095">
      <w:pPr>
        <w:pStyle w:val="NoSpacing"/>
        <w:ind w:left="720"/>
        <w:rPr>
          <w:rFonts w:ascii="Palatino" w:hAnsi="Palatino"/>
          <w:b/>
        </w:rPr>
      </w:pPr>
      <w:r w:rsidRPr="0043637F">
        <w:rPr>
          <w:rFonts w:ascii="Palatino" w:hAnsi="Palatino"/>
          <w:b/>
        </w:rPr>
        <w:t>We suggest that the FWO, as a minimum, investigate and calculate an employee’s entitlement and make a finding as to what an employee’s entitlements are</w:t>
      </w:r>
      <w:r w:rsidR="00723FD4" w:rsidRPr="0043637F">
        <w:rPr>
          <w:rFonts w:ascii="Palatino" w:hAnsi="Palatino"/>
          <w:b/>
        </w:rPr>
        <w:t xml:space="preserve">.  The FWO finding should then be easily </w:t>
      </w:r>
      <w:r w:rsidRPr="0043637F">
        <w:rPr>
          <w:rFonts w:ascii="Palatino" w:hAnsi="Palatino"/>
          <w:b/>
        </w:rPr>
        <w:t>enforc</w:t>
      </w:r>
      <w:r w:rsidR="00723FD4" w:rsidRPr="0043637F">
        <w:rPr>
          <w:rFonts w:ascii="Palatino" w:hAnsi="Palatino"/>
          <w:b/>
        </w:rPr>
        <w:t>eable</w:t>
      </w:r>
      <w:r w:rsidRPr="0043637F">
        <w:rPr>
          <w:rFonts w:ascii="Palatino" w:hAnsi="Palatino"/>
          <w:b/>
        </w:rPr>
        <w:t xml:space="preserve"> through local court proceedings.</w:t>
      </w:r>
    </w:p>
    <w:p w:rsidR="00803095" w:rsidRDefault="00803095" w:rsidP="00803095">
      <w:pPr>
        <w:pStyle w:val="NoSpacing"/>
        <w:ind w:left="720"/>
        <w:rPr>
          <w:rFonts w:ascii="Palatino" w:hAnsi="Palatino"/>
        </w:rPr>
      </w:pPr>
    </w:p>
    <w:p w:rsidR="000952DF" w:rsidRDefault="00723FD4" w:rsidP="00EA2282">
      <w:pPr>
        <w:pStyle w:val="NoSpacing"/>
        <w:rPr>
          <w:rFonts w:ascii="Palatino" w:hAnsi="Palatino"/>
        </w:rPr>
      </w:pPr>
      <w:r>
        <w:rPr>
          <w:rFonts w:ascii="Palatino" w:hAnsi="Palatino"/>
        </w:rPr>
        <w:t xml:space="preserve">This is a just a brief summary of the issues and we would be happy to discuss them further, </w:t>
      </w:r>
      <w:r w:rsidR="000952DF">
        <w:rPr>
          <w:rFonts w:ascii="Palatino" w:hAnsi="Palatino"/>
        </w:rPr>
        <w:t>please contact the Centre on (02) 6621 1000.</w:t>
      </w:r>
    </w:p>
    <w:p w:rsidR="000952DF" w:rsidRDefault="000952DF" w:rsidP="00EA2282">
      <w:pPr>
        <w:pStyle w:val="NoSpacing"/>
        <w:rPr>
          <w:rFonts w:ascii="Palatino" w:hAnsi="Palatino"/>
        </w:rPr>
      </w:pPr>
    </w:p>
    <w:p w:rsidR="000952DF" w:rsidRDefault="000952DF" w:rsidP="00EA2282">
      <w:pPr>
        <w:pStyle w:val="NoSpacing"/>
        <w:rPr>
          <w:rFonts w:ascii="Palatino" w:hAnsi="Palatino"/>
        </w:rPr>
      </w:pPr>
    </w:p>
    <w:p w:rsidR="000952DF" w:rsidRDefault="000952DF" w:rsidP="00EA2282">
      <w:pPr>
        <w:pStyle w:val="NoSpacing"/>
        <w:rPr>
          <w:rFonts w:ascii="Palatino" w:hAnsi="Palatino"/>
        </w:rPr>
      </w:pPr>
      <w:r>
        <w:rPr>
          <w:rFonts w:ascii="Palatino" w:hAnsi="Palatino"/>
        </w:rPr>
        <w:t>Yours sincerely</w:t>
      </w:r>
    </w:p>
    <w:p w:rsidR="000952DF" w:rsidRPr="000952DF" w:rsidRDefault="000952DF" w:rsidP="00EA2282">
      <w:pPr>
        <w:pStyle w:val="NoSpacing"/>
        <w:rPr>
          <w:rFonts w:ascii="Palatino" w:hAnsi="Palatino"/>
          <w:b/>
          <w:i/>
        </w:rPr>
      </w:pPr>
      <w:r w:rsidRPr="000952DF">
        <w:rPr>
          <w:rFonts w:ascii="Palatino" w:hAnsi="Palatino"/>
          <w:b/>
          <w:i/>
        </w:rPr>
        <w:t>N</w:t>
      </w:r>
      <w:r w:rsidR="00DA4436">
        <w:rPr>
          <w:rFonts w:ascii="Palatino" w:hAnsi="Palatino"/>
          <w:b/>
          <w:i/>
        </w:rPr>
        <w:t>orthern Rivers Community Legal Centre</w:t>
      </w:r>
    </w:p>
    <w:p w:rsidR="000952DF" w:rsidRDefault="000952DF" w:rsidP="00EA2282">
      <w:pPr>
        <w:pStyle w:val="NoSpacing"/>
        <w:rPr>
          <w:rFonts w:ascii="Palatino" w:hAnsi="Palatino"/>
        </w:rPr>
      </w:pPr>
    </w:p>
    <w:p w:rsidR="000952DF" w:rsidRDefault="000952DF" w:rsidP="00EA2282">
      <w:pPr>
        <w:pStyle w:val="NoSpacing"/>
        <w:rPr>
          <w:rFonts w:ascii="Palatino" w:hAnsi="Palatino"/>
        </w:rPr>
      </w:pPr>
    </w:p>
    <w:p w:rsidR="00723FD4" w:rsidRDefault="00723FD4" w:rsidP="00EA2282">
      <w:pPr>
        <w:pStyle w:val="NoSpacing"/>
        <w:rPr>
          <w:rFonts w:ascii="Palatino" w:hAnsi="Palatino"/>
        </w:rPr>
      </w:pPr>
    </w:p>
    <w:p w:rsidR="000952DF" w:rsidRDefault="00803095" w:rsidP="00EA2282">
      <w:pPr>
        <w:pStyle w:val="NoSpacing"/>
        <w:rPr>
          <w:rFonts w:ascii="Palatino" w:hAnsi="Palatino"/>
        </w:rPr>
      </w:pPr>
      <w:proofErr w:type="spellStart"/>
      <w:r>
        <w:rPr>
          <w:rFonts w:ascii="Palatino" w:hAnsi="Palatino"/>
        </w:rPr>
        <w:t>Katja</w:t>
      </w:r>
      <w:proofErr w:type="spellEnd"/>
      <w:r>
        <w:rPr>
          <w:rFonts w:ascii="Palatino" w:hAnsi="Palatino"/>
        </w:rPr>
        <w:t xml:space="preserve"> McPherson</w:t>
      </w:r>
    </w:p>
    <w:p w:rsidR="00126FE7" w:rsidRPr="00EA2282" w:rsidRDefault="00126FE7" w:rsidP="00EA2282">
      <w:pPr>
        <w:pStyle w:val="NoSpacing"/>
        <w:rPr>
          <w:rFonts w:ascii="Palatino" w:hAnsi="Palatino"/>
        </w:rPr>
      </w:pPr>
      <w:r>
        <w:rPr>
          <w:rFonts w:ascii="Palatino" w:hAnsi="Palatino"/>
        </w:rPr>
        <w:t>Solicitor</w:t>
      </w:r>
    </w:p>
    <w:sectPr w:rsidR="00126FE7" w:rsidRPr="00EA2282" w:rsidSect="007B3F88">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2F" w:rsidRDefault="004A212F" w:rsidP="007B3F88">
      <w:r>
        <w:separator/>
      </w:r>
    </w:p>
  </w:endnote>
  <w:endnote w:type="continuationSeparator" w:id="0">
    <w:p w:rsidR="004A212F" w:rsidRDefault="004A212F" w:rsidP="007B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2F" w:rsidRDefault="004A212F" w:rsidP="007B3F88">
      <w:r>
        <w:separator/>
      </w:r>
    </w:p>
  </w:footnote>
  <w:footnote w:type="continuationSeparator" w:id="0">
    <w:p w:rsidR="004A212F" w:rsidRDefault="004A212F" w:rsidP="007B3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7183"/>
    <w:multiLevelType w:val="hybridMultilevel"/>
    <w:tmpl w:val="76AE7D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4C42B0C"/>
    <w:multiLevelType w:val="hybridMultilevel"/>
    <w:tmpl w:val="964699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DB"/>
    <w:rsid w:val="00081018"/>
    <w:rsid w:val="000952DF"/>
    <w:rsid w:val="00126FE7"/>
    <w:rsid w:val="0020084A"/>
    <w:rsid w:val="002030E9"/>
    <w:rsid w:val="00203F1B"/>
    <w:rsid w:val="0023414A"/>
    <w:rsid w:val="00371523"/>
    <w:rsid w:val="003B5EED"/>
    <w:rsid w:val="00405918"/>
    <w:rsid w:val="0043637F"/>
    <w:rsid w:val="004A212F"/>
    <w:rsid w:val="005E4128"/>
    <w:rsid w:val="005F5621"/>
    <w:rsid w:val="006365C2"/>
    <w:rsid w:val="006B1003"/>
    <w:rsid w:val="0070531F"/>
    <w:rsid w:val="00723FD4"/>
    <w:rsid w:val="00763567"/>
    <w:rsid w:val="007B3F88"/>
    <w:rsid w:val="00803095"/>
    <w:rsid w:val="0083129C"/>
    <w:rsid w:val="00925E40"/>
    <w:rsid w:val="00A371DB"/>
    <w:rsid w:val="00B10E25"/>
    <w:rsid w:val="00B2702C"/>
    <w:rsid w:val="00BB781D"/>
    <w:rsid w:val="00BE3A6A"/>
    <w:rsid w:val="00C54450"/>
    <w:rsid w:val="00C9549B"/>
    <w:rsid w:val="00D75BDB"/>
    <w:rsid w:val="00DA4436"/>
    <w:rsid w:val="00E0087B"/>
    <w:rsid w:val="00E37D49"/>
    <w:rsid w:val="00E75A17"/>
    <w:rsid w:val="00EA2282"/>
    <w:rsid w:val="00EF7177"/>
    <w:rsid w:val="00F7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82"/>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2282"/>
    <w:pPr>
      <w:tabs>
        <w:tab w:val="center" w:pos="4153"/>
        <w:tab w:val="right" w:pos="8306"/>
      </w:tabs>
    </w:pPr>
  </w:style>
  <w:style w:type="character" w:customStyle="1" w:styleId="FooterChar">
    <w:name w:val="Footer Char"/>
    <w:basedOn w:val="DefaultParagraphFont"/>
    <w:link w:val="Footer"/>
    <w:rsid w:val="00EA2282"/>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EA2282"/>
    <w:rPr>
      <w:rFonts w:ascii="Tahoma" w:hAnsi="Tahoma" w:cs="Tahoma"/>
      <w:sz w:val="16"/>
      <w:szCs w:val="16"/>
    </w:rPr>
  </w:style>
  <w:style w:type="character" w:customStyle="1" w:styleId="BalloonTextChar">
    <w:name w:val="Balloon Text Char"/>
    <w:basedOn w:val="DefaultParagraphFont"/>
    <w:link w:val="BalloonText"/>
    <w:uiPriority w:val="99"/>
    <w:semiHidden/>
    <w:rsid w:val="00EA2282"/>
    <w:rPr>
      <w:rFonts w:ascii="Tahoma" w:eastAsia="Times New Roman" w:hAnsi="Tahoma" w:cs="Tahoma"/>
      <w:sz w:val="16"/>
      <w:szCs w:val="16"/>
      <w:lang w:val="en-AU" w:eastAsia="en-AU"/>
    </w:rPr>
  </w:style>
  <w:style w:type="paragraph" w:styleId="NoSpacing">
    <w:name w:val="No Spacing"/>
    <w:uiPriority w:val="1"/>
    <w:qFormat/>
    <w:rsid w:val="00EA2282"/>
    <w:pPr>
      <w:spacing w:after="0" w:line="240" w:lineRule="auto"/>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semiHidden/>
    <w:unhideWhenUsed/>
    <w:rsid w:val="007B3F88"/>
    <w:pPr>
      <w:tabs>
        <w:tab w:val="center" w:pos="4680"/>
        <w:tab w:val="right" w:pos="9360"/>
      </w:tabs>
    </w:pPr>
  </w:style>
  <w:style w:type="character" w:customStyle="1" w:styleId="HeaderChar">
    <w:name w:val="Header Char"/>
    <w:basedOn w:val="DefaultParagraphFont"/>
    <w:link w:val="Header"/>
    <w:uiPriority w:val="99"/>
    <w:semiHidden/>
    <w:rsid w:val="007B3F88"/>
    <w:rPr>
      <w:rFonts w:ascii="Times New Roman" w:eastAsia="Times New Roman" w:hAnsi="Times New Roman" w:cs="Times New Roman"/>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82"/>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2282"/>
    <w:pPr>
      <w:tabs>
        <w:tab w:val="center" w:pos="4153"/>
        <w:tab w:val="right" w:pos="8306"/>
      </w:tabs>
    </w:pPr>
  </w:style>
  <w:style w:type="character" w:customStyle="1" w:styleId="FooterChar">
    <w:name w:val="Footer Char"/>
    <w:basedOn w:val="DefaultParagraphFont"/>
    <w:link w:val="Footer"/>
    <w:rsid w:val="00EA2282"/>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EA2282"/>
    <w:rPr>
      <w:rFonts w:ascii="Tahoma" w:hAnsi="Tahoma" w:cs="Tahoma"/>
      <w:sz w:val="16"/>
      <w:szCs w:val="16"/>
    </w:rPr>
  </w:style>
  <w:style w:type="character" w:customStyle="1" w:styleId="BalloonTextChar">
    <w:name w:val="Balloon Text Char"/>
    <w:basedOn w:val="DefaultParagraphFont"/>
    <w:link w:val="BalloonText"/>
    <w:uiPriority w:val="99"/>
    <w:semiHidden/>
    <w:rsid w:val="00EA2282"/>
    <w:rPr>
      <w:rFonts w:ascii="Tahoma" w:eastAsia="Times New Roman" w:hAnsi="Tahoma" w:cs="Tahoma"/>
      <w:sz w:val="16"/>
      <w:szCs w:val="16"/>
      <w:lang w:val="en-AU" w:eastAsia="en-AU"/>
    </w:rPr>
  </w:style>
  <w:style w:type="paragraph" w:styleId="NoSpacing">
    <w:name w:val="No Spacing"/>
    <w:uiPriority w:val="1"/>
    <w:qFormat/>
    <w:rsid w:val="00EA2282"/>
    <w:pPr>
      <w:spacing w:after="0" w:line="240" w:lineRule="auto"/>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semiHidden/>
    <w:unhideWhenUsed/>
    <w:rsid w:val="007B3F88"/>
    <w:pPr>
      <w:tabs>
        <w:tab w:val="center" w:pos="4680"/>
        <w:tab w:val="right" w:pos="9360"/>
      </w:tabs>
    </w:pPr>
  </w:style>
  <w:style w:type="character" w:customStyle="1" w:styleId="HeaderChar">
    <w:name w:val="Header Char"/>
    <w:basedOn w:val="DefaultParagraphFont"/>
    <w:link w:val="Header"/>
    <w:uiPriority w:val="99"/>
    <w:semiHidden/>
    <w:rsid w:val="007B3F88"/>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GAL%20SERVICE\CLIENT%20WORK\Letterhead%20Legal%20(no%20Twe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6C57F-0178-402A-A792-763CCF08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Legal (no Tweed).dotx</Template>
  <TotalTime>2</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191 - Northern Rivers Community Legal Centre - Workplace Relations Framework - Public inquiry</vt:lpstr>
    </vt:vector>
  </TitlesOfParts>
  <Company>Northern Rivers Community Legal Centre</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191 - Northern Rivers Community Legal Centre - Workplace Relations Framework - Public inquiry</dc:title>
  <dc:creator>Northern Rivers Community Legal Centre</dc:creator>
  <cp:lastModifiedBy>Mark Pimperl</cp:lastModifiedBy>
  <cp:revision>3</cp:revision>
  <cp:lastPrinted>2014-10-27T04:34:00Z</cp:lastPrinted>
  <dcterms:created xsi:type="dcterms:W3CDTF">2015-03-13T06:12:00Z</dcterms:created>
  <dcterms:modified xsi:type="dcterms:W3CDTF">2015-04-16T23:14:00Z</dcterms:modified>
</cp:coreProperties>
</file>