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2C9AB" w14:textId="77777777" w:rsidR="00BE499B" w:rsidRPr="00130346" w:rsidRDefault="004C7C12">
      <w:pPr>
        <w:rPr>
          <w:rFonts w:ascii="Arial" w:hAnsi="Arial" w:cs="Arial"/>
          <w:sz w:val="36"/>
          <w:szCs w:val="36"/>
        </w:rPr>
      </w:pPr>
    </w:p>
    <w:p w14:paraId="423F9E0E" w14:textId="77777777" w:rsidR="00BE499B" w:rsidRPr="00130346" w:rsidRDefault="001C7FAC">
      <w:pPr>
        <w:rPr>
          <w:rFonts w:ascii="Arial" w:hAnsi="Arial" w:cs="Arial"/>
          <w:sz w:val="36"/>
          <w:szCs w:val="36"/>
        </w:rPr>
      </w:pPr>
      <w:r w:rsidRPr="00130346">
        <w:rPr>
          <w:rFonts w:ascii="Arial" w:hAnsi="Arial" w:cs="Arial"/>
          <w:sz w:val="36"/>
          <w:szCs w:val="36"/>
        </w:rPr>
        <w:t xml:space="preserve">Submission </w:t>
      </w:r>
      <w:r>
        <w:rPr>
          <w:rFonts w:ascii="Arial" w:hAnsi="Arial" w:cs="Arial"/>
          <w:sz w:val="36"/>
          <w:szCs w:val="36"/>
        </w:rPr>
        <w:t xml:space="preserve">in Response to Productivity Commission </w:t>
      </w:r>
      <w:r w:rsidR="004E4F7B">
        <w:rPr>
          <w:rFonts w:ascii="Arial" w:hAnsi="Arial" w:cs="Arial"/>
          <w:sz w:val="36"/>
          <w:szCs w:val="36"/>
        </w:rPr>
        <w:t>Draft Report</w:t>
      </w:r>
      <w:r>
        <w:rPr>
          <w:rFonts w:ascii="Arial" w:hAnsi="Arial" w:cs="Arial"/>
          <w:sz w:val="36"/>
          <w:szCs w:val="36"/>
        </w:rPr>
        <w:t xml:space="preserve"> - Business Set-up, Transfer and Closure</w:t>
      </w:r>
      <w:r w:rsidR="004E4F7B">
        <w:rPr>
          <w:rFonts w:ascii="Arial" w:hAnsi="Arial" w:cs="Arial"/>
          <w:sz w:val="36"/>
          <w:szCs w:val="36"/>
        </w:rPr>
        <w:t xml:space="preserve"> – 21 May 2015</w:t>
      </w:r>
    </w:p>
    <w:p w14:paraId="1D9F5F5F" w14:textId="77777777" w:rsidR="00BE499B" w:rsidRPr="00130346" w:rsidRDefault="004C7C12" w:rsidP="00EF1EB7">
      <w:pPr>
        <w:tabs>
          <w:tab w:val="left" w:pos="7290"/>
        </w:tabs>
        <w:rPr>
          <w:rFonts w:ascii="Arial" w:hAnsi="Arial" w:cs="Arial"/>
          <w:i/>
          <w:sz w:val="36"/>
          <w:szCs w:val="36"/>
        </w:rPr>
      </w:pPr>
    </w:p>
    <w:p w14:paraId="061A82A7" w14:textId="77777777" w:rsidR="00BE499B" w:rsidRPr="00130346" w:rsidRDefault="004C7C12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B65CE" w14:paraId="6ABD11AA" w14:textId="77777777">
        <w:tc>
          <w:tcPr>
            <w:tcW w:w="9576" w:type="dxa"/>
            <w:shd w:val="clear" w:color="auto" w:fill="EEECE1" w:themeFill="background2"/>
          </w:tcPr>
          <w:p w14:paraId="4212EA8E" w14:textId="77777777" w:rsidR="00BE499B" w:rsidRPr="00130346" w:rsidRDefault="001C7FAC">
            <w:pPr>
              <w:rPr>
                <w:rFonts w:ascii="Arial" w:hAnsi="Arial" w:cs="Arial"/>
                <w:sz w:val="36"/>
                <w:szCs w:val="36"/>
              </w:rPr>
            </w:pPr>
            <w:r w:rsidRPr="00130346">
              <w:rPr>
                <w:rFonts w:ascii="Arial" w:hAnsi="Arial" w:cs="Arial"/>
                <w:sz w:val="36"/>
                <w:szCs w:val="36"/>
              </w:rPr>
              <w:t>1.    Introduction</w:t>
            </w:r>
          </w:p>
        </w:tc>
      </w:tr>
    </w:tbl>
    <w:p w14:paraId="725B9CEB" w14:textId="77777777" w:rsidR="00BE499B" w:rsidRPr="00130346" w:rsidRDefault="004C7C12">
      <w:pPr>
        <w:rPr>
          <w:rFonts w:ascii="Arial" w:hAnsi="Arial" w:cs="Arial"/>
          <w:szCs w:val="24"/>
        </w:rPr>
      </w:pPr>
    </w:p>
    <w:p w14:paraId="3F9FCE5E" w14:textId="77777777" w:rsidR="001C7FAC" w:rsidRPr="005E3977" w:rsidRDefault="001C7FAC" w:rsidP="00C51D64">
      <w:pPr>
        <w:pStyle w:val="BodyParagraphs"/>
        <w:rPr>
          <w:sz w:val="22"/>
          <w:szCs w:val="22"/>
        </w:rPr>
      </w:pPr>
      <w:r w:rsidRPr="00130346">
        <w:t xml:space="preserve">This Submission is made by the Insolvency &amp; Reconstruction Law Committee </w:t>
      </w:r>
      <w:r w:rsidR="003C0976">
        <w:t xml:space="preserve">and the </w:t>
      </w:r>
      <w:r w:rsidR="003C0976" w:rsidRPr="005E3977">
        <w:rPr>
          <w:sz w:val="22"/>
          <w:szCs w:val="22"/>
        </w:rPr>
        <w:t xml:space="preserve">Corporations Committee </w:t>
      </w:r>
      <w:r w:rsidRPr="005E3977">
        <w:rPr>
          <w:sz w:val="22"/>
          <w:szCs w:val="22"/>
        </w:rPr>
        <w:t xml:space="preserve">of the Business Law Section of the Law Council of Australia (“the </w:t>
      </w:r>
      <w:r w:rsidRPr="005E3977">
        <w:rPr>
          <w:b/>
          <w:sz w:val="22"/>
          <w:szCs w:val="22"/>
        </w:rPr>
        <w:t>Committee”</w:t>
      </w:r>
      <w:r w:rsidRPr="005E3977">
        <w:rPr>
          <w:sz w:val="22"/>
          <w:szCs w:val="22"/>
        </w:rPr>
        <w:t xml:space="preserve">).  </w:t>
      </w:r>
    </w:p>
    <w:p w14:paraId="70BCD4AC" w14:textId="77777777" w:rsidR="00BE499B" w:rsidRPr="005E3977" w:rsidRDefault="001C7FAC" w:rsidP="00C51D64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>Contact details for persons able to speak to the Submission appear in Section 4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B65CE" w:rsidRPr="005E3977" w14:paraId="4EE3DC16" w14:textId="77777777">
        <w:tc>
          <w:tcPr>
            <w:tcW w:w="9576" w:type="dxa"/>
            <w:shd w:val="clear" w:color="auto" w:fill="EEECE1" w:themeFill="background2"/>
          </w:tcPr>
          <w:p w14:paraId="1737B33D" w14:textId="77777777" w:rsidR="00BE499B" w:rsidRPr="000141B5" w:rsidRDefault="001C7FAC">
            <w:pPr>
              <w:rPr>
                <w:rFonts w:ascii="Arial" w:hAnsi="Arial" w:cs="Arial"/>
                <w:sz w:val="36"/>
                <w:szCs w:val="36"/>
              </w:rPr>
            </w:pPr>
            <w:r w:rsidRPr="000141B5">
              <w:rPr>
                <w:rFonts w:ascii="Arial" w:hAnsi="Arial" w:cs="Arial"/>
                <w:sz w:val="36"/>
                <w:szCs w:val="36"/>
              </w:rPr>
              <w:t>2.    Summary</w:t>
            </w:r>
          </w:p>
        </w:tc>
      </w:tr>
    </w:tbl>
    <w:p w14:paraId="167F2949" w14:textId="77777777" w:rsidR="00BE499B" w:rsidRPr="005E3977" w:rsidRDefault="004C7C12">
      <w:pPr>
        <w:rPr>
          <w:rFonts w:ascii="Arial" w:hAnsi="Arial" w:cs="Arial"/>
          <w:sz w:val="22"/>
          <w:szCs w:val="22"/>
        </w:rPr>
      </w:pPr>
    </w:p>
    <w:p w14:paraId="275FA193" w14:textId="77777777" w:rsidR="009F0453" w:rsidRPr="005E3977" w:rsidRDefault="009F0453" w:rsidP="009D52EC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>The Productivity Commission (</w:t>
      </w:r>
      <w:r w:rsidRPr="005E3977">
        <w:rPr>
          <w:b/>
          <w:sz w:val="22"/>
          <w:szCs w:val="22"/>
        </w:rPr>
        <w:t>Commission</w:t>
      </w:r>
      <w:r w:rsidRPr="005E3977">
        <w:rPr>
          <w:sz w:val="22"/>
          <w:szCs w:val="22"/>
        </w:rPr>
        <w:t xml:space="preserve">) has released a Draft Report in relation to its inquiry into Business Set-up, Transfer and Closure dated 21 May 2015 </w:t>
      </w:r>
      <w:r w:rsidR="00595FF4" w:rsidRPr="005E3977">
        <w:rPr>
          <w:sz w:val="22"/>
          <w:szCs w:val="22"/>
        </w:rPr>
        <w:t>(</w:t>
      </w:r>
      <w:r w:rsidR="00595FF4" w:rsidRPr="005E3977">
        <w:rPr>
          <w:b/>
          <w:sz w:val="22"/>
          <w:szCs w:val="22"/>
        </w:rPr>
        <w:t>Draft Report</w:t>
      </w:r>
      <w:r w:rsidR="00595FF4" w:rsidRPr="005E3977">
        <w:rPr>
          <w:sz w:val="22"/>
          <w:szCs w:val="22"/>
        </w:rPr>
        <w:t xml:space="preserve">) </w:t>
      </w:r>
      <w:r w:rsidRPr="005E3977">
        <w:rPr>
          <w:sz w:val="22"/>
          <w:szCs w:val="22"/>
        </w:rPr>
        <w:t xml:space="preserve">and called for further submissions to be provided by 3 July 2015.  </w:t>
      </w:r>
      <w:r w:rsidR="00595FF4" w:rsidRPr="005E3977">
        <w:rPr>
          <w:sz w:val="22"/>
          <w:szCs w:val="22"/>
        </w:rPr>
        <w:t xml:space="preserve">The Committee provides this submission in response to the Draft Report and particularly Chapters 13, 14 and 15 which address personal and corporate insolvency. </w:t>
      </w:r>
    </w:p>
    <w:p w14:paraId="1AC645E4" w14:textId="77777777" w:rsidR="00781763" w:rsidRPr="005E3977" w:rsidRDefault="00595FF4" w:rsidP="009D52EC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 Committee largely supports the recommendations of the Commission particularly in relation </w:t>
      </w:r>
      <w:r w:rsidR="00781763" w:rsidRPr="005E3977">
        <w:rPr>
          <w:sz w:val="22"/>
          <w:szCs w:val="22"/>
        </w:rPr>
        <w:t>t</w:t>
      </w:r>
      <w:r w:rsidRPr="005E3977">
        <w:rPr>
          <w:sz w:val="22"/>
          <w:szCs w:val="22"/>
        </w:rPr>
        <w:t>o the introduction of a safe harbour mechanism (Recommendation 15.2) and the voiding of “</w:t>
      </w:r>
      <w:r w:rsidRPr="005E3977">
        <w:rPr>
          <w:i/>
          <w:sz w:val="22"/>
          <w:szCs w:val="22"/>
        </w:rPr>
        <w:t>ipso facto</w:t>
      </w:r>
      <w:r w:rsidRPr="005E3977">
        <w:rPr>
          <w:sz w:val="22"/>
          <w:szCs w:val="22"/>
        </w:rPr>
        <w:t>” clauses upon insolvency (Recommendation</w:t>
      </w:r>
      <w:r w:rsidR="00781763" w:rsidRPr="005E3977">
        <w:rPr>
          <w:sz w:val="22"/>
          <w:szCs w:val="22"/>
        </w:rPr>
        <w:t xml:space="preserve"> 15.4).  The Business Law Section of the Law Council of Australia has previously supported such changes.</w:t>
      </w:r>
      <w:r w:rsidR="009C7A58" w:rsidRPr="005E3977">
        <w:rPr>
          <w:sz w:val="22"/>
          <w:szCs w:val="22"/>
        </w:rPr>
        <w:t xml:space="preserve">  In this regard the Committee refers to its previous submissions made March 2010, 20 February 2015 and 18 March 2015.</w:t>
      </w:r>
    </w:p>
    <w:p w14:paraId="43740C3A" w14:textId="77777777" w:rsidR="002B5A85" w:rsidRPr="005E3977" w:rsidRDefault="00781763" w:rsidP="009D52EC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>The Committee comments separately on each of the relevant Draft Findings and Recommendations below.</w:t>
      </w:r>
      <w:r w:rsidR="00595FF4" w:rsidRPr="005E3977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B65CE" w:rsidRPr="005E3977" w14:paraId="3AE5B0EA" w14:textId="77777777">
        <w:tc>
          <w:tcPr>
            <w:tcW w:w="9576" w:type="dxa"/>
            <w:shd w:val="clear" w:color="auto" w:fill="EEECE1" w:themeFill="background2"/>
          </w:tcPr>
          <w:p w14:paraId="5605E316" w14:textId="77777777" w:rsidR="00BE499B" w:rsidRPr="000141B5" w:rsidRDefault="001C7FAC" w:rsidP="009F0453">
            <w:pPr>
              <w:rPr>
                <w:rFonts w:ascii="Arial" w:hAnsi="Arial" w:cs="Arial"/>
                <w:sz w:val="36"/>
                <w:szCs w:val="36"/>
              </w:rPr>
            </w:pPr>
            <w:r w:rsidRPr="000141B5">
              <w:rPr>
                <w:rFonts w:ascii="Arial" w:hAnsi="Arial" w:cs="Arial"/>
                <w:sz w:val="36"/>
                <w:szCs w:val="36"/>
              </w:rPr>
              <w:t xml:space="preserve">3.    </w:t>
            </w:r>
            <w:r w:rsidR="009F0453" w:rsidRPr="000141B5">
              <w:rPr>
                <w:rFonts w:ascii="Arial" w:hAnsi="Arial" w:cs="Arial"/>
                <w:sz w:val="36"/>
                <w:szCs w:val="36"/>
              </w:rPr>
              <w:t>Personal Insolvency</w:t>
            </w:r>
          </w:p>
        </w:tc>
      </w:tr>
    </w:tbl>
    <w:p w14:paraId="18C0C665" w14:textId="77777777" w:rsidR="00BE499B" w:rsidRPr="005E3977" w:rsidRDefault="004C7C12">
      <w:pPr>
        <w:rPr>
          <w:rFonts w:ascii="Arial" w:hAnsi="Arial" w:cs="Arial"/>
          <w:sz w:val="22"/>
          <w:szCs w:val="22"/>
        </w:rPr>
      </w:pPr>
    </w:p>
    <w:p w14:paraId="3687CBD0" w14:textId="77777777" w:rsidR="009F0453" w:rsidRPr="005E3977" w:rsidRDefault="00AB5DB0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>AFSA administers the vast majority of all bankruptcy administrations</w:t>
      </w:r>
      <w:r w:rsidR="003467A6" w:rsidRPr="005E3977">
        <w:rPr>
          <w:sz w:val="22"/>
          <w:szCs w:val="22"/>
        </w:rPr>
        <w:t>,</w:t>
      </w:r>
      <w:r w:rsidR="008F6542" w:rsidRPr="005E3977">
        <w:rPr>
          <w:sz w:val="22"/>
          <w:szCs w:val="22"/>
        </w:rPr>
        <w:t xml:space="preserve"> the majority of which are colloquially referred to as “consumer” or “non business” bankruptcies”</w:t>
      </w:r>
      <w:r w:rsidRPr="005E3977">
        <w:rPr>
          <w:sz w:val="22"/>
          <w:szCs w:val="22"/>
        </w:rPr>
        <w:t xml:space="preserve">.  </w:t>
      </w:r>
      <w:r w:rsidR="0080416C" w:rsidRPr="005E3977">
        <w:rPr>
          <w:sz w:val="22"/>
          <w:szCs w:val="22"/>
        </w:rPr>
        <w:t xml:space="preserve">The regulatory burden under the </w:t>
      </w:r>
      <w:r w:rsidR="0080416C" w:rsidRPr="005E3977">
        <w:rPr>
          <w:i/>
          <w:sz w:val="22"/>
          <w:szCs w:val="22"/>
        </w:rPr>
        <w:t>Bankruptcy Act 1966</w:t>
      </w:r>
      <w:r w:rsidR="0080416C" w:rsidRPr="005E3977">
        <w:rPr>
          <w:sz w:val="22"/>
          <w:szCs w:val="22"/>
        </w:rPr>
        <w:t xml:space="preserve"> (</w:t>
      </w:r>
      <w:r w:rsidR="0080416C" w:rsidRPr="005E3977">
        <w:rPr>
          <w:b/>
          <w:sz w:val="22"/>
          <w:szCs w:val="22"/>
        </w:rPr>
        <w:t>Act</w:t>
      </w:r>
      <w:r w:rsidR="0080416C" w:rsidRPr="005E3977">
        <w:rPr>
          <w:sz w:val="22"/>
          <w:szCs w:val="22"/>
        </w:rPr>
        <w:t>) of administering these bankruptcies</w:t>
      </w:r>
      <w:r w:rsidR="003467A6" w:rsidRPr="005E3977">
        <w:rPr>
          <w:sz w:val="22"/>
          <w:szCs w:val="22"/>
        </w:rPr>
        <w:t>,</w:t>
      </w:r>
      <w:r w:rsidR="0080416C" w:rsidRPr="005E3977">
        <w:rPr>
          <w:sz w:val="22"/>
          <w:szCs w:val="22"/>
        </w:rPr>
        <w:t xml:space="preserve"> consistent with the obligations under the Act</w:t>
      </w:r>
      <w:r w:rsidR="003467A6" w:rsidRPr="005E3977">
        <w:rPr>
          <w:sz w:val="22"/>
          <w:szCs w:val="22"/>
        </w:rPr>
        <w:t>,</w:t>
      </w:r>
      <w:r w:rsidR="0080416C" w:rsidRPr="005E3977">
        <w:rPr>
          <w:sz w:val="22"/>
          <w:szCs w:val="22"/>
        </w:rPr>
        <w:t xml:space="preserve"> is significant</w:t>
      </w:r>
      <w:r w:rsidR="00B84A4E" w:rsidRPr="005E3977">
        <w:rPr>
          <w:rStyle w:val="FootnoteReference"/>
          <w:rFonts w:ascii="Arial" w:hAnsi="Arial"/>
          <w:sz w:val="22"/>
          <w:szCs w:val="22"/>
        </w:rPr>
        <w:footnoteReference w:id="1"/>
      </w:r>
      <w:r w:rsidR="0080416C" w:rsidRPr="005E3977">
        <w:rPr>
          <w:sz w:val="22"/>
          <w:szCs w:val="22"/>
        </w:rPr>
        <w:t xml:space="preserve">.  The Draft Report does not </w:t>
      </w:r>
      <w:r w:rsidR="0080416C" w:rsidRPr="005E3977">
        <w:rPr>
          <w:sz w:val="22"/>
          <w:szCs w:val="22"/>
        </w:rPr>
        <w:lastRenderedPageBreak/>
        <w:t xml:space="preserve">comment on the need for such </w:t>
      </w:r>
      <w:r w:rsidR="003467A6" w:rsidRPr="005E3977">
        <w:rPr>
          <w:sz w:val="22"/>
          <w:szCs w:val="22"/>
        </w:rPr>
        <w:t>“</w:t>
      </w:r>
      <w:r w:rsidR="0080416C" w:rsidRPr="005E3977">
        <w:rPr>
          <w:sz w:val="22"/>
          <w:szCs w:val="22"/>
        </w:rPr>
        <w:t>consumer</w:t>
      </w:r>
      <w:r w:rsidR="003467A6" w:rsidRPr="005E3977">
        <w:rPr>
          <w:sz w:val="22"/>
          <w:szCs w:val="22"/>
        </w:rPr>
        <w:t>”</w:t>
      </w:r>
      <w:r w:rsidR="0080416C" w:rsidRPr="005E3977">
        <w:rPr>
          <w:sz w:val="22"/>
          <w:szCs w:val="22"/>
        </w:rPr>
        <w:t xml:space="preserve"> bankruptcies to be administered in the same manner as “business” bankruptcies and whether in fact that occurs.</w:t>
      </w:r>
      <w:r w:rsidR="00DE7154" w:rsidRPr="005E3977">
        <w:rPr>
          <w:sz w:val="22"/>
          <w:szCs w:val="22"/>
        </w:rPr>
        <w:t xml:space="preserve">  To the extent there is a</w:t>
      </w:r>
      <w:r w:rsidR="00CF05C4" w:rsidRPr="005E3977">
        <w:rPr>
          <w:sz w:val="22"/>
          <w:szCs w:val="22"/>
        </w:rPr>
        <w:t xml:space="preserve"> </w:t>
      </w:r>
      <w:r w:rsidR="00DE7154" w:rsidRPr="005E3977">
        <w:rPr>
          <w:sz w:val="22"/>
          <w:szCs w:val="22"/>
        </w:rPr>
        <w:t xml:space="preserve">perception that “consumer” bankruptcies are administered differently </w:t>
      </w:r>
      <w:r w:rsidR="00CF05C4" w:rsidRPr="005E3977">
        <w:rPr>
          <w:sz w:val="22"/>
          <w:szCs w:val="22"/>
        </w:rPr>
        <w:t xml:space="preserve">to business bankruptcies can undermine public confidence in laws but can also lead to the encouragement of </w:t>
      </w:r>
      <w:r w:rsidR="00180C99" w:rsidRPr="005E3977">
        <w:rPr>
          <w:sz w:val="22"/>
          <w:szCs w:val="22"/>
        </w:rPr>
        <w:t>avoidance</w:t>
      </w:r>
      <w:r w:rsidR="00CF05C4" w:rsidRPr="005E3977">
        <w:rPr>
          <w:sz w:val="22"/>
          <w:szCs w:val="22"/>
        </w:rPr>
        <w:t xml:space="preserve"> behaviour as debtors seek </w:t>
      </w:r>
      <w:r w:rsidR="003B0DC6">
        <w:rPr>
          <w:sz w:val="22"/>
          <w:szCs w:val="22"/>
        </w:rPr>
        <w:t xml:space="preserve">to </w:t>
      </w:r>
      <w:r w:rsidR="00CF05C4" w:rsidRPr="005E3977">
        <w:rPr>
          <w:sz w:val="22"/>
          <w:szCs w:val="22"/>
        </w:rPr>
        <w:t xml:space="preserve">take advantage of perceived differences in the way bankruptcies </w:t>
      </w:r>
      <w:r w:rsidR="00627206" w:rsidRPr="005E3977">
        <w:rPr>
          <w:sz w:val="22"/>
          <w:szCs w:val="22"/>
        </w:rPr>
        <w:t>may</w:t>
      </w:r>
      <w:r w:rsidR="00CF05C4" w:rsidRPr="005E3977">
        <w:rPr>
          <w:sz w:val="22"/>
          <w:szCs w:val="22"/>
        </w:rPr>
        <w:t xml:space="preserve"> be administered.</w:t>
      </w:r>
    </w:p>
    <w:p w14:paraId="12A2AA1B" w14:textId="77777777" w:rsidR="00FF0C79" w:rsidRPr="005E3977" w:rsidRDefault="00180C99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Recommendation 13.1 </w:t>
      </w:r>
      <w:r w:rsidR="00FF0C79" w:rsidRPr="005E3977">
        <w:rPr>
          <w:sz w:val="22"/>
          <w:szCs w:val="22"/>
        </w:rPr>
        <w:t xml:space="preserve">provides for </w:t>
      </w:r>
      <w:r w:rsidRPr="005E3977">
        <w:rPr>
          <w:sz w:val="22"/>
          <w:szCs w:val="22"/>
        </w:rPr>
        <w:t>the duration of bankruptcy be</w:t>
      </w:r>
      <w:r w:rsidR="00FF0C79" w:rsidRPr="005E3977">
        <w:rPr>
          <w:sz w:val="22"/>
          <w:szCs w:val="22"/>
        </w:rPr>
        <w:t>ing</w:t>
      </w:r>
      <w:r w:rsidRPr="005E3977">
        <w:rPr>
          <w:sz w:val="22"/>
          <w:szCs w:val="22"/>
        </w:rPr>
        <w:t xml:space="preserve"> reduced to 1 year subject </w:t>
      </w:r>
      <w:r w:rsidR="00627206" w:rsidRPr="005E3977">
        <w:rPr>
          <w:sz w:val="22"/>
          <w:szCs w:val="22"/>
        </w:rPr>
        <w:t>to it otherwise being extended by way of objection to discharge from bankruptcy</w:t>
      </w:r>
      <w:r w:rsidR="00FF0C79" w:rsidRPr="005E3977">
        <w:rPr>
          <w:sz w:val="22"/>
          <w:szCs w:val="22"/>
        </w:rPr>
        <w:t>.</w:t>
      </w:r>
    </w:p>
    <w:p w14:paraId="0564827D" w14:textId="77777777" w:rsidR="00FF0C79" w:rsidRPr="005E3977" w:rsidRDefault="006A34F1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 Committee has reservations on the reduction of the period of bankruptcy </w:t>
      </w:r>
      <w:r w:rsidR="003467A6" w:rsidRPr="005E3977">
        <w:rPr>
          <w:sz w:val="22"/>
          <w:szCs w:val="22"/>
        </w:rPr>
        <w:t>and do</w:t>
      </w:r>
      <w:r w:rsidR="00627206" w:rsidRPr="005E3977">
        <w:rPr>
          <w:sz w:val="22"/>
          <w:szCs w:val="22"/>
        </w:rPr>
        <w:t>es</w:t>
      </w:r>
      <w:r w:rsidR="003467A6" w:rsidRPr="005E3977">
        <w:rPr>
          <w:sz w:val="22"/>
          <w:szCs w:val="22"/>
        </w:rPr>
        <w:t xml:space="preserve"> not support the Recommendation</w:t>
      </w:r>
      <w:r w:rsidRPr="005E3977">
        <w:rPr>
          <w:sz w:val="22"/>
          <w:szCs w:val="22"/>
        </w:rPr>
        <w:t xml:space="preserve">.  The ability of a trustee to demand the co-operation of a bankrupt is practically far simpler while the person remains a bankrupt.  </w:t>
      </w:r>
      <w:r w:rsidR="003804F2" w:rsidRPr="005E3977">
        <w:rPr>
          <w:sz w:val="22"/>
          <w:szCs w:val="22"/>
        </w:rPr>
        <w:t>The Committee would prefer to see the concept of “early discharge” being revisited with a more accessible and efficient model in this regard being implemented.</w:t>
      </w:r>
    </w:p>
    <w:p w14:paraId="7BEE9D1E" w14:textId="77777777" w:rsidR="00FF0C79" w:rsidRPr="005E3977" w:rsidRDefault="00627206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>T</w:t>
      </w:r>
      <w:r w:rsidR="006A34F1" w:rsidRPr="005E3977">
        <w:rPr>
          <w:sz w:val="22"/>
          <w:szCs w:val="22"/>
        </w:rPr>
        <w:t xml:space="preserve">he suggestion that three years of bankruptcy discourages entrepreneurial behaviour is not supported by evidence.  Given the vast majority of bankruptcies are consumer in nature the </w:t>
      </w:r>
      <w:r w:rsidR="00FF0C79" w:rsidRPr="005E3977">
        <w:rPr>
          <w:sz w:val="22"/>
          <w:szCs w:val="22"/>
        </w:rPr>
        <w:t>number</w:t>
      </w:r>
      <w:r w:rsidR="006A34F1" w:rsidRPr="005E3977">
        <w:rPr>
          <w:sz w:val="22"/>
          <w:szCs w:val="22"/>
        </w:rPr>
        <w:t xml:space="preserve"> of “entrepreneurs” within the pool of bankrupts that society might wish to encourage is </w:t>
      </w:r>
      <w:r w:rsidRPr="005E3977">
        <w:rPr>
          <w:sz w:val="22"/>
          <w:szCs w:val="22"/>
        </w:rPr>
        <w:t>likely</w:t>
      </w:r>
      <w:r w:rsidR="00FF0C79" w:rsidRPr="005E3977">
        <w:rPr>
          <w:sz w:val="22"/>
          <w:szCs w:val="22"/>
        </w:rPr>
        <w:t xml:space="preserve"> limited.  Whether such far reaching changes ought be made for some unquantified pool of perceived entrepreneurial talent is questionable.  Equally there is no evidence that our bankruptcy laws </w:t>
      </w:r>
      <w:r w:rsidR="000D35DD" w:rsidRPr="005E3977">
        <w:rPr>
          <w:sz w:val="22"/>
          <w:szCs w:val="22"/>
        </w:rPr>
        <w:t>discourage entrepreneurs</w:t>
      </w:r>
      <w:r w:rsidR="00FF0C79" w:rsidRPr="005E3977">
        <w:rPr>
          <w:sz w:val="22"/>
          <w:szCs w:val="22"/>
        </w:rPr>
        <w:t xml:space="preserve"> in the first place.</w:t>
      </w:r>
    </w:p>
    <w:p w14:paraId="0C0E9272" w14:textId="77777777" w:rsidR="00426522" w:rsidRPr="005E3977" w:rsidRDefault="00627206" w:rsidP="00FF0C7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  <w:lang w:val="en-US"/>
        </w:rPr>
        <w:t>Notwithstanding these comments</w:t>
      </w:r>
      <w:r w:rsidR="003804F2" w:rsidRPr="005E3977">
        <w:rPr>
          <w:sz w:val="22"/>
          <w:szCs w:val="22"/>
          <w:lang w:val="en-US"/>
        </w:rPr>
        <w:t xml:space="preserve">, </w:t>
      </w:r>
      <w:r w:rsidRPr="005E3977">
        <w:rPr>
          <w:sz w:val="22"/>
          <w:szCs w:val="22"/>
          <w:lang w:val="en-US"/>
        </w:rPr>
        <w:t>t</w:t>
      </w:r>
      <w:r w:rsidR="00FF0C79" w:rsidRPr="005E3977">
        <w:rPr>
          <w:sz w:val="22"/>
          <w:szCs w:val="22"/>
          <w:lang w:val="en-US"/>
        </w:rPr>
        <w:t>he duration of bankruptcy being reduced to 1 year</w:t>
      </w:r>
      <w:r w:rsidR="001251F5" w:rsidRPr="005E3977">
        <w:rPr>
          <w:sz w:val="22"/>
          <w:szCs w:val="22"/>
          <w:lang w:val="en-US"/>
        </w:rPr>
        <w:t>,</w:t>
      </w:r>
      <w:r w:rsidR="00FF0C79" w:rsidRPr="005E3977">
        <w:rPr>
          <w:sz w:val="22"/>
          <w:szCs w:val="22"/>
          <w:lang w:val="en-US"/>
        </w:rPr>
        <w:t xml:space="preserve"> subject to there </w:t>
      </w:r>
      <w:r w:rsidRPr="005E3977">
        <w:rPr>
          <w:sz w:val="22"/>
          <w:szCs w:val="22"/>
          <w:lang w:val="en-US"/>
        </w:rPr>
        <w:t>being an ability to extend</w:t>
      </w:r>
      <w:r w:rsidR="001251F5" w:rsidRPr="005E3977">
        <w:rPr>
          <w:sz w:val="22"/>
          <w:szCs w:val="22"/>
          <w:lang w:val="en-US"/>
        </w:rPr>
        <w:t>,</w:t>
      </w:r>
      <w:r w:rsidR="00FF0C79" w:rsidRPr="005E3977">
        <w:rPr>
          <w:b/>
          <w:sz w:val="22"/>
          <w:szCs w:val="22"/>
          <w:lang w:val="en-US"/>
        </w:rPr>
        <w:t xml:space="preserve"> </w:t>
      </w:r>
      <w:r w:rsidR="000D35DD" w:rsidRPr="005E3977">
        <w:rPr>
          <w:sz w:val="22"/>
          <w:szCs w:val="22"/>
        </w:rPr>
        <w:t>may</w:t>
      </w:r>
      <w:r w:rsidR="00FF0C79" w:rsidRPr="005E3977">
        <w:rPr>
          <w:sz w:val="22"/>
          <w:szCs w:val="22"/>
        </w:rPr>
        <w:t xml:space="preserve"> go some way to addressing perceptions of discrimination as to the manner in which </w:t>
      </w:r>
      <w:r w:rsidRPr="005E3977">
        <w:rPr>
          <w:sz w:val="22"/>
          <w:szCs w:val="22"/>
        </w:rPr>
        <w:t>“</w:t>
      </w:r>
      <w:r w:rsidR="00FF0C79" w:rsidRPr="005E3977">
        <w:rPr>
          <w:sz w:val="22"/>
          <w:szCs w:val="22"/>
        </w:rPr>
        <w:t>consumer</w:t>
      </w:r>
      <w:r w:rsidRPr="005E3977">
        <w:rPr>
          <w:sz w:val="22"/>
          <w:szCs w:val="22"/>
        </w:rPr>
        <w:t>”</w:t>
      </w:r>
      <w:r w:rsidR="00FF0C79" w:rsidRPr="005E3977">
        <w:rPr>
          <w:sz w:val="22"/>
          <w:szCs w:val="22"/>
        </w:rPr>
        <w:t xml:space="preserve"> bankruptcies are administered as opposed to “business” bankruptcies.  </w:t>
      </w:r>
      <w:r w:rsidR="00426522" w:rsidRPr="005E3977">
        <w:rPr>
          <w:sz w:val="22"/>
          <w:szCs w:val="22"/>
        </w:rPr>
        <w:t>Such amendment however should be recognised as addressing economic factors going to the cost of administering the vast bulk of bankruptcy administrations as opposed to some concept of suppress</w:t>
      </w:r>
      <w:r w:rsidR="003B0DC6">
        <w:rPr>
          <w:sz w:val="22"/>
          <w:szCs w:val="22"/>
        </w:rPr>
        <w:t>ion of</w:t>
      </w:r>
      <w:r w:rsidR="00426522" w:rsidRPr="005E3977">
        <w:rPr>
          <w:sz w:val="22"/>
          <w:szCs w:val="22"/>
        </w:rPr>
        <w:t xml:space="preserve"> entrepreneurial behaviour.  </w:t>
      </w:r>
      <w:r w:rsidR="003B0DC6">
        <w:rPr>
          <w:sz w:val="22"/>
          <w:szCs w:val="22"/>
        </w:rPr>
        <w:t>However r</w:t>
      </w:r>
      <w:r w:rsidR="000D35DD" w:rsidRPr="005E3977">
        <w:rPr>
          <w:sz w:val="22"/>
          <w:szCs w:val="22"/>
        </w:rPr>
        <w:t>egulatory concerns as to the administrative cost of “consumer” bankruptcy might equally be addressed through a more efficient early discharge model.</w:t>
      </w:r>
    </w:p>
    <w:p w14:paraId="2614CD59" w14:textId="77777777" w:rsidR="00FF0C79" w:rsidRPr="005E3977" w:rsidRDefault="001251F5" w:rsidP="00FF0C7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If </w:t>
      </w:r>
      <w:r w:rsidR="00426522" w:rsidRPr="005E3977">
        <w:rPr>
          <w:sz w:val="22"/>
          <w:szCs w:val="22"/>
        </w:rPr>
        <w:t xml:space="preserve">there was to be a reduction of the period of bankruptcy then it should be done in conjunction with </w:t>
      </w:r>
      <w:r w:rsidRPr="005E3977">
        <w:rPr>
          <w:sz w:val="22"/>
          <w:szCs w:val="22"/>
        </w:rPr>
        <w:t xml:space="preserve">an overhaul of the objection to discharge provisions to ensure in appropriate cases </w:t>
      </w:r>
      <w:r w:rsidR="003467A6" w:rsidRPr="005E3977">
        <w:rPr>
          <w:sz w:val="22"/>
          <w:szCs w:val="22"/>
        </w:rPr>
        <w:t xml:space="preserve">the period of bankruptcy can be extended </w:t>
      </w:r>
      <w:r w:rsidR="00426522" w:rsidRPr="005E3977">
        <w:rPr>
          <w:sz w:val="22"/>
          <w:szCs w:val="22"/>
        </w:rPr>
        <w:t xml:space="preserve">efficiently.  </w:t>
      </w:r>
      <w:r w:rsidR="00721574" w:rsidRPr="005E3977">
        <w:rPr>
          <w:sz w:val="22"/>
          <w:szCs w:val="22"/>
        </w:rPr>
        <w:t xml:space="preserve">There is a material </w:t>
      </w:r>
      <w:r w:rsidR="003467A6" w:rsidRPr="005E3977">
        <w:rPr>
          <w:sz w:val="22"/>
          <w:szCs w:val="22"/>
        </w:rPr>
        <w:t xml:space="preserve">risk </w:t>
      </w:r>
      <w:r w:rsidR="00721574" w:rsidRPr="005E3977">
        <w:rPr>
          <w:sz w:val="22"/>
          <w:szCs w:val="22"/>
        </w:rPr>
        <w:t>to</w:t>
      </w:r>
      <w:r w:rsidR="003467A6" w:rsidRPr="005E3977">
        <w:rPr>
          <w:sz w:val="22"/>
          <w:szCs w:val="22"/>
        </w:rPr>
        <w:t xml:space="preserve"> </w:t>
      </w:r>
      <w:r w:rsidR="00721574" w:rsidRPr="005E3977">
        <w:rPr>
          <w:sz w:val="22"/>
          <w:szCs w:val="22"/>
        </w:rPr>
        <w:t>t</w:t>
      </w:r>
      <w:r w:rsidR="003467A6" w:rsidRPr="005E3977">
        <w:rPr>
          <w:sz w:val="22"/>
          <w:szCs w:val="22"/>
        </w:rPr>
        <w:t>rustee</w:t>
      </w:r>
      <w:r w:rsidR="003B0DC6">
        <w:rPr>
          <w:sz w:val="22"/>
          <w:szCs w:val="22"/>
        </w:rPr>
        <w:t>s</w:t>
      </w:r>
      <w:r w:rsidR="003467A6" w:rsidRPr="005E3977">
        <w:rPr>
          <w:sz w:val="22"/>
          <w:szCs w:val="22"/>
        </w:rPr>
        <w:t xml:space="preserve"> and the estate </w:t>
      </w:r>
      <w:r w:rsidR="00721574" w:rsidRPr="005E3977">
        <w:rPr>
          <w:sz w:val="22"/>
          <w:szCs w:val="22"/>
        </w:rPr>
        <w:t xml:space="preserve">in that they will be required to bear the cost of lodging objections and </w:t>
      </w:r>
      <w:r w:rsidR="003467A6" w:rsidRPr="005E3977">
        <w:rPr>
          <w:sz w:val="22"/>
          <w:szCs w:val="22"/>
        </w:rPr>
        <w:t>the costs of review and appeal</w:t>
      </w:r>
      <w:r w:rsidR="00721574" w:rsidRPr="005E3977">
        <w:rPr>
          <w:sz w:val="22"/>
          <w:szCs w:val="22"/>
        </w:rPr>
        <w:t xml:space="preserve"> by the bankrupt to ensure the integrity of the bankruptcy system is maintained</w:t>
      </w:r>
      <w:r w:rsidRPr="005E3977">
        <w:rPr>
          <w:sz w:val="22"/>
          <w:szCs w:val="22"/>
        </w:rPr>
        <w:t xml:space="preserve">.  </w:t>
      </w:r>
    </w:p>
    <w:p w14:paraId="07169013" w14:textId="77777777" w:rsidR="00FF0C79" w:rsidRPr="005E3977" w:rsidRDefault="00BB650D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 Committee otherwise continues to support the greater unification of corporate and personal insolvency laws.  </w:t>
      </w:r>
    </w:p>
    <w:p w14:paraId="07A1D9FC" w14:textId="77777777" w:rsidR="00E2420C" w:rsidRPr="005E3977" w:rsidRDefault="00E2420C" w:rsidP="00E2420C">
      <w:pPr>
        <w:pStyle w:val="BodyParagraphs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67344B0C" w14:textId="77777777" w:rsidR="00E2420C" w:rsidRPr="000141B5" w:rsidRDefault="00E2420C" w:rsidP="00E2420C">
      <w:pPr>
        <w:pStyle w:val="BodyParagraphs"/>
        <w:numPr>
          <w:ilvl w:val="0"/>
          <w:numId w:val="0"/>
        </w:numPr>
        <w:ind w:left="567" w:hanging="567"/>
        <w:rPr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1A35" w:rsidRPr="000141B5" w14:paraId="36EB4B02" w14:textId="77777777" w:rsidTr="008A74A9">
        <w:tc>
          <w:tcPr>
            <w:tcW w:w="9576" w:type="dxa"/>
            <w:shd w:val="clear" w:color="auto" w:fill="EEECE1" w:themeFill="background2"/>
          </w:tcPr>
          <w:p w14:paraId="5C2FF588" w14:textId="77777777" w:rsidR="00331A35" w:rsidRPr="000141B5" w:rsidRDefault="00331A35" w:rsidP="00331A35">
            <w:pPr>
              <w:rPr>
                <w:rFonts w:ascii="Arial" w:hAnsi="Arial" w:cs="Arial"/>
                <w:sz w:val="36"/>
                <w:szCs w:val="36"/>
              </w:rPr>
            </w:pPr>
            <w:r w:rsidRPr="000141B5">
              <w:rPr>
                <w:rFonts w:ascii="Arial" w:hAnsi="Arial" w:cs="Arial"/>
                <w:sz w:val="36"/>
                <w:szCs w:val="36"/>
              </w:rPr>
              <w:lastRenderedPageBreak/>
              <w:t>4.    Corporate Insolvency</w:t>
            </w:r>
          </w:p>
        </w:tc>
      </w:tr>
    </w:tbl>
    <w:p w14:paraId="7BA95514" w14:textId="77777777" w:rsidR="00331A35" w:rsidRPr="005E3977" w:rsidRDefault="00331A35" w:rsidP="00331A35">
      <w:pPr>
        <w:rPr>
          <w:rFonts w:ascii="Arial" w:hAnsi="Arial" w:cs="Arial"/>
          <w:sz w:val="22"/>
          <w:szCs w:val="22"/>
        </w:rPr>
      </w:pPr>
    </w:p>
    <w:p w14:paraId="2A31D9CD" w14:textId="77777777" w:rsidR="00331A35" w:rsidRPr="005E3977" w:rsidRDefault="00331A35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>The Committee supports the conclusions reached in Draft Finding 14.1.  The Committee does not consider there is</w:t>
      </w:r>
      <w:r w:rsidR="00572330" w:rsidRPr="005E3977">
        <w:rPr>
          <w:sz w:val="22"/>
          <w:szCs w:val="22"/>
        </w:rPr>
        <w:t xml:space="preserve"> </w:t>
      </w:r>
      <w:r w:rsidRPr="005E3977">
        <w:rPr>
          <w:sz w:val="22"/>
          <w:szCs w:val="22"/>
        </w:rPr>
        <w:t xml:space="preserve">a need for </w:t>
      </w:r>
      <w:r w:rsidR="00572330" w:rsidRPr="005E3977">
        <w:rPr>
          <w:sz w:val="22"/>
          <w:szCs w:val="22"/>
        </w:rPr>
        <w:t>the incorporation of a United States based Chapter 11 model for corporate re-organisation.  Rather the introduction of a safe harbour model in is considered a better model for addressing corporate re-organisation prior to insolvency.</w:t>
      </w:r>
    </w:p>
    <w:p w14:paraId="557D58C6" w14:textId="77777777" w:rsidR="00572330" w:rsidRPr="005E3977" w:rsidRDefault="004341CE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 Committee supports the conclusions reached in Draft Finding 14.2.  </w:t>
      </w:r>
      <w:r w:rsidR="008F2C31" w:rsidRPr="005E3977">
        <w:rPr>
          <w:sz w:val="22"/>
          <w:szCs w:val="22"/>
        </w:rPr>
        <w:t xml:space="preserve">In saying this </w:t>
      </w:r>
      <w:r w:rsidRPr="005E3977">
        <w:rPr>
          <w:sz w:val="22"/>
          <w:szCs w:val="22"/>
        </w:rPr>
        <w:t xml:space="preserve">however </w:t>
      </w:r>
      <w:r w:rsidR="008F2C31" w:rsidRPr="005E3977">
        <w:rPr>
          <w:sz w:val="22"/>
          <w:szCs w:val="22"/>
        </w:rPr>
        <w:t xml:space="preserve">it is recognised that Part 5.3A of the </w:t>
      </w:r>
      <w:r w:rsidR="008F2C31" w:rsidRPr="005E3977">
        <w:rPr>
          <w:i/>
          <w:sz w:val="22"/>
          <w:szCs w:val="22"/>
        </w:rPr>
        <w:t>Corporations Act 2001</w:t>
      </w:r>
      <w:r w:rsidR="008F2C31" w:rsidRPr="005E3977">
        <w:rPr>
          <w:sz w:val="22"/>
          <w:szCs w:val="22"/>
        </w:rPr>
        <w:t xml:space="preserve"> (</w:t>
      </w:r>
      <w:r w:rsidR="008F2C31" w:rsidRPr="005E3977">
        <w:rPr>
          <w:b/>
          <w:sz w:val="22"/>
          <w:szCs w:val="22"/>
        </w:rPr>
        <w:t>CA</w:t>
      </w:r>
      <w:r w:rsidR="008F2C31" w:rsidRPr="005E3977">
        <w:rPr>
          <w:sz w:val="22"/>
          <w:szCs w:val="22"/>
        </w:rPr>
        <w:t xml:space="preserve">) </w:t>
      </w:r>
      <w:r w:rsidR="001350FB" w:rsidRPr="005E3977">
        <w:rPr>
          <w:sz w:val="22"/>
          <w:szCs w:val="22"/>
        </w:rPr>
        <w:t>continues to have</w:t>
      </w:r>
      <w:r w:rsidRPr="005E3977">
        <w:rPr>
          <w:sz w:val="22"/>
          <w:szCs w:val="22"/>
        </w:rPr>
        <w:t xml:space="preserve"> a role to pla</w:t>
      </w:r>
      <w:r w:rsidR="001350FB" w:rsidRPr="005E3977">
        <w:rPr>
          <w:sz w:val="22"/>
          <w:szCs w:val="22"/>
        </w:rPr>
        <w:t>y as a restructuring mechanism.</w:t>
      </w:r>
    </w:p>
    <w:p w14:paraId="44C392D3" w14:textId="77777777" w:rsidR="001350FB" w:rsidRPr="005E3977" w:rsidRDefault="001350FB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 Committee </w:t>
      </w:r>
      <w:r w:rsidR="003B0DC6">
        <w:rPr>
          <w:sz w:val="22"/>
          <w:szCs w:val="22"/>
        </w:rPr>
        <w:t>opposes</w:t>
      </w:r>
      <w:r w:rsidRPr="005E3977">
        <w:rPr>
          <w:sz w:val="22"/>
          <w:szCs w:val="22"/>
        </w:rPr>
        <w:t xml:space="preserve"> Recommendation 15.1.  Voluntary Administration can provide real economic benefits to stakeholders through insolvent reorganisations which would not be available </w:t>
      </w:r>
      <w:r w:rsidR="000463F5" w:rsidRPr="005E3977">
        <w:rPr>
          <w:sz w:val="22"/>
          <w:szCs w:val="22"/>
        </w:rPr>
        <w:t>in a</w:t>
      </w:r>
      <w:r w:rsidRPr="005E3977">
        <w:rPr>
          <w:sz w:val="22"/>
          <w:szCs w:val="22"/>
        </w:rPr>
        <w:t xml:space="preserve"> winding up of the affairs of the company.  </w:t>
      </w:r>
      <w:r w:rsidR="000463F5" w:rsidRPr="005E3977">
        <w:rPr>
          <w:sz w:val="22"/>
          <w:szCs w:val="22"/>
        </w:rPr>
        <w:t xml:space="preserve">The compromising of stakeholder rights in this forum should be left for the informed decision of those stakeholders.  </w:t>
      </w:r>
      <w:r w:rsidRPr="005E3977">
        <w:rPr>
          <w:sz w:val="22"/>
          <w:szCs w:val="22"/>
        </w:rPr>
        <w:t>While it is accepted that Part 5.3A can</w:t>
      </w:r>
      <w:r w:rsidR="000463F5" w:rsidRPr="005E3977">
        <w:rPr>
          <w:sz w:val="22"/>
          <w:szCs w:val="22"/>
        </w:rPr>
        <w:t>, like any laws,</w:t>
      </w:r>
      <w:r w:rsidRPr="005E3977">
        <w:rPr>
          <w:sz w:val="22"/>
          <w:szCs w:val="22"/>
        </w:rPr>
        <w:t xml:space="preserve"> be </w:t>
      </w:r>
      <w:r w:rsidR="000463F5" w:rsidRPr="005E3977">
        <w:rPr>
          <w:sz w:val="22"/>
          <w:szCs w:val="22"/>
        </w:rPr>
        <w:t>subject</w:t>
      </w:r>
      <w:r w:rsidRPr="005E3977">
        <w:rPr>
          <w:sz w:val="22"/>
          <w:szCs w:val="22"/>
        </w:rPr>
        <w:t xml:space="preserve"> to abuse that is not a basis to remove its </w:t>
      </w:r>
      <w:r w:rsidR="000463F5" w:rsidRPr="005E3977">
        <w:rPr>
          <w:sz w:val="22"/>
          <w:szCs w:val="22"/>
        </w:rPr>
        <w:t>benefits</w:t>
      </w:r>
      <w:r w:rsidRPr="005E3977">
        <w:rPr>
          <w:sz w:val="22"/>
          <w:szCs w:val="22"/>
        </w:rPr>
        <w:t xml:space="preserve"> </w:t>
      </w:r>
      <w:r w:rsidR="000463F5" w:rsidRPr="005E3977">
        <w:rPr>
          <w:sz w:val="22"/>
          <w:szCs w:val="22"/>
        </w:rPr>
        <w:t>entirely.  Having regard to the history of operation of Part 5.3A there is no warrant to limit it in the way suggested.</w:t>
      </w:r>
    </w:p>
    <w:p w14:paraId="1DE47BE6" w14:textId="77777777" w:rsidR="005E3977" w:rsidRPr="005E3977" w:rsidRDefault="005E3977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While the </w:t>
      </w:r>
      <w:r w:rsidR="000463F5" w:rsidRPr="005E3977">
        <w:rPr>
          <w:sz w:val="22"/>
          <w:szCs w:val="22"/>
        </w:rPr>
        <w:t xml:space="preserve">Committee supports </w:t>
      </w:r>
      <w:r w:rsidR="00260479" w:rsidRPr="005E3977">
        <w:rPr>
          <w:sz w:val="22"/>
          <w:szCs w:val="22"/>
        </w:rPr>
        <w:t>Recommendation</w:t>
      </w:r>
      <w:r w:rsidR="000463F5" w:rsidRPr="005E3977">
        <w:rPr>
          <w:sz w:val="22"/>
          <w:szCs w:val="22"/>
        </w:rPr>
        <w:t xml:space="preserve"> 15.2</w:t>
      </w:r>
      <w:r w:rsidRPr="005E3977">
        <w:rPr>
          <w:sz w:val="22"/>
          <w:szCs w:val="22"/>
        </w:rPr>
        <w:t xml:space="preserve"> there continues to be disparate views as to the model to be adopted.  </w:t>
      </w:r>
    </w:p>
    <w:p w14:paraId="6171F8D3" w14:textId="77777777" w:rsidR="00A86E98" w:rsidRDefault="00A86E98" w:rsidP="00A86E98">
      <w:pPr>
        <w:pStyle w:val="ListParagraph"/>
        <w:spacing w:after="240"/>
        <w:ind w:left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to the model to be adopted we make the following comments:-</w:t>
      </w:r>
    </w:p>
    <w:p w14:paraId="6C63A16C" w14:textId="77777777" w:rsidR="009A248B" w:rsidRDefault="009A248B" w:rsidP="009A248B">
      <w:pPr>
        <w:pStyle w:val="ListParagraph"/>
        <w:numPr>
          <w:ilvl w:val="0"/>
          <w:numId w:val="35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>While the ARITA proposal mirroring the business judgment rule in s180 of the Act has</w:t>
      </w:r>
      <w:r>
        <w:rPr>
          <w:rFonts w:ascii="Arial" w:hAnsi="Arial" w:cs="Arial"/>
          <w:sz w:val="22"/>
          <w:szCs w:val="22"/>
        </w:rPr>
        <w:t xml:space="preserve"> some attractions, it will likely </w:t>
      </w:r>
      <w:r w:rsidRPr="005E3977">
        <w:rPr>
          <w:rFonts w:ascii="Arial" w:hAnsi="Arial" w:cs="Arial"/>
          <w:sz w:val="22"/>
          <w:szCs w:val="22"/>
        </w:rPr>
        <w:t xml:space="preserve">be complex and hard to make out. </w:t>
      </w:r>
      <w:r>
        <w:rPr>
          <w:rFonts w:ascii="Arial" w:hAnsi="Arial" w:cs="Arial"/>
          <w:sz w:val="22"/>
          <w:szCs w:val="22"/>
        </w:rPr>
        <w:t xml:space="preserve"> The effectiveness of this </w:t>
      </w:r>
      <w:proofErr w:type="spellStart"/>
      <w:r>
        <w:rPr>
          <w:rFonts w:ascii="Arial" w:hAnsi="Arial" w:cs="Arial"/>
          <w:sz w:val="22"/>
          <w:szCs w:val="22"/>
        </w:rPr>
        <w:t>defence</w:t>
      </w:r>
      <w:proofErr w:type="spellEnd"/>
      <w:r>
        <w:rPr>
          <w:rFonts w:ascii="Arial" w:hAnsi="Arial" w:cs="Arial"/>
          <w:sz w:val="22"/>
          <w:szCs w:val="22"/>
        </w:rPr>
        <w:t xml:space="preserve"> to date must be questioned </w:t>
      </w:r>
      <w:r w:rsidRPr="005E3977">
        <w:rPr>
          <w:rFonts w:ascii="Arial" w:hAnsi="Arial" w:cs="Arial"/>
          <w:sz w:val="22"/>
          <w:szCs w:val="22"/>
        </w:rPr>
        <w:t xml:space="preserve">and it seems likely that </w:t>
      </w:r>
      <w:r>
        <w:rPr>
          <w:rFonts w:ascii="Arial" w:hAnsi="Arial" w:cs="Arial"/>
          <w:sz w:val="22"/>
          <w:szCs w:val="22"/>
        </w:rPr>
        <w:t>directors</w:t>
      </w:r>
      <w:r w:rsidRPr="005E3977">
        <w:rPr>
          <w:rFonts w:ascii="Arial" w:hAnsi="Arial" w:cs="Arial"/>
          <w:sz w:val="22"/>
          <w:szCs w:val="22"/>
        </w:rPr>
        <w:t xml:space="preserve"> would </w:t>
      </w:r>
      <w:r>
        <w:rPr>
          <w:rFonts w:ascii="Arial" w:hAnsi="Arial" w:cs="Arial"/>
          <w:sz w:val="22"/>
          <w:szCs w:val="22"/>
        </w:rPr>
        <w:t xml:space="preserve">continue to have reservations as to its utility as a </w:t>
      </w:r>
      <w:proofErr w:type="spellStart"/>
      <w:r>
        <w:rPr>
          <w:rFonts w:ascii="Arial" w:hAnsi="Arial" w:cs="Arial"/>
          <w:sz w:val="22"/>
          <w:szCs w:val="22"/>
        </w:rPr>
        <w:t>defence</w:t>
      </w:r>
      <w:proofErr w:type="spellEnd"/>
      <w:r>
        <w:rPr>
          <w:rFonts w:ascii="Arial" w:hAnsi="Arial" w:cs="Arial"/>
          <w:sz w:val="22"/>
          <w:szCs w:val="22"/>
        </w:rPr>
        <w:t xml:space="preserve"> to an action under </w:t>
      </w:r>
      <w:r w:rsidRPr="005E3977">
        <w:rPr>
          <w:rFonts w:ascii="Arial" w:hAnsi="Arial" w:cs="Arial"/>
          <w:sz w:val="22"/>
          <w:szCs w:val="22"/>
        </w:rPr>
        <w:t xml:space="preserve">s588G. </w:t>
      </w:r>
    </w:p>
    <w:p w14:paraId="4534A638" w14:textId="77777777" w:rsidR="005E3977" w:rsidRDefault="000D210D" w:rsidP="00A86E98">
      <w:pPr>
        <w:pStyle w:val="ListParagraph"/>
        <w:numPr>
          <w:ilvl w:val="0"/>
          <w:numId w:val="35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is </w:t>
      </w:r>
      <w:r w:rsidR="005E3977" w:rsidRPr="00A86E98">
        <w:rPr>
          <w:rFonts w:ascii="Arial" w:hAnsi="Arial" w:cs="Arial"/>
          <w:sz w:val="22"/>
          <w:szCs w:val="22"/>
        </w:rPr>
        <w:t xml:space="preserve">concerned about the need to disclose the appointment of an insolvency adviser to </w:t>
      </w:r>
      <w:r w:rsidR="005B21C7">
        <w:rPr>
          <w:rFonts w:ascii="Arial" w:hAnsi="Arial" w:cs="Arial"/>
          <w:sz w:val="22"/>
          <w:szCs w:val="22"/>
        </w:rPr>
        <w:t xml:space="preserve">the </w:t>
      </w:r>
      <w:r w:rsidR="005E3977" w:rsidRPr="00A86E98">
        <w:rPr>
          <w:rFonts w:ascii="Arial" w:hAnsi="Arial" w:cs="Arial"/>
          <w:sz w:val="22"/>
          <w:szCs w:val="22"/>
        </w:rPr>
        <w:t>ASX or ASIC, because the announcement may, of itself, have a detrimental impact on the compan</w:t>
      </w:r>
      <w:r>
        <w:rPr>
          <w:rFonts w:ascii="Arial" w:hAnsi="Arial" w:cs="Arial"/>
          <w:sz w:val="22"/>
          <w:szCs w:val="22"/>
        </w:rPr>
        <w:t xml:space="preserve">y.  That said ASX listed entities will continue to have disclosure obligations.  </w:t>
      </w:r>
    </w:p>
    <w:p w14:paraId="0FD98119" w14:textId="77777777" w:rsidR="000D210D" w:rsidRDefault="000D210D" w:rsidP="000D210D">
      <w:pPr>
        <w:pStyle w:val="ListParagraph"/>
        <w:numPr>
          <w:ilvl w:val="0"/>
          <w:numId w:val="35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is</w:t>
      </w:r>
      <w:r w:rsidR="005E3977" w:rsidRPr="000D210D">
        <w:rPr>
          <w:rFonts w:ascii="Arial" w:hAnsi="Arial" w:cs="Arial"/>
          <w:sz w:val="22"/>
          <w:szCs w:val="22"/>
        </w:rPr>
        <w:t xml:space="preserve"> concerned in the third dot point </w:t>
      </w:r>
      <w:r w:rsidR="005B21C7">
        <w:rPr>
          <w:rFonts w:ascii="Arial" w:hAnsi="Arial" w:cs="Arial"/>
          <w:sz w:val="22"/>
          <w:szCs w:val="22"/>
        </w:rPr>
        <w:t xml:space="preserve">of 15.2 </w:t>
      </w:r>
      <w:r w:rsidR="005E3977" w:rsidRPr="000D210D">
        <w:rPr>
          <w:rFonts w:ascii="Arial" w:hAnsi="Arial" w:cs="Arial"/>
          <w:sz w:val="22"/>
          <w:szCs w:val="22"/>
        </w:rPr>
        <w:t xml:space="preserve">of the reference to the directors' 'business judgment'. Since the decision in Fortescue, directors have </w:t>
      </w:r>
      <w:r>
        <w:rPr>
          <w:rFonts w:ascii="Arial" w:hAnsi="Arial" w:cs="Arial"/>
          <w:sz w:val="22"/>
          <w:szCs w:val="22"/>
        </w:rPr>
        <w:t>expressed</w:t>
      </w:r>
      <w:r w:rsidR="005E3977" w:rsidRPr="000D210D">
        <w:rPr>
          <w:rFonts w:ascii="Arial" w:hAnsi="Arial" w:cs="Arial"/>
          <w:sz w:val="22"/>
          <w:szCs w:val="22"/>
        </w:rPr>
        <w:t xml:space="preserve"> concern that their actions might be determined by the court not to be 'business' related, which means that if they have not exercised a 'business' judgment, the </w:t>
      </w:r>
      <w:proofErr w:type="spellStart"/>
      <w:r w:rsidR="005E3977" w:rsidRPr="000D210D">
        <w:rPr>
          <w:rFonts w:ascii="Arial" w:hAnsi="Arial" w:cs="Arial"/>
          <w:sz w:val="22"/>
          <w:szCs w:val="22"/>
        </w:rPr>
        <w:t>defence</w:t>
      </w:r>
      <w:proofErr w:type="spellEnd"/>
      <w:r w:rsidR="005E3977" w:rsidRPr="000D21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may </w:t>
      </w:r>
      <w:r w:rsidR="005E3977" w:rsidRPr="000D210D">
        <w:rPr>
          <w:rFonts w:ascii="Arial" w:hAnsi="Arial" w:cs="Arial"/>
          <w:sz w:val="22"/>
          <w:szCs w:val="22"/>
        </w:rPr>
        <w:t xml:space="preserve">cease to be available to them. </w:t>
      </w:r>
      <w:r>
        <w:rPr>
          <w:rFonts w:ascii="Arial" w:hAnsi="Arial" w:cs="Arial"/>
          <w:sz w:val="22"/>
          <w:szCs w:val="22"/>
        </w:rPr>
        <w:t>Accordingly i</w:t>
      </w:r>
      <w:r w:rsidR="005E3977" w:rsidRPr="000D210D">
        <w:rPr>
          <w:rFonts w:ascii="Arial" w:hAnsi="Arial" w:cs="Arial"/>
          <w:sz w:val="22"/>
          <w:szCs w:val="22"/>
        </w:rPr>
        <w:t xml:space="preserve">t would be </w:t>
      </w:r>
      <w:r>
        <w:rPr>
          <w:rFonts w:ascii="Arial" w:hAnsi="Arial" w:cs="Arial"/>
          <w:sz w:val="22"/>
          <w:szCs w:val="22"/>
        </w:rPr>
        <w:t xml:space="preserve">preferable </w:t>
      </w:r>
      <w:r w:rsidR="005E3977" w:rsidRPr="000D210D">
        <w:rPr>
          <w:rFonts w:ascii="Arial" w:hAnsi="Arial" w:cs="Arial"/>
          <w:sz w:val="22"/>
          <w:szCs w:val="22"/>
        </w:rPr>
        <w:t xml:space="preserve">to delete the word 'business', as nothing really seems to turn on it.  </w:t>
      </w:r>
    </w:p>
    <w:p w14:paraId="263A4BE3" w14:textId="77777777" w:rsidR="00BE2D28" w:rsidRDefault="005E3977" w:rsidP="00BE2D28">
      <w:pPr>
        <w:pStyle w:val="ListParagraph"/>
        <w:numPr>
          <w:ilvl w:val="0"/>
          <w:numId w:val="35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0D210D">
        <w:rPr>
          <w:rFonts w:ascii="Arial" w:hAnsi="Arial" w:cs="Arial"/>
          <w:sz w:val="22"/>
          <w:szCs w:val="22"/>
        </w:rPr>
        <w:t xml:space="preserve">In the </w:t>
      </w:r>
      <w:r w:rsidR="00BE2D28">
        <w:rPr>
          <w:rFonts w:ascii="Arial" w:hAnsi="Arial" w:cs="Arial"/>
          <w:sz w:val="22"/>
          <w:szCs w:val="22"/>
        </w:rPr>
        <w:t>third</w:t>
      </w:r>
      <w:r w:rsidRPr="000D210D">
        <w:rPr>
          <w:rFonts w:ascii="Arial" w:hAnsi="Arial" w:cs="Arial"/>
          <w:sz w:val="22"/>
          <w:szCs w:val="22"/>
        </w:rPr>
        <w:t xml:space="preserve"> dot point there is a reference to a duty to creditors. </w:t>
      </w:r>
      <w:r w:rsidR="00BE2D28">
        <w:rPr>
          <w:rFonts w:ascii="Arial" w:hAnsi="Arial" w:cs="Arial"/>
          <w:sz w:val="22"/>
          <w:szCs w:val="22"/>
        </w:rPr>
        <w:t xml:space="preserve"> Care consideration needs to be given to concepts of director duties towards creditors.  The law as it presently stands is that </w:t>
      </w:r>
      <w:r w:rsidRPr="000D210D">
        <w:rPr>
          <w:rFonts w:ascii="Arial" w:hAnsi="Arial" w:cs="Arial"/>
          <w:sz w:val="22"/>
          <w:szCs w:val="22"/>
        </w:rPr>
        <w:t>the company</w:t>
      </w:r>
      <w:r w:rsidR="00BE2D28">
        <w:rPr>
          <w:rFonts w:ascii="Arial" w:hAnsi="Arial" w:cs="Arial"/>
          <w:sz w:val="22"/>
          <w:szCs w:val="22"/>
        </w:rPr>
        <w:t xml:space="preserve"> is</w:t>
      </w:r>
      <w:r w:rsidRPr="000D210D">
        <w:rPr>
          <w:rFonts w:ascii="Arial" w:hAnsi="Arial" w:cs="Arial"/>
          <w:sz w:val="22"/>
          <w:szCs w:val="22"/>
        </w:rPr>
        <w:t xml:space="preserve"> to take into account the interests of creditors at a time when it is approaching insolvency.</w:t>
      </w:r>
      <w:r w:rsidR="00BE2D28">
        <w:rPr>
          <w:rFonts w:ascii="Arial" w:hAnsi="Arial" w:cs="Arial"/>
          <w:sz w:val="22"/>
          <w:szCs w:val="22"/>
        </w:rPr>
        <w:t xml:space="preserve">  If there is to be any statutory reformulation of this duty then it should be subject of express reference.  </w:t>
      </w:r>
    </w:p>
    <w:p w14:paraId="257E18F6" w14:textId="77777777" w:rsidR="009A248B" w:rsidRDefault="00BE2D28" w:rsidP="009A248B">
      <w:pPr>
        <w:pStyle w:val="ListParagraph"/>
        <w:numPr>
          <w:ilvl w:val="0"/>
          <w:numId w:val="35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There has been a</w:t>
      </w:r>
      <w:r w:rsidR="009A248B">
        <w:rPr>
          <w:rFonts w:ascii="Arial" w:hAnsi="Arial" w:cs="Arial"/>
          <w:sz w:val="22"/>
          <w:szCs w:val="22"/>
        </w:rPr>
        <w:t xml:space="preserve"> continued </w:t>
      </w:r>
      <w:r>
        <w:rPr>
          <w:rFonts w:ascii="Arial" w:hAnsi="Arial" w:cs="Arial"/>
          <w:sz w:val="22"/>
          <w:szCs w:val="22"/>
        </w:rPr>
        <w:t>extension of director exposure to liability under taxation and other laws</w:t>
      </w:r>
      <w:r>
        <w:rPr>
          <w:rStyle w:val="FootnoteReference"/>
          <w:rFonts w:cs="Arial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in recent years</w:t>
      </w:r>
      <w:r w:rsidR="009A248B">
        <w:rPr>
          <w:rFonts w:ascii="Arial" w:hAnsi="Arial" w:cs="Arial"/>
          <w:sz w:val="22"/>
          <w:szCs w:val="22"/>
        </w:rPr>
        <w:t>.  C</w:t>
      </w:r>
      <w:r w:rsidR="005E3977" w:rsidRPr="00BE2D28">
        <w:rPr>
          <w:rFonts w:ascii="Arial" w:hAnsi="Arial" w:cs="Arial"/>
          <w:sz w:val="22"/>
          <w:szCs w:val="22"/>
        </w:rPr>
        <w:t xml:space="preserve">onsideration </w:t>
      </w:r>
      <w:r w:rsidR="009A248B">
        <w:rPr>
          <w:rFonts w:ascii="Arial" w:hAnsi="Arial" w:cs="Arial"/>
          <w:sz w:val="22"/>
          <w:szCs w:val="22"/>
        </w:rPr>
        <w:t>should also be</w:t>
      </w:r>
      <w:r w:rsidR="005E3977" w:rsidRPr="00BE2D28">
        <w:rPr>
          <w:rFonts w:ascii="Arial" w:hAnsi="Arial" w:cs="Arial"/>
          <w:sz w:val="22"/>
          <w:szCs w:val="22"/>
        </w:rPr>
        <w:t xml:space="preserve"> given to any safe </w:t>
      </w:r>
      <w:proofErr w:type="spellStart"/>
      <w:r w:rsidR="005E3977" w:rsidRPr="00BE2D28">
        <w:rPr>
          <w:rFonts w:ascii="Arial" w:hAnsi="Arial" w:cs="Arial"/>
          <w:sz w:val="22"/>
          <w:szCs w:val="22"/>
        </w:rPr>
        <w:t>harbour</w:t>
      </w:r>
      <w:proofErr w:type="spellEnd"/>
      <w:r w:rsidR="005E3977" w:rsidRPr="00BE2D28">
        <w:rPr>
          <w:rFonts w:ascii="Arial" w:hAnsi="Arial" w:cs="Arial"/>
          <w:sz w:val="22"/>
          <w:szCs w:val="22"/>
        </w:rPr>
        <w:t xml:space="preserve"> being extended to liability under those laws as well.</w:t>
      </w:r>
    </w:p>
    <w:p w14:paraId="71905282" w14:textId="77777777" w:rsidR="009A248B" w:rsidRDefault="009A248B" w:rsidP="009A248B">
      <w:pPr>
        <w:pStyle w:val="ListParagraph"/>
        <w:numPr>
          <w:ilvl w:val="0"/>
          <w:numId w:val="35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</w:t>
      </w:r>
      <w:r w:rsidR="005E3977" w:rsidRPr="009A248B">
        <w:rPr>
          <w:rFonts w:ascii="Arial" w:hAnsi="Arial" w:cs="Arial"/>
          <w:sz w:val="22"/>
          <w:szCs w:val="22"/>
        </w:rPr>
        <w:t>acknowledge</w:t>
      </w:r>
      <w:r>
        <w:rPr>
          <w:rFonts w:ascii="Arial" w:hAnsi="Arial" w:cs="Arial"/>
          <w:sz w:val="22"/>
          <w:szCs w:val="22"/>
        </w:rPr>
        <w:t>s</w:t>
      </w:r>
      <w:r w:rsidR="005E3977" w:rsidRPr="009A248B">
        <w:rPr>
          <w:rFonts w:ascii="Arial" w:hAnsi="Arial" w:cs="Arial"/>
          <w:sz w:val="22"/>
          <w:szCs w:val="22"/>
        </w:rPr>
        <w:t xml:space="preserve"> the need for a limitation on the time during which the directors can avail themselves of the safe </w:t>
      </w:r>
      <w:proofErr w:type="spellStart"/>
      <w:r w:rsidR="005E3977" w:rsidRPr="009A248B">
        <w:rPr>
          <w:rFonts w:ascii="Arial" w:hAnsi="Arial" w:cs="Arial"/>
          <w:sz w:val="22"/>
          <w:szCs w:val="22"/>
        </w:rPr>
        <w:t>harbour</w:t>
      </w:r>
      <w:proofErr w:type="spellEnd"/>
      <w:r w:rsidR="005E3977" w:rsidRPr="009A248B">
        <w:rPr>
          <w:rFonts w:ascii="Arial" w:hAnsi="Arial" w:cs="Arial"/>
          <w:sz w:val="22"/>
          <w:szCs w:val="22"/>
        </w:rPr>
        <w:t>, and suggest 90 days as a reasonable period</w:t>
      </w:r>
      <w:r>
        <w:rPr>
          <w:rFonts w:ascii="Arial" w:hAnsi="Arial" w:cs="Arial"/>
          <w:sz w:val="22"/>
          <w:szCs w:val="22"/>
        </w:rPr>
        <w:t xml:space="preserve"> subject to extension upon application to the Court.</w:t>
      </w:r>
    </w:p>
    <w:p w14:paraId="48BA2775" w14:textId="77777777" w:rsidR="009A248B" w:rsidRDefault="009A248B" w:rsidP="009A248B">
      <w:pPr>
        <w:pStyle w:val="ListParagraph"/>
        <w:numPr>
          <w:ilvl w:val="0"/>
          <w:numId w:val="35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should be given to t</w:t>
      </w:r>
      <w:r w:rsidR="005E3977" w:rsidRPr="009A248B">
        <w:rPr>
          <w:rFonts w:ascii="Arial" w:hAnsi="Arial" w:cs="Arial"/>
          <w:sz w:val="22"/>
          <w:szCs w:val="22"/>
        </w:rPr>
        <w:t xml:space="preserve">he </w:t>
      </w:r>
      <w:proofErr w:type="spellStart"/>
      <w:r w:rsidR="005E3977" w:rsidRPr="009A248B">
        <w:rPr>
          <w:rFonts w:ascii="Arial" w:hAnsi="Arial" w:cs="Arial"/>
          <w:sz w:val="22"/>
          <w:szCs w:val="22"/>
        </w:rPr>
        <w:t>defence</w:t>
      </w:r>
      <w:proofErr w:type="spellEnd"/>
      <w:r w:rsidR="005E3977" w:rsidRPr="009A24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only being available</w:t>
      </w:r>
      <w:r w:rsidR="005E3977" w:rsidRPr="009A248B">
        <w:rPr>
          <w:rFonts w:ascii="Arial" w:hAnsi="Arial" w:cs="Arial"/>
          <w:sz w:val="22"/>
          <w:szCs w:val="22"/>
        </w:rPr>
        <w:t xml:space="preserve"> at least once every 2 years (rather than the suggested 3)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28889271" w14:textId="77777777" w:rsidR="005E3977" w:rsidRPr="009A248B" w:rsidRDefault="005E3977" w:rsidP="009A248B">
      <w:pPr>
        <w:pStyle w:val="ListParagraph"/>
        <w:numPr>
          <w:ilvl w:val="0"/>
          <w:numId w:val="35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9A248B">
        <w:rPr>
          <w:rFonts w:ascii="Arial" w:hAnsi="Arial" w:cs="Arial"/>
          <w:sz w:val="22"/>
          <w:szCs w:val="22"/>
        </w:rPr>
        <w:t>Australia's insolvent trading regime is already the toughest in the Western economies</w:t>
      </w:r>
      <w:r w:rsidR="009A248B">
        <w:rPr>
          <w:rFonts w:ascii="Arial" w:hAnsi="Arial" w:cs="Arial"/>
          <w:sz w:val="22"/>
          <w:szCs w:val="22"/>
        </w:rPr>
        <w:t xml:space="preserve">.  The Committee </w:t>
      </w:r>
      <w:r w:rsidRPr="009A248B">
        <w:rPr>
          <w:rFonts w:ascii="Arial" w:hAnsi="Arial" w:cs="Arial"/>
          <w:sz w:val="22"/>
          <w:szCs w:val="22"/>
        </w:rPr>
        <w:t>see</w:t>
      </w:r>
      <w:r w:rsidR="009A248B">
        <w:rPr>
          <w:rFonts w:ascii="Arial" w:hAnsi="Arial" w:cs="Arial"/>
          <w:sz w:val="22"/>
          <w:szCs w:val="22"/>
        </w:rPr>
        <w:t>s</w:t>
      </w:r>
      <w:r w:rsidRPr="009A248B">
        <w:rPr>
          <w:rFonts w:ascii="Arial" w:hAnsi="Arial" w:cs="Arial"/>
          <w:sz w:val="22"/>
          <w:szCs w:val="22"/>
        </w:rPr>
        <w:t xml:space="preserve"> no reason to make it any easier to prove insolvent trading, </w:t>
      </w:r>
      <w:r w:rsidR="009A248B">
        <w:rPr>
          <w:rFonts w:ascii="Arial" w:hAnsi="Arial" w:cs="Arial"/>
          <w:sz w:val="22"/>
          <w:szCs w:val="22"/>
        </w:rPr>
        <w:t>and do</w:t>
      </w:r>
      <w:r w:rsidRPr="009A248B">
        <w:rPr>
          <w:rFonts w:ascii="Arial" w:hAnsi="Arial" w:cs="Arial"/>
          <w:sz w:val="22"/>
          <w:szCs w:val="22"/>
        </w:rPr>
        <w:t xml:space="preserve"> not support a proposal to  make insolvent trading 'simpler to prove'.  Already there is an obligation on directors to act if they have reasons to suspect - not expect, that a company is insolvent, which is a </w:t>
      </w:r>
      <w:proofErr w:type="spellStart"/>
      <w:r w:rsidR="009A248B">
        <w:rPr>
          <w:rFonts w:ascii="Arial" w:hAnsi="Arial" w:cs="Arial"/>
          <w:sz w:val="22"/>
          <w:szCs w:val="22"/>
        </w:rPr>
        <w:t>reaonably</w:t>
      </w:r>
      <w:proofErr w:type="spellEnd"/>
      <w:r w:rsidRPr="009A248B">
        <w:rPr>
          <w:rFonts w:ascii="Arial" w:hAnsi="Arial" w:cs="Arial"/>
          <w:sz w:val="22"/>
          <w:szCs w:val="22"/>
        </w:rPr>
        <w:t xml:space="preserve"> low bar in any event. </w:t>
      </w:r>
    </w:p>
    <w:p w14:paraId="1A66B1D9" w14:textId="77777777" w:rsidR="00C060E1" w:rsidRPr="005E3977" w:rsidRDefault="00C060E1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 Committee supports the sentiment behind Recommendation 15.3 in that transferees of assets will require certainty of outcome as a result of any safe harbour reorganisation.  However this might be better addressed though creating a defence to an action from </w:t>
      </w:r>
      <w:r w:rsidR="00152992" w:rsidRPr="005E3977">
        <w:rPr>
          <w:sz w:val="22"/>
          <w:szCs w:val="22"/>
        </w:rPr>
        <w:t>liquidator that</w:t>
      </w:r>
      <w:r w:rsidRPr="005E3977">
        <w:rPr>
          <w:sz w:val="22"/>
          <w:szCs w:val="22"/>
        </w:rPr>
        <w:t xml:space="preserve"> th</w:t>
      </w:r>
      <w:r w:rsidR="00152992" w:rsidRPr="005E3977">
        <w:rPr>
          <w:sz w:val="22"/>
          <w:szCs w:val="22"/>
        </w:rPr>
        <w:t>e</w:t>
      </w:r>
      <w:r w:rsidRPr="005E3977">
        <w:rPr>
          <w:sz w:val="22"/>
          <w:szCs w:val="22"/>
        </w:rPr>
        <w:t xml:space="preserve"> transaction was </w:t>
      </w:r>
      <w:r w:rsidR="00152992" w:rsidRPr="005E3977">
        <w:rPr>
          <w:sz w:val="22"/>
          <w:szCs w:val="22"/>
        </w:rPr>
        <w:t>undertaken</w:t>
      </w:r>
      <w:r w:rsidRPr="005E3977">
        <w:rPr>
          <w:sz w:val="22"/>
          <w:szCs w:val="22"/>
        </w:rPr>
        <w:t xml:space="preserve"> </w:t>
      </w:r>
      <w:r w:rsidR="00152992" w:rsidRPr="005E3977">
        <w:rPr>
          <w:sz w:val="22"/>
          <w:szCs w:val="22"/>
        </w:rPr>
        <w:t>as part of a bona fide re-organisation that was not otherwise in breach of the director’s duties.  This would be consistent with the insolvent trading limitations.  The Liquidator should still otherwise have to prove a case under the present regime.</w:t>
      </w:r>
    </w:p>
    <w:p w14:paraId="70C19F88" w14:textId="77777777" w:rsidR="00152992" w:rsidRPr="005E3977" w:rsidRDefault="004104DF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 Committee supports Recommendation 15.4 and the voiding of </w:t>
      </w:r>
      <w:r w:rsidRPr="005E3977">
        <w:rPr>
          <w:i/>
          <w:sz w:val="22"/>
          <w:szCs w:val="22"/>
        </w:rPr>
        <w:t>ipso facto</w:t>
      </w:r>
      <w:r w:rsidRPr="005E3977">
        <w:rPr>
          <w:sz w:val="22"/>
          <w:szCs w:val="22"/>
        </w:rPr>
        <w:t xml:space="preserve"> clauses as part of any </w:t>
      </w:r>
      <w:r w:rsidR="004322A9">
        <w:rPr>
          <w:sz w:val="22"/>
          <w:szCs w:val="22"/>
        </w:rPr>
        <w:t xml:space="preserve">administration under </w:t>
      </w:r>
      <w:r w:rsidRPr="005E3977">
        <w:rPr>
          <w:sz w:val="22"/>
          <w:szCs w:val="22"/>
        </w:rPr>
        <w:t>Part 5.</w:t>
      </w:r>
      <w:r w:rsidR="004322A9">
        <w:rPr>
          <w:sz w:val="22"/>
          <w:szCs w:val="22"/>
        </w:rPr>
        <w:t>3</w:t>
      </w:r>
      <w:r w:rsidRPr="005E3977">
        <w:rPr>
          <w:sz w:val="22"/>
          <w:szCs w:val="22"/>
        </w:rPr>
        <w:t xml:space="preserve">A of the CA.  </w:t>
      </w:r>
      <w:r w:rsidR="009A3EFA">
        <w:rPr>
          <w:sz w:val="22"/>
          <w:szCs w:val="22"/>
        </w:rPr>
        <w:t>Consideration may need to be given to ensuring adequate protections to suppliers trading with what will ordinarily be an insolvent entity</w:t>
      </w:r>
      <w:r w:rsidR="006C02C5">
        <w:rPr>
          <w:sz w:val="22"/>
          <w:szCs w:val="22"/>
        </w:rPr>
        <w:t xml:space="preserve"> in administration</w:t>
      </w:r>
      <w:r w:rsidR="006C02C5">
        <w:rPr>
          <w:rStyle w:val="FootnoteReference"/>
          <w:szCs w:val="22"/>
        </w:rPr>
        <w:footnoteReference w:id="3"/>
      </w:r>
      <w:r w:rsidR="009A3EFA">
        <w:rPr>
          <w:sz w:val="22"/>
          <w:szCs w:val="22"/>
        </w:rPr>
        <w:t xml:space="preserve">.  </w:t>
      </w:r>
    </w:p>
    <w:p w14:paraId="4F120C1B" w14:textId="77777777" w:rsidR="00A52B22" w:rsidRPr="005E3977" w:rsidRDefault="004104DF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 Committee does not support Recommendation 15.5 and the introduction of a split model that separately addresses “small” liquidations.  There is a concern </w:t>
      </w:r>
      <w:r w:rsidR="00767177">
        <w:rPr>
          <w:sz w:val="22"/>
          <w:szCs w:val="22"/>
        </w:rPr>
        <w:t xml:space="preserve">that the creation of a separate </w:t>
      </w:r>
      <w:r w:rsidRPr="005E3977">
        <w:rPr>
          <w:sz w:val="22"/>
          <w:szCs w:val="22"/>
        </w:rPr>
        <w:t xml:space="preserve">administration may create distortions in the market as parties try and take advantage of perceived benefits in being subject to administration as a </w:t>
      </w:r>
      <w:r w:rsidR="00767177">
        <w:rPr>
          <w:sz w:val="22"/>
          <w:szCs w:val="22"/>
        </w:rPr>
        <w:t>“</w:t>
      </w:r>
      <w:r w:rsidRPr="005E3977">
        <w:rPr>
          <w:sz w:val="22"/>
          <w:szCs w:val="22"/>
        </w:rPr>
        <w:t>small liquidation</w:t>
      </w:r>
      <w:r w:rsidR="00767177">
        <w:rPr>
          <w:sz w:val="22"/>
          <w:szCs w:val="22"/>
        </w:rPr>
        <w:t>”</w:t>
      </w:r>
      <w:r w:rsidRPr="005E3977">
        <w:rPr>
          <w:sz w:val="22"/>
          <w:szCs w:val="22"/>
        </w:rPr>
        <w:t xml:space="preserve">.  </w:t>
      </w:r>
      <w:r w:rsidR="00A52B22" w:rsidRPr="005E3977">
        <w:rPr>
          <w:sz w:val="22"/>
          <w:szCs w:val="22"/>
        </w:rPr>
        <w:t xml:space="preserve">In this regard any system that did not require specific investigations might be seen as attractive to those wishing to avoid scrutiny.  Issues about quantification of creditor claims might </w:t>
      </w:r>
      <w:r w:rsidR="00767177">
        <w:rPr>
          <w:sz w:val="22"/>
          <w:szCs w:val="22"/>
        </w:rPr>
        <w:t xml:space="preserve">be </w:t>
      </w:r>
      <w:r w:rsidR="00A52B22" w:rsidRPr="005E3977">
        <w:rPr>
          <w:sz w:val="22"/>
          <w:szCs w:val="22"/>
        </w:rPr>
        <w:t xml:space="preserve">too easily subverted.  For example how are contingent claims or </w:t>
      </w:r>
      <w:r w:rsidR="00B35974" w:rsidRPr="005E3977">
        <w:rPr>
          <w:sz w:val="22"/>
          <w:szCs w:val="22"/>
        </w:rPr>
        <w:t>tortious claims to be addressed and quantified?</w:t>
      </w:r>
    </w:p>
    <w:p w14:paraId="026750A3" w14:textId="77777777" w:rsidR="004104DF" w:rsidRPr="005E3977" w:rsidRDefault="00A52B22" w:rsidP="00A52B22">
      <w:pPr>
        <w:pStyle w:val="BodyParagraphs"/>
        <w:numPr>
          <w:ilvl w:val="0"/>
          <w:numId w:val="0"/>
        </w:numPr>
        <w:ind w:left="567"/>
        <w:rPr>
          <w:sz w:val="22"/>
          <w:szCs w:val="22"/>
        </w:rPr>
      </w:pPr>
      <w:r w:rsidRPr="005E3977">
        <w:rPr>
          <w:sz w:val="22"/>
          <w:szCs w:val="22"/>
        </w:rPr>
        <w:t xml:space="preserve">One possible way </w:t>
      </w:r>
      <w:r w:rsidR="004104DF" w:rsidRPr="005E3977">
        <w:rPr>
          <w:sz w:val="22"/>
          <w:szCs w:val="22"/>
        </w:rPr>
        <w:t xml:space="preserve">that the concerns giving rise to this recommendation might equally be met </w:t>
      </w:r>
      <w:r w:rsidRPr="005E3977">
        <w:rPr>
          <w:sz w:val="22"/>
          <w:szCs w:val="22"/>
        </w:rPr>
        <w:t xml:space="preserve">would be </w:t>
      </w:r>
      <w:r w:rsidR="004104DF" w:rsidRPr="005E3977">
        <w:rPr>
          <w:sz w:val="22"/>
          <w:szCs w:val="22"/>
        </w:rPr>
        <w:t xml:space="preserve">by “fixing” the costs of </w:t>
      </w:r>
      <w:r w:rsidRPr="005E3977">
        <w:rPr>
          <w:sz w:val="22"/>
          <w:szCs w:val="22"/>
        </w:rPr>
        <w:t xml:space="preserve">the baseline requirements of any winding up without need for creditor approval while permitting additional remuneration for identified and agreed tasks going forward.  </w:t>
      </w:r>
    </w:p>
    <w:p w14:paraId="508D351C" w14:textId="77777777" w:rsidR="006523F6" w:rsidRPr="005E3977" w:rsidRDefault="00A52B22" w:rsidP="00266449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lastRenderedPageBreak/>
        <w:t xml:space="preserve">The Committee </w:t>
      </w:r>
      <w:r w:rsidR="00767177">
        <w:rPr>
          <w:sz w:val="22"/>
          <w:szCs w:val="22"/>
        </w:rPr>
        <w:t>opposes</w:t>
      </w:r>
      <w:r w:rsidRPr="005E3977">
        <w:rPr>
          <w:sz w:val="22"/>
          <w:szCs w:val="22"/>
        </w:rPr>
        <w:t xml:space="preserve"> Recommendation 15.</w:t>
      </w:r>
      <w:r w:rsidR="006523F6" w:rsidRPr="005E3977">
        <w:rPr>
          <w:sz w:val="22"/>
          <w:szCs w:val="22"/>
        </w:rPr>
        <w:t>6</w:t>
      </w:r>
      <w:r w:rsidRPr="005E3977">
        <w:rPr>
          <w:sz w:val="22"/>
          <w:szCs w:val="22"/>
        </w:rPr>
        <w:t xml:space="preserve">.  </w:t>
      </w:r>
      <w:r w:rsidR="00AC529A" w:rsidRPr="005E3977">
        <w:rPr>
          <w:sz w:val="22"/>
          <w:szCs w:val="22"/>
        </w:rPr>
        <w:t>The limitation on application of ipso facto clauses is conceded as a means to circumvent diminution of enterprise value through the actions of a party</w:t>
      </w:r>
      <w:r w:rsidR="00767177">
        <w:rPr>
          <w:sz w:val="22"/>
          <w:szCs w:val="22"/>
        </w:rPr>
        <w:t xml:space="preserve"> in a reconstruction process</w:t>
      </w:r>
      <w:r w:rsidR="00AC529A" w:rsidRPr="005E3977">
        <w:rPr>
          <w:sz w:val="22"/>
          <w:szCs w:val="22"/>
        </w:rPr>
        <w:t xml:space="preserve">.  </w:t>
      </w:r>
      <w:r w:rsidR="006523F6" w:rsidRPr="005E3977">
        <w:rPr>
          <w:sz w:val="22"/>
          <w:szCs w:val="22"/>
        </w:rPr>
        <w:t>In any large pre-insolvency workout secured creditors will always be a key stakeholder and often are the impetus behind a workout.  T</w:t>
      </w:r>
      <w:r w:rsidR="00AC529A" w:rsidRPr="005E3977">
        <w:rPr>
          <w:sz w:val="22"/>
          <w:szCs w:val="22"/>
        </w:rPr>
        <w:t>he limitations on secured creditor rights and the subjecting of secured creditors to unsecured creditor interference may result in a re-pricing of debt and a much costlier enforcement process</w:t>
      </w:r>
      <w:r w:rsidR="003B3782" w:rsidRPr="005E3977">
        <w:rPr>
          <w:sz w:val="22"/>
          <w:szCs w:val="22"/>
        </w:rPr>
        <w:t xml:space="preserve">. </w:t>
      </w:r>
      <w:r w:rsidR="00AC529A" w:rsidRPr="005E3977">
        <w:rPr>
          <w:sz w:val="22"/>
          <w:szCs w:val="22"/>
        </w:rPr>
        <w:t xml:space="preserve">There is no warrant for interfering with the contractual rights of parties as suggested </w:t>
      </w:r>
      <w:r w:rsidR="006523F6" w:rsidRPr="005E3977">
        <w:rPr>
          <w:sz w:val="22"/>
          <w:szCs w:val="22"/>
        </w:rPr>
        <w:t>particularly where the duties of secured creditors in dealing with secured assets are well settled by the Courts</w:t>
      </w:r>
      <w:r w:rsidR="00767177">
        <w:rPr>
          <w:sz w:val="22"/>
          <w:szCs w:val="22"/>
        </w:rPr>
        <w:t xml:space="preserve"> and accepted by stakeholders</w:t>
      </w:r>
      <w:r w:rsidR="006523F6" w:rsidRPr="005E3977">
        <w:rPr>
          <w:sz w:val="22"/>
          <w:szCs w:val="22"/>
        </w:rPr>
        <w:t xml:space="preserve">.  </w:t>
      </w:r>
    </w:p>
    <w:p w14:paraId="543B6058" w14:textId="77777777" w:rsidR="0099003D" w:rsidRPr="005E3977" w:rsidRDefault="003B3782" w:rsidP="0099003D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>The Committee supports Recommendation 15.7.</w:t>
      </w:r>
    </w:p>
    <w:p w14:paraId="04EBF367" w14:textId="77777777" w:rsidR="003B3782" w:rsidRPr="005E3977" w:rsidRDefault="003B3782" w:rsidP="0099003D">
      <w:pPr>
        <w:pStyle w:val="BodyParagraphs"/>
        <w:rPr>
          <w:sz w:val="22"/>
          <w:szCs w:val="22"/>
        </w:rPr>
      </w:pPr>
      <w:r w:rsidRPr="005E3977">
        <w:rPr>
          <w:sz w:val="22"/>
          <w:szCs w:val="22"/>
        </w:rPr>
        <w:t xml:space="preserve">There are divergent views as to the need for a Director Identity Number the subject of Recommendation 15.8.  </w:t>
      </w:r>
      <w:r w:rsidR="00341E86" w:rsidRPr="005E3977">
        <w:rPr>
          <w:sz w:val="22"/>
          <w:szCs w:val="22"/>
        </w:rPr>
        <w:t xml:space="preserve">While this might be seen as a panacea for certain </w:t>
      </w:r>
      <w:r w:rsidR="002B4189" w:rsidRPr="005E3977">
        <w:rPr>
          <w:sz w:val="22"/>
          <w:szCs w:val="22"/>
        </w:rPr>
        <w:t xml:space="preserve">specific </w:t>
      </w:r>
      <w:r w:rsidR="00341E86" w:rsidRPr="005E3977">
        <w:rPr>
          <w:sz w:val="22"/>
          <w:szCs w:val="22"/>
        </w:rPr>
        <w:t xml:space="preserve">abuses </w:t>
      </w:r>
      <w:r w:rsidR="002B4189" w:rsidRPr="005E3977">
        <w:rPr>
          <w:sz w:val="22"/>
          <w:szCs w:val="22"/>
        </w:rPr>
        <w:t xml:space="preserve">and/or illegal conduct </w:t>
      </w:r>
      <w:r w:rsidR="00341E86" w:rsidRPr="005E3977">
        <w:rPr>
          <w:sz w:val="22"/>
          <w:szCs w:val="22"/>
        </w:rPr>
        <w:t xml:space="preserve">it is also seen as subjecting the vast majority of </w:t>
      </w:r>
      <w:r w:rsidR="002B4189" w:rsidRPr="005E3977">
        <w:rPr>
          <w:sz w:val="22"/>
          <w:szCs w:val="22"/>
        </w:rPr>
        <w:t>honest and law abiding directors to a</w:t>
      </w:r>
      <w:r w:rsidR="00341E86" w:rsidRPr="005E3977">
        <w:rPr>
          <w:sz w:val="22"/>
          <w:szCs w:val="22"/>
        </w:rPr>
        <w:t xml:space="preserve"> further</w:t>
      </w:r>
      <w:r w:rsidR="002B4189" w:rsidRPr="005E3977">
        <w:rPr>
          <w:sz w:val="22"/>
          <w:szCs w:val="22"/>
        </w:rPr>
        <w:t xml:space="preserve"> layer of</w:t>
      </w:r>
      <w:r w:rsidR="00341E86" w:rsidRPr="005E3977">
        <w:rPr>
          <w:sz w:val="22"/>
          <w:szCs w:val="22"/>
        </w:rPr>
        <w:t xml:space="preserve"> regulation</w:t>
      </w:r>
      <w:r w:rsidR="002B4189" w:rsidRPr="005E3977">
        <w:rPr>
          <w:sz w:val="22"/>
          <w:szCs w:val="22"/>
        </w:rPr>
        <w:t xml:space="preserve">.  </w:t>
      </w:r>
      <w:r w:rsidR="00341E86" w:rsidRPr="005E3977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B65CE" w:rsidRPr="005E3977" w14:paraId="7E52E567" w14:textId="77777777">
        <w:tc>
          <w:tcPr>
            <w:tcW w:w="9576" w:type="dxa"/>
            <w:shd w:val="clear" w:color="auto" w:fill="EEECE1" w:themeFill="background2"/>
          </w:tcPr>
          <w:p w14:paraId="6AE56B51" w14:textId="77777777" w:rsidR="00BE499B" w:rsidRPr="000141B5" w:rsidRDefault="00721574">
            <w:pPr>
              <w:rPr>
                <w:rFonts w:ascii="Arial" w:hAnsi="Arial" w:cs="Arial"/>
                <w:sz w:val="36"/>
                <w:szCs w:val="36"/>
              </w:rPr>
            </w:pPr>
            <w:r w:rsidRPr="000141B5">
              <w:rPr>
                <w:rFonts w:ascii="Arial" w:hAnsi="Arial" w:cs="Arial"/>
                <w:sz w:val="36"/>
                <w:szCs w:val="36"/>
              </w:rPr>
              <w:t>5</w:t>
            </w:r>
            <w:r w:rsidR="001C7FAC" w:rsidRPr="000141B5">
              <w:rPr>
                <w:rFonts w:ascii="Arial" w:hAnsi="Arial" w:cs="Arial"/>
                <w:sz w:val="36"/>
                <w:szCs w:val="36"/>
              </w:rPr>
              <w:t>.    Contact details</w:t>
            </w:r>
          </w:p>
        </w:tc>
      </w:tr>
    </w:tbl>
    <w:p w14:paraId="4D379EAC" w14:textId="77777777" w:rsidR="00BE499B" w:rsidRPr="005E3977" w:rsidRDefault="004C7C12">
      <w:pPr>
        <w:rPr>
          <w:rFonts w:ascii="Arial" w:hAnsi="Arial" w:cs="Arial"/>
          <w:sz w:val="22"/>
          <w:szCs w:val="22"/>
        </w:rPr>
      </w:pPr>
    </w:p>
    <w:p w14:paraId="69CF08DE" w14:textId="77777777" w:rsidR="00BE499B" w:rsidRPr="005E3977" w:rsidRDefault="001C7FAC">
      <w:pPr>
        <w:pStyle w:val="ListParagraph"/>
        <w:numPr>
          <w:ilvl w:val="0"/>
          <w:numId w:val="11"/>
        </w:numPr>
        <w:ind w:left="709" w:hanging="709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>Questions regarding this Submission can be addressed to the following:</w:t>
      </w:r>
    </w:p>
    <w:p w14:paraId="46942B6D" w14:textId="77777777" w:rsidR="00BE499B" w:rsidRPr="005E3977" w:rsidRDefault="004C7C12">
      <w:pPr>
        <w:ind w:left="720" w:hanging="720"/>
        <w:rPr>
          <w:rFonts w:ascii="Arial" w:hAnsi="Arial" w:cs="Arial"/>
          <w:sz w:val="22"/>
          <w:szCs w:val="22"/>
        </w:rPr>
      </w:pPr>
    </w:p>
    <w:p w14:paraId="3D52DB53" w14:textId="77777777" w:rsidR="00BE499B" w:rsidRPr="005E3977" w:rsidRDefault="001C7FAC" w:rsidP="00DA0106">
      <w:pPr>
        <w:ind w:left="709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>Michael Lhuede, (Chairman of the Insolvency &amp; Reconstruction Committee, Business Law Section, Law Council of Australia)</w:t>
      </w:r>
    </w:p>
    <w:p w14:paraId="2EB4DA1E" w14:textId="77777777" w:rsidR="00BE499B" w:rsidRPr="005E3977" w:rsidRDefault="001C7FAC" w:rsidP="00DA0106">
      <w:pPr>
        <w:ind w:left="720" w:hanging="720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ab/>
        <w:t>Piper Alderman Lawyers</w:t>
      </w:r>
    </w:p>
    <w:p w14:paraId="6B207801" w14:textId="77777777" w:rsidR="00AC68D5" w:rsidRPr="005E3977" w:rsidRDefault="001C7FAC" w:rsidP="00DA0106">
      <w:pPr>
        <w:ind w:left="720" w:hanging="720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ab/>
        <w:t>Level 24, 385 Bourke Street</w:t>
      </w:r>
    </w:p>
    <w:p w14:paraId="57A8A6AA" w14:textId="77777777" w:rsidR="00AC68D5" w:rsidRPr="005E3977" w:rsidRDefault="001C7FAC" w:rsidP="00AC68D5">
      <w:pPr>
        <w:ind w:left="720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 xml:space="preserve">Melbourne VIC 3000 </w:t>
      </w:r>
    </w:p>
    <w:p w14:paraId="2EA9CC64" w14:textId="77777777" w:rsidR="004C7C12" w:rsidRDefault="004C7C12" w:rsidP="00AC68D5">
      <w:pPr>
        <w:ind w:left="720" w:hanging="720"/>
        <w:rPr>
          <w:rFonts w:ascii="Arial" w:hAnsi="Arial" w:cs="Arial"/>
          <w:sz w:val="22"/>
          <w:szCs w:val="22"/>
        </w:rPr>
      </w:pPr>
    </w:p>
    <w:p w14:paraId="22C54BC0" w14:textId="460FADC1" w:rsidR="0091093B" w:rsidRPr="005E3977" w:rsidRDefault="004C7C12" w:rsidP="00AC68D5">
      <w:pPr>
        <w:ind w:left="720" w:hanging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5F7DB5F" w14:textId="77777777" w:rsidR="009C7A58" w:rsidRPr="005E3977" w:rsidRDefault="009C7A58" w:rsidP="00AC68D5">
      <w:pPr>
        <w:ind w:left="720" w:hanging="720"/>
        <w:rPr>
          <w:rFonts w:ascii="Arial" w:hAnsi="Arial" w:cs="Arial"/>
          <w:sz w:val="22"/>
          <w:szCs w:val="22"/>
        </w:rPr>
      </w:pPr>
    </w:p>
    <w:p w14:paraId="10A77E17" w14:textId="77777777" w:rsidR="009C7A58" w:rsidRPr="005E3977" w:rsidRDefault="009C7A58" w:rsidP="00AC68D5">
      <w:pPr>
        <w:ind w:left="720" w:hanging="720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ab/>
        <w:t>Bruce Cowley , (Chairman of the Corporations Committee, Business Law Section, Law Council of Australia)</w:t>
      </w:r>
    </w:p>
    <w:p w14:paraId="049D0323" w14:textId="77777777" w:rsidR="009C7A58" w:rsidRPr="005E3977" w:rsidRDefault="009C7A58" w:rsidP="009C7A58">
      <w:pPr>
        <w:ind w:left="720"/>
        <w:rPr>
          <w:rFonts w:ascii="Arial" w:hAnsi="Arial" w:cs="Arial"/>
          <w:bCs/>
          <w:sz w:val="22"/>
          <w:szCs w:val="22"/>
        </w:rPr>
      </w:pPr>
      <w:r w:rsidRPr="005E3977">
        <w:rPr>
          <w:rFonts w:ascii="Arial" w:hAnsi="Arial" w:cs="Arial"/>
          <w:bCs/>
          <w:sz w:val="22"/>
          <w:szCs w:val="22"/>
        </w:rPr>
        <w:t xml:space="preserve">Minter Ellison </w:t>
      </w:r>
    </w:p>
    <w:p w14:paraId="168E13D5" w14:textId="77777777" w:rsidR="009C7A58" w:rsidRPr="005E3977" w:rsidRDefault="009C7A58" w:rsidP="009C7A58">
      <w:pPr>
        <w:ind w:left="720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 xml:space="preserve">Waterfront Place • 1 Eagle Street </w:t>
      </w:r>
    </w:p>
    <w:p w14:paraId="639B9C1B" w14:textId="77777777" w:rsidR="009C7A58" w:rsidRPr="005E3977" w:rsidRDefault="009C7A58" w:rsidP="009C7A58">
      <w:pPr>
        <w:ind w:left="720"/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>Brisbane • QLD 4000</w:t>
      </w:r>
    </w:p>
    <w:p w14:paraId="71D92E59" w14:textId="26413563" w:rsidR="00535738" w:rsidRPr="005E3977" w:rsidRDefault="009C7A58" w:rsidP="004C7C12">
      <w:pPr>
        <w:rPr>
          <w:rFonts w:ascii="Arial" w:hAnsi="Arial" w:cs="Arial"/>
          <w:sz w:val="22"/>
          <w:szCs w:val="22"/>
        </w:rPr>
      </w:pPr>
      <w:r w:rsidRPr="005E3977">
        <w:rPr>
          <w:rFonts w:ascii="Arial" w:hAnsi="Arial" w:cs="Arial"/>
          <w:sz w:val="22"/>
          <w:szCs w:val="22"/>
        </w:rPr>
        <w:tab/>
      </w:r>
    </w:p>
    <w:p w14:paraId="33D3FD1A" w14:textId="77777777" w:rsidR="009C7A58" w:rsidRPr="005E3977" w:rsidRDefault="009C7A58" w:rsidP="0094412A">
      <w:pPr>
        <w:rPr>
          <w:rFonts w:ascii="Arial" w:hAnsi="Arial" w:cs="Arial"/>
          <w:sz w:val="22"/>
          <w:szCs w:val="22"/>
        </w:rPr>
      </w:pPr>
    </w:p>
    <w:sectPr w:rsidR="009C7A58" w:rsidRPr="005E3977" w:rsidSect="005E4C5C"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paperSrc w:first="1284" w:other="128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E074F" w14:textId="77777777" w:rsidR="00421C15" w:rsidRDefault="00421C15">
      <w:r>
        <w:separator/>
      </w:r>
    </w:p>
  </w:endnote>
  <w:endnote w:type="continuationSeparator" w:id="0">
    <w:p w14:paraId="36BCF801" w14:textId="77777777" w:rsidR="00421C15" w:rsidRDefault="0042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3929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1"/>
        <w:szCs w:val="21"/>
      </w:rPr>
    </w:sdtEndPr>
    <w:sdtContent>
      <w:p w14:paraId="610DE287" w14:textId="77777777" w:rsidR="007E1270" w:rsidRPr="00D9484C" w:rsidRDefault="001C7FAC">
        <w:pPr>
          <w:pStyle w:val="Footer"/>
          <w:jc w:val="right"/>
          <w:rPr>
            <w:rFonts w:ascii="Arial" w:hAnsi="Arial" w:cs="Arial"/>
            <w:sz w:val="21"/>
            <w:szCs w:val="21"/>
          </w:rPr>
        </w:pPr>
        <w:r w:rsidRPr="00D9484C">
          <w:rPr>
            <w:rFonts w:ascii="Arial" w:hAnsi="Arial" w:cs="Arial"/>
            <w:sz w:val="21"/>
            <w:szCs w:val="21"/>
          </w:rPr>
          <w:fldChar w:fldCharType="begin"/>
        </w:r>
        <w:r w:rsidRPr="00D9484C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D9484C">
          <w:rPr>
            <w:rFonts w:ascii="Arial" w:hAnsi="Arial" w:cs="Arial"/>
            <w:sz w:val="21"/>
            <w:szCs w:val="21"/>
          </w:rPr>
          <w:fldChar w:fldCharType="separate"/>
        </w:r>
        <w:r w:rsidR="004C7C12">
          <w:rPr>
            <w:rFonts w:ascii="Arial" w:hAnsi="Arial" w:cs="Arial"/>
            <w:noProof/>
            <w:sz w:val="21"/>
            <w:szCs w:val="21"/>
          </w:rPr>
          <w:t>2</w:t>
        </w:r>
        <w:r w:rsidRPr="00D9484C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6CB84582" w14:textId="77777777" w:rsidR="007E1270" w:rsidRDefault="004C7C12">
    <w:pPr>
      <w:pStyle w:val="Footer"/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D214D" w14:textId="77777777" w:rsidR="007E1270" w:rsidRDefault="004C7C12">
    <w:pPr>
      <w:pStyle w:val="Footer"/>
      <w:spacing w:line="200" w:lineRule="exact"/>
    </w:pPr>
  </w:p>
  <w:p w14:paraId="7AB35352" w14:textId="77777777" w:rsidR="007E1270" w:rsidRDefault="004C7C12">
    <w:pPr>
      <w:pStyle w:val="Footer"/>
      <w:spacing w:line="200" w:lineRule="exact"/>
    </w:pPr>
  </w:p>
  <w:p w14:paraId="4C907483" w14:textId="77777777" w:rsidR="007E1270" w:rsidRDefault="004C7C12">
    <w:pPr>
      <w:pStyle w:val="Footer"/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19028" w14:textId="77777777" w:rsidR="00421C15" w:rsidRDefault="00421C15">
      <w:r>
        <w:separator/>
      </w:r>
    </w:p>
  </w:footnote>
  <w:footnote w:type="continuationSeparator" w:id="0">
    <w:tbl>
      <w:tblPr>
        <w:tblStyle w:val="TableGrid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880"/>
      </w:tblGrid>
      <w:tr w:rsidR="00421C15" w14:paraId="1CFCABBD" w14:textId="77777777">
        <w:tc>
          <w:tcPr>
            <w:tcW w:w="2880" w:type="dxa"/>
            <w:tcBorders>
              <w:bottom w:val="single" w:sz="4" w:space="0" w:color="auto"/>
            </w:tcBorders>
          </w:tcPr>
          <w:p w14:paraId="0AE56266" w14:textId="77777777" w:rsidR="00421C15" w:rsidRDefault="00421C15">
            <w:pPr>
              <w:pStyle w:val="FootnoteSeparator"/>
            </w:pPr>
          </w:p>
        </w:tc>
      </w:tr>
      <w:tr w:rsidR="00421C15" w14:paraId="729834B6" w14:textId="77777777">
        <w:tc>
          <w:tcPr>
            <w:tcW w:w="2880" w:type="dxa"/>
            <w:tcBorders>
              <w:top w:val="single" w:sz="4" w:space="0" w:color="auto"/>
            </w:tcBorders>
          </w:tcPr>
          <w:p w14:paraId="24552C7B" w14:textId="77777777" w:rsidR="00421C15" w:rsidRDefault="00421C15">
            <w:pPr>
              <w:pStyle w:val="FootnoteSeparator"/>
            </w:pPr>
            <w:r>
              <w:t>(continued…)</w:t>
            </w:r>
          </w:p>
        </w:tc>
      </w:tr>
    </w:tbl>
    <w:p w14:paraId="542B15A3" w14:textId="77777777" w:rsidR="00421C15" w:rsidRDefault="00421C15">
      <w:pPr>
        <w:pStyle w:val="Footer"/>
      </w:pPr>
    </w:p>
  </w:footnote>
  <w:footnote w:id="1">
    <w:p w14:paraId="51A29A17" w14:textId="77777777" w:rsidR="00C013C5" w:rsidRPr="003467A6" w:rsidRDefault="00B84A4E" w:rsidP="00C013C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C013C5">
        <w:t xml:space="preserve">The utility of expressions </w:t>
      </w:r>
      <w:r w:rsidR="00627206">
        <w:t xml:space="preserve">such </w:t>
      </w:r>
      <w:r w:rsidR="00C013C5">
        <w:t xml:space="preserve">as “consumer” bankruptcy is questionable.  </w:t>
      </w:r>
      <w:r w:rsidR="00627206">
        <w:t>There</w:t>
      </w:r>
      <w:r w:rsidR="00C013C5">
        <w:t xml:space="preserve"> is no such distinction drawn within the Act.  Equally the Act does not distinguish the role of the Official Trustee in Bankruptcy  as being any different to that of Registered Trustees – see generally </w:t>
      </w:r>
      <w:proofErr w:type="spellStart"/>
      <w:r w:rsidR="00627206" w:rsidRPr="00627206">
        <w:rPr>
          <w:i/>
        </w:rPr>
        <w:t>Adsett</w:t>
      </w:r>
      <w:proofErr w:type="spellEnd"/>
      <w:r w:rsidR="00627206" w:rsidRPr="00627206">
        <w:rPr>
          <w:i/>
        </w:rPr>
        <w:t xml:space="preserve"> v </w:t>
      </w:r>
      <w:proofErr w:type="spellStart"/>
      <w:r w:rsidR="00627206" w:rsidRPr="00627206">
        <w:rPr>
          <w:i/>
        </w:rPr>
        <w:t>Berlouis</w:t>
      </w:r>
      <w:proofErr w:type="spellEnd"/>
      <w:r w:rsidR="00627206">
        <w:t xml:space="preserve"> (1992) 37 FCR 201.</w:t>
      </w:r>
    </w:p>
    <w:p w14:paraId="65FE4A68" w14:textId="77777777" w:rsidR="00B84A4E" w:rsidRPr="00B84A4E" w:rsidRDefault="000D35DD">
      <w:pPr>
        <w:pStyle w:val="FootnoteText"/>
        <w:rPr>
          <w:lang w:val="en-AU"/>
        </w:rPr>
      </w:pPr>
      <w:r>
        <w:rPr>
          <w:lang w:val="en-AU"/>
        </w:rPr>
        <w:t xml:space="preserve">By way of </w:t>
      </w:r>
      <w:r w:rsidR="00E2420C">
        <w:rPr>
          <w:lang w:val="en-AU"/>
        </w:rPr>
        <w:t>example</w:t>
      </w:r>
      <w:r w:rsidR="00B84A4E">
        <w:rPr>
          <w:lang w:val="en-AU"/>
        </w:rPr>
        <w:t xml:space="preserve"> the Act requires all bankrupts to provide a statement of income within 21 days after the end of the relevant assessment period – section 139U, and for the trustee to conduct an assessment </w:t>
      </w:r>
      <w:r w:rsidR="00DE7154">
        <w:rPr>
          <w:lang w:val="en-AU"/>
        </w:rPr>
        <w:t>of</w:t>
      </w:r>
      <w:r w:rsidR="00B84A4E">
        <w:rPr>
          <w:lang w:val="en-AU"/>
        </w:rPr>
        <w:t xml:space="preserve"> income liability after the start of each assessment period.  </w:t>
      </w:r>
      <w:r w:rsidR="00DE7154">
        <w:rPr>
          <w:lang w:val="en-AU"/>
        </w:rPr>
        <w:t xml:space="preserve">A failure to provide particulars  of income information is a ground of objection (see s.149D(1)(e) and a trustee is under a positive obligation to file an objection if to do so will help encourage the bankrupt to discharge his or her obligation.  The extent to which these </w:t>
      </w:r>
      <w:r w:rsidR="00E2420C">
        <w:rPr>
          <w:lang w:val="en-AU"/>
        </w:rPr>
        <w:t xml:space="preserve">positive </w:t>
      </w:r>
      <w:r w:rsidR="00DE7154">
        <w:rPr>
          <w:lang w:val="en-AU"/>
        </w:rPr>
        <w:t xml:space="preserve">obligations </w:t>
      </w:r>
      <w:r w:rsidR="00E2420C">
        <w:rPr>
          <w:lang w:val="en-AU"/>
        </w:rPr>
        <w:t xml:space="preserve">under the Act </w:t>
      </w:r>
      <w:r w:rsidR="00DE7154">
        <w:rPr>
          <w:lang w:val="en-AU"/>
        </w:rPr>
        <w:t>are met with respect to consumer bankrupts is not commented upon</w:t>
      </w:r>
      <w:r>
        <w:rPr>
          <w:lang w:val="en-AU"/>
        </w:rPr>
        <w:t xml:space="preserve"> in the Draft Report</w:t>
      </w:r>
      <w:r w:rsidR="00DE7154">
        <w:rPr>
          <w:lang w:val="en-AU"/>
        </w:rPr>
        <w:t>.</w:t>
      </w:r>
      <w:r>
        <w:rPr>
          <w:lang w:val="en-AU"/>
        </w:rPr>
        <w:t xml:space="preserve">  </w:t>
      </w:r>
    </w:p>
  </w:footnote>
  <w:footnote w:id="2">
    <w:p w14:paraId="677960C1" w14:textId="77777777" w:rsidR="00BE2D28" w:rsidRPr="00BE2D28" w:rsidRDefault="00BE2D2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See for example the ability to make directors liable for entitlements under the Fair Work Act.</w:t>
      </w:r>
    </w:p>
  </w:footnote>
  <w:footnote w:id="3">
    <w:p w14:paraId="3681B850" w14:textId="77777777" w:rsidR="006C02C5" w:rsidRPr="006C02C5" w:rsidRDefault="006C02C5" w:rsidP="006C02C5">
      <w:pPr>
        <w:pStyle w:val="FootnoteText"/>
        <w:ind w:left="720" w:firstLine="0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Query whether the protection under section 443A of the CA will be sufficient protection to suppliers  on standing supply contracts entered pre-administration</w:t>
      </w:r>
      <w:r w:rsidR="005834C4">
        <w:rPr>
          <w:lang w:val="en-A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E6FED8"/>
    <w:lvl w:ilvl="0">
      <w:start w:val="1"/>
      <w:numFmt w:val="decimal"/>
      <w:pStyle w:val="ListNumber5"/>
      <w:lvlText w:val="%1."/>
      <w:lvlJc w:val="left"/>
      <w:pPr>
        <w:tabs>
          <w:tab w:val="num" w:pos="3600"/>
        </w:tabs>
        <w:ind w:left="3600" w:hanging="720"/>
      </w:pPr>
    </w:lvl>
  </w:abstractNum>
  <w:abstractNum w:abstractNumId="1">
    <w:nsid w:val="FFFFFF7D"/>
    <w:multiLevelType w:val="singleLevel"/>
    <w:tmpl w:val="E468F882"/>
    <w:lvl w:ilvl="0">
      <w:start w:val="1"/>
      <w:numFmt w:val="decimal"/>
      <w:pStyle w:val="ListNumber4"/>
      <w:lvlText w:val="%1."/>
      <w:lvlJc w:val="left"/>
      <w:pPr>
        <w:tabs>
          <w:tab w:val="num" w:pos="2880"/>
        </w:tabs>
        <w:ind w:left="2880" w:hanging="720"/>
      </w:pPr>
    </w:lvl>
  </w:abstractNum>
  <w:abstractNum w:abstractNumId="2">
    <w:nsid w:val="FFFFFF7E"/>
    <w:multiLevelType w:val="singleLevel"/>
    <w:tmpl w:val="F4726BB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FFFFFF7F"/>
    <w:multiLevelType w:val="singleLevel"/>
    <w:tmpl w:val="667048C2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FFFFFF80"/>
    <w:multiLevelType w:val="singleLevel"/>
    <w:tmpl w:val="65F28BD0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9299FA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5EB7E4"/>
    <w:lvl w:ilvl="0">
      <w:start w:val="1"/>
      <w:numFmt w:val="bullet"/>
      <w:pStyle w:val="ListBullet3"/>
      <w:lvlText w:val="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14FA6E"/>
    <w:lvl w:ilvl="0">
      <w:start w:val="1"/>
      <w:numFmt w:val="bullet"/>
      <w:pStyle w:val="ListBullet2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BC28A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FFFFFF89"/>
    <w:multiLevelType w:val="singleLevel"/>
    <w:tmpl w:val="9A0C645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07F978F3"/>
    <w:multiLevelType w:val="hybridMultilevel"/>
    <w:tmpl w:val="3AB6B122"/>
    <w:lvl w:ilvl="0" w:tplc="C8EED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76837C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DEC0072" w:tentative="1">
      <w:start w:val="1"/>
      <w:numFmt w:val="lowerRoman"/>
      <w:lvlText w:val="%3."/>
      <w:lvlJc w:val="right"/>
      <w:pPr>
        <w:ind w:left="2160" w:hanging="180"/>
      </w:pPr>
    </w:lvl>
    <w:lvl w:ilvl="3" w:tplc="929AA1F2" w:tentative="1">
      <w:start w:val="1"/>
      <w:numFmt w:val="decimal"/>
      <w:lvlText w:val="%4."/>
      <w:lvlJc w:val="left"/>
      <w:pPr>
        <w:ind w:left="2880" w:hanging="360"/>
      </w:pPr>
    </w:lvl>
    <w:lvl w:ilvl="4" w:tplc="3C5E750C" w:tentative="1">
      <w:start w:val="1"/>
      <w:numFmt w:val="lowerLetter"/>
      <w:lvlText w:val="%5."/>
      <w:lvlJc w:val="left"/>
      <w:pPr>
        <w:ind w:left="3600" w:hanging="360"/>
      </w:pPr>
    </w:lvl>
    <w:lvl w:ilvl="5" w:tplc="A90A7294" w:tentative="1">
      <w:start w:val="1"/>
      <w:numFmt w:val="lowerRoman"/>
      <w:lvlText w:val="%6."/>
      <w:lvlJc w:val="right"/>
      <w:pPr>
        <w:ind w:left="4320" w:hanging="180"/>
      </w:pPr>
    </w:lvl>
    <w:lvl w:ilvl="6" w:tplc="189C68DE" w:tentative="1">
      <w:start w:val="1"/>
      <w:numFmt w:val="decimal"/>
      <w:lvlText w:val="%7."/>
      <w:lvlJc w:val="left"/>
      <w:pPr>
        <w:ind w:left="5040" w:hanging="360"/>
      </w:pPr>
    </w:lvl>
    <w:lvl w:ilvl="7" w:tplc="6D388688" w:tentative="1">
      <w:start w:val="1"/>
      <w:numFmt w:val="lowerLetter"/>
      <w:lvlText w:val="%8."/>
      <w:lvlJc w:val="left"/>
      <w:pPr>
        <w:ind w:left="5760" w:hanging="360"/>
      </w:pPr>
    </w:lvl>
    <w:lvl w:ilvl="8" w:tplc="9A867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B46B5A"/>
    <w:multiLevelType w:val="hybridMultilevel"/>
    <w:tmpl w:val="4F04D75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AEC2945"/>
    <w:multiLevelType w:val="multilevel"/>
    <w:tmpl w:val="F9165BD8"/>
    <w:lvl w:ilvl="0">
      <w:numFmt w:val="bullet"/>
      <w:lvlText w:val="▪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♦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♦"/>
      <w:lvlJc w:val="left"/>
      <w:pPr>
        <w:ind w:left="0" w:firstLine="0"/>
      </w:pPr>
      <w:rPr>
        <w:position w:val="0"/>
      </w:rPr>
    </w:lvl>
  </w:abstractNum>
  <w:abstractNum w:abstractNumId="13">
    <w:nsid w:val="0FF269D8"/>
    <w:multiLevelType w:val="multilevel"/>
    <w:tmpl w:val="C254A4FA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</w:rPr>
    </w:lvl>
  </w:abstractNum>
  <w:abstractNum w:abstractNumId="14">
    <w:nsid w:val="13F37278"/>
    <w:multiLevelType w:val="multilevel"/>
    <w:tmpl w:val="884A0FFE"/>
    <w:lvl w:ilvl="0">
      <w:numFmt w:val="bullet"/>
      <w:lvlText w:val="▪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♦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♦"/>
      <w:lvlJc w:val="left"/>
      <w:pPr>
        <w:ind w:left="0" w:firstLine="0"/>
      </w:pPr>
      <w:rPr>
        <w:position w:val="0"/>
      </w:rPr>
    </w:lvl>
  </w:abstractNum>
  <w:abstractNum w:abstractNumId="15">
    <w:nsid w:val="19F16A21"/>
    <w:multiLevelType w:val="multilevel"/>
    <w:tmpl w:val="32A092F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1ACD6B35"/>
    <w:multiLevelType w:val="multilevel"/>
    <w:tmpl w:val="39E438A8"/>
    <w:lvl w:ilvl="0">
      <w:numFmt w:val="bullet"/>
      <w:lvlText w:val="▪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♦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♦"/>
      <w:lvlJc w:val="left"/>
      <w:pPr>
        <w:ind w:left="0" w:firstLine="0"/>
      </w:pPr>
      <w:rPr>
        <w:position w:val="0"/>
      </w:rPr>
    </w:lvl>
  </w:abstractNum>
  <w:abstractNum w:abstractNumId="17">
    <w:nsid w:val="1F540B85"/>
    <w:multiLevelType w:val="hybridMultilevel"/>
    <w:tmpl w:val="964C822A"/>
    <w:lvl w:ilvl="0" w:tplc="E30A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098F4" w:tentative="1">
      <w:start w:val="1"/>
      <w:numFmt w:val="lowerLetter"/>
      <w:lvlText w:val="%2."/>
      <w:lvlJc w:val="left"/>
      <w:pPr>
        <w:ind w:left="1440" w:hanging="360"/>
      </w:pPr>
    </w:lvl>
    <w:lvl w:ilvl="2" w:tplc="45729880" w:tentative="1">
      <w:start w:val="1"/>
      <w:numFmt w:val="lowerRoman"/>
      <w:lvlText w:val="%3."/>
      <w:lvlJc w:val="right"/>
      <w:pPr>
        <w:ind w:left="2160" w:hanging="180"/>
      </w:pPr>
    </w:lvl>
    <w:lvl w:ilvl="3" w:tplc="FCF00FE0" w:tentative="1">
      <w:start w:val="1"/>
      <w:numFmt w:val="decimal"/>
      <w:lvlText w:val="%4."/>
      <w:lvlJc w:val="left"/>
      <w:pPr>
        <w:ind w:left="2880" w:hanging="360"/>
      </w:pPr>
    </w:lvl>
    <w:lvl w:ilvl="4" w:tplc="5A726234" w:tentative="1">
      <w:start w:val="1"/>
      <w:numFmt w:val="lowerLetter"/>
      <w:lvlText w:val="%5."/>
      <w:lvlJc w:val="left"/>
      <w:pPr>
        <w:ind w:left="3600" w:hanging="360"/>
      </w:pPr>
    </w:lvl>
    <w:lvl w:ilvl="5" w:tplc="00A4CF52" w:tentative="1">
      <w:start w:val="1"/>
      <w:numFmt w:val="lowerRoman"/>
      <w:lvlText w:val="%6."/>
      <w:lvlJc w:val="right"/>
      <w:pPr>
        <w:ind w:left="4320" w:hanging="180"/>
      </w:pPr>
    </w:lvl>
    <w:lvl w:ilvl="6" w:tplc="0446602E" w:tentative="1">
      <w:start w:val="1"/>
      <w:numFmt w:val="decimal"/>
      <w:lvlText w:val="%7."/>
      <w:lvlJc w:val="left"/>
      <w:pPr>
        <w:ind w:left="5040" w:hanging="360"/>
      </w:pPr>
    </w:lvl>
    <w:lvl w:ilvl="7" w:tplc="43CE9E16" w:tentative="1">
      <w:start w:val="1"/>
      <w:numFmt w:val="lowerLetter"/>
      <w:lvlText w:val="%8."/>
      <w:lvlJc w:val="left"/>
      <w:pPr>
        <w:ind w:left="5760" w:hanging="360"/>
      </w:pPr>
    </w:lvl>
    <w:lvl w:ilvl="8" w:tplc="62DC0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B4914"/>
    <w:multiLevelType w:val="hybridMultilevel"/>
    <w:tmpl w:val="DF401D86"/>
    <w:lvl w:ilvl="0" w:tplc="973A37EE">
      <w:start w:val="1"/>
      <w:numFmt w:val="decimal"/>
      <w:pStyle w:val="BodyParagraphs"/>
      <w:lvlText w:val="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C622C54">
      <w:start w:val="1"/>
      <w:numFmt w:val="lowerLetter"/>
      <w:pStyle w:val="BodyINdent"/>
      <w:lvlText w:val="%2."/>
      <w:lvlJc w:val="left"/>
      <w:pPr>
        <w:ind w:left="1440" w:hanging="360"/>
      </w:pPr>
      <w:rPr>
        <w:sz w:val="21"/>
        <w:szCs w:val="21"/>
      </w:rPr>
    </w:lvl>
    <w:lvl w:ilvl="2" w:tplc="F2EABF14">
      <w:start w:val="1"/>
      <w:numFmt w:val="lowerRoman"/>
      <w:lvlText w:val="%3."/>
      <w:lvlJc w:val="right"/>
      <w:pPr>
        <w:ind w:left="2160" w:hanging="180"/>
      </w:pPr>
    </w:lvl>
    <w:lvl w:ilvl="3" w:tplc="157456F0" w:tentative="1">
      <w:start w:val="1"/>
      <w:numFmt w:val="decimal"/>
      <w:lvlText w:val="%4."/>
      <w:lvlJc w:val="left"/>
      <w:pPr>
        <w:ind w:left="2880" w:hanging="360"/>
      </w:pPr>
    </w:lvl>
    <w:lvl w:ilvl="4" w:tplc="943C5C48" w:tentative="1">
      <w:start w:val="1"/>
      <w:numFmt w:val="lowerLetter"/>
      <w:lvlText w:val="%5."/>
      <w:lvlJc w:val="left"/>
      <w:pPr>
        <w:ind w:left="3600" w:hanging="360"/>
      </w:pPr>
    </w:lvl>
    <w:lvl w:ilvl="5" w:tplc="9F22606E" w:tentative="1">
      <w:start w:val="1"/>
      <w:numFmt w:val="lowerRoman"/>
      <w:lvlText w:val="%6."/>
      <w:lvlJc w:val="right"/>
      <w:pPr>
        <w:ind w:left="4320" w:hanging="180"/>
      </w:pPr>
    </w:lvl>
    <w:lvl w:ilvl="6" w:tplc="EAA4248E" w:tentative="1">
      <w:start w:val="1"/>
      <w:numFmt w:val="decimal"/>
      <w:lvlText w:val="%7."/>
      <w:lvlJc w:val="left"/>
      <w:pPr>
        <w:ind w:left="5040" w:hanging="360"/>
      </w:pPr>
    </w:lvl>
    <w:lvl w:ilvl="7" w:tplc="E098C048" w:tentative="1">
      <w:start w:val="1"/>
      <w:numFmt w:val="lowerLetter"/>
      <w:lvlText w:val="%8."/>
      <w:lvlJc w:val="left"/>
      <w:pPr>
        <w:ind w:left="5760" w:hanging="360"/>
      </w:pPr>
    </w:lvl>
    <w:lvl w:ilvl="8" w:tplc="2698D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E5B79"/>
    <w:multiLevelType w:val="multilevel"/>
    <w:tmpl w:val="94863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8DA3642"/>
    <w:multiLevelType w:val="multilevel"/>
    <w:tmpl w:val="630C2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0996721"/>
    <w:multiLevelType w:val="multilevel"/>
    <w:tmpl w:val="5EC2A0A4"/>
    <w:lvl w:ilvl="0">
      <w:numFmt w:val="bullet"/>
      <w:lvlText w:val="▪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♦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♦"/>
      <w:lvlJc w:val="left"/>
      <w:pPr>
        <w:ind w:left="0" w:firstLine="0"/>
      </w:pPr>
      <w:rPr>
        <w:position w:val="0"/>
      </w:rPr>
    </w:lvl>
  </w:abstractNum>
  <w:abstractNum w:abstractNumId="22">
    <w:nsid w:val="482026E9"/>
    <w:multiLevelType w:val="multilevel"/>
    <w:tmpl w:val="08840ABA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</w:rPr>
    </w:lvl>
  </w:abstractNum>
  <w:abstractNum w:abstractNumId="23">
    <w:nsid w:val="501158A5"/>
    <w:multiLevelType w:val="hybridMultilevel"/>
    <w:tmpl w:val="ED64D916"/>
    <w:lvl w:ilvl="0" w:tplc="987E950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EF63204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AAAA8D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1869396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813AF782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492A07C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746A63C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AB87630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BD017F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51E04159"/>
    <w:multiLevelType w:val="multilevel"/>
    <w:tmpl w:val="8508E7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2F95C0E"/>
    <w:multiLevelType w:val="multilevel"/>
    <w:tmpl w:val="9826774C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>
    <w:nsid w:val="5A204F98"/>
    <w:multiLevelType w:val="hybridMultilevel"/>
    <w:tmpl w:val="8AF2FFD0"/>
    <w:lvl w:ilvl="0" w:tplc="C75C9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C6AE110" w:tentative="1">
      <w:start w:val="1"/>
      <w:numFmt w:val="lowerLetter"/>
      <w:lvlText w:val="%2."/>
      <w:lvlJc w:val="left"/>
      <w:pPr>
        <w:ind w:left="1440" w:hanging="360"/>
      </w:pPr>
    </w:lvl>
    <w:lvl w:ilvl="2" w:tplc="CA20C5BE" w:tentative="1">
      <w:start w:val="1"/>
      <w:numFmt w:val="lowerRoman"/>
      <w:lvlText w:val="%3."/>
      <w:lvlJc w:val="right"/>
      <w:pPr>
        <w:ind w:left="2160" w:hanging="180"/>
      </w:pPr>
    </w:lvl>
    <w:lvl w:ilvl="3" w:tplc="A0CADCC4" w:tentative="1">
      <w:start w:val="1"/>
      <w:numFmt w:val="decimal"/>
      <w:lvlText w:val="%4."/>
      <w:lvlJc w:val="left"/>
      <w:pPr>
        <w:ind w:left="2880" w:hanging="360"/>
      </w:pPr>
    </w:lvl>
    <w:lvl w:ilvl="4" w:tplc="09CC3D32" w:tentative="1">
      <w:start w:val="1"/>
      <w:numFmt w:val="lowerLetter"/>
      <w:lvlText w:val="%5."/>
      <w:lvlJc w:val="left"/>
      <w:pPr>
        <w:ind w:left="3600" w:hanging="360"/>
      </w:pPr>
    </w:lvl>
    <w:lvl w:ilvl="5" w:tplc="1A32472C" w:tentative="1">
      <w:start w:val="1"/>
      <w:numFmt w:val="lowerRoman"/>
      <w:lvlText w:val="%6."/>
      <w:lvlJc w:val="right"/>
      <w:pPr>
        <w:ind w:left="4320" w:hanging="180"/>
      </w:pPr>
    </w:lvl>
    <w:lvl w:ilvl="6" w:tplc="CF8E2364" w:tentative="1">
      <w:start w:val="1"/>
      <w:numFmt w:val="decimal"/>
      <w:lvlText w:val="%7."/>
      <w:lvlJc w:val="left"/>
      <w:pPr>
        <w:ind w:left="5040" w:hanging="360"/>
      </w:pPr>
    </w:lvl>
    <w:lvl w:ilvl="7" w:tplc="378A08DA" w:tentative="1">
      <w:start w:val="1"/>
      <w:numFmt w:val="lowerLetter"/>
      <w:lvlText w:val="%8."/>
      <w:lvlJc w:val="left"/>
      <w:pPr>
        <w:ind w:left="5760" w:hanging="360"/>
      </w:pPr>
    </w:lvl>
    <w:lvl w:ilvl="8" w:tplc="F384C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7195B"/>
    <w:multiLevelType w:val="multilevel"/>
    <w:tmpl w:val="BB2651AE"/>
    <w:lvl w:ilvl="0">
      <w:numFmt w:val="bullet"/>
      <w:lvlText w:val="▪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♦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♦"/>
      <w:lvlJc w:val="left"/>
      <w:pPr>
        <w:ind w:left="0" w:firstLine="0"/>
      </w:pPr>
      <w:rPr>
        <w:position w:val="0"/>
      </w:rPr>
    </w:lvl>
  </w:abstractNum>
  <w:abstractNum w:abstractNumId="28">
    <w:nsid w:val="6AC13D59"/>
    <w:multiLevelType w:val="multilevel"/>
    <w:tmpl w:val="87AEC1B8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</w:rPr>
    </w:lvl>
  </w:abstractNum>
  <w:abstractNum w:abstractNumId="29">
    <w:nsid w:val="6B56160C"/>
    <w:multiLevelType w:val="multilevel"/>
    <w:tmpl w:val="FACE540E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>
    <w:nsid w:val="793F309A"/>
    <w:multiLevelType w:val="multilevel"/>
    <w:tmpl w:val="77A428D8"/>
    <w:styleLink w:val="List1"/>
    <w:lvl w:ilvl="0">
      <w:numFmt w:val="bullet"/>
      <w:lvlText w:val="▪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♦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➢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♦"/>
      <w:lvlJc w:val="left"/>
      <w:pPr>
        <w:ind w:left="0" w:firstLine="0"/>
      </w:pPr>
      <w:rPr>
        <w:position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9"/>
  </w:num>
  <w:num w:numId="14">
    <w:abstractNumId w:val="26"/>
  </w:num>
  <w:num w:numId="15">
    <w:abstractNumId w:val="18"/>
  </w:num>
  <w:num w:numId="16">
    <w:abstractNumId w:val="20"/>
  </w:num>
  <w:num w:numId="17">
    <w:abstractNumId w:val="24"/>
  </w:num>
  <w:num w:numId="18">
    <w:abstractNumId w:val="10"/>
  </w:num>
  <w:num w:numId="19">
    <w:abstractNumId w:val="15"/>
  </w:num>
  <w:num w:numId="20">
    <w:abstractNumId w:val="29"/>
  </w:num>
  <w:num w:numId="21">
    <w:abstractNumId w:val="25"/>
  </w:num>
  <w:num w:numId="22">
    <w:abstractNumId w:val="18"/>
  </w:num>
  <w:num w:numId="23">
    <w:abstractNumId w:val="18"/>
  </w:num>
  <w:num w:numId="24">
    <w:abstractNumId w:val="23"/>
  </w:num>
  <w:num w:numId="25">
    <w:abstractNumId w:val="13"/>
  </w:num>
  <w:num w:numId="26">
    <w:abstractNumId w:val="22"/>
  </w:num>
  <w:num w:numId="27">
    <w:abstractNumId w:val="12"/>
  </w:num>
  <w:num w:numId="28">
    <w:abstractNumId w:val="21"/>
  </w:num>
  <w:num w:numId="29">
    <w:abstractNumId w:val="14"/>
  </w:num>
  <w:num w:numId="30">
    <w:abstractNumId w:val="28"/>
  </w:num>
  <w:num w:numId="31">
    <w:abstractNumId w:val="16"/>
  </w:num>
  <w:num w:numId="32">
    <w:abstractNumId w:val="27"/>
  </w:num>
  <w:num w:numId="33">
    <w:abstractNumId w:val="30"/>
  </w:num>
  <w:num w:numId="34">
    <w:abstractNumId w:val="3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dOptMainDocument" w:val="!"/>
    <w:docVar w:name="iddOptSourceDocument" w:val="!"/>
  </w:docVars>
  <w:rsids>
    <w:rsidRoot w:val="008B65CE"/>
    <w:rsid w:val="000141B5"/>
    <w:rsid w:val="000463F5"/>
    <w:rsid w:val="000D210D"/>
    <w:rsid w:val="000D35DD"/>
    <w:rsid w:val="001251F5"/>
    <w:rsid w:val="00133EA3"/>
    <w:rsid w:val="001350FB"/>
    <w:rsid w:val="00152992"/>
    <w:rsid w:val="00180C99"/>
    <w:rsid w:val="00185E2A"/>
    <w:rsid w:val="001C7FAC"/>
    <w:rsid w:val="00260479"/>
    <w:rsid w:val="002B4189"/>
    <w:rsid w:val="00331A35"/>
    <w:rsid w:val="00341E86"/>
    <w:rsid w:val="003467A6"/>
    <w:rsid w:val="003804F2"/>
    <w:rsid w:val="00381A13"/>
    <w:rsid w:val="003B0DC6"/>
    <w:rsid w:val="003B3782"/>
    <w:rsid w:val="003C0976"/>
    <w:rsid w:val="004104DF"/>
    <w:rsid w:val="00421C15"/>
    <w:rsid w:val="00426522"/>
    <w:rsid w:val="004322A9"/>
    <w:rsid w:val="004341CE"/>
    <w:rsid w:val="004C7C12"/>
    <w:rsid w:val="004E4F7B"/>
    <w:rsid w:val="00572330"/>
    <w:rsid w:val="005834C4"/>
    <w:rsid w:val="00595FF4"/>
    <w:rsid w:val="005B21C7"/>
    <w:rsid w:val="005E3977"/>
    <w:rsid w:val="00627206"/>
    <w:rsid w:val="006523F6"/>
    <w:rsid w:val="00664804"/>
    <w:rsid w:val="006A34F1"/>
    <w:rsid w:val="006C02C5"/>
    <w:rsid w:val="00721574"/>
    <w:rsid w:val="00730CFC"/>
    <w:rsid w:val="00741A51"/>
    <w:rsid w:val="00767177"/>
    <w:rsid w:val="00781763"/>
    <w:rsid w:val="007A1740"/>
    <w:rsid w:val="0080416C"/>
    <w:rsid w:val="0084737E"/>
    <w:rsid w:val="008B65CE"/>
    <w:rsid w:val="008F2C31"/>
    <w:rsid w:val="008F6542"/>
    <w:rsid w:val="009A248B"/>
    <w:rsid w:val="009A3EFA"/>
    <w:rsid w:val="009C7A58"/>
    <w:rsid w:val="009D78C8"/>
    <w:rsid w:val="009F0453"/>
    <w:rsid w:val="00A52B22"/>
    <w:rsid w:val="00A86E98"/>
    <w:rsid w:val="00AB5DB0"/>
    <w:rsid w:val="00AC529A"/>
    <w:rsid w:val="00AE7F31"/>
    <w:rsid w:val="00B35974"/>
    <w:rsid w:val="00B44A38"/>
    <w:rsid w:val="00B84A4E"/>
    <w:rsid w:val="00BB650D"/>
    <w:rsid w:val="00BE2D28"/>
    <w:rsid w:val="00C013C5"/>
    <w:rsid w:val="00C060E1"/>
    <w:rsid w:val="00CF05C4"/>
    <w:rsid w:val="00D73A4D"/>
    <w:rsid w:val="00DE7154"/>
    <w:rsid w:val="00E2420C"/>
    <w:rsid w:val="00F616FE"/>
    <w:rsid w:val="00FD450F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80D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FKai-SB" w:hAnsi="Times New Roman" w:cs="Times New Roman"/>
        <w:sz w:val="24"/>
        <w:szCs w:val="24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Signature" w:qFormat="1"/>
    <w:lsdException w:name="Body Text" w:qFormat="1"/>
    <w:lsdException w:name="Body Text Indent" w:qFormat="1"/>
    <w:lsdException w:name="Subtitle" w:semiHidden="0" w:unhideWhenUsed="0" w:qFormat="1"/>
    <w:lsdException w:name="Body Text First Indent" w:qFormat="1"/>
    <w:lsdException w:name="Block Text" w:qFormat="1"/>
    <w:lsdException w:name="Strong" w:qFormat="1"/>
    <w:lsdException w:name="Emphasis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nhideWhenUsed="0" w:qFormat="1"/>
    <w:lsdException w:name="Quote" w:semiHidden="0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BF"/>
    <w:pPr>
      <w:spacing w:after="0"/>
    </w:pPr>
    <w:rPr>
      <w:rFonts w:eastAsia="SimSu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jc w:val="center"/>
      <w:outlineLvl w:val="0"/>
    </w:p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outlineLvl w:val="1"/>
    </w:pPr>
  </w:style>
  <w:style w:type="paragraph" w:styleId="Heading3">
    <w:name w:val="heading 3"/>
    <w:basedOn w:val="Normal"/>
    <w:next w:val="BodyText"/>
    <w:link w:val="Heading3Char"/>
    <w:qFormat/>
    <w:pPr>
      <w:spacing w:after="240"/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qFormat/>
    <w:p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qFormat/>
    <w:pPr>
      <w:spacing w:after="240"/>
      <w:outlineLvl w:val="5"/>
    </w:pPr>
  </w:style>
  <w:style w:type="paragraph" w:styleId="Heading7">
    <w:name w:val="heading 7"/>
    <w:basedOn w:val="Normal"/>
    <w:next w:val="BodyText"/>
    <w:link w:val="Heading7Char"/>
    <w:qFormat/>
    <w:p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qFormat/>
    <w:p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qFormat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pPr>
      <w:spacing w:after="240"/>
    </w:pPr>
  </w:style>
  <w:style w:type="paragraph" w:customStyle="1" w:styleId="BlockText2">
    <w:name w:val="Block Text 2"/>
    <w:basedOn w:val="Normal"/>
    <w:uiPriority w:val="1"/>
    <w:semiHidden/>
    <w:unhideWhenUsed/>
    <w:pPr>
      <w:spacing w:line="480" w:lineRule="auto"/>
      <w:ind w:left="720" w:right="720"/>
    </w:pPr>
  </w:style>
  <w:style w:type="paragraph" w:customStyle="1" w:styleId="BlockText3">
    <w:name w:val="Block Text 3"/>
    <w:basedOn w:val="Normal"/>
    <w:uiPriority w:val="2"/>
    <w:semiHidden/>
    <w:unhideWhenUsed/>
    <w:pPr>
      <w:spacing w:after="120" w:line="360" w:lineRule="auto"/>
      <w:ind w:left="720" w:right="720"/>
    </w:pPr>
  </w:style>
  <w:style w:type="paragraph" w:styleId="BodyText">
    <w:name w:val="Body Text"/>
    <w:basedOn w:val="Normal"/>
    <w:link w:val="BodyTextChar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Pr>
      <w:rFonts w:eastAsia="SimSun"/>
      <w:szCs w:val="20"/>
    </w:rPr>
  </w:style>
  <w:style w:type="paragraph" w:styleId="BodyText2">
    <w:name w:val="Body Text 2"/>
    <w:basedOn w:val="Normal"/>
    <w:link w:val="BodyText2Char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Pr>
      <w:rFonts w:eastAsia="SimSun"/>
      <w:szCs w:val="20"/>
    </w:rPr>
  </w:style>
  <w:style w:type="paragraph" w:styleId="BodyText3">
    <w:name w:val="Body Text 3"/>
    <w:basedOn w:val="Normal"/>
    <w:link w:val="BodyText3Char"/>
    <w:pPr>
      <w:spacing w:line="360" w:lineRule="auto"/>
      <w:ind w:firstLine="720"/>
    </w:pPr>
  </w:style>
  <w:style w:type="character" w:customStyle="1" w:styleId="BodyText3Char">
    <w:name w:val="Body Text 3 Char"/>
    <w:basedOn w:val="DefaultParagraphFont"/>
    <w:link w:val="BodyText3"/>
    <w:rPr>
      <w:rFonts w:eastAsia="SimSun"/>
      <w:szCs w:val="20"/>
    </w:rPr>
  </w:style>
  <w:style w:type="paragraph" w:styleId="BodyTextFirstIndent">
    <w:name w:val="Body Text First Indent"/>
    <w:basedOn w:val="Normal"/>
    <w:link w:val="BodyTextFirstIndentChar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Pr>
      <w:rFonts w:eastAsia="SimSun"/>
      <w:szCs w:val="20"/>
    </w:rPr>
  </w:style>
  <w:style w:type="paragraph" w:styleId="BodyTextIndent">
    <w:name w:val="Body Text Indent"/>
    <w:basedOn w:val="Normal"/>
    <w:link w:val="BodyTextIndentChar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="SimSun"/>
      <w:szCs w:val="20"/>
    </w:rPr>
  </w:style>
  <w:style w:type="paragraph" w:styleId="BodyTextFirstIndent2">
    <w:name w:val="Body Text First Indent 2"/>
    <w:basedOn w:val="Normal"/>
    <w:link w:val="BodyTextFirstIndent2Char"/>
    <w:pPr>
      <w:spacing w:line="480" w:lineRule="auto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eastAsia="SimSun"/>
      <w:szCs w:val="20"/>
    </w:rPr>
  </w:style>
  <w:style w:type="paragraph" w:customStyle="1" w:styleId="BodyTextFirstIndent3">
    <w:name w:val="Body Text First Indent 3"/>
    <w:basedOn w:val="Normal"/>
    <w:pPr>
      <w:spacing w:line="360" w:lineRule="auto"/>
      <w:ind w:firstLine="1440"/>
    </w:pPr>
  </w:style>
  <w:style w:type="paragraph" w:styleId="BodyTextIndent2">
    <w:name w:val="Body Text Indent 2"/>
    <w:basedOn w:val="Normal"/>
    <w:link w:val="BodyTextIndent2Char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Pr>
      <w:rFonts w:eastAsia="SimSun"/>
      <w:szCs w:val="20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left="720"/>
    </w:pPr>
  </w:style>
  <w:style w:type="character" w:customStyle="1" w:styleId="BodyTextIndent3Char">
    <w:name w:val="Body Text Indent 3 Char"/>
    <w:basedOn w:val="DefaultParagraphFont"/>
    <w:link w:val="BodyTextIndent3"/>
    <w:rPr>
      <w:rFonts w:eastAsia="SimSun"/>
      <w:szCs w:val="20"/>
    </w:rPr>
  </w:style>
  <w:style w:type="paragraph" w:styleId="Caption">
    <w:name w:val="caption"/>
    <w:basedOn w:val="Normal"/>
    <w:next w:val="BodyText"/>
    <w:qFormat/>
    <w:pPr>
      <w:spacing w:after="240"/>
    </w:pPr>
    <w:rPr>
      <w:b/>
    </w:rPr>
  </w:style>
  <w:style w:type="paragraph" w:styleId="Closing">
    <w:name w:val="Closing"/>
    <w:basedOn w:val="Normal"/>
    <w:link w:val="ClosingChar"/>
    <w:pPr>
      <w:keepNext/>
      <w:spacing w:after="960"/>
      <w:ind w:left="4680"/>
    </w:pPr>
  </w:style>
  <w:style w:type="character" w:customStyle="1" w:styleId="ClosingChar">
    <w:name w:val="Closing Char"/>
    <w:basedOn w:val="DefaultParagraphFont"/>
    <w:link w:val="Closing"/>
    <w:rPr>
      <w:rFonts w:eastAsia="SimSun"/>
      <w:szCs w:val="20"/>
    </w:rPr>
  </w:style>
  <w:style w:type="paragraph" w:styleId="Signature">
    <w:name w:val="Signature"/>
    <w:basedOn w:val="Normal"/>
    <w:link w:val="SignatureChar"/>
    <w:pPr>
      <w:tabs>
        <w:tab w:val="right" w:leader="underscore" w:pos="9360"/>
      </w:tabs>
      <w:ind w:left="4680"/>
    </w:pPr>
  </w:style>
  <w:style w:type="character" w:customStyle="1" w:styleId="SignatureChar">
    <w:name w:val="Signature Char"/>
    <w:basedOn w:val="DefaultParagraphFont"/>
    <w:link w:val="Signature"/>
    <w:rPr>
      <w:rFonts w:eastAsia="SimSun"/>
      <w:szCs w:val="20"/>
    </w:rPr>
  </w:style>
  <w:style w:type="table" w:customStyle="1" w:styleId="ColorfulGrid1">
    <w:name w:val="Colorful Grid1"/>
    <w:basedOn w:val="TableNormal"/>
    <w:uiPriority w:val="73"/>
    <w:pPr>
      <w:spacing w:after="0"/>
    </w:pPr>
    <w:rPr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Date">
    <w:name w:val="Date"/>
    <w:basedOn w:val="Normal"/>
    <w:next w:val="Normal"/>
    <w:link w:val="DateChar"/>
    <w:pPr>
      <w:spacing w:after="240"/>
    </w:pPr>
  </w:style>
  <w:style w:type="character" w:customStyle="1" w:styleId="DateChar">
    <w:name w:val="Date Char"/>
    <w:basedOn w:val="DefaultParagraphFont"/>
    <w:link w:val="Date"/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120"/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="SimSun"/>
      <w:sz w:val="20"/>
      <w:szCs w:val="20"/>
    </w:rPr>
  </w:style>
  <w:style w:type="paragraph" w:customStyle="1" w:styleId="FootnoteContinued">
    <w:name w:val="Footnote Continued"/>
    <w:basedOn w:val="Normal"/>
    <w:pPr>
      <w:spacing w:after="120"/>
      <w:ind w:firstLine="720"/>
    </w:pPr>
    <w:rPr>
      <w:sz w:val="20"/>
    </w:rPr>
  </w:style>
  <w:style w:type="paragraph" w:customStyle="1" w:styleId="FootnoteQuote">
    <w:name w:val="Footnote Quote"/>
    <w:basedOn w:val="Normal"/>
    <w:next w:val="FootnoteContinued"/>
    <w:pPr>
      <w:spacing w:after="120"/>
      <w:ind w:left="1440" w:right="1440"/>
    </w:pPr>
    <w:rPr>
      <w:sz w:val="20"/>
    </w:rPr>
  </w:style>
  <w:style w:type="paragraph" w:customStyle="1" w:styleId="GraphicC">
    <w:name w:val="GraphicC"/>
    <w:basedOn w:val="Normal"/>
    <w:uiPriority w:val="3"/>
    <w:pPr>
      <w:spacing w:after="240"/>
      <w:jc w:val="center"/>
    </w:pPr>
  </w:style>
  <w:style w:type="paragraph" w:customStyle="1" w:styleId="GraphicL">
    <w:name w:val="GraphicL"/>
    <w:basedOn w:val="Normal"/>
    <w:uiPriority w:val="3"/>
    <w:pPr>
      <w:spacing w:after="240"/>
    </w:pPr>
  </w:style>
  <w:style w:type="paragraph" w:customStyle="1" w:styleId="GraphicR">
    <w:name w:val="GraphicR"/>
    <w:basedOn w:val="Normal"/>
    <w:uiPriority w:val="3"/>
    <w:pPr>
      <w:spacing w:after="240"/>
      <w:jc w:val="right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eastAsia="SimSun"/>
      <w:szCs w:val="20"/>
    </w:rPr>
  </w:style>
  <w:style w:type="paragraph" w:customStyle="1" w:styleId="NoticeBlock">
    <w:name w:val="Notice Block"/>
    <w:basedOn w:val="Normal"/>
    <w:uiPriority w:val="3"/>
    <w:pPr>
      <w:keepLines/>
      <w:spacing w:after="240"/>
      <w:ind w:left="720" w:hanging="720"/>
    </w:pPr>
  </w:style>
  <w:style w:type="paragraph" w:customStyle="1" w:styleId="NoticeBlockIndent1">
    <w:name w:val="Notice Block Indent 1"/>
    <w:basedOn w:val="Normal"/>
    <w:uiPriority w:val="3"/>
    <w:pPr>
      <w:keepLines/>
      <w:spacing w:after="240"/>
      <w:ind w:left="1440" w:hanging="720"/>
    </w:pPr>
  </w:style>
  <w:style w:type="paragraph" w:styleId="Quote">
    <w:name w:val="Quote"/>
    <w:basedOn w:val="Normal"/>
    <w:next w:val="BodyText"/>
    <w:link w:val="QuoteChar"/>
    <w:qFormat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Pr>
      <w:rFonts w:eastAsia="SimSun"/>
      <w:szCs w:val="20"/>
    </w:rPr>
  </w:style>
  <w:style w:type="paragraph" w:styleId="Salutation">
    <w:name w:val="Salutation"/>
    <w:basedOn w:val="Normal"/>
    <w:next w:val="BodyText"/>
    <w:link w:val="SalutationChar"/>
    <w:pPr>
      <w:spacing w:after="240"/>
    </w:pPr>
  </w:style>
  <w:style w:type="character" w:customStyle="1" w:styleId="SalutationChar">
    <w:name w:val="Salutation Char"/>
    <w:basedOn w:val="DefaultParagraphFont"/>
    <w:link w:val="Salutation"/>
    <w:rPr>
      <w:rFonts w:eastAsia="SimSun"/>
      <w:szCs w:val="20"/>
    </w:rPr>
  </w:style>
  <w:style w:type="paragraph" w:customStyle="1" w:styleId="SignatureByLine">
    <w:name w:val="Signature ByLine"/>
    <w:basedOn w:val="Signature"/>
    <w:uiPriority w:val="3"/>
    <w:qFormat/>
    <w:pPr>
      <w:tabs>
        <w:tab w:val="left" w:leader="underscore" w:pos="9360"/>
      </w:tabs>
    </w:pPr>
  </w:style>
  <w:style w:type="paragraph" w:styleId="Subtitle">
    <w:name w:val="Subtitle"/>
    <w:basedOn w:val="Normal"/>
    <w:next w:val="BodyText"/>
    <w:link w:val="SubtitleChar"/>
    <w:qFormat/>
    <w:pPr>
      <w:keepNext/>
      <w:spacing w:after="24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Pr>
      <w:rFonts w:eastAsia="SimSun"/>
      <w:b/>
      <w:szCs w:val="20"/>
    </w:rPr>
  </w:style>
  <w:style w:type="paragraph" w:customStyle="1" w:styleId="SubtitleLeft">
    <w:name w:val="Subtitle Left"/>
    <w:basedOn w:val="Normal"/>
    <w:next w:val="BodyTextFirstIndent"/>
    <w:qFormat/>
    <w:pPr>
      <w:keepNext/>
      <w:spacing w:after="240"/>
      <w:contextualSpacing/>
    </w:pPr>
    <w:rPr>
      <w:b/>
    </w:rPr>
  </w:style>
  <w:style w:type="paragraph" w:styleId="Title">
    <w:name w:val="Title"/>
    <w:basedOn w:val="Normal"/>
    <w:link w:val="TitleChar"/>
    <w:qFormat/>
    <w:pPr>
      <w:keepNext/>
      <w:spacing w:after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rPr>
      <w:rFonts w:eastAsia="SimSun"/>
      <w:b/>
      <w:caps/>
      <w:szCs w:val="20"/>
    </w:rPr>
  </w:style>
  <w:style w:type="paragraph" w:customStyle="1" w:styleId="TitleLeft">
    <w:name w:val="Title Left"/>
    <w:basedOn w:val="Normal"/>
    <w:next w:val="BodyTextFirstIndent"/>
    <w:qFormat/>
    <w:pPr>
      <w:spacing w:after="240"/>
      <w:contextualSpacing/>
    </w:pPr>
    <w:rPr>
      <w:b/>
      <w:caps/>
    </w:rPr>
  </w:style>
  <w:style w:type="paragraph" w:styleId="TOAHeading">
    <w:name w:val="toa heading"/>
    <w:basedOn w:val="Normal"/>
    <w:next w:val="Normal"/>
    <w:semiHidden/>
    <w:pPr>
      <w:spacing w:after="240"/>
      <w:jc w:val="center"/>
    </w:pPr>
    <w:rPr>
      <w:rFonts w:cs="Arial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rPr>
      <w:rFonts w:eastAsia="SimSun"/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caps/>
    </w:rPr>
  </w:style>
  <w:style w:type="character" w:customStyle="1" w:styleId="Heading2Char">
    <w:name w:val="Heading 2 Char"/>
    <w:basedOn w:val="DefaultParagraphFont"/>
    <w:link w:val="Heading2"/>
    <w:rPr>
      <w:rFonts w:eastAsia="SimSun"/>
      <w:szCs w:val="20"/>
    </w:rPr>
  </w:style>
  <w:style w:type="character" w:customStyle="1" w:styleId="Heading3Char">
    <w:name w:val="Heading 3 Char"/>
    <w:basedOn w:val="DefaultParagraphFont"/>
    <w:link w:val="Heading3"/>
    <w:rPr>
      <w:rFonts w:eastAsia="SimSun"/>
      <w:szCs w:val="20"/>
    </w:rPr>
  </w:style>
  <w:style w:type="character" w:customStyle="1" w:styleId="Heading4Char">
    <w:name w:val="Heading 4 Char"/>
    <w:basedOn w:val="DefaultParagraphFont"/>
    <w:link w:val="Heading4"/>
    <w:rPr>
      <w:rFonts w:eastAsia="SimSun"/>
      <w:szCs w:val="20"/>
    </w:rPr>
  </w:style>
  <w:style w:type="character" w:customStyle="1" w:styleId="Heading5Char">
    <w:name w:val="Heading 5 Char"/>
    <w:basedOn w:val="DefaultParagraphFont"/>
    <w:link w:val="Heading5"/>
    <w:rPr>
      <w:rFonts w:eastAsia="SimSun"/>
      <w:szCs w:val="20"/>
    </w:rPr>
  </w:style>
  <w:style w:type="character" w:customStyle="1" w:styleId="Heading6Char">
    <w:name w:val="Heading 6 Char"/>
    <w:basedOn w:val="DefaultParagraphFont"/>
    <w:link w:val="Heading6"/>
    <w:rPr>
      <w:rFonts w:eastAsia="SimSun"/>
      <w:szCs w:val="20"/>
    </w:rPr>
  </w:style>
  <w:style w:type="character" w:customStyle="1" w:styleId="Heading7Char">
    <w:name w:val="Heading 7 Char"/>
    <w:basedOn w:val="DefaultParagraphFont"/>
    <w:link w:val="Heading7"/>
    <w:rPr>
      <w:rFonts w:eastAsia="SimSun"/>
      <w:szCs w:val="20"/>
    </w:rPr>
  </w:style>
  <w:style w:type="character" w:customStyle="1" w:styleId="Heading8Char">
    <w:name w:val="Heading 8 Char"/>
    <w:basedOn w:val="DefaultParagraphFont"/>
    <w:link w:val="Heading8"/>
    <w:rPr>
      <w:rFonts w:eastAsia="SimSun"/>
      <w:szCs w:val="20"/>
    </w:rPr>
  </w:style>
  <w:style w:type="character" w:customStyle="1" w:styleId="Heading9Char">
    <w:name w:val="Heading 9 Char"/>
    <w:basedOn w:val="DefaultParagraphFont"/>
    <w:link w:val="Heading9"/>
    <w:rPr>
      <w:rFonts w:eastAsia="SimSun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/>
      <w:sz w:val="24"/>
      <w:vertAlign w:val="superscript"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Separator">
    <w:name w:val="Footnote Separator"/>
    <w:basedOn w:val="Normal"/>
    <w:uiPriority w:val="19"/>
    <w:semiHidden/>
    <w:rPr>
      <w:sz w:val="20"/>
    </w:rPr>
  </w:style>
  <w:style w:type="paragraph" w:customStyle="1" w:styleId="SubtitleBold">
    <w:name w:val="Subtitle Bold"/>
    <w:basedOn w:val="Normal"/>
    <w:next w:val="BodyText"/>
    <w:pPr>
      <w:keepNext/>
      <w:spacing w:after="240"/>
      <w:jc w:val="center"/>
    </w:pPr>
    <w:rPr>
      <w:b/>
    </w:rPr>
  </w:style>
  <w:style w:type="paragraph" w:customStyle="1" w:styleId="TitleUnderline">
    <w:name w:val="Title Underline"/>
    <w:basedOn w:val="Normal"/>
    <w:next w:val="BodyText"/>
    <w:pPr>
      <w:keepNext/>
      <w:spacing w:after="240"/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semiHidden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eastAsia="SimSun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sz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eastAsia="SimSun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Pr>
      <w:rFonts w:ascii="Times New Roman" w:hAnsi="Times New Roman"/>
      <w:b/>
      <w:i/>
      <w:sz w:val="24"/>
    </w:rPr>
  </w:style>
  <w:style w:type="character" w:styleId="EndnoteReference">
    <w:name w:val="endnote reference"/>
    <w:basedOn w:val="DefaultParagraphFont"/>
    <w:semiHidden/>
    <w:rPr>
      <w:rFonts w:ascii="Times New Roman" w:hAnsi="Times New Roman"/>
      <w:sz w:val="24"/>
      <w:vertAlign w:val="superscript"/>
    </w:rPr>
  </w:style>
  <w:style w:type="paragraph" w:styleId="EndnoteText">
    <w:name w:val="endnote text"/>
    <w:basedOn w:val="Normal"/>
    <w:link w:val="EndnoteTextChar"/>
    <w:semiHidden/>
    <w:pPr>
      <w:spacing w:after="120"/>
      <w:ind w:firstLine="72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eastAsia="SimSun"/>
      <w:sz w:val="20"/>
      <w:szCs w:val="20"/>
    </w:rPr>
  </w:style>
  <w:style w:type="paragraph" w:styleId="EnvelopeAddress">
    <w:name w:val="envelope address"/>
    <w:basedOn w:val="Normal"/>
    <w:pPr>
      <w:framePr w:w="7920" w:h="1987" w:hRule="exact" w:hSpace="187" w:vSpace="187" w:wrap="around" w:hAnchor="page" w:xAlign="center" w:yAlign="bottom"/>
    </w:pPr>
  </w:style>
  <w:style w:type="paragraph" w:styleId="EnvelopeReturn">
    <w:name w:val="envelope return"/>
    <w:basedOn w:val="Normal"/>
  </w:style>
  <w:style w:type="character" w:styleId="FollowedHyperlink">
    <w:name w:val="FollowedHyperlink"/>
    <w:basedOn w:val="DefaultParagraphFont"/>
    <w:rPr>
      <w:rFonts w:ascii="Times New Roman" w:hAnsi="Times New Roman"/>
      <w:color w:val="800080"/>
      <w:sz w:val="24"/>
      <w:u w:val="single"/>
    </w:rPr>
  </w:style>
  <w:style w:type="character" w:styleId="Hyperlink">
    <w:name w:val="Hyperlink"/>
    <w:basedOn w:val="DefaultParagraphFont"/>
    <w:rPr>
      <w:rFonts w:ascii="Times New Roman" w:hAnsi="Times New Roman"/>
      <w:color w:val="0000FF"/>
      <w:sz w:val="24"/>
      <w:u w:val="single"/>
    </w:rPr>
  </w:style>
  <w:style w:type="paragraph" w:styleId="Index1">
    <w:name w:val="index 1"/>
    <w:basedOn w:val="Normal"/>
    <w:next w:val="BodyText"/>
    <w:semiHidden/>
    <w:pPr>
      <w:ind w:left="245" w:hanging="245"/>
    </w:pPr>
  </w:style>
  <w:style w:type="paragraph" w:styleId="Index2">
    <w:name w:val="index 2"/>
    <w:basedOn w:val="Normal"/>
    <w:next w:val="BodyText"/>
    <w:semiHidden/>
    <w:pPr>
      <w:ind w:left="404" w:hanging="202"/>
    </w:pPr>
  </w:style>
  <w:style w:type="paragraph" w:styleId="Index3">
    <w:name w:val="index 3"/>
    <w:basedOn w:val="Normal"/>
    <w:next w:val="BodyText"/>
    <w:semiHidden/>
    <w:pPr>
      <w:ind w:left="605" w:hanging="202"/>
    </w:pPr>
  </w:style>
  <w:style w:type="paragraph" w:styleId="Index4">
    <w:name w:val="index 4"/>
    <w:basedOn w:val="Normal"/>
    <w:next w:val="BodyText"/>
    <w:semiHidden/>
    <w:pPr>
      <w:ind w:left="807" w:hanging="202"/>
    </w:pPr>
  </w:style>
  <w:style w:type="paragraph" w:styleId="Index5">
    <w:name w:val="index 5"/>
    <w:basedOn w:val="Normal"/>
    <w:next w:val="BodyText"/>
    <w:semiHidden/>
    <w:pPr>
      <w:ind w:left="1008" w:hanging="202"/>
    </w:pPr>
  </w:style>
  <w:style w:type="paragraph" w:styleId="Index6">
    <w:name w:val="index 6"/>
    <w:basedOn w:val="Normal"/>
    <w:next w:val="BodyText"/>
    <w:semiHidden/>
    <w:pPr>
      <w:ind w:left="1210" w:hanging="202"/>
    </w:pPr>
  </w:style>
  <w:style w:type="paragraph" w:styleId="Index7">
    <w:name w:val="index 7"/>
    <w:basedOn w:val="Normal"/>
    <w:next w:val="BodyText"/>
    <w:semiHidden/>
    <w:pPr>
      <w:ind w:left="1412" w:hanging="202"/>
    </w:pPr>
  </w:style>
  <w:style w:type="paragraph" w:styleId="Index8">
    <w:name w:val="index 8"/>
    <w:basedOn w:val="Normal"/>
    <w:next w:val="BodyText"/>
    <w:semiHidden/>
    <w:pPr>
      <w:ind w:left="1613" w:hanging="202"/>
    </w:pPr>
  </w:style>
  <w:style w:type="paragraph" w:styleId="Index9">
    <w:name w:val="index 9"/>
    <w:basedOn w:val="Normal"/>
    <w:next w:val="BodyText"/>
    <w:semiHidden/>
    <w:pPr>
      <w:ind w:left="1815" w:hanging="202"/>
    </w:pPr>
  </w:style>
  <w:style w:type="paragraph" w:styleId="IndexHeading">
    <w:name w:val="index heading"/>
    <w:basedOn w:val="Normal"/>
    <w:next w:val="Index1"/>
    <w:semiHidden/>
    <w:pPr>
      <w:spacing w:after="240"/>
      <w:jc w:val="center"/>
      <w:outlineLvl w:val="0"/>
    </w:pPr>
    <w:rPr>
      <w:b/>
    </w:rPr>
  </w:style>
  <w:style w:type="paragraph" w:customStyle="1" w:styleId="SubtitleItalic">
    <w:name w:val="Subtitle Italic"/>
    <w:basedOn w:val="Normal"/>
    <w:next w:val="BodyText"/>
    <w:pPr>
      <w:keepNext/>
      <w:spacing w:after="240"/>
      <w:jc w:val="center"/>
    </w:pPr>
    <w:rPr>
      <w:i/>
    </w:rPr>
  </w:style>
  <w:style w:type="character" w:styleId="LineNumber">
    <w:name w:val="line number"/>
    <w:basedOn w:val="DefaultParagraphFont"/>
    <w:rPr>
      <w:rFonts w:ascii="Times New Roman" w:hAnsi="Times New Roman"/>
      <w:sz w:val="24"/>
    </w:rPr>
  </w:style>
  <w:style w:type="paragraph" w:styleId="List">
    <w:name w:val="List"/>
    <w:basedOn w:val="Normal"/>
    <w:pPr>
      <w:ind w:left="720" w:hanging="720"/>
    </w:pPr>
  </w:style>
  <w:style w:type="paragraph" w:styleId="List2">
    <w:name w:val="List 2"/>
    <w:basedOn w:val="Normal"/>
    <w:pPr>
      <w:ind w:left="1440" w:hanging="720"/>
    </w:pPr>
  </w:style>
  <w:style w:type="paragraph" w:styleId="List3">
    <w:name w:val="List 3"/>
    <w:basedOn w:val="Normal"/>
    <w:pPr>
      <w:ind w:left="2160" w:hanging="720"/>
    </w:pPr>
  </w:style>
  <w:style w:type="paragraph" w:styleId="List4">
    <w:name w:val="List 4"/>
    <w:basedOn w:val="Normal"/>
    <w:pPr>
      <w:ind w:left="2880" w:hanging="720"/>
    </w:pPr>
  </w:style>
  <w:style w:type="paragraph" w:styleId="List5">
    <w:name w:val="List 5"/>
    <w:basedOn w:val="Normal"/>
    <w:pPr>
      <w:ind w:left="3600" w:hanging="720"/>
    </w:pPr>
  </w:style>
  <w:style w:type="paragraph" w:styleId="ListBullet">
    <w:name w:val="List Bullet"/>
    <w:basedOn w:val="Normal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styleId="ListBullet2">
    <w:name w:val="List Bullet 2"/>
    <w:basedOn w:val="Normal"/>
    <w:pPr>
      <w:numPr>
        <w:numId w:val="2"/>
      </w:numPr>
      <w:tabs>
        <w:tab w:val="clear" w:pos="1440"/>
        <w:tab w:val="num" w:pos="360"/>
        <w:tab w:val="left" w:pos="720"/>
      </w:tabs>
      <w:ind w:left="0" w:firstLine="0"/>
    </w:pPr>
  </w:style>
  <w:style w:type="paragraph" w:styleId="ListBullet3">
    <w:name w:val="List Bullet 3"/>
    <w:basedOn w:val="Normal"/>
    <w:pPr>
      <w:numPr>
        <w:numId w:val="3"/>
      </w:numPr>
      <w:tabs>
        <w:tab w:val="clear" w:pos="2160"/>
        <w:tab w:val="num" w:pos="360"/>
        <w:tab w:val="left" w:pos="720"/>
      </w:tabs>
      <w:ind w:left="0" w:firstLine="0"/>
    </w:pPr>
  </w:style>
  <w:style w:type="paragraph" w:styleId="ListBullet4">
    <w:name w:val="List Bullet 4"/>
    <w:basedOn w:val="Normal"/>
    <w:pPr>
      <w:numPr>
        <w:numId w:val="4"/>
      </w:numPr>
      <w:tabs>
        <w:tab w:val="clear" w:pos="2880"/>
        <w:tab w:val="num" w:pos="360"/>
      </w:tabs>
      <w:ind w:left="0" w:firstLine="0"/>
    </w:pPr>
  </w:style>
  <w:style w:type="paragraph" w:styleId="ListBullet5">
    <w:name w:val="List Bullet 5"/>
    <w:basedOn w:val="Normal"/>
    <w:pPr>
      <w:numPr>
        <w:numId w:val="5"/>
      </w:numPr>
      <w:tabs>
        <w:tab w:val="clear" w:pos="3600"/>
        <w:tab w:val="num" w:pos="360"/>
        <w:tab w:val="left" w:pos="720"/>
      </w:tabs>
      <w:ind w:left="0" w:firstLine="0"/>
    </w:pPr>
  </w:style>
  <w:style w:type="paragraph" w:styleId="ListContinue">
    <w:name w:val="List Continue"/>
    <w:basedOn w:val="Normal"/>
    <w:pPr>
      <w:ind w:left="720"/>
    </w:pPr>
  </w:style>
  <w:style w:type="paragraph" w:styleId="ListContinue2">
    <w:name w:val="List Continue 2"/>
    <w:basedOn w:val="Normal"/>
    <w:pPr>
      <w:ind w:left="1440"/>
    </w:pPr>
  </w:style>
  <w:style w:type="paragraph" w:styleId="ListContinue3">
    <w:name w:val="List Continue 3"/>
    <w:basedOn w:val="Normal"/>
    <w:pPr>
      <w:ind w:left="2160"/>
    </w:pPr>
  </w:style>
  <w:style w:type="paragraph" w:styleId="ListContinue5">
    <w:name w:val="List Continue 5"/>
    <w:basedOn w:val="Normal"/>
    <w:pPr>
      <w:ind w:left="3600"/>
    </w:pPr>
  </w:style>
  <w:style w:type="paragraph" w:styleId="ListNumber">
    <w:name w:val="List Number"/>
    <w:basedOn w:val="Normal"/>
    <w:pPr>
      <w:numPr>
        <w:numId w:val="6"/>
      </w:numPr>
      <w:tabs>
        <w:tab w:val="clear" w:pos="720"/>
        <w:tab w:val="num" w:pos="360"/>
      </w:tabs>
      <w:ind w:left="0" w:firstLine="0"/>
    </w:pPr>
  </w:style>
  <w:style w:type="paragraph" w:styleId="ListNumber2">
    <w:name w:val="List Number 2"/>
    <w:basedOn w:val="Normal"/>
    <w:pPr>
      <w:numPr>
        <w:numId w:val="7"/>
      </w:numPr>
      <w:tabs>
        <w:tab w:val="clear" w:pos="1440"/>
        <w:tab w:val="num" w:pos="360"/>
        <w:tab w:val="left" w:pos="720"/>
      </w:tabs>
      <w:ind w:left="0" w:firstLine="0"/>
    </w:pPr>
  </w:style>
  <w:style w:type="paragraph" w:styleId="ListNumber3">
    <w:name w:val="List Number 3"/>
    <w:basedOn w:val="Normal"/>
    <w:pPr>
      <w:numPr>
        <w:numId w:val="8"/>
      </w:numPr>
      <w:tabs>
        <w:tab w:val="clear" w:pos="2160"/>
        <w:tab w:val="num" w:pos="360"/>
        <w:tab w:val="left" w:pos="720"/>
      </w:tabs>
      <w:ind w:left="0" w:firstLine="0"/>
    </w:pPr>
  </w:style>
  <w:style w:type="paragraph" w:styleId="ListNumber4">
    <w:name w:val="List Number 4"/>
    <w:basedOn w:val="Normal"/>
    <w:pPr>
      <w:numPr>
        <w:numId w:val="9"/>
      </w:numPr>
      <w:tabs>
        <w:tab w:val="clear" w:pos="2880"/>
        <w:tab w:val="num" w:pos="360"/>
        <w:tab w:val="left" w:pos="720"/>
      </w:tabs>
      <w:ind w:left="0" w:firstLine="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0"/>
        <w:tab w:val="num" w:pos="360"/>
        <w:tab w:val="left" w:pos="720"/>
      </w:tabs>
      <w:ind w:left="0" w:firstLine="0"/>
    </w:p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eastAsia="SimSun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Pr>
      <w:rFonts w:eastAsia="SimSun"/>
      <w:szCs w:val="20"/>
      <w:lang w:eastAsia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rPr>
      <w:rFonts w:eastAsia="SimSun"/>
      <w:szCs w:val="20"/>
      <w:shd w:val="pct20" w:color="auto" w:fill="auto"/>
    </w:rPr>
  </w:style>
  <w:style w:type="paragraph" w:styleId="NormalIndent">
    <w:name w:val="Normal Indent"/>
    <w:basedOn w:val="Normal"/>
    <w:pPr>
      <w:ind w:left="720"/>
    </w:pPr>
  </w:style>
  <w:style w:type="paragraph" w:customStyle="1" w:styleId="NoteHeading1">
    <w:name w:val="Note Heading1"/>
    <w:basedOn w:val="Normal"/>
    <w:next w:val="BodyText"/>
    <w:link w:val="NoteHeadingChar"/>
  </w:style>
  <w:style w:type="character" w:customStyle="1" w:styleId="NoteHeadingChar">
    <w:name w:val="Note Heading Char"/>
    <w:basedOn w:val="DefaultParagraphFont"/>
    <w:link w:val="NoteHeading1"/>
    <w:rPr>
      <w:rFonts w:eastAsia="SimSun"/>
      <w:szCs w:val="20"/>
    </w:rPr>
  </w:style>
  <w:style w:type="character" w:styleId="PageNumber">
    <w:name w:val="page number"/>
    <w:basedOn w:val="DefaultParagraphFont"/>
    <w:rPr>
      <w:sz w:val="24"/>
    </w:rPr>
  </w:style>
  <w:style w:type="paragraph" w:styleId="PlainText">
    <w:name w:val="Plain Text"/>
    <w:basedOn w:val="Normal"/>
    <w:link w:val="PlainTextChar"/>
    <w:rPr>
      <w:sz w:val="20"/>
    </w:rPr>
  </w:style>
  <w:style w:type="character" w:customStyle="1" w:styleId="PlainTextChar">
    <w:name w:val="Plain Text Char"/>
    <w:basedOn w:val="DefaultParagraphFont"/>
    <w:link w:val="PlainText"/>
    <w:rPr>
      <w:rFonts w:eastAsia="SimSun"/>
      <w:sz w:val="20"/>
      <w:szCs w:val="20"/>
    </w:rPr>
  </w:style>
  <w:style w:type="character" w:styleId="Strong">
    <w:name w:val="Strong"/>
    <w:basedOn w:val="DefaultParagraphFont"/>
    <w:qFormat/>
    <w:rPr>
      <w:rFonts w:ascii="Times New Roman" w:hAnsi="Times New Roman"/>
      <w:b/>
      <w:sz w:val="24"/>
    </w:rPr>
  </w:style>
  <w:style w:type="paragraph" w:styleId="TableofAuthorities">
    <w:name w:val="table of authorities"/>
    <w:basedOn w:val="Normal"/>
    <w:next w:val="Normal"/>
    <w:semiHidden/>
    <w:pPr>
      <w:spacing w:after="120"/>
      <w:ind w:left="245" w:hanging="245"/>
    </w:pPr>
  </w:style>
  <w:style w:type="paragraph" w:styleId="TableofFigures">
    <w:name w:val="table of figures"/>
    <w:basedOn w:val="Normal"/>
    <w:next w:val="Normal"/>
    <w:semiHidden/>
    <w:pPr>
      <w:spacing w:after="120"/>
      <w:ind w:left="475" w:hanging="475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720"/>
    </w:pPr>
  </w:style>
  <w:style w:type="paragraph" w:styleId="TOC3">
    <w:name w:val="toc 3"/>
    <w:basedOn w:val="Normal"/>
    <w:next w:val="Normal"/>
    <w:semiHidden/>
    <w:pPr>
      <w:ind w:left="1440"/>
    </w:pPr>
  </w:style>
  <w:style w:type="paragraph" w:styleId="TOC4">
    <w:name w:val="toc 4"/>
    <w:basedOn w:val="Normal"/>
    <w:next w:val="Normal"/>
    <w:semiHidden/>
    <w:pPr>
      <w:ind w:left="2160"/>
    </w:pPr>
  </w:style>
  <w:style w:type="paragraph" w:styleId="TOC5">
    <w:name w:val="toc 5"/>
    <w:basedOn w:val="Normal"/>
    <w:next w:val="Normal"/>
    <w:semiHidden/>
    <w:pPr>
      <w:ind w:left="2880"/>
    </w:pPr>
  </w:style>
  <w:style w:type="paragraph" w:styleId="TOC6">
    <w:name w:val="toc 6"/>
    <w:basedOn w:val="Normal"/>
    <w:next w:val="Normal"/>
    <w:semiHidden/>
    <w:pPr>
      <w:ind w:left="3600"/>
    </w:pPr>
  </w:style>
  <w:style w:type="paragraph" w:styleId="TOC7">
    <w:name w:val="toc 7"/>
    <w:basedOn w:val="Normal"/>
    <w:next w:val="Normal"/>
    <w:semiHidden/>
    <w:pPr>
      <w:ind w:left="4320"/>
    </w:pPr>
  </w:style>
  <w:style w:type="paragraph" w:styleId="TOC8">
    <w:name w:val="toc 8"/>
    <w:basedOn w:val="Normal"/>
    <w:next w:val="Normal"/>
    <w:semiHidden/>
    <w:pPr>
      <w:ind w:left="5040"/>
    </w:pPr>
  </w:style>
  <w:style w:type="paragraph" w:styleId="TOC9">
    <w:name w:val="toc 9"/>
    <w:basedOn w:val="Normal"/>
    <w:next w:val="Normal"/>
    <w:semiHidden/>
    <w:pPr>
      <w:ind w:left="5760"/>
    </w:pPr>
  </w:style>
  <w:style w:type="paragraph" w:customStyle="1" w:styleId="SubtitleUnderline">
    <w:name w:val="Subtitle Underline"/>
    <w:basedOn w:val="Normal"/>
    <w:next w:val="BodyText"/>
    <w:pPr>
      <w:keepNext/>
      <w:spacing w:after="240"/>
      <w:jc w:val="center"/>
    </w:pPr>
    <w:rPr>
      <w:u w:val="single"/>
    </w:rPr>
  </w:style>
  <w:style w:type="paragraph" w:styleId="ListContinue4">
    <w:name w:val="List Continue 4"/>
    <w:basedOn w:val="Normal"/>
    <w:pPr>
      <w:ind w:left="2880"/>
    </w:pPr>
  </w:style>
  <w:style w:type="paragraph" w:customStyle="1" w:styleId="BodyTextContinued">
    <w:name w:val="Body Text Continued"/>
    <w:basedOn w:val="BodyText"/>
    <w:next w:val="BodyText"/>
    <w:pPr>
      <w:ind w:firstLine="0"/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BodyParagraphs">
    <w:name w:val="BodyParagraphs"/>
    <w:basedOn w:val="ListParagraph"/>
    <w:qFormat/>
    <w:rsid w:val="009D52EC"/>
    <w:pPr>
      <w:numPr>
        <w:numId w:val="11"/>
      </w:numPr>
      <w:spacing w:after="240"/>
      <w:ind w:left="567" w:hanging="567"/>
      <w:contextualSpacing w:val="0"/>
      <w:jc w:val="both"/>
    </w:pPr>
    <w:rPr>
      <w:rFonts w:ascii="Arial" w:hAnsi="Arial" w:cs="Arial"/>
      <w:sz w:val="21"/>
      <w:szCs w:val="21"/>
      <w:lang w:val="en-AU"/>
    </w:rPr>
  </w:style>
  <w:style w:type="paragraph" w:customStyle="1" w:styleId="Style1">
    <w:name w:val="Style1"/>
    <w:basedOn w:val="Heading1"/>
    <w:link w:val="Style1Char"/>
    <w:qFormat/>
    <w:rsid w:val="00EF1EB7"/>
    <w:pPr>
      <w:keepNext w:val="0"/>
      <w:spacing w:line="276" w:lineRule="auto"/>
      <w:ind w:left="567" w:hanging="567"/>
      <w:jc w:val="both"/>
    </w:pPr>
    <w:rPr>
      <w:rFonts w:ascii="Arial" w:eastAsiaTheme="majorEastAsia" w:hAnsi="Arial" w:cstheme="majorBidi"/>
      <w:bCs/>
      <w:spacing w:val="-5"/>
      <w:sz w:val="22"/>
      <w:szCs w:val="22"/>
      <w:lang w:val="en-AU" w:eastAsia="en-US"/>
    </w:rPr>
  </w:style>
  <w:style w:type="character" w:customStyle="1" w:styleId="Style1Char">
    <w:name w:val="Style1 Char"/>
    <w:basedOn w:val="Heading1Char"/>
    <w:link w:val="Style1"/>
    <w:rsid w:val="00EF1EB7"/>
    <w:rPr>
      <w:rFonts w:ascii="Arial" w:eastAsiaTheme="majorEastAsia" w:hAnsi="Arial" w:cstheme="majorBidi"/>
      <w:bCs/>
      <w:spacing w:val="-5"/>
      <w:sz w:val="22"/>
      <w:szCs w:val="22"/>
      <w:lang w:val="en-AU" w:eastAsia="en-US"/>
    </w:rPr>
  </w:style>
  <w:style w:type="paragraph" w:customStyle="1" w:styleId="Level1">
    <w:name w:val="Level1"/>
    <w:basedOn w:val="Normal"/>
    <w:qFormat/>
    <w:rsid w:val="00245974"/>
    <w:pPr>
      <w:spacing w:after="240"/>
      <w:ind w:left="567" w:hanging="567"/>
      <w:jc w:val="both"/>
    </w:pPr>
    <w:rPr>
      <w:rFonts w:ascii="Arial" w:eastAsiaTheme="minorHAnsi" w:hAnsi="Arial" w:cstheme="minorBidi"/>
      <w:sz w:val="22"/>
      <w:szCs w:val="22"/>
      <w:lang w:val="en-AU" w:eastAsia="en-US"/>
    </w:rPr>
  </w:style>
  <w:style w:type="paragraph" w:customStyle="1" w:styleId="QuoteLevel">
    <w:name w:val="QuoteLevel"/>
    <w:basedOn w:val="Normal"/>
    <w:qFormat/>
    <w:rsid w:val="00B915AE"/>
    <w:pPr>
      <w:spacing w:after="240"/>
      <w:ind w:left="1701"/>
      <w:jc w:val="both"/>
    </w:pPr>
    <w:rPr>
      <w:rFonts w:ascii="Arial" w:eastAsiaTheme="minorHAnsi" w:hAnsi="Arial" w:cstheme="minorBidi"/>
      <w:sz w:val="18"/>
      <w:szCs w:val="18"/>
      <w:lang w:val="en-AU" w:eastAsia="en-US"/>
    </w:rPr>
  </w:style>
  <w:style w:type="paragraph" w:customStyle="1" w:styleId="Level2">
    <w:name w:val="Level2"/>
    <w:basedOn w:val="Normal"/>
    <w:qFormat/>
    <w:rsid w:val="00B915AE"/>
    <w:pPr>
      <w:spacing w:after="240"/>
      <w:ind w:left="1701" w:hanging="1134"/>
      <w:jc w:val="both"/>
    </w:pPr>
    <w:rPr>
      <w:rFonts w:ascii="Arial" w:eastAsiaTheme="minorHAnsi" w:hAnsi="Arial" w:cstheme="minorBidi"/>
      <w:sz w:val="22"/>
      <w:szCs w:val="22"/>
      <w:lang w:val="en-AU" w:eastAsia="en-US"/>
    </w:rPr>
  </w:style>
  <w:style w:type="paragraph" w:customStyle="1" w:styleId="BodyQuote">
    <w:name w:val="BodyQuote"/>
    <w:basedOn w:val="QuoteLevel"/>
    <w:qFormat/>
    <w:rsid w:val="009D52EC"/>
    <w:pPr>
      <w:spacing w:line="276" w:lineRule="auto"/>
      <w:ind w:left="851"/>
    </w:pPr>
    <w:rPr>
      <w:rFonts w:cs="Arial"/>
      <w:spacing w:val="-5"/>
      <w:sz w:val="20"/>
      <w:szCs w:val="20"/>
    </w:rPr>
  </w:style>
  <w:style w:type="paragraph" w:customStyle="1" w:styleId="BodyINdent">
    <w:name w:val="BodyINdent"/>
    <w:basedOn w:val="Level1"/>
    <w:qFormat/>
    <w:rsid w:val="00125374"/>
    <w:pPr>
      <w:numPr>
        <w:ilvl w:val="1"/>
        <w:numId w:val="11"/>
      </w:numPr>
      <w:ind w:left="1434" w:hanging="357"/>
    </w:pPr>
    <w:rPr>
      <w:rFonts w:cs="Arial"/>
      <w:spacing w:val="-5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70"/>
    <w:rPr>
      <w:rFonts w:eastAsia="SimSun"/>
      <w:b/>
      <w:bCs/>
      <w:sz w:val="20"/>
      <w:szCs w:val="20"/>
    </w:rPr>
  </w:style>
  <w:style w:type="paragraph" w:customStyle="1" w:styleId="Body">
    <w:name w:val="Body"/>
    <w:rsid w:val="005E3977"/>
    <w:pPr>
      <w:spacing w:after="0"/>
    </w:pPr>
    <w:rPr>
      <w:rFonts w:eastAsia="Arial Unicode MS" w:hAnsi="Arial Unicode MS" w:cs="Arial Unicode MS"/>
      <w:color w:val="000000"/>
      <w:u w:color="000000"/>
      <w:lang w:val="en-AU" w:eastAsia="en-AU"/>
    </w:rPr>
  </w:style>
  <w:style w:type="numbering" w:customStyle="1" w:styleId="List1">
    <w:name w:val="List 1"/>
    <w:rsid w:val="005E3977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lloonText">
    <w:name w:val="List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F6DB654723AED94BB725236A5B0F3AE3" ma:contentTypeVersion="5" ma:contentTypeDescription="" ma:contentTypeScope="" ma:versionID="a35c28859df42d9c15cbaf988eb2e29a">
  <xsd:schema xmlns:xsd="http://www.w3.org/2001/XMLSchema" xmlns:xs="http://www.w3.org/2001/XMLSchema" xmlns:p="http://schemas.microsoft.com/office/2006/metadata/properties" xmlns:ns2="ee13c9c8-6565-4e71-a0a2-a2050e330ad8" xmlns:ns3="7f4cf430-939c-4e86-a306-e6be23f89472" targetNamespace="http://schemas.microsoft.com/office/2006/metadata/properties" ma:root="true" ma:fieldsID="d92426380e3cd0a72d72c78f74395e10" ns2:_="" ns3:_="">
    <xsd:import namespace="ee13c9c8-6565-4e71-a0a2-a2050e330ad8"/>
    <xsd:import namespace="7f4cf430-939c-4e86-a306-e6be23f89472"/>
    <xsd:element name="properties">
      <xsd:complexType>
        <xsd:sequence>
          <xsd:element name="documentManagement">
            <xsd:complexType>
              <xsd:all>
                <xsd:element ref="ns2:Jurisdiction"/>
                <xsd:element ref="ns3:Sub_x0020_number"/>
                <xsd:element ref="ns3:Submitter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3c9c8-6565-4e71-a0a2-a2050e330ad8" elementFormDefault="qualified">
    <xsd:import namespace="http://schemas.microsoft.com/office/2006/documentManagement/types"/>
    <xsd:import namespace="http://schemas.microsoft.com/office/infopath/2007/PartnerControls"/>
    <xsd:element name="Jurisdiction" ma:index="8" ma:displayName="Jurisdiction" ma:default="National" ma:description="Jurisdiction" ma:format="Dropdown" ma:internalName="Jurisdiction">
      <xsd:simpleType>
        <xsd:restriction base="dms:Choice">
          <xsd:enumeration value="National"/>
          <xsd:enumeration value="Overseas"/>
          <xsd:enumeration value="NSW"/>
          <xsd:enumeration value="QLD"/>
          <xsd:enumeration value="VIC"/>
          <xsd:enumeration value="WA"/>
          <xsd:enumeration value="SA"/>
          <xsd:enumeration value="TAS"/>
          <xsd:enumeration value="ACT"/>
          <xsd:enumeration value="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cf430-939c-4e86-a306-e6be23f89472" elementFormDefault="qualified">
    <xsd:import namespace="http://schemas.microsoft.com/office/2006/documentManagement/types"/>
    <xsd:import namespace="http://schemas.microsoft.com/office/infopath/2007/PartnerControls"/>
    <xsd:element name="Sub_x0020_number" ma:index="9" ma:displayName="Sub number" ma:description="All files associated with this submission number" ma:internalName="Sub_x0020_number">
      <xsd:simpleType>
        <xsd:restriction base="dms:Text">
          <xsd:maxLength value="10"/>
        </xsd:restriction>
      </xsd:simpleType>
    </xsd:element>
    <xsd:element name="Submitter_x0020_type" ma:index="10" ma:displayName="Submitter type" ma:description="Type of submitter" ma:format="Dropdown" ma:internalName="Submitter_x0020_type">
      <xsd:simpleType>
        <xsd:restriction base="dms:Choice">
          <xsd:enumeration value="Individual"/>
          <xsd:enumeration value="Business"/>
          <xsd:enumeration value="Business / professional association"/>
          <xsd:enumeration value="Government / government body"/>
          <xsd:enumeration value="Academic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sdiction xmlns="ee13c9c8-6565-4e71-a0a2-a2050e330ad8">National</Jurisdiction>
    <Sub_x0020_number xmlns="7f4cf430-939c-4e86-a306-e6be23f89472">DR55</Sub_x0020_number>
    <Submitter_x0020_type xmlns="7f4cf430-939c-4e86-a306-e6be23f89472">Business</Submitter_x0020_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45A5-7043-4043-8886-239FBB9A651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5A2D21F-0C25-42A3-8B25-85E42820A0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6426AA-2DC5-4CBD-B38C-EB2AD7ED5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3c9c8-6565-4e71-a0a2-a2050e330ad8"/>
    <ds:schemaRef ds:uri="7f4cf430-939c-4e86-a306-e6be23f89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6EB86-775A-413E-9179-DA05FB921FA5}">
  <ds:schemaRefs>
    <ds:schemaRef ds:uri="7f4cf430-939c-4e86-a306-e6be23f89472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ee13c9c8-6565-4e71-a0a2-a2050e330ad8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3DF2742-1F90-494F-86C1-A5C6CA3D5A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C2BD069-1452-494D-B9A2-281F108F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DR55 - Business Law Section -  Law Council of Australia - Business Set-up, Transfer and Closure - Public inquiry </vt:lpstr>
    </vt:vector>
  </TitlesOfParts>
  <Company>Business Law Section – Law Council of Australia </Company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DR55 - Business Law Section -  Law Council of Australia - Business Set-up, Transfer and Closure - Public inquiry </dc:title>
  <dc:creator>Business Law Section – Law Council of Australia </dc:creator>
  <cp:lastModifiedBy>Productivity Commission</cp:lastModifiedBy>
  <cp:revision>2</cp:revision>
  <dcterms:created xsi:type="dcterms:W3CDTF">2015-07-08T05:00:00Z</dcterms:created>
  <dcterms:modified xsi:type="dcterms:W3CDTF">2015-07-08T06:11:00Z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DocID">
    <vt:lpwstr>30707593v1</vt:lpwstr>
  </property>
  <property fmtid="{D5CDD505-2E9C-101B-9397-08002B2CF9AE}" pid="3" name="ContentTypeId">
    <vt:lpwstr>0x01010066EDC8E18BFE9C418F00295EA55D44EA0015EE9FD84A134F42A8E78176E2093D4400F6DB654723AED94BB725236A5B0F3AE3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{5750d626-0aa0-474c-a55f-8063909d4906}</vt:lpwstr>
  </property>
  <property fmtid="{D5CDD505-2E9C-101B-9397-08002B2CF9AE}" pid="6" name="RecordPoint_ActiveItemListId">
    <vt:lpwstr>{ee13c9c8-6565-4e71-a0a2-a2050e330ad8}</vt:lpwstr>
  </property>
  <property fmtid="{D5CDD505-2E9C-101B-9397-08002B2CF9AE}" pid="7" name="RecordPoint_ActiveItemUniqueId">
    <vt:lpwstr>{87244a24-2ace-467a-9970-03c9979c05e9}</vt:lpwstr>
  </property>
  <property fmtid="{D5CDD505-2E9C-101B-9397-08002B2CF9AE}" pid="8" name="RecordPoint_ActiveItemWebId">
    <vt:lpwstr>{7f4cf430-939c-4e86-a306-e6be23f89472}</vt:lpwstr>
  </property>
</Properties>
</file>