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1FED61" w14:textId="77777777" w:rsidR="005B1449" w:rsidRDefault="005B1449" w:rsidP="005B1449">
      <w:pPr>
        <w:pStyle w:val="BodyText2"/>
        <w:jc w:val="center"/>
        <w:rPr>
          <w:sz w:val="22"/>
        </w:rPr>
      </w:pPr>
      <w:bookmarkStart w:id="0" w:name="_GoBack"/>
      <w:bookmarkEnd w:id="0"/>
      <w:r>
        <w:rPr>
          <w:noProof/>
          <w:sz w:val="22"/>
          <w:lang w:val="en-AU" w:eastAsia="en-AU"/>
        </w:rPr>
        <w:drawing>
          <wp:inline distT="0" distB="0" distL="0" distR="0" wp14:anchorId="33F1F6D6" wp14:editId="64974B14">
            <wp:extent cx="2993368" cy="99778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logo33pc.jpg"/>
                    <pic:cNvPicPr/>
                  </pic:nvPicPr>
                  <pic:blipFill>
                    <a:blip r:embed="rId14">
                      <a:extLst>
                        <a:ext uri="{28A0092B-C50C-407E-A947-70E740481C1C}">
                          <a14:useLocalDpi xmlns:a14="http://schemas.microsoft.com/office/drawing/2010/main" val="0"/>
                        </a:ext>
                      </a:extLst>
                    </a:blip>
                    <a:stretch>
                      <a:fillRect/>
                    </a:stretch>
                  </pic:blipFill>
                  <pic:spPr>
                    <a:xfrm>
                      <a:off x="0" y="0"/>
                      <a:ext cx="3006114" cy="1002038"/>
                    </a:xfrm>
                    <a:prstGeom prst="rect">
                      <a:avLst/>
                    </a:prstGeom>
                  </pic:spPr>
                </pic:pic>
              </a:graphicData>
            </a:graphic>
          </wp:inline>
        </w:drawing>
      </w:r>
    </w:p>
    <w:p w14:paraId="3AE281FF" w14:textId="77777777" w:rsidR="005B1449" w:rsidRDefault="005B1449" w:rsidP="006D58A3">
      <w:pPr>
        <w:pStyle w:val="BodyText2"/>
        <w:rPr>
          <w:sz w:val="22"/>
        </w:rPr>
      </w:pPr>
    </w:p>
    <w:p w14:paraId="1EA1F2B9" w14:textId="77777777" w:rsidR="005B1449" w:rsidRDefault="005B1449" w:rsidP="006D58A3">
      <w:pPr>
        <w:pStyle w:val="BodyText2"/>
        <w:rPr>
          <w:sz w:val="22"/>
        </w:rPr>
      </w:pPr>
    </w:p>
    <w:p w14:paraId="45E969F0" w14:textId="77777777" w:rsidR="006D58A3" w:rsidRDefault="006D58A3" w:rsidP="006D58A3">
      <w:pPr>
        <w:pStyle w:val="BodyText2"/>
        <w:rPr>
          <w:sz w:val="22"/>
        </w:rPr>
      </w:pPr>
      <w:r>
        <w:rPr>
          <w:sz w:val="22"/>
        </w:rPr>
        <w:t>2</w:t>
      </w:r>
      <w:r w:rsidR="00411A51">
        <w:rPr>
          <w:sz w:val="22"/>
        </w:rPr>
        <w:t>7</w:t>
      </w:r>
      <w:r>
        <w:rPr>
          <w:sz w:val="22"/>
        </w:rPr>
        <w:t>/02/15</w:t>
      </w:r>
    </w:p>
    <w:p w14:paraId="26920803" w14:textId="77777777" w:rsidR="006D58A3" w:rsidRDefault="006D58A3" w:rsidP="006D58A3">
      <w:pPr>
        <w:pStyle w:val="BodyText2"/>
        <w:rPr>
          <w:sz w:val="22"/>
        </w:rPr>
      </w:pPr>
    </w:p>
    <w:p w14:paraId="4B4A1D2D" w14:textId="77777777" w:rsidR="006D58A3" w:rsidRDefault="006D58A3" w:rsidP="006D58A3">
      <w:pPr>
        <w:pStyle w:val="BodyText2"/>
        <w:rPr>
          <w:sz w:val="22"/>
        </w:rPr>
      </w:pPr>
    </w:p>
    <w:p w14:paraId="754E2920" w14:textId="77777777" w:rsidR="006D58A3" w:rsidRPr="006D58A3" w:rsidRDefault="006D58A3" w:rsidP="006D58A3">
      <w:pPr>
        <w:pStyle w:val="BodyText2"/>
        <w:rPr>
          <w:sz w:val="22"/>
        </w:rPr>
      </w:pPr>
      <w:r w:rsidRPr="006D58A3">
        <w:rPr>
          <w:sz w:val="22"/>
        </w:rPr>
        <w:t>Mutual Recognition Schemes Study</w:t>
      </w:r>
    </w:p>
    <w:p w14:paraId="528CB266" w14:textId="77777777" w:rsidR="006D58A3" w:rsidRPr="006D58A3" w:rsidRDefault="006D58A3" w:rsidP="006D58A3">
      <w:pPr>
        <w:pStyle w:val="BodyText2"/>
        <w:rPr>
          <w:sz w:val="22"/>
        </w:rPr>
      </w:pPr>
      <w:r w:rsidRPr="006D58A3">
        <w:rPr>
          <w:sz w:val="22"/>
        </w:rPr>
        <w:t>Productivity Commission</w:t>
      </w:r>
    </w:p>
    <w:p w14:paraId="7AA4E3F8" w14:textId="77777777" w:rsidR="006D58A3" w:rsidRDefault="005B1D09" w:rsidP="00775385">
      <w:pPr>
        <w:pStyle w:val="BodyText2"/>
        <w:rPr>
          <w:sz w:val="22"/>
        </w:rPr>
      </w:pPr>
      <w:r>
        <w:rPr>
          <w:sz w:val="22"/>
        </w:rPr>
        <w:t xml:space="preserve">By email: </w:t>
      </w:r>
      <w:r w:rsidR="006D58A3" w:rsidRPr="006D58A3">
        <w:rPr>
          <w:sz w:val="22"/>
        </w:rPr>
        <w:t>mutual.recognition@pc.gov.au</w:t>
      </w:r>
    </w:p>
    <w:p w14:paraId="22CA9708" w14:textId="77777777" w:rsidR="006D58A3" w:rsidRDefault="006D58A3" w:rsidP="00775385">
      <w:pPr>
        <w:pStyle w:val="BodyText2"/>
        <w:rPr>
          <w:sz w:val="22"/>
        </w:rPr>
      </w:pPr>
    </w:p>
    <w:p w14:paraId="5110E400" w14:textId="77777777" w:rsidR="006D58A3" w:rsidRDefault="006D58A3" w:rsidP="00775385">
      <w:pPr>
        <w:pStyle w:val="BodyText2"/>
        <w:rPr>
          <w:sz w:val="22"/>
        </w:rPr>
      </w:pPr>
    </w:p>
    <w:p w14:paraId="1007A287" w14:textId="77777777" w:rsidR="006D58A3" w:rsidRDefault="006D58A3" w:rsidP="00775385">
      <w:pPr>
        <w:pStyle w:val="BodyText2"/>
        <w:rPr>
          <w:sz w:val="22"/>
        </w:rPr>
      </w:pPr>
    </w:p>
    <w:p w14:paraId="0FF2D64F" w14:textId="77777777" w:rsidR="004A0464" w:rsidRDefault="004A0464" w:rsidP="00775385">
      <w:pPr>
        <w:pStyle w:val="BodyText2"/>
        <w:rPr>
          <w:sz w:val="22"/>
        </w:rPr>
      </w:pPr>
      <w:r>
        <w:rPr>
          <w:sz w:val="22"/>
        </w:rPr>
        <w:t xml:space="preserve">Kia </w:t>
      </w:r>
      <w:proofErr w:type="gramStart"/>
      <w:r>
        <w:rPr>
          <w:sz w:val="22"/>
        </w:rPr>
        <w:t>ora,</w:t>
      </w:r>
      <w:proofErr w:type="gramEnd"/>
      <w:r>
        <w:rPr>
          <w:sz w:val="22"/>
        </w:rPr>
        <w:t xml:space="preserve"> and warm Pacific greetings from Aotearoa New Zealand.</w:t>
      </w:r>
    </w:p>
    <w:p w14:paraId="72145031" w14:textId="77777777" w:rsidR="004A0464" w:rsidRDefault="004A0464" w:rsidP="00775385">
      <w:pPr>
        <w:pStyle w:val="BodyText2"/>
        <w:rPr>
          <w:sz w:val="22"/>
        </w:rPr>
      </w:pPr>
    </w:p>
    <w:p w14:paraId="10554A2F" w14:textId="77777777" w:rsidR="00775385" w:rsidRDefault="00775385" w:rsidP="00775385">
      <w:pPr>
        <w:pStyle w:val="BodyText2"/>
        <w:rPr>
          <w:sz w:val="22"/>
        </w:rPr>
      </w:pPr>
      <w:r>
        <w:rPr>
          <w:sz w:val="22"/>
        </w:rPr>
        <w:t xml:space="preserve">The New Zealand Psychologists Board </w:t>
      </w:r>
      <w:r w:rsidR="006D58A3">
        <w:rPr>
          <w:sz w:val="22"/>
        </w:rPr>
        <w:t>(</w:t>
      </w:r>
      <w:r w:rsidR="006D58A3" w:rsidRPr="006D58A3">
        <w:rPr>
          <w:b/>
          <w:sz w:val="22"/>
        </w:rPr>
        <w:t>NZPB</w:t>
      </w:r>
      <w:r w:rsidR="006D58A3">
        <w:rPr>
          <w:sz w:val="22"/>
        </w:rPr>
        <w:t xml:space="preserve">) </w:t>
      </w:r>
      <w:r>
        <w:rPr>
          <w:sz w:val="22"/>
        </w:rPr>
        <w:t xml:space="preserve">welcomes this opportunity to comment on </w:t>
      </w:r>
      <w:r w:rsidR="006D58A3">
        <w:rPr>
          <w:sz w:val="22"/>
        </w:rPr>
        <w:t>the current review of</w:t>
      </w:r>
      <w:r>
        <w:rPr>
          <w:sz w:val="22"/>
        </w:rPr>
        <w:t xml:space="preserve"> the Trans-Tasman Mutual Recognition Arrangement (</w:t>
      </w:r>
      <w:r w:rsidRPr="00775385">
        <w:rPr>
          <w:b/>
          <w:sz w:val="22"/>
        </w:rPr>
        <w:t>TTMRA</w:t>
      </w:r>
      <w:r>
        <w:rPr>
          <w:sz w:val="22"/>
        </w:rPr>
        <w:t>).</w:t>
      </w:r>
    </w:p>
    <w:p w14:paraId="330BB395" w14:textId="77777777" w:rsidR="00775385" w:rsidRDefault="00775385" w:rsidP="00775385">
      <w:pPr>
        <w:spacing w:line="280" w:lineRule="atLeast"/>
        <w:rPr>
          <w:lang w:val="en-NZ"/>
        </w:rPr>
      </w:pPr>
    </w:p>
    <w:p w14:paraId="62F5320B" w14:textId="77777777" w:rsidR="00775385" w:rsidRDefault="00775385" w:rsidP="00775385">
      <w:pPr>
        <w:spacing w:line="280" w:lineRule="atLeast"/>
        <w:rPr>
          <w:lang w:val="en-NZ"/>
        </w:rPr>
      </w:pPr>
      <w:r>
        <w:rPr>
          <w:b/>
          <w:lang w:val="en-NZ"/>
        </w:rPr>
        <w:t>Background</w:t>
      </w:r>
      <w:r w:rsidR="005B1449">
        <w:rPr>
          <w:rStyle w:val="FootnoteReference"/>
          <w:lang w:val="en-NZ"/>
        </w:rPr>
        <w:footnoteReference w:id="1"/>
      </w:r>
    </w:p>
    <w:p w14:paraId="738DC4CE" w14:textId="77777777" w:rsidR="00775385" w:rsidRDefault="006D58A3" w:rsidP="00775385">
      <w:pPr>
        <w:spacing w:line="280" w:lineRule="atLeast"/>
        <w:rPr>
          <w:lang w:val="en-NZ"/>
        </w:rPr>
      </w:pPr>
      <w:r>
        <w:rPr>
          <w:lang w:val="en-NZ"/>
        </w:rPr>
        <w:t xml:space="preserve">According to our records, </w:t>
      </w:r>
      <w:r w:rsidR="00176106">
        <w:rPr>
          <w:lang w:val="en-NZ"/>
        </w:rPr>
        <w:t>234</w:t>
      </w:r>
      <w:r w:rsidR="00775385">
        <w:rPr>
          <w:lang w:val="en-NZ"/>
        </w:rPr>
        <w:t xml:space="preserve"> psychologists have registered in New Zealand under the TTMR</w:t>
      </w:r>
      <w:r>
        <w:rPr>
          <w:lang w:val="en-NZ"/>
        </w:rPr>
        <w:t>A since 1998:</w:t>
      </w:r>
    </w:p>
    <w:p w14:paraId="20C419DC" w14:textId="77777777" w:rsidR="00711193" w:rsidRDefault="00711193" w:rsidP="00775385">
      <w:pPr>
        <w:spacing w:line="280" w:lineRule="atLeast"/>
        <w:rPr>
          <w:sz w:val="18"/>
          <w:szCs w:val="18"/>
          <w:lang w:val="en-NZ"/>
        </w:rPr>
      </w:pPr>
    </w:p>
    <w:p w14:paraId="1E20CC8A" w14:textId="77777777" w:rsidR="00775385" w:rsidRPr="004A0464" w:rsidRDefault="00711193" w:rsidP="00775385">
      <w:pPr>
        <w:spacing w:line="280" w:lineRule="atLeast"/>
        <w:rPr>
          <w:b/>
          <w:i/>
          <w:sz w:val="20"/>
          <w:szCs w:val="20"/>
          <w:lang w:val="en-NZ"/>
        </w:rPr>
      </w:pPr>
      <w:r w:rsidRPr="004A0464">
        <w:rPr>
          <w:b/>
          <w:i/>
          <w:sz w:val="20"/>
          <w:szCs w:val="20"/>
          <w:lang w:val="en-NZ"/>
        </w:rPr>
        <w:t>TTMRA registrations per calendar year:</w:t>
      </w:r>
    </w:p>
    <w:tbl>
      <w:tblPr>
        <w:tblStyle w:val="TableGrid"/>
        <w:tblW w:w="9572" w:type="dxa"/>
        <w:tblInd w:w="108" w:type="dxa"/>
        <w:tblLook w:val="01E0" w:firstRow="1" w:lastRow="1" w:firstColumn="1" w:lastColumn="1" w:noHBand="0" w:noVBand="0"/>
      </w:tblPr>
      <w:tblGrid>
        <w:gridCol w:w="563"/>
        <w:gridCol w:w="563"/>
        <w:gridCol w:w="563"/>
        <w:gridCol w:w="563"/>
        <w:gridCol w:w="563"/>
        <w:gridCol w:w="563"/>
        <w:gridCol w:w="563"/>
        <w:gridCol w:w="563"/>
        <w:gridCol w:w="563"/>
        <w:gridCol w:w="563"/>
        <w:gridCol w:w="563"/>
        <w:gridCol w:w="563"/>
        <w:gridCol w:w="563"/>
        <w:gridCol w:w="563"/>
        <w:gridCol w:w="563"/>
        <w:gridCol w:w="563"/>
        <w:gridCol w:w="564"/>
      </w:tblGrid>
      <w:tr w:rsidR="00775385" w14:paraId="34A1DC40" w14:textId="77777777" w:rsidTr="006D58A3">
        <w:tc>
          <w:tcPr>
            <w:tcW w:w="563" w:type="dxa"/>
            <w:tcBorders>
              <w:top w:val="single" w:sz="4" w:space="0" w:color="auto"/>
              <w:left w:val="single" w:sz="4" w:space="0" w:color="auto"/>
              <w:bottom w:val="single" w:sz="4" w:space="0" w:color="auto"/>
              <w:right w:val="single" w:sz="4" w:space="0" w:color="auto"/>
            </w:tcBorders>
            <w:shd w:val="clear" w:color="auto" w:fill="92D050"/>
            <w:hideMark/>
          </w:tcPr>
          <w:p w14:paraId="6B5385C6" w14:textId="77777777" w:rsidR="00775385" w:rsidRPr="00711193" w:rsidRDefault="00775385">
            <w:pPr>
              <w:spacing w:line="280" w:lineRule="atLeast"/>
              <w:jc w:val="center"/>
              <w:rPr>
                <w:rFonts w:ascii="Arial" w:hAnsi="Arial" w:cs="Arial"/>
                <w:b/>
                <w:sz w:val="22"/>
                <w:lang w:val="en-NZ" w:eastAsia="en-US"/>
              </w:rPr>
            </w:pPr>
            <w:r w:rsidRPr="00711193">
              <w:rPr>
                <w:rFonts w:ascii="Arial" w:hAnsi="Arial" w:cs="Arial"/>
                <w:b/>
                <w:lang w:val="en-NZ"/>
              </w:rPr>
              <w:t>‘98</w:t>
            </w:r>
          </w:p>
        </w:tc>
        <w:tc>
          <w:tcPr>
            <w:tcW w:w="563" w:type="dxa"/>
            <w:tcBorders>
              <w:top w:val="single" w:sz="4" w:space="0" w:color="auto"/>
              <w:left w:val="single" w:sz="4" w:space="0" w:color="auto"/>
              <w:bottom w:val="single" w:sz="4" w:space="0" w:color="auto"/>
              <w:right w:val="single" w:sz="4" w:space="0" w:color="auto"/>
            </w:tcBorders>
            <w:shd w:val="clear" w:color="auto" w:fill="92D050"/>
            <w:hideMark/>
          </w:tcPr>
          <w:p w14:paraId="7E3FED3E" w14:textId="77777777" w:rsidR="00775385" w:rsidRPr="00711193" w:rsidRDefault="00775385">
            <w:pPr>
              <w:spacing w:line="280" w:lineRule="atLeast"/>
              <w:jc w:val="center"/>
              <w:rPr>
                <w:rFonts w:ascii="Arial" w:hAnsi="Arial" w:cs="Arial"/>
                <w:b/>
                <w:sz w:val="22"/>
                <w:lang w:val="en-NZ" w:eastAsia="en-US"/>
              </w:rPr>
            </w:pPr>
            <w:r w:rsidRPr="00711193">
              <w:rPr>
                <w:rFonts w:ascii="Arial" w:hAnsi="Arial" w:cs="Arial"/>
                <w:b/>
                <w:lang w:val="en-NZ"/>
              </w:rPr>
              <w:t>‘99</w:t>
            </w:r>
          </w:p>
        </w:tc>
        <w:tc>
          <w:tcPr>
            <w:tcW w:w="563" w:type="dxa"/>
            <w:tcBorders>
              <w:top w:val="single" w:sz="4" w:space="0" w:color="auto"/>
              <w:left w:val="single" w:sz="4" w:space="0" w:color="auto"/>
              <w:bottom w:val="single" w:sz="4" w:space="0" w:color="auto"/>
              <w:right w:val="single" w:sz="4" w:space="0" w:color="auto"/>
            </w:tcBorders>
            <w:shd w:val="clear" w:color="auto" w:fill="92D050"/>
            <w:hideMark/>
          </w:tcPr>
          <w:p w14:paraId="757D6E83" w14:textId="77777777" w:rsidR="00775385" w:rsidRPr="00711193" w:rsidRDefault="00775385">
            <w:pPr>
              <w:spacing w:line="280" w:lineRule="atLeast"/>
              <w:jc w:val="center"/>
              <w:rPr>
                <w:rFonts w:ascii="Arial" w:hAnsi="Arial" w:cs="Arial"/>
                <w:b/>
                <w:sz w:val="22"/>
                <w:lang w:val="en-NZ" w:eastAsia="en-US"/>
              </w:rPr>
            </w:pPr>
            <w:r w:rsidRPr="00711193">
              <w:rPr>
                <w:rFonts w:ascii="Arial" w:hAnsi="Arial" w:cs="Arial"/>
                <w:b/>
                <w:lang w:val="en-NZ"/>
              </w:rPr>
              <w:t>‘00</w:t>
            </w:r>
          </w:p>
        </w:tc>
        <w:tc>
          <w:tcPr>
            <w:tcW w:w="563" w:type="dxa"/>
            <w:tcBorders>
              <w:top w:val="single" w:sz="4" w:space="0" w:color="auto"/>
              <w:left w:val="single" w:sz="4" w:space="0" w:color="auto"/>
              <w:bottom w:val="single" w:sz="4" w:space="0" w:color="auto"/>
              <w:right w:val="single" w:sz="4" w:space="0" w:color="auto"/>
            </w:tcBorders>
            <w:shd w:val="clear" w:color="auto" w:fill="92D050"/>
            <w:hideMark/>
          </w:tcPr>
          <w:p w14:paraId="680595B1" w14:textId="77777777" w:rsidR="00775385" w:rsidRPr="00711193" w:rsidRDefault="00775385">
            <w:pPr>
              <w:spacing w:line="280" w:lineRule="atLeast"/>
              <w:jc w:val="center"/>
              <w:rPr>
                <w:rFonts w:ascii="Arial" w:hAnsi="Arial" w:cs="Arial"/>
                <w:b/>
                <w:sz w:val="22"/>
                <w:lang w:val="en-NZ" w:eastAsia="en-US"/>
              </w:rPr>
            </w:pPr>
            <w:r w:rsidRPr="00711193">
              <w:rPr>
                <w:rFonts w:ascii="Arial" w:hAnsi="Arial" w:cs="Arial"/>
                <w:b/>
                <w:lang w:val="en-NZ"/>
              </w:rPr>
              <w:t>‘01</w:t>
            </w:r>
          </w:p>
        </w:tc>
        <w:tc>
          <w:tcPr>
            <w:tcW w:w="563" w:type="dxa"/>
            <w:tcBorders>
              <w:top w:val="single" w:sz="4" w:space="0" w:color="auto"/>
              <w:left w:val="single" w:sz="4" w:space="0" w:color="auto"/>
              <w:bottom w:val="single" w:sz="4" w:space="0" w:color="auto"/>
              <w:right w:val="single" w:sz="4" w:space="0" w:color="auto"/>
            </w:tcBorders>
            <w:shd w:val="clear" w:color="auto" w:fill="92D050"/>
            <w:hideMark/>
          </w:tcPr>
          <w:p w14:paraId="394C9C1D" w14:textId="77777777" w:rsidR="00775385" w:rsidRPr="00711193" w:rsidRDefault="00775385">
            <w:pPr>
              <w:spacing w:line="280" w:lineRule="atLeast"/>
              <w:jc w:val="center"/>
              <w:rPr>
                <w:rFonts w:ascii="Arial" w:hAnsi="Arial" w:cs="Arial"/>
                <w:b/>
                <w:sz w:val="22"/>
                <w:lang w:val="en-NZ" w:eastAsia="en-US"/>
              </w:rPr>
            </w:pPr>
            <w:r w:rsidRPr="00711193">
              <w:rPr>
                <w:rFonts w:ascii="Arial" w:hAnsi="Arial" w:cs="Arial"/>
                <w:b/>
                <w:lang w:val="en-NZ"/>
              </w:rPr>
              <w:t>‘02</w:t>
            </w:r>
          </w:p>
        </w:tc>
        <w:tc>
          <w:tcPr>
            <w:tcW w:w="563" w:type="dxa"/>
            <w:tcBorders>
              <w:top w:val="single" w:sz="4" w:space="0" w:color="auto"/>
              <w:left w:val="single" w:sz="4" w:space="0" w:color="auto"/>
              <w:bottom w:val="single" w:sz="4" w:space="0" w:color="auto"/>
              <w:right w:val="single" w:sz="4" w:space="0" w:color="auto"/>
            </w:tcBorders>
            <w:shd w:val="clear" w:color="auto" w:fill="92D050"/>
            <w:hideMark/>
          </w:tcPr>
          <w:p w14:paraId="4B0DE531" w14:textId="77777777" w:rsidR="00775385" w:rsidRPr="00711193" w:rsidRDefault="00775385">
            <w:pPr>
              <w:spacing w:line="280" w:lineRule="atLeast"/>
              <w:jc w:val="center"/>
              <w:rPr>
                <w:rFonts w:ascii="Arial" w:hAnsi="Arial" w:cs="Arial"/>
                <w:b/>
                <w:sz w:val="22"/>
                <w:lang w:val="en-NZ" w:eastAsia="en-US"/>
              </w:rPr>
            </w:pPr>
            <w:r w:rsidRPr="00711193">
              <w:rPr>
                <w:rFonts w:ascii="Arial" w:hAnsi="Arial" w:cs="Arial"/>
                <w:b/>
                <w:lang w:val="en-NZ"/>
              </w:rPr>
              <w:t>‘03</w:t>
            </w:r>
          </w:p>
        </w:tc>
        <w:tc>
          <w:tcPr>
            <w:tcW w:w="563" w:type="dxa"/>
            <w:tcBorders>
              <w:top w:val="single" w:sz="4" w:space="0" w:color="auto"/>
              <w:left w:val="single" w:sz="4" w:space="0" w:color="auto"/>
              <w:bottom w:val="single" w:sz="4" w:space="0" w:color="auto"/>
              <w:right w:val="single" w:sz="4" w:space="0" w:color="auto"/>
            </w:tcBorders>
            <w:shd w:val="clear" w:color="auto" w:fill="FFFF00"/>
            <w:hideMark/>
          </w:tcPr>
          <w:p w14:paraId="6F1E6EC7" w14:textId="77777777" w:rsidR="00775385" w:rsidRPr="00711193" w:rsidRDefault="00775385">
            <w:pPr>
              <w:spacing w:line="280" w:lineRule="atLeast"/>
              <w:jc w:val="center"/>
              <w:rPr>
                <w:rFonts w:ascii="Arial" w:hAnsi="Arial" w:cs="Arial"/>
                <w:b/>
                <w:sz w:val="22"/>
                <w:lang w:val="en-NZ" w:eastAsia="en-US"/>
              </w:rPr>
            </w:pPr>
            <w:r w:rsidRPr="00711193">
              <w:rPr>
                <w:rFonts w:ascii="Arial" w:hAnsi="Arial" w:cs="Arial"/>
                <w:b/>
                <w:lang w:val="en-NZ"/>
              </w:rPr>
              <w:t>‘04</w:t>
            </w:r>
          </w:p>
        </w:tc>
        <w:tc>
          <w:tcPr>
            <w:tcW w:w="563" w:type="dxa"/>
            <w:tcBorders>
              <w:top w:val="single" w:sz="4" w:space="0" w:color="auto"/>
              <w:left w:val="single" w:sz="4" w:space="0" w:color="auto"/>
              <w:bottom w:val="single" w:sz="4" w:space="0" w:color="auto"/>
              <w:right w:val="single" w:sz="4" w:space="0" w:color="auto"/>
            </w:tcBorders>
            <w:shd w:val="clear" w:color="auto" w:fill="FFFF00"/>
            <w:hideMark/>
          </w:tcPr>
          <w:p w14:paraId="7D8CAA4C" w14:textId="77777777" w:rsidR="00775385" w:rsidRPr="00711193" w:rsidRDefault="00775385">
            <w:pPr>
              <w:spacing w:line="280" w:lineRule="atLeast"/>
              <w:jc w:val="center"/>
              <w:rPr>
                <w:rFonts w:ascii="Arial" w:hAnsi="Arial" w:cs="Arial"/>
                <w:b/>
                <w:sz w:val="22"/>
                <w:lang w:val="en-NZ" w:eastAsia="en-US"/>
              </w:rPr>
            </w:pPr>
            <w:r w:rsidRPr="00711193">
              <w:rPr>
                <w:rFonts w:ascii="Arial" w:hAnsi="Arial" w:cs="Arial"/>
                <w:b/>
                <w:lang w:val="en-NZ"/>
              </w:rPr>
              <w:t>‘05</w:t>
            </w:r>
          </w:p>
        </w:tc>
        <w:tc>
          <w:tcPr>
            <w:tcW w:w="563" w:type="dxa"/>
            <w:tcBorders>
              <w:top w:val="single" w:sz="4" w:space="0" w:color="auto"/>
              <w:left w:val="single" w:sz="4" w:space="0" w:color="auto"/>
              <w:bottom w:val="single" w:sz="4" w:space="0" w:color="auto"/>
              <w:right w:val="single" w:sz="4" w:space="0" w:color="auto"/>
            </w:tcBorders>
            <w:shd w:val="clear" w:color="auto" w:fill="FFFF00"/>
            <w:hideMark/>
          </w:tcPr>
          <w:p w14:paraId="186E15EE" w14:textId="77777777" w:rsidR="00775385" w:rsidRPr="00711193" w:rsidRDefault="00775385">
            <w:pPr>
              <w:spacing w:line="280" w:lineRule="atLeast"/>
              <w:jc w:val="center"/>
              <w:rPr>
                <w:rFonts w:ascii="Arial" w:hAnsi="Arial" w:cs="Arial"/>
                <w:b/>
                <w:sz w:val="22"/>
                <w:lang w:val="en-NZ" w:eastAsia="en-US"/>
              </w:rPr>
            </w:pPr>
            <w:r w:rsidRPr="00711193">
              <w:rPr>
                <w:rFonts w:ascii="Arial" w:hAnsi="Arial" w:cs="Arial"/>
                <w:b/>
                <w:lang w:val="en-NZ"/>
              </w:rPr>
              <w:t>‘06</w:t>
            </w:r>
          </w:p>
        </w:tc>
        <w:tc>
          <w:tcPr>
            <w:tcW w:w="563" w:type="dxa"/>
            <w:tcBorders>
              <w:top w:val="single" w:sz="4" w:space="0" w:color="auto"/>
              <w:left w:val="single" w:sz="4" w:space="0" w:color="auto"/>
              <w:bottom w:val="single" w:sz="4" w:space="0" w:color="auto"/>
              <w:right w:val="single" w:sz="4" w:space="0" w:color="auto"/>
            </w:tcBorders>
            <w:shd w:val="clear" w:color="auto" w:fill="FFFF00"/>
            <w:hideMark/>
          </w:tcPr>
          <w:p w14:paraId="524C09BA" w14:textId="77777777" w:rsidR="00775385" w:rsidRPr="00711193" w:rsidRDefault="00775385">
            <w:pPr>
              <w:spacing w:line="280" w:lineRule="atLeast"/>
              <w:jc w:val="center"/>
              <w:rPr>
                <w:rFonts w:ascii="Arial" w:hAnsi="Arial" w:cs="Arial"/>
                <w:b/>
                <w:sz w:val="22"/>
                <w:lang w:val="en-NZ" w:eastAsia="en-US"/>
              </w:rPr>
            </w:pPr>
            <w:r w:rsidRPr="00711193">
              <w:rPr>
                <w:rFonts w:ascii="Arial" w:hAnsi="Arial" w:cs="Arial"/>
                <w:b/>
                <w:lang w:val="en-NZ"/>
              </w:rPr>
              <w:t>‘07</w:t>
            </w:r>
          </w:p>
        </w:tc>
        <w:tc>
          <w:tcPr>
            <w:tcW w:w="563" w:type="dxa"/>
            <w:tcBorders>
              <w:top w:val="single" w:sz="4" w:space="0" w:color="auto"/>
              <w:left w:val="single" w:sz="4" w:space="0" w:color="auto"/>
              <w:bottom w:val="single" w:sz="4" w:space="0" w:color="auto"/>
              <w:right w:val="single" w:sz="4" w:space="0" w:color="auto"/>
            </w:tcBorders>
            <w:shd w:val="clear" w:color="auto" w:fill="FFFF00"/>
          </w:tcPr>
          <w:p w14:paraId="4A1DFC3C" w14:textId="77777777" w:rsidR="00775385" w:rsidRPr="00711193" w:rsidRDefault="00775385">
            <w:pPr>
              <w:spacing w:line="280" w:lineRule="atLeast"/>
              <w:jc w:val="center"/>
              <w:rPr>
                <w:rFonts w:ascii="Arial" w:hAnsi="Arial" w:cs="Arial"/>
                <w:b/>
                <w:lang w:val="en-NZ"/>
              </w:rPr>
            </w:pPr>
            <w:r w:rsidRPr="00711193">
              <w:rPr>
                <w:rFonts w:ascii="Arial" w:hAnsi="Arial" w:cs="Arial"/>
                <w:b/>
                <w:lang w:val="en-NZ"/>
              </w:rPr>
              <w:t>‘08</w:t>
            </w:r>
          </w:p>
        </w:tc>
        <w:tc>
          <w:tcPr>
            <w:tcW w:w="563" w:type="dxa"/>
            <w:tcBorders>
              <w:top w:val="single" w:sz="4" w:space="0" w:color="auto"/>
              <w:left w:val="single" w:sz="4" w:space="0" w:color="auto"/>
              <w:bottom w:val="single" w:sz="4" w:space="0" w:color="auto"/>
              <w:right w:val="single" w:sz="4" w:space="0" w:color="auto"/>
            </w:tcBorders>
            <w:shd w:val="clear" w:color="auto" w:fill="FFFF00"/>
          </w:tcPr>
          <w:p w14:paraId="7B627790" w14:textId="77777777" w:rsidR="00775385" w:rsidRPr="00711193" w:rsidRDefault="00775385">
            <w:pPr>
              <w:spacing w:line="280" w:lineRule="atLeast"/>
              <w:jc w:val="center"/>
              <w:rPr>
                <w:rFonts w:ascii="Arial" w:hAnsi="Arial" w:cs="Arial"/>
                <w:b/>
                <w:lang w:val="en-NZ"/>
              </w:rPr>
            </w:pPr>
            <w:r w:rsidRPr="00711193">
              <w:rPr>
                <w:rFonts w:ascii="Arial" w:hAnsi="Arial" w:cs="Arial"/>
                <w:b/>
                <w:lang w:val="en-NZ"/>
              </w:rPr>
              <w:t>‘09</w:t>
            </w:r>
          </w:p>
        </w:tc>
        <w:tc>
          <w:tcPr>
            <w:tcW w:w="563" w:type="dxa"/>
            <w:tcBorders>
              <w:top w:val="single" w:sz="4" w:space="0" w:color="auto"/>
              <w:left w:val="single" w:sz="4" w:space="0" w:color="auto"/>
              <w:bottom w:val="single" w:sz="4" w:space="0" w:color="auto"/>
              <w:right w:val="single" w:sz="4" w:space="0" w:color="auto"/>
            </w:tcBorders>
            <w:shd w:val="clear" w:color="auto" w:fill="FFFF00"/>
          </w:tcPr>
          <w:p w14:paraId="0B91D37D" w14:textId="77777777" w:rsidR="00775385" w:rsidRPr="00711193" w:rsidRDefault="00775385">
            <w:pPr>
              <w:spacing w:line="280" w:lineRule="atLeast"/>
              <w:jc w:val="center"/>
              <w:rPr>
                <w:rFonts w:ascii="Arial" w:hAnsi="Arial" w:cs="Arial"/>
                <w:b/>
                <w:lang w:val="en-NZ"/>
              </w:rPr>
            </w:pPr>
            <w:r w:rsidRPr="00711193">
              <w:rPr>
                <w:rFonts w:ascii="Arial" w:hAnsi="Arial" w:cs="Arial"/>
                <w:b/>
                <w:lang w:val="en-NZ"/>
              </w:rPr>
              <w:t>‘10</w:t>
            </w:r>
          </w:p>
        </w:tc>
        <w:tc>
          <w:tcPr>
            <w:tcW w:w="563" w:type="dxa"/>
            <w:tcBorders>
              <w:top w:val="single" w:sz="4" w:space="0" w:color="auto"/>
              <w:left w:val="single" w:sz="4" w:space="0" w:color="auto"/>
              <w:bottom w:val="single" w:sz="4" w:space="0" w:color="auto"/>
              <w:right w:val="single" w:sz="4" w:space="0" w:color="auto"/>
            </w:tcBorders>
            <w:shd w:val="clear" w:color="auto" w:fill="FFFF00"/>
          </w:tcPr>
          <w:p w14:paraId="746B25C5" w14:textId="77777777" w:rsidR="00775385" w:rsidRPr="00711193" w:rsidRDefault="00775385">
            <w:pPr>
              <w:spacing w:line="280" w:lineRule="atLeast"/>
              <w:jc w:val="center"/>
              <w:rPr>
                <w:rFonts w:ascii="Arial" w:hAnsi="Arial" w:cs="Arial"/>
                <w:b/>
                <w:lang w:val="en-NZ"/>
              </w:rPr>
            </w:pPr>
            <w:r w:rsidRPr="00711193">
              <w:rPr>
                <w:rFonts w:ascii="Arial" w:hAnsi="Arial" w:cs="Arial"/>
                <w:b/>
                <w:lang w:val="en-NZ"/>
              </w:rPr>
              <w:t>‘11</w:t>
            </w:r>
          </w:p>
        </w:tc>
        <w:tc>
          <w:tcPr>
            <w:tcW w:w="563" w:type="dxa"/>
            <w:tcBorders>
              <w:top w:val="single" w:sz="4" w:space="0" w:color="auto"/>
              <w:left w:val="single" w:sz="4" w:space="0" w:color="auto"/>
              <w:bottom w:val="single" w:sz="4" w:space="0" w:color="auto"/>
              <w:right w:val="single" w:sz="4" w:space="0" w:color="auto"/>
            </w:tcBorders>
            <w:shd w:val="clear" w:color="auto" w:fill="FFFF00"/>
          </w:tcPr>
          <w:p w14:paraId="4D94DBB8" w14:textId="77777777" w:rsidR="00775385" w:rsidRPr="00711193" w:rsidRDefault="00775385">
            <w:pPr>
              <w:spacing w:line="280" w:lineRule="atLeast"/>
              <w:jc w:val="center"/>
              <w:rPr>
                <w:rFonts w:ascii="Arial" w:hAnsi="Arial" w:cs="Arial"/>
                <w:b/>
                <w:lang w:val="en-NZ"/>
              </w:rPr>
            </w:pPr>
            <w:r w:rsidRPr="00711193">
              <w:rPr>
                <w:rFonts w:ascii="Arial" w:hAnsi="Arial" w:cs="Arial"/>
                <w:b/>
                <w:lang w:val="en-NZ"/>
              </w:rPr>
              <w:t>‘12</w:t>
            </w:r>
          </w:p>
        </w:tc>
        <w:tc>
          <w:tcPr>
            <w:tcW w:w="563" w:type="dxa"/>
            <w:tcBorders>
              <w:top w:val="single" w:sz="4" w:space="0" w:color="auto"/>
              <w:left w:val="single" w:sz="4" w:space="0" w:color="auto"/>
              <w:bottom w:val="single" w:sz="4" w:space="0" w:color="auto"/>
              <w:right w:val="single" w:sz="4" w:space="0" w:color="auto"/>
            </w:tcBorders>
            <w:shd w:val="clear" w:color="auto" w:fill="FFFF00"/>
          </w:tcPr>
          <w:p w14:paraId="62BE03EC" w14:textId="77777777" w:rsidR="00775385" w:rsidRPr="00711193" w:rsidRDefault="00775385">
            <w:pPr>
              <w:spacing w:line="280" w:lineRule="atLeast"/>
              <w:jc w:val="center"/>
              <w:rPr>
                <w:rFonts w:ascii="Arial" w:hAnsi="Arial" w:cs="Arial"/>
                <w:b/>
                <w:lang w:val="en-NZ"/>
              </w:rPr>
            </w:pPr>
            <w:r w:rsidRPr="00711193">
              <w:rPr>
                <w:rFonts w:ascii="Arial" w:hAnsi="Arial" w:cs="Arial"/>
                <w:b/>
                <w:lang w:val="en-NZ"/>
              </w:rPr>
              <w:t>‘13</w:t>
            </w:r>
          </w:p>
        </w:tc>
        <w:tc>
          <w:tcPr>
            <w:tcW w:w="564" w:type="dxa"/>
            <w:tcBorders>
              <w:top w:val="single" w:sz="4" w:space="0" w:color="auto"/>
              <w:left w:val="single" w:sz="4" w:space="0" w:color="auto"/>
              <w:bottom w:val="single" w:sz="4" w:space="0" w:color="auto"/>
              <w:right w:val="single" w:sz="4" w:space="0" w:color="auto"/>
            </w:tcBorders>
            <w:shd w:val="clear" w:color="auto" w:fill="FFFF00"/>
          </w:tcPr>
          <w:p w14:paraId="2EA96C06" w14:textId="77777777" w:rsidR="00775385" w:rsidRPr="00711193" w:rsidRDefault="00775385">
            <w:pPr>
              <w:spacing w:line="280" w:lineRule="atLeast"/>
              <w:jc w:val="center"/>
              <w:rPr>
                <w:rFonts w:ascii="Arial" w:hAnsi="Arial" w:cs="Arial"/>
                <w:b/>
                <w:lang w:val="en-NZ"/>
              </w:rPr>
            </w:pPr>
            <w:r w:rsidRPr="00711193">
              <w:rPr>
                <w:rFonts w:ascii="Arial" w:hAnsi="Arial" w:cs="Arial"/>
                <w:b/>
                <w:lang w:val="en-NZ"/>
              </w:rPr>
              <w:t>‘14</w:t>
            </w:r>
          </w:p>
        </w:tc>
      </w:tr>
      <w:tr w:rsidR="00775385" w14:paraId="5EF3690D" w14:textId="77777777" w:rsidTr="006D58A3">
        <w:tc>
          <w:tcPr>
            <w:tcW w:w="563" w:type="dxa"/>
            <w:tcBorders>
              <w:top w:val="single" w:sz="4" w:space="0" w:color="auto"/>
              <w:left w:val="single" w:sz="4" w:space="0" w:color="auto"/>
              <w:bottom w:val="single" w:sz="4" w:space="0" w:color="auto"/>
              <w:right w:val="single" w:sz="4" w:space="0" w:color="auto"/>
            </w:tcBorders>
            <w:hideMark/>
          </w:tcPr>
          <w:p w14:paraId="408B5453" w14:textId="77777777" w:rsidR="00775385" w:rsidRPr="00711193" w:rsidRDefault="00775385">
            <w:pPr>
              <w:spacing w:line="280" w:lineRule="atLeast"/>
              <w:jc w:val="center"/>
              <w:rPr>
                <w:rFonts w:ascii="Arial" w:hAnsi="Arial" w:cs="Arial"/>
                <w:sz w:val="22"/>
                <w:lang w:val="en-NZ" w:eastAsia="en-US"/>
              </w:rPr>
            </w:pPr>
            <w:r w:rsidRPr="00711193">
              <w:rPr>
                <w:rFonts w:ascii="Arial" w:hAnsi="Arial" w:cs="Arial"/>
                <w:lang w:val="en-NZ"/>
              </w:rPr>
              <w:t>2</w:t>
            </w:r>
          </w:p>
        </w:tc>
        <w:tc>
          <w:tcPr>
            <w:tcW w:w="563" w:type="dxa"/>
            <w:tcBorders>
              <w:top w:val="single" w:sz="4" w:space="0" w:color="auto"/>
              <w:left w:val="single" w:sz="4" w:space="0" w:color="auto"/>
              <w:bottom w:val="single" w:sz="4" w:space="0" w:color="auto"/>
              <w:right w:val="single" w:sz="4" w:space="0" w:color="auto"/>
            </w:tcBorders>
            <w:hideMark/>
          </w:tcPr>
          <w:p w14:paraId="3C2EBC29" w14:textId="77777777" w:rsidR="00775385" w:rsidRPr="00711193" w:rsidRDefault="00775385">
            <w:pPr>
              <w:spacing w:line="280" w:lineRule="atLeast"/>
              <w:jc w:val="center"/>
              <w:rPr>
                <w:rFonts w:ascii="Arial" w:hAnsi="Arial" w:cs="Arial"/>
                <w:sz w:val="22"/>
                <w:lang w:val="en-NZ" w:eastAsia="en-US"/>
              </w:rPr>
            </w:pPr>
            <w:r w:rsidRPr="00711193">
              <w:rPr>
                <w:rFonts w:ascii="Arial" w:hAnsi="Arial" w:cs="Arial"/>
                <w:lang w:val="en-NZ"/>
              </w:rPr>
              <w:t>6</w:t>
            </w:r>
          </w:p>
        </w:tc>
        <w:tc>
          <w:tcPr>
            <w:tcW w:w="563" w:type="dxa"/>
            <w:tcBorders>
              <w:top w:val="single" w:sz="4" w:space="0" w:color="auto"/>
              <w:left w:val="single" w:sz="4" w:space="0" w:color="auto"/>
              <w:bottom w:val="single" w:sz="4" w:space="0" w:color="auto"/>
              <w:right w:val="single" w:sz="4" w:space="0" w:color="auto"/>
            </w:tcBorders>
            <w:hideMark/>
          </w:tcPr>
          <w:p w14:paraId="67F539B9" w14:textId="77777777" w:rsidR="00775385" w:rsidRPr="00711193" w:rsidRDefault="00775385">
            <w:pPr>
              <w:spacing w:line="280" w:lineRule="atLeast"/>
              <w:jc w:val="center"/>
              <w:rPr>
                <w:rFonts w:ascii="Arial" w:hAnsi="Arial" w:cs="Arial"/>
                <w:sz w:val="22"/>
                <w:lang w:val="en-NZ" w:eastAsia="en-US"/>
              </w:rPr>
            </w:pPr>
            <w:r w:rsidRPr="00711193">
              <w:rPr>
                <w:rFonts w:ascii="Arial" w:hAnsi="Arial" w:cs="Arial"/>
                <w:lang w:val="en-NZ"/>
              </w:rPr>
              <w:t>10</w:t>
            </w:r>
          </w:p>
        </w:tc>
        <w:tc>
          <w:tcPr>
            <w:tcW w:w="563" w:type="dxa"/>
            <w:tcBorders>
              <w:top w:val="single" w:sz="4" w:space="0" w:color="auto"/>
              <w:left w:val="single" w:sz="4" w:space="0" w:color="auto"/>
              <w:bottom w:val="single" w:sz="4" w:space="0" w:color="auto"/>
              <w:right w:val="single" w:sz="4" w:space="0" w:color="auto"/>
            </w:tcBorders>
            <w:hideMark/>
          </w:tcPr>
          <w:p w14:paraId="45B45D53" w14:textId="77777777" w:rsidR="00775385" w:rsidRPr="00711193" w:rsidRDefault="00775385">
            <w:pPr>
              <w:spacing w:line="280" w:lineRule="atLeast"/>
              <w:jc w:val="center"/>
              <w:rPr>
                <w:rFonts w:ascii="Arial" w:hAnsi="Arial" w:cs="Arial"/>
                <w:sz w:val="22"/>
                <w:lang w:val="en-NZ" w:eastAsia="en-US"/>
              </w:rPr>
            </w:pPr>
            <w:r w:rsidRPr="00711193">
              <w:rPr>
                <w:rFonts w:ascii="Arial" w:hAnsi="Arial" w:cs="Arial"/>
                <w:lang w:val="en-NZ"/>
              </w:rPr>
              <w:t>10</w:t>
            </w:r>
          </w:p>
        </w:tc>
        <w:tc>
          <w:tcPr>
            <w:tcW w:w="563" w:type="dxa"/>
            <w:tcBorders>
              <w:top w:val="single" w:sz="4" w:space="0" w:color="auto"/>
              <w:left w:val="single" w:sz="4" w:space="0" w:color="auto"/>
              <w:bottom w:val="single" w:sz="4" w:space="0" w:color="auto"/>
              <w:right w:val="single" w:sz="4" w:space="0" w:color="auto"/>
            </w:tcBorders>
            <w:hideMark/>
          </w:tcPr>
          <w:p w14:paraId="336D214E" w14:textId="77777777" w:rsidR="00775385" w:rsidRPr="00711193" w:rsidRDefault="00775385">
            <w:pPr>
              <w:spacing w:line="280" w:lineRule="atLeast"/>
              <w:jc w:val="center"/>
              <w:rPr>
                <w:rFonts w:ascii="Arial" w:hAnsi="Arial" w:cs="Arial"/>
                <w:sz w:val="22"/>
                <w:lang w:val="en-NZ" w:eastAsia="en-US"/>
              </w:rPr>
            </w:pPr>
            <w:r w:rsidRPr="00711193">
              <w:rPr>
                <w:rFonts w:ascii="Arial" w:hAnsi="Arial" w:cs="Arial"/>
                <w:lang w:val="en-NZ"/>
              </w:rPr>
              <w:t>14</w:t>
            </w:r>
          </w:p>
        </w:tc>
        <w:tc>
          <w:tcPr>
            <w:tcW w:w="563" w:type="dxa"/>
            <w:tcBorders>
              <w:top w:val="single" w:sz="4" w:space="0" w:color="auto"/>
              <w:left w:val="single" w:sz="4" w:space="0" w:color="auto"/>
              <w:bottom w:val="single" w:sz="4" w:space="0" w:color="auto"/>
              <w:right w:val="single" w:sz="4" w:space="0" w:color="auto"/>
            </w:tcBorders>
            <w:hideMark/>
          </w:tcPr>
          <w:p w14:paraId="7CA3733E" w14:textId="77777777" w:rsidR="00775385" w:rsidRPr="00711193" w:rsidRDefault="00775385">
            <w:pPr>
              <w:spacing w:line="280" w:lineRule="atLeast"/>
              <w:jc w:val="center"/>
              <w:rPr>
                <w:rFonts w:ascii="Arial" w:hAnsi="Arial" w:cs="Arial"/>
                <w:sz w:val="22"/>
                <w:lang w:val="en-NZ" w:eastAsia="en-US"/>
              </w:rPr>
            </w:pPr>
            <w:r w:rsidRPr="00711193">
              <w:rPr>
                <w:rFonts w:ascii="Arial" w:hAnsi="Arial" w:cs="Arial"/>
                <w:lang w:val="en-NZ"/>
              </w:rPr>
              <w:t>13</w:t>
            </w:r>
          </w:p>
        </w:tc>
        <w:tc>
          <w:tcPr>
            <w:tcW w:w="563" w:type="dxa"/>
            <w:tcBorders>
              <w:top w:val="single" w:sz="4" w:space="0" w:color="auto"/>
              <w:left w:val="single" w:sz="4" w:space="0" w:color="auto"/>
              <w:bottom w:val="single" w:sz="4" w:space="0" w:color="auto"/>
              <w:right w:val="single" w:sz="4" w:space="0" w:color="auto"/>
            </w:tcBorders>
            <w:shd w:val="clear" w:color="auto" w:fill="auto"/>
            <w:hideMark/>
          </w:tcPr>
          <w:p w14:paraId="2588FD6C" w14:textId="77777777" w:rsidR="00775385" w:rsidRPr="00711193" w:rsidRDefault="00775385">
            <w:pPr>
              <w:spacing w:line="280" w:lineRule="atLeast"/>
              <w:jc w:val="center"/>
              <w:rPr>
                <w:rFonts w:ascii="Arial" w:hAnsi="Arial" w:cs="Arial"/>
                <w:sz w:val="22"/>
                <w:lang w:val="en-NZ" w:eastAsia="en-US"/>
              </w:rPr>
            </w:pPr>
            <w:r w:rsidRPr="00711193">
              <w:rPr>
                <w:rFonts w:ascii="Arial" w:hAnsi="Arial" w:cs="Arial"/>
                <w:lang w:val="en-NZ"/>
              </w:rPr>
              <w:t>17</w:t>
            </w:r>
          </w:p>
        </w:tc>
        <w:tc>
          <w:tcPr>
            <w:tcW w:w="563" w:type="dxa"/>
            <w:tcBorders>
              <w:top w:val="single" w:sz="4" w:space="0" w:color="auto"/>
              <w:left w:val="single" w:sz="4" w:space="0" w:color="auto"/>
              <w:bottom w:val="single" w:sz="4" w:space="0" w:color="auto"/>
              <w:right w:val="single" w:sz="4" w:space="0" w:color="auto"/>
            </w:tcBorders>
            <w:shd w:val="clear" w:color="auto" w:fill="auto"/>
            <w:hideMark/>
          </w:tcPr>
          <w:p w14:paraId="136EE14B" w14:textId="77777777" w:rsidR="00775385" w:rsidRPr="00711193" w:rsidRDefault="00176106">
            <w:pPr>
              <w:spacing w:line="280" w:lineRule="atLeast"/>
              <w:jc w:val="center"/>
              <w:rPr>
                <w:rFonts w:ascii="Arial" w:hAnsi="Arial" w:cs="Arial"/>
                <w:sz w:val="22"/>
                <w:lang w:val="en-NZ" w:eastAsia="en-US"/>
              </w:rPr>
            </w:pPr>
            <w:r w:rsidRPr="00711193">
              <w:rPr>
                <w:rFonts w:ascii="Arial" w:hAnsi="Arial" w:cs="Arial"/>
                <w:lang w:val="en-NZ"/>
              </w:rPr>
              <w:t>23</w:t>
            </w:r>
          </w:p>
        </w:tc>
        <w:tc>
          <w:tcPr>
            <w:tcW w:w="563" w:type="dxa"/>
            <w:tcBorders>
              <w:top w:val="single" w:sz="4" w:space="0" w:color="auto"/>
              <w:left w:val="single" w:sz="4" w:space="0" w:color="auto"/>
              <w:bottom w:val="single" w:sz="4" w:space="0" w:color="auto"/>
              <w:right w:val="single" w:sz="4" w:space="0" w:color="auto"/>
            </w:tcBorders>
            <w:shd w:val="clear" w:color="auto" w:fill="auto"/>
            <w:hideMark/>
          </w:tcPr>
          <w:p w14:paraId="1FC5B18C" w14:textId="77777777" w:rsidR="00775385" w:rsidRPr="00711193" w:rsidRDefault="00775385" w:rsidP="00176106">
            <w:pPr>
              <w:spacing w:line="280" w:lineRule="atLeast"/>
              <w:jc w:val="center"/>
              <w:rPr>
                <w:rFonts w:ascii="Arial" w:hAnsi="Arial" w:cs="Arial"/>
                <w:sz w:val="22"/>
                <w:lang w:val="en-NZ" w:eastAsia="en-US"/>
              </w:rPr>
            </w:pPr>
            <w:r w:rsidRPr="00711193">
              <w:rPr>
                <w:rFonts w:ascii="Arial" w:hAnsi="Arial" w:cs="Arial"/>
                <w:lang w:val="en-NZ"/>
              </w:rPr>
              <w:t>1</w:t>
            </w:r>
            <w:r w:rsidR="00176106" w:rsidRPr="00711193">
              <w:rPr>
                <w:rFonts w:ascii="Arial" w:hAnsi="Arial" w:cs="Arial"/>
                <w:lang w:val="en-NZ"/>
              </w:rPr>
              <w:t>5</w:t>
            </w:r>
          </w:p>
        </w:tc>
        <w:tc>
          <w:tcPr>
            <w:tcW w:w="563" w:type="dxa"/>
            <w:tcBorders>
              <w:top w:val="single" w:sz="4" w:space="0" w:color="auto"/>
              <w:left w:val="single" w:sz="4" w:space="0" w:color="auto"/>
              <w:bottom w:val="single" w:sz="4" w:space="0" w:color="auto"/>
              <w:right w:val="single" w:sz="4" w:space="0" w:color="auto"/>
            </w:tcBorders>
            <w:shd w:val="clear" w:color="auto" w:fill="auto"/>
            <w:hideMark/>
          </w:tcPr>
          <w:p w14:paraId="7E38FD48" w14:textId="77777777" w:rsidR="00775385" w:rsidRPr="00711193" w:rsidRDefault="00176106">
            <w:pPr>
              <w:spacing w:line="280" w:lineRule="atLeast"/>
              <w:jc w:val="center"/>
              <w:rPr>
                <w:rFonts w:ascii="Arial" w:hAnsi="Arial" w:cs="Arial"/>
                <w:sz w:val="22"/>
                <w:lang w:val="en-NZ" w:eastAsia="en-US"/>
              </w:rPr>
            </w:pPr>
            <w:r w:rsidRPr="00711193">
              <w:rPr>
                <w:rFonts w:ascii="Arial" w:hAnsi="Arial" w:cs="Arial"/>
                <w:lang w:val="en-NZ"/>
              </w:rPr>
              <w:t>18</w:t>
            </w:r>
          </w:p>
        </w:tc>
        <w:tc>
          <w:tcPr>
            <w:tcW w:w="563" w:type="dxa"/>
            <w:tcBorders>
              <w:top w:val="single" w:sz="4" w:space="0" w:color="auto"/>
              <w:left w:val="single" w:sz="4" w:space="0" w:color="auto"/>
              <w:bottom w:val="single" w:sz="4" w:space="0" w:color="auto"/>
              <w:right w:val="single" w:sz="4" w:space="0" w:color="auto"/>
            </w:tcBorders>
            <w:shd w:val="clear" w:color="auto" w:fill="auto"/>
          </w:tcPr>
          <w:p w14:paraId="6B59A08D" w14:textId="77777777" w:rsidR="00775385" w:rsidRPr="00711193" w:rsidRDefault="00775385">
            <w:pPr>
              <w:spacing w:line="280" w:lineRule="atLeast"/>
              <w:jc w:val="center"/>
              <w:rPr>
                <w:rFonts w:ascii="Arial" w:hAnsi="Arial" w:cs="Arial"/>
                <w:lang w:val="en-NZ"/>
              </w:rPr>
            </w:pPr>
            <w:r w:rsidRPr="00711193">
              <w:rPr>
                <w:rFonts w:ascii="Arial" w:hAnsi="Arial" w:cs="Arial"/>
                <w:lang w:val="en-NZ"/>
              </w:rPr>
              <w:t>10</w:t>
            </w:r>
          </w:p>
        </w:tc>
        <w:tc>
          <w:tcPr>
            <w:tcW w:w="563" w:type="dxa"/>
            <w:tcBorders>
              <w:top w:val="single" w:sz="4" w:space="0" w:color="auto"/>
              <w:left w:val="single" w:sz="4" w:space="0" w:color="auto"/>
              <w:bottom w:val="single" w:sz="4" w:space="0" w:color="auto"/>
              <w:right w:val="single" w:sz="4" w:space="0" w:color="auto"/>
            </w:tcBorders>
            <w:shd w:val="clear" w:color="auto" w:fill="auto"/>
          </w:tcPr>
          <w:p w14:paraId="6871228D" w14:textId="77777777" w:rsidR="00775385" w:rsidRPr="00711193" w:rsidRDefault="00176106">
            <w:pPr>
              <w:spacing w:line="280" w:lineRule="atLeast"/>
              <w:jc w:val="center"/>
              <w:rPr>
                <w:rFonts w:ascii="Arial" w:hAnsi="Arial" w:cs="Arial"/>
                <w:lang w:val="en-NZ"/>
              </w:rPr>
            </w:pPr>
            <w:r w:rsidRPr="00711193">
              <w:rPr>
                <w:rFonts w:ascii="Arial" w:hAnsi="Arial" w:cs="Arial"/>
                <w:lang w:val="en-NZ"/>
              </w:rPr>
              <w:t>17</w:t>
            </w:r>
          </w:p>
        </w:tc>
        <w:tc>
          <w:tcPr>
            <w:tcW w:w="563" w:type="dxa"/>
            <w:tcBorders>
              <w:top w:val="single" w:sz="4" w:space="0" w:color="auto"/>
              <w:left w:val="single" w:sz="4" w:space="0" w:color="auto"/>
              <w:bottom w:val="single" w:sz="4" w:space="0" w:color="auto"/>
              <w:right w:val="single" w:sz="4" w:space="0" w:color="auto"/>
            </w:tcBorders>
            <w:shd w:val="clear" w:color="auto" w:fill="auto"/>
          </w:tcPr>
          <w:p w14:paraId="574779A0" w14:textId="77777777" w:rsidR="00775385" w:rsidRPr="00711193" w:rsidRDefault="00176106">
            <w:pPr>
              <w:spacing w:line="280" w:lineRule="atLeast"/>
              <w:jc w:val="center"/>
              <w:rPr>
                <w:rFonts w:ascii="Arial" w:hAnsi="Arial" w:cs="Arial"/>
                <w:lang w:val="en-NZ"/>
              </w:rPr>
            </w:pPr>
            <w:r w:rsidRPr="00711193">
              <w:rPr>
                <w:rFonts w:ascii="Arial" w:hAnsi="Arial" w:cs="Arial"/>
                <w:lang w:val="en-NZ"/>
              </w:rPr>
              <w:t>18</w:t>
            </w:r>
          </w:p>
        </w:tc>
        <w:tc>
          <w:tcPr>
            <w:tcW w:w="563" w:type="dxa"/>
            <w:tcBorders>
              <w:top w:val="single" w:sz="4" w:space="0" w:color="auto"/>
              <w:left w:val="single" w:sz="4" w:space="0" w:color="auto"/>
              <w:bottom w:val="single" w:sz="4" w:space="0" w:color="auto"/>
              <w:right w:val="single" w:sz="4" w:space="0" w:color="auto"/>
            </w:tcBorders>
            <w:shd w:val="clear" w:color="auto" w:fill="auto"/>
          </w:tcPr>
          <w:p w14:paraId="6C11D95F" w14:textId="77777777" w:rsidR="00775385" w:rsidRPr="00711193" w:rsidRDefault="00176106">
            <w:pPr>
              <w:spacing w:line="280" w:lineRule="atLeast"/>
              <w:jc w:val="center"/>
              <w:rPr>
                <w:rFonts w:ascii="Arial" w:hAnsi="Arial" w:cs="Arial"/>
                <w:lang w:val="en-NZ"/>
              </w:rPr>
            </w:pPr>
            <w:r w:rsidRPr="00711193">
              <w:rPr>
                <w:rFonts w:ascii="Arial" w:hAnsi="Arial" w:cs="Arial"/>
                <w:lang w:val="en-NZ"/>
              </w:rPr>
              <w:t>14</w:t>
            </w:r>
          </w:p>
        </w:tc>
        <w:tc>
          <w:tcPr>
            <w:tcW w:w="563" w:type="dxa"/>
            <w:tcBorders>
              <w:top w:val="single" w:sz="4" w:space="0" w:color="auto"/>
              <w:left w:val="single" w:sz="4" w:space="0" w:color="auto"/>
              <w:bottom w:val="single" w:sz="4" w:space="0" w:color="auto"/>
              <w:right w:val="single" w:sz="4" w:space="0" w:color="auto"/>
            </w:tcBorders>
            <w:shd w:val="clear" w:color="auto" w:fill="auto"/>
          </w:tcPr>
          <w:p w14:paraId="03CD0115" w14:textId="77777777" w:rsidR="00775385" w:rsidRPr="00711193" w:rsidRDefault="00176106">
            <w:pPr>
              <w:spacing w:line="280" w:lineRule="atLeast"/>
              <w:jc w:val="center"/>
              <w:rPr>
                <w:rFonts w:ascii="Arial" w:hAnsi="Arial" w:cs="Arial"/>
                <w:lang w:val="en-NZ"/>
              </w:rPr>
            </w:pPr>
            <w:r w:rsidRPr="00711193">
              <w:rPr>
                <w:rFonts w:ascii="Arial" w:hAnsi="Arial" w:cs="Arial"/>
                <w:lang w:val="en-NZ"/>
              </w:rPr>
              <w:t>11</w:t>
            </w:r>
          </w:p>
        </w:tc>
        <w:tc>
          <w:tcPr>
            <w:tcW w:w="563" w:type="dxa"/>
            <w:tcBorders>
              <w:top w:val="single" w:sz="4" w:space="0" w:color="auto"/>
              <w:left w:val="single" w:sz="4" w:space="0" w:color="auto"/>
              <w:bottom w:val="single" w:sz="4" w:space="0" w:color="auto"/>
              <w:right w:val="single" w:sz="4" w:space="0" w:color="auto"/>
            </w:tcBorders>
            <w:shd w:val="clear" w:color="auto" w:fill="auto"/>
          </w:tcPr>
          <w:p w14:paraId="6AAF47EF" w14:textId="77777777" w:rsidR="00775385" w:rsidRPr="00711193" w:rsidRDefault="00176106">
            <w:pPr>
              <w:spacing w:line="280" w:lineRule="atLeast"/>
              <w:jc w:val="center"/>
              <w:rPr>
                <w:rFonts w:ascii="Arial" w:hAnsi="Arial" w:cs="Arial"/>
                <w:lang w:val="en-NZ"/>
              </w:rPr>
            </w:pPr>
            <w:r w:rsidRPr="00711193">
              <w:rPr>
                <w:rFonts w:ascii="Arial" w:hAnsi="Arial" w:cs="Arial"/>
                <w:lang w:val="en-NZ"/>
              </w:rPr>
              <w:t>23</w:t>
            </w:r>
          </w:p>
        </w:tc>
        <w:tc>
          <w:tcPr>
            <w:tcW w:w="564" w:type="dxa"/>
            <w:tcBorders>
              <w:top w:val="single" w:sz="4" w:space="0" w:color="auto"/>
              <w:left w:val="single" w:sz="4" w:space="0" w:color="auto"/>
              <w:bottom w:val="single" w:sz="4" w:space="0" w:color="auto"/>
              <w:right w:val="single" w:sz="4" w:space="0" w:color="auto"/>
            </w:tcBorders>
            <w:shd w:val="clear" w:color="auto" w:fill="auto"/>
          </w:tcPr>
          <w:p w14:paraId="61679CB3" w14:textId="77777777" w:rsidR="00775385" w:rsidRPr="00711193" w:rsidRDefault="00176106">
            <w:pPr>
              <w:spacing w:line="280" w:lineRule="atLeast"/>
              <w:jc w:val="center"/>
              <w:rPr>
                <w:rFonts w:ascii="Arial" w:hAnsi="Arial" w:cs="Arial"/>
                <w:lang w:val="en-NZ"/>
              </w:rPr>
            </w:pPr>
            <w:r w:rsidRPr="00711193">
              <w:rPr>
                <w:rFonts w:ascii="Arial" w:hAnsi="Arial" w:cs="Arial"/>
                <w:lang w:val="en-NZ"/>
              </w:rPr>
              <w:t>13</w:t>
            </w:r>
          </w:p>
        </w:tc>
      </w:tr>
    </w:tbl>
    <w:p w14:paraId="3B11F263" w14:textId="77777777" w:rsidR="00176106" w:rsidRPr="00176106" w:rsidRDefault="00176106" w:rsidP="00775385">
      <w:pPr>
        <w:spacing w:line="280" w:lineRule="atLeast"/>
        <w:jc w:val="both"/>
        <w:rPr>
          <w:sz w:val="18"/>
          <w:szCs w:val="18"/>
          <w:lang w:val="en-NZ"/>
        </w:rPr>
      </w:pPr>
      <w:r w:rsidRPr="00711193">
        <w:rPr>
          <w:sz w:val="18"/>
          <w:szCs w:val="18"/>
          <w:highlight w:val="green"/>
          <w:lang w:val="en-NZ"/>
        </w:rPr>
        <w:t>Pre-HPCA Act average = 9.2</w:t>
      </w:r>
      <w:r w:rsidR="00711193">
        <w:rPr>
          <w:sz w:val="18"/>
          <w:szCs w:val="18"/>
          <w:lang w:val="en-NZ"/>
        </w:rPr>
        <w:t xml:space="preserve"> </w:t>
      </w:r>
    </w:p>
    <w:p w14:paraId="3A8C9190" w14:textId="77777777" w:rsidR="00775385" w:rsidRPr="00775385" w:rsidRDefault="00775385" w:rsidP="00775385">
      <w:pPr>
        <w:spacing w:line="280" w:lineRule="atLeast"/>
        <w:jc w:val="both"/>
        <w:rPr>
          <w:sz w:val="18"/>
          <w:szCs w:val="18"/>
          <w:lang w:val="en-NZ"/>
        </w:rPr>
      </w:pPr>
      <w:r w:rsidRPr="00711193">
        <w:rPr>
          <w:sz w:val="18"/>
          <w:szCs w:val="18"/>
          <w:highlight w:val="yellow"/>
          <w:lang w:val="en-NZ"/>
        </w:rPr>
        <w:t>Post-HPCA Act</w:t>
      </w:r>
      <w:r w:rsidR="00176106" w:rsidRPr="00711193">
        <w:rPr>
          <w:sz w:val="18"/>
          <w:szCs w:val="18"/>
          <w:highlight w:val="yellow"/>
          <w:lang w:val="en-NZ"/>
        </w:rPr>
        <w:t xml:space="preserve"> average = 16.3</w:t>
      </w:r>
      <w:r w:rsidR="006D58A3">
        <w:rPr>
          <w:sz w:val="18"/>
          <w:szCs w:val="18"/>
          <w:lang w:val="en-NZ"/>
        </w:rPr>
        <w:t xml:space="preserve"> </w:t>
      </w:r>
    </w:p>
    <w:p w14:paraId="3DB913BC" w14:textId="77777777" w:rsidR="006D58A3" w:rsidRDefault="006D58A3" w:rsidP="00775385">
      <w:pPr>
        <w:spacing w:line="280" w:lineRule="atLeast"/>
        <w:jc w:val="both"/>
        <w:rPr>
          <w:lang w:val="en-NZ"/>
        </w:rPr>
      </w:pPr>
    </w:p>
    <w:p w14:paraId="0036E5A6" w14:textId="77777777" w:rsidR="005B1449" w:rsidRPr="005B1449" w:rsidRDefault="005B1449" w:rsidP="005B1449">
      <w:pPr>
        <w:pStyle w:val="ListParagraph"/>
        <w:numPr>
          <w:ilvl w:val="0"/>
          <w:numId w:val="1"/>
        </w:numPr>
        <w:spacing w:line="280" w:lineRule="atLeast"/>
        <w:rPr>
          <w:lang w:val="en-NZ"/>
        </w:rPr>
      </w:pPr>
      <w:r w:rsidRPr="005B1449">
        <w:rPr>
          <w:lang w:val="en-NZ"/>
        </w:rPr>
        <w:t xml:space="preserve">Of these 234 registrants, only about 127 (just over half) obtained academic qualifications in Australia.  </w:t>
      </w:r>
    </w:p>
    <w:p w14:paraId="5514B651" w14:textId="77777777" w:rsidR="005B1449" w:rsidRDefault="005B1449" w:rsidP="005B1449">
      <w:pPr>
        <w:spacing w:line="280" w:lineRule="atLeast"/>
        <w:rPr>
          <w:lang w:val="en-NZ"/>
        </w:rPr>
      </w:pPr>
    </w:p>
    <w:p w14:paraId="16A3374B" w14:textId="77777777" w:rsidR="005B1449" w:rsidRPr="005B1449" w:rsidRDefault="005B1449" w:rsidP="005B1449">
      <w:pPr>
        <w:pStyle w:val="ListParagraph"/>
        <w:numPr>
          <w:ilvl w:val="0"/>
          <w:numId w:val="1"/>
        </w:numPr>
        <w:spacing w:line="280" w:lineRule="atLeast"/>
        <w:rPr>
          <w:lang w:val="en-NZ"/>
        </w:rPr>
      </w:pPr>
      <w:r w:rsidRPr="005B1449">
        <w:rPr>
          <w:lang w:val="en-NZ"/>
        </w:rPr>
        <w:t>A further 48 registrants obtained a qualification in New Zealand. It appears that 38 of these registrants would not have qualified for registration if they had applied directly in New Zealand, rather than through TTMRA.</w:t>
      </w:r>
    </w:p>
    <w:p w14:paraId="0E8CEF66" w14:textId="77777777" w:rsidR="005B1449" w:rsidRDefault="005B1449" w:rsidP="005B1449">
      <w:pPr>
        <w:spacing w:line="280" w:lineRule="atLeast"/>
        <w:rPr>
          <w:lang w:val="en-NZ"/>
        </w:rPr>
      </w:pPr>
    </w:p>
    <w:p w14:paraId="4FC8C38B" w14:textId="77777777" w:rsidR="005B1449" w:rsidRPr="005B1449" w:rsidRDefault="005B1449" w:rsidP="005B1449">
      <w:pPr>
        <w:pStyle w:val="ListParagraph"/>
        <w:numPr>
          <w:ilvl w:val="0"/>
          <w:numId w:val="1"/>
        </w:numPr>
        <w:spacing w:line="280" w:lineRule="atLeast"/>
        <w:rPr>
          <w:lang w:val="en-NZ"/>
        </w:rPr>
      </w:pPr>
      <w:r w:rsidRPr="005B1449">
        <w:rPr>
          <w:lang w:val="en-NZ"/>
        </w:rPr>
        <w:t>Of the remaining ’over-seas’ registrants, at least 23 appear to have applied to Australia with qualifications that would not have met the New Zealand requirements</w:t>
      </w:r>
      <w:r>
        <w:rPr>
          <w:lang w:val="en-NZ"/>
        </w:rPr>
        <w:t>, and then ca</w:t>
      </w:r>
      <w:r w:rsidRPr="005B1449">
        <w:rPr>
          <w:lang w:val="en-NZ"/>
        </w:rPr>
        <w:t>me to New Zealand under TTMRA.</w:t>
      </w:r>
    </w:p>
    <w:p w14:paraId="64027AC5" w14:textId="77777777" w:rsidR="005B1449" w:rsidRDefault="005B1449" w:rsidP="005B1449">
      <w:pPr>
        <w:spacing w:line="280" w:lineRule="atLeast"/>
        <w:rPr>
          <w:lang w:val="en-NZ"/>
        </w:rPr>
      </w:pPr>
    </w:p>
    <w:p w14:paraId="4E2CB826" w14:textId="77777777" w:rsidR="00775385" w:rsidRDefault="006D58A3" w:rsidP="006D58A3">
      <w:pPr>
        <w:spacing w:line="280" w:lineRule="atLeast"/>
        <w:rPr>
          <w:lang w:val="en-NZ"/>
        </w:rPr>
      </w:pPr>
      <w:r>
        <w:rPr>
          <w:lang w:val="en-NZ"/>
        </w:rPr>
        <w:t xml:space="preserve">It is notable that there has been a significant increase in TTMR registrations since the implementation of the HPCA Act in 2004. </w:t>
      </w:r>
      <w:r w:rsidRPr="006D58A3">
        <w:rPr>
          <w:lang w:val="en-NZ"/>
        </w:rPr>
        <w:t xml:space="preserve">In implementing the Act the NZPB </w:t>
      </w:r>
      <w:r w:rsidR="005B1449">
        <w:rPr>
          <w:lang w:val="en-NZ"/>
        </w:rPr>
        <w:t>set</w:t>
      </w:r>
      <w:r w:rsidRPr="006D58A3">
        <w:rPr>
          <w:lang w:val="en-NZ"/>
        </w:rPr>
        <w:t xml:space="preserve"> the Masters Degree as the lowest acceptable academic qualification</w:t>
      </w:r>
      <w:r w:rsidR="005B1449">
        <w:rPr>
          <w:lang w:val="en-NZ"/>
        </w:rPr>
        <w:t xml:space="preserve"> and more robustly specified the nature of the practical training also required:</w:t>
      </w:r>
    </w:p>
    <w:p w14:paraId="24A168D1" w14:textId="77777777" w:rsidR="005B1449" w:rsidRDefault="005B1449" w:rsidP="006D58A3">
      <w:pPr>
        <w:spacing w:line="280" w:lineRule="atLeast"/>
        <w:rPr>
          <w:lang w:val="en-NZ"/>
        </w:rPr>
      </w:pPr>
    </w:p>
    <w:p w14:paraId="5F3ED9B0" w14:textId="77777777" w:rsidR="005B1449" w:rsidRPr="005B1449" w:rsidRDefault="005B1449" w:rsidP="005B1449">
      <w:pPr>
        <w:spacing w:line="280" w:lineRule="atLeast"/>
        <w:ind w:left="720"/>
        <w:rPr>
          <w:i/>
          <w:lang w:val="en-NZ"/>
        </w:rPr>
      </w:pPr>
      <w:proofErr w:type="gramStart"/>
      <w:r w:rsidRPr="005B1449">
        <w:rPr>
          <w:i/>
          <w:lang w:val="en-NZ"/>
        </w:rPr>
        <w:t>A minimum of a Masters degree in Psychology from an accredited educational organisation, or an equivalent qualification.</w:t>
      </w:r>
      <w:proofErr w:type="gramEnd"/>
      <w:r w:rsidRPr="005B1449">
        <w:rPr>
          <w:i/>
          <w:lang w:val="en-NZ"/>
        </w:rPr>
        <w:t xml:space="preserve">  Eligibility for a general sco</w:t>
      </w:r>
      <w:r>
        <w:rPr>
          <w:i/>
          <w:lang w:val="en-NZ"/>
        </w:rPr>
        <w:t xml:space="preserve">pe of practice </w:t>
      </w:r>
      <w:r>
        <w:rPr>
          <w:i/>
          <w:lang w:val="en-NZ"/>
        </w:rPr>
        <w:lastRenderedPageBreak/>
        <w:t>requires a Board-</w:t>
      </w:r>
      <w:r w:rsidRPr="005B1449">
        <w:rPr>
          <w:i/>
          <w:lang w:val="en-NZ"/>
        </w:rPr>
        <w:t>approved practicum or internship involving 1500 hours of supervised practice.</w:t>
      </w:r>
    </w:p>
    <w:p w14:paraId="093224E2" w14:textId="77777777" w:rsidR="004A0464" w:rsidRDefault="004A0464" w:rsidP="00775385">
      <w:pPr>
        <w:spacing w:line="280" w:lineRule="atLeast"/>
        <w:rPr>
          <w:lang w:val="en-NZ"/>
        </w:rPr>
      </w:pPr>
    </w:p>
    <w:p w14:paraId="63BDB3D0" w14:textId="77777777" w:rsidR="004A0464" w:rsidRPr="004A0464" w:rsidRDefault="004A0464" w:rsidP="00775385">
      <w:pPr>
        <w:spacing w:line="280" w:lineRule="atLeast"/>
        <w:rPr>
          <w:b/>
          <w:lang w:val="en-NZ"/>
        </w:rPr>
      </w:pPr>
      <w:r w:rsidRPr="004A0464">
        <w:rPr>
          <w:b/>
          <w:lang w:val="en-NZ"/>
        </w:rPr>
        <w:t>Our concern</w:t>
      </w:r>
    </w:p>
    <w:p w14:paraId="7FA817DD" w14:textId="77777777" w:rsidR="00775385" w:rsidRDefault="00775385" w:rsidP="00775385">
      <w:pPr>
        <w:spacing w:line="280" w:lineRule="atLeast"/>
        <w:rPr>
          <w:lang w:val="en-NZ"/>
        </w:rPr>
      </w:pPr>
      <w:r>
        <w:rPr>
          <w:lang w:val="en-NZ"/>
        </w:rPr>
        <w:t xml:space="preserve">While </w:t>
      </w:r>
      <w:r w:rsidR="004A0464">
        <w:rPr>
          <w:lang w:val="en-NZ"/>
        </w:rPr>
        <w:t>the NZPB</w:t>
      </w:r>
      <w:r>
        <w:rPr>
          <w:lang w:val="en-NZ"/>
        </w:rPr>
        <w:t xml:space="preserve"> supports the ability of similarly qualified and experienced people freely moving between New Zealand and Australia, we have very serious concerns about the ability of applicants to exploit the </w:t>
      </w:r>
      <w:r w:rsidR="00D34A9C">
        <w:rPr>
          <w:lang w:val="en-NZ"/>
        </w:rPr>
        <w:t>different</w:t>
      </w:r>
      <w:r>
        <w:rPr>
          <w:lang w:val="en-NZ"/>
        </w:rPr>
        <w:t xml:space="preserve"> registration </w:t>
      </w:r>
      <w:r w:rsidR="004A0464">
        <w:rPr>
          <w:lang w:val="en-NZ"/>
        </w:rPr>
        <w:t>standards</w:t>
      </w:r>
      <w:r>
        <w:rPr>
          <w:lang w:val="en-NZ"/>
        </w:rPr>
        <w:t xml:space="preserve"> in each jurisdiction and to use </w:t>
      </w:r>
      <w:r w:rsidR="00D34A9C">
        <w:rPr>
          <w:lang w:val="en-NZ"/>
        </w:rPr>
        <w:t xml:space="preserve">the </w:t>
      </w:r>
      <w:r>
        <w:rPr>
          <w:lang w:val="en-NZ"/>
        </w:rPr>
        <w:t>TTMR</w:t>
      </w:r>
      <w:r w:rsidR="00D34A9C">
        <w:rPr>
          <w:lang w:val="en-NZ"/>
        </w:rPr>
        <w:t>A</w:t>
      </w:r>
      <w:r>
        <w:rPr>
          <w:lang w:val="en-NZ"/>
        </w:rPr>
        <w:t xml:space="preserve"> to gain registration where they do not meet local statutory requirements. This has been appropriately labelled by the Commission in the Issues </w:t>
      </w:r>
      <w:r w:rsidR="004A0464">
        <w:rPr>
          <w:lang w:val="en-NZ"/>
        </w:rPr>
        <w:t>Paper as “shopping and hopping”</w:t>
      </w:r>
      <w:r>
        <w:rPr>
          <w:lang w:val="en-NZ"/>
        </w:rPr>
        <w:t>. The evidence cited above shows that our concern is not a theoretical one, but rather that this practice is occurring with increasing frequency.</w:t>
      </w:r>
    </w:p>
    <w:p w14:paraId="6EA8694D" w14:textId="77777777" w:rsidR="00775385" w:rsidRDefault="00775385" w:rsidP="00775385">
      <w:pPr>
        <w:spacing w:line="280" w:lineRule="atLeast"/>
        <w:rPr>
          <w:lang w:val="en-NZ"/>
        </w:rPr>
      </w:pPr>
    </w:p>
    <w:p w14:paraId="4DDC9E17" w14:textId="77777777" w:rsidR="00775385" w:rsidRDefault="00775385" w:rsidP="00775385">
      <w:pPr>
        <w:spacing w:line="280" w:lineRule="atLeast"/>
        <w:rPr>
          <w:lang w:val="en-NZ"/>
        </w:rPr>
      </w:pPr>
      <w:r>
        <w:rPr>
          <w:lang w:val="en-NZ"/>
        </w:rPr>
        <w:t xml:space="preserve">We are confident that the standard set in </w:t>
      </w:r>
      <w:smartTag w:uri="urn:schemas-microsoft-com:office:smarttags" w:element="country-region">
        <w:smartTag w:uri="urn:schemas-microsoft-com:office:smarttags" w:element="place">
          <w:r>
            <w:rPr>
              <w:lang w:val="en-NZ"/>
            </w:rPr>
            <w:t>New Zealand</w:t>
          </w:r>
        </w:smartTag>
      </w:smartTag>
      <w:r>
        <w:rPr>
          <w:lang w:val="en-NZ"/>
        </w:rPr>
        <w:t xml:space="preserve"> for registration as a Psychologist is necessary for protection of the public. Our standard is very much in line with international </w:t>
      </w:r>
      <w:r w:rsidR="00D34A9C">
        <w:rPr>
          <w:lang w:val="en-NZ"/>
        </w:rPr>
        <w:t>norm</w:t>
      </w:r>
      <w:r>
        <w:rPr>
          <w:lang w:val="en-NZ"/>
        </w:rPr>
        <w:t xml:space="preserve">s. </w:t>
      </w:r>
      <w:r w:rsidR="00D34A9C">
        <w:rPr>
          <w:lang w:val="en-NZ"/>
        </w:rPr>
        <w:t>T</w:t>
      </w:r>
      <w:r>
        <w:rPr>
          <w:lang w:val="en-NZ"/>
        </w:rPr>
        <w:t xml:space="preserve">here </w:t>
      </w:r>
      <w:r w:rsidR="004A0464">
        <w:rPr>
          <w:lang w:val="en-NZ"/>
        </w:rPr>
        <w:t>appear</w:t>
      </w:r>
      <w:r w:rsidR="00D34A9C">
        <w:rPr>
          <w:lang w:val="en-NZ"/>
        </w:rPr>
        <w:t>, however,</w:t>
      </w:r>
      <w:r>
        <w:rPr>
          <w:lang w:val="en-NZ"/>
        </w:rPr>
        <w:t xml:space="preserve"> </w:t>
      </w:r>
      <w:r w:rsidR="004A0464">
        <w:rPr>
          <w:lang w:val="en-NZ"/>
        </w:rPr>
        <w:t>to be</w:t>
      </w:r>
      <w:r>
        <w:rPr>
          <w:lang w:val="en-NZ"/>
        </w:rPr>
        <w:t xml:space="preserve"> significantly different assessments of risk to the public </w:t>
      </w:r>
      <w:r w:rsidR="00D34A9C">
        <w:rPr>
          <w:lang w:val="en-NZ"/>
        </w:rPr>
        <w:t>in each</w:t>
      </w:r>
      <w:r>
        <w:rPr>
          <w:lang w:val="en-NZ"/>
        </w:rPr>
        <w:t xml:space="preserve"> jurisdiction. Our Australian colleagues </w:t>
      </w:r>
      <w:r w:rsidR="004A0464">
        <w:rPr>
          <w:lang w:val="en-NZ"/>
        </w:rPr>
        <w:t xml:space="preserve">seem to </w:t>
      </w:r>
      <w:r>
        <w:rPr>
          <w:lang w:val="en-NZ"/>
        </w:rPr>
        <w:t xml:space="preserve">have recognised this and have been working </w:t>
      </w:r>
      <w:r w:rsidR="00D34A9C">
        <w:rPr>
          <w:lang w:val="en-NZ"/>
        </w:rPr>
        <w:t xml:space="preserve">with their legislators for many years </w:t>
      </w:r>
      <w:r>
        <w:rPr>
          <w:lang w:val="en-NZ"/>
        </w:rPr>
        <w:t xml:space="preserve">to ‘raise the bar’ to a more defensible level. To date they have been </w:t>
      </w:r>
      <w:r w:rsidR="00D34A9C">
        <w:rPr>
          <w:lang w:val="en-NZ"/>
        </w:rPr>
        <w:t xml:space="preserve">only minimally </w:t>
      </w:r>
      <w:r>
        <w:rPr>
          <w:lang w:val="en-NZ"/>
        </w:rPr>
        <w:t xml:space="preserve">successful. As a result </w:t>
      </w:r>
      <w:r w:rsidR="00D34A9C">
        <w:rPr>
          <w:lang w:val="en-NZ"/>
        </w:rPr>
        <w:t>the</w:t>
      </w:r>
      <w:r>
        <w:rPr>
          <w:lang w:val="en-NZ"/>
        </w:rPr>
        <w:t xml:space="preserve"> TTMRA</w:t>
      </w:r>
      <w:r w:rsidR="00D34A9C">
        <w:rPr>
          <w:lang w:val="en-NZ"/>
        </w:rPr>
        <w:t xml:space="preserve"> continues</w:t>
      </w:r>
      <w:r>
        <w:rPr>
          <w:lang w:val="en-NZ"/>
        </w:rPr>
        <w:t xml:space="preserve"> to </w:t>
      </w:r>
      <w:r w:rsidR="00D34A9C">
        <w:rPr>
          <w:lang w:val="en-NZ"/>
        </w:rPr>
        <w:t xml:space="preserve">fundamentally </w:t>
      </w:r>
      <w:r>
        <w:rPr>
          <w:lang w:val="en-NZ"/>
        </w:rPr>
        <w:t xml:space="preserve">undermine </w:t>
      </w:r>
      <w:r w:rsidR="00D34A9C">
        <w:rPr>
          <w:lang w:val="en-NZ"/>
        </w:rPr>
        <w:t>our</w:t>
      </w:r>
      <w:r>
        <w:rPr>
          <w:lang w:val="en-NZ"/>
        </w:rPr>
        <w:t xml:space="preserve"> ability to protect the </w:t>
      </w:r>
      <w:r w:rsidR="004A0464">
        <w:rPr>
          <w:lang w:val="en-NZ"/>
        </w:rPr>
        <w:t xml:space="preserve">New Zealand </w:t>
      </w:r>
      <w:r>
        <w:rPr>
          <w:lang w:val="en-NZ"/>
        </w:rPr>
        <w:t xml:space="preserve">public. </w:t>
      </w:r>
    </w:p>
    <w:p w14:paraId="23A9C095" w14:textId="77777777" w:rsidR="00775385" w:rsidRDefault="00775385" w:rsidP="00775385">
      <w:pPr>
        <w:spacing w:line="280" w:lineRule="atLeast"/>
        <w:rPr>
          <w:lang w:val="en-NZ"/>
        </w:rPr>
      </w:pPr>
    </w:p>
    <w:p w14:paraId="424DE101" w14:textId="77777777" w:rsidR="005B1D09" w:rsidRDefault="00775385" w:rsidP="00775385">
      <w:pPr>
        <w:spacing w:line="280" w:lineRule="atLeast"/>
        <w:rPr>
          <w:lang w:val="en-NZ"/>
        </w:rPr>
      </w:pPr>
      <w:r>
        <w:rPr>
          <w:lang w:val="en-NZ"/>
        </w:rPr>
        <w:t>As noted above</w:t>
      </w:r>
      <w:r w:rsidR="005B1D09">
        <w:rPr>
          <w:lang w:val="en-NZ"/>
        </w:rPr>
        <w:t>,</w:t>
      </w:r>
      <w:r>
        <w:rPr>
          <w:lang w:val="en-NZ"/>
        </w:rPr>
        <w:t xml:space="preserve"> a significant number of applicants – including </w:t>
      </w:r>
      <w:r w:rsidR="00805F8B">
        <w:rPr>
          <w:lang w:val="en-NZ"/>
        </w:rPr>
        <w:t>those who</w:t>
      </w:r>
      <w:r>
        <w:rPr>
          <w:lang w:val="en-NZ"/>
        </w:rPr>
        <w:t xml:space="preserve"> are of </w:t>
      </w:r>
      <w:r w:rsidR="00805F8B">
        <w:rPr>
          <w:lang w:val="en-NZ"/>
        </w:rPr>
        <w:t xml:space="preserve">the </w:t>
      </w:r>
      <w:r>
        <w:rPr>
          <w:lang w:val="en-NZ"/>
        </w:rPr>
        <w:t>greatest concern – were not resident in Australia</w:t>
      </w:r>
      <w:r w:rsidR="00D34A9C">
        <w:rPr>
          <w:lang w:val="en-NZ"/>
        </w:rPr>
        <w:t xml:space="preserve"> when</w:t>
      </w:r>
      <w:r>
        <w:rPr>
          <w:lang w:val="en-NZ"/>
        </w:rPr>
        <w:t xml:space="preserve"> they initially gained registration</w:t>
      </w:r>
      <w:r w:rsidR="005B1D09">
        <w:rPr>
          <w:lang w:val="en-NZ"/>
        </w:rPr>
        <w:t xml:space="preserve"> there</w:t>
      </w:r>
      <w:r>
        <w:rPr>
          <w:lang w:val="en-NZ"/>
        </w:rPr>
        <w:t xml:space="preserve">. </w:t>
      </w:r>
      <w:r w:rsidR="005B1D09">
        <w:rPr>
          <w:lang w:val="en-NZ"/>
        </w:rPr>
        <w:t>As we understand it t</w:t>
      </w:r>
      <w:r>
        <w:rPr>
          <w:lang w:val="en-NZ"/>
        </w:rPr>
        <w:t xml:space="preserve">he TTMRA was never intended to be used by persons in third countries to circumvent </w:t>
      </w:r>
      <w:r w:rsidR="00805F8B">
        <w:rPr>
          <w:lang w:val="en-NZ"/>
        </w:rPr>
        <w:t>Australia</w:t>
      </w:r>
      <w:r w:rsidR="005B1D09">
        <w:rPr>
          <w:lang w:val="en-NZ"/>
        </w:rPr>
        <w:t>’s</w:t>
      </w:r>
      <w:r w:rsidR="00805F8B">
        <w:rPr>
          <w:lang w:val="en-NZ"/>
        </w:rPr>
        <w:t xml:space="preserve"> or New Zealand’s</w:t>
      </w:r>
      <w:r>
        <w:rPr>
          <w:lang w:val="en-NZ"/>
        </w:rPr>
        <w:t xml:space="preserve"> regulations. Further, it </w:t>
      </w:r>
      <w:r w:rsidR="005B1D09">
        <w:rPr>
          <w:lang w:val="en-NZ"/>
        </w:rPr>
        <w:t>does not seem</w:t>
      </w:r>
      <w:r>
        <w:rPr>
          <w:lang w:val="en-NZ"/>
        </w:rPr>
        <w:t xml:space="preserve"> in any way repugnant to the purpose of the TTMRA to require that practitioners using it must first actually be practising in one of the participating jurisdictions. </w:t>
      </w:r>
    </w:p>
    <w:p w14:paraId="40BDCB24" w14:textId="77777777" w:rsidR="005B1D09" w:rsidRDefault="005B1D09" w:rsidP="00775385">
      <w:pPr>
        <w:spacing w:line="280" w:lineRule="atLeast"/>
        <w:rPr>
          <w:lang w:val="en-NZ"/>
        </w:rPr>
      </w:pPr>
    </w:p>
    <w:p w14:paraId="4C26ED82" w14:textId="77777777" w:rsidR="00775385" w:rsidRDefault="00DA2EDC" w:rsidP="00775385">
      <w:pPr>
        <w:spacing w:line="280" w:lineRule="atLeast"/>
        <w:rPr>
          <w:lang w:val="en-NZ"/>
        </w:rPr>
      </w:pPr>
      <w:r>
        <w:rPr>
          <w:lang w:val="en-NZ"/>
        </w:rPr>
        <w:t xml:space="preserve">As we suggested to the Commission in 2008 there is, however, one relatively simple change that could be made that would greatly improve the </w:t>
      </w:r>
      <w:r w:rsidR="007C5762">
        <w:rPr>
          <w:lang w:val="en-NZ"/>
        </w:rPr>
        <w:t>situation,</w:t>
      </w:r>
      <w:r>
        <w:rPr>
          <w:rFonts w:eastAsiaTheme="minorEastAsia" w:hint="eastAsia"/>
          <w:lang w:val="en-NZ" w:eastAsia="ja-JP"/>
        </w:rPr>
        <w:t xml:space="preserve"> that is, </w:t>
      </w:r>
      <w:r w:rsidR="00775385" w:rsidRPr="005B1D09">
        <w:rPr>
          <w:lang w:val="en-NZ"/>
        </w:rPr>
        <w:t>a</w:t>
      </w:r>
      <w:r w:rsidR="00775385">
        <w:rPr>
          <w:b/>
          <w:lang w:val="en-NZ"/>
        </w:rPr>
        <w:t xml:space="preserve"> </w:t>
      </w:r>
      <w:r w:rsidR="00775385" w:rsidRPr="005B1D09">
        <w:rPr>
          <w:i/>
          <w:lang w:val="en-NZ"/>
        </w:rPr>
        <w:t>residency requirement.</w:t>
      </w:r>
    </w:p>
    <w:p w14:paraId="0C726E5E" w14:textId="77777777" w:rsidR="00775385" w:rsidRDefault="00775385" w:rsidP="00775385">
      <w:pPr>
        <w:spacing w:line="280" w:lineRule="atLeast"/>
        <w:rPr>
          <w:lang w:val="en-NZ"/>
        </w:rPr>
      </w:pPr>
    </w:p>
    <w:p w14:paraId="1D00D355" w14:textId="77777777" w:rsidR="00775385" w:rsidRDefault="00775385" w:rsidP="00775385">
      <w:pPr>
        <w:spacing w:line="280" w:lineRule="atLeast"/>
        <w:rPr>
          <w:lang w:val="en-NZ"/>
        </w:rPr>
      </w:pPr>
      <w:r>
        <w:rPr>
          <w:lang w:val="en-NZ"/>
        </w:rPr>
        <w:t xml:space="preserve">Such a requirement </w:t>
      </w:r>
      <w:r w:rsidR="005B1D09">
        <w:rPr>
          <w:lang w:val="en-NZ"/>
        </w:rPr>
        <w:t>would honour</w:t>
      </w:r>
      <w:r>
        <w:rPr>
          <w:lang w:val="en-NZ"/>
        </w:rPr>
        <w:t xml:space="preserve"> the purpose of </w:t>
      </w:r>
      <w:r w:rsidR="005B1D09">
        <w:rPr>
          <w:lang w:val="en-NZ"/>
        </w:rPr>
        <w:t xml:space="preserve">the </w:t>
      </w:r>
      <w:r>
        <w:rPr>
          <w:lang w:val="en-NZ"/>
        </w:rPr>
        <w:t xml:space="preserve">TTMRA, but would very likely eliminate the worst of the “shopping and hopping”, and we urge the Commission to give the idea full consideration. </w:t>
      </w:r>
    </w:p>
    <w:p w14:paraId="43B82CC9" w14:textId="77777777" w:rsidR="00775385" w:rsidRDefault="00775385" w:rsidP="00775385">
      <w:pPr>
        <w:pStyle w:val="BodyText"/>
        <w:rPr>
          <w:color w:val="auto"/>
        </w:rPr>
      </w:pPr>
    </w:p>
    <w:p w14:paraId="0B9AEABF" w14:textId="77777777" w:rsidR="004A0464" w:rsidRPr="009B7003" w:rsidRDefault="004A0464" w:rsidP="004A0464">
      <w:pPr>
        <w:spacing w:line="280" w:lineRule="atLeast"/>
        <w:rPr>
          <w:b/>
          <w:lang w:val="en-NZ"/>
        </w:rPr>
      </w:pPr>
      <w:r>
        <w:rPr>
          <w:b/>
          <w:lang w:val="en-NZ"/>
        </w:rPr>
        <w:t>Past efforts</w:t>
      </w:r>
      <w:r w:rsidRPr="009B7003">
        <w:rPr>
          <w:b/>
          <w:lang w:val="en-NZ"/>
        </w:rPr>
        <w:t xml:space="preserve"> to harmonise standards</w:t>
      </w:r>
    </w:p>
    <w:p w14:paraId="512C5F0D" w14:textId="77777777" w:rsidR="004A0464" w:rsidRDefault="004A0464" w:rsidP="004A0464">
      <w:pPr>
        <w:spacing w:line="280" w:lineRule="atLeast"/>
        <w:rPr>
          <w:lang w:val="en-NZ"/>
        </w:rPr>
      </w:pPr>
      <w:r>
        <w:rPr>
          <w:lang w:val="en-NZ"/>
        </w:rPr>
        <w:t>The NZPB meets at least annually with the Psychology Board of Australian (</w:t>
      </w:r>
      <w:r w:rsidRPr="009B7003">
        <w:rPr>
          <w:b/>
          <w:lang w:val="en-NZ"/>
        </w:rPr>
        <w:t>PsyBA</w:t>
      </w:r>
      <w:r>
        <w:rPr>
          <w:lang w:val="en-NZ"/>
        </w:rPr>
        <w:t>) to discuss issues of mutual interest – including the TTMRA – and our working relationship has always been strong. Over the years we have heard repeatedly from our Australian colleagues that they believe their standards for registration need to be raised to a level closer to the global norm. They also advise us, however, that their government(s) have not been willing to lift the standard, primarily due to workforce (recruitment) concerns. This has been greatly frustrating not only to our board, but also to the Australians. Some gains were made via the harmonisation brought on by the establishment of the National Registration and Accreditation Scheme, but the simple fact is that Australia still lags behind. Most recently, the PsyBA have set up a national examination that should provide more assurance that new registrants are competent and safe to practise with the public, but it may also have the unintended result of some registrants using the TTMRA (via New Zealand) as a way to avoid having to take the exam.</w:t>
      </w:r>
    </w:p>
    <w:p w14:paraId="2E47625F" w14:textId="77777777" w:rsidR="00775385" w:rsidRDefault="00775385" w:rsidP="00775385">
      <w:pPr>
        <w:pStyle w:val="BodyText"/>
        <w:rPr>
          <w:color w:val="auto"/>
        </w:rPr>
      </w:pPr>
    </w:p>
    <w:p w14:paraId="03959887" w14:textId="77777777" w:rsidR="00775385" w:rsidRDefault="00775385" w:rsidP="00775385">
      <w:pPr>
        <w:pStyle w:val="BodyText"/>
        <w:rPr>
          <w:color w:val="auto"/>
        </w:rPr>
      </w:pPr>
      <w:proofErr w:type="gramStart"/>
      <w:r>
        <w:rPr>
          <w:color w:val="auto"/>
        </w:rPr>
        <w:t>Our thanks for hearing and considering our submission.</w:t>
      </w:r>
      <w:proofErr w:type="gramEnd"/>
    </w:p>
    <w:p w14:paraId="1D09277F" w14:textId="77777777" w:rsidR="00775385" w:rsidRDefault="00775385" w:rsidP="00775385">
      <w:pPr>
        <w:pStyle w:val="BodyText"/>
        <w:rPr>
          <w:color w:val="auto"/>
        </w:rPr>
      </w:pPr>
    </w:p>
    <w:p w14:paraId="033CEC50" w14:textId="77777777" w:rsidR="00775385" w:rsidRDefault="005B1D09" w:rsidP="00775385">
      <w:pPr>
        <w:pStyle w:val="BodyText"/>
        <w:rPr>
          <w:color w:val="auto"/>
        </w:rPr>
      </w:pPr>
      <w:r>
        <w:rPr>
          <w:color w:val="auto"/>
        </w:rPr>
        <w:t>New Zealand Psychologists Board</w:t>
      </w:r>
    </w:p>
    <w:p w14:paraId="53425CE1" w14:textId="77777777" w:rsidR="00E93E73" w:rsidRDefault="00E93E73"/>
    <w:sectPr w:rsidR="00E93E73" w:rsidSect="005B1449">
      <w:pgSz w:w="11906" w:h="16838"/>
      <w:pgMar w:top="851" w:right="1274" w:bottom="709" w:left="1276"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B7BA14" w14:textId="77777777" w:rsidR="00062CDB" w:rsidRDefault="00062CDB" w:rsidP="005B1449">
      <w:r>
        <w:separator/>
      </w:r>
    </w:p>
  </w:endnote>
  <w:endnote w:type="continuationSeparator" w:id="0">
    <w:p w14:paraId="4EC7B417" w14:textId="77777777" w:rsidR="00062CDB" w:rsidRDefault="00062CDB" w:rsidP="005B14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282838" w14:textId="77777777" w:rsidR="00062CDB" w:rsidRDefault="00062CDB" w:rsidP="005B1449">
      <w:r>
        <w:separator/>
      </w:r>
    </w:p>
  </w:footnote>
  <w:footnote w:type="continuationSeparator" w:id="0">
    <w:p w14:paraId="62635790" w14:textId="77777777" w:rsidR="00062CDB" w:rsidRDefault="00062CDB" w:rsidP="005B1449">
      <w:r>
        <w:continuationSeparator/>
      </w:r>
    </w:p>
  </w:footnote>
  <w:footnote w:id="1">
    <w:p w14:paraId="7D03DC12" w14:textId="77777777" w:rsidR="005B1449" w:rsidRDefault="005B1449" w:rsidP="005B1449">
      <w:pPr>
        <w:spacing w:line="280" w:lineRule="atLeast"/>
        <w:rPr>
          <w:lang w:val="en-NZ"/>
        </w:rPr>
      </w:pPr>
      <w:r>
        <w:rPr>
          <w:rStyle w:val="FootnoteReference"/>
        </w:rPr>
        <w:footnoteRef/>
      </w:r>
      <w:r>
        <w:t xml:space="preserve"> </w:t>
      </w:r>
      <w:r w:rsidRPr="005B1449">
        <w:rPr>
          <w:sz w:val="20"/>
          <w:szCs w:val="20"/>
          <w:lang w:val="en-NZ"/>
        </w:rPr>
        <w:t xml:space="preserve">The </w:t>
      </w:r>
      <w:r>
        <w:rPr>
          <w:sz w:val="20"/>
          <w:szCs w:val="20"/>
          <w:lang w:val="en-NZ"/>
        </w:rPr>
        <w:t>figures provided</w:t>
      </w:r>
      <w:r w:rsidRPr="005B1449">
        <w:rPr>
          <w:sz w:val="20"/>
          <w:szCs w:val="20"/>
          <w:lang w:val="en-NZ"/>
        </w:rPr>
        <w:t xml:space="preserve"> </w:t>
      </w:r>
      <w:r>
        <w:rPr>
          <w:sz w:val="20"/>
          <w:szCs w:val="20"/>
          <w:lang w:val="en-NZ"/>
        </w:rPr>
        <w:t xml:space="preserve">in this section </w:t>
      </w:r>
      <w:r w:rsidRPr="005B1449">
        <w:rPr>
          <w:sz w:val="20"/>
          <w:szCs w:val="20"/>
          <w:lang w:val="en-NZ"/>
        </w:rPr>
        <w:t xml:space="preserve">are minimums, as 18 of the 234 TTMRA records on our database are incomplete and </w:t>
      </w:r>
      <w:r>
        <w:rPr>
          <w:sz w:val="20"/>
          <w:szCs w:val="20"/>
          <w:lang w:val="en-NZ"/>
        </w:rPr>
        <w:t>therefore could not</w:t>
      </w:r>
      <w:r w:rsidRPr="005B1449">
        <w:rPr>
          <w:sz w:val="20"/>
          <w:szCs w:val="20"/>
          <w:lang w:val="en-NZ"/>
        </w:rPr>
        <w:t xml:space="preserve"> be </w:t>
      </w:r>
      <w:r>
        <w:rPr>
          <w:sz w:val="20"/>
          <w:szCs w:val="20"/>
          <w:lang w:val="en-NZ"/>
        </w:rPr>
        <w:t>used</w:t>
      </w:r>
      <w:r w:rsidRPr="005B1449">
        <w:rPr>
          <w:sz w:val="20"/>
          <w:szCs w:val="20"/>
          <w:lang w:val="en-NZ"/>
        </w:rPr>
        <w:t xml:space="preserve"> for the examples given.</w:t>
      </w:r>
    </w:p>
    <w:p w14:paraId="181E8F4F" w14:textId="77777777" w:rsidR="005B1449" w:rsidRPr="005B1449" w:rsidRDefault="005B1449">
      <w:pPr>
        <w:pStyle w:val="FootnoteText"/>
        <w:rPr>
          <w:lang w:val="en-NZ"/>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910DCC"/>
    <w:multiLevelType w:val="hybridMultilevel"/>
    <w:tmpl w:val="23E6A47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drawingGridHorizontalSpacing w:val="11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5385"/>
    <w:rsid w:val="0000135C"/>
    <w:rsid w:val="00003475"/>
    <w:rsid w:val="0000721B"/>
    <w:rsid w:val="000076CD"/>
    <w:rsid w:val="00007A55"/>
    <w:rsid w:val="00011A6E"/>
    <w:rsid w:val="00015747"/>
    <w:rsid w:val="00021BCD"/>
    <w:rsid w:val="0002397C"/>
    <w:rsid w:val="00027655"/>
    <w:rsid w:val="00031BA9"/>
    <w:rsid w:val="000322B6"/>
    <w:rsid w:val="00032779"/>
    <w:rsid w:val="000404DA"/>
    <w:rsid w:val="00041136"/>
    <w:rsid w:val="0004168F"/>
    <w:rsid w:val="00044346"/>
    <w:rsid w:val="00045880"/>
    <w:rsid w:val="00050DF0"/>
    <w:rsid w:val="00051E71"/>
    <w:rsid w:val="000546B8"/>
    <w:rsid w:val="000558D4"/>
    <w:rsid w:val="00055C57"/>
    <w:rsid w:val="000574D4"/>
    <w:rsid w:val="000606B2"/>
    <w:rsid w:val="0006073B"/>
    <w:rsid w:val="000610B9"/>
    <w:rsid w:val="00062073"/>
    <w:rsid w:val="00062CDB"/>
    <w:rsid w:val="00062D0A"/>
    <w:rsid w:val="00064351"/>
    <w:rsid w:val="000645BF"/>
    <w:rsid w:val="000647CB"/>
    <w:rsid w:val="00064F36"/>
    <w:rsid w:val="00066FAC"/>
    <w:rsid w:val="000740DC"/>
    <w:rsid w:val="00075137"/>
    <w:rsid w:val="00082D1F"/>
    <w:rsid w:val="00084FCC"/>
    <w:rsid w:val="000863B4"/>
    <w:rsid w:val="0008673B"/>
    <w:rsid w:val="00086EE4"/>
    <w:rsid w:val="00090520"/>
    <w:rsid w:val="00090CA3"/>
    <w:rsid w:val="0009345F"/>
    <w:rsid w:val="00095672"/>
    <w:rsid w:val="000A376A"/>
    <w:rsid w:val="000A45B2"/>
    <w:rsid w:val="000A4CED"/>
    <w:rsid w:val="000A5508"/>
    <w:rsid w:val="000A6D8C"/>
    <w:rsid w:val="000B3EE1"/>
    <w:rsid w:val="000B719D"/>
    <w:rsid w:val="000C02B3"/>
    <w:rsid w:val="000C10E3"/>
    <w:rsid w:val="000C2B01"/>
    <w:rsid w:val="000C345A"/>
    <w:rsid w:val="000C357B"/>
    <w:rsid w:val="000C749F"/>
    <w:rsid w:val="000D012B"/>
    <w:rsid w:val="000D0EA1"/>
    <w:rsid w:val="000D0EC4"/>
    <w:rsid w:val="000D280B"/>
    <w:rsid w:val="000D2AB2"/>
    <w:rsid w:val="000D38F2"/>
    <w:rsid w:val="000D4371"/>
    <w:rsid w:val="000D5FB4"/>
    <w:rsid w:val="000D76C2"/>
    <w:rsid w:val="000E0712"/>
    <w:rsid w:val="000E107B"/>
    <w:rsid w:val="000F1519"/>
    <w:rsid w:val="000F4A4D"/>
    <w:rsid w:val="000F6C93"/>
    <w:rsid w:val="0010007F"/>
    <w:rsid w:val="00102485"/>
    <w:rsid w:val="00104C9D"/>
    <w:rsid w:val="00104E2C"/>
    <w:rsid w:val="0010739C"/>
    <w:rsid w:val="001073E0"/>
    <w:rsid w:val="00107810"/>
    <w:rsid w:val="00110060"/>
    <w:rsid w:val="00110CAF"/>
    <w:rsid w:val="00113846"/>
    <w:rsid w:val="00114B58"/>
    <w:rsid w:val="001153C4"/>
    <w:rsid w:val="001164CF"/>
    <w:rsid w:val="0012069A"/>
    <w:rsid w:val="00120AEF"/>
    <w:rsid w:val="0012145F"/>
    <w:rsid w:val="00121704"/>
    <w:rsid w:val="001218AD"/>
    <w:rsid w:val="001218EB"/>
    <w:rsid w:val="001227F7"/>
    <w:rsid w:val="00122BD1"/>
    <w:rsid w:val="00122EC3"/>
    <w:rsid w:val="00123FE6"/>
    <w:rsid w:val="00127477"/>
    <w:rsid w:val="001317EC"/>
    <w:rsid w:val="00131C58"/>
    <w:rsid w:val="00134D07"/>
    <w:rsid w:val="0013786B"/>
    <w:rsid w:val="001379E1"/>
    <w:rsid w:val="001400D1"/>
    <w:rsid w:val="0014045F"/>
    <w:rsid w:val="00146A82"/>
    <w:rsid w:val="00147EC8"/>
    <w:rsid w:val="0015369C"/>
    <w:rsid w:val="0015581D"/>
    <w:rsid w:val="00161122"/>
    <w:rsid w:val="00161A46"/>
    <w:rsid w:val="00164540"/>
    <w:rsid w:val="001711E1"/>
    <w:rsid w:val="0017134E"/>
    <w:rsid w:val="00174374"/>
    <w:rsid w:val="00175B70"/>
    <w:rsid w:val="00176106"/>
    <w:rsid w:val="0018006F"/>
    <w:rsid w:val="00181B70"/>
    <w:rsid w:val="00182BDB"/>
    <w:rsid w:val="0019364F"/>
    <w:rsid w:val="00193B3C"/>
    <w:rsid w:val="001A206C"/>
    <w:rsid w:val="001A3110"/>
    <w:rsid w:val="001A38BA"/>
    <w:rsid w:val="001A5B25"/>
    <w:rsid w:val="001A5DBA"/>
    <w:rsid w:val="001B0F4F"/>
    <w:rsid w:val="001B1246"/>
    <w:rsid w:val="001B13BA"/>
    <w:rsid w:val="001B21B1"/>
    <w:rsid w:val="001B3DDE"/>
    <w:rsid w:val="001B44DE"/>
    <w:rsid w:val="001B5099"/>
    <w:rsid w:val="001B738A"/>
    <w:rsid w:val="001B7B66"/>
    <w:rsid w:val="001B7B97"/>
    <w:rsid w:val="001C046E"/>
    <w:rsid w:val="001C11C7"/>
    <w:rsid w:val="001C36FA"/>
    <w:rsid w:val="001C5077"/>
    <w:rsid w:val="001C5527"/>
    <w:rsid w:val="001C7C0B"/>
    <w:rsid w:val="001D0372"/>
    <w:rsid w:val="001D0C19"/>
    <w:rsid w:val="001D3E95"/>
    <w:rsid w:val="001D64A4"/>
    <w:rsid w:val="001D7641"/>
    <w:rsid w:val="001E0E5B"/>
    <w:rsid w:val="001E1F7E"/>
    <w:rsid w:val="001E6196"/>
    <w:rsid w:val="001E7543"/>
    <w:rsid w:val="001F15B4"/>
    <w:rsid w:val="001F2555"/>
    <w:rsid w:val="001F27A6"/>
    <w:rsid w:val="001F4001"/>
    <w:rsid w:val="001F65A1"/>
    <w:rsid w:val="00200422"/>
    <w:rsid w:val="0020101F"/>
    <w:rsid w:val="0020762D"/>
    <w:rsid w:val="002126D8"/>
    <w:rsid w:val="002133F9"/>
    <w:rsid w:val="002146B9"/>
    <w:rsid w:val="00214CCD"/>
    <w:rsid w:val="00215CF3"/>
    <w:rsid w:val="00216D81"/>
    <w:rsid w:val="00220F0E"/>
    <w:rsid w:val="00224A54"/>
    <w:rsid w:val="0022595D"/>
    <w:rsid w:val="00227F10"/>
    <w:rsid w:val="00230629"/>
    <w:rsid w:val="002306B1"/>
    <w:rsid w:val="002321EB"/>
    <w:rsid w:val="002330FE"/>
    <w:rsid w:val="0023529E"/>
    <w:rsid w:val="0023785A"/>
    <w:rsid w:val="00246852"/>
    <w:rsid w:val="00247503"/>
    <w:rsid w:val="00247AAB"/>
    <w:rsid w:val="0025142A"/>
    <w:rsid w:val="00254802"/>
    <w:rsid w:val="00255DBA"/>
    <w:rsid w:val="00256442"/>
    <w:rsid w:val="00261AB6"/>
    <w:rsid w:val="002641EF"/>
    <w:rsid w:val="002645C4"/>
    <w:rsid w:val="00264BD5"/>
    <w:rsid w:val="002668ED"/>
    <w:rsid w:val="00266E0C"/>
    <w:rsid w:val="0027013E"/>
    <w:rsid w:val="00270BFA"/>
    <w:rsid w:val="002744E5"/>
    <w:rsid w:val="00275B69"/>
    <w:rsid w:val="00275F85"/>
    <w:rsid w:val="002811AA"/>
    <w:rsid w:val="00281577"/>
    <w:rsid w:val="002816BA"/>
    <w:rsid w:val="00281BB7"/>
    <w:rsid w:val="00282CC0"/>
    <w:rsid w:val="0028349B"/>
    <w:rsid w:val="00284490"/>
    <w:rsid w:val="0028629B"/>
    <w:rsid w:val="00287E1E"/>
    <w:rsid w:val="00291487"/>
    <w:rsid w:val="00297A4E"/>
    <w:rsid w:val="002A047F"/>
    <w:rsid w:val="002A3641"/>
    <w:rsid w:val="002A43CC"/>
    <w:rsid w:val="002A5FBC"/>
    <w:rsid w:val="002A66E9"/>
    <w:rsid w:val="002A6DFA"/>
    <w:rsid w:val="002A7BDE"/>
    <w:rsid w:val="002A7D6E"/>
    <w:rsid w:val="002B1471"/>
    <w:rsid w:val="002B37E9"/>
    <w:rsid w:val="002B570F"/>
    <w:rsid w:val="002B64C1"/>
    <w:rsid w:val="002C1097"/>
    <w:rsid w:val="002C20D4"/>
    <w:rsid w:val="002C421F"/>
    <w:rsid w:val="002C58CF"/>
    <w:rsid w:val="002C6B06"/>
    <w:rsid w:val="002D1A07"/>
    <w:rsid w:val="002D5DED"/>
    <w:rsid w:val="002E0268"/>
    <w:rsid w:val="002E0F31"/>
    <w:rsid w:val="002E2B08"/>
    <w:rsid w:val="002E2E98"/>
    <w:rsid w:val="002F0E19"/>
    <w:rsid w:val="002F1790"/>
    <w:rsid w:val="002F6463"/>
    <w:rsid w:val="002F69B4"/>
    <w:rsid w:val="002F73CD"/>
    <w:rsid w:val="00301A5C"/>
    <w:rsid w:val="00301C5D"/>
    <w:rsid w:val="003040C2"/>
    <w:rsid w:val="00306322"/>
    <w:rsid w:val="00312DC8"/>
    <w:rsid w:val="003147F5"/>
    <w:rsid w:val="00315C8D"/>
    <w:rsid w:val="00317F9D"/>
    <w:rsid w:val="00322D3A"/>
    <w:rsid w:val="003230D1"/>
    <w:rsid w:val="003233A8"/>
    <w:rsid w:val="003253FA"/>
    <w:rsid w:val="003273F0"/>
    <w:rsid w:val="00327D2B"/>
    <w:rsid w:val="003302E0"/>
    <w:rsid w:val="00330A3D"/>
    <w:rsid w:val="00330E3B"/>
    <w:rsid w:val="00332266"/>
    <w:rsid w:val="00334732"/>
    <w:rsid w:val="0033511C"/>
    <w:rsid w:val="00335D9A"/>
    <w:rsid w:val="003372C5"/>
    <w:rsid w:val="00337E02"/>
    <w:rsid w:val="00344F35"/>
    <w:rsid w:val="00346BF8"/>
    <w:rsid w:val="003477A2"/>
    <w:rsid w:val="003519AC"/>
    <w:rsid w:val="00351AA6"/>
    <w:rsid w:val="0035277D"/>
    <w:rsid w:val="00352EC0"/>
    <w:rsid w:val="0035573F"/>
    <w:rsid w:val="00356CCA"/>
    <w:rsid w:val="003571DA"/>
    <w:rsid w:val="00361A02"/>
    <w:rsid w:val="00361A26"/>
    <w:rsid w:val="00361A3D"/>
    <w:rsid w:val="00367DB1"/>
    <w:rsid w:val="003813EF"/>
    <w:rsid w:val="00384046"/>
    <w:rsid w:val="00384656"/>
    <w:rsid w:val="003856C5"/>
    <w:rsid w:val="003909D2"/>
    <w:rsid w:val="00390DC0"/>
    <w:rsid w:val="00391435"/>
    <w:rsid w:val="00391F47"/>
    <w:rsid w:val="003931C0"/>
    <w:rsid w:val="00395033"/>
    <w:rsid w:val="00396241"/>
    <w:rsid w:val="00397F41"/>
    <w:rsid w:val="003A284B"/>
    <w:rsid w:val="003A2C04"/>
    <w:rsid w:val="003A5488"/>
    <w:rsid w:val="003B12AA"/>
    <w:rsid w:val="003B1B5A"/>
    <w:rsid w:val="003B535D"/>
    <w:rsid w:val="003B6570"/>
    <w:rsid w:val="003B6A7D"/>
    <w:rsid w:val="003C0267"/>
    <w:rsid w:val="003C0B35"/>
    <w:rsid w:val="003C12C6"/>
    <w:rsid w:val="003C3A39"/>
    <w:rsid w:val="003C3D37"/>
    <w:rsid w:val="003D7503"/>
    <w:rsid w:val="003E17E5"/>
    <w:rsid w:val="003E3868"/>
    <w:rsid w:val="003E4F28"/>
    <w:rsid w:val="003E62BB"/>
    <w:rsid w:val="003E6BF6"/>
    <w:rsid w:val="003E7019"/>
    <w:rsid w:val="003F2630"/>
    <w:rsid w:val="003F4DD4"/>
    <w:rsid w:val="003F75C2"/>
    <w:rsid w:val="00404876"/>
    <w:rsid w:val="00411A51"/>
    <w:rsid w:val="00416AD4"/>
    <w:rsid w:val="00416D0F"/>
    <w:rsid w:val="00424C94"/>
    <w:rsid w:val="00424E93"/>
    <w:rsid w:val="0042547C"/>
    <w:rsid w:val="004254E4"/>
    <w:rsid w:val="00425E44"/>
    <w:rsid w:val="00426125"/>
    <w:rsid w:val="004325BD"/>
    <w:rsid w:val="00434C91"/>
    <w:rsid w:val="00437ABE"/>
    <w:rsid w:val="00442CF1"/>
    <w:rsid w:val="0044540F"/>
    <w:rsid w:val="00446F56"/>
    <w:rsid w:val="004503E4"/>
    <w:rsid w:val="00450BC3"/>
    <w:rsid w:val="004538D3"/>
    <w:rsid w:val="0045434B"/>
    <w:rsid w:val="00461C91"/>
    <w:rsid w:val="00464999"/>
    <w:rsid w:val="004649E9"/>
    <w:rsid w:val="004659F5"/>
    <w:rsid w:val="00465ABE"/>
    <w:rsid w:val="0046656D"/>
    <w:rsid w:val="00473A6C"/>
    <w:rsid w:val="00481098"/>
    <w:rsid w:val="004842F3"/>
    <w:rsid w:val="00487CBD"/>
    <w:rsid w:val="00490E5B"/>
    <w:rsid w:val="00491A0C"/>
    <w:rsid w:val="00496885"/>
    <w:rsid w:val="004968C9"/>
    <w:rsid w:val="00496F88"/>
    <w:rsid w:val="004A0464"/>
    <w:rsid w:val="004A0EA1"/>
    <w:rsid w:val="004A11D9"/>
    <w:rsid w:val="004A56BD"/>
    <w:rsid w:val="004B0F83"/>
    <w:rsid w:val="004B3A00"/>
    <w:rsid w:val="004B3D4F"/>
    <w:rsid w:val="004C0CA6"/>
    <w:rsid w:val="004C223C"/>
    <w:rsid w:val="004C31A6"/>
    <w:rsid w:val="004C35AA"/>
    <w:rsid w:val="004C4B39"/>
    <w:rsid w:val="004C4B87"/>
    <w:rsid w:val="004C694D"/>
    <w:rsid w:val="004C6B42"/>
    <w:rsid w:val="004D1FF9"/>
    <w:rsid w:val="004D46CF"/>
    <w:rsid w:val="004D630E"/>
    <w:rsid w:val="004E1DB5"/>
    <w:rsid w:val="004E21EB"/>
    <w:rsid w:val="004E28BC"/>
    <w:rsid w:val="004E3394"/>
    <w:rsid w:val="004E56C2"/>
    <w:rsid w:val="004E5ACA"/>
    <w:rsid w:val="004F1100"/>
    <w:rsid w:val="004F2C0E"/>
    <w:rsid w:val="004F2D42"/>
    <w:rsid w:val="004F72B8"/>
    <w:rsid w:val="004F7A4F"/>
    <w:rsid w:val="005001B5"/>
    <w:rsid w:val="005006FE"/>
    <w:rsid w:val="0050070A"/>
    <w:rsid w:val="005022D0"/>
    <w:rsid w:val="00502592"/>
    <w:rsid w:val="00506B36"/>
    <w:rsid w:val="00506FEC"/>
    <w:rsid w:val="00507312"/>
    <w:rsid w:val="00510457"/>
    <w:rsid w:val="0051163A"/>
    <w:rsid w:val="005117EF"/>
    <w:rsid w:val="00512775"/>
    <w:rsid w:val="00513EDE"/>
    <w:rsid w:val="0051408F"/>
    <w:rsid w:val="005163C2"/>
    <w:rsid w:val="005179A8"/>
    <w:rsid w:val="00517A73"/>
    <w:rsid w:val="00520D67"/>
    <w:rsid w:val="005236B4"/>
    <w:rsid w:val="00524F5D"/>
    <w:rsid w:val="00525A0F"/>
    <w:rsid w:val="005310AD"/>
    <w:rsid w:val="00531E5E"/>
    <w:rsid w:val="0053605D"/>
    <w:rsid w:val="005438B3"/>
    <w:rsid w:val="00545276"/>
    <w:rsid w:val="005469FD"/>
    <w:rsid w:val="00550279"/>
    <w:rsid w:val="00550E6E"/>
    <w:rsid w:val="00552A7B"/>
    <w:rsid w:val="005539EC"/>
    <w:rsid w:val="005544F2"/>
    <w:rsid w:val="00560EAA"/>
    <w:rsid w:val="005621B5"/>
    <w:rsid w:val="00562E46"/>
    <w:rsid w:val="00562E49"/>
    <w:rsid w:val="00566399"/>
    <w:rsid w:val="00570A9D"/>
    <w:rsid w:val="00571AC7"/>
    <w:rsid w:val="00571F00"/>
    <w:rsid w:val="00572E64"/>
    <w:rsid w:val="005738C0"/>
    <w:rsid w:val="00574E58"/>
    <w:rsid w:val="00575144"/>
    <w:rsid w:val="0057663C"/>
    <w:rsid w:val="00580FB1"/>
    <w:rsid w:val="00581827"/>
    <w:rsid w:val="005821D8"/>
    <w:rsid w:val="00582299"/>
    <w:rsid w:val="00583542"/>
    <w:rsid w:val="00584353"/>
    <w:rsid w:val="0058688E"/>
    <w:rsid w:val="00586B6E"/>
    <w:rsid w:val="0059456F"/>
    <w:rsid w:val="00595D1E"/>
    <w:rsid w:val="0059737D"/>
    <w:rsid w:val="005A07F6"/>
    <w:rsid w:val="005A4777"/>
    <w:rsid w:val="005A5FDC"/>
    <w:rsid w:val="005A7096"/>
    <w:rsid w:val="005A7ABF"/>
    <w:rsid w:val="005A7B4D"/>
    <w:rsid w:val="005B10A3"/>
    <w:rsid w:val="005B1449"/>
    <w:rsid w:val="005B1D09"/>
    <w:rsid w:val="005B3BC4"/>
    <w:rsid w:val="005B5EE0"/>
    <w:rsid w:val="005C1A8B"/>
    <w:rsid w:val="005C3514"/>
    <w:rsid w:val="005C5D46"/>
    <w:rsid w:val="005C66D6"/>
    <w:rsid w:val="005C7601"/>
    <w:rsid w:val="005D2BB5"/>
    <w:rsid w:val="005D76DF"/>
    <w:rsid w:val="005E203D"/>
    <w:rsid w:val="005E3B19"/>
    <w:rsid w:val="005E74B0"/>
    <w:rsid w:val="005E7952"/>
    <w:rsid w:val="005F4059"/>
    <w:rsid w:val="005F4119"/>
    <w:rsid w:val="005F4EF5"/>
    <w:rsid w:val="005F5A0C"/>
    <w:rsid w:val="005F6E96"/>
    <w:rsid w:val="005F7B7A"/>
    <w:rsid w:val="005F7F02"/>
    <w:rsid w:val="00600564"/>
    <w:rsid w:val="00607FFB"/>
    <w:rsid w:val="0061034D"/>
    <w:rsid w:val="00611386"/>
    <w:rsid w:val="006150CE"/>
    <w:rsid w:val="006151CF"/>
    <w:rsid w:val="006178E7"/>
    <w:rsid w:val="006229D6"/>
    <w:rsid w:val="006232F9"/>
    <w:rsid w:val="006239C2"/>
    <w:rsid w:val="006240BD"/>
    <w:rsid w:val="0062442A"/>
    <w:rsid w:val="00624B97"/>
    <w:rsid w:val="00625623"/>
    <w:rsid w:val="00630E0A"/>
    <w:rsid w:val="00631261"/>
    <w:rsid w:val="006325D5"/>
    <w:rsid w:val="00634082"/>
    <w:rsid w:val="00635722"/>
    <w:rsid w:val="00636D8C"/>
    <w:rsid w:val="00636F87"/>
    <w:rsid w:val="006501A0"/>
    <w:rsid w:val="0065245F"/>
    <w:rsid w:val="00654B25"/>
    <w:rsid w:val="00657DB4"/>
    <w:rsid w:val="00660095"/>
    <w:rsid w:val="00660474"/>
    <w:rsid w:val="0066274E"/>
    <w:rsid w:val="006627D6"/>
    <w:rsid w:val="0066467B"/>
    <w:rsid w:val="006658A7"/>
    <w:rsid w:val="006670B2"/>
    <w:rsid w:val="00667B44"/>
    <w:rsid w:val="0067170B"/>
    <w:rsid w:val="00671DAB"/>
    <w:rsid w:val="00672FCC"/>
    <w:rsid w:val="00673234"/>
    <w:rsid w:val="00674648"/>
    <w:rsid w:val="006746DB"/>
    <w:rsid w:val="00677F45"/>
    <w:rsid w:val="00690226"/>
    <w:rsid w:val="00695329"/>
    <w:rsid w:val="00695C90"/>
    <w:rsid w:val="006A0A93"/>
    <w:rsid w:val="006A2218"/>
    <w:rsid w:val="006A47C2"/>
    <w:rsid w:val="006B1B17"/>
    <w:rsid w:val="006B1E6B"/>
    <w:rsid w:val="006B723B"/>
    <w:rsid w:val="006B7818"/>
    <w:rsid w:val="006C268D"/>
    <w:rsid w:val="006C3E9D"/>
    <w:rsid w:val="006C43A8"/>
    <w:rsid w:val="006C494E"/>
    <w:rsid w:val="006C49A0"/>
    <w:rsid w:val="006C59A0"/>
    <w:rsid w:val="006C6B45"/>
    <w:rsid w:val="006C7CD0"/>
    <w:rsid w:val="006D38F5"/>
    <w:rsid w:val="006D3A6E"/>
    <w:rsid w:val="006D3E45"/>
    <w:rsid w:val="006D58A3"/>
    <w:rsid w:val="006D6E04"/>
    <w:rsid w:val="006E3580"/>
    <w:rsid w:val="006E7E53"/>
    <w:rsid w:val="006F0536"/>
    <w:rsid w:val="006F29D4"/>
    <w:rsid w:val="006F5306"/>
    <w:rsid w:val="006F539C"/>
    <w:rsid w:val="006F5C02"/>
    <w:rsid w:val="007000FA"/>
    <w:rsid w:val="007002F9"/>
    <w:rsid w:val="00700741"/>
    <w:rsid w:val="00710DFC"/>
    <w:rsid w:val="00711193"/>
    <w:rsid w:val="007118BE"/>
    <w:rsid w:val="00713E9D"/>
    <w:rsid w:val="007157FE"/>
    <w:rsid w:val="00716315"/>
    <w:rsid w:val="00716ABB"/>
    <w:rsid w:val="00716B0D"/>
    <w:rsid w:val="00717BC0"/>
    <w:rsid w:val="007211C0"/>
    <w:rsid w:val="0072149F"/>
    <w:rsid w:val="00721F30"/>
    <w:rsid w:val="00723032"/>
    <w:rsid w:val="00723999"/>
    <w:rsid w:val="00725C7C"/>
    <w:rsid w:val="00726E10"/>
    <w:rsid w:val="00726F8A"/>
    <w:rsid w:val="007279C0"/>
    <w:rsid w:val="007315E5"/>
    <w:rsid w:val="00732234"/>
    <w:rsid w:val="007335A1"/>
    <w:rsid w:val="00734CCB"/>
    <w:rsid w:val="00735491"/>
    <w:rsid w:val="007364DE"/>
    <w:rsid w:val="007369C9"/>
    <w:rsid w:val="0074088B"/>
    <w:rsid w:val="00742458"/>
    <w:rsid w:val="007427FE"/>
    <w:rsid w:val="00742DD2"/>
    <w:rsid w:val="0074411A"/>
    <w:rsid w:val="0074514F"/>
    <w:rsid w:val="00750102"/>
    <w:rsid w:val="007520A6"/>
    <w:rsid w:val="00755E8F"/>
    <w:rsid w:val="007560DE"/>
    <w:rsid w:val="00757579"/>
    <w:rsid w:val="0075767B"/>
    <w:rsid w:val="00761A88"/>
    <w:rsid w:val="007629BB"/>
    <w:rsid w:val="00764772"/>
    <w:rsid w:val="00764DB1"/>
    <w:rsid w:val="00766DE1"/>
    <w:rsid w:val="00766E84"/>
    <w:rsid w:val="00772B82"/>
    <w:rsid w:val="00774833"/>
    <w:rsid w:val="00774C0F"/>
    <w:rsid w:val="00775385"/>
    <w:rsid w:val="00775700"/>
    <w:rsid w:val="00777B4B"/>
    <w:rsid w:val="00782B8D"/>
    <w:rsid w:val="00783939"/>
    <w:rsid w:val="00783DB9"/>
    <w:rsid w:val="00784A3C"/>
    <w:rsid w:val="007859CE"/>
    <w:rsid w:val="0079045A"/>
    <w:rsid w:val="00790983"/>
    <w:rsid w:val="00793446"/>
    <w:rsid w:val="00793D0D"/>
    <w:rsid w:val="007951AF"/>
    <w:rsid w:val="00795531"/>
    <w:rsid w:val="007A28DE"/>
    <w:rsid w:val="007A2DD3"/>
    <w:rsid w:val="007A4E9D"/>
    <w:rsid w:val="007A5848"/>
    <w:rsid w:val="007A7629"/>
    <w:rsid w:val="007B058F"/>
    <w:rsid w:val="007B1132"/>
    <w:rsid w:val="007C0241"/>
    <w:rsid w:val="007C1155"/>
    <w:rsid w:val="007C2478"/>
    <w:rsid w:val="007C2909"/>
    <w:rsid w:val="007C2FD7"/>
    <w:rsid w:val="007C3BA6"/>
    <w:rsid w:val="007C5762"/>
    <w:rsid w:val="007D358A"/>
    <w:rsid w:val="007D4234"/>
    <w:rsid w:val="007D7C3B"/>
    <w:rsid w:val="007E070D"/>
    <w:rsid w:val="007E24F5"/>
    <w:rsid w:val="007E41DB"/>
    <w:rsid w:val="007E6B59"/>
    <w:rsid w:val="007E7790"/>
    <w:rsid w:val="007F0B79"/>
    <w:rsid w:val="007F2902"/>
    <w:rsid w:val="007F439D"/>
    <w:rsid w:val="0080080F"/>
    <w:rsid w:val="00800BA4"/>
    <w:rsid w:val="0080249C"/>
    <w:rsid w:val="008040AD"/>
    <w:rsid w:val="00805F8B"/>
    <w:rsid w:val="008063D1"/>
    <w:rsid w:val="008118D8"/>
    <w:rsid w:val="00813C82"/>
    <w:rsid w:val="00814D7A"/>
    <w:rsid w:val="008161E2"/>
    <w:rsid w:val="00816F14"/>
    <w:rsid w:val="008174D9"/>
    <w:rsid w:val="00820CC8"/>
    <w:rsid w:val="0082280E"/>
    <w:rsid w:val="00824111"/>
    <w:rsid w:val="00833120"/>
    <w:rsid w:val="0083333C"/>
    <w:rsid w:val="008360BC"/>
    <w:rsid w:val="00836EFF"/>
    <w:rsid w:val="008433DF"/>
    <w:rsid w:val="0084377F"/>
    <w:rsid w:val="008457A5"/>
    <w:rsid w:val="00845A8F"/>
    <w:rsid w:val="008467AE"/>
    <w:rsid w:val="00851D6B"/>
    <w:rsid w:val="00852F1C"/>
    <w:rsid w:val="00854045"/>
    <w:rsid w:val="00854E68"/>
    <w:rsid w:val="00855AC9"/>
    <w:rsid w:val="0086044C"/>
    <w:rsid w:val="00861236"/>
    <w:rsid w:val="00864254"/>
    <w:rsid w:val="00867458"/>
    <w:rsid w:val="00867C2A"/>
    <w:rsid w:val="00867E94"/>
    <w:rsid w:val="00870310"/>
    <w:rsid w:val="0087386E"/>
    <w:rsid w:val="0087411F"/>
    <w:rsid w:val="00875ECE"/>
    <w:rsid w:val="008768CD"/>
    <w:rsid w:val="00880678"/>
    <w:rsid w:val="00881733"/>
    <w:rsid w:val="00882833"/>
    <w:rsid w:val="00882C73"/>
    <w:rsid w:val="00892197"/>
    <w:rsid w:val="00893D93"/>
    <w:rsid w:val="00897310"/>
    <w:rsid w:val="008A05CE"/>
    <w:rsid w:val="008A3882"/>
    <w:rsid w:val="008A63A2"/>
    <w:rsid w:val="008B0419"/>
    <w:rsid w:val="008B048A"/>
    <w:rsid w:val="008B0E2C"/>
    <w:rsid w:val="008B1CDE"/>
    <w:rsid w:val="008B1DC1"/>
    <w:rsid w:val="008B1E33"/>
    <w:rsid w:val="008B3DA6"/>
    <w:rsid w:val="008B4DC9"/>
    <w:rsid w:val="008B69C1"/>
    <w:rsid w:val="008B6A38"/>
    <w:rsid w:val="008B7A2B"/>
    <w:rsid w:val="008C4055"/>
    <w:rsid w:val="008C4145"/>
    <w:rsid w:val="008C68D5"/>
    <w:rsid w:val="008D211F"/>
    <w:rsid w:val="008D30B7"/>
    <w:rsid w:val="008D35DD"/>
    <w:rsid w:val="008D609C"/>
    <w:rsid w:val="008D6FA5"/>
    <w:rsid w:val="008E03D6"/>
    <w:rsid w:val="008E7412"/>
    <w:rsid w:val="008F050D"/>
    <w:rsid w:val="008F1C7C"/>
    <w:rsid w:val="008F25CA"/>
    <w:rsid w:val="008F3C16"/>
    <w:rsid w:val="008F4015"/>
    <w:rsid w:val="008F6562"/>
    <w:rsid w:val="0090032B"/>
    <w:rsid w:val="00900706"/>
    <w:rsid w:val="00902F2E"/>
    <w:rsid w:val="00903582"/>
    <w:rsid w:val="00905EDF"/>
    <w:rsid w:val="009075AE"/>
    <w:rsid w:val="00907CCB"/>
    <w:rsid w:val="00910C29"/>
    <w:rsid w:val="00911C70"/>
    <w:rsid w:val="00917D57"/>
    <w:rsid w:val="00917FEC"/>
    <w:rsid w:val="00920421"/>
    <w:rsid w:val="009216F4"/>
    <w:rsid w:val="00922F49"/>
    <w:rsid w:val="00923803"/>
    <w:rsid w:val="00924B8A"/>
    <w:rsid w:val="00924D95"/>
    <w:rsid w:val="00931496"/>
    <w:rsid w:val="009353C2"/>
    <w:rsid w:val="00935C94"/>
    <w:rsid w:val="00936D54"/>
    <w:rsid w:val="009371CF"/>
    <w:rsid w:val="00937C8A"/>
    <w:rsid w:val="00941215"/>
    <w:rsid w:val="00941A3F"/>
    <w:rsid w:val="0094266B"/>
    <w:rsid w:val="00943D9F"/>
    <w:rsid w:val="00945845"/>
    <w:rsid w:val="009467B6"/>
    <w:rsid w:val="0094736C"/>
    <w:rsid w:val="00947C84"/>
    <w:rsid w:val="009522DC"/>
    <w:rsid w:val="00955F30"/>
    <w:rsid w:val="00955F40"/>
    <w:rsid w:val="00956682"/>
    <w:rsid w:val="00957C44"/>
    <w:rsid w:val="009615E5"/>
    <w:rsid w:val="0096184F"/>
    <w:rsid w:val="00961CB0"/>
    <w:rsid w:val="00963C39"/>
    <w:rsid w:val="00963EA9"/>
    <w:rsid w:val="00967FF0"/>
    <w:rsid w:val="0097448B"/>
    <w:rsid w:val="00975D48"/>
    <w:rsid w:val="00976FC9"/>
    <w:rsid w:val="00977EEA"/>
    <w:rsid w:val="009805CB"/>
    <w:rsid w:val="00981256"/>
    <w:rsid w:val="00982790"/>
    <w:rsid w:val="00983559"/>
    <w:rsid w:val="009846F3"/>
    <w:rsid w:val="00987539"/>
    <w:rsid w:val="00987E88"/>
    <w:rsid w:val="009930BD"/>
    <w:rsid w:val="0099551E"/>
    <w:rsid w:val="009A076D"/>
    <w:rsid w:val="009A2474"/>
    <w:rsid w:val="009A48EF"/>
    <w:rsid w:val="009A5FBA"/>
    <w:rsid w:val="009B1AFC"/>
    <w:rsid w:val="009B222B"/>
    <w:rsid w:val="009B34EC"/>
    <w:rsid w:val="009B68D3"/>
    <w:rsid w:val="009B7003"/>
    <w:rsid w:val="009B7F74"/>
    <w:rsid w:val="009C0645"/>
    <w:rsid w:val="009C06E2"/>
    <w:rsid w:val="009C0BC3"/>
    <w:rsid w:val="009C3D81"/>
    <w:rsid w:val="009C588B"/>
    <w:rsid w:val="009C65E4"/>
    <w:rsid w:val="009C6DE0"/>
    <w:rsid w:val="009D0490"/>
    <w:rsid w:val="009D0DCF"/>
    <w:rsid w:val="009D3033"/>
    <w:rsid w:val="009D345E"/>
    <w:rsid w:val="009D53EE"/>
    <w:rsid w:val="009D69A2"/>
    <w:rsid w:val="009D6B1B"/>
    <w:rsid w:val="009E1EFC"/>
    <w:rsid w:val="009E36BD"/>
    <w:rsid w:val="009E5AC5"/>
    <w:rsid w:val="009E5FF0"/>
    <w:rsid w:val="009F1349"/>
    <w:rsid w:val="009F3587"/>
    <w:rsid w:val="009F464B"/>
    <w:rsid w:val="009F4D51"/>
    <w:rsid w:val="009F51C5"/>
    <w:rsid w:val="009F5E60"/>
    <w:rsid w:val="009F6E1D"/>
    <w:rsid w:val="00A02F34"/>
    <w:rsid w:val="00A04696"/>
    <w:rsid w:val="00A0584D"/>
    <w:rsid w:val="00A05B60"/>
    <w:rsid w:val="00A060AA"/>
    <w:rsid w:val="00A12F67"/>
    <w:rsid w:val="00A1420C"/>
    <w:rsid w:val="00A147F1"/>
    <w:rsid w:val="00A15165"/>
    <w:rsid w:val="00A21295"/>
    <w:rsid w:val="00A21C3C"/>
    <w:rsid w:val="00A237DA"/>
    <w:rsid w:val="00A24293"/>
    <w:rsid w:val="00A25021"/>
    <w:rsid w:val="00A26529"/>
    <w:rsid w:val="00A30EAF"/>
    <w:rsid w:val="00A31EA3"/>
    <w:rsid w:val="00A3354D"/>
    <w:rsid w:val="00A33797"/>
    <w:rsid w:val="00A342E6"/>
    <w:rsid w:val="00A36337"/>
    <w:rsid w:val="00A3637F"/>
    <w:rsid w:val="00A41964"/>
    <w:rsid w:val="00A45014"/>
    <w:rsid w:val="00A45341"/>
    <w:rsid w:val="00A456BB"/>
    <w:rsid w:val="00A47516"/>
    <w:rsid w:val="00A51096"/>
    <w:rsid w:val="00A53F28"/>
    <w:rsid w:val="00A53FB2"/>
    <w:rsid w:val="00A5666F"/>
    <w:rsid w:val="00A57D9C"/>
    <w:rsid w:val="00A60C7B"/>
    <w:rsid w:val="00A631E8"/>
    <w:rsid w:val="00A63A15"/>
    <w:rsid w:val="00A64274"/>
    <w:rsid w:val="00A6665F"/>
    <w:rsid w:val="00A72100"/>
    <w:rsid w:val="00A74047"/>
    <w:rsid w:val="00A74581"/>
    <w:rsid w:val="00A74AED"/>
    <w:rsid w:val="00A814EA"/>
    <w:rsid w:val="00A81FFD"/>
    <w:rsid w:val="00A834CE"/>
    <w:rsid w:val="00A83ADB"/>
    <w:rsid w:val="00A847BE"/>
    <w:rsid w:val="00A8770A"/>
    <w:rsid w:val="00A93FC2"/>
    <w:rsid w:val="00A9480F"/>
    <w:rsid w:val="00A94D18"/>
    <w:rsid w:val="00A9520C"/>
    <w:rsid w:val="00A95386"/>
    <w:rsid w:val="00AA6162"/>
    <w:rsid w:val="00AA62D7"/>
    <w:rsid w:val="00AB0B6A"/>
    <w:rsid w:val="00AB0EEF"/>
    <w:rsid w:val="00AB45EA"/>
    <w:rsid w:val="00AC1CD7"/>
    <w:rsid w:val="00AC2F6B"/>
    <w:rsid w:val="00AC3ACE"/>
    <w:rsid w:val="00AC4243"/>
    <w:rsid w:val="00AC4C3A"/>
    <w:rsid w:val="00AC540B"/>
    <w:rsid w:val="00AC67A6"/>
    <w:rsid w:val="00AC684F"/>
    <w:rsid w:val="00AC7451"/>
    <w:rsid w:val="00AD010B"/>
    <w:rsid w:val="00AD0F37"/>
    <w:rsid w:val="00AE1C43"/>
    <w:rsid w:val="00AE25A4"/>
    <w:rsid w:val="00AE4176"/>
    <w:rsid w:val="00AE55CB"/>
    <w:rsid w:val="00AE5A90"/>
    <w:rsid w:val="00AE7B92"/>
    <w:rsid w:val="00AF0137"/>
    <w:rsid w:val="00AF0E22"/>
    <w:rsid w:val="00AF304B"/>
    <w:rsid w:val="00AF3ECA"/>
    <w:rsid w:val="00AF42BB"/>
    <w:rsid w:val="00AF476A"/>
    <w:rsid w:val="00AF4E18"/>
    <w:rsid w:val="00AF629A"/>
    <w:rsid w:val="00B00953"/>
    <w:rsid w:val="00B00E78"/>
    <w:rsid w:val="00B026B0"/>
    <w:rsid w:val="00B038E3"/>
    <w:rsid w:val="00B04FD7"/>
    <w:rsid w:val="00B07703"/>
    <w:rsid w:val="00B07D42"/>
    <w:rsid w:val="00B1026B"/>
    <w:rsid w:val="00B1154A"/>
    <w:rsid w:val="00B116C3"/>
    <w:rsid w:val="00B1192C"/>
    <w:rsid w:val="00B124D7"/>
    <w:rsid w:val="00B12EE5"/>
    <w:rsid w:val="00B159BC"/>
    <w:rsid w:val="00B16288"/>
    <w:rsid w:val="00B210BB"/>
    <w:rsid w:val="00B22611"/>
    <w:rsid w:val="00B3056A"/>
    <w:rsid w:val="00B31B17"/>
    <w:rsid w:val="00B33942"/>
    <w:rsid w:val="00B355EE"/>
    <w:rsid w:val="00B364B6"/>
    <w:rsid w:val="00B36F6E"/>
    <w:rsid w:val="00B43CA1"/>
    <w:rsid w:val="00B4416E"/>
    <w:rsid w:val="00B4526B"/>
    <w:rsid w:val="00B467B5"/>
    <w:rsid w:val="00B506E2"/>
    <w:rsid w:val="00B54A4B"/>
    <w:rsid w:val="00B55599"/>
    <w:rsid w:val="00B559B9"/>
    <w:rsid w:val="00B5638E"/>
    <w:rsid w:val="00B571AE"/>
    <w:rsid w:val="00B57C2C"/>
    <w:rsid w:val="00B61788"/>
    <w:rsid w:val="00B62462"/>
    <w:rsid w:val="00B636A6"/>
    <w:rsid w:val="00B71BF5"/>
    <w:rsid w:val="00B729F2"/>
    <w:rsid w:val="00B754E0"/>
    <w:rsid w:val="00B755BF"/>
    <w:rsid w:val="00B76D7F"/>
    <w:rsid w:val="00B7793A"/>
    <w:rsid w:val="00B8185B"/>
    <w:rsid w:val="00B83922"/>
    <w:rsid w:val="00B83BE0"/>
    <w:rsid w:val="00B855D5"/>
    <w:rsid w:val="00B859F2"/>
    <w:rsid w:val="00B86D6A"/>
    <w:rsid w:val="00B90257"/>
    <w:rsid w:val="00B918C0"/>
    <w:rsid w:val="00B91BA8"/>
    <w:rsid w:val="00B91D83"/>
    <w:rsid w:val="00B97529"/>
    <w:rsid w:val="00BA1556"/>
    <w:rsid w:val="00BA192D"/>
    <w:rsid w:val="00BA35C7"/>
    <w:rsid w:val="00BA6906"/>
    <w:rsid w:val="00BB16A4"/>
    <w:rsid w:val="00BB26C4"/>
    <w:rsid w:val="00BB3D42"/>
    <w:rsid w:val="00BB4388"/>
    <w:rsid w:val="00BB6D15"/>
    <w:rsid w:val="00BB784B"/>
    <w:rsid w:val="00BC1FAB"/>
    <w:rsid w:val="00BC4851"/>
    <w:rsid w:val="00BC67AB"/>
    <w:rsid w:val="00BC7956"/>
    <w:rsid w:val="00BC7E29"/>
    <w:rsid w:val="00BD127A"/>
    <w:rsid w:val="00BD216F"/>
    <w:rsid w:val="00BD35AB"/>
    <w:rsid w:val="00BD53CF"/>
    <w:rsid w:val="00BD57B8"/>
    <w:rsid w:val="00BD6777"/>
    <w:rsid w:val="00BD7B29"/>
    <w:rsid w:val="00BD7CAB"/>
    <w:rsid w:val="00BE0D57"/>
    <w:rsid w:val="00BE15DA"/>
    <w:rsid w:val="00BE2DDA"/>
    <w:rsid w:val="00BE3B21"/>
    <w:rsid w:val="00BE6360"/>
    <w:rsid w:val="00BE6521"/>
    <w:rsid w:val="00BE75FF"/>
    <w:rsid w:val="00BF1A86"/>
    <w:rsid w:val="00BF1CEB"/>
    <w:rsid w:val="00BF5EA2"/>
    <w:rsid w:val="00BF65D1"/>
    <w:rsid w:val="00BF72BB"/>
    <w:rsid w:val="00BF784F"/>
    <w:rsid w:val="00C004F9"/>
    <w:rsid w:val="00C019F4"/>
    <w:rsid w:val="00C037B4"/>
    <w:rsid w:val="00C037D5"/>
    <w:rsid w:val="00C10384"/>
    <w:rsid w:val="00C11A38"/>
    <w:rsid w:val="00C15047"/>
    <w:rsid w:val="00C15405"/>
    <w:rsid w:val="00C16895"/>
    <w:rsid w:val="00C20E52"/>
    <w:rsid w:val="00C213C4"/>
    <w:rsid w:val="00C2234E"/>
    <w:rsid w:val="00C22C1B"/>
    <w:rsid w:val="00C25D68"/>
    <w:rsid w:val="00C262CC"/>
    <w:rsid w:val="00C302FE"/>
    <w:rsid w:val="00C31379"/>
    <w:rsid w:val="00C32822"/>
    <w:rsid w:val="00C336F4"/>
    <w:rsid w:val="00C35505"/>
    <w:rsid w:val="00C35B15"/>
    <w:rsid w:val="00C36A45"/>
    <w:rsid w:val="00C40D50"/>
    <w:rsid w:val="00C41251"/>
    <w:rsid w:val="00C41D5E"/>
    <w:rsid w:val="00C42A2B"/>
    <w:rsid w:val="00C43C55"/>
    <w:rsid w:val="00C459DF"/>
    <w:rsid w:val="00C462CE"/>
    <w:rsid w:val="00C476B0"/>
    <w:rsid w:val="00C512F4"/>
    <w:rsid w:val="00C5174E"/>
    <w:rsid w:val="00C52915"/>
    <w:rsid w:val="00C57216"/>
    <w:rsid w:val="00C60C41"/>
    <w:rsid w:val="00C634E8"/>
    <w:rsid w:val="00C6527C"/>
    <w:rsid w:val="00C66E17"/>
    <w:rsid w:val="00C67BF0"/>
    <w:rsid w:val="00C67F40"/>
    <w:rsid w:val="00C71D5D"/>
    <w:rsid w:val="00C72836"/>
    <w:rsid w:val="00C7329F"/>
    <w:rsid w:val="00C778B8"/>
    <w:rsid w:val="00C80EF0"/>
    <w:rsid w:val="00C835B1"/>
    <w:rsid w:val="00C8414F"/>
    <w:rsid w:val="00C858E8"/>
    <w:rsid w:val="00C90A86"/>
    <w:rsid w:val="00C90A9A"/>
    <w:rsid w:val="00C90D02"/>
    <w:rsid w:val="00C94B6B"/>
    <w:rsid w:val="00C953B7"/>
    <w:rsid w:val="00C95950"/>
    <w:rsid w:val="00C972C9"/>
    <w:rsid w:val="00CA386C"/>
    <w:rsid w:val="00CA6E20"/>
    <w:rsid w:val="00CB298A"/>
    <w:rsid w:val="00CB459A"/>
    <w:rsid w:val="00CB5D74"/>
    <w:rsid w:val="00CB6519"/>
    <w:rsid w:val="00CB772F"/>
    <w:rsid w:val="00CC0D10"/>
    <w:rsid w:val="00CC109F"/>
    <w:rsid w:val="00CC1A1E"/>
    <w:rsid w:val="00CC1CDB"/>
    <w:rsid w:val="00CC1ECF"/>
    <w:rsid w:val="00CC2F9C"/>
    <w:rsid w:val="00CC3565"/>
    <w:rsid w:val="00CC4A70"/>
    <w:rsid w:val="00CC5D6C"/>
    <w:rsid w:val="00CC7015"/>
    <w:rsid w:val="00CC75D3"/>
    <w:rsid w:val="00CD1092"/>
    <w:rsid w:val="00CD15D9"/>
    <w:rsid w:val="00CD322D"/>
    <w:rsid w:val="00CD5B0A"/>
    <w:rsid w:val="00CD5FE5"/>
    <w:rsid w:val="00CD6933"/>
    <w:rsid w:val="00CD6E85"/>
    <w:rsid w:val="00CD6FE0"/>
    <w:rsid w:val="00CE4475"/>
    <w:rsid w:val="00CF0852"/>
    <w:rsid w:val="00CF4DA0"/>
    <w:rsid w:val="00CF6AC7"/>
    <w:rsid w:val="00D01C26"/>
    <w:rsid w:val="00D0388C"/>
    <w:rsid w:val="00D03EFB"/>
    <w:rsid w:val="00D133D9"/>
    <w:rsid w:val="00D165F0"/>
    <w:rsid w:val="00D26078"/>
    <w:rsid w:val="00D30AFC"/>
    <w:rsid w:val="00D321CF"/>
    <w:rsid w:val="00D32740"/>
    <w:rsid w:val="00D34A9C"/>
    <w:rsid w:val="00D35394"/>
    <w:rsid w:val="00D40137"/>
    <w:rsid w:val="00D40270"/>
    <w:rsid w:val="00D42822"/>
    <w:rsid w:val="00D43718"/>
    <w:rsid w:val="00D462DA"/>
    <w:rsid w:val="00D46372"/>
    <w:rsid w:val="00D469F5"/>
    <w:rsid w:val="00D46BF3"/>
    <w:rsid w:val="00D474A0"/>
    <w:rsid w:val="00D477B4"/>
    <w:rsid w:val="00D51993"/>
    <w:rsid w:val="00D56206"/>
    <w:rsid w:val="00D56863"/>
    <w:rsid w:val="00D57305"/>
    <w:rsid w:val="00D60A0E"/>
    <w:rsid w:val="00D62858"/>
    <w:rsid w:val="00D63218"/>
    <w:rsid w:val="00D64447"/>
    <w:rsid w:val="00D6635E"/>
    <w:rsid w:val="00D72535"/>
    <w:rsid w:val="00D725ED"/>
    <w:rsid w:val="00D73915"/>
    <w:rsid w:val="00D739C7"/>
    <w:rsid w:val="00D7765B"/>
    <w:rsid w:val="00D7781A"/>
    <w:rsid w:val="00D80E21"/>
    <w:rsid w:val="00D82772"/>
    <w:rsid w:val="00D82D94"/>
    <w:rsid w:val="00D8557A"/>
    <w:rsid w:val="00D857E7"/>
    <w:rsid w:val="00D8596B"/>
    <w:rsid w:val="00D85BCC"/>
    <w:rsid w:val="00D85F2D"/>
    <w:rsid w:val="00D86788"/>
    <w:rsid w:val="00D914FE"/>
    <w:rsid w:val="00D918CA"/>
    <w:rsid w:val="00D92A00"/>
    <w:rsid w:val="00D93352"/>
    <w:rsid w:val="00DA0555"/>
    <w:rsid w:val="00DA2EDC"/>
    <w:rsid w:val="00DA5BBE"/>
    <w:rsid w:val="00DA5E9A"/>
    <w:rsid w:val="00DB01AF"/>
    <w:rsid w:val="00DB2DA8"/>
    <w:rsid w:val="00DB40FF"/>
    <w:rsid w:val="00DB63D9"/>
    <w:rsid w:val="00DB6973"/>
    <w:rsid w:val="00DB781D"/>
    <w:rsid w:val="00DB7FF1"/>
    <w:rsid w:val="00DC0161"/>
    <w:rsid w:val="00DC0612"/>
    <w:rsid w:val="00DC1668"/>
    <w:rsid w:val="00DC656E"/>
    <w:rsid w:val="00DC7F7B"/>
    <w:rsid w:val="00DD585C"/>
    <w:rsid w:val="00DD7F0C"/>
    <w:rsid w:val="00DE1686"/>
    <w:rsid w:val="00DE1E29"/>
    <w:rsid w:val="00DE2603"/>
    <w:rsid w:val="00DE3B25"/>
    <w:rsid w:val="00DE5CEA"/>
    <w:rsid w:val="00DE69DE"/>
    <w:rsid w:val="00DF14DF"/>
    <w:rsid w:val="00DF210D"/>
    <w:rsid w:val="00DF4213"/>
    <w:rsid w:val="00DF45D5"/>
    <w:rsid w:val="00DF4753"/>
    <w:rsid w:val="00DF6467"/>
    <w:rsid w:val="00DF6528"/>
    <w:rsid w:val="00DF72FD"/>
    <w:rsid w:val="00E03B0F"/>
    <w:rsid w:val="00E045B9"/>
    <w:rsid w:val="00E107BF"/>
    <w:rsid w:val="00E10A02"/>
    <w:rsid w:val="00E12A16"/>
    <w:rsid w:val="00E13DDA"/>
    <w:rsid w:val="00E15FE8"/>
    <w:rsid w:val="00E204EF"/>
    <w:rsid w:val="00E2073F"/>
    <w:rsid w:val="00E2090A"/>
    <w:rsid w:val="00E248AA"/>
    <w:rsid w:val="00E2536A"/>
    <w:rsid w:val="00E2570D"/>
    <w:rsid w:val="00E36200"/>
    <w:rsid w:val="00E4090B"/>
    <w:rsid w:val="00E40E11"/>
    <w:rsid w:val="00E4153A"/>
    <w:rsid w:val="00E4228F"/>
    <w:rsid w:val="00E45009"/>
    <w:rsid w:val="00E46BC8"/>
    <w:rsid w:val="00E508DD"/>
    <w:rsid w:val="00E50B48"/>
    <w:rsid w:val="00E51451"/>
    <w:rsid w:val="00E51E7A"/>
    <w:rsid w:val="00E524CC"/>
    <w:rsid w:val="00E529B4"/>
    <w:rsid w:val="00E53286"/>
    <w:rsid w:val="00E54D5E"/>
    <w:rsid w:val="00E604AB"/>
    <w:rsid w:val="00E6271A"/>
    <w:rsid w:val="00E62CC9"/>
    <w:rsid w:val="00E62FEE"/>
    <w:rsid w:val="00E6407F"/>
    <w:rsid w:val="00E64728"/>
    <w:rsid w:val="00E658E7"/>
    <w:rsid w:val="00E67E3B"/>
    <w:rsid w:val="00E7254E"/>
    <w:rsid w:val="00E7388C"/>
    <w:rsid w:val="00E759E5"/>
    <w:rsid w:val="00E75A2E"/>
    <w:rsid w:val="00E766B8"/>
    <w:rsid w:val="00E813AC"/>
    <w:rsid w:val="00E8149E"/>
    <w:rsid w:val="00E8311A"/>
    <w:rsid w:val="00E84465"/>
    <w:rsid w:val="00E84CC9"/>
    <w:rsid w:val="00E85575"/>
    <w:rsid w:val="00E86A3F"/>
    <w:rsid w:val="00E8718C"/>
    <w:rsid w:val="00E9067F"/>
    <w:rsid w:val="00E906E9"/>
    <w:rsid w:val="00E93E73"/>
    <w:rsid w:val="00E9592A"/>
    <w:rsid w:val="00EA07F1"/>
    <w:rsid w:val="00EA0D9F"/>
    <w:rsid w:val="00EA1FEF"/>
    <w:rsid w:val="00EA4B68"/>
    <w:rsid w:val="00EB18DB"/>
    <w:rsid w:val="00EB1AF6"/>
    <w:rsid w:val="00EB3A1F"/>
    <w:rsid w:val="00EB6503"/>
    <w:rsid w:val="00EB692C"/>
    <w:rsid w:val="00EC0F3D"/>
    <w:rsid w:val="00EC1D7D"/>
    <w:rsid w:val="00EC282E"/>
    <w:rsid w:val="00ED6517"/>
    <w:rsid w:val="00EE0D01"/>
    <w:rsid w:val="00EE17E8"/>
    <w:rsid w:val="00EE7098"/>
    <w:rsid w:val="00EF05BE"/>
    <w:rsid w:val="00EF0A75"/>
    <w:rsid w:val="00EF29EE"/>
    <w:rsid w:val="00EF2A3A"/>
    <w:rsid w:val="00EF3F9A"/>
    <w:rsid w:val="00EF7858"/>
    <w:rsid w:val="00EF7DD4"/>
    <w:rsid w:val="00EF7F04"/>
    <w:rsid w:val="00F00AEB"/>
    <w:rsid w:val="00F02ACB"/>
    <w:rsid w:val="00F039A9"/>
    <w:rsid w:val="00F04816"/>
    <w:rsid w:val="00F054D8"/>
    <w:rsid w:val="00F061F7"/>
    <w:rsid w:val="00F10423"/>
    <w:rsid w:val="00F15E63"/>
    <w:rsid w:val="00F179AE"/>
    <w:rsid w:val="00F22080"/>
    <w:rsid w:val="00F22D5C"/>
    <w:rsid w:val="00F2425F"/>
    <w:rsid w:val="00F248EE"/>
    <w:rsid w:val="00F24B0E"/>
    <w:rsid w:val="00F25B4F"/>
    <w:rsid w:val="00F267F1"/>
    <w:rsid w:val="00F26C25"/>
    <w:rsid w:val="00F26CB0"/>
    <w:rsid w:val="00F2752E"/>
    <w:rsid w:val="00F27D5E"/>
    <w:rsid w:val="00F30376"/>
    <w:rsid w:val="00F30378"/>
    <w:rsid w:val="00F30A0B"/>
    <w:rsid w:val="00F327A8"/>
    <w:rsid w:val="00F35696"/>
    <w:rsid w:val="00F35744"/>
    <w:rsid w:val="00F367FE"/>
    <w:rsid w:val="00F402F5"/>
    <w:rsid w:val="00F420AC"/>
    <w:rsid w:val="00F43B0D"/>
    <w:rsid w:val="00F447CE"/>
    <w:rsid w:val="00F47950"/>
    <w:rsid w:val="00F5227F"/>
    <w:rsid w:val="00F5371B"/>
    <w:rsid w:val="00F56377"/>
    <w:rsid w:val="00F57FB5"/>
    <w:rsid w:val="00F62788"/>
    <w:rsid w:val="00F64E17"/>
    <w:rsid w:val="00F65348"/>
    <w:rsid w:val="00F65D42"/>
    <w:rsid w:val="00F67359"/>
    <w:rsid w:val="00F71A1E"/>
    <w:rsid w:val="00F74ED2"/>
    <w:rsid w:val="00F76188"/>
    <w:rsid w:val="00F86875"/>
    <w:rsid w:val="00F87B28"/>
    <w:rsid w:val="00F87E62"/>
    <w:rsid w:val="00F95DB3"/>
    <w:rsid w:val="00F9656D"/>
    <w:rsid w:val="00FA0C6B"/>
    <w:rsid w:val="00FA2FFD"/>
    <w:rsid w:val="00FA4A7B"/>
    <w:rsid w:val="00FA6C4F"/>
    <w:rsid w:val="00FB177A"/>
    <w:rsid w:val="00FB320B"/>
    <w:rsid w:val="00FB3CB3"/>
    <w:rsid w:val="00FB5A88"/>
    <w:rsid w:val="00FB67A9"/>
    <w:rsid w:val="00FB6FFE"/>
    <w:rsid w:val="00FC01BC"/>
    <w:rsid w:val="00FC0A50"/>
    <w:rsid w:val="00FC6EBD"/>
    <w:rsid w:val="00FD111C"/>
    <w:rsid w:val="00FD2EB8"/>
    <w:rsid w:val="00FE2653"/>
    <w:rsid w:val="00FE5609"/>
    <w:rsid w:val="00FF0F53"/>
    <w:rsid w:val="00FF2693"/>
    <w:rsid w:val="00FF4C70"/>
  </w:rsids>
  <m:mathPr>
    <m:mathFont m:val="Cambria Math"/>
    <m:brkBin m:val="before"/>
    <m:brkBinSub m:val="--"/>
    <m:smallFrac m:val="0"/>
    <m:dispDef/>
    <m:lMargin m:val="0"/>
    <m:rMargin m:val="0"/>
    <m:defJc m:val="centerGroup"/>
    <m:wrapIndent m:val="1440"/>
    <m:intLim m:val="subSup"/>
    <m:naryLim m:val="undOvr"/>
  </m:mathPr>
  <w:themeFontLang w:val="en-NZ" w:eastAsia="ja-JP"/>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8193"/>
    <o:shapelayout v:ext="edit">
      <o:idmap v:ext="edit" data="1"/>
    </o:shapelayout>
  </w:shapeDefaults>
  <w:decimalSymbol w:val="."/>
  <w:listSeparator w:val=","/>
  <w14:docId w14:val="4042A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EastAsia" w:hAnsi="Arial" w:cstheme="minorBidi"/>
        <w:sz w:val="22"/>
        <w:szCs w:val="22"/>
        <w:lang w:val="en-NZ"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5385"/>
    <w:pPr>
      <w:spacing w:line="240" w:lineRule="auto"/>
    </w:pPr>
    <w:rPr>
      <w:rFonts w:eastAsia="Times New Roman" w:cs="Times New Roman"/>
      <w:szCs w:val="24"/>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unhideWhenUsed/>
    <w:rsid w:val="00775385"/>
    <w:pPr>
      <w:overflowPunct w:val="0"/>
      <w:autoSpaceDE w:val="0"/>
      <w:autoSpaceDN w:val="0"/>
      <w:adjustRightInd w:val="0"/>
      <w:spacing w:line="280" w:lineRule="atLeast"/>
    </w:pPr>
    <w:rPr>
      <w:color w:val="993300"/>
      <w:szCs w:val="20"/>
      <w:lang w:val="en-NZ"/>
    </w:rPr>
  </w:style>
  <w:style w:type="character" w:customStyle="1" w:styleId="BodyTextChar">
    <w:name w:val="Body Text Char"/>
    <w:basedOn w:val="DefaultParagraphFont"/>
    <w:link w:val="BodyText"/>
    <w:semiHidden/>
    <w:rsid w:val="00775385"/>
    <w:rPr>
      <w:rFonts w:eastAsia="Times New Roman" w:cs="Times New Roman"/>
      <w:color w:val="993300"/>
      <w:szCs w:val="20"/>
    </w:rPr>
  </w:style>
  <w:style w:type="paragraph" w:styleId="BodyText2">
    <w:name w:val="Body Text 2"/>
    <w:basedOn w:val="Normal"/>
    <w:link w:val="BodyText2Char"/>
    <w:semiHidden/>
    <w:unhideWhenUsed/>
    <w:rsid w:val="00775385"/>
    <w:pPr>
      <w:overflowPunct w:val="0"/>
      <w:autoSpaceDE w:val="0"/>
      <w:autoSpaceDN w:val="0"/>
      <w:adjustRightInd w:val="0"/>
      <w:spacing w:line="280" w:lineRule="atLeast"/>
    </w:pPr>
    <w:rPr>
      <w:sz w:val="24"/>
      <w:szCs w:val="20"/>
      <w:lang w:val="en-NZ"/>
    </w:rPr>
  </w:style>
  <w:style w:type="character" w:customStyle="1" w:styleId="BodyText2Char">
    <w:name w:val="Body Text 2 Char"/>
    <w:basedOn w:val="DefaultParagraphFont"/>
    <w:link w:val="BodyText2"/>
    <w:semiHidden/>
    <w:rsid w:val="00775385"/>
    <w:rPr>
      <w:rFonts w:eastAsia="Times New Roman" w:cs="Times New Roman"/>
      <w:sz w:val="24"/>
      <w:szCs w:val="20"/>
    </w:rPr>
  </w:style>
  <w:style w:type="table" w:styleId="TableGrid">
    <w:name w:val="Table Grid"/>
    <w:basedOn w:val="TableNormal"/>
    <w:rsid w:val="00775385"/>
    <w:pPr>
      <w:spacing w:line="240" w:lineRule="auto"/>
    </w:pPr>
    <w:rPr>
      <w:rFonts w:ascii="Times New Roman" w:eastAsia="Times New Roman" w:hAnsi="Times New Roman" w:cs="Times New Roman"/>
      <w:sz w:val="20"/>
      <w:szCs w:val="20"/>
      <w:lang w:eastAsia="en-NZ"/>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6D58A3"/>
    <w:rPr>
      <w:color w:val="0000FF" w:themeColor="hyperlink"/>
      <w:u w:val="single"/>
    </w:rPr>
  </w:style>
  <w:style w:type="paragraph" w:styleId="ListParagraph">
    <w:name w:val="List Paragraph"/>
    <w:basedOn w:val="Normal"/>
    <w:uiPriority w:val="34"/>
    <w:qFormat/>
    <w:rsid w:val="005B1449"/>
    <w:pPr>
      <w:ind w:left="720"/>
      <w:contextualSpacing/>
    </w:pPr>
  </w:style>
  <w:style w:type="paragraph" w:styleId="FootnoteText">
    <w:name w:val="footnote text"/>
    <w:basedOn w:val="Normal"/>
    <w:link w:val="FootnoteTextChar"/>
    <w:uiPriority w:val="99"/>
    <w:semiHidden/>
    <w:unhideWhenUsed/>
    <w:rsid w:val="005B1449"/>
    <w:rPr>
      <w:sz w:val="20"/>
      <w:szCs w:val="20"/>
    </w:rPr>
  </w:style>
  <w:style w:type="character" w:customStyle="1" w:styleId="FootnoteTextChar">
    <w:name w:val="Footnote Text Char"/>
    <w:basedOn w:val="DefaultParagraphFont"/>
    <w:link w:val="FootnoteText"/>
    <w:uiPriority w:val="99"/>
    <w:semiHidden/>
    <w:rsid w:val="005B1449"/>
    <w:rPr>
      <w:rFonts w:eastAsia="Times New Roman" w:cs="Times New Roman"/>
      <w:sz w:val="20"/>
      <w:szCs w:val="20"/>
      <w:lang w:val="en-AU"/>
    </w:rPr>
  </w:style>
  <w:style w:type="character" w:styleId="FootnoteReference">
    <w:name w:val="footnote reference"/>
    <w:basedOn w:val="DefaultParagraphFont"/>
    <w:uiPriority w:val="99"/>
    <w:semiHidden/>
    <w:unhideWhenUsed/>
    <w:rsid w:val="005B1449"/>
    <w:rPr>
      <w:vertAlign w:val="superscript"/>
    </w:rPr>
  </w:style>
  <w:style w:type="paragraph" w:styleId="BalloonText">
    <w:name w:val="Balloon Text"/>
    <w:basedOn w:val="Normal"/>
    <w:link w:val="BalloonTextChar"/>
    <w:uiPriority w:val="99"/>
    <w:semiHidden/>
    <w:unhideWhenUsed/>
    <w:rsid w:val="005B1449"/>
    <w:rPr>
      <w:rFonts w:ascii="Tahoma" w:hAnsi="Tahoma" w:cs="Tahoma"/>
      <w:sz w:val="16"/>
      <w:szCs w:val="16"/>
    </w:rPr>
  </w:style>
  <w:style w:type="character" w:customStyle="1" w:styleId="BalloonTextChar">
    <w:name w:val="Balloon Text Char"/>
    <w:basedOn w:val="DefaultParagraphFont"/>
    <w:link w:val="BalloonText"/>
    <w:uiPriority w:val="99"/>
    <w:semiHidden/>
    <w:rsid w:val="005B1449"/>
    <w:rPr>
      <w:rFonts w:ascii="Tahoma" w:eastAsia="Times New Roman" w:hAnsi="Tahoma" w:cs="Tahoma"/>
      <w:sz w:val="16"/>
      <w:szCs w:val="16"/>
      <w:lang w:val="en-AU"/>
    </w:rPr>
  </w:style>
  <w:style w:type="paragraph" w:styleId="Header">
    <w:name w:val="header"/>
    <w:basedOn w:val="Normal"/>
    <w:link w:val="HeaderChar"/>
    <w:uiPriority w:val="99"/>
    <w:unhideWhenUsed/>
    <w:rsid w:val="005B1D09"/>
    <w:pPr>
      <w:tabs>
        <w:tab w:val="center" w:pos="4513"/>
        <w:tab w:val="right" w:pos="9026"/>
      </w:tabs>
    </w:pPr>
  </w:style>
  <w:style w:type="character" w:customStyle="1" w:styleId="HeaderChar">
    <w:name w:val="Header Char"/>
    <w:basedOn w:val="DefaultParagraphFont"/>
    <w:link w:val="Header"/>
    <w:uiPriority w:val="99"/>
    <w:rsid w:val="005B1D09"/>
    <w:rPr>
      <w:rFonts w:eastAsia="Times New Roman" w:cs="Times New Roman"/>
      <w:szCs w:val="24"/>
      <w:lang w:val="en-AU"/>
    </w:rPr>
  </w:style>
  <w:style w:type="paragraph" w:styleId="Footer">
    <w:name w:val="footer"/>
    <w:basedOn w:val="Normal"/>
    <w:link w:val="FooterChar"/>
    <w:uiPriority w:val="99"/>
    <w:unhideWhenUsed/>
    <w:rsid w:val="005B1D09"/>
    <w:pPr>
      <w:tabs>
        <w:tab w:val="center" w:pos="4513"/>
        <w:tab w:val="right" w:pos="9026"/>
      </w:tabs>
    </w:pPr>
  </w:style>
  <w:style w:type="character" w:customStyle="1" w:styleId="FooterChar">
    <w:name w:val="Footer Char"/>
    <w:basedOn w:val="DefaultParagraphFont"/>
    <w:link w:val="Footer"/>
    <w:uiPriority w:val="99"/>
    <w:rsid w:val="005B1D09"/>
    <w:rPr>
      <w:rFonts w:eastAsia="Times New Roman" w:cs="Times New Roman"/>
      <w:szCs w:val="24"/>
      <w:lang w:val="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EastAsia" w:hAnsi="Arial" w:cstheme="minorBidi"/>
        <w:sz w:val="22"/>
        <w:szCs w:val="22"/>
        <w:lang w:val="en-NZ"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5385"/>
    <w:pPr>
      <w:spacing w:line="240" w:lineRule="auto"/>
    </w:pPr>
    <w:rPr>
      <w:rFonts w:eastAsia="Times New Roman" w:cs="Times New Roman"/>
      <w:szCs w:val="24"/>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unhideWhenUsed/>
    <w:rsid w:val="00775385"/>
    <w:pPr>
      <w:overflowPunct w:val="0"/>
      <w:autoSpaceDE w:val="0"/>
      <w:autoSpaceDN w:val="0"/>
      <w:adjustRightInd w:val="0"/>
      <w:spacing w:line="280" w:lineRule="atLeast"/>
    </w:pPr>
    <w:rPr>
      <w:color w:val="993300"/>
      <w:szCs w:val="20"/>
      <w:lang w:val="en-NZ"/>
    </w:rPr>
  </w:style>
  <w:style w:type="character" w:customStyle="1" w:styleId="BodyTextChar">
    <w:name w:val="Body Text Char"/>
    <w:basedOn w:val="DefaultParagraphFont"/>
    <w:link w:val="BodyText"/>
    <w:semiHidden/>
    <w:rsid w:val="00775385"/>
    <w:rPr>
      <w:rFonts w:eastAsia="Times New Roman" w:cs="Times New Roman"/>
      <w:color w:val="993300"/>
      <w:szCs w:val="20"/>
    </w:rPr>
  </w:style>
  <w:style w:type="paragraph" w:styleId="BodyText2">
    <w:name w:val="Body Text 2"/>
    <w:basedOn w:val="Normal"/>
    <w:link w:val="BodyText2Char"/>
    <w:semiHidden/>
    <w:unhideWhenUsed/>
    <w:rsid w:val="00775385"/>
    <w:pPr>
      <w:overflowPunct w:val="0"/>
      <w:autoSpaceDE w:val="0"/>
      <w:autoSpaceDN w:val="0"/>
      <w:adjustRightInd w:val="0"/>
      <w:spacing w:line="280" w:lineRule="atLeast"/>
    </w:pPr>
    <w:rPr>
      <w:sz w:val="24"/>
      <w:szCs w:val="20"/>
      <w:lang w:val="en-NZ"/>
    </w:rPr>
  </w:style>
  <w:style w:type="character" w:customStyle="1" w:styleId="BodyText2Char">
    <w:name w:val="Body Text 2 Char"/>
    <w:basedOn w:val="DefaultParagraphFont"/>
    <w:link w:val="BodyText2"/>
    <w:semiHidden/>
    <w:rsid w:val="00775385"/>
    <w:rPr>
      <w:rFonts w:eastAsia="Times New Roman" w:cs="Times New Roman"/>
      <w:sz w:val="24"/>
      <w:szCs w:val="20"/>
    </w:rPr>
  </w:style>
  <w:style w:type="table" w:styleId="TableGrid">
    <w:name w:val="Table Grid"/>
    <w:basedOn w:val="TableNormal"/>
    <w:rsid w:val="00775385"/>
    <w:pPr>
      <w:spacing w:line="240" w:lineRule="auto"/>
    </w:pPr>
    <w:rPr>
      <w:rFonts w:ascii="Times New Roman" w:eastAsia="Times New Roman" w:hAnsi="Times New Roman" w:cs="Times New Roman"/>
      <w:sz w:val="20"/>
      <w:szCs w:val="20"/>
      <w:lang w:eastAsia="en-NZ"/>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6D58A3"/>
    <w:rPr>
      <w:color w:val="0000FF" w:themeColor="hyperlink"/>
      <w:u w:val="single"/>
    </w:rPr>
  </w:style>
  <w:style w:type="paragraph" w:styleId="ListParagraph">
    <w:name w:val="List Paragraph"/>
    <w:basedOn w:val="Normal"/>
    <w:uiPriority w:val="34"/>
    <w:qFormat/>
    <w:rsid w:val="005B1449"/>
    <w:pPr>
      <w:ind w:left="720"/>
      <w:contextualSpacing/>
    </w:pPr>
  </w:style>
  <w:style w:type="paragraph" w:styleId="FootnoteText">
    <w:name w:val="footnote text"/>
    <w:basedOn w:val="Normal"/>
    <w:link w:val="FootnoteTextChar"/>
    <w:uiPriority w:val="99"/>
    <w:semiHidden/>
    <w:unhideWhenUsed/>
    <w:rsid w:val="005B1449"/>
    <w:rPr>
      <w:sz w:val="20"/>
      <w:szCs w:val="20"/>
    </w:rPr>
  </w:style>
  <w:style w:type="character" w:customStyle="1" w:styleId="FootnoteTextChar">
    <w:name w:val="Footnote Text Char"/>
    <w:basedOn w:val="DefaultParagraphFont"/>
    <w:link w:val="FootnoteText"/>
    <w:uiPriority w:val="99"/>
    <w:semiHidden/>
    <w:rsid w:val="005B1449"/>
    <w:rPr>
      <w:rFonts w:eastAsia="Times New Roman" w:cs="Times New Roman"/>
      <w:sz w:val="20"/>
      <w:szCs w:val="20"/>
      <w:lang w:val="en-AU"/>
    </w:rPr>
  </w:style>
  <w:style w:type="character" w:styleId="FootnoteReference">
    <w:name w:val="footnote reference"/>
    <w:basedOn w:val="DefaultParagraphFont"/>
    <w:uiPriority w:val="99"/>
    <w:semiHidden/>
    <w:unhideWhenUsed/>
    <w:rsid w:val="005B1449"/>
    <w:rPr>
      <w:vertAlign w:val="superscript"/>
    </w:rPr>
  </w:style>
  <w:style w:type="paragraph" w:styleId="BalloonText">
    <w:name w:val="Balloon Text"/>
    <w:basedOn w:val="Normal"/>
    <w:link w:val="BalloonTextChar"/>
    <w:uiPriority w:val="99"/>
    <w:semiHidden/>
    <w:unhideWhenUsed/>
    <w:rsid w:val="005B1449"/>
    <w:rPr>
      <w:rFonts w:ascii="Tahoma" w:hAnsi="Tahoma" w:cs="Tahoma"/>
      <w:sz w:val="16"/>
      <w:szCs w:val="16"/>
    </w:rPr>
  </w:style>
  <w:style w:type="character" w:customStyle="1" w:styleId="BalloonTextChar">
    <w:name w:val="Balloon Text Char"/>
    <w:basedOn w:val="DefaultParagraphFont"/>
    <w:link w:val="BalloonText"/>
    <w:uiPriority w:val="99"/>
    <w:semiHidden/>
    <w:rsid w:val="005B1449"/>
    <w:rPr>
      <w:rFonts w:ascii="Tahoma" w:eastAsia="Times New Roman" w:hAnsi="Tahoma" w:cs="Tahoma"/>
      <w:sz w:val="16"/>
      <w:szCs w:val="16"/>
      <w:lang w:val="en-AU"/>
    </w:rPr>
  </w:style>
  <w:style w:type="paragraph" w:styleId="Header">
    <w:name w:val="header"/>
    <w:basedOn w:val="Normal"/>
    <w:link w:val="HeaderChar"/>
    <w:uiPriority w:val="99"/>
    <w:unhideWhenUsed/>
    <w:rsid w:val="005B1D09"/>
    <w:pPr>
      <w:tabs>
        <w:tab w:val="center" w:pos="4513"/>
        <w:tab w:val="right" w:pos="9026"/>
      </w:tabs>
    </w:pPr>
  </w:style>
  <w:style w:type="character" w:customStyle="1" w:styleId="HeaderChar">
    <w:name w:val="Header Char"/>
    <w:basedOn w:val="DefaultParagraphFont"/>
    <w:link w:val="Header"/>
    <w:uiPriority w:val="99"/>
    <w:rsid w:val="005B1D09"/>
    <w:rPr>
      <w:rFonts w:eastAsia="Times New Roman" w:cs="Times New Roman"/>
      <w:szCs w:val="24"/>
      <w:lang w:val="en-AU"/>
    </w:rPr>
  </w:style>
  <w:style w:type="paragraph" w:styleId="Footer">
    <w:name w:val="footer"/>
    <w:basedOn w:val="Normal"/>
    <w:link w:val="FooterChar"/>
    <w:uiPriority w:val="99"/>
    <w:unhideWhenUsed/>
    <w:rsid w:val="005B1D09"/>
    <w:pPr>
      <w:tabs>
        <w:tab w:val="center" w:pos="4513"/>
        <w:tab w:val="right" w:pos="9026"/>
      </w:tabs>
    </w:pPr>
  </w:style>
  <w:style w:type="character" w:customStyle="1" w:styleId="FooterChar">
    <w:name w:val="Footer Char"/>
    <w:basedOn w:val="DefaultParagraphFont"/>
    <w:link w:val="Footer"/>
    <w:uiPriority w:val="99"/>
    <w:rsid w:val="005B1D09"/>
    <w:rPr>
      <w:rFonts w:eastAsia="Times New Roman" w:cs="Times New Roman"/>
      <w:szCs w:val="24"/>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055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
  <cached>True</cached>
  <openByDefault>False</openByDefault>
  <xsnScope/>
</customXsn>
</file>

<file path=customXml/item2.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3.xml><?xml version="1.0" encoding="utf-8"?>
<ct:contentTypeSchema xmlns:ct="http://schemas.microsoft.com/office/2006/metadata/contentType" xmlns:ma="http://schemas.microsoft.com/office/2006/metadata/properties/metaAttributes" ct:_="" ma:_="" ma:contentTypeName="Submissions" ma:contentTypeID="0x01010066EDC8E18BFE9C418F00295EA55D44EA0015EE9FD84A134F42A8E78176E2093D4400A833FE7E7401EC44AD764D8B2ED4316D" ma:contentTypeVersion="0" ma:contentTypeDescription="" ma:contentTypeScope="" ma:versionID="917f01163539354d6ed4e86ba3bb1580">
  <xsd:schema xmlns:xsd="http://www.w3.org/2001/XMLSchema" xmlns:xs="http://www.w3.org/2001/XMLSchema" xmlns:p="http://schemas.microsoft.com/office/2006/metadata/properties" targetNamespace="http://schemas.microsoft.com/office/2006/metadata/properties" ma:root="true" ma:fieldsID="3243a5b814b3e31d5e11590d7b9d410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48BD31-EF32-4151-82F3-BD677D3E3F6A}">
  <ds:schemaRefs>
    <ds:schemaRef ds:uri="http://schemas.microsoft.com/office/2006/metadata/customXsn"/>
  </ds:schemaRefs>
</ds:datastoreItem>
</file>

<file path=customXml/itemProps2.xml><?xml version="1.0" encoding="utf-8"?>
<ds:datastoreItem xmlns:ds="http://schemas.openxmlformats.org/officeDocument/2006/customXml" ds:itemID="{EB402960-2AC3-416A-9F79-EE39FA1C7617}">
  <ds:schemaRefs>
    <ds:schemaRef ds:uri="http://schemas.microsoft.com/sharepoint/events"/>
  </ds:schemaRefs>
</ds:datastoreItem>
</file>

<file path=customXml/itemProps3.xml><?xml version="1.0" encoding="utf-8"?>
<ds:datastoreItem xmlns:ds="http://schemas.openxmlformats.org/officeDocument/2006/customXml" ds:itemID="{3FAF5EB3-3453-4F97-822C-556A63FC7F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07481654-03DA-495C-8803-A175E53E94C8}">
  <ds:schemaRefs>
    <ds:schemaRef ds:uri="http://www.w3.org/XML/1998/namespace"/>
    <ds:schemaRef ds:uri="http://schemas.openxmlformats.org/package/2006/metadata/core-properties"/>
    <ds:schemaRef ds:uri="http://purl.org/dc/terms/"/>
    <ds:schemaRef ds:uri="http://schemas.microsoft.com/office/2006/documentManagement/types"/>
    <ds:schemaRef ds:uri="http://purl.org/dc/elements/1.1/"/>
    <ds:schemaRef ds:uri="http://schemas.microsoft.com/office/infopath/2007/PartnerControls"/>
    <ds:schemaRef ds:uri="http://purl.org/dc/dcmitype/"/>
    <ds:schemaRef ds:uri="http://schemas.microsoft.com/office/2006/metadata/properties"/>
  </ds:schemaRefs>
</ds:datastoreItem>
</file>

<file path=customXml/itemProps5.xml><?xml version="1.0" encoding="utf-8"?>
<ds:datastoreItem xmlns:ds="http://schemas.openxmlformats.org/officeDocument/2006/customXml" ds:itemID="{264C076B-B9B3-40AD-9D70-39ECBD585E1E}">
  <ds:schemaRefs>
    <ds:schemaRef ds:uri="http://schemas.microsoft.com/sharepoint/v3/contenttype/forms"/>
  </ds:schemaRefs>
</ds:datastoreItem>
</file>

<file path=customXml/itemProps6.xml><?xml version="1.0" encoding="utf-8"?>
<ds:datastoreItem xmlns:ds="http://schemas.openxmlformats.org/officeDocument/2006/customXml" ds:itemID="{78CCCE51-7822-4E68-A487-5A76A5B0D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769</Words>
  <Characters>4387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Submission 18 - New Zealand Psychologists Board - Mutual Recognition Schemes - Commissioned study</vt:lpstr>
    </vt:vector>
  </TitlesOfParts>
  <Company>New Zealand Psychologists Board</Company>
  <LinksUpToDate>false</LinksUpToDate>
  <CharactersWithSpaces>5146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18 - New Zealand Psychologists Board - Mutual Recognition Schemes - Commissioned study</dc:title>
  <dc:creator>New Zealand Psychologists Board</dc:creator>
  <cp:lastModifiedBy>Mark Pimperl</cp:lastModifiedBy>
  <cp:revision>3</cp:revision>
  <dcterms:created xsi:type="dcterms:W3CDTF">2015-02-27T04:07:00Z</dcterms:created>
  <dcterms:modified xsi:type="dcterms:W3CDTF">2015-03-01T22:51:00Z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0x01010066EDC8E18BFE9C418F00295EA55D44EA0015EE9FD84A134F42A8E78176E2093D4400A833FE7E7401EC44AD764D8B2ED4316D</vt:lpwstr>
  </property>
  <property fmtid="{D5CDD505-2E9C-101B-9397-08002B2CF9AE}" pid="3" name="RecordPoint_WorkflowType">
    <vt:lpwstr/>
  </property>
  <property fmtid="{D5CDD505-2E9C-101B-9397-08002B2CF9AE}" pid="4" name="RecordPoint_ActiveItemSiteId">
    <vt:lpwstr/>
  </property>
  <property fmtid="{D5CDD505-2E9C-101B-9397-08002B2CF9AE}" pid="5" name="RecordPoint_ActiveItemListId">
    <vt:lpwstr/>
  </property>
  <property fmtid="{D5CDD505-2E9C-101B-9397-08002B2CF9AE}" pid="6" name="RecordPoint_ActiveItemUniqueId">
    <vt:lpwstr/>
  </property>
  <property fmtid="{D5CDD505-2E9C-101B-9397-08002B2CF9AE}" pid="7" name="RecordPoint_ActiveItemWebId">
    <vt:lpwstr/>
  </property>
  <property fmtid="{D5CDD505-2E9C-101B-9397-08002B2CF9AE}" pid="8" name="RecordPoint_SubmissionDate">
    <vt:lpwstr/>
  </property>
  <property fmtid="{D5CDD505-2E9C-101B-9397-08002B2CF9AE}" pid="9" name="RecordPoint_RecordNumberSubmitted">
    <vt:lpwstr/>
  </property>
  <property fmtid="{D5CDD505-2E9C-101B-9397-08002B2CF9AE}" pid="10" name="RecordPoint_ActiveItemMoved">
    <vt:lpwstr/>
  </property>
  <property fmtid="{D5CDD505-2E9C-101B-9397-08002B2CF9AE}" pid="11" name="RecordPoint_RecordFormat">
    <vt:lpwstr/>
  </property>
  <property fmtid="{D5CDD505-2E9C-101B-9397-08002B2CF9AE}" pid="12" name="RecordPoint_SubmissionCompleted">
    <vt:lpwstr/>
  </property>
</Properties>
</file>