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7E348" w14:textId="77777777" w:rsidR="004832AA" w:rsidRDefault="00232132" w:rsidP="008D3301">
      <w:pPr>
        <w:pStyle w:val="Heading1"/>
      </w:pPr>
      <w:bookmarkStart w:id="0" w:name="_GoBack"/>
      <w:bookmarkEnd w:id="0"/>
      <w:r>
        <w:t>PURPOSE</w:t>
      </w:r>
    </w:p>
    <w:p w14:paraId="6586E80B" w14:textId="77777777" w:rsidR="00232132" w:rsidRPr="008D3301" w:rsidRDefault="00232132">
      <w:pPr>
        <w:rPr>
          <w:color w:val="808080" w:themeColor="background1" w:themeShade="80"/>
        </w:rPr>
      </w:pPr>
      <w:r w:rsidRPr="008D3301">
        <w:rPr>
          <w:color w:val="808080" w:themeColor="background1" w:themeShade="80"/>
        </w:rPr>
        <w:t xml:space="preserve">This submission to the Productivity Commission’s Workplace Relations </w:t>
      </w:r>
      <w:r w:rsidR="003F39E2">
        <w:rPr>
          <w:color w:val="808080" w:themeColor="background1" w:themeShade="80"/>
        </w:rPr>
        <w:t xml:space="preserve">Framework </w:t>
      </w:r>
      <w:r w:rsidRPr="008D3301">
        <w:rPr>
          <w:color w:val="808080" w:themeColor="background1" w:themeShade="80"/>
        </w:rPr>
        <w:t xml:space="preserve">Inquiry sets out observations and </w:t>
      </w:r>
      <w:r w:rsidR="00AE4AB1">
        <w:rPr>
          <w:color w:val="808080" w:themeColor="background1" w:themeShade="80"/>
        </w:rPr>
        <w:t>opportunities</w:t>
      </w:r>
      <w:r w:rsidRPr="008D3301">
        <w:rPr>
          <w:color w:val="808080" w:themeColor="background1" w:themeShade="80"/>
        </w:rPr>
        <w:t xml:space="preserve"> to enable the Workplace Relations system to pr</w:t>
      </w:r>
      <w:r w:rsidR="00E4307F">
        <w:rPr>
          <w:color w:val="808080" w:themeColor="background1" w:themeShade="80"/>
        </w:rPr>
        <w:t>omote improvements in Australia’s</w:t>
      </w:r>
      <w:r w:rsidRPr="008D3301">
        <w:rPr>
          <w:color w:val="808080" w:themeColor="background1" w:themeShade="80"/>
        </w:rPr>
        <w:t xml:space="preserve"> national productivity.</w:t>
      </w:r>
    </w:p>
    <w:p w14:paraId="0380D241" w14:textId="12FEFF84" w:rsidR="00232132" w:rsidRPr="008D3301" w:rsidRDefault="008D3301">
      <w:pPr>
        <w:rPr>
          <w:color w:val="808080" w:themeColor="background1" w:themeShade="80"/>
        </w:rPr>
      </w:pPr>
      <w:r w:rsidRPr="008D3301">
        <w:rPr>
          <w:color w:val="808080" w:themeColor="background1" w:themeShade="80"/>
        </w:rPr>
        <w:t xml:space="preserve">The submission </w:t>
      </w:r>
      <w:r w:rsidR="00B8604D">
        <w:rPr>
          <w:color w:val="808080" w:themeColor="background1" w:themeShade="80"/>
        </w:rPr>
        <w:t>focuses on a small</w:t>
      </w:r>
      <w:r w:rsidR="00232132" w:rsidRPr="008D3301">
        <w:rPr>
          <w:color w:val="808080" w:themeColor="background1" w:themeShade="80"/>
        </w:rPr>
        <w:t xml:space="preserve"> number of </w:t>
      </w:r>
      <w:r w:rsidR="00B8604D">
        <w:rPr>
          <w:color w:val="808080" w:themeColor="background1" w:themeShade="80"/>
        </w:rPr>
        <w:t xml:space="preserve">key </w:t>
      </w:r>
      <w:r w:rsidR="00232132" w:rsidRPr="008D3301">
        <w:rPr>
          <w:color w:val="808080" w:themeColor="background1" w:themeShade="80"/>
        </w:rPr>
        <w:t xml:space="preserve">strategic issues and </w:t>
      </w:r>
      <w:r w:rsidR="00E4307F">
        <w:rPr>
          <w:color w:val="808080" w:themeColor="background1" w:themeShade="80"/>
        </w:rPr>
        <w:t>opportunities for</w:t>
      </w:r>
      <w:r w:rsidR="00232132" w:rsidRPr="008D3301">
        <w:rPr>
          <w:color w:val="808080" w:themeColor="background1" w:themeShade="80"/>
        </w:rPr>
        <w:t xml:space="preserve"> improvements to the </w:t>
      </w:r>
      <w:r w:rsidR="00E4307F">
        <w:rPr>
          <w:i/>
          <w:color w:val="808080" w:themeColor="background1" w:themeShade="80"/>
        </w:rPr>
        <w:t>Fair Work Act (FWA)</w:t>
      </w:r>
      <w:r w:rsidR="00232132" w:rsidRPr="008D3301">
        <w:rPr>
          <w:i/>
          <w:color w:val="808080" w:themeColor="background1" w:themeShade="80"/>
        </w:rPr>
        <w:t>.</w:t>
      </w:r>
    </w:p>
    <w:p w14:paraId="000EBC71" w14:textId="77777777" w:rsidR="00232132" w:rsidRDefault="00232132" w:rsidP="008D3301">
      <w:pPr>
        <w:pStyle w:val="Heading1"/>
      </w:pPr>
      <w:r>
        <w:t>BACKGROUND</w:t>
      </w:r>
    </w:p>
    <w:p w14:paraId="505FF0B3" w14:textId="77777777" w:rsidR="00232132" w:rsidRPr="008D3301" w:rsidRDefault="00232132">
      <w:pPr>
        <w:rPr>
          <w:color w:val="808080" w:themeColor="background1" w:themeShade="80"/>
        </w:rPr>
      </w:pPr>
      <w:r w:rsidRPr="008D3301">
        <w:rPr>
          <w:color w:val="808080" w:themeColor="background1" w:themeShade="80"/>
        </w:rPr>
        <w:t xml:space="preserve">I have more than thirty years’ experience as a Chief Executive of State and Commonwealth </w:t>
      </w:r>
      <w:r w:rsidR="00773D94">
        <w:rPr>
          <w:color w:val="808080" w:themeColor="background1" w:themeShade="80"/>
        </w:rPr>
        <w:t xml:space="preserve">Government </w:t>
      </w:r>
      <w:r w:rsidRPr="008D3301">
        <w:rPr>
          <w:color w:val="808080" w:themeColor="background1" w:themeShade="80"/>
        </w:rPr>
        <w:t>owned corporations including:</w:t>
      </w:r>
    </w:p>
    <w:p w14:paraId="0BA1DEF8" w14:textId="77777777" w:rsidR="00232132" w:rsidRPr="008D3301" w:rsidRDefault="00232132" w:rsidP="00232132">
      <w:pPr>
        <w:pStyle w:val="ListParagraph"/>
        <w:numPr>
          <w:ilvl w:val="0"/>
          <w:numId w:val="1"/>
        </w:numPr>
        <w:rPr>
          <w:color w:val="808080" w:themeColor="background1" w:themeShade="80"/>
        </w:rPr>
      </w:pPr>
      <w:r w:rsidRPr="008D3301">
        <w:rPr>
          <w:color w:val="808080" w:themeColor="background1" w:themeShade="80"/>
        </w:rPr>
        <w:t>Grain Handling Authority of NSW (CEO 1986-1988)</w:t>
      </w:r>
    </w:p>
    <w:p w14:paraId="5BF38C56" w14:textId="77777777" w:rsidR="00232132" w:rsidRPr="008D3301" w:rsidRDefault="00232132" w:rsidP="00232132">
      <w:pPr>
        <w:pStyle w:val="ListParagraph"/>
        <w:numPr>
          <w:ilvl w:val="0"/>
          <w:numId w:val="1"/>
        </w:numPr>
        <w:rPr>
          <w:color w:val="808080" w:themeColor="background1" w:themeShade="80"/>
        </w:rPr>
      </w:pPr>
      <w:r w:rsidRPr="008D3301">
        <w:rPr>
          <w:color w:val="808080" w:themeColor="background1" w:themeShade="80"/>
        </w:rPr>
        <w:t>National Rail Corporation (CEO 1992-2002)</w:t>
      </w:r>
    </w:p>
    <w:p w14:paraId="295B9A95" w14:textId="77777777" w:rsidR="00232132" w:rsidRPr="008D3301" w:rsidRDefault="00232132" w:rsidP="00232132">
      <w:pPr>
        <w:pStyle w:val="ListParagraph"/>
        <w:numPr>
          <w:ilvl w:val="0"/>
          <w:numId w:val="1"/>
        </w:numPr>
        <w:rPr>
          <w:color w:val="808080" w:themeColor="background1" w:themeShade="80"/>
        </w:rPr>
      </w:pPr>
      <w:r w:rsidRPr="008D3301">
        <w:rPr>
          <w:color w:val="808080" w:themeColor="background1" w:themeShade="80"/>
        </w:rPr>
        <w:t>NSW RailCorp (CEO 2003-2008)</w:t>
      </w:r>
    </w:p>
    <w:p w14:paraId="3A4609B7" w14:textId="77777777" w:rsidR="00232132" w:rsidRPr="008D3301" w:rsidRDefault="00232132" w:rsidP="00232132">
      <w:pPr>
        <w:pStyle w:val="ListParagraph"/>
        <w:numPr>
          <w:ilvl w:val="0"/>
          <w:numId w:val="1"/>
        </w:numPr>
        <w:rPr>
          <w:color w:val="808080" w:themeColor="background1" w:themeShade="80"/>
        </w:rPr>
      </w:pPr>
      <w:r w:rsidRPr="008D3301">
        <w:rPr>
          <w:color w:val="808080" w:themeColor="background1" w:themeShade="80"/>
        </w:rPr>
        <w:t>Endeavour Energy (previously Integral Energy) (CEO 2008-2012)</w:t>
      </w:r>
    </w:p>
    <w:p w14:paraId="2BEF852D" w14:textId="77777777" w:rsidR="00232132" w:rsidRPr="008D3301" w:rsidRDefault="00232132" w:rsidP="00232132">
      <w:pPr>
        <w:pStyle w:val="ListParagraph"/>
        <w:numPr>
          <w:ilvl w:val="0"/>
          <w:numId w:val="1"/>
        </w:numPr>
        <w:rPr>
          <w:color w:val="808080" w:themeColor="background1" w:themeShade="80"/>
        </w:rPr>
      </w:pPr>
      <w:r w:rsidRPr="008D3301">
        <w:rPr>
          <w:color w:val="808080" w:themeColor="background1" w:themeShade="80"/>
        </w:rPr>
        <w:t>Ausgrid, Endeavour Energy, Essential Energy (CEO from 2012</w:t>
      </w:r>
      <w:r w:rsidR="00773D94">
        <w:rPr>
          <w:color w:val="808080" w:themeColor="background1" w:themeShade="80"/>
        </w:rPr>
        <w:t xml:space="preserve"> to present</w:t>
      </w:r>
      <w:r w:rsidRPr="008D3301">
        <w:rPr>
          <w:color w:val="808080" w:themeColor="background1" w:themeShade="80"/>
        </w:rPr>
        <w:t>)</w:t>
      </w:r>
    </w:p>
    <w:p w14:paraId="1ED4E511" w14:textId="77777777" w:rsidR="00232132" w:rsidRPr="008D3301" w:rsidRDefault="00232132" w:rsidP="00232132">
      <w:pPr>
        <w:rPr>
          <w:color w:val="808080" w:themeColor="background1" w:themeShade="80"/>
        </w:rPr>
      </w:pPr>
      <w:r w:rsidRPr="008D3301">
        <w:rPr>
          <w:color w:val="808080" w:themeColor="background1" w:themeShade="80"/>
        </w:rPr>
        <w:t xml:space="preserve">All of the above organisations operated within the public sector, were heavily unionised and were subject to programs to safely improve productivity, service quality and affordability for the </w:t>
      </w:r>
      <w:r w:rsidR="00B8604D">
        <w:rPr>
          <w:color w:val="808080" w:themeColor="background1" w:themeShade="80"/>
        </w:rPr>
        <w:t xml:space="preserve">benefit of the </w:t>
      </w:r>
      <w:r w:rsidRPr="008D3301">
        <w:rPr>
          <w:color w:val="808080" w:themeColor="background1" w:themeShade="80"/>
        </w:rPr>
        <w:t>community and consumers of the services of the organisation.</w:t>
      </w:r>
    </w:p>
    <w:p w14:paraId="68648F38" w14:textId="28F200AC" w:rsidR="00232132" w:rsidRPr="008D3301" w:rsidRDefault="00232132" w:rsidP="00232132">
      <w:pPr>
        <w:rPr>
          <w:color w:val="808080" w:themeColor="background1" w:themeShade="80"/>
        </w:rPr>
      </w:pPr>
      <w:r w:rsidRPr="008D3301">
        <w:rPr>
          <w:color w:val="808080" w:themeColor="background1" w:themeShade="80"/>
        </w:rPr>
        <w:t xml:space="preserve">In each of these organisations labour costs were the </w:t>
      </w:r>
      <w:r w:rsidR="0098273F">
        <w:rPr>
          <w:color w:val="808080" w:themeColor="background1" w:themeShade="80"/>
        </w:rPr>
        <w:t>largest</w:t>
      </w:r>
      <w:r w:rsidRPr="008D3301">
        <w:rPr>
          <w:color w:val="808080" w:themeColor="background1" w:themeShade="80"/>
        </w:rPr>
        <w:t xml:space="preserve"> component of operating expenditure and safely improving labour productivity w</w:t>
      </w:r>
      <w:r w:rsidR="003F39E2">
        <w:rPr>
          <w:color w:val="808080" w:themeColor="background1" w:themeShade="80"/>
        </w:rPr>
        <w:t>as an</w:t>
      </w:r>
      <w:r w:rsidRPr="008D3301">
        <w:rPr>
          <w:color w:val="808080" w:themeColor="background1" w:themeShade="80"/>
        </w:rPr>
        <w:t xml:space="preserve"> essential ingredient for any successful </w:t>
      </w:r>
      <w:r w:rsidR="00B8604D">
        <w:rPr>
          <w:color w:val="808080" w:themeColor="background1" w:themeShade="80"/>
        </w:rPr>
        <w:t xml:space="preserve">cost </w:t>
      </w:r>
      <w:r w:rsidRPr="008D3301">
        <w:rPr>
          <w:color w:val="808080" w:themeColor="background1" w:themeShade="80"/>
        </w:rPr>
        <w:t>reform agenda.</w:t>
      </w:r>
    </w:p>
    <w:p w14:paraId="74D75392" w14:textId="314B2C66" w:rsidR="00232132" w:rsidRPr="008D3301" w:rsidRDefault="00232132" w:rsidP="00232132">
      <w:pPr>
        <w:rPr>
          <w:color w:val="808080" w:themeColor="background1" w:themeShade="80"/>
        </w:rPr>
      </w:pPr>
      <w:r w:rsidRPr="008D3301">
        <w:rPr>
          <w:color w:val="808080" w:themeColor="background1" w:themeShade="80"/>
        </w:rPr>
        <w:t xml:space="preserve">Enterprise agreements </w:t>
      </w:r>
      <w:r w:rsidR="00AE4AB1">
        <w:rPr>
          <w:color w:val="808080" w:themeColor="background1" w:themeShade="80"/>
        </w:rPr>
        <w:t xml:space="preserve">certified under the </w:t>
      </w:r>
      <w:r w:rsidR="00E4307F">
        <w:rPr>
          <w:i/>
          <w:color w:val="808080" w:themeColor="background1" w:themeShade="80"/>
        </w:rPr>
        <w:t>FWA</w:t>
      </w:r>
      <w:r w:rsidR="00AE4AB1">
        <w:rPr>
          <w:i/>
          <w:color w:val="808080" w:themeColor="background1" w:themeShade="80"/>
        </w:rPr>
        <w:t xml:space="preserve"> </w:t>
      </w:r>
      <w:r w:rsidRPr="008D3301">
        <w:rPr>
          <w:color w:val="808080" w:themeColor="background1" w:themeShade="80"/>
        </w:rPr>
        <w:t>can represent an enabler or a barrier to enterprise reform</w:t>
      </w:r>
      <w:r w:rsidR="00E4307F">
        <w:rPr>
          <w:color w:val="808080" w:themeColor="background1" w:themeShade="80"/>
        </w:rPr>
        <w:t xml:space="preserve"> and productivity improvement</w:t>
      </w:r>
      <w:r w:rsidRPr="008D3301">
        <w:rPr>
          <w:color w:val="808080" w:themeColor="background1" w:themeShade="80"/>
        </w:rPr>
        <w:t xml:space="preserve">.  </w:t>
      </w:r>
      <w:r w:rsidR="00773D94">
        <w:rPr>
          <w:color w:val="808080" w:themeColor="background1" w:themeShade="80"/>
        </w:rPr>
        <w:t>Enterprise</w:t>
      </w:r>
      <w:r w:rsidRPr="008D3301">
        <w:rPr>
          <w:color w:val="808080" w:themeColor="background1" w:themeShade="80"/>
        </w:rPr>
        <w:t xml:space="preserve"> agreements determine the unit costs of labour (wages, overtime, leave, superannuation</w:t>
      </w:r>
      <w:r w:rsidR="000A79FB">
        <w:rPr>
          <w:color w:val="808080" w:themeColor="background1" w:themeShade="80"/>
        </w:rPr>
        <w:t>,</w:t>
      </w:r>
      <w:r w:rsidRPr="008D3301">
        <w:rPr>
          <w:color w:val="808080" w:themeColor="background1" w:themeShade="80"/>
        </w:rPr>
        <w:t xml:space="preserve"> etc) and </w:t>
      </w:r>
      <w:r w:rsidR="00B8604D">
        <w:rPr>
          <w:color w:val="808080" w:themeColor="background1" w:themeShade="80"/>
        </w:rPr>
        <w:t xml:space="preserve">often also mandate </w:t>
      </w:r>
      <w:r w:rsidRPr="008D3301">
        <w:rPr>
          <w:color w:val="808080" w:themeColor="background1" w:themeShade="80"/>
        </w:rPr>
        <w:t xml:space="preserve">the </w:t>
      </w:r>
      <w:r w:rsidR="00B8604D">
        <w:rPr>
          <w:color w:val="808080" w:themeColor="background1" w:themeShade="80"/>
        </w:rPr>
        <w:t>required</w:t>
      </w:r>
      <w:r w:rsidR="00B8604D" w:rsidRPr="008D3301">
        <w:rPr>
          <w:color w:val="808080" w:themeColor="background1" w:themeShade="80"/>
        </w:rPr>
        <w:t xml:space="preserve"> </w:t>
      </w:r>
      <w:r w:rsidRPr="008D3301">
        <w:rPr>
          <w:color w:val="808080" w:themeColor="background1" w:themeShade="80"/>
        </w:rPr>
        <w:t>numb</w:t>
      </w:r>
      <w:r w:rsidR="00773D94">
        <w:rPr>
          <w:color w:val="808080" w:themeColor="background1" w:themeShade="80"/>
        </w:rPr>
        <w:t xml:space="preserve">er of units of labour </w:t>
      </w:r>
      <w:r w:rsidRPr="008D3301">
        <w:rPr>
          <w:color w:val="808080" w:themeColor="background1" w:themeShade="80"/>
        </w:rPr>
        <w:t>(staffing levels, outsourcing restrictions</w:t>
      </w:r>
      <w:r w:rsidR="000A79FB">
        <w:rPr>
          <w:color w:val="808080" w:themeColor="background1" w:themeShade="80"/>
        </w:rPr>
        <w:t>,</w:t>
      </w:r>
      <w:r w:rsidRPr="008D3301">
        <w:rPr>
          <w:color w:val="808080" w:themeColor="background1" w:themeShade="80"/>
        </w:rPr>
        <w:t xml:space="preserve"> etc).  When enterprise agreements deliver </w:t>
      </w:r>
      <w:r w:rsidR="00B8604D">
        <w:rPr>
          <w:color w:val="808080" w:themeColor="background1" w:themeShade="80"/>
        </w:rPr>
        <w:t xml:space="preserve">cost </w:t>
      </w:r>
      <w:r w:rsidRPr="008D3301">
        <w:rPr>
          <w:color w:val="808080" w:themeColor="background1" w:themeShade="80"/>
        </w:rPr>
        <w:t xml:space="preserve">outcomes </w:t>
      </w:r>
      <w:r w:rsidR="00B8604D">
        <w:rPr>
          <w:color w:val="808080" w:themeColor="background1" w:themeShade="80"/>
        </w:rPr>
        <w:t xml:space="preserve">(unit or total labour costs) </w:t>
      </w:r>
      <w:r w:rsidRPr="008D3301">
        <w:rPr>
          <w:color w:val="808080" w:themeColor="background1" w:themeShade="80"/>
        </w:rPr>
        <w:t xml:space="preserve">that are uncompetitive, those very agreements put jobs and the sustainability of that organisation at risk.  Agreements that </w:t>
      </w:r>
      <w:r w:rsidR="00773D94">
        <w:rPr>
          <w:color w:val="808080" w:themeColor="background1" w:themeShade="80"/>
        </w:rPr>
        <w:t xml:space="preserve">are intended </w:t>
      </w:r>
      <w:r w:rsidR="00AE4AB1">
        <w:rPr>
          <w:color w:val="808080" w:themeColor="background1" w:themeShade="80"/>
        </w:rPr>
        <w:t xml:space="preserve">by unions </w:t>
      </w:r>
      <w:r w:rsidRPr="008D3301">
        <w:rPr>
          <w:color w:val="808080" w:themeColor="background1" w:themeShade="80"/>
        </w:rPr>
        <w:t xml:space="preserve">to deliver </w:t>
      </w:r>
      <w:r w:rsidR="002C32CA">
        <w:rPr>
          <w:color w:val="808080" w:themeColor="background1" w:themeShade="80"/>
        </w:rPr>
        <w:t>better</w:t>
      </w:r>
      <w:r w:rsidR="00B8604D">
        <w:rPr>
          <w:color w:val="808080" w:themeColor="background1" w:themeShade="80"/>
        </w:rPr>
        <w:t xml:space="preserve"> conditions and </w:t>
      </w:r>
      <w:r w:rsidRPr="008D3301">
        <w:rPr>
          <w:color w:val="808080" w:themeColor="background1" w:themeShade="80"/>
        </w:rPr>
        <w:t xml:space="preserve">job security </w:t>
      </w:r>
      <w:r w:rsidR="00B8604D">
        <w:rPr>
          <w:color w:val="808080" w:themeColor="background1" w:themeShade="80"/>
        </w:rPr>
        <w:t xml:space="preserve">thus frequently </w:t>
      </w:r>
      <w:r w:rsidRPr="008D3301">
        <w:rPr>
          <w:color w:val="808080" w:themeColor="background1" w:themeShade="80"/>
        </w:rPr>
        <w:t xml:space="preserve">deliver the opposite result.  The </w:t>
      </w:r>
      <w:r w:rsidR="00E4307F">
        <w:rPr>
          <w:i/>
          <w:color w:val="808080" w:themeColor="background1" w:themeShade="80"/>
        </w:rPr>
        <w:t>FWA</w:t>
      </w:r>
      <w:r w:rsidRPr="008D3301">
        <w:rPr>
          <w:color w:val="808080" w:themeColor="background1" w:themeShade="80"/>
        </w:rPr>
        <w:t xml:space="preserve"> itself </w:t>
      </w:r>
      <w:r w:rsidR="00773D94">
        <w:rPr>
          <w:color w:val="808080" w:themeColor="background1" w:themeShade="80"/>
        </w:rPr>
        <w:t>can be</w:t>
      </w:r>
      <w:r w:rsidRPr="008D3301">
        <w:rPr>
          <w:color w:val="808080" w:themeColor="background1" w:themeShade="80"/>
        </w:rPr>
        <w:t xml:space="preserve"> a barrier to productivity reform </w:t>
      </w:r>
      <w:r w:rsidR="00B8604D">
        <w:rPr>
          <w:color w:val="808080" w:themeColor="background1" w:themeShade="80"/>
        </w:rPr>
        <w:t>because</w:t>
      </w:r>
      <w:r w:rsidR="00B8604D" w:rsidRPr="008D3301">
        <w:rPr>
          <w:color w:val="808080" w:themeColor="background1" w:themeShade="80"/>
        </w:rPr>
        <w:t xml:space="preserve"> </w:t>
      </w:r>
      <w:r w:rsidRPr="008D3301">
        <w:rPr>
          <w:color w:val="808080" w:themeColor="background1" w:themeShade="80"/>
        </w:rPr>
        <w:t xml:space="preserve">enterprise agreement outcomes are </w:t>
      </w:r>
      <w:r w:rsidR="00B8604D">
        <w:rPr>
          <w:color w:val="808080" w:themeColor="background1" w:themeShade="80"/>
        </w:rPr>
        <w:t xml:space="preserve">frequently </w:t>
      </w:r>
      <w:r w:rsidRPr="008D3301">
        <w:rPr>
          <w:color w:val="808080" w:themeColor="background1" w:themeShade="80"/>
        </w:rPr>
        <w:t xml:space="preserve">the consequence of the relative power of the parties rather than </w:t>
      </w:r>
      <w:r w:rsidR="00B8604D">
        <w:rPr>
          <w:color w:val="808080" w:themeColor="background1" w:themeShade="80"/>
        </w:rPr>
        <w:t xml:space="preserve">being determined in the </w:t>
      </w:r>
      <w:r w:rsidRPr="008D3301">
        <w:rPr>
          <w:color w:val="808080" w:themeColor="background1" w:themeShade="80"/>
        </w:rPr>
        <w:t xml:space="preserve">interest of </w:t>
      </w:r>
      <w:r w:rsidR="00AE4AB1">
        <w:rPr>
          <w:color w:val="808080" w:themeColor="background1" w:themeShade="80"/>
        </w:rPr>
        <w:t>improving national and organisational productivity</w:t>
      </w:r>
      <w:r w:rsidR="00B8604D">
        <w:rPr>
          <w:color w:val="808080" w:themeColor="background1" w:themeShade="80"/>
        </w:rPr>
        <w:t xml:space="preserve"> and overall well-being of the community</w:t>
      </w:r>
      <w:r w:rsidRPr="008D3301">
        <w:rPr>
          <w:color w:val="808080" w:themeColor="background1" w:themeShade="80"/>
        </w:rPr>
        <w:t>.</w:t>
      </w:r>
    </w:p>
    <w:p w14:paraId="03AE0E64" w14:textId="77777777" w:rsidR="003332A1" w:rsidRPr="008D3301" w:rsidRDefault="003332A1" w:rsidP="00232132">
      <w:pPr>
        <w:rPr>
          <w:color w:val="808080" w:themeColor="background1" w:themeShade="80"/>
        </w:rPr>
      </w:pPr>
      <w:r w:rsidRPr="008D3301">
        <w:rPr>
          <w:color w:val="808080" w:themeColor="background1" w:themeShade="80"/>
        </w:rPr>
        <w:t>I have set out below three strategic issues for the Productivity Commission’s consideration in their review of Australia’s Workplace Relations Framework.</w:t>
      </w:r>
    </w:p>
    <w:p w14:paraId="078DD3BF" w14:textId="2BF325A4" w:rsidR="00AF2347" w:rsidRPr="007471A8" w:rsidRDefault="0098273F" w:rsidP="0098273F">
      <w:pPr>
        <w:pStyle w:val="ListParagraph"/>
        <w:numPr>
          <w:ilvl w:val="0"/>
          <w:numId w:val="2"/>
        </w:numPr>
      </w:pPr>
      <w:r>
        <w:rPr>
          <w:rStyle w:val="IntenseEmphasis"/>
        </w:rPr>
        <w:t>Enterprise Agreement</w:t>
      </w:r>
      <w:r w:rsidR="003332A1" w:rsidRPr="008D3301">
        <w:rPr>
          <w:rStyle w:val="IntenseEmphasis"/>
        </w:rPr>
        <w:t xml:space="preserve"> Certification to be subject to a productivity test</w:t>
      </w:r>
      <w:r w:rsidR="003332A1">
        <w:br/>
      </w:r>
      <w:r w:rsidR="003332A1" w:rsidRPr="008D3301">
        <w:rPr>
          <w:color w:val="808080" w:themeColor="background1" w:themeShade="80"/>
        </w:rPr>
        <w:t xml:space="preserve">An important driver of Australia’s future prosperity will be the nation’s ability to </w:t>
      </w:r>
      <w:r w:rsidR="008D2AF6">
        <w:rPr>
          <w:color w:val="808080" w:themeColor="background1" w:themeShade="80"/>
        </w:rPr>
        <w:t xml:space="preserve">continually </w:t>
      </w:r>
      <w:r w:rsidR="003332A1" w:rsidRPr="008D3301">
        <w:rPr>
          <w:color w:val="808080" w:themeColor="background1" w:themeShade="80"/>
        </w:rPr>
        <w:t>improve national productivity.  Is t</w:t>
      </w:r>
      <w:r w:rsidR="003F39E2">
        <w:rPr>
          <w:color w:val="808080" w:themeColor="background1" w:themeShade="80"/>
        </w:rPr>
        <w:t>he current Workplace Relations F</w:t>
      </w:r>
      <w:r w:rsidR="003332A1" w:rsidRPr="008D3301">
        <w:rPr>
          <w:color w:val="808080" w:themeColor="background1" w:themeShade="80"/>
        </w:rPr>
        <w:t>ramework sufficiently focussed on national productivity improvement?</w:t>
      </w:r>
      <w:r w:rsidR="003332A1" w:rsidRPr="008D3301">
        <w:rPr>
          <w:color w:val="808080" w:themeColor="background1" w:themeShade="80"/>
        </w:rPr>
        <w:br/>
      </w:r>
      <w:r w:rsidR="003332A1" w:rsidRPr="008D3301">
        <w:rPr>
          <w:color w:val="808080" w:themeColor="background1" w:themeShade="80"/>
        </w:rPr>
        <w:lastRenderedPageBreak/>
        <w:br/>
      </w:r>
      <w:r w:rsidR="00773D94">
        <w:rPr>
          <w:color w:val="808080" w:themeColor="background1" w:themeShade="80"/>
        </w:rPr>
        <w:t>Enterprise agreements</w:t>
      </w:r>
      <w:r w:rsidR="003332A1" w:rsidRPr="008D3301">
        <w:rPr>
          <w:color w:val="808080" w:themeColor="background1" w:themeShade="80"/>
        </w:rPr>
        <w:t xml:space="preserve"> do not align with the national interest when they result in a decline in that </w:t>
      </w:r>
      <w:r w:rsidR="00773D94">
        <w:rPr>
          <w:color w:val="808080" w:themeColor="background1" w:themeShade="80"/>
        </w:rPr>
        <w:t xml:space="preserve">organisation’s or </w:t>
      </w:r>
      <w:r w:rsidR="003332A1" w:rsidRPr="008D3301">
        <w:rPr>
          <w:color w:val="808080" w:themeColor="background1" w:themeShade="80"/>
        </w:rPr>
        <w:t>industry’s productivity</w:t>
      </w:r>
      <w:r w:rsidR="008D2AF6">
        <w:rPr>
          <w:color w:val="808080" w:themeColor="background1" w:themeShade="80"/>
        </w:rPr>
        <w:t xml:space="preserve">, or prevent reform that would enable the organisation or industry to </w:t>
      </w:r>
      <w:r>
        <w:rPr>
          <w:color w:val="808080" w:themeColor="background1" w:themeShade="80"/>
        </w:rPr>
        <w:t xml:space="preserve">improve efficiency or </w:t>
      </w:r>
      <w:r w:rsidR="008D2AF6">
        <w:rPr>
          <w:color w:val="808080" w:themeColor="background1" w:themeShade="80"/>
        </w:rPr>
        <w:t xml:space="preserve">compete successfully </w:t>
      </w:r>
      <w:r>
        <w:rPr>
          <w:color w:val="808080" w:themeColor="background1" w:themeShade="80"/>
        </w:rPr>
        <w:t>in the market</w:t>
      </w:r>
      <w:r w:rsidR="003332A1" w:rsidRPr="008D3301">
        <w:rPr>
          <w:color w:val="808080" w:themeColor="background1" w:themeShade="80"/>
        </w:rPr>
        <w:t>.</w:t>
      </w:r>
      <w:r>
        <w:rPr>
          <w:color w:val="808080" w:themeColor="background1" w:themeShade="80"/>
        </w:rPr>
        <w:br/>
      </w:r>
      <w:r>
        <w:rPr>
          <w:color w:val="808080" w:themeColor="background1" w:themeShade="80"/>
        </w:rPr>
        <w:br/>
        <w:t>In the pub</w:t>
      </w:r>
      <w:r w:rsidR="00D84CE5">
        <w:rPr>
          <w:color w:val="808080" w:themeColor="background1" w:themeShade="80"/>
        </w:rPr>
        <w:t>licly owned electricity network</w:t>
      </w:r>
      <w:r>
        <w:rPr>
          <w:color w:val="808080" w:themeColor="background1" w:themeShade="80"/>
        </w:rPr>
        <w:t xml:space="preserve"> businesses in NSW</w:t>
      </w:r>
      <w:r w:rsidR="000A79FB">
        <w:rPr>
          <w:color w:val="808080" w:themeColor="background1" w:themeShade="80"/>
        </w:rPr>
        <w:t>,</w:t>
      </w:r>
      <w:r>
        <w:rPr>
          <w:color w:val="808080" w:themeColor="background1" w:themeShade="80"/>
        </w:rPr>
        <w:t xml:space="preserve"> wage increases and other entitlements have resulted in cost increases above the rate of inflation without consideration of the impact on labour productivity and the community interest.</w:t>
      </w:r>
      <w:r w:rsidR="003332A1" w:rsidRPr="0098273F">
        <w:rPr>
          <w:color w:val="808080" w:themeColor="background1" w:themeShade="80"/>
        </w:rPr>
        <w:br/>
      </w:r>
      <w:r w:rsidR="003332A1">
        <w:br/>
      </w:r>
      <w:r w:rsidR="00AE4AB1" w:rsidRPr="0098273F">
        <w:rPr>
          <w:color w:val="808080" w:themeColor="background1" w:themeShade="80"/>
        </w:rPr>
        <w:t>As the nation’s monetary policy regulator the</w:t>
      </w:r>
      <w:r w:rsidR="003332A1" w:rsidRPr="0098273F">
        <w:rPr>
          <w:color w:val="808080" w:themeColor="background1" w:themeShade="80"/>
        </w:rPr>
        <w:t xml:space="preserve"> Reserve Bank of Australia assesses monetary policy options </w:t>
      </w:r>
      <w:r w:rsidR="00AE4AB1" w:rsidRPr="0098273F">
        <w:rPr>
          <w:color w:val="808080" w:themeColor="background1" w:themeShade="80"/>
        </w:rPr>
        <w:t>against an objective of maintaining</w:t>
      </w:r>
      <w:r w:rsidR="003332A1" w:rsidRPr="0098273F">
        <w:rPr>
          <w:color w:val="808080" w:themeColor="background1" w:themeShade="80"/>
        </w:rPr>
        <w:t xml:space="preserve"> inflation within a band of 2-3%</w:t>
      </w:r>
      <w:r w:rsidR="00AE4AB1" w:rsidRPr="0098273F">
        <w:rPr>
          <w:color w:val="808080" w:themeColor="background1" w:themeShade="80"/>
        </w:rPr>
        <w:t xml:space="preserve"> p.a.  As the nation’s labour regulator the Fair Work Commission (FWC) has no policy objective to </w:t>
      </w:r>
      <w:r w:rsidR="00AF2347" w:rsidRPr="0098273F">
        <w:rPr>
          <w:color w:val="808080" w:themeColor="background1" w:themeShade="80"/>
        </w:rPr>
        <w:t xml:space="preserve">have regard to, let alone deliver, </w:t>
      </w:r>
      <w:r w:rsidR="00AE4AB1" w:rsidRPr="0098273F">
        <w:rPr>
          <w:color w:val="808080" w:themeColor="background1" w:themeShade="80"/>
        </w:rPr>
        <w:t>improvements in national labour productivity</w:t>
      </w:r>
      <w:r w:rsidR="003332A1" w:rsidRPr="0098273F">
        <w:rPr>
          <w:color w:val="808080" w:themeColor="background1" w:themeShade="80"/>
        </w:rPr>
        <w:t>.</w:t>
      </w:r>
      <w:r w:rsidR="003332A1" w:rsidRPr="0098273F">
        <w:rPr>
          <w:color w:val="808080" w:themeColor="background1" w:themeShade="80"/>
        </w:rPr>
        <w:br/>
      </w:r>
      <w:r w:rsidR="003332A1" w:rsidRPr="0098273F">
        <w:rPr>
          <w:color w:val="808080" w:themeColor="background1" w:themeShade="80"/>
        </w:rPr>
        <w:br/>
        <w:t xml:space="preserve">There is an opportunity for the </w:t>
      </w:r>
      <w:r w:rsidR="00AF2347" w:rsidRPr="000A79FB">
        <w:rPr>
          <w:i/>
          <w:color w:val="808080" w:themeColor="background1" w:themeShade="80"/>
        </w:rPr>
        <w:t>Fair Work Act</w:t>
      </w:r>
      <w:r w:rsidR="00AF2347" w:rsidRPr="0098273F">
        <w:rPr>
          <w:color w:val="808080" w:themeColor="background1" w:themeShade="80"/>
        </w:rPr>
        <w:t xml:space="preserve"> to require:</w:t>
      </w:r>
    </w:p>
    <w:p w14:paraId="7B0EA8B3" w14:textId="290AEEB5" w:rsidR="00AF2347" w:rsidRPr="007471A8" w:rsidRDefault="001778D7" w:rsidP="007471A8">
      <w:pPr>
        <w:pStyle w:val="ListParagraph"/>
        <w:numPr>
          <w:ilvl w:val="0"/>
          <w:numId w:val="6"/>
        </w:numPr>
      </w:pPr>
      <w:r>
        <w:rPr>
          <w:color w:val="808080" w:themeColor="background1" w:themeShade="80"/>
        </w:rPr>
        <w:t xml:space="preserve">Fair Work </w:t>
      </w:r>
      <w:r w:rsidR="00F16CB5">
        <w:rPr>
          <w:color w:val="808080" w:themeColor="background1" w:themeShade="80"/>
        </w:rPr>
        <w:t>Members</w:t>
      </w:r>
      <w:r w:rsidR="00AF2347">
        <w:rPr>
          <w:color w:val="808080" w:themeColor="background1" w:themeShade="80"/>
        </w:rPr>
        <w:t xml:space="preserve"> to consider the productivity implications of </w:t>
      </w:r>
      <w:r w:rsidR="0098273F">
        <w:rPr>
          <w:color w:val="808080" w:themeColor="background1" w:themeShade="80"/>
        </w:rPr>
        <w:t>enterprise agreements proposed for certification against an objective productivity test</w:t>
      </w:r>
      <w:r w:rsidR="00AF2347">
        <w:rPr>
          <w:color w:val="808080" w:themeColor="background1" w:themeShade="80"/>
        </w:rPr>
        <w:t>;</w:t>
      </w:r>
    </w:p>
    <w:p w14:paraId="476AB9AA" w14:textId="05257864" w:rsidR="003332A1" w:rsidRDefault="00AF2347" w:rsidP="007471A8">
      <w:pPr>
        <w:pStyle w:val="ListParagraph"/>
        <w:numPr>
          <w:ilvl w:val="0"/>
          <w:numId w:val="6"/>
        </w:numPr>
      </w:pPr>
      <w:r>
        <w:rPr>
          <w:color w:val="808080" w:themeColor="background1" w:themeShade="80"/>
        </w:rPr>
        <w:t xml:space="preserve">The </w:t>
      </w:r>
      <w:r w:rsidR="00106D91">
        <w:rPr>
          <w:color w:val="808080" w:themeColor="background1" w:themeShade="80"/>
        </w:rPr>
        <w:t>FWC</w:t>
      </w:r>
      <w:r>
        <w:rPr>
          <w:color w:val="808080" w:themeColor="background1" w:themeShade="80"/>
        </w:rPr>
        <w:t xml:space="preserve"> to review and report annually on the</w:t>
      </w:r>
      <w:r w:rsidR="00106D91">
        <w:rPr>
          <w:color w:val="808080" w:themeColor="background1" w:themeShade="80"/>
        </w:rPr>
        <w:t>ir</w:t>
      </w:r>
      <w:r>
        <w:rPr>
          <w:color w:val="808080" w:themeColor="background1" w:themeShade="80"/>
        </w:rPr>
        <w:t xml:space="preserve"> performance in delivering productivity outcomes</w:t>
      </w:r>
      <w:r w:rsidR="001778D7">
        <w:rPr>
          <w:color w:val="808080" w:themeColor="background1" w:themeShade="80"/>
        </w:rPr>
        <w:t>, and to highlight individual decisions that did not support appropriate productivity improvement</w:t>
      </w:r>
      <w:r w:rsidR="00AE4AB1">
        <w:rPr>
          <w:color w:val="808080" w:themeColor="background1" w:themeShade="80"/>
        </w:rPr>
        <w:t xml:space="preserve">.  </w:t>
      </w:r>
      <w:r w:rsidR="001778D7">
        <w:rPr>
          <w:color w:val="808080" w:themeColor="background1" w:themeShade="80"/>
        </w:rPr>
        <w:t>The Fair Work Commission should be</w:t>
      </w:r>
      <w:r w:rsidR="003332A1" w:rsidRPr="00564A0B">
        <w:rPr>
          <w:color w:val="808080" w:themeColor="background1" w:themeShade="80"/>
        </w:rPr>
        <w:t xml:space="preserve"> assessed against an objective standard</w:t>
      </w:r>
      <w:r w:rsidR="00773D94">
        <w:rPr>
          <w:color w:val="808080" w:themeColor="background1" w:themeShade="80"/>
        </w:rPr>
        <w:t xml:space="preserve"> similar to that adopted by the Reserve Bank</w:t>
      </w:r>
      <w:r w:rsidR="003332A1" w:rsidRPr="00564A0B">
        <w:rPr>
          <w:color w:val="808080" w:themeColor="background1" w:themeShade="80"/>
        </w:rPr>
        <w:t>.</w:t>
      </w:r>
      <w:r w:rsidR="00E2270F">
        <w:rPr>
          <w:color w:val="808080" w:themeColor="background1" w:themeShade="80"/>
        </w:rPr>
        <w:t xml:space="preserve"> </w:t>
      </w:r>
      <w:r w:rsidR="00AE4AB1">
        <w:rPr>
          <w:color w:val="808080" w:themeColor="background1" w:themeShade="80"/>
        </w:rPr>
        <w:t xml:space="preserve"> A productivity test is not new;</w:t>
      </w:r>
      <w:r w:rsidR="00E2270F">
        <w:rPr>
          <w:color w:val="808080" w:themeColor="background1" w:themeShade="80"/>
        </w:rPr>
        <w:t xml:space="preserve"> it </w:t>
      </w:r>
      <w:r w:rsidR="000A79FB">
        <w:rPr>
          <w:color w:val="808080" w:themeColor="background1" w:themeShade="80"/>
        </w:rPr>
        <w:t>was part of the Accord Mark IV A</w:t>
      </w:r>
      <w:r w:rsidR="00E2270F">
        <w:rPr>
          <w:color w:val="808080" w:themeColor="background1" w:themeShade="80"/>
        </w:rPr>
        <w:t>greement in 1988.</w:t>
      </w:r>
      <w:r w:rsidR="003332A1" w:rsidRPr="00564A0B">
        <w:rPr>
          <w:color w:val="808080" w:themeColor="background1" w:themeShade="80"/>
        </w:rPr>
        <w:br/>
      </w:r>
    </w:p>
    <w:p w14:paraId="64619675" w14:textId="4EB87EAB" w:rsidR="00564A0B" w:rsidRDefault="003332A1" w:rsidP="00AF2347">
      <w:pPr>
        <w:pStyle w:val="ListParagraph"/>
        <w:numPr>
          <w:ilvl w:val="0"/>
          <w:numId w:val="2"/>
        </w:numPr>
        <w:rPr>
          <w:color w:val="808080" w:themeColor="background1" w:themeShade="80"/>
        </w:rPr>
      </w:pPr>
      <w:r w:rsidRPr="008D3301">
        <w:rPr>
          <w:rStyle w:val="IntenseEmphasis"/>
        </w:rPr>
        <w:t>Workplace Safety and the Fair Work Act</w:t>
      </w:r>
      <w:r>
        <w:br/>
      </w:r>
      <w:r w:rsidRPr="00564A0B">
        <w:rPr>
          <w:color w:val="808080" w:themeColor="background1" w:themeShade="80"/>
        </w:rPr>
        <w:t xml:space="preserve">State and Commonwealth Governments have introduced nationally harmonised Work Health and Safety legislation.  That legislation appropriately imposes a primary duty of care on the </w:t>
      </w:r>
      <w:r w:rsidR="00773D94">
        <w:rPr>
          <w:color w:val="808080" w:themeColor="background1" w:themeShade="80"/>
        </w:rPr>
        <w:t xml:space="preserve">directors and </w:t>
      </w:r>
      <w:r w:rsidRPr="00564A0B">
        <w:rPr>
          <w:color w:val="808080" w:themeColor="background1" w:themeShade="80"/>
        </w:rPr>
        <w:t xml:space="preserve">officers of organisations to do all that is reasonably practical to eliminate or minimise </w:t>
      </w:r>
      <w:r w:rsidR="00564A0B">
        <w:rPr>
          <w:color w:val="808080" w:themeColor="background1" w:themeShade="80"/>
        </w:rPr>
        <w:t>risk for employees and not expose others to a risk to their health and safety.</w:t>
      </w:r>
      <w:r w:rsidR="00564A0B">
        <w:rPr>
          <w:color w:val="808080" w:themeColor="background1" w:themeShade="80"/>
        </w:rPr>
        <w:br/>
      </w:r>
      <w:r w:rsidR="00564A0B">
        <w:rPr>
          <w:color w:val="808080" w:themeColor="background1" w:themeShade="80"/>
        </w:rPr>
        <w:br/>
        <w:t xml:space="preserve">The FWC, generally through disputes procedures in enterprise agreements, becomes involved in conciliation and arbitration of workplace safety issues.  The standards imposed on the </w:t>
      </w:r>
      <w:r w:rsidR="00B2085C">
        <w:rPr>
          <w:color w:val="808080" w:themeColor="background1" w:themeShade="80"/>
        </w:rPr>
        <w:t>FWC</w:t>
      </w:r>
      <w:r w:rsidR="00564A0B">
        <w:rPr>
          <w:color w:val="808080" w:themeColor="background1" w:themeShade="80"/>
        </w:rPr>
        <w:t>’s deliberation are not the standards imposed on the employer under Work Health &amp; Safety legislation.  The FWC has developed a range of precedents to guide their considerations and arbitrated decisions</w:t>
      </w:r>
      <w:r w:rsidR="00AE4AB1">
        <w:rPr>
          <w:color w:val="808080" w:themeColor="background1" w:themeShade="80"/>
        </w:rPr>
        <w:t xml:space="preserve"> in safety related issues</w:t>
      </w:r>
      <w:r w:rsidR="00F16CB5">
        <w:rPr>
          <w:color w:val="808080" w:themeColor="background1" w:themeShade="80"/>
        </w:rPr>
        <w:t>.  A judgement on</w:t>
      </w:r>
      <w:r w:rsidR="00564A0B">
        <w:rPr>
          <w:color w:val="808080" w:themeColor="background1" w:themeShade="80"/>
        </w:rPr>
        <w:t xml:space="preserve"> whether a management proposal is “harsh, unreasonable or unjust” </w:t>
      </w:r>
      <w:r w:rsidR="00E2270F">
        <w:rPr>
          <w:color w:val="808080" w:themeColor="background1" w:themeShade="80"/>
        </w:rPr>
        <w:t xml:space="preserve">in its impact on employees </w:t>
      </w:r>
      <w:r w:rsidR="00564A0B">
        <w:rPr>
          <w:color w:val="808080" w:themeColor="background1" w:themeShade="80"/>
        </w:rPr>
        <w:t>has been used in many assessments of safety issues</w:t>
      </w:r>
      <w:r w:rsidR="00E2270F">
        <w:rPr>
          <w:color w:val="808080" w:themeColor="background1" w:themeShade="80"/>
        </w:rPr>
        <w:t xml:space="preserve"> by the FWC</w:t>
      </w:r>
      <w:r w:rsidR="00564A0B">
        <w:rPr>
          <w:color w:val="808080" w:themeColor="background1" w:themeShade="80"/>
        </w:rPr>
        <w:t>.</w:t>
      </w:r>
      <w:r w:rsidR="00AE4AB1">
        <w:rPr>
          <w:color w:val="808080" w:themeColor="background1" w:themeShade="80"/>
        </w:rPr>
        <w:t xml:space="preserve">  The subjective judgement of individual F</w:t>
      </w:r>
      <w:r w:rsidR="00CD4B67">
        <w:rPr>
          <w:color w:val="808080" w:themeColor="background1" w:themeShade="80"/>
        </w:rPr>
        <w:t xml:space="preserve">air </w:t>
      </w:r>
      <w:r w:rsidR="00AE4AB1">
        <w:rPr>
          <w:color w:val="808080" w:themeColor="background1" w:themeShade="80"/>
        </w:rPr>
        <w:t>W</w:t>
      </w:r>
      <w:r w:rsidR="00CD4B67">
        <w:rPr>
          <w:color w:val="808080" w:themeColor="background1" w:themeShade="80"/>
        </w:rPr>
        <w:t xml:space="preserve">ork </w:t>
      </w:r>
      <w:r w:rsidR="0098273F">
        <w:rPr>
          <w:color w:val="808080" w:themeColor="background1" w:themeShade="80"/>
        </w:rPr>
        <w:t>Members</w:t>
      </w:r>
      <w:r w:rsidR="00AE4AB1">
        <w:rPr>
          <w:color w:val="808080" w:themeColor="background1" w:themeShade="80"/>
        </w:rPr>
        <w:t xml:space="preserve"> </w:t>
      </w:r>
      <w:r w:rsidR="00E4307F">
        <w:rPr>
          <w:color w:val="808080" w:themeColor="background1" w:themeShade="80"/>
        </w:rPr>
        <w:t>has resulted</w:t>
      </w:r>
      <w:r w:rsidR="00AE4AB1">
        <w:rPr>
          <w:color w:val="808080" w:themeColor="background1" w:themeShade="80"/>
        </w:rPr>
        <w:t xml:space="preserve"> in inconsistent judgements </w:t>
      </w:r>
      <w:r w:rsidR="00E4307F">
        <w:rPr>
          <w:color w:val="808080" w:themeColor="background1" w:themeShade="80"/>
        </w:rPr>
        <w:t xml:space="preserve">on the same matter </w:t>
      </w:r>
      <w:r w:rsidR="00AE4AB1">
        <w:rPr>
          <w:color w:val="808080" w:themeColor="background1" w:themeShade="80"/>
        </w:rPr>
        <w:t>in different industries.</w:t>
      </w:r>
      <w:r w:rsidR="001778D7">
        <w:rPr>
          <w:color w:val="808080" w:themeColor="background1" w:themeShade="80"/>
        </w:rPr>
        <w:t xml:space="preserve">  </w:t>
      </w:r>
      <w:r w:rsidR="0098273F">
        <w:rPr>
          <w:color w:val="808080" w:themeColor="background1" w:themeShade="80"/>
        </w:rPr>
        <w:t>Thus different legal tests can be applied to the same factual circumstances</w:t>
      </w:r>
      <w:r w:rsidR="001778D7">
        <w:rPr>
          <w:color w:val="808080" w:themeColor="background1" w:themeShade="80"/>
        </w:rPr>
        <w:t xml:space="preserve">.  Drug testing is one such area, where urine testing has been rejected as “harsh, unreasonable or unjust” by one </w:t>
      </w:r>
      <w:r w:rsidR="00106D91">
        <w:rPr>
          <w:color w:val="808080" w:themeColor="background1" w:themeShade="80"/>
        </w:rPr>
        <w:t>Member</w:t>
      </w:r>
      <w:r w:rsidR="001778D7">
        <w:rPr>
          <w:color w:val="808080" w:themeColor="background1" w:themeShade="80"/>
        </w:rPr>
        <w:t xml:space="preserve"> in one high risk industry (electricity distribution), and accepted </w:t>
      </w:r>
      <w:r w:rsidR="00F16CB5">
        <w:rPr>
          <w:color w:val="808080" w:themeColor="background1" w:themeShade="80"/>
        </w:rPr>
        <w:t xml:space="preserve">by another Member </w:t>
      </w:r>
      <w:r w:rsidR="00D84CE5">
        <w:rPr>
          <w:color w:val="808080" w:themeColor="background1" w:themeShade="80"/>
        </w:rPr>
        <w:t xml:space="preserve">in </w:t>
      </w:r>
      <w:r w:rsidR="00F16CB5">
        <w:rPr>
          <w:color w:val="808080" w:themeColor="background1" w:themeShade="80"/>
        </w:rPr>
        <w:t>a different</w:t>
      </w:r>
      <w:r w:rsidR="00D84CE5">
        <w:rPr>
          <w:color w:val="808080" w:themeColor="background1" w:themeShade="80"/>
        </w:rPr>
        <w:t xml:space="preserve"> industry</w:t>
      </w:r>
      <w:r w:rsidR="0098273F">
        <w:rPr>
          <w:color w:val="808080" w:themeColor="background1" w:themeShade="80"/>
        </w:rPr>
        <w:t xml:space="preserve"> </w:t>
      </w:r>
      <w:r w:rsidR="00AE3331">
        <w:rPr>
          <w:color w:val="808080" w:themeColor="background1" w:themeShade="80"/>
        </w:rPr>
        <w:t>(</w:t>
      </w:r>
      <w:r w:rsidR="0098273F">
        <w:rPr>
          <w:color w:val="808080" w:themeColor="background1" w:themeShade="80"/>
        </w:rPr>
        <w:t>the mining industry</w:t>
      </w:r>
      <w:r w:rsidR="00AE3331">
        <w:rPr>
          <w:color w:val="808080" w:themeColor="background1" w:themeShade="80"/>
        </w:rPr>
        <w:t>)</w:t>
      </w:r>
      <w:r w:rsidR="001778D7">
        <w:rPr>
          <w:color w:val="808080" w:themeColor="background1" w:themeShade="80"/>
        </w:rPr>
        <w:t>.</w:t>
      </w:r>
      <w:r w:rsidR="00564A0B">
        <w:rPr>
          <w:color w:val="808080" w:themeColor="background1" w:themeShade="80"/>
        </w:rPr>
        <w:br/>
      </w:r>
      <w:r w:rsidR="00564A0B">
        <w:rPr>
          <w:color w:val="808080" w:themeColor="background1" w:themeShade="80"/>
        </w:rPr>
        <w:br/>
        <w:t xml:space="preserve">An employer may be forced into a position of implementing a FWC decision on a safety </w:t>
      </w:r>
      <w:r w:rsidR="00564A0B">
        <w:rPr>
          <w:color w:val="808080" w:themeColor="background1" w:themeShade="80"/>
        </w:rPr>
        <w:lastRenderedPageBreak/>
        <w:t xml:space="preserve">related matter that does not represent the most </w:t>
      </w:r>
      <w:r w:rsidR="00773D94">
        <w:rPr>
          <w:color w:val="808080" w:themeColor="background1" w:themeShade="80"/>
        </w:rPr>
        <w:t>“reasonably practical</w:t>
      </w:r>
      <w:r w:rsidR="00564A0B">
        <w:rPr>
          <w:color w:val="808080" w:themeColor="background1" w:themeShade="80"/>
        </w:rPr>
        <w:t xml:space="preserve">” risk mitigation </w:t>
      </w:r>
      <w:r w:rsidR="00E2270F">
        <w:rPr>
          <w:color w:val="808080" w:themeColor="background1" w:themeShade="80"/>
        </w:rPr>
        <w:t>of a workplace safety risk</w:t>
      </w:r>
      <w:r w:rsidR="00825635">
        <w:rPr>
          <w:color w:val="808080" w:themeColor="background1" w:themeShade="80"/>
        </w:rPr>
        <w:t>.</w:t>
      </w:r>
      <w:r w:rsidR="00825635">
        <w:rPr>
          <w:color w:val="808080" w:themeColor="background1" w:themeShade="80"/>
        </w:rPr>
        <w:br/>
      </w:r>
      <w:r w:rsidR="00825635">
        <w:rPr>
          <w:color w:val="808080" w:themeColor="background1" w:themeShade="80"/>
        </w:rPr>
        <w:br/>
        <w:t xml:space="preserve">The Productivity Commission should consider </w:t>
      </w:r>
      <w:r w:rsidR="00E2270F">
        <w:rPr>
          <w:color w:val="808080" w:themeColor="background1" w:themeShade="80"/>
        </w:rPr>
        <w:t>harmonising</w:t>
      </w:r>
      <w:r w:rsidR="00825635">
        <w:rPr>
          <w:color w:val="808080" w:themeColor="background1" w:themeShade="80"/>
        </w:rPr>
        <w:t xml:space="preserve"> the </w:t>
      </w:r>
      <w:r w:rsidR="00E4307F">
        <w:rPr>
          <w:i/>
          <w:color w:val="808080" w:themeColor="background1" w:themeShade="80"/>
        </w:rPr>
        <w:t>FWA</w:t>
      </w:r>
      <w:r w:rsidR="00825635">
        <w:rPr>
          <w:color w:val="808080" w:themeColor="background1" w:themeShade="80"/>
        </w:rPr>
        <w:t xml:space="preserve"> </w:t>
      </w:r>
      <w:r w:rsidR="00E2270F">
        <w:rPr>
          <w:color w:val="808080" w:themeColor="background1" w:themeShade="80"/>
        </w:rPr>
        <w:t>with the</w:t>
      </w:r>
      <w:r w:rsidR="00825635">
        <w:rPr>
          <w:color w:val="808080" w:themeColor="background1" w:themeShade="80"/>
        </w:rPr>
        <w:t xml:space="preserve"> obligations and standards of the </w:t>
      </w:r>
      <w:r w:rsidR="00825635">
        <w:rPr>
          <w:i/>
          <w:color w:val="808080" w:themeColor="background1" w:themeShade="80"/>
        </w:rPr>
        <w:t>Work, Health &amp; Safety Act.</w:t>
      </w:r>
      <w:r w:rsidR="001778D7">
        <w:rPr>
          <w:i/>
          <w:color w:val="808080" w:themeColor="background1" w:themeShade="80"/>
        </w:rPr>
        <w:t xml:space="preserve">  </w:t>
      </w:r>
      <w:r w:rsidR="0098273F">
        <w:rPr>
          <w:i/>
          <w:color w:val="808080" w:themeColor="background1" w:themeShade="80"/>
        </w:rPr>
        <w:br/>
      </w:r>
    </w:p>
    <w:p w14:paraId="0ED5EF55" w14:textId="55BBF572" w:rsidR="00773D94" w:rsidRDefault="00825635" w:rsidP="00AF2347">
      <w:pPr>
        <w:pStyle w:val="ListParagraph"/>
        <w:numPr>
          <w:ilvl w:val="0"/>
          <w:numId w:val="2"/>
        </w:numPr>
        <w:rPr>
          <w:color w:val="808080" w:themeColor="background1" w:themeShade="80"/>
        </w:rPr>
      </w:pPr>
      <w:r>
        <w:rPr>
          <w:rStyle w:val="IntenseEmphasis"/>
          <w:i w:val="0"/>
        </w:rPr>
        <w:t>Separate Appeals Jurisdiction</w:t>
      </w:r>
      <w:r w:rsidR="0098273F">
        <w:rPr>
          <w:rStyle w:val="IntenseEmphasis"/>
          <w:i w:val="0"/>
        </w:rPr>
        <w:t xml:space="preserve"> [Issues Paper 5]</w:t>
      </w:r>
      <w:r>
        <w:rPr>
          <w:rStyle w:val="IntenseEmphasis"/>
          <w:i w:val="0"/>
        </w:rPr>
        <w:br/>
      </w:r>
      <w:r>
        <w:rPr>
          <w:color w:val="808080" w:themeColor="background1" w:themeShade="80"/>
        </w:rPr>
        <w:t xml:space="preserve">The </w:t>
      </w:r>
      <w:r w:rsidR="00E4307F">
        <w:rPr>
          <w:i/>
          <w:color w:val="808080" w:themeColor="background1" w:themeShade="80"/>
        </w:rPr>
        <w:t>FWA</w:t>
      </w:r>
      <w:r>
        <w:rPr>
          <w:color w:val="808080" w:themeColor="background1" w:themeShade="80"/>
        </w:rPr>
        <w:t xml:space="preserve"> provides opportunity for parties to appeal decisions of the FWC</w:t>
      </w:r>
      <w:r w:rsidR="00B2085C">
        <w:rPr>
          <w:color w:val="808080" w:themeColor="background1" w:themeShade="80"/>
        </w:rPr>
        <w:t>.  The Appeal P</w:t>
      </w:r>
      <w:r w:rsidR="00567259">
        <w:rPr>
          <w:color w:val="808080" w:themeColor="background1" w:themeShade="80"/>
        </w:rPr>
        <w:t>anels are constructed of M</w:t>
      </w:r>
      <w:r>
        <w:rPr>
          <w:color w:val="808080" w:themeColor="background1" w:themeShade="80"/>
        </w:rPr>
        <w:t xml:space="preserve">embers of </w:t>
      </w:r>
      <w:r w:rsidR="00AE4AB1">
        <w:rPr>
          <w:color w:val="808080" w:themeColor="background1" w:themeShade="80"/>
        </w:rPr>
        <w:t>the FWC and exclude</w:t>
      </w:r>
      <w:r>
        <w:rPr>
          <w:color w:val="808080" w:themeColor="background1" w:themeShade="80"/>
        </w:rPr>
        <w:t xml:space="preserve"> the </w:t>
      </w:r>
      <w:r w:rsidR="0098273F">
        <w:rPr>
          <w:color w:val="808080" w:themeColor="background1" w:themeShade="80"/>
        </w:rPr>
        <w:t>Member</w:t>
      </w:r>
      <w:r>
        <w:rPr>
          <w:color w:val="808080" w:themeColor="background1" w:themeShade="80"/>
        </w:rPr>
        <w:t xml:space="preserve"> who made the decision that is being ap</w:t>
      </w:r>
      <w:r w:rsidR="00567259">
        <w:rPr>
          <w:color w:val="808080" w:themeColor="background1" w:themeShade="80"/>
        </w:rPr>
        <w:t>pealed.  The nomination of the M</w:t>
      </w:r>
      <w:r>
        <w:rPr>
          <w:color w:val="808080" w:themeColor="background1" w:themeShade="80"/>
        </w:rPr>
        <w:t>embers of an appeals bench is a d</w:t>
      </w:r>
      <w:r w:rsidR="00E2270F">
        <w:rPr>
          <w:color w:val="808080" w:themeColor="background1" w:themeShade="80"/>
        </w:rPr>
        <w:t>ecision of the President of the Commission.</w:t>
      </w:r>
      <w:r>
        <w:rPr>
          <w:color w:val="808080" w:themeColor="background1" w:themeShade="80"/>
        </w:rPr>
        <w:br/>
      </w:r>
      <w:r>
        <w:rPr>
          <w:color w:val="808080" w:themeColor="background1" w:themeShade="80"/>
        </w:rPr>
        <w:br/>
        <w:t xml:space="preserve">While the Commission </w:t>
      </w:r>
      <w:r w:rsidR="00E2270F">
        <w:rPr>
          <w:color w:val="808080" w:themeColor="background1" w:themeShade="80"/>
        </w:rPr>
        <w:t>may</w:t>
      </w:r>
      <w:r>
        <w:rPr>
          <w:color w:val="808080" w:themeColor="background1" w:themeShade="80"/>
        </w:rPr>
        <w:t xml:space="preserve"> endeavour to construct independent appeals benches, the reality is that those hearing an appeal against a fellow </w:t>
      </w:r>
      <w:r w:rsidR="00567259">
        <w:rPr>
          <w:color w:val="808080" w:themeColor="background1" w:themeShade="80"/>
        </w:rPr>
        <w:t>M</w:t>
      </w:r>
      <w:r w:rsidR="0098273F">
        <w:rPr>
          <w:color w:val="808080" w:themeColor="background1" w:themeShade="80"/>
        </w:rPr>
        <w:t>ember</w:t>
      </w:r>
      <w:r>
        <w:rPr>
          <w:color w:val="808080" w:themeColor="background1" w:themeShade="80"/>
        </w:rPr>
        <w:t xml:space="preserve"> today could have that same </w:t>
      </w:r>
      <w:r w:rsidR="00567259">
        <w:rPr>
          <w:color w:val="808080" w:themeColor="background1" w:themeShade="80"/>
        </w:rPr>
        <w:t>M</w:t>
      </w:r>
      <w:r w:rsidR="0098273F">
        <w:rPr>
          <w:color w:val="808080" w:themeColor="background1" w:themeShade="80"/>
        </w:rPr>
        <w:t>ember</w:t>
      </w:r>
      <w:r>
        <w:rPr>
          <w:color w:val="808080" w:themeColor="background1" w:themeShade="80"/>
        </w:rPr>
        <w:t xml:space="preserve"> hearing an appeal on one of their judgements </w:t>
      </w:r>
      <w:r w:rsidR="00D84CE5">
        <w:rPr>
          <w:color w:val="808080" w:themeColor="background1" w:themeShade="80"/>
        </w:rPr>
        <w:t>in the future</w:t>
      </w:r>
      <w:r>
        <w:rPr>
          <w:color w:val="808080" w:themeColor="background1" w:themeShade="80"/>
        </w:rPr>
        <w:t>.</w:t>
      </w:r>
      <w:r w:rsidR="0098273F">
        <w:rPr>
          <w:color w:val="808080" w:themeColor="background1" w:themeShade="80"/>
        </w:rPr>
        <w:t xml:space="preserve">  In mainstream court structures the appeals courts are not comprised of sitting first instance members.</w:t>
      </w:r>
      <w:r>
        <w:rPr>
          <w:color w:val="808080" w:themeColor="background1" w:themeShade="80"/>
        </w:rPr>
        <w:br/>
      </w:r>
      <w:r>
        <w:rPr>
          <w:color w:val="808080" w:themeColor="background1" w:themeShade="80"/>
        </w:rPr>
        <w:br/>
        <w:t>It is important for all parties that rely on the judgements and independence of the FWC that the appeal</w:t>
      </w:r>
      <w:r w:rsidR="00CC544F">
        <w:rPr>
          <w:color w:val="808080" w:themeColor="background1" w:themeShade="80"/>
        </w:rPr>
        <w:t>s</w:t>
      </w:r>
      <w:r>
        <w:rPr>
          <w:color w:val="808080" w:themeColor="background1" w:themeShade="80"/>
        </w:rPr>
        <w:t xml:space="preserve"> process itself is perceived to be and is in fact independent.  The establishment of a separate Appeals Division and appointment of separate judges to deal with appeals against FWC decisions would achieve that objective.</w:t>
      </w:r>
      <w:r w:rsidR="004F2FE0">
        <w:rPr>
          <w:color w:val="808080" w:themeColor="background1" w:themeShade="80"/>
        </w:rPr>
        <w:t xml:space="preserve">  The establishment of an appeals tribunal within the Federal Court would provide a competent, </w:t>
      </w:r>
      <w:r w:rsidR="0098273F">
        <w:rPr>
          <w:color w:val="808080" w:themeColor="background1" w:themeShade="80"/>
        </w:rPr>
        <w:t xml:space="preserve">respected and </w:t>
      </w:r>
      <w:r w:rsidR="004F2FE0">
        <w:rPr>
          <w:color w:val="808080" w:themeColor="background1" w:themeShade="80"/>
        </w:rPr>
        <w:t>independent appeals process.</w:t>
      </w:r>
      <w:r w:rsidR="00773D94">
        <w:rPr>
          <w:color w:val="808080" w:themeColor="background1" w:themeShade="80"/>
        </w:rPr>
        <w:br/>
      </w:r>
    </w:p>
    <w:p w14:paraId="404B47C7" w14:textId="77777777" w:rsidR="00E2270F" w:rsidRDefault="00773D94" w:rsidP="00AF2347">
      <w:pPr>
        <w:pStyle w:val="ListParagraph"/>
        <w:numPr>
          <w:ilvl w:val="0"/>
          <w:numId w:val="2"/>
        </w:numPr>
        <w:rPr>
          <w:color w:val="808080" w:themeColor="background1" w:themeShade="80"/>
        </w:rPr>
      </w:pPr>
      <w:r>
        <w:rPr>
          <w:rStyle w:val="IntenseEmphasis"/>
          <w:i w:val="0"/>
        </w:rPr>
        <w:t>Other Matters</w:t>
      </w:r>
      <w:r w:rsidR="00825635">
        <w:rPr>
          <w:color w:val="808080" w:themeColor="background1" w:themeShade="80"/>
        </w:rPr>
        <w:br/>
      </w:r>
      <w:r w:rsidR="00AE4AB1" w:rsidRPr="00E2270F">
        <w:rPr>
          <w:color w:val="808080" w:themeColor="background1" w:themeShade="80"/>
        </w:rPr>
        <w:t xml:space="preserve">I have also set out below a number of observations on the operation of the current </w:t>
      </w:r>
      <w:r w:rsidR="00E4307F">
        <w:rPr>
          <w:i/>
          <w:color w:val="808080" w:themeColor="background1" w:themeShade="80"/>
        </w:rPr>
        <w:t>FWA</w:t>
      </w:r>
      <w:r w:rsidR="00AE4AB1" w:rsidRPr="00E2270F">
        <w:rPr>
          <w:color w:val="808080" w:themeColor="background1" w:themeShade="80"/>
        </w:rPr>
        <w:t xml:space="preserve"> from a non-legal practitioner’s perspective that may warrant consideration by the Productivity Commission.</w:t>
      </w:r>
      <w:r w:rsidR="00AE4AB1">
        <w:rPr>
          <w:color w:val="808080" w:themeColor="background1" w:themeShade="80"/>
        </w:rPr>
        <w:br/>
      </w:r>
    </w:p>
    <w:p w14:paraId="230D641A" w14:textId="77777777" w:rsidR="00E2270F" w:rsidRPr="00E4307F" w:rsidRDefault="00E2270F" w:rsidP="00E2270F">
      <w:pPr>
        <w:pStyle w:val="ListParagraph"/>
        <w:numPr>
          <w:ilvl w:val="1"/>
          <w:numId w:val="2"/>
        </w:numPr>
        <w:ind w:left="1418"/>
        <w:rPr>
          <w:color w:val="808080" w:themeColor="background1" w:themeShade="80"/>
        </w:rPr>
      </w:pPr>
      <w:r w:rsidRPr="00E4307F">
        <w:rPr>
          <w:rStyle w:val="IntenseEmphasis"/>
          <w:u w:val="single"/>
        </w:rPr>
        <w:t>Legislation governing employee and employer protected industrial action is not symmetrical</w:t>
      </w:r>
      <w:r w:rsidRPr="00E2270F">
        <w:rPr>
          <w:rStyle w:val="IntenseEmphasis"/>
        </w:rPr>
        <w:br/>
      </w:r>
      <w:r w:rsidR="003B23F5" w:rsidRPr="00E4307F">
        <w:rPr>
          <w:color w:val="808080" w:themeColor="background1" w:themeShade="80"/>
        </w:rPr>
        <w:t xml:space="preserve">Under the current </w:t>
      </w:r>
      <w:r w:rsidR="00E4307F">
        <w:rPr>
          <w:i/>
          <w:color w:val="808080" w:themeColor="background1" w:themeShade="80"/>
        </w:rPr>
        <w:t>FWA</w:t>
      </w:r>
      <w:r w:rsidR="003B23F5" w:rsidRPr="00E4307F">
        <w:rPr>
          <w:color w:val="808080" w:themeColor="background1" w:themeShade="80"/>
        </w:rPr>
        <w:t xml:space="preserve"> </w:t>
      </w:r>
      <w:r w:rsidR="00E4307F">
        <w:rPr>
          <w:color w:val="808080" w:themeColor="background1" w:themeShade="80"/>
        </w:rPr>
        <w:t>a powerful union’s</w:t>
      </w:r>
      <w:r w:rsidR="003B23F5" w:rsidRPr="00E4307F">
        <w:rPr>
          <w:color w:val="808080" w:themeColor="background1" w:themeShade="80"/>
        </w:rPr>
        <w:t xml:space="preserve"> preferred strategy is to allow the nominal term of the current enterprise agreement to expire (it continues until replaced or terminated) and then seek to take </w:t>
      </w:r>
      <w:r w:rsidR="00AE4AB1" w:rsidRPr="00E4307F">
        <w:rPr>
          <w:color w:val="808080" w:themeColor="background1" w:themeShade="80"/>
        </w:rPr>
        <w:t xml:space="preserve">legally </w:t>
      </w:r>
      <w:r w:rsidR="003B23F5" w:rsidRPr="00E4307F">
        <w:rPr>
          <w:color w:val="808080" w:themeColor="background1" w:themeShade="80"/>
        </w:rPr>
        <w:t>protected industrial action aimed at damaging the employer until they have to concede to union demands.</w:t>
      </w:r>
      <w:r w:rsidR="007F0929" w:rsidRPr="00E4307F">
        <w:rPr>
          <w:color w:val="808080" w:themeColor="background1" w:themeShade="80"/>
        </w:rPr>
        <w:t xml:space="preserve">  </w:t>
      </w:r>
    </w:p>
    <w:p w14:paraId="53C605DF" w14:textId="049BF83F" w:rsidR="007F0929" w:rsidRDefault="007F0929" w:rsidP="00E2270F">
      <w:pPr>
        <w:ind w:left="1418"/>
        <w:rPr>
          <w:color w:val="808080" w:themeColor="background1" w:themeShade="80"/>
        </w:rPr>
      </w:pPr>
      <w:r>
        <w:rPr>
          <w:color w:val="808080" w:themeColor="background1" w:themeShade="80"/>
        </w:rPr>
        <w:t xml:space="preserve">The provisions of the </w:t>
      </w:r>
      <w:r w:rsidR="00E4307F">
        <w:rPr>
          <w:i/>
          <w:color w:val="808080" w:themeColor="background1" w:themeShade="80"/>
        </w:rPr>
        <w:t>FWA</w:t>
      </w:r>
      <w:r>
        <w:rPr>
          <w:color w:val="808080" w:themeColor="background1" w:themeShade="80"/>
        </w:rPr>
        <w:t xml:space="preserve"> that control the employee protected i</w:t>
      </w:r>
      <w:r w:rsidR="00645C9B">
        <w:rPr>
          <w:color w:val="808080" w:themeColor="background1" w:themeShade="80"/>
        </w:rPr>
        <w:t>ndustrial action and an employer</w:t>
      </w:r>
      <w:r>
        <w:rPr>
          <w:color w:val="808080" w:themeColor="background1" w:themeShade="80"/>
        </w:rPr>
        <w:t xml:space="preserve"> response </w:t>
      </w:r>
      <w:r w:rsidR="00645C9B">
        <w:rPr>
          <w:color w:val="808080" w:themeColor="background1" w:themeShade="80"/>
        </w:rPr>
        <w:t xml:space="preserve">action </w:t>
      </w:r>
      <w:r>
        <w:rPr>
          <w:color w:val="808080" w:themeColor="background1" w:themeShade="80"/>
        </w:rPr>
        <w:t>are asymmetrical.  In practice the union can gain legal approval</w:t>
      </w:r>
      <w:r w:rsidR="00AE4AB1">
        <w:rPr>
          <w:color w:val="808080" w:themeColor="background1" w:themeShade="80"/>
        </w:rPr>
        <w:t xml:space="preserve"> (Section 437 </w:t>
      </w:r>
      <w:r w:rsidR="00AE4AB1">
        <w:rPr>
          <w:i/>
          <w:color w:val="808080" w:themeColor="background1" w:themeShade="80"/>
        </w:rPr>
        <w:t>FWA)</w:t>
      </w:r>
      <w:r>
        <w:rPr>
          <w:color w:val="808080" w:themeColor="background1" w:themeShade="80"/>
        </w:rPr>
        <w:t xml:space="preserve">, using a protected action ballot, to set up a “menu” of protected industrial actions against an employer.  While the </w:t>
      </w:r>
      <w:r w:rsidR="00E4307F">
        <w:rPr>
          <w:i/>
          <w:color w:val="808080" w:themeColor="background1" w:themeShade="80"/>
        </w:rPr>
        <w:t>FWA</w:t>
      </w:r>
      <w:r>
        <w:rPr>
          <w:color w:val="808080" w:themeColor="background1" w:themeShade="80"/>
        </w:rPr>
        <w:t xml:space="preserve"> provides for the employer to take response action, in a practical sense such action is limited to a “lockout” of employees which can be both disproportionate and unnecessarily damaging to employees, </w:t>
      </w:r>
      <w:r w:rsidR="00ED1317">
        <w:rPr>
          <w:color w:val="808080" w:themeColor="background1" w:themeShade="80"/>
        </w:rPr>
        <w:t xml:space="preserve">employee relations, </w:t>
      </w:r>
      <w:r>
        <w:rPr>
          <w:color w:val="808080" w:themeColor="background1" w:themeShade="80"/>
        </w:rPr>
        <w:t xml:space="preserve">customers and the business.  The QANTAS lockout is an obvious example of this limitation under the current </w:t>
      </w:r>
      <w:r w:rsidR="00E4307F">
        <w:rPr>
          <w:i/>
          <w:color w:val="808080" w:themeColor="background1" w:themeShade="80"/>
        </w:rPr>
        <w:t>FWA</w:t>
      </w:r>
      <w:r>
        <w:rPr>
          <w:color w:val="808080" w:themeColor="background1" w:themeShade="80"/>
        </w:rPr>
        <w:t>.</w:t>
      </w:r>
      <w:r w:rsidR="00645C9B">
        <w:rPr>
          <w:color w:val="808080" w:themeColor="background1" w:themeShade="80"/>
        </w:rPr>
        <w:t xml:space="preserve">  In some industries such as health care and essential services an employer “lockout” is </w:t>
      </w:r>
      <w:r w:rsidR="00645C9B">
        <w:rPr>
          <w:color w:val="808080" w:themeColor="background1" w:themeShade="80"/>
        </w:rPr>
        <w:lastRenderedPageBreak/>
        <w:t>never an option.</w:t>
      </w:r>
      <w:r w:rsidR="00AE4AB1">
        <w:rPr>
          <w:color w:val="808080" w:themeColor="background1" w:themeShade="80"/>
        </w:rPr>
        <w:t xml:space="preserve">  The Productivity Commission should examine opportunities to provide symmetry in union and employer options for protected action to avoid disproportionate responses during periods of legally sanctioned industrial action.</w:t>
      </w:r>
    </w:p>
    <w:p w14:paraId="6EDC2057" w14:textId="77777777" w:rsidR="00645C9B" w:rsidRPr="00645C9B" w:rsidRDefault="00645C9B" w:rsidP="00645C9B">
      <w:pPr>
        <w:pStyle w:val="ListParagraph"/>
        <w:numPr>
          <w:ilvl w:val="1"/>
          <w:numId w:val="2"/>
        </w:numPr>
        <w:rPr>
          <w:rStyle w:val="IntenseEmphasis"/>
          <w:u w:val="single"/>
        </w:rPr>
      </w:pPr>
      <w:r w:rsidRPr="00645C9B">
        <w:rPr>
          <w:rStyle w:val="IntenseEmphasis"/>
          <w:u w:val="single"/>
        </w:rPr>
        <w:t>You can’t act on what you don’t know</w:t>
      </w:r>
    </w:p>
    <w:p w14:paraId="0DD18BC4" w14:textId="77777777" w:rsidR="007F0929" w:rsidRDefault="007F0929" w:rsidP="00645C9B">
      <w:pPr>
        <w:ind w:left="1418"/>
        <w:rPr>
          <w:color w:val="808080" w:themeColor="background1" w:themeShade="80"/>
        </w:rPr>
      </w:pPr>
      <w:r>
        <w:rPr>
          <w:color w:val="808080" w:themeColor="background1" w:themeShade="80"/>
        </w:rPr>
        <w:t xml:space="preserve">The current procedures set out within the </w:t>
      </w:r>
      <w:r w:rsidR="00E4307F">
        <w:rPr>
          <w:i/>
          <w:color w:val="808080" w:themeColor="background1" w:themeShade="80"/>
        </w:rPr>
        <w:t>FWA</w:t>
      </w:r>
      <w:r>
        <w:rPr>
          <w:color w:val="808080" w:themeColor="background1" w:themeShade="80"/>
        </w:rPr>
        <w:t xml:space="preserve"> provide for the Australian Electoral Commission (AEC) to conduct a ballot of union members to support or not support the union’s “menu” of proposed industrial action against the employer.</w:t>
      </w:r>
    </w:p>
    <w:p w14:paraId="3AEB8FE2" w14:textId="77777777" w:rsidR="007F0929" w:rsidRDefault="007F0929" w:rsidP="00645C9B">
      <w:pPr>
        <w:ind w:left="1418"/>
        <w:rPr>
          <w:color w:val="808080" w:themeColor="background1" w:themeShade="80"/>
        </w:rPr>
      </w:pPr>
      <w:r>
        <w:rPr>
          <w:color w:val="808080" w:themeColor="background1" w:themeShade="80"/>
        </w:rPr>
        <w:t xml:space="preserve">The AEC is provided </w:t>
      </w:r>
      <w:r w:rsidR="00645C9B">
        <w:rPr>
          <w:color w:val="808080" w:themeColor="background1" w:themeShade="80"/>
        </w:rPr>
        <w:t xml:space="preserve">by the employer with </w:t>
      </w:r>
      <w:r>
        <w:rPr>
          <w:color w:val="808080" w:themeColor="background1" w:themeShade="80"/>
        </w:rPr>
        <w:t xml:space="preserve">a list of names and addresses of all award employees and the union(s) provide the AEC with a list of </w:t>
      </w:r>
      <w:r w:rsidR="002E1E99">
        <w:rPr>
          <w:color w:val="808080" w:themeColor="background1" w:themeShade="80"/>
        </w:rPr>
        <w:t>their members</w:t>
      </w:r>
      <w:r>
        <w:rPr>
          <w:color w:val="808080" w:themeColor="background1" w:themeShade="80"/>
        </w:rPr>
        <w:t xml:space="preserve">.  The AEC </w:t>
      </w:r>
      <w:r w:rsidR="00645C9B">
        <w:rPr>
          <w:color w:val="808080" w:themeColor="background1" w:themeShade="80"/>
        </w:rPr>
        <w:t xml:space="preserve">then </w:t>
      </w:r>
      <w:r>
        <w:rPr>
          <w:color w:val="808080" w:themeColor="background1" w:themeShade="80"/>
        </w:rPr>
        <w:t xml:space="preserve">constructs the role of voters </w:t>
      </w:r>
      <w:r w:rsidR="00E4307F">
        <w:rPr>
          <w:color w:val="808080" w:themeColor="background1" w:themeShade="80"/>
        </w:rPr>
        <w:t xml:space="preserve">for the union ballot </w:t>
      </w:r>
      <w:r>
        <w:rPr>
          <w:color w:val="808080" w:themeColor="background1" w:themeShade="80"/>
        </w:rPr>
        <w:t>from the names that are common on both union and employer lists.  Once a ballot is approved by members</w:t>
      </w:r>
      <w:r w:rsidR="00846F5F">
        <w:rPr>
          <w:color w:val="808080" w:themeColor="background1" w:themeShade="80"/>
        </w:rPr>
        <w:t>,</w:t>
      </w:r>
      <w:r>
        <w:rPr>
          <w:color w:val="808080" w:themeColor="background1" w:themeShade="80"/>
        </w:rPr>
        <w:t xml:space="preserve"> union members can commence industrial action once a notice period has been met.</w:t>
      </w:r>
      <w:r w:rsidR="00E4307F">
        <w:rPr>
          <w:color w:val="808080" w:themeColor="background1" w:themeShade="80"/>
        </w:rPr>
        <w:t xml:space="preserve">  Employers are not provided with the name of employees on the AEC’s roll of voters.</w:t>
      </w:r>
    </w:p>
    <w:p w14:paraId="79FB94FC" w14:textId="252755F1" w:rsidR="00645C9B" w:rsidRDefault="000E2AA8" w:rsidP="000E2AA8">
      <w:pPr>
        <w:ind w:left="1418"/>
        <w:rPr>
          <w:color w:val="808080" w:themeColor="background1" w:themeShade="80"/>
        </w:rPr>
      </w:pPr>
      <w:r>
        <w:rPr>
          <w:color w:val="808080" w:themeColor="background1" w:themeShade="80"/>
        </w:rPr>
        <w:t xml:space="preserve">The practical difficulty for employers is they do not know the names of union members who are legally able to undertake protected industrial action.  Under section 470 of the </w:t>
      </w:r>
      <w:r w:rsidR="00E4307F">
        <w:rPr>
          <w:i/>
          <w:color w:val="808080" w:themeColor="background1" w:themeShade="80"/>
        </w:rPr>
        <w:t>FWA</w:t>
      </w:r>
      <w:r>
        <w:rPr>
          <w:color w:val="808080" w:themeColor="background1" w:themeShade="80"/>
        </w:rPr>
        <w:t xml:space="preserve"> it is an offence for an employer to pay an employee for taking protected strike action but the employer does not know who not to pay.</w:t>
      </w:r>
      <w:r w:rsidR="0098273F">
        <w:rPr>
          <w:color w:val="808080" w:themeColor="background1" w:themeShade="80"/>
        </w:rPr>
        <w:br/>
      </w:r>
      <w:r w:rsidR="0098273F">
        <w:rPr>
          <w:color w:val="808080" w:themeColor="background1" w:themeShade="80"/>
        </w:rPr>
        <w:br/>
        <w:t xml:space="preserve">Without knowing in advance the names of employees who may take protected industrial action makes it impossible for an employer to mitigate the impacts of that action.  As an example I have attached a copy of my letter to the Fair Work Ombudsman dated 9 March 2015.  (Attachment 1)  </w:t>
      </w:r>
    </w:p>
    <w:p w14:paraId="0599FD79" w14:textId="6303E9F5" w:rsidR="00B40A3A" w:rsidRPr="00B40A3A" w:rsidRDefault="00645C9B" w:rsidP="000E2AA8">
      <w:pPr>
        <w:pStyle w:val="ListParagraph"/>
        <w:numPr>
          <w:ilvl w:val="1"/>
          <w:numId w:val="2"/>
        </w:numPr>
        <w:rPr>
          <w:b/>
          <w:bCs/>
          <w:iCs/>
          <w:color w:val="808080" w:themeColor="background1" w:themeShade="80"/>
        </w:rPr>
      </w:pPr>
      <w:r w:rsidRPr="000E2AA8">
        <w:rPr>
          <w:rStyle w:val="IntenseEmphasis"/>
          <w:u w:val="single"/>
        </w:rPr>
        <w:t>Award coverage of senior managers</w:t>
      </w:r>
      <w:r w:rsidR="00825635" w:rsidRPr="000E2AA8">
        <w:rPr>
          <w:rStyle w:val="IntenseEmphasis"/>
          <w:u w:val="single"/>
        </w:rPr>
        <w:br/>
      </w:r>
      <w:r w:rsidR="000E2AA8">
        <w:rPr>
          <w:bCs/>
          <w:iCs/>
          <w:color w:val="808080" w:themeColor="background1" w:themeShade="80"/>
        </w:rPr>
        <w:t>The coverage clause of an enterprise agreement sets out the classifications or wage details of employees who are legally bound by the terms and conditions of that award.  Other employees, typically managers, may be employed under individual contracts of employment.</w:t>
      </w:r>
      <w:r w:rsidR="000E2AA8">
        <w:rPr>
          <w:bCs/>
          <w:iCs/>
          <w:color w:val="808080" w:themeColor="background1" w:themeShade="80"/>
        </w:rPr>
        <w:br/>
      </w:r>
      <w:r w:rsidR="000E2AA8">
        <w:rPr>
          <w:bCs/>
          <w:iCs/>
          <w:color w:val="808080" w:themeColor="background1" w:themeShade="80"/>
        </w:rPr>
        <w:br/>
        <w:t xml:space="preserve">Employers have a strong </w:t>
      </w:r>
      <w:r w:rsidR="00744E25">
        <w:rPr>
          <w:bCs/>
          <w:iCs/>
          <w:color w:val="808080" w:themeColor="background1" w:themeShade="80"/>
        </w:rPr>
        <w:t xml:space="preserve">and completely understandable </w:t>
      </w:r>
      <w:r w:rsidR="000E2AA8">
        <w:rPr>
          <w:bCs/>
          <w:iCs/>
          <w:color w:val="808080" w:themeColor="background1" w:themeShade="80"/>
        </w:rPr>
        <w:t xml:space="preserve">preference to have their managers </w:t>
      </w:r>
      <w:r w:rsidR="00744E25">
        <w:rPr>
          <w:bCs/>
          <w:iCs/>
          <w:color w:val="808080" w:themeColor="background1" w:themeShade="80"/>
        </w:rPr>
        <w:t xml:space="preserve">and supervisors </w:t>
      </w:r>
      <w:r w:rsidR="000E2AA8">
        <w:rPr>
          <w:bCs/>
          <w:iCs/>
          <w:color w:val="808080" w:themeColor="background1" w:themeShade="80"/>
        </w:rPr>
        <w:t xml:space="preserve">employed outside of the </w:t>
      </w:r>
      <w:r w:rsidR="00B40A3A">
        <w:rPr>
          <w:bCs/>
          <w:iCs/>
          <w:color w:val="808080" w:themeColor="background1" w:themeShade="80"/>
        </w:rPr>
        <w:t>enterprise agreement</w:t>
      </w:r>
      <w:r w:rsidR="000E2AA8">
        <w:rPr>
          <w:bCs/>
          <w:iCs/>
          <w:color w:val="808080" w:themeColor="background1" w:themeShade="80"/>
        </w:rPr>
        <w:t xml:space="preserve"> to avoid a “conflict of interest” that can arise between the organisation</w:t>
      </w:r>
      <w:r w:rsidR="00744E25">
        <w:rPr>
          <w:bCs/>
          <w:iCs/>
          <w:color w:val="808080" w:themeColor="background1" w:themeShade="80"/>
        </w:rPr>
        <w:t>’</w:t>
      </w:r>
      <w:r w:rsidR="000E2AA8">
        <w:rPr>
          <w:bCs/>
          <w:iCs/>
          <w:color w:val="808080" w:themeColor="background1" w:themeShade="80"/>
        </w:rPr>
        <w:t xml:space="preserve">s </w:t>
      </w:r>
      <w:r w:rsidR="00744E25">
        <w:rPr>
          <w:bCs/>
          <w:iCs/>
          <w:color w:val="808080" w:themeColor="background1" w:themeShade="80"/>
        </w:rPr>
        <w:t xml:space="preserve">objectives </w:t>
      </w:r>
      <w:r w:rsidR="000E2AA8">
        <w:rPr>
          <w:bCs/>
          <w:iCs/>
          <w:color w:val="808080" w:themeColor="background1" w:themeShade="80"/>
        </w:rPr>
        <w:t xml:space="preserve">and their union’s objectives.  In reviewing the Workplace Relations Framework the Productivity Commission may wish to consider changes to the </w:t>
      </w:r>
      <w:r w:rsidR="000E2AA8">
        <w:rPr>
          <w:bCs/>
          <w:i/>
          <w:iCs/>
          <w:color w:val="808080" w:themeColor="background1" w:themeShade="80"/>
        </w:rPr>
        <w:t xml:space="preserve">FWA </w:t>
      </w:r>
      <w:r w:rsidR="000E2AA8" w:rsidRPr="000E2AA8">
        <w:rPr>
          <w:bCs/>
          <w:iCs/>
          <w:color w:val="808080" w:themeColor="background1" w:themeShade="80"/>
        </w:rPr>
        <w:t xml:space="preserve">that </w:t>
      </w:r>
      <w:r w:rsidR="00E4307F">
        <w:rPr>
          <w:bCs/>
          <w:iCs/>
          <w:color w:val="808080" w:themeColor="background1" w:themeShade="80"/>
        </w:rPr>
        <w:t>moderate this conflict of interest</w:t>
      </w:r>
      <w:r w:rsidR="000E2AA8">
        <w:rPr>
          <w:bCs/>
          <w:iCs/>
          <w:color w:val="808080" w:themeColor="background1" w:themeShade="80"/>
        </w:rPr>
        <w:t>.</w:t>
      </w:r>
      <w:r w:rsidR="000E2AA8">
        <w:rPr>
          <w:bCs/>
          <w:iCs/>
          <w:color w:val="808080" w:themeColor="background1" w:themeShade="80"/>
        </w:rPr>
        <w:br/>
      </w:r>
      <w:r w:rsidR="000E2AA8">
        <w:rPr>
          <w:bCs/>
          <w:iCs/>
          <w:color w:val="808080" w:themeColor="background1" w:themeShade="80"/>
        </w:rPr>
        <w:br/>
        <w:t xml:space="preserve">Currently, for other purposes, the </w:t>
      </w:r>
      <w:r w:rsidR="000E2AA8">
        <w:rPr>
          <w:bCs/>
          <w:i/>
          <w:iCs/>
          <w:color w:val="808080" w:themeColor="background1" w:themeShade="80"/>
        </w:rPr>
        <w:t>FWA</w:t>
      </w:r>
      <w:r w:rsidR="000E2AA8">
        <w:rPr>
          <w:bCs/>
          <w:iCs/>
          <w:color w:val="808080" w:themeColor="background1" w:themeShade="80"/>
        </w:rPr>
        <w:t xml:space="preserve"> establishes a High Income Threshold (</w:t>
      </w:r>
      <w:r w:rsidR="00E4307F">
        <w:rPr>
          <w:bCs/>
          <w:iCs/>
          <w:color w:val="808080" w:themeColor="background1" w:themeShade="80"/>
        </w:rPr>
        <w:t>S</w:t>
      </w:r>
      <w:r w:rsidR="000E2AA8" w:rsidRPr="000E2AA8">
        <w:rPr>
          <w:bCs/>
          <w:iCs/>
          <w:color w:val="808080" w:themeColor="background1" w:themeShade="80"/>
        </w:rPr>
        <w:t xml:space="preserve">ection 333 </w:t>
      </w:r>
      <w:r w:rsidR="000E2AA8">
        <w:rPr>
          <w:bCs/>
          <w:iCs/>
          <w:color w:val="808080" w:themeColor="background1" w:themeShade="80"/>
        </w:rPr>
        <w:t xml:space="preserve"> </w:t>
      </w:r>
      <w:r w:rsidR="000E2AA8">
        <w:rPr>
          <w:bCs/>
          <w:i/>
          <w:iCs/>
          <w:color w:val="808080" w:themeColor="background1" w:themeShade="80"/>
        </w:rPr>
        <w:t>FWA</w:t>
      </w:r>
      <w:r w:rsidR="000E2AA8" w:rsidRPr="00E4307F">
        <w:rPr>
          <w:bCs/>
          <w:iCs/>
          <w:color w:val="808080" w:themeColor="background1" w:themeShade="80"/>
        </w:rPr>
        <w:t>)</w:t>
      </w:r>
      <w:r w:rsidR="000E2AA8">
        <w:rPr>
          <w:bCs/>
          <w:i/>
          <w:iCs/>
          <w:color w:val="808080" w:themeColor="background1" w:themeShade="80"/>
        </w:rPr>
        <w:t xml:space="preserve"> </w:t>
      </w:r>
      <w:r w:rsidR="000E2AA8">
        <w:rPr>
          <w:bCs/>
          <w:iCs/>
          <w:color w:val="808080" w:themeColor="background1" w:themeShade="80"/>
        </w:rPr>
        <w:t>of $133,000 and defines what payments are included in this amount.</w:t>
      </w:r>
      <w:r w:rsidR="000E2AA8">
        <w:rPr>
          <w:bCs/>
          <w:iCs/>
          <w:color w:val="808080" w:themeColor="background1" w:themeShade="80"/>
        </w:rPr>
        <w:br/>
      </w:r>
      <w:r w:rsidR="000E2AA8">
        <w:rPr>
          <w:bCs/>
          <w:iCs/>
          <w:color w:val="808080" w:themeColor="background1" w:themeShade="80"/>
        </w:rPr>
        <w:br/>
      </w:r>
      <w:r w:rsidR="00B40A3A">
        <w:rPr>
          <w:bCs/>
          <w:iCs/>
          <w:color w:val="808080" w:themeColor="background1" w:themeShade="80"/>
        </w:rPr>
        <w:t>Enterprise agreements</w:t>
      </w:r>
      <w:r w:rsidR="000E2AA8">
        <w:rPr>
          <w:bCs/>
          <w:iCs/>
          <w:color w:val="808080" w:themeColor="background1" w:themeShade="80"/>
        </w:rPr>
        <w:t xml:space="preserve"> in the electricity distribution industry currently cover </w:t>
      </w:r>
      <w:r w:rsidR="00E4307F">
        <w:rPr>
          <w:bCs/>
          <w:iCs/>
          <w:color w:val="808080" w:themeColor="background1" w:themeShade="80"/>
        </w:rPr>
        <w:t xml:space="preserve">senior </w:t>
      </w:r>
      <w:r w:rsidR="000E2AA8">
        <w:rPr>
          <w:bCs/>
          <w:iCs/>
          <w:color w:val="808080" w:themeColor="background1" w:themeShade="80"/>
        </w:rPr>
        <w:t xml:space="preserve">employees </w:t>
      </w:r>
      <w:r w:rsidR="00E4307F">
        <w:rPr>
          <w:bCs/>
          <w:iCs/>
          <w:color w:val="808080" w:themeColor="background1" w:themeShade="80"/>
        </w:rPr>
        <w:t xml:space="preserve">and managers </w:t>
      </w:r>
      <w:r w:rsidR="000E2AA8">
        <w:rPr>
          <w:bCs/>
          <w:iCs/>
          <w:color w:val="808080" w:themeColor="background1" w:themeShade="80"/>
        </w:rPr>
        <w:t xml:space="preserve">whose incomes, excluding overtime, </w:t>
      </w:r>
      <w:r w:rsidR="00E4307F">
        <w:rPr>
          <w:bCs/>
          <w:iCs/>
          <w:color w:val="808080" w:themeColor="background1" w:themeShade="80"/>
        </w:rPr>
        <w:t xml:space="preserve">can </w:t>
      </w:r>
      <w:r w:rsidR="00B40A3A">
        <w:rPr>
          <w:bCs/>
          <w:iCs/>
          <w:color w:val="808080" w:themeColor="background1" w:themeShade="80"/>
        </w:rPr>
        <w:t xml:space="preserve">in some cases </w:t>
      </w:r>
      <w:r w:rsidR="00E4307F">
        <w:rPr>
          <w:bCs/>
          <w:iCs/>
          <w:color w:val="808080" w:themeColor="background1" w:themeShade="80"/>
        </w:rPr>
        <w:t>be</w:t>
      </w:r>
      <w:r w:rsidR="000E2AA8">
        <w:rPr>
          <w:bCs/>
          <w:iCs/>
          <w:color w:val="808080" w:themeColor="background1" w:themeShade="80"/>
        </w:rPr>
        <w:t xml:space="preserve"> </w:t>
      </w:r>
      <w:r w:rsidR="000E2AA8">
        <w:rPr>
          <w:bCs/>
          <w:iCs/>
          <w:color w:val="808080" w:themeColor="background1" w:themeShade="80"/>
        </w:rPr>
        <w:lastRenderedPageBreak/>
        <w:t>in excess of $200,000 p.a.</w:t>
      </w:r>
      <w:r w:rsidR="00B40A3A">
        <w:rPr>
          <w:bCs/>
          <w:iCs/>
          <w:color w:val="808080" w:themeColor="background1" w:themeShade="80"/>
        </w:rPr>
        <w:br/>
      </w:r>
    </w:p>
    <w:p w14:paraId="438F771D" w14:textId="0A392E2B" w:rsidR="000E2AA8" w:rsidRPr="00B40A3A" w:rsidRDefault="00B40A3A" w:rsidP="000E2AA8">
      <w:pPr>
        <w:pStyle w:val="ListParagraph"/>
        <w:numPr>
          <w:ilvl w:val="1"/>
          <w:numId w:val="2"/>
        </w:numPr>
        <w:rPr>
          <w:rStyle w:val="IntenseEmphasis"/>
          <w:i w:val="0"/>
          <w:color w:val="808080" w:themeColor="background1" w:themeShade="80"/>
        </w:rPr>
      </w:pPr>
      <w:r>
        <w:rPr>
          <w:rStyle w:val="IntenseEmphasis"/>
          <w:u w:val="single"/>
        </w:rPr>
        <w:t>Public Sector and Labour Hire [Issues Paper 5]</w:t>
      </w:r>
    </w:p>
    <w:p w14:paraId="6A42A6ED" w14:textId="73C1531D" w:rsidR="00941F2E" w:rsidRPr="00941F2E" w:rsidRDefault="00941F2E" w:rsidP="00941F2E">
      <w:pPr>
        <w:pStyle w:val="ListParagraph"/>
        <w:ind w:left="1440"/>
        <w:rPr>
          <w:bCs/>
          <w:iCs/>
          <w:color w:val="808080" w:themeColor="background1" w:themeShade="80"/>
        </w:rPr>
      </w:pPr>
      <w:r w:rsidRPr="00941F2E">
        <w:rPr>
          <w:bCs/>
          <w:iCs/>
          <w:color w:val="808080" w:themeColor="background1" w:themeShade="80"/>
        </w:rPr>
        <w:t>In my experience, trade unions in the public s</w:t>
      </w:r>
      <w:r w:rsidR="00D84CE5">
        <w:rPr>
          <w:bCs/>
          <w:iCs/>
          <w:color w:val="808080" w:themeColor="background1" w:themeShade="80"/>
        </w:rPr>
        <w:t>ector organisations I have le</w:t>
      </w:r>
      <w:r w:rsidRPr="00941F2E">
        <w:rPr>
          <w:bCs/>
          <w:iCs/>
          <w:color w:val="808080" w:themeColor="background1" w:themeShade="80"/>
        </w:rPr>
        <w:t>d all attempted to severely restrict the capacity to use labour hire</w:t>
      </w:r>
      <w:r w:rsidR="00AE3331">
        <w:rPr>
          <w:bCs/>
          <w:iCs/>
          <w:color w:val="808080" w:themeColor="background1" w:themeShade="80"/>
        </w:rPr>
        <w:t xml:space="preserve"> or outsource functions required by the organisation</w:t>
      </w:r>
      <w:r w:rsidRPr="00941F2E">
        <w:rPr>
          <w:bCs/>
          <w:iCs/>
          <w:color w:val="808080" w:themeColor="background1" w:themeShade="80"/>
        </w:rPr>
        <w:t>.</w:t>
      </w:r>
      <w:r>
        <w:rPr>
          <w:bCs/>
          <w:iCs/>
          <w:color w:val="808080" w:themeColor="background1" w:themeShade="80"/>
        </w:rPr>
        <w:t xml:space="preserve">  </w:t>
      </w:r>
      <w:r w:rsidRPr="00941F2E">
        <w:rPr>
          <w:bCs/>
          <w:iCs/>
          <w:color w:val="808080" w:themeColor="background1" w:themeShade="80"/>
        </w:rPr>
        <w:t xml:space="preserve">  In the public sector, the effect of </w:t>
      </w:r>
      <w:r w:rsidR="00AE3331">
        <w:rPr>
          <w:bCs/>
          <w:iCs/>
          <w:color w:val="808080" w:themeColor="background1" w:themeShade="80"/>
        </w:rPr>
        <w:t>restrictive clauses on labour hire or outsourcing</w:t>
      </w:r>
      <w:r w:rsidRPr="00941F2E">
        <w:rPr>
          <w:bCs/>
          <w:iCs/>
          <w:color w:val="808080" w:themeColor="background1" w:themeShade="80"/>
        </w:rPr>
        <w:t>:</w:t>
      </w:r>
      <w:r>
        <w:rPr>
          <w:bCs/>
          <w:iCs/>
          <w:color w:val="808080" w:themeColor="background1" w:themeShade="80"/>
        </w:rPr>
        <w:br/>
      </w:r>
    </w:p>
    <w:p w14:paraId="1A0AC2DE" w14:textId="3BEF3942" w:rsidR="00941F2E" w:rsidRPr="00941F2E" w:rsidRDefault="00941F2E" w:rsidP="00941F2E">
      <w:pPr>
        <w:pStyle w:val="ListParagraph"/>
        <w:ind w:left="2127" w:hanging="687"/>
        <w:rPr>
          <w:bCs/>
          <w:iCs/>
          <w:color w:val="808080" w:themeColor="background1" w:themeShade="80"/>
        </w:rPr>
      </w:pPr>
      <w:r w:rsidRPr="00941F2E">
        <w:rPr>
          <w:bCs/>
          <w:iCs/>
          <w:color w:val="808080" w:themeColor="background1" w:themeShade="80"/>
        </w:rPr>
        <w:t>•</w:t>
      </w:r>
      <w:r w:rsidRPr="00941F2E">
        <w:rPr>
          <w:bCs/>
          <w:iCs/>
          <w:color w:val="808080" w:themeColor="background1" w:themeShade="80"/>
        </w:rPr>
        <w:tab/>
        <w:t xml:space="preserve">represents a severe restrictive trade practice inhibiting the use of </w:t>
      </w:r>
      <w:r w:rsidR="00E10152">
        <w:rPr>
          <w:bCs/>
          <w:iCs/>
          <w:color w:val="808080" w:themeColor="background1" w:themeShade="80"/>
        </w:rPr>
        <w:t>safe, efficient and competitive contractors</w:t>
      </w:r>
      <w:r w:rsidRPr="00941F2E">
        <w:rPr>
          <w:bCs/>
          <w:iCs/>
          <w:color w:val="808080" w:themeColor="background1" w:themeShade="80"/>
        </w:rPr>
        <w:t>;</w:t>
      </w:r>
    </w:p>
    <w:p w14:paraId="29E2804A" w14:textId="190B2EF4" w:rsidR="00941F2E" w:rsidRPr="00941F2E" w:rsidRDefault="00941F2E" w:rsidP="00941F2E">
      <w:pPr>
        <w:pStyle w:val="ListParagraph"/>
        <w:ind w:left="2127" w:hanging="687"/>
        <w:rPr>
          <w:bCs/>
          <w:iCs/>
          <w:color w:val="808080" w:themeColor="background1" w:themeShade="80"/>
        </w:rPr>
      </w:pPr>
      <w:r w:rsidRPr="00941F2E">
        <w:rPr>
          <w:bCs/>
          <w:iCs/>
          <w:color w:val="808080" w:themeColor="background1" w:themeShade="80"/>
        </w:rPr>
        <w:t>•</w:t>
      </w:r>
      <w:r w:rsidRPr="00941F2E">
        <w:rPr>
          <w:bCs/>
          <w:iCs/>
          <w:color w:val="808080" w:themeColor="background1" w:themeShade="80"/>
        </w:rPr>
        <w:tab/>
        <w:t xml:space="preserve">attempts to require a </w:t>
      </w:r>
      <w:r w:rsidR="00E10152">
        <w:rPr>
          <w:bCs/>
          <w:iCs/>
          <w:color w:val="808080" w:themeColor="background1" w:themeShade="80"/>
        </w:rPr>
        <w:t>contractor</w:t>
      </w:r>
      <w:r w:rsidR="00D84CE5">
        <w:rPr>
          <w:bCs/>
          <w:iCs/>
          <w:color w:val="808080" w:themeColor="background1" w:themeShade="80"/>
        </w:rPr>
        <w:t xml:space="preserve"> to adopt public sector</w:t>
      </w:r>
      <w:r w:rsidRPr="00941F2E">
        <w:rPr>
          <w:bCs/>
          <w:iCs/>
          <w:color w:val="808080" w:themeColor="background1" w:themeShade="80"/>
        </w:rPr>
        <w:t xml:space="preserve"> conditions as a pre-requisite to entry into public sector work;</w:t>
      </w:r>
    </w:p>
    <w:p w14:paraId="71604EDA" w14:textId="5F753256" w:rsidR="00941F2E" w:rsidRPr="00941F2E" w:rsidRDefault="00941F2E" w:rsidP="00941F2E">
      <w:pPr>
        <w:pStyle w:val="ListParagraph"/>
        <w:ind w:left="2127" w:hanging="687"/>
        <w:rPr>
          <w:bCs/>
          <w:iCs/>
          <w:color w:val="808080" w:themeColor="background1" w:themeShade="80"/>
        </w:rPr>
      </w:pPr>
      <w:r w:rsidRPr="00941F2E">
        <w:rPr>
          <w:bCs/>
          <w:iCs/>
          <w:color w:val="808080" w:themeColor="background1" w:themeShade="80"/>
        </w:rPr>
        <w:t>•</w:t>
      </w:r>
      <w:r w:rsidRPr="00941F2E">
        <w:rPr>
          <w:bCs/>
          <w:iCs/>
          <w:color w:val="808080" w:themeColor="background1" w:themeShade="80"/>
        </w:rPr>
        <w:tab/>
      </w:r>
      <w:r>
        <w:rPr>
          <w:bCs/>
          <w:iCs/>
          <w:color w:val="808080" w:themeColor="background1" w:themeShade="80"/>
        </w:rPr>
        <w:t>render</w:t>
      </w:r>
      <w:r w:rsidRPr="00941F2E">
        <w:rPr>
          <w:bCs/>
          <w:iCs/>
          <w:color w:val="808080" w:themeColor="background1" w:themeShade="80"/>
        </w:rPr>
        <w:t>s futile any benefit in terms of costs savings that may arise by the use of contract labour.</w:t>
      </w:r>
      <w:r>
        <w:rPr>
          <w:bCs/>
          <w:iCs/>
          <w:color w:val="808080" w:themeColor="background1" w:themeShade="80"/>
        </w:rPr>
        <w:br/>
      </w:r>
    </w:p>
    <w:p w14:paraId="6B03C212" w14:textId="143BCF7E" w:rsidR="00B40A3A" w:rsidRPr="00941F2E" w:rsidRDefault="00941F2E" w:rsidP="00941F2E">
      <w:pPr>
        <w:pStyle w:val="ListParagraph"/>
        <w:ind w:left="1440"/>
        <w:rPr>
          <w:bCs/>
          <w:iCs/>
          <w:color w:val="808080" w:themeColor="background1" w:themeShade="80"/>
        </w:rPr>
      </w:pPr>
      <w:r w:rsidRPr="00941F2E">
        <w:rPr>
          <w:bCs/>
          <w:iCs/>
          <w:color w:val="808080" w:themeColor="background1" w:themeShade="80"/>
        </w:rPr>
        <w:t>Whilst I am not legally qualified, my experience tells me that this sort of approach may attract the attention of Australia's Competition Laws.  I can say without fear of contradiction that in every enterprise agreement negotiation I have been involved in over the last 5 years, that these types of clauses restricting the use of external contractors has always been pursued by the union bargaining representatives.</w:t>
      </w:r>
      <w:r w:rsidR="00E10152">
        <w:rPr>
          <w:bCs/>
          <w:iCs/>
          <w:color w:val="808080" w:themeColor="background1" w:themeShade="80"/>
        </w:rPr>
        <w:t xml:space="preserve">  The FWA should prevent any restraint of trade being incorporated into an enterprise agreement.</w:t>
      </w:r>
    </w:p>
    <w:p w14:paraId="71D97F34" w14:textId="77777777" w:rsidR="000E2AA8" w:rsidRDefault="000E2AA8" w:rsidP="000E2AA8">
      <w:pPr>
        <w:pStyle w:val="Heading1"/>
      </w:pPr>
      <w:r>
        <w:t>CONCLUSION</w:t>
      </w:r>
    </w:p>
    <w:p w14:paraId="3FF1EEC5" w14:textId="77777777" w:rsidR="000E2AA8" w:rsidRDefault="00E4307F" w:rsidP="000E2AA8">
      <w:pPr>
        <w:rPr>
          <w:bCs/>
          <w:iCs/>
          <w:color w:val="808080" w:themeColor="background1" w:themeShade="80"/>
        </w:rPr>
      </w:pPr>
      <w:r w:rsidRPr="00E4307F">
        <w:rPr>
          <w:bCs/>
          <w:iCs/>
          <w:color w:val="808080" w:themeColor="background1" w:themeShade="80"/>
        </w:rPr>
        <w:t>I would welcome</w:t>
      </w:r>
      <w:r>
        <w:rPr>
          <w:bCs/>
          <w:iCs/>
          <w:color w:val="808080" w:themeColor="background1" w:themeShade="80"/>
        </w:rPr>
        <w:t xml:space="preserve"> the opportunity to discuss this submission with the Productivity Commission in the course of the deliberations on the Workplace Relations System in Australia.</w:t>
      </w:r>
    </w:p>
    <w:p w14:paraId="23F1EEBC" w14:textId="687D10E3" w:rsidR="00E4307F" w:rsidRPr="00D109A8" w:rsidRDefault="00D109A8" w:rsidP="000E2AA8">
      <w:pPr>
        <w:rPr>
          <w:b/>
          <w:bCs/>
          <w:i/>
          <w:iCs/>
          <w:color w:val="808080" w:themeColor="background1" w:themeShade="80"/>
        </w:rPr>
      </w:pPr>
      <w:r w:rsidRPr="00D109A8">
        <w:rPr>
          <w:b/>
          <w:bCs/>
          <w:i/>
          <w:iCs/>
          <w:color w:val="808080" w:themeColor="background1" w:themeShade="80"/>
        </w:rPr>
        <w:t>(Signed – Vince Graham)</w:t>
      </w:r>
    </w:p>
    <w:p w14:paraId="3C291128" w14:textId="77777777" w:rsidR="00D109A8" w:rsidRDefault="00D109A8" w:rsidP="00E4307F">
      <w:pPr>
        <w:spacing w:after="0" w:line="240" w:lineRule="auto"/>
        <w:rPr>
          <w:bCs/>
          <w:iCs/>
          <w:color w:val="808080" w:themeColor="background1" w:themeShade="80"/>
        </w:rPr>
      </w:pPr>
    </w:p>
    <w:p w14:paraId="136073E6" w14:textId="77777777" w:rsidR="00E4307F" w:rsidRDefault="00E4307F" w:rsidP="00E4307F">
      <w:pPr>
        <w:spacing w:after="0" w:line="240" w:lineRule="auto"/>
        <w:rPr>
          <w:bCs/>
          <w:iCs/>
          <w:color w:val="808080" w:themeColor="background1" w:themeShade="80"/>
        </w:rPr>
      </w:pPr>
      <w:r>
        <w:rPr>
          <w:bCs/>
          <w:iCs/>
          <w:color w:val="808080" w:themeColor="background1" w:themeShade="80"/>
        </w:rPr>
        <w:t>VINCE GRAHAM</w:t>
      </w:r>
    </w:p>
    <w:p w14:paraId="764AEA9C" w14:textId="77777777" w:rsidR="00E4307F" w:rsidRDefault="00E4307F" w:rsidP="00E4307F">
      <w:pPr>
        <w:spacing w:after="0" w:line="240" w:lineRule="auto"/>
        <w:rPr>
          <w:bCs/>
          <w:iCs/>
          <w:color w:val="808080" w:themeColor="background1" w:themeShade="80"/>
        </w:rPr>
      </w:pPr>
      <w:r>
        <w:rPr>
          <w:bCs/>
          <w:iCs/>
          <w:color w:val="808080" w:themeColor="background1" w:themeShade="80"/>
        </w:rPr>
        <w:t>Chief Executive Officer, Ausgrid</w:t>
      </w:r>
    </w:p>
    <w:p w14:paraId="33175B62" w14:textId="77777777" w:rsidR="00E4307F" w:rsidRDefault="00E4307F" w:rsidP="00E4307F">
      <w:pPr>
        <w:spacing w:after="0" w:line="240" w:lineRule="auto"/>
        <w:rPr>
          <w:bCs/>
          <w:iCs/>
          <w:color w:val="808080" w:themeColor="background1" w:themeShade="80"/>
        </w:rPr>
      </w:pPr>
      <w:r>
        <w:rPr>
          <w:bCs/>
          <w:iCs/>
          <w:color w:val="808080" w:themeColor="background1" w:themeShade="80"/>
        </w:rPr>
        <w:t xml:space="preserve">Chief Executive Officer, </w:t>
      </w:r>
      <w:r w:rsidRPr="00E4307F">
        <w:rPr>
          <w:bCs/>
          <w:iCs/>
          <w:color w:val="808080" w:themeColor="background1" w:themeShade="80"/>
        </w:rPr>
        <w:t>Endeavour Energy</w:t>
      </w:r>
    </w:p>
    <w:p w14:paraId="22198A0E" w14:textId="77777777" w:rsidR="00E4307F" w:rsidRDefault="00E4307F" w:rsidP="00E4307F">
      <w:pPr>
        <w:spacing w:after="0" w:line="240" w:lineRule="auto"/>
        <w:rPr>
          <w:bCs/>
          <w:iCs/>
          <w:color w:val="808080" w:themeColor="background1" w:themeShade="80"/>
        </w:rPr>
      </w:pPr>
      <w:r>
        <w:rPr>
          <w:bCs/>
          <w:iCs/>
          <w:color w:val="808080" w:themeColor="background1" w:themeShade="80"/>
        </w:rPr>
        <w:t>Chief Executive Officer, Essential Energy</w:t>
      </w:r>
    </w:p>
    <w:p w14:paraId="75DF4C95" w14:textId="77777777" w:rsidR="0098273F" w:rsidRDefault="0098273F" w:rsidP="00E4307F">
      <w:pPr>
        <w:spacing w:after="0" w:line="240" w:lineRule="auto"/>
        <w:rPr>
          <w:bCs/>
          <w:iCs/>
          <w:color w:val="808080" w:themeColor="background1" w:themeShade="80"/>
        </w:rPr>
      </w:pPr>
    </w:p>
    <w:p w14:paraId="39E9774A" w14:textId="77777777" w:rsidR="0098273F" w:rsidRDefault="0098273F" w:rsidP="00E4307F">
      <w:pPr>
        <w:spacing w:after="0" w:line="240" w:lineRule="auto"/>
        <w:rPr>
          <w:bCs/>
          <w:iCs/>
          <w:color w:val="808080" w:themeColor="background1" w:themeShade="80"/>
        </w:rPr>
      </w:pPr>
    </w:p>
    <w:p w14:paraId="1289EDDD" w14:textId="7BE85A38" w:rsidR="0098273F" w:rsidRDefault="0098273F" w:rsidP="00E4307F">
      <w:pPr>
        <w:spacing w:after="0" w:line="240" w:lineRule="auto"/>
        <w:rPr>
          <w:bCs/>
          <w:iCs/>
          <w:color w:val="808080" w:themeColor="background1" w:themeShade="80"/>
        </w:rPr>
      </w:pPr>
      <w:r w:rsidRPr="0098273F">
        <w:rPr>
          <w:b/>
          <w:bCs/>
          <w:iCs/>
          <w:color w:val="808080" w:themeColor="background1" w:themeShade="80"/>
        </w:rPr>
        <w:t>Attachments</w:t>
      </w:r>
      <w:r>
        <w:rPr>
          <w:bCs/>
          <w:iCs/>
          <w:color w:val="808080" w:themeColor="background1" w:themeShade="80"/>
        </w:rPr>
        <w:t>:</w:t>
      </w:r>
    </w:p>
    <w:p w14:paraId="5076E2D1" w14:textId="77777777" w:rsidR="0098273F" w:rsidRDefault="0098273F" w:rsidP="00E4307F">
      <w:pPr>
        <w:spacing w:after="0" w:line="240" w:lineRule="auto"/>
        <w:rPr>
          <w:bCs/>
          <w:iCs/>
          <w:color w:val="808080" w:themeColor="background1" w:themeShade="80"/>
        </w:rPr>
      </w:pPr>
    </w:p>
    <w:p w14:paraId="3D5EE53A" w14:textId="77777777" w:rsidR="00941F2E" w:rsidRDefault="0098273F" w:rsidP="0098273F">
      <w:pPr>
        <w:rPr>
          <w:color w:val="808080" w:themeColor="background1" w:themeShade="80"/>
        </w:rPr>
      </w:pPr>
      <w:r>
        <w:rPr>
          <w:bCs/>
          <w:iCs/>
          <w:color w:val="808080" w:themeColor="background1" w:themeShade="80"/>
        </w:rPr>
        <w:t>1.</w:t>
      </w:r>
      <w:r>
        <w:rPr>
          <w:bCs/>
          <w:iCs/>
          <w:color w:val="808080" w:themeColor="background1" w:themeShade="80"/>
        </w:rPr>
        <w:tab/>
      </w:r>
      <w:r>
        <w:rPr>
          <w:color w:val="808080" w:themeColor="background1" w:themeShade="80"/>
        </w:rPr>
        <w:t xml:space="preserve">Letter to the Fair Work Ombudsman dated 9 March 2015. </w:t>
      </w:r>
    </w:p>
    <w:p w14:paraId="1BD9FE92" w14:textId="1507F3FE" w:rsidR="0098273F" w:rsidRDefault="0098273F" w:rsidP="00E4307F">
      <w:pPr>
        <w:spacing w:after="0" w:line="240" w:lineRule="auto"/>
        <w:rPr>
          <w:bCs/>
          <w:iCs/>
          <w:color w:val="808080" w:themeColor="background1" w:themeShade="80"/>
        </w:rPr>
      </w:pPr>
    </w:p>
    <w:p w14:paraId="48D2118E" w14:textId="77777777" w:rsidR="00E4307F" w:rsidRPr="00E4307F" w:rsidRDefault="00E4307F" w:rsidP="000E2AA8">
      <w:pPr>
        <w:rPr>
          <w:bCs/>
          <w:iCs/>
          <w:color w:val="808080" w:themeColor="background1" w:themeShade="80"/>
        </w:rPr>
      </w:pPr>
    </w:p>
    <w:sectPr w:rsidR="00E4307F" w:rsidRPr="00E4307F" w:rsidSect="00564A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58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BF282" w14:textId="77777777" w:rsidR="00ED1317" w:rsidRDefault="00ED1317" w:rsidP="00564A0B">
      <w:pPr>
        <w:spacing w:after="0" w:line="240" w:lineRule="auto"/>
      </w:pPr>
      <w:r>
        <w:separator/>
      </w:r>
    </w:p>
  </w:endnote>
  <w:endnote w:type="continuationSeparator" w:id="0">
    <w:p w14:paraId="50D1A38C" w14:textId="77777777" w:rsidR="00ED1317" w:rsidRDefault="00ED1317" w:rsidP="0056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7762" w14:textId="77777777" w:rsidR="00ED1317" w:rsidRDefault="00ED1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ED1317" w14:paraId="68DBF742" w14:textId="77777777" w:rsidTr="00564A0B">
      <w:tc>
        <w:tcPr>
          <w:tcW w:w="4500" w:type="pct"/>
          <w:tcBorders>
            <w:top w:val="single" w:sz="4" w:space="0" w:color="000000" w:themeColor="text1"/>
          </w:tcBorders>
        </w:tcPr>
        <w:p w14:paraId="6139C504" w14:textId="19E9FA10" w:rsidR="00ED1317" w:rsidRDefault="009D347D" w:rsidP="00564A0B">
          <w:pPr>
            <w:pStyle w:val="Footer"/>
            <w:jc w:val="right"/>
          </w:pPr>
          <w:sdt>
            <w:sdtPr>
              <w:rPr>
                <w:color w:val="BFBFBF" w:themeColor="background1" w:themeShade="BF"/>
                <w:sz w:val="16"/>
                <w:szCs w:val="16"/>
              </w:rPr>
              <w:alias w:val="Company"/>
              <w:id w:val="75971759"/>
              <w:dataBinding w:prefixMappings="xmlns:ns0='http://schemas.openxmlformats.org/officeDocument/2006/extended-properties'" w:xpath="/ns0:Properties[1]/ns0:Company[1]" w:storeItemID="{6668398D-A668-4E3E-A5EB-62B293D839F1}"/>
              <w:text/>
            </w:sdtPr>
            <w:sdtEndPr/>
            <w:sdtContent>
              <w:r>
                <w:rPr>
                  <w:color w:val="BFBFBF" w:themeColor="background1" w:themeShade="BF"/>
                  <w:sz w:val="16"/>
                  <w:szCs w:val="16"/>
                </w:rPr>
                <w:t>Networks NSW (Ausgrid, Endeavour Energy, Essential Energy)</w:t>
              </w:r>
            </w:sdtContent>
          </w:sdt>
          <w:r w:rsidR="00ED1317" w:rsidRPr="00564A0B">
            <w:rPr>
              <w:color w:val="BFBFBF" w:themeColor="background1" w:themeShade="BF"/>
              <w:sz w:val="16"/>
              <w:szCs w:val="16"/>
            </w:rPr>
            <w:t xml:space="preserve">| </w:t>
          </w:r>
          <w:r w:rsidR="00ED1317" w:rsidRPr="00564A0B">
            <w:rPr>
              <w:i/>
              <w:color w:val="BFBFBF" w:themeColor="background1" w:themeShade="BF"/>
              <w:sz w:val="16"/>
              <w:szCs w:val="16"/>
            </w:rPr>
            <w:t>Workplace Relations Framework Inquiry 2015</w:t>
          </w:r>
        </w:p>
      </w:tc>
      <w:tc>
        <w:tcPr>
          <w:tcW w:w="500" w:type="pct"/>
          <w:tcBorders>
            <w:top w:val="single" w:sz="4" w:space="0" w:color="C0504D" w:themeColor="accent2"/>
          </w:tcBorders>
          <w:shd w:val="clear" w:color="auto" w:fill="0070C0"/>
        </w:tcPr>
        <w:p w14:paraId="00481861" w14:textId="77777777" w:rsidR="00ED1317" w:rsidRPr="00564A0B" w:rsidRDefault="00ED1317">
          <w:pPr>
            <w:pStyle w:val="Header"/>
            <w:rPr>
              <w:color w:val="FFFFFF" w:themeColor="background1"/>
              <w:sz w:val="16"/>
              <w:szCs w:val="16"/>
            </w:rPr>
          </w:pPr>
          <w:r w:rsidRPr="00564A0B">
            <w:rPr>
              <w:sz w:val="16"/>
              <w:szCs w:val="16"/>
            </w:rPr>
            <w:fldChar w:fldCharType="begin"/>
          </w:r>
          <w:r w:rsidRPr="00564A0B">
            <w:rPr>
              <w:sz w:val="16"/>
              <w:szCs w:val="16"/>
            </w:rPr>
            <w:instrText xml:space="preserve"> PAGE   \* MERGEFORMAT </w:instrText>
          </w:r>
          <w:r w:rsidRPr="00564A0B">
            <w:rPr>
              <w:sz w:val="16"/>
              <w:szCs w:val="16"/>
            </w:rPr>
            <w:fldChar w:fldCharType="separate"/>
          </w:r>
          <w:r w:rsidR="009D347D" w:rsidRPr="009D347D">
            <w:rPr>
              <w:noProof/>
              <w:color w:val="FFFFFF" w:themeColor="background1"/>
              <w:sz w:val="16"/>
              <w:szCs w:val="16"/>
            </w:rPr>
            <w:t>1</w:t>
          </w:r>
          <w:r w:rsidRPr="00564A0B">
            <w:rPr>
              <w:noProof/>
              <w:color w:val="FFFFFF" w:themeColor="background1"/>
              <w:sz w:val="16"/>
              <w:szCs w:val="16"/>
            </w:rPr>
            <w:fldChar w:fldCharType="end"/>
          </w:r>
        </w:p>
      </w:tc>
    </w:tr>
  </w:tbl>
  <w:p w14:paraId="59A99DC1" w14:textId="77777777" w:rsidR="00ED1317" w:rsidRDefault="00ED1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6F03F" w14:textId="77777777" w:rsidR="00ED1317" w:rsidRDefault="00ED1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DB31B" w14:textId="77777777" w:rsidR="00ED1317" w:rsidRDefault="00ED1317" w:rsidP="00564A0B">
      <w:pPr>
        <w:spacing w:after="0" w:line="240" w:lineRule="auto"/>
      </w:pPr>
      <w:r>
        <w:separator/>
      </w:r>
    </w:p>
  </w:footnote>
  <w:footnote w:type="continuationSeparator" w:id="0">
    <w:p w14:paraId="3B567D7F" w14:textId="77777777" w:rsidR="00ED1317" w:rsidRDefault="00ED1317" w:rsidP="00564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D0A5A" w14:textId="77777777" w:rsidR="00ED1317" w:rsidRDefault="00ED1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3B5D7" w14:textId="46693738" w:rsidR="00ED1317" w:rsidRDefault="00ED1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7893C" w14:textId="77777777" w:rsidR="00ED1317" w:rsidRDefault="00ED1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3D9"/>
    <w:multiLevelType w:val="hybridMultilevel"/>
    <w:tmpl w:val="971A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C4B3A"/>
    <w:multiLevelType w:val="hybridMultilevel"/>
    <w:tmpl w:val="45CAE34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nsid w:val="2DDC0EFD"/>
    <w:multiLevelType w:val="hybridMultilevel"/>
    <w:tmpl w:val="42E6E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713542"/>
    <w:multiLevelType w:val="hybridMultilevel"/>
    <w:tmpl w:val="B5949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1765754"/>
    <w:multiLevelType w:val="hybridMultilevel"/>
    <w:tmpl w:val="FD289C90"/>
    <w:lvl w:ilvl="0" w:tplc="0C09000F">
      <w:start w:val="1"/>
      <w:numFmt w:val="decimal"/>
      <w:lvlText w:val="%1."/>
      <w:lvlJc w:val="left"/>
      <w:pPr>
        <w:ind w:left="1429" w:hanging="360"/>
      </w:pPr>
      <w:rPr>
        <w:rFont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60F152F8"/>
    <w:multiLevelType w:val="hybridMultilevel"/>
    <w:tmpl w:val="85F23AF0"/>
    <w:lvl w:ilvl="0" w:tplc="BE94CAD4">
      <w:start w:val="1"/>
      <w:numFmt w:val="lowerLetter"/>
      <w:lvlText w:val="%1."/>
      <w:lvlJc w:val="left"/>
      <w:pPr>
        <w:ind w:left="1742" w:hanging="360"/>
      </w:pPr>
      <w:rPr>
        <w:rFonts w:hint="default"/>
        <w:color w:val="548DD4" w:themeColor="text2" w:themeTint="99"/>
      </w:rPr>
    </w:lvl>
    <w:lvl w:ilvl="1" w:tplc="0C090019" w:tentative="1">
      <w:start w:val="1"/>
      <w:numFmt w:val="lowerLetter"/>
      <w:lvlText w:val="%2."/>
      <w:lvlJc w:val="left"/>
      <w:pPr>
        <w:ind w:left="2462" w:hanging="360"/>
      </w:pPr>
    </w:lvl>
    <w:lvl w:ilvl="2" w:tplc="0C09001B" w:tentative="1">
      <w:start w:val="1"/>
      <w:numFmt w:val="lowerRoman"/>
      <w:lvlText w:val="%3."/>
      <w:lvlJc w:val="right"/>
      <w:pPr>
        <w:ind w:left="3182" w:hanging="180"/>
      </w:pPr>
    </w:lvl>
    <w:lvl w:ilvl="3" w:tplc="0C09000F" w:tentative="1">
      <w:start w:val="1"/>
      <w:numFmt w:val="decimal"/>
      <w:lvlText w:val="%4."/>
      <w:lvlJc w:val="left"/>
      <w:pPr>
        <w:ind w:left="3902" w:hanging="360"/>
      </w:pPr>
    </w:lvl>
    <w:lvl w:ilvl="4" w:tplc="0C090019" w:tentative="1">
      <w:start w:val="1"/>
      <w:numFmt w:val="lowerLetter"/>
      <w:lvlText w:val="%5."/>
      <w:lvlJc w:val="left"/>
      <w:pPr>
        <w:ind w:left="4622" w:hanging="360"/>
      </w:pPr>
    </w:lvl>
    <w:lvl w:ilvl="5" w:tplc="0C09001B" w:tentative="1">
      <w:start w:val="1"/>
      <w:numFmt w:val="lowerRoman"/>
      <w:lvlText w:val="%6."/>
      <w:lvlJc w:val="right"/>
      <w:pPr>
        <w:ind w:left="5342" w:hanging="180"/>
      </w:pPr>
    </w:lvl>
    <w:lvl w:ilvl="6" w:tplc="0C09000F" w:tentative="1">
      <w:start w:val="1"/>
      <w:numFmt w:val="decimal"/>
      <w:lvlText w:val="%7."/>
      <w:lvlJc w:val="left"/>
      <w:pPr>
        <w:ind w:left="6062" w:hanging="360"/>
      </w:pPr>
    </w:lvl>
    <w:lvl w:ilvl="7" w:tplc="0C090019" w:tentative="1">
      <w:start w:val="1"/>
      <w:numFmt w:val="lowerLetter"/>
      <w:lvlText w:val="%8."/>
      <w:lvlJc w:val="left"/>
      <w:pPr>
        <w:ind w:left="6782" w:hanging="360"/>
      </w:pPr>
    </w:lvl>
    <w:lvl w:ilvl="8" w:tplc="0C09001B" w:tentative="1">
      <w:start w:val="1"/>
      <w:numFmt w:val="lowerRoman"/>
      <w:lvlText w:val="%9."/>
      <w:lvlJc w:val="right"/>
      <w:pPr>
        <w:ind w:left="7502" w:hanging="180"/>
      </w:pPr>
    </w:lvl>
  </w:abstractNum>
  <w:abstractNum w:abstractNumId="6">
    <w:nsid w:val="7C4711CE"/>
    <w:multiLevelType w:val="hybridMultilevel"/>
    <w:tmpl w:val="0476842E"/>
    <w:lvl w:ilvl="0" w:tplc="99084C64">
      <w:start w:val="1"/>
      <w:numFmt w:val="decimal"/>
      <w:lvlText w:val="%1."/>
      <w:lvlJc w:val="left"/>
      <w:pPr>
        <w:ind w:left="720" w:hanging="360"/>
      </w:pPr>
      <w:rPr>
        <w:rFonts w:hint="default"/>
        <w:color w:val="0070C0"/>
      </w:rPr>
    </w:lvl>
    <w:lvl w:ilvl="1" w:tplc="BE94CAD4">
      <w:start w:val="1"/>
      <w:numFmt w:val="lowerLetter"/>
      <w:lvlText w:val="%2."/>
      <w:lvlJc w:val="left"/>
      <w:pPr>
        <w:ind w:left="1440" w:hanging="360"/>
      </w:pPr>
      <w:rPr>
        <w:rFonts w:hint="default"/>
        <w:color w:val="548DD4" w:themeColor="text2" w:themeTint="99"/>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32"/>
    <w:rsid w:val="000A79FB"/>
    <w:rsid w:val="000E2AA8"/>
    <w:rsid w:val="00106D91"/>
    <w:rsid w:val="001778D7"/>
    <w:rsid w:val="00232132"/>
    <w:rsid w:val="002C32CA"/>
    <w:rsid w:val="002E1E99"/>
    <w:rsid w:val="003332A1"/>
    <w:rsid w:val="003B23F5"/>
    <w:rsid w:val="003F39E2"/>
    <w:rsid w:val="004832AA"/>
    <w:rsid w:val="004F2FE0"/>
    <w:rsid w:val="00564A0B"/>
    <w:rsid w:val="00567259"/>
    <w:rsid w:val="005D132F"/>
    <w:rsid w:val="00645C9B"/>
    <w:rsid w:val="00744E25"/>
    <w:rsid w:val="007471A8"/>
    <w:rsid w:val="00773D94"/>
    <w:rsid w:val="007F0929"/>
    <w:rsid w:val="00825635"/>
    <w:rsid w:val="00846F5F"/>
    <w:rsid w:val="008D2AF6"/>
    <w:rsid w:val="008D3301"/>
    <w:rsid w:val="00941F2E"/>
    <w:rsid w:val="009826DF"/>
    <w:rsid w:val="0098273F"/>
    <w:rsid w:val="009D347D"/>
    <w:rsid w:val="009D4F29"/>
    <w:rsid w:val="00AE3331"/>
    <w:rsid w:val="00AE4AB1"/>
    <w:rsid w:val="00AF2347"/>
    <w:rsid w:val="00B2085C"/>
    <w:rsid w:val="00B40A3A"/>
    <w:rsid w:val="00B8604D"/>
    <w:rsid w:val="00BA31A2"/>
    <w:rsid w:val="00BC20A0"/>
    <w:rsid w:val="00CC544F"/>
    <w:rsid w:val="00CD4B67"/>
    <w:rsid w:val="00D109A8"/>
    <w:rsid w:val="00D30908"/>
    <w:rsid w:val="00D84CE5"/>
    <w:rsid w:val="00E10152"/>
    <w:rsid w:val="00E2270F"/>
    <w:rsid w:val="00E4307F"/>
    <w:rsid w:val="00E720F1"/>
    <w:rsid w:val="00ED1317"/>
    <w:rsid w:val="00F16C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F51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3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132"/>
    <w:pPr>
      <w:ind w:left="720"/>
      <w:contextualSpacing/>
    </w:pPr>
  </w:style>
  <w:style w:type="character" w:customStyle="1" w:styleId="Heading1Char">
    <w:name w:val="Heading 1 Char"/>
    <w:basedOn w:val="DefaultParagraphFont"/>
    <w:link w:val="Heading1"/>
    <w:uiPriority w:val="9"/>
    <w:rsid w:val="008D3301"/>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8D3301"/>
    <w:rPr>
      <w:b/>
      <w:bCs/>
      <w:i/>
      <w:iCs/>
      <w:color w:val="4F81BD" w:themeColor="accent1"/>
    </w:rPr>
  </w:style>
  <w:style w:type="paragraph" w:styleId="Header">
    <w:name w:val="header"/>
    <w:basedOn w:val="Normal"/>
    <w:link w:val="HeaderChar"/>
    <w:uiPriority w:val="99"/>
    <w:unhideWhenUsed/>
    <w:rsid w:val="00564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0B"/>
  </w:style>
  <w:style w:type="paragraph" w:styleId="Footer">
    <w:name w:val="footer"/>
    <w:basedOn w:val="Normal"/>
    <w:link w:val="FooterChar"/>
    <w:uiPriority w:val="99"/>
    <w:unhideWhenUsed/>
    <w:rsid w:val="00564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A0B"/>
  </w:style>
  <w:style w:type="paragraph" w:styleId="BalloonText">
    <w:name w:val="Balloon Text"/>
    <w:basedOn w:val="Normal"/>
    <w:link w:val="BalloonTextChar"/>
    <w:uiPriority w:val="99"/>
    <w:semiHidden/>
    <w:unhideWhenUsed/>
    <w:rsid w:val="00564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0B"/>
    <w:rPr>
      <w:rFonts w:ascii="Tahoma" w:hAnsi="Tahoma" w:cs="Tahoma"/>
      <w:sz w:val="16"/>
      <w:szCs w:val="16"/>
    </w:rPr>
  </w:style>
  <w:style w:type="character" w:styleId="CommentReference">
    <w:name w:val="annotation reference"/>
    <w:basedOn w:val="DefaultParagraphFont"/>
    <w:uiPriority w:val="99"/>
    <w:semiHidden/>
    <w:unhideWhenUsed/>
    <w:rsid w:val="00B8604D"/>
    <w:rPr>
      <w:sz w:val="18"/>
      <w:szCs w:val="18"/>
    </w:rPr>
  </w:style>
  <w:style w:type="paragraph" w:styleId="CommentText">
    <w:name w:val="annotation text"/>
    <w:basedOn w:val="Normal"/>
    <w:link w:val="CommentTextChar"/>
    <w:uiPriority w:val="99"/>
    <w:unhideWhenUsed/>
    <w:rsid w:val="00B8604D"/>
    <w:pPr>
      <w:spacing w:line="240" w:lineRule="auto"/>
    </w:pPr>
    <w:rPr>
      <w:sz w:val="24"/>
      <w:szCs w:val="24"/>
    </w:rPr>
  </w:style>
  <w:style w:type="character" w:customStyle="1" w:styleId="CommentTextChar">
    <w:name w:val="Comment Text Char"/>
    <w:basedOn w:val="DefaultParagraphFont"/>
    <w:link w:val="CommentText"/>
    <w:uiPriority w:val="99"/>
    <w:rsid w:val="00B8604D"/>
    <w:rPr>
      <w:sz w:val="24"/>
      <w:szCs w:val="24"/>
    </w:rPr>
  </w:style>
  <w:style w:type="paragraph" w:styleId="CommentSubject">
    <w:name w:val="annotation subject"/>
    <w:basedOn w:val="CommentText"/>
    <w:next w:val="CommentText"/>
    <w:link w:val="CommentSubjectChar"/>
    <w:uiPriority w:val="99"/>
    <w:semiHidden/>
    <w:unhideWhenUsed/>
    <w:rsid w:val="00B8604D"/>
    <w:rPr>
      <w:b/>
      <w:bCs/>
      <w:sz w:val="20"/>
      <w:szCs w:val="20"/>
    </w:rPr>
  </w:style>
  <w:style w:type="character" w:customStyle="1" w:styleId="CommentSubjectChar">
    <w:name w:val="Comment Subject Char"/>
    <w:basedOn w:val="CommentTextChar"/>
    <w:link w:val="CommentSubject"/>
    <w:uiPriority w:val="99"/>
    <w:semiHidden/>
    <w:rsid w:val="00B860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3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132"/>
    <w:pPr>
      <w:ind w:left="720"/>
      <w:contextualSpacing/>
    </w:pPr>
  </w:style>
  <w:style w:type="character" w:customStyle="1" w:styleId="Heading1Char">
    <w:name w:val="Heading 1 Char"/>
    <w:basedOn w:val="DefaultParagraphFont"/>
    <w:link w:val="Heading1"/>
    <w:uiPriority w:val="9"/>
    <w:rsid w:val="008D3301"/>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8D3301"/>
    <w:rPr>
      <w:b/>
      <w:bCs/>
      <w:i/>
      <w:iCs/>
      <w:color w:val="4F81BD" w:themeColor="accent1"/>
    </w:rPr>
  </w:style>
  <w:style w:type="paragraph" w:styleId="Header">
    <w:name w:val="header"/>
    <w:basedOn w:val="Normal"/>
    <w:link w:val="HeaderChar"/>
    <w:uiPriority w:val="99"/>
    <w:unhideWhenUsed/>
    <w:rsid w:val="00564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0B"/>
  </w:style>
  <w:style w:type="paragraph" w:styleId="Footer">
    <w:name w:val="footer"/>
    <w:basedOn w:val="Normal"/>
    <w:link w:val="FooterChar"/>
    <w:uiPriority w:val="99"/>
    <w:unhideWhenUsed/>
    <w:rsid w:val="00564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A0B"/>
  </w:style>
  <w:style w:type="paragraph" w:styleId="BalloonText">
    <w:name w:val="Balloon Text"/>
    <w:basedOn w:val="Normal"/>
    <w:link w:val="BalloonTextChar"/>
    <w:uiPriority w:val="99"/>
    <w:semiHidden/>
    <w:unhideWhenUsed/>
    <w:rsid w:val="00564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0B"/>
    <w:rPr>
      <w:rFonts w:ascii="Tahoma" w:hAnsi="Tahoma" w:cs="Tahoma"/>
      <w:sz w:val="16"/>
      <w:szCs w:val="16"/>
    </w:rPr>
  </w:style>
  <w:style w:type="character" w:styleId="CommentReference">
    <w:name w:val="annotation reference"/>
    <w:basedOn w:val="DefaultParagraphFont"/>
    <w:uiPriority w:val="99"/>
    <w:semiHidden/>
    <w:unhideWhenUsed/>
    <w:rsid w:val="00B8604D"/>
    <w:rPr>
      <w:sz w:val="18"/>
      <w:szCs w:val="18"/>
    </w:rPr>
  </w:style>
  <w:style w:type="paragraph" w:styleId="CommentText">
    <w:name w:val="annotation text"/>
    <w:basedOn w:val="Normal"/>
    <w:link w:val="CommentTextChar"/>
    <w:uiPriority w:val="99"/>
    <w:unhideWhenUsed/>
    <w:rsid w:val="00B8604D"/>
    <w:pPr>
      <w:spacing w:line="240" w:lineRule="auto"/>
    </w:pPr>
    <w:rPr>
      <w:sz w:val="24"/>
      <w:szCs w:val="24"/>
    </w:rPr>
  </w:style>
  <w:style w:type="character" w:customStyle="1" w:styleId="CommentTextChar">
    <w:name w:val="Comment Text Char"/>
    <w:basedOn w:val="DefaultParagraphFont"/>
    <w:link w:val="CommentText"/>
    <w:uiPriority w:val="99"/>
    <w:rsid w:val="00B8604D"/>
    <w:rPr>
      <w:sz w:val="24"/>
      <w:szCs w:val="24"/>
    </w:rPr>
  </w:style>
  <w:style w:type="paragraph" w:styleId="CommentSubject">
    <w:name w:val="annotation subject"/>
    <w:basedOn w:val="CommentText"/>
    <w:next w:val="CommentText"/>
    <w:link w:val="CommentSubjectChar"/>
    <w:uiPriority w:val="99"/>
    <w:semiHidden/>
    <w:unhideWhenUsed/>
    <w:rsid w:val="00B8604D"/>
    <w:rPr>
      <w:b/>
      <w:bCs/>
      <w:sz w:val="20"/>
      <w:szCs w:val="20"/>
    </w:rPr>
  </w:style>
  <w:style w:type="character" w:customStyle="1" w:styleId="CommentSubjectChar">
    <w:name w:val="Comment Subject Char"/>
    <w:basedOn w:val="CommentTextChar"/>
    <w:link w:val="CommentSubject"/>
    <w:uiPriority w:val="99"/>
    <w:semiHidden/>
    <w:rsid w:val="00B86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Submission 98 - Networks NSW (Ausgrid, Endeavour Energy, Essential Energy) - Workplace Relations Framework - Public inquiry</vt:lpstr>
    </vt:vector>
  </TitlesOfParts>
  <Company>Networks NSW (Ausgrid, Endeavour Energy, Essential Energy)</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98 - Networks NSW (Ausgrid, Endeavour Energy, Essential Energy) - Workplace Relations Framework - Public inquiry</dc:title>
  <dc:creator>Networks NSW (Ausgrid, Endeavour Energy, Essential Energy)</dc:creator>
  <cp:lastModifiedBy>Productivity Commission</cp:lastModifiedBy>
  <cp:revision>3</cp:revision>
  <cp:lastPrinted>2015-03-03T04:54:00Z</cp:lastPrinted>
  <dcterms:created xsi:type="dcterms:W3CDTF">2015-03-22T05:27:00Z</dcterms:created>
  <dcterms:modified xsi:type="dcterms:W3CDTF">2015-03-23T02:23:00Z</dcterms:modified>
</cp:coreProperties>
</file>