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7C" w:rsidRPr="0049327C" w:rsidRDefault="0049327C" w:rsidP="0049327C">
      <w:pPr>
        <w:pBdr>
          <w:top w:val="single" w:sz="4" w:space="1" w:color="auto"/>
          <w:left w:val="single" w:sz="4" w:space="4" w:color="auto"/>
          <w:bottom w:val="single" w:sz="4" w:space="1" w:color="auto"/>
          <w:right w:val="single" w:sz="4" w:space="4" w:color="auto"/>
        </w:pBdr>
        <w:rPr>
          <w:rFonts w:asciiTheme="minorHAnsi" w:eastAsia="Times New Roman" w:hAnsiTheme="minorHAnsi" w:cs="Lucida Sans Unicode"/>
          <w:b/>
          <w:color w:val="000000"/>
          <w:sz w:val="16"/>
          <w:szCs w:val="24"/>
          <w:lang w:val="en" w:eastAsia="en-AU"/>
        </w:rPr>
      </w:pPr>
      <w:bookmarkStart w:id="0" w:name="_GoBack"/>
      <w:bookmarkEnd w:id="0"/>
    </w:p>
    <w:p w:rsidR="0049327C" w:rsidRPr="0049327C" w:rsidRDefault="0049327C" w:rsidP="0049327C">
      <w:pPr>
        <w:pBdr>
          <w:top w:val="single" w:sz="4" w:space="1" w:color="auto"/>
          <w:left w:val="single" w:sz="4" w:space="4" w:color="auto"/>
          <w:bottom w:val="single" w:sz="4" w:space="1" w:color="auto"/>
          <w:right w:val="single" w:sz="4" w:space="4" w:color="auto"/>
        </w:pBdr>
        <w:jc w:val="center"/>
        <w:rPr>
          <w:rFonts w:asciiTheme="minorHAnsi" w:eastAsia="Times New Roman" w:hAnsiTheme="minorHAnsi" w:cs="Lucida Sans Unicode"/>
          <w:b/>
          <w:color w:val="000000"/>
          <w:sz w:val="32"/>
          <w:szCs w:val="24"/>
          <w:lang w:val="en" w:eastAsia="en-AU"/>
        </w:rPr>
      </w:pPr>
      <w:r w:rsidRPr="0049327C">
        <w:rPr>
          <w:rFonts w:asciiTheme="minorHAnsi" w:eastAsia="Times New Roman" w:hAnsiTheme="minorHAnsi" w:cs="Lucida Sans Unicode"/>
          <w:b/>
          <w:color w:val="000000"/>
          <w:sz w:val="32"/>
          <w:szCs w:val="24"/>
          <w:lang w:val="en" w:eastAsia="en-AU"/>
        </w:rPr>
        <w:t>DEPARTMENT OF INFRASTRUCTURE AND REGIONAL DEVELOPMENT</w:t>
      </w:r>
    </w:p>
    <w:p w:rsidR="0049327C" w:rsidRPr="0049327C" w:rsidRDefault="0049327C" w:rsidP="0049327C">
      <w:pPr>
        <w:pBdr>
          <w:top w:val="single" w:sz="4" w:space="1" w:color="auto"/>
          <w:left w:val="single" w:sz="4" w:space="4" w:color="auto"/>
          <w:bottom w:val="single" w:sz="4" w:space="1" w:color="auto"/>
          <w:right w:val="single" w:sz="4" w:space="4" w:color="auto"/>
        </w:pBdr>
        <w:spacing w:before="200"/>
        <w:jc w:val="center"/>
        <w:rPr>
          <w:rFonts w:asciiTheme="minorHAnsi" w:eastAsia="Times New Roman" w:hAnsiTheme="minorHAnsi" w:cs="Lucida Sans Unicode"/>
          <w:b/>
          <w:color w:val="000000"/>
          <w:sz w:val="32"/>
          <w:szCs w:val="24"/>
          <w:lang w:val="en" w:eastAsia="en-AU"/>
        </w:rPr>
      </w:pPr>
      <w:r w:rsidRPr="0049327C">
        <w:rPr>
          <w:rFonts w:asciiTheme="minorHAnsi" w:eastAsia="Times New Roman" w:hAnsiTheme="minorHAnsi" w:cs="Lucida Sans Unicode"/>
          <w:b/>
          <w:color w:val="000000"/>
          <w:sz w:val="32"/>
          <w:szCs w:val="24"/>
          <w:lang w:val="en" w:eastAsia="en-AU"/>
        </w:rPr>
        <w:t>SUBMISSION TO THE</w:t>
      </w:r>
    </w:p>
    <w:p w:rsidR="0049327C" w:rsidRPr="0049327C" w:rsidRDefault="0049327C" w:rsidP="0049327C">
      <w:pPr>
        <w:pBdr>
          <w:top w:val="single" w:sz="4" w:space="1" w:color="auto"/>
          <w:left w:val="single" w:sz="4" w:space="4" w:color="auto"/>
          <w:bottom w:val="single" w:sz="4" w:space="1" w:color="auto"/>
          <w:right w:val="single" w:sz="4" w:space="4" w:color="auto"/>
        </w:pBdr>
        <w:spacing w:before="200"/>
        <w:jc w:val="center"/>
        <w:rPr>
          <w:rFonts w:asciiTheme="minorHAnsi" w:eastAsia="Times New Roman" w:hAnsiTheme="minorHAnsi" w:cs="Lucida Sans Unicode"/>
          <w:b/>
          <w:color w:val="000000"/>
          <w:sz w:val="32"/>
          <w:szCs w:val="24"/>
          <w:lang w:val="en" w:eastAsia="en-AU"/>
        </w:rPr>
      </w:pPr>
      <w:r w:rsidRPr="0049327C">
        <w:rPr>
          <w:rFonts w:asciiTheme="minorHAnsi" w:eastAsia="Times New Roman" w:hAnsiTheme="minorHAnsi" w:cs="Lucida Sans Unicode"/>
          <w:b/>
          <w:color w:val="000000"/>
          <w:sz w:val="32"/>
          <w:szCs w:val="24"/>
          <w:lang w:val="en" w:eastAsia="en-AU"/>
        </w:rPr>
        <w:t xml:space="preserve">PRODUCTIVITY COMMISSION </w:t>
      </w:r>
    </w:p>
    <w:p w:rsidR="0049327C" w:rsidRPr="0049327C" w:rsidRDefault="0049327C" w:rsidP="0049327C">
      <w:pPr>
        <w:pBdr>
          <w:top w:val="single" w:sz="4" w:space="1" w:color="auto"/>
          <w:left w:val="single" w:sz="4" w:space="4" w:color="auto"/>
          <w:bottom w:val="single" w:sz="4" w:space="1" w:color="auto"/>
          <w:right w:val="single" w:sz="4" w:space="4" w:color="auto"/>
        </w:pBdr>
        <w:spacing w:before="200"/>
        <w:jc w:val="center"/>
        <w:rPr>
          <w:rFonts w:asciiTheme="minorHAnsi" w:eastAsia="Times New Roman" w:hAnsiTheme="minorHAnsi" w:cs="Lucida Sans Unicode"/>
          <w:b/>
          <w:color w:val="000000"/>
          <w:sz w:val="32"/>
          <w:szCs w:val="24"/>
          <w:lang w:val="en" w:eastAsia="en-AU"/>
        </w:rPr>
      </w:pPr>
      <w:r w:rsidRPr="0049327C">
        <w:rPr>
          <w:rFonts w:asciiTheme="minorHAnsi" w:eastAsia="Times New Roman" w:hAnsiTheme="minorHAnsi" w:cs="Lucida Sans Unicode"/>
          <w:b/>
          <w:color w:val="000000"/>
          <w:sz w:val="32"/>
          <w:szCs w:val="24"/>
          <w:lang w:val="en" w:eastAsia="en-AU"/>
        </w:rPr>
        <w:t>REVIEW OF THE MUTUAL RECOGNITION AGREEMENT AND TRANS-TASMAN MUTUAL RECOGNITION ARRANGEMENT</w:t>
      </w:r>
    </w:p>
    <w:p w:rsidR="0049327C" w:rsidRPr="0049327C" w:rsidRDefault="00A54A3D" w:rsidP="0049327C">
      <w:pPr>
        <w:pBdr>
          <w:top w:val="single" w:sz="4" w:space="1" w:color="auto"/>
          <w:left w:val="single" w:sz="4" w:space="4" w:color="auto"/>
          <w:bottom w:val="single" w:sz="4" w:space="1" w:color="auto"/>
          <w:right w:val="single" w:sz="4" w:space="4" w:color="auto"/>
        </w:pBdr>
        <w:spacing w:before="200"/>
        <w:jc w:val="center"/>
        <w:rPr>
          <w:rFonts w:asciiTheme="minorHAnsi" w:eastAsia="Times New Roman" w:hAnsiTheme="minorHAnsi" w:cs="Lucida Sans Unicode"/>
          <w:b/>
          <w:color w:val="000000"/>
          <w:sz w:val="32"/>
          <w:szCs w:val="24"/>
          <w:lang w:val="en" w:eastAsia="en-AU"/>
        </w:rPr>
      </w:pPr>
      <w:r w:rsidRPr="0049327C">
        <w:rPr>
          <w:rFonts w:asciiTheme="minorHAnsi" w:eastAsia="Times New Roman" w:hAnsiTheme="minorHAnsi" w:cs="Lucida Sans Unicode"/>
          <w:b/>
          <w:color w:val="000000"/>
          <w:sz w:val="32"/>
          <w:szCs w:val="24"/>
          <w:lang w:val="en" w:eastAsia="en-AU"/>
        </w:rPr>
        <w:t>2</w:t>
      </w:r>
      <w:r>
        <w:rPr>
          <w:rFonts w:asciiTheme="minorHAnsi" w:eastAsia="Times New Roman" w:hAnsiTheme="minorHAnsi" w:cs="Lucida Sans Unicode"/>
          <w:b/>
          <w:color w:val="000000"/>
          <w:sz w:val="32"/>
          <w:szCs w:val="24"/>
          <w:lang w:val="en" w:eastAsia="en-AU"/>
        </w:rPr>
        <w:t>8</w:t>
      </w:r>
      <w:r w:rsidRPr="0049327C">
        <w:rPr>
          <w:rFonts w:asciiTheme="minorHAnsi" w:eastAsia="Times New Roman" w:hAnsiTheme="minorHAnsi" w:cs="Lucida Sans Unicode"/>
          <w:b/>
          <w:color w:val="000000"/>
          <w:sz w:val="32"/>
          <w:szCs w:val="24"/>
          <w:lang w:val="en" w:eastAsia="en-AU"/>
        </w:rPr>
        <w:t xml:space="preserve"> </w:t>
      </w:r>
      <w:r w:rsidR="0049327C" w:rsidRPr="0049327C">
        <w:rPr>
          <w:rFonts w:asciiTheme="minorHAnsi" w:eastAsia="Times New Roman" w:hAnsiTheme="minorHAnsi" w:cs="Lucida Sans Unicode"/>
          <w:b/>
          <w:color w:val="000000"/>
          <w:sz w:val="32"/>
          <w:szCs w:val="24"/>
          <w:lang w:val="en" w:eastAsia="en-AU"/>
        </w:rPr>
        <w:t>APRIL 2015</w:t>
      </w:r>
    </w:p>
    <w:p w:rsidR="0049327C" w:rsidRPr="0049327C" w:rsidRDefault="0049327C" w:rsidP="0049327C">
      <w:pPr>
        <w:pBdr>
          <w:top w:val="single" w:sz="4" w:space="1" w:color="auto"/>
          <w:left w:val="single" w:sz="4" w:space="4" w:color="auto"/>
          <w:bottom w:val="single" w:sz="4" w:space="1" w:color="auto"/>
          <w:right w:val="single" w:sz="4" w:space="4" w:color="auto"/>
        </w:pBdr>
        <w:rPr>
          <w:rFonts w:asciiTheme="minorHAnsi" w:eastAsia="Times New Roman" w:hAnsiTheme="minorHAnsi" w:cs="Lucida Sans Unicode"/>
          <w:b/>
          <w:color w:val="000000"/>
          <w:sz w:val="18"/>
          <w:szCs w:val="24"/>
          <w:lang w:val="en" w:eastAsia="en-AU"/>
        </w:rPr>
      </w:pPr>
    </w:p>
    <w:p w:rsidR="0049327C" w:rsidRPr="0049327C" w:rsidRDefault="0049327C" w:rsidP="00A650BC">
      <w:pPr>
        <w:rPr>
          <w:rFonts w:asciiTheme="minorHAnsi" w:hAnsiTheme="minorHAnsi"/>
          <w:sz w:val="24"/>
          <w:szCs w:val="24"/>
        </w:rPr>
      </w:pPr>
    </w:p>
    <w:p w:rsidR="0049327C" w:rsidRDefault="0049327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B77C0C" w:rsidRDefault="00B77C0C" w:rsidP="00A650BC">
      <w:pPr>
        <w:rPr>
          <w:rFonts w:asciiTheme="minorHAnsi" w:hAnsiTheme="minorHAnsi"/>
          <w:sz w:val="24"/>
          <w:szCs w:val="24"/>
        </w:rPr>
      </w:pPr>
    </w:p>
    <w:p w:rsidR="005752A4" w:rsidRDefault="005752A4" w:rsidP="00A650BC">
      <w:pPr>
        <w:rPr>
          <w:rFonts w:asciiTheme="minorHAnsi" w:hAnsiTheme="minorHAnsi"/>
          <w:sz w:val="24"/>
          <w:szCs w:val="24"/>
        </w:rPr>
      </w:pPr>
    </w:p>
    <w:p w:rsidR="005752A4" w:rsidRDefault="005752A4" w:rsidP="00A650BC">
      <w:pPr>
        <w:rPr>
          <w:rFonts w:asciiTheme="minorHAnsi" w:hAnsiTheme="minorHAnsi"/>
          <w:sz w:val="24"/>
          <w:szCs w:val="24"/>
        </w:rPr>
      </w:pPr>
    </w:p>
    <w:p w:rsidR="005752A4" w:rsidRDefault="005752A4" w:rsidP="00A650BC">
      <w:pPr>
        <w:rPr>
          <w:rFonts w:asciiTheme="minorHAnsi" w:hAnsiTheme="minorHAnsi"/>
          <w:sz w:val="24"/>
          <w:szCs w:val="24"/>
        </w:rPr>
      </w:pPr>
    </w:p>
    <w:p w:rsidR="005752A4" w:rsidRDefault="005752A4" w:rsidP="00A650BC">
      <w:pPr>
        <w:rPr>
          <w:rFonts w:asciiTheme="minorHAnsi" w:hAnsiTheme="minorHAnsi"/>
          <w:sz w:val="24"/>
          <w:szCs w:val="24"/>
        </w:rPr>
      </w:pPr>
    </w:p>
    <w:p w:rsidR="005752A4" w:rsidRDefault="005752A4" w:rsidP="00A650BC">
      <w:pPr>
        <w:rPr>
          <w:rFonts w:asciiTheme="minorHAnsi" w:hAnsiTheme="minorHAnsi"/>
          <w:sz w:val="24"/>
          <w:szCs w:val="24"/>
        </w:rPr>
      </w:pPr>
    </w:p>
    <w:p w:rsidR="00B77C0C" w:rsidRPr="0049327C" w:rsidRDefault="00B77C0C" w:rsidP="00A650BC">
      <w:pPr>
        <w:rPr>
          <w:rFonts w:asciiTheme="minorHAnsi" w:hAnsiTheme="minorHAnsi"/>
          <w:sz w:val="24"/>
          <w:szCs w:val="24"/>
        </w:rPr>
      </w:pPr>
    </w:p>
    <w:p w:rsidR="0049327C" w:rsidRPr="0049327C" w:rsidRDefault="0049327C" w:rsidP="00A650BC">
      <w:pPr>
        <w:rPr>
          <w:rFonts w:asciiTheme="minorHAnsi" w:hAnsiTheme="minorHAnsi"/>
          <w:sz w:val="24"/>
          <w:szCs w:val="24"/>
        </w:rPr>
      </w:pPr>
    </w:p>
    <w:p w:rsidR="00A54A3D" w:rsidRPr="00076B44" w:rsidRDefault="00A54A3D" w:rsidP="00076B44">
      <w:pPr>
        <w:pStyle w:val="Heading1"/>
        <w:spacing w:after="480"/>
        <w:rPr>
          <w:rFonts w:eastAsia="Times New Roman"/>
          <w:color w:val="548DD4" w:themeColor="text2" w:themeTint="99"/>
          <w:sz w:val="24"/>
          <w:szCs w:val="24"/>
          <w:lang w:val="en" w:eastAsia="en-AU"/>
        </w:rPr>
      </w:pPr>
      <w:bookmarkStart w:id="1" w:name="_Toc411609970"/>
      <w:r w:rsidRPr="00076B44">
        <w:rPr>
          <w:rFonts w:eastAsia="Times New Roman"/>
          <w:color w:val="548DD4" w:themeColor="text2" w:themeTint="99"/>
          <w:sz w:val="24"/>
          <w:szCs w:val="24"/>
          <w:lang w:val="en" w:eastAsia="en-AU"/>
        </w:rPr>
        <w:lastRenderedPageBreak/>
        <w:t>RESPONSE TO THE REVIEW</w:t>
      </w:r>
    </w:p>
    <w:bookmarkEnd w:id="1"/>
    <w:p w:rsidR="005752A4" w:rsidRPr="005752A4" w:rsidRDefault="00A54A3D" w:rsidP="001E6998">
      <w:pPr>
        <w:pStyle w:val="Heading2"/>
        <w:spacing w:before="240" w:after="240"/>
        <w:rPr>
          <w:lang w:val="en" w:eastAsia="en-AU"/>
        </w:rPr>
      </w:pPr>
      <w:r w:rsidRPr="001E6998">
        <w:rPr>
          <w:color w:val="548DD4" w:themeColor="text2" w:themeTint="99"/>
          <w:sz w:val="22"/>
          <w:szCs w:val="22"/>
          <w:lang w:val="en" w:eastAsia="en-AU"/>
        </w:rPr>
        <w:t>I</w:t>
      </w:r>
      <w:r w:rsidRPr="00076B44">
        <w:rPr>
          <w:color w:val="548DD4" w:themeColor="text2" w:themeTint="99"/>
          <w:sz w:val="22"/>
          <w:szCs w:val="22"/>
          <w:lang w:val="en" w:eastAsia="en-AU"/>
        </w:rPr>
        <w:t>ntroduction</w:t>
      </w:r>
    </w:p>
    <w:p w:rsidR="00A650BC" w:rsidRPr="0049327C" w:rsidRDefault="00A650BC" w:rsidP="00A650BC">
      <w:pPr>
        <w:rPr>
          <w:rFonts w:asciiTheme="minorHAnsi" w:hAnsiTheme="minorHAnsi"/>
        </w:rPr>
      </w:pPr>
      <w:r w:rsidRPr="0049327C">
        <w:rPr>
          <w:rFonts w:asciiTheme="minorHAnsi" w:hAnsiTheme="minorHAnsi"/>
        </w:rPr>
        <w:t xml:space="preserve">The </w:t>
      </w:r>
      <w:r w:rsidRPr="0049327C">
        <w:rPr>
          <w:rFonts w:asciiTheme="minorHAnsi" w:hAnsiTheme="minorHAnsi"/>
          <w:i/>
        </w:rPr>
        <w:t>Motor Vehicle Standards Act 1989</w:t>
      </w:r>
      <w:r w:rsidRPr="0049327C">
        <w:rPr>
          <w:rFonts w:asciiTheme="minorHAnsi" w:hAnsiTheme="minorHAnsi"/>
        </w:rPr>
        <w:t xml:space="preserve"> (the Act) provides a legislative basis for Australia to apply international vehicle design and performance standards and meet Australia’s international treaty obligations</w:t>
      </w:r>
      <w:r w:rsidRPr="0049327C">
        <w:rPr>
          <w:rStyle w:val="FootnoteReference"/>
          <w:rFonts w:asciiTheme="minorHAnsi" w:hAnsiTheme="minorHAnsi"/>
        </w:rPr>
        <w:footnoteReference w:id="1"/>
      </w:r>
      <w:r w:rsidRPr="0049327C">
        <w:rPr>
          <w:rFonts w:asciiTheme="minorHAnsi" w:hAnsiTheme="minorHAnsi"/>
        </w:rPr>
        <w:t xml:space="preserve">.  </w:t>
      </w:r>
    </w:p>
    <w:p w:rsidR="00A650BC" w:rsidRPr="0049327C" w:rsidRDefault="00A650BC" w:rsidP="00A650BC">
      <w:pPr>
        <w:rPr>
          <w:rFonts w:asciiTheme="minorHAnsi" w:hAnsiTheme="minorHAnsi"/>
        </w:rPr>
      </w:pPr>
    </w:p>
    <w:p w:rsidR="00D43A5B" w:rsidRPr="0049327C" w:rsidRDefault="00A650BC" w:rsidP="00A650BC">
      <w:pPr>
        <w:rPr>
          <w:rFonts w:asciiTheme="minorHAnsi" w:hAnsiTheme="minorHAnsi"/>
        </w:rPr>
      </w:pPr>
      <w:r w:rsidRPr="0049327C">
        <w:rPr>
          <w:rFonts w:asciiTheme="minorHAnsi" w:hAnsiTheme="minorHAnsi"/>
        </w:rPr>
        <w:t>Under the Act and the Motor Vehicle Standards Regulations 1989 (the Regulations) the Commonwealth maintains a system that requires road vehicles to meet national design and performance standards - Australian Design Rules (ADRs) - before they can be supplied to the Australian market. The ADRs set requirements for vehicle safety, environmental performance and anti</w:t>
      </w:r>
      <w:r w:rsidRPr="0049327C">
        <w:rPr>
          <w:rFonts w:asciiTheme="minorHAnsi" w:hAnsiTheme="minorHAnsi"/>
        </w:rPr>
        <w:noBreakHyphen/>
        <w:t>theft protection in line with community expectations and international standards.</w:t>
      </w:r>
      <w:r w:rsidR="00D627A5" w:rsidRPr="0049327C">
        <w:rPr>
          <w:rFonts w:asciiTheme="minorHAnsi" w:hAnsiTheme="minorHAnsi"/>
        </w:rPr>
        <w:t xml:space="preserve">  </w:t>
      </w:r>
    </w:p>
    <w:p w:rsidR="00D627A5" w:rsidRPr="0049327C" w:rsidRDefault="00D627A5" w:rsidP="00D627A5">
      <w:pPr>
        <w:rPr>
          <w:rFonts w:asciiTheme="minorHAnsi" w:hAnsiTheme="minorHAnsi"/>
        </w:rPr>
      </w:pPr>
      <w:r w:rsidRPr="0049327C">
        <w:rPr>
          <w:rFonts w:asciiTheme="minorHAnsi" w:hAnsiTheme="minorHAnsi"/>
        </w:rPr>
        <w:t>Since the mid-1980s, the ADRs have been progressively harmonised with internationally based United Nations (UN) vehicle regulations, which are developed by the UN World Forum for Harmonization of Vehicle Regulations (Working Party 29).  Harmonisation ensures that vehicles built to the most recent safety, environmental and anti-theft standards are supplied to the Australian market at the least cost and that Australia has access to the latest vehicle technologies.</w:t>
      </w:r>
    </w:p>
    <w:p w:rsidR="00D627A5" w:rsidRPr="0049327C" w:rsidRDefault="00D627A5" w:rsidP="00D627A5">
      <w:pPr>
        <w:rPr>
          <w:rFonts w:asciiTheme="minorHAnsi" w:hAnsiTheme="minorHAnsi"/>
        </w:rPr>
      </w:pPr>
    </w:p>
    <w:p w:rsidR="00B17751" w:rsidRPr="0049327C" w:rsidRDefault="00D627A5" w:rsidP="00A650BC">
      <w:pPr>
        <w:rPr>
          <w:rFonts w:asciiTheme="minorHAnsi" w:hAnsiTheme="minorHAnsi"/>
        </w:rPr>
      </w:pPr>
      <w:r w:rsidRPr="0049327C">
        <w:rPr>
          <w:rFonts w:asciiTheme="minorHAnsi" w:hAnsiTheme="minorHAnsi"/>
        </w:rPr>
        <w:t>A</w:t>
      </w:r>
      <w:r w:rsidR="00D43A5B" w:rsidRPr="0049327C">
        <w:rPr>
          <w:rFonts w:asciiTheme="minorHAnsi" w:hAnsiTheme="minorHAnsi"/>
        </w:rPr>
        <w:t xml:space="preserve">s announced by </w:t>
      </w:r>
      <w:r w:rsidR="00A87EFB">
        <w:rPr>
          <w:rFonts w:asciiTheme="minorHAnsi" w:hAnsiTheme="minorHAnsi"/>
        </w:rPr>
        <w:t xml:space="preserve">the </w:t>
      </w:r>
      <w:r w:rsidR="00D43A5B" w:rsidRPr="0049327C">
        <w:rPr>
          <w:rFonts w:asciiTheme="minorHAnsi" w:hAnsiTheme="minorHAnsi"/>
        </w:rPr>
        <w:t>Assistant Minister for Infrastructure</w:t>
      </w:r>
      <w:r w:rsidR="00BE23F3" w:rsidRPr="0049327C">
        <w:rPr>
          <w:rFonts w:asciiTheme="minorHAnsi" w:hAnsiTheme="minorHAnsi"/>
        </w:rPr>
        <w:t xml:space="preserve"> and Regional Development</w:t>
      </w:r>
      <w:r w:rsidR="00D43A5B" w:rsidRPr="0049327C">
        <w:rPr>
          <w:rFonts w:asciiTheme="minorHAnsi" w:hAnsiTheme="minorHAnsi"/>
        </w:rPr>
        <w:t>, the</w:t>
      </w:r>
      <w:r w:rsidR="00A87EFB">
        <w:rPr>
          <w:rFonts w:asciiTheme="minorHAnsi" w:hAnsiTheme="minorHAnsi"/>
        </w:rPr>
        <w:t> </w:t>
      </w:r>
      <w:r w:rsidR="00D43A5B" w:rsidRPr="0049327C">
        <w:rPr>
          <w:rFonts w:asciiTheme="minorHAnsi" w:hAnsiTheme="minorHAnsi"/>
        </w:rPr>
        <w:t>Hon</w:t>
      </w:r>
      <w:r w:rsidR="00A87EFB">
        <w:rPr>
          <w:rFonts w:asciiTheme="minorHAnsi" w:hAnsiTheme="minorHAnsi"/>
        </w:rPr>
        <w:t> </w:t>
      </w:r>
      <w:r w:rsidR="00D43A5B" w:rsidRPr="0049327C">
        <w:rPr>
          <w:rFonts w:asciiTheme="minorHAnsi" w:hAnsiTheme="minorHAnsi"/>
        </w:rPr>
        <w:t>Jamie</w:t>
      </w:r>
      <w:r w:rsidR="00A87EFB">
        <w:rPr>
          <w:rFonts w:asciiTheme="minorHAnsi" w:hAnsiTheme="minorHAnsi"/>
        </w:rPr>
        <w:t> </w:t>
      </w:r>
      <w:r w:rsidR="00D43A5B" w:rsidRPr="0049327C">
        <w:rPr>
          <w:rFonts w:asciiTheme="minorHAnsi" w:hAnsiTheme="minorHAnsi"/>
        </w:rPr>
        <w:t>Briggs MP in January 2014</w:t>
      </w:r>
      <w:r w:rsidRPr="0049327C">
        <w:rPr>
          <w:rFonts w:asciiTheme="minorHAnsi" w:hAnsiTheme="minorHAnsi"/>
        </w:rPr>
        <w:t xml:space="preserve"> the Act is currently under review</w:t>
      </w:r>
      <w:r w:rsidR="00D43A5B" w:rsidRPr="0049327C">
        <w:rPr>
          <w:rFonts w:asciiTheme="minorHAnsi" w:hAnsiTheme="minorHAnsi"/>
        </w:rPr>
        <w:t xml:space="preserve">.  As part of the </w:t>
      </w:r>
      <w:r w:rsidR="005A22DE" w:rsidRPr="0049327C">
        <w:rPr>
          <w:rFonts w:asciiTheme="minorHAnsi" w:hAnsiTheme="minorHAnsi"/>
        </w:rPr>
        <w:t>R</w:t>
      </w:r>
      <w:r w:rsidR="00D43A5B" w:rsidRPr="0049327C">
        <w:rPr>
          <w:rFonts w:asciiTheme="minorHAnsi" w:hAnsiTheme="minorHAnsi"/>
        </w:rPr>
        <w:t xml:space="preserve">eview options </w:t>
      </w:r>
      <w:r w:rsidRPr="0049327C">
        <w:rPr>
          <w:rFonts w:asciiTheme="minorHAnsi" w:hAnsiTheme="minorHAnsi"/>
        </w:rPr>
        <w:t xml:space="preserve">are being considered </w:t>
      </w:r>
      <w:r w:rsidR="00D43A5B" w:rsidRPr="0049327C">
        <w:rPr>
          <w:rFonts w:asciiTheme="minorHAnsi" w:hAnsiTheme="minorHAnsi"/>
        </w:rPr>
        <w:t xml:space="preserve">to further accelerate the process of harmonising with </w:t>
      </w:r>
      <w:r w:rsidRPr="0049327C">
        <w:rPr>
          <w:rFonts w:asciiTheme="minorHAnsi" w:hAnsiTheme="minorHAnsi"/>
        </w:rPr>
        <w:t>UN regulations</w:t>
      </w:r>
      <w:r w:rsidR="00D43A5B" w:rsidRPr="0049327C">
        <w:rPr>
          <w:rFonts w:asciiTheme="minorHAnsi" w:hAnsiTheme="minorHAnsi"/>
        </w:rPr>
        <w:t>, particularly for light vehicles.</w:t>
      </w:r>
    </w:p>
    <w:p w:rsidR="0049327C" w:rsidRPr="00076B44" w:rsidRDefault="00A47432" w:rsidP="001E6998">
      <w:pPr>
        <w:pStyle w:val="Heading2"/>
        <w:spacing w:before="240" w:after="240"/>
        <w:rPr>
          <w:color w:val="548DD4" w:themeColor="text2" w:themeTint="99"/>
          <w:lang w:val="en" w:eastAsia="en-AU"/>
        </w:rPr>
      </w:pPr>
      <w:r w:rsidRPr="00076B44">
        <w:rPr>
          <w:color w:val="548DD4" w:themeColor="text2" w:themeTint="99"/>
          <w:sz w:val="22"/>
          <w:szCs w:val="22"/>
          <w:lang w:val="en" w:eastAsia="en-AU"/>
        </w:rPr>
        <w:t>Existing exemption for road vehicles</w:t>
      </w:r>
    </w:p>
    <w:p w:rsidR="00B1423E" w:rsidRPr="0049327C" w:rsidRDefault="00BE23F3" w:rsidP="00C45AB7">
      <w:pPr>
        <w:rPr>
          <w:rFonts w:asciiTheme="minorHAnsi" w:hAnsiTheme="minorHAnsi"/>
        </w:rPr>
      </w:pPr>
      <w:r w:rsidRPr="0049327C">
        <w:rPr>
          <w:rFonts w:asciiTheme="minorHAnsi" w:hAnsiTheme="minorHAnsi"/>
        </w:rPr>
        <w:t>In 1998, t</w:t>
      </w:r>
      <w:r w:rsidR="00A650BC" w:rsidRPr="0049327C">
        <w:rPr>
          <w:rFonts w:asciiTheme="minorHAnsi" w:hAnsiTheme="minorHAnsi"/>
        </w:rPr>
        <w:t xml:space="preserve">he </w:t>
      </w:r>
      <w:r w:rsidR="00BB7DBA" w:rsidRPr="0049327C">
        <w:rPr>
          <w:rFonts w:asciiTheme="minorHAnsi" w:hAnsiTheme="minorHAnsi"/>
        </w:rPr>
        <w:t>Trans-Tasman Mutual Recognition Arrangement (T</w:t>
      </w:r>
      <w:r w:rsidR="00A650BC" w:rsidRPr="0049327C">
        <w:rPr>
          <w:rFonts w:asciiTheme="minorHAnsi" w:hAnsiTheme="minorHAnsi"/>
        </w:rPr>
        <w:t>TMRA</w:t>
      </w:r>
      <w:r w:rsidR="00BB7DBA" w:rsidRPr="0049327C">
        <w:rPr>
          <w:rFonts w:asciiTheme="minorHAnsi" w:hAnsiTheme="minorHAnsi"/>
        </w:rPr>
        <w:t xml:space="preserve">) </w:t>
      </w:r>
      <w:r w:rsidR="00A81945" w:rsidRPr="0049327C">
        <w:rPr>
          <w:rFonts w:asciiTheme="minorHAnsi" w:hAnsiTheme="minorHAnsi"/>
        </w:rPr>
        <w:t>came into effect</w:t>
      </w:r>
      <w:r w:rsidRPr="0049327C">
        <w:rPr>
          <w:rFonts w:asciiTheme="minorHAnsi" w:hAnsiTheme="minorHAnsi"/>
        </w:rPr>
        <w:t xml:space="preserve"> </w:t>
      </w:r>
      <w:r w:rsidR="00126878" w:rsidRPr="0049327C">
        <w:rPr>
          <w:rFonts w:asciiTheme="minorHAnsi" w:hAnsiTheme="minorHAnsi"/>
        </w:rPr>
        <w:t>and provides</w:t>
      </w:r>
      <w:r w:rsidR="00A81945" w:rsidRPr="0049327C">
        <w:rPr>
          <w:rFonts w:asciiTheme="minorHAnsi" w:hAnsiTheme="minorHAnsi"/>
        </w:rPr>
        <w:t xml:space="preserve"> </w:t>
      </w:r>
      <w:r w:rsidR="00A650BC" w:rsidRPr="0049327C">
        <w:rPr>
          <w:rFonts w:asciiTheme="minorHAnsi" w:hAnsiTheme="minorHAnsi"/>
        </w:rPr>
        <w:t>that</w:t>
      </w:r>
      <w:r w:rsidR="00A81945" w:rsidRPr="0049327C">
        <w:rPr>
          <w:rFonts w:asciiTheme="minorHAnsi" w:hAnsiTheme="minorHAnsi"/>
        </w:rPr>
        <w:t xml:space="preserve">, unless exempted, </w:t>
      </w:r>
      <w:r w:rsidR="00A650BC" w:rsidRPr="0049327C">
        <w:rPr>
          <w:rFonts w:asciiTheme="minorHAnsi" w:hAnsiTheme="minorHAnsi"/>
        </w:rPr>
        <w:t xml:space="preserve">goods produced in or imported into Australia or New Zealand may be sold in the other country.  </w:t>
      </w:r>
      <w:r w:rsidR="00126878" w:rsidRPr="0049327C">
        <w:rPr>
          <w:rFonts w:asciiTheme="minorHAnsi" w:hAnsiTheme="minorHAnsi"/>
        </w:rPr>
        <w:t>For</w:t>
      </w:r>
      <w:r w:rsidR="00C45AB7" w:rsidRPr="0049327C">
        <w:rPr>
          <w:rFonts w:asciiTheme="minorHAnsi" w:hAnsiTheme="minorHAnsi"/>
        </w:rPr>
        <w:t xml:space="preserve"> road vehicles, a special exemption was granted in 1998 </w:t>
      </w:r>
      <w:r w:rsidR="00EC59D0" w:rsidRPr="0049327C">
        <w:rPr>
          <w:rFonts w:asciiTheme="minorHAnsi" w:hAnsiTheme="minorHAnsi"/>
        </w:rPr>
        <w:t>due to the differences between Australian and New Zealand standards</w:t>
      </w:r>
      <w:r w:rsidRPr="0049327C">
        <w:rPr>
          <w:rFonts w:asciiTheme="minorHAnsi" w:hAnsiTheme="minorHAnsi"/>
        </w:rPr>
        <w:t xml:space="preserve">.  </w:t>
      </w:r>
    </w:p>
    <w:p w:rsidR="00B1423E" w:rsidRPr="0049327C" w:rsidRDefault="00B1423E" w:rsidP="00C45AB7">
      <w:pPr>
        <w:rPr>
          <w:rFonts w:asciiTheme="minorHAnsi" w:hAnsiTheme="minorHAnsi"/>
        </w:rPr>
      </w:pPr>
    </w:p>
    <w:p w:rsidR="00B1423E" w:rsidRPr="0049327C" w:rsidRDefault="00B1423E" w:rsidP="00B1423E">
      <w:pPr>
        <w:rPr>
          <w:rFonts w:asciiTheme="minorHAnsi" w:hAnsiTheme="minorHAnsi"/>
        </w:rPr>
      </w:pPr>
      <w:r w:rsidRPr="0049327C">
        <w:rPr>
          <w:rFonts w:asciiTheme="minorHAnsi" w:hAnsiTheme="minorHAnsi"/>
        </w:rPr>
        <w:t>A</w:t>
      </w:r>
      <w:r w:rsidR="005A22DE" w:rsidRPr="0049327C">
        <w:rPr>
          <w:rFonts w:asciiTheme="minorHAnsi" w:hAnsiTheme="minorHAnsi"/>
        </w:rPr>
        <w:t>t the time, a</w:t>
      </w:r>
      <w:r w:rsidRPr="0049327C">
        <w:rPr>
          <w:rFonts w:asciiTheme="minorHAnsi" w:hAnsiTheme="minorHAnsi"/>
        </w:rPr>
        <w:t xml:space="preserve"> Road Vehicle Cooperation Program was established to address the differences.  The Program aimed to harmonise Australian and New Zealand standards with UN regulations, or those national or regional standards that are agreed by Australia and New Zealand, and to develop consistent conformance assessment and certification requirements in both countries.</w:t>
      </w:r>
    </w:p>
    <w:p w:rsidR="00B1423E" w:rsidRPr="0049327C" w:rsidRDefault="00B1423E" w:rsidP="00C45AB7">
      <w:pPr>
        <w:rPr>
          <w:rFonts w:asciiTheme="minorHAnsi" w:hAnsiTheme="minorHAnsi"/>
        </w:rPr>
      </w:pPr>
    </w:p>
    <w:p w:rsidR="00BE23F3" w:rsidRPr="0049327C" w:rsidRDefault="005A22DE" w:rsidP="00C45AB7">
      <w:pPr>
        <w:rPr>
          <w:rFonts w:asciiTheme="minorHAnsi" w:hAnsiTheme="minorHAnsi"/>
        </w:rPr>
      </w:pPr>
      <w:r w:rsidRPr="0049327C">
        <w:rPr>
          <w:rFonts w:asciiTheme="minorHAnsi" w:hAnsiTheme="minorHAnsi"/>
        </w:rPr>
        <w:t>In 2010, a permanent exemption was granted</w:t>
      </w:r>
      <w:r w:rsidR="00BE23F3" w:rsidRPr="0049327C">
        <w:rPr>
          <w:rFonts w:asciiTheme="minorHAnsi" w:hAnsiTheme="minorHAnsi"/>
        </w:rPr>
        <w:t xml:space="preserve"> </w:t>
      </w:r>
      <w:r w:rsidR="00C70CC8" w:rsidRPr="0049327C">
        <w:rPr>
          <w:rFonts w:asciiTheme="minorHAnsi" w:hAnsiTheme="minorHAnsi"/>
        </w:rPr>
        <w:t>on the grounds that regulatory harmonisation was not realistically achievable</w:t>
      </w:r>
      <w:r w:rsidR="00BE23F3" w:rsidRPr="0049327C">
        <w:rPr>
          <w:rFonts w:asciiTheme="minorHAnsi" w:hAnsiTheme="minorHAnsi"/>
        </w:rPr>
        <w:t xml:space="preserve"> and after </w:t>
      </w:r>
      <w:r w:rsidRPr="0049327C">
        <w:rPr>
          <w:rFonts w:asciiTheme="minorHAnsi" w:hAnsiTheme="minorHAnsi"/>
        </w:rPr>
        <w:t>the</w:t>
      </w:r>
      <w:r w:rsidR="00BE23F3" w:rsidRPr="0049327C">
        <w:rPr>
          <w:rFonts w:asciiTheme="minorHAnsi" w:hAnsiTheme="minorHAnsi"/>
        </w:rPr>
        <w:t xml:space="preserve"> case was made that there were significant costs incurred in administering special exemptions under the TTMRA framework</w:t>
      </w:r>
      <w:r w:rsidR="00EC59D0" w:rsidRPr="0049327C">
        <w:rPr>
          <w:rFonts w:asciiTheme="minorHAnsi" w:hAnsiTheme="minorHAnsi"/>
        </w:rPr>
        <w:t xml:space="preserve">. </w:t>
      </w:r>
    </w:p>
    <w:p w:rsidR="00A650BC" w:rsidRPr="0049327C" w:rsidRDefault="00A650BC" w:rsidP="00A650BC">
      <w:pPr>
        <w:rPr>
          <w:rFonts w:asciiTheme="minorHAnsi" w:hAnsiTheme="minorHAnsi"/>
        </w:rPr>
      </w:pPr>
    </w:p>
    <w:p w:rsidR="00A650BC" w:rsidRDefault="001A178A" w:rsidP="00A650BC">
      <w:pPr>
        <w:rPr>
          <w:rFonts w:asciiTheme="minorHAnsi" w:hAnsiTheme="minorHAnsi"/>
        </w:rPr>
      </w:pPr>
      <w:r w:rsidRPr="0049327C">
        <w:rPr>
          <w:rFonts w:asciiTheme="minorHAnsi" w:hAnsiTheme="minorHAnsi"/>
        </w:rPr>
        <w:lastRenderedPageBreak/>
        <w:t xml:space="preserve">Since establishing the TTMRA, </w:t>
      </w:r>
      <w:r w:rsidR="00A650BC" w:rsidRPr="0049327C">
        <w:rPr>
          <w:rFonts w:asciiTheme="minorHAnsi" w:hAnsiTheme="minorHAnsi"/>
        </w:rPr>
        <w:t>Australia and New Zealand</w:t>
      </w:r>
      <w:r w:rsidR="00EC59D0" w:rsidRPr="0049327C">
        <w:rPr>
          <w:rFonts w:asciiTheme="minorHAnsi" w:hAnsiTheme="minorHAnsi"/>
        </w:rPr>
        <w:t xml:space="preserve"> </w:t>
      </w:r>
      <w:r w:rsidRPr="0049327C">
        <w:rPr>
          <w:rFonts w:asciiTheme="minorHAnsi" w:hAnsiTheme="minorHAnsi"/>
        </w:rPr>
        <w:t xml:space="preserve">have had an increased focus on the UN World Forum as a source for </w:t>
      </w:r>
      <w:r w:rsidR="002D428A" w:rsidRPr="0049327C">
        <w:rPr>
          <w:rFonts w:asciiTheme="minorHAnsi" w:hAnsiTheme="minorHAnsi"/>
        </w:rPr>
        <w:t xml:space="preserve">their respective </w:t>
      </w:r>
      <w:r w:rsidRPr="0049327C">
        <w:rPr>
          <w:rFonts w:asciiTheme="minorHAnsi" w:hAnsiTheme="minorHAnsi"/>
        </w:rPr>
        <w:t xml:space="preserve">domestic standards.  Both </w:t>
      </w:r>
      <w:r w:rsidR="002D428A" w:rsidRPr="0049327C">
        <w:rPr>
          <w:rFonts w:asciiTheme="minorHAnsi" w:hAnsiTheme="minorHAnsi"/>
        </w:rPr>
        <w:t xml:space="preserve">countries </w:t>
      </w:r>
      <w:r w:rsidRPr="0049327C">
        <w:rPr>
          <w:rFonts w:asciiTheme="minorHAnsi" w:hAnsiTheme="minorHAnsi"/>
        </w:rPr>
        <w:t>bec</w:t>
      </w:r>
      <w:r w:rsidR="002D428A" w:rsidRPr="0049327C">
        <w:rPr>
          <w:rFonts w:asciiTheme="minorHAnsi" w:hAnsiTheme="minorHAnsi"/>
        </w:rPr>
        <w:t>a</w:t>
      </w:r>
      <w:r w:rsidRPr="0049327C">
        <w:rPr>
          <w:rFonts w:asciiTheme="minorHAnsi" w:hAnsiTheme="minorHAnsi"/>
        </w:rPr>
        <w:t xml:space="preserve">me </w:t>
      </w:r>
      <w:r w:rsidR="00A650BC" w:rsidRPr="0049327C">
        <w:rPr>
          <w:rFonts w:asciiTheme="minorHAnsi" w:hAnsiTheme="minorHAnsi"/>
        </w:rPr>
        <w:t>contracting parties to 1958 UN and the 1998 UN</w:t>
      </w:r>
      <w:r w:rsidR="00EC59D0" w:rsidRPr="0049327C">
        <w:rPr>
          <w:rFonts w:asciiTheme="minorHAnsi" w:hAnsiTheme="minorHAnsi"/>
        </w:rPr>
        <w:t xml:space="preserve"> A</w:t>
      </w:r>
      <w:r w:rsidR="00A650BC" w:rsidRPr="0049327C">
        <w:rPr>
          <w:rFonts w:asciiTheme="minorHAnsi" w:hAnsiTheme="minorHAnsi"/>
        </w:rPr>
        <w:t>greements on standards development and mutual recognition of approvals</w:t>
      </w:r>
      <w:r w:rsidR="008D0CA6" w:rsidRPr="0049327C">
        <w:rPr>
          <w:rFonts w:asciiTheme="minorHAnsi" w:hAnsiTheme="minorHAnsi"/>
        </w:rPr>
        <w:t xml:space="preserve"> (Australia in </w:t>
      </w:r>
      <w:r w:rsidR="00AA5F8B" w:rsidRPr="0049327C">
        <w:rPr>
          <w:rFonts w:asciiTheme="minorHAnsi" w:hAnsiTheme="minorHAnsi"/>
        </w:rPr>
        <w:t xml:space="preserve">2000 and </w:t>
      </w:r>
      <w:r w:rsidR="008D0CA6" w:rsidRPr="0049327C">
        <w:rPr>
          <w:rFonts w:asciiTheme="minorHAnsi" w:hAnsiTheme="minorHAnsi"/>
        </w:rPr>
        <w:t xml:space="preserve">New Zealand in </w:t>
      </w:r>
      <w:r w:rsidR="00AA5F8B" w:rsidRPr="0049327C">
        <w:rPr>
          <w:rFonts w:asciiTheme="minorHAnsi" w:hAnsiTheme="minorHAnsi"/>
        </w:rPr>
        <w:t>2002</w:t>
      </w:r>
      <w:r w:rsidR="008D0CA6" w:rsidRPr="0049327C">
        <w:rPr>
          <w:rFonts w:asciiTheme="minorHAnsi" w:hAnsiTheme="minorHAnsi"/>
        </w:rPr>
        <w:t>)</w:t>
      </w:r>
      <w:r w:rsidR="00AA5F8B" w:rsidRPr="0049327C">
        <w:rPr>
          <w:rFonts w:asciiTheme="minorHAnsi" w:hAnsiTheme="minorHAnsi"/>
        </w:rPr>
        <w:t>.</w:t>
      </w:r>
      <w:r w:rsidR="00A650BC" w:rsidRPr="0049327C">
        <w:rPr>
          <w:rFonts w:asciiTheme="minorHAnsi" w:hAnsiTheme="minorHAnsi"/>
        </w:rPr>
        <w:t xml:space="preserve">  </w:t>
      </w:r>
      <w:r w:rsidRPr="0049327C">
        <w:rPr>
          <w:rFonts w:asciiTheme="minorHAnsi" w:hAnsiTheme="minorHAnsi"/>
        </w:rPr>
        <w:t xml:space="preserve"> Similarly, since </w:t>
      </w:r>
      <w:r w:rsidR="00AA5F8B" w:rsidRPr="0049327C">
        <w:rPr>
          <w:rFonts w:asciiTheme="minorHAnsi" w:hAnsiTheme="minorHAnsi"/>
        </w:rPr>
        <w:t>2005</w:t>
      </w:r>
      <w:r w:rsidR="00DC058C" w:rsidRPr="0049327C">
        <w:rPr>
          <w:rFonts w:asciiTheme="minorHAnsi" w:hAnsiTheme="minorHAnsi"/>
        </w:rPr>
        <w:t xml:space="preserve"> the </w:t>
      </w:r>
      <w:r w:rsidR="00A650BC" w:rsidRPr="0049327C">
        <w:rPr>
          <w:rFonts w:asciiTheme="minorHAnsi" w:hAnsiTheme="minorHAnsi"/>
        </w:rPr>
        <w:t>Asia-Pacific Economic Cooperation</w:t>
      </w:r>
      <w:r w:rsidR="00AB6A6B" w:rsidRPr="0049327C">
        <w:rPr>
          <w:rFonts w:asciiTheme="minorHAnsi" w:hAnsiTheme="minorHAnsi"/>
        </w:rPr>
        <w:t xml:space="preserve"> (APEC)</w:t>
      </w:r>
      <w:r w:rsidR="00DC058C" w:rsidRPr="0049327C">
        <w:rPr>
          <w:rFonts w:asciiTheme="minorHAnsi" w:hAnsiTheme="minorHAnsi"/>
        </w:rPr>
        <w:t xml:space="preserve"> forum</w:t>
      </w:r>
      <w:r w:rsidR="00A650BC" w:rsidRPr="0049327C">
        <w:rPr>
          <w:rFonts w:asciiTheme="minorHAnsi" w:hAnsiTheme="minorHAnsi"/>
        </w:rPr>
        <w:t xml:space="preserve"> has </w:t>
      </w:r>
      <w:r w:rsidR="00DC058C" w:rsidRPr="0049327C">
        <w:rPr>
          <w:rFonts w:asciiTheme="minorHAnsi" w:hAnsiTheme="minorHAnsi"/>
        </w:rPr>
        <w:t xml:space="preserve">also </w:t>
      </w:r>
      <w:r w:rsidR="00A650BC" w:rsidRPr="0049327C">
        <w:rPr>
          <w:rFonts w:asciiTheme="minorHAnsi" w:hAnsiTheme="minorHAnsi"/>
        </w:rPr>
        <w:t xml:space="preserve">agreed to move towards harmonisation </w:t>
      </w:r>
      <w:r w:rsidR="00DC058C" w:rsidRPr="0049327C">
        <w:rPr>
          <w:rFonts w:asciiTheme="minorHAnsi" w:hAnsiTheme="minorHAnsi"/>
        </w:rPr>
        <w:t>with</w:t>
      </w:r>
      <w:r w:rsidR="00A650BC" w:rsidRPr="0049327C">
        <w:rPr>
          <w:rFonts w:asciiTheme="minorHAnsi" w:hAnsiTheme="minorHAnsi"/>
        </w:rPr>
        <w:t xml:space="preserve"> UN</w:t>
      </w:r>
      <w:r w:rsidR="00DC058C" w:rsidRPr="0049327C">
        <w:rPr>
          <w:rFonts w:asciiTheme="minorHAnsi" w:hAnsiTheme="minorHAnsi"/>
        </w:rPr>
        <w:t xml:space="preserve"> regulations</w:t>
      </w:r>
      <w:r w:rsidR="00AB6A6B" w:rsidRPr="0049327C">
        <w:rPr>
          <w:rFonts w:asciiTheme="minorHAnsi" w:hAnsiTheme="minorHAnsi"/>
        </w:rPr>
        <w:t>.  M</w:t>
      </w:r>
      <w:r w:rsidR="00A650BC" w:rsidRPr="0049327C">
        <w:rPr>
          <w:rFonts w:asciiTheme="minorHAnsi" w:hAnsiTheme="minorHAnsi"/>
        </w:rPr>
        <w:t xml:space="preserve">ajor vehicle producing nations such as Japan and the United States have formally become part of </w:t>
      </w:r>
      <w:r w:rsidR="00DC058C" w:rsidRPr="0049327C">
        <w:rPr>
          <w:rFonts w:asciiTheme="minorHAnsi" w:hAnsiTheme="minorHAnsi"/>
        </w:rPr>
        <w:t>this</w:t>
      </w:r>
      <w:r w:rsidR="00A650BC" w:rsidRPr="0049327C">
        <w:rPr>
          <w:rFonts w:asciiTheme="minorHAnsi" w:hAnsiTheme="minorHAnsi"/>
        </w:rPr>
        <w:t xml:space="preserve"> program.</w:t>
      </w:r>
    </w:p>
    <w:p w:rsidR="00A54A3D" w:rsidRPr="00076B44" w:rsidRDefault="00A54A3D" w:rsidP="001E6998">
      <w:pPr>
        <w:pStyle w:val="Heading2"/>
        <w:spacing w:before="240" w:after="240"/>
        <w:rPr>
          <w:color w:val="548DD4" w:themeColor="text2" w:themeTint="99"/>
          <w:lang w:val="en" w:eastAsia="en-AU"/>
        </w:rPr>
      </w:pPr>
      <w:r w:rsidRPr="00076B44">
        <w:rPr>
          <w:color w:val="548DD4" w:themeColor="text2" w:themeTint="99"/>
          <w:sz w:val="22"/>
          <w:szCs w:val="22"/>
          <w:lang w:val="en" w:eastAsia="en-AU"/>
        </w:rPr>
        <w:t>Differences between Australian and New Zealand standards for road vehicles</w:t>
      </w:r>
    </w:p>
    <w:p w:rsidR="00A47432" w:rsidRPr="0049327C" w:rsidRDefault="00A650BC" w:rsidP="00A650BC">
      <w:pPr>
        <w:rPr>
          <w:rFonts w:asciiTheme="minorHAnsi" w:hAnsiTheme="minorHAnsi"/>
        </w:rPr>
      </w:pPr>
      <w:r w:rsidRPr="0049327C">
        <w:rPr>
          <w:rFonts w:asciiTheme="minorHAnsi" w:hAnsiTheme="minorHAnsi"/>
        </w:rPr>
        <w:t>The bulk of vehicle standards between Australia and New Zealand are now harmonised</w:t>
      </w:r>
      <w:r w:rsidR="00D43A5B" w:rsidRPr="0049327C">
        <w:rPr>
          <w:rFonts w:asciiTheme="minorHAnsi" w:hAnsiTheme="minorHAnsi"/>
        </w:rPr>
        <w:t xml:space="preserve"> with UN regulations</w:t>
      </w:r>
      <w:r w:rsidRPr="0049327C">
        <w:rPr>
          <w:rFonts w:asciiTheme="minorHAnsi" w:hAnsiTheme="minorHAnsi"/>
        </w:rPr>
        <w:t xml:space="preserve">.  New Zealand incorporates </w:t>
      </w:r>
      <w:r w:rsidR="008711B2" w:rsidRPr="0049327C">
        <w:rPr>
          <w:rFonts w:asciiTheme="minorHAnsi" w:hAnsiTheme="minorHAnsi"/>
        </w:rPr>
        <w:t>approximate</w:t>
      </w:r>
      <w:r w:rsidR="00AA5F8B" w:rsidRPr="0049327C">
        <w:rPr>
          <w:rFonts w:asciiTheme="minorHAnsi" w:hAnsiTheme="minorHAnsi"/>
        </w:rPr>
        <w:t>ly 60 UN regulations</w:t>
      </w:r>
      <w:r w:rsidRPr="0049327C">
        <w:rPr>
          <w:rFonts w:asciiTheme="minorHAnsi" w:hAnsiTheme="minorHAnsi"/>
        </w:rPr>
        <w:t xml:space="preserve"> in national legislation and accepts certification of vehicles and automotive products to those regulations by </w:t>
      </w:r>
      <w:r w:rsidR="008D0CA6" w:rsidRPr="0049327C">
        <w:rPr>
          <w:rFonts w:asciiTheme="minorHAnsi" w:hAnsiTheme="minorHAnsi"/>
        </w:rPr>
        <w:t>c</w:t>
      </w:r>
      <w:r w:rsidRPr="0049327C">
        <w:rPr>
          <w:rFonts w:asciiTheme="minorHAnsi" w:hAnsiTheme="minorHAnsi"/>
        </w:rPr>
        <w:t xml:space="preserve">ontracting </w:t>
      </w:r>
      <w:r w:rsidR="008D0CA6" w:rsidRPr="0049327C">
        <w:rPr>
          <w:rFonts w:asciiTheme="minorHAnsi" w:hAnsiTheme="minorHAnsi"/>
        </w:rPr>
        <w:t>p</w:t>
      </w:r>
      <w:r w:rsidRPr="0049327C">
        <w:rPr>
          <w:rFonts w:asciiTheme="minorHAnsi" w:hAnsiTheme="minorHAnsi"/>
        </w:rPr>
        <w:t>arties to the 1958 Agreement.  Australia unilaterally acce</w:t>
      </w:r>
      <w:r w:rsidR="00DC058C" w:rsidRPr="0049327C">
        <w:rPr>
          <w:rFonts w:asciiTheme="minorHAnsi" w:hAnsiTheme="minorHAnsi"/>
        </w:rPr>
        <w:t xml:space="preserve">pts product approved to </w:t>
      </w:r>
      <w:r w:rsidR="0076056C" w:rsidRPr="0049327C">
        <w:rPr>
          <w:rFonts w:asciiTheme="minorHAnsi" w:hAnsiTheme="minorHAnsi"/>
        </w:rPr>
        <w:t>6</w:t>
      </w:r>
      <w:r w:rsidR="00C70CC8" w:rsidRPr="0049327C">
        <w:rPr>
          <w:rFonts w:asciiTheme="minorHAnsi" w:hAnsiTheme="minorHAnsi"/>
        </w:rPr>
        <w:t>4</w:t>
      </w:r>
      <w:r w:rsidR="00DC058C" w:rsidRPr="0049327C">
        <w:rPr>
          <w:rFonts w:asciiTheme="minorHAnsi" w:hAnsiTheme="minorHAnsi"/>
        </w:rPr>
        <w:t xml:space="preserve"> UN</w:t>
      </w:r>
      <w:r w:rsidRPr="0049327C">
        <w:rPr>
          <w:rFonts w:asciiTheme="minorHAnsi" w:hAnsiTheme="minorHAnsi"/>
        </w:rPr>
        <w:t xml:space="preserve"> Regulations</w:t>
      </w:r>
      <w:r w:rsidR="00DC058C" w:rsidRPr="0049327C">
        <w:rPr>
          <w:rFonts w:asciiTheme="minorHAnsi" w:hAnsiTheme="minorHAnsi"/>
        </w:rPr>
        <w:t xml:space="preserve"> and in </w:t>
      </w:r>
      <w:r w:rsidR="00AA5F8B" w:rsidRPr="0049327C">
        <w:rPr>
          <w:rFonts w:asciiTheme="minorHAnsi" w:hAnsiTheme="minorHAnsi"/>
        </w:rPr>
        <w:t>2010</w:t>
      </w:r>
      <w:r w:rsidR="00DC058C" w:rsidRPr="0049327C">
        <w:rPr>
          <w:rFonts w:asciiTheme="minorHAnsi" w:hAnsiTheme="minorHAnsi"/>
        </w:rPr>
        <w:t xml:space="preserve"> formally applied 29 UN regulations (application of UN regulations </w:t>
      </w:r>
      <w:r w:rsidR="00AB6A6B" w:rsidRPr="0049327C">
        <w:rPr>
          <w:rFonts w:asciiTheme="minorHAnsi" w:hAnsiTheme="minorHAnsi"/>
        </w:rPr>
        <w:t xml:space="preserve">under the 1958 Agreement </w:t>
      </w:r>
      <w:r w:rsidR="00DC058C" w:rsidRPr="0049327C">
        <w:rPr>
          <w:rFonts w:asciiTheme="minorHAnsi" w:hAnsiTheme="minorHAnsi"/>
        </w:rPr>
        <w:t xml:space="preserve">allows countries to immediately accept product </w:t>
      </w:r>
      <w:r w:rsidR="00C70CC8" w:rsidRPr="0049327C">
        <w:rPr>
          <w:rFonts w:asciiTheme="minorHAnsi" w:hAnsiTheme="minorHAnsi"/>
        </w:rPr>
        <w:t>built to the latest international standards). The remaining differences between Australia and New Zealand</w:t>
      </w:r>
      <w:r w:rsidR="006C0733" w:rsidRPr="0049327C">
        <w:rPr>
          <w:rFonts w:asciiTheme="minorHAnsi" w:hAnsiTheme="minorHAnsi"/>
        </w:rPr>
        <w:t>,</w:t>
      </w:r>
      <w:r w:rsidR="00C70CC8" w:rsidRPr="0049327C">
        <w:rPr>
          <w:rFonts w:asciiTheme="minorHAnsi" w:hAnsiTheme="minorHAnsi"/>
        </w:rPr>
        <w:t xml:space="preserve"> in respect of adopting UN regulations</w:t>
      </w:r>
      <w:r w:rsidR="006C0733" w:rsidRPr="0049327C">
        <w:rPr>
          <w:rFonts w:asciiTheme="minorHAnsi" w:hAnsiTheme="minorHAnsi"/>
        </w:rPr>
        <w:t>,</w:t>
      </w:r>
      <w:r w:rsidR="00C70CC8" w:rsidRPr="0049327C">
        <w:rPr>
          <w:rFonts w:asciiTheme="minorHAnsi" w:hAnsiTheme="minorHAnsi"/>
        </w:rPr>
        <w:t xml:space="preserve"> relate to the versions of regulations deemed acceptable as well as other international factors which </w:t>
      </w:r>
      <w:r w:rsidR="008D0CA6" w:rsidRPr="0049327C">
        <w:rPr>
          <w:rFonts w:asciiTheme="minorHAnsi" w:hAnsiTheme="minorHAnsi"/>
        </w:rPr>
        <w:t>would not</w:t>
      </w:r>
      <w:r w:rsidR="00C70CC8" w:rsidRPr="0049327C">
        <w:rPr>
          <w:rFonts w:asciiTheme="minorHAnsi" w:hAnsiTheme="minorHAnsi"/>
        </w:rPr>
        <w:t xml:space="preserve"> be progressed </w:t>
      </w:r>
      <w:r w:rsidR="008D0CA6" w:rsidRPr="0049327C">
        <w:rPr>
          <w:rFonts w:asciiTheme="minorHAnsi" w:hAnsiTheme="minorHAnsi"/>
        </w:rPr>
        <w:t xml:space="preserve">any </w:t>
      </w:r>
      <w:r w:rsidR="004147CF" w:rsidRPr="0049327C">
        <w:rPr>
          <w:rFonts w:asciiTheme="minorHAnsi" w:hAnsiTheme="minorHAnsi"/>
        </w:rPr>
        <w:t>more rapidly</w:t>
      </w:r>
      <w:r w:rsidR="008D0CA6" w:rsidRPr="0049327C">
        <w:rPr>
          <w:rFonts w:asciiTheme="minorHAnsi" w:hAnsiTheme="minorHAnsi"/>
        </w:rPr>
        <w:t xml:space="preserve"> </w:t>
      </w:r>
      <w:r w:rsidR="00C70CC8" w:rsidRPr="0049327C">
        <w:rPr>
          <w:rFonts w:asciiTheme="minorHAnsi" w:hAnsiTheme="minorHAnsi"/>
        </w:rPr>
        <w:t>by a cooperation program under a bilateral agreement.</w:t>
      </w:r>
    </w:p>
    <w:p w:rsidR="00A54A3D" w:rsidRDefault="00A54A3D" w:rsidP="00A650BC">
      <w:pPr>
        <w:rPr>
          <w:rFonts w:asciiTheme="minorHAnsi" w:hAnsiTheme="minorHAnsi"/>
        </w:rPr>
      </w:pPr>
    </w:p>
    <w:p w:rsidR="00A650BC" w:rsidRPr="0049327C" w:rsidRDefault="006C0733" w:rsidP="00A650BC">
      <w:pPr>
        <w:rPr>
          <w:rFonts w:asciiTheme="minorHAnsi" w:hAnsiTheme="minorHAnsi"/>
        </w:rPr>
      </w:pPr>
      <w:r w:rsidRPr="0049327C">
        <w:rPr>
          <w:rFonts w:asciiTheme="minorHAnsi" w:hAnsiTheme="minorHAnsi"/>
        </w:rPr>
        <w:t>T</w:t>
      </w:r>
      <w:r w:rsidR="00C70CC8" w:rsidRPr="0049327C">
        <w:rPr>
          <w:rFonts w:asciiTheme="minorHAnsi" w:hAnsiTheme="minorHAnsi"/>
        </w:rPr>
        <w:t>he Australian Government recently accelerated Australia’s harmonisation process with Assistant Minister Briggs agreeing to apply</w:t>
      </w:r>
      <w:r w:rsidR="004147CF" w:rsidRPr="0049327C">
        <w:rPr>
          <w:rFonts w:asciiTheme="minorHAnsi" w:hAnsiTheme="minorHAnsi"/>
        </w:rPr>
        <w:t xml:space="preserve"> another</w:t>
      </w:r>
      <w:r w:rsidR="00C70CC8" w:rsidRPr="0049327C">
        <w:rPr>
          <w:rFonts w:asciiTheme="minorHAnsi" w:hAnsiTheme="minorHAnsi"/>
        </w:rPr>
        <w:t xml:space="preserve"> two UN </w:t>
      </w:r>
      <w:r w:rsidRPr="0049327C">
        <w:rPr>
          <w:rFonts w:asciiTheme="minorHAnsi" w:hAnsiTheme="minorHAnsi"/>
        </w:rPr>
        <w:t>r</w:t>
      </w:r>
      <w:r w:rsidR="00C70CC8" w:rsidRPr="0049327C">
        <w:rPr>
          <w:rFonts w:asciiTheme="minorHAnsi" w:hAnsiTheme="minorHAnsi"/>
        </w:rPr>
        <w:t xml:space="preserve">egulations in 2014, as part of a </w:t>
      </w:r>
      <w:r w:rsidR="008D0CA6" w:rsidRPr="0049327C">
        <w:rPr>
          <w:rFonts w:asciiTheme="minorHAnsi" w:hAnsiTheme="minorHAnsi"/>
        </w:rPr>
        <w:t>medium</w:t>
      </w:r>
      <w:r w:rsidR="00C70CC8" w:rsidRPr="0049327C">
        <w:rPr>
          <w:rFonts w:asciiTheme="minorHAnsi" w:hAnsiTheme="minorHAnsi"/>
        </w:rPr>
        <w:t xml:space="preserve">-term program to apply </w:t>
      </w:r>
      <w:r w:rsidRPr="0049327C">
        <w:rPr>
          <w:rFonts w:asciiTheme="minorHAnsi" w:hAnsiTheme="minorHAnsi"/>
        </w:rPr>
        <w:t xml:space="preserve">a further </w:t>
      </w:r>
      <w:r w:rsidR="00C70CC8" w:rsidRPr="0049327C">
        <w:rPr>
          <w:rFonts w:asciiTheme="minorHAnsi" w:hAnsiTheme="minorHAnsi"/>
        </w:rPr>
        <w:t xml:space="preserve">17 UN </w:t>
      </w:r>
      <w:r w:rsidRPr="0049327C">
        <w:rPr>
          <w:rFonts w:asciiTheme="minorHAnsi" w:hAnsiTheme="minorHAnsi"/>
        </w:rPr>
        <w:t>r</w:t>
      </w:r>
      <w:r w:rsidR="00C70CC8" w:rsidRPr="0049327C">
        <w:rPr>
          <w:rFonts w:asciiTheme="minorHAnsi" w:hAnsiTheme="minorHAnsi"/>
        </w:rPr>
        <w:t xml:space="preserve">egulations. The Government has also embarked on a program to remove Australian specific requirements from the ADRs, where they are no longer relevant and cannot be justified.  This will allow a greater focus on harmonisation and improvement of vehicle standards with </w:t>
      </w:r>
      <w:r w:rsidRPr="0049327C">
        <w:rPr>
          <w:rFonts w:asciiTheme="minorHAnsi" w:hAnsiTheme="minorHAnsi"/>
        </w:rPr>
        <w:t xml:space="preserve">the latest </w:t>
      </w:r>
      <w:r w:rsidR="00C70CC8" w:rsidRPr="0049327C">
        <w:rPr>
          <w:rFonts w:asciiTheme="minorHAnsi" w:hAnsiTheme="minorHAnsi"/>
        </w:rPr>
        <w:t>internationally based requirements.</w:t>
      </w:r>
    </w:p>
    <w:p w:rsidR="00A650BC" w:rsidRPr="0049327C" w:rsidRDefault="00A650BC" w:rsidP="00A650BC">
      <w:pPr>
        <w:rPr>
          <w:rFonts w:asciiTheme="minorHAnsi" w:hAnsiTheme="minorHAnsi"/>
        </w:rPr>
      </w:pPr>
    </w:p>
    <w:p w:rsidR="00A650BC" w:rsidRPr="0049327C" w:rsidRDefault="00A650BC" w:rsidP="00A650BC">
      <w:pPr>
        <w:rPr>
          <w:rFonts w:asciiTheme="minorHAnsi" w:hAnsiTheme="minorHAnsi"/>
        </w:rPr>
      </w:pPr>
      <w:r w:rsidRPr="0049327C">
        <w:rPr>
          <w:rFonts w:asciiTheme="minorHAnsi" w:hAnsiTheme="minorHAnsi"/>
        </w:rPr>
        <w:t>Australia is also actively engaged in harmonising its certification processes internationally, through International Whole Vehicle Type Approval (IWVTA).</w:t>
      </w:r>
      <w:r w:rsidR="00DC058C" w:rsidRPr="0049327C">
        <w:rPr>
          <w:rFonts w:asciiTheme="minorHAnsi" w:hAnsiTheme="minorHAnsi"/>
        </w:rPr>
        <w:t xml:space="preserve">  </w:t>
      </w:r>
      <w:r w:rsidRPr="0049327C">
        <w:rPr>
          <w:rFonts w:asciiTheme="minorHAnsi" w:hAnsiTheme="minorHAnsi"/>
        </w:rPr>
        <w:t xml:space="preserve">Approvals to UN regulations may currently be granted for vehicle components and systems (for example headlamps and brakes), </w:t>
      </w:r>
      <w:r w:rsidR="00126878" w:rsidRPr="0049327C">
        <w:rPr>
          <w:rFonts w:asciiTheme="minorHAnsi" w:hAnsiTheme="minorHAnsi"/>
        </w:rPr>
        <w:t>but</w:t>
      </w:r>
      <w:r w:rsidRPr="0049327C">
        <w:rPr>
          <w:rFonts w:asciiTheme="minorHAnsi" w:hAnsiTheme="minorHAnsi"/>
        </w:rPr>
        <w:t xml:space="preserve"> not for whole vehicles.  This means that each country (or economic region) must currently certify whole vehicles for its own market</w:t>
      </w:r>
      <w:r w:rsidR="00126878" w:rsidRPr="0049327C">
        <w:rPr>
          <w:rFonts w:asciiTheme="minorHAnsi" w:hAnsiTheme="minorHAnsi"/>
        </w:rPr>
        <w:t>, thereby duplicating parts of the approval process</w:t>
      </w:r>
      <w:r w:rsidRPr="0049327C">
        <w:rPr>
          <w:rFonts w:asciiTheme="minorHAnsi" w:hAnsiTheme="minorHAnsi"/>
        </w:rPr>
        <w:t>.  The potential savings in reducing this duplicated effort has been recognised by the UN and there is a UN working group developing IWVTA as an internationally based framework for the approval of whole vehicles.</w:t>
      </w:r>
      <w:r w:rsidR="006C0733" w:rsidRPr="0049327C">
        <w:rPr>
          <w:rFonts w:asciiTheme="minorHAnsi" w:hAnsiTheme="minorHAnsi"/>
        </w:rPr>
        <w:t xml:space="preserve">  </w:t>
      </w:r>
      <w:r w:rsidRPr="0049327C">
        <w:rPr>
          <w:rFonts w:asciiTheme="minorHAnsi" w:hAnsiTheme="minorHAnsi"/>
        </w:rPr>
        <w:t xml:space="preserve">IWVTA is expected to begin in 2016 (initially in a partial form and applicable to passenger cars only) and will allow the issuing and mutual recognition of whole vehicle type approvals by all </w:t>
      </w:r>
      <w:r w:rsidR="00A95197" w:rsidRPr="0049327C">
        <w:rPr>
          <w:rFonts w:asciiTheme="minorHAnsi" w:hAnsiTheme="minorHAnsi"/>
        </w:rPr>
        <w:t>c</w:t>
      </w:r>
      <w:r w:rsidRPr="0049327C">
        <w:rPr>
          <w:rFonts w:asciiTheme="minorHAnsi" w:hAnsiTheme="minorHAnsi"/>
        </w:rPr>
        <w:t xml:space="preserve">ontracting </w:t>
      </w:r>
      <w:r w:rsidR="00A95197" w:rsidRPr="0049327C">
        <w:rPr>
          <w:rFonts w:asciiTheme="minorHAnsi" w:hAnsiTheme="minorHAnsi"/>
        </w:rPr>
        <w:t>p</w:t>
      </w:r>
      <w:r w:rsidRPr="0049327C">
        <w:rPr>
          <w:rFonts w:asciiTheme="minorHAnsi" w:hAnsiTheme="minorHAnsi"/>
        </w:rPr>
        <w:t>arties to the 1958 Agreement</w:t>
      </w:r>
      <w:r w:rsidR="00DC058C" w:rsidRPr="0049327C">
        <w:rPr>
          <w:rFonts w:asciiTheme="minorHAnsi" w:hAnsiTheme="minorHAnsi"/>
        </w:rPr>
        <w:t>.</w:t>
      </w:r>
    </w:p>
    <w:p w:rsidR="00A650BC" w:rsidRPr="0049327C" w:rsidRDefault="00A650BC" w:rsidP="00A650BC">
      <w:pPr>
        <w:rPr>
          <w:rFonts w:asciiTheme="minorHAnsi" w:hAnsiTheme="minorHAnsi"/>
        </w:rPr>
      </w:pPr>
    </w:p>
    <w:p w:rsidR="00A47432" w:rsidRPr="0049327C" w:rsidRDefault="00270978" w:rsidP="00A650BC">
      <w:pPr>
        <w:rPr>
          <w:rFonts w:asciiTheme="minorHAnsi" w:hAnsiTheme="minorHAnsi"/>
        </w:rPr>
      </w:pPr>
      <w:r w:rsidRPr="0049327C">
        <w:rPr>
          <w:rFonts w:asciiTheme="minorHAnsi" w:hAnsiTheme="minorHAnsi"/>
        </w:rPr>
        <w:t>The</w:t>
      </w:r>
      <w:r w:rsidR="00A95197" w:rsidRPr="0049327C">
        <w:rPr>
          <w:rFonts w:asciiTheme="minorHAnsi" w:hAnsiTheme="minorHAnsi"/>
        </w:rPr>
        <w:t xml:space="preserve"> above</w:t>
      </w:r>
      <w:r w:rsidRPr="0049327C">
        <w:rPr>
          <w:rFonts w:asciiTheme="minorHAnsi" w:hAnsiTheme="minorHAnsi"/>
        </w:rPr>
        <w:t xml:space="preserve"> ongoing harmonisation of Australia’s ADRs and certification processes with UN regulations and processes is in line with the </w:t>
      </w:r>
      <w:r w:rsidR="00274875" w:rsidRPr="0049327C">
        <w:rPr>
          <w:rFonts w:asciiTheme="minorHAnsi" w:hAnsiTheme="minorHAnsi"/>
        </w:rPr>
        <w:t>Productivity</w:t>
      </w:r>
      <w:r w:rsidR="00AA5F8B" w:rsidRPr="0049327C">
        <w:rPr>
          <w:rFonts w:asciiTheme="minorHAnsi" w:hAnsiTheme="minorHAnsi"/>
        </w:rPr>
        <w:t xml:space="preserve"> Commission’s </w:t>
      </w:r>
      <w:r w:rsidR="00833CFD" w:rsidRPr="0049327C">
        <w:rPr>
          <w:rFonts w:asciiTheme="minorHAnsi" w:hAnsiTheme="minorHAnsi"/>
        </w:rPr>
        <w:t xml:space="preserve">2014 recommendation that </w:t>
      </w:r>
      <w:r w:rsidR="00AA5F8B" w:rsidRPr="0049327C">
        <w:rPr>
          <w:rFonts w:asciiTheme="minorHAnsi" w:hAnsiTheme="minorHAnsi"/>
        </w:rPr>
        <w:t xml:space="preserve">the Government accelerate its harmonisation with global vehicle standards.  </w:t>
      </w:r>
    </w:p>
    <w:p w:rsidR="00A54A3D" w:rsidRDefault="00A54A3D" w:rsidP="00A650BC">
      <w:pPr>
        <w:rPr>
          <w:rFonts w:asciiTheme="minorHAnsi" w:hAnsiTheme="minorHAnsi"/>
        </w:rPr>
      </w:pPr>
    </w:p>
    <w:p w:rsidR="00534A27" w:rsidRPr="0049327C" w:rsidRDefault="00FC1599" w:rsidP="00A650BC">
      <w:pPr>
        <w:rPr>
          <w:rFonts w:asciiTheme="minorHAnsi" w:hAnsiTheme="minorHAnsi"/>
        </w:rPr>
      </w:pPr>
      <w:r w:rsidRPr="0049327C">
        <w:rPr>
          <w:rFonts w:asciiTheme="minorHAnsi" w:hAnsiTheme="minorHAnsi"/>
        </w:rPr>
        <w:t xml:space="preserve">Apart from UN regulations, New Zealand also recognises typically between 5 and 10 alternative standards for each one of its </w:t>
      </w:r>
      <w:r w:rsidR="007C2865" w:rsidRPr="0049327C">
        <w:rPr>
          <w:rFonts w:asciiTheme="minorHAnsi" w:hAnsiTheme="minorHAnsi"/>
        </w:rPr>
        <w:t xml:space="preserve">vehicle </w:t>
      </w:r>
      <w:r w:rsidRPr="0049327C">
        <w:rPr>
          <w:rFonts w:asciiTheme="minorHAnsi" w:hAnsiTheme="minorHAnsi"/>
        </w:rPr>
        <w:t xml:space="preserve">regulations. These draw on </w:t>
      </w:r>
      <w:r w:rsidR="00245514" w:rsidRPr="0049327C">
        <w:rPr>
          <w:rFonts w:asciiTheme="minorHAnsi" w:hAnsiTheme="minorHAnsi"/>
        </w:rPr>
        <w:t>local</w:t>
      </w:r>
      <w:r w:rsidRPr="0049327C">
        <w:rPr>
          <w:rFonts w:asciiTheme="minorHAnsi" w:hAnsiTheme="minorHAnsi"/>
        </w:rPr>
        <w:t xml:space="preserve"> standards that are mandated </w:t>
      </w:r>
      <w:r w:rsidR="008D0CA6" w:rsidRPr="0049327C">
        <w:rPr>
          <w:rFonts w:asciiTheme="minorHAnsi" w:hAnsiTheme="minorHAnsi"/>
        </w:rPr>
        <w:t xml:space="preserve">in </w:t>
      </w:r>
      <w:r w:rsidRPr="0049327C">
        <w:rPr>
          <w:rFonts w:asciiTheme="minorHAnsi" w:hAnsiTheme="minorHAnsi"/>
        </w:rPr>
        <w:t xml:space="preserve">other countries’ </w:t>
      </w:r>
      <w:r w:rsidR="0009143A" w:rsidRPr="0049327C">
        <w:rPr>
          <w:rFonts w:asciiTheme="minorHAnsi" w:hAnsiTheme="minorHAnsi"/>
        </w:rPr>
        <w:t xml:space="preserve">domestic or </w:t>
      </w:r>
      <w:r w:rsidRPr="0049327C">
        <w:rPr>
          <w:rFonts w:asciiTheme="minorHAnsi" w:hAnsiTheme="minorHAnsi"/>
        </w:rPr>
        <w:t xml:space="preserve">regional markets.  </w:t>
      </w:r>
      <w:r w:rsidR="006C0733" w:rsidRPr="0049327C">
        <w:rPr>
          <w:rFonts w:asciiTheme="minorHAnsi" w:hAnsiTheme="minorHAnsi"/>
        </w:rPr>
        <w:t>By contrast</w:t>
      </w:r>
      <w:r w:rsidR="008D0CA6" w:rsidRPr="0049327C">
        <w:rPr>
          <w:rFonts w:asciiTheme="minorHAnsi" w:hAnsiTheme="minorHAnsi"/>
        </w:rPr>
        <w:t xml:space="preserve">, </w:t>
      </w:r>
      <w:r w:rsidR="006C0733" w:rsidRPr="0049327C">
        <w:rPr>
          <w:rFonts w:asciiTheme="minorHAnsi" w:hAnsiTheme="minorHAnsi"/>
        </w:rPr>
        <w:t>Australia’s</w:t>
      </w:r>
      <w:r w:rsidR="007C2865" w:rsidRPr="0049327C">
        <w:rPr>
          <w:rFonts w:asciiTheme="minorHAnsi" w:hAnsiTheme="minorHAnsi"/>
        </w:rPr>
        <w:t xml:space="preserve"> approach is to</w:t>
      </w:r>
      <w:r w:rsidR="008D0CA6" w:rsidRPr="0049327C">
        <w:rPr>
          <w:rFonts w:asciiTheme="minorHAnsi" w:hAnsiTheme="minorHAnsi"/>
        </w:rPr>
        <w:t xml:space="preserve"> </w:t>
      </w:r>
      <w:r w:rsidR="006C0733" w:rsidRPr="0049327C">
        <w:rPr>
          <w:rFonts w:asciiTheme="minorHAnsi" w:hAnsiTheme="minorHAnsi"/>
        </w:rPr>
        <w:t>as much as possible only</w:t>
      </w:r>
      <w:r w:rsidR="00245514" w:rsidRPr="0049327C">
        <w:rPr>
          <w:rFonts w:asciiTheme="minorHAnsi" w:hAnsiTheme="minorHAnsi"/>
        </w:rPr>
        <w:t xml:space="preserve"> </w:t>
      </w:r>
      <w:proofErr w:type="gramStart"/>
      <w:r w:rsidR="006C0733" w:rsidRPr="0049327C">
        <w:rPr>
          <w:rFonts w:asciiTheme="minorHAnsi" w:hAnsiTheme="minorHAnsi"/>
        </w:rPr>
        <w:t>recognise</w:t>
      </w:r>
      <w:proofErr w:type="gramEnd"/>
      <w:r w:rsidR="007C2865" w:rsidRPr="0049327C">
        <w:rPr>
          <w:rFonts w:asciiTheme="minorHAnsi" w:hAnsiTheme="minorHAnsi"/>
        </w:rPr>
        <w:t xml:space="preserve"> international standards (UN regulations).  </w:t>
      </w:r>
      <w:r w:rsidR="008D0CA6" w:rsidRPr="0049327C">
        <w:rPr>
          <w:rFonts w:asciiTheme="minorHAnsi" w:hAnsiTheme="minorHAnsi"/>
        </w:rPr>
        <w:t>By avoiding any dilution of</w:t>
      </w:r>
      <w:r w:rsidR="006C0733" w:rsidRPr="0049327C">
        <w:rPr>
          <w:rFonts w:asciiTheme="minorHAnsi" w:hAnsiTheme="minorHAnsi"/>
        </w:rPr>
        <w:t xml:space="preserve"> the</w:t>
      </w:r>
      <w:r w:rsidR="008D0CA6" w:rsidRPr="0049327C">
        <w:rPr>
          <w:rFonts w:asciiTheme="minorHAnsi" w:hAnsiTheme="minorHAnsi"/>
        </w:rPr>
        <w:t xml:space="preserve"> international requirements, t</w:t>
      </w:r>
      <w:r w:rsidR="007C2865" w:rsidRPr="0049327C">
        <w:rPr>
          <w:rFonts w:asciiTheme="minorHAnsi" w:hAnsiTheme="minorHAnsi"/>
        </w:rPr>
        <w:t xml:space="preserve">his allows </w:t>
      </w:r>
      <w:r w:rsidR="006C0733" w:rsidRPr="0049327C">
        <w:rPr>
          <w:rFonts w:asciiTheme="minorHAnsi" w:hAnsiTheme="minorHAnsi"/>
        </w:rPr>
        <w:t>Australia to pursue</w:t>
      </w:r>
      <w:r w:rsidR="000E1775" w:rsidRPr="0049327C">
        <w:rPr>
          <w:rFonts w:asciiTheme="minorHAnsi" w:hAnsiTheme="minorHAnsi"/>
        </w:rPr>
        <w:t xml:space="preserve"> a</w:t>
      </w:r>
      <w:r w:rsidR="007C2865" w:rsidRPr="0049327C">
        <w:rPr>
          <w:rFonts w:asciiTheme="minorHAnsi" w:hAnsiTheme="minorHAnsi"/>
        </w:rPr>
        <w:t xml:space="preserve"> vehicle safety </w:t>
      </w:r>
      <w:r w:rsidR="000E2F56" w:rsidRPr="0049327C">
        <w:rPr>
          <w:rFonts w:asciiTheme="minorHAnsi" w:hAnsiTheme="minorHAnsi"/>
        </w:rPr>
        <w:t xml:space="preserve">and environmental </w:t>
      </w:r>
      <w:r w:rsidR="007C2865" w:rsidRPr="0049327C">
        <w:rPr>
          <w:rFonts w:asciiTheme="minorHAnsi" w:hAnsiTheme="minorHAnsi"/>
        </w:rPr>
        <w:lastRenderedPageBreak/>
        <w:t>agenda</w:t>
      </w:r>
      <w:r w:rsidR="000E1775" w:rsidRPr="0049327C">
        <w:rPr>
          <w:rFonts w:asciiTheme="minorHAnsi" w:hAnsiTheme="minorHAnsi"/>
        </w:rPr>
        <w:t xml:space="preserve"> </w:t>
      </w:r>
      <w:r w:rsidR="008D0CA6" w:rsidRPr="0049327C">
        <w:rPr>
          <w:rFonts w:asciiTheme="minorHAnsi" w:hAnsiTheme="minorHAnsi"/>
        </w:rPr>
        <w:t>that</w:t>
      </w:r>
      <w:r w:rsidR="000E1775" w:rsidRPr="0049327C">
        <w:rPr>
          <w:rFonts w:asciiTheme="minorHAnsi" w:hAnsiTheme="minorHAnsi"/>
        </w:rPr>
        <w:t xml:space="preserve"> follow</w:t>
      </w:r>
      <w:r w:rsidR="008D0CA6" w:rsidRPr="0049327C">
        <w:rPr>
          <w:rFonts w:asciiTheme="minorHAnsi" w:hAnsiTheme="minorHAnsi"/>
        </w:rPr>
        <w:t>s</w:t>
      </w:r>
      <w:r w:rsidR="000E1775" w:rsidRPr="0049327C">
        <w:rPr>
          <w:rFonts w:asciiTheme="minorHAnsi" w:hAnsiTheme="minorHAnsi"/>
        </w:rPr>
        <w:t xml:space="preserve"> international best practice</w:t>
      </w:r>
      <w:r w:rsidR="006C0733" w:rsidRPr="0049327C">
        <w:rPr>
          <w:rFonts w:asciiTheme="minorHAnsi" w:hAnsiTheme="minorHAnsi"/>
        </w:rPr>
        <w:t xml:space="preserve">.  This </w:t>
      </w:r>
      <w:r w:rsidR="00245514" w:rsidRPr="0049327C">
        <w:rPr>
          <w:rFonts w:asciiTheme="minorHAnsi" w:hAnsiTheme="minorHAnsi"/>
        </w:rPr>
        <w:t>agenda is captured</w:t>
      </w:r>
      <w:r w:rsidR="006C0733" w:rsidRPr="0049327C">
        <w:rPr>
          <w:rFonts w:asciiTheme="minorHAnsi" w:hAnsiTheme="minorHAnsi"/>
        </w:rPr>
        <w:t xml:space="preserve"> </w:t>
      </w:r>
      <w:r w:rsidR="00245514" w:rsidRPr="0049327C">
        <w:rPr>
          <w:rFonts w:asciiTheme="minorHAnsi" w:hAnsiTheme="minorHAnsi"/>
        </w:rPr>
        <w:t>in</w:t>
      </w:r>
      <w:r w:rsidR="000E1775" w:rsidRPr="0049327C">
        <w:rPr>
          <w:rFonts w:asciiTheme="minorHAnsi" w:hAnsiTheme="minorHAnsi"/>
        </w:rPr>
        <w:t xml:space="preserve"> the current</w:t>
      </w:r>
      <w:r w:rsidR="007C2865" w:rsidRPr="0049327C">
        <w:rPr>
          <w:rFonts w:asciiTheme="minorHAnsi" w:hAnsiTheme="minorHAnsi"/>
        </w:rPr>
        <w:t xml:space="preserve"> </w:t>
      </w:r>
      <w:r w:rsidR="008D0CA6" w:rsidRPr="0049327C">
        <w:rPr>
          <w:rFonts w:asciiTheme="minorHAnsi" w:hAnsiTheme="minorHAnsi"/>
        </w:rPr>
        <w:t xml:space="preserve">Australian </w:t>
      </w:r>
      <w:r w:rsidR="007C2865" w:rsidRPr="0049327C">
        <w:rPr>
          <w:rFonts w:asciiTheme="minorHAnsi" w:hAnsiTheme="minorHAnsi"/>
        </w:rPr>
        <w:t>National Road Safety Strategy 2011-2020</w:t>
      </w:r>
      <w:r w:rsidR="000E1775" w:rsidRPr="0049327C">
        <w:rPr>
          <w:rFonts w:asciiTheme="minorHAnsi" w:hAnsiTheme="minorHAnsi"/>
        </w:rPr>
        <w:t xml:space="preserve">.  </w:t>
      </w:r>
    </w:p>
    <w:p w:rsidR="00534A27" w:rsidRPr="0049327C" w:rsidRDefault="00534A27" w:rsidP="00A650BC">
      <w:pPr>
        <w:rPr>
          <w:rFonts w:asciiTheme="minorHAnsi" w:hAnsiTheme="minorHAnsi"/>
        </w:rPr>
      </w:pPr>
    </w:p>
    <w:p w:rsidR="00390D2E" w:rsidRPr="0049327C" w:rsidRDefault="00245514">
      <w:pPr>
        <w:rPr>
          <w:rFonts w:asciiTheme="minorHAnsi" w:hAnsiTheme="minorHAnsi"/>
        </w:rPr>
      </w:pPr>
      <w:r w:rsidRPr="0049327C">
        <w:rPr>
          <w:rFonts w:asciiTheme="minorHAnsi" w:hAnsiTheme="minorHAnsi"/>
        </w:rPr>
        <w:t>Australia’s approach</w:t>
      </w:r>
      <w:r w:rsidR="000E1775" w:rsidRPr="0049327C">
        <w:rPr>
          <w:rFonts w:asciiTheme="minorHAnsi" w:hAnsiTheme="minorHAnsi"/>
        </w:rPr>
        <w:t xml:space="preserve"> also avoids </w:t>
      </w:r>
      <w:r w:rsidR="009C354E" w:rsidRPr="0049327C">
        <w:rPr>
          <w:rFonts w:asciiTheme="minorHAnsi" w:hAnsiTheme="minorHAnsi"/>
        </w:rPr>
        <w:t>an</w:t>
      </w:r>
      <w:r w:rsidR="00F70DA2" w:rsidRPr="0049327C">
        <w:rPr>
          <w:rFonts w:asciiTheme="minorHAnsi" w:hAnsiTheme="minorHAnsi"/>
        </w:rPr>
        <w:t>y further</w:t>
      </w:r>
      <w:r w:rsidR="000E1775" w:rsidRPr="0049327C">
        <w:rPr>
          <w:rFonts w:asciiTheme="minorHAnsi" w:hAnsiTheme="minorHAnsi"/>
        </w:rPr>
        <w:t xml:space="preserve"> </w:t>
      </w:r>
      <w:r w:rsidR="00FC1599" w:rsidRPr="0049327C">
        <w:rPr>
          <w:rFonts w:asciiTheme="minorHAnsi" w:hAnsiTheme="minorHAnsi"/>
        </w:rPr>
        <w:t xml:space="preserve">administrative burden </w:t>
      </w:r>
      <w:r w:rsidR="009C354E" w:rsidRPr="0049327C">
        <w:rPr>
          <w:rFonts w:asciiTheme="minorHAnsi" w:hAnsiTheme="minorHAnsi"/>
        </w:rPr>
        <w:t xml:space="preserve">being </w:t>
      </w:r>
      <w:r w:rsidR="000E1775" w:rsidRPr="0049327C">
        <w:rPr>
          <w:rFonts w:asciiTheme="minorHAnsi" w:hAnsiTheme="minorHAnsi"/>
        </w:rPr>
        <w:t xml:space="preserve">placed </w:t>
      </w:r>
      <w:r w:rsidR="00FC1599" w:rsidRPr="0049327C">
        <w:rPr>
          <w:rFonts w:asciiTheme="minorHAnsi" w:hAnsiTheme="minorHAnsi"/>
        </w:rPr>
        <w:t xml:space="preserve">on governments and manufacturers alike, in having to maintain expertise and processes </w:t>
      </w:r>
      <w:r w:rsidR="006C0733" w:rsidRPr="0049327C">
        <w:rPr>
          <w:rFonts w:asciiTheme="minorHAnsi" w:hAnsiTheme="minorHAnsi"/>
        </w:rPr>
        <w:t>for</w:t>
      </w:r>
      <w:r w:rsidR="00FC1599" w:rsidRPr="0049327C">
        <w:rPr>
          <w:rFonts w:asciiTheme="minorHAnsi" w:hAnsiTheme="minorHAnsi"/>
        </w:rPr>
        <w:t xml:space="preserve"> a number of parallel approval </w:t>
      </w:r>
      <w:r w:rsidR="006C0733" w:rsidRPr="0049327C">
        <w:rPr>
          <w:rFonts w:asciiTheme="minorHAnsi" w:hAnsiTheme="minorHAnsi"/>
        </w:rPr>
        <w:t>options</w:t>
      </w:r>
      <w:r w:rsidR="00D929EE" w:rsidRPr="0049327C">
        <w:rPr>
          <w:rFonts w:asciiTheme="minorHAnsi" w:hAnsiTheme="minorHAnsi"/>
        </w:rPr>
        <w:t xml:space="preserve">.  </w:t>
      </w:r>
      <w:r w:rsidRPr="0049327C">
        <w:rPr>
          <w:rFonts w:asciiTheme="minorHAnsi" w:hAnsiTheme="minorHAnsi"/>
        </w:rPr>
        <w:t>More fundamentally</w:t>
      </w:r>
      <w:r w:rsidR="00390D2E" w:rsidRPr="0049327C">
        <w:rPr>
          <w:rFonts w:asciiTheme="minorHAnsi" w:hAnsiTheme="minorHAnsi"/>
        </w:rPr>
        <w:t>, s</w:t>
      </w:r>
      <w:r w:rsidR="000E1775" w:rsidRPr="0049327C">
        <w:rPr>
          <w:rFonts w:asciiTheme="minorHAnsi" w:hAnsiTheme="minorHAnsi"/>
        </w:rPr>
        <w:t xml:space="preserve">uch </w:t>
      </w:r>
      <w:r w:rsidR="006C0733" w:rsidRPr="0049327C">
        <w:rPr>
          <w:rFonts w:asciiTheme="minorHAnsi" w:hAnsiTheme="minorHAnsi"/>
        </w:rPr>
        <w:t>options</w:t>
      </w:r>
      <w:r w:rsidR="000E1775" w:rsidRPr="0049327C">
        <w:rPr>
          <w:rFonts w:asciiTheme="minorHAnsi" w:hAnsiTheme="minorHAnsi"/>
        </w:rPr>
        <w:t xml:space="preserve"> would </w:t>
      </w:r>
      <w:r w:rsidRPr="0049327C">
        <w:rPr>
          <w:rFonts w:asciiTheme="minorHAnsi" w:hAnsiTheme="minorHAnsi"/>
        </w:rPr>
        <w:t>require</w:t>
      </w:r>
      <w:r w:rsidR="000E1775" w:rsidRPr="0049327C">
        <w:rPr>
          <w:rFonts w:asciiTheme="minorHAnsi" w:hAnsiTheme="minorHAnsi"/>
        </w:rPr>
        <w:t xml:space="preserve"> Australia</w:t>
      </w:r>
      <w:r w:rsidRPr="0049327C">
        <w:rPr>
          <w:rFonts w:asciiTheme="minorHAnsi" w:hAnsiTheme="minorHAnsi"/>
        </w:rPr>
        <w:t xml:space="preserve"> to</w:t>
      </w:r>
      <w:r w:rsidR="000E1775" w:rsidRPr="0049327C">
        <w:rPr>
          <w:rFonts w:asciiTheme="minorHAnsi" w:hAnsiTheme="minorHAnsi"/>
        </w:rPr>
        <w:t xml:space="preserve"> accep</w:t>
      </w:r>
      <w:r w:rsidRPr="0049327C">
        <w:rPr>
          <w:rFonts w:asciiTheme="minorHAnsi" w:hAnsiTheme="minorHAnsi"/>
        </w:rPr>
        <w:t>t</w:t>
      </w:r>
      <w:r w:rsidR="000E1775" w:rsidRPr="0049327C">
        <w:rPr>
          <w:rFonts w:asciiTheme="minorHAnsi" w:hAnsiTheme="minorHAnsi"/>
        </w:rPr>
        <w:t xml:space="preserve"> </w:t>
      </w:r>
      <w:r w:rsidRPr="0049327C">
        <w:rPr>
          <w:rFonts w:asciiTheme="minorHAnsi" w:hAnsiTheme="minorHAnsi"/>
        </w:rPr>
        <w:t xml:space="preserve">local </w:t>
      </w:r>
      <w:r w:rsidR="000E1775" w:rsidRPr="0049327C">
        <w:rPr>
          <w:rFonts w:asciiTheme="minorHAnsi" w:hAnsiTheme="minorHAnsi"/>
        </w:rPr>
        <w:t>standards over which it has no influence (</w:t>
      </w:r>
      <w:r w:rsidR="00390D2E" w:rsidRPr="0049327C">
        <w:rPr>
          <w:rFonts w:asciiTheme="minorHAnsi" w:hAnsiTheme="minorHAnsi"/>
        </w:rPr>
        <w:t>unlike</w:t>
      </w:r>
      <w:r w:rsidR="000E1775" w:rsidRPr="0049327C">
        <w:rPr>
          <w:rFonts w:asciiTheme="minorHAnsi" w:hAnsiTheme="minorHAnsi"/>
        </w:rPr>
        <w:t xml:space="preserve"> UN Regulations)</w:t>
      </w:r>
      <w:r w:rsidR="00390D2E" w:rsidRPr="0049327C">
        <w:rPr>
          <w:rFonts w:asciiTheme="minorHAnsi" w:hAnsiTheme="minorHAnsi"/>
        </w:rPr>
        <w:t xml:space="preserve"> </w:t>
      </w:r>
      <w:r w:rsidR="00D24518" w:rsidRPr="0049327C">
        <w:rPr>
          <w:rFonts w:asciiTheme="minorHAnsi" w:hAnsiTheme="minorHAnsi"/>
        </w:rPr>
        <w:t xml:space="preserve">under </w:t>
      </w:r>
      <w:r w:rsidR="00390D2E" w:rsidRPr="0049327C">
        <w:rPr>
          <w:rFonts w:asciiTheme="minorHAnsi" w:hAnsiTheme="minorHAnsi"/>
        </w:rPr>
        <w:t xml:space="preserve">a take-it-or-leave it </w:t>
      </w:r>
      <w:r w:rsidRPr="0049327C">
        <w:rPr>
          <w:rFonts w:asciiTheme="minorHAnsi" w:hAnsiTheme="minorHAnsi"/>
        </w:rPr>
        <w:t>arrangement</w:t>
      </w:r>
      <w:r w:rsidR="000E1775" w:rsidRPr="0049327C">
        <w:rPr>
          <w:rFonts w:asciiTheme="minorHAnsi" w:hAnsiTheme="minorHAnsi"/>
        </w:rPr>
        <w:t>.</w:t>
      </w:r>
      <w:r w:rsidR="008D0CA6" w:rsidRPr="0049327C">
        <w:rPr>
          <w:rFonts w:asciiTheme="minorHAnsi" w:hAnsiTheme="minorHAnsi"/>
        </w:rPr>
        <w:t xml:space="preserve"> </w:t>
      </w:r>
      <w:r w:rsidR="00A376E5" w:rsidRPr="0049327C">
        <w:rPr>
          <w:rFonts w:asciiTheme="minorHAnsi" w:hAnsiTheme="minorHAnsi"/>
        </w:rPr>
        <w:t xml:space="preserve"> This may prevent Australia from mandating internationally agreed UN vehicle regulations, which may in many cases result in significant opportunity cost in terms of net benefits forgone in Australia.  </w:t>
      </w:r>
    </w:p>
    <w:p w:rsidR="00B17751" w:rsidRPr="001E6998" w:rsidRDefault="00B17751" w:rsidP="001E6998">
      <w:pPr>
        <w:pStyle w:val="Heading2"/>
        <w:spacing w:before="240" w:after="240"/>
        <w:rPr>
          <w:color w:val="548DD4" w:themeColor="text2" w:themeTint="99"/>
          <w:sz w:val="22"/>
          <w:lang w:val="en" w:eastAsia="en-AU"/>
        </w:rPr>
      </w:pPr>
      <w:r w:rsidRPr="001E6998">
        <w:rPr>
          <w:color w:val="548DD4" w:themeColor="text2" w:themeTint="99"/>
          <w:sz w:val="22"/>
          <w:szCs w:val="22"/>
          <w:lang w:val="en" w:eastAsia="en-AU"/>
        </w:rPr>
        <w:t>Conclusion</w:t>
      </w:r>
    </w:p>
    <w:p w:rsidR="00390D2E" w:rsidRPr="0049327C" w:rsidRDefault="00833CFD" w:rsidP="00390D2E">
      <w:pPr>
        <w:rPr>
          <w:rFonts w:asciiTheme="minorHAnsi" w:hAnsiTheme="minorHAnsi"/>
        </w:rPr>
      </w:pPr>
      <w:r w:rsidRPr="0049327C">
        <w:rPr>
          <w:rFonts w:asciiTheme="minorHAnsi" w:hAnsiTheme="minorHAnsi"/>
        </w:rPr>
        <w:t>With an increasing number of countries</w:t>
      </w:r>
      <w:r w:rsidR="00390D2E" w:rsidRPr="0049327C">
        <w:rPr>
          <w:rFonts w:asciiTheme="minorHAnsi" w:hAnsiTheme="minorHAnsi"/>
        </w:rPr>
        <w:t xml:space="preserve"> </w:t>
      </w:r>
      <w:r w:rsidRPr="0049327C">
        <w:rPr>
          <w:rFonts w:asciiTheme="minorHAnsi" w:hAnsiTheme="minorHAnsi"/>
        </w:rPr>
        <w:t>in the Asia region</w:t>
      </w:r>
      <w:r w:rsidR="00390D2E" w:rsidRPr="0049327C">
        <w:rPr>
          <w:rFonts w:asciiTheme="minorHAnsi" w:hAnsiTheme="minorHAnsi"/>
        </w:rPr>
        <w:t>, not only</w:t>
      </w:r>
      <w:r w:rsidR="005143EA" w:rsidRPr="0049327C">
        <w:rPr>
          <w:rFonts w:asciiTheme="minorHAnsi" w:hAnsiTheme="minorHAnsi"/>
        </w:rPr>
        <w:t xml:space="preserve"> through APEC</w:t>
      </w:r>
      <w:r w:rsidR="00390D2E" w:rsidRPr="0049327C">
        <w:rPr>
          <w:rFonts w:asciiTheme="minorHAnsi" w:hAnsiTheme="minorHAnsi"/>
        </w:rPr>
        <w:t xml:space="preserve"> but also </w:t>
      </w:r>
      <w:r w:rsidR="00126878" w:rsidRPr="0049327C">
        <w:rPr>
          <w:rFonts w:asciiTheme="minorHAnsi" w:hAnsiTheme="minorHAnsi"/>
        </w:rPr>
        <w:t>the Association of South East Asian Nations (</w:t>
      </w:r>
      <w:r w:rsidR="00AA5F8B" w:rsidRPr="0049327C">
        <w:rPr>
          <w:rFonts w:asciiTheme="minorHAnsi" w:hAnsiTheme="minorHAnsi"/>
        </w:rPr>
        <w:t>ASEAN</w:t>
      </w:r>
      <w:r w:rsidR="00126878" w:rsidRPr="0049327C">
        <w:rPr>
          <w:rFonts w:asciiTheme="minorHAnsi" w:hAnsiTheme="minorHAnsi"/>
        </w:rPr>
        <w:t>)</w:t>
      </w:r>
      <w:r w:rsidRPr="0049327C">
        <w:rPr>
          <w:rFonts w:asciiTheme="minorHAnsi" w:hAnsiTheme="minorHAnsi"/>
        </w:rPr>
        <w:t xml:space="preserve">, converging towards the </w:t>
      </w:r>
      <w:r w:rsidR="00AA5F8B" w:rsidRPr="0049327C">
        <w:rPr>
          <w:rFonts w:asciiTheme="minorHAnsi" w:hAnsiTheme="minorHAnsi"/>
        </w:rPr>
        <w:t xml:space="preserve">adoption of UN regulations, this is where the </w:t>
      </w:r>
      <w:r w:rsidR="00390D2E" w:rsidRPr="0049327C">
        <w:rPr>
          <w:rFonts w:asciiTheme="minorHAnsi" w:hAnsiTheme="minorHAnsi"/>
        </w:rPr>
        <w:t>future</w:t>
      </w:r>
      <w:r w:rsidR="008D0CA6" w:rsidRPr="0049327C">
        <w:rPr>
          <w:rFonts w:asciiTheme="minorHAnsi" w:hAnsiTheme="minorHAnsi"/>
        </w:rPr>
        <w:t xml:space="preserve"> </w:t>
      </w:r>
      <w:r w:rsidR="00AA5F8B" w:rsidRPr="0049327C">
        <w:rPr>
          <w:rFonts w:asciiTheme="minorHAnsi" w:hAnsiTheme="minorHAnsi"/>
        </w:rPr>
        <w:t>lie</w:t>
      </w:r>
      <w:r w:rsidR="006C0733" w:rsidRPr="0049327C">
        <w:rPr>
          <w:rFonts w:asciiTheme="minorHAnsi" w:hAnsiTheme="minorHAnsi"/>
        </w:rPr>
        <w:t>s</w:t>
      </w:r>
      <w:r w:rsidR="00AA5F8B" w:rsidRPr="0049327C">
        <w:rPr>
          <w:rFonts w:asciiTheme="minorHAnsi" w:hAnsiTheme="minorHAnsi"/>
        </w:rPr>
        <w:t xml:space="preserve">. Allowing for other countries’ </w:t>
      </w:r>
      <w:r w:rsidR="00245514" w:rsidRPr="0049327C">
        <w:rPr>
          <w:rFonts w:asciiTheme="minorHAnsi" w:hAnsiTheme="minorHAnsi"/>
        </w:rPr>
        <w:t xml:space="preserve">local </w:t>
      </w:r>
      <w:r w:rsidR="00AA5F8B" w:rsidRPr="0049327C">
        <w:rPr>
          <w:rFonts w:asciiTheme="minorHAnsi" w:hAnsiTheme="minorHAnsi"/>
        </w:rPr>
        <w:t xml:space="preserve">standards </w:t>
      </w:r>
      <w:r w:rsidR="00390D2E" w:rsidRPr="0049327C">
        <w:rPr>
          <w:rFonts w:asciiTheme="minorHAnsi" w:hAnsiTheme="minorHAnsi"/>
        </w:rPr>
        <w:t xml:space="preserve">has a number of disadvantages as described above and so it is argued that maintaining the permanent exemption for road vehicles </w:t>
      </w:r>
      <w:r w:rsidR="006C0733" w:rsidRPr="0049327C">
        <w:rPr>
          <w:rFonts w:asciiTheme="minorHAnsi" w:hAnsiTheme="minorHAnsi"/>
        </w:rPr>
        <w:t xml:space="preserve">will </w:t>
      </w:r>
      <w:r w:rsidR="00390D2E" w:rsidRPr="0049327C">
        <w:rPr>
          <w:rFonts w:asciiTheme="minorHAnsi" w:hAnsiTheme="minorHAnsi"/>
        </w:rPr>
        <w:t>provide a greater net benefit than any other arrangement.  It certainly provides no additional barriers to Australia and New Zealand independently being able to vigorously pursue increased harmonisation with international regulations.</w:t>
      </w:r>
    </w:p>
    <w:p w:rsidR="00390D2E" w:rsidRPr="0049327C" w:rsidRDefault="00390D2E">
      <w:pPr>
        <w:rPr>
          <w:rFonts w:asciiTheme="minorHAnsi" w:hAnsiTheme="minorHAnsi"/>
        </w:rPr>
      </w:pPr>
    </w:p>
    <w:p w:rsidR="00BE6CC1" w:rsidRPr="0049327C" w:rsidRDefault="00BE6CC1" w:rsidP="00197FBB">
      <w:pPr>
        <w:spacing w:after="200" w:line="276" w:lineRule="auto"/>
        <w:rPr>
          <w:rFonts w:asciiTheme="minorHAnsi" w:hAnsiTheme="minorHAnsi" w:cs="Arial"/>
          <w:b/>
          <w:bCs/>
          <w:color w:val="000000"/>
        </w:rPr>
      </w:pPr>
    </w:p>
    <w:sectPr w:rsidR="00BE6CC1" w:rsidRPr="0049327C" w:rsidSect="00E23CF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1D6" w:rsidRDefault="00F571D6" w:rsidP="00A650BC">
      <w:r>
        <w:separator/>
      </w:r>
    </w:p>
  </w:endnote>
  <w:endnote w:type="continuationSeparator" w:id="0">
    <w:p w:rsidR="00F571D6" w:rsidRDefault="00F571D6" w:rsidP="00A6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1D6" w:rsidRDefault="00F571D6" w:rsidP="00A650BC">
      <w:r>
        <w:separator/>
      </w:r>
    </w:p>
  </w:footnote>
  <w:footnote w:type="continuationSeparator" w:id="0">
    <w:p w:rsidR="00F571D6" w:rsidRDefault="00F571D6" w:rsidP="00A650BC">
      <w:r>
        <w:continuationSeparator/>
      </w:r>
    </w:p>
  </w:footnote>
  <w:footnote w:id="1">
    <w:p w:rsidR="00A650BC" w:rsidRPr="000662C8" w:rsidRDefault="00A650BC" w:rsidP="00A650BC">
      <w:pPr>
        <w:pStyle w:val="FootnoteText"/>
        <w:rPr>
          <w:rFonts w:ascii="Times New Roman" w:hAnsi="Times New Roman"/>
        </w:rPr>
      </w:pPr>
      <w:r>
        <w:rPr>
          <w:rStyle w:val="FootnoteReference"/>
        </w:rPr>
        <w:footnoteRef/>
      </w:r>
      <w:r>
        <w:t xml:space="preserve"> </w:t>
      </w:r>
      <w:r>
        <w:rPr>
          <w:rFonts w:ascii="Times New Roman" w:hAnsi="Times New Roman"/>
        </w:rPr>
        <w:t>Australia is a party to t</w:t>
      </w:r>
      <w:r w:rsidRPr="00621360">
        <w:rPr>
          <w:rFonts w:ascii="Times New Roman" w:hAnsi="Times New Roman"/>
        </w:rPr>
        <w:t xml:space="preserve">he United Nations </w:t>
      </w:r>
      <w:r w:rsidRPr="00621360">
        <w:rPr>
          <w:rFonts w:ascii="Times New Roman" w:hAnsi="Times New Roman"/>
          <w:i/>
        </w:rPr>
        <w:t xml:space="preserve">Agreement concerning the Adoption of Uniform Technical Prescription for Wheeled Vehicles, Equipment and Parts which can be Fitted and/or be Used on Wheeled Vehicles and the Conditions for Reciprocal Recognition of Approvals Granted on the Basis of these Prescriptions </w:t>
      </w:r>
      <w:r w:rsidRPr="00621360">
        <w:rPr>
          <w:rFonts w:ascii="Times New Roman" w:hAnsi="Times New Roman"/>
        </w:rPr>
        <w:t xml:space="preserve">of 20 March 1958 (the </w:t>
      </w:r>
      <w:r>
        <w:rPr>
          <w:rFonts w:ascii="Times New Roman" w:hAnsi="Times New Roman"/>
        </w:rPr>
        <w:t xml:space="preserve">1958 </w:t>
      </w:r>
      <w:r w:rsidRPr="00621360">
        <w:rPr>
          <w:rFonts w:ascii="Times New Roman" w:hAnsi="Times New Roman"/>
        </w:rPr>
        <w:t>Agreement)</w:t>
      </w:r>
      <w:r>
        <w:rPr>
          <w:rFonts w:ascii="Times New Roman" w:hAnsi="Times New Roman"/>
        </w:rPr>
        <w:t xml:space="preserve"> and the United Nations </w:t>
      </w:r>
    </w:p>
    <w:p w:rsidR="00A650BC" w:rsidRDefault="00A650BC" w:rsidP="00A650BC">
      <w:pPr>
        <w:pStyle w:val="FootnoteText"/>
      </w:pPr>
      <w:r w:rsidRPr="00621360">
        <w:rPr>
          <w:rFonts w:ascii="Times New Roman" w:hAnsi="Times New Roman"/>
          <w:i/>
        </w:rPr>
        <w:t>Agreement concerning the Establishing of Global Technical Regulations for Wheeled Vehicles, Equipment and Parts which can be fitted and/or be used on Wheeled Vehicles</w:t>
      </w:r>
      <w:r w:rsidRPr="000662C8">
        <w:rPr>
          <w:rFonts w:ascii="Times New Roman" w:hAnsi="Times New Roman"/>
        </w:rPr>
        <w:t xml:space="preserve"> </w:t>
      </w:r>
      <w:r>
        <w:rPr>
          <w:rFonts w:ascii="Times New Roman" w:hAnsi="Times New Roman"/>
        </w:rPr>
        <w:t xml:space="preserve">of </w:t>
      </w:r>
      <w:r w:rsidRPr="000662C8">
        <w:rPr>
          <w:rFonts w:ascii="Times New Roman" w:hAnsi="Times New Roman"/>
        </w:rPr>
        <w:t>25 June 1998</w:t>
      </w:r>
      <w:r>
        <w:rPr>
          <w:rFonts w:ascii="Times New Roman" w:hAnsi="Times New Roman"/>
        </w:rPr>
        <w:t xml:space="preserve"> (the 1998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330"/>
    </w:tblGrid>
    <w:tr w:rsidR="0049327C" w:rsidTr="0037447B">
      <w:trPr>
        <w:cantSplit/>
      </w:trPr>
      <w:tc>
        <w:tcPr>
          <w:tcW w:w="8330" w:type="dxa"/>
          <w:vAlign w:val="bottom"/>
        </w:tcPr>
        <w:p w:rsidR="0049327C" w:rsidRDefault="0049327C" w:rsidP="0049327C">
          <w:pPr>
            <w:pStyle w:val="Header-DOTARS"/>
            <w:numPr>
              <w:ilvl w:val="0"/>
              <w:numId w:val="5"/>
            </w:numPr>
            <w:ind w:left="-284"/>
          </w:pPr>
          <w:r>
            <w:rPr>
              <w:noProof/>
              <w:lang w:eastAsia="en-AU"/>
            </w:rPr>
            <w:t xml:space="preserve">  </w:t>
          </w:r>
          <w:r>
            <w:rPr>
              <w:noProof/>
              <w:lang w:eastAsia="en-AU"/>
            </w:rPr>
            <w:drawing>
              <wp:inline distT="0" distB="0" distL="0" distR="0" wp14:anchorId="408F4230" wp14:editId="52EAF936">
                <wp:extent cx="49068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906800" cy="792000"/>
                        </a:xfrm>
                        <a:prstGeom prst="rect">
                          <a:avLst/>
                        </a:prstGeom>
                      </pic:spPr>
                    </pic:pic>
                  </a:graphicData>
                </a:graphic>
              </wp:inline>
            </w:drawing>
          </w:r>
        </w:p>
      </w:tc>
    </w:tr>
  </w:tbl>
  <w:p w:rsidR="0049327C" w:rsidRDefault="0049327C" w:rsidP="0049327C">
    <w:pPr>
      <w:pStyle w:val="Header"/>
    </w:pPr>
  </w:p>
  <w:p w:rsidR="0049327C" w:rsidRDefault="00493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0B70"/>
    <w:multiLevelType w:val="hybridMultilevel"/>
    <w:tmpl w:val="033E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ED3E49"/>
    <w:multiLevelType w:val="multilevel"/>
    <w:tmpl w:val="26586944"/>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718E30C9"/>
    <w:multiLevelType w:val="hybridMultilevel"/>
    <w:tmpl w:val="960CC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72EC1496"/>
    <w:multiLevelType w:val="hybridMultilevel"/>
    <w:tmpl w:val="A0A8E720"/>
    <w:lvl w:ilvl="0" w:tplc="EC7E52B0">
      <w:start w:val="10"/>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78C732AA"/>
    <w:multiLevelType w:val="hybridMultilevel"/>
    <w:tmpl w:val="41D4DD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51"/>
    <w:rsid w:val="00024301"/>
    <w:rsid w:val="0004583A"/>
    <w:rsid w:val="00072D5F"/>
    <w:rsid w:val="00076B44"/>
    <w:rsid w:val="0009143A"/>
    <w:rsid w:val="000E1775"/>
    <w:rsid w:val="000E2F56"/>
    <w:rsid w:val="000F0BCA"/>
    <w:rsid w:val="00100901"/>
    <w:rsid w:val="00126878"/>
    <w:rsid w:val="00197FBB"/>
    <w:rsid w:val="001A178A"/>
    <w:rsid w:val="001E6998"/>
    <w:rsid w:val="00206666"/>
    <w:rsid w:val="00245514"/>
    <w:rsid w:val="00257D5A"/>
    <w:rsid w:val="00270978"/>
    <w:rsid w:val="00274875"/>
    <w:rsid w:val="002772ED"/>
    <w:rsid w:val="002D428A"/>
    <w:rsid w:val="003428E9"/>
    <w:rsid w:val="00375A20"/>
    <w:rsid w:val="00390D2E"/>
    <w:rsid w:val="003B4814"/>
    <w:rsid w:val="004147CF"/>
    <w:rsid w:val="0049327C"/>
    <w:rsid w:val="004B2DD9"/>
    <w:rsid w:val="004D6527"/>
    <w:rsid w:val="004F1646"/>
    <w:rsid w:val="004F66D5"/>
    <w:rsid w:val="005143EA"/>
    <w:rsid w:val="00530BDE"/>
    <w:rsid w:val="00534A27"/>
    <w:rsid w:val="005752A4"/>
    <w:rsid w:val="005A22DE"/>
    <w:rsid w:val="005A4CF7"/>
    <w:rsid w:val="005D7FF4"/>
    <w:rsid w:val="006563FF"/>
    <w:rsid w:val="006C0733"/>
    <w:rsid w:val="006C6D64"/>
    <w:rsid w:val="0076056C"/>
    <w:rsid w:val="00794E40"/>
    <w:rsid w:val="007C2865"/>
    <w:rsid w:val="007E632F"/>
    <w:rsid w:val="00833CFD"/>
    <w:rsid w:val="00845446"/>
    <w:rsid w:val="008711B2"/>
    <w:rsid w:val="008B1B51"/>
    <w:rsid w:val="008B29EE"/>
    <w:rsid w:val="008D0CA6"/>
    <w:rsid w:val="009C354E"/>
    <w:rsid w:val="00A06E49"/>
    <w:rsid w:val="00A13DE8"/>
    <w:rsid w:val="00A205E5"/>
    <w:rsid w:val="00A376E5"/>
    <w:rsid w:val="00A47432"/>
    <w:rsid w:val="00A54A3D"/>
    <w:rsid w:val="00A650BC"/>
    <w:rsid w:val="00A81945"/>
    <w:rsid w:val="00A87EFB"/>
    <w:rsid w:val="00A95197"/>
    <w:rsid w:val="00AA5EBD"/>
    <w:rsid w:val="00AA5F8B"/>
    <w:rsid w:val="00AB6A6B"/>
    <w:rsid w:val="00AF0583"/>
    <w:rsid w:val="00B008AB"/>
    <w:rsid w:val="00B1423E"/>
    <w:rsid w:val="00B17751"/>
    <w:rsid w:val="00B77C0C"/>
    <w:rsid w:val="00BB7DBA"/>
    <w:rsid w:val="00BC7486"/>
    <w:rsid w:val="00BD6220"/>
    <w:rsid w:val="00BE23F3"/>
    <w:rsid w:val="00BE6CC1"/>
    <w:rsid w:val="00BF3B88"/>
    <w:rsid w:val="00C45AB7"/>
    <w:rsid w:val="00C70CC8"/>
    <w:rsid w:val="00CF129A"/>
    <w:rsid w:val="00D24518"/>
    <w:rsid w:val="00D35BC3"/>
    <w:rsid w:val="00D43A5B"/>
    <w:rsid w:val="00D627A5"/>
    <w:rsid w:val="00D657B5"/>
    <w:rsid w:val="00D929EE"/>
    <w:rsid w:val="00D9517D"/>
    <w:rsid w:val="00DC058C"/>
    <w:rsid w:val="00DC698A"/>
    <w:rsid w:val="00DF25A1"/>
    <w:rsid w:val="00E23CF2"/>
    <w:rsid w:val="00E47160"/>
    <w:rsid w:val="00EC59D0"/>
    <w:rsid w:val="00F1747C"/>
    <w:rsid w:val="00F313BA"/>
    <w:rsid w:val="00F571D6"/>
    <w:rsid w:val="00F70DA2"/>
    <w:rsid w:val="00F92C50"/>
    <w:rsid w:val="00FC1599"/>
    <w:rsid w:val="00FE1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5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76B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327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51"/>
    <w:pPr>
      <w:ind w:left="720"/>
    </w:pPr>
  </w:style>
  <w:style w:type="paragraph" w:customStyle="1" w:styleId="Default">
    <w:name w:val="Default"/>
    <w:rsid w:val="00BE6CC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A650BC"/>
    <w:rPr>
      <w:rFonts w:ascii="Arial" w:eastAsia="Times New Roman" w:hAnsi="Arial"/>
      <w:sz w:val="20"/>
      <w:szCs w:val="20"/>
    </w:rPr>
  </w:style>
  <w:style w:type="character" w:customStyle="1" w:styleId="FootnoteTextChar">
    <w:name w:val="Footnote Text Char"/>
    <w:basedOn w:val="DefaultParagraphFont"/>
    <w:link w:val="FootnoteText"/>
    <w:uiPriority w:val="99"/>
    <w:rsid w:val="00A650B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650BC"/>
    <w:rPr>
      <w:vertAlign w:val="superscript"/>
    </w:rPr>
  </w:style>
  <w:style w:type="paragraph" w:styleId="BalloonText">
    <w:name w:val="Balloon Text"/>
    <w:basedOn w:val="Normal"/>
    <w:link w:val="BalloonTextChar"/>
    <w:uiPriority w:val="99"/>
    <w:semiHidden/>
    <w:unhideWhenUsed/>
    <w:rsid w:val="005A4CF7"/>
    <w:rPr>
      <w:rFonts w:ascii="Tahoma" w:hAnsi="Tahoma" w:cs="Tahoma"/>
      <w:sz w:val="16"/>
      <w:szCs w:val="16"/>
    </w:rPr>
  </w:style>
  <w:style w:type="character" w:customStyle="1" w:styleId="BalloonTextChar">
    <w:name w:val="Balloon Text Char"/>
    <w:basedOn w:val="DefaultParagraphFont"/>
    <w:link w:val="BalloonText"/>
    <w:uiPriority w:val="99"/>
    <w:semiHidden/>
    <w:rsid w:val="005A4CF7"/>
    <w:rPr>
      <w:rFonts w:ascii="Tahoma" w:hAnsi="Tahoma" w:cs="Tahoma"/>
      <w:sz w:val="16"/>
      <w:szCs w:val="16"/>
    </w:rPr>
  </w:style>
  <w:style w:type="character" w:styleId="CommentReference">
    <w:name w:val="annotation reference"/>
    <w:basedOn w:val="DefaultParagraphFont"/>
    <w:uiPriority w:val="99"/>
    <w:semiHidden/>
    <w:unhideWhenUsed/>
    <w:rsid w:val="004F1646"/>
    <w:rPr>
      <w:sz w:val="16"/>
      <w:szCs w:val="16"/>
    </w:rPr>
  </w:style>
  <w:style w:type="paragraph" w:styleId="CommentText">
    <w:name w:val="annotation text"/>
    <w:basedOn w:val="Normal"/>
    <w:link w:val="CommentTextChar"/>
    <w:uiPriority w:val="99"/>
    <w:semiHidden/>
    <w:unhideWhenUsed/>
    <w:rsid w:val="004F1646"/>
    <w:rPr>
      <w:sz w:val="20"/>
      <w:szCs w:val="20"/>
    </w:rPr>
  </w:style>
  <w:style w:type="character" w:customStyle="1" w:styleId="CommentTextChar">
    <w:name w:val="Comment Text Char"/>
    <w:basedOn w:val="DefaultParagraphFont"/>
    <w:link w:val="CommentText"/>
    <w:uiPriority w:val="99"/>
    <w:semiHidden/>
    <w:rsid w:val="004F164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1646"/>
    <w:rPr>
      <w:b/>
      <w:bCs/>
    </w:rPr>
  </w:style>
  <w:style w:type="character" w:customStyle="1" w:styleId="CommentSubjectChar">
    <w:name w:val="Comment Subject Char"/>
    <w:basedOn w:val="CommentTextChar"/>
    <w:link w:val="CommentSubject"/>
    <w:uiPriority w:val="99"/>
    <w:semiHidden/>
    <w:rsid w:val="004F1646"/>
    <w:rPr>
      <w:rFonts w:ascii="Calibri" w:hAnsi="Calibri" w:cs="Times New Roman"/>
      <w:b/>
      <w:bCs/>
      <w:sz w:val="20"/>
      <w:szCs w:val="20"/>
    </w:rPr>
  </w:style>
  <w:style w:type="paragraph" w:styleId="Revision">
    <w:name w:val="Revision"/>
    <w:hidden/>
    <w:uiPriority w:val="99"/>
    <w:semiHidden/>
    <w:rsid w:val="00D627A5"/>
    <w:pPr>
      <w:spacing w:after="0" w:line="240" w:lineRule="auto"/>
    </w:pPr>
    <w:rPr>
      <w:rFonts w:ascii="Calibri" w:hAnsi="Calibri" w:cs="Times New Roman"/>
    </w:rPr>
  </w:style>
  <w:style w:type="paragraph" w:styleId="Header">
    <w:name w:val="header"/>
    <w:basedOn w:val="Normal"/>
    <w:link w:val="HeaderChar"/>
    <w:uiPriority w:val="99"/>
    <w:unhideWhenUsed/>
    <w:rsid w:val="00197FBB"/>
    <w:pPr>
      <w:tabs>
        <w:tab w:val="center" w:pos="4513"/>
        <w:tab w:val="right" w:pos="9026"/>
      </w:tabs>
    </w:pPr>
  </w:style>
  <w:style w:type="character" w:customStyle="1" w:styleId="HeaderChar">
    <w:name w:val="Header Char"/>
    <w:basedOn w:val="DefaultParagraphFont"/>
    <w:link w:val="Header"/>
    <w:uiPriority w:val="99"/>
    <w:rsid w:val="00197FBB"/>
    <w:rPr>
      <w:rFonts w:ascii="Calibri" w:hAnsi="Calibri" w:cs="Times New Roman"/>
    </w:rPr>
  </w:style>
  <w:style w:type="paragraph" w:styleId="Footer">
    <w:name w:val="footer"/>
    <w:basedOn w:val="Normal"/>
    <w:link w:val="FooterChar"/>
    <w:uiPriority w:val="99"/>
    <w:unhideWhenUsed/>
    <w:rsid w:val="00197FBB"/>
    <w:pPr>
      <w:tabs>
        <w:tab w:val="center" w:pos="4513"/>
        <w:tab w:val="right" w:pos="9026"/>
      </w:tabs>
    </w:pPr>
  </w:style>
  <w:style w:type="character" w:customStyle="1" w:styleId="FooterChar">
    <w:name w:val="Footer Char"/>
    <w:basedOn w:val="DefaultParagraphFont"/>
    <w:link w:val="Footer"/>
    <w:uiPriority w:val="99"/>
    <w:rsid w:val="00197FBB"/>
    <w:rPr>
      <w:rFonts w:ascii="Calibri" w:hAnsi="Calibri" w:cs="Times New Roman"/>
    </w:rPr>
  </w:style>
  <w:style w:type="paragraph" w:customStyle="1" w:styleId="Header-DOTARS">
    <w:name w:val="Header - DOTARS"/>
    <w:basedOn w:val="Header"/>
    <w:next w:val="Normal"/>
    <w:rsid w:val="0049327C"/>
    <w:pPr>
      <w:tabs>
        <w:tab w:val="clear" w:pos="4513"/>
        <w:tab w:val="clear" w:pos="9026"/>
        <w:tab w:val="center" w:pos="4153"/>
        <w:tab w:val="right" w:pos="8306"/>
      </w:tabs>
    </w:pPr>
    <w:rPr>
      <w:rFonts w:ascii="Arial Narrow" w:eastAsia="Times New Roman" w:hAnsi="Arial Narrow"/>
      <w:caps/>
      <w:smallCaps/>
      <w:spacing w:val="100"/>
      <w:sz w:val="28"/>
      <w:szCs w:val="20"/>
    </w:rPr>
  </w:style>
  <w:style w:type="character" w:customStyle="1" w:styleId="Heading2Char">
    <w:name w:val="Heading 2 Char"/>
    <w:basedOn w:val="DefaultParagraphFont"/>
    <w:link w:val="Heading2"/>
    <w:uiPriority w:val="9"/>
    <w:rsid w:val="004932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327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76B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5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76B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327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51"/>
    <w:pPr>
      <w:ind w:left="720"/>
    </w:pPr>
  </w:style>
  <w:style w:type="paragraph" w:customStyle="1" w:styleId="Default">
    <w:name w:val="Default"/>
    <w:rsid w:val="00BE6CC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A650BC"/>
    <w:rPr>
      <w:rFonts w:ascii="Arial" w:eastAsia="Times New Roman" w:hAnsi="Arial"/>
      <w:sz w:val="20"/>
      <w:szCs w:val="20"/>
    </w:rPr>
  </w:style>
  <w:style w:type="character" w:customStyle="1" w:styleId="FootnoteTextChar">
    <w:name w:val="Footnote Text Char"/>
    <w:basedOn w:val="DefaultParagraphFont"/>
    <w:link w:val="FootnoteText"/>
    <w:uiPriority w:val="99"/>
    <w:rsid w:val="00A650B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650BC"/>
    <w:rPr>
      <w:vertAlign w:val="superscript"/>
    </w:rPr>
  </w:style>
  <w:style w:type="paragraph" w:styleId="BalloonText">
    <w:name w:val="Balloon Text"/>
    <w:basedOn w:val="Normal"/>
    <w:link w:val="BalloonTextChar"/>
    <w:uiPriority w:val="99"/>
    <w:semiHidden/>
    <w:unhideWhenUsed/>
    <w:rsid w:val="005A4CF7"/>
    <w:rPr>
      <w:rFonts w:ascii="Tahoma" w:hAnsi="Tahoma" w:cs="Tahoma"/>
      <w:sz w:val="16"/>
      <w:szCs w:val="16"/>
    </w:rPr>
  </w:style>
  <w:style w:type="character" w:customStyle="1" w:styleId="BalloonTextChar">
    <w:name w:val="Balloon Text Char"/>
    <w:basedOn w:val="DefaultParagraphFont"/>
    <w:link w:val="BalloonText"/>
    <w:uiPriority w:val="99"/>
    <w:semiHidden/>
    <w:rsid w:val="005A4CF7"/>
    <w:rPr>
      <w:rFonts w:ascii="Tahoma" w:hAnsi="Tahoma" w:cs="Tahoma"/>
      <w:sz w:val="16"/>
      <w:szCs w:val="16"/>
    </w:rPr>
  </w:style>
  <w:style w:type="character" w:styleId="CommentReference">
    <w:name w:val="annotation reference"/>
    <w:basedOn w:val="DefaultParagraphFont"/>
    <w:uiPriority w:val="99"/>
    <w:semiHidden/>
    <w:unhideWhenUsed/>
    <w:rsid w:val="004F1646"/>
    <w:rPr>
      <w:sz w:val="16"/>
      <w:szCs w:val="16"/>
    </w:rPr>
  </w:style>
  <w:style w:type="paragraph" w:styleId="CommentText">
    <w:name w:val="annotation text"/>
    <w:basedOn w:val="Normal"/>
    <w:link w:val="CommentTextChar"/>
    <w:uiPriority w:val="99"/>
    <w:semiHidden/>
    <w:unhideWhenUsed/>
    <w:rsid w:val="004F1646"/>
    <w:rPr>
      <w:sz w:val="20"/>
      <w:szCs w:val="20"/>
    </w:rPr>
  </w:style>
  <w:style w:type="character" w:customStyle="1" w:styleId="CommentTextChar">
    <w:name w:val="Comment Text Char"/>
    <w:basedOn w:val="DefaultParagraphFont"/>
    <w:link w:val="CommentText"/>
    <w:uiPriority w:val="99"/>
    <w:semiHidden/>
    <w:rsid w:val="004F164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1646"/>
    <w:rPr>
      <w:b/>
      <w:bCs/>
    </w:rPr>
  </w:style>
  <w:style w:type="character" w:customStyle="1" w:styleId="CommentSubjectChar">
    <w:name w:val="Comment Subject Char"/>
    <w:basedOn w:val="CommentTextChar"/>
    <w:link w:val="CommentSubject"/>
    <w:uiPriority w:val="99"/>
    <w:semiHidden/>
    <w:rsid w:val="004F1646"/>
    <w:rPr>
      <w:rFonts w:ascii="Calibri" w:hAnsi="Calibri" w:cs="Times New Roman"/>
      <w:b/>
      <w:bCs/>
      <w:sz w:val="20"/>
      <w:szCs w:val="20"/>
    </w:rPr>
  </w:style>
  <w:style w:type="paragraph" w:styleId="Revision">
    <w:name w:val="Revision"/>
    <w:hidden/>
    <w:uiPriority w:val="99"/>
    <w:semiHidden/>
    <w:rsid w:val="00D627A5"/>
    <w:pPr>
      <w:spacing w:after="0" w:line="240" w:lineRule="auto"/>
    </w:pPr>
    <w:rPr>
      <w:rFonts w:ascii="Calibri" w:hAnsi="Calibri" w:cs="Times New Roman"/>
    </w:rPr>
  </w:style>
  <w:style w:type="paragraph" w:styleId="Header">
    <w:name w:val="header"/>
    <w:basedOn w:val="Normal"/>
    <w:link w:val="HeaderChar"/>
    <w:uiPriority w:val="99"/>
    <w:unhideWhenUsed/>
    <w:rsid w:val="00197FBB"/>
    <w:pPr>
      <w:tabs>
        <w:tab w:val="center" w:pos="4513"/>
        <w:tab w:val="right" w:pos="9026"/>
      </w:tabs>
    </w:pPr>
  </w:style>
  <w:style w:type="character" w:customStyle="1" w:styleId="HeaderChar">
    <w:name w:val="Header Char"/>
    <w:basedOn w:val="DefaultParagraphFont"/>
    <w:link w:val="Header"/>
    <w:uiPriority w:val="99"/>
    <w:rsid w:val="00197FBB"/>
    <w:rPr>
      <w:rFonts w:ascii="Calibri" w:hAnsi="Calibri" w:cs="Times New Roman"/>
    </w:rPr>
  </w:style>
  <w:style w:type="paragraph" w:styleId="Footer">
    <w:name w:val="footer"/>
    <w:basedOn w:val="Normal"/>
    <w:link w:val="FooterChar"/>
    <w:uiPriority w:val="99"/>
    <w:unhideWhenUsed/>
    <w:rsid w:val="00197FBB"/>
    <w:pPr>
      <w:tabs>
        <w:tab w:val="center" w:pos="4513"/>
        <w:tab w:val="right" w:pos="9026"/>
      </w:tabs>
    </w:pPr>
  </w:style>
  <w:style w:type="character" w:customStyle="1" w:styleId="FooterChar">
    <w:name w:val="Footer Char"/>
    <w:basedOn w:val="DefaultParagraphFont"/>
    <w:link w:val="Footer"/>
    <w:uiPriority w:val="99"/>
    <w:rsid w:val="00197FBB"/>
    <w:rPr>
      <w:rFonts w:ascii="Calibri" w:hAnsi="Calibri" w:cs="Times New Roman"/>
    </w:rPr>
  </w:style>
  <w:style w:type="paragraph" w:customStyle="1" w:styleId="Header-DOTARS">
    <w:name w:val="Header - DOTARS"/>
    <w:basedOn w:val="Header"/>
    <w:next w:val="Normal"/>
    <w:rsid w:val="0049327C"/>
    <w:pPr>
      <w:tabs>
        <w:tab w:val="clear" w:pos="4513"/>
        <w:tab w:val="clear" w:pos="9026"/>
        <w:tab w:val="center" w:pos="4153"/>
        <w:tab w:val="right" w:pos="8306"/>
      </w:tabs>
    </w:pPr>
    <w:rPr>
      <w:rFonts w:ascii="Arial Narrow" w:eastAsia="Times New Roman" w:hAnsi="Arial Narrow"/>
      <w:caps/>
      <w:smallCaps/>
      <w:spacing w:val="100"/>
      <w:sz w:val="28"/>
      <w:szCs w:val="20"/>
    </w:rPr>
  </w:style>
  <w:style w:type="character" w:customStyle="1" w:styleId="Heading2Char">
    <w:name w:val="Heading 2 Char"/>
    <w:basedOn w:val="DefaultParagraphFont"/>
    <w:link w:val="Heading2"/>
    <w:uiPriority w:val="9"/>
    <w:rsid w:val="004932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327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76B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D9F2-8A2B-4F30-A299-2A7A00276336}">
  <ds:schemaRefs>
    <ds:schemaRef ds:uri="http://schemas.microsoft.com/office/2006/metadata/customXsn"/>
  </ds:schemaRefs>
</ds:datastoreItem>
</file>

<file path=customXml/itemProps2.xml><?xml version="1.0" encoding="utf-8"?>
<ds:datastoreItem xmlns:ds="http://schemas.openxmlformats.org/officeDocument/2006/customXml" ds:itemID="{665656DD-F9CC-4415-946E-EE5AEA0742BF}">
  <ds:schemaRefs>
    <ds:schemaRef ds:uri="http://schemas.microsoft.com/sharepoint/events"/>
  </ds:schemaRefs>
</ds:datastoreItem>
</file>

<file path=customXml/itemProps3.xml><?xml version="1.0" encoding="utf-8"?>
<ds:datastoreItem xmlns:ds="http://schemas.openxmlformats.org/officeDocument/2006/customXml" ds:itemID="{9225A49E-5EBB-439F-8F3F-0788A98D4A70}">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5AD764E-F850-439D-B1AF-C666ACC3F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AE81DDC-6184-4BB0-8DF7-8E90AE401B81}">
  <ds:schemaRefs>
    <ds:schemaRef ds:uri="http://schemas.microsoft.com/sharepoint/v3/contenttype/forms"/>
  </ds:schemaRefs>
</ds:datastoreItem>
</file>

<file path=customXml/itemProps6.xml><?xml version="1.0" encoding="utf-8"?>
<ds:datastoreItem xmlns:ds="http://schemas.openxmlformats.org/officeDocument/2006/customXml" ds:itemID="{B12358FD-9FD7-44AF-810D-0DE95C0A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6587</Characters>
  <Application>Microsoft Office Word</Application>
  <DocSecurity>0</DocSecurity>
  <Lines>168</Lines>
  <Paragraphs>163</Paragraphs>
  <ScaleCrop>false</ScaleCrop>
  <HeadingPairs>
    <vt:vector size="2" baseType="variant">
      <vt:variant>
        <vt:lpstr>Title</vt:lpstr>
      </vt:variant>
      <vt:variant>
        <vt:i4>1</vt:i4>
      </vt:variant>
    </vt:vector>
  </HeadingPairs>
  <TitlesOfParts>
    <vt:vector size="1" baseType="lpstr">
      <vt:lpstr>Submission 54 - Department of Infrastructure and Regional Development - Mutual Recognition Schemes - Commissioned study</vt:lpstr>
    </vt:vector>
  </TitlesOfParts>
  <Company>Department of Infrastructure and Regional Development</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54 - Department of Infrastructure and Regional Development - Mutual Recognition Schemes - Commissioned study</dc:title>
  <dc:creator>Department of Infrastructure and Regional Development</dc:creator>
  <cp:lastModifiedBy>Mark Pimperl</cp:lastModifiedBy>
  <cp:revision>4</cp:revision>
  <cp:lastPrinted>2015-03-15T20:57:00Z</cp:lastPrinted>
  <dcterms:created xsi:type="dcterms:W3CDTF">2015-04-29T02:43:00Z</dcterms:created>
  <dcterms:modified xsi:type="dcterms:W3CDTF">2015-06-05T06:38:00Z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Order">
    <vt:r8>6800</vt:r8>
  </property>
</Properties>
</file>