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FED8F" w14:textId="77777777" w:rsidR="0099394D" w:rsidRDefault="0099394D" w:rsidP="0099394D">
      <w:pPr>
        <w:pStyle w:val="title"/>
      </w:pPr>
      <w:bookmarkStart w:id="0" w:name="_GoBack"/>
      <w:bookmarkEnd w:id="0"/>
    </w:p>
    <w:p w14:paraId="3D1960DD" w14:textId="77777777" w:rsidR="0099394D" w:rsidRDefault="0099394D" w:rsidP="0099394D">
      <w:pPr>
        <w:pStyle w:val="title"/>
      </w:pPr>
    </w:p>
    <w:p w14:paraId="11A5D6EE" w14:textId="77777777" w:rsidR="0099394D" w:rsidRDefault="0099394D" w:rsidP="0099394D">
      <w:pPr>
        <w:pStyle w:val="title"/>
      </w:pPr>
    </w:p>
    <w:p w14:paraId="2233175E" w14:textId="77777777" w:rsidR="0099394D" w:rsidRDefault="0099394D" w:rsidP="0099394D">
      <w:pPr>
        <w:pStyle w:val="title"/>
      </w:pPr>
    </w:p>
    <w:p w14:paraId="1D143FC0" w14:textId="77777777" w:rsidR="0099394D" w:rsidRDefault="0099394D" w:rsidP="0099394D">
      <w:pPr>
        <w:pStyle w:val="title"/>
      </w:pPr>
    </w:p>
    <w:p w14:paraId="579C8659" w14:textId="77777777" w:rsidR="004B4278" w:rsidRDefault="00BE153C" w:rsidP="0099394D">
      <w:pPr>
        <w:pStyle w:val="title"/>
        <w:spacing w:line="240" w:lineRule="auto"/>
        <w:rPr>
          <w:szCs w:val="48"/>
        </w:rPr>
      </w:pPr>
      <w:r w:rsidRPr="00BE153C">
        <w:rPr>
          <w:szCs w:val="48"/>
        </w:rPr>
        <w:t xml:space="preserve">Productivity Commission </w:t>
      </w:r>
      <w:r>
        <w:rPr>
          <w:szCs w:val="48"/>
        </w:rPr>
        <w:t>Issues</w:t>
      </w:r>
      <w:r w:rsidRPr="00BE153C">
        <w:rPr>
          <w:szCs w:val="48"/>
        </w:rPr>
        <w:t xml:space="preserve"> Paper</w:t>
      </w:r>
      <w:r>
        <w:rPr>
          <w:szCs w:val="48"/>
        </w:rPr>
        <w:t xml:space="preserve"> </w:t>
      </w:r>
    </w:p>
    <w:p w14:paraId="64AACA55" w14:textId="2D7DE223" w:rsidR="00BE153C" w:rsidRPr="00BE153C" w:rsidRDefault="004B4278" w:rsidP="0099394D">
      <w:pPr>
        <w:pStyle w:val="title"/>
        <w:spacing w:line="240" w:lineRule="auto"/>
        <w:rPr>
          <w:szCs w:val="48"/>
        </w:rPr>
      </w:pPr>
      <w:r>
        <w:rPr>
          <w:szCs w:val="48"/>
        </w:rPr>
        <w:t xml:space="preserve">April </w:t>
      </w:r>
      <w:r w:rsidR="00BE153C">
        <w:rPr>
          <w:szCs w:val="48"/>
        </w:rPr>
        <w:t>2015</w:t>
      </w:r>
    </w:p>
    <w:p w14:paraId="2127E5EA" w14:textId="77777777" w:rsidR="00BE153C" w:rsidRDefault="00BE153C" w:rsidP="0099394D">
      <w:pPr>
        <w:pStyle w:val="title"/>
        <w:spacing w:line="240" w:lineRule="auto"/>
        <w:rPr>
          <w:sz w:val="72"/>
          <w:szCs w:val="72"/>
        </w:rPr>
      </w:pPr>
    </w:p>
    <w:p w14:paraId="2CDE70FB" w14:textId="1AC0F0AD" w:rsidR="00DB6E29" w:rsidRPr="0099394D" w:rsidRDefault="00BE153C" w:rsidP="0099394D">
      <w:pPr>
        <w:pStyle w:val="title"/>
        <w:spacing w:line="240" w:lineRule="auto"/>
        <w:rPr>
          <w:sz w:val="72"/>
          <w:szCs w:val="72"/>
        </w:rPr>
      </w:pPr>
      <w:r>
        <w:rPr>
          <w:sz w:val="72"/>
          <w:szCs w:val="72"/>
        </w:rPr>
        <w:t>Barriers to Services Exports</w:t>
      </w:r>
      <w:r w:rsidR="003523CA">
        <w:rPr>
          <w:sz w:val="72"/>
          <w:szCs w:val="72"/>
        </w:rPr>
        <w:t xml:space="preserve"> </w:t>
      </w:r>
    </w:p>
    <w:p w14:paraId="6CA12AEB" w14:textId="77777777" w:rsidR="0099394D" w:rsidRDefault="0099394D" w:rsidP="0099394D">
      <w:pPr>
        <w:pStyle w:val="title"/>
      </w:pPr>
    </w:p>
    <w:p w14:paraId="7DF85C20" w14:textId="77777777" w:rsidR="0099394D" w:rsidRDefault="0099394D" w:rsidP="0099394D">
      <w:pPr>
        <w:pStyle w:val="title"/>
      </w:pPr>
      <w:r>
        <w:t>ACPET submission</w:t>
      </w:r>
    </w:p>
    <w:p w14:paraId="3BF3210D" w14:textId="77777777" w:rsidR="0099394D" w:rsidRDefault="0099394D" w:rsidP="0099394D">
      <w:pPr>
        <w:pStyle w:val="title"/>
      </w:pPr>
    </w:p>
    <w:p w14:paraId="7947B913" w14:textId="444A8165" w:rsidR="0099394D" w:rsidRDefault="0099394D" w:rsidP="0099394D">
      <w:pPr>
        <w:pStyle w:val="bhead"/>
      </w:pPr>
    </w:p>
    <w:p w14:paraId="4F94076F" w14:textId="77777777" w:rsidR="0099394D" w:rsidRDefault="0099394D">
      <w:pPr>
        <w:rPr>
          <w:rFonts w:ascii="Calibri" w:eastAsia="Times New Roman" w:hAnsi="Calibri"/>
          <w:b/>
          <w:color w:val="005581"/>
        </w:rPr>
      </w:pPr>
      <w:r>
        <w:br w:type="page"/>
      </w:r>
    </w:p>
    <w:p w14:paraId="53CCC279" w14:textId="77777777" w:rsidR="005A4550" w:rsidRDefault="005A4550" w:rsidP="00FA11C4">
      <w:pPr>
        <w:tabs>
          <w:tab w:val="left" w:pos="357"/>
          <w:tab w:val="left" w:pos="720"/>
        </w:tabs>
        <w:suppressAutoHyphens/>
        <w:spacing w:before="220" w:after="220" w:line="280" w:lineRule="exact"/>
        <w:ind w:left="360"/>
        <w:rPr>
          <w:rFonts w:eastAsia="Times New Roman"/>
          <w:kern w:val="20"/>
        </w:rPr>
      </w:pPr>
    </w:p>
    <w:p w14:paraId="714D726C" w14:textId="2374AF55" w:rsidR="005A4550" w:rsidRPr="005A4550" w:rsidRDefault="005A4550" w:rsidP="00FA11C4">
      <w:pPr>
        <w:tabs>
          <w:tab w:val="left" w:pos="357"/>
          <w:tab w:val="left" w:pos="720"/>
        </w:tabs>
        <w:suppressAutoHyphens/>
        <w:spacing w:before="220" w:after="220" w:line="280" w:lineRule="exact"/>
        <w:ind w:left="360"/>
        <w:rPr>
          <w:rFonts w:asciiTheme="minorHAnsi" w:eastAsia="Times New Roman" w:hAnsiTheme="minorHAnsi"/>
          <w:b/>
          <w:kern w:val="20"/>
        </w:rPr>
      </w:pPr>
      <w:r w:rsidRPr="005A4550">
        <w:rPr>
          <w:rFonts w:asciiTheme="minorHAnsi" w:eastAsia="Times New Roman" w:hAnsiTheme="minorHAnsi"/>
          <w:b/>
          <w:kern w:val="20"/>
        </w:rPr>
        <w:t>Introduction</w:t>
      </w:r>
    </w:p>
    <w:p w14:paraId="7CEE1F23" w14:textId="1F9C4BF4" w:rsidR="003523CA" w:rsidRPr="005A4550" w:rsidRDefault="003523CA" w:rsidP="00FA11C4">
      <w:pPr>
        <w:tabs>
          <w:tab w:val="left" w:pos="357"/>
          <w:tab w:val="left" w:pos="720"/>
        </w:tabs>
        <w:suppressAutoHyphens/>
        <w:spacing w:before="220" w:after="220" w:line="280" w:lineRule="exact"/>
        <w:ind w:left="360"/>
        <w:rPr>
          <w:rFonts w:asciiTheme="minorHAnsi" w:eastAsia="Times New Roman" w:hAnsiTheme="minorHAnsi"/>
          <w:kern w:val="20"/>
        </w:rPr>
      </w:pPr>
      <w:r w:rsidRPr="005A4550">
        <w:rPr>
          <w:rFonts w:asciiTheme="minorHAnsi" w:eastAsia="Times New Roman" w:hAnsiTheme="minorHAnsi"/>
          <w:kern w:val="20"/>
        </w:rPr>
        <w:t>Established in 1992, ACPET is the national industry association for private providers of post-compulsory education and training. ACPET has over 1,000 members nationally who deliver a range of higher education, vocational education and training (VET) and English language courses across all states and territories and int</w:t>
      </w:r>
      <w:r w:rsidR="00066BA4">
        <w:rPr>
          <w:rFonts w:asciiTheme="minorHAnsi" w:eastAsia="Times New Roman" w:hAnsiTheme="minorHAnsi"/>
          <w:kern w:val="20"/>
        </w:rPr>
        <w:t xml:space="preserve">ernationally. </w:t>
      </w:r>
    </w:p>
    <w:p w14:paraId="6EF624C1" w14:textId="5C91D3AB" w:rsidR="00FA11C4" w:rsidRPr="005A4550" w:rsidRDefault="003523CA" w:rsidP="00FA11C4">
      <w:pPr>
        <w:tabs>
          <w:tab w:val="left" w:pos="357"/>
          <w:tab w:val="left" w:pos="720"/>
        </w:tabs>
        <w:suppressAutoHyphens/>
        <w:spacing w:before="220" w:after="220" w:line="280" w:lineRule="exact"/>
        <w:ind w:left="360"/>
        <w:rPr>
          <w:rFonts w:asciiTheme="minorHAnsi" w:eastAsia="Times New Roman" w:hAnsiTheme="minorHAnsi"/>
          <w:kern w:val="20"/>
        </w:rPr>
      </w:pPr>
      <w:r w:rsidRPr="005A4550">
        <w:rPr>
          <w:rFonts w:asciiTheme="minorHAnsi" w:eastAsia="Times New Roman" w:hAnsiTheme="minorHAnsi"/>
          <w:kern w:val="20"/>
        </w:rPr>
        <w:t xml:space="preserve">ACPET’s mission is to enhance quality, greater choice and innovation in Australian education and training. ACPET members include commercial and not-for-profit entities, community groups, industry providers and enterprise-based organisations. ACPET works with governments, industries and community organisations to ensure </w:t>
      </w:r>
      <w:r w:rsidR="000561D0">
        <w:rPr>
          <w:rFonts w:asciiTheme="minorHAnsi" w:eastAsia="Times New Roman" w:hAnsiTheme="minorHAnsi"/>
          <w:kern w:val="20"/>
        </w:rPr>
        <w:t>h</w:t>
      </w:r>
      <w:r w:rsidRPr="005A4550">
        <w:rPr>
          <w:rFonts w:asciiTheme="minorHAnsi" w:eastAsia="Times New Roman" w:hAnsiTheme="minorHAnsi"/>
          <w:kern w:val="20"/>
        </w:rPr>
        <w:t xml:space="preserve">igher </w:t>
      </w:r>
      <w:r w:rsidR="000561D0">
        <w:rPr>
          <w:rFonts w:asciiTheme="minorHAnsi" w:eastAsia="Times New Roman" w:hAnsiTheme="minorHAnsi"/>
          <w:kern w:val="20"/>
        </w:rPr>
        <w:t>e</w:t>
      </w:r>
      <w:r w:rsidRPr="005A4550">
        <w:rPr>
          <w:rFonts w:asciiTheme="minorHAnsi" w:eastAsia="Times New Roman" w:hAnsiTheme="minorHAnsi"/>
          <w:kern w:val="20"/>
        </w:rPr>
        <w:t>ducation</w:t>
      </w:r>
      <w:r w:rsidR="009A2800">
        <w:rPr>
          <w:rFonts w:asciiTheme="minorHAnsi" w:eastAsia="Times New Roman" w:hAnsiTheme="minorHAnsi"/>
          <w:kern w:val="20"/>
        </w:rPr>
        <w:t xml:space="preserve">, English language </w:t>
      </w:r>
      <w:r w:rsidRPr="005A4550">
        <w:rPr>
          <w:rFonts w:asciiTheme="minorHAnsi" w:eastAsia="Times New Roman" w:hAnsiTheme="minorHAnsi"/>
          <w:kern w:val="20"/>
        </w:rPr>
        <w:t>and VET</w:t>
      </w:r>
      <w:r w:rsidR="00AE4E24">
        <w:rPr>
          <w:rFonts w:asciiTheme="minorHAnsi" w:eastAsia="Times New Roman" w:hAnsiTheme="minorHAnsi"/>
          <w:kern w:val="20"/>
        </w:rPr>
        <w:t xml:space="preserve"> </w:t>
      </w:r>
      <w:r w:rsidR="009A2800">
        <w:rPr>
          <w:rFonts w:asciiTheme="minorHAnsi" w:eastAsia="Times New Roman" w:hAnsiTheme="minorHAnsi"/>
          <w:kern w:val="20"/>
        </w:rPr>
        <w:t xml:space="preserve">programs </w:t>
      </w:r>
      <w:r w:rsidR="00AE4E24">
        <w:rPr>
          <w:rFonts w:asciiTheme="minorHAnsi" w:eastAsia="Times New Roman" w:hAnsiTheme="minorHAnsi"/>
          <w:kern w:val="20"/>
        </w:rPr>
        <w:t>a</w:t>
      </w:r>
      <w:r w:rsidRPr="005A4550">
        <w:rPr>
          <w:rFonts w:asciiTheme="minorHAnsi" w:eastAsia="Times New Roman" w:hAnsiTheme="minorHAnsi"/>
          <w:kern w:val="20"/>
        </w:rPr>
        <w:t>re well targeted, accessible, a</w:t>
      </w:r>
      <w:r w:rsidR="00F240FA" w:rsidRPr="005A4550">
        <w:rPr>
          <w:rFonts w:asciiTheme="minorHAnsi" w:eastAsia="Times New Roman" w:hAnsiTheme="minorHAnsi"/>
          <w:kern w:val="20"/>
        </w:rPr>
        <w:t>nd delivered to a high standard.</w:t>
      </w:r>
    </w:p>
    <w:p w14:paraId="38B26266" w14:textId="61722FA5" w:rsidR="000F3E2C" w:rsidRDefault="00066BA4" w:rsidP="000F3E2C">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There are some 1</w:t>
      </w:r>
      <w:r w:rsidR="009A2800">
        <w:rPr>
          <w:rFonts w:asciiTheme="minorHAnsi" w:hAnsiTheme="minorHAnsi"/>
          <w:kern w:val="20"/>
        </w:rPr>
        <w:t>,</w:t>
      </w:r>
      <w:r>
        <w:rPr>
          <w:rFonts w:asciiTheme="minorHAnsi" w:hAnsiTheme="minorHAnsi"/>
          <w:kern w:val="20"/>
        </w:rPr>
        <w:t>200 Commonwealth Register of Institutions and Courses for Overseas Students (CRICOS) registered educational and training providers in Australia of which some 440 are ACPET members. According</w:t>
      </w:r>
      <w:r w:rsidR="000F3E2C">
        <w:rPr>
          <w:rFonts w:asciiTheme="minorHAnsi" w:hAnsiTheme="minorHAnsi"/>
          <w:kern w:val="20"/>
        </w:rPr>
        <w:t>ly</w:t>
      </w:r>
      <w:r w:rsidR="009A2800">
        <w:rPr>
          <w:rFonts w:asciiTheme="minorHAnsi" w:hAnsiTheme="minorHAnsi"/>
          <w:kern w:val="20"/>
        </w:rPr>
        <w:t>,</w:t>
      </w:r>
      <w:r w:rsidR="000F3E2C">
        <w:rPr>
          <w:rFonts w:asciiTheme="minorHAnsi" w:hAnsiTheme="minorHAnsi"/>
          <w:kern w:val="20"/>
        </w:rPr>
        <w:t xml:space="preserve"> ACPET is pleased to see that </w:t>
      </w:r>
      <w:r>
        <w:rPr>
          <w:rFonts w:asciiTheme="minorHAnsi" w:hAnsiTheme="minorHAnsi"/>
          <w:kern w:val="20"/>
        </w:rPr>
        <w:t xml:space="preserve">the Productivity Commission is considering the barriers </w:t>
      </w:r>
      <w:r w:rsidR="000F3E2C">
        <w:rPr>
          <w:rFonts w:asciiTheme="minorHAnsi" w:hAnsiTheme="minorHAnsi"/>
          <w:kern w:val="20"/>
        </w:rPr>
        <w:t xml:space="preserve">that may be hindering the growth of </w:t>
      </w:r>
      <w:r w:rsidR="006F57D6">
        <w:rPr>
          <w:rFonts w:asciiTheme="minorHAnsi" w:hAnsiTheme="minorHAnsi"/>
          <w:kern w:val="20"/>
        </w:rPr>
        <w:t>s</w:t>
      </w:r>
      <w:r w:rsidR="000F3E2C">
        <w:rPr>
          <w:rFonts w:asciiTheme="minorHAnsi" w:hAnsiTheme="minorHAnsi"/>
          <w:kern w:val="20"/>
        </w:rPr>
        <w:t>ervices exports</w:t>
      </w:r>
      <w:r w:rsidR="004443F4">
        <w:rPr>
          <w:rFonts w:asciiTheme="minorHAnsi" w:hAnsiTheme="minorHAnsi"/>
          <w:kern w:val="20"/>
        </w:rPr>
        <w:t>,</w:t>
      </w:r>
      <w:r w:rsidR="000F3E2C">
        <w:rPr>
          <w:rFonts w:asciiTheme="minorHAnsi" w:hAnsiTheme="minorHAnsi"/>
          <w:kern w:val="20"/>
        </w:rPr>
        <w:t xml:space="preserve"> including educational services.</w:t>
      </w:r>
    </w:p>
    <w:p w14:paraId="408FE534" w14:textId="6B58E251" w:rsidR="000F3E2C" w:rsidRPr="000F3E2C" w:rsidRDefault="000F3E2C" w:rsidP="00FA11C4">
      <w:pPr>
        <w:tabs>
          <w:tab w:val="left" w:pos="357"/>
          <w:tab w:val="left" w:pos="720"/>
        </w:tabs>
        <w:suppressAutoHyphens/>
        <w:spacing w:before="220" w:after="220" w:line="280" w:lineRule="exact"/>
        <w:ind w:left="360"/>
        <w:rPr>
          <w:rFonts w:asciiTheme="minorHAnsi" w:hAnsiTheme="minorHAnsi"/>
          <w:b/>
          <w:kern w:val="20"/>
        </w:rPr>
      </w:pPr>
      <w:r w:rsidRPr="000F3E2C">
        <w:rPr>
          <w:rFonts w:asciiTheme="minorHAnsi" w:hAnsiTheme="minorHAnsi"/>
          <w:b/>
          <w:kern w:val="20"/>
        </w:rPr>
        <w:t>Context</w:t>
      </w:r>
    </w:p>
    <w:p w14:paraId="01FC0642" w14:textId="5D5D8D3D" w:rsidR="00DF4960" w:rsidRDefault="000F3E2C" w:rsidP="00FA11C4">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The Productivity Commission’s rec</w:t>
      </w:r>
      <w:r w:rsidR="00553459">
        <w:rPr>
          <w:rFonts w:asciiTheme="minorHAnsi" w:hAnsiTheme="minorHAnsi"/>
          <w:kern w:val="20"/>
        </w:rPr>
        <w:t xml:space="preserve">ent </w:t>
      </w:r>
      <w:r>
        <w:rPr>
          <w:rFonts w:asciiTheme="minorHAnsi" w:hAnsiTheme="minorHAnsi"/>
          <w:kern w:val="20"/>
        </w:rPr>
        <w:t xml:space="preserve">report on </w:t>
      </w:r>
      <w:r w:rsidR="00553459">
        <w:rPr>
          <w:rFonts w:asciiTheme="minorHAnsi" w:hAnsiTheme="minorHAnsi"/>
          <w:kern w:val="20"/>
        </w:rPr>
        <w:t>international education services highlights that the sector is v</w:t>
      </w:r>
      <w:r w:rsidR="00C5105E">
        <w:rPr>
          <w:rFonts w:asciiTheme="minorHAnsi" w:hAnsiTheme="minorHAnsi"/>
          <w:kern w:val="20"/>
        </w:rPr>
        <w:t>alued at some $17 billion</w:t>
      </w:r>
      <w:r w:rsidR="006F57D6">
        <w:rPr>
          <w:rStyle w:val="FootnoteReference"/>
          <w:rFonts w:asciiTheme="minorHAnsi" w:hAnsiTheme="minorHAnsi"/>
          <w:kern w:val="20"/>
        </w:rPr>
        <w:footnoteReference w:id="1"/>
      </w:r>
      <w:r w:rsidR="00553459">
        <w:rPr>
          <w:rFonts w:asciiTheme="minorHAnsi" w:hAnsiTheme="minorHAnsi"/>
          <w:kern w:val="20"/>
        </w:rPr>
        <w:t xml:space="preserve">.  Recent data indicates that the sector has rebounded following the </w:t>
      </w:r>
      <w:r w:rsidR="00DF4960">
        <w:rPr>
          <w:rFonts w:asciiTheme="minorHAnsi" w:hAnsiTheme="minorHAnsi"/>
          <w:kern w:val="20"/>
        </w:rPr>
        <w:t xml:space="preserve">declines of several years ago </w:t>
      </w:r>
      <w:r w:rsidR="000944BF">
        <w:rPr>
          <w:rFonts w:asciiTheme="minorHAnsi" w:hAnsiTheme="minorHAnsi"/>
          <w:kern w:val="20"/>
        </w:rPr>
        <w:t>following the</w:t>
      </w:r>
      <w:r w:rsidR="00DF4960">
        <w:rPr>
          <w:rFonts w:asciiTheme="minorHAnsi" w:hAnsiTheme="minorHAnsi"/>
          <w:kern w:val="20"/>
        </w:rPr>
        <w:t xml:space="preserve"> impact of the </w:t>
      </w:r>
      <w:r w:rsidR="000944BF">
        <w:rPr>
          <w:rFonts w:asciiTheme="minorHAnsi" w:hAnsiTheme="minorHAnsi"/>
          <w:kern w:val="20"/>
        </w:rPr>
        <w:t xml:space="preserve">GFC, </w:t>
      </w:r>
      <w:r w:rsidR="000F756B">
        <w:rPr>
          <w:rFonts w:asciiTheme="minorHAnsi" w:hAnsiTheme="minorHAnsi"/>
          <w:kern w:val="20"/>
        </w:rPr>
        <w:t xml:space="preserve">currency movements, </w:t>
      </w:r>
      <w:r w:rsidR="004B4278">
        <w:rPr>
          <w:rFonts w:asciiTheme="minorHAnsi" w:hAnsiTheme="minorHAnsi"/>
          <w:kern w:val="20"/>
        </w:rPr>
        <w:t xml:space="preserve">safety </w:t>
      </w:r>
      <w:r w:rsidR="00DF4960">
        <w:rPr>
          <w:rFonts w:asciiTheme="minorHAnsi" w:hAnsiTheme="minorHAnsi"/>
          <w:kern w:val="20"/>
        </w:rPr>
        <w:t xml:space="preserve">concerns </w:t>
      </w:r>
      <w:r w:rsidR="004B4278">
        <w:rPr>
          <w:rFonts w:asciiTheme="minorHAnsi" w:hAnsiTheme="minorHAnsi"/>
          <w:kern w:val="20"/>
        </w:rPr>
        <w:t xml:space="preserve">by </w:t>
      </w:r>
      <w:r w:rsidR="00DF4960">
        <w:rPr>
          <w:rFonts w:asciiTheme="minorHAnsi" w:hAnsiTheme="minorHAnsi"/>
          <w:kern w:val="20"/>
        </w:rPr>
        <w:t>Indian students and visa changes.</w:t>
      </w:r>
    </w:p>
    <w:p w14:paraId="76FCC4CD" w14:textId="4AE88E8A" w:rsidR="00571150" w:rsidRDefault="00DF4960" w:rsidP="00571150">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 xml:space="preserve">The </w:t>
      </w:r>
      <w:r w:rsidR="00571150">
        <w:rPr>
          <w:rFonts w:asciiTheme="minorHAnsi" w:hAnsiTheme="minorHAnsi"/>
          <w:kern w:val="20"/>
        </w:rPr>
        <w:t>Chaney report highlights the future potential of the sector with mobile international student numbers expected to doub</w:t>
      </w:r>
      <w:r w:rsidR="00CC1F08">
        <w:rPr>
          <w:rFonts w:asciiTheme="minorHAnsi" w:hAnsiTheme="minorHAnsi"/>
          <w:kern w:val="20"/>
        </w:rPr>
        <w:t xml:space="preserve">le from 3.4 million in 2009 to </w:t>
      </w:r>
      <w:r w:rsidR="00571150">
        <w:rPr>
          <w:rFonts w:asciiTheme="minorHAnsi" w:hAnsiTheme="minorHAnsi"/>
          <w:kern w:val="20"/>
        </w:rPr>
        <w:t>seven mi</w:t>
      </w:r>
      <w:r w:rsidR="00985DEA">
        <w:rPr>
          <w:rFonts w:asciiTheme="minorHAnsi" w:hAnsiTheme="minorHAnsi"/>
          <w:kern w:val="20"/>
        </w:rPr>
        <w:t>ll</w:t>
      </w:r>
      <w:r w:rsidR="000F756B">
        <w:rPr>
          <w:rFonts w:asciiTheme="minorHAnsi" w:hAnsiTheme="minorHAnsi"/>
          <w:kern w:val="20"/>
        </w:rPr>
        <w:t>i</w:t>
      </w:r>
      <w:r w:rsidR="00571150">
        <w:rPr>
          <w:rFonts w:asciiTheme="minorHAnsi" w:hAnsiTheme="minorHAnsi"/>
          <w:kern w:val="20"/>
        </w:rPr>
        <w:t>on by 2020</w:t>
      </w:r>
      <w:r w:rsidR="00BC4E91">
        <w:rPr>
          <w:rStyle w:val="FootnoteReference"/>
          <w:rFonts w:asciiTheme="minorHAnsi" w:hAnsiTheme="minorHAnsi"/>
          <w:kern w:val="20"/>
        </w:rPr>
        <w:footnoteReference w:id="2"/>
      </w:r>
      <w:r w:rsidR="00571150">
        <w:rPr>
          <w:rFonts w:asciiTheme="minorHAnsi" w:hAnsiTheme="minorHAnsi"/>
          <w:kern w:val="20"/>
        </w:rPr>
        <w:t>.  It is i</w:t>
      </w:r>
      <w:r w:rsidR="00CC1F08">
        <w:rPr>
          <w:rFonts w:asciiTheme="minorHAnsi" w:hAnsiTheme="minorHAnsi"/>
          <w:kern w:val="20"/>
        </w:rPr>
        <w:t xml:space="preserve">mportant, </w:t>
      </w:r>
      <w:r w:rsidR="004B4278">
        <w:rPr>
          <w:rFonts w:asciiTheme="minorHAnsi" w:hAnsiTheme="minorHAnsi"/>
          <w:kern w:val="20"/>
        </w:rPr>
        <w:t>t</w:t>
      </w:r>
      <w:r w:rsidR="00CC1F08">
        <w:rPr>
          <w:rFonts w:asciiTheme="minorHAnsi" w:hAnsiTheme="minorHAnsi"/>
          <w:kern w:val="20"/>
        </w:rPr>
        <w:t xml:space="preserve">hen, that </w:t>
      </w:r>
      <w:r w:rsidR="00571150">
        <w:rPr>
          <w:rFonts w:asciiTheme="minorHAnsi" w:hAnsiTheme="minorHAnsi"/>
          <w:kern w:val="20"/>
        </w:rPr>
        <w:t>attention is focused on measures that will support Australia’s continu</w:t>
      </w:r>
      <w:r w:rsidR="00C5105E">
        <w:rPr>
          <w:rFonts w:asciiTheme="minorHAnsi" w:hAnsiTheme="minorHAnsi"/>
          <w:kern w:val="20"/>
        </w:rPr>
        <w:t>ing prominent role</w:t>
      </w:r>
      <w:r w:rsidR="00571150">
        <w:rPr>
          <w:rFonts w:asciiTheme="minorHAnsi" w:hAnsiTheme="minorHAnsi"/>
          <w:kern w:val="20"/>
        </w:rPr>
        <w:t xml:space="preserve">, especially as traditional and emerging </w:t>
      </w:r>
      <w:r w:rsidR="00E60A67">
        <w:rPr>
          <w:rFonts w:asciiTheme="minorHAnsi" w:hAnsiTheme="minorHAnsi"/>
          <w:kern w:val="20"/>
        </w:rPr>
        <w:t>competitors</w:t>
      </w:r>
      <w:r w:rsidR="00571150">
        <w:rPr>
          <w:rFonts w:asciiTheme="minorHAnsi" w:hAnsiTheme="minorHAnsi"/>
          <w:kern w:val="20"/>
        </w:rPr>
        <w:t>, particularly in Asia, seek to lift their share of th</w:t>
      </w:r>
      <w:r w:rsidR="000F756B">
        <w:rPr>
          <w:rFonts w:asciiTheme="minorHAnsi" w:hAnsiTheme="minorHAnsi"/>
          <w:kern w:val="20"/>
        </w:rPr>
        <w:t>is</w:t>
      </w:r>
      <w:r w:rsidR="00571150">
        <w:rPr>
          <w:rFonts w:asciiTheme="minorHAnsi" w:hAnsiTheme="minorHAnsi"/>
          <w:kern w:val="20"/>
        </w:rPr>
        <w:t xml:space="preserve"> </w:t>
      </w:r>
      <w:r w:rsidR="000F756B">
        <w:rPr>
          <w:rFonts w:asciiTheme="minorHAnsi" w:hAnsiTheme="minorHAnsi"/>
          <w:kern w:val="20"/>
        </w:rPr>
        <w:t xml:space="preserve">growing </w:t>
      </w:r>
      <w:r w:rsidR="00571150">
        <w:rPr>
          <w:rFonts w:asciiTheme="minorHAnsi" w:hAnsiTheme="minorHAnsi"/>
          <w:kern w:val="20"/>
        </w:rPr>
        <w:t>international student market.</w:t>
      </w:r>
    </w:p>
    <w:p w14:paraId="3B9D64CB" w14:textId="0205C536" w:rsidR="00CC1F08" w:rsidRDefault="00CC1F08" w:rsidP="00571150">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T</w:t>
      </w:r>
      <w:r w:rsidR="00C5105E">
        <w:rPr>
          <w:rFonts w:asciiTheme="minorHAnsi" w:hAnsiTheme="minorHAnsi"/>
          <w:kern w:val="20"/>
        </w:rPr>
        <w:t xml:space="preserve">he </w:t>
      </w:r>
      <w:r w:rsidR="00BC4E91">
        <w:rPr>
          <w:rFonts w:asciiTheme="minorHAnsi" w:hAnsiTheme="minorHAnsi"/>
          <w:kern w:val="20"/>
        </w:rPr>
        <w:t>recent</w:t>
      </w:r>
      <w:r w:rsidR="00C5105E">
        <w:rPr>
          <w:rFonts w:asciiTheme="minorHAnsi" w:hAnsiTheme="minorHAnsi"/>
          <w:kern w:val="20"/>
        </w:rPr>
        <w:t xml:space="preserve">ly released </w:t>
      </w:r>
      <w:r w:rsidR="00BC4E91">
        <w:rPr>
          <w:rFonts w:asciiTheme="minorHAnsi" w:hAnsiTheme="minorHAnsi"/>
          <w:kern w:val="20"/>
        </w:rPr>
        <w:t xml:space="preserve">2014 survey </w:t>
      </w:r>
      <w:r>
        <w:rPr>
          <w:rFonts w:asciiTheme="minorHAnsi" w:hAnsiTheme="minorHAnsi"/>
          <w:kern w:val="20"/>
        </w:rPr>
        <w:t>of international students highlights the</w:t>
      </w:r>
      <w:r w:rsidR="004D7196">
        <w:rPr>
          <w:rFonts w:asciiTheme="minorHAnsi" w:hAnsiTheme="minorHAnsi"/>
          <w:kern w:val="20"/>
        </w:rPr>
        <w:t xml:space="preserve"> strong levels of satisfaction </w:t>
      </w:r>
      <w:r>
        <w:rPr>
          <w:rFonts w:asciiTheme="minorHAnsi" w:hAnsiTheme="minorHAnsi"/>
          <w:kern w:val="20"/>
        </w:rPr>
        <w:t xml:space="preserve">with their study experience in Australia. Satisfaction levels have </w:t>
      </w:r>
      <w:r w:rsidR="004B4278">
        <w:rPr>
          <w:rFonts w:asciiTheme="minorHAnsi" w:hAnsiTheme="minorHAnsi"/>
          <w:kern w:val="20"/>
        </w:rPr>
        <w:t xml:space="preserve">mostly </w:t>
      </w:r>
      <w:r>
        <w:rPr>
          <w:rFonts w:asciiTheme="minorHAnsi" w:hAnsiTheme="minorHAnsi"/>
          <w:kern w:val="20"/>
        </w:rPr>
        <w:t>been maintained</w:t>
      </w:r>
      <w:r w:rsidR="004D7196">
        <w:rPr>
          <w:rFonts w:asciiTheme="minorHAnsi" w:hAnsiTheme="minorHAnsi"/>
          <w:kern w:val="20"/>
        </w:rPr>
        <w:t>,</w:t>
      </w:r>
      <w:r>
        <w:rPr>
          <w:rFonts w:asciiTheme="minorHAnsi" w:hAnsiTheme="minorHAnsi"/>
          <w:kern w:val="20"/>
        </w:rPr>
        <w:t xml:space="preserve"> or improved</w:t>
      </w:r>
      <w:r w:rsidR="004D7196">
        <w:rPr>
          <w:rFonts w:asciiTheme="minorHAnsi" w:hAnsiTheme="minorHAnsi"/>
          <w:kern w:val="20"/>
        </w:rPr>
        <w:t>,</w:t>
      </w:r>
      <w:r>
        <w:rPr>
          <w:rFonts w:asciiTheme="minorHAnsi" w:hAnsiTheme="minorHAnsi"/>
          <w:kern w:val="20"/>
        </w:rPr>
        <w:t xml:space="preserve"> since the survey of 2012</w:t>
      </w:r>
      <w:r w:rsidR="00BC4E91">
        <w:rPr>
          <w:rStyle w:val="FootnoteReference"/>
          <w:rFonts w:asciiTheme="minorHAnsi" w:hAnsiTheme="minorHAnsi"/>
          <w:kern w:val="20"/>
        </w:rPr>
        <w:footnoteReference w:id="3"/>
      </w:r>
      <w:r w:rsidR="002F2DFC">
        <w:rPr>
          <w:rFonts w:asciiTheme="minorHAnsi" w:hAnsiTheme="minorHAnsi"/>
          <w:kern w:val="20"/>
        </w:rPr>
        <w:t xml:space="preserve">. </w:t>
      </w:r>
      <w:r w:rsidR="00F720B0">
        <w:rPr>
          <w:rFonts w:asciiTheme="minorHAnsi" w:hAnsiTheme="minorHAnsi"/>
          <w:kern w:val="20"/>
        </w:rPr>
        <w:t>For now</w:t>
      </w:r>
      <w:r w:rsidR="002F2DFC">
        <w:rPr>
          <w:rFonts w:asciiTheme="minorHAnsi" w:hAnsiTheme="minorHAnsi"/>
          <w:kern w:val="20"/>
        </w:rPr>
        <w:t>, the fundamentals of Australia’s international student policy framework are sound</w:t>
      </w:r>
      <w:r w:rsidR="000F756B">
        <w:rPr>
          <w:rFonts w:asciiTheme="minorHAnsi" w:hAnsiTheme="minorHAnsi"/>
          <w:kern w:val="20"/>
        </w:rPr>
        <w:t xml:space="preserve">. </w:t>
      </w:r>
    </w:p>
    <w:p w14:paraId="3877A927" w14:textId="1E9312D4" w:rsidR="00571150" w:rsidRDefault="00C5105E" w:rsidP="00FA11C4">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While s</w:t>
      </w:r>
      <w:r w:rsidR="002F2DFC">
        <w:rPr>
          <w:rFonts w:asciiTheme="minorHAnsi" w:hAnsiTheme="minorHAnsi"/>
          <w:kern w:val="20"/>
        </w:rPr>
        <w:t xml:space="preserve">tudent </w:t>
      </w:r>
      <w:r w:rsidR="002607CB">
        <w:rPr>
          <w:rFonts w:asciiTheme="minorHAnsi" w:hAnsiTheme="minorHAnsi"/>
          <w:kern w:val="20"/>
        </w:rPr>
        <w:t>survey</w:t>
      </w:r>
      <w:r w:rsidR="00571150">
        <w:rPr>
          <w:rFonts w:asciiTheme="minorHAnsi" w:hAnsiTheme="minorHAnsi"/>
          <w:kern w:val="20"/>
        </w:rPr>
        <w:t xml:space="preserve"> </w:t>
      </w:r>
      <w:r w:rsidR="00CD3A78">
        <w:rPr>
          <w:rFonts w:asciiTheme="minorHAnsi" w:hAnsiTheme="minorHAnsi"/>
          <w:kern w:val="20"/>
        </w:rPr>
        <w:t xml:space="preserve">and performance data </w:t>
      </w:r>
      <w:r w:rsidR="00571150">
        <w:rPr>
          <w:rFonts w:asciiTheme="minorHAnsi" w:hAnsiTheme="minorHAnsi"/>
          <w:kern w:val="20"/>
        </w:rPr>
        <w:t>supports the</w:t>
      </w:r>
      <w:r w:rsidR="002F2DFC">
        <w:rPr>
          <w:rFonts w:asciiTheme="minorHAnsi" w:hAnsiTheme="minorHAnsi"/>
          <w:kern w:val="20"/>
        </w:rPr>
        <w:t xml:space="preserve"> fundamental</w:t>
      </w:r>
      <w:r w:rsidR="0058668F">
        <w:rPr>
          <w:rFonts w:asciiTheme="minorHAnsi" w:hAnsiTheme="minorHAnsi"/>
          <w:kern w:val="20"/>
        </w:rPr>
        <w:t>s</w:t>
      </w:r>
      <w:r w:rsidR="002F2DFC">
        <w:rPr>
          <w:rFonts w:asciiTheme="minorHAnsi" w:hAnsiTheme="minorHAnsi"/>
          <w:kern w:val="20"/>
        </w:rPr>
        <w:t xml:space="preserve"> </w:t>
      </w:r>
      <w:r w:rsidR="0058668F">
        <w:rPr>
          <w:rFonts w:asciiTheme="minorHAnsi" w:hAnsiTheme="minorHAnsi"/>
          <w:kern w:val="20"/>
        </w:rPr>
        <w:t xml:space="preserve">and </w:t>
      </w:r>
      <w:r w:rsidR="00571150">
        <w:rPr>
          <w:rFonts w:asciiTheme="minorHAnsi" w:hAnsiTheme="minorHAnsi"/>
          <w:kern w:val="20"/>
        </w:rPr>
        <w:t>growth potential of the sector, the decline in</w:t>
      </w:r>
      <w:r>
        <w:rPr>
          <w:rFonts w:asciiTheme="minorHAnsi" w:hAnsiTheme="minorHAnsi"/>
          <w:kern w:val="20"/>
        </w:rPr>
        <w:t xml:space="preserve"> international student</w:t>
      </w:r>
      <w:r w:rsidR="004D7196">
        <w:rPr>
          <w:rFonts w:asciiTheme="minorHAnsi" w:hAnsiTheme="minorHAnsi"/>
          <w:kern w:val="20"/>
        </w:rPr>
        <w:t xml:space="preserve"> numbers</w:t>
      </w:r>
      <w:r w:rsidR="00673B46">
        <w:rPr>
          <w:rFonts w:asciiTheme="minorHAnsi" w:hAnsiTheme="minorHAnsi"/>
          <w:kern w:val="20"/>
        </w:rPr>
        <w:t xml:space="preserve"> after</w:t>
      </w:r>
      <w:r w:rsidR="00CC1F08">
        <w:rPr>
          <w:rFonts w:asciiTheme="minorHAnsi" w:hAnsiTheme="minorHAnsi"/>
          <w:kern w:val="20"/>
        </w:rPr>
        <w:t xml:space="preserve"> the peak of 2009</w:t>
      </w:r>
      <w:r w:rsidR="00571150">
        <w:rPr>
          <w:rFonts w:asciiTheme="minorHAnsi" w:hAnsiTheme="minorHAnsi"/>
          <w:kern w:val="20"/>
        </w:rPr>
        <w:t xml:space="preserve"> highlights the </w:t>
      </w:r>
      <w:r w:rsidR="00CC1F08">
        <w:rPr>
          <w:rFonts w:asciiTheme="minorHAnsi" w:hAnsiTheme="minorHAnsi"/>
          <w:kern w:val="20"/>
        </w:rPr>
        <w:t>su</w:t>
      </w:r>
      <w:r w:rsidR="00F720B0">
        <w:rPr>
          <w:rFonts w:asciiTheme="minorHAnsi" w:hAnsiTheme="minorHAnsi"/>
          <w:kern w:val="20"/>
        </w:rPr>
        <w:t xml:space="preserve">sceptibility of this market to </w:t>
      </w:r>
      <w:r w:rsidR="00CC1F08">
        <w:rPr>
          <w:rFonts w:asciiTheme="minorHAnsi" w:hAnsiTheme="minorHAnsi"/>
          <w:kern w:val="20"/>
        </w:rPr>
        <w:t xml:space="preserve">economic </w:t>
      </w:r>
      <w:r w:rsidR="000F756B">
        <w:rPr>
          <w:rFonts w:asciiTheme="minorHAnsi" w:hAnsiTheme="minorHAnsi"/>
          <w:kern w:val="20"/>
        </w:rPr>
        <w:t xml:space="preserve">and other </w:t>
      </w:r>
      <w:r w:rsidR="00CC1F08">
        <w:rPr>
          <w:rFonts w:asciiTheme="minorHAnsi" w:hAnsiTheme="minorHAnsi"/>
          <w:kern w:val="20"/>
        </w:rPr>
        <w:t>circumstances</w:t>
      </w:r>
      <w:r>
        <w:rPr>
          <w:rFonts w:asciiTheme="minorHAnsi" w:hAnsiTheme="minorHAnsi"/>
          <w:kern w:val="20"/>
        </w:rPr>
        <w:t>. It also flags the role of changes to Australia’s international</w:t>
      </w:r>
      <w:r w:rsidR="0058668F">
        <w:rPr>
          <w:rFonts w:asciiTheme="minorHAnsi" w:hAnsiTheme="minorHAnsi"/>
          <w:kern w:val="20"/>
        </w:rPr>
        <w:t xml:space="preserve"> education </w:t>
      </w:r>
      <w:r w:rsidR="00CC1F08">
        <w:rPr>
          <w:rFonts w:asciiTheme="minorHAnsi" w:hAnsiTheme="minorHAnsi"/>
          <w:kern w:val="20"/>
        </w:rPr>
        <w:t>policy settings</w:t>
      </w:r>
      <w:r w:rsidR="00071401">
        <w:rPr>
          <w:rFonts w:asciiTheme="minorHAnsi" w:hAnsiTheme="minorHAnsi"/>
          <w:kern w:val="20"/>
        </w:rPr>
        <w:t>.</w:t>
      </w:r>
    </w:p>
    <w:p w14:paraId="2904AE24" w14:textId="7F0103EE" w:rsidR="001331B5" w:rsidRDefault="00071401" w:rsidP="00FA11C4">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ACPET’s priority is on en</w:t>
      </w:r>
      <w:r w:rsidR="001331B5">
        <w:rPr>
          <w:rFonts w:asciiTheme="minorHAnsi" w:hAnsiTheme="minorHAnsi"/>
          <w:kern w:val="20"/>
        </w:rPr>
        <w:t xml:space="preserve">suring that these settings are </w:t>
      </w:r>
      <w:r>
        <w:rPr>
          <w:rFonts w:asciiTheme="minorHAnsi" w:hAnsiTheme="minorHAnsi"/>
          <w:kern w:val="20"/>
        </w:rPr>
        <w:t xml:space="preserve">not only appropriate but provide the policy stability that will give confidence to </w:t>
      </w:r>
      <w:r w:rsidR="001331B5">
        <w:rPr>
          <w:rFonts w:asciiTheme="minorHAnsi" w:hAnsiTheme="minorHAnsi"/>
          <w:kern w:val="20"/>
        </w:rPr>
        <w:t xml:space="preserve">international education </w:t>
      </w:r>
      <w:r>
        <w:rPr>
          <w:rFonts w:asciiTheme="minorHAnsi" w:hAnsiTheme="minorHAnsi"/>
          <w:kern w:val="20"/>
        </w:rPr>
        <w:t xml:space="preserve">providers to undertake </w:t>
      </w:r>
      <w:r w:rsidR="001331B5">
        <w:rPr>
          <w:rFonts w:asciiTheme="minorHAnsi" w:hAnsiTheme="minorHAnsi"/>
          <w:kern w:val="20"/>
        </w:rPr>
        <w:t xml:space="preserve">the necessary investments. </w:t>
      </w:r>
    </w:p>
    <w:p w14:paraId="1EAEC97F" w14:textId="77777777" w:rsidR="001331B5" w:rsidRDefault="001331B5" w:rsidP="00FA11C4">
      <w:pPr>
        <w:tabs>
          <w:tab w:val="left" w:pos="357"/>
          <w:tab w:val="left" w:pos="720"/>
        </w:tabs>
        <w:suppressAutoHyphens/>
        <w:spacing w:before="220" w:after="220" w:line="280" w:lineRule="exact"/>
        <w:ind w:left="360"/>
        <w:rPr>
          <w:rFonts w:asciiTheme="minorHAnsi" w:hAnsiTheme="minorHAnsi"/>
          <w:kern w:val="20"/>
        </w:rPr>
      </w:pPr>
    </w:p>
    <w:p w14:paraId="64B6C995" w14:textId="2C060D07" w:rsidR="00F720B0" w:rsidRDefault="00F720B0" w:rsidP="00F720B0">
      <w:pPr>
        <w:tabs>
          <w:tab w:val="left" w:pos="357"/>
          <w:tab w:val="left" w:pos="720"/>
        </w:tabs>
        <w:suppressAutoHyphens/>
        <w:spacing w:before="220" w:after="220" w:line="280" w:lineRule="exact"/>
        <w:ind w:left="360"/>
        <w:rPr>
          <w:rFonts w:asciiTheme="minorHAnsi" w:hAnsiTheme="minorHAnsi"/>
          <w:b/>
          <w:kern w:val="20"/>
        </w:rPr>
      </w:pPr>
      <w:r>
        <w:rPr>
          <w:rFonts w:asciiTheme="minorHAnsi" w:hAnsiTheme="minorHAnsi"/>
          <w:b/>
          <w:kern w:val="20"/>
        </w:rPr>
        <w:t>Visa Arrangements</w:t>
      </w:r>
    </w:p>
    <w:p w14:paraId="7F2E8AFF" w14:textId="77777777" w:rsidR="00F720B0" w:rsidRDefault="00F720B0" w:rsidP="00F720B0">
      <w:pPr>
        <w:tabs>
          <w:tab w:val="left" w:pos="357"/>
          <w:tab w:val="left" w:pos="720"/>
        </w:tabs>
        <w:suppressAutoHyphens/>
        <w:spacing w:before="220" w:after="220" w:line="280" w:lineRule="exact"/>
        <w:ind w:left="360"/>
        <w:rPr>
          <w:rFonts w:asciiTheme="minorHAnsi" w:hAnsiTheme="minorHAnsi"/>
          <w:b/>
          <w:kern w:val="20"/>
        </w:rPr>
      </w:pPr>
    </w:p>
    <w:p w14:paraId="7942DDC5" w14:textId="384E19C9" w:rsidR="00C46112" w:rsidRDefault="001331B5" w:rsidP="00FA11C4">
      <w:pPr>
        <w:tabs>
          <w:tab w:val="left" w:pos="357"/>
          <w:tab w:val="left" w:pos="720"/>
        </w:tabs>
        <w:suppressAutoHyphens/>
        <w:spacing w:before="220" w:after="220" w:line="280" w:lineRule="exact"/>
        <w:ind w:left="360"/>
        <w:rPr>
          <w:rFonts w:asciiTheme="minorHAnsi" w:hAnsiTheme="minorHAnsi"/>
          <w:kern w:val="20"/>
        </w:rPr>
      </w:pPr>
      <w:r w:rsidRPr="001331B5">
        <w:rPr>
          <w:rFonts w:asciiTheme="minorHAnsi" w:hAnsiTheme="minorHAnsi"/>
          <w:kern w:val="20"/>
        </w:rPr>
        <w:t>The Productivity Commission’s</w:t>
      </w:r>
      <w:r>
        <w:rPr>
          <w:rFonts w:asciiTheme="minorHAnsi" w:hAnsiTheme="minorHAnsi"/>
          <w:kern w:val="20"/>
        </w:rPr>
        <w:t xml:space="preserve"> </w:t>
      </w:r>
      <w:r w:rsidR="00E60A67">
        <w:rPr>
          <w:rFonts w:asciiTheme="minorHAnsi" w:hAnsiTheme="minorHAnsi"/>
          <w:kern w:val="20"/>
        </w:rPr>
        <w:t>international</w:t>
      </w:r>
      <w:r w:rsidR="002607CB">
        <w:rPr>
          <w:rFonts w:asciiTheme="minorHAnsi" w:hAnsiTheme="minorHAnsi"/>
          <w:kern w:val="20"/>
        </w:rPr>
        <w:t xml:space="preserve"> education services report summarises the changes that have </w:t>
      </w:r>
      <w:r w:rsidR="0047141A">
        <w:rPr>
          <w:rFonts w:asciiTheme="minorHAnsi" w:hAnsiTheme="minorHAnsi"/>
          <w:kern w:val="20"/>
        </w:rPr>
        <w:t xml:space="preserve">occurred in student </w:t>
      </w:r>
      <w:r w:rsidR="00E60A67">
        <w:rPr>
          <w:rFonts w:asciiTheme="minorHAnsi" w:hAnsiTheme="minorHAnsi"/>
          <w:kern w:val="20"/>
        </w:rPr>
        <w:t>visa arrangements</w:t>
      </w:r>
      <w:r w:rsidR="00C46112">
        <w:rPr>
          <w:rFonts w:asciiTheme="minorHAnsi" w:hAnsiTheme="minorHAnsi"/>
          <w:kern w:val="20"/>
        </w:rPr>
        <w:t xml:space="preserve"> over the last 15 years</w:t>
      </w:r>
      <w:r w:rsidR="00E60A67">
        <w:rPr>
          <w:rStyle w:val="FootnoteReference"/>
          <w:rFonts w:asciiTheme="minorHAnsi" w:hAnsiTheme="minorHAnsi"/>
          <w:kern w:val="20"/>
        </w:rPr>
        <w:footnoteReference w:id="4"/>
      </w:r>
      <w:r w:rsidR="00FE1A0D">
        <w:rPr>
          <w:rFonts w:asciiTheme="minorHAnsi" w:hAnsiTheme="minorHAnsi"/>
          <w:kern w:val="20"/>
        </w:rPr>
        <w:t>.</w:t>
      </w:r>
      <w:r w:rsidR="00C46112">
        <w:rPr>
          <w:rFonts w:asciiTheme="minorHAnsi" w:hAnsiTheme="minorHAnsi"/>
          <w:kern w:val="20"/>
        </w:rPr>
        <w:t xml:space="preserve">  The report highlight</w:t>
      </w:r>
      <w:r w:rsidR="00F720B0">
        <w:rPr>
          <w:rFonts w:asciiTheme="minorHAnsi" w:hAnsiTheme="minorHAnsi"/>
          <w:kern w:val="20"/>
        </w:rPr>
        <w:t>s</w:t>
      </w:r>
      <w:r w:rsidR="00C46112">
        <w:rPr>
          <w:rFonts w:asciiTheme="minorHAnsi" w:hAnsiTheme="minorHAnsi"/>
          <w:kern w:val="20"/>
        </w:rPr>
        <w:t xml:space="preserve"> six major reforms </w:t>
      </w:r>
      <w:r w:rsidR="009A2800">
        <w:rPr>
          <w:rFonts w:asciiTheme="minorHAnsi" w:hAnsiTheme="minorHAnsi"/>
          <w:kern w:val="20"/>
        </w:rPr>
        <w:t xml:space="preserve">alone </w:t>
      </w:r>
      <w:r w:rsidR="00C46112">
        <w:rPr>
          <w:rFonts w:asciiTheme="minorHAnsi" w:hAnsiTheme="minorHAnsi"/>
          <w:kern w:val="20"/>
        </w:rPr>
        <w:t>in</w:t>
      </w:r>
      <w:r w:rsidR="00C83AC3">
        <w:rPr>
          <w:rFonts w:asciiTheme="minorHAnsi" w:hAnsiTheme="minorHAnsi"/>
          <w:kern w:val="20"/>
        </w:rPr>
        <w:t xml:space="preserve"> the three years to November 20</w:t>
      </w:r>
      <w:r w:rsidR="00C46112">
        <w:rPr>
          <w:rFonts w:asciiTheme="minorHAnsi" w:hAnsiTheme="minorHAnsi"/>
          <w:kern w:val="20"/>
        </w:rPr>
        <w:t>14</w:t>
      </w:r>
      <w:r w:rsidR="00C83AC3">
        <w:rPr>
          <w:rFonts w:asciiTheme="minorHAnsi" w:hAnsiTheme="minorHAnsi"/>
          <w:kern w:val="20"/>
        </w:rPr>
        <w:t>.</w:t>
      </w:r>
      <w:r w:rsidR="00C46112">
        <w:rPr>
          <w:rFonts w:asciiTheme="minorHAnsi" w:hAnsiTheme="minorHAnsi"/>
          <w:kern w:val="20"/>
        </w:rPr>
        <w:t xml:space="preserve"> </w:t>
      </w:r>
    </w:p>
    <w:p w14:paraId="3730391C" w14:textId="27400D1C" w:rsidR="00673B46" w:rsidRDefault="00C46112" w:rsidP="00FA11C4">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 xml:space="preserve"> The Commission’s paper </w:t>
      </w:r>
      <w:r w:rsidR="00E10F92">
        <w:rPr>
          <w:rFonts w:asciiTheme="minorHAnsi" w:hAnsiTheme="minorHAnsi"/>
          <w:kern w:val="20"/>
        </w:rPr>
        <w:t>highlights</w:t>
      </w:r>
      <w:r w:rsidR="00C83AC3">
        <w:rPr>
          <w:rFonts w:asciiTheme="minorHAnsi" w:hAnsiTheme="minorHAnsi"/>
          <w:kern w:val="20"/>
        </w:rPr>
        <w:t xml:space="preserve"> the potential impact over the uncertainty a</w:t>
      </w:r>
      <w:r w:rsidR="007861E4">
        <w:rPr>
          <w:rFonts w:asciiTheme="minorHAnsi" w:hAnsiTheme="minorHAnsi"/>
          <w:kern w:val="20"/>
        </w:rPr>
        <w:t xml:space="preserve">nd volatility of visa </w:t>
      </w:r>
      <w:r w:rsidR="00E60A67">
        <w:rPr>
          <w:rFonts w:asciiTheme="minorHAnsi" w:hAnsiTheme="minorHAnsi"/>
          <w:kern w:val="20"/>
        </w:rPr>
        <w:t>arrangements</w:t>
      </w:r>
      <w:r w:rsidR="00C83AC3">
        <w:rPr>
          <w:rFonts w:asciiTheme="minorHAnsi" w:hAnsiTheme="minorHAnsi"/>
          <w:kern w:val="20"/>
        </w:rPr>
        <w:t xml:space="preserve"> on international education services.  While AC</w:t>
      </w:r>
      <w:r w:rsidR="00FE1A0D">
        <w:rPr>
          <w:rFonts w:asciiTheme="minorHAnsi" w:hAnsiTheme="minorHAnsi"/>
          <w:kern w:val="20"/>
        </w:rPr>
        <w:t xml:space="preserve">PET understands </w:t>
      </w:r>
      <w:r w:rsidR="00C83AC3">
        <w:rPr>
          <w:rFonts w:asciiTheme="minorHAnsi" w:hAnsiTheme="minorHAnsi"/>
          <w:kern w:val="20"/>
        </w:rPr>
        <w:t>the need to ensure the integrity of Australi</w:t>
      </w:r>
      <w:r w:rsidR="00F720B0">
        <w:rPr>
          <w:rFonts w:asciiTheme="minorHAnsi" w:hAnsiTheme="minorHAnsi"/>
          <w:kern w:val="20"/>
        </w:rPr>
        <w:t>a</w:t>
      </w:r>
      <w:r w:rsidR="00C83AC3">
        <w:rPr>
          <w:rFonts w:asciiTheme="minorHAnsi" w:hAnsiTheme="minorHAnsi"/>
          <w:kern w:val="20"/>
        </w:rPr>
        <w:t xml:space="preserve">’s student visa </w:t>
      </w:r>
      <w:r w:rsidR="00E60A67">
        <w:rPr>
          <w:rFonts w:asciiTheme="minorHAnsi" w:hAnsiTheme="minorHAnsi"/>
          <w:kern w:val="20"/>
        </w:rPr>
        <w:t>arrangements</w:t>
      </w:r>
      <w:r w:rsidR="00673B46">
        <w:rPr>
          <w:rFonts w:asciiTheme="minorHAnsi" w:hAnsiTheme="minorHAnsi"/>
          <w:kern w:val="20"/>
        </w:rPr>
        <w:t xml:space="preserve">, it supports the need for policy stability to underpin provider </w:t>
      </w:r>
      <w:r w:rsidR="009A2800">
        <w:rPr>
          <w:rFonts w:asciiTheme="minorHAnsi" w:hAnsiTheme="minorHAnsi"/>
          <w:kern w:val="20"/>
        </w:rPr>
        <w:t xml:space="preserve">planning, </w:t>
      </w:r>
      <w:r w:rsidR="00673B46">
        <w:rPr>
          <w:rFonts w:asciiTheme="minorHAnsi" w:hAnsiTheme="minorHAnsi"/>
          <w:kern w:val="20"/>
        </w:rPr>
        <w:t>investment and growth.</w:t>
      </w:r>
      <w:r w:rsidR="00F720B0">
        <w:rPr>
          <w:rFonts w:asciiTheme="minorHAnsi" w:hAnsiTheme="minorHAnsi"/>
          <w:kern w:val="20"/>
        </w:rPr>
        <w:t xml:space="preserve"> </w:t>
      </w:r>
    </w:p>
    <w:p w14:paraId="64ADAF4A" w14:textId="5F43C3E3" w:rsidR="000F756B" w:rsidRDefault="00673B46" w:rsidP="00FA11C4">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 xml:space="preserve">While ACPET </w:t>
      </w:r>
      <w:r w:rsidR="00F720B0">
        <w:rPr>
          <w:rFonts w:asciiTheme="minorHAnsi" w:hAnsiTheme="minorHAnsi"/>
          <w:kern w:val="20"/>
        </w:rPr>
        <w:t>appreciates</w:t>
      </w:r>
      <w:r>
        <w:rPr>
          <w:rFonts w:asciiTheme="minorHAnsi" w:hAnsiTheme="minorHAnsi"/>
          <w:kern w:val="20"/>
        </w:rPr>
        <w:t xml:space="preserve"> the </w:t>
      </w:r>
      <w:r w:rsidR="00E10F92">
        <w:rPr>
          <w:rFonts w:asciiTheme="minorHAnsi" w:hAnsiTheme="minorHAnsi"/>
          <w:kern w:val="20"/>
        </w:rPr>
        <w:t xml:space="preserve">intent </w:t>
      </w:r>
      <w:r>
        <w:rPr>
          <w:rFonts w:asciiTheme="minorHAnsi" w:hAnsiTheme="minorHAnsi"/>
          <w:kern w:val="20"/>
        </w:rPr>
        <w:t xml:space="preserve">of Streamlined </w:t>
      </w:r>
      <w:r w:rsidR="00E10F92">
        <w:rPr>
          <w:rFonts w:asciiTheme="minorHAnsi" w:hAnsiTheme="minorHAnsi"/>
          <w:kern w:val="20"/>
        </w:rPr>
        <w:t>Vis</w:t>
      </w:r>
      <w:r w:rsidR="00F720B0">
        <w:rPr>
          <w:rFonts w:asciiTheme="minorHAnsi" w:hAnsiTheme="minorHAnsi"/>
          <w:kern w:val="20"/>
        </w:rPr>
        <w:t>a Processing (SVP) arrangements</w:t>
      </w:r>
      <w:r w:rsidR="00E10F92">
        <w:rPr>
          <w:rFonts w:asciiTheme="minorHAnsi" w:hAnsiTheme="minorHAnsi"/>
          <w:kern w:val="20"/>
        </w:rPr>
        <w:t xml:space="preserve"> to promote growth and simplify application processes, it shares the Commission’s concerns that SVP has distorted the inte</w:t>
      </w:r>
      <w:r w:rsidR="00E60A67">
        <w:rPr>
          <w:rFonts w:asciiTheme="minorHAnsi" w:hAnsiTheme="minorHAnsi"/>
          <w:kern w:val="20"/>
        </w:rPr>
        <w:t xml:space="preserve">rnational education market and </w:t>
      </w:r>
      <w:r w:rsidR="00E10F92">
        <w:rPr>
          <w:rFonts w:asciiTheme="minorHAnsi" w:hAnsiTheme="minorHAnsi"/>
          <w:kern w:val="20"/>
        </w:rPr>
        <w:t>put at risk the quality o</w:t>
      </w:r>
      <w:r w:rsidR="00E60A67">
        <w:rPr>
          <w:rFonts w:asciiTheme="minorHAnsi" w:hAnsiTheme="minorHAnsi"/>
          <w:kern w:val="20"/>
        </w:rPr>
        <w:t>f Australia’s education systems</w:t>
      </w:r>
      <w:r w:rsidR="00E10F92">
        <w:rPr>
          <w:rFonts w:asciiTheme="minorHAnsi" w:hAnsiTheme="minorHAnsi"/>
          <w:kern w:val="20"/>
        </w:rPr>
        <w:t>.</w:t>
      </w:r>
      <w:r w:rsidR="00F720B0">
        <w:rPr>
          <w:rFonts w:asciiTheme="minorHAnsi" w:hAnsiTheme="minorHAnsi"/>
          <w:kern w:val="20"/>
        </w:rPr>
        <w:t xml:space="preserve"> </w:t>
      </w:r>
    </w:p>
    <w:p w14:paraId="0267E9F6" w14:textId="3EF5C440" w:rsidR="00F720B0" w:rsidRDefault="000F756B" w:rsidP="009C7CAC">
      <w:pPr>
        <w:tabs>
          <w:tab w:val="left" w:pos="709"/>
        </w:tabs>
        <w:suppressAutoHyphens/>
        <w:spacing w:before="220" w:after="220" w:line="280" w:lineRule="exact"/>
        <w:ind w:left="360"/>
        <w:rPr>
          <w:rFonts w:asciiTheme="minorHAnsi" w:hAnsiTheme="minorHAnsi"/>
          <w:kern w:val="20"/>
        </w:rPr>
      </w:pPr>
      <w:r>
        <w:rPr>
          <w:rFonts w:asciiTheme="minorHAnsi" w:hAnsiTheme="minorHAnsi"/>
          <w:kern w:val="20"/>
        </w:rPr>
        <w:t>ACPET members have identified significant concerns that SVP arrangements are</w:t>
      </w:r>
      <w:r w:rsidR="002674C3">
        <w:rPr>
          <w:rFonts w:asciiTheme="minorHAnsi" w:hAnsiTheme="minorHAnsi"/>
          <w:kern w:val="20"/>
        </w:rPr>
        <w:t xml:space="preserve"> distorting the </w:t>
      </w:r>
      <w:r w:rsidR="00046F0C">
        <w:rPr>
          <w:rFonts w:asciiTheme="minorHAnsi" w:hAnsiTheme="minorHAnsi"/>
          <w:kern w:val="20"/>
        </w:rPr>
        <w:t xml:space="preserve">study </w:t>
      </w:r>
      <w:r w:rsidR="002674C3">
        <w:rPr>
          <w:rFonts w:asciiTheme="minorHAnsi" w:hAnsiTheme="minorHAnsi"/>
          <w:kern w:val="20"/>
        </w:rPr>
        <w:t xml:space="preserve">decisions made by international students </w:t>
      </w:r>
      <w:r w:rsidR="00046F0C">
        <w:rPr>
          <w:rFonts w:asciiTheme="minorHAnsi" w:hAnsiTheme="minorHAnsi"/>
          <w:kern w:val="20"/>
        </w:rPr>
        <w:t xml:space="preserve">and </w:t>
      </w:r>
      <w:r w:rsidR="009C7CAC">
        <w:rPr>
          <w:rFonts w:asciiTheme="minorHAnsi" w:hAnsiTheme="minorHAnsi"/>
          <w:kern w:val="20"/>
        </w:rPr>
        <w:t xml:space="preserve">leading to </w:t>
      </w:r>
      <w:r w:rsidR="00046F0C">
        <w:rPr>
          <w:rFonts w:asciiTheme="minorHAnsi" w:hAnsiTheme="minorHAnsi"/>
          <w:kern w:val="20"/>
        </w:rPr>
        <w:t>adverse pr</w:t>
      </w:r>
      <w:r w:rsidR="00C5105E">
        <w:rPr>
          <w:rFonts w:asciiTheme="minorHAnsi" w:hAnsiTheme="minorHAnsi"/>
          <w:kern w:val="20"/>
        </w:rPr>
        <w:t>actises such as course hopping</w:t>
      </w:r>
      <w:r w:rsidR="00046F0C">
        <w:rPr>
          <w:rFonts w:asciiTheme="minorHAnsi" w:hAnsiTheme="minorHAnsi"/>
          <w:kern w:val="20"/>
        </w:rPr>
        <w:t xml:space="preserve">. While providers who do not have access to SVP arrangements are concerned with their discriminatory impact, there is a </w:t>
      </w:r>
      <w:r w:rsidR="004443F4">
        <w:rPr>
          <w:rFonts w:asciiTheme="minorHAnsi" w:hAnsiTheme="minorHAnsi"/>
          <w:kern w:val="20"/>
        </w:rPr>
        <w:t xml:space="preserve">broader concern that education </w:t>
      </w:r>
      <w:r w:rsidR="00046F0C">
        <w:rPr>
          <w:rFonts w:asciiTheme="minorHAnsi" w:hAnsiTheme="minorHAnsi"/>
          <w:kern w:val="20"/>
        </w:rPr>
        <w:t>quality, the fundamental that underpins the Australia’s international education sector</w:t>
      </w:r>
      <w:r w:rsidR="007861E4">
        <w:rPr>
          <w:rFonts w:asciiTheme="minorHAnsi" w:hAnsiTheme="minorHAnsi"/>
          <w:kern w:val="20"/>
        </w:rPr>
        <w:t>, needs greater consideration in determining student visa arrangements.</w:t>
      </w:r>
    </w:p>
    <w:p w14:paraId="28737ED7" w14:textId="39AF5403" w:rsidR="007861E4" w:rsidRDefault="009A2800" w:rsidP="00FA11C4">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In i</w:t>
      </w:r>
      <w:r w:rsidR="00E60A67">
        <w:rPr>
          <w:rFonts w:asciiTheme="minorHAnsi" w:hAnsiTheme="minorHAnsi"/>
          <w:kern w:val="20"/>
        </w:rPr>
        <w:t>ts</w:t>
      </w:r>
      <w:r w:rsidR="00E10F92">
        <w:rPr>
          <w:rFonts w:asciiTheme="minorHAnsi" w:hAnsiTheme="minorHAnsi"/>
          <w:kern w:val="20"/>
        </w:rPr>
        <w:t xml:space="preserve"> submission to the </w:t>
      </w:r>
      <w:r w:rsidR="00F720B0" w:rsidRPr="00F720B0">
        <w:rPr>
          <w:rFonts w:asciiTheme="minorHAnsi" w:hAnsiTheme="minorHAnsi"/>
          <w:i/>
          <w:kern w:val="20"/>
        </w:rPr>
        <w:t>Future directions for streamlined visa processing (SVP) discussion paper</w:t>
      </w:r>
      <w:r w:rsidR="00F720B0">
        <w:rPr>
          <w:rFonts w:asciiTheme="minorHAnsi" w:hAnsiTheme="minorHAnsi"/>
          <w:kern w:val="20"/>
        </w:rPr>
        <w:t xml:space="preserve"> in December 2014</w:t>
      </w:r>
      <w:r w:rsidR="005F0FF7">
        <w:rPr>
          <w:rStyle w:val="FootnoteReference"/>
          <w:rFonts w:asciiTheme="minorHAnsi" w:hAnsiTheme="minorHAnsi"/>
          <w:kern w:val="20"/>
        </w:rPr>
        <w:footnoteReference w:id="5"/>
      </w:r>
      <w:r w:rsidR="00F720B0">
        <w:rPr>
          <w:rFonts w:asciiTheme="minorHAnsi" w:hAnsiTheme="minorHAnsi"/>
          <w:kern w:val="20"/>
        </w:rPr>
        <w:t xml:space="preserve">, ACPET advocated an overhaul of SVP </w:t>
      </w:r>
      <w:r w:rsidR="00E60A67">
        <w:rPr>
          <w:rFonts w:asciiTheme="minorHAnsi" w:hAnsiTheme="minorHAnsi"/>
          <w:kern w:val="20"/>
        </w:rPr>
        <w:t>arrangements along</w:t>
      </w:r>
      <w:r w:rsidR="007861E4">
        <w:rPr>
          <w:rFonts w:asciiTheme="minorHAnsi" w:hAnsiTheme="minorHAnsi"/>
          <w:kern w:val="20"/>
        </w:rPr>
        <w:t xml:space="preserve"> the following lines:</w:t>
      </w:r>
    </w:p>
    <w:p w14:paraId="2FC8080F" w14:textId="6D772D30" w:rsidR="00D44DA8" w:rsidRPr="009C2BFC" w:rsidRDefault="00E60A67" w:rsidP="009A2800">
      <w:pPr>
        <w:pStyle w:val="ListParagraph"/>
        <w:numPr>
          <w:ilvl w:val="0"/>
          <w:numId w:val="31"/>
        </w:numPr>
        <w:tabs>
          <w:tab w:val="left" w:pos="709"/>
        </w:tabs>
        <w:suppressAutoHyphens/>
        <w:spacing w:before="220" w:after="220" w:line="280" w:lineRule="exact"/>
        <w:ind w:left="709" w:hanging="425"/>
        <w:rPr>
          <w:kern w:val="20"/>
          <w:sz w:val="24"/>
          <w:szCs w:val="24"/>
        </w:rPr>
      </w:pPr>
      <w:r w:rsidRPr="009C2BFC">
        <w:rPr>
          <w:kern w:val="20"/>
          <w:sz w:val="24"/>
          <w:szCs w:val="24"/>
        </w:rPr>
        <w:t>An integrated risk framework based on agree principles that addresses immigration risk, provider risk and consumer protection of students with visa arrangements that allow for efficient assessment and approval of visa applications from high quality</w:t>
      </w:r>
      <w:r w:rsidR="006B57E1">
        <w:rPr>
          <w:kern w:val="20"/>
          <w:sz w:val="24"/>
          <w:szCs w:val="24"/>
        </w:rPr>
        <w:t>,</w:t>
      </w:r>
      <w:r w:rsidRPr="009C2BFC">
        <w:rPr>
          <w:kern w:val="20"/>
          <w:sz w:val="24"/>
          <w:szCs w:val="24"/>
        </w:rPr>
        <w:t xml:space="preserve"> low risk providers</w:t>
      </w:r>
    </w:p>
    <w:p w14:paraId="476ACF2B" w14:textId="3EEE7660" w:rsidR="001672DD" w:rsidRPr="009C2BFC" w:rsidRDefault="00E60A67" w:rsidP="009A2800">
      <w:pPr>
        <w:pStyle w:val="ListParagraph"/>
        <w:numPr>
          <w:ilvl w:val="0"/>
          <w:numId w:val="31"/>
        </w:numPr>
        <w:tabs>
          <w:tab w:val="left" w:pos="709"/>
        </w:tabs>
        <w:suppressAutoHyphens/>
        <w:spacing w:before="220" w:after="220" w:line="280" w:lineRule="exact"/>
        <w:ind w:left="709" w:hanging="425"/>
        <w:rPr>
          <w:kern w:val="20"/>
          <w:sz w:val="24"/>
          <w:szCs w:val="24"/>
        </w:rPr>
      </w:pPr>
      <w:r w:rsidRPr="009C2BFC">
        <w:rPr>
          <w:kern w:val="20"/>
          <w:sz w:val="24"/>
          <w:szCs w:val="24"/>
        </w:rPr>
        <w:t>Evolution from SVP for a select group of providers of advanced diploma and above courses, to an efficient and effective streamlined student visa regime which supports all CRICOS listed quality educational providers and allows for growth in the educational sector</w:t>
      </w:r>
    </w:p>
    <w:p w14:paraId="19881FA2" w14:textId="658D0914" w:rsidR="001672DD" w:rsidRPr="009C2BFC" w:rsidRDefault="001672DD" w:rsidP="009A2800">
      <w:pPr>
        <w:pStyle w:val="ListParagraph"/>
        <w:numPr>
          <w:ilvl w:val="0"/>
          <w:numId w:val="31"/>
        </w:numPr>
        <w:tabs>
          <w:tab w:val="left" w:pos="709"/>
        </w:tabs>
        <w:suppressAutoHyphens/>
        <w:spacing w:before="220" w:after="220" w:line="280" w:lineRule="exact"/>
        <w:ind w:left="709" w:hanging="425"/>
        <w:rPr>
          <w:kern w:val="20"/>
          <w:sz w:val="24"/>
          <w:szCs w:val="24"/>
        </w:rPr>
      </w:pPr>
      <w:r w:rsidRPr="009C2BFC">
        <w:rPr>
          <w:kern w:val="20"/>
          <w:sz w:val="24"/>
          <w:szCs w:val="24"/>
        </w:rPr>
        <w:t xml:space="preserve">More transparency in the immigration processes </w:t>
      </w:r>
      <w:r w:rsidR="00E60A67" w:rsidRPr="009C2BFC">
        <w:rPr>
          <w:kern w:val="20"/>
          <w:sz w:val="24"/>
          <w:szCs w:val="24"/>
        </w:rPr>
        <w:t>which</w:t>
      </w:r>
      <w:r w:rsidRPr="009C2BFC">
        <w:rPr>
          <w:kern w:val="20"/>
          <w:sz w:val="24"/>
          <w:szCs w:val="24"/>
        </w:rPr>
        <w:t xml:space="preserve"> would allow providers to lower their risk </w:t>
      </w:r>
      <w:r w:rsidR="00E60A67" w:rsidRPr="009C2BFC">
        <w:rPr>
          <w:kern w:val="20"/>
          <w:sz w:val="24"/>
          <w:szCs w:val="24"/>
        </w:rPr>
        <w:t>particularly</w:t>
      </w:r>
      <w:r w:rsidRPr="009C2BFC">
        <w:rPr>
          <w:kern w:val="20"/>
          <w:sz w:val="24"/>
          <w:szCs w:val="24"/>
        </w:rPr>
        <w:t xml:space="preserve"> if this is affected by </w:t>
      </w:r>
      <w:r w:rsidR="00E60A67" w:rsidRPr="009C2BFC">
        <w:rPr>
          <w:kern w:val="20"/>
          <w:sz w:val="24"/>
          <w:szCs w:val="24"/>
        </w:rPr>
        <w:t>use</w:t>
      </w:r>
      <w:r w:rsidRPr="009C2BFC">
        <w:rPr>
          <w:kern w:val="20"/>
          <w:sz w:val="24"/>
          <w:szCs w:val="24"/>
        </w:rPr>
        <w:t xml:space="preserve"> of particular agents and or brokers</w:t>
      </w:r>
    </w:p>
    <w:p w14:paraId="221FDF90" w14:textId="77777777" w:rsidR="001672DD" w:rsidRDefault="001672DD" w:rsidP="00FA11C4">
      <w:pPr>
        <w:tabs>
          <w:tab w:val="left" w:pos="357"/>
          <w:tab w:val="left" w:pos="720"/>
        </w:tabs>
        <w:suppressAutoHyphens/>
        <w:spacing w:before="220" w:after="220" w:line="280" w:lineRule="exact"/>
        <w:ind w:left="360"/>
        <w:rPr>
          <w:rFonts w:asciiTheme="minorHAnsi" w:hAnsiTheme="minorHAnsi"/>
          <w:kern w:val="20"/>
        </w:rPr>
      </w:pPr>
    </w:p>
    <w:p w14:paraId="105FC973" w14:textId="77777777" w:rsidR="005F0FF7" w:rsidRDefault="005F0FF7" w:rsidP="00FA11C4">
      <w:pPr>
        <w:tabs>
          <w:tab w:val="left" w:pos="357"/>
          <w:tab w:val="left" w:pos="720"/>
        </w:tabs>
        <w:suppressAutoHyphens/>
        <w:spacing w:before="220" w:after="220" w:line="280" w:lineRule="exact"/>
        <w:ind w:left="360"/>
        <w:rPr>
          <w:rFonts w:asciiTheme="minorHAnsi" w:hAnsiTheme="minorHAnsi"/>
          <w:b/>
          <w:kern w:val="20"/>
        </w:rPr>
      </w:pPr>
    </w:p>
    <w:p w14:paraId="27B04197" w14:textId="77777777" w:rsidR="005F0FF7" w:rsidRDefault="005F0FF7" w:rsidP="00FA11C4">
      <w:pPr>
        <w:tabs>
          <w:tab w:val="left" w:pos="357"/>
          <w:tab w:val="left" w:pos="720"/>
        </w:tabs>
        <w:suppressAutoHyphens/>
        <w:spacing w:before="220" w:after="220" w:line="280" w:lineRule="exact"/>
        <w:ind w:left="360"/>
        <w:rPr>
          <w:rFonts w:asciiTheme="minorHAnsi" w:hAnsiTheme="minorHAnsi"/>
          <w:b/>
          <w:kern w:val="20"/>
        </w:rPr>
      </w:pPr>
    </w:p>
    <w:p w14:paraId="21B113E4" w14:textId="77777777" w:rsidR="00853B8E" w:rsidRDefault="00853B8E" w:rsidP="00FA11C4">
      <w:pPr>
        <w:tabs>
          <w:tab w:val="left" w:pos="357"/>
          <w:tab w:val="left" w:pos="720"/>
        </w:tabs>
        <w:suppressAutoHyphens/>
        <w:spacing w:before="220" w:after="220" w:line="280" w:lineRule="exact"/>
        <w:ind w:left="360"/>
        <w:rPr>
          <w:rFonts w:asciiTheme="minorHAnsi" w:hAnsiTheme="minorHAnsi"/>
          <w:b/>
          <w:kern w:val="20"/>
        </w:rPr>
      </w:pPr>
    </w:p>
    <w:p w14:paraId="2154CF46" w14:textId="258C73D4" w:rsidR="00853B8E" w:rsidRPr="00853B8E" w:rsidRDefault="005A6E59" w:rsidP="00853B8E">
      <w:pPr>
        <w:tabs>
          <w:tab w:val="left" w:pos="357"/>
          <w:tab w:val="left" w:pos="720"/>
        </w:tabs>
        <w:suppressAutoHyphens/>
        <w:spacing w:before="220" w:after="220" w:line="280" w:lineRule="exact"/>
        <w:ind w:left="360"/>
        <w:rPr>
          <w:rFonts w:asciiTheme="minorHAnsi" w:hAnsiTheme="minorHAnsi"/>
          <w:b/>
          <w:kern w:val="20"/>
        </w:rPr>
      </w:pPr>
      <w:r>
        <w:rPr>
          <w:rFonts w:asciiTheme="minorHAnsi" w:hAnsiTheme="minorHAnsi"/>
          <w:b/>
          <w:kern w:val="20"/>
        </w:rPr>
        <w:lastRenderedPageBreak/>
        <w:t>R</w:t>
      </w:r>
      <w:r w:rsidR="001C778E">
        <w:rPr>
          <w:rFonts w:asciiTheme="minorHAnsi" w:hAnsiTheme="minorHAnsi"/>
          <w:b/>
          <w:kern w:val="20"/>
        </w:rPr>
        <w:t>egulation</w:t>
      </w:r>
    </w:p>
    <w:p w14:paraId="16EBC1D1" w14:textId="77777777" w:rsidR="006B57E1" w:rsidRDefault="006B57E1" w:rsidP="00FA11C4">
      <w:pPr>
        <w:tabs>
          <w:tab w:val="left" w:pos="357"/>
          <w:tab w:val="left" w:pos="720"/>
        </w:tabs>
        <w:suppressAutoHyphens/>
        <w:spacing w:before="220" w:after="220" w:line="280" w:lineRule="exact"/>
        <w:ind w:left="360"/>
        <w:rPr>
          <w:rFonts w:asciiTheme="minorHAnsi" w:hAnsiTheme="minorHAnsi"/>
          <w:kern w:val="20"/>
        </w:rPr>
      </w:pPr>
    </w:p>
    <w:p w14:paraId="68782ACA" w14:textId="430B3509" w:rsidR="000D3DF8" w:rsidRPr="00853B8E" w:rsidRDefault="000D3DF8" w:rsidP="00FA11C4">
      <w:pPr>
        <w:tabs>
          <w:tab w:val="left" w:pos="357"/>
          <w:tab w:val="left" w:pos="720"/>
        </w:tabs>
        <w:suppressAutoHyphens/>
        <w:spacing w:before="220" w:after="220" w:line="280" w:lineRule="exact"/>
        <w:ind w:left="360"/>
        <w:rPr>
          <w:rFonts w:asciiTheme="minorHAnsi" w:hAnsiTheme="minorHAnsi"/>
          <w:kern w:val="20"/>
        </w:rPr>
      </w:pPr>
      <w:r w:rsidRPr="00853B8E">
        <w:rPr>
          <w:rFonts w:asciiTheme="minorHAnsi" w:hAnsiTheme="minorHAnsi"/>
          <w:kern w:val="20"/>
        </w:rPr>
        <w:t xml:space="preserve">The DET international student survey cited above </w:t>
      </w:r>
      <w:r w:rsidR="00853B8E" w:rsidRPr="00853B8E">
        <w:rPr>
          <w:rFonts w:asciiTheme="minorHAnsi" w:hAnsiTheme="minorHAnsi"/>
          <w:kern w:val="20"/>
        </w:rPr>
        <w:t>has one clear message</w:t>
      </w:r>
      <w:r w:rsidRPr="00853B8E">
        <w:rPr>
          <w:rFonts w:asciiTheme="minorHAnsi" w:hAnsiTheme="minorHAnsi"/>
          <w:kern w:val="20"/>
        </w:rPr>
        <w:t xml:space="preserve"> for Australia’s international education market – quality is paramount. Its reputation is the key to student decisions to study in Australia. </w:t>
      </w:r>
    </w:p>
    <w:p w14:paraId="0001049D" w14:textId="64910A8D" w:rsidR="00154D3D" w:rsidRDefault="00853B8E" w:rsidP="00FA11C4">
      <w:pPr>
        <w:tabs>
          <w:tab w:val="left" w:pos="357"/>
          <w:tab w:val="left" w:pos="720"/>
        </w:tabs>
        <w:suppressAutoHyphens/>
        <w:spacing w:before="220" w:after="220" w:line="280" w:lineRule="exact"/>
        <w:ind w:left="360"/>
        <w:rPr>
          <w:rFonts w:asciiTheme="minorHAnsi" w:hAnsiTheme="minorHAnsi"/>
          <w:b/>
          <w:kern w:val="20"/>
        </w:rPr>
      </w:pPr>
      <w:r w:rsidRPr="00853B8E">
        <w:rPr>
          <w:rFonts w:asciiTheme="minorHAnsi" w:hAnsiTheme="minorHAnsi"/>
          <w:kern w:val="20"/>
        </w:rPr>
        <w:t xml:space="preserve">ACPET members remain concerned </w:t>
      </w:r>
      <w:r w:rsidR="001C778E">
        <w:rPr>
          <w:rFonts w:asciiTheme="minorHAnsi" w:hAnsiTheme="minorHAnsi"/>
          <w:kern w:val="20"/>
        </w:rPr>
        <w:t>with poor behaviour</w:t>
      </w:r>
      <w:r w:rsidR="009A2800">
        <w:rPr>
          <w:rFonts w:asciiTheme="minorHAnsi" w:hAnsiTheme="minorHAnsi"/>
          <w:kern w:val="20"/>
        </w:rPr>
        <w:t>s</w:t>
      </w:r>
      <w:r w:rsidR="001C778E">
        <w:rPr>
          <w:rFonts w:asciiTheme="minorHAnsi" w:hAnsiTheme="minorHAnsi"/>
          <w:kern w:val="20"/>
        </w:rPr>
        <w:t xml:space="preserve"> and </w:t>
      </w:r>
      <w:r w:rsidRPr="00853B8E">
        <w:rPr>
          <w:rFonts w:asciiTheme="minorHAnsi" w:hAnsiTheme="minorHAnsi"/>
          <w:kern w:val="20"/>
        </w:rPr>
        <w:t xml:space="preserve">that the regulation of the market, including the activities of brokers and agents, needs to be </w:t>
      </w:r>
      <w:r>
        <w:rPr>
          <w:rFonts w:asciiTheme="minorHAnsi" w:hAnsiTheme="minorHAnsi"/>
          <w:kern w:val="20"/>
        </w:rPr>
        <w:t xml:space="preserve">better enforced and </w:t>
      </w:r>
      <w:r w:rsidRPr="00853B8E">
        <w:rPr>
          <w:rFonts w:asciiTheme="minorHAnsi" w:hAnsiTheme="minorHAnsi"/>
          <w:kern w:val="20"/>
        </w:rPr>
        <w:t>enhanced to address some of th</w:t>
      </w:r>
      <w:r w:rsidR="00C5105E">
        <w:rPr>
          <w:rFonts w:asciiTheme="minorHAnsi" w:hAnsiTheme="minorHAnsi"/>
          <w:kern w:val="20"/>
        </w:rPr>
        <w:t>e</w:t>
      </w:r>
      <w:r w:rsidRPr="00853B8E">
        <w:rPr>
          <w:rFonts w:asciiTheme="minorHAnsi" w:hAnsiTheme="minorHAnsi"/>
          <w:kern w:val="20"/>
        </w:rPr>
        <w:t xml:space="preserve"> concerns with issues such as course hopping and phantom students.</w:t>
      </w:r>
      <w:r>
        <w:rPr>
          <w:rFonts w:asciiTheme="minorHAnsi" w:hAnsiTheme="minorHAnsi"/>
          <w:b/>
          <w:kern w:val="20"/>
        </w:rPr>
        <w:t xml:space="preserve"> </w:t>
      </w:r>
    </w:p>
    <w:p w14:paraId="5DF2B1B4" w14:textId="40D700E4" w:rsidR="000D3DF8" w:rsidRPr="001C778E" w:rsidRDefault="00154D3D" w:rsidP="001C778E">
      <w:pPr>
        <w:tabs>
          <w:tab w:val="left" w:pos="357"/>
          <w:tab w:val="left" w:pos="720"/>
        </w:tabs>
        <w:suppressAutoHyphens/>
        <w:spacing w:before="220" w:after="220" w:line="280" w:lineRule="exact"/>
        <w:ind w:left="360"/>
        <w:rPr>
          <w:rFonts w:asciiTheme="minorHAnsi" w:hAnsiTheme="minorHAnsi"/>
          <w:kern w:val="20"/>
        </w:rPr>
      </w:pPr>
      <w:r w:rsidRPr="00154D3D">
        <w:rPr>
          <w:rFonts w:asciiTheme="minorHAnsi" w:hAnsiTheme="minorHAnsi"/>
          <w:kern w:val="20"/>
        </w:rPr>
        <w:t xml:space="preserve">While the </w:t>
      </w:r>
      <w:r>
        <w:rPr>
          <w:rFonts w:asciiTheme="minorHAnsi" w:hAnsiTheme="minorHAnsi"/>
          <w:kern w:val="20"/>
        </w:rPr>
        <w:t xml:space="preserve">recent </w:t>
      </w:r>
      <w:r w:rsidRPr="00154D3D">
        <w:rPr>
          <w:rFonts w:asciiTheme="minorHAnsi" w:hAnsiTheme="minorHAnsi"/>
          <w:kern w:val="20"/>
        </w:rPr>
        <w:t xml:space="preserve">Productivity Commission paper on </w:t>
      </w:r>
      <w:r w:rsidR="009A2800">
        <w:rPr>
          <w:rFonts w:asciiTheme="minorHAnsi" w:hAnsiTheme="minorHAnsi"/>
          <w:kern w:val="20"/>
        </w:rPr>
        <w:t>i</w:t>
      </w:r>
      <w:r w:rsidRPr="00154D3D">
        <w:rPr>
          <w:rFonts w:asciiTheme="minorHAnsi" w:hAnsiTheme="minorHAnsi"/>
          <w:kern w:val="20"/>
        </w:rPr>
        <w:t>nternationa</w:t>
      </w:r>
      <w:r>
        <w:rPr>
          <w:rFonts w:asciiTheme="minorHAnsi" w:hAnsiTheme="minorHAnsi"/>
          <w:kern w:val="20"/>
        </w:rPr>
        <w:t>l</w:t>
      </w:r>
      <w:r w:rsidRPr="00154D3D">
        <w:rPr>
          <w:rFonts w:asciiTheme="minorHAnsi" w:hAnsiTheme="minorHAnsi"/>
          <w:kern w:val="20"/>
        </w:rPr>
        <w:t xml:space="preserve"> </w:t>
      </w:r>
      <w:r w:rsidR="009A2800">
        <w:rPr>
          <w:rFonts w:asciiTheme="minorHAnsi" w:hAnsiTheme="minorHAnsi"/>
          <w:kern w:val="20"/>
        </w:rPr>
        <w:t>st</w:t>
      </w:r>
      <w:r w:rsidRPr="00154D3D">
        <w:rPr>
          <w:rFonts w:asciiTheme="minorHAnsi" w:hAnsiTheme="minorHAnsi"/>
          <w:kern w:val="20"/>
        </w:rPr>
        <w:t xml:space="preserve">udent </w:t>
      </w:r>
      <w:r w:rsidR="009A2800">
        <w:rPr>
          <w:rFonts w:asciiTheme="minorHAnsi" w:hAnsiTheme="minorHAnsi"/>
          <w:kern w:val="20"/>
        </w:rPr>
        <w:t>s</w:t>
      </w:r>
      <w:r w:rsidRPr="00154D3D">
        <w:rPr>
          <w:rFonts w:asciiTheme="minorHAnsi" w:hAnsiTheme="minorHAnsi"/>
          <w:kern w:val="20"/>
        </w:rPr>
        <w:t>ervices advocates for a r</w:t>
      </w:r>
      <w:r w:rsidR="001C778E">
        <w:rPr>
          <w:rFonts w:asciiTheme="minorHAnsi" w:hAnsiTheme="minorHAnsi"/>
          <w:kern w:val="20"/>
        </w:rPr>
        <w:t xml:space="preserve">eduction in the use of agents, </w:t>
      </w:r>
      <w:r w:rsidRPr="00154D3D">
        <w:rPr>
          <w:rFonts w:asciiTheme="minorHAnsi" w:hAnsiTheme="minorHAnsi"/>
          <w:kern w:val="20"/>
        </w:rPr>
        <w:t xml:space="preserve">ACPET acknowledges that agents play an important </w:t>
      </w:r>
      <w:r>
        <w:rPr>
          <w:rFonts w:asciiTheme="minorHAnsi" w:hAnsiTheme="minorHAnsi"/>
          <w:kern w:val="20"/>
        </w:rPr>
        <w:t>(</w:t>
      </w:r>
      <w:r w:rsidRPr="00154D3D">
        <w:rPr>
          <w:rFonts w:asciiTheme="minorHAnsi" w:hAnsiTheme="minorHAnsi"/>
          <w:kern w:val="20"/>
        </w:rPr>
        <w:t>and increasing</w:t>
      </w:r>
      <w:r>
        <w:rPr>
          <w:rFonts w:asciiTheme="minorHAnsi" w:hAnsiTheme="minorHAnsi"/>
          <w:kern w:val="20"/>
        </w:rPr>
        <w:t>)</w:t>
      </w:r>
      <w:r w:rsidRPr="00154D3D">
        <w:rPr>
          <w:rFonts w:asciiTheme="minorHAnsi" w:hAnsiTheme="minorHAnsi"/>
          <w:kern w:val="20"/>
        </w:rPr>
        <w:t xml:space="preserve"> role in the sector</w:t>
      </w:r>
      <w:r w:rsidR="001C778E">
        <w:rPr>
          <w:rFonts w:asciiTheme="minorHAnsi" w:hAnsiTheme="minorHAnsi"/>
          <w:kern w:val="20"/>
        </w:rPr>
        <w:t xml:space="preserve"> and would advocate for</w:t>
      </w:r>
      <w:r w:rsidR="00853B8E" w:rsidRPr="00154D3D">
        <w:rPr>
          <w:rFonts w:asciiTheme="minorHAnsi" w:hAnsiTheme="minorHAnsi"/>
          <w:kern w:val="20"/>
        </w:rPr>
        <w:t xml:space="preserve"> a more proactive</w:t>
      </w:r>
      <w:r w:rsidR="006752E1">
        <w:rPr>
          <w:rFonts w:asciiTheme="minorHAnsi" w:hAnsiTheme="minorHAnsi"/>
          <w:kern w:val="20"/>
        </w:rPr>
        <w:t xml:space="preserve"> and </w:t>
      </w:r>
      <w:r w:rsidR="00853B8E" w:rsidRPr="00154D3D">
        <w:rPr>
          <w:rFonts w:asciiTheme="minorHAnsi" w:hAnsiTheme="minorHAnsi"/>
          <w:kern w:val="20"/>
        </w:rPr>
        <w:t>tar</w:t>
      </w:r>
      <w:r w:rsidRPr="00154D3D">
        <w:rPr>
          <w:rFonts w:asciiTheme="minorHAnsi" w:hAnsiTheme="minorHAnsi"/>
          <w:kern w:val="20"/>
        </w:rPr>
        <w:t xml:space="preserve">geted audit process </w:t>
      </w:r>
      <w:r w:rsidR="001C778E">
        <w:rPr>
          <w:rFonts w:asciiTheme="minorHAnsi" w:hAnsiTheme="minorHAnsi"/>
          <w:kern w:val="20"/>
        </w:rPr>
        <w:t xml:space="preserve">to ensure that regulations are being adhered to and quality maintained. </w:t>
      </w:r>
    </w:p>
    <w:p w14:paraId="6092735A" w14:textId="77777777" w:rsidR="001672DD" w:rsidRPr="001672DD" w:rsidRDefault="001672DD" w:rsidP="00FA11C4">
      <w:pPr>
        <w:tabs>
          <w:tab w:val="left" w:pos="357"/>
          <w:tab w:val="left" w:pos="720"/>
        </w:tabs>
        <w:suppressAutoHyphens/>
        <w:spacing w:before="220" w:after="220" w:line="280" w:lineRule="exact"/>
        <w:ind w:left="360"/>
        <w:rPr>
          <w:rFonts w:asciiTheme="minorHAnsi" w:hAnsiTheme="minorHAnsi"/>
          <w:b/>
          <w:kern w:val="20"/>
        </w:rPr>
      </w:pPr>
      <w:r w:rsidRPr="001672DD">
        <w:rPr>
          <w:rFonts w:asciiTheme="minorHAnsi" w:hAnsiTheme="minorHAnsi"/>
          <w:b/>
          <w:kern w:val="20"/>
        </w:rPr>
        <w:t>Coordination</w:t>
      </w:r>
    </w:p>
    <w:p w14:paraId="599A1C11" w14:textId="4996C629" w:rsidR="00BF76AE" w:rsidRDefault="001672DD" w:rsidP="00FA11C4">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 xml:space="preserve">The development of integrated student visa </w:t>
      </w:r>
      <w:r w:rsidR="00E60A67">
        <w:rPr>
          <w:rFonts w:asciiTheme="minorHAnsi" w:hAnsiTheme="minorHAnsi"/>
          <w:kern w:val="20"/>
        </w:rPr>
        <w:t>arrangements</w:t>
      </w:r>
      <w:r>
        <w:rPr>
          <w:rFonts w:asciiTheme="minorHAnsi" w:hAnsiTheme="minorHAnsi"/>
          <w:kern w:val="20"/>
        </w:rPr>
        <w:t xml:space="preserve"> that take</w:t>
      </w:r>
      <w:r w:rsidR="005F0FF7">
        <w:rPr>
          <w:rFonts w:asciiTheme="minorHAnsi" w:hAnsiTheme="minorHAnsi"/>
          <w:kern w:val="20"/>
        </w:rPr>
        <w:t>s</w:t>
      </w:r>
      <w:r>
        <w:rPr>
          <w:rFonts w:asciiTheme="minorHAnsi" w:hAnsiTheme="minorHAnsi"/>
          <w:kern w:val="20"/>
        </w:rPr>
        <w:t xml:space="preserve"> into consideration education quality parameters would require a more </w:t>
      </w:r>
      <w:r w:rsidR="00E60A67">
        <w:rPr>
          <w:rFonts w:asciiTheme="minorHAnsi" w:hAnsiTheme="minorHAnsi"/>
          <w:kern w:val="20"/>
        </w:rPr>
        <w:t>coordinated</w:t>
      </w:r>
      <w:r>
        <w:rPr>
          <w:rFonts w:asciiTheme="minorHAnsi" w:hAnsiTheme="minorHAnsi"/>
          <w:kern w:val="20"/>
        </w:rPr>
        <w:t xml:space="preserve"> government</w:t>
      </w:r>
      <w:r w:rsidR="000D3DF8">
        <w:rPr>
          <w:rFonts w:asciiTheme="minorHAnsi" w:hAnsiTheme="minorHAnsi"/>
          <w:kern w:val="20"/>
        </w:rPr>
        <w:t xml:space="preserve"> policy and program approach. </w:t>
      </w:r>
      <w:r>
        <w:rPr>
          <w:rFonts w:asciiTheme="minorHAnsi" w:hAnsiTheme="minorHAnsi"/>
          <w:kern w:val="20"/>
        </w:rPr>
        <w:t>Such</w:t>
      </w:r>
      <w:r w:rsidR="00BF76AE">
        <w:rPr>
          <w:rFonts w:asciiTheme="minorHAnsi" w:hAnsiTheme="minorHAnsi"/>
          <w:kern w:val="20"/>
        </w:rPr>
        <w:t xml:space="preserve"> an approach would respond to the br</w:t>
      </w:r>
      <w:r>
        <w:rPr>
          <w:rFonts w:asciiTheme="minorHAnsi" w:hAnsiTheme="minorHAnsi"/>
          <w:kern w:val="20"/>
        </w:rPr>
        <w:t>o</w:t>
      </w:r>
      <w:r w:rsidR="00BF76AE">
        <w:rPr>
          <w:rFonts w:asciiTheme="minorHAnsi" w:hAnsiTheme="minorHAnsi"/>
          <w:kern w:val="20"/>
        </w:rPr>
        <w:t>a</w:t>
      </w:r>
      <w:r>
        <w:rPr>
          <w:rFonts w:asciiTheme="minorHAnsi" w:hAnsiTheme="minorHAnsi"/>
          <w:kern w:val="20"/>
        </w:rPr>
        <w:t xml:space="preserve">der </w:t>
      </w:r>
      <w:r w:rsidR="00BF76AE">
        <w:rPr>
          <w:rFonts w:asciiTheme="minorHAnsi" w:hAnsiTheme="minorHAnsi"/>
          <w:kern w:val="20"/>
        </w:rPr>
        <w:t>need for a more coordinated government approach to the sector.</w:t>
      </w:r>
    </w:p>
    <w:p w14:paraId="71FD9A28" w14:textId="36CAE153" w:rsidR="00181CA7" w:rsidRDefault="00BF76AE" w:rsidP="00FA11C4">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At present</w:t>
      </w:r>
      <w:r w:rsidR="00181CA7">
        <w:rPr>
          <w:rFonts w:asciiTheme="minorHAnsi" w:hAnsiTheme="minorHAnsi"/>
          <w:kern w:val="20"/>
        </w:rPr>
        <w:t>, for example,</w:t>
      </w:r>
      <w:r>
        <w:rPr>
          <w:rFonts w:asciiTheme="minorHAnsi" w:hAnsiTheme="minorHAnsi"/>
          <w:kern w:val="20"/>
        </w:rPr>
        <w:t xml:space="preserve"> there are </w:t>
      </w:r>
      <w:r w:rsidR="00FE1A0D">
        <w:rPr>
          <w:rFonts w:asciiTheme="minorHAnsi" w:hAnsiTheme="minorHAnsi"/>
          <w:kern w:val="20"/>
        </w:rPr>
        <w:t xml:space="preserve">a number of </w:t>
      </w:r>
      <w:r w:rsidR="00181CA7">
        <w:rPr>
          <w:rFonts w:asciiTheme="minorHAnsi" w:hAnsiTheme="minorHAnsi"/>
          <w:kern w:val="20"/>
        </w:rPr>
        <w:t>reviews or strategies focused o</w:t>
      </w:r>
      <w:r>
        <w:rPr>
          <w:rFonts w:asciiTheme="minorHAnsi" w:hAnsiTheme="minorHAnsi"/>
          <w:kern w:val="20"/>
        </w:rPr>
        <w:t>n</w:t>
      </w:r>
      <w:r w:rsidR="00181CA7">
        <w:rPr>
          <w:rFonts w:asciiTheme="minorHAnsi" w:hAnsiTheme="minorHAnsi"/>
          <w:kern w:val="20"/>
        </w:rPr>
        <w:t xml:space="preserve"> </w:t>
      </w:r>
      <w:r w:rsidR="000A42A8">
        <w:rPr>
          <w:rFonts w:asciiTheme="minorHAnsi" w:hAnsiTheme="minorHAnsi"/>
          <w:kern w:val="20"/>
        </w:rPr>
        <w:t xml:space="preserve">the </w:t>
      </w:r>
      <w:r w:rsidR="00E60A67">
        <w:rPr>
          <w:rFonts w:asciiTheme="minorHAnsi" w:hAnsiTheme="minorHAnsi"/>
          <w:kern w:val="20"/>
        </w:rPr>
        <w:t>international</w:t>
      </w:r>
      <w:r w:rsidR="000A42A8">
        <w:rPr>
          <w:rFonts w:asciiTheme="minorHAnsi" w:hAnsiTheme="minorHAnsi"/>
          <w:kern w:val="20"/>
        </w:rPr>
        <w:t xml:space="preserve"> </w:t>
      </w:r>
      <w:r>
        <w:rPr>
          <w:rFonts w:asciiTheme="minorHAnsi" w:hAnsiTheme="minorHAnsi"/>
          <w:kern w:val="20"/>
        </w:rPr>
        <w:t>education sector being undertaken by the department</w:t>
      </w:r>
      <w:r w:rsidR="00181CA7">
        <w:rPr>
          <w:rFonts w:asciiTheme="minorHAnsi" w:hAnsiTheme="minorHAnsi"/>
          <w:kern w:val="20"/>
        </w:rPr>
        <w:t>s of E</w:t>
      </w:r>
      <w:r>
        <w:rPr>
          <w:rFonts w:asciiTheme="minorHAnsi" w:hAnsiTheme="minorHAnsi"/>
          <w:kern w:val="20"/>
        </w:rPr>
        <w:t xml:space="preserve">ducation and Training, </w:t>
      </w:r>
      <w:r w:rsidR="00181CA7">
        <w:rPr>
          <w:rFonts w:asciiTheme="minorHAnsi" w:hAnsiTheme="minorHAnsi"/>
          <w:kern w:val="20"/>
        </w:rPr>
        <w:t>Immigration an</w:t>
      </w:r>
      <w:r w:rsidR="000D3DF8">
        <w:rPr>
          <w:rFonts w:asciiTheme="minorHAnsi" w:hAnsiTheme="minorHAnsi"/>
          <w:kern w:val="20"/>
        </w:rPr>
        <w:t>d Border Protection and Trade. Added to these agencies are the various state and territory bodies seeking to promote international education services in their jurisdiction.</w:t>
      </w:r>
    </w:p>
    <w:p w14:paraId="5428B369" w14:textId="1349F456" w:rsidR="00181CA7" w:rsidRDefault="00181CA7" w:rsidP="00FA11C4">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ACPET is concerned that the complexity of arrangements is not providing for a clear, integrated approach to developing</w:t>
      </w:r>
      <w:r w:rsidR="006752E1">
        <w:rPr>
          <w:rFonts w:asciiTheme="minorHAnsi" w:hAnsiTheme="minorHAnsi"/>
          <w:kern w:val="20"/>
        </w:rPr>
        <w:t>,</w:t>
      </w:r>
      <w:r>
        <w:rPr>
          <w:rFonts w:asciiTheme="minorHAnsi" w:hAnsiTheme="minorHAnsi"/>
          <w:kern w:val="20"/>
        </w:rPr>
        <w:t xml:space="preserve"> regulating and marketing international education services. </w:t>
      </w:r>
      <w:r w:rsidR="005F0FF7">
        <w:rPr>
          <w:rFonts w:asciiTheme="minorHAnsi" w:hAnsiTheme="minorHAnsi"/>
          <w:kern w:val="20"/>
        </w:rPr>
        <w:t xml:space="preserve"> This was a key issue identified in the Chaney Report cited above.</w:t>
      </w:r>
    </w:p>
    <w:p w14:paraId="113DCBCE" w14:textId="77777777" w:rsidR="00181CA7" w:rsidRDefault="00181CA7" w:rsidP="00FA11C4">
      <w:pPr>
        <w:tabs>
          <w:tab w:val="left" w:pos="357"/>
          <w:tab w:val="left" w:pos="720"/>
        </w:tabs>
        <w:suppressAutoHyphens/>
        <w:spacing w:before="220" w:after="220" w:line="280" w:lineRule="exact"/>
        <w:ind w:left="360"/>
        <w:rPr>
          <w:rFonts w:asciiTheme="minorHAnsi" w:hAnsiTheme="minorHAnsi"/>
          <w:b/>
          <w:kern w:val="20"/>
        </w:rPr>
      </w:pPr>
      <w:r w:rsidRPr="00181CA7">
        <w:rPr>
          <w:rFonts w:asciiTheme="minorHAnsi" w:hAnsiTheme="minorHAnsi"/>
          <w:b/>
          <w:kern w:val="20"/>
        </w:rPr>
        <w:t>Inform</w:t>
      </w:r>
      <w:r>
        <w:rPr>
          <w:rFonts w:asciiTheme="minorHAnsi" w:hAnsiTheme="minorHAnsi"/>
          <w:b/>
          <w:kern w:val="20"/>
        </w:rPr>
        <w:t>a</w:t>
      </w:r>
      <w:r w:rsidRPr="00181CA7">
        <w:rPr>
          <w:rFonts w:asciiTheme="minorHAnsi" w:hAnsiTheme="minorHAnsi"/>
          <w:b/>
          <w:kern w:val="20"/>
        </w:rPr>
        <w:t xml:space="preserve">tion </w:t>
      </w:r>
    </w:p>
    <w:p w14:paraId="20A6AC1D" w14:textId="18399EBD" w:rsidR="000A42A8" w:rsidRDefault="00805BEC" w:rsidP="000A42A8">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As with most markets, information is pivotal to i</w:t>
      </w:r>
      <w:r w:rsidR="00FE1A0D">
        <w:rPr>
          <w:rFonts w:asciiTheme="minorHAnsi" w:hAnsiTheme="minorHAnsi"/>
          <w:kern w:val="20"/>
        </w:rPr>
        <w:t xml:space="preserve">dentifying </w:t>
      </w:r>
      <w:r>
        <w:rPr>
          <w:rFonts w:asciiTheme="minorHAnsi" w:hAnsiTheme="minorHAnsi"/>
          <w:kern w:val="20"/>
        </w:rPr>
        <w:t xml:space="preserve">and developing </w:t>
      </w:r>
      <w:r w:rsidR="00E60A67">
        <w:rPr>
          <w:rFonts w:asciiTheme="minorHAnsi" w:hAnsiTheme="minorHAnsi"/>
          <w:kern w:val="20"/>
        </w:rPr>
        <w:t>international</w:t>
      </w:r>
      <w:r>
        <w:rPr>
          <w:rFonts w:asciiTheme="minorHAnsi" w:hAnsiTheme="minorHAnsi"/>
          <w:kern w:val="20"/>
        </w:rPr>
        <w:t xml:space="preserve"> education markets. </w:t>
      </w:r>
      <w:r w:rsidR="00E60A67">
        <w:rPr>
          <w:rFonts w:asciiTheme="minorHAnsi" w:hAnsiTheme="minorHAnsi"/>
          <w:kern w:val="20"/>
        </w:rPr>
        <w:t>Consultations with ACPET members highlight</w:t>
      </w:r>
      <w:r w:rsidR="006752E1">
        <w:rPr>
          <w:rFonts w:asciiTheme="minorHAnsi" w:hAnsiTheme="minorHAnsi"/>
          <w:kern w:val="20"/>
        </w:rPr>
        <w:t xml:space="preserve"> the</w:t>
      </w:r>
      <w:r>
        <w:rPr>
          <w:rFonts w:asciiTheme="minorHAnsi" w:hAnsiTheme="minorHAnsi"/>
          <w:kern w:val="20"/>
        </w:rPr>
        <w:t xml:space="preserve"> </w:t>
      </w:r>
      <w:r w:rsidR="000A42A8">
        <w:rPr>
          <w:rFonts w:asciiTheme="minorHAnsi" w:hAnsiTheme="minorHAnsi"/>
          <w:kern w:val="20"/>
        </w:rPr>
        <w:t xml:space="preserve">challenges of seeking to develop </w:t>
      </w:r>
      <w:r w:rsidR="00E60A67">
        <w:rPr>
          <w:rFonts w:asciiTheme="minorHAnsi" w:hAnsiTheme="minorHAnsi"/>
          <w:kern w:val="20"/>
        </w:rPr>
        <w:t>international</w:t>
      </w:r>
      <w:r w:rsidR="000A42A8">
        <w:rPr>
          <w:rFonts w:asciiTheme="minorHAnsi" w:hAnsiTheme="minorHAnsi"/>
          <w:kern w:val="20"/>
        </w:rPr>
        <w:t xml:space="preserve"> markets and particularly transnational education </w:t>
      </w:r>
      <w:r w:rsidR="00E60A67">
        <w:rPr>
          <w:rFonts w:asciiTheme="minorHAnsi" w:hAnsiTheme="minorHAnsi"/>
          <w:kern w:val="20"/>
        </w:rPr>
        <w:t>services.</w:t>
      </w:r>
      <w:r w:rsidR="000A42A8">
        <w:rPr>
          <w:rFonts w:asciiTheme="minorHAnsi" w:hAnsiTheme="minorHAnsi"/>
          <w:kern w:val="20"/>
        </w:rPr>
        <w:t xml:space="preserve">  </w:t>
      </w:r>
      <w:r w:rsidR="00E60A67">
        <w:rPr>
          <w:rFonts w:asciiTheme="minorHAnsi" w:hAnsiTheme="minorHAnsi"/>
          <w:kern w:val="20"/>
        </w:rPr>
        <w:t>Notwithstanding</w:t>
      </w:r>
      <w:r w:rsidR="000A42A8">
        <w:rPr>
          <w:rFonts w:asciiTheme="minorHAnsi" w:hAnsiTheme="minorHAnsi"/>
          <w:kern w:val="20"/>
        </w:rPr>
        <w:t xml:space="preserve"> the presence a number of government agencies have in key markets</w:t>
      </w:r>
      <w:r w:rsidR="009C2BFC">
        <w:rPr>
          <w:rFonts w:asciiTheme="minorHAnsi" w:hAnsiTheme="minorHAnsi"/>
          <w:kern w:val="20"/>
        </w:rPr>
        <w:t>,</w:t>
      </w:r>
      <w:r w:rsidR="000A42A8">
        <w:rPr>
          <w:rFonts w:asciiTheme="minorHAnsi" w:hAnsiTheme="minorHAnsi"/>
          <w:kern w:val="20"/>
        </w:rPr>
        <w:t xml:space="preserve"> members would value stronger support in </w:t>
      </w:r>
      <w:r w:rsidR="00E60A67">
        <w:rPr>
          <w:rFonts w:asciiTheme="minorHAnsi" w:hAnsiTheme="minorHAnsi"/>
          <w:kern w:val="20"/>
        </w:rPr>
        <w:t>navigating</w:t>
      </w:r>
      <w:r w:rsidR="000A42A8">
        <w:rPr>
          <w:rFonts w:asciiTheme="minorHAnsi" w:hAnsiTheme="minorHAnsi"/>
          <w:kern w:val="20"/>
        </w:rPr>
        <w:t xml:space="preserve"> the regulatory and legal barriers in overseas markets.</w:t>
      </w:r>
    </w:p>
    <w:p w14:paraId="3EB7169E" w14:textId="140F64AD" w:rsidR="00553459" w:rsidRDefault="000A42A8" w:rsidP="00FD5A21">
      <w:pPr>
        <w:tabs>
          <w:tab w:val="left" w:pos="357"/>
          <w:tab w:val="left" w:pos="720"/>
        </w:tabs>
        <w:suppressAutoHyphens/>
        <w:spacing w:before="220" w:after="220" w:line="280" w:lineRule="exact"/>
        <w:ind w:left="360"/>
        <w:rPr>
          <w:rFonts w:asciiTheme="minorHAnsi" w:hAnsiTheme="minorHAnsi"/>
          <w:kern w:val="20"/>
        </w:rPr>
      </w:pPr>
      <w:r>
        <w:rPr>
          <w:rFonts w:asciiTheme="minorHAnsi" w:hAnsiTheme="minorHAnsi"/>
          <w:kern w:val="20"/>
        </w:rPr>
        <w:t>ACPET notes</w:t>
      </w:r>
      <w:r w:rsidR="009C2BFC">
        <w:rPr>
          <w:rFonts w:asciiTheme="minorHAnsi" w:hAnsiTheme="minorHAnsi"/>
          <w:kern w:val="20"/>
        </w:rPr>
        <w:t xml:space="preserve"> also</w:t>
      </w:r>
      <w:r>
        <w:rPr>
          <w:rFonts w:asciiTheme="minorHAnsi" w:hAnsiTheme="minorHAnsi"/>
          <w:kern w:val="20"/>
        </w:rPr>
        <w:t xml:space="preserve"> there are fees attached to some information </w:t>
      </w:r>
      <w:r w:rsidR="00100CFD">
        <w:rPr>
          <w:rFonts w:asciiTheme="minorHAnsi" w:hAnsiTheme="minorHAnsi"/>
          <w:kern w:val="20"/>
        </w:rPr>
        <w:t xml:space="preserve">and support </w:t>
      </w:r>
      <w:r>
        <w:rPr>
          <w:rFonts w:asciiTheme="minorHAnsi" w:hAnsiTheme="minorHAnsi"/>
          <w:kern w:val="20"/>
        </w:rPr>
        <w:t>provided by Austrade</w:t>
      </w:r>
      <w:r w:rsidR="00100CFD">
        <w:rPr>
          <w:rFonts w:asciiTheme="minorHAnsi" w:hAnsiTheme="minorHAnsi"/>
          <w:kern w:val="20"/>
        </w:rPr>
        <w:t xml:space="preserve">.  </w:t>
      </w:r>
      <w:r w:rsidR="009C2BFC">
        <w:rPr>
          <w:rFonts w:asciiTheme="minorHAnsi" w:hAnsiTheme="minorHAnsi"/>
          <w:kern w:val="20"/>
        </w:rPr>
        <w:t>I</w:t>
      </w:r>
      <w:r w:rsidR="00100CFD">
        <w:rPr>
          <w:rFonts w:asciiTheme="minorHAnsi" w:hAnsiTheme="minorHAnsi"/>
          <w:kern w:val="20"/>
        </w:rPr>
        <w:t>n</w:t>
      </w:r>
      <w:r w:rsidR="00805BEC">
        <w:rPr>
          <w:rFonts w:asciiTheme="minorHAnsi" w:hAnsiTheme="minorHAnsi"/>
          <w:kern w:val="20"/>
        </w:rPr>
        <w:t xml:space="preserve"> the context of seeking </w:t>
      </w:r>
      <w:r w:rsidR="00631006">
        <w:rPr>
          <w:rFonts w:asciiTheme="minorHAnsi" w:hAnsiTheme="minorHAnsi"/>
          <w:kern w:val="20"/>
        </w:rPr>
        <w:t xml:space="preserve">to </w:t>
      </w:r>
      <w:r w:rsidR="00805BEC">
        <w:rPr>
          <w:rFonts w:asciiTheme="minorHAnsi" w:hAnsiTheme="minorHAnsi"/>
          <w:kern w:val="20"/>
        </w:rPr>
        <w:t xml:space="preserve">maximise the </w:t>
      </w:r>
      <w:r w:rsidR="00FE1A0D">
        <w:rPr>
          <w:rFonts w:asciiTheme="minorHAnsi" w:hAnsiTheme="minorHAnsi"/>
          <w:kern w:val="20"/>
        </w:rPr>
        <w:t xml:space="preserve">economic </w:t>
      </w:r>
      <w:r w:rsidR="00805BEC">
        <w:rPr>
          <w:rFonts w:asciiTheme="minorHAnsi" w:hAnsiTheme="minorHAnsi"/>
          <w:kern w:val="20"/>
        </w:rPr>
        <w:t>opportunities from this</w:t>
      </w:r>
      <w:r w:rsidR="00FE1A0D">
        <w:rPr>
          <w:rFonts w:asciiTheme="minorHAnsi" w:hAnsiTheme="minorHAnsi"/>
          <w:kern w:val="20"/>
        </w:rPr>
        <w:t xml:space="preserve"> growing international market f</w:t>
      </w:r>
      <w:r w:rsidR="00805BEC">
        <w:rPr>
          <w:rFonts w:asciiTheme="minorHAnsi" w:hAnsiTheme="minorHAnsi"/>
          <w:kern w:val="20"/>
        </w:rPr>
        <w:t>o</w:t>
      </w:r>
      <w:r w:rsidR="00FE1A0D">
        <w:rPr>
          <w:rFonts w:asciiTheme="minorHAnsi" w:hAnsiTheme="minorHAnsi"/>
          <w:kern w:val="20"/>
        </w:rPr>
        <w:t>r</w:t>
      </w:r>
      <w:r w:rsidR="00805BEC">
        <w:rPr>
          <w:rFonts w:asciiTheme="minorHAnsi" w:hAnsiTheme="minorHAnsi"/>
          <w:kern w:val="20"/>
        </w:rPr>
        <w:t xml:space="preserve"> Australia, </w:t>
      </w:r>
      <w:r w:rsidR="004443F4">
        <w:rPr>
          <w:rFonts w:asciiTheme="minorHAnsi" w:hAnsiTheme="minorHAnsi"/>
          <w:kern w:val="20"/>
        </w:rPr>
        <w:t xml:space="preserve">further </w:t>
      </w:r>
      <w:r w:rsidR="00805BEC">
        <w:rPr>
          <w:rFonts w:asciiTheme="minorHAnsi" w:hAnsiTheme="minorHAnsi"/>
          <w:kern w:val="20"/>
        </w:rPr>
        <w:t xml:space="preserve">consideration of this </w:t>
      </w:r>
      <w:r w:rsidR="00FE1A0D">
        <w:rPr>
          <w:rFonts w:asciiTheme="minorHAnsi" w:hAnsiTheme="minorHAnsi"/>
          <w:kern w:val="20"/>
        </w:rPr>
        <w:t>fee structure</w:t>
      </w:r>
      <w:r w:rsidR="00FD5A21">
        <w:rPr>
          <w:rFonts w:asciiTheme="minorHAnsi" w:hAnsiTheme="minorHAnsi"/>
          <w:kern w:val="20"/>
        </w:rPr>
        <w:t xml:space="preserve"> may be warranted. </w:t>
      </w:r>
    </w:p>
    <w:p w14:paraId="10EB908E" w14:textId="77777777" w:rsidR="00553459" w:rsidRDefault="00553459" w:rsidP="00FA11C4">
      <w:pPr>
        <w:tabs>
          <w:tab w:val="left" w:pos="357"/>
          <w:tab w:val="left" w:pos="720"/>
        </w:tabs>
        <w:suppressAutoHyphens/>
        <w:spacing w:before="220" w:after="220" w:line="280" w:lineRule="exact"/>
        <w:ind w:left="360"/>
        <w:rPr>
          <w:rFonts w:asciiTheme="minorHAnsi" w:hAnsiTheme="minorHAnsi"/>
          <w:kern w:val="20"/>
        </w:rPr>
      </w:pPr>
    </w:p>
    <w:sectPr w:rsidR="00553459" w:rsidSect="004365BB">
      <w:headerReference w:type="default" r:id="rId8"/>
      <w:footerReference w:type="default" r:id="rId9"/>
      <w:headerReference w:type="first" r:id="rId10"/>
      <w:footerReference w:type="first" r:id="rId11"/>
      <w:pgSz w:w="11907" w:h="16840" w:code="9"/>
      <w:pgMar w:top="1985" w:right="1134" w:bottom="1134" w:left="1418" w:header="567" w:footer="567" w:gutter="0"/>
      <w:cols w:space="708"/>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5290B4" w15:done="0"/>
  <w15:commentEx w15:paraId="75A8DC47" w15:done="0"/>
  <w15:commentEx w15:paraId="60548627" w15:done="0"/>
  <w15:commentEx w15:paraId="21234A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F6C47" w14:textId="77777777" w:rsidR="004D7196" w:rsidRDefault="004D7196" w:rsidP="0099394D">
      <w:r>
        <w:separator/>
      </w:r>
    </w:p>
  </w:endnote>
  <w:endnote w:type="continuationSeparator" w:id="0">
    <w:p w14:paraId="0D80A9B8" w14:textId="77777777" w:rsidR="004D7196" w:rsidRDefault="004D7196" w:rsidP="0099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139"/>
      <w:docPartObj>
        <w:docPartGallery w:val="Page Numbers (Bottom of Page)"/>
        <w:docPartUnique/>
      </w:docPartObj>
    </w:sdtPr>
    <w:sdtEndPr/>
    <w:sdtContent>
      <w:sdt>
        <w:sdtPr>
          <w:id w:val="565050523"/>
          <w:docPartObj>
            <w:docPartGallery w:val="Page Numbers (Top of Page)"/>
            <w:docPartUnique/>
          </w:docPartObj>
        </w:sdtPr>
        <w:sdtEndPr/>
        <w:sdtContent>
          <w:p w14:paraId="0EB62F21" w14:textId="77777777" w:rsidR="004D7196" w:rsidRDefault="004D7196" w:rsidP="0099394D">
            <w:pPr>
              <w:pStyle w:val="footer0"/>
            </w:pPr>
          </w:p>
          <w:p w14:paraId="7E3AC5A6" w14:textId="6F30A3DA" w:rsidR="004D7196" w:rsidRDefault="004D7196" w:rsidP="008A45F4">
            <w:pPr>
              <w:pStyle w:val="footer0"/>
            </w:pPr>
            <w:r>
              <w:t xml:space="preserve">Productivity Commission Issues Paper April 2015, Barriers to Services Exports – ACPET Submission </w:t>
            </w:r>
            <w:r>
              <w:tab/>
              <w:t xml:space="preserve">Page </w:t>
            </w:r>
            <w:r>
              <w:fldChar w:fldCharType="begin"/>
            </w:r>
            <w:r>
              <w:instrText xml:space="preserve"> PAGE </w:instrText>
            </w:r>
            <w:r>
              <w:fldChar w:fldCharType="separate"/>
            </w:r>
            <w:r w:rsidR="00C41E2F">
              <w:rPr>
                <w:noProof/>
              </w:rPr>
              <w:t>2</w:t>
            </w:r>
            <w:r>
              <w:rPr>
                <w:noProof/>
              </w:rPr>
              <w:fldChar w:fldCharType="end"/>
            </w:r>
            <w:r>
              <w:t xml:space="preserve"> of </w:t>
            </w:r>
            <w:r w:rsidR="00C41E2F">
              <w:fldChar w:fldCharType="begin"/>
            </w:r>
            <w:r w:rsidR="00C41E2F">
              <w:instrText xml:space="preserve"> NUMPAGES  </w:instrText>
            </w:r>
            <w:r w:rsidR="00C41E2F">
              <w:fldChar w:fldCharType="separate"/>
            </w:r>
            <w:r w:rsidR="00C41E2F">
              <w:rPr>
                <w:noProof/>
              </w:rPr>
              <w:t>4</w:t>
            </w:r>
            <w:r w:rsidR="00C41E2F">
              <w:rPr>
                <w:noProof/>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DAD94" w14:textId="77777777" w:rsidR="004D7196" w:rsidRDefault="004D7196">
    <w:pPr>
      <w:pStyle w:val="Footer"/>
    </w:pPr>
    <w:r>
      <w:rPr>
        <w:noProof/>
        <w:lang w:eastAsia="en-AU"/>
      </w:rPr>
      <w:drawing>
        <wp:anchor distT="0" distB="0" distL="114300" distR="114300" simplePos="0" relativeHeight="251658240" behindDoc="0" locked="0" layoutInCell="1" allowOverlap="1" wp14:anchorId="3AEA6257" wp14:editId="4CCB7E7E">
          <wp:simplePos x="0" y="0"/>
          <wp:positionH relativeFrom="column">
            <wp:posOffset>-44618</wp:posOffset>
          </wp:positionH>
          <wp:positionV relativeFrom="paragraph">
            <wp:posOffset>-367114</wp:posOffset>
          </wp:positionV>
          <wp:extent cx="5937358" cy="914400"/>
          <wp:effectExtent l="19050" t="0" r="6242" b="0"/>
          <wp:wrapNone/>
          <wp:docPr id="3" name="Picture 2" descr="Book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_banner.jpg"/>
                  <pic:cNvPicPr/>
                </pic:nvPicPr>
                <pic:blipFill>
                  <a:blip r:embed="rId1"/>
                  <a:stretch>
                    <a:fillRect/>
                  </a:stretch>
                </pic:blipFill>
                <pic:spPr>
                  <a:xfrm>
                    <a:off x="0" y="0"/>
                    <a:ext cx="5937358" cy="9144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0ABAD" w14:textId="77777777" w:rsidR="004D7196" w:rsidRDefault="004D7196" w:rsidP="0099394D">
      <w:r>
        <w:separator/>
      </w:r>
    </w:p>
  </w:footnote>
  <w:footnote w:type="continuationSeparator" w:id="0">
    <w:p w14:paraId="149CBB97" w14:textId="77777777" w:rsidR="004D7196" w:rsidRDefault="004D7196" w:rsidP="0099394D">
      <w:r>
        <w:continuationSeparator/>
      </w:r>
    </w:p>
  </w:footnote>
  <w:footnote w:id="1">
    <w:p w14:paraId="01FE2660" w14:textId="045CA43B" w:rsidR="004D7196" w:rsidRPr="006F57D6" w:rsidRDefault="004D7196">
      <w:pPr>
        <w:pStyle w:val="FootnoteText"/>
        <w:rPr>
          <w:sz w:val="16"/>
          <w:szCs w:val="16"/>
          <w:lang w:val="en-US"/>
        </w:rPr>
      </w:pPr>
      <w:r w:rsidRPr="006F57D6">
        <w:rPr>
          <w:rStyle w:val="FootnoteReference"/>
          <w:sz w:val="16"/>
          <w:szCs w:val="16"/>
        </w:rPr>
        <w:footnoteRef/>
      </w:r>
      <w:r w:rsidRPr="006F57D6">
        <w:rPr>
          <w:sz w:val="16"/>
          <w:szCs w:val="16"/>
        </w:rPr>
        <w:t xml:space="preserve"> </w:t>
      </w:r>
      <w:r w:rsidRPr="006F57D6">
        <w:rPr>
          <w:sz w:val="16"/>
          <w:szCs w:val="16"/>
          <w:lang w:val="en-US"/>
        </w:rPr>
        <w:t xml:space="preserve">Productivity Commission, </w:t>
      </w:r>
      <w:r w:rsidRPr="00BC4E91">
        <w:rPr>
          <w:i/>
          <w:sz w:val="16"/>
          <w:szCs w:val="16"/>
          <w:lang w:val="en-US"/>
        </w:rPr>
        <w:t>International Education Services, Research Paper, April 2015</w:t>
      </w:r>
      <w:r>
        <w:rPr>
          <w:sz w:val="16"/>
          <w:szCs w:val="16"/>
          <w:lang w:val="en-US"/>
        </w:rPr>
        <w:t>, p21</w:t>
      </w:r>
    </w:p>
  </w:footnote>
  <w:footnote w:id="2">
    <w:p w14:paraId="45BFCCE0" w14:textId="411D2ED7" w:rsidR="004D7196" w:rsidRPr="00BC4E91" w:rsidRDefault="004D7196">
      <w:pPr>
        <w:pStyle w:val="FootnoteText"/>
        <w:rPr>
          <w:sz w:val="16"/>
          <w:szCs w:val="16"/>
          <w:lang w:val="en-US"/>
        </w:rPr>
      </w:pPr>
      <w:r w:rsidRPr="00BC4E91">
        <w:rPr>
          <w:rStyle w:val="FootnoteReference"/>
          <w:sz w:val="16"/>
          <w:szCs w:val="16"/>
        </w:rPr>
        <w:footnoteRef/>
      </w:r>
      <w:r w:rsidRPr="00BC4E91">
        <w:rPr>
          <w:sz w:val="16"/>
          <w:szCs w:val="16"/>
        </w:rPr>
        <w:t xml:space="preserve"> </w:t>
      </w:r>
      <w:proofErr w:type="gramStart"/>
      <w:r>
        <w:rPr>
          <w:sz w:val="16"/>
          <w:szCs w:val="16"/>
        </w:rPr>
        <w:t xml:space="preserve">International Education Advisory Council, </w:t>
      </w:r>
      <w:r>
        <w:rPr>
          <w:i/>
          <w:sz w:val="16"/>
          <w:szCs w:val="16"/>
        </w:rPr>
        <w:tab/>
      </w:r>
      <w:r w:rsidRPr="004B4278">
        <w:rPr>
          <w:i/>
          <w:sz w:val="16"/>
          <w:szCs w:val="16"/>
        </w:rPr>
        <w:t>Australia – Educating Globally</w:t>
      </w:r>
      <w:r>
        <w:rPr>
          <w:sz w:val="16"/>
          <w:szCs w:val="16"/>
        </w:rPr>
        <w:t>, DIISRTE, February 2013, p21.</w:t>
      </w:r>
      <w:proofErr w:type="gramEnd"/>
    </w:p>
  </w:footnote>
  <w:footnote w:id="3">
    <w:p w14:paraId="7A1E9F64" w14:textId="1D48D8E2" w:rsidR="004D7196" w:rsidRPr="00BC4E91" w:rsidRDefault="004D7196">
      <w:pPr>
        <w:pStyle w:val="FootnoteText"/>
        <w:rPr>
          <w:sz w:val="16"/>
          <w:szCs w:val="16"/>
          <w:lang w:val="en-US"/>
        </w:rPr>
      </w:pPr>
      <w:r w:rsidRPr="00BC4E91">
        <w:rPr>
          <w:rStyle w:val="FootnoteReference"/>
          <w:sz w:val="16"/>
          <w:szCs w:val="16"/>
        </w:rPr>
        <w:footnoteRef/>
      </w:r>
      <w:r w:rsidRPr="00BC4E91">
        <w:rPr>
          <w:sz w:val="16"/>
          <w:szCs w:val="16"/>
        </w:rPr>
        <w:t xml:space="preserve"> </w:t>
      </w:r>
      <w:r>
        <w:rPr>
          <w:sz w:val="16"/>
          <w:szCs w:val="16"/>
        </w:rPr>
        <w:t xml:space="preserve">Department of Education and Training, </w:t>
      </w:r>
      <w:r w:rsidRPr="004B4278">
        <w:rPr>
          <w:i/>
          <w:sz w:val="16"/>
          <w:szCs w:val="16"/>
        </w:rPr>
        <w:t>International Student Survey 2014 Overview Report</w:t>
      </w:r>
      <w:r>
        <w:rPr>
          <w:sz w:val="16"/>
          <w:szCs w:val="16"/>
        </w:rPr>
        <w:t>, April 2015</w:t>
      </w:r>
    </w:p>
  </w:footnote>
  <w:footnote w:id="4">
    <w:p w14:paraId="24416CCA" w14:textId="77815E8F" w:rsidR="004D7196" w:rsidRPr="00E60A67" w:rsidRDefault="004D7196">
      <w:pPr>
        <w:pStyle w:val="FootnoteText"/>
        <w:rPr>
          <w:sz w:val="16"/>
          <w:szCs w:val="16"/>
          <w:lang w:val="en-US"/>
        </w:rPr>
      </w:pPr>
      <w:r w:rsidRPr="00E60A67">
        <w:rPr>
          <w:rStyle w:val="FootnoteReference"/>
          <w:sz w:val="16"/>
          <w:szCs w:val="16"/>
        </w:rPr>
        <w:footnoteRef/>
      </w:r>
      <w:r w:rsidRPr="00E60A67">
        <w:rPr>
          <w:sz w:val="16"/>
          <w:szCs w:val="16"/>
        </w:rPr>
        <w:t xml:space="preserve"> </w:t>
      </w:r>
      <w:r w:rsidRPr="00E60A67">
        <w:rPr>
          <w:sz w:val="16"/>
          <w:szCs w:val="16"/>
          <w:lang w:val="en-US"/>
        </w:rPr>
        <w:t xml:space="preserve">Productivity Commission, </w:t>
      </w:r>
      <w:r>
        <w:rPr>
          <w:sz w:val="16"/>
          <w:szCs w:val="16"/>
          <w:lang w:val="en-US"/>
        </w:rPr>
        <w:t xml:space="preserve">op </w:t>
      </w:r>
      <w:proofErr w:type="spellStart"/>
      <w:r>
        <w:rPr>
          <w:sz w:val="16"/>
          <w:szCs w:val="16"/>
          <w:lang w:val="en-US"/>
        </w:rPr>
        <w:t>cit</w:t>
      </w:r>
      <w:proofErr w:type="spellEnd"/>
      <w:r>
        <w:rPr>
          <w:sz w:val="16"/>
          <w:szCs w:val="16"/>
          <w:lang w:val="en-US"/>
        </w:rPr>
        <w:t xml:space="preserve">, </w:t>
      </w:r>
      <w:r w:rsidRPr="00E60A67">
        <w:rPr>
          <w:sz w:val="16"/>
          <w:szCs w:val="16"/>
          <w:lang w:val="en-US"/>
        </w:rPr>
        <w:t>page 65</w:t>
      </w:r>
    </w:p>
  </w:footnote>
  <w:footnote w:id="5">
    <w:p w14:paraId="30BB4A56" w14:textId="430CD583" w:rsidR="004D7196" w:rsidRPr="005F0FF7" w:rsidRDefault="004D7196">
      <w:pPr>
        <w:pStyle w:val="FootnoteText"/>
        <w:rPr>
          <w:sz w:val="16"/>
          <w:szCs w:val="16"/>
          <w:lang w:val="en-US"/>
        </w:rPr>
      </w:pPr>
      <w:r w:rsidRPr="005F0FF7">
        <w:rPr>
          <w:rStyle w:val="FootnoteReference"/>
          <w:sz w:val="16"/>
          <w:szCs w:val="16"/>
        </w:rPr>
        <w:footnoteRef/>
      </w:r>
      <w:r w:rsidRPr="005F0FF7">
        <w:rPr>
          <w:sz w:val="16"/>
          <w:szCs w:val="16"/>
        </w:rPr>
        <w:t xml:space="preserve"> </w:t>
      </w:r>
      <w:r w:rsidRPr="005F0FF7">
        <w:rPr>
          <w:sz w:val="16"/>
          <w:szCs w:val="16"/>
          <w:lang w:val="en-US"/>
        </w:rPr>
        <w:t>ACPET</w:t>
      </w:r>
      <w:r>
        <w:rPr>
          <w:sz w:val="16"/>
          <w:szCs w:val="16"/>
          <w:lang w:val="en-US"/>
        </w:rPr>
        <w:t xml:space="preserve">, </w:t>
      </w:r>
      <w:r w:rsidRPr="004D7196">
        <w:rPr>
          <w:i/>
          <w:sz w:val="16"/>
          <w:szCs w:val="16"/>
          <w:lang w:val="en-US"/>
        </w:rPr>
        <w:t>Submission to</w:t>
      </w:r>
      <w:r>
        <w:rPr>
          <w:sz w:val="16"/>
          <w:szCs w:val="16"/>
          <w:lang w:val="en-US"/>
        </w:rPr>
        <w:t xml:space="preserve"> </w:t>
      </w:r>
      <w:r w:rsidRPr="006B57E1">
        <w:rPr>
          <w:i/>
          <w:sz w:val="16"/>
          <w:szCs w:val="16"/>
          <w:lang w:val="en-US"/>
        </w:rPr>
        <w:t>Future</w:t>
      </w:r>
      <w:r w:rsidRPr="005F0FF7">
        <w:rPr>
          <w:i/>
          <w:sz w:val="16"/>
          <w:szCs w:val="16"/>
          <w:lang w:val="en-US"/>
        </w:rPr>
        <w:t xml:space="preserve"> Directions for streamlined visa processing- discussion paper</w:t>
      </w:r>
      <w:r>
        <w:rPr>
          <w:i/>
          <w:sz w:val="16"/>
          <w:szCs w:val="16"/>
          <w:lang w:val="en-US"/>
        </w:rPr>
        <w:t xml:space="preserve">, </w:t>
      </w:r>
      <w:r>
        <w:rPr>
          <w:sz w:val="16"/>
          <w:szCs w:val="16"/>
          <w:lang w:val="en-US"/>
        </w:rPr>
        <w:t>December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09820" w14:textId="77777777" w:rsidR="004D7196" w:rsidRDefault="004D7196" w:rsidP="0099394D">
    <w:pPr>
      <w:pStyle w:val="Header"/>
      <w:jc w:val="right"/>
    </w:pPr>
    <w:r>
      <w:rPr>
        <w:noProof/>
        <w:lang w:eastAsia="en-AU"/>
      </w:rPr>
      <w:drawing>
        <wp:inline distT="0" distB="0" distL="0" distR="0" wp14:anchorId="49C17072" wp14:editId="1D03ABFE">
          <wp:extent cx="2188464" cy="612648"/>
          <wp:effectExtent l="19050" t="0" r="2286" b="0"/>
          <wp:docPr id="1" name="Picture 0" descr="ACPET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PET_logo_CMYK.jpg"/>
                  <pic:cNvPicPr/>
                </pic:nvPicPr>
                <pic:blipFill>
                  <a:blip r:embed="rId1"/>
                  <a:stretch>
                    <a:fillRect/>
                  </a:stretch>
                </pic:blipFill>
                <pic:spPr>
                  <a:xfrm>
                    <a:off x="0" y="0"/>
                    <a:ext cx="2188464" cy="61264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0A38" w14:textId="77777777" w:rsidR="004D7196" w:rsidRDefault="004D7196" w:rsidP="0099394D">
    <w:pPr>
      <w:pStyle w:val="Header"/>
      <w:jc w:val="right"/>
    </w:pPr>
    <w:r w:rsidRPr="0099394D">
      <w:rPr>
        <w:noProof/>
        <w:lang w:eastAsia="en-AU"/>
      </w:rPr>
      <w:drawing>
        <wp:inline distT="0" distB="0" distL="0" distR="0" wp14:anchorId="30E9FC4D" wp14:editId="1B80E553">
          <wp:extent cx="2188464" cy="612648"/>
          <wp:effectExtent l="19050" t="0" r="2286" b="0"/>
          <wp:docPr id="2" name="Picture 0" descr="ACPET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PET_logo_CMYK.jpg"/>
                  <pic:cNvPicPr/>
                </pic:nvPicPr>
                <pic:blipFill>
                  <a:blip r:embed="rId1"/>
                  <a:stretch>
                    <a:fillRect/>
                  </a:stretch>
                </pic:blipFill>
                <pic:spPr>
                  <a:xfrm>
                    <a:off x="0" y="0"/>
                    <a:ext cx="2188464" cy="6126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78C2"/>
    <w:multiLevelType w:val="hybridMultilevel"/>
    <w:tmpl w:val="EDF6BA82"/>
    <w:lvl w:ilvl="0" w:tplc="921E0AA0">
      <w:start w:val="1"/>
      <w:numFmt w:val="bullet"/>
      <w:pStyle w:val="dotpointextra"/>
      <w:lvlText w:val="◦"/>
      <w:lvlJc w:val="left"/>
      <w:pPr>
        <w:ind w:left="717" w:hanging="360"/>
      </w:pPr>
      <w:rPr>
        <w:rFonts w:ascii="Calibri" w:hAnsi="Calibri" w:hint="default"/>
      </w:rPr>
    </w:lvl>
    <w:lvl w:ilvl="1" w:tplc="F3F474E0" w:tentative="1">
      <w:start w:val="1"/>
      <w:numFmt w:val="bullet"/>
      <w:lvlText w:val="o"/>
      <w:lvlJc w:val="left"/>
      <w:pPr>
        <w:tabs>
          <w:tab w:val="num" w:pos="1440"/>
        </w:tabs>
        <w:ind w:left="1440" w:hanging="360"/>
      </w:pPr>
      <w:rPr>
        <w:rFonts w:ascii="Courier New" w:hAnsi="Courier New" w:hint="default"/>
      </w:rPr>
    </w:lvl>
    <w:lvl w:ilvl="2" w:tplc="587C1D04" w:tentative="1">
      <w:start w:val="1"/>
      <w:numFmt w:val="bullet"/>
      <w:lvlText w:val=""/>
      <w:lvlJc w:val="left"/>
      <w:pPr>
        <w:tabs>
          <w:tab w:val="num" w:pos="2160"/>
        </w:tabs>
        <w:ind w:left="2160" w:hanging="360"/>
      </w:pPr>
      <w:rPr>
        <w:rFonts w:ascii="Wingdings" w:hAnsi="Wingdings" w:hint="default"/>
      </w:rPr>
    </w:lvl>
    <w:lvl w:ilvl="3" w:tplc="9448FF54" w:tentative="1">
      <w:start w:val="1"/>
      <w:numFmt w:val="bullet"/>
      <w:lvlText w:val=""/>
      <w:lvlJc w:val="left"/>
      <w:pPr>
        <w:tabs>
          <w:tab w:val="num" w:pos="2880"/>
        </w:tabs>
        <w:ind w:left="2880" w:hanging="360"/>
      </w:pPr>
      <w:rPr>
        <w:rFonts w:ascii="Symbol" w:hAnsi="Symbol" w:hint="default"/>
      </w:rPr>
    </w:lvl>
    <w:lvl w:ilvl="4" w:tplc="F9AE3B78" w:tentative="1">
      <w:start w:val="1"/>
      <w:numFmt w:val="bullet"/>
      <w:lvlText w:val="o"/>
      <w:lvlJc w:val="left"/>
      <w:pPr>
        <w:tabs>
          <w:tab w:val="num" w:pos="3600"/>
        </w:tabs>
        <w:ind w:left="3600" w:hanging="360"/>
      </w:pPr>
      <w:rPr>
        <w:rFonts w:ascii="Courier New" w:hAnsi="Courier New" w:hint="default"/>
      </w:rPr>
    </w:lvl>
    <w:lvl w:ilvl="5" w:tplc="C7B290CA" w:tentative="1">
      <w:start w:val="1"/>
      <w:numFmt w:val="bullet"/>
      <w:lvlText w:val=""/>
      <w:lvlJc w:val="left"/>
      <w:pPr>
        <w:tabs>
          <w:tab w:val="num" w:pos="4320"/>
        </w:tabs>
        <w:ind w:left="4320" w:hanging="360"/>
      </w:pPr>
      <w:rPr>
        <w:rFonts w:ascii="Wingdings" w:hAnsi="Wingdings" w:hint="default"/>
      </w:rPr>
    </w:lvl>
    <w:lvl w:ilvl="6" w:tplc="0276C620" w:tentative="1">
      <w:start w:val="1"/>
      <w:numFmt w:val="bullet"/>
      <w:lvlText w:val=""/>
      <w:lvlJc w:val="left"/>
      <w:pPr>
        <w:tabs>
          <w:tab w:val="num" w:pos="5040"/>
        </w:tabs>
        <w:ind w:left="5040" w:hanging="360"/>
      </w:pPr>
      <w:rPr>
        <w:rFonts w:ascii="Symbol" w:hAnsi="Symbol" w:hint="default"/>
      </w:rPr>
    </w:lvl>
    <w:lvl w:ilvl="7" w:tplc="482C3434" w:tentative="1">
      <w:start w:val="1"/>
      <w:numFmt w:val="bullet"/>
      <w:lvlText w:val="o"/>
      <w:lvlJc w:val="left"/>
      <w:pPr>
        <w:tabs>
          <w:tab w:val="num" w:pos="5760"/>
        </w:tabs>
        <w:ind w:left="5760" w:hanging="360"/>
      </w:pPr>
      <w:rPr>
        <w:rFonts w:ascii="Courier New" w:hAnsi="Courier New" w:hint="default"/>
      </w:rPr>
    </w:lvl>
    <w:lvl w:ilvl="8" w:tplc="F97EEDC0" w:tentative="1">
      <w:start w:val="1"/>
      <w:numFmt w:val="bullet"/>
      <w:lvlText w:val=""/>
      <w:lvlJc w:val="left"/>
      <w:pPr>
        <w:tabs>
          <w:tab w:val="num" w:pos="6480"/>
        </w:tabs>
        <w:ind w:left="6480" w:hanging="360"/>
      </w:pPr>
      <w:rPr>
        <w:rFonts w:ascii="Wingdings" w:hAnsi="Wingdings" w:hint="default"/>
      </w:rPr>
    </w:lvl>
  </w:abstractNum>
  <w:abstractNum w:abstractNumId="1">
    <w:nsid w:val="1F2D3FC9"/>
    <w:multiLevelType w:val="hybridMultilevel"/>
    <w:tmpl w:val="BD66993C"/>
    <w:lvl w:ilvl="0" w:tplc="26863B56">
      <w:start w:val="1"/>
      <w:numFmt w:val="bullet"/>
      <w:pStyle w:val="tabledot"/>
      <w:lvlText w:val="•"/>
      <w:lvlJc w:val="left"/>
      <w:pPr>
        <w:tabs>
          <w:tab w:val="num" w:pos="284"/>
        </w:tabs>
        <w:ind w:left="284" w:firstLine="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BCF413E"/>
    <w:multiLevelType w:val="hybridMultilevel"/>
    <w:tmpl w:val="617EA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35E2EEE"/>
    <w:multiLevelType w:val="hybridMultilevel"/>
    <w:tmpl w:val="1974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02701"/>
    <w:multiLevelType w:val="hybridMultilevel"/>
    <w:tmpl w:val="D66EB53A"/>
    <w:lvl w:ilvl="0" w:tplc="5A7CA1B8">
      <w:start w:val="1"/>
      <w:numFmt w:val="bullet"/>
      <w:pStyle w:val="dotpoint"/>
      <w:lvlText w:val="•"/>
      <w:lvlJc w:val="left"/>
      <w:pPr>
        <w:ind w:left="360" w:hanging="360"/>
      </w:pPr>
      <w:rPr>
        <w:rFonts w:ascii="Calibri" w:hAnsi="Calibri" w:hint="default"/>
        <w:b w:val="0"/>
        <w:i w:val="0"/>
        <w:color w:val="auto"/>
        <w:sz w:val="20"/>
      </w:rPr>
    </w:lvl>
    <w:lvl w:ilvl="1" w:tplc="8A94BA66" w:tentative="1">
      <w:start w:val="1"/>
      <w:numFmt w:val="bullet"/>
      <w:lvlText w:val="o"/>
      <w:lvlJc w:val="left"/>
      <w:pPr>
        <w:tabs>
          <w:tab w:val="num" w:pos="1440"/>
        </w:tabs>
        <w:ind w:left="1440" w:hanging="360"/>
      </w:pPr>
      <w:rPr>
        <w:rFonts w:ascii="Courier New" w:hAnsi="Courier New" w:hint="default"/>
      </w:rPr>
    </w:lvl>
    <w:lvl w:ilvl="2" w:tplc="6C3CA73E" w:tentative="1">
      <w:start w:val="1"/>
      <w:numFmt w:val="bullet"/>
      <w:lvlText w:val=""/>
      <w:lvlJc w:val="left"/>
      <w:pPr>
        <w:tabs>
          <w:tab w:val="num" w:pos="2160"/>
        </w:tabs>
        <w:ind w:left="2160" w:hanging="360"/>
      </w:pPr>
      <w:rPr>
        <w:rFonts w:ascii="Wingdings" w:hAnsi="Wingdings" w:hint="default"/>
      </w:rPr>
    </w:lvl>
    <w:lvl w:ilvl="3" w:tplc="7F32399E" w:tentative="1">
      <w:start w:val="1"/>
      <w:numFmt w:val="bullet"/>
      <w:lvlText w:val=""/>
      <w:lvlJc w:val="left"/>
      <w:pPr>
        <w:tabs>
          <w:tab w:val="num" w:pos="2880"/>
        </w:tabs>
        <w:ind w:left="2880" w:hanging="360"/>
      </w:pPr>
      <w:rPr>
        <w:rFonts w:ascii="Symbol" w:hAnsi="Symbol" w:hint="default"/>
      </w:rPr>
    </w:lvl>
    <w:lvl w:ilvl="4" w:tplc="C2F4A884" w:tentative="1">
      <w:start w:val="1"/>
      <w:numFmt w:val="bullet"/>
      <w:lvlText w:val="o"/>
      <w:lvlJc w:val="left"/>
      <w:pPr>
        <w:tabs>
          <w:tab w:val="num" w:pos="3600"/>
        </w:tabs>
        <w:ind w:left="3600" w:hanging="360"/>
      </w:pPr>
      <w:rPr>
        <w:rFonts w:ascii="Courier New" w:hAnsi="Courier New" w:hint="default"/>
      </w:rPr>
    </w:lvl>
    <w:lvl w:ilvl="5" w:tplc="5A0ACD96" w:tentative="1">
      <w:start w:val="1"/>
      <w:numFmt w:val="bullet"/>
      <w:lvlText w:val=""/>
      <w:lvlJc w:val="left"/>
      <w:pPr>
        <w:tabs>
          <w:tab w:val="num" w:pos="4320"/>
        </w:tabs>
        <w:ind w:left="4320" w:hanging="360"/>
      </w:pPr>
      <w:rPr>
        <w:rFonts w:ascii="Wingdings" w:hAnsi="Wingdings" w:hint="default"/>
      </w:rPr>
    </w:lvl>
    <w:lvl w:ilvl="6" w:tplc="9C6EA922" w:tentative="1">
      <w:start w:val="1"/>
      <w:numFmt w:val="bullet"/>
      <w:lvlText w:val=""/>
      <w:lvlJc w:val="left"/>
      <w:pPr>
        <w:tabs>
          <w:tab w:val="num" w:pos="5040"/>
        </w:tabs>
        <w:ind w:left="5040" w:hanging="360"/>
      </w:pPr>
      <w:rPr>
        <w:rFonts w:ascii="Symbol" w:hAnsi="Symbol" w:hint="default"/>
      </w:rPr>
    </w:lvl>
    <w:lvl w:ilvl="7" w:tplc="F806A5EA" w:tentative="1">
      <w:start w:val="1"/>
      <w:numFmt w:val="bullet"/>
      <w:lvlText w:val="o"/>
      <w:lvlJc w:val="left"/>
      <w:pPr>
        <w:tabs>
          <w:tab w:val="num" w:pos="5760"/>
        </w:tabs>
        <w:ind w:left="5760" w:hanging="360"/>
      </w:pPr>
      <w:rPr>
        <w:rFonts w:ascii="Courier New" w:hAnsi="Courier New" w:hint="default"/>
      </w:rPr>
    </w:lvl>
    <w:lvl w:ilvl="8" w:tplc="8E143132" w:tentative="1">
      <w:start w:val="1"/>
      <w:numFmt w:val="bullet"/>
      <w:lvlText w:val=""/>
      <w:lvlJc w:val="left"/>
      <w:pPr>
        <w:tabs>
          <w:tab w:val="num" w:pos="6480"/>
        </w:tabs>
        <w:ind w:left="6480" w:hanging="360"/>
      </w:pPr>
      <w:rPr>
        <w:rFonts w:ascii="Wingdings" w:hAnsi="Wingdings" w:hint="default"/>
      </w:rPr>
    </w:lvl>
  </w:abstractNum>
  <w:abstractNum w:abstractNumId="5">
    <w:nsid w:val="63835FAB"/>
    <w:multiLevelType w:val="hybridMultilevel"/>
    <w:tmpl w:val="421234CA"/>
    <w:lvl w:ilvl="0" w:tplc="D960F314">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B94A2C"/>
    <w:multiLevelType w:val="hybridMultilevel"/>
    <w:tmpl w:val="1EB42BE4"/>
    <w:lvl w:ilvl="0" w:tplc="8FD8FEE4">
      <w:start w:val="1"/>
      <w:numFmt w:val="decimal"/>
      <w:pStyle w:val="dotpointnumbers"/>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B014B05"/>
    <w:multiLevelType w:val="multilevel"/>
    <w:tmpl w:val="1974B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F5D69F1"/>
    <w:multiLevelType w:val="multilevel"/>
    <w:tmpl w:val="617EAA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5"/>
  </w:num>
  <w:num w:numId="4">
    <w:abstractNumId w:val="4"/>
  </w:num>
  <w:num w:numId="5">
    <w:abstractNumId w:val="0"/>
  </w:num>
  <w:num w:numId="6">
    <w:abstractNumId w:val="0"/>
  </w:num>
  <w:num w:numId="7">
    <w:abstractNumId w:val="4"/>
  </w:num>
  <w:num w:numId="8">
    <w:abstractNumId w:val="0"/>
  </w:num>
  <w:num w:numId="9">
    <w:abstractNumId w:val="4"/>
  </w:num>
  <w:num w:numId="10">
    <w:abstractNumId w:val="0"/>
  </w:num>
  <w:num w:numId="11">
    <w:abstractNumId w:val="4"/>
  </w:num>
  <w:num w:numId="12">
    <w:abstractNumId w:val="4"/>
  </w:num>
  <w:num w:numId="13">
    <w:abstractNumId w:val="4"/>
  </w:num>
  <w:num w:numId="14">
    <w:abstractNumId w:val="0"/>
  </w:num>
  <w:num w:numId="15">
    <w:abstractNumId w:val="4"/>
  </w:num>
  <w:num w:numId="16">
    <w:abstractNumId w:val="4"/>
  </w:num>
  <w:num w:numId="17">
    <w:abstractNumId w:val="0"/>
  </w:num>
  <w:num w:numId="18">
    <w:abstractNumId w:val="0"/>
  </w:num>
  <w:num w:numId="19">
    <w:abstractNumId w:val="4"/>
  </w:num>
  <w:num w:numId="20">
    <w:abstractNumId w:val="0"/>
  </w:num>
  <w:num w:numId="21">
    <w:abstractNumId w:val="0"/>
  </w:num>
  <w:num w:numId="22">
    <w:abstractNumId w:val="5"/>
  </w:num>
  <w:num w:numId="23">
    <w:abstractNumId w:val="4"/>
  </w:num>
  <w:num w:numId="24">
    <w:abstractNumId w:val="6"/>
  </w:num>
  <w:num w:numId="25">
    <w:abstractNumId w:val="6"/>
  </w:num>
  <w:num w:numId="26">
    <w:abstractNumId w:val="5"/>
  </w:num>
  <w:num w:numId="27">
    <w:abstractNumId w:val="5"/>
  </w:num>
  <w:num w:numId="28">
    <w:abstractNumId w:val="1"/>
  </w:num>
  <w:num w:numId="29">
    <w:abstractNumId w:val="3"/>
  </w:num>
  <w:num w:numId="30">
    <w:abstractNumId w:val="7"/>
  </w:num>
  <w:num w:numId="31">
    <w:abstractNumId w:val="2"/>
  </w:num>
  <w:num w:numId="3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Ryan">
    <w15:presenceInfo w15:providerId="None" w15:userId="Peter 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E6"/>
    <w:rsid w:val="00025901"/>
    <w:rsid w:val="00031399"/>
    <w:rsid w:val="00036EAB"/>
    <w:rsid w:val="00046F0C"/>
    <w:rsid w:val="000561D0"/>
    <w:rsid w:val="00066BA4"/>
    <w:rsid w:val="00071401"/>
    <w:rsid w:val="000944BF"/>
    <w:rsid w:val="00096552"/>
    <w:rsid w:val="000A42A8"/>
    <w:rsid w:val="000B0AB8"/>
    <w:rsid w:val="000D3DF8"/>
    <w:rsid w:val="000F3E2C"/>
    <w:rsid w:val="000F756B"/>
    <w:rsid w:val="00100CFD"/>
    <w:rsid w:val="00102D8F"/>
    <w:rsid w:val="00106F6D"/>
    <w:rsid w:val="001331B5"/>
    <w:rsid w:val="00154D3D"/>
    <w:rsid w:val="00156797"/>
    <w:rsid w:val="00157195"/>
    <w:rsid w:val="001672DD"/>
    <w:rsid w:val="00181CA7"/>
    <w:rsid w:val="001B5DC1"/>
    <w:rsid w:val="001C778E"/>
    <w:rsid w:val="001F1DE8"/>
    <w:rsid w:val="002244F9"/>
    <w:rsid w:val="002257AE"/>
    <w:rsid w:val="002607CB"/>
    <w:rsid w:val="002674C3"/>
    <w:rsid w:val="002735B8"/>
    <w:rsid w:val="00293AE8"/>
    <w:rsid w:val="002A4A80"/>
    <w:rsid w:val="002B7B80"/>
    <w:rsid w:val="002C333C"/>
    <w:rsid w:val="002C505C"/>
    <w:rsid w:val="002F2DFC"/>
    <w:rsid w:val="00306417"/>
    <w:rsid w:val="003523CA"/>
    <w:rsid w:val="00373451"/>
    <w:rsid w:val="00392CD4"/>
    <w:rsid w:val="003946E6"/>
    <w:rsid w:val="00394892"/>
    <w:rsid w:val="00394B03"/>
    <w:rsid w:val="003970C3"/>
    <w:rsid w:val="004113AD"/>
    <w:rsid w:val="00427D41"/>
    <w:rsid w:val="00431077"/>
    <w:rsid w:val="00434937"/>
    <w:rsid w:val="004365BB"/>
    <w:rsid w:val="004443F4"/>
    <w:rsid w:val="0047141A"/>
    <w:rsid w:val="004B4278"/>
    <w:rsid w:val="004D7196"/>
    <w:rsid w:val="004E10E1"/>
    <w:rsid w:val="004F5476"/>
    <w:rsid w:val="00516A56"/>
    <w:rsid w:val="00533D90"/>
    <w:rsid w:val="00543DA7"/>
    <w:rsid w:val="005445B2"/>
    <w:rsid w:val="00553459"/>
    <w:rsid w:val="00571150"/>
    <w:rsid w:val="00574184"/>
    <w:rsid w:val="0058668F"/>
    <w:rsid w:val="005A4550"/>
    <w:rsid w:val="005A6E59"/>
    <w:rsid w:val="005B58AB"/>
    <w:rsid w:val="005C59F2"/>
    <w:rsid w:val="005D5F89"/>
    <w:rsid w:val="005F0FF7"/>
    <w:rsid w:val="00631006"/>
    <w:rsid w:val="0063748C"/>
    <w:rsid w:val="00673B46"/>
    <w:rsid w:val="006752E1"/>
    <w:rsid w:val="006B57E1"/>
    <w:rsid w:val="006F57D6"/>
    <w:rsid w:val="007064D3"/>
    <w:rsid w:val="00775777"/>
    <w:rsid w:val="00785304"/>
    <w:rsid w:val="007861E4"/>
    <w:rsid w:val="007B0031"/>
    <w:rsid w:val="007C2C29"/>
    <w:rsid w:val="007E3195"/>
    <w:rsid w:val="007F52C5"/>
    <w:rsid w:val="00805BEC"/>
    <w:rsid w:val="0083531D"/>
    <w:rsid w:val="00853B8E"/>
    <w:rsid w:val="008A45F4"/>
    <w:rsid w:val="008E384A"/>
    <w:rsid w:val="008E43FF"/>
    <w:rsid w:val="00984E5B"/>
    <w:rsid w:val="00985DEA"/>
    <w:rsid w:val="0099394D"/>
    <w:rsid w:val="00993CFF"/>
    <w:rsid w:val="009A2800"/>
    <w:rsid w:val="009C0C11"/>
    <w:rsid w:val="009C2BFC"/>
    <w:rsid w:val="009C7CAC"/>
    <w:rsid w:val="00A00A0A"/>
    <w:rsid w:val="00A02E4B"/>
    <w:rsid w:val="00A133B4"/>
    <w:rsid w:val="00A17EFA"/>
    <w:rsid w:val="00A32AA6"/>
    <w:rsid w:val="00A36031"/>
    <w:rsid w:val="00A37D17"/>
    <w:rsid w:val="00A8340D"/>
    <w:rsid w:val="00A84776"/>
    <w:rsid w:val="00AA19B2"/>
    <w:rsid w:val="00AC6FCD"/>
    <w:rsid w:val="00AE4E24"/>
    <w:rsid w:val="00B11D91"/>
    <w:rsid w:val="00B43B63"/>
    <w:rsid w:val="00B55080"/>
    <w:rsid w:val="00BB56E6"/>
    <w:rsid w:val="00BC4E91"/>
    <w:rsid w:val="00BE153C"/>
    <w:rsid w:val="00BF25D0"/>
    <w:rsid w:val="00BF76AE"/>
    <w:rsid w:val="00C227DE"/>
    <w:rsid w:val="00C315C9"/>
    <w:rsid w:val="00C41E2F"/>
    <w:rsid w:val="00C46112"/>
    <w:rsid w:val="00C5105E"/>
    <w:rsid w:val="00C523CC"/>
    <w:rsid w:val="00C67776"/>
    <w:rsid w:val="00C724F4"/>
    <w:rsid w:val="00C83AC3"/>
    <w:rsid w:val="00C842ED"/>
    <w:rsid w:val="00C84DD3"/>
    <w:rsid w:val="00CB0A7B"/>
    <w:rsid w:val="00CC1F08"/>
    <w:rsid w:val="00CD3A78"/>
    <w:rsid w:val="00D333BE"/>
    <w:rsid w:val="00D441B7"/>
    <w:rsid w:val="00D441CC"/>
    <w:rsid w:val="00D44DA8"/>
    <w:rsid w:val="00D45FFD"/>
    <w:rsid w:val="00D83123"/>
    <w:rsid w:val="00D929AB"/>
    <w:rsid w:val="00DA4D9F"/>
    <w:rsid w:val="00DB6E29"/>
    <w:rsid w:val="00DC15A8"/>
    <w:rsid w:val="00DE2C91"/>
    <w:rsid w:val="00DF4960"/>
    <w:rsid w:val="00E10F92"/>
    <w:rsid w:val="00E56C28"/>
    <w:rsid w:val="00E60A67"/>
    <w:rsid w:val="00E60D4B"/>
    <w:rsid w:val="00E96614"/>
    <w:rsid w:val="00EC25EA"/>
    <w:rsid w:val="00F06BCB"/>
    <w:rsid w:val="00F16026"/>
    <w:rsid w:val="00F22F9A"/>
    <w:rsid w:val="00F240FA"/>
    <w:rsid w:val="00F61FAE"/>
    <w:rsid w:val="00F720B0"/>
    <w:rsid w:val="00F76BE4"/>
    <w:rsid w:val="00F957E6"/>
    <w:rsid w:val="00FA11C4"/>
    <w:rsid w:val="00FD433E"/>
    <w:rsid w:val="00FD5A21"/>
    <w:rsid w:val="00FE1A0D"/>
    <w:rsid w:val="00FE3E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1E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60D4B"/>
    <w:pPr>
      <w:keepLines/>
      <w:suppressAutoHyphens/>
      <w:spacing w:before="160" w:after="40" w:line="240" w:lineRule="exact"/>
    </w:pPr>
    <w:rPr>
      <w:rFonts w:ascii="Arial" w:eastAsia="Times New Roman" w:hAnsi="Arial" w:cs="Arial"/>
      <w:b/>
      <w:sz w:val="20"/>
    </w:rPr>
  </w:style>
  <w:style w:type="paragraph" w:styleId="TOC2">
    <w:name w:val="toc 2"/>
    <w:basedOn w:val="TOC1"/>
    <w:next w:val="Normal"/>
    <w:autoRedefine/>
    <w:semiHidden/>
    <w:rsid w:val="00E60D4B"/>
    <w:pPr>
      <w:spacing w:before="40" w:line="220" w:lineRule="exact"/>
      <w:ind w:left="567"/>
    </w:pPr>
    <w:rPr>
      <w:b w:val="0"/>
      <w:sz w:val="18"/>
    </w:rPr>
  </w:style>
  <w:style w:type="paragraph" w:styleId="Header">
    <w:name w:val="header"/>
    <w:basedOn w:val="Normal"/>
    <w:link w:val="HeaderChar"/>
    <w:semiHidden/>
    <w:rsid w:val="00E60D4B"/>
    <w:pPr>
      <w:tabs>
        <w:tab w:val="center" w:pos="4320"/>
        <w:tab w:val="right" w:pos="8640"/>
      </w:tabs>
    </w:pPr>
  </w:style>
  <w:style w:type="character" w:customStyle="1" w:styleId="HeaderChar">
    <w:name w:val="Header Char"/>
    <w:basedOn w:val="DefaultParagraphFont"/>
    <w:link w:val="Header"/>
    <w:semiHidden/>
    <w:rsid w:val="00E60D4B"/>
    <w:rPr>
      <w:rFonts w:ascii="Times" w:eastAsia="Times" w:hAnsi="Times" w:cs="Times New Roman"/>
      <w:sz w:val="24"/>
      <w:szCs w:val="20"/>
    </w:rPr>
  </w:style>
  <w:style w:type="paragraph" w:styleId="Footer">
    <w:name w:val="footer"/>
    <w:basedOn w:val="Normal"/>
    <w:link w:val="FooterChar"/>
    <w:uiPriority w:val="99"/>
    <w:rsid w:val="00E60D4B"/>
    <w:pPr>
      <w:tabs>
        <w:tab w:val="center" w:pos="4320"/>
        <w:tab w:val="right" w:pos="8640"/>
      </w:tabs>
    </w:pPr>
  </w:style>
  <w:style w:type="character" w:customStyle="1" w:styleId="FooterChar">
    <w:name w:val="Footer Char"/>
    <w:basedOn w:val="DefaultParagraphFont"/>
    <w:link w:val="Footer"/>
    <w:uiPriority w:val="99"/>
    <w:rsid w:val="00E60D4B"/>
    <w:rPr>
      <w:rFonts w:ascii="Times" w:eastAsia="Times" w:hAnsi="Times" w:cs="Times New Roman"/>
      <w:sz w:val="24"/>
      <w:szCs w:val="20"/>
    </w:rPr>
  </w:style>
  <w:style w:type="table" w:styleId="TableGrid">
    <w:name w:val="Table Grid"/>
    <w:basedOn w:val="TableNormal"/>
    <w:uiPriority w:val="59"/>
    <w:rsid w:val="00E60D4B"/>
    <w:rPr>
      <w:lang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ead">
    <w:name w:val="*chead"/>
    <w:basedOn w:val="bhead"/>
    <w:qFormat/>
    <w:rsid w:val="00E56C28"/>
    <w:pPr>
      <w:spacing w:before="220" w:line="240" w:lineRule="exact"/>
    </w:pPr>
    <w:rPr>
      <w:sz w:val="21"/>
      <w:szCs w:val="24"/>
    </w:rPr>
  </w:style>
  <w:style w:type="paragraph" w:customStyle="1" w:styleId="ahead">
    <w:name w:val="*ahead"/>
    <w:qFormat/>
    <w:rsid w:val="00EC25EA"/>
    <w:pPr>
      <w:keepNext/>
      <w:keepLines/>
      <w:pBdr>
        <w:bottom w:val="single" w:sz="4" w:space="1" w:color="auto"/>
      </w:pBdr>
      <w:suppressAutoHyphens/>
      <w:spacing w:before="400" w:after="20" w:line="320" w:lineRule="exact"/>
    </w:pPr>
    <w:rPr>
      <w:rFonts w:ascii="Calibri" w:eastAsia="Times New Roman" w:hAnsi="Calibri"/>
      <w:b/>
      <w:color w:val="005581"/>
      <w:sz w:val="28"/>
    </w:rPr>
  </w:style>
  <w:style w:type="paragraph" w:customStyle="1" w:styleId="bhead">
    <w:name w:val="*bhead"/>
    <w:basedOn w:val="ahead"/>
    <w:qFormat/>
    <w:rsid w:val="00E56C28"/>
    <w:pPr>
      <w:pBdr>
        <w:bottom w:val="none" w:sz="0" w:space="0" w:color="auto"/>
      </w:pBdr>
      <w:spacing w:before="280" w:after="0" w:line="280" w:lineRule="exact"/>
    </w:pPr>
    <w:rPr>
      <w:sz w:val="24"/>
    </w:rPr>
  </w:style>
  <w:style w:type="paragraph" w:customStyle="1" w:styleId="text">
    <w:name w:val="*text"/>
    <w:qFormat/>
    <w:rsid w:val="002B7B80"/>
    <w:pPr>
      <w:tabs>
        <w:tab w:val="left" w:pos="357"/>
        <w:tab w:val="left" w:pos="720"/>
      </w:tabs>
      <w:suppressAutoHyphens/>
      <w:spacing w:before="100" w:after="100" w:line="280" w:lineRule="exact"/>
    </w:pPr>
    <w:rPr>
      <w:rFonts w:ascii="Calibri" w:eastAsia="Times New Roman" w:hAnsi="Calibri"/>
      <w:kern w:val="20"/>
      <w:sz w:val="22"/>
    </w:rPr>
  </w:style>
  <w:style w:type="paragraph" w:customStyle="1" w:styleId="dotpoint">
    <w:name w:val="*dotpoint"/>
    <w:basedOn w:val="text"/>
    <w:qFormat/>
    <w:rsid w:val="004E10E1"/>
    <w:pPr>
      <w:numPr>
        <w:numId w:val="23"/>
      </w:numPr>
      <w:spacing w:before="60" w:after="60"/>
    </w:pPr>
  </w:style>
  <w:style w:type="paragraph" w:customStyle="1" w:styleId="dotpointextra">
    <w:name w:val="*dotpointextra"/>
    <w:basedOn w:val="dotpoint"/>
    <w:rsid w:val="002B7B80"/>
    <w:pPr>
      <w:numPr>
        <w:numId w:val="21"/>
      </w:numPr>
    </w:pPr>
  </w:style>
  <w:style w:type="paragraph" w:customStyle="1" w:styleId="table">
    <w:name w:val="*table"/>
    <w:qFormat/>
    <w:rsid w:val="002B7B80"/>
    <w:pPr>
      <w:keepLines/>
      <w:spacing w:before="40" w:after="40" w:line="220" w:lineRule="exact"/>
    </w:pPr>
    <w:rPr>
      <w:rFonts w:ascii="Calibri" w:eastAsia="Times New Roman" w:hAnsi="Calibri" w:cs="Arial"/>
    </w:rPr>
  </w:style>
  <w:style w:type="paragraph" w:customStyle="1" w:styleId="tablehead">
    <w:name w:val="*tablehead"/>
    <w:basedOn w:val="chead"/>
    <w:qFormat/>
    <w:rsid w:val="00E56C28"/>
    <w:pPr>
      <w:spacing w:after="80"/>
    </w:pPr>
  </w:style>
  <w:style w:type="paragraph" w:customStyle="1" w:styleId="tabledot">
    <w:name w:val="*tabledot"/>
    <w:basedOn w:val="table"/>
    <w:qFormat/>
    <w:rsid w:val="00E56C28"/>
    <w:pPr>
      <w:numPr>
        <w:numId w:val="28"/>
      </w:numPr>
      <w:spacing w:before="20" w:after="20"/>
    </w:pPr>
  </w:style>
  <w:style w:type="paragraph" w:customStyle="1" w:styleId="title">
    <w:name w:val="*title"/>
    <w:rsid w:val="00EC25EA"/>
    <w:pPr>
      <w:keepLines/>
      <w:widowControl w:val="0"/>
      <w:spacing w:after="120" w:line="520" w:lineRule="exact"/>
    </w:pPr>
    <w:rPr>
      <w:rFonts w:ascii="Calibri" w:hAnsi="Calibri"/>
      <w:color w:val="005581"/>
      <w:sz w:val="48"/>
    </w:rPr>
  </w:style>
  <w:style w:type="paragraph" w:customStyle="1" w:styleId="dhead">
    <w:name w:val="*dhead"/>
    <w:basedOn w:val="chead"/>
    <w:rsid w:val="00E60D4B"/>
    <w:pPr>
      <w:spacing w:before="200"/>
    </w:pPr>
    <w:rPr>
      <w:b w:val="0"/>
      <w:i/>
    </w:rPr>
  </w:style>
  <w:style w:type="paragraph" w:customStyle="1" w:styleId="footer0">
    <w:name w:val="*footer"/>
    <w:qFormat/>
    <w:rsid w:val="007E3195"/>
    <w:pPr>
      <w:widowControl w:val="0"/>
      <w:tabs>
        <w:tab w:val="right" w:pos="9072"/>
      </w:tabs>
      <w:spacing w:before="40" w:after="40" w:line="200" w:lineRule="exact"/>
    </w:pPr>
    <w:rPr>
      <w:rFonts w:ascii="Calibri" w:eastAsia="Times New Roman" w:hAnsi="Calibri"/>
      <w:color w:val="7F7F7F"/>
      <w:sz w:val="18"/>
    </w:rPr>
  </w:style>
  <w:style w:type="paragraph" w:customStyle="1" w:styleId="tableheaderrow">
    <w:name w:val="*tableheaderrow"/>
    <w:basedOn w:val="table"/>
    <w:rsid w:val="00E56C28"/>
    <w:pPr>
      <w:suppressAutoHyphens/>
      <w:spacing w:line="200" w:lineRule="exact"/>
    </w:pPr>
    <w:rPr>
      <w:rFonts w:asciiTheme="minorHAnsi" w:hAnsiTheme="minorHAnsi"/>
      <w:b/>
      <w:sz w:val="18"/>
    </w:rPr>
  </w:style>
  <w:style w:type="paragraph" w:customStyle="1" w:styleId="dotpointnumbers">
    <w:name w:val="*dotpointnumbers"/>
    <w:basedOn w:val="text"/>
    <w:qFormat/>
    <w:rsid w:val="00E56C28"/>
    <w:pPr>
      <w:numPr>
        <w:numId w:val="25"/>
      </w:numPr>
      <w:spacing w:before="60" w:after="60"/>
    </w:pPr>
  </w:style>
  <w:style w:type="paragraph" w:customStyle="1" w:styleId="textnospacing">
    <w:name w:val="*text no spacing"/>
    <w:basedOn w:val="text"/>
    <w:qFormat/>
    <w:rsid w:val="00A36031"/>
    <w:pPr>
      <w:spacing w:before="0" w:after="0"/>
    </w:pPr>
  </w:style>
  <w:style w:type="paragraph" w:styleId="Title0">
    <w:name w:val="Title"/>
    <w:basedOn w:val="Normal"/>
    <w:next w:val="Normal"/>
    <w:link w:val="TitleChar"/>
    <w:uiPriority w:val="10"/>
    <w:qFormat/>
    <w:rsid w:val="009939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uiPriority w:val="10"/>
    <w:rsid w:val="0099394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9394D"/>
    <w:rPr>
      <w:rFonts w:ascii="Tahoma" w:hAnsi="Tahoma" w:cs="Tahoma"/>
      <w:sz w:val="16"/>
      <w:szCs w:val="16"/>
    </w:rPr>
  </w:style>
  <w:style w:type="character" w:customStyle="1" w:styleId="BalloonTextChar">
    <w:name w:val="Balloon Text Char"/>
    <w:basedOn w:val="DefaultParagraphFont"/>
    <w:link w:val="BalloonText"/>
    <w:uiPriority w:val="99"/>
    <w:semiHidden/>
    <w:rsid w:val="0099394D"/>
    <w:rPr>
      <w:rFonts w:ascii="Tahoma" w:hAnsi="Tahoma" w:cs="Tahoma"/>
      <w:sz w:val="16"/>
      <w:szCs w:val="16"/>
    </w:rPr>
  </w:style>
  <w:style w:type="paragraph" w:styleId="ListParagraph">
    <w:name w:val="List Paragraph"/>
    <w:basedOn w:val="Normal"/>
    <w:uiPriority w:val="34"/>
    <w:qFormat/>
    <w:rsid w:val="003523CA"/>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06F6D"/>
    <w:rPr>
      <w:sz w:val="16"/>
      <w:szCs w:val="16"/>
    </w:rPr>
  </w:style>
  <w:style w:type="paragraph" w:styleId="CommentText">
    <w:name w:val="annotation text"/>
    <w:basedOn w:val="Normal"/>
    <w:link w:val="CommentTextChar"/>
    <w:uiPriority w:val="99"/>
    <w:semiHidden/>
    <w:unhideWhenUsed/>
    <w:rsid w:val="00106F6D"/>
    <w:rPr>
      <w:sz w:val="20"/>
    </w:rPr>
  </w:style>
  <w:style w:type="character" w:customStyle="1" w:styleId="CommentTextChar">
    <w:name w:val="Comment Text Char"/>
    <w:basedOn w:val="DefaultParagraphFont"/>
    <w:link w:val="CommentText"/>
    <w:uiPriority w:val="99"/>
    <w:semiHidden/>
    <w:rsid w:val="00106F6D"/>
  </w:style>
  <w:style w:type="paragraph" w:styleId="CommentSubject">
    <w:name w:val="annotation subject"/>
    <w:basedOn w:val="CommentText"/>
    <w:next w:val="CommentText"/>
    <w:link w:val="CommentSubjectChar"/>
    <w:uiPriority w:val="99"/>
    <w:semiHidden/>
    <w:unhideWhenUsed/>
    <w:rsid w:val="00106F6D"/>
    <w:rPr>
      <w:b/>
      <w:bCs/>
    </w:rPr>
  </w:style>
  <w:style w:type="character" w:customStyle="1" w:styleId="CommentSubjectChar">
    <w:name w:val="Comment Subject Char"/>
    <w:basedOn w:val="CommentTextChar"/>
    <w:link w:val="CommentSubject"/>
    <w:uiPriority w:val="99"/>
    <w:semiHidden/>
    <w:rsid w:val="00106F6D"/>
    <w:rPr>
      <w:b/>
      <w:bCs/>
    </w:rPr>
  </w:style>
  <w:style w:type="paragraph" w:styleId="FootnoteText">
    <w:name w:val="footnote text"/>
    <w:basedOn w:val="Normal"/>
    <w:link w:val="FootnoteTextChar"/>
    <w:uiPriority w:val="99"/>
    <w:unhideWhenUsed/>
    <w:rsid w:val="006F57D6"/>
    <w:rPr>
      <w:szCs w:val="24"/>
    </w:rPr>
  </w:style>
  <w:style w:type="character" w:customStyle="1" w:styleId="FootnoteTextChar">
    <w:name w:val="Footnote Text Char"/>
    <w:basedOn w:val="DefaultParagraphFont"/>
    <w:link w:val="FootnoteText"/>
    <w:uiPriority w:val="99"/>
    <w:rsid w:val="006F57D6"/>
    <w:rPr>
      <w:sz w:val="24"/>
      <w:szCs w:val="24"/>
    </w:rPr>
  </w:style>
  <w:style w:type="character" w:styleId="FootnoteReference">
    <w:name w:val="footnote reference"/>
    <w:basedOn w:val="DefaultParagraphFont"/>
    <w:uiPriority w:val="99"/>
    <w:unhideWhenUsed/>
    <w:rsid w:val="006F57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60D4B"/>
    <w:pPr>
      <w:keepLines/>
      <w:suppressAutoHyphens/>
      <w:spacing w:before="160" w:after="40" w:line="240" w:lineRule="exact"/>
    </w:pPr>
    <w:rPr>
      <w:rFonts w:ascii="Arial" w:eastAsia="Times New Roman" w:hAnsi="Arial" w:cs="Arial"/>
      <w:b/>
      <w:sz w:val="20"/>
    </w:rPr>
  </w:style>
  <w:style w:type="paragraph" w:styleId="TOC2">
    <w:name w:val="toc 2"/>
    <w:basedOn w:val="TOC1"/>
    <w:next w:val="Normal"/>
    <w:autoRedefine/>
    <w:semiHidden/>
    <w:rsid w:val="00E60D4B"/>
    <w:pPr>
      <w:spacing w:before="40" w:line="220" w:lineRule="exact"/>
      <w:ind w:left="567"/>
    </w:pPr>
    <w:rPr>
      <w:b w:val="0"/>
      <w:sz w:val="18"/>
    </w:rPr>
  </w:style>
  <w:style w:type="paragraph" w:styleId="Header">
    <w:name w:val="header"/>
    <w:basedOn w:val="Normal"/>
    <w:link w:val="HeaderChar"/>
    <w:semiHidden/>
    <w:rsid w:val="00E60D4B"/>
    <w:pPr>
      <w:tabs>
        <w:tab w:val="center" w:pos="4320"/>
        <w:tab w:val="right" w:pos="8640"/>
      </w:tabs>
    </w:pPr>
  </w:style>
  <w:style w:type="character" w:customStyle="1" w:styleId="HeaderChar">
    <w:name w:val="Header Char"/>
    <w:basedOn w:val="DefaultParagraphFont"/>
    <w:link w:val="Header"/>
    <w:semiHidden/>
    <w:rsid w:val="00E60D4B"/>
    <w:rPr>
      <w:rFonts w:ascii="Times" w:eastAsia="Times" w:hAnsi="Times" w:cs="Times New Roman"/>
      <w:sz w:val="24"/>
      <w:szCs w:val="20"/>
    </w:rPr>
  </w:style>
  <w:style w:type="paragraph" w:styleId="Footer">
    <w:name w:val="footer"/>
    <w:basedOn w:val="Normal"/>
    <w:link w:val="FooterChar"/>
    <w:uiPriority w:val="99"/>
    <w:rsid w:val="00E60D4B"/>
    <w:pPr>
      <w:tabs>
        <w:tab w:val="center" w:pos="4320"/>
        <w:tab w:val="right" w:pos="8640"/>
      </w:tabs>
    </w:pPr>
  </w:style>
  <w:style w:type="character" w:customStyle="1" w:styleId="FooterChar">
    <w:name w:val="Footer Char"/>
    <w:basedOn w:val="DefaultParagraphFont"/>
    <w:link w:val="Footer"/>
    <w:uiPriority w:val="99"/>
    <w:rsid w:val="00E60D4B"/>
    <w:rPr>
      <w:rFonts w:ascii="Times" w:eastAsia="Times" w:hAnsi="Times" w:cs="Times New Roman"/>
      <w:sz w:val="24"/>
      <w:szCs w:val="20"/>
    </w:rPr>
  </w:style>
  <w:style w:type="table" w:styleId="TableGrid">
    <w:name w:val="Table Grid"/>
    <w:basedOn w:val="TableNormal"/>
    <w:uiPriority w:val="59"/>
    <w:rsid w:val="00E60D4B"/>
    <w:rPr>
      <w:lang w:eastAsia="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ead">
    <w:name w:val="*chead"/>
    <w:basedOn w:val="bhead"/>
    <w:qFormat/>
    <w:rsid w:val="00E56C28"/>
    <w:pPr>
      <w:spacing w:before="220" w:line="240" w:lineRule="exact"/>
    </w:pPr>
    <w:rPr>
      <w:sz w:val="21"/>
      <w:szCs w:val="24"/>
    </w:rPr>
  </w:style>
  <w:style w:type="paragraph" w:customStyle="1" w:styleId="ahead">
    <w:name w:val="*ahead"/>
    <w:qFormat/>
    <w:rsid w:val="00EC25EA"/>
    <w:pPr>
      <w:keepNext/>
      <w:keepLines/>
      <w:pBdr>
        <w:bottom w:val="single" w:sz="4" w:space="1" w:color="auto"/>
      </w:pBdr>
      <w:suppressAutoHyphens/>
      <w:spacing w:before="400" w:after="20" w:line="320" w:lineRule="exact"/>
    </w:pPr>
    <w:rPr>
      <w:rFonts w:ascii="Calibri" w:eastAsia="Times New Roman" w:hAnsi="Calibri"/>
      <w:b/>
      <w:color w:val="005581"/>
      <w:sz w:val="28"/>
    </w:rPr>
  </w:style>
  <w:style w:type="paragraph" w:customStyle="1" w:styleId="bhead">
    <w:name w:val="*bhead"/>
    <w:basedOn w:val="ahead"/>
    <w:qFormat/>
    <w:rsid w:val="00E56C28"/>
    <w:pPr>
      <w:pBdr>
        <w:bottom w:val="none" w:sz="0" w:space="0" w:color="auto"/>
      </w:pBdr>
      <w:spacing w:before="280" w:after="0" w:line="280" w:lineRule="exact"/>
    </w:pPr>
    <w:rPr>
      <w:sz w:val="24"/>
    </w:rPr>
  </w:style>
  <w:style w:type="paragraph" w:customStyle="1" w:styleId="text">
    <w:name w:val="*text"/>
    <w:qFormat/>
    <w:rsid w:val="002B7B80"/>
    <w:pPr>
      <w:tabs>
        <w:tab w:val="left" w:pos="357"/>
        <w:tab w:val="left" w:pos="720"/>
      </w:tabs>
      <w:suppressAutoHyphens/>
      <w:spacing w:before="100" w:after="100" w:line="280" w:lineRule="exact"/>
    </w:pPr>
    <w:rPr>
      <w:rFonts w:ascii="Calibri" w:eastAsia="Times New Roman" w:hAnsi="Calibri"/>
      <w:kern w:val="20"/>
      <w:sz w:val="22"/>
    </w:rPr>
  </w:style>
  <w:style w:type="paragraph" w:customStyle="1" w:styleId="dotpoint">
    <w:name w:val="*dotpoint"/>
    <w:basedOn w:val="text"/>
    <w:qFormat/>
    <w:rsid w:val="004E10E1"/>
    <w:pPr>
      <w:numPr>
        <w:numId w:val="23"/>
      </w:numPr>
      <w:spacing w:before="60" w:after="60"/>
    </w:pPr>
  </w:style>
  <w:style w:type="paragraph" w:customStyle="1" w:styleId="dotpointextra">
    <w:name w:val="*dotpointextra"/>
    <w:basedOn w:val="dotpoint"/>
    <w:rsid w:val="002B7B80"/>
    <w:pPr>
      <w:numPr>
        <w:numId w:val="21"/>
      </w:numPr>
    </w:pPr>
  </w:style>
  <w:style w:type="paragraph" w:customStyle="1" w:styleId="table">
    <w:name w:val="*table"/>
    <w:qFormat/>
    <w:rsid w:val="002B7B80"/>
    <w:pPr>
      <w:keepLines/>
      <w:spacing w:before="40" w:after="40" w:line="220" w:lineRule="exact"/>
    </w:pPr>
    <w:rPr>
      <w:rFonts w:ascii="Calibri" w:eastAsia="Times New Roman" w:hAnsi="Calibri" w:cs="Arial"/>
    </w:rPr>
  </w:style>
  <w:style w:type="paragraph" w:customStyle="1" w:styleId="tablehead">
    <w:name w:val="*tablehead"/>
    <w:basedOn w:val="chead"/>
    <w:qFormat/>
    <w:rsid w:val="00E56C28"/>
    <w:pPr>
      <w:spacing w:after="80"/>
    </w:pPr>
  </w:style>
  <w:style w:type="paragraph" w:customStyle="1" w:styleId="tabledot">
    <w:name w:val="*tabledot"/>
    <w:basedOn w:val="table"/>
    <w:qFormat/>
    <w:rsid w:val="00E56C28"/>
    <w:pPr>
      <w:numPr>
        <w:numId w:val="28"/>
      </w:numPr>
      <w:spacing w:before="20" w:after="20"/>
    </w:pPr>
  </w:style>
  <w:style w:type="paragraph" w:customStyle="1" w:styleId="title">
    <w:name w:val="*title"/>
    <w:rsid w:val="00EC25EA"/>
    <w:pPr>
      <w:keepLines/>
      <w:widowControl w:val="0"/>
      <w:spacing w:after="120" w:line="520" w:lineRule="exact"/>
    </w:pPr>
    <w:rPr>
      <w:rFonts w:ascii="Calibri" w:hAnsi="Calibri"/>
      <w:color w:val="005581"/>
      <w:sz w:val="48"/>
    </w:rPr>
  </w:style>
  <w:style w:type="paragraph" w:customStyle="1" w:styleId="dhead">
    <w:name w:val="*dhead"/>
    <w:basedOn w:val="chead"/>
    <w:rsid w:val="00E60D4B"/>
    <w:pPr>
      <w:spacing w:before="200"/>
    </w:pPr>
    <w:rPr>
      <w:b w:val="0"/>
      <w:i/>
    </w:rPr>
  </w:style>
  <w:style w:type="paragraph" w:customStyle="1" w:styleId="footer0">
    <w:name w:val="*footer"/>
    <w:qFormat/>
    <w:rsid w:val="007E3195"/>
    <w:pPr>
      <w:widowControl w:val="0"/>
      <w:tabs>
        <w:tab w:val="right" w:pos="9072"/>
      </w:tabs>
      <w:spacing w:before="40" w:after="40" w:line="200" w:lineRule="exact"/>
    </w:pPr>
    <w:rPr>
      <w:rFonts w:ascii="Calibri" w:eastAsia="Times New Roman" w:hAnsi="Calibri"/>
      <w:color w:val="7F7F7F"/>
      <w:sz w:val="18"/>
    </w:rPr>
  </w:style>
  <w:style w:type="paragraph" w:customStyle="1" w:styleId="tableheaderrow">
    <w:name w:val="*tableheaderrow"/>
    <w:basedOn w:val="table"/>
    <w:rsid w:val="00E56C28"/>
    <w:pPr>
      <w:suppressAutoHyphens/>
      <w:spacing w:line="200" w:lineRule="exact"/>
    </w:pPr>
    <w:rPr>
      <w:rFonts w:asciiTheme="minorHAnsi" w:hAnsiTheme="minorHAnsi"/>
      <w:b/>
      <w:sz w:val="18"/>
    </w:rPr>
  </w:style>
  <w:style w:type="paragraph" w:customStyle="1" w:styleId="dotpointnumbers">
    <w:name w:val="*dotpointnumbers"/>
    <w:basedOn w:val="text"/>
    <w:qFormat/>
    <w:rsid w:val="00E56C28"/>
    <w:pPr>
      <w:numPr>
        <w:numId w:val="25"/>
      </w:numPr>
      <w:spacing w:before="60" w:after="60"/>
    </w:pPr>
  </w:style>
  <w:style w:type="paragraph" w:customStyle="1" w:styleId="textnospacing">
    <w:name w:val="*text no spacing"/>
    <w:basedOn w:val="text"/>
    <w:qFormat/>
    <w:rsid w:val="00A36031"/>
    <w:pPr>
      <w:spacing w:before="0" w:after="0"/>
    </w:pPr>
  </w:style>
  <w:style w:type="paragraph" w:styleId="Title0">
    <w:name w:val="Title"/>
    <w:basedOn w:val="Normal"/>
    <w:next w:val="Normal"/>
    <w:link w:val="TitleChar"/>
    <w:uiPriority w:val="10"/>
    <w:qFormat/>
    <w:rsid w:val="009939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uiPriority w:val="10"/>
    <w:rsid w:val="0099394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9394D"/>
    <w:rPr>
      <w:rFonts w:ascii="Tahoma" w:hAnsi="Tahoma" w:cs="Tahoma"/>
      <w:sz w:val="16"/>
      <w:szCs w:val="16"/>
    </w:rPr>
  </w:style>
  <w:style w:type="character" w:customStyle="1" w:styleId="BalloonTextChar">
    <w:name w:val="Balloon Text Char"/>
    <w:basedOn w:val="DefaultParagraphFont"/>
    <w:link w:val="BalloonText"/>
    <w:uiPriority w:val="99"/>
    <w:semiHidden/>
    <w:rsid w:val="0099394D"/>
    <w:rPr>
      <w:rFonts w:ascii="Tahoma" w:hAnsi="Tahoma" w:cs="Tahoma"/>
      <w:sz w:val="16"/>
      <w:szCs w:val="16"/>
    </w:rPr>
  </w:style>
  <w:style w:type="paragraph" w:styleId="ListParagraph">
    <w:name w:val="List Paragraph"/>
    <w:basedOn w:val="Normal"/>
    <w:uiPriority w:val="34"/>
    <w:qFormat/>
    <w:rsid w:val="003523CA"/>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06F6D"/>
    <w:rPr>
      <w:sz w:val="16"/>
      <w:szCs w:val="16"/>
    </w:rPr>
  </w:style>
  <w:style w:type="paragraph" w:styleId="CommentText">
    <w:name w:val="annotation text"/>
    <w:basedOn w:val="Normal"/>
    <w:link w:val="CommentTextChar"/>
    <w:uiPriority w:val="99"/>
    <w:semiHidden/>
    <w:unhideWhenUsed/>
    <w:rsid w:val="00106F6D"/>
    <w:rPr>
      <w:sz w:val="20"/>
    </w:rPr>
  </w:style>
  <w:style w:type="character" w:customStyle="1" w:styleId="CommentTextChar">
    <w:name w:val="Comment Text Char"/>
    <w:basedOn w:val="DefaultParagraphFont"/>
    <w:link w:val="CommentText"/>
    <w:uiPriority w:val="99"/>
    <w:semiHidden/>
    <w:rsid w:val="00106F6D"/>
  </w:style>
  <w:style w:type="paragraph" w:styleId="CommentSubject">
    <w:name w:val="annotation subject"/>
    <w:basedOn w:val="CommentText"/>
    <w:next w:val="CommentText"/>
    <w:link w:val="CommentSubjectChar"/>
    <w:uiPriority w:val="99"/>
    <w:semiHidden/>
    <w:unhideWhenUsed/>
    <w:rsid w:val="00106F6D"/>
    <w:rPr>
      <w:b/>
      <w:bCs/>
    </w:rPr>
  </w:style>
  <w:style w:type="character" w:customStyle="1" w:styleId="CommentSubjectChar">
    <w:name w:val="Comment Subject Char"/>
    <w:basedOn w:val="CommentTextChar"/>
    <w:link w:val="CommentSubject"/>
    <w:uiPriority w:val="99"/>
    <w:semiHidden/>
    <w:rsid w:val="00106F6D"/>
    <w:rPr>
      <w:b/>
      <w:bCs/>
    </w:rPr>
  </w:style>
  <w:style w:type="paragraph" w:styleId="FootnoteText">
    <w:name w:val="footnote text"/>
    <w:basedOn w:val="Normal"/>
    <w:link w:val="FootnoteTextChar"/>
    <w:uiPriority w:val="99"/>
    <w:unhideWhenUsed/>
    <w:rsid w:val="006F57D6"/>
    <w:rPr>
      <w:szCs w:val="24"/>
    </w:rPr>
  </w:style>
  <w:style w:type="character" w:customStyle="1" w:styleId="FootnoteTextChar">
    <w:name w:val="Footnote Text Char"/>
    <w:basedOn w:val="DefaultParagraphFont"/>
    <w:link w:val="FootnoteText"/>
    <w:uiPriority w:val="99"/>
    <w:rsid w:val="006F57D6"/>
    <w:rPr>
      <w:sz w:val="24"/>
      <w:szCs w:val="24"/>
    </w:rPr>
  </w:style>
  <w:style w:type="character" w:styleId="FootnoteReference">
    <w:name w:val="footnote reference"/>
    <w:basedOn w:val="DefaultParagraphFont"/>
    <w:uiPriority w:val="99"/>
    <w:unhideWhenUsed/>
    <w:rsid w:val="006F57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1106</Words>
  <Characters>6675</Characters>
  <Application>Microsoft Office Word</Application>
  <DocSecurity>0</DocSecurity>
  <Lines>128</Lines>
  <Paragraphs>39</Paragraphs>
  <ScaleCrop>false</ScaleCrop>
  <HeadingPairs>
    <vt:vector size="2" baseType="variant">
      <vt:variant>
        <vt:lpstr>Title</vt:lpstr>
      </vt:variant>
      <vt:variant>
        <vt:i4>1</vt:i4>
      </vt:variant>
    </vt:vector>
  </HeadingPairs>
  <TitlesOfParts>
    <vt:vector size="1" baseType="lpstr">
      <vt:lpstr>Submission 8 - ACPET - Services Exports - Commissioned study</vt:lpstr>
    </vt:vector>
  </TitlesOfParts>
  <Company>ACPET</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ACPET - Services Exports - Commissioned study</dc:title>
  <dc:creator>ACPET</dc:creator>
  <cp:lastModifiedBy>Mark Pimperl</cp:lastModifiedBy>
  <cp:revision>4</cp:revision>
  <cp:lastPrinted>2015-05-15T00:25:00Z</cp:lastPrinted>
  <dcterms:created xsi:type="dcterms:W3CDTF">2015-05-18T01:28:00Z</dcterms:created>
  <dcterms:modified xsi:type="dcterms:W3CDTF">2015-05-18T05:54:00Z</dcterms:modified>
</cp:coreProperties>
</file>