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6B97D" w14:textId="77777777" w:rsidR="00BD3D30" w:rsidRPr="00BD3D30" w:rsidRDefault="00893FC2" w:rsidP="00BD3D30">
      <w:pPr>
        <w:shd w:val="clear" w:color="auto" w:fill="FFFFFF"/>
        <w:spacing w:after="0" w:line="240" w:lineRule="auto"/>
        <w:jc w:val="center"/>
        <w:rPr>
          <w:rFonts w:ascii="Arial" w:eastAsia="Times New Roman" w:hAnsi="Arial" w:cs="Arial"/>
          <w:b/>
          <w:bCs/>
          <w:sz w:val="28"/>
          <w:szCs w:val="28"/>
          <w:lang w:eastAsia="en-GB"/>
        </w:rPr>
      </w:pPr>
      <w:bookmarkStart w:id="0" w:name="_GoBack"/>
      <w:bookmarkEnd w:id="0"/>
      <w:r w:rsidRPr="00BD3D30">
        <w:rPr>
          <w:rFonts w:ascii="Arial" w:eastAsia="Times New Roman" w:hAnsi="Arial" w:cs="Arial"/>
          <w:b/>
          <w:bCs/>
          <w:sz w:val="28"/>
          <w:szCs w:val="28"/>
          <w:lang w:eastAsia="en-GB"/>
        </w:rPr>
        <w:t>SUBMISSION TO THE PRODUCTIVITY COMMISSION: MIGRANT INTAKE INTO AUSTRALIA</w:t>
      </w:r>
    </w:p>
    <w:p w14:paraId="19A6DCE9" w14:textId="77777777" w:rsidR="00747A81" w:rsidRDefault="00747A81" w:rsidP="00BD3D30">
      <w:pPr>
        <w:shd w:val="clear" w:color="auto" w:fill="FFFFFF"/>
        <w:spacing w:after="0" w:line="240" w:lineRule="auto"/>
        <w:jc w:val="center"/>
        <w:rPr>
          <w:rFonts w:ascii="Arial" w:eastAsia="Times New Roman" w:hAnsi="Arial" w:cs="Arial"/>
          <w:b/>
          <w:bCs/>
          <w:sz w:val="28"/>
          <w:szCs w:val="28"/>
          <w:lang w:eastAsia="en-GB"/>
        </w:rPr>
      </w:pPr>
    </w:p>
    <w:p w14:paraId="31758AB9" w14:textId="77777777" w:rsidR="00BD3D30" w:rsidRDefault="00893FC2" w:rsidP="00BD3D30">
      <w:pPr>
        <w:shd w:val="clear" w:color="auto" w:fill="FFFFFF"/>
        <w:spacing w:after="0" w:line="240" w:lineRule="auto"/>
        <w:jc w:val="center"/>
        <w:rPr>
          <w:rFonts w:ascii="Arial" w:eastAsia="Times New Roman" w:hAnsi="Arial" w:cs="Arial"/>
          <w:b/>
          <w:bCs/>
          <w:sz w:val="28"/>
          <w:szCs w:val="28"/>
          <w:lang w:eastAsia="en-GB"/>
        </w:rPr>
      </w:pPr>
      <w:r w:rsidRPr="00BD3D30">
        <w:rPr>
          <w:rFonts w:ascii="Arial" w:eastAsia="Times New Roman" w:hAnsi="Arial" w:cs="Arial"/>
          <w:b/>
          <w:bCs/>
          <w:sz w:val="28"/>
          <w:szCs w:val="28"/>
          <w:lang w:eastAsia="en-GB"/>
        </w:rPr>
        <w:t>BY</w:t>
      </w:r>
    </w:p>
    <w:p w14:paraId="055797E7" w14:textId="77777777" w:rsidR="00747A81" w:rsidRPr="00BD3D30" w:rsidRDefault="00747A81" w:rsidP="00BD3D30">
      <w:pPr>
        <w:shd w:val="clear" w:color="auto" w:fill="FFFFFF"/>
        <w:spacing w:after="0" w:line="240" w:lineRule="auto"/>
        <w:jc w:val="center"/>
        <w:rPr>
          <w:rFonts w:ascii="Arial" w:eastAsia="Times New Roman" w:hAnsi="Arial" w:cs="Arial"/>
          <w:b/>
          <w:bCs/>
          <w:sz w:val="28"/>
          <w:szCs w:val="28"/>
          <w:lang w:eastAsia="en-GB"/>
        </w:rPr>
      </w:pPr>
    </w:p>
    <w:p w14:paraId="0C6B3158" w14:textId="77777777" w:rsidR="00893FC2" w:rsidRPr="00BD3D30" w:rsidRDefault="00893FC2" w:rsidP="00BD3D30">
      <w:pPr>
        <w:shd w:val="clear" w:color="auto" w:fill="FFFFFF"/>
        <w:spacing w:after="0" w:line="240" w:lineRule="auto"/>
        <w:jc w:val="center"/>
        <w:rPr>
          <w:rFonts w:ascii="Arial" w:eastAsia="Times New Roman" w:hAnsi="Arial" w:cs="Arial"/>
          <w:b/>
          <w:bCs/>
          <w:sz w:val="28"/>
          <w:szCs w:val="28"/>
          <w:lang w:eastAsia="en-GB"/>
        </w:rPr>
      </w:pPr>
      <w:r w:rsidRPr="00BD3D30">
        <w:rPr>
          <w:rFonts w:ascii="Arial" w:eastAsia="Times New Roman" w:hAnsi="Arial" w:cs="Arial"/>
          <w:b/>
          <w:bCs/>
          <w:sz w:val="28"/>
          <w:szCs w:val="28"/>
          <w:lang w:eastAsia="en-GB"/>
        </w:rPr>
        <w:t xml:space="preserve">SUSTAINABLE </w:t>
      </w:r>
      <w:r w:rsidR="00E63B38" w:rsidRPr="00BD3D30">
        <w:rPr>
          <w:rFonts w:ascii="Arial" w:eastAsia="Times New Roman" w:hAnsi="Arial" w:cs="Arial"/>
          <w:b/>
          <w:bCs/>
          <w:sz w:val="28"/>
          <w:szCs w:val="28"/>
          <w:lang w:eastAsia="en-GB"/>
        </w:rPr>
        <w:t>POPULATION AUSTRALIA</w:t>
      </w:r>
    </w:p>
    <w:p w14:paraId="0750A7D5" w14:textId="77777777" w:rsidR="00BD3D30" w:rsidRDefault="00BD3D30" w:rsidP="00BD3D30">
      <w:pPr>
        <w:shd w:val="clear" w:color="auto" w:fill="FFFFFF"/>
        <w:spacing w:after="0" w:line="240" w:lineRule="auto"/>
        <w:rPr>
          <w:rFonts w:ascii="Arial" w:eastAsia="Times New Roman" w:hAnsi="Arial" w:cs="Arial"/>
          <w:b/>
          <w:bCs/>
          <w:sz w:val="21"/>
          <w:szCs w:val="21"/>
          <w:lang w:eastAsia="en-GB"/>
        </w:rPr>
      </w:pPr>
    </w:p>
    <w:p w14:paraId="3C4345F5" w14:textId="77777777" w:rsidR="00747A81" w:rsidRDefault="00747A81" w:rsidP="00BD3D30">
      <w:pPr>
        <w:shd w:val="clear" w:color="auto" w:fill="FFFFFF"/>
        <w:spacing w:after="0" w:line="240" w:lineRule="auto"/>
        <w:rPr>
          <w:rFonts w:ascii="Arial" w:eastAsia="Times New Roman" w:hAnsi="Arial" w:cs="Arial"/>
          <w:b/>
          <w:bCs/>
          <w:sz w:val="21"/>
          <w:szCs w:val="21"/>
          <w:lang w:eastAsia="en-GB"/>
        </w:rPr>
      </w:pPr>
    </w:p>
    <w:p w14:paraId="7BDFAEF4" w14:textId="77777777" w:rsidR="00E63B38" w:rsidRPr="00594A02" w:rsidRDefault="00E63B38" w:rsidP="00B52EC2">
      <w:pPr>
        <w:pStyle w:val="ListParagraph"/>
        <w:numPr>
          <w:ilvl w:val="0"/>
          <w:numId w:val="6"/>
        </w:numPr>
        <w:shd w:val="clear" w:color="auto" w:fill="FFFFFF"/>
        <w:spacing w:after="0" w:line="240" w:lineRule="auto"/>
        <w:rPr>
          <w:rFonts w:ascii="Arial" w:eastAsia="Times New Roman" w:hAnsi="Arial" w:cs="Arial"/>
          <w:b/>
          <w:bCs/>
          <w:u w:val="single"/>
          <w:lang w:eastAsia="en-GB"/>
        </w:rPr>
      </w:pPr>
      <w:r w:rsidRPr="00594A02">
        <w:rPr>
          <w:rFonts w:ascii="Arial" w:eastAsia="Times New Roman" w:hAnsi="Arial" w:cs="Arial"/>
          <w:b/>
          <w:bCs/>
          <w:u w:val="single"/>
          <w:lang w:eastAsia="en-GB"/>
        </w:rPr>
        <w:t>OVERVIEW</w:t>
      </w:r>
      <w:r w:rsidR="00747A81" w:rsidRPr="00594A02">
        <w:rPr>
          <w:rFonts w:ascii="Arial" w:eastAsia="Times New Roman" w:hAnsi="Arial" w:cs="Arial"/>
          <w:b/>
          <w:bCs/>
          <w:u w:val="single"/>
          <w:lang w:eastAsia="en-GB"/>
        </w:rPr>
        <w:t xml:space="preserve"> OF SUBMISSION</w:t>
      </w:r>
    </w:p>
    <w:p w14:paraId="4F47B682" w14:textId="77777777" w:rsidR="005A7391" w:rsidRPr="00FE1B0B" w:rsidRDefault="00E63B38" w:rsidP="006E68FF">
      <w:pPr>
        <w:shd w:val="clear" w:color="auto" w:fill="FFFFFF"/>
        <w:spacing w:after="288" w:line="240" w:lineRule="auto"/>
        <w:jc w:val="both"/>
        <w:rPr>
          <w:rFonts w:ascii="Arial" w:eastAsia="Times New Roman" w:hAnsi="Arial" w:cs="Arial"/>
          <w:bCs/>
          <w:lang w:eastAsia="en-GB"/>
        </w:rPr>
      </w:pPr>
      <w:r w:rsidRPr="00FE1B0B">
        <w:rPr>
          <w:rFonts w:ascii="Arial" w:eastAsia="Times New Roman" w:hAnsi="Arial" w:cs="Arial"/>
          <w:bCs/>
          <w:lang w:eastAsia="en-GB"/>
        </w:rPr>
        <w:t xml:space="preserve">Sustainable Population Australia (SPA) welcomes the Productivity Commission’s </w:t>
      </w:r>
      <w:r w:rsidR="006E68FF">
        <w:rPr>
          <w:rFonts w:ascii="Arial" w:eastAsia="Times New Roman" w:hAnsi="Arial" w:cs="Arial"/>
          <w:bCs/>
          <w:lang w:eastAsia="en-GB"/>
        </w:rPr>
        <w:t xml:space="preserve">(the “Commission”) </w:t>
      </w:r>
      <w:r w:rsidRPr="00FE1B0B">
        <w:rPr>
          <w:rFonts w:ascii="Arial" w:eastAsia="Times New Roman" w:hAnsi="Arial" w:cs="Arial"/>
          <w:bCs/>
          <w:lang w:eastAsia="en-GB"/>
        </w:rPr>
        <w:t xml:space="preserve">inquiry regarding the Migrant Intake into </w:t>
      </w:r>
      <w:r w:rsidR="005A7391" w:rsidRPr="00FE1B0B">
        <w:rPr>
          <w:rFonts w:ascii="Arial" w:eastAsia="Times New Roman" w:hAnsi="Arial" w:cs="Arial"/>
          <w:bCs/>
          <w:lang w:eastAsia="en-GB"/>
        </w:rPr>
        <w:t xml:space="preserve">Australia and its </w:t>
      </w:r>
      <w:r w:rsidR="00747A81">
        <w:rPr>
          <w:rFonts w:ascii="Arial" w:eastAsia="Times New Roman" w:hAnsi="Arial" w:cs="Arial"/>
          <w:bCs/>
          <w:lang w:eastAsia="en-GB"/>
        </w:rPr>
        <w:t xml:space="preserve">related </w:t>
      </w:r>
      <w:r w:rsidR="005A7391" w:rsidRPr="00FE1B0B">
        <w:rPr>
          <w:rFonts w:ascii="Arial" w:eastAsia="Times New Roman" w:hAnsi="Arial" w:cs="Arial"/>
          <w:bCs/>
          <w:lang w:eastAsia="en-GB"/>
        </w:rPr>
        <w:t>call for submissions from interested parties.</w:t>
      </w:r>
      <w:r w:rsidR="002E0BD0" w:rsidRPr="00FE1B0B">
        <w:rPr>
          <w:rStyle w:val="FootnoteReference"/>
          <w:rFonts w:ascii="Arial" w:eastAsia="Times New Roman" w:hAnsi="Arial" w:cs="Arial"/>
          <w:bCs/>
          <w:lang w:eastAsia="en-GB"/>
        </w:rPr>
        <w:footnoteReference w:id="1"/>
      </w:r>
    </w:p>
    <w:p w14:paraId="0D317A69" w14:textId="77777777" w:rsidR="00E63B38" w:rsidRDefault="00747A81" w:rsidP="00FC0F08">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In preparing its submission, </w:t>
      </w:r>
      <w:r w:rsidR="00E63B38" w:rsidRPr="00FE1B0B">
        <w:rPr>
          <w:rFonts w:ascii="Arial" w:eastAsia="Times New Roman" w:hAnsi="Arial" w:cs="Arial"/>
          <w:bCs/>
          <w:lang w:eastAsia="en-GB"/>
        </w:rPr>
        <w:t xml:space="preserve">SPA has considered the </w:t>
      </w:r>
      <w:r w:rsidR="005A7391" w:rsidRPr="00FE1B0B">
        <w:rPr>
          <w:rFonts w:ascii="Arial" w:eastAsia="Times New Roman" w:hAnsi="Arial" w:cs="Arial"/>
          <w:bCs/>
          <w:lang w:eastAsia="en-GB"/>
        </w:rPr>
        <w:t xml:space="preserve">Terms of Reference for the inquiry and the related </w:t>
      </w:r>
      <w:r w:rsidR="00E63B38" w:rsidRPr="00FE1B0B">
        <w:rPr>
          <w:rFonts w:ascii="Arial" w:eastAsia="Times New Roman" w:hAnsi="Arial" w:cs="Arial"/>
          <w:bCs/>
          <w:lang w:eastAsia="en-GB"/>
        </w:rPr>
        <w:t>Issues Paper dev</w:t>
      </w:r>
      <w:r w:rsidR="005A7391" w:rsidRPr="00FE1B0B">
        <w:rPr>
          <w:rFonts w:ascii="Arial" w:eastAsia="Times New Roman" w:hAnsi="Arial" w:cs="Arial"/>
          <w:bCs/>
          <w:lang w:eastAsia="en-GB"/>
        </w:rPr>
        <w:t>eloped by the Commission</w:t>
      </w:r>
      <w:r w:rsidR="00E63B38" w:rsidRPr="00FE1B0B">
        <w:rPr>
          <w:rFonts w:ascii="Arial" w:eastAsia="Times New Roman" w:hAnsi="Arial" w:cs="Arial"/>
          <w:bCs/>
          <w:lang w:eastAsia="en-GB"/>
        </w:rPr>
        <w:t>.</w:t>
      </w:r>
      <w:r w:rsidR="005A7391" w:rsidRPr="00FE1B0B">
        <w:rPr>
          <w:rFonts w:ascii="Arial" w:eastAsia="Times New Roman" w:hAnsi="Arial" w:cs="Arial"/>
          <w:bCs/>
          <w:lang w:eastAsia="en-GB"/>
        </w:rPr>
        <w:t xml:space="preserve">  </w:t>
      </w:r>
      <w:r w:rsidR="00EA4623" w:rsidRPr="00FE1B0B">
        <w:rPr>
          <w:rFonts w:ascii="Arial" w:eastAsia="Times New Roman" w:hAnsi="Arial" w:cs="Arial"/>
          <w:bCs/>
          <w:lang w:eastAsia="en-GB"/>
        </w:rPr>
        <w:t xml:space="preserve">In particular, </w:t>
      </w:r>
      <w:r w:rsidR="005A7391" w:rsidRPr="00FE1B0B">
        <w:rPr>
          <w:rFonts w:ascii="Arial" w:eastAsia="Times New Roman" w:hAnsi="Arial" w:cs="Arial"/>
          <w:bCs/>
          <w:lang w:eastAsia="en-GB"/>
        </w:rPr>
        <w:t xml:space="preserve">SPA notes </w:t>
      </w:r>
      <w:r w:rsidR="002E0BD0" w:rsidRPr="00FE1B0B">
        <w:rPr>
          <w:rFonts w:ascii="Arial" w:eastAsia="Times New Roman" w:hAnsi="Arial" w:cs="Arial"/>
          <w:bCs/>
          <w:lang w:eastAsia="en-GB"/>
        </w:rPr>
        <w:t>that section 1(b) of the T</w:t>
      </w:r>
      <w:r w:rsidR="00EA4623" w:rsidRPr="00FE1B0B">
        <w:rPr>
          <w:rFonts w:ascii="Arial" w:eastAsia="Times New Roman" w:hAnsi="Arial" w:cs="Arial"/>
          <w:bCs/>
          <w:lang w:eastAsia="en-GB"/>
        </w:rPr>
        <w:t>erms of Refer</w:t>
      </w:r>
      <w:r w:rsidR="002E0BD0" w:rsidRPr="00FE1B0B">
        <w:rPr>
          <w:rFonts w:ascii="Arial" w:eastAsia="Times New Roman" w:hAnsi="Arial" w:cs="Arial"/>
          <w:bCs/>
          <w:lang w:eastAsia="en-GB"/>
        </w:rPr>
        <w:t>en</w:t>
      </w:r>
      <w:r w:rsidR="00EA4623" w:rsidRPr="00FE1B0B">
        <w:rPr>
          <w:rFonts w:ascii="Arial" w:eastAsia="Times New Roman" w:hAnsi="Arial" w:cs="Arial"/>
          <w:bCs/>
          <w:lang w:eastAsia="en-GB"/>
        </w:rPr>
        <w:t>ce relat</w:t>
      </w:r>
      <w:r w:rsidR="00E31FCF" w:rsidRPr="00FE1B0B">
        <w:rPr>
          <w:rFonts w:ascii="Arial" w:eastAsia="Times New Roman" w:hAnsi="Arial" w:cs="Arial"/>
          <w:bCs/>
          <w:lang w:eastAsia="en-GB"/>
        </w:rPr>
        <w:t>es to the following considerations</w:t>
      </w:r>
      <w:r w:rsidR="00EA4623" w:rsidRPr="00FE1B0B">
        <w:rPr>
          <w:rFonts w:ascii="Arial" w:eastAsia="Times New Roman" w:hAnsi="Arial" w:cs="Arial"/>
          <w:bCs/>
          <w:lang w:eastAsia="en-GB"/>
        </w:rPr>
        <w:t>:</w:t>
      </w:r>
    </w:p>
    <w:p w14:paraId="3E31D82D" w14:textId="77777777" w:rsidR="00FC0F08" w:rsidRPr="00FE1B0B" w:rsidRDefault="00FC0F08" w:rsidP="00FC0F08">
      <w:pPr>
        <w:shd w:val="clear" w:color="auto" w:fill="FFFFFF"/>
        <w:spacing w:after="0" w:line="240" w:lineRule="auto"/>
        <w:jc w:val="both"/>
        <w:rPr>
          <w:rFonts w:ascii="Arial" w:eastAsia="Times New Roman" w:hAnsi="Arial" w:cs="Arial"/>
          <w:bCs/>
          <w:lang w:eastAsia="en-GB"/>
        </w:rPr>
      </w:pPr>
    </w:p>
    <w:p w14:paraId="193EFB82" w14:textId="77777777" w:rsidR="00EA4623" w:rsidRPr="00FE1B0B" w:rsidRDefault="005A7391" w:rsidP="00FC0F08">
      <w:pPr>
        <w:numPr>
          <w:ilvl w:val="0"/>
          <w:numId w:val="3"/>
        </w:numPr>
        <w:shd w:val="clear" w:color="auto" w:fill="FFFFFF"/>
        <w:spacing w:after="0" w:line="240" w:lineRule="auto"/>
        <w:jc w:val="both"/>
        <w:rPr>
          <w:rFonts w:ascii="Arial" w:eastAsia="Times New Roman" w:hAnsi="Arial" w:cs="Arial"/>
          <w:i/>
          <w:spacing w:val="7"/>
          <w:lang w:val="en" w:eastAsia="en-GB"/>
        </w:rPr>
      </w:pPr>
      <w:r w:rsidRPr="00FE1B0B">
        <w:rPr>
          <w:rFonts w:ascii="Arial" w:eastAsia="Times New Roman" w:hAnsi="Arial" w:cs="Arial"/>
          <w:i/>
          <w:spacing w:val="7"/>
          <w:lang w:val="en" w:eastAsia="en-GB"/>
        </w:rPr>
        <w:t xml:space="preserve">The benefits and costs that the intake of permanent entrants can generate with respect to: </w:t>
      </w:r>
    </w:p>
    <w:p w14:paraId="204376CE" w14:textId="77777777" w:rsidR="005A7391" w:rsidRPr="00C762B7" w:rsidRDefault="00EA4623" w:rsidP="00FC0F08">
      <w:pPr>
        <w:pStyle w:val="ListParagraph"/>
        <w:numPr>
          <w:ilvl w:val="0"/>
          <w:numId w:val="8"/>
        </w:numPr>
        <w:shd w:val="clear" w:color="auto" w:fill="FFFFFF"/>
        <w:spacing w:after="0" w:line="240" w:lineRule="auto"/>
        <w:jc w:val="both"/>
        <w:rPr>
          <w:rFonts w:ascii="Arial" w:eastAsia="Times New Roman" w:hAnsi="Arial" w:cs="Arial"/>
          <w:i/>
          <w:spacing w:val="7"/>
          <w:lang w:val="en" w:eastAsia="en-GB"/>
        </w:rPr>
      </w:pPr>
      <w:r w:rsidRPr="00C762B7">
        <w:rPr>
          <w:rFonts w:ascii="Arial" w:eastAsia="Times New Roman" w:hAnsi="Arial" w:cs="Arial"/>
          <w:i/>
          <w:spacing w:val="7"/>
          <w:lang w:val="en" w:eastAsia="en-GB"/>
        </w:rPr>
        <w:t>The inc</w:t>
      </w:r>
      <w:r w:rsidR="005A7391" w:rsidRPr="00C762B7">
        <w:rPr>
          <w:rFonts w:ascii="Arial" w:eastAsia="Times New Roman" w:hAnsi="Arial" w:cs="Arial"/>
          <w:i/>
          <w:spacing w:val="7"/>
          <w:lang w:val="en" w:eastAsia="en-GB"/>
        </w:rPr>
        <w:t xml:space="preserve">ome, wealth and living standards of Australian citizens, including with respect to: </w:t>
      </w:r>
    </w:p>
    <w:p w14:paraId="573188BD" w14:textId="77777777" w:rsidR="005A7391" w:rsidRPr="00FE1B0B" w:rsidRDefault="005A7391" w:rsidP="00FC0F08">
      <w:pPr>
        <w:numPr>
          <w:ilvl w:val="2"/>
          <w:numId w:val="4"/>
        </w:numPr>
        <w:shd w:val="clear" w:color="auto" w:fill="FFFFFF"/>
        <w:spacing w:after="0" w:line="240" w:lineRule="auto"/>
        <w:jc w:val="both"/>
        <w:rPr>
          <w:rFonts w:ascii="Arial" w:eastAsia="Times New Roman" w:hAnsi="Arial" w:cs="Arial"/>
          <w:i/>
          <w:spacing w:val="7"/>
          <w:lang w:val="en" w:eastAsia="en-GB"/>
        </w:rPr>
      </w:pPr>
      <w:r w:rsidRPr="00FE1B0B">
        <w:rPr>
          <w:rFonts w:ascii="Arial" w:eastAsia="Times New Roman" w:hAnsi="Arial" w:cs="Arial"/>
          <w:i/>
          <w:spacing w:val="7"/>
          <w:lang w:val="en" w:eastAsia="en-GB"/>
        </w:rPr>
        <w:t>impacts on the salaries and employment of Australian citizens, knowledge and skill transfer, productivity, foreign investment, and linkages to global value chains</w:t>
      </w:r>
    </w:p>
    <w:p w14:paraId="22579494" w14:textId="77777777" w:rsidR="005A7391" w:rsidRPr="00FE1B0B" w:rsidRDefault="005A7391" w:rsidP="00FC0F08">
      <w:pPr>
        <w:numPr>
          <w:ilvl w:val="2"/>
          <w:numId w:val="4"/>
        </w:numPr>
        <w:shd w:val="clear" w:color="auto" w:fill="FFFFFF"/>
        <w:spacing w:after="0" w:line="240" w:lineRule="auto"/>
        <w:jc w:val="both"/>
        <w:rPr>
          <w:rFonts w:ascii="Arial" w:eastAsia="Times New Roman" w:hAnsi="Arial" w:cs="Arial"/>
          <w:i/>
          <w:spacing w:val="7"/>
          <w:lang w:val="en" w:eastAsia="en-GB"/>
        </w:rPr>
      </w:pPr>
      <w:r w:rsidRPr="00FE1B0B">
        <w:rPr>
          <w:rFonts w:ascii="Arial" w:eastAsia="Times New Roman" w:hAnsi="Arial" w:cs="Arial"/>
          <w:i/>
          <w:spacing w:val="7"/>
          <w:lang w:val="en" w:eastAsia="en-GB"/>
        </w:rPr>
        <w:t>cultural, social and demographic impacts</w:t>
      </w:r>
    </w:p>
    <w:p w14:paraId="14EBA40C" w14:textId="77777777" w:rsidR="005A7391" w:rsidRPr="00FE1B0B" w:rsidRDefault="005A7391" w:rsidP="00FC0F08">
      <w:pPr>
        <w:numPr>
          <w:ilvl w:val="2"/>
          <w:numId w:val="4"/>
        </w:numPr>
        <w:shd w:val="clear" w:color="auto" w:fill="FFFFFF"/>
        <w:spacing w:after="0" w:line="240" w:lineRule="auto"/>
        <w:jc w:val="both"/>
        <w:rPr>
          <w:rFonts w:ascii="Arial" w:eastAsia="Times New Roman" w:hAnsi="Arial" w:cs="Arial"/>
          <w:i/>
          <w:spacing w:val="7"/>
          <w:lang w:val="en" w:eastAsia="en-GB"/>
        </w:rPr>
      </w:pPr>
      <w:r w:rsidRPr="00FE1B0B">
        <w:rPr>
          <w:rFonts w:ascii="Arial" w:eastAsia="Times New Roman" w:hAnsi="Arial" w:cs="Arial"/>
          <w:i/>
          <w:spacing w:val="7"/>
          <w:lang w:val="en" w:eastAsia="en-GB"/>
        </w:rPr>
        <w:t>agglomeration, environmental, amenity and congestion effects.</w:t>
      </w:r>
    </w:p>
    <w:p w14:paraId="2F010F44" w14:textId="77777777" w:rsidR="00FC0F08" w:rsidRDefault="00FC0F08" w:rsidP="00FC0F08">
      <w:pPr>
        <w:shd w:val="clear" w:color="auto" w:fill="FFFFFF"/>
        <w:spacing w:after="0" w:line="240" w:lineRule="auto"/>
        <w:jc w:val="both"/>
        <w:rPr>
          <w:rFonts w:ascii="Arial" w:eastAsia="Times New Roman" w:hAnsi="Arial" w:cs="Arial"/>
          <w:bCs/>
          <w:lang w:eastAsia="en-GB"/>
        </w:rPr>
      </w:pPr>
    </w:p>
    <w:p w14:paraId="56B3724D" w14:textId="77777777" w:rsidR="005A7391" w:rsidRDefault="002E0BD0" w:rsidP="00FC0F08">
      <w:pPr>
        <w:shd w:val="clear" w:color="auto" w:fill="FFFFFF"/>
        <w:spacing w:after="0" w:line="240" w:lineRule="auto"/>
        <w:jc w:val="both"/>
        <w:rPr>
          <w:rFonts w:ascii="Arial" w:eastAsia="Times New Roman" w:hAnsi="Arial" w:cs="Arial"/>
          <w:bCs/>
          <w:lang w:eastAsia="en-GB"/>
        </w:rPr>
      </w:pPr>
      <w:proofErr w:type="spellStart"/>
      <w:r w:rsidRPr="00FE1B0B">
        <w:rPr>
          <w:rFonts w:ascii="Arial" w:eastAsia="Times New Roman" w:hAnsi="Arial" w:cs="Arial"/>
          <w:bCs/>
          <w:lang w:eastAsia="en-GB"/>
        </w:rPr>
        <w:t>SPA’s</w:t>
      </w:r>
      <w:proofErr w:type="spellEnd"/>
      <w:r w:rsidRPr="00FE1B0B">
        <w:rPr>
          <w:rFonts w:ascii="Arial" w:eastAsia="Times New Roman" w:hAnsi="Arial" w:cs="Arial"/>
          <w:bCs/>
          <w:lang w:eastAsia="en-GB"/>
        </w:rPr>
        <w:t xml:space="preserve"> submission</w:t>
      </w:r>
      <w:r w:rsidR="00747A81">
        <w:rPr>
          <w:rFonts w:ascii="Arial" w:eastAsia="Times New Roman" w:hAnsi="Arial" w:cs="Arial"/>
          <w:bCs/>
          <w:lang w:eastAsia="en-GB"/>
        </w:rPr>
        <w:t xml:space="preserve"> </w:t>
      </w:r>
      <w:r w:rsidR="00BA1240" w:rsidRPr="00FE1B0B">
        <w:rPr>
          <w:rFonts w:ascii="Arial" w:eastAsia="Times New Roman" w:hAnsi="Arial" w:cs="Arial"/>
          <w:bCs/>
          <w:lang w:eastAsia="en-GB"/>
        </w:rPr>
        <w:t>respond</w:t>
      </w:r>
      <w:r w:rsidR="00747A81">
        <w:rPr>
          <w:rFonts w:ascii="Arial" w:eastAsia="Times New Roman" w:hAnsi="Arial" w:cs="Arial"/>
          <w:bCs/>
          <w:lang w:eastAsia="en-GB"/>
        </w:rPr>
        <w:t>s</w:t>
      </w:r>
      <w:r w:rsidR="00BA1240" w:rsidRPr="00FE1B0B">
        <w:rPr>
          <w:rFonts w:ascii="Arial" w:eastAsia="Times New Roman" w:hAnsi="Arial" w:cs="Arial"/>
          <w:bCs/>
          <w:lang w:eastAsia="en-GB"/>
        </w:rPr>
        <w:t xml:space="preserve"> </w:t>
      </w:r>
      <w:r w:rsidRPr="00FE1B0B">
        <w:rPr>
          <w:rFonts w:ascii="Arial" w:eastAsia="Times New Roman" w:hAnsi="Arial" w:cs="Arial"/>
          <w:bCs/>
          <w:lang w:eastAsia="en-GB"/>
        </w:rPr>
        <w:t>to this aspect of the Terms of Reference and provide</w:t>
      </w:r>
      <w:r w:rsidR="00747A81">
        <w:rPr>
          <w:rFonts w:ascii="Arial" w:eastAsia="Times New Roman" w:hAnsi="Arial" w:cs="Arial"/>
          <w:bCs/>
          <w:lang w:eastAsia="en-GB"/>
        </w:rPr>
        <w:t>s</w:t>
      </w:r>
      <w:r w:rsidRPr="00FE1B0B">
        <w:rPr>
          <w:rFonts w:ascii="Arial" w:eastAsia="Times New Roman" w:hAnsi="Arial" w:cs="Arial"/>
          <w:bCs/>
          <w:lang w:eastAsia="en-GB"/>
        </w:rPr>
        <w:t xml:space="preserve"> recommended policy </w:t>
      </w:r>
      <w:r w:rsidR="00E31FCF" w:rsidRPr="00FE1B0B">
        <w:rPr>
          <w:rFonts w:ascii="Arial" w:eastAsia="Times New Roman" w:hAnsi="Arial" w:cs="Arial"/>
          <w:bCs/>
          <w:lang w:eastAsia="en-GB"/>
        </w:rPr>
        <w:t>consideration</w:t>
      </w:r>
      <w:r w:rsidR="00747A81">
        <w:rPr>
          <w:rFonts w:ascii="Arial" w:eastAsia="Times New Roman" w:hAnsi="Arial" w:cs="Arial"/>
          <w:bCs/>
          <w:lang w:eastAsia="en-GB"/>
        </w:rPr>
        <w:t>s</w:t>
      </w:r>
      <w:r w:rsidR="00E31FCF" w:rsidRPr="00FE1B0B">
        <w:rPr>
          <w:rFonts w:ascii="Arial" w:eastAsia="Times New Roman" w:hAnsi="Arial" w:cs="Arial"/>
          <w:bCs/>
          <w:lang w:eastAsia="en-GB"/>
        </w:rPr>
        <w:t xml:space="preserve"> </w:t>
      </w:r>
      <w:r w:rsidR="00747A81">
        <w:rPr>
          <w:rFonts w:ascii="Arial" w:eastAsia="Times New Roman" w:hAnsi="Arial" w:cs="Arial"/>
          <w:bCs/>
          <w:lang w:eastAsia="en-GB"/>
        </w:rPr>
        <w:t>for Australia’s migrant intake</w:t>
      </w:r>
      <w:r w:rsidR="00E31FCF" w:rsidRPr="00FE1B0B">
        <w:rPr>
          <w:rFonts w:ascii="Arial" w:eastAsia="Times New Roman" w:hAnsi="Arial" w:cs="Arial"/>
          <w:bCs/>
          <w:lang w:eastAsia="en-GB"/>
        </w:rPr>
        <w:t xml:space="preserve"> consistent with the following SPA objectives:</w:t>
      </w:r>
    </w:p>
    <w:p w14:paraId="3D34E291" w14:textId="77777777" w:rsidR="006E68FF" w:rsidRPr="001D073A" w:rsidRDefault="006E68FF" w:rsidP="006E68FF">
      <w:pPr>
        <w:shd w:val="clear" w:color="auto" w:fill="FFFFFF"/>
        <w:spacing w:after="0" w:line="240" w:lineRule="auto"/>
        <w:jc w:val="both"/>
        <w:rPr>
          <w:rFonts w:ascii="Arial" w:eastAsia="Times New Roman" w:hAnsi="Arial" w:cs="Arial"/>
          <w:bCs/>
          <w:lang w:eastAsia="en-GB"/>
        </w:rPr>
      </w:pPr>
    </w:p>
    <w:p w14:paraId="30E4B26A" w14:textId="77777777" w:rsidR="00E31FCF" w:rsidRPr="001D073A" w:rsidRDefault="00E31FCF" w:rsidP="006E68FF">
      <w:pPr>
        <w:pStyle w:val="ListParagraph"/>
        <w:numPr>
          <w:ilvl w:val="0"/>
          <w:numId w:val="2"/>
        </w:numPr>
        <w:shd w:val="clear" w:color="auto" w:fill="FFFFFF"/>
        <w:spacing w:after="0" w:line="240" w:lineRule="auto"/>
        <w:jc w:val="both"/>
        <w:rPr>
          <w:rFonts w:ascii="Arial" w:eastAsia="Times New Roman" w:hAnsi="Arial" w:cs="Arial"/>
          <w:lang w:eastAsia="en-GB"/>
        </w:rPr>
      </w:pPr>
      <w:r w:rsidRPr="001D073A">
        <w:rPr>
          <w:rFonts w:ascii="Arial" w:eastAsia="Times New Roman" w:hAnsi="Arial" w:cs="Arial"/>
          <w:lang w:eastAsia="en-GB"/>
        </w:rPr>
        <w:t>To promote policies that will lead to the stabilisation, and then to reduction, of Australia's population by encouraging low fertility and low migration.</w:t>
      </w:r>
    </w:p>
    <w:p w14:paraId="509D48E6" w14:textId="77777777" w:rsidR="00E31FCF" w:rsidRPr="001D073A" w:rsidRDefault="00E31FCF" w:rsidP="006E68FF">
      <w:pPr>
        <w:pStyle w:val="ListParagraph"/>
        <w:numPr>
          <w:ilvl w:val="0"/>
          <w:numId w:val="2"/>
        </w:numPr>
        <w:shd w:val="clear" w:color="auto" w:fill="FFFFFF"/>
        <w:spacing w:after="0" w:line="240" w:lineRule="auto"/>
        <w:jc w:val="both"/>
        <w:rPr>
          <w:rFonts w:ascii="Arial" w:eastAsia="Times New Roman" w:hAnsi="Arial" w:cs="Arial"/>
          <w:lang w:eastAsia="en-GB"/>
        </w:rPr>
      </w:pPr>
      <w:r w:rsidRPr="001D073A">
        <w:rPr>
          <w:rFonts w:ascii="Arial" w:eastAsia="Times New Roman" w:hAnsi="Arial" w:cs="Arial"/>
          <w:lang w:eastAsia="en-GB"/>
        </w:rPr>
        <w:t>To promote urban and rural lifestyles and practices that are in harmony with the realities of the Australian environment, its resource base and its biodiversity.</w:t>
      </w:r>
    </w:p>
    <w:p w14:paraId="3D0288D4" w14:textId="77777777" w:rsidR="00E31FCF" w:rsidRPr="001D073A" w:rsidRDefault="00E31FCF" w:rsidP="006E68FF">
      <w:pPr>
        <w:pStyle w:val="ListParagraph"/>
        <w:numPr>
          <w:ilvl w:val="0"/>
          <w:numId w:val="2"/>
        </w:numPr>
        <w:shd w:val="clear" w:color="auto" w:fill="FFFFFF"/>
        <w:spacing w:after="0" w:line="240" w:lineRule="auto"/>
        <w:jc w:val="both"/>
        <w:rPr>
          <w:rFonts w:ascii="Arial" w:eastAsia="Times New Roman" w:hAnsi="Arial" w:cs="Arial"/>
          <w:lang w:eastAsia="en-GB"/>
        </w:rPr>
      </w:pPr>
      <w:r w:rsidRPr="001D073A">
        <w:rPr>
          <w:rFonts w:ascii="Arial" w:eastAsia="Times New Roman" w:hAnsi="Arial" w:cs="Arial"/>
          <w:lang w:eastAsia="en-GB"/>
        </w:rPr>
        <w:t>To advocate low immigration rates while rejec</w:t>
      </w:r>
      <w:r w:rsidR="001F4546" w:rsidRPr="001D073A">
        <w:rPr>
          <w:rFonts w:ascii="Arial" w:eastAsia="Times New Roman" w:hAnsi="Arial" w:cs="Arial"/>
          <w:lang w:eastAsia="en-GB"/>
        </w:rPr>
        <w:t>ting any selection based on ethnicity.</w:t>
      </w:r>
    </w:p>
    <w:p w14:paraId="25480EB9" w14:textId="77777777" w:rsidR="006E68FF" w:rsidRDefault="006E68FF" w:rsidP="006E68FF">
      <w:pPr>
        <w:shd w:val="clear" w:color="auto" w:fill="FFFFFF"/>
        <w:spacing w:after="0" w:line="240" w:lineRule="auto"/>
        <w:jc w:val="both"/>
        <w:rPr>
          <w:rFonts w:ascii="Arial" w:eastAsia="Times New Roman" w:hAnsi="Arial" w:cs="Arial"/>
          <w:bCs/>
          <w:lang w:eastAsia="en-GB"/>
        </w:rPr>
      </w:pPr>
    </w:p>
    <w:p w14:paraId="5869A3A6" w14:textId="77777777" w:rsidR="00E31FCF" w:rsidRDefault="007A7E81" w:rsidP="006E68FF">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These objectives </w:t>
      </w:r>
      <w:r w:rsidR="001937A9" w:rsidRPr="00FE1B0B">
        <w:rPr>
          <w:rFonts w:ascii="Arial" w:eastAsia="Times New Roman" w:hAnsi="Arial" w:cs="Arial"/>
          <w:bCs/>
          <w:lang w:eastAsia="en-GB"/>
        </w:rPr>
        <w:t xml:space="preserve">are expressed through </w:t>
      </w:r>
      <w:r>
        <w:rPr>
          <w:rFonts w:ascii="Arial" w:eastAsia="Times New Roman" w:hAnsi="Arial" w:cs="Arial"/>
          <w:bCs/>
          <w:lang w:eastAsia="en-GB"/>
        </w:rPr>
        <w:t xml:space="preserve">the enclosed </w:t>
      </w:r>
      <w:r w:rsidR="001937A9" w:rsidRPr="00FE1B0B">
        <w:rPr>
          <w:rFonts w:ascii="Arial" w:eastAsia="Times New Roman" w:hAnsi="Arial" w:cs="Arial"/>
          <w:bCs/>
          <w:lang w:eastAsia="en-GB"/>
        </w:rPr>
        <w:t xml:space="preserve">responses to </w:t>
      </w:r>
      <w:r w:rsidR="00FD2335">
        <w:rPr>
          <w:rFonts w:ascii="Arial" w:eastAsia="Times New Roman" w:hAnsi="Arial" w:cs="Arial"/>
          <w:bCs/>
          <w:lang w:eastAsia="en-GB"/>
        </w:rPr>
        <w:t>three</w:t>
      </w:r>
      <w:r>
        <w:rPr>
          <w:rFonts w:ascii="Arial" w:eastAsia="Times New Roman" w:hAnsi="Arial" w:cs="Arial"/>
          <w:bCs/>
          <w:lang w:eastAsia="en-GB"/>
        </w:rPr>
        <w:t xml:space="preserve"> </w:t>
      </w:r>
      <w:r w:rsidR="001937A9" w:rsidRPr="00FE1B0B">
        <w:rPr>
          <w:rFonts w:ascii="Arial" w:eastAsia="Times New Roman" w:hAnsi="Arial" w:cs="Arial"/>
          <w:bCs/>
          <w:lang w:eastAsia="en-GB"/>
        </w:rPr>
        <w:t xml:space="preserve">associated issues identified in the Issues Paper for ease of reference.  </w:t>
      </w:r>
      <w:r>
        <w:rPr>
          <w:rFonts w:ascii="Arial" w:eastAsia="Times New Roman" w:hAnsi="Arial" w:cs="Arial"/>
          <w:bCs/>
          <w:lang w:eastAsia="en-GB"/>
        </w:rPr>
        <w:t>R</w:t>
      </w:r>
      <w:r w:rsidR="00E31FCF" w:rsidRPr="00FE1B0B">
        <w:rPr>
          <w:rFonts w:ascii="Arial" w:eastAsia="Times New Roman" w:hAnsi="Arial" w:cs="Arial"/>
          <w:bCs/>
          <w:lang w:eastAsia="en-GB"/>
        </w:rPr>
        <w:t xml:space="preserve">elevant research and information </w:t>
      </w:r>
      <w:r>
        <w:rPr>
          <w:rFonts w:ascii="Arial" w:eastAsia="Times New Roman" w:hAnsi="Arial" w:cs="Arial"/>
          <w:bCs/>
          <w:lang w:eastAsia="en-GB"/>
        </w:rPr>
        <w:t xml:space="preserve">is cited </w:t>
      </w:r>
      <w:r w:rsidR="00E31FCF" w:rsidRPr="00FE1B0B">
        <w:rPr>
          <w:rFonts w:ascii="Arial" w:eastAsia="Times New Roman" w:hAnsi="Arial" w:cs="Arial"/>
          <w:bCs/>
          <w:lang w:eastAsia="en-GB"/>
        </w:rPr>
        <w:t>for consideration by the Commission.</w:t>
      </w:r>
    </w:p>
    <w:p w14:paraId="67B80C57" w14:textId="77777777" w:rsidR="006E68FF" w:rsidRDefault="006E68FF" w:rsidP="006E68FF">
      <w:pPr>
        <w:shd w:val="clear" w:color="auto" w:fill="FFFFFF"/>
        <w:spacing w:after="0" w:line="240" w:lineRule="auto"/>
        <w:jc w:val="both"/>
        <w:rPr>
          <w:rFonts w:ascii="Arial" w:eastAsia="Times New Roman" w:hAnsi="Arial" w:cs="Arial"/>
          <w:bCs/>
          <w:lang w:eastAsia="en-GB"/>
        </w:rPr>
      </w:pPr>
    </w:p>
    <w:p w14:paraId="1ABE5B2C" w14:textId="77777777" w:rsidR="007A7E81" w:rsidRDefault="003E2F2E" w:rsidP="00C762B7">
      <w:pPr>
        <w:shd w:val="clear" w:color="auto" w:fill="FFFFFF"/>
        <w:spacing w:after="0" w:line="240" w:lineRule="auto"/>
        <w:jc w:val="both"/>
        <w:rPr>
          <w:rFonts w:ascii="Arial" w:eastAsia="Times New Roman" w:hAnsi="Arial" w:cs="Arial"/>
          <w:bCs/>
          <w:sz w:val="21"/>
          <w:szCs w:val="21"/>
          <w:lang w:eastAsia="en-GB"/>
        </w:rPr>
      </w:pPr>
      <w:r>
        <w:rPr>
          <w:rFonts w:ascii="Arial" w:eastAsia="Times New Roman" w:hAnsi="Arial" w:cs="Arial"/>
          <w:bCs/>
          <w:lang w:eastAsia="en-GB"/>
        </w:rPr>
        <w:t xml:space="preserve">SPA acknowledges and welcomes the </w:t>
      </w:r>
      <w:r w:rsidR="001B189D">
        <w:rPr>
          <w:rFonts w:ascii="Arial" w:eastAsia="Times New Roman" w:hAnsi="Arial" w:cs="Arial"/>
          <w:bCs/>
          <w:lang w:eastAsia="en-GB"/>
        </w:rPr>
        <w:t xml:space="preserve">positive </w:t>
      </w:r>
      <w:r>
        <w:rPr>
          <w:rFonts w:ascii="Arial" w:eastAsia="Times New Roman" w:hAnsi="Arial" w:cs="Arial"/>
          <w:bCs/>
          <w:lang w:eastAsia="en-GB"/>
        </w:rPr>
        <w:t xml:space="preserve">contribution of immigrants to Australia’s diverse and rich multicultural </w:t>
      </w:r>
      <w:r w:rsidR="007A7E81">
        <w:rPr>
          <w:rFonts w:ascii="Arial" w:eastAsia="Times New Roman" w:hAnsi="Arial" w:cs="Arial"/>
          <w:bCs/>
          <w:lang w:eastAsia="en-GB"/>
        </w:rPr>
        <w:t>environment</w:t>
      </w:r>
      <w:r>
        <w:rPr>
          <w:rFonts w:ascii="Arial" w:eastAsia="Times New Roman" w:hAnsi="Arial" w:cs="Arial"/>
          <w:bCs/>
          <w:lang w:eastAsia="en-GB"/>
        </w:rPr>
        <w:t xml:space="preserve">.  Accordingly, </w:t>
      </w:r>
      <w:proofErr w:type="spellStart"/>
      <w:r>
        <w:rPr>
          <w:rFonts w:ascii="Arial" w:eastAsia="Times New Roman" w:hAnsi="Arial" w:cs="Arial"/>
          <w:bCs/>
          <w:lang w:eastAsia="en-GB"/>
        </w:rPr>
        <w:t>SPA’s</w:t>
      </w:r>
      <w:proofErr w:type="spellEnd"/>
      <w:r>
        <w:rPr>
          <w:rFonts w:ascii="Arial" w:eastAsia="Times New Roman" w:hAnsi="Arial" w:cs="Arial"/>
          <w:bCs/>
          <w:lang w:eastAsia="en-GB"/>
        </w:rPr>
        <w:t xml:space="preserve"> recommendations for reductions in </w:t>
      </w:r>
      <w:r w:rsidR="006E68FF">
        <w:rPr>
          <w:rFonts w:ascii="Arial" w:eastAsia="Times New Roman" w:hAnsi="Arial" w:cs="Arial"/>
          <w:bCs/>
          <w:lang w:eastAsia="en-GB"/>
        </w:rPr>
        <w:t xml:space="preserve">the </w:t>
      </w:r>
      <w:r w:rsidR="007A7E81">
        <w:rPr>
          <w:rFonts w:ascii="Arial" w:eastAsia="Times New Roman" w:hAnsi="Arial" w:cs="Arial"/>
          <w:bCs/>
          <w:lang w:eastAsia="en-GB"/>
        </w:rPr>
        <w:t>permanent</w:t>
      </w:r>
      <w:r>
        <w:rPr>
          <w:rFonts w:ascii="Arial" w:eastAsia="Times New Roman" w:hAnsi="Arial" w:cs="Arial"/>
          <w:bCs/>
          <w:lang w:eastAsia="en-GB"/>
        </w:rPr>
        <w:t xml:space="preserve"> migrant intake are in no way based on establishing </w:t>
      </w:r>
      <w:r w:rsidR="007A7E81">
        <w:rPr>
          <w:rFonts w:ascii="Arial" w:eastAsia="Times New Roman" w:hAnsi="Arial" w:cs="Arial"/>
          <w:bCs/>
          <w:lang w:eastAsia="en-GB"/>
        </w:rPr>
        <w:t>limitations</w:t>
      </w:r>
      <w:r>
        <w:rPr>
          <w:rFonts w:ascii="Arial" w:eastAsia="Times New Roman" w:hAnsi="Arial" w:cs="Arial"/>
          <w:bCs/>
          <w:lang w:eastAsia="en-GB"/>
        </w:rPr>
        <w:t xml:space="preserve"> to </w:t>
      </w:r>
      <w:r w:rsidR="007A7E81">
        <w:rPr>
          <w:rFonts w:ascii="Arial" w:eastAsia="Times New Roman" w:hAnsi="Arial" w:cs="Arial"/>
          <w:bCs/>
          <w:lang w:eastAsia="en-GB"/>
        </w:rPr>
        <w:t>specific</w:t>
      </w:r>
      <w:r>
        <w:rPr>
          <w:rFonts w:ascii="Arial" w:eastAsia="Times New Roman" w:hAnsi="Arial" w:cs="Arial"/>
          <w:bCs/>
          <w:lang w:eastAsia="en-GB"/>
        </w:rPr>
        <w:t xml:space="preserve"> ethnic group</w:t>
      </w:r>
      <w:r w:rsidR="006E68FF">
        <w:rPr>
          <w:rFonts w:ascii="Arial" w:eastAsia="Times New Roman" w:hAnsi="Arial" w:cs="Arial"/>
          <w:bCs/>
          <w:lang w:eastAsia="en-GB"/>
        </w:rPr>
        <w:t>s</w:t>
      </w:r>
      <w:r>
        <w:rPr>
          <w:rFonts w:ascii="Arial" w:eastAsia="Times New Roman" w:hAnsi="Arial" w:cs="Arial"/>
          <w:bCs/>
          <w:lang w:eastAsia="en-GB"/>
        </w:rPr>
        <w:t xml:space="preserve">.  </w:t>
      </w:r>
      <w:r w:rsidR="006E68FF">
        <w:rPr>
          <w:rFonts w:ascii="Arial" w:eastAsia="Times New Roman" w:hAnsi="Arial" w:cs="Arial"/>
          <w:bCs/>
          <w:lang w:eastAsia="en-GB"/>
        </w:rPr>
        <w:t>I</w:t>
      </w:r>
      <w:r>
        <w:rPr>
          <w:rFonts w:ascii="Arial" w:eastAsia="Times New Roman" w:hAnsi="Arial" w:cs="Arial"/>
          <w:bCs/>
          <w:lang w:eastAsia="en-GB"/>
        </w:rPr>
        <w:t xml:space="preserve">t is emphasised that </w:t>
      </w:r>
      <w:proofErr w:type="spellStart"/>
      <w:r>
        <w:rPr>
          <w:rFonts w:ascii="Arial" w:eastAsia="Times New Roman" w:hAnsi="Arial" w:cs="Arial"/>
          <w:bCs/>
          <w:lang w:eastAsia="en-GB"/>
        </w:rPr>
        <w:t>SPA’s</w:t>
      </w:r>
      <w:proofErr w:type="spellEnd"/>
      <w:r>
        <w:rPr>
          <w:rFonts w:ascii="Arial" w:eastAsia="Times New Roman" w:hAnsi="Arial" w:cs="Arial"/>
          <w:bCs/>
          <w:lang w:eastAsia="en-GB"/>
        </w:rPr>
        <w:t xml:space="preserve"> recommendations are applied against the consideration of </w:t>
      </w:r>
      <w:r w:rsidR="0028641E">
        <w:rPr>
          <w:rFonts w:ascii="Arial" w:eastAsia="Times New Roman" w:hAnsi="Arial" w:cs="Arial"/>
          <w:bCs/>
          <w:lang w:eastAsia="en-GB"/>
        </w:rPr>
        <w:t xml:space="preserve">the scale </w:t>
      </w:r>
      <w:r>
        <w:rPr>
          <w:rFonts w:ascii="Arial" w:eastAsia="Times New Roman" w:hAnsi="Arial" w:cs="Arial"/>
          <w:bCs/>
          <w:lang w:eastAsia="en-GB"/>
        </w:rPr>
        <w:t>permanent immigration</w:t>
      </w:r>
      <w:r w:rsidR="0028641E">
        <w:rPr>
          <w:rFonts w:ascii="Arial" w:eastAsia="Times New Roman" w:hAnsi="Arial" w:cs="Arial"/>
          <w:bCs/>
          <w:lang w:eastAsia="en-GB"/>
        </w:rPr>
        <w:t>, with respect to its impact on the size and growth rate of Australia’s population</w:t>
      </w:r>
      <w:r>
        <w:rPr>
          <w:rFonts w:ascii="Arial" w:eastAsia="Times New Roman" w:hAnsi="Arial" w:cs="Arial"/>
          <w:bCs/>
          <w:lang w:eastAsia="en-GB"/>
        </w:rPr>
        <w:t>.</w:t>
      </w:r>
    </w:p>
    <w:p w14:paraId="13BC5A3D" w14:textId="77777777" w:rsidR="00FE1B0B" w:rsidRDefault="00FE1B0B">
      <w:pPr>
        <w:rPr>
          <w:rFonts w:ascii="Arial" w:eastAsia="Times New Roman" w:hAnsi="Arial" w:cs="Arial"/>
          <w:b/>
          <w:bCs/>
          <w:sz w:val="21"/>
          <w:szCs w:val="21"/>
          <w:lang w:eastAsia="en-GB"/>
        </w:rPr>
      </w:pPr>
      <w:r>
        <w:rPr>
          <w:rFonts w:ascii="Arial" w:eastAsia="Times New Roman" w:hAnsi="Arial" w:cs="Arial"/>
          <w:b/>
          <w:bCs/>
          <w:sz w:val="21"/>
          <w:szCs w:val="21"/>
          <w:lang w:eastAsia="en-GB"/>
        </w:rPr>
        <w:br w:type="page"/>
      </w:r>
    </w:p>
    <w:p w14:paraId="3BDE92ED" w14:textId="77777777" w:rsidR="00E63B38" w:rsidRPr="00184466" w:rsidRDefault="00E63B38" w:rsidP="00B52EC2">
      <w:pPr>
        <w:pStyle w:val="ListParagraph"/>
        <w:numPr>
          <w:ilvl w:val="0"/>
          <w:numId w:val="4"/>
        </w:numPr>
        <w:shd w:val="clear" w:color="auto" w:fill="FFFFFF"/>
        <w:spacing w:after="0" w:line="240" w:lineRule="auto"/>
        <w:rPr>
          <w:rFonts w:ascii="Arial" w:eastAsia="Times New Roman" w:hAnsi="Arial" w:cs="Arial"/>
          <w:b/>
          <w:bCs/>
          <w:u w:val="single"/>
          <w:lang w:eastAsia="en-GB"/>
        </w:rPr>
      </w:pPr>
      <w:r w:rsidRPr="00184466">
        <w:rPr>
          <w:rFonts w:ascii="Arial" w:eastAsia="Times New Roman" w:hAnsi="Arial" w:cs="Arial"/>
          <w:b/>
          <w:bCs/>
          <w:u w:val="single"/>
          <w:lang w:eastAsia="en-GB"/>
        </w:rPr>
        <w:lastRenderedPageBreak/>
        <w:t xml:space="preserve">RECOMMENDED POLICY </w:t>
      </w:r>
      <w:r w:rsidR="007A7E81" w:rsidRPr="00184466">
        <w:rPr>
          <w:rFonts w:ascii="Arial" w:eastAsia="Times New Roman" w:hAnsi="Arial" w:cs="Arial"/>
          <w:b/>
          <w:bCs/>
          <w:u w:val="single"/>
          <w:lang w:eastAsia="en-GB"/>
        </w:rPr>
        <w:t>RESPONSES</w:t>
      </w:r>
    </w:p>
    <w:p w14:paraId="64B773D9" w14:textId="77777777" w:rsidR="00B52EC2" w:rsidRPr="00184466" w:rsidRDefault="00B52EC2" w:rsidP="001B189D">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Three policy impact areas identified in the Issues Paper are </w:t>
      </w:r>
      <w:r w:rsidR="00FC5DE7">
        <w:rPr>
          <w:rFonts w:ascii="Arial" w:eastAsia="Times New Roman" w:hAnsi="Arial" w:cs="Arial"/>
          <w:bCs/>
          <w:lang w:eastAsia="en-GB"/>
        </w:rPr>
        <w:t>addressed</w:t>
      </w:r>
      <w:r w:rsidRPr="00184466">
        <w:rPr>
          <w:rFonts w:ascii="Arial" w:eastAsia="Times New Roman" w:hAnsi="Arial" w:cs="Arial"/>
          <w:bCs/>
          <w:lang w:eastAsia="en-GB"/>
        </w:rPr>
        <w:t xml:space="preserve"> by this submission:</w:t>
      </w:r>
    </w:p>
    <w:p w14:paraId="6CE43F4B" w14:textId="77777777" w:rsidR="00B52EC2" w:rsidRPr="00184466" w:rsidRDefault="00B52EC2" w:rsidP="001B189D">
      <w:pPr>
        <w:pStyle w:val="ListParagraph"/>
        <w:numPr>
          <w:ilvl w:val="0"/>
          <w:numId w:val="7"/>
        </w:num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the objectives of Australia’</w:t>
      </w:r>
      <w:r w:rsidR="00FC5DE7">
        <w:rPr>
          <w:rFonts w:ascii="Arial" w:eastAsia="Times New Roman" w:hAnsi="Arial" w:cs="Arial"/>
          <w:bCs/>
          <w:lang w:eastAsia="en-GB"/>
        </w:rPr>
        <w:t>s immigration policy (p. 18)</w:t>
      </w:r>
    </w:p>
    <w:p w14:paraId="0B5D1CEE" w14:textId="77777777" w:rsidR="00B52EC2" w:rsidRPr="00184466" w:rsidRDefault="00E25410" w:rsidP="001B189D">
      <w:pPr>
        <w:pStyle w:val="ListParagraph"/>
        <w:numPr>
          <w:ilvl w:val="0"/>
          <w:numId w:val="7"/>
        </w:num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c</w:t>
      </w:r>
      <w:r w:rsidR="00FC5DE7">
        <w:rPr>
          <w:rFonts w:ascii="Arial" w:eastAsia="Times New Roman" w:hAnsi="Arial" w:cs="Arial"/>
          <w:bCs/>
          <w:lang w:eastAsia="en-GB"/>
        </w:rPr>
        <w:t>onsideration</w:t>
      </w:r>
      <w:r w:rsidRPr="00184466">
        <w:rPr>
          <w:rFonts w:ascii="Arial" w:eastAsia="Times New Roman" w:hAnsi="Arial" w:cs="Arial"/>
          <w:bCs/>
          <w:lang w:eastAsia="en-GB"/>
        </w:rPr>
        <w:t xml:space="preserve"> </w:t>
      </w:r>
      <w:r w:rsidR="00FC5DE7">
        <w:rPr>
          <w:rFonts w:ascii="Arial" w:eastAsia="Times New Roman" w:hAnsi="Arial" w:cs="Arial"/>
          <w:bCs/>
          <w:lang w:eastAsia="en-GB"/>
        </w:rPr>
        <w:t>regarding</w:t>
      </w:r>
      <w:r w:rsidRPr="00184466">
        <w:rPr>
          <w:rFonts w:ascii="Arial" w:eastAsia="Times New Roman" w:hAnsi="Arial" w:cs="Arial"/>
          <w:bCs/>
          <w:lang w:eastAsia="en-GB"/>
        </w:rPr>
        <w:t xml:space="preserve"> the impacts on the urban amenity of existing residents (p. 22); and</w:t>
      </w:r>
    </w:p>
    <w:p w14:paraId="0E2B9388" w14:textId="77777777" w:rsidR="00E25410" w:rsidRPr="00184466" w:rsidRDefault="00E25410" w:rsidP="001B189D">
      <w:pPr>
        <w:pStyle w:val="ListParagraph"/>
        <w:numPr>
          <w:ilvl w:val="0"/>
          <w:numId w:val="7"/>
        </w:num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c</w:t>
      </w:r>
      <w:r w:rsidR="00FC5DE7">
        <w:rPr>
          <w:rFonts w:ascii="Arial" w:eastAsia="Times New Roman" w:hAnsi="Arial" w:cs="Arial"/>
          <w:bCs/>
          <w:lang w:eastAsia="en-GB"/>
        </w:rPr>
        <w:t>onsideration</w:t>
      </w:r>
      <w:r w:rsidRPr="00184466">
        <w:rPr>
          <w:rFonts w:ascii="Arial" w:eastAsia="Times New Roman" w:hAnsi="Arial" w:cs="Arial"/>
          <w:bCs/>
          <w:lang w:eastAsia="en-GB"/>
        </w:rPr>
        <w:t xml:space="preserve"> of environmental impacts (p. 23).</w:t>
      </w:r>
    </w:p>
    <w:p w14:paraId="38C77D4E" w14:textId="77777777" w:rsidR="00B52EC2" w:rsidRPr="00184466" w:rsidRDefault="00B52EC2" w:rsidP="001B189D">
      <w:pPr>
        <w:shd w:val="clear" w:color="auto" w:fill="FFFFFF"/>
        <w:spacing w:after="0" w:line="240" w:lineRule="auto"/>
        <w:jc w:val="both"/>
        <w:rPr>
          <w:rFonts w:ascii="Arial" w:eastAsia="Times New Roman" w:hAnsi="Arial" w:cs="Arial"/>
          <w:bCs/>
          <w:u w:val="single"/>
          <w:lang w:eastAsia="en-GB"/>
        </w:rPr>
      </w:pPr>
    </w:p>
    <w:p w14:paraId="581EFC51" w14:textId="77777777" w:rsidR="00B52EC2" w:rsidRPr="00184466" w:rsidRDefault="00E25410" w:rsidP="001B189D">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Each of these considerations </w:t>
      </w:r>
      <w:r w:rsidR="00D6558E">
        <w:rPr>
          <w:rFonts w:ascii="Arial" w:eastAsia="Times New Roman" w:hAnsi="Arial" w:cs="Arial"/>
          <w:bCs/>
          <w:lang w:eastAsia="en-GB"/>
        </w:rPr>
        <w:t>is</w:t>
      </w:r>
      <w:r w:rsidRPr="00184466">
        <w:rPr>
          <w:rFonts w:ascii="Arial" w:eastAsia="Times New Roman" w:hAnsi="Arial" w:cs="Arial"/>
          <w:bCs/>
          <w:lang w:eastAsia="en-GB"/>
        </w:rPr>
        <w:t xml:space="preserve"> discussed separately below.</w:t>
      </w:r>
    </w:p>
    <w:p w14:paraId="37C2873E" w14:textId="77777777" w:rsidR="00E25410" w:rsidRPr="00184466" w:rsidRDefault="00E25410" w:rsidP="007A7E81">
      <w:pPr>
        <w:shd w:val="clear" w:color="auto" w:fill="FFFFFF"/>
        <w:spacing w:after="0" w:line="240" w:lineRule="auto"/>
        <w:rPr>
          <w:rFonts w:ascii="Arial" w:eastAsia="Times New Roman" w:hAnsi="Arial" w:cs="Arial"/>
          <w:bCs/>
          <w:u w:val="single"/>
          <w:lang w:eastAsia="en-GB"/>
        </w:rPr>
      </w:pPr>
    </w:p>
    <w:p w14:paraId="3CCB2ADE" w14:textId="77777777" w:rsidR="004B0CE1" w:rsidRPr="00184466" w:rsidRDefault="000629BB" w:rsidP="007A7E81">
      <w:pPr>
        <w:shd w:val="clear" w:color="auto" w:fill="FFFFFF"/>
        <w:spacing w:after="0" w:line="240" w:lineRule="auto"/>
        <w:rPr>
          <w:rFonts w:ascii="Arial" w:eastAsia="Times New Roman" w:hAnsi="Arial" w:cs="Arial"/>
          <w:b/>
          <w:bCs/>
          <w:u w:val="single"/>
          <w:lang w:eastAsia="en-GB"/>
        </w:rPr>
      </w:pPr>
      <w:r w:rsidRPr="00184466">
        <w:rPr>
          <w:rFonts w:ascii="Arial" w:eastAsia="Times New Roman" w:hAnsi="Arial" w:cs="Arial"/>
          <w:b/>
          <w:bCs/>
          <w:u w:val="single"/>
          <w:lang w:eastAsia="en-GB"/>
        </w:rPr>
        <w:t xml:space="preserve">2.1 </w:t>
      </w:r>
      <w:r w:rsidR="004B0CE1" w:rsidRPr="00184466">
        <w:rPr>
          <w:rFonts w:ascii="Arial" w:eastAsia="Times New Roman" w:hAnsi="Arial" w:cs="Arial"/>
          <w:b/>
          <w:bCs/>
          <w:u w:val="single"/>
          <w:lang w:eastAsia="en-GB"/>
        </w:rPr>
        <w:t xml:space="preserve">What should be the objectives of Australia’s immigration </w:t>
      </w:r>
      <w:r w:rsidR="00CD7A14" w:rsidRPr="00184466">
        <w:rPr>
          <w:rFonts w:ascii="Arial" w:eastAsia="Times New Roman" w:hAnsi="Arial" w:cs="Arial"/>
          <w:b/>
          <w:bCs/>
          <w:u w:val="single"/>
          <w:lang w:eastAsia="en-GB"/>
        </w:rPr>
        <w:t>policy? (</w:t>
      </w:r>
      <w:proofErr w:type="spellStart"/>
      <w:r w:rsidR="00CD7A14" w:rsidRPr="00184466">
        <w:rPr>
          <w:rFonts w:ascii="Arial" w:eastAsia="Times New Roman" w:hAnsi="Arial" w:cs="Arial"/>
          <w:b/>
          <w:bCs/>
          <w:u w:val="single"/>
          <w:lang w:eastAsia="en-GB"/>
        </w:rPr>
        <w:t>p.18</w:t>
      </w:r>
      <w:proofErr w:type="spellEnd"/>
      <w:r w:rsidR="00CD7A14" w:rsidRPr="00184466">
        <w:rPr>
          <w:rFonts w:ascii="Arial" w:eastAsia="Times New Roman" w:hAnsi="Arial" w:cs="Arial"/>
          <w:b/>
          <w:bCs/>
          <w:u w:val="single"/>
          <w:lang w:eastAsia="en-GB"/>
        </w:rPr>
        <w:t>)</w:t>
      </w:r>
    </w:p>
    <w:p w14:paraId="59385C37" w14:textId="77777777" w:rsidR="00FD2335" w:rsidRPr="00184466" w:rsidRDefault="00FD2335" w:rsidP="008D76E7">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SPA notes the responsibility of the Australian </w:t>
      </w:r>
      <w:r w:rsidR="00D6558E">
        <w:rPr>
          <w:rFonts w:ascii="Arial" w:eastAsia="Times New Roman" w:hAnsi="Arial" w:cs="Arial"/>
          <w:bCs/>
          <w:lang w:eastAsia="en-GB"/>
        </w:rPr>
        <w:t>Government and objective of its policies</w:t>
      </w:r>
      <w:r w:rsidRPr="00184466">
        <w:rPr>
          <w:rFonts w:ascii="Arial" w:eastAsia="Times New Roman" w:hAnsi="Arial" w:cs="Arial"/>
          <w:bCs/>
          <w:lang w:eastAsia="en-GB"/>
        </w:rPr>
        <w:t xml:space="preserve"> involves maximising the wellbeing of the Australian community over the life of the policy (p. 18, Issues Paper).  </w:t>
      </w:r>
    </w:p>
    <w:p w14:paraId="62369474" w14:textId="77777777" w:rsidR="00FD2335" w:rsidRPr="00184466" w:rsidRDefault="00FD2335" w:rsidP="008D76E7">
      <w:pPr>
        <w:shd w:val="clear" w:color="auto" w:fill="FFFFFF"/>
        <w:spacing w:after="0" w:line="240" w:lineRule="auto"/>
        <w:jc w:val="both"/>
        <w:rPr>
          <w:rFonts w:ascii="Arial" w:eastAsia="Times New Roman" w:hAnsi="Arial" w:cs="Arial"/>
          <w:bCs/>
          <w:lang w:eastAsia="en-GB"/>
        </w:rPr>
      </w:pPr>
    </w:p>
    <w:p w14:paraId="62EA0440" w14:textId="77777777" w:rsidR="00C40EAD" w:rsidRPr="00184466" w:rsidRDefault="00FD2335" w:rsidP="008D76E7">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SPA considers wellbeing as inclusive of considerations beyond the economic and</w:t>
      </w:r>
      <w:r w:rsidR="00C40EAD" w:rsidRPr="00184466">
        <w:rPr>
          <w:rFonts w:ascii="Arial" w:eastAsia="Times New Roman" w:hAnsi="Arial" w:cs="Arial"/>
          <w:bCs/>
          <w:lang w:eastAsia="en-GB"/>
        </w:rPr>
        <w:t xml:space="preserve"> </w:t>
      </w:r>
      <w:r w:rsidR="00D6558E">
        <w:rPr>
          <w:rFonts w:ascii="Arial" w:eastAsia="Times New Roman" w:hAnsi="Arial" w:cs="Arial"/>
          <w:bCs/>
          <w:lang w:eastAsia="en-GB"/>
        </w:rPr>
        <w:t>argues</w:t>
      </w:r>
      <w:r w:rsidR="00C40EAD" w:rsidRPr="00184466">
        <w:rPr>
          <w:rFonts w:ascii="Arial" w:eastAsia="Times New Roman" w:hAnsi="Arial" w:cs="Arial"/>
          <w:bCs/>
          <w:lang w:eastAsia="en-GB"/>
        </w:rPr>
        <w:t xml:space="preserve"> that contemporary commentary and political focus </w:t>
      </w:r>
      <w:r w:rsidR="00D6558E">
        <w:rPr>
          <w:rFonts w:ascii="Arial" w:eastAsia="Times New Roman" w:hAnsi="Arial" w:cs="Arial"/>
          <w:bCs/>
          <w:lang w:eastAsia="en-GB"/>
        </w:rPr>
        <w:t>regarding</w:t>
      </w:r>
      <w:r w:rsidR="00C40EAD" w:rsidRPr="00184466">
        <w:rPr>
          <w:rFonts w:ascii="Arial" w:eastAsia="Times New Roman" w:hAnsi="Arial" w:cs="Arial"/>
          <w:bCs/>
          <w:lang w:eastAsia="en-GB"/>
        </w:rPr>
        <w:t xml:space="preserve"> immigration policy is dominated by </w:t>
      </w:r>
      <w:r w:rsidR="00C762B7" w:rsidRPr="00184466">
        <w:rPr>
          <w:rFonts w:ascii="Arial" w:eastAsia="Times New Roman" w:hAnsi="Arial" w:cs="Arial"/>
          <w:bCs/>
          <w:lang w:eastAsia="en-GB"/>
        </w:rPr>
        <w:t xml:space="preserve">narrow </w:t>
      </w:r>
      <w:r w:rsidR="00C40EAD" w:rsidRPr="00184466">
        <w:rPr>
          <w:rFonts w:ascii="Arial" w:eastAsia="Times New Roman" w:hAnsi="Arial" w:cs="Arial"/>
          <w:bCs/>
          <w:lang w:eastAsia="en-GB"/>
        </w:rPr>
        <w:t>economic considerations.</w:t>
      </w:r>
      <w:r w:rsidR="00C762B7" w:rsidRPr="00184466">
        <w:rPr>
          <w:rFonts w:ascii="Arial" w:eastAsia="Times New Roman" w:hAnsi="Arial" w:cs="Arial"/>
          <w:bCs/>
          <w:lang w:eastAsia="en-GB"/>
        </w:rPr>
        <w:t xml:space="preserve">  This discourse emphasises the role of immigration in </w:t>
      </w:r>
      <w:r w:rsidR="00D6558E">
        <w:rPr>
          <w:rFonts w:ascii="Arial" w:eastAsia="Times New Roman" w:hAnsi="Arial" w:cs="Arial"/>
          <w:bCs/>
          <w:lang w:eastAsia="en-GB"/>
        </w:rPr>
        <w:t>fuelling</w:t>
      </w:r>
      <w:r w:rsidR="00C762B7" w:rsidRPr="00184466">
        <w:rPr>
          <w:rFonts w:ascii="Arial" w:eastAsia="Times New Roman" w:hAnsi="Arial" w:cs="Arial"/>
          <w:bCs/>
          <w:lang w:eastAsia="en-GB"/>
        </w:rPr>
        <w:t xml:space="preserve"> population growth </w:t>
      </w:r>
      <w:r w:rsidR="00D6558E">
        <w:rPr>
          <w:rFonts w:ascii="Arial" w:eastAsia="Times New Roman" w:hAnsi="Arial" w:cs="Arial"/>
          <w:bCs/>
          <w:lang w:eastAsia="en-GB"/>
        </w:rPr>
        <w:t>to drive</w:t>
      </w:r>
      <w:r w:rsidR="00C762B7" w:rsidRPr="00184466">
        <w:rPr>
          <w:rFonts w:ascii="Arial" w:eastAsia="Times New Roman" w:hAnsi="Arial" w:cs="Arial"/>
          <w:bCs/>
          <w:lang w:eastAsia="en-GB"/>
        </w:rPr>
        <w:t xml:space="preserve"> business development</w:t>
      </w:r>
      <w:r w:rsidR="00D6558E">
        <w:rPr>
          <w:rFonts w:ascii="Arial" w:eastAsia="Times New Roman" w:hAnsi="Arial" w:cs="Arial"/>
          <w:bCs/>
          <w:lang w:eastAsia="en-GB"/>
        </w:rPr>
        <w:t xml:space="preserve"> and profitability</w:t>
      </w:r>
      <w:r w:rsidR="00C762B7" w:rsidRPr="00184466">
        <w:rPr>
          <w:rFonts w:ascii="Arial" w:eastAsia="Times New Roman" w:hAnsi="Arial" w:cs="Arial"/>
          <w:bCs/>
          <w:lang w:eastAsia="en-GB"/>
        </w:rPr>
        <w:t>, but fails to consider the full range of economic costs associated with population growth</w:t>
      </w:r>
      <w:r w:rsidR="0076380B" w:rsidRPr="00184466">
        <w:rPr>
          <w:rFonts w:ascii="Arial" w:eastAsia="Times New Roman" w:hAnsi="Arial" w:cs="Arial"/>
          <w:bCs/>
          <w:lang w:eastAsia="en-GB"/>
        </w:rPr>
        <w:t xml:space="preserve">.   This approach also fails to acknowledge </w:t>
      </w:r>
      <w:r w:rsidR="00D6558E">
        <w:rPr>
          <w:rFonts w:ascii="Arial" w:eastAsia="Times New Roman" w:hAnsi="Arial" w:cs="Arial"/>
          <w:bCs/>
          <w:lang w:eastAsia="en-GB"/>
        </w:rPr>
        <w:t xml:space="preserve">the </w:t>
      </w:r>
      <w:r w:rsidR="0076380B" w:rsidRPr="00184466">
        <w:rPr>
          <w:rFonts w:ascii="Arial" w:eastAsia="Times New Roman" w:hAnsi="Arial" w:cs="Arial"/>
          <w:bCs/>
          <w:lang w:eastAsia="en-GB"/>
        </w:rPr>
        <w:t>social</w:t>
      </w:r>
      <w:r w:rsidR="00307DD7">
        <w:rPr>
          <w:rFonts w:ascii="Arial" w:eastAsia="Times New Roman" w:hAnsi="Arial" w:cs="Arial"/>
          <w:bCs/>
          <w:lang w:eastAsia="en-GB"/>
        </w:rPr>
        <w:t xml:space="preserve"> and environmental</w:t>
      </w:r>
      <w:r w:rsidR="0076380B" w:rsidRPr="00184466">
        <w:rPr>
          <w:rFonts w:ascii="Arial" w:eastAsia="Times New Roman" w:hAnsi="Arial" w:cs="Arial"/>
          <w:bCs/>
          <w:lang w:eastAsia="en-GB"/>
        </w:rPr>
        <w:t xml:space="preserve"> costs and consequences </w:t>
      </w:r>
      <w:r w:rsidR="00D6558E">
        <w:rPr>
          <w:rFonts w:ascii="Arial" w:eastAsia="Times New Roman" w:hAnsi="Arial" w:cs="Arial"/>
          <w:bCs/>
          <w:lang w:eastAsia="en-GB"/>
        </w:rPr>
        <w:t>of unsustainable</w:t>
      </w:r>
      <w:r w:rsidR="0076380B" w:rsidRPr="00184466">
        <w:rPr>
          <w:rFonts w:ascii="Arial" w:eastAsia="Times New Roman" w:hAnsi="Arial" w:cs="Arial"/>
          <w:bCs/>
          <w:lang w:eastAsia="en-GB"/>
        </w:rPr>
        <w:t xml:space="preserve"> population growth.</w:t>
      </w:r>
    </w:p>
    <w:p w14:paraId="46B1EA7C" w14:textId="77777777" w:rsidR="00C40EAD" w:rsidRPr="00184466" w:rsidRDefault="00C40EAD" w:rsidP="008D76E7">
      <w:pPr>
        <w:shd w:val="clear" w:color="auto" w:fill="FFFFFF"/>
        <w:spacing w:after="0" w:line="240" w:lineRule="auto"/>
        <w:jc w:val="both"/>
        <w:rPr>
          <w:rFonts w:ascii="Arial" w:eastAsia="Times New Roman" w:hAnsi="Arial" w:cs="Arial"/>
          <w:bCs/>
          <w:lang w:eastAsia="en-GB"/>
        </w:rPr>
      </w:pPr>
    </w:p>
    <w:p w14:paraId="327D6BB8" w14:textId="77777777" w:rsidR="000D48A3" w:rsidRDefault="0076380B" w:rsidP="008D76E7">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SPA acknowledges the importance of economic activity in contributing to successful </w:t>
      </w:r>
      <w:r w:rsidR="00193345" w:rsidRPr="00184466">
        <w:rPr>
          <w:rFonts w:ascii="Arial" w:eastAsia="Times New Roman" w:hAnsi="Arial" w:cs="Arial"/>
          <w:bCs/>
          <w:lang w:eastAsia="en-GB"/>
        </w:rPr>
        <w:t>societies</w:t>
      </w:r>
      <w:r w:rsidR="000D48A3">
        <w:rPr>
          <w:rFonts w:ascii="Arial" w:eastAsia="Times New Roman" w:hAnsi="Arial" w:cs="Arial"/>
          <w:bCs/>
          <w:lang w:eastAsia="en-GB"/>
        </w:rPr>
        <w:t xml:space="preserve">. However, we strongly believe that all government policy development should be </w:t>
      </w:r>
      <w:r w:rsidRPr="00184466">
        <w:rPr>
          <w:rFonts w:ascii="Arial" w:eastAsia="Times New Roman" w:hAnsi="Arial" w:cs="Arial"/>
          <w:bCs/>
          <w:lang w:eastAsia="en-GB"/>
        </w:rPr>
        <w:t xml:space="preserve">deliberately </w:t>
      </w:r>
      <w:r w:rsidR="00666FE8" w:rsidRPr="00184466">
        <w:rPr>
          <w:rFonts w:ascii="Arial" w:eastAsia="Times New Roman" w:hAnsi="Arial" w:cs="Arial"/>
          <w:bCs/>
          <w:lang w:eastAsia="en-GB"/>
        </w:rPr>
        <w:t xml:space="preserve">and transparently </w:t>
      </w:r>
      <w:r w:rsidRPr="00184466">
        <w:rPr>
          <w:rFonts w:ascii="Arial" w:eastAsia="Times New Roman" w:hAnsi="Arial" w:cs="Arial"/>
          <w:bCs/>
          <w:lang w:eastAsia="en-GB"/>
        </w:rPr>
        <w:t xml:space="preserve">balanced </w:t>
      </w:r>
      <w:r w:rsidR="00666FE8" w:rsidRPr="00184466">
        <w:rPr>
          <w:rFonts w:ascii="Arial" w:eastAsia="Times New Roman" w:hAnsi="Arial" w:cs="Arial"/>
          <w:bCs/>
          <w:lang w:eastAsia="en-GB"/>
        </w:rPr>
        <w:t xml:space="preserve">to include societal and environmental </w:t>
      </w:r>
      <w:r w:rsidR="00D6558E">
        <w:rPr>
          <w:rFonts w:ascii="Arial" w:eastAsia="Times New Roman" w:hAnsi="Arial" w:cs="Arial"/>
          <w:bCs/>
          <w:lang w:eastAsia="en-GB"/>
        </w:rPr>
        <w:t>priorities</w:t>
      </w:r>
      <w:r w:rsidR="000D48A3">
        <w:rPr>
          <w:rFonts w:ascii="Arial" w:eastAsia="Times New Roman" w:hAnsi="Arial" w:cs="Arial"/>
          <w:bCs/>
          <w:lang w:eastAsia="en-GB"/>
        </w:rPr>
        <w:t>, to consider the equity of distribution of impacts, and to take a long-term view. This is particularly important in the context in which government deliberations are disproportionately exposed to the vested interests of a small minority of powerful stakeholders.</w:t>
      </w:r>
      <w:r w:rsidR="00666FE8" w:rsidRPr="00184466">
        <w:rPr>
          <w:rFonts w:ascii="Arial" w:eastAsia="Times New Roman" w:hAnsi="Arial" w:cs="Arial"/>
          <w:bCs/>
          <w:lang w:eastAsia="en-GB"/>
        </w:rPr>
        <w:t xml:space="preserve">  </w:t>
      </w:r>
    </w:p>
    <w:p w14:paraId="109A2F10" w14:textId="77777777" w:rsidR="000D48A3" w:rsidRDefault="000D48A3" w:rsidP="008D76E7">
      <w:pPr>
        <w:shd w:val="clear" w:color="auto" w:fill="FFFFFF"/>
        <w:spacing w:after="0" w:line="240" w:lineRule="auto"/>
        <w:jc w:val="both"/>
        <w:rPr>
          <w:rFonts w:ascii="Arial" w:eastAsia="Times New Roman" w:hAnsi="Arial" w:cs="Arial"/>
          <w:bCs/>
          <w:lang w:eastAsia="en-GB"/>
        </w:rPr>
      </w:pPr>
    </w:p>
    <w:p w14:paraId="060C3BA7" w14:textId="77777777" w:rsidR="009660D7" w:rsidRDefault="009660D7" w:rsidP="008D76E7">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It is a truism that n</w:t>
      </w:r>
      <w:r w:rsidRPr="009660D7">
        <w:rPr>
          <w:rFonts w:ascii="Arial" w:eastAsia="Times New Roman" w:hAnsi="Arial" w:cs="Arial"/>
          <w:bCs/>
          <w:lang w:eastAsia="en-GB"/>
        </w:rPr>
        <w:t xml:space="preserve">othing can grow forever. There must ultimately be a limit to Australia’s population, so principles of good economic management </w:t>
      </w:r>
      <w:r>
        <w:rPr>
          <w:rFonts w:ascii="Arial" w:eastAsia="Times New Roman" w:hAnsi="Arial" w:cs="Arial"/>
          <w:bCs/>
          <w:lang w:eastAsia="en-GB"/>
        </w:rPr>
        <w:t>must</w:t>
      </w:r>
      <w:r w:rsidRPr="009660D7">
        <w:rPr>
          <w:rFonts w:ascii="Arial" w:eastAsia="Times New Roman" w:hAnsi="Arial" w:cs="Arial"/>
          <w:bCs/>
          <w:lang w:eastAsia="en-GB"/>
        </w:rPr>
        <w:t xml:space="preserve"> not be dependent on population growth. The lower the peak population in Australia, the more resources</w:t>
      </w:r>
      <w:r w:rsidR="001F3499">
        <w:rPr>
          <w:rFonts w:ascii="Arial" w:eastAsia="Times New Roman" w:hAnsi="Arial" w:cs="Arial"/>
          <w:bCs/>
          <w:lang w:eastAsia="en-GB"/>
        </w:rPr>
        <w:t xml:space="preserve"> will be available</w:t>
      </w:r>
      <w:r w:rsidRPr="009660D7">
        <w:rPr>
          <w:rFonts w:ascii="Arial" w:eastAsia="Times New Roman" w:hAnsi="Arial" w:cs="Arial"/>
          <w:bCs/>
          <w:lang w:eastAsia="en-GB"/>
        </w:rPr>
        <w:t xml:space="preserve"> per person to sustain our quality of life into the future.</w:t>
      </w:r>
      <w:r>
        <w:rPr>
          <w:rFonts w:ascii="Arial" w:eastAsia="Times New Roman" w:hAnsi="Arial" w:cs="Arial"/>
          <w:bCs/>
          <w:lang w:eastAsia="en-GB"/>
        </w:rPr>
        <w:t xml:space="preserve"> As we will elaborate below, e</w:t>
      </w:r>
      <w:r w:rsidRPr="009660D7">
        <w:rPr>
          <w:rFonts w:ascii="Arial" w:eastAsia="Times New Roman" w:hAnsi="Arial" w:cs="Arial"/>
          <w:bCs/>
          <w:lang w:eastAsia="en-GB"/>
        </w:rPr>
        <w:t xml:space="preserve">ven in the immediate term, the costs of increasing our population outweigh the benefits. </w:t>
      </w:r>
      <w:r>
        <w:rPr>
          <w:rFonts w:ascii="Arial" w:eastAsia="Times New Roman" w:hAnsi="Arial" w:cs="Arial"/>
          <w:bCs/>
          <w:lang w:eastAsia="en-GB"/>
        </w:rPr>
        <w:t>While m</w:t>
      </w:r>
      <w:r w:rsidRPr="009660D7">
        <w:rPr>
          <w:rFonts w:ascii="Arial" w:eastAsia="Times New Roman" w:hAnsi="Arial" w:cs="Arial"/>
          <w:bCs/>
          <w:lang w:eastAsia="en-GB"/>
        </w:rPr>
        <w:t>ost</w:t>
      </w:r>
      <w:r w:rsidR="001F3499">
        <w:rPr>
          <w:rFonts w:ascii="Arial" w:eastAsia="Times New Roman" w:hAnsi="Arial" w:cs="Arial"/>
          <w:bCs/>
          <w:lang w:eastAsia="en-GB"/>
        </w:rPr>
        <w:t xml:space="preserve"> of the</w:t>
      </w:r>
      <w:r w:rsidRPr="009660D7">
        <w:rPr>
          <w:rFonts w:ascii="Arial" w:eastAsia="Times New Roman" w:hAnsi="Arial" w:cs="Arial"/>
          <w:bCs/>
          <w:lang w:eastAsia="en-GB"/>
        </w:rPr>
        <w:t xml:space="preserve"> benefits are ephemeral, most </w:t>
      </w:r>
      <w:r>
        <w:rPr>
          <w:rFonts w:ascii="Arial" w:eastAsia="Times New Roman" w:hAnsi="Arial" w:cs="Arial"/>
          <w:bCs/>
          <w:lang w:eastAsia="en-GB"/>
        </w:rPr>
        <w:t xml:space="preserve">of the </w:t>
      </w:r>
      <w:r w:rsidRPr="009660D7">
        <w:rPr>
          <w:rFonts w:ascii="Arial" w:eastAsia="Times New Roman" w:hAnsi="Arial" w:cs="Arial"/>
          <w:bCs/>
          <w:lang w:eastAsia="en-GB"/>
        </w:rPr>
        <w:t>costs are cumulative over time.</w:t>
      </w:r>
    </w:p>
    <w:p w14:paraId="1E592A0C" w14:textId="77777777" w:rsidR="009660D7" w:rsidRDefault="009660D7" w:rsidP="008D76E7">
      <w:pPr>
        <w:shd w:val="clear" w:color="auto" w:fill="FFFFFF"/>
        <w:spacing w:after="0" w:line="240" w:lineRule="auto"/>
        <w:jc w:val="both"/>
        <w:rPr>
          <w:rFonts w:ascii="Arial" w:eastAsia="Times New Roman" w:hAnsi="Arial" w:cs="Arial"/>
          <w:bCs/>
          <w:lang w:eastAsia="en-GB"/>
        </w:rPr>
      </w:pPr>
    </w:p>
    <w:p w14:paraId="5DAEC08F" w14:textId="77777777" w:rsidR="00BD1276" w:rsidRPr="00184466" w:rsidRDefault="00B400C1" w:rsidP="00B555BC">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It is our view that Australia’s population already exceeds a sustainable level, given current behaviours, institutions and technologies, and in view of forecast </w:t>
      </w:r>
      <w:r w:rsidR="0051433C">
        <w:rPr>
          <w:rFonts w:ascii="Arial" w:eastAsia="Times New Roman" w:hAnsi="Arial" w:cs="Arial"/>
          <w:bCs/>
          <w:lang w:eastAsia="en-GB"/>
        </w:rPr>
        <w:t>constraints on energy supply as well as</w:t>
      </w:r>
      <w:r>
        <w:rPr>
          <w:rFonts w:ascii="Arial" w:eastAsia="Times New Roman" w:hAnsi="Arial" w:cs="Arial"/>
          <w:bCs/>
          <w:lang w:eastAsia="en-GB"/>
        </w:rPr>
        <w:t xml:space="preserve"> required constraints on greenhouse gas emissions.</w:t>
      </w:r>
      <w:r w:rsidR="00EB1991">
        <w:rPr>
          <w:rFonts w:ascii="Arial" w:eastAsia="Times New Roman" w:hAnsi="Arial" w:cs="Arial"/>
          <w:bCs/>
          <w:lang w:eastAsia="en-GB"/>
        </w:rPr>
        <w:t xml:space="preserve"> Such a view is in line with the consistent findings of the Australian Academy of Sciences</w:t>
      </w:r>
      <w:r w:rsidR="00B555BC">
        <w:rPr>
          <w:rFonts w:ascii="Arial" w:eastAsia="Times New Roman" w:hAnsi="Arial" w:cs="Arial"/>
          <w:bCs/>
          <w:lang w:eastAsia="en-GB"/>
        </w:rPr>
        <w:t xml:space="preserve"> (</w:t>
      </w:r>
      <w:proofErr w:type="spellStart"/>
      <w:r w:rsidR="00B555BC">
        <w:rPr>
          <w:rFonts w:ascii="Arial" w:eastAsia="Times New Roman" w:hAnsi="Arial" w:cs="Arial"/>
          <w:bCs/>
          <w:lang w:eastAsia="en-GB"/>
        </w:rPr>
        <w:t>AAS</w:t>
      </w:r>
      <w:proofErr w:type="spellEnd"/>
      <w:r w:rsidR="00B555BC">
        <w:rPr>
          <w:rFonts w:ascii="Arial" w:eastAsia="Times New Roman" w:hAnsi="Arial" w:cs="Arial"/>
          <w:bCs/>
          <w:lang w:eastAsia="en-GB"/>
        </w:rPr>
        <w:t>)</w:t>
      </w:r>
      <w:r w:rsidR="00BD1276" w:rsidRPr="00184466">
        <w:rPr>
          <w:rFonts w:ascii="Arial" w:eastAsia="Times New Roman" w:hAnsi="Arial" w:cs="Arial"/>
          <w:bCs/>
          <w:lang w:eastAsia="en-GB"/>
        </w:rPr>
        <w:t>.</w:t>
      </w:r>
      <w:r w:rsidR="00666FE8" w:rsidRPr="00184466">
        <w:rPr>
          <w:rStyle w:val="FootnoteReference"/>
          <w:rFonts w:ascii="Arial" w:eastAsia="Times New Roman" w:hAnsi="Arial" w:cs="Arial"/>
          <w:bCs/>
          <w:lang w:eastAsia="en-GB"/>
        </w:rPr>
        <w:footnoteReference w:id="2"/>
      </w:r>
      <w:r w:rsidR="00BD1276" w:rsidRPr="00184466">
        <w:rPr>
          <w:rFonts w:ascii="Arial" w:eastAsia="Times New Roman" w:hAnsi="Arial" w:cs="Arial"/>
          <w:bCs/>
          <w:lang w:eastAsia="en-GB"/>
        </w:rPr>
        <w:t xml:space="preserve">  </w:t>
      </w:r>
      <w:r w:rsidR="00EB1991">
        <w:rPr>
          <w:rFonts w:ascii="Arial" w:eastAsia="Times New Roman" w:hAnsi="Arial" w:cs="Arial"/>
          <w:bCs/>
          <w:lang w:eastAsia="en-GB"/>
        </w:rPr>
        <w:t xml:space="preserve">The prudent path therefore, is to seek a peak population at the lowest level that can be achieved while accommodating the freedoms, rights and obligations generally upheld by Australia. </w:t>
      </w:r>
      <w:r w:rsidR="00B555BC">
        <w:rPr>
          <w:rFonts w:ascii="Arial" w:eastAsia="Times New Roman" w:hAnsi="Arial" w:cs="Arial"/>
          <w:bCs/>
          <w:lang w:eastAsia="en-GB"/>
        </w:rPr>
        <w:t xml:space="preserve">In 1994, the </w:t>
      </w:r>
      <w:proofErr w:type="spellStart"/>
      <w:r w:rsidR="00B555BC">
        <w:rPr>
          <w:rFonts w:ascii="Arial" w:eastAsia="Times New Roman" w:hAnsi="Arial" w:cs="Arial"/>
          <w:bCs/>
          <w:lang w:eastAsia="en-GB"/>
        </w:rPr>
        <w:t>AAS</w:t>
      </w:r>
      <w:proofErr w:type="spellEnd"/>
      <w:r w:rsidR="00B555BC">
        <w:rPr>
          <w:rFonts w:ascii="Arial" w:eastAsia="Times New Roman" w:hAnsi="Arial" w:cs="Arial"/>
          <w:bCs/>
          <w:lang w:eastAsia="en-GB"/>
        </w:rPr>
        <w:t xml:space="preserve"> anticipated that such a peak could be achieved at 23 mi</w:t>
      </w:r>
      <w:r w:rsidR="0051433C">
        <w:rPr>
          <w:rFonts w:ascii="Arial" w:eastAsia="Times New Roman" w:hAnsi="Arial" w:cs="Arial"/>
          <w:bCs/>
          <w:lang w:eastAsia="en-GB"/>
        </w:rPr>
        <w:t>llion. Following the massive increase in immigration numbers from the mid-</w:t>
      </w:r>
      <w:proofErr w:type="spellStart"/>
      <w:r w:rsidR="0051433C">
        <w:rPr>
          <w:rFonts w:ascii="Arial" w:eastAsia="Times New Roman" w:hAnsi="Arial" w:cs="Arial"/>
          <w:bCs/>
          <w:lang w:eastAsia="en-GB"/>
        </w:rPr>
        <w:t>2000s</w:t>
      </w:r>
      <w:proofErr w:type="spellEnd"/>
      <w:r w:rsidR="0051433C">
        <w:rPr>
          <w:rFonts w:ascii="Arial" w:eastAsia="Times New Roman" w:hAnsi="Arial" w:cs="Arial"/>
          <w:bCs/>
          <w:lang w:eastAsia="en-GB"/>
        </w:rPr>
        <w:t>, that milestone is passed.</w:t>
      </w:r>
      <w:r w:rsidR="00B555BC">
        <w:rPr>
          <w:rFonts w:ascii="Arial" w:eastAsia="Times New Roman" w:hAnsi="Arial" w:cs="Arial"/>
          <w:bCs/>
          <w:lang w:eastAsia="en-GB"/>
        </w:rPr>
        <w:t xml:space="preserve"> Given current demographic momentum, a peak in the range of 26-27 million would be an appropriate target.</w:t>
      </w:r>
    </w:p>
    <w:p w14:paraId="141E229E" w14:textId="77777777" w:rsidR="00225736" w:rsidRPr="00184466" w:rsidRDefault="00225736" w:rsidP="008D76E7">
      <w:pPr>
        <w:shd w:val="clear" w:color="auto" w:fill="FFFFFF"/>
        <w:spacing w:after="0" w:line="240" w:lineRule="auto"/>
        <w:jc w:val="both"/>
        <w:rPr>
          <w:rFonts w:ascii="Arial" w:eastAsia="Times New Roman" w:hAnsi="Arial" w:cs="Arial"/>
          <w:bCs/>
          <w:lang w:eastAsia="en-GB"/>
        </w:rPr>
      </w:pPr>
    </w:p>
    <w:p w14:paraId="6322B3C1" w14:textId="77777777" w:rsidR="00581A06" w:rsidRPr="00184466" w:rsidRDefault="00581A06" w:rsidP="00581A06">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Accordingly, SPA advocates that Australia’s immigration policy objectives specifically include the facilitation of a sustainable population level as </w:t>
      </w:r>
      <w:r>
        <w:rPr>
          <w:rFonts w:ascii="Arial" w:eastAsia="Times New Roman" w:hAnsi="Arial" w:cs="Arial"/>
          <w:bCs/>
          <w:lang w:eastAsia="en-GB"/>
        </w:rPr>
        <w:t>its</w:t>
      </w:r>
      <w:r w:rsidRPr="00184466">
        <w:rPr>
          <w:rFonts w:ascii="Arial" w:eastAsia="Times New Roman" w:hAnsi="Arial" w:cs="Arial"/>
          <w:bCs/>
          <w:lang w:eastAsia="en-GB"/>
        </w:rPr>
        <w:t xml:space="preserve"> primary goal.</w:t>
      </w:r>
    </w:p>
    <w:p w14:paraId="4556E155" w14:textId="77777777" w:rsidR="00581A06" w:rsidRDefault="00581A06" w:rsidP="00581A06">
      <w:pPr>
        <w:shd w:val="clear" w:color="auto" w:fill="FFFFFF"/>
        <w:spacing w:after="0" w:line="240" w:lineRule="auto"/>
        <w:jc w:val="both"/>
        <w:rPr>
          <w:rFonts w:ascii="Arial" w:eastAsia="Times New Roman" w:hAnsi="Arial" w:cs="Arial"/>
          <w:bCs/>
          <w:lang w:eastAsia="en-GB"/>
        </w:rPr>
      </w:pPr>
    </w:p>
    <w:p w14:paraId="310F5B23" w14:textId="77777777" w:rsidR="00225736" w:rsidRPr="00184466" w:rsidRDefault="00225736" w:rsidP="008D76E7">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lastRenderedPageBreak/>
        <w:t>SPA welcomes the opportunity to provide further information to the Commission regarding this recommendation if required.</w:t>
      </w:r>
    </w:p>
    <w:p w14:paraId="35281EB7" w14:textId="77777777" w:rsidR="007A7E81" w:rsidRPr="00184466" w:rsidRDefault="007A7E81" w:rsidP="007A7E81">
      <w:pPr>
        <w:shd w:val="clear" w:color="auto" w:fill="FFFFFF"/>
        <w:spacing w:after="0" w:line="240" w:lineRule="auto"/>
        <w:rPr>
          <w:rFonts w:ascii="Arial" w:eastAsia="Times New Roman" w:hAnsi="Arial" w:cs="Arial"/>
          <w:bCs/>
          <w:lang w:eastAsia="en-GB"/>
        </w:rPr>
      </w:pPr>
    </w:p>
    <w:p w14:paraId="5F2F1384" w14:textId="77777777" w:rsidR="00782C2C" w:rsidRPr="00184466" w:rsidRDefault="00C92FC9" w:rsidP="00FE1B0B">
      <w:pPr>
        <w:shd w:val="clear" w:color="auto" w:fill="FFFFFF"/>
        <w:spacing w:after="288" w:line="240" w:lineRule="auto"/>
        <w:rPr>
          <w:rFonts w:ascii="Arial" w:eastAsia="Times New Roman" w:hAnsi="Arial" w:cs="Arial"/>
          <w:b/>
          <w:bCs/>
          <w:u w:val="single"/>
          <w:lang w:eastAsia="en-GB"/>
        </w:rPr>
      </w:pPr>
      <w:r w:rsidRPr="00184466">
        <w:rPr>
          <w:rFonts w:ascii="Arial" w:eastAsia="Times New Roman" w:hAnsi="Arial" w:cs="Arial"/>
          <w:b/>
          <w:bCs/>
          <w:u w:val="single"/>
          <w:lang w:eastAsia="en-GB"/>
        </w:rPr>
        <w:t xml:space="preserve">2.2 </w:t>
      </w:r>
      <w:r w:rsidR="00782C2C" w:rsidRPr="00184466">
        <w:rPr>
          <w:rFonts w:ascii="Arial" w:eastAsia="Times New Roman" w:hAnsi="Arial" w:cs="Arial"/>
          <w:b/>
          <w:bCs/>
          <w:u w:val="single"/>
          <w:lang w:eastAsia="en-GB"/>
        </w:rPr>
        <w:t>Considerations in relation to the impacts on the urban amenity of existing residents</w:t>
      </w:r>
      <w:r w:rsidRPr="00184466">
        <w:rPr>
          <w:rFonts w:ascii="Arial" w:eastAsia="Times New Roman" w:hAnsi="Arial" w:cs="Arial"/>
          <w:b/>
          <w:bCs/>
          <w:u w:val="single"/>
          <w:lang w:eastAsia="en-GB"/>
        </w:rPr>
        <w:t xml:space="preserve"> (</w:t>
      </w:r>
      <w:proofErr w:type="spellStart"/>
      <w:r w:rsidRPr="00184466">
        <w:rPr>
          <w:rFonts w:ascii="Arial" w:eastAsia="Times New Roman" w:hAnsi="Arial" w:cs="Arial"/>
          <w:b/>
          <w:bCs/>
          <w:u w:val="single"/>
          <w:lang w:eastAsia="en-GB"/>
        </w:rPr>
        <w:t>p.22</w:t>
      </w:r>
      <w:proofErr w:type="spellEnd"/>
      <w:r w:rsidRPr="00184466">
        <w:rPr>
          <w:rFonts w:ascii="Arial" w:eastAsia="Times New Roman" w:hAnsi="Arial" w:cs="Arial"/>
          <w:b/>
          <w:bCs/>
          <w:u w:val="single"/>
          <w:lang w:eastAsia="en-GB"/>
        </w:rPr>
        <w:t>)</w:t>
      </w:r>
    </w:p>
    <w:p w14:paraId="2C0CA245" w14:textId="77777777" w:rsidR="009259D3" w:rsidRPr="00184466" w:rsidRDefault="001F4546" w:rsidP="00D50787">
      <w:pPr>
        <w:shd w:val="clear" w:color="auto" w:fill="FFFFFF"/>
        <w:spacing w:after="288"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SPA notes that Infrastructure Australia has recently identified </w:t>
      </w:r>
      <w:r w:rsidR="00C740B8">
        <w:rPr>
          <w:rFonts w:ascii="Arial" w:eastAsia="Times New Roman" w:hAnsi="Arial" w:cs="Arial"/>
          <w:bCs/>
          <w:lang w:eastAsia="en-GB"/>
        </w:rPr>
        <w:t xml:space="preserve">the increasing </w:t>
      </w:r>
      <w:r w:rsidR="00C92FC9" w:rsidRPr="00184466">
        <w:rPr>
          <w:rFonts w:ascii="Arial" w:eastAsia="Times New Roman" w:hAnsi="Arial" w:cs="Arial"/>
          <w:bCs/>
          <w:lang w:eastAsia="en-GB"/>
        </w:rPr>
        <w:t xml:space="preserve">population as a key driver </w:t>
      </w:r>
      <w:r w:rsidR="00C740B8">
        <w:rPr>
          <w:rFonts w:ascii="Arial" w:eastAsia="Times New Roman" w:hAnsi="Arial" w:cs="Arial"/>
          <w:bCs/>
          <w:lang w:eastAsia="en-GB"/>
        </w:rPr>
        <w:t>for</w:t>
      </w:r>
      <w:r w:rsidRPr="00184466">
        <w:rPr>
          <w:rFonts w:ascii="Arial" w:eastAsia="Times New Roman" w:hAnsi="Arial" w:cs="Arial"/>
          <w:bCs/>
          <w:lang w:eastAsia="en-GB"/>
        </w:rPr>
        <w:t xml:space="preserve"> </w:t>
      </w:r>
      <w:r w:rsidR="00C92FC9" w:rsidRPr="00184466">
        <w:rPr>
          <w:rFonts w:ascii="Arial" w:eastAsia="Times New Roman" w:hAnsi="Arial" w:cs="Arial"/>
          <w:bCs/>
          <w:lang w:eastAsia="en-GB"/>
        </w:rPr>
        <w:t>existing</w:t>
      </w:r>
      <w:r w:rsidRPr="00184466">
        <w:rPr>
          <w:rFonts w:ascii="Arial" w:eastAsia="Times New Roman" w:hAnsi="Arial" w:cs="Arial"/>
          <w:bCs/>
          <w:lang w:eastAsia="en-GB"/>
        </w:rPr>
        <w:t xml:space="preserve"> infrastructure</w:t>
      </w:r>
      <w:r w:rsidR="00B555BC">
        <w:rPr>
          <w:rFonts w:ascii="Arial" w:eastAsia="Times New Roman" w:hAnsi="Arial" w:cs="Arial"/>
          <w:bCs/>
          <w:lang w:eastAsia="en-GB"/>
        </w:rPr>
        <w:t xml:space="preserve"> deficits and congestion</w:t>
      </w:r>
      <w:r w:rsidR="00035BB3" w:rsidRPr="00184466">
        <w:rPr>
          <w:rFonts w:ascii="Arial" w:eastAsia="Times New Roman" w:hAnsi="Arial" w:cs="Arial"/>
          <w:bCs/>
          <w:lang w:eastAsia="en-GB"/>
        </w:rPr>
        <w:t xml:space="preserve"> (particularly in capital cities) and the </w:t>
      </w:r>
      <w:r w:rsidR="00C740B8">
        <w:rPr>
          <w:rFonts w:ascii="Arial" w:eastAsia="Times New Roman" w:hAnsi="Arial" w:cs="Arial"/>
          <w:bCs/>
          <w:lang w:eastAsia="en-GB"/>
        </w:rPr>
        <w:t xml:space="preserve">resultant </w:t>
      </w:r>
      <w:r w:rsidR="00035BB3" w:rsidRPr="00184466">
        <w:rPr>
          <w:rFonts w:ascii="Arial" w:eastAsia="Times New Roman" w:hAnsi="Arial" w:cs="Arial"/>
          <w:bCs/>
          <w:lang w:eastAsia="en-GB"/>
        </w:rPr>
        <w:t>challenge associated with providing new and renewed infrastructure to address this.</w:t>
      </w:r>
      <w:r w:rsidR="00035BB3" w:rsidRPr="00184466">
        <w:rPr>
          <w:rStyle w:val="FootnoteReference"/>
          <w:rFonts w:ascii="Arial" w:eastAsia="Times New Roman" w:hAnsi="Arial" w:cs="Arial"/>
          <w:bCs/>
          <w:lang w:eastAsia="en-GB"/>
        </w:rPr>
        <w:footnoteReference w:id="3"/>
      </w:r>
      <w:r w:rsidR="009259D3" w:rsidRPr="00184466">
        <w:rPr>
          <w:rFonts w:ascii="Arial" w:eastAsia="Times New Roman" w:hAnsi="Arial" w:cs="Arial"/>
          <w:bCs/>
          <w:lang w:eastAsia="en-GB"/>
        </w:rPr>
        <w:t xml:space="preserve">  </w:t>
      </w:r>
      <w:r w:rsidR="00691922" w:rsidRPr="00184466">
        <w:rPr>
          <w:rFonts w:ascii="Arial" w:eastAsia="Times New Roman" w:hAnsi="Arial" w:cs="Arial"/>
          <w:bCs/>
          <w:lang w:eastAsia="en-GB"/>
        </w:rPr>
        <w:t xml:space="preserve">In particular, </w:t>
      </w:r>
      <w:r w:rsidR="00D50787" w:rsidRPr="00184466">
        <w:rPr>
          <w:rFonts w:ascii="Arial" w:eastAsia="Times New Roman" w:hAnsi="Arial" w:cs="Arial"/>
          <w:bCs/>
          <w:lang w:eastAsia="en-GB"/>
        </w:rPr>
        <w:t>Infrastructure Australia highlights that the national population increased by more than one million people since 2011 (p. 5).</w:t>
      </w:r>
    </w:p>
    <w:p w14:paraId="7BB9F972" w14:textId="77777777" w:rsidR="00B57388" w:rsidRDefault="00B57388" w:rsidP="00D50787">
      <w:pPr>
        <w:shd w:val="clear" w:color="auto" w:fill="FFFFFF"/>
        <w:spacing w:after="288" w:line="240" w:lineRule="auto"/>
        <w:jc w:val="both"/>
        <w:rPr>
          <w:rFonts w:ascii="Arial" w:eastAsia="Times New Roman" w:hAnsi="Arial" w:cs="Arial"/>
          <w:bCs/>
          <w:lang w:eastAsia="en-GB"/>
        </w:rPr>
      </w:pPr>
      <w:r w:rsidRPr="00184466">
        <w:rPr>
          <w:rFonts w:ascii="Arial" w:eastAsia="Times New Roman" w:hAnsi="Arial" w:cs="Arial"/>
          <w:bCs/>
          <w:lang w:eastAsia="en-GB"/>
        </w:rPr>
        <w:t>SP</w:t>
      </w:r>
      <w:r w:rsidR="005E7B5B" w:rsidRPr="00184466">
        <w:rPr>
          <w:rFonts w:ascii="Arial" w:eastAsia="Times New Roman" w:hAnsi="Arial" w:cs="Arial"/>
          <w:bCs/>
          <w:lang w:eastAsia="en-GB"/>
        </w:rPr>
        <w:t>A</w:t>
      </w:r>
      <w:r w:rsidRPr="00184466">
        <w:rPr>
          <w:rFonts w:ascii="Arial" w:eastAsia="Times New Roman" w:hAnsi="Arial" w:cs="Arial"/>
          <w:bCs/>
          <w:lang w:eastAsia="en-GB"/>
        </w:rPr>
        <w:t xml:space="preserve"> argues that this population increase, which is </w:t>
      </w:r>
      <w:r w:rsidR="00BA003B">
        <w:rPr>
          <w:rFonts w:ascii="Arial" w:eastAsia="Times New Roman" w:hAnsi="Arial" w:cs="Arial"/>
          <w:bCs/>
          <w:lang w:eastAsia="en-GB"/>
        </w:rPr>
        <w:t>predominantly due to net</w:t>
      </w:r>
      <w:r w:rsidR="00F0725C">
        <w:rPr>
          <w:rFonts w:ascii="Arial" w:eastAsia="Times New Roman" w:hAnsi="Arial" w:cs="Arial"/>
          <w:bCs/>
          <w:lang w:eastAsia="en-GB"/>
        </w:rPr>
        <w:t xml:space="preserve"> </w:t>
      </w:r>
      <w:r w:rsidR="00307DD7">
        <w:rPr>
          <w:rFonts w:ascii="Arial" w:eastAsia="Times New Roman" w:hAnsi="Arial" w:cs="Arial"/>
          <w:bCs/>
          <w:lang w:eastAsia="en-GB"/>
        </w:rPr>
        <w:t>overseas</w:t>
      </w:r>
      <w:r w:rsidR="00307DD7" w:rsidRPr="00184466">
        <w:rPr>
          <w:rFonts w:ascii="Arial" w:eastAsia="Times New Roman" w:hAnsi="Arial" w:cs="Arial"/>
          <w:bCs/>
          <w:lang w:eastAsia="en-GB"/>
        </w:rPr>
        <w:t xml:space="preserve"> </w:t>
      </w:r>
      <w:r w:rsidRPr="00184466">
        <w:rPr>
          <w:rFonts w:ascii="Arial" w:eastAsia="Times New Roman" w:hAnsi="Arial" w:cs="Arial"/>
          <w:bCs/>
          <w:lang w:eastAsia="en-GB"/>
        </w:rPr>
        <w:t xml:space="preserve">migration, has clearly not </w:t>
      </w:r>
      <w:r w:rsidR="00F0725C">
        <w:rPr>
          <w:rFonts w:ascii="Arial" w:eastAsia="Times New Roman" w:hAnsi="Arial" w:cs="Arial"/>
          <w:bCs/>
          <w:lang w:eastAsia="en-GB"/>
        </w:rPr>
        <w:t>received</w:t>
      </w:r>
      <w:r w:rsidRPr="00184466">
        <w:rPr>
          <w:rFonts w:ascii="Arial" w:eastAsia="Times New Roman" w:hAnsi="Arial" w:cs="Arial"/>
          <w:bCs/>
          <w:lang w:eastAsia="en-GB"/>
        </w:rPr>
        <w:t xml:space="preserve"> commensurate investment in community infrastructure such as roads, public transport, </w:t>
      </w:r>
      <w:r w:rsidR="005E7B5B" w:rsidRPr="00184466">
        <w:rPr>
          <w:rFonts w:ascii="Arial" w:eastAsia="Times New Roman" w:hAnsi="Arial" w:cs="Arial"/>
          <w:bCs/>
          <w:lang w:eastAsia="en-GB"/>
        </w:rPr>
        <w:t>urban planning, airports, etc.</w:t>
      </w:r>
      <w:r w:rsidR="00C74A28">
        <w:rPr>
          <w:rFonts w:ascii="Arial" w:eastAsia="Times New Roman" w:hAnsi="Arial" w:cs="Arial"/>
          <w:bCs/>
          <w:lang w:eastAsia="en-GB"/>
        </w:rPr>
        <w:t xml:space="preserve"> </w:t>
      </w:r>
      <w:r w:rsidR="005E688B" w:rsidRPr="00184466">
        <w:rPr>
          <w:rFonts w:ascii="Arial" w:eastAsia="Times New Roman" w:hAnsi="Arial" w:cs="Arial"/>
          <w:bCs/>
          <w:lang w:eastAsia="en-GB"/>
        </w:rPr>
        <w:t xml:space="preserve">This deficit has resulted in declining urban amenity as evidenced by phenomena of </w:t>
      </w:r>
      <w:r w:rsidR="00594A02">
        <w:rPr>
          <w:rFonts w:ascii="Arial" w:eastAsia="Times New Roman" w:hAnsi="Arial" w:cs="Arial"/>
          <w:bCs/>
          <w:lang w:eastAsia="en-GB"/>
        </w:rPr>
        <w:t xml:space="preserve">overcrowding, </w:t>
      </w:r>
      <w:r w:rsidR="005E688B" w:rsidRPr="00184466">
        <w:rPr>
          <w:rFonts w:ascii="Arial" w:eastAsia="Times New Roman" w:hAnsi="Arial" w:cs="Arial"/>
          <w:bCs/>
          <w:lang w:eastAsia="en-GB"/>
        </w:rPr>
        <w:t xml:space="preserve">increased traffic congestion, pollution, </w:t>
      </w:r>
      <w:r w:rsidR="00F0725C">
        <w:rPr>
          <w:rFonts w:ascii="Arial" w:eastAsia="Times New Roman" w:hAnsi="Arial" w:cs="Arial"/>
          <w:bCs/>
          <w:lang w:eastAsia="en-GB"/>
        </w:rPr>
        <w:t>distressed</w:t>
      </w:r>
      <w:r w:rsidR="005E688B" w:rsidRPr="00184466">
        <w:rPr>
          <w:rFonts w:ascii="Arial" w:eastAsia="Times New Roman" w:hAnsi="Arial" w:cs="Arial"/>
          <w:bCs/>
          <w:lang w:eastAsia="en-GB"/>
        </w:rPr>
        <w:t xml:space="preserve"> public transport</w:t>
      </w:r>
      <w:r w:rsidR="00F0725C">
        <w:rPr>
          <w:rFonts w:ascii="Arial" w:eastAsia="Times New Roman" w:hAnsi="Arial" w:cs="Arial"/>
          <w:bCs/>
          <w:lang w:eastAsia="en-GB"/>
        </w:rPr>
        <w:t xml:space="preserve"> systems</w:t>
      </w:r>
      <w:r w:rsidR="005E688B" w:rsidRPr="00184466">
        <w:rPr>
          <w:rFonts w:ascii="Arial" w:eastAsia="Times New Roman" w:hAnsi="Arial" w:cs="Arial"/>
          <w:bCs/>
          <w:lang w:eastAsia="en-GB"/>
        </w:rPr>
        <w:t xml:space="preserve">, broadening urbanisation, </w:t>
      </w:r>
      <w:r w:rsidR="00691922" w:rsidRPr="00184466">
        <w:rPr>
          <w:rFonts w:ascii="Arial" w:eastAsia="Times New Roman" w:hAnsi="Arial" w:cs="Arial"/>
          <w:bCs/>
          <w:lang w:eastAsia="en-GB"/>
        </w:rPr>
        <w:t xml:space="preserve">increased demand </w:t>
      </w:r>
      <w:r w:rsidR="00B555BC">
        <w:rPr>
          <w:rFonts w:ascii="Arial" w:eastAsia="Times New Roman" w:hAnsi="Arial" w:cs="Arial"/>
          <w:bCs/>
          <w:lang w:eastAsia="en-GB"/>
        </w:rPr>
        <w:t>for</w:t>
      </w:r>
      <w:r w:rsidR="00B555BC" w:rsidRPr="00184466">
        <w:rPr>
          <w:rFonts w:ascii="Arial" w:eastAsia="Times New Roman" w:hAnsi="Arial" w:cs="Arial"/>
          <w:bCs/>
          <w:lang w:eastAsia="en-GB"/>
        </w:rPr>
        <w:t xml:space="preserve"> </w:t>
      </w:r>
      <w:r w:rsidR="00691922" w:rsidRPr="00184466">
        <w:rPr>
          <w:rFonts w:ascii="Arial" w:eastAsia="Times New Roman" w:hAnsi="Arial" w:cs="Arial"/>
          <w:bCs/>
          <w:lang w:eastAsia="en-GB"/>
        </w:rPr>
        <w:t xml:space="preserve">essential government </w:t>
      </w:r>
      <w:r w:rsidR="00240537">
        <w:rPr>
          <w:rFonts w:ascii="Arial" w:eastAsia="Times New Roman" w:hAnsi="Arial" w:cs="Arial"/>
          <w:bCs/>
          <w:lang w:eastAsia="en-GB"/>
        </w:rPr>
        <w:t xml:space="preserve">and social </w:t>
      </w:r>
      <w:r w:rsidR="00691922" w:rsidRPr="00184466">
        <w:rPr>
          <w:rFonts w:ascii="Arial" w:eastAsia="Times New Roman" w:hAnsi="Arial" w:cs="Arial"/>
          <w:bCs/>
          <w:lang w:eastAsia="en-GB"/>
        </w:rPr>
        <w:t xml:space="preserve">services, </w:t>
      </w:r>
      <w:r w:rsidR="005E688B" w:rsidRPr="00184466">
        <w:rPr>
          <w:rFonts w:ascii="Arial" w:eastAsia="Times New Roman" w:hAnsi="Arial" w:cs="Arial"/>
          <w:bCs/>
          <w:lang w:eastAsia="en-GB"/>
        </w:rPr>
        <w:t>etc.</w:t>
      </w:r>
      <w:r w:rsidR="00691922" w:rsidRPr="00184466">
        <w:rPr>
          <w:rFonts w:ascii="Arial" w:eastAsia="Times New Roman" w:hAnsi="Arial" w:cs="Arial"/>
          <w:bCs/>
          <w:lang w:eastAsia="en-GB"/>
        </w:rPr>
        <w:t xml:space="preserve">  When combined, these considerations contribute to lower levels of social capital and quality of life </w:t>
      </w:r>
      <w:r w:rsidR="001E094B">
        <w:rPr>
          <w:rFonts w:ascii="Arial" w:eastAsia="Times New Roman" w:hAnsi="Arial" w:cs="Arial"/>
          <w:bCs/>
          <w:lang w:eastAsia="en-GB"/>
        </w:rPr>
        <w:t xml:space="preserve">enjoyed </w:t>
      </w:r>
      <w:r w:rsidR="00691922" w:rsidRPr="00184466">
        <w:rPr>
          <w:rFonts w:ascii="Arial" w:eastAsia="Times New Roman" w:hAnsi="Arial" w:cs="Arial"/>
          <w:bCs/>
          <w:lang w:eastAsia="en-GB"/>
        </w:rPr>
        <w:t>by existing residents.</w:t>
      </w:r>
    </w:p>
    <w:p w14:paraId="28A37616" w14:textId="77777777" w:rsidR="00C74A28" w:rsidRPr="00184466" w:rsidRDefault="00C74A28" w:rsidP="00C74A28">
      <w:pPr>
        <w:shd w:val="clear" w:color="auto" w:fill="FFFFFF"/>
        <w:spacing w:after="288" w:line="240" w:lineRule="auto"/>
        <w:jc w:val="both"/>
        <w:rPr>
          <w:rFonts w:ascii="Arial" w:eastAsia="Times New Roman" w:hAnsi="Arial" w:cs="Arial"/>
          <w:bCs/>
          <w:lang w:eastAsia="en-GB"/>
        </w:rPr>
      </w:pPr>
      <w:r>
        <w:rPr>
          <w:rFonts w:ascii="Arial" w:eastAsia="Times New Roman" w:hAnsi="Arial" w:cs="Arial"/>
          <w:bCs/>
          <w:lang w:eastAsia="en-GB"/>
        </w:rPr>
        <w:t>This is despite record high levels of infrastructure investment by State governments. The Grattan Institute’s report “</w:t>
      </w:r>
      <w:r w:rsidRPr="00C74A28">
        <w:rPr>
          <w:rFonts w:ascii="Arial" w:eastAsia="Times New Roman" w:hAnsi="Arial" w:cs="Arial"/>
          <w:bCs/>
          <w:lang w:eastAsia="en-GB"/>
        </w:rPr>
        <w:t>Budget pressures on Australian governments 2014</w:t>
      </w:r>
      <w:r>
        <w:rPr>
          <w:rFonts w:ascii="Arial" w:eastAsia="Times New Roman" w:hAnsi="Arial" w:cs="Arial"/>
          <w:bCs/>
          <w:lang w:eastAsia="en-GB"/>
        </w:rPr>
        <w:t>” notes that “</w:t>
      </w:r>
      <w:r w:rsidRPr="00C74A28">
        <w:rPr>
          <w:rFonts w:ascii="Arial" w:eastAsia="Times New Roman" w:hAnsi="Arial" w:cs="Arial"/>
          <w:bCs/>
          <w:lang w:eastAsia="en-GB"/>
        </w:rPr>
        <w:t>Unprecedented infrastructure spending by states and territories is largely responsible for a $106 billion decli</w:t>
      </w:r>
      <w:r>
        <w:rPr>
          <w:rFonts w:ascii="Arial" w:eastAsia="Times New Roman" w:hAnsi="Arial" w:cs="Arial"/>
          <w:bCs/>
          <w:lang w:eastAsia="en-GB"/>
        </w:rPr>
        <w:t>ne in their finances since 2006,</w:t>
      </w:r>
      <w:r w:rsidRPr="00C74A28">
        <w:rPr>
          <w:rFonts w:ascii="Arial" w:eastAsia="Times New Roman" w:hAnsi="Arial" w:cs="Arial"/>
          <w:bCs/>
          <w:lang w:eastAsia="en-GB"/>
        </w:rPr>
        <w:t>”</w:t>
      </w:r>
      <w:r>
        <w:rPr>
          <w:rFonts w:ascii="Arial" w:eastAsia="Times New Roman" w:hAnsi="Arial" w:cs="Arial"/>
          <w:bCs/>
          <w:lang w:eastAsia="en-GB"/>
        </w:rPr>
        <w:t xml:space="preserve"> and that </w:t>
      </w:r>
      <w:r w:rsidRPr="00C74A28">
        <w:rPr>
          <w:rFonts w:ascii="Arial" w:eastAsia="Times New Roman" w:hAnsi="Arial" w:cs="Arial"/>
          <w:bCs/>
          <w:lang w:eastAsia="en-GB"/>
        </w:rPr>
        <w:t>“After a threefold increase in capital spending over the last 10 years, states are paying 3 per cent more of their revenues in interest and depreciation.”</w:t>
      </w:r>
      <w:r w:rsidR="007B290E">
        <w:rPr>
          <w:rStyle w:val="FootnoteReference"/>
          <w:rFonts w:ascii="Arial" w:eastAsia="Times New Roman" w:hAnsi="Arial" w:cs="Arial"/>
          <w:bCs/>
          <w:lang w:eastAsia="en-GB"/>
        </w:rPr>
        <w:footnoteReference w:id="4"/>
      </w:r>
      <w:r>
        <w:rPr>
          <w:rFonts w:ascii="Arial" w:eastAsia="Times New Roman" w:hAnsi="Arial" w:cs="Arial"/>
          <w:bCs/>
          <w:lang w:eastAsia="en-GB"/>
        </w:rPr>
        <w:t xml:space="preserve"> Such pressures have contributed significantly to austerity in welfare and service spending, and to increases in service charges for a range of government-owned and newly privatised services. This pincer-action of increasing cost of living and reducing government support is increasing the inequality of opportunities and outcomes for Australians, with a growing proportion of disenfranchised people experiencing deteriorating security and mental health.</w:t>
      </w:r>
    </w:p>
    <w:p w14:paraId="21F60495" w14:textId="77777777" w:rsidR="008C2D22" w:rsidRDefault="005E7B5B" w:rsidP="005E688B">
      <w:pPr>
        <w:shd w:val="clear" w:color="auto" w:fill="FFFFFF"/>
        <w:spacing w:after="288"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SPA notes </w:t>
      </w:r>
      <w:r w:rsidR="001F4546" w:rsidRPr="00184466">
        <w:rPr>
          <w:rFonts w:ascii="Arial" w:eastAsia="Times New Roman" w:hAnsi="Arial" w:cs="Arial"/>
          <w:bCs/>
          <w:lang w:eastAsia="en-GB"/>
        </w:rPr>
        <w:t xml:space="preserve">that the Productivity Commissions’ </w:t>
      </w:r>
      <w:r w:rsidRPr="00184466">
        <w:rPr>
          <w:rFonts w:ascii="Arial" w:eastAsia="Times New Roman" w:hAnsi="Arial" w:cs="Arial"/>
          <w:bCs/>
          <w:lang w:eastAsia="en-GB"/>
        </w:rPr>
        <w:t>Public Infrastructure Inquiry Report</w:t>
      </w:r>
      <w:r w:rsidR="001F4546" w:rsidRPr="00184466">
        <w:rPr>
          <w:rFonts w:ascii="Arial" w:eastAsia="Times New Roman" w:hAnsi="Arial" w:cs="Arial"/>
          <w:bCs/>
          <w:lang w:eastAsia="en-GB"/>
        </w:rPr>
        <w:t xml:space="preserve"> identified options for the planning a</w:t>
      </w:r>
      <w:r w:rsidR="008C2D22" w:rsidRPr="00184466">
        <w:rPr>
          <w:rFonts w:ascii="Arial" w:eastAsia="Times New Roman" w:hAnsi="Arial" w:cs="Arial"/>
          <w:bCs/>
          <w:lang w:eastAsia="en-GB"/>
        </w:rPr>
        <w:t>nd deployment of infrastructure commensura</w:t>
      </w:r>
      <w:r w:rsidR="00774727" w:rsidRPr="00184466">
        <w:rPr>
          <w:rFonts w:ascii="Arial" w:eastAsia="Times New Roman" w:hAnsi="Arial" w:cs="Arial"/>
          <w:bCs/>
          <w:lang w:eastAsia="en-GB"/>
        </w:rPr>
        <w:t>te with need and resource usage,</w:t>
      </w:r>
      <w:r w:rsidRPr="00184466">
        <w:rPr>
          <w:rStyle w:val="FootnoteReference"/>
          <w:rFonts w:ascii="Arial" w:eastAsia="Times New Roman" w:hAnsi="Arial" w:cs="Arial"/>
          <w:bCs/>
          <w:lang w:eastAsia="en-GB"/>
        </w:rPr>
        <w:footnoteReference w:id="5"/>
      </w:r>
      <w:r w:rsidR="00774727" w:rsidRPr="00184466">
        <w:rPr>
          <w:rFonts w:ascii="Arial" w:eastAsia="Times New Roman" w:hAnsi="Arial" w:cs="Arial"/>
          <w:bCs/>
          <w:lang w:eastAsia="en-GB"/>
        </w:rPr>
        <w:t xml:space="preserve"> and </w:t>
      </w:r>
      <w:r w:rsidRPr="00184466">
        <w:rPr>
          <w:rFonts w:ascii="Arial" w:eastAsia="Times New Roman" w:hAnsi="Arial" w:cs="Arial"/>
          <w:bCs/>
          <w:lang w:eastAsia="en-GB"/>
        </w:rPr>
        <w:t xml:space="preserve">that the Issues Paper </w:t>
      </w:r>
      <w:r w:rsidR="00774727" w:rsidRPr="00184466">
        <w:rPr>
          <w:rFonts w:ascii="Arial" w:eastAsia="Times New Roman" w:hAnsi="Arial" w:cs="Arial"/>
          <w:bCs/>
          <w:lang w:eastAsia="en-GB"/>
        </w:rPr>
        <w:t xml:space="preserve">speculates that – if complied with – these </w:t>
      </w:r>
      <w:r w:rsidR="008C2D22" w:rsidRPr="00184466">
        <w:rPr>
          <w:rFonts w:ascii="Arial" w:eastAsia="Times New Roman" w:hAnsi="Arial" w:cs="Arial"/>
          <w:bCs/>
          <w:lang w:eastAsia="en-GB"/>
        </w:rPr>
        <w:t xml:space="preserve">proposals </w:t>
      </w:r>
      <w:r w:rsidR="00774727" w:rsidRPr="00184466">
        <w:rPr>
          <w:rFonts w:ascii="Arial" w:eastAsia="Times New Roman" w:hAnsi="Arial" w:cs="Arial"/>
          <w:bCs/>
          <w:lang w:eastAsia="en-GB"/>
        </w:rPr>
        <w:t>are</w:t>
      </w:r>
      <w:r w:rsidR="008C2D22" w:rsidRPr="00184466">
        <w:rPr>
          <w:rFonts w:ascii="Arial" w:eastAsia="Times New Roman" w:hAnsi="Arial" w:cs="Arial"/>
          <w:bCs/>
          <w:lang w:eastAsia="en-GB"/>
        </w:rPr>
        <w:t xml:space="preserve"> able to support a higher immigration rate (p. 22).  However, SPA posits that there is little demonstrable </w:t>
      </w:r>
      <w:r w:rsidR="005E688B" w:rsidRPr="00184466">
        <w:rPr>
          <w:rFonts w:ascii="Arial" w:eastAsia="Times New Roman" w:hAnsi="Arial" w:cs="Arial"/>
          <w:bCs/>
          <w:lang w:eastAsia="en-GB"/>
        </w:rPr>
        <w:t>evidence</w:t>
      </w:r>
      <w:r w:rsidR="008C2D22" w:rsidRPr="00184466">
        <w:rPr>
          <w:rFonts w:ascii="Arial" w:eastAsia="Times New Roman" w:hAnsi="Arial" w:cs="Arial"/>
          <w:bCs/>
          <w:lang w:eastAsia="en-GB"/>
        </w:rPr>
        <w:t xml:space="preserve"> that the Commission’s recommendations in relation to infrastructure deployment </w:t>
      </w:r>
      <w:r w:rsidR="0026327C">
        <w:rPr>
          <w:rFonts w:ascii="Arial" w:eastAsia="Times New Roman" w:hAnsi="Arial" w:cs="Arial"/>
          <w:bCs/>
          <w:lang w:eastAsia="en-GB"/>
        </w:rPr>
        <w:t>are sustainable, either fiscally or in terms of the burden of cost-recovery charges on Australian businesses</w:t>
      </w:r>
      <w:r w:rsidR="000877D8">
        <w:rPr>
          <w:rFonts w:ascii="Arial" w:eastAsia="Times New Roman" w:hAnsi="Arial" w:cs="Arial"/>
          <w:bCs/>
          <w:lang w:eastAsia="en-GB"/>
        </w:rPr>
        <w:t xml:space="preserve"> and households</w:t>
      </w:r>
      <w:r w:rsidR="0026327C">
        <w:rPr>
          <w:rFonts w:ascii="Arial" w:eastAsia="Times New Roman" w:hAnsi="Arial" w:cs="Arial"/>
          <w:bCs/>
          <w:lang w:eastAsia="en-GB"/>
        </w:rPr>
        <w:t>.</w:t>
      </w:r>
      <w:r w:rsidR="008C2D22" w:rsidRPr="00184466">
        <w:rPr>
          <w:rFonts w:ascii="Arial" w:eastAsia="Times New Roman" w:hAnsi="Arial" w:cs="Arial"/>
          <w:bCs/>
          <w:lang w:eastAsia="en-GB"/>
        </w:rPr>
        <w:t xml:space="preserve">  </w:t>
      </w:r>
      <w:r w:rsidR="005E688B" w:rsidRPr="00184466">
        <w:rPr>
          <w:rFonts w:ascii="Arial" w:eastAsia="Times New Roman" w:hAnsi="Arial" w:cs="Arial"/>
          <w:bCs/>
          <w:lang w:eastAsia="en-GB"/>
        </w:rPr>
        <w:t>More generally</w:t>
      </w:r>
      <w:r w:rsidR="008C2D22" w:rsidRPr="00184466">
        <w:rPr>
          <w:rFonts w:ascii="Arial" w:eastAsia="Times New Roman" w:hAnsi="Arial" w:cs="Arial"/>
          <w:bCs/>
          <w:lang w:eastAsia="en-GB"/>
        </w:rPr>
        <w:t>, there is little evidence of government</w:t>
      </w:r>
      <w:r w:rsidR="004C2314" w:rsidRPr="00184466">
        <w:rPr>
          <w:rFonts w:ascii="Arial" w:eastAsia="Times New Roman" w:hAnsi="Arial" w:cs="Arial"/>
          <w:bCs/>
          <w:lang w:eastAsia="en-GB"/>
        </w:rPr>
        <w:t xml:space="preserve"> (regardless of affiliation)</w:t>
      </w:r>
      <w:r w:rsidR="00D46EFC">
        <w:rPr>
          <w:rFonts w:ascii="Arial" w:eastAsia="Times New Roman" w:hAnsi="Arial" w:cs="Arial"/>
          <w:bCs/>
          <w:lang w:eastAsia="en-GB"/>
        </w:rPr>
        <w:t xml:space="preserve"> being able to execute</w:t>
      </w:r>
      <w:r w:rsidR="008C2D22" w:rsidRPr="00184466">
        <w:rPr>
          <w:rFonts w:ascii="Arial" w:eastAsia="Times New Roman" w:hAnsi="Arial" w:cs="Arial"/>
          <w:bCs/>
          <w:lang w:eastAsia="en-GB"/>
        </w:rPr>
        <w:t xml:space="preserve"> the long-term planning genuinely required to match infrastructure with projected </w:t>
      </w:r>
      <w:r w:rsidR="004C2314" w:rsidRPr="00184466">
        <w:rPr>
          <w:rFonts w:ascii="Arial" w:eastAsia="Times New Roman" w:hAnsi="Arial" w:cs="Arial"/>
          <w:bCs/>
          <w:lang w:eastAsia="en-GB"/>
        </w:rPr>
        <w:t xml:space="preserve">future </w:t>
      </w:r>
      <w:r w:rsidR="00F0725C">
        <w:rPr>
          <w:rFonts w:ascii="Arial" w:eastAsia="Times New Roman" w:hAnsi="Arial" w:cs="Arial"/>
          <w:bCs/>
          <w:lang w:eastAsia="en-GB"/>
        </w:rPr>
        <w:t>population growth</w:t>
      </w:r>
      <w:r w:rsidR="004C2314" w:rsidRPr="00184466">
        <w:rPr>
          <w:rFonts w:ascii="Arial" w:eastAsia="Times New Roman" w:hAnsi="Arial" w:cs="Arial"/>
          <w:bCs/>
          <w:lang w:eastAsia="en-GB"/>
        </w:rPr>
        <w:t xml:space="preserve">, </w:t>
      </w:r>
      <w:r w:rsidR="00D46EFC">
        <w:rPr>
          <w:rFonts w:ascii="Arial" w:eastAsia="Times New Roman" w:hAnsi="Arial" w:cs="Arial"/>
          <w:bCs/>
          <w:lang w:eastAsia="en-GB"/>
        </w:rPr>
        <w:t>n</w:t>
      </w:r>
      <w:r w:rsidR="004C2314" w:rsidRPr="00184466">
        <w:rPr>
          <w:rFonts w:ascii="Arial" w:eastAsia="Times New Roman" w:hAnsi="Arial" w:cs="Arial"/>
          <w:bCs/>
          <w:lang w:eastAsia="en-GB"/>
        </w:rPr>
        <w:t xml:space="preserve">or </w:t>
      </w:r>
      <w:r w:rsidR="00F0725C">
        <w:rPr>
          <w:rFonts w:ascii="Arial" w:eastAsia="Times New Roman" w:hAnsi="Arial" w:cs="Arial"/>
          <w:bCs/>
          <w:lang w:eastAsia="en-GB"/>
        </w:rPr>
        <w:t xml:space="preserve">a capacity to </w:t>
      </w:r>
      <w:r w:rsidR="004C2314" w:rsidRPr="00184466">
        <w:rPr>
          <w:rFonts w:ascii="Arial" w:eastAsia="Times New Roman" w:hAnsi="Arial" w:cs="Arial"/>
          <w:bCs/>
          <w:lang w:eastAsia="en-GB"/>
        </w:rPr>
        <w:t xml:space="preserve">shift beyond short-term reactivity </w:t>
      </w:r>
      <w:r w:rsidR="00F0725C">
        <w:rPr>
          <w:rFonts w:ascii="Arial" w:eastAsia="Times New Roman" w:hAnsi="Arial" w:cs="Arial"/>
          <w:bCs/>
          <w:lang w:eastAsia="en-GB"/>
        </w:rPr>
        <w:t>orientated</w:t>
      </w:r>
      <w:r w:rsidR="004C2314" w:rsidRPr="00184466">
        <w:rPr>
          <w:rFonts w:ascii="Arial" w:eastAsia="Times New Roman" w:hAnsi="Arial" w:cs="Arial"/>
          <w:bCs/>
          <w:lang w:eastAsia="en-GB"/>
        </w:rPr>
        <w:t xml:space="preserve"> to electoral cycles.</w:t>
      </w:r>
    </w:p>
    <w:p w14:paraId="761A92C1" w14:textId="77777777" w:rsidR="00AC2706" w:rsidRPr="00184466" w:rsidRDefault="00AC2706" w:rsidP="005E688B">
      <w:pPr>
        <w:shd w:val="clear" w:color="auto" w:fill="FFFFFF"/>
        <w:spacing w:after="288" w:line="240" w:lineRule="auto"/>
        <w:jc w:val="both"/>
        <w:rPr>
          <w:rFonts w:ascii="Arial" w:eastAsia="Times New Roman" w:hAnsi="Arial" w:cs="Arial"/>
          <w:bCs/>
          <w:lang w:eastAsia="en-GB"/>
        </w:rPr>
      </w:pPr>
      <w:r>
        <w:rPr>
          <w:rFonts w:ascii="Arial" w:eastAsia="Times New Roman" w:hAnsi="Arial" w:cs="Arial"/>
          <w:bCs/>
          <w:lang w:eastAsia="en-GB"/>
        </w:rPr>
        <w:t>There is no convincing evidence of a per capita benefit to Australians from high net immigration, to offset</w:t>
      </w:r>
      <w:r w:rsidR="000877D8">
        <w:rPr>
          <w:rFonts w:ascii="Arial" w:eastAsia="Times New Roman" w:hAnsi="Arial" w:cs="Arial"/>
          <w:bCs/>
          <w:lang w:eastAsia="en-GB"/>
        </w:rPr>
        <w:t xml:space="preserve"> these negative effects. The Productivity Commission’s 2006 report “Economic Impacts of Migration and Population Growth” found that the very small increase </w:t>
      </w:r>
      <w:r w:rsidR="000877D8">
        <w:rPr>
          <w:rFonts w:ascii="Arial" w:eastAsia="Times New Roman" w:hAnsi="Arial" w:cs="Arial"/>
          <w:bCs/>
          <w:lang w:eastAsia="en-GB"/>
        </w:rPr>
        <w:lastRenderedPageBreak/>
        <w:t>in per capita GDP</w:t>
      </w:r>
      <w:r w:rsidR="0047778C">
        <w:rPr>
          <w:rFonts w:ascii="Arial" w:eastAsia="Times New Roman" w:hAnsi="Arial" w:cs="Arial"/>
          <w:bCs/>
          <w:lang w:eastAsia="en-GB"/>
        </w:rPr>
        <w:t xml:space="preserve"> anticipated by their model</w:t>
      </w:r>
      <w:r w:rsidR="00D46EFC">
        <w:rPr>
          <w:rFonts w:ascii="Arial" w:eastAsia="Times New Roman" w:hAnsi="Arial" w:cs="Arial"/>
          <w:bCs/>
          <w:lang w:eastAsia="en-GB"/>
        </w:rPr>
        <w:t xml:space="preserve"> to accrue from sustained high immigration</w:t>
      </w:r>
      <w:r w:rsidR="0047778C">
        <w:rPr>
          <w:rFonts w:ascii="Arial" w:eastAsia="Times New Roman" w:hAnsi="Arial" w:cs="Arial"/>
          <w:bCs/>
          <w:lang w:eastAsia="en-GB"/>
        </w:rPr>
        <w:t xml:space="preserve"> would be</w:t>
      </w:r>
      <w:r w:rsidR="000877D8">
        <w:rPr>
          <w:rFonts w:ascii="Arial" w:eastAsia="Times New Roman" w:hAnsi="Arial" w:cs="Arial"/>
          <w:bCs/>
          <w:lang w:eastAsia="en-GB"/>
        </w:rPr>
        <w:t xml:space="preserve"> mostly enjoyed by employers and immigrants themselves, with the majority of Australian workers</w:t>
      </w:r>
      <w:r w:rsidR="0047778C">
        <w:rPr>
          <w:rFonts w:ascii="Arial" w:eastAsia="Times New Roman" w:hAnsi="Arial" w:cs="Arial"/>
          <w:bCs/>
          <w:lang w:eastAsia="en-GB"/>
        </w:rPr>
        <w:t xml:space="preserve"> (not to mention welfare-recipients) likely to be</w:t>
      </w:r>
      <w:r w:rsidR="000877D8">
        <w:rPr>
          <w:rFonts w:ascii="Arial" w:eastAsia="Times New Roman" w:hAnsi="Arial" w:cs="Arial"/>
          <w:bCs/>
          <w:lang w:eastAsia="en-GB"/>
        </w:rPr>
        <w:t xml:space="preserve"> left worse off.</w:t>
      </w:r>
      <w:r w:rsidR="0047778C">
        <w:rPr>
          <w:rStyle w:val="FootnoteReference"/>
          <w:rFonts w:ascii="Arial" w:eastAsia="Times New Roman" w:hAnsi="Arial" w:cs="Arial"/>
          <w:bCs/>
          <w:lang w:eastAsia="en-GB"/>
        </w:rPr>
        <w:footnoteReference w:id="6"/>
      </w:r>
      <w:r w:rsidR="0047778C">
        <w:rPr>
          <w:rFonts w:ascii="Arial" w:eastAsia="Times New Roman" w:hAnsi="Arial" w:cs="Arial"/>
          <w:bCs/>
          <w:lang w:eastAsia="en-GB"/>
        </w:rPr>
        <w:t xml:space="preserve"> That report acknowledged that a range of non-monetary impacts may have further negative impacts on wellbeing.</w:t>
      </w:r>
      <w:r w:rsidR="000877D8">
        <w:rPr>
          <w:rFonts w:ascii="Arial" w:eastAsia="Times New Roman" w:hAnsi="Arial" w:cs="Arial"/>
          <w:bCs/>
          <w:lang w:eastAsia="en-GB"/>
        </w:rPr>
        <w:t xml:space="preserve"> </w:t>
      </w:r>
      <w:r w:rsidR="00D46EFC">
        <w:rPr>
          <w:rFonts w:ascii="Arial" w:eastAsia="Times New Roman" w:hAnsi="Arial" w:cs="Arial"/>
          <w:bCs/>
          <w:lang w:eastAsia="en-GB"/>
        </w:rPr>
        <w:t>It did not quantify the infrastructure creation burden which differentially burdens a rapidly growing population relative to one with little or no population growth.</w:t>
      </w:r>
      <w:r w:rsidR="00FA2A1C">
        <w:rPr>
          <w:rFonts w:ascii="Arial" w:eastAsia="Times New Roman" w:hAnsi="Arial" w:cs="Arial"/>
          <w:bCs/>
          <w:lang w:eastAsia="en-GB"/>
        </w:rPr>
        <w:t xml:space="preserve"> Nor did it consider the role of population growth in driving inflation of real estate prices, and the intensifying stress of housing unaffordability, which is arguably the greatest negative trend in wellbeing in Australia.</w:t>
      </w:r>
    </w:p>
    <w:p w14:paraId="747CF304" w14:textId="77777777" w:rsidR="00785023" w:rsidRDefault="0026327C" w:rsidP="00270F02">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It may be argue</w:t>
      </w:r>
      <w:r w:rsidR="0053432F">
        <w:rPr>
          <w:rFonts w:ascii="Arial" w:eastAsia="Times New Roman" w:hAnsi="Arial" w:cs="Arial"/>
          <w:bCs/>
          <w:lang w:eastAsia="en-GB"/>
        </w:rPr>
        <w:t>d</w:t>
      </w:r>
      <w:r>
        <w:rPr>
          <w:rFonts w:ascii="Arial" w:eastAsia="Times New Roman" w:hAnsi="Arial" w:cs="Arial"/>
          <w:bCs/>
          <w:lang w:eastAsia="en-GB"/>
        </w:rPr>
        <w:t xml:space="preserve"> that immigrants should fully compensate the nation for the cost of their immigration, not only in terms of administrative costs but the cost of infrastructure expansion. </w:t>
      </w:r>
      <w:r w:rsidR="0046792C">
        <w:rPr>
          <w:rFonts w:ascii="Arial" w:eastAsia="Times New Roman" w:hAnsi="Arial" w:cs="Arial"/>
          <w:bCs/>
          <w:lang w:eastAsia="en-GB"/>
        </w:rPr>
        <w:t>However, t</w:t>
      </w:r>
      <w:r>
        <w:rPr>
          <w:rFonts w:ascii="Arial" w:eastAsia="Times New Roman" w:hAnsi="Arial" w:cs="Arial"/>
          <w:bCs/>
          <w:lang w:eastAsia="en-GB"/>
        </w:rPr>
        <w:t>his would result in a fee of well over $100,000 per person.</w:t>
      </w:r>
      <w:r>
        <w:rPr>
          <w:rStyle w:val="FootnoteReference"/>
          <w:rFonts w:ascii="Arial" w:eastAsia="Times New Roman" w:hAnsi="Arial" w:cs="Arial"/>
          <w:bCs/>
          <w:lang w:eastAsia="en-GB"/>
        </w:rPr>
        <w:footnoteReference w:id="7"/>
      </w:r>
      <w:r>
        <w:rPr>
          <w:rFonts w:ascii="Arial" w:eastAsia="Times New Roman" w:hAnsi="Arial" w:cs="Arial"/>
          <w:bCs/>
          <w:lang w:eastAsia="en-GB"/>
        </w:rPr>
        <w:t xml:space="preserve">  </w:t>
      </w:r>
    </w:p>
    <w:p w14:paraId="7883D8DC" w14:textId="77777777" w:rsidR="00785023" w:rsidRDefault="00785023" w:rsidP="00270F02">
      <w:pPr>
        <w:shd w:val="clear" w:color="auto" w:fill="FFFFFF"/>
        <w:spacing w:after="0" w:line="240" w:lineRule="auto"/>
        <w:jc w:val="both"/>
        <w:rPr>
          <w:rFonts w:ascii="Arial" w:eastAsia="Times New Roman" w:hAnsi="Arial" w:cs="Arial"/>
          <w:bCs/>
          <w:lang w:eastAsia="en-GB"/>
        </w:rPr>
      </w:pPr>
    </w:p>
    <w:p w14:paraId="75236C3A" w14:textId="77777777" w:rsidR="0053432F" w:rsidRDefault="0026327C" w:rsidP="00270F02">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If our recommendation were followed, that permanent immigra</w:t>
      </w:r>
      <w:r w:rsidR="001C67BD">
        <w:rPr>
          <w:rFonts w:ascii="Arial" w:eastAsia="Times New Roman" w:hAnsi="Arial" w:cs="Arial"/>
          <w:bCs/>
          <w:lang w:eastAsia="en-GB"/>
        </w:rPr>
        <w:t>tion numbers were reduced to</w:t>
      </w:r>
      <w:r>
        <w:rPr>
          <w:rFonts w:ascii="Arial" w:eastAsia="Times New Roman" w:hAnsi="Arial" w:cs="Arial"/>
          <w:bCs/>
          <w:lang w:eastAsia="en-GB"/>
        </w:rPr>
        <w:t xml:space="preserve"> tens of thousands, in line with permanent emigration numbers, </w:t>
      </w:r>
      <w:r w:rsidR="0046792C">
        <w:rPr>
          <w:rFonts w:ascii="Arial" w:eastAsia="Times New Roman" w:hAnsi="Arial" w:cs="Arial"/>
          <w:bCs/>
          <w:lang w:eastAsia="en-GB"/>
        </w:rPr>
        <w:t xml:space="preserve">there would be little scope to recover this cost. Such a fee could not be expected of refugees accepted under Australia’s humanitarian program, nor of family reunion applications. It might </w:t>
      </w:r>
      <w:r w:rsidR="0053432F">
        <w:rPr>
          <w:rFonts w:ascii="Arial" w:eastAsia="Times New Roman" w:hAnsi="Arial" w:cs="Arial"/>
          <w:bCs/>
          <w:lang w:eastAsia="en-GB"/>
        </w:rPr>
        <w:t xml:space="preserve">conceivably </w:t>
      </w:r>
      <w:r w:rsidR="0046792C">
        <w:rPr>
          <w:rFonts w:ascii="Arial" w:eastAsia="Times New Roman" w:hAnsi="Arial" w:cs="Arial"/>
          <w:bCs/>
          <w:lang w:eastAsia="en-GB"/>
        </w:rPr>
        <w:t xml:space="preserve">be demanded of internationally recruited workers applying for permanent residence after a period on temporary visas. For the program as a whole to break even, these applicants would need to pay several hundred thousand per </w:t>
      </w:r>
      <w:r w:rsidR="0053432F">
        <w:rPr>
          <w:rFonts w:ascii="Arial" w:eastAsia="Times New Roman" w:hAnsi="Arial" w:cs="Arial"/>
          <w:bCs/>
          <w:lang w:eastAsia="en-GB"/>
        </w:rPr>
        <w:t>family member</w:t>
      </w:r>
      <w:r w:rsidR="0046792C">
        <w:rPr>
          <w:rFonts w:ascii="Arial" w:eastAsia="Times New Roman" w:hAnsi="Arial" w:cs="Arial"/>
          <w:bCs/>
          <w:lang w:eastAsia="en-GB"/>
        </w:rPr>
        <w:t xml:space="preserve"> to compensate for exempt categories. It would</w:t>
      </w:r>
      <w:r w:rsidR="0053432F">
        <w:rPr>
          <w:rFonts w:ascii="Arial" w:eastAsia="Times New Roman" w:hAnsi="Arial" w:cs="Arial"/>
          <w:bCs/>
          <w:lang w:eastAsia="en-GB"/>
        </w:rPr>
        <w:t xml:space="preserve"> arguably</w:t>
      </w:r>
      <w:r w:rsidR="0046792C">
        <w:rPr>
          <w:rFonts w:ascii="Arial" w:eastAsia="Times New Roman" w:hAnsi="Arial" w:cs="Arial"/>
          <w:bCs/>
          <w:lang w:eastAsia="en-GB"/>
        </w:rPr>
        <w:t xml:space="preserve"> be of greater national benefit if these places were allocated to</w:t>
      </w:r>
      <w:r w:rsidR="0053432F">
        <w:rPr>
          <w:rFonts w:ascii="Arial" w:eastAsia="Times New Roman" w:hAnsi="Arial" w:cs="Arial"/>
          <w:bCs/>
          <w:lang w:eastAsia="en-GB"/>
        </w:rPr>
        <w:t xml:space="preserve"> those with</w:t>
      </w:r>
      <w:r w:rsidR="0046792C">
        <w:rPr>
          <w:rFonts w:ascii="Arial" w:eastAsia="Times New Roman" w:hAnsi="Arial" w:cs="Arial"/>
          <w:bCs/>
          <w:lang w:eastAsia="en-GB"/>
        </w:rPr>
        <w:t xml:space="preserve"> the most </w:t>
      </w:r>
      <w:r w:rsidR="0053432F">
        <w:rPr>
          <w:rFonts w:ascii="Arial" w:eastAsia="Times New Roman" w:hAnsi="Arial" w:cs="Arial"/>
          <w:bCs/>
          <w:lang w:eastAsia="en-GB"/>
        </w:rPr>
        <w:t xml:space="preserve">valued </w:t>
      </w:r>
      <w:r w:rsidR="001C67BD">
        <w:rPr>
          <w:rFonts w:ascii="Arial" w:eastAsia="Times New Roman" w:hAnsi="Arial" w:cs="Arial"/>
          <w:bCs/>
          <w:lang w:eastAsia="en-GB"/>
        </w:rPr>
        <w:t>competencies and contributions</w:t>
      </w:r>
      <w:r w:rsidR="0053432F">
        <w:rPr>
          <w:rFonts w:ascii="Arial" w:eastAsia="Times New Roman" w:hAnsi="Arial" w:cs="Arial"/>
          <w:bCs/>
          <w:lang w:eastAsia="en-GB"/>
        </w:rPr>
        <w:t xml:space="preserve">, than to those with the fattest wallets. </w:t>
      </w:r>
    </w:p>
    <w:p w14:paraId="6AFBD418" w14:textId="77777777" w:rsidR="0053432F" w:rsidRDefault="0053432F" w:rsidP="00270F02">
      <w:pPr>
        <w:shd w:val="clear" w:color="auto" w:fill="FFFFFF"/>
        <w:spacing w:after="0" w:line="240" w:lineRule="auto"/>
        <w:jc w:val="both"/>
        <w:rPr>
          <w:rFonts w:ascii="Arial" w:eastAsia="Times New Roman" w:hAnsi="Arial" w:cs="Arial"/>
          <w:bCs/>
          <w:lang w:eastAsia="en-GB"/>
        </w:rPr>
      </w:pPr>
    </w:p>
    <w:p w14:paraId="5A0493A1" w14:textId="77777777" w:rsidR="0026327C" w:rsidRDefault="0053432F" w:rsidP="00270F02">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Hence SPA does not anticipate the immigration program ever becoming a net generator of revenue to government. It is more salient for the government to focus on reducing the fiscal impost of population growth by reducing immigration numbers.</w:t>
      </w:r>
    </w:p>
    <w:p w14:paraId="7CA06B84" w14:textId="77777777" w:rsidR="0026327C" w:rsidRDefault="0026327C" w:rsidP="00270F02">
      <w:pPr>
        <w:shd w:val="clear" w:color="auto" w:fill="FFFFFF"/>
        <w:spacing w:after="0" w:line="240" w:lineRule="auto"/>
        <w:jc w:val="both"/>
        <w:rPr>
          <w:rFonts w:ascii="Arial" w:eastAsia="Times New Roman" w:hAnsi="Arial" w:cs="Arial"/>
          <w:bCs/>
          <w:lang w:eastAsia="en-GB"/>
        </w:rPr>
      </w:pPr>
    </w:p>
    <w:p w14:paraId="3149939A" w14:textId="77777777" w:rsidR="00873B59" w:rsidRPr="00184466" w:rsidRDefault="00873B59" w:rsidP="00873B59">
      <w:pPr>
        <w:shd w:val="clear" w:color="auto" w:fill="FFFFFF"/>
        <w:spacing w:after="288"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Further to these considerations, SPA recommends that the current level of permanent migration is </w:t>
      </w:r>
      <w:r>
        <w:rPr>
          <w:rFonts w:ascii="Arial" w:eastAsia="Times New Roman" w:hAnsi="Arial" w:cs="Arial"/>
          <w:bCs/>
          <w:lang w:eastAsia="en-GB"/>
        </w:rPr>
        <w:t>substantially</w:t>
      </w:r>
      <w:r w:rsidRPr="00184466">
        <w:rPr>
          <w:rFonts w:ascii="Arial" w:eastAsia="Times New Roman" w:hAnsi="Arial" w:cs="Arial"/>
          <w:bCs/>
          <w:lang w:eastAsia="en-GB"/>
        </w:rPr>
        <w:t xml:space="preserve"> reduced in order to offset the mounting pressure on existing Australian infrastructure and the commensurate reduction in the quality of life for existing residents.</w:t>
      </w:r>
    </w:p>
    <w:p w14:paraId="6EB03CF4" w14:textId="77777777" w:rsidR="00873B59" w:rsidRDefault="00873B59" w:rsidP="00270F02">
      <w:pPr>
        <w:shd w:val="clear" w:color="auto" w:fill="FFFFFF"/>
        <w:spacing w:after="0" w:line="240" w:lineRule="auto"/>
        <w:jc w:val="both"/>
        <w:rPr>
          <w:rFonts w:ascii="Arial" w:eastAsia="Times New Roman" w:hAnsi="Arial" w:cs="Arial"/>
          <w:bCs/>
          <w:lang w:eastAsia="en-GB"/>
        </w:rPr>
      </w:pPr>
    </w:p>
    <w:p w14:paraId="7A1F5DD0" w14:textId="77777777" w:rsidR="004C2314" w:rsidRPr="00184466" w:rsidRDefault="00E4478C" w:rsidP="00E4478C">
      <w:pPr>
        <w:spacing w:after="0" w:line="240" w:lineRule="auto"/>
        <w:rPr>
          <w:rFonts w:ascii="Arial" w:eastAsia="Times New Roman" w:hAnsi="Arial" w:cs="Arial"/>
          <w:b/>
          <w:bCs/>
          <w:u w:val="single"/>
          <w:lang w:eastAsia="en-GB"/>
        </w:rPr>
      </w:pPr>
      <w:r w:rsidRPr="00184466">
        <w:rPr>
          <w:rFonts w:ascii="Arial" w:eastAsia="Times New Roman" w:hAnsi="Arial" w:cs="Arial"/>
          <w:b/>
          <w:bCs/>
          <w:u w:val="single"/>
          <w:lang w:eastAsia="en-GB"/>
        </w:rPr>
        <w:t xml:space="preserve">2.3 </w:t>
      </w:r>
      <w:r w:rsidR="004C2314" w:rsidRPr="00184466">
        <w:rPr>
          <w:rFonts w:ascii="Arial" w:eastAsia="Times New Roman" w:hAnsi="Arial" w:cs="Arial"/>
          <w:b/>
          <w:bCs/>
          <w:u w:val="single"/>
          <w:lang w:eastAsia="en-GB"/>
        </w:rPr>
        <w:t>Environmental Impacts</w:t>
      </w:r>
    </w:p>
    <w:p w14:paraId="205EFA76" w14:textId="77777777" w:rsidR="00E63B38" w:rsidRPr="00184466" w:rsidRDefault="004C2314" w:rsidP="00184466">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 xml:space="preserve">SPA asserts that Australia’s current population level has generated </w:t>
      </w:r>
      <w:r w:rsidR="00A311CB">
        <w:rPr>
          <w:rFonts w:ascii="Arial" w:eastAsia="Times New Roman" w:hAnsi="Arial" w:cs="Arial"/>
          <w:bCs/>
          <w:lang w:eastAsia="en-GB"/>
        </w:rPr>
        <w:t xml:space="preserve">clearly demonstrable </w:t>
      </w:r>
      <w:r w:rsidR="00FC0F08">
        <w:rPr>
          <w:rFonts w:ascii="Arial" w:eastAsia="Times New Roman" w:hAnsi="Arial" w:cs="Arial"/>
          <w:bCs/>
          <w:lang w:eastAsia="en-GB"/>
        </w:rPr>
        <w:t>negative impacts for</w:t>
      </w:r>
      <w:r w:rsidRPr="00184466">
        <w:rPr>
          <w:rFonts w:ascii="Arial" w:eastAsia="Times New Roman" w:hAnsi="Arial" w:cs="Arial"/>
          <w:bCs/>
          <w:lang w:eastAsia="en-GB"/>
        </w:rPr>
        <w:t xml:space="preserve"> our environment, resource base</w:t>
      </w:r>
      <w:r w:rsidR="00F0725C">
        <w:rPr>
          <w:rFonts w:ascii="Arial" w:eastAsia="Times New Roman" w:hAnsi="Arial" w:cs="Arial"/>
          <w:bCs/>
          <w:lang w:eastAsia="en-GB"/>
        </w:rPr>
        <w:t>,</w:t>
      </w:r>
      <w:r w:rsidRPr="00184466">
        <w:rPr>
          <w:rFonts w:ascii="Arial" w:eastAsia="Times New Roman" w:hAnsi="Arial" w:cs="Arial"/>
          <w:bCs/>
          <w:lang w:eastAsia="en-GB"/>
        </w:rPr>
        <w:t xml:space="preserve"> and biodiversity.</w:t>
      </w:r>
      <w:r w:rsidR="002528D3" w:rsidRPr="00184466">
        <w:rPr>
          <w:rFonts w:ascii="Arial" w:eastAsia="Times New Roman" w:hAnsi="Arial" w:cs="Arial"/>
          <w:bCs/>
          <w:lang w:eastAsia="en-GB"/>
        </w:rPr>
        <w:t xml:space="preserve">  Fur</w:t>
      </w:r>
      <w:r w:rsidR="00A311CB">
        <w:rPr>
          <w:rFonts w:ascii="Arial" w:eastAsia="Times New Roman" w:hAnsi="Arial" w:cs="Arial"/>
          <w:bCs/>
          <w:lang w:eastAsia="en-GB"/>
        </w:rPr>
        <w:t>t</w:t>
      </w:r>
      <w:r w:rsidR="002528D3" w:rsidRPr="00184466">
        <w:rPr>
          <w:rFonts w:ascii="Arial" w:eastAsia="Times New Roman" w:hAnsi="Arial" w:cs="Arial"/>
          <w:bCs/>
          <w:lang w:eastAsia="en-GB"/>
        </w:rPr>
        <w:t xml:space="preserve">her, increases to the current </w:t>
      </w:r>
      <w:r w:rsidR="00A311CB" w:rsidRPr="00184466">
        <w:rPr>
          <w:rFonts w:ascii="Arial" w:eastAsia="Times New Roman" w:hAnsi="Arial" w:cs="Arial"/>
          <w:bCs/>
          <w:lang w:eastAsia="en-GB"/>
        </w:rPr>
        <w:t>population</w:t>
      </w:r>
      <w:r w:rsidR="002528D3" w:rsidRPr="00184466">
        <w:rPr>
          <w:rFonts w:ascii="Arial" w:eastAsia="Times New Roman" w:hAnsi="Arial" w:cs="Arial"/>
          <w:bCs/>
          <w:lang w:eastAsia="en-GB"/>
        </w:rPr>
        <w:t xml:space="preserve"> level, including those generated through </w:t>
      </w:r>
      <w:r w:rsidR="001E094B">
        <w:rPr>
          <w:rFonts w:ascii="Arial" w:eastAsia="Times New Roman" w:hAnsi="Arial" w:cs="Arial"/>
          <w:bCs/>
          <w:lang w:eastAsia="en-GB"/>
        </w:rPr>
        <w:t>current</w:t>
      </w:r>
      <w:r w:rsidR="001E094B" w:rsidRPr="00184466">
        <w:rPr>
          <w:rFonts w:ascii="Arial" w:eastAsia="Times New Roman" w:hAnsi="Arial" w:cs="Arial"/>
          <w:bCs/>
          <w:lang w:eastAsia="en-GB"/>
        </w:rPr>
        <w:t xml:space="preserve"> </w:t>
      </w:r>
      <w:r w:rsidR="002528D3" w:rsidRPr="00184466">
        <w:rPr>
          <w:rFonts w:ascii="Arial" w:eastAsia="Times New Roman" w:hAnsi="Arial" w:cs="Arial"/>
          <w:bCs/>
          <w:lang w:eastAsia="en-GB"/>
        </w:rPr>
        <w:t>migration</w:t>
      </w:r>
      <w:r w:rsidR="00A311CB">
        <w:rPr>
          <w:rFonts w:ascii="Arial" w:eastAsia="Times New Roman" w:hAnsi="Arial" w:cs="Arial"/>
          <w:bCs/>
          <w:lang w:eastAsia="en-GB"/>
        </w:rPr>
        <w:t xml:space="preserve"> levels</w:t>
      </w:r>
      <w:r w:rsidR="002528D3" w:rsidRPr="00184466">
        <w:rPr>
          <w:rFonts w:ascii="Arial" w:eastAsia="Times New Roman" w:hAnsi="Arial" w:cs="Arial"/>
          <w:bCs/>
          <w:lang w:eastAsia="en-GB"/>
        </w:rPr>
        <w:t xml:space="preserve">, </w:t>
      </w:r>
      <w:r w:rsidR="00A311CB">
        <w:rPr>
          <w:rFonts w:ascii="Arial" w:eastAsia="Times New Roman" w:hAnsi="Arial" w:cs="Arial"/>
          <w:bCs/>
          <w:lang w:eastAsia="en-GB"/>
        </w:rPr>
        <w:t xml:space="preserve">further </w:t>
      </w:r>
      <w:r w:rsidR="002528D3" w:rsidRPr="00184466">
        <w:rPr>
          <w:rFonts w:ascii="Arial" w:eastAsia="Times New Roman" w:hAnsi="Arial" w:cs="Arial"/>
          <w:bCs/>
          <w:lang w:eastAsia="en-GB"/>
        </w:rPr>
        <w:t>contribute to this deleterious situation.</w:t>
      </w:r>
    </w:p>
    <w:p w14:paraId="76BB4B1E" w14:textId="77777777" w:rsidR="00E4478C" w:rsidRPr="00184466" w:rsidRDefault="00E4478C" w:rsidP="00184466">
      <w:pPr>
        <w:shd w:val="clear" w:color="auto" w:fill="FFFFFF"/>
        <w:spacing w:after="0" w:line="240" w:lineRule="auto"/>
        <w:jc w:val="both"/>
        <w:rPr>
          <w:rFonts w:ascii="Arial" w:eastAsia="Times New Roman" w:hAnsi="Arial" w:cs="Arial"/>
          <w:bCs/>
          <w:lang w:eastAsia="en-GB"/>
        </w:rPr>
      </w:pPr>
    </w:p>
    <w:p w14:paraId="0A3DBE54" w14:textId="77777777" w:rsidR="004C2314" w:rsidRPr="00184466" w:rsidRDefault="004C2314" w:rsidP="00184466">
      <w:pPr>
        <w:shd w:val="clear" w:color="auto" w:fill="FFFFFF"/>
        <w:spacing w:after="0" w:line="240" w:lineRule="auto"/>
        <w:jc w:val="both"/>
        <w:rPr>
          <w:rFonts w:ascii="Arial" w:eastAsia="Times New Roman" w:hAnsi="Arial" w:cs="Arial"/>
          <w:bCs/>
          <w:lang w:eastAsia="en-GB"/>
        </w:rPr>
      </w:pPr>
      <w:r w:rsidRPr="00184466">
        <w:rPr>
          <w:rFonts w:ascii="Arial" w:eastAsia="Times New Roman" w:hAnsi="Arial" w:cs="Arial"/>
          <w:bCs/>
          <w:lang w:eastAsia="en-GB"/>
        </w:rPr>
        <w:t>The fu</w:t>
      </w:r>
      <w:r w:rsidR="00240537">
        <w:rPr>
          <w:rFonts w:ascii="Arial" w:eastAsia="Times New Roman" w:hAnsi="Arial" w:cs="Arial"/>
          <w:bCs/>
          <w:lang w:eastAsia="en-GB"/>
        </w:rPr>
        <w:t>ndamental link between increasing population</w:t>
      </w:r>
      <w:r w:rsidRPr="00184466">
        <w:rPr>
          <w:rFonts w:ascii="Arial" w:eastAsia="Times New Roman" w:hAnsi="Arial" w:cs="Arial"/>
          <w:bCs/>
          <w:lang w:eastAsia="en-GB"/>
        </w:rPr>
        <w:t xml:space="preserve"> and the resultant negative impact on the environment through pollution, </w:t>
      </w:r>
      <w:r w:rsidR="00240537">
        <w:rPr>
          <w:rFonts w:ascii="Arial" w:eastAsia="Times New Roman" w:hAnsi="Arial" w:cs="Arial"/>
          <w:bCs/>
          <w:lang w:eastAsia="en-GB"/>
        </w:rPr>
        <w:t xml:space="preserve">energy demand, </w:t>
      </w:r>
      <w:r w:rsidRPr="00184466">
        <w:rPr>
          <w:rFonts w:ascii="Arial" w:eastAsia="Times New Roman" w:hAnsi="Arial" w:cs="Arial"/>
          <w:bCs/>
          <w:lang w:eastAsia="en-GB"/>
        </w:rPr>
        <w:t xml:space="preserve">resource consumption, biodiversity </w:t>
      </w:r>
      <w:r w:rsidR="00A311CB" w:rsidRPr="00184466">
        <w:rPr>
          <w:rFonts w:ascii="Arial" w:eastAsia="Times New Roman" w:hAnsi="Arial" w:cs="Arial"/>
          <w:bCs/>
          <w:lang w:eastAsia="en-GB"/>
        </w:rPr>
        <w:t>disrupt</w:t>
      </w:r>
      <w:r w:rsidR="00A311CB">
        <w:rPr>
          <w:rFonts w:ascii="Arial" w:eastAsia="Times New Roman" w:hAnsi="Arial" w:cs="Arial"/>
          <w:bCs/>
          <w:lang w:eastAsia="en-GB"/>
        </w:rPr>
        <w:t xml:space="preserve">ion, </w:t>
      </w:r>
      <w:r w:rsidR="002528D3" w:rsidRPr="00184466">
        <w:rPr>
          <w:rFonts w:ascii="Arial" w:eastAsia="Times New Roman" w:hAnsi="Arial" w:cs="Arial"/>
          <w:bCs/>
          <w:lang w:eastAsia="en-GB"/>
        </w:rPr>
        <w:t xml:space="preserve">destructive land development, and other impacts is extensively </w:t>
      </w:r>
      <w:r w:rsidR="004A2C10">
        <w:rPr>
          <w:rFonts w:ascii="Arial" w:eastAsia="Times New Roman" w:hAnsi="Arial" w:cs="Arial"/>
          <w:bCs/>
          <w:lang w:eastAsia="en-GB"/>
        </w:rPr>
        <w:t>reviewed by leading Australian environmental scientists</w:t>
      </w:r>
      <w:r w:rsidR="00B8242A">
        <w:rPr>
          <w:rStyle w:val="FootnoteReference"/>
          <w:rFonts w:ascii="Arial" w:eastAsia="Times New Roman" w:hAnsi="Arial" w:cs="Arial"/>
          <w:bCs/>
          <w:lang w:eastAsia="en-GB"/>
        </w:rPr>
        <w:footnoteReference w:id="8"/>
      </w:r>
      <w:r w:rsidR="002528D3" w:rsidRPr="00184466">
        <w:rPr>
          <w:rFonts w:ascii="Arial" w:eastAsia="Times New Roman" w:hAnsi="Arial" w:cs="Arial"/>
          <w:bCs/>
          <w:lang w:eastAsia="en-GB"/>
        </w:rPr>
        <w:t xml:space="preserve"> </w:t>
      </w:r>
    </w:p>
    <w:p w14:paraId="7DBB5CBA" w14:textId="77777777" w:rsidR="00A311CB" w:rsidRDefault="00A311CB" w:rsidP="00184466">
      <w:pPr>
        <w:shd w:val="clear" w:color="auto" w:fill="FFFFFF"/>
        <w:spacing w:after="0" w:line="240" w:lineRule="auto"/>
        <w:jc w:val="both"/>
        <w:rPr>
          <w:rFonts w:ascii="Arial" w:eastAsia="Times New Roman" w:hAnsi="Arial" w:cs="Arial"/>
          <w:bCs/>
          <w:lang w:eastAsia="en-GB"/>
        </w:rPr>
      </w:pPr>
    </w:p>
    <w:p w14:paraId="17E13EF6" w14:textId="77777777" w:rsidR="00BA003B" w:rsidRDefault="00E8316A" w:rsidP="00D85835">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Quantifying Australia’s national carrying capacity is a</w:t>
      </w:r>
      <w:r w:rsidR="00D85835">
        <w:rPr>
          <w:rFonts w:ascii="Arial" w:eastAsia="Times New Roman" w:hAnsi="Arial" w:cs="Arial"/>
          <w:bCs/>
          <w:lang w:eastAsia="en-GB"/>
        </w:rPr>
        <w:t>n exercise</w:t>
      </w:r>
      <w:r>
        <w:rPr>
          <w:rFonts w:ascii="Arial" w:eastAsia="Times New Roman" w:hAnsi="Arial" w:cs="Arial"/>
          <w:bCs/>
          <w:lang w:eastAsia="en-GB"/>
        </w:rPr>
        <w:t xml:space="preserve"> fraught </w:t>
      </w:r>
      <w:r w:rsidR="00D85835">
        <w:rPr>
          <w:rFonts w:ascii="Arial" w:eastAsia="Times New Roman" w:hAnsi="Arial" w:cs="Arial"/>
          <w:bCs/>
          <w:lang w:eastAsia="en-GB"/>
        </w:rPr>
        <w:t>with value judgements, but we can say that current trends are not favourable</w:t>
      </w:r>
      <w:r w:rsidR="005235D7">
        <w:rPr>
          <w:rFonts w:ascii="Arial" w:eastAsia="Times New Roman" w:hAnsi="Arial" w:cs="Arial"/>
          <w:bCs/>
          <w:lang w:eastAsia="en-GB"/>
        </w:rPr>
        <w:t>. Successive national “State of the Environment Reports” have recorded ongoing deterioration of all environmental indicators</w:t>
      </w:r>
      <w:r w:rsidR="00D85835">
        <w:rPr>
          <w:rFonts w:ascii="Arial" w:eastAsia="Times New Roman" w:hAnsi="Arial" w:cs="Arial"/>
          <w:bCs/>
          <w:lang w:eastAsia="en-GB"/>
        </w:rPr>
        <w:t>.</w:t>
      </w:r>
      <w:r w:rsidR="00444D08">
        <w:rPr>
          <w:rStyle w:val="FootnoteReference"/>
          <w:rFonts w:ascii="Arial" w:eastAsia="Times New Roman" w:hAnsi="Arial" w:cs="Arial"/>
          <w:bCs/>
          <w:lang w:eastAsia="en-GB"/>
        </w:rPr>
        <w:footnoteReference w:id="9"/>
      </w:r>
      <w:r w:rsidR="00D85835">
        <w:rPr>
          <w:rFonts w:ascii="Arial" w:eastAsia="Times New Roman" w:hAnsi="Arial" w:cs="Arial"/>
          <w:bCs/>
          <w:lang w:eastAsia="en-GB"/>
        </w:rPr>
        <w:t xml:space="preserve"> </w:t>
      </w:r>
      <w:r w:rsidR="00D8702E">
        <w:rPr>
          <w:rFonts w:ascii="Arial" w:eastAsia="Times New Roman" w:hAnsi="Arial" w:cs="Arial"/>
          <w:bCs/>
          <w:lang w:eastAsia="en-GB"/>
        </w:rPr>
        <w:t>Climate change threatens Australian primary production and urban water security to a greater extent than most developed countries. Doubling Australia’s population more than doubles the task of decarbonising the energy sector, and increases the vulnerability of urban systems to critical water shortages.</w:t>
      </w:r>
      <w:r w:rsidR="00DE75E9">
        <w:rPr>
          <w:rFonts w:ascii="Arial" w:eastAsia="Times New Roman" w:hAnsi="Arial" w:cs="Arial"/>
          <w:bCs/>
          <w:lang w:eastAsia="en-GB"/>
        </w:rPr>
        <w:t xml:space="preserve"> Australia has already become a net importer of ‘groceries’ on the basis of trade balance – our population growth has annulled the net contribution to wealth that our agricultural exports once provided. If Australia’s population doubles while climate change intensifies, it is highly likely that Australia will become a net importer of food calories – i.e. we would have an absolute dependence on food imports. This is a highly vulnerable situation, given the increasing competition for internationally traded food commodities, and has the potential to generate disruptive civil unrest in response to food price fluctuations beyond the government’s capacity to control. </w:t>
      </w:r>
    </w:p>
    <w:p w14:paraId="373932B8" w14:textId="77777777" w:rsidR="00BA003B" w:rsidRDefault="00BA003B" w:rsidP="00D85835">
      <w:pPr>
        <w:shd w:val="clear" w:color="auto" w:fill="FFFFFF"/>
        <w:spacing w:after="0" w:line="240" w:lineRule="auto"/>
        <w:jc w:val="both"/>
        <w:rPr>
          <w:rFonts w:ascii="Arial" w:eastAsia="Times New Roman" w:hAnsi="Arial" w:cs="Arial"/>
          <w:bCs/>
          <w:lang w:eastAsia="en-GB"/>
        </w:rPr>
      </w:pPr>
    </w:p>
    <w:p w14:paraId="285B7E08" w14:textId="77777777" w:rsidR="00D8702E" w:rsidRDefault="00E8316A" w:rsidP="00D85835">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The Intergenerational Reports’</w:t>
      </w:r>
      <w:r w:rsidR="00444D08">
        <w:rPr>
          <w:rStyle w:val="FootnoteReference"/>
          <w:rFonts w:ascii="Arial" w:eastAsia="Times New Roman" w:hAnsi="Arial" w:cs="Arial"/>
          <w:bCs/>
          <w:lang w:eastAsia="en-GB"/>
        </w:rPr>
        <w:footnoteReference w:id="10"/>
      </w:r>
      <w:r>
        <w:rPr>
          <w:rFonts w:ascii="Arial" w:eastAsia="Times New Roman" w:hAnsi="Arial" w:cs="Arial"/>
          <w:bCs/>
          <w:lang w:eastAsia="en-GB"/>
        </w:rPr>
        <w:t xml:space="preserve"> complete absence of consideration of Australia’s natural resource base and per capita enjoyment of environmental services marks a cavalier attitude to fundamental foundations of social security. The bland statement “</w:t>
      </w:r>
      <w:r w:rsidRPr="00E8316A">
        <w:rPr>
          <w:rFonts w:ascii="Arial" w:eastAsia="Times New Roman" w:hAnsi="Arial" w:cs="Arial"/>
          <w:bCs/>
          <w:lang w:eastAsia="en-GB"/>
        </w:rPr>
        <w:t>Economic growth and strong environmental outcom</w:t>
      </w:r>
      <w:r>
        <w:rPr>
          <w:rFonts w:ascii="Arial" w:eastAsia="Times New Roman" w:hAnsi="Arial" w:cs="Arial"/>
          <w:bCs/>
          <w:lang w:eastAsia="en-GB"/>
        </w:rPr>
        <w:t>es are complementary objectives”</w:t>
      </w:r>
      <w:r w:rsidR="00D85835">
        <w:rPr>
          <w:rFonts w:ascii="Arial" w:eastAsia="Times New Roman" w:hAnsi="Arial" w:cs="Arial"/>
          <w:bCs/>
          <w:lang w:eastAsia="en-GB"/>
        </w:rPr>
        <w:t xml:space="preserve"> </w:t>
      </w:r>
      <w:r w:rsidR="00B52802">
        <w:rPr>
          <w:rFonts w:ascii="Arial" w:eastAsia="Times New Roman" w:hAnsi="Arial" w:cs="Arial"/>
          <w:bCs/>
          <w:lang w:eastAsia="en-GB"/>
        </w:rPr>
        <w:t xml:space="preserve">(2015 </w:t>
      </w:r>
      <w:proofErr w:type="spellStart"/>
      <w:r w:rsidR="00B52802">
        <w:rPr>
          <w:rFonts w:ascii="Arial" w:eastAsia="Times New Roman" w:hAnsi="Arial" w:cs="Arial"/>
          <w:bCs/>
          <w:lang w:eastAsia="en-GB"/>
        </w:rPr>
        <w:t>IGR</w:t>
      </w:r>
      <w:proofErr w:type="spellEnd"/>
      <w:r w:rsidR="00B52802">
        <w:rPr>
          <w:rFonts w:ascii="Arial" w:eastAsia="Times New Roman" w:hAnsi="Arial" w:cs="Arial"/>
          <w:bCs/>
          <w:lang w:eastAsia="en-GB"/>
        </w:rPr>
        <w:t>, p xii)</w:t>
      </w:r>
      <w:r w:rsidR="00444D08">
        <w:rPr>
          <w:rStyle w:val="FootnoteReference"/>
          <w:rFonts w:ascii="Arial" w:eastAsia="Times New Roman" w:hAnsi="Arial" w:cs="Arial"/>
          <w:bCs/>
          <w:lang w:eastAsia="en-GB"/>
        </w:rPr>
        <w:footnoteReference w:id="11"/>
      </w:r>
      <w:r w:rsidR="00B52802">
        <w:rPr>
          <w:rFonts w:ascii="Arial" w:eastAsia="Times New Roman" w:hAnsi="Arial" w:cs="Arial"/>
          <w:bCs/>
          <w:lang w:eastAsia="en-GB"/>
        </w:rPr>
        <w:t xml:space="preserve"> </w:t>
      </w:r>
      <w:r w:rsidR="00D85835">
        <w:rPr>
          <w:rFonts w:ascii="Arial" w:eastAsia="Times New Roman" w:hAnsi="Arial" w:cs="Arial"/>
          <w:bCs/>
          <w:lang w:eastAsia="en-GB"/>
        </w:rPr>
        <w:t>and “</w:t>
      </w:r>
      <w:r w:rsidR="00D85835" w:rsidRPr="00D85835">
        <w:rPr>
          <w:rFonts w:ascii="Arial" w:eastAsia="Times New Roman" w:hAnsi="Arial" w:cs="Arial"/>
          <w:bCs/>
          <w:lang w:eastAsia="en-GB"/>
        </w:rPr>
        <w:t>As Australia’s population grows, careful land management planning and strategies will</w:t>
      </w:r>
      <w:r w:rsidR="00D85835">
        <w:rPr>
          <w:rFonts w:ascii="Arial" w:eastAsia="Times New Roman" w:hAnsi="Arial" w:cs="Arial"/>
          <w:bCs/>
          <w:lang w:eastAsia="en-GB"/>
        </w:rPr>
        <w:t xml:space="preserve"> </w:t>
      </w:r>
      <w:r w:rsidR="00D85835" w:rsidRPr="00D85835">
        <w:rPr>
          <w:rFonts w:ascii="Arial" w:eastAsia="Times New Roman" w:hAnsi="Arial" w:cs="Arial"/>
          <w:bCs/>
          <w:lang w:eastAsia="en-GB"/>
        </w:rPr>
        <w:t>be required to mitigate the risk of biodiversity loss</w:t>
      </w:r>
      <w:r w:rsidR="00B52802">
        <w:rPr>
          <w:rFonts w:ascii="Arial" w:eastAsia="Times New Roman" w:hAnsi="Arial" w:cs="Arial"/>
          <w:bCs/>
          <w:lang w:eastAsia="en-GB"/>
        </w:rPr>
        <w:t>” (p 38) serve to present issues as both manageable and managed, which have to date proven to be intractable.</w:t>
      </w:r>
      <w:r w:rsidR="00444D08">
        <w:rPr>
          <w:rStyle w:val="FootnoteReference"/>
          <w:rFonts w:ascii="Arial" w:eastAsia="Times New Roman" w:hAnsi="Arial" w:cs="Arial"/>
          <w:bCs/>
          <w:lang w:eastAsia="en-GB"/>
        </w:rPr>
        <w:footnoteReference w:id="12"/>
      </w:r>
      <w:r w:rsidR="00D85835">
        <w:rPr>
          <w:rFonts w:ascii="Arial" w:eastAsia="Times New Roman" w:hAnsi="Arial" w:cs="Arial"/>
          <w:bCs/>
          <w:lang w:eastAsia="en-GB"/>
        </w:rPr>
        <w:t xml:space="preserve"> </w:t>
      </w:r>
    </w:p>
    <w:p w14:paraId="58FED3CB" w14:textId="77777777" w:rsidR="00D8702E" w:rsidRDefault="00D8702E" w:rsidP="00184466">
      <w:pPr>
        <w:shd w:val="clear" w:color="auto" w:fill="FFFFFF"/>
        <w:spacing w:after="0" w:line="240" w:lineRule="auto"/>
        <w:jc w:val="both"/>
        <w:rPr>
          <w:rFonts w:ascii="Arial" w:eastAsia="Times New Roman" w:hAnsi="Arial" w:cs="Arial"/>
          <w:bCs/>
          <w:lang w:eastAsia="en-GB"/>
        </w:rPr>
      </w:pPr>
    </w:p>
    <w:p w14:paraId="430FF940" w14:textId="77777777" w:rsidR="00594A02" w:rsidRDefault="00240537" w:rsidP="00594A02">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Given these </w:t>
      </w:r>
      <w:r w:rsidR="00FC0F08">
        <w:rPr>
          <w:rFonts w:ascii="Arial" w:eastAsia="Times New Roman" w:hAnsi="Arial" w:cs="Arial"/>
          <w:bCs/>
          <w:lang w:eastAsia="en-GB"/>
        </w:rPr>
        <w:t xml:space="preserve">critical </w:t>
      </w:r>
      <w:r>
        <w:rPr>
          <w:rFonts w:ascii="Arial" w:eastAsia="Times New Roman" w:hAnsi="Arial" w:cs="Arial"/>
          <w:bCs/>
          <w:lang w:eastAsia="en-GB"/>
        </w:rPr>
        <w:t xml:space="preserve">considerations, </w:t>
      </w:r>
      <w:r w:rsidR="002528D3" w:rsidRPr="00184466">
        <w:rPr>
          <w:rFonts w:ascii="Arial" w:eastAsia="Times New Roman" w:hAnsi="Arial" w:cs="Arial"/>
          <w:bCs/>
          <w:lang w:eastAsia="en-GB"/>
        </w:rPr>
        <w:t xml:space="preserve">SPA recommends </w:t>
      </w:r>
      <w:r w:rsidR="00EE6A01">
        <w:rPr>
          <w:rFonts w:ascii="Arial" w:eastAsia="Times New Roman" w:hAnsi="Arial" w:cs="Arial"/>
          <w:bCs/>
          <w:lang w:eastAsia="en-GB"/>
        </w:rPr>
        <w:t>that government policy should not deliberately seek to further increase Australia’s population</w:t>
      </w:r>
      <w:r w:rsidR="00D8702E">
        <w:rPr>
          <w:rFonts w:ascii="Arial" w:eastAsia="Times New Roman" w:hAnsi="Arial" w:cs="Arial"/>
          <w:bCs/>
          <w:lang w:eastAsia="en-GB"/>
        </w:rPr>
        <w:t xml:space="preserve"> unless and until all major benchmarks of environmental health are improving, Australia is exceeding the rate of reduction in greenhouse gas emissions required to prevent dangerous climate change, and additional population can be demonstrated to have positive impacts on quality of life for Australia’s most vulnerable sectors, </w:t>
      </w:r>
      <w:r w:rsidR="00BA003B">
        <w:rPr>
          <w:rFonts w:ascii="Arial" w:eastAsia="Times New Roman" w:hAnsi="Arial" w:cs="Arial"/>
          <w:bCs/>
          <w:lang w:eastAsia="en-GB"/>
        </w:rPr>
        <w:t>including</w:t>
      </w:r>
      <w:r w:rsidR="00D8702E">
        <w:rPr>
          <w:rFonts w:ascii="Arial" w:eastAsia="Times New Roman" w:hAnsi="Arial" w:cs="Arial"/>
          <w:bCs/>
          <w:lang w:eastAsia="en-GB"/>
        </w:rPr>
        <w:t xml:space="preserve"> those experiencing unemployment, underemployment or housing stress.</w:t>
      </w:r>
      <w:r w:rsidR="00BA003B">
        <w:rPr>
          <w:rFonts w:ascii="Arial" w:eastAsia="Times New Roman" w:hAnsi="Arial" w:cs="Arial"/>
          <w:bCs/>
          <w:lang w:eastAsia="en-GB"/>
        </w:rPr>
        <w:t xml:space="preserve"> On the balance of evidence, SPA does not anticipate these conditions being met within the current century.</w:t>
      </w:r>
    </w:p>
    <w:p w14:paraId="56D9D24F" w14:textId="77777777" w:rsidR="00594A02" w:rsidRPr="00594A02" w:rsidRDefault="00594A02" w:rsidP="00893FC2">
      <w:pPr>
        <w:shd w:val="clear" w:color="auto" w:fill="FFFFFF"/>
        <w:spacing w:after="288" w:line="240" w:lineRule="auto"/>
        <w:rPr>
          <w:rFonts w:ascii="Arial" w:eastAsia="Times New Roman" w:hAnsi="Arial" w:cs="Arial"/>
          <w:b/>
          <w:bCs/>
          <w:lang w:eastAsia="en-GB"/>
        </w:rPr>
      </w:pPr>
    </w:p>
    <w:p w14:paraId="7D65F42A" w14:textId="77777777" w:rsidR="001C67BD" w:rsidRDefault="001C67BD">
      <w:pPr>
        <w:rPr>
          <w:rFonts w:ascii="Arial" w:eastAsia="Times New Roman" w:hAnsi="Arial" w:cs="Arial"/>
          <w:b/>
          <w:bCs/>
          <w:u w:val="single"/>
          <w:lang w:eastAsia="en-GB"/>
        </w:rPr>
      </w:pPr>
      <w:r>
        <w:rPr>
          <w:rFonts w:ascii="Arial" w:eastAsia="Times New Roman" w:hAnsi="Arial" w:cs="Arial"/>
          <w:b/>
          <w:bCs/>
          <w:u w:val="single"/>
          <w:lang w:eastAsia="en-GB"/>
        </w:rPr>
        <w:br w:type="page"/>
      </w:r>
    </w:p>
    <w:p w14:paraId="4B54FCCC" w14:textId="77777777" w:rsidR="001937A9" w:rsidRPr="00594A02" w:rsidRDefault="001E0F32" w:rsidP="00893FC2">
      <w:pPr>
        <w:pStyle w:val="ListParagraph"/>
        <w:numPr>
          <w:ilvl w:val="0"/>
          <w:numId w:val="4"/>
        </w:numPr>
        <w:shd w:val="clear" w:color="auto" w:fill="FFFFFF"/>
        <w:spacing w:after="288" w:line="240" w:lineRule="auto"/>
        <w:rPr>
          <w:rFonts w:ascii="Arial" w:eastAsia="Times New Roman" w:hAnsi="Arial" w:cs="Arial"/>
          <w:bCs/>
          <w:u w:val="single"/>
          <w:lang w:eastAsia="en-GB"/>
        </w:rPr>
      </w:pPr>
      <w:r w:rsidRPr="00594A02">
        <w:rPr>
          <w:rFonts w:ascii="Arial" w:eastAsia="Times New Roman" w:hAnsi="Arial" w:cs="Arial"/>
          <w:b/>
          <w:bCs/>
          <w:u w:val="single"/>
          <w:lang w:eastAsia="en-GB"/>
        </w:rPr>
        <w:lastRenderedPageBreak/>
        <w:t>CONCLUSION</w:t>
      </w:r>
    </w:p>
    <w:p w14:paraId="1672FC99" w14:textId="77777777" w:rsidR="00594A02" w:rsidRDefault="008D28FE" w:rsidP="008D28FE">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In conclusion, </w:t>
      </w:r>
      <w:r w:rsidR="001E0F32" w:rsidRPr="00184466">
        <w:rPr>
          <w:rFonts w:ascii="Arial" w:eastAsia="Times New Roman" w:hAnsi="Arial" w:cs="Arial"/>
          <w:bCs/>
          <w:lang w:eastAsia="en-GB"/>
        </w:rPr>
        <w:t xml:space="preserve">SPA recommends the following policy settings </w:t>
      </w:r>
      <w:r>
        <w:rPr>
          <w:rFonts w:ascii="Arial" w:eastAsia="Times New Roman" w:hAnsi="Arial" w:cs="Arial"/>
          <w:bCs/>
          <w:lang w:eastAsia="en-GB"/>
        </w:rPr>
        <w:t>regarding</w:t>
      </w:r>
      <w:r w:rsidR="001E0F32" w:rsidRPr="00184466">
        <w:rPr>
          <w:rFonts w:ascii="Arial" w:eastAsia="Times New Roman" w:hAnsi="Arial" w:cs="Arial"/>
          <w:bCs/>
          <w:lang w:eastAsia="en-GB"/>
        </w:rPr>
        <w:t xml:space="preserve"> </w:t>
      </w:r>
      <w:r>
        <w:rPr>
          <w:rFonts w:ascii="Arial" w:eastAsia="Times New Roman" w:hAnsi="Arial" w:cs="Arial"/>
          <w:bCs/>
          <w:lang w:eastAsia="en-GB"/>
        </w:rPr>
        <w:t>the migrant intake into Australia</w:t>
      </w:r>
      <w:r w:rsidR="00594A02">
        <w:rPr>
          <w:rFonts w:ascii="Arial" w:eastAsia="Times New Roman" w:hAnsi="Arial" w:cs="Arial"/>
          <w:bCs/>
          <w:lang w:eastAsia="en-GB"/>
        </w:rPr>
        <w:t>:</w:t>
      </w:r>
    </w:p>
    <w:p w14:paraId="54512EEE" w14:textId="77777777" w:rsidR="008D28FE" w:rsidRDefault="008D28FE" w:rsidP="008D28FE">
      <w:pPr>
        <w:shd w:val="clear" w:color="auto" w:fill="FFFFFF"/>
        <w:spacing w:after="0" w:line="240" w:lineRule="auto"/>
        <w:jc w:val="both"/>
        <w:rPr>
          <w:rFonts w:ascii="Arial" w:eastAsia="Times New Roman" w:hAnsi="Arial" w:cs="Arial"/>
          <w:bCs/>
          <w:lang w:eastAsia="en-GB"/>
        </w:rPr>
      </w:pPr>
    </w:p>
    <w:p w14:paraId="498246E3" w14:textId="77777777" w:rsidR="008D28FE" w:rsidRDefault="008D28FE" w:rsidP="008D28FE">
      <w:pPr>
        <w:pStyle w:val="ListParagraph"/>
        <w:numPr>
          <w:ilvl w:val="1"/>
          <w:numId w:val="10"/>
        </w:numPr>
        <w:shd w:val="clear" w:color="auto" w:fill="FFFFFF"/>
        <w:spacing w:after="0" w:line="240" w:lineRule="auto"/>
        <w:jc w:val="both"/>
        <w:rPr>
          <w:rFonts w:ascii="Arial" w:eastAsia="Times New Roman" w:hAnsi="Arial" w:cs="Arial"/>
          <w:bCs/>
          <w:lang w:eastAsia="en-GB"/>
        </w:rPr>
      </w:pPr>
      <w:r w:rsidRPr="008D28FE">
        <w:rPr>
          <w:rFonts w:ascii="Arial" w:eastAsia="Times New Roman" w:hAnsi="Arial" w:cs="Arial"/>
          <w:bCs/>
          <w:lang w:eastAsia="en-GB"/>
        </w:rPr>
        <w:t>t</w:t>
      </w:r>
      <w:r w:rsidR="001E0F32" w:rsidRPr="008D28FE">
        <w:rPr>
          <w:rFonts w:ascii="Arial" w:eastAsia="Times New Roman" w:hAnsi="Arial" w:cs="Arial"/>
          <w:bCs/>
          <w:lang w:eastAsia="en-GB"/>
        </w:rPr>
        <w:t xml:space="preserve">hat the primary purpose of permanent migration </w:t>
      </w:r>
      <w:r w:rsidR="001D073A">
        <w:rPr>
          <w:rFonts w:ascii="Arial" w:eastAsia="Times New Roman" w:hAnsi="Arial" w:cs="Arial"/>
          <w:bCs/>
          <w:lang w:eastAsia="en-GB"/>
        </w:rPr>
        <w:t xml:space="preserve">policy settings is </w:t>
      </w:r>
      <w:r w:rsidR="001E0F32" w:rsidRPr="008D28FE">
        <w:rPr>
          <w:rFonts w:ascii="Arial" w:eastAsia="Times New Roman" w:hAnsi="Arial" w:cs="Arial"/>
          <w:bCs/>
          <w:lang w:eastAsia="en-GB"/>
        </w:rPr>
        <w:t xml:space="preserve">to support a sustainable population </w:t>
      </w:r>
      <w:r>
        <w:rPr>
          <w:rFonts w:ascii="Arial" w:eastAsia="Times New Roman" w:hAnsi="Arial" w:cs="Arial"/>
          <w:bCs/>
          <w:lang w:eastAsia="en-GB"/>
        </w:rPr>
        <w:t xml:space="preserve">level </w:t>
      </w:r>
      <w:r w:rsidR="001E0F32" w:rsidRPr="008D28FE">
        <w:rPr>
          <w:rFonts w:ascii="Arial" w:eastAsia="Times New Roman" w:hAnsi="Arial" w:cs="Arial"/>
          <w:bCs/>
          <w:lang w:eastAsia="en-GB"/>
        </w:rPr>
        <w:t>for Australia</w:t>
      </w:r>
      <w:r w:rsidR="001C67BD">
        <w:rPr>
          <w:rFonts w:ascii="Arial" w:eastAsia="Times New Roman" w:hAnsi="Arial" w:cs="Arial"/>
          <w:bCs/>
          <w:lang w:eastAsia="en-GB"/>
        </w:rPr>
        <w:t>.</w:t>
      </w:r>
    </w:p>
    <w:p w14:paraId="25E657EB" w14:textId="77777777" w:rsidR="008D28FE" w:rsidRDefault="008D28FE" w:rsidP="008D28FE">
      <w:pPr>
        <w:pStyle w:val="ListParagraph"/>
        <w:shd w:val="clear" w:color="auto" w:fill="FFFFFF"/>
        <w:spacing w:after="0" w:line="240" w:lineRule="auto"/>
        <w:ind w:left="360"/>
        <w:jc w:val="both"/>
        <w:rPr>
          <w:rFonts w:ascii="Arial" w:eastAsia="Times New Roman" w:hAnsi="Arial" w:cs="Arial"/>
          <w:bCs/>
          <w:lang w:eastAsia="en-GB"/>
        </w:rPr>
      </w:pPr>
    </w:p>
    <w:p w14:paraId="10C7A9F7" w14:textId="77777777" w:rsidR="001E0F32" w:rsidRPr="008D28FE" w:rsidRDefault="008D28FE" w:rsidP="008D28FE">
      <w:pPr>
        <w:pStyle w:val="ListParagraph"/>
        <w:numPr>
          <w:ilvl w:val="1"/>
          <w:numId w:val="10"/>
        </w:num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t</w:t>
      </w:r>
      <w:r w:rsidR="001E0F32" w:rsidRPr="008D28FE">
        <w:rPr>
          <w:rFonts w:ascii="Arial" w:eastAsia="Times New Roman" w:hAnsi="Arial" w:cs="Arial"/>
          <w:bCs/>
          <w:lang w:eastAsia="en-GB"/>
        </w:rPr>
        <w:t xml:space="preserve">hat permanent migration </w:t>
      </w:r>
      <w:r w:rsidR="001C67BD">
        <w:rPr>
          <w:rFonts w:ascii="Arial" w:eastAsia="Times New Roman" w:hAnsi="Arial" w:cs="Arial"/>
          <w:bCs/>
          <w:lang w:eastAsia="en-GB"/>
        </w:rPr>
        <w:t xml:space="preserve">quotas </w:t>
      </w:r>
      <w:r w:rsidR="001E0F32" w:rsidRPr="008D28FE">
        <w:rPr>
          <w:rFonts w:ascii="Arial" w:eastAsia="Times New Roman" w:hAnsi="Arial" w:cs="Arial"/>
          <w:bCs/>
          <w:lang w:eastAsia="en-GB"/>
        </w:rPr>
        <w:t xml:space="preserve">be </w:t>
      </w:r>
      <w:r w:rsidR="00006560" w:rsidRPr="008D28FE">
        <w:rPr>
          <w:rFonts w:ascii="Arial" w:eastAsia="Times New Roman" w:hAnsi="Arial" w:cs="Arial"/>
          <w:bCs/>
          <w:lang w:eastAsia="en-GB"/>
        </w:rPr>
        <w:t xml:space="preserve">decreased </w:t>
      </w:r>
      <w:r w:rsidR="000330BC">
        <w:rPr>
          <w:rFonts w:ascii="Arial" w:eastAsia="Times New Roman" w:hAnsi="Arial" w:cs="Arial"/>
          <w:bCs/>
          <w:lang w:eastAsia="en-GB"/>
        </w:rPr>
        <w:t>to levels similar to Australia’s permanent emigration</w:t>
      </w:r>
      <w:r w:rsidR="001C67BD">
        <w:rPr>
          <w:rFonts w:ascii="Arial" w:eastAsia="Times New Roman" w:hAnsi="Arial" w:cs="Arial"/>
          <w:bCs/>
          <w:lang w:eastAsia="en-GB"/>
        </w:rPr>
        <w:t>,</w:t>
      </w:r>
      <w:r w:rsidR="00006560" w:rsidRPr="008D28FE">
        <w:rPr>
          <w:rFonts w:ascii="Arial" w:eastAsia="Times New Roman" w:hAnsi="Arial" w:cs="Arial"/>
          <w:bCs/>
          <w:lang w:eastAsia="en-GB"/>
        </w:rPr>
        <w:t xml:space="preserve"> to avoid </w:t>
      </w:r>
      <w:r w:rsidR="00594A02" w:rsidRPr="008D28FE">
        <w:rPr>
          <w:rFonts w:ascii="Arial" w:eastAsia="Times New Roman" w:hAnsi="Arial" w:cs="Arial"/>
          <w:bCs/>
          <w:lang w:eastAsia="en-GB"/>
        </w:rPr>
        <w:t>exacerbating</w:t>
      </w:r>
      <w:r w:rsidR="00006560" w:rsidRPr="008D28FE">
        <w:rPr>
          <w:rFonts w:ascii="Arial" w:eastAsia="Times New Roman" w:hAnsi="Arial" w:cs="Arial"/>
          <w:bCs/>
          <w:lang w:eastAsia="en-GB"/>
        </w:rPr>
        <w:t>:</w:t>
      </w:r>
    </w:p>
    <w:p w14:paraId="56D0292B" w14:textId="77777777" w:rsidR="00594A02" w:rsidRDefault="00240537" w:rsidP="008D28FE">
      <w:pPr>
        <w:pStyle w:val="ListParagraph"/>
        <w:numPr>
          <w:ilvl w:val="1"/>
          <w:numId w:val="9"/>
        </w:num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p</w:t>
      </w:r>
      <w:r w:rsidR="00006560" w:rsidRPr="00594A02">
        <w:rPr>
          <w:rFonts w:ascii="Arial" w:eastAsia="Times New Roman" w:hAnsi="Arial" w:cs="Arial"/>
          <w:bCs/>
          <w:lang w:eastAsia="en-GB"/>
        </w:rPr>
        <w:t xml:space="preserve">opulation-related pressure on inadequate </w:t>
      </w:r>
      <w:r w:rsidR="00594A02" w:rsidRPr="00594A02">
        <w:rPr>
          <w:rFonts w:ascii="Arial" w:eastAsia="Times New Roman" w:hAnsi="Arial" w:cs="Arial"/>
          <w:bCs/>
          <w:lang w:eastAsia="en-GB"/>
        </w:rPr>
        <w:t>existing</w:t>
      </w:r>
      <w:r w:rsidR="00006560" w:rsidRPr="00594A02">
        <w:rPr>
          <w:rFonts w:ascii="Arial" w:eastAsia="Times New Roman" w:hAnsi="Arial" w:cs="Arial"/>
          <w:bCs/>
          <w:lang w:eastAsia="en-GB"/>
        </w:rPr>
        <w:t xml:space="preserve"> infrastructure</w:t>
      </w:r>
      <w:r w:rsidR="000330BC">
        <w:rPr>
          <w:rFonts w:ascii="Arial" w:eastAsia="Times New Roman" w:hAnsi="Arial" w:cs="Arial"/>
          <w:bCs/>
          <w:lang w:eastAsia="en-GB"/>
        </w:rPr>
        <w:t>, on government budget deficits resulting from increased infrastructure spending, and on welfare and community services which have been wound</w:t>
      </w:r>
      <w:r w:rsidR="001C67BD">
        <w:rPr>
          <w:rFonts w:ascii="Arial" w:eastAsia="Times New Roman" w:hAnsi="Arial" w:cs="Arial"/>
          <w:bCs/>
          <w:lang w:eastAsia="en-GB"/>
        </w:rPr>
        <w:t xml:space="preserve"> back to pay for infrastructure;</w:t>
      </w:r>
    </w:p>
    <w:p w14:paraId="0AC8388E" w14:textId="77777777" w:rsidR="00240537" w:rsidRDefault="00240537" w:rsidP="008D28FE">
      <w:pPr>
        <w:pStyle w:val="ListParagraph"/>
        <w:numPr>
          <w:ilvl w:val="1"/>
          <w:numId w:val="9"/>
        </w:num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d</w:t>
      </w:r>
      <w:r w:rsidR="00006560" w:rsidRPr="00594A02">
        <w:rPr>
          <w:rFonts w:ascii="Arial" w:eastAsia="Times New Roman" w:hAnsi="Arial" w:cs="Arial"/>
          <w:bCs/>
          <w:lang w:eastAsia="en-GB"/>
        </w:rPr>
        <w:t>eleterious impact</w:t>
      </w:r>
      <w:r w:rsidR="00594A02">
        <w:rPr>
          <w:rFonts w:ascii="Arial" w:eastAsia="Times New Roman" w:hAnsi="Arial" w:cs="Arial"/>
          <w:bCs/>
          <w:lang w:eastAsia="en-GB"/>
        </w:rPr>
        <w:t>s</w:t>
      </w:r>
      <w:r w:rsidR="00006560" w:rsidRPr="00594A02">
        <w:rPr>
          <w:rFonts w:ascii="Arial" w:eastAsia="Times New Roman" w:hAnsi="Arial" w:cs="Arial"/>
          <w:bCs/>
          <w:lang w:eastAsia="en-GB"/>
        </w:rPr>
        <w:t xml:space="preserve"> on </w:t>
      </w:r>
      <w:r>
        <w:rPr>
          <w:rFonts w:ascii="Arial" w:eastAsia="Times New Roman" w:hAnsi="Arial" w:cs="Arial"/>
          <w:bCs/>
          <w:lang w:eastAsia="en-GB"/>
        </w:rPr>
        <w:t>urban</w:t>
      </w:r>
      <w:r w:rsidR="00594A02">
        <w:rPr>
          <w:rFonts w:ascii="Arial" w:eastAsia="Times New Roman" w:hAnsi="Arial" w:cs="Arial"/>
          <w:bCs/>
          <w:lang w:eastAsia="en-GB"/>
        </w:rPr>
        <w:t xml:space="preserve"> amenity and </w:t>
      </w:r>
      <w:r w:rsidR="00FC0F08">
        <w:rPr>
          <w:rFonts w:ascii="Arial" w:eastAsia="Times New Roman" w:hAnsi="Arial" w:cs="Arial"/>
          <w:bCs/>
          <w:lang w:eastAsia="en-GB"/>
        </w:rPr>
        <w:t xml:space="preserve">reduced </w:t>
      </w:r>
      <w:r w:rsidR="00006560" w:rsidRPr="00594A02">
        <w:rPr>
          <w:rFonts w:ascii="Arial" w:eastAsia="Times New Roman" w:hAnsi="Arial" w:cs="Arial"/>
          <w:bCs/>
          <w:lang w:eastAsia="en-GB"/>
        </w:rPr>
        <w:t>quality of life</w:t>
      </w:r>
      <w:r w:rsidR="00FC0F08">
        <w:rPr>
          <w:rFonts w:ascii="Arial" w:eastAsia="Times New Roman" w:hAnsi="Arial" w:cs="Arial"/>
          <w:bCs/>
          <w:lang w:eastAsia="en-GB"/>
        </w:rPr>
        <w:t xml:space="preserve"> for existing residents</w:t>
      </w:r>
      <w:r w:rsidR="001C67BD">
        <w:rPr>
          <w:rFonts w:ascii="Arial" w:eastAsia="Times New Roman" w:hAnsi="Arial" w:cs="Arial"/>
          <w:bCs/>
          <w:lang w:eastAsia="en-GB"/>
        </w:rPr>
        <w:t>, not least from housing unaffordability</w:t>
      </w:r>
      <w:r w:rsidR="00006560" w:rsidRPr="00594A02">
        <w:rPr>
          <w:rFonts w:ascii="Arial" w:eastAsia="Times New Roman" w:hAnsi="Arial" w:cs="Arial"/>
          <w:bCs/>
          <w:lang w:eastAsia="en-GB"/>
        </w:rPr>
        <w:t>; and</w:t>
      </w:r>
    </w:p>
    <w:p w14:paraId="3E2E6293" w14:textId="77777777" w:rsidR="00006560" w:rsidRDefault="00006560" w:rsidP="008D28FE">
      <w:pPr>
        <w:pStyle w:val="ListParagraph"/>
        <w:numPr>
          <w:ilvl w:val="1"/>
          <w:numId w:val="9"/>
        </w:numPr>
        <w:shd w:val="clear" w:color="auto" w:fill="FFFFFF"/>
        <w:spacing w:after="0" w:line="240" w:lineRule="auto"/>
        <w:jc w:val="both"/>
        <w:rPr>
          <w:rFonts w:ascii="Arial" w:eastAsia="Times New Roman" w:hAnsi="Arial" w:cs="Arial"/>
          <w:bCs/>
          <w:lang w:eastAsia="en-GB"/>
        </w:rPr>
      </w:pPr>
      <w:r w:rsidRPr="00240537">
        <w:rPr>
          <w:rFonts w:ascii="Arial" w:eastAsia="Times New Roman" w:hAnsi="Arial" w:cs="Arial"/>
          <w:bCs/>
          <w:lang w:eastAsia="en-GB"/>
        </w:rPr>
        <w:t xml:space="preserve">environmental </w:t>
      </w:r>
      <w:r w:rsidR="00240537" w:rsidRPr="00240537">
        <w:rPr>
          <w:rFonts w:ascii="Arial" w:eastAsia="Times New Roman" w:hAnsi="Arial" w:cs="Arial"/>
          <w:bCs/>
          <w:lang w:eastAsia="en-GB"/>
        </w:rPr>
        <w:t>depletion</w:t>
      </w:r>
      <w:r w:rsidRPr="00240537">
        <w:rPr>
          <w:rFonts w:ascii="Arial" w:eastAsia="Times New Roman" w:hAnsi="Arial" w:cs="Arial"/>
          <w:bCs/>
          <w:lang w:eastAsia="en-GB"/>
        </w:rPr>
        <w:t xml:space="preserve"> and </w:t>
      </w:r>
      <w:r w:rsidR="00FC0F08">
        <w:rPr>
          <w:rFonts w:ascii="Arial" w:eastAsia="Times New Roman" w:hAnsi="Arial" w:cs="Arial"/>
          <w:bCs/>
          <w:lang w:eastAsia="en-GB"/>
        </w:rPr>
        <w:t xml:space="preserve">related </w:t>
      </w:r>
      <w:r w:rsidRPr="00240537">
        <w:rPr>
          <w:rFonts w:ascii="Arial" w:eastAsia="Times New Roman" w:hAnsi="Arial" w:cs="Arial"/>
          <w:bCs/>
          <w:lang w:eastAsia="en-GB"/>
        </w:rPr>
        <w:t>erosion of Australia’s natural carrying capacity.</w:t>
      </w:r>
    </w:p>
    <w:p w14:paraId="148863B8" w14:textId="77777777" w:rsidR="001D073A" w:rsidRDefault="001D073A" w:rsidP="001D073A">
      <w:pPr>
        <w:shd w:val="clear" w:color="auto" w:fill="FFFFFF"/>
        <w:spacing w:after="0" w:line="240" w:lineRule="auto"/>
        <w:jc w:val="both"/>
        <w:rPr>
          <w:rFonts w:ascii="Arial" w:eastAsia="Times New Roman" w:hAnsi="Arial" w:cs="Arial"/>
          <w:bCs/>
          <w:lang w:eastAsia="en-GB"/>
        </w:rPr>
      </w:pPr>
    </w:p>
    <w:p w14:paraId="4F6633CE" w14:textId="77777777" w:rsidR="001D073A" w:rsidRPr="001D073A" w:rsidRDefault="001D073A" w:rsidP="001D073A">
      <w:pPr>
        <w:shd w:val="clear" w:color="auto" w:fill="FFFFFF"/>
        <w:spacing w:after="0" w:line="240" w:lineRule="auto"/>
        <w:jc w:val="both"/>
        <w:rPr>
          <w:rFonts w:ascii="Arial" w:eastAsia="Times New Roman" w:hAnsi="Arial" w:cs="Arial"/>
          <w:bCs/>
          <w:lang w:eastAsia="en-GB"/>
        </w:rPr>
      </w:pPr>
      <w:r>
        <w:rPr>
          <w:rFonts w:ascii="Arial" w:eastAsia="Times New Roman" w:hAnsi="Arial" w:cs="Arial"/>
          <w:bCs/>
          <w:lang w:eastAsia="en-GB"/>
        </w:rPr>
        <w:t>SPA thanks the Commission for its consideration of this submission.</w:t>
      </w:r>
    </w:p>
    <w:p w14:paraId="1EDE34E3" w14:textId="77777777" w:rsidR="001E0F32" w:rsidRPr="00184466" w:rsidRDefault="001E0F32" w:rsidP="00893FC2">
      <w:pPr>
        <w:shd w:val="clear" w:color="auto" w:fill="FFFFFF"/>
        <w:spacing w:after="288" w:line="240" w:lineRule="auto"/>
        <w:rPr>
          <w:rFonts w:ascii="Arial" w:eastAsia="Times New Roman" w:hAnsi="Arial" w:cs="Arial"/>
          <w:bCs/>
          <w:lang w:eastAsia="en-GB"/>
        </w:rPr>
      </w:pPr>
    </w:p>
    <w:p w14:paraId="4D9FB424" w14:textId="77777777" w:rsidR="00FE1B0B" w:rsidRPr="00184466" w:rsidRDefault="00FE1B0B">
      <w:pPr>
        <w:rPr>
          <w:rFonts w:ascii="Arial" w:eastAsia="Times New Roman" w:hAnsi="Arial" w:cs="Arial"/>
          <w:b/>
          <w:bCs/>
          <w:lang w:eastAsia="en-GB"/>
        </w:rPr>
      </w:pPr>
      <w:r w:rsidRPr="00184466">
        <w:rPr>
          <w:rFonts w:ascii="Arial" w:eastAsia="Times New Roman" w:hAnsi="Arial" w:cs="Arial"/>
          <w:b/>
          <w:bCs/>
          <w:lang w:eastAsia="en-GB"/>
        </w:rPr>
        <w:br w:type="page"/>
      </w:r>
    </w:p>
    <w:p w14:paraId="02CEB474" w14:textId="77777777" w:rsidR="00E63B38" w:rsidRPr="00184466" w:rsidRDefault="00E63B38" w:rsidP="00184466">
      <w:pPr>
        <w:shd w:val="clear" w:color="auto" w:fill="FFFFFF"/>
        <w:spacing w:after="0" w:line="240" w:lineRule="auto"/>
        <w:rPr>
          <w:rFonts w:ascii="Arial" w:eastAsia="Times New Roman" w:hAnsi="Arial" w:cs="Arial"/>
          <w:b/>
          <w:bCs/>
          <w:color w:val="000000"/>
          <w:lang w:eastAsia="en-GB"/>
        </w:rPr>
      </w:pPr>
      <w:r w:rsidRPr="00184466">
        <w:rPr>
          <w:rFonts w:ascii="Arial" w:eastAsia="Times New Roman" w:hAnsi="Arial" w:cs="Arial"/>
          <w:b/>
          <w:bCs/>
          <w:color w:val="000000"/>
          <w:lang w:eastAsia="en-GB"/>
        </w:rPr>
        <w:lastRenderedPageBreak/>
        <w:t>APPENDIX A: ABOUT SUSTAINABLE POPULATION AUSTRALIA</w:t>
      </w:r>
    </w:p>
    <w:p w14:paraId="4EED84C8" w14:textId="77777777" w:rsidR="00184466" w:rsidRDefault="00184466" w:rsidP="00184466">
      <w:pPr>
        <w:shd w:val="clear" w:color="auto" w:fill="FFFFFF"/>
        <w:spacing w:after="0" w:line="240" w:lineRule="auto"/>
        <w:rPr>
          <w:rFonts w:ascii="Helvetica" w:eastAsia="Times New Roman" w:hAnsi="Helvetica" w:cs="Times New Roman"/>
          <w:b/>
          <w:bCs/>
          <w:color w:val="000000"/>
          <w:sz w:val="21"/>
          <w:szCs w:val="21"/>
          <w:lang w:eastAsia="en-GB"/>
        </w:rPr>
      </w:pPr>
    </w:p>
    <w:p w14:paraId="090BC0CF" w14:textId="77777777" w:rsidR="00184466" w:rsidRPr="001D073A" w:rsidRDefault="00184466" w:rsidP="00184466">
      <w:p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bCs/>
          <w:color w:val="000000"/>
          <w:lang w:eastAsia="en-GB"/>
        </w:rPr>
        <w:t>Sustainable Population Australia</w:t>
      </w:r>
      <w:r w:rsidRPr="001D073A">
        <w:rPr>
          <w:rFonts w:ascii="Arial" w:eastAsia="Times New Roman" w:hAnsi="Arial" w:cs="Arial"/>
          <w:color w:val="000000"/>
          <w:lang w:eastAsia="en-GB"/>
        </w:rPr>
        <w:t xml:space="preserve"> (</w:t>
      </w:r>
      <w:r w:rsidRPr="001D073A">
        <w:rPr>
          <w:rFonts w:ascii="Arial" w:eastAsia="Times New Roman" w:hAnsi="Arial" w:cs="Arial"/>
          <w:bCs/>
          <w:color w:val="000000"/>
          <w:lang w:eastAsia="en-GB"/>
        </w:rPr>
        <w:t>SPA</w:t>
      </w:r>
      <w:r w:rsidRPr="001D073A">
        <w:rPr>
          <w:rFonts w:ascii="Arial" w:eastAsia="Times New Roman" w:hAnsi="Arial" w:cs="Arial"/>
          <w:color w:val="000000"/>
          <w:lang w:eastAsia="en-GB"/>
        </w:rPr>
        <w:t>) (formerly Australians for an Ecologically Sustainable Population) is an Australian special advocacy group, founded in Canberra in 1988, that seeks to establish an ecologically sustainable human population. SPA</w:t>
      </w:r>
      <w:r w:rsidR="00481E3D">
        <w:rPr>
          <w:rFonts w:ascii="Arial" w:eastAsia="Times New Roman" w:hAnsi="Arial" w:cs="Arial"/>
          <w:color w:val="000000"/>
          <w:lang w:eastAsia="en-GB"/>
        </w:rPr>
        <w:t xml:space="preserve"> is</w:t>
      </w:r>
      <w:r w:rsidRPr="001D073A">
        <w:rPr>
          <w:rFonts w:ascii="Arial" w:eastAsia="Times New Roman" w:hAnsi="Arial" w:cs="Arial"/>
          <w:color w:val="000000"/>
          <w:lang w:eastAsia="en-GB"/>
        </w:rPr>
        <w:t xml:space="preserve"> an ecological group dedicated to preserving species' habitats globally and in Australia from the degradation caused by human </w:t>
      </w:r>
      <w:r w:rsidR="009F39C7">
        <w:rPr>
          <w:rFonts w:ascii="Arial" w:eastAsia="Times New Roman" w:hAnsi="Arial" w:cs="Arial"/>
          <w:color w:val="000000"/>
          <w:lang w:eastAsia="en-GB"/>
        </w:rPr>
        <w:t>demands on the biosphere</w:t>
      </w:r>
      <w:r w:rsidRPr="001D073A">
        <w:rPr>
          <w:rFonts w:ascii="Arial" w:eastAsia="Times New Roman" w:hAnsi="Arial" w:cs="Arial"/>
          <w:color w:val="000000"/>
          <w:lang w:eastAsia="en-GB"/>
        </w:rPr>
        <w:t>.</w:t>
      </w:r>
      <w:r w:rsidR="00481E3D">
        <w:rPr>
          <w:rFonts w:ascii="Arial" w:eastAsia="Times New Roman" w:hAnsi="Arial" w:cs="Arial"/>
          <w:color w:val="000000"/>
          <w:lang w:eastAsia="en-GB"/>
        </w:rPr>
        <w:t xml:space="preserve"> It sees this goal as synergistic with those of universal access to reproductive health and rights, and of prosperous, equitable and secure societies with adequate provision of resources per capita</w:t>
      </w:r>
      <w:r w:rsidR="009F39C7">
        <w:rPr>
          <w:rFonts w:ascii="Arial" w:eastAsia="Times New Roman" w:hAnsi="Arial" w:cs="Arial"/>
          <w:color w:val="000000"/>
          <w:lang w:eastAsia="en-GB"/>
        </w:rPr>
        <w:t xml:space="preserve"> for sustainable wellbeing.</w:t>
      </w:r>
      <w:r w:rsidR="001C67BD">
        <w:rPr>
          <w:rFonts w:ascii="Arial" w:eastAsia="Times New Roman" w:hAnsi="Arial" w:cs="Arial"/>
          <w:color w:val="000000"/>
          <w:lang w:eastAsia="en-GB"/>
        </w:rPr>
        <w:t xml:space="preserve"> SPA</w:t>
      </w:r>
      <w:r w:rsidRPr="001D073A">
        <w:rPr>
          <w:rFonts w:ascii="Arial" w:eastAsia="Times New Roman" w:hAnsi="Arial" w:cs="Arial"/>
          <w:color w:val="000000"/>
          <w:lang w:eastAsia="en-GB"/>
        </w:rPr>
        <w:t xml:space="preserve"> works on many fronts to encourage informed public debate about how Australia and the world can achieve an ecologically, socially and economically sustainable population.</w:t>
      </w:r>
    </w:p>
    <w:p w14:paraId="22F068A4" w14:textId="77777777" w:rsidR="00184466" w:rsidRPr="001D073A" w:rsidRDefault="00184466" w:rsidP="00184466">
      <w:pPr>
        <w:shd w:val="clear" w:color="auto" w:fill="FFFFFF"/>
        <w:spacing w:after="0" w:line="240" w:lineRule="auto"/>
        <w:jc w:val="both"/>
        <w:rPr>
          <w:rFonts w:ascii="Arial" w:eastAsia="Times New Roman" w:hAnsi="Arial" w:cs="Arial"/>
          <w:color w:val="000000"/>
          <w:lang w:eastAsia="en-GB"/>
        </w:rPr>
      </w:pPr>
    </w:p>
    <w:p w14:paraId="7BEB3231" w14:textId="77777777" w:rsidR="00184466" w:rsidRPr="001D073A" w:rsidRDefault="00184466" w:rsidP="00184466">
      <w:pPr>
        <w:shd w:val="clear" w:color="auto" w:fill="FFFFFF"/>
        <w:spacing w:after="0" w:line="240" w:lineRule="auto"/>
        <w:jc w:val="both"/>
        <w:rPr>
          <w:rFonts w:ascii="Arial" w:eastAsia="Times New Roman" w:hAnsi="Arial" w:cs="Arial"/>
          <w:color w:val="000000"/>
          <w:lang w:eastAsia="en-GB"/>
        </w:rPr>
      </w:pPr>
      <w:proofErr w:type="spellStart"/>
      <w:r w:rsidRPr="001D073A">
        <w:rPr>
          <w:rFonts w:ascii="Arial" w:eastAsia="Times New Roman" w:hAnsi="Arial" w:cs="Arial"/>
          <w:color w:val="000000"/>
          <w:lang w:eastAsia="en-GB"/>
        </w:rPr>
        <w:t>SPA's</w:t>
      </w:r>
      <w:proofErr w:type="spellEnd"/>
      <w:r w:rsidRPr="001D073A">
        <w:rPr>
          <w:rFonts w:ascii="Arial" w:eastAsia="Times New Roman" w:hAnsi="Arial" w:cs="Arial"/>
          <w:color w:val="000000"/>
          <w:lang w:eastAsia="en-GB"/>
        </w:rPr>
        <w:t xml:space="preserve"> local activities are run by its six state branches: ACT, NSW, SA &amp; NT, Vic &amp; </w:t>
      </w:r>
      <w:proofErr w:type="spellStart"/>
      <w:r w:rsidRPr="001D073A">
        <w:rPr>
          <w:rFonts w:ascii="Arial" w:eastAsia="Times New Roman" w:hAnsi="Arial" w:cs="Arial"/>
          <w:color w:val="000000"/>
          <w:lang w:eastAsia="en-GB"/>
        </w:rPr>
        <w:t>Tas</w:t>
      </w:r>
      <w:proofErr w:type="spellEnd"/>
      <w:r w:rsidRPr="001D073A">
        <w:rPr>
          <w:rFonts w:ascii="Arial" w:eastAsia="Times New Roman" w:hAnsi="Arial" w:cs="Arial"/>
          <w:color w:val="000000"/>
          <w:lang w:eastAsia="en-GB"/>
        </w:rPr>
        <w:t xml:space="preserve">, </w:t>
      </w:r>
      <w:proofErr w:type="spellStart"/>
      <w:r w:rsidRPr="001D073A">
        <w:rPr>
          <w:rFonts w:ascii="Arial" w:eastAsia="Times New Roman" w:hAnsi="Arial" w:cs="Arial"/>
          <w:color w:val="000000"/>
          <w:lang w:eastAsia="en-GB"/>
        </w:rPr>
        <w:t>Qld</w:t>
      </w:r>
      <w:proofErr w:type="spellEnd"/>
      <w:r w:rsidRPr="001D073A">
        <w:rPr>
          <w:rFonts w:ascii="Arial" w:eastAsia="Times New Roman" w:hAnsi="Arial" w:cs="Arial"/>
          <w:color w:val="000000"/>
          <w:lang w:eastAsia="en-GB"/>
        </w:rPr>
        <w:t xml:space="preserve"> and WA. </w:t>
      </w:r>
      <w:r w:rsidR="00481E3D">
        <w:rPr>
          <w:rFonts w:ascii="Arial" w:eastAsia="Times New Roman" w:hAnsi="Arial" w:cs="Arial"/>
          <w:color w:val="000000"/>
          <w:lang w:eastAsia="en-GB"/>
        </w:rPr>
        <w:t>B</w:t>
      </w:r>
      <w:r w:rsidRPr="001D073A">
        <w:rPr>
          <w:rFonts w:ascii="Arial" w:eastAsia="Times New Roman" w:hAnsi="Arial" w:cs="Arial"/>
          <w:color w:val="000000"/>
          <w:lang w:eastAsia="en-GB"/>
        </w:rPr>
        <w:t>ranches hold regular meetings</w:t>
      </w:r>
      <w:r w:rsidR="00481E3D">
        <w:rPr>
          <w:rFonts w:ascii="Arial" w:eastAsia="Times New Roman" w:hAnsi="Arial" w:cs="Arial"/>
          <w:color w:val="000000"/>
          <w:lang w:eastAsia="en-GB"/>
        </w:rPr>
        <w:t xml:space="preserve"> and conduct a range of community engagement and advocacy activities. </w:t>
      </w:r>
      <w:r w:rsidRPr="001D073A">
        <w:rPr>
          <w:rFonts w:ascii="Arial" w:eastAsia="Times New Roman" w:hAnsi="Arial" w:cs="Arial"/>
          <w:color w:val="000000"/>
          <w:lang w:eastAsia="en-GB"/>
        </w:rPr>
        <w:t xml:space="preserve"> </w:t>
      </w:r>
      <w:r w:rsidR="009F39C7">
        <w:rPr>
          <w:rFonts w:ascii="Arial" w:eastAsia="Times New Roman" w:hAnsi="Arial" w:cs="Arial"/>
          <w:color w:val="000000"/>
          <w:lang w:eastAsia="en-GB"/>
        </w:rPr>
        <w:t>The</w:t>
      </w:r>
      <w:r w:rsidRPr="001D073A">
        <w:rPr>
          <w:rFonts w:ascii="Arial" w:eastAsia="Times New Roman" w:hAnsi="Arial" w:cs="Arial"/>
          <w:color w:val="000000"/>
          <w:lang w:eastAsia="en-GB"/>
        </w:rPr>
        <w:t xml:space="preserve"> Newsletter, produced four times a year</w:t>
      </w:r>
      <w:r w:rsidR="009F39C7">
        <w:rPr>
          <w:rFonts w:ascii="Arial" w:eastAsia="Times New Roman" w:hAnsi="Arial" w:cs="Arial"/>
          <w:color w:val="000000"/>
          <w:lang w:eastAsia="en-GB"/>
        </w:rPr>
        <w:t xml:space="preserve">, </w:t>
      </w:r>
      <w:r w:rsidRPr="001D073A">
        <w:rPr>
          <w:rFonts w:ascii="Arial" w:eastAsia="Times New Roman" w:hAnsi="Arial" w:cs="Arial"/>
          <w:color w:val="000000"/>
          <w:lang w:eastAsia="en-GB"/>
        </w:rPr>
        <w:t>provides members with information and expert opinion to rebut the many myths about sustainability and population that one hears in conversation or sees in the press.</w:t>
      </w:r>
    </w:p>
    <w:p w14:paraId="08F1811C" w14:textId="77777777" w:rsidR="00184466" w:rsidRPr="001D073A" w:rsidRDefault="00184466" w:rsidP="00184466">
      <w:pPr>
        <w:shd w:val="clear" w:color="auto" w:fill="FFFFFF"/>
        <w:spacing w:after="0" w:line="240" w:lineRule="auto"/>
        <w:jc w:val="both"/>
        <w:rPr>
          <w:rFonts w:ascii="Arial" w:eastAsia="Times New Roman" w:hAnsi="Arial" w:cs="Arial"/>
          <w:color w:val="000000"/>
          <w:lang w:eastAsia="en-GB"/>
        </w:rPr>
      </w:pPr>
    </w:p>
    <w:p w14:paraId="33F2B3AA" w14:textId="77777777" w:rsidR="00E63B38" w:rsidRPr="001D073A" w:rsidRDefault="00E63B38" w:rsidP="00184466">
      <w:p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The objectives of SPA are:</w:t>
      </w:r>
    </w:p>
    <w:p w14:paraId="00E345D9"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contribute to public awareness of the limits of Australian population growth from ecological, social and economic viewpoints.</w:t>
      </w:r>
    </w:p>
    <w:p w14:paraId="29FB3514"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promote awareness that the survival of an ecologically sustainable population depends on its renewable resource base.</w:t>
      </w:r>
    </w:p>
    <w:p w14:paraId="2530104B"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promote policies that will lead to the stabilisation, and then to reduction, of Australia's population by encouraging low fertility and low migration.</w:t>
      </w:r>
    </w:p>
    <w:p w14:paraId="3FEDCBED"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promote urban and rural lifestyles and practices that are in harmony with the realities of the Australian environment, its resource base and its biodiversity.</w:t>
      </w:r>
    </w:p>
    <w:p w14:paraId="20B5078C"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advocate low immigration rates while rejecting any selection based on race.</w:t>
      </w:r>
    </w:p>
    <w:p w14:paraId="5BEF49D1" w14:textId="77777777" w:rsidR="00E63B38" w:rsidRPr="001D073A" w:rsidRDefault="00E63B38" w:rsidP="00184466">
      <w:pPr>
        <w:pStyle w:val="ListParagraph"/>
        <w:numPr>
          <w:ilvl w:val="0"/>
          <w:numId w:val="2"/>
        </w:numPr>
        <w:shd w:val="clear" w:color="auto" w:fill="FFFFFF"/>
        <w:spacing w:after="0" w:line="240" w:lineRule="auto"/>
        <w:jc w:val="both"/>
        <w:rPr>
          <w:rFonts w:ascii="Arial" w:eastAsia="Times New Roman" w:hAnsi="Arial" w:cs="Arial"/>
          <w:color w:val="000000"/>
          <w:lang w:eastAsia="en-GB"/>
        </w:rPr>
      </w:pPr>
      <w:r w:rsidRPr="001D073A">
        <w:rPr>
          <w:rFonts w:ascii="Arial" w:eastAsia="Times New Roman" w:hAnsi="Arial" w:cs="Arial"/>
          <w:color w:val="000000"/>
          <w:lang w:eastAsia="en-GB"/>
        </w:rPr>
        <w:t>To help promote policies that will lead to the stabilisation, then reduction of global population.</w:t>
      </w:r>
    </w:p>
    <w:p w14:paraId="05EFCD77" w14:textId="77777777" w:rsidR="00B27385" w:rsidRDefault="001959AD" w:rsidP="00184466">
      <w:pPr>
        <w:jc w:val="both"/>
      </w:pPr>
    </w:p>
    <w:sectPr w:rsidR="00B2738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8A3A1" w14:textId="77777777" w:rsidR="002014A7" w:rsidRDefault="002014A7" w:rsidP="002E0BD0">
      <w:pPr>
        <w:spacing w:after="0" w:line="240" w:lineRule="auto"/>
      </w:pPr>
      <w:r>
        <w:separator/>
      </w:r>
    </w:p>
  </w:endnote>
  <w:endnote w:type="continuationSeparator" w:id="0">
    <w:p w14:paraId="6099DF08" w14:textId="77777777" w:rsidR="002014A7" w:rsidRDefault="002014A7" w:rsidP="002E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39686"/>
      <w:docPartObj>
        <w:docPartGallery w:val="Page Numbers (Bottom of Page)"/>
        <w:docPartUnique/>
      </w:docPartObj>
    </w:sdtPr>
    <w:sdtEndPr>
      <w:rPr>
        <w:rFonts w:ascii="Arial" w:hAnsi="Arial" w:cs="Arial"/>
        <w:noProof/>
      </w:rPr>
    </w:sdtEndPr>
    <w:sdtContent>
      <w:p w14:paraId="19F61432" w14:textId="77777777" w:rsidR="00BD3D30" w:rsidRPr="00BD3D30" w:rsidRDefault="00BD3D30" w:rsidP="00BD3D30">
        <w:pPr>
          <w:pStyle w:val="Footer"/>
          <w:jc w:val="center"/>
          <w:rPr>
            <w:rFonts w:ascii="Arial" w:hAnsi="Arial" w:cs="Arial"/>
          </w:rPr>
        </w:pPr>
        <w:r w:rsidRPr="00BD3D30">
          <w:rPr>
            <w:rFonts w:ascii="Arial" w:hAnsi="Arial" w:cs="Arial"/>
          </w:rPr>
          <w:fldChar w:fldCharType="begin"/>
        </w:r>
        <w:r w:rsidRPr="00BD3D30">
          <w:rPr>
            <w:rFonts w:ascii="Arial" w:hAnsi="Arial" w:cs="Arial"/>
          </w:rPr>
          <w:instrText xml:space="preserve"> PAGE   \* MERGEFORMAT </w:instrText>
        </w:r>
        <w:r w:rsidRPr="00BD3D30">
          <w:rPr>
            <w:rFonts w:ascii="Arial" w:hAnsi="Arial" w:cs="Arial"/>
          </w:rPr>
          <w:fldChar w:fldCharType="separate"/>
        </w:r>
        <w:r w:rsidR="001959AD">
          <w:rPr>
            <w:rFonts w:ascii="Arial" w:hAnsi="Arial" w:cs="Arial"/>
            <w:noProof/>
          </w:rPr>
          <w:t>1</w:t>
        </w:r>
        <w:r w:rsidRPr="00BD3D30">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12 June 2015</w:t>
        </w:r>
        <w:r w:rsidR="00081196">
          <w:rPr>
            <w:rFonts w:ascii="Arial" w:hAnsi="Arial" w:cs="Arial"/>
            <w:noProof/>
          </w:rPr>
          <w:t xml:space="preserve"> [v1.0]</w:t>
        </w:r>
      </w:p>
    </w:sdtContent>
  </w:sdt>
  <w:p w14:paraId="10718142" w14:textId="77777777" w:rsidR="00BF6CD8" w:rsidRDefault="00BF6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A0F57" w14:textId="77777777" w:rsidR="002014A7" w:rsidRDefault="002014A7" w:rsidP="002E0BD0">
      <w:pPr>
        <w:spacing w:after="0" w:line="240" w:lineRule="auto"/>
      </w:pPr>
      <w:r>
        <w:separator/>
      </w:r>
    </w:p>
  </w:footnote>
  <w:footnote w:type="continuationSeparator" w:id="0">
    <w:p w14:paraId="06ACCD17" w14:textId="77777777" w:rsidR="002014A7" w:rsidRDefault="002014A7" w:rsidP="002E0BD0">
      <w:pPr>
        <w:spacing w:after="0" w:line="240" w:lineRule="auto"/>
      </w:pPr>
      <w:r>
        <w:continuationSeparator/>
      </w:r>
    </w:p>
  </w:footnote>
  <w:footnote w:id="1">
    <w:p w14:paraId="71AD373B" w14:textId="77777777" w:rsidR="002E0BD0" w:rsidRPr="00747A81" w:rsidRDefault="002E0BD0">
      <w:pPr>
        <w:pStyle w:val="FootnoteText"/>
        <w:rPr>
          <w:rFonts w:ascii="Arial" w:hAnsi="Arial" w:cs="Arial"/>
          <w:lang w:val="en-AU"/>
        </w:rPr>
      </w:pPr>
      <w:r w:rsidRPr="00747A81">
        <w:rPr>
          <w:rStyle w:val="FootnoteReference"/>
          <w:rFonts w:ascii="Arial" w:hAnsi="Arial" w:cs="Arial"/>
        </w:rPr>
        <w:footnoteRef/>
      </w:r>
      <w:r w:rsidRPr="00747A81">
        <w:rPr>
          <w:rFonts w:ascii="Arial" w:hAnsi="Arial" w:cs="Arial"/>
        </w:rPr>
        <w:t xml:space="preserve"> </w:t>
      </w:r>
      <w:r w:rsidRPr="00747A81">
        <w:rPr>
          <w:rFonts w:ascii="Arial" w:hAnsi="Arial" w:cs="Arial"/>
          <w:lang w:val="en-AU"/>
        </w:rPr>
        <w:t xml:space="preserve">An overview of Sustainable Population Australia is provided at Appendix ‘A’ and is also available at </w:t>
      </w:r>
      <w:hyperlink r:id="rId1" w:history="1">
        <w:r w:rsidRPr="00747A81">
          <w:rPr>
            <w:rStyle w:val="Hyperlink"/>
            <w:rFonts w:ascii="Arial" w:hAnsi="Arial" w:cs="Arial"/>
            <w:lang w:val="en-AU"/>
          </w:rPr>
          <w:t>http://</w:t>
        </w:r>
        <w:proofErr w:type="spellStart"/>
        <w:r w:rsidRPr="00747A81">
          <w:rPr>
            <w:rStyle w:val="Hyperlink"/>
            <w:rFonts w:ascii="Arial" w:hAnsi="Arial" w:cs="Arial"/>
            <w:lang w:val="en-AU"/>
          </w:rPr>
          <w:t>www.population.org.au</w:t>
        </w:r>
        <w:proofErr w:type="spellEnd"/>
        <w:r w:rsidRPr="00747A81">
          <w:rPr>
            <w:rStyle w:val="Hyperlink"/>
            <w:rFonts w:ascii="Arial" w:hAnsi="Arial" w:cs="Arial"/>
            <w:lang w:val="en-AU"/>
          </w:rPr>
          <w:t>/about</w:t>
        </w:r>
      </w:hyperlink>
      <w:r w:rsidRPr="00747A81">
        <w:rPr>
          <w:rFonts w:ascii="Arial" w:hAnsi="Arial" w:cs="Arial"/>
          <w:lang w:val="en-AU"/>
        </w:rPr>
        <w:t>.</w:t>
      </w:r>
    </w:p>
  </w:footnote>
  <w:footnote w:id="2">
    <w:p w14:paraId="1D2CBBC9" w14:textId="77777777" w:rsidR="00666FE8" w:rsidRPr="009259D3" w:rsidRDefault="00666FE8" w:rsidP="00C92FC9">
      <w:pPr>
        <w:pStyle w:val="FootnoteText"/>
        <w:rPr>
          <w:rFonts w:ascii="Arial" w:hAnsi="Arial" w:cs="Arial"/>
          <w:lang w:val="en-AU"/>
        </w:rPr>
      </w:pPr>
      <w:r w:rsidRPr="009259D3">
        <w:rPr>
          <w:rStyle w:val="FootnoteReference"/>
          <w:rFonts w:ascii="Arial" w:hAnsi="Arial" w:cs="Arial"/>
        </w:rPr>
        <w:footnoteRef/>
      </w:r>
      <w:r w:rsidRPr="009259D3">
        <w:rPr>
          <w:rFonts w:ascii="Arial" w:hAnsi="Arial" w:cs="Arial"/>
        </w:rPr>
        <w:t xml:space="preserve"> </w:t>
      </w:r>
      <w:r w:rsidR="00EB1991" w:rsidRPr="00EB1991">
        <w:rPr>
          <w:rFonts w:ascii="Arial" w:hAnsi="Arial" w:cs="Arial"/>
          <w:lang w:val="en-AU"/>
        </w:rPr>
        <w:t>Australian Academy of Science’s role in the sustainable population debate</w:t>
      </w:r>
      <w:r w:rsidR="00053039" w:rsidRPr="009259D3">
        <w:rPr>
          <w:rFonts w:ascii="Arial" w:hAnsi="Arial" w:cs="Arial"/>
          <w:lang w:val="en-AU"/>
        </w:rPr>
        <w:t xml:space="preserve">: </w:t>
      </w:r>
      <w:hyperlink r:id="rId2" w:history="1">
        <w:r w:rsidR="00053039" w:rsidRPr="009259D3">
          <w:rPr>
            <w:rStyle w:val="Hyperlink"/>
            <w:rFonts w:ascii="Arial" w:hAnsi="Arial" w:cs="Arial"/>
            <w:lang w:val="en-AU"/>
          </w:rPr>
          <w:t>https://www.science.org.au/australian-academy-science%E2%80%99s-role-sustainable-population-debate</w:t>
        </w:r>
      </w:hyperlink>
      <w:r w:rsidR="00053039" w:rsidRPr="009259D3">
        <w:rPr>
          <w:rFonts w:ascii="Arial" w:hAnsi="Arial" w:cs="Arial"/>
          <w:lang w:val="en-AU"/>
        </w:rPr>
        <w:t xml:space="preserve">). </w:t>
      </w:r>
      <w:r w:rsidR="00193345" w:rsidRPr="009259D3">
        <w:rPr>
          <w:rFonts w:ascii="Arial" w:hAnsi="Arial" w:cs="Arial"/>
          <w:lang w:val="en-AU"/>
        </w:rPr>
        <w:t xml:space="preserve"> </w:t>
      </w:r>
    </w:p>
  </w:footnote>
  <w:footnote w:id="3">
    <w:p w14:paraId="582CD054" w14:textId="77777777" w:rsidR="00035BB3" w:rsidRPr="00035BB3" w:rsidRDefault="00035BB3">
      <w:pPr>
        <w:pStyle w:val="FootnoteText"/>
        <w:rPr>
          <w:lang w:val="en-AU"/>
        </w:rPr>
      </w:pPr>
      <w:r w:rsidRPr="009259D3">
        <w:rPr>
          <w:rStyle w:val="FootnoteReference"/>
          <w:rFonts w:ascii="Arial" w:hAnsi="Arial" w:cs="Arial"/>
        </w:rPr>
        <w:footnoteRef/>
      </w:r>
      <w:r w:rsidRPr="009259D3">
        <w:rPr>
          <w:rFonts w:ascii="Arial" w:hAnsi="Arial" w:cs="Arial"/>
        </w:rPr>
        <w:t xml:space="preserve"> </w:t>
      </w:r>
      <w:r w:rsidR="007B290E" w:rsidRPr="009259D3">
        <w:rPr>
          <w:rFonts w:ascii="Arial" w:hAnsi="Arial" w:cs="Arial"/>
          <w:lang w:val="en-AU"/>
        </w:rPr>
        <w:t>Infrastructure Australia</w:t>
      </w:r>
      <w:r w:rsidR="007B290E">
        <w:rPr>
          <w:rFonts w:ascii="Arial" w:hAnsi="Arial" w:cs="Arial"/>
          <w:lang w:val="en-AU"/>
        </w:rPr>
        <w:t xml:space="preserve"> 2015.</w:t>
      </w:r>
      <w:r w:rsidR="007B290E" w:rsidRPr="009259D3">
        <w:rPr>
          <w:rFonts w:ascii="Arial" w:hAnsi="Arial" w:cs="Arial"/>
          <w:lang w:val="en-AU"/>
        </w:rPr>
        <w:t xml:space="preserve"> </w:t>
      </w:r>
      <w:r w:rsidRPr="009259D3">
        <w:rPr>
          <w:rFonts w:ascii="Arial" w:hAnsi="Arial" w:cs="Arial"/>
          <w:lang w:val="en-AU"/>
        </w:rPr>
        <w:t>Australian Infrastructure Audit:</w:t>
      </w:r>
      <w:r w:rsidR="007B290E">
        <w:rPr>
          <w:rFonts w:ascii="Arial" w:hAnsi="Arial" w:cs="Arial"/>
          <w:lang w:val="en-AU"/>
        </w:rPr>
        <w:t xml:space="preserve"> Our Infrastructure Challenges.</w:t>
      </w:r>
      <w:r w:rsidRPr="009259D3">
        <w:rPr>
          <w:rFonts w:ascii="Arial" w:hAnsi="Arial" w:cs="Arial"/>
          <w:lang w:val="en-AU"/>
        </w:rPr>
        <w:t xml:space="preserve"> </w:t>
      </w:r>
      <w:hyperlink r:id="rId3" w:history="1">
        <w:r w:rsidRPr="009259D3">
          <w:rPr>
            <w:rStyle w:val="Hyperlink"/>
            <w:rFonts w:ascii="Arial" w:hAnsi="Arial" w:cs="Arial"/>
            <w:lang w:val="en-AU"/>
          </w:rPr>
          <w:t>http://www.infrastructureaustralia.gov.au/policy-publications/publications/files/Australian-Infrastructure-Audit-Executive-Summary.pdf</w:t>
        </w:r>
      </w:hyperlink>
    </w:p>
  </w:footnote>
  <w:footnote w:id="4">
    <w:p w14:paraId="4A411D34" w14:textId="77777777" w:rsidR="007B290E" w:rsidRPr="007B290E" w:rsidRDefault="007B290E">
      <w:pPr>
        <w:pStyle w:val="FootnoteText"/>
        <w:rPr>
          <w:lang w:val="en-AU"/>
        </w:rPr>
      </w:pPr>
      <w:r>
        <w:rPr>
          <w:rStyle w:val="FootnoteReference"/>
        </w:rPr>
        <w:footnoteRef/>
      </w:r>
      <w:r>
        <w:t xml:space="preserve"> </w:t>
      </w:r>
      <w:r w:rsidRPr="007B290E">
        <w:t>Daly, J. 2014. Budget pressures on Australian governments 2014. Grattan Institute.</w:t>
      </w:r>
      <w:r>
        <w:t xml:space="preserve"> </w:t>
      </w:r>
      <w:hyperlink r:id="rId4" w:history="1">
        <w:r w:rsidRPr="00EA5B33">
          <w:rPr>
            <w:rStyle w:val="Hyperlink"/>
          </w:rPr>
          <w:t>http://grattan.edu.au/report/budget-pressures-on-australian-governments-2014/</w:t>
        </w:r>
      </w:hyperlink>
      <w:r>
        <w:t xml:space="preserve"> </w:t>
      </w:r>
    </w:p>
  </w:footnote>
  <w:footnote w:id="5">
    <w:p w14:paraId="3F0A22F1" w14:textId="77777777" w:rsidR="005E7B5B" w:rsidRPr="005E7B5B" w:rsidRDefault="005E7B5B">
      <w:pPr>
        <w:pStyle w:val="FootnoteText"/>
        <w:rPr>
          <w:rFonts w:ascii="Arial" w:hAnsi="Arial" w:cs="Arial"/>
          <w:lang w:val="en-AU"/>
        </w:rPr>
      </w:pPr>
      <w:r w:rsidRPr="005E7B5B">
        <w:rPr>
          <w:rStyle w:val="FootnoteReference"/>
          <w:rFonts w:ascii="Arial" w:hAnsi="Arial" w:cs="Arial"/>
        </w:rPr>
        <w:footnoteRef/>
      </w:r>
      <w:r w:rsidRPr="005E7B5B">
        <w:rPr>
          <w:rFonts w:ascii="Arial" w:hAnsi="Arial" w:cs="Arial"/>
        </w:rPr>
        <w:t xml:space="preserve"> </w:t>
      </w:r>
      <w:r w:rsidRPr="005E7B5B">
        <w:rPr>
          <w:rFonts w:ascii="Arial" w:hAnsi="Arial" w:cs="Arial"/>
          <w:lang w:val="en-AU"/>
        </w:rPr>
        <w:t xml:space="preserve">Ref: </w:t>
      </w:r>
      <w:hyperlink r:id="rId5" w:history="1">
        <w:r w:rsidRPr="005E7B5B">
          <w:rPr>
            <w:rStyle w:val="Hyperlink"/>
            <w:rFonts w:ascii="Arial" w:hAnsi="Arial" w:cs="Arial"/>
            <w:lang w:val="en-AU"/>
          </w:rPr>
          <w:t>http://</w:t>
        </w:r>
        <w:proofErr w:type="spellStart"/>
        <w:r w:rsidRPr="005E7B5B">
          <w:rPr>
            <w:rStyle w:val="Hyperlink"/>
            <w:rFonts w:ascii="Arial" w:hAnsi="Arial" w:cs="Arial"/>
            <w:lang w:val="en-AU"/>
          </w:rPr>
          <w:t>www.pc.gov.au</w:t>
        </w:r>
        <w:proofErr w:type="spellEnd"/>
        <w:r w:rsidRPr="005E7B5B">
          <w:rPr>
            <w:rStyle w:val="Hyperlink"/>
            <w:rFonts w:ascii="Arial" w:hAnsi="Arial" w:cs="Arial"/>
            <w:lang w:val="en-AU"/>
          </w:rPr>
          <w:t>/inquiries/completed/infrastructure</w:t>
        </w:r>
      </w:hyperlink>
    </w:p>
  </w:footnote>
  <w:footnote w:id="6">
    <w:p w14:paraId="02EB433B" w14:textId="77777777" w:rsidR="0047778C" w:rsidRPr="0051433C" w:rsidRDefault="0047778C">
      <w:pPr>
        <w:pStyle w:val="FootnoteText"/>
        <w:rPr>
          <w:lang w:val="en-AU"/>
        </w:rPr>
      </w:pPr>
      <w:r>
        <w:rPr>
          <w:rStyle w:val="FootnoteReference"/>
        </w:rPr>
        <w:footnoteRef/>
      </w:r>
      <w:r>
        <w:t xml:space="preserve"> </w:t>
      </w:r>
      <w:r>
        <w:rPr>
          <w:lang w:val="en-AU"/>
        </w:rPr>
        <w:t xml:space="preserve">Productivity Commission 2006. </w:t>
      </w:r>
      <w:r w:rsidRPr="0051433C">
        <w:rPr>
          <w:i/>
          <w:lang w:val="en-AU"/>
        </w:rPr>
        <w:t xml:space="preserve">Economic </w:t>
      </w:r>
      <w:proofErr w:type="spellStart"/>
      <w:r w:rsidRPr="0051433C">
        <w:rPr>
          <w:i/>
          <w:lang w:val="en-AU"/>
        </w:rPr>
        <w:t>implacts</w:t>
      </w:r>
      <w:proofErr w:type="spellEnd"/>
      <w:r w:rsidRPr="0051433C">
        <w:rPr>
          <w:i/>
          <w:lang w:val="en-AU"/>
        </w:rPr>
        <w:t xml:space="preserve"> of migration and population growth</w:t>
      </w:r>
      <w:r>
        <w:rPr>
          <w:lang w:val="en-AU"/>
        </w:rPr>
        <w:t xml:space="preserve">. Research Report, Melbourne. </w:t>
      </w:r>
      <w:r w:rsidRPr="0047778C">
        <w:rPr>
          <w:lang w:val="en-AU"/>
        </w:rPr>
        <w:t>http://www.pc.gov.au/inquiries/completed/migration-population/report</w:t>
      </w:r>
    </w:p>
  </w:footnote>
  <w:footnote w:id="7">
    <w:p w14:paraId="167EF372" w14:textId="77777777" w:rsidR="0026327C" w:rsidRPr="00CC1F8D" w:rsidRDefault="0026327C" w:rsidP="00CC1F8D">
      <w:pPr>
        <w:spacing w:after="0" w:line="240" w:lineRule="auto"/>
        <w:rPr>
          <w:sz w:val="20"/>
          <w:szCs w:val="20"/>
        </w:rPr>
      </w:pPr>
      <w:r>
        <w:rPr>
          <w:rStyle w:val="FootnoteReference"/>
        </w:rPr>
        <w:footnoteRef/>
      </w:r>
      <w:r>
        <w:t xml:space="preserve"> </w:t>
      </w:r>
      <w:r w:rsidRPr="00CC1F8D">
        <w:rPr>
          <w:sz w:val="20"/>
          <w:szCs w:val="20"/>
          <w:lang w:val="en-AU"/>
        </w:rPr>
        <w:t xml:space="preserve">O’Sullivan J. 2014. Submission to the Productivity Commission Inquiry into Infrastructure provision and funding in Australia. </w:t>
      </w:r>
      <w:hyperlink r:id="rId6" w:history="1">
        <w:r w:rsidRPr="00CC1F8D">
          <w:rPr>
            <w:rStyle w:val="Hyperlink"/>
            <w:sz w:val="20"/>
            <w:szCs w:val="20"/>
          </w:rPr>
          <w:t>http://www.pc.gov.au/__data/assets/pdf_file/0004/135517/subdr156-infrastructure.pdf</w:t>
        </w:r>
      </w:hyperlink>
      <w:r w:rsidRPr="00CC1F8D">
        <w:rPr>
          <w:sz w:val="20"/>
          <w:szCs w:val="20"/>
        </w:rPr>
        <w:t xml:space="preserve"> </w:t>
      </w:r>
    </w:p>
  </w:footnote>
  <w:footnote w:id="8">
    <w:p w14:paraId="1F4E1B0F" w14:textId="77777777" w:rsidR="00B8242A" w:rsidRPr="0051433C" w:rsidRDefault="00B8242A">
      <w:pPr>
        <w:pStyle w:val="FootnoteText"/>
        <w:rPr>
          <w:lang w:val="en-AU"/>
        </w:rPr>
      </w:pPr>
      <w:r>
        <w:rPr>
          <w:rStyle w:val="FootnoteReference"/>
        </w:rPr>
        <w:footnoteRef/>
      </w:r>
      <w:r>
        <w:t xml:space="preserve"> </w:t>
      </w:r>
      <w:proofErr w:type="spellStart"/>
      <w:r w:rsidR="004A2C10">
        <w:t>Eg</w:t>
      </w:r>
      <w:proofErr w:type="spellEnd"/>
      <w:r w:rsidR="004A2C10">
        <w:t xml:space="preserve">. </w:t>
      </w:r>
      <w:proofErr w:type="spellStart"/>
      <w:r w:rsidR="004A2C10">
        <w:t>Foran</w:t>
      </w:r>
      <w:proofErr w:type="spellEnd"/>
      <w:r w:rsidR="004A2C10">
        <w:t xml:space="preserve"> B. and </w:t>
      </w:r>
      <w:proofErr w:type="spellStart"/>
      <w:r w:rsidR="004A2C10">
        <w:t>Poldy</w:t>
      </w:r>
      <w:proofErr w:type="spellEnd"/>
      <w:r w:rsidR="004A2C10">
        <w:t xml:space="preserve"> F. 2002. </w:t>
      </w:r>
      <w:r w:rsidR="004A2C10" w:rsidRPr="0051433C">
        <w:rPr>
          <w:i/>
        </w:rPr>
        <w:t>Future Dilemmas: Options to 2050 for Australia’s population, technology, resources and environment: Report to the Department of Immigration, Multicultural and Indigenous Affairs.</w:t>
      </w:r>
      <w:r w:rsidR="004A2C10">
        <w:t xml:space="preserve"> CSIRO Sustainable Ecosystems, Canberra.</w:t>
      </w:r>
      <w:r w:rsidR="004A2C10">
        <w:br/>
      </w:r>
      <w:proofErr w:type="spellStart"/>
      <w:r>
        <w:rPr>
          <w:lang w:val="en-AU"/>
        </w:rPr>
        <w:t>Lindenmeyer</w:t>
      </w:r>
      <w:proofErr w:type="spellEnd"/>
      <w:r>
        <w:rPr>
          <w:lang w:val="en-AU"/>
        </w:rPr>
        <w:t xml:space="preserve"> D. 2014. The environmental implications of population growth. In: Goldie J. and Betts K. (</w:t>
      </w:r>
      <w:proofErr w:type="spellStart"/>
      <w:r>
        <w:rPr>
          <w:lang w:val="en-AU"/>
        </w:rPr>
        <w:t>eds</w:t>
      </w:r>
      <w:proofErr w:type="spellEnd"/>
      <w:r>
        <w:rPr>
          <w:lang w:val="en-AU"/>
        </w:rPr>
        <w:t xml:space="preserve">), </w:t>
      </w:r>
      <w:r w:rsidRPr="0051433C">
        <w:rPr>
          <w:i/>
          <w:lang w:val="en-AU"/>
        </w:rPr>
        <w:t>Sustainable Futures: Linking population, resources and the environment</w:t>
      </w:r>
      <w:r>
        <w:rPr>
          <w:lang w:val="en-AU"/>
        </w:rPr>
        <w:t>. CSIRO Melbourne, pp 7-12.</w:t>
      </w:r>
      <w:r>
        <w:rPr>
          <w:lang w:val="en-AU"/>
        </w:rPr>
        <w:br/>
        <w:t xml:space="preserve">Lowe I. 2012. </w:t>
      </w:r>
      <w:r w:rsidRPr="0051433C">
        <w:rPr>
          <w:i/>
          <w:lang w:val="en-AU"/>
        </w:rPr>
        <w:t>Bigger or Better? – Australia’s population debate</w:t>
      </w:r>
      <w:r>
        <w:rPr>
          <w:lang w:val="en-AU"/>
        </w:rPr>
        <w:t xml:space="preserve">. University of Queensland Press. </w:t>
      </w:r>
    </w:p>
  </w:footnote>
  <w:footnote w:id="9">
    <w:p w14:paraId="1270D33D" w14:textId="77777777" w:rsidR="00444D08" w:rsidRPr="0051433C" w:rsidRDefault="00444D08">
      <w:pPr>
        <w:pStyle w:val="FootnoteText"/>
        <w:rPr>
          <w:lang w:val="en-AU"/>
        </w:rPr>
      </w:pPr>
      <w:r>
        <w:rPr>
          <w:rStyle w:val="FootnoteReference"/>
        </w:rPr>
        <w:footnoteRef/>
      </w:r>
      <w:r>
        <w:t xml:space="preserve"> </w:t>
      </w:r>
      <w:r>
        <w:rPr>
          <w:lang w:val="en-AU"/>
        </w:rPr>
        <w:t xml:space="preserve">Department of the Environment: </w:t>
      </w:r>
      <w:r w:rsidRPr="0051433C">
        <w:rPr>
          <w:i/>
          <w:lang w:val="en-AU"/>
        </w:rPr>
        <w:t>State of the Environment (</w:t>
      </w:r>
      <w:proofErr w:type="spellStart"/>
      <w:r w:rsidRPr="0051433C">
        <w:rPr>
          <w:i/>
          <w:lang w:val="en-AU"/>
        </w:rPr>
        <w:t>SoE</w:t>
      </w:r>
      <w:proofErr w:type="spellEnd"/>
      <w:r w:rsidRPr="0051433C">
        <w:rPr>
          <w:i/>
          <w:lang w:val="en-AU"/>
        </w:rPr>
        <w:t>) Reporting</w:t>
      </w:r>
      <w:r>
        <w:rPr>
          <w:lang w:val="en-AU"/>
        </w:rPr>
        <w:t xml:space="preserve">. </w:t>
      </w:r>
      <w:hyperlink r:id="rId7" w:history="1">
        <w:r w:rsidRPr="00EA5B33">
          <w:rPr>
            <w:rStyle w:val="Hyperlink"/>
            <w:lang w:val="en-AU"/>
          </w:rPr>
          <w:t>http://www.environment.gov.au/topics/science-and-research/state-environment-reporting</w:t>
        </w:r>
      </w:hyperlink>
      <w:r>
        <w:rPr>
          <w:lang w:val="en-AU"/>
        </w:rPr>
        <w:t xml:space="preserve"> </w:t>
      </w:r>
    </w:p>
  </w:footnote>
  <w:footnote w:id="10">
    <w:p w14:paraId="0D6474E6" w14:textId="77777777" w:rsidR="00444D08" w:rsidRPr="0051433C" w:rsidRDefault="00444D08">
      <w:pPr>
        <w:pStyle w:val="FootnoteText"/>
        <w:rPr>
          <w:lang w:val="en-AU"/>
        </w:rPr>
      </w:pPr>
      <w:r>
        <w:rPr>
          <w:rStyle w:val="FootnoteReference"/>
        </w:rPr>
        <w:footnoteRef/>
      </w:r>
      <w:r>
        <w:t xml:space="preserve"> </w:t>
      </w:r>
      <w:r>
        <w:rPr>
          <w:lang w:val="en-AU"/>
        </w:rPr>
        <w:t xml:space="preserve">Treasury archive: </w:t>
      </w:r>
      <w:r w:rsidRPr="0051433C">
        <w:rPr>
          <w:i/>
          <w:lang w:val="en-AU"/>
        </w:rPr>
        <w:t>Intergenerational Report</w:t>
      </w:r>
      <w:r>
        <w:rPr>
          <w:lang w:val="en-AU"/>
        </w:rPr>
        <w:t xml:space="preserve">. </w:t>
      </w:r>
      <w:hyperlink r:id="rId8" w:history="1">
        <w:r w:rsidRPr="00EA5B33">
          <w:rPr>
            <w:rStyle w:val="Hyperlink"/>
            <w:lang w:val="en-AU"/>
          </w:rPr>
          <w:t>http://</w:t>
        </w:r>
        <w:proofErr w:type="spellStart"/>
        <w:r w:rsidRPr="00EA5B33">
          <w:rPr>
            <w:rStyle w:val="Hyperlink"/>
            <w:lang w:val="en-AU"/>
          </w:rPr>
          <w:t>archive.treasury.gov.au</w:t>
        </w:r>
        <w:proofErr w:type="spellEnd"/>
        <w:r w:rsidRPr="00EA5B33">
          <w:rPr>
            <w:rStyle w:val="Hyperlink"/>
            <w:lang w:val="en-AU"/>
          </w:rPr>
          <w:t>/</w:t>
        </w:r>
        <w:proofErr w:type="spellStart"/>
        <w:r w:rsidRPr="00EA5B33">
          <w:rPr>
            <w:rStyle w:val="Hyperlink"/>
            <w:lang w:val="en-AU"/>
          </w:rPr>
          <w:t>igr</w:t>
        </w:r>
        <w:proofErr w:type="spellEnd"/>
        <w:r w:rsidRPr="00EA5B33">
          <w:rPr>
            <w:rStyle w:val="Hyperlink"/>
            <w:lang w:val="en-AU"/>
          </w:rPr>
          <w:t>/</w:t>
        </w:r>
      </w:hyperlink>
      <w:r>
        <w:rPr>
          <w:lang w:val="en-AU"/>
        </w:rPr>
        <w:t xml:space="preserve"> </w:t>
      </w:r>
    </w:p>
  </w:footnote>
  <w:footnote w:id="11">
    <w:p w14:paraId="61E555B3" w14:textId="77777777" w:rsidR="00444D08" w:rsidRPr="0051433C" w:rsidRDefault="00444D08">
      <w:pPr>
        <w:pStyle w:val="FootnoteText"/>
        <w:rPr>
          <w:lang w:val="en-AU"/>
        </w:rPr>
      </w:pPr>
      <w:r>
        <w:rPr>
          <w:rStyle w:val="FootnoteReference"/>
        </w:rPr>
        <w:footnoteRef/>
      </w:r>
      <w:r>
        <w:t xml:space="preserve"> </w:t>
      </w:r>
      <w:r>
        <w:rPr>
          <w:lang w:val="en-AU"/>
        </w:rPr>
        <w:t xml:space="preserve">Treasury 2015. 2015 Intergenerational Report: Australia in 2055. </w:t>
      </w:r>
      <w:hyperlink r:id="rId9" w:history="1">
        <w:r w:rsidRPr="00EA5B33">
          <w:rPr>
            <w:rStyle w:val="Hyperlink"/>
            <w:lang w:val="en-AU"/>
          </w:rPr>
          <w:t>http://www.treasury.gov.au/~/media/Treasury/Publications%20and%20Media/Publications/2015/2015%20Intergenerational%20Report/Downloads/PDF/2015_IGR.ashx</w:t>
        </w:r>
      </w:hyperlink>
      <w:r>
        <w:rPr>
          <w:lang w:val="en-AU"/>
        </w:rPr>
        <w:t xml:space="preserve"> </w:t>
      </w:r>
    </w:p>
  </w:footnote>
  <w:footnote w:id="12">
    <w:p w14:paraId="36158C12" w14:textId="77777777" w:rsidR="00444D08" w:rsidRPr="0051433C" w:rsidRDefault="00444D08">
      <w:pPr>
        <w:pStyle w:val="FootnoteText"/>
        <w:rPr>
          <w:lang w:val="en-AU"/>
        </w:rPr>
      </w:pPr>
      <w:r>
        <w:rPr>
          <w:rStyle w:val="FootnoteReference"/>
        </w:rPr>
        <w:footnoteRef/>
      </w:r>
      <w:r>
        <w:t xml:space="preserve"> </w:t>
      </w:r>
      <w:r>
        <w:rPr>
          <w:lang w:val="en-AU"/>
        </w:rPr>
        <w:t xml:space="preserve">Lowe I. 2014. </w:t>
      </w:r>
      <w:r w:rsidRPr="00444D08">
        <w:rPr>
          <w:lang w:val="en-AU"/>
        </w:rPr>
        <w:t>The state of Australia: our environment</w:t>
      </w:r>
      <w:r>
        <w:rPr>
          <w:lang w:val="en-AU"/>
        </w:rPr>
        <w:t xml:space="preserve">. </w:t>
      </w:r>
      <w:r w:rsidRPr="0051433C">
        <w:rPr>
          <w:i/>
          <w:lang w:val="en-AU"/>
        </w:rPr>
        <w:t>The Conversation</w:t>
      </w:r>
      <w:r>
        <w:rPr>
          <w:lang w:val="en-AU"/>
        </w:rPr>
        <w:t xml:space="preserve">, 7 May 2014. </w:t>
      </w:r>
      <w:hyperlink r:id="rId10" w:history="1">
        <w:r w:rsidRPr="00EA5B33">
          <w:rPr>
            <w:rStyle w:val="Hyperlink"/>
            <w:lang w:val="en-AU"/>
          </w:rPr>
          <w:t>https://theconversation.com/the-state-of-australia-our-environment-26035</w:t>
        </w:r>
      </w:hyperlink>
      <w:r>
        <w:rPr>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EEE76" w14:textId="77777777" w:rsidR="00BF6CD8" w:rsidRPr="00BD3D30" w:rsidRDefault="00BD3D30" w:rsidP="00FC5DE7">
    <w:pPr>
      <w:pStyle w:val="Header"/>
      <w:rPr>
        <w:rFonts w:ascii="Arial" w:hAnsi="Arial" w:cs="Arial"/>
      </w:rPr>
    </w:pPr>
    <w:r w:rsidRPr="00BD3D30">
      <w:rPr>
        <w:rFonts w:ascii="Arial" w:hAnsi="Arial" w:cs="Arial"/>
      </w:rPr>
      <w:t>Sustainable Population Australia: Submission to the Productivity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E67"/>
    <w:multiLevelType w:val="hybridMultilevel"/>
    <w:tmpl w:val="EEA606BE"/>
    <w:lvl w:ilvl="0" w:tplc="0C09000F">
      <w:start w:val="1"/>
      <w:numFmt w:val="decimal"/>
      <w:lvlText w:val="%1."/>
      <w:lvlJc w:val="left"/>
      <w:pPr>
        <w:ind w:left="720" w:hanging="360"/>
      </w:pPr>
      <w:rPr>
        <w:rFonts w:hint="default"/>
      </w:rPr>
    </w:lvl>
    <w:lvl w:ilvl="1" w:tplc="F1283B7E">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B57247E4">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14693D"/>
    <w:multiLevelType w:val="hybridMultilevel"/>
    <w:tmpl w:val="DC1811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A9E28BC"/>
    <w:multiLevelType w:val="hybridMultilevel"/>
    <w:tmpl w:val="C152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C377908"/>
    <w:multiLevelType w:val="hybridMultilevel"/>
    <w:tmpl w:val="EDC68120"/>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3CB28FE"/>
    <w:multiLevelType w:val="hybridMultilevel"/>
    <w:tmpl w:val="FAE49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72E1FDF"/>
    <w:multiLevelType w:val="multilevel"/>
    <w:tmpl w:val="BD7CF5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EC45239"/>
    <w:multiLevelType w:val="multilevel"/>
    <w:tmpl w:val="3B185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5B4C92"/>
    <w:multiLevelType w:val="multilevel"/>
    <w:tmpl w:val="834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2134ED"/>
    <w:multiLevelType w:val="hybridMultilevel"/>
    <w:tmpl w:val="36D048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AFE318B"/>
    <w:multiLevelType w:val="hybridMultilevel"/>
    <w:tmpl w:val="CB4EF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1"/>
  </w:num>
  <w:num w:numId="6">
    <w:abstractNumId w:val="4"/>
  </w:num>
  <w:num w:numId="7">
    <w:abstractNumId w:val="9"/>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C2"/>
    <w:rsid w:val="00006560"/>
    <w:rsid w:val="00022B1B"/>
    <w:rsid w:val="00027BC1"/>
    <w:rsid w:val="000330BC"/>
    <w:rsid w:val="00035BB3"/>
    <w:rsid w:val="00053039"/>
    <w:rsid w:val="000629BB"/>
    <w:rsid w:val="00081196"/>
    <w:rsid w:val="000877D8"/>
    <w:rsid w:val="000D48A3"/>
    <w:rsid w:val="000D55F4"/>
    <w:rsid w:val="00184466"/>
    <w:rsid w:val="00190C2A"/>
    <w:rsid w:val="00193345"/>
    <w:rsid w:val="001937A9"/>
    <w:rsid w:val="001959AD"/>
    <w:rsid w:val="001B189D"/>
    <w:rsid w:val="001B1A24"/>
    <w:rsid w:val="001C0E77"/>
    <w:rsid w:val="001C67BD"/>
    <w:rsid w:val="001D073A"/>
    <w:rsid w:val="001E094B"/>
    <w:rsid w:val="001E0F32"/>
    <w:rsid w:val="001F3499"/>
    <w:rsid w:val="001F4546"/>
    <w:rsid w:val="002014A7"/>
    <w:rsid w:val="00225736"/>
    <w:rsid w:val="00240537"/>
    <w:rsid w:val="002528D3"/>
    <w:rsid w:val="0026327C"/>
    <w:rsid w:val="00270F02"/>
    <w:rsid w:val="0028641E"/>
    <w:rsid w:val="00296FEB"/>
    <w:rsid w:val="002A0E34"/>
    <w:rsid w:val="002D31F1"/>
    <w:rsid w:val="002E0BD0"/>
    <w:rsid w:val="00307DD7"/>
    <w:rsid w:val="003C6E15"/>
    <w:rsid w:val="003E2F2E"/>
    <w:rsid w:val="003E6E2F"/>
    <w:rsid w:val="00444D08"/>
    <w:rsid w:val="0046792C"/>
    <w:rsid w:val="0047778C"/>
    <w:rsid w:val="00481E3D"/>
    <w:rsid w:val="004A2C10"/>
    <w:rsid w:val="004B0CE1"/>
    <w:rsid w:val="004C2314"/>
    <w:rsid w:val="0051433C"/>
    <w:rsid w:val="005235D7"/>
    <w:rsid w:val="0053432F"/>
    <w:rsid w:val="0054146F"/>
    <w:rsid w:val="00581A06"/>
    <w:rsid w:val="00594A02"/>
    <w:rsid w:val="005A7391"/>
    <w:rsid w:val="005E688B"/>
    <w:rsid w:val="005E7B5B"/>
    <w:rsid w:val="00666FE8"/>
    <w:rsid w:val="00691922"/>
    <w:rsid w:val="006E47F7"/>
    <w:rsid w:val="006E68FF"/>
    <w:rsid w:val="00736B90"/>
    <w:rsid w:val="00747A81"/>
    <w:rsid w:val="0076380B"/>
    <w:rsid w:val="00774727"/>
    <w:rsid w:val="00782C2C"/>
    <w:rsid w:val="00785023"/>
    <w:rsid w:val="007A7E81"/>
    <w:rsid w:val="007B290E"/>
    <w:rsid w:val="007D6798"/>
    <w:rsid w:val="00817373"/>
    <w:rsid w:val="00873B59"/>
    <w:rsid w:val="00890FDE"/>
    <w:rsid w:val="00893FC2"/>
    <w:rsid w:val="008C2D22"/>
    <w:rsid w:val="008D28FE"/>
    <w:rsid w:val="008D76E7"/>
    <w:rsid w:val="008E2E17"/>
    <w:rsid w:val="008E35FB"/>
    <w:rsid w:val="00901188"/>
    <w:rsid w:val="009259D3"/>
    <w:rsid w:val="009660D7"/>
    <w:rsid w:val="009962E6"/>
    <w:rsid w:val="009B6ABE"/>
    <w:rsid w:val="009F39C7"/>
    <w:rsid w:val="00A311CB"/>
    <w:rsid w:val="00A51CBB"/>
    <w:rsid w:val="00AC2706"/>
    <w:rsid w:val="00AF2CD7"/>
    <w:rsid w:val="00B400C1"/>
    <w:rsid w:val="00B52802"/>
    <w:rsid w:val="00B52EC2"/>
    <w:rsid w:val="00B555BC"/>
    <w:rsid w:val="00B57388"/>
    <w:rsid w:val="00B8242A"/>
    <w:rsid w:val="00B97A29"/>
    <w:rsid w:val="00BA003B"/>
    <w:rsid w:val="00BA1240"/>
    <w:rsid w:val="00BD1276"/>
    <w:rsid w:val="00BD3D30"/>
    <w:rsid w:val="00BF6CD8"/>
    <w:rsid w:val="00C2114F"/>
    <w:rsid w:val="00C40EAD"/>
    <w:rsid w:val="00C527E7"/>
    <w:rsid w:val="00C740B8"/>
    <w:rsid w:val="00C74A28"/>
    <w:rsid w:val="00C762B7"/>
    <w:rsid w:val="00C92FC9"/>
    <w:rsid w:val="00C9720A"/>
    <w:rsid w:val="00CA2B0A"/>
    <w:rsid w:val="00CC1F8D"/>
    <w:rsid w:val="00CD7A14"/>
    <w:rsid w:val="00CF2A92"/>
    <w:rsid w:val="00D46EFC"/>
    <w:rsid w:val="00D50787"/>
    <w:rsid w:val="00D6558E"/>
    <w:rsid w:val="00D85835"/>
    <w:rsid w:val="00D8702E"/>
    <w:rsid w:val="00DA751D"/>
    <w:rsid w:val="00DE75E9"/>
    <w:rsid w:val="00DF63B9"/>
    <w:rsid w:val="00E25410"/>
    <w:rsid w:val="00E31FCF"/>
    <w:rsid w:val="00E4478C"/>
    <w:rsid w:val="00E57583"/>
    <w:rsid w:val="00E62486"/>
    <w:rsid w:val="00E63B38"/>
    <w:rsid w:val="00E71F9F"/>
    <w:rsid w:val="00E8316A"/>
    <w:rsid w:val="00EA4623"/>
    <w:rsid w:val="00EB1991"/>
    <w:rsid w:val="00EE6A01"/>
    <w:rsid w:val="00F0725C"/>
    <w:rsid w:val="00F5044C"/>
    <w:rsid w:val="00FA2A1C"/>
    <w:rsid w:val="00FC0F08"/>
    <w:rsid w:val="00FC5DE7"/>
    <w:rsid w:val="00FD2335"/>
    <w:rsid w:val="00FE1B0B"/>
    <w:rsid w:val="00FE795C"/>
    <w:rsid w:val="00FF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40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FC2"/>
    <w:pPr>
      <w:spacing w:after="288"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63B38"/>
    <w:pPr>
      <w:ind w:left="720"/>
      <w:contextualSpacing/>
    </w:pPr>
  </w:style>
  <w:style w:type="paragraph" w:styleId="FootnoteText">
    <w:name w:val="footnote text"/>
    <w:basedOn w:val="Normal"/>
    <w:link w:val="FootnoteTextChar"/>
    <w:uiPriority w:val="99"/>
    <w:semiHidden/>
    <w:unhideWhenUsed/>
    <w:rsid w:val="002E0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BD0"/>
    <w:rPr>
      <w:sz w:val="20"/>
      <w:szCs w:val="20"/>
    </w:rPr>
  </w:style>
  <w:style w:type="character" w:styleId="FootnoteReference">
    <w:name w:val="footnote reference"/>
    <w:basedOn w:val="DefaultParagraphFont"/>
    <w:uiPriority w:val="99"/>
    <w:semiHidden/>
    <w:unhideWhenUsed/>
    <w:rsid w:val="002E0BD0"/>
    <w:rPr>
      <w:vertAlign w:val="superscript"/>
    </w:rPr>
  </w:style>
  <w:style w:type="character" w:styleId="Hyperlink">
    <w:name w:val="Hyperlink"/>
    <w:basedOn w:val="DefaultParagraphFont"/>
    <w:uiPriority w:val="99"/>
    <w:unhideWhenUsed/>
    <w:rsid w:val="002E0BD0"/>
    <w:rPr>
      <w:color w:val="0563C1" w:themeColor="hyperlink"/>
      <w:u w:val="single"/>
    </w:rPr>
  </w:style>
  <w:style w:type="paragraph" w:styleId="Header">
    <w:name w:val="header"/>
    <w:basedOn w:val="Normal"/>
    <w:link w:val="HeaderChar"/>
    <w:uiPriority w:val="99"/>
    <w:unhideWhenUsed/>
    <w:rsid w:val="00BF6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D8"/>
  </w:style>
  <w:style w:type="paragraph" w:styleId="Footer">
    <w:name w:val="footer"/>
    <w:basedOn w:val="Normal"/>
    <w:link w:val="FooterChar"/>
    <w:uiPriority w:val="99"/>
    <w:unhideWhenUsed/>
    <w:rsid w:val="00BF6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D8"/>
  </w:style>
  <w:style w:type="paragraph" w:styleId="BalloonText">
    <w:name w:val="Balloon Text"/>
    <w:basedOn w:val="Normal"/>
    <w:link w:val="BalloonTextChar"/>
    <w:uiPriority w:val="99"/>
    <w:semiHidden/>
    <w:unhideWhenUsed/>
    <w:rsid w:val="002D3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FC2"/>
    <w:pPr>
      <w:spacing w:after="288"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63B38"/>
    <w:pPr>
      <w:ind w:left="720"/>
      <w:contextualSpacing/>
    </w:pPr>
  </w:style>
  <w:style w:type="paragraph" w:styleId="FootnoteText">
    <w:name w:val="footnote text"/>
    <w:basedOn w:val="Normal"/>
    <w:link w:val="FootnoteTextChar"/>
    <w:uiPriority w:val="99"/>
    <w:semiHidden/>
    <w:unhideWhenUsed/>
    <w:rsid w:val="002E0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BD0"/>
    <w:rPr>
      <w:sz w:val="20"/>
      <w:szCs w:val="20"/>
    </w:rPr>
  </w:style>
  <w:style w:type="character" w:styleId="FootnoteReference">
    <w:name w:val="footnote reference"/>
    <w:basedOn w:val="DefaultParagraphFont"/>
    <w:uiPriority w:val="99"/>
    <w:semiHidden/>
    <w:unhideWhenUsed/>
    <w:rsid w:val="002E0BD0"/>
    <w:rPr>
      <w:vertAlign w:val="superscript"/>
    </w:rPr>
  </w:style>
  <w:style w:type="character" w:styleId="Hyperlink">
    <w:name w:val="Hyperlink"/>
    <w:basedOn w:val="DefaultParagraphFont"/>
    <w:uiPriority w:val="99"/>
    <w:unhideWhenUsed/>
    <w:rsid w:val="002E0BD0"/>
    <w:rPr>
      <w:color w:val="0563C1" w:themeColor="hyperlink"/>
      <w:u w:val="single"/>
    </w:rPr>
  </w:style>
  <w:style w:type="paragraph" w:styleId="Header">
    <w:name w:val="header"/>
    <w:basedOn w:val="Normal"/>
    <w:link w:val="HeaderChar"/>
    <w:uiPriority w:val="99"/>
    <w:unhideWhenUsed/>
    <w:rsid w:val="00BF6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D8"/>
  </w:style>
  <w:style w:type="paragraph" w:styleId="Footer">
    <w:name w:val="footer"/>
    <w:basedOn w:val="Normal"/>
    <w:link w:val="FooterChar"/>
    <w:uiPriority w:val="99"/>
    <w:unhideWhenUsed/>
    <w:rsid w:val="00BF6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D8"/>
  </w:style>
  <w:style w:type="paragraph" w:styleId="BalloonText">
    <w:name w:val="Balloon Text"/>
    <w:basedOn w:val="Normal"/>
    <w:link w:val="BalloonTextChar"/>
    <w:uiPriority w:val="99"/>
    <w:semiHidden/>
    <w:unhideWhenUsed/>
    <w:rsid w:val="002D3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69988">
      <w:bodyDiv w:val="1"/>
      <w:marLeft w:val="0"/>
      <w:marRight w:val="0"/>
      <w:marTop w:val="0"/>
      <w:marBottom w:val="0"/>
      <w:divBdr>
        <w:top w:val="none" w:sz="0" w:space="0" w:color="auto"/>
        <w:left w:val="none" w:sz="0" w:space="0" w:color="auto"/>
        <w:bottom w:val="none" w:sz="0" w:space="0" w:color="auto"/>
        <w:right w:val="none" w:sz="0" w:space="0" w:color="auto"/>
      </w:divBdr>
      <w:divsChild>
        <w:div w:id="722564843">
          <w:marLeft w:val="0"/>
          <w:marRight w:val="0"/>
          <w:marTop w:val="0"/>
          <w:marBottom w:val="0"/>
          <w:divBdr>
            <w:top w:val="none" w:sz="0" w:space="0" w:color="auto"/>
            <w:left w:val="none" w:sz="0" w:space="0" w:color="auto"/>
            <w:bottom w:val="none" w:sz="0" w:space="0" w:color="auto"/>
            <w:right w:val="none" w:sz="0" w:space="0" w:color="auto"/>
          </w:divBdr>
          <w:divsChild>
            <w:div w:id="1708023128">
              <w:marLeft w:val="0"/>
              <w:marRight w:val="0"/>
              <w:marTop w:val="0"/>
              <w:marBottom w:val="0"/>
              <w:divBdr>
                <w:top w:val="none" w:sz="0" w:space="0" w:color="auto"/>
                <w:left w:val="none" w:sz="0" w:space="0" w:color="auto"/>
                <w:bottom w:val="none" w:sz="0" w:space="0" w:color="auto"/>
                <w:right w:val="none" w:sz="0" w:space="0" w:color="auto"/>
              </w:divBdr>
              <w:divsChild>
                <w:div w:id="1502429972">
                  <w:marLeft w:val="0"/>
                  <w:marRight w:val="0"/>
                  <w:marTop w:val="300"/>
                  <w:marBottom w:val="0"/>
                  <w:divBdr>
                    <w:top w:val="none" w:sz="0" w:space="0" w:color="auto"/>
                    <w:left w:val="none" w:sz="0" w:space="0" w:color="auto"/>
                    <w:bottom w:val="none" w:sz="0" w:space="0" w:color="auto"/>
                    <w:right w:val="none" w:sz="0" w:space="0" w:color="auto"/>
                  </w:divBdr>
                  <w:divsChild>
                    <w:div w:id="190846796">
                      <w:marLeft w:val="0"/>
                      <w:marRight w:val="0"/>
                      <w:marTop w:val="0"/>
                      <w:marBottom w:val="0"/>
                      <w:divBdr>
                        <w:top w:val="none" w:sz="0" w:space="0" w:color="auto"/>
                        <w:left w:val="none" w:sz="0" w:space="0" w:color="auto"/>
                        <w:bottom w:val="none" w:sz="0" w:space="0" w:color="auto"/>
                        <w:right w:val="none" w:sz="0" w:space="0" w:color="auto"/>
                      </w:divBdr>
                      <w:divsChild>
                        <w:div w:id="838932011">
                          <w:marLeft w:val="0"/>
                          <w:marRight w:val="0"/>
                          <w:marTop w:val="0"/>
                          <w:marBottom w:val="0"/>
                          <w:divBdr>
                            <w:top w:val="none" w:sz="0" w:space="0" w:color="auto"/>
                            <w:left w:val="none" w:sz="0" w:space="0" w:color="auto"/>
                            <w:bottom w:val="none" w:sz="0" w:space="0" w:color="auto"/>
                            <w:right w:val="none" w:sz="0" w:space="0" w:color="auto"/>
                          </w:divBdr>
                          <w:divsChild>
                            <w:div w:id="2112359116">
                              <w:marLeft w:val="0"/>
                              <w:marRight w:val="0"/>
                              <w:marTop w:val="0"/>
                              <w:marBottom w:val="0"/>
                              <w:divBdr>
                                <w:top w:val="none" w:sz="0" w:space="0" w:color="auto"/>
                                <w:left w:val="none" w:sz="0" w:space="0" w:color="auto"/>
                                <w:bottom w:val="none" w:sz="0" w:space="0" w:color="auto"/>
                                <w:right w:val="none" w:sz="0" w:space="0" w:color="auto"/>
                              </w:divBdr>
                              <w:divsChild>
                                <w:div w:id="92436208">
                                  <w:marLeft w:val="0"/>
                                  <w:marRight w:val="0"/>
                                  <w:marTop w:val="0"/>
                                  <w:marBottom w:val="0"/>
                                  <w:divBdr>
                                    <w:top w:val="none" w:sz="0" w:space="0" w:color="auto"/>
                                    <w:left w:val="none" w:sz="0" w:space="0" w:color="auto"/>
                                    <w:bottom w:val="none" w:sz="0" w:space="0" w:color="auto"/>
                                    <w:right w:val="none" w:sz="0" w:space="0" w:color="auto"/>
                                  </w:divBdr>
                                  <w:divsChild>
                                    <w:div w:id="1663315661">
                                      <w:marLeft w:val="0"/>
                                      <w:marRight w:val="0"/>
                                      <w:marTop w:val="150"/>
                                      <w:marBottom w:val="0"/>
                                      <w:divBdr>
                                        <w:top w:val="none" w:sz="0" w:space="0" w:color="auto"/>
                                        <w:left w:val="none" w:sz="0" w:space="0" w:color="auto"/>
                                        <w:bottom w:val="none" w:sz="0" w:space="0" w:color="auto"/>
                                        <w:right w:val="none" w:sz="0" w:space="0" w:color="auto"/>
                                      </w:divBdr>
                                      <w:divsChild>
                                        <w:div w:id="1105930606">
                                          <w:marLeft w:val="0"/>
                                          <w:marRight w:val="0"/>
                                          <w:marTop w:val="0"/>
                                          <w:marBottom w:val="0"/>
                                          <w:divBdr>
                                            <w:top w:val="none" w:sz="0" w:space="0" w:color="auto"/>
                                            <w:left w:val="none" w:sz="0" w:space="0" w:color="auto"/>
                                            <w:bottom w:val="none" w:sz="0" w:space="0" w:color="auto"/>
                                            <w:right w:val="none" w:sz="0" w:space="0" w:color="auto"/>
                                          </w:divBdr>
                                          <w:divsChild>
                                            <w:div w:id="1568957812">
                                              <w:marLeft w:val="0"/>
                                              <w:marRight w:val="0"/>
                                              <w:marTop w:val="150"/>
                                              <w:marBottom w:val="0"/>
                                              <w:divBdr>
                                                <w:top w:val="none" w:sz="0" w:space="0" w:color="auto"/>
                                                <w:left w:val="none" w:sz="0" w:space="0" w:color="auto"/>
                                                <w:bottom w:val="none" w:sz="0" w:space="0" w:color="auto"/>
                                                <w:right w:val="none" w:sz="0" w:space="0" w:color="auto"/>
                                              </w:divBdr>
                                              <w:divsChild>
                                                <w:div w:id="1351226438">
                                                  <w:marLeft w:val="0"/>
                                                  <w:marRight w:val="0"/>
                                                  <w:marTop w:val="0"/>
                                                  <w:marBottom w:val="0"/>
                                                  <w:divBdr>
                                                    <w:top w:val="none" w:sz="0" w:space="0" w:color="auto"/>
                                                    <w:left w:val="none" w:sz="0" w:space="0" w:color="auto"/>
                                                    <w:bottom w:val="none" w:sz="0" w:space="0" w:color="auto"/>
                                                    <w:right w:val="none" w:sz="0" w:space="0" w:color="auto"/>
                                                  </w:divBdr>
                                                  <w:divsChild>
                                                    <w:div w:id="16779870">
                                                      <w:marLeft w:val="0"/>
                                                      <w:marRight w:val="0"/>
                                                      <w:marTop w:val="0"/>
                                                      <w:marBottom w:val="0"/>
                                                      <w:divBdr>
                                                        <w:top w:val="none" w:sz="0" w:space="0" w:color="auto"/>
                                                        <w:left w:val="none" w:sz="0" w:space="0" w:color="auto"/>
                                                        <w:bottom w:val="none" w:sz="0" w:space="0" w:color="auto"/>
                                                        <w:right w:val="none" w:sz="0" w:space="0" w:color="auto"/>
                                                      </w:divBdr>
                                                      <w:divsChild>
                                                        <w:div w:id="14462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7019726">
      <w:bodyDiv w:val="1"/>
      <w:marLeft w:val="0"/>
      <w:marRight w:val="0"/>
      <w:marTop w:val="0"/>
      <w:marBottom w:val="0"/>
      <w:divBdr>
        <w:top w:val="none" w:sz="0" w:space="0" w:color="auto"/>
        <w:left w:val="none" w:sz="0" w:space="0" w:color="auto"/>
        <w:bottom w:val="none" w:sz="0" w:space="0" w:color="auto"/>
        <w:right w:val="none" w:sz="0" w:space="0" w:color="auto"/>
      </w:divBdr>
      <w:divsChild>
        <w:div w:id="111023955">
          <w:marLeft w:val="0"/>
          <w:marRight w:val="0"/>
          <w:marTop w:val="0"/>
          <w:marBottom w:val="0"/>
          <w:divBdr>
            <w:top w:val="none" w:sz="0" w:space="0" w:color="auto"/>
            <w:left w:val="none" w:sz="0" w:space="0" w:color="auto"/>
            <w:bottom w:val="none" w:sz="0" w:space="0" w:color="auto"/>
            <w:right w:val="none" w:sz="0" w:space="0" w:color="auto"/>
          </w:divBdr>
          <w:divsChild>
            <w:div w:id="1767918721">
              <w:marLeft w:val="0"/>
              <w:marRight w:val="0"/>
              <w:marTop w:val="0"/>
              <w:marBottom w:val="0"/>
              <w:divBdr>
                <w:top w:val="none" w:sz="0" w:space="0" w:color="auto"/>
                <w:left w:val="none" w:sz="0" w:space="0" w:color="auto"/>
                <w:bottom w:val="none" w:sz="0" w:space="0" w:color="auto"/>
                <w:right w:val="none" w:sz="0" w:space="0" w:color="auto"/>
              </w:divBdr>
              <w:divsChild>
                <w:div w:id="420832836">
                  <w:marLeft w:val="0"/>
                  <w:marRight w:val="0"/>
                  <w:marTop w:val="0"/>
                  <w:marBottom w:val="0"/>
                  <w:divBdr>
                    <w:top w:val="none" w:sz="0" w:space="0" w:color="auto"/>
                    <w:left w:val="none" w:sz="0" w:space="0" w:color="auto"/>
                    <w:bottom w:val="none" w:sz="0" w:space="0" w:color="auto"/>
                    <w:right w:val="none" w:sz="0" w:space="0" w:color="auto"/>
                  </w:divBdr>
                  <w:divsChild>
                    <w:div w:id="1383284434">
                      <w:marLeft w:val="0"/>
                      <w:marRight w:val="0"/>
                      <w:marTop w:val="0"/>
                      <w:marBottom w:val="0"/>
                      <w:divBdr>
                        <w:top w:val="none" w:sz="0" w:space="0" w:color="auto"/>
                        <w:left w:val="none" w:sz="0" w:space="0" w:color="auto"/>
                        <w:bottom w:val="none" w:sz="0" w:space="0" w:color="auto"/>
                        <w:right w:val="none" w:sz="0" w:space="0" w:color="auto"/>
                      </w:divBdr>
                      <w:divsChild>
                        <w:div w:id="275258849">
                          <w:marLeft w:val="0"/>
                          <w:marRight w:val="0"/>
                          <w:marTop w:val="0"/>
                          <w:marBottom w:val="0"/>
                          <w:divBdr>
                            <w:top w:val="none" w:sz="0" w:space="0" w:color="auto"/>
                            <w:left w:val="none" w:sz="0" w:space="0" w:color="auto"/>
                            <w:bottom w:val="none" w:sz="0" w:space="0" w:color="auto"/>
                            <w:right w:val="none" w:sz="0" w:space="0" w:color="auto"/>
                          </w:divBdr>
                          <w:divsChild>
                            <w:div w:id="2727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archive.treasury.gov.au/igr/" TargetMode="External"/><Relationship Id="rId3" Type="http://schemas.openxmlformats.org/officeDocument/2006/relationships/hyperlink" Target="http://www.infrastructureaustralia.gov.au/policy-publications/publications/files/Australian-Infrastructure-Audit-Executive-Summary.pdf" TargetMode="External"/><Relationship Id="rId7" Type="http://schemas.openxmlformats.org/officeDocument/2006/relationships/hyperlink" Target="http://www.environment.gov.au/topics/science-and-research/state-environment-reporting" TargetMode="External"/><Relationship Id="rId2" Type="http://schemas.openxmlformats.org/officeDocument/2006/relationships/hyperlink" Target="https://www.science.org.au/australian-academy-science%E2%80%99s-role-sustainable-population-debate" TargetMode="External"/><Relationship Id="rId1" Type="http://schemas.openxmlformats.org/officeDocument/2006/relationships/hyperlink" Target="http://www.population.org.au/about" TargetMode="External"/><Relationship Id="rId6" Type="http://schemas.openxmlformats.org/officeDocument/2006/relationships/hyperlink" Target="http://www.pc.gov.au/__data/assets/pdf_file/0004/135517/subdr156-infrastructure.pdf" TargetMode="External"/><Relationship Id="rId5" Type="http://schemas.openxmlformats.org/officeDocument/2006/relationships/hyperlink" Target="http://www.pc.gov.au/inquiries/completed/infrastructure" TargetMode="External"/><Relationship Id="rId10" Type="http://schemas.openxmlformats.org/officeDocument/2006/relationships/hyperlink" Target="https://theconversation.com/the-state-of-australia-our-environment-26035" TargetMode="External"/><Relationship Id="rId4" Type="http://schemas.openxmlformats.org/officeDocument/2006/relationships/hyperlink" Target="http://grattan.edu.au/report/budget-pressures-on-australian-governments-2014/" TargetMode="External"/><Relationship Id="rId9" Type="http://schemas.openxmlformats.org/officeDocument/2006/relationships/hyperlink" Target="http://www.treasury.gov.au/~/media/Treasury/Publications%20and%20Media/Publications/2015/2015%20Intergenerational%20Report/Downloads/PDF/2015_IGR.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A7AA-2E78-475A-9FC9-584271C7295F}">
  <ds:schemaRefs>
    <ds:schemaRef ds:uri="http://schemas.microsoft.com/office/2006/metadata/customXsn"/>
  </ds:schemaRefs>
</ds:datastoreItem>
</file>

<file path=customXml/itemProps2.xml><?xml version="1.0" encoding="utf-8"?>
<ds:datastoreItem xmlns:ds="http://schemas.openxmlformats.org/officeDocument/2006/customXml" ds:itemID="{12E2A5E2-11AB-4647-92C8-AAD475CA8EBB}">
  <ds:schemaRefs>
    <ds:schemaRef ds:uri="http://schemas.microsoft.com/sharepoint/events"/>
  </ds:schemaRefs>
</ds:datastoreItem>
</file>

<file path=customXml/itemProps3.xml><?xml version="1.0" encoding="utf-8"?>
<ds:datastoreItem xmlns:ds="http://schemas.openxmlformats.org/officeDocument/2006/customXml" ds:itemID="{537BAAC9-7FBE-44AC-8DDD-773CBA38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A9580-240E-4CA5-BF1E-5B868907D63E}">
  <ds:schemaRefs>
    <ds:schemaRef ds:uri="379f305f-0eae-4f49-a597-ac36ed55be43"/>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418D10B3-0D9F-43FF-B840-95C6815475B7}">
  <ds:schemaRefs>
    <ds:schemaRef ds:uri="http://schemas.microsoft.com/sharepoint/v3/contenttype/forms"/>
  </ds:schemaRefs>
</ds:datastoreItem>
</file>

<file path=customXml/itemProps6.xml><?xml version="1.0" encoding="utf-8"?>
<ds:datastoreItem xmlns:ds="http://schemas.openxmlformats.org/officeDocument/2006/customXml" ds:itemID="{1051D358-27AF-413B-A18F-63C34F0F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44 - Sustainable Population Australia Inc - Migrant Intake into Australia - Public inquiry</vt:lpstr>
    </vt:vector>
  </TitlesOfParts>
  <Company>Sustainable Population Australia Inc</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Sustainable Population Australia Inc - Migrant Intake into Australia - Public inquiry</dc:title>
  <dc:creator>Sustainable Population Australia Inc</dc:creator>
  <cp:lastModifiedBy>Productivity Commission</cp:lastModifiedBy>
  <cp:revision>3</cp:revision>
  <cp:lastPrinted>2015-06-11T09:46:00Z</cp:lastPrinted>
  <dcterms:created xsi:type="dcterms:W3CDTF">2015-06-16T07:11:00Z</dcterms:created>
  <dcterms:modified xsi:type="dcterms:W3CDTF">2015-06-16T23:57:00Z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{98e6c8ed-9fe6-4806-a6a5-2c995aa4a670}</vt:lpwstr>
  </property>
  <property fmtid="{D5CDD505-2E9C-101B-9397-08002B2CF9AE}" pid="7" name="RecordPoint_ActiveItemWebId">
    <vt:lpwstr>{1255bf9b-13bc-4d3b-b9db-113cc2ac867f}</vt:lpwstr>
  </property>
</Properties>
</file>