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22D40" w14:textId="77777777" w:rsidR="00932C82" w:rsidRDefault="00932C82" w:rsidP="00932C82">
      <w:pPr>
        <w:spacing w:line="276" w:lineRule="auto"/>
        <w:jc w:val="both"/>
        <w:rPr>
          <w:rFonts w:ascii="Calibri" w:eastAsia="Calibri" w:hAnsi="Calibri" w:cs="Calibri"/>
          <w:spacing w:val="1"/>
        </w:rPr>
      </w:pPr>
    </w:p>
    <w:p w14:paraId="49BED15B" w14:textId="77777777" w:rsidR="00932C82" w:rsidRPr="00442ED6" w:rsidRDefault="00932C82" w:rsidP="00932C82">
      <w:pPr>
        <w:spacing w:line="276" w:lineRule="auto"/>
        <w:jc w:val="both"/>
        <w:rPr>
          <w:rFonts w:asciiTheme="minorHAnsi" w:eastAsia="Calibri" w:hAnsiTheme="minorHAnsi" w:cs="Calibri"/>
          <w:spacing w:val="1"/>
          <w:sz w:val="22"/>
          <w:szCs w:val="22"/>
        </w:rPr>
      </w:pPr>
    </w:p>
    <w:p w14:paraId="3872797C" w14:textId="77777777" w:rsidR="00932C82" w:rsidRPr="00442ED6" w:rsidRDefault="00932C82" w:rsidP="00932C82">
      <w:pPr>
        <w:spacing w:line="276" w:lineRule="auto"/>
        <w:jc w:val="both"/>
        <w:rPr>
          <w:rFonts w:asciiTheme="minorHAnsi" w:eastAsia="Calibri" w:hAnsiTheme="minorHAnsi" w:cs="Calibri"/>
          <w:spacing w:val="1"/>
          <w:sz w:val="22"/>
          <w:szCs w:val="22"/>
        </w:rPr>
      </w:pPr>
      <w:r w:rsidRPr="00442ED6">
        <w:rPr>
          <w:rFonts w:asciiTheme="minorHAnsi" w:eastAsia="Calibri" w:hAnsiTheme="minorHAnsi" w:cs="Calibri"/>
          <w:spacing w:val="1"/>
          <w:sz w:val="22"/>
          <w:szCs w:val="22"/>
        </w:rPr>
        <w:t>9 March 2015</w:t>
      </w:r>
    </w:p>
    <w:p w14:paraId="1AAB5354" w14:textId="77777777" w:rsidR="00932C82" w:rsidRPr="00442ED6" w:rsidRDefault="00932C82" w:rsidP="00932C82">
      <w:pPr>
        <w:spacing w:line="276" w:lineRule="auto"/>
        <w:jc w:val="both"/>
        <w:rPr>
          <w:rFonts w:asciiTheme="minorHAnsi" w:eastAsia="Calibri" w:hAnsiTheme="minorHAnsi" w:cs="Calibri"/>
          <w:spacing w:val="1"/>
          <w:sz w:val="22"/>
          <w:szCs w:val="22"/>
        </w:rPr>
      </w:pPr>
    </w:p>
    <w:p w14:paraId="6DC0E720" w14:textId="77777777" w:rsidR="00932C82" w:rsidRDefault="00932C82" w:rsidP="00932C82">
      <w:pPr>
        <w:spacing w:line="276" w:lineRule="auto"/>
        <w:jc w:val="both"/>
        <w:rPr>
          <w:rFonts w:asciiTheme="minorHAnsi" w:eastAsia="Calibri" w:hAnsiTheme="minorHAnsi" w:cs="Calibri"/>
          <w:spacing w:val="1"/>
          <w:sz w:val="22"/>
          <w:szCs w:val="22"/>
        </w:rPr>
      </w:pPr>
    </w:p>
    <w:p w14:paraId="39A889B8" w14:textId="77777777" w:rsidR="00932C82" w:rsidRPr="002A4E4E" w:rsidRDefault="00932C82" w:rsidP="002A4E4E">
      <w:pPr>
        <w:rPr>
          <w:rFonts w:asciiTheme="minorHAnsi" w:hAnsiTheme="minorHAnsi"/>
          <w:sz w:val="22"/>
          <w:szCs w:val="22"/>
          <w:lang w:val="en-AU"/>
        </w:rPr>
      </w:pPr>
      <w:r w:rsidRPr="002A4E4E">
        <w:rPr>
          <w:rFonts w:asciiTheme="minorHAnsi" w:hAnsiTheme="minorHAnsi"/>
          <w:sz w:val="22"/>
          <w:szCs w:val="22"/>
          <w:lang w:val="en-AU"/>
        </w:rPr>
        <w:t>Commissioner Peter Harris AO</w:t>
      </w:r>
    </w:p>
    <w:p w14:paraId="11B82745" w14:textId="77777777" w:rsidR="00932C82" w:rsidRPr="002A4E4E" w:rsidRDefault="00932C82" w:rsidP="002A4E4E">
      <w:pPr>
        <w:rPr>
          <w:rFonts w:asciiTheme="minorHAnsi" w:hAnsiTheme="minorHAnsi"/>
          <w:sz w:val="22"/>
          <w:szCs w:val="22"/>
          <w:lang w:val="en-AU"/>
        </w:rPr>
      </w:pPr>
      <w:r w:rsidRPr="002A4E4E">
        <w:rPr>
          <w:rFonts w:asciiTheme="minorHAnsi" w:hAnsiTheme="minorHAnsi"/>
          <w:sz w:val="22"/>
          <w:szCs w:val="22"/>
          <w:lang w:val="en-AU"/>
        </w:rPr>
        <w:t>Chairman</w:t>
      </w:r>
    </w:p>
    <w:p w14:paraId="60C74A38" w14:textId="77777777" w:rsidR="00932C82" w:rsidRPr="002A4E4E" w:rsidRDefault="00932C82" w:rsidP="002A4E4E">
      <w:pPr>
        <w:rPr>
          <w:rFonts w:asciiTheme="minorHAnsi" w:hAnsiTheme="minorHAnsi"/>
          <w:sz w:val="22"/>
          <w:szCs w:val="22"/>
          <w:lang w:val="en-AU"/>
        </w:rPr>
      </w:pPr>
      <w:r w:rsidRPr="002A4E4E">
        <w:rPr>
          <w:rFonts w:asciiTheme="minorHAnsi" w:hAnsiTheme="minorHAnsi"/>
          <w:sz w:val="22"/>
          <w:szCs w:val="22"/>
          <w:lang w:val="en-AU"/>
        </w:rPr>
        <w:t>Public Inquiry into the Workplace Relations Framework</w:t>
      </w:r>
    </w:p>
    <w:p w14:paraId="58774379" w14:textId="77777777" w:rsidR="00932C82" w:rsidRPr="002A4E4E" w:rsidRDefault="00932C82" w:rsidP="002A4E4E">
      <w:pPr>
        <w:rPr>
          <w:rFonts w:asciiTheme="minorHAnsi" w:hAnsiTheme="minorHAnsi"/>
          <w:sz w:val="22"/>
          <w:szCs w:val="22"/>
          <w:lang w:val="en-AU"/>
        </w:rPr>
      </w:pPr>
      <w:r w:rsidRPr="002A4E4E">
        <w:rPr>
          <w:rFonts w:asciiTheme="minorHAnsi" w:hAnsiTheme="minorHAnsi"/>
          <w:sz w:val="22"/>
          <w:szCs w:val="22"/>
          <w:lang w:val="en-AU"/>
        </w:rPr>
        <w:t>Productivity Commission</w:t>
      </w:r>
    </w:p>
    <w:p w14:paraId="72645FD5" w14:textId="77777777" w:rsidR="00932C82" w:rsidRPr="002A4E4E" w:rsidRDefault="00932C82" w:rsidP="002A4E4E">
      <w:pPr>
        <w:rPr>
          <w:rFonts w:asciiTheme="minorHAnsi" w:hAnsiTheme="minorHAnsi"/>
          <w:sz w:val="22"/>
          <w:szCs w:val="22"/>
          <w:lang w:val="en-AU"/>
        </w:rPr>
      </w:pPr>
      <w:r w:rsidRPr="002A4E4E">
        <w:rPr>
          <w:rFonts w:asciiTheme="minorHAnsi" w:hAnsiTheme="minorHAnsi"/>
          <w:sz w:val="22"/>
          <w:szCs w:val="22"/>
          <w:lang w:val="en-AU"/>
        </w:rPr>
        <w:t>Via email</w:t>
      </w:r>
    </w:p>
    <w:p w14:paraId="0FBD5748"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1C6FB748"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6DCA2405" w14:textId="77777777" w:rsidR="00932C82" w:rsidRPr="002A4E4E" w:rsidRDefault="00932C82" w:rsidP="00932C82">
      <w:pPr>
        <w:spacing w:line="276" w:lineRule="auto"/>
        <w:jc w:val="both"/>
        <w:rPr>
          <w:rFonts w:asciiTheme="minorHAnsi" w:eastAsia="Calibri" w:hAnsiTheme="minorHAnsi" w:cs="Calibri"/>
          <w:spacing w:val="1"/>
          <w:sz w:val="22"/>
          <w:szCs w:val="22"/>
        </w:rPr>
      </w:pPr>
      <w:r w:rsidRPr="002A4E4E">
        <w:rPr>
          <w:rFonts w:asciiTheme="minorHAnsi" w:eastAsia="Calibri" w:hAnsiTheme="minorHAnsi" w:cs="Calibri"/>
          <w:spacing w:val="1"/>
          <w:sz w:val="22"/>
          <w:szCs w:val="22"/>
        </w:rPr>
        <w:t xml:space="preserve">Dear </w:t>
      </w:r>
      <w:proofErr w:type="spellStart"/>
      <w:r w:rsidRPr="002A4E4E">
        <w:rPr>
          <w:rFonts w:asciiTheme="minorHAnsi" w:eastAsia="Calibri" w:hAnsiTheme="minorHAnsi" w:cs="Calibri"/>
          <w:spacing w:val="1"/>
          <w:sz w:val="22"/>
          <w:szCs w:val="22"/>
        </w:rPr>
        <w:t>Mr</w:t>
      </w:r>
      <w:proofErr w:type="spellEnd"/>
      <w:r w:rsidRPr="002A4E4E">
        <w:rPr>
          <w:rFonts w:asciiTheme="minorHAnsi" w:eastAsia="Calibri" w:hAnsiTheme="minorHAnsi" w:cs="Calibri"/>
          <w:spacing w:val="1"/>
          <w:sz w:val="22"/>
          <w:szCs w:val="22"/>
        </w:rPr>
        <w:t xml:space="preserve"> Harris</w:t>
      </w:r>
    </w:p>
    <w:p w14:paraId="7ED4BCDD"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425E5D9A" w14:textId="77777777" w:rsidR="00932C82" w:rsidRPr="002A4E4E" w:rsidRDefault="00932C82" w:rsidP="002A4E4E">
      <w:pPr>
        <w:rPr>
          <w:rFonts w:asciiTheme="minorHAnsi" w:hAnsiTheme="minorHAnsi"/>
          <w:sz w:val="22"/>
          <w:szCs w:val="22"/>
          <w:lang w:val="en-AU"/>
        </w:rPr>
      </w:pPr>
      <w:r w:rsidRPr="002A4E4E">
        <w:rPr>
          <w:rFonts w:asciiTheme="minorHAnsi" w:hAnsiTheme="minorHAnsi"/>
          <w:sz w:val="22"/>
          <w:szCs w:val="22"/>
          <w:lang w:val="en-AU"/>
        </w:rPr>
        <w:t>Thank you for the opportunity to make a submission to the inquiry to identify improvements to the Australian workplace relations framework.</w:t>
      </w:r>
    </w:p>
    <w:p w14:paraId="3939A567" w14:textId="77777777" w:rsidR="00932C82" w:rsidRPr="002A4E4E" w:rsidRDefault="00932C82" w:rsidP="002A4E4E">
      <w:pPr>
        <w:rPr>
          <w:rFonts w:asciiTheme="minorHAnsi" w:hAnsiTheme="minorHAnsi"/>
          <w:sz w:val="22"/>
          <w:szCs w:val="22"/>
          <w:lang w:val="en-AU"/>
        </w:rPr>
      </w:pPr>
    </w:p>
    <w:p w14:paraId="738B2CB1" w14:textId="77777777" w:rsidR="00932C82" w:rsidRPr="002A4E4E" w:rsidRDefault="00932C82" w:rsidP="00932C82">
      <w:pPr>
        <w:rPr>
          <w:rFonts w:asciiTheme="minorHAnsi" w:hAnsiTheme="minorHAnsi"/>
          <w:sz w:val="22"/>
          <w:szCs w:val="22"/>
          <w:lang w:val="en-AU"/>
        </w:rPr>
      </w:pPr>
      <w:r w:rsidRPr="002A4E4E">
        <w:rPr>
          <w:rFonts w:asciiTheme="minorHAnsi" w:hAnsiTheme="minorHAnsi"/>
          <w:sz w:val="22"/>
          <w:szCs w:val="22"/>
          <w:lang w:val="en-AU"/>
        </w:rPr>
        <w:t xml:space="preserve">The NTA represents industry associations with an interest in Australia’s tourism and hospitality industry, and its membership comprises national and state industry associations (refer page 5) who together represent the interests of an industry with 280,000 businesses in Australia. </w:t>
      </w:r>
    </w:p>
    <w:p w14:paraId="3D3E7F0F"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219D2690" w14:textId="77777777" w:rsidR="00932C82" w:rsidRPr="002A4E4E" w:rsidRDefault="00932C82" w:rsidP="00932C82">
      <w:pPr>
        <w:jc w:val="both"/>
        <w:rPr>
          <w:rFonts w:asciiTheme="minorHAnsi" w:eastAsia="Calibri" w:hAnsiTheme="minorHAnsi" w:cs="Calibri"/>
          <w:spacing w:val="1"/>
          <w:sz w:val="22"/>
          <w:szCs w:val="22"/>
        </w:rPr>
      </w:pPr>
      <w:r w:rsidRPr="002A4E4E">
        <w:rPr>
          <w:rFonts w:asciiTheme="minorHAnsi" w:eastAsia="Calibri" w:hAnsiTheme="minorHAnsi" w:cs="Calibri"/>
          <w:spacing w:val="1"/>
          <w:sz w:val="22"/>
          <w:szCs w:val="22"/>
        </w:rPr>
        <w:t>It is important for the inquiry to take into account the impact of the current workplace regulations on tourism and hospitality, and how the framework can be improved, because:</w:t>
      </w:r>
    </w:p>
    <w:p w14:paraId="24DD1A10"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513D90AF" w14:textId="10660CBB" w:rsidR="00932C82" w:rsidRPr="002A4E4E" w:rsidRDefault="00932C82" w:rsidP="00932C82">
      <w:pPr>
        <w:pStyle w:val="ListParagraph"/>
        <w:numPr>
          <w:ilvl w:val="0"/>
          <w:numId w:val="14"/>
        </w:numPr>
        <w:rPr>
          <w:rFonts w:asciiTheme="minorHAnsi" w:hAnsiTheme="minorHAnsi"/>
          <w:sz w:val="22"/>
          <w:szCs w:val="22"/>
          <w:lang w:val="en-AU"/>
        </w:rPr>
      </w:pPr>
      <w:r w:rsidRPr="002A4E4E">
        <w:rPr>
          <w:rFonts w:asciiTheme="minorHAnsi" w:hAnsiTheme="minorHAnsi"/>
          <w:sz w:val="22"/>
          <w:szCs w:val="22"/>
          <w:lang w:val="en-AU"/>
        </w:rPr>
        <w:t xml:space="preserve">Around 90 per </w:t>
      </w:r>
      <w:r w:rsidR="00717331">
        <w:rPr>
          <w:rFonts w:asciiTheme="minorHAnsi" w:hAnsiTheme="minorHAnsi"/>
          <w:sz w:val="22"/>
          <w:szCs w:val="22"/>
          <w:lang w:val="en-AU"/>
        </w:rPr>
        <w:t xml:space="preserve">cent </w:t>
      </w:r>
      <w:r w:rsidRPr="002A4E4E">
        <w:rPr>
          <w:rFonts w:asciiTheme="minorHAnsi" w:hAnsiTheme="minorHAnsi"/>
          <w:sz w:val="22"/>
          <w:szCs w:val="22"/>
          <w:lang w:val="en-AU"/>
        </w:rPr>
        <w:t xml:space="preserve">of 280,000 tourism and hospitality businesses in Australia are small businesses, and about half are in regional areas.  </w:t>
      </w:r>
    </w:p>
    <w:p w14:paraId="41E45E3E" w14:textId="77777777" w:rsidR="00932C82" w:rsidRPr="002A4E4E" w:rsidRDefault="00932C82" w:rsidP="00932C82">
      <w:pPr>
        <w:pStyle w:val="ListParagraph"/>
        <w:numPr>
          <w:ilvl w:val="0"/>
          <w:numId w:val="14"/>
        </w:numPr>
        <w:rPr>
          <w:rFonts w:asciiTheme="minorHAnsi" w:hAnsiTheme="minorHAnsi"/>
          <w:sz w:val="22"/>
          <w:szCs w:val="22"/>
          <w:lang w:val="en-AU"/>
        </w:rPr>
      </w:pPr>
      <w:r w:rsidRPr="002A4E4E">
        <w:rPr>
          <w:rFonts w:asciiTheme="minorHAnsi" w:hAnsiTheme="minorHAnsi"/>
          <w:sz w:val="22"/>
          <w:szCs w:val="22"/>
          <w:lang w:val="en-AU"/>
        </w:rPr>
        <w:t>These businesses employ 1 million people across Australia, or 1 in 12 employees.</w:t>
      </w:r>
    </w:p>
    <w:p w14:paraId="7100541A" w14:textId="77777777" w:rsidR="00932C82" w:rsidRPr="002A4E4E" w:rsidRDefault="00932C82" w:rsidP="00932C82">
      <w:pPr>
        <w:pStyle w:val="ListParagraph"/>
        <w:numPr>
          <w:ilvl w:val="0"/>
          <w:numId w:val="14"/>
        </w:numPr>
        <w:rPr>
          <w:rFonts w:asciiTheme="minorHAnsi" w:eastAsiaTheme="minorEastAsia" w:hAnsiTheme="minorHAnsi"/>
          <w:sz w:val="22"/>
          <w:szCs w:val="22"/>
        </w:rPr>
      </w:pPr>
      <w:r w:rsidRPr="002A4E4E">
        <w:rPr>
          <w:rFonts w:asciiTheme="minorHAnsi" w:hAnsiTheme="minorHAnsi"/>
          <w:sz w:val="22"/>
          <w:szCs w:val="22"/>
          <w:lang w:val="en-AU"/>
        </w:rPr>
        <w:t xml:space="preserve">Growth in tourism and hospitality has a significant positive flow-on effect to the rest of the economy: </w:t>
      </w:r>
      <w:r w:rsidRPr="002A4E4E">
        <w:rPr>
          <w:rFonts w:asciiTheme="minorHAnsi" w:hAnsiTheme="minorHAnsi"/>
          <w:sz w:val="22"/>
          <w:szCs w:val="22"/>
        </w:rPr>
        <w:t>t</w:t>
      </w:r>
      <w:r w:rsidRPr="002A4E4E">
        <w:rPr>
          <w:rFonts w:asciiTheme="minorHAnsi" w:eastAsiaTheme="minorEastAsia" w:hAnsiTheme="minorHAnsi"/>
          <w:sz w:val="22"/>
          <w:szCs w:val="22"/>
        </w:rPr>
        <w:t xml:space="preserve">ourism’s output multiplier is valued at 1.92, which means for </w:t>
      </w:r>
      <w:proofErr w:type="gramStart"/>
      <w:r w:rsidRPr="002A4E4E">
        <w:rPr>
          <w:rFonts w:asciiTheme="minorHAnsi" w:eastAsiaTheme="minorEastAsia" w:hAnsiTheme="minorHAnsi"/>
          <w:sz w:val="22"/>
          <w:szCs w:val="22"/>
        </w:rPr>
        <w:t>every dollar tourism</w:t>
      </w:r>
      <w:proofErr w:type="gramEnd"/>
      <w:r w:rsidRPr="002A4E4E">
        <w:rPr>
          <w:rFonts w:asciiTheme="minorHAnsi" w:eastAsiaTheme="minorEastAsia" w:hAnsiTheme="minorHAnsi"/>
          <w:sz w:val="22"/>
          <w:szCs w:val="22"/>
        </w:rPr>
        <w:t xml:space="preserve"> earns directly in the Australian economy, it value adds an additional 92 cents to other parts of the economy. At 1.92, tourism’s multiplier is larger than mining (1.66), retail trade (1.81) and education and training (1.38)</w:t>
      </w:r>
      <w:r w:rsidRPr="002A4E4E">
        <w:rPr>
          <w:rFonts w:asciiTheme="minorHAnsi" w:eastAsiaTheme="minorEastAsia" w:hAnsiTheme="minorHAnsi"/>
          <w:sz w:val="22"/>
          <w:szCs w:val="22"/>
          <w:vertAlign w:val="superscript"/>
        </w:rPr>
        <w:footnoteReference w:id="1"/>
      </w:r>
      <w:r w:rsidRPr="002A4E4E">
        <w:rPr>
          <w:rFonts w:asciiTheme="minorHAnsi" w:eastAsiaTheme="minorEastAsia" w:hAnsiTheme="minorHAnsi"/>
          <w:sz w:val="22"/>
          <w:szCs w:val="22"/>
        </w:rPr>
        <w:t>.</w:t>
      </w:r>
    </w:p>
    <w:p w14:paraId="34A752A5" w14:textId="77777777" w:rsidR="00932C82" w:rsidRPr="002A4E4E" w:rsidRDefault="00932C82" w:rsidP="00932C82">
      <w:pPr>
        <w:rPr>
          <w:rFonts w:asciiTheme="minorHAnsi" w:hAnsiTheme="minorHAnsi"/>
          <w:sz w:val="22"/>
          <w:szCs w:val="22"/>
          <w:lang w:val="en-AU"/>
        </w:rPr>
      </w:pPr>
    </w:p>
    <w:p w14:paraId="121A5EAF" w14:textId="77777777" w:rsidR="00932C82" w:rsidRPr="002A4E4E" w:rsidRDefault="00932C82" w:rsidP="00932C82">
      <w:pPr>
        <w:rPr>
          <w:rFonts w:asciiTheme="minorHAnsi" w:hAnsiTheme="minorHAnsi"/>
          <w:sz w:val="22"/>
          <w:szCs w:val="22"/>
          <w:lang w:val="en-AU"/>
        </w:rPr>
      </w:pPr>
    </w:p>
    <w:p w14:paraId="18AF11C7" w14:textId="1DBCCF69" w:rsidR="00932C82" w:rsidRPr="00492BC2" w:rsidRDefault="00932C82" w:rsidP="00932C82">
      <w:pPr>
        <w:jc w:val="both"/>
        <w:rPr>
          <w:rFonts w:asciiTheme="minorHAnsi" w:hAnsiTheme="minorHAnsi"/>
          <w:b/>
          <w:sz w:val="22"/>
          <w:szCs w:val="22"/>
        </w:rPr>
      </w:pPr>
      <w:r w:rsidRPr="00492BC2">
        <w:rPr>
          <w:rFonts w:asciiTheme="minorHAnsi" w:hAnsiTheme="minorHAnsi"/>
          <w:b/>
          <w:sz w:val="22"/>
          <w:szCs w:val="22"/>
        </w:rPr>
        <w:t>A.</w:t>
      </w:r>
      <w:r w:rsidRPr="00492BC2">
        <w:rPr>
          <w:rFonts w:asciiTheme="minorHAnsi" w:hAnsiTheme="minorHAnsi"/>
          <w:b/>
          <w:sz w:val="22"/>
          <w:szCs w:val="22"/>
        </w:rPr>
        <w:tab/>
        <w:t>Small businesses carry a disproportionate regulatory burden</w:t>
      </w:r>
      <w:r w:rsidR="00B35B89">
        <w:rPr>
          <w:rFonts w:asciiTheme="minorHAnsi" w:hAnsiTheme="minorHAnsi"/>
          <w:b/>
          <w:sz w:val="22"/>
          <w:szCs w:val="22"/>
        </w:rPr>
        <w:t xml:space="preserve"> that affects productivity</w:t>
      </w:r>
    </w:p>
    <w:p w14:paraId="0F49CD99" w14:textId="77777777" w:rsidR="00932C82" w:rsidRPr="002A4E4E" w:rsidRDefault="00932C82" w:rsidP="00932C82">
      <w:pPr>
        <w:jc w:val="both"/>
        <w:rPr>
          <w:rFonts w:asciiTheme="minorHAnsi" w:hAnsiTheme="minorHAnsi"/>
          <w:b/>
          <w:sz w:val="22"/>
          <w:szCs w:val="22"/>
        </w:rPr>
      </w:pPr>
    </w:p>
    <w:p w14:paraId="1D6112F1" w14:textId="77777777" w:rsidR="00932C82" w:rsidRPr="002A4E4E" w:rsidRDefault="00932C82" w:rsidP="00932C82">
      <w:pPr>
        <w:jc w:val="both"/>
        <w:rPr>
          <w:rFonts w:asciiTheme="minorHAnsi" w:hAnsiTheme="minorHAnsi"/>
          <w:sz w:val="22"/>
          <w:szCs w:val="22"/>
        </w:rPr>
      </w:pPr>
      <w:r w:rsidRPr="002A4E4E">
        <w:rPr>
          <w:rFonts w:asciiTheme="minorHAnsi" w:hAnsiTheme="minorHAnsi"/>
          <w:sz w:val="22"/>
          <w:szCs w:val="22"/>
        </w:rPr>
        <w:t>Small businesses across all sectors play a significant role in the Australian economy, and a large proportion of businesses in tourism and hospitality are small businesses.  They collectively employ 1 million employees.   Any regulation in this area will always have a substantial impact on small businesses, and often disproportionately so.</w:t>
      </w:r>
    </w:p>
    <w:p w14:paraId="30206F69" w14:textId="77777777" w:rsidR="00932C82" w:rsidRPr="002A4E4E" w:rsidRDefault="00932C82" w:rsidP="00932C82">
      <w:pPr>
        <w:jc w:val="both"/>
        <w:rPr>
          <w:rFonts w:asciiTheme="minorHAnsi" w:hAnsiTheme="minorHAnsi"/>
          <w:b/>
          <w:sz w:val="22"/>
          <w:szCs w:val="22"/>
        </w:rPr>
      </w:pPr>
    </w:p>
    <w:p w14:paraId="675ECA09" w14:textId="77777777" w:rsidR="00932C82" w:rsidRPr="002A4E4E" w:rsidRDefault="00932C82" w:rsidP="00932C82">
      <w:pPr>
        <w:jc w:val="both"/>
        <w:rPr>
          <w:rFonts w:asciiTheme="minorHAnsi" w:hAnsiTheme="minorHAnsi"/>
          <w:sz w:val="22"/>
          <w:szCs w:val="22"/>
        </w:rPr>
      </w:pPr>
      <w:r w:rsidRPr="002A4E4E">
        <w:rPr>
          <w:rFonts w:asciiTheme="minorHAnsi" w:hAnsiTheme="minorHAnsi"/>
          <w:sz w:val="22"/>
          <w:szCs w:val="22"/>
        </w:rPr>
        <w:t xml:space="preserve">It is well established and acknowledged by governments and regulatory bodies that compliance costs have a more significant impact on small businesses than on larger businesses.   The Board of </w:t>
      </w:r>
      <w:r w:rsidRPr="002A4E4E">
        <w:rPr>
          <w:rFonts w:asciiTheme="minorHAnsi" w:hAnsiTheme="minorHAnsi"/>
          <w:sz w:val="22"/>
          <w:szCs w:val="22"/>
        </w:rPr>
        <w:lastRenderedPageBreak/>
        <w:t>Taxation report states “[compliance costs] are regressive, with a given cost imposing a proportionately higher impost, the smaller the business”.</w:t>
      </w:r>
      <w:r w:rsidRPr="002A4E4E">
        <w:rPr>
          <w:rStyle w:val="FootnoteReference"/>
          <w:rFonts w:asciiTheme="minorHAnsi" w:hAnsiTheme="minorHAnsi"/>
          <w:sz w:val="22"/>
          <w:szCs w:val="22"/>
        </w:rPr>
        <w:footnoteReference w:id="2"/>
      </w:r>
      <w:r w:rsidRPr="002A4E4E">
        <w:rPr>
          <w:rFonts w:asciiTheme="minorHAnsi" w:hAnsiTheme="minorHAnsi"/>
          <w:sz w:val="22"/>
          <w:szCs w:val="22"/>
        </w:rPr>
        <w:t xml:space="preserve"> All State governments have instituted varying levels of red tape reduction initiatives, such as the Red Tape Commissioner in Victoria, in an acknowledgement that action is needed to encourage growth, innovation and diversity in small businesses where the compliance burden is felt disproportionately heavier.</w:t>
      </w:r>
    </w:p>
    <w:p w14:paraId="3A79B2A2" w14:textId="77777777" w:rsidR="00932C82" w:rsidRPr="002A4E4E" w:rsidRDefault="00932C82" w:rsidP="00932C82">
      <w:pPr>
        <w:jc w:val="both"/>
        <w:rPr>
          <w:rFonts w:asciiTheme="minorHAnsi" w:hAnsiTheme="minorHAnsi"/>
          <w:sz w:val="22"/>
          <w:szCs w:val="22"/>
        </w:rPr>
      </w:pPr>
    </w:p>
    <w:p w14:paraId="69C6B1E3" w14:textId="0AD4C258" w:rsidR="00932C82" w:rsidRPr="002A4E4E" w:rsidRDefault="00932C82" w:rsidP="00932C82">
      <w:pPr>
        <w:jc w:val="both"/>
        <w:rPr>
          <w:rFonts w:asciiTheme="minorHAnsi" w:hAnsiTheme="minorHAnsi"/>
          <w:sz w:val="22"/>
          <w:szCs w:val="22"/>
        </w:rPr>
      </w:pPr>
      <w:r w:rsidRPr="002A4E4E">
        <w:rPr>
          <w:rFonts w:asciiTheme="minorHAnsi" w:hAnsiTheme="minorHAnsi"/>
          <w:sz w:val="22"/>
          <w:szCs w:val="22"/>
        </w:rPr>
        <w:t>It is important for regulators and institutions to act on this knowledge, especially as the costs to small businesses are often non</w:t>
      </w:r>
      <w:r w:rsidR="00860FFA">
        <w:rPr>
          <w:rFonts w:asciiTheme="minorHAnsi" w:hAnsiTheme="minorHAnsi"/>
          <w:sz w:val="22"/>
          <w:szCs w:val="22"/>
        </w:rPr>
        <w:t>-financial in that it can cause</w:t>
      </w:r>
      <w:r w:rsidRPr="002A4E4E">
        <w:rPr>
          <w:rFonts w:asciiTheme="minorHAnsi" w:hAnsiTheme="minorHAnsi"/>
          <w:sz w:val="22"/>
          <w:szCs w:val="22"/>
        </w:rPr>
        <w:t xml:space="preserve"> stress and related ill-health, and also affect the personal life of the small business people,  which can have just as much of an impact on their ability to carry on business.   </w:t>
      </w:r>
    </w:p>
    <w:p w14:paraId="06A344C9" w14:textId="77777777" w:rsidR="00932C82" w:rsidRPr="002A4E4E" w:rsidRDefault="00932C82" w:rsidP="00932C82">
      <w:pPr>
        <w:jc w:val="both"/>
        <w:rPr>
          <w:rFonts w:asciiTheme="minorHAnsi" w:hAnsiTheme="minorHAnsi"/>
          <w:sz w:val="22"/>
          <w:szCs w:val="22"/>
        </w:rPr>
      </w:pPr>
    </w:p>
    <w:p w14:paraId="4092750A" w14:textId="77777777" w:rsidR="00932C82" w:rsidRPr="002A4E4E" w:rsidRDefault="00932C82" w:rsidP="00932C82">
      <w:pPr>
        <w:rPr>
          <w:rFonts w:asciiTheme="minorHAnsi" w:hAnsiTheme="minorHAnsi" w:cs="Arial"/>
          <w:sz w:val="22"/>
          <w:szCs w:val="22"/>
        </w:rPr>
      </w:pPr>
      <w:r w:rsidRPr="002A4E4E">
        <w:rPr>
          <w:rFonts w:asciiTheme="minorHAnsi" w:hAnsiTheme="minorHAnsi"/>
          <w:sz w:val="22"/>
          <w:szCs w:val="22"/>
        </w:rPr>
        <w:t>After taxation compliance, the second most complex and time consuming area where businesses are finding it difficult to understand and comply with the requirements are the employment-related</w:t>
      </w:r>
      <w:r w:rsidRPr="002A4E4E">
        <w:rPr>
          <w:rStyle w:val="FootnoteReference"/>
          <w:rFonts w:asciiTheme="minorHAnsi" w:hAnsiTheme="minorHAnsi"/>
          <w:sz w:val="22"/>
          <w:szCs w:val="22"/>
        </w:rPr>
        <w:footnoteReference w:id="3"/>
      </w:r>
      <w:r w:rsidRPr="002A4E4E">
        <w:rPr>
          <w:rFonts w:asciiTheme="minorHAnsi" w:hAnsiTheme="minorHAnsi"/>
          <w:sz w:val="22"/>
          <w:szCs w:val="22"/>
        </w:rPr>
        <w:t xml:space="preserve"> regulations of w</w:t>
      </w:r>
      <w:r w:rsidRPr="002A4E4E">
        <w:rPr>
          <w:rFonts w:asciiTheme="minorHAnsi" w:hAnsiTheme="minorHAnsi" w:cs="Arial"/>
          <w:sz w:val="22"/>
          <w:szCs w:val="22"/>
        </w:rPr>
        <w:t>orkplace health and safety, conditions of employment, and employing workers.  This is not to say that businesses are trying to avoid their obligations; the issue is that the complexity in finding information, understanding what is required, and preparing the information is imposing the most cost on the business, and therefore constraining their ability to grow.</w:t>
      </w:r>
    </w:p>
    <w:p w14:paraId="4DA0C5F1" w14:textId="77777777" w:rsidR="00932C82" w:rsidRPr="002A4E4E" w:rsidRDefault="00932C82" w:rsidP="00932C82">
      <w:pPr>
        <w:rPr>
          <w:rFonts w:asciiTheme="minorHAnsi" w:hAnsiTheme="minorHAnsi" w:cs="Arial"/>
          <w:sz w:val="22"/>
          <w:szCs w:val="22"/>
        </w:rPr>
      </w:pPr>
    </w:p>
    <w:p w14:paraId="2BD68911" w14:textId="77777777" w:rsidR="00932C82" w:rsidRPr="002A4E4E" w:rsidRDefault="00932C82" w:rsidP="00932C82">
      <w:pPr>
        <w:rPr>
          <w:rFonts w:asciiTheme="minorHAnsi" w:hAnsiTheme="minorHAnsi" w:cs="Arial"/>
          <w:sz w:val="22"/>
          <w:szCs w:val="22"/>
        </w:rPr>
      </w:pPr>
      <w:r w:rsidRPr="002A4E4E">
        <w:rPr>
          <w:rFonts w:asciiTheme="minorHAnsi" w:hAnsiTheme="minorHAnsi" w:cs="Arial"/>
          <w:sz w:val="22"/>
          <w:szCs w:val="22"/>
        </w:rPr>
        <w:t>The cost and complexity of employing staff, apart from their actual wages, is a constraint to growth as many businesses may choose to remain below certain thresholds to avoid the regulatory burden.  In recent surveys, employment-related compliance time and cost is starting to overtake that of the Australian Tax Office.  In the service-oriented tourism and hospitality sector, the compliance burden that acts as a disincentive to employ staff is a serious constraint to growth, as well as to quality of service.</w:t>
      </w:r>
    </w:p>
    <w:p w14:paraId="605514D6" w14:textId="77777777" w:rsidR="00932C82" w:rsidRPr="002A4E4E" w:rsidRDefault="00932C82" w:rsidP="00932C82">
      <w:pPr>
        <w:jc w:val="both"/>
        <w:rPr>
          <w:rFonts w:asciiTheme="minorHAnsi" w:hAnsiTheme="minorHAnsi"/>
          <w:sz w:val="22"/>
          <w:szCs w:val="22"/>
        </w:rPr>
      </w:pPr>
    </w:p>
    <w:p w14:paraId="3B0D3068" w14:textId="77777777" w:rsidR="00932C82" w:rsidRPr="002A4E4E" w:rsidRDefault="00932C82" w:rsidP="00932C82">
      <w:pPr>
        <w:rPr>
          <w:rFonts w:asciiTheme="minorHAnsi" w:hAnsiTheme="minorHAnsi" w:cs="Arial"/>
          <w:sz w:val="22"/>
          <w:szCs w:val="22"/>
        </w:rPr>
      </w:pPr>
      <w:r w:rsidRPr="002A4E4E">
        <w:rPr>
          <w:rFonts w:asciiTheme="minorHAnsi" w:hAnsiTheme="minorHAnsi"/>
          <w:sz w:val="22"/>
          <w:szCs w:val="22"/>
        </w:rPr>
        <w:t>Whilst the surveys demonstrate that the ATO in particular is seen by small business as imposing a significant compliance burden which restricts their growth potential, it is important to note that the impact of other areas of compliance can weigh just as heavily on small businesses.  Taken in aggregate, the majority of businesses are finding that year on year the time and cost of all compliance activities are increasing.</w:t>
      </w:r>
      <w:r w:rsidRPr="002A4E4E">
        <w:rPr>
          <w:rFonts w:asciiTheme="minorHAnsi" w:hAnsiTheme="minorHAnsi" w:cs="Arial"/>
          <w:sz w:val="22"/>
          <w:szCs w:val="22"/>
        </w:rPr>
        <w:t xml:space="preserve">  The surveys regularly find that at least half the respondents state that the compliance burden was restricting the growth or expansion of the business.</w:t>
      </w:r>
    </w:p>
    <w:p w14:paraId="0406D762" w14:textId="77777777" w:rsidR="00932C82" w:rsidRPr="002A4E4E" w:rsidRDefault="00932C82" w:rsidP="00932C82">
      <w:pPr>
        <w:rPr>
          <w:rFonts w:asciiTheme="minorHAnsi" w:hAnsiTheme="minorHAnsi" w:cs="Arial"/>
          <w:sz w:val="22"/>
          <w:szCs w:val="22"/>
        </w:rPr>
      </w:pPr>
    </w:p>
    <w:p w14:paraId="158176AA" w14:textId="3FCE6BE8" w:rsidR="00932C82" w:rsidRPr="002A4E4E" w:rsidRDefault="00932C82" w:rsidP="00932C82">
      <w:pPr>
        <w:rPr>
          <w:rFonts w:asciiTheme="minorHAnsi" w:hAnsiTheme="minorHAnsi" w:cs="Arial"/>
          <w:sz w:val="22"/>
          <w:szCs w:val="22"/>
        </w:rPr>
      </w:pPr>
      <w:r w:rsidRPr="002A4E4E">
        <w:rPr>
          <w:rFonts w:asciiTheme="minorHAnsi" w:hAnsiTheme="minorHAnsi" w:cs="Arial"/>
          <w:sz w:val="22"/>
          <w:szCs w:val="22"/>
        </w:rPr>
        <w:t>The current accumulated regulatory burden faced by small businesses is a tangible obstacle to innovation, investment and employment, and therefore are a significant impediment to national economic growth</w:t>
      </w:r>
      <w:r w:rsidR="00860FFA">
        <w:rPr>
          <w:rFonts w:asciiTheme="minorHAnsi" w:hAnsiTheme="minorHAnsi" w:cs="Arial"/>
          <w:sz w:val="22"/>
          <w:szCs w:val="22"/>
        </w:rPr>
        <w:t xml:space="preserve"> and </w:t>
      </w:r>
      <w:r w:rsidR="000E5D69">
        <w:rPr>
          <w:rFonts w:asciiTheme="minorHAnsi" w:hAnsiTheme="minorHAnsi" w:cs="Arial"/>
          <w:sz w:val="22"/>
          <w:szCs w:val="22"/>
        </w:rPr>
        <w:t>Austral</w:t>
      </w:r>
      <w:r w:rsidR="00BE360D">
        <w:rPr>
          <w:rFonts w:asciiTheme="minorHAnsi" w:hAnsiTheme="minorHAnsi" w:cs="Arial"/>
          <w:sz w:val="22"/>
          <w:szCs w:val="22"/>
        </w:rPr>
        <w:t>i</w:t>
      </w:r>
      <w:r w:rsidR="000E5D69">
        <w:rPr>
          <w:rFonts w:asciiTheme="minorHAnsi" w:hAnsiTheme="minorHAnsi" w:cs="Arial"/>
          <w:sz w:val="22"/>
          <w:szCs w:val="22"/>
        </w:rPr>
        <w:t xml:space="preserve">a’s </w:t>
      </w:r>
      <w:r w:rsidR="00860FFA">
        <w:rPr>
          <w:rFonts w:asciiTheme="minorHAnsi" w:hAnsiTheme="minorHAnsi" w:cs="Arial"/>
          <w:sz w:val="22"/>
          <w:szCs w:val="22"/>
        </w:rPr>
        <w:t>international competitiveness</w:t>
      </w:r>
      <w:r w:rsidRPr="002A4E4E">
        <w:rPr>
          <w:rFonts w:asciiTheme="minorHAnsi" w:hAnsiTheme="minorHAnsi" w:cs="Arial"/>
          <w:sz w:val="22"/>
          <w:szCs w:val="22"/>
        </w:rPr>
        <w:t>.</w:t>
      </w:r>
    </w:p>
    <w:p w14:paraId="22B203BE"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22465B67" w14:textId="77777777" w:rsidR="00932C82" w:rsidRPr="002A4E4E" w:rsidRDefault="00932C82" w:rsidP="00932C82">
      <w:pPr>
        <w:spacing w:line="276" w:lineRule="auto"/>
        <w:jc w:val="both"/>
        <w:rPr>
          <w:rFonts w:asciiTheme="minorHAnsi" w:eastAsia="Calibri" w:hAnsiTheme="minorHAnsi" w:cs="Calibri"/>
          <w:b/>
          <w:spacing w:val="1"/>
          <w:sz w:val="22"/>
          <w:szCs w:val="22"/>
        </w:rPr>
      </w:pPr>
      <w:r w:rsidRPr="002A4E4E">
        <w:rPr>
          <w:rFonts w:asciiTheme="minorHAnsi" w:eastAsia="Calibri" w:hAnsiTheme="minorHAnsi" w:cs="Calibri"/>
          <w:b/>
          <w:spacing w:val="1"/>
          <w:sz w:val="22"/>
          <w:szCs w:val="22"/>
        </w:rPr>
        <w:t>B.</w:t>
      </w:r>
      <w:r w:rsidRPr="002A4E4E">
        <w:rPr>
          <w:rFonts w:asciiTheme="minorHAnsi" w:eastAsia="Calibri" w:hAnsiTheme="minorHAnsi" w:cs="Calibri"/>
          <w:b/>
          <w:spacing w:val="1"/>
          <w:sz w:val="22"/>
          <w:szCs w:val="22"/>
        </w:rPr>
        <w:tab/>
        <w:t>Growth in tourism and hospitality: positive flow on effect</w:t>
      </w:r>
    </w:p>
    <w:p w14:paraId="002D4DEC" w14:textId="77777777" w:rsidR="00932C82" w:rsidRPr="002A4E4E" w:rsidRDefault="00932C82" w:rsidP="00932C82">
      <w:pPr>
        <w:spacing w:line="276" w:lineRule="auto"/>
        <w:jc w:val="both"/>
        <w:rPr>
          <w:rFonts w:asciiTheme="minorHAnsi" w:eastAsia="Calibri" w:hAnsiTheme="minorHAnsi" w:cs="Calibri"/>
          <w:b/>
          <w:spacing w:val="1"/>
          <w:sz w:val="22"/>
          <w:szCs w:val="22"/>
        </w:rPr>
      </w:pPr>
    </w:p>
    <w:p w14:paraId="6512FF7E" w14:textId="77777777" w:rsidR="00932C82" w:rsidRPr="002A4E4E" w:rsidRDefault="00932C82" w:rsidP="00932C82">
      <w:pPr>
        <w:rPr>
          <w:rFonts w:asciiTheme="minorHAnsi" w:eastAsiaTheme="minorEastAsia" w:hAnsiTheme="minorHAnsi" w:cs="Arial"/>
          <w:sz w:val="22"/>
          <w:szCs w:val="22"/>
          <w:lang w:bidi="en-US"/>
        </w:rPr>
      </w:pPr>
      <w:r w:rsidRPr="002A4E4E">
        <w:rPr>
          <w:rFonts w:asciiTheme="minorHAnsi" w:eastAsiaTheme="minorEastAsia" w:hAnsiTheme="minorHAnsi" w:cs="Arial"/>
          <w:sz w:val="22"/>
          <w:szCs w:val="22"/>
        </w:rPr>
        <w:t xml:space="preserve">The </w:t>
      </w:r>
      <w:r w:rsidRPr="002A4E4E">
        <w:rPr>
          <w:rFonts w:asciiTheme="minorHAnsi" w:hAnsiTheme="minorHAnsi" w:cs="Arial"/>
          <w:sz w:val="22"/>
          <w:szCs w:val="22"/>
        </w:rPr>
        <w:t xml:space="preserve">Federal </w:t>
      </w:r>
      <w:r w:rsidRPr="002A4E4E">
        <w:rPr>
          <w:rFonts w:asciiTheme="minorHAnsi" w:eastAsiaTheme="minorEastAsia" w:hAnsiTheme="minorHAnsi" w:cs="Arial"/>
          <w:sz w:val="22"/>
          <w:szCs w:val="22"/>
        </w:rPr>
        <w:t xml:space="preserve">Government’s Industry Innovation and Competitiveness Agenda identifies tourism as an ‘industry with promise’ and a future growth sector that is cited in four major reports referenced in the Agenda: Deloitte Access Economics’ </w:t>
      </w:r>
      <w:r w:rsidRPr="002A4E4E">
        <w:rPr>
          <w:rFonts w:asciiTheme="minorHAnsi" w:eastAsiaTheme="minorEastAsia" w:hAnsiTheme="minorHAnsi" w:cs="Arial"/>
          <w:i/>
          <w:sz w:val="22"/>
          <w:szCs w:val="22"/>
        </w:rPr>
        <w:t>Positioning for Prosperity 2014</w:t>
      </w:r>
      <w:r w:rsidRPr="002A4E4E">
        <w:rPr>
          <w:rFonts w:asciiTheme="minorHAnsi" w:eastAsiaTheme="minorEastAsia" w:hAnsiTheme="minorHAnsi" w:cs="Arial"/>
          <w:sz w:val="22"/>
          <w:szCs w:val="22"/>
        </w:rPr>
        <w:t xml:space="preserve">; PwC’s </w:t>
      </w:r>
      <w:r w:rsidRPr="002A4E4E">
        <w:rPr>
          <w:rFonts w:asciiTheme="minorHAnsi" w:eastAsiaTheme="minorEastAsia" w:hAnsiTheme="minorHAnsi" w:cs="Arial"/>
          <w:i/>
          <w:sz w:val="22"/>
          <w:szCs w:val="22"/>
        </w:rPr>
        <w:t>Industry Sectors: Analysis and forecasting 2013</w:t>
      </w:r>
      <w:r w:rsidRPr="002A4E4E">
        <w:rPr>
          <w:rFonts w:asciiTheme="minorHAnsi" w:eastAsiaTheme="minorEastAsia" w:hAnsiTheme="minorHAnsi" w:cs="Arial"/>
          <w:sz w:val="22"/>
          <w:szCs w:val="22"/>
        </w:rPr>
        <w:t xml:space="preserve">; Outlook Economics’ </w:t>
      </w:r>
      <w:r w:rsidRPr="002A4E4E">
        <w:rPr>
          <w:rFonts w:asciiTheme="minorHAnsi" w:eastAsiaTheme="minorEastAsia" w:hAnsiTheme="minorHAnsi" w:cs="Arial"/>
          <w:i/>
          <w:sz w:val="22"/>
          <w:szCs w:val="22"/>
        </w:rPr>
        <w:t>AUS-M 2014</w:t>
      </w:r>
      <w:r w:rsidRPr="002A4E4E">
        <w:rPr>
          <w:rFonts w:asciiTheme="minorHAnsi" w:eastAsiaTheme="minorEastAsia" w:hAnsiTheme="minorHAnsi" w:cs="Arial"/>
          <w:sz w:val="22"/>
          <w:szCs w:val="22"/>
        </w:rPr>
        <w:t xml:space="preserve">; and McKinsey Australia’s </w:t>
      </w:r>
      <w:r w:rsidRPr="002A4E4E">
        <w:rPr>
          <w:rFonts w:asciiTheme="minorHAnsi" w:eastAsiaTheme="minorEastAsia" w:hAnsiTheme="minorHAnsi" w:cs="Arial"/>
          <w:i/>
          <w:sz w:val="22"/>
          <w:szCs w:val="22"/>
        </w:rPr>
        <w:t>Compete to Prosper: How Australia can gain a global edge, 2014</w:t>
      </w:r>
      <w:r w:rsidRPr="002A4E4E">
        <w:rPr>
          <w:rFonts w:asciiTheme="minorHAnsi" w:eastAsiaTheme="minorEastAsia" w:hAnsiTheme="minorHAnsi" w:cs="Arial"/>
          <w:sz w:val="22"/>
          <w:szCs w:val="22"/>
        </w:rPr>
        <w:t xml:space="preserve">.   </w:t>
      </w:r>
      <w:r w:rsidRPr="002A4E4E">
        <w:rPr>
          <w:rFonts w:asciiTheme="minorHAnsi" w:eastAsiaTheme="minorEastAsia" w:hAnsiTheme="minorHAnsi" w:cs="Arial"/>
          <w:sz w:val="22"/>
          <w:szCs w:val="22"/>
          <w:lang w:bidi="en-US"/>
        </w:rPr>
        <w:t>Tourism’s output multiplier is valued at 1.92, which means for every dollar tourism earns directly in the Australian economy, it value adds an additional 92 cents to other parts of the economy. At 1.92, tourism’s multiplier is larger than mining (1.66), retail trade (1.81) and education and training (1.38)</w:t>
      </w:r>
      <w:r w:rsidRPr="002A4E4E">
        <w:rPr>
          <w:rFonts w:asciiTheme="minorHAnsi" w:eastAsiaTheme="minorEastAsia" w:hAnsiTheme="minorHAnsi" w:cs="Arial"/>
          <w:sz w:val="22"/>
          <w:szCs w:val="22"/>
          <w:lang w:bidi="en-US"/>
        </w:rPr>
        <w:footnoteReference w:id="4"/>
      </w:r>
      <w:r w:rsidRPr="002A4E4E">
        <w:rPr>
          <w:rFonts w:asciiTheme="minorHAnsi" w:eastAsiaTheme="minorEastAsia" w:hAnsiTheme="minorHAnsi" w:cs="Arial"/>
          <w:sz w:val="22"/>
          <w:szCs w:val="22"/>
          <w:lang w:bidi="en-US"/>
        </w:rPr>
        <w:t>.</w:t>
      </w:r>
    </w:p>
    <w:p w14:paraId="24E07DC9"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5346574B"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4C8FB8D4" w14:textId="77777777" w:rsidR="00932C82" w:rsidRPr="002A4E4E" w:rsidRDefault="00932C82" w:rsidP="00932C82">
      <w:pPr>
        <w:rPr>
          <w:rFonts w:asciiTheme="minorHAnsi" w:eastAsiaTheme="minorEastAsia" w:hAnsiTheme="minorHAnsi" w:cs="Arial"/>
          <w:sz w:val="22"/>
          <w:szCs w:val="22"/>
        </w:rPr>
      </w:pPr>
      <w:r w:rsidRPr="002A4E4E">
        <w:rPr>
          <w:rFonts w:asciiTheme="minorHAnsi" w:eastAsiaTheme="minorEastAsia" w:hAnsiTheme="minorHAnsi" w:cs="Arial"/>
          <w:sz w:val="22"/>
          <w:szCs w:val="22"/>
        </w:rPr>
        <w:lastRenderedPageBreak/>
        <w:t xml:space="preserve">The Australian government, with all the states and territories, has also endorsed an aggressive tourism target as part of the Tourism 2020 strategy. Very strong growth in Asian visitor spending, the fastest growing segment of Australia’s visitor economy, underpins the target of doubling nominal overnight visitor spending from $70 billion in 2009 to $115-140 billion by 2020.   </w:t>
      </w:r>
    </w:p>
    <w:p w14:paraId="40B27C06"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1A4CD84F" w14:textId="77777777" w:rsidR="00932C82" w:rsidRPr="002A4E4E" w:rsidRDefault="00932C82" w:rsidP="00932C82">
      <w:pPr>
        <w:rPr>
          <w:rFonts w:asciiTheme="minorHAnsi" w:eastAsiaTheme="minorEastAsia" w:hAnsiTheme="minorHAnsi" w:cs="Arial"/>
          <w:sz w:val="22"/>
          <w:szCs w:val="22"/>
        </w:rPr>
      </w:pPr>
      <w:r w:rsidRPr="002A4E4E">
        <w:rPr>
          <w:rFonts w:asciiTheme="minorHAnsi" w:eastAsiaTheme="minorEastAsia" w:hAnsiTheme="minorHAnsi" w:cs="Arial"/>
          <w:sz w:val="22"/>
          <w:szCs w:val="22"/>
        </w:rPr>
        <w:t xml:space="preserve">The kind of growth potential outlined above is partly contingent upon making workplace regulations more workable and </w:t>
      </w:r>
      <w:r w:rsidRPr="002A4E4E">
        <w:rPr>
          <w:rFonts w:asciiTheme="minorHAnsi" w:hAnsiTheme="minorHAnsi" w:cs="Arial"/>
          <w:sz w:val="22"/>
          <w:szCs w:val="22"/>
        </w:rPr>
        <w:t xml:space="preserve">thereby </w:t>
      </w:r>
      <w:r w:rsidRPr="002A4E4E">
        <w:rPr>
          <w:rFonts w:asciiTheme="minorHAnsi" w:eastAsiaTheme="minorEastAsia" w:hAnsiTheme="minorHAnsi" w:cs="Arial"/>
          <w:sz w:val="22"/>
          <w:szCs w:val="22"/>
        </w:rPr>
        <w:t>reducing the cost of doing business for over 200,000 SMEs in tourism and hospitality.</w:t>
      </w:r>
    </w:p>
    <w:p w14:paraId="11131848" w14:textId="77777777" w:rsidR="00932C82" w:rsidRPr="002A4E4E" w:rsidRDefault="00932C82" w:rsidP="00932C82">
      <w:pPr>
        <w:spacing w:line="276" w:lineRule="auto"/>
        <w:jc w:val="both"/>
        <w:rPr>
          <w:rFonts w:asciiTheme="minorHAnsi" w:eastAsia="Calibri" w:hAnsiTheme="minorHAnsi" w:cs="Calibri"/>
          <w:spacing w:val="1"/>
          <w:sz w:val="22"/>
          <w:szCs w:val="22"/>
        </w:rPr>
      </w:pPr>
    </w:p>
    <w:p w14:paraId="249743DF" w14:textId="77777777" w:rsidR="00932C82" w:rsidRPr="002A4E4E" w:rsidRDefault="00932C82" w:rsidP="00932C82">
      <w:pPr>
        <w:spacing w:line="276" w:lineRule="auto"/>
        <w:jc w:val="both"/>
        <w:rPr>
          <w:rFonts w:asciiTheme="minorHAnsi" w:eastAsia="Calibri" w:hAnsiTheme="minorHAnsi" w:cs="Calibri"/>
          <w:b/>
          <w:spacing w:val="1"/>
          <w:sz w:val="22"/>
          <w:szCs w:val="22"/>
        </w:rPr>
      </w:pPr>
      <w:r w:rsidRPr="002A4E4E">
        <w:rPr>
          <w:rFonts w:asciiTheme="minorHAnsi" w:eastAsia="Calibri" w:hAnsiTheme="minorHAnsi" w:cs="Calibri"/>
          <w:b/>
          <w:spacing w:val="1"/>
          <w:sz w:val="22"/>
          <w:szCs w:val="22"/>
        </w:rPr>
        <w:t>C.</w:t>
      </w:r>
      <w:r w:rsidRPr="002A4E4E">
        <w:rPr>
          <w:rFonts w:asciiTheme="minorHAnsi" w:eastAsia="Calibri" w:hAnsiTheme="minorHAnsi" w:cs="Calibri"/>
          <w:b/>
          <w:spacing w:val="1"/>
          <w:sz w:val="22"/>
          <w:szCs w:val="22"/>
        </w:rPr>
        <w:tab/>
        <w:t>The need for high quality service levels</w:t>
      </w:r>
    </w:p>
    <w:p w14:paraId="5A1380F3" w14:textId="77777777" w:rsidR="00932C82" w:rsidRPr="002A4E4E" w:rsidRDefault="00932C82" w:rsidP="00932C82">
      <w:pPr>
        <w:spacing w:line="276" w:lineRule="auto"/>
        <w:jc w:val="both"/>
        <w:rPr>
          <w:rFonts w:asciiTheme="minorHAnsi" w:eastAsia="Calibri" w:hAnsiTheme="minorHAnsi" w:cs="Calibri"/>
          <w:b/>
          <w:spacing w:val="1"/>
          <w:sz w:val="22"/>
          <w:szCs w:val="22"/>
        </w:rPr>
      </w:pPr>
    </w:p>
    <w:p w14:paraId="3946DA4C" w14:textId="77777777" w:rsidR="00932C82" w:rsidRPr="002A4E4E" w:rsidRDefault="00932C82" w:rsidP="00932C82">
      <w:pPr>
        <w:rPr>
          <w:rFonts w:asciiTheme="minorHAnsi" w:hAnsiTheme="minorHAnsi" w:cs="Arial"/>
          <w:sz w:val="22"/>
          <w:szCs w:val="22"/>
        </w:rPr>
      </w:pPr>
      <w:r w:rsidRPr="002A4E4E">
        <w:rPr>
          <w:rFonts w:asciiTheme="minorHAnsi" w:eastAsiaTheme="minorEastAsia" w:hAnsiTheme="minorHAnsi" w:cs="Arial"/>
          <w:sz w:val="22"/>
          <w:szCs w:val="22"/>
        </w:rPr>
        <w:t xml:space="preserve">Critical to delivering the upper bracket of the </w:t>
      </w:r>
      <w:r w:rsidRPr="002A4E4E">
        <w:rPr>
          <w:rFonts w:asciiTheme="minorHAnsi" w:hAnsiTheme="minorHAnsi" w:cs="Arial"/>
          <w:sz w:val="22"/>
          <w:szCs w:val="22"/>
        </w:rPr>
        <w:t xml:space="preserve">tourism </w:t>
      </w:r>
      <w:r w:rsidRPr="002A4E4E">
        <w:rPr>
          <w:rFonts w:asciiTheme="minorHAnsi" w:eastAsiaTheme="minorEastAsia" w:hAnsiTheme="minorHAnsi" w:cs="Arial"/>
          <w:sz w:val="22"/>
          <w:szCs w:val="22"/>
        </w:rPr>
        <w:t>growth target is to deliver an accessible, welcoming and high-quality experience for visitors</w:t>
      </w:r>
      <w:r w:rsidRPr="002A4E4E">
        <w:rPr>
          <w:rFonts w:asciiTheme="minorHAnsi" w:hAnsiTheme="minorHAnsi" w:cs="Arial"/>
          <w:sz w:val="22"/>
          <w:szCs w:val="22"/>
        </w:rPr>
        <w:t xml:space="preserve"> to</w:t>
      </w:r>
      <w:r w:rsidRPr="002A4E4E">
        <w:rPr>
          <w:rFonts w:asciiTheme="minorHAnsi" w:eastAsiaTheme="minorEastAsia" w:hAnsiTheme="minorHAnsi" w:cs="Arial"/>
          <w:sz w:val="22"/>
          <w:szCs w:val="22"/>
        </w:rPr>
        <w:t xml:space="preserve"> Australia</w:t>
      </w:r>
      <w:r w:rsidRPr="002A4E4E">
        <w:rPr>
          <w:rFonts w:asciiTheme="minorHAnsi" w:hAnsiTheme="minorHAnsi" w:cs="Arial"/>
          <w:sz w:val="22"/>
          <w:szCs w:val="22"/>
        </w:rPr>
        <w:t>, whether they are here</w:t>
      </w:r>
      <w:r w:rsidRPr="002A4E4E">
        <w:rPr>
          <w:rFonts w:asciiTheme="minorHAnsi" w:eastAsiaTheme="minorEastAsia" w:hAnsiTheme="minorHAnsi" w:cs="Arial"/>
          <w:sz w:val="22"/>
          <w:szCs w:val="22"/>
        </w:rPr>
        <w:t xml:space="preserve"> for a holiday, for business or to study. </w:t>
      </w:r>
      <w:r w:rsidRPr="002A4E4E">
        <w:rPr>
          <w:rFonts w:asciiTheme="minorHAnsi" w:hAnsiTheme="minorHAnsi" w:cs="Arial"/>
          <w:sz w:val="22"/>
          <w:szCs w:val="22"/>
        </w:rPr>
        <w:t xml:space="preserve"> Deloitte Access Economics is projecting ‘visitors from markets like China, India and Indonesia to treble over the next 20 years and tourism exports to grow from the current $26 billion to $57 billion in real terms by 2033’.</w:t>
      </w:r>
      <w:r w:rsidRPr="002A4E4E">
        <w:rPr>
          <w:rFonts w:asciiTheme="minorHAnsi" w:hAnsiTheme="minorHAnsi" w:cs="Arial"/>
          <w:sz w:val="22"/>
          <w:szCs w:val="22"/>
          <w:vertAlign w:val="superscript"/>
        </w:rPr>
        <w:footnoteReference w:id="5"/>
      </w:r>
      <w:r w:rsidRPr="002A4E4E">
        <w:rPr>
          <w:rFonts w:asciiTheme="minorHAnsi" w:hAnsiTheme="minorHAnsi" w:cs="Arial"/>
          <w:sz w:val="22"/>
          <w:szCs w:val="22"/>
        </w:rPr>
        <w:t xml:space="preserve">  Under the current workplace regulations, it is difficult for businesses to deliver the service levels required by an industry that needs to operate on a 24/7 basis because the cost of doing so is prohibitive.</w:t>
      </w:r>
    </w:p>
    <w:p w14:paraId="6E315E4A" w14:textId="77777777" w:rsidR="00932C82" w:rsidRPr="002A4E4E" w:rsidRDefault="00932C82" w:rsidP="00932C82">
      <w:pPr>
        <w:rPr>
          <w:rFonts w:asciiTheme="minorHAnsi" w:eastAsiaTheme="minorEastAsia" w:hAnsiTheme="minorHAnsi" w:cs="Arial"/>
          <w:sz w:val="22"/>
          <w:szCs w:val="22"/>
        </w:rPr>
      </w:pPr>
    </w:p>
    <w:p w14:paraId="76FB1E10" w14:textId="77777777" w:rsidR="00932C82" w:rsidRPr="002A4E4E" w:rsidRDefault="00932C82" w:rsidP="00932C82">
      <w:pPr>
        <w:rPr>
          <w:rFonts w:asciiTheme="minorHAnsi" w:hAnsiTheme="minorHAnsi" w:cs="Arial"/>
          <w:sz w:val="22"/>
          <w:szCs w:val="22"/>
        </w:rPr>
      </w:pPr>
      <w:r w:rsidRPr="002A4E4E">
        <w:rPr>
          <w:rFonts w:asciiTheme="minorHAnsi" w:hAnsiTheme="minorHAnsi" w:cs="Arial"/>
          <w:sz w:val="22"/>
          <w:szCs w:val="22"/>
        </w:rPr>
        <w:t xml:space="preserve">Tourism is by nature a highly </w:t>
      </w:r>
      <w:proofErr w:type="spellStart"/>
      <w:r w:rsidRPr="002A4E4E">
        <w:rPr>
          <w:rFonts w:asciiTheme="minorHAnsi" w:hAnsiTheme="minorHAnsi" w:cs="Arial"/>
          <w:sz w:val="22"/>
          <w:szCs w:val="22"/>
        </w:rPr>
        <w:t>labour</w:t>
      </w:r>
      <w:proofErr w:type="spellEnd"/>
      <w:r w:rsidRPr="002A4E4E">
        <w:rPr>
          <w:rFonts w:asciiTheme="minorHAnsi" w:hAnsiTheme="minorHAnsi" w:cs="Arial"/>
          <w:sz w:val="22"/>
          <w:szCs w:val="22"/>
        </w:rPr>
        <w:t xml:space="preserve"> intensive, 24/7 service industry. Reforms to workplace regulation is needed to improve the industry’s ability to provide high quality service in the 24/7 economy. Australia’s tourism sector needs to be able to achieve productivity improvements through flexibility in the workplace, to ensure that it remains competitive in a highly dynamic environment.   In addition, and especially in regional areas, tourism and hospitality businesses are affected by seasonality, as well as a smaller pool of available </w:t>
      </w:r>
      <w:proofErr w:type="spellStart"/>
      <w:r w:rsidRPr="002A4E4E">
        <w:rPr>
          <w:rFonts w:asciiTheme="minorHAnsi" w:hAnsiTheme="minorHAnsi" w:cs="Arial"/>
          <w:sz w:val="22"/>
          <w:szCs w:val="22"/>
        </w:rPr>
        <w:t>labour</w:t>
      </w:r>
      <w:proofErr w:type="spellEnd"/>
      <w:r w:rsidRPr="002A4E4E">
        <w:rPr>
          <w:rFonts w:asciiTheme="minorHAnsi" w:hAnsiTheme="minorHAnsi" w:cs="Arial"/>
          <w:sz w:val="22"/>
          <w:szCs w:val="22"/>
        </w:rPr>
        <w:t>.  The restrictive workplace relations framework has a particularly negative impact when trying to find a workable solution to these business conditions.</w:t>
      </w:r>
    </w:p>
    <w:p w14:paraId="1ABD3C48" w14:textId="77777777" w:rsidR="00932C82" w:rsidRPr="002A4E4E" w:rsidRDefault="00932C82" w:rsidP="00932C82">
      <w:pPr>
        <w:rPr>
          <w:rFonts w:asciiTheme="minorHAnsi" w:hAnsiTheme="minorHAnsi" w:cs="Arial"/>
          <w:sz w:val="22"/>
          <w:szCs w:val="22"/>
        </w:rPr>
      </w:pPr>
    </w:p>
    <w:p w14:paraId="68BE625B" w14:textId="77777777" w:rsidR="00932C82" w:rsidRPr="002A4E4E" w:rsidRDefault="00932C82" w:rsidP="00932C82">
      <w:pPr>
        <w:rPr>
          <w:rFonts w:asciiTheme="minorHAnsi" w:hAnsiTheme="minorHAnsi" w:cs="Arial"/>
          <w:sz w:val="22"/>
          <w:szCs w:val="22"/>
        </w:rPr>
      </w:pPr>
      <w:r w:rsidRPr="002A4E4E">
        <w:rPr>
          <w:rFonts w:asciiTheme="minorHAnsi" w:hAnsiTheme="minorHAnsi" w:cs="Arial"/>
          <w:sz w:val="22"/>
          <w:szCs w:val="22"/>
        </w:rPr>
        <w:t xml:space="preserve">The current penalty rates system is unworkable for businesses and limits the growth prospects of small businesses </w:t>
      </w:r>
      <w:proofErr w:type="gramStart"/>
      <w:r w:rsidRPr="002A4E4E">
        <w:rPr>
          <w:rFonts w:asciiTheme="minorHAnsi" w:hAnsiTheme="minorHAnsi" w:cs="Arial"/>
          <w:sz w:val="22"/>
          <w:szCs w:val="22"/>
        </w:rPr>
        <w:t>who</w:t>
      </w:r>
      <w:proofErr w:type="gramEnd"/>
      <w:r w:rsidRPr="002A4E4E">
        <w:rPr>
          <w:rFonts w:asciiTheme="minorHAnsi" w:hAnsiTheme="minorHAnsi" w:cs="Arial"/>
          <w:sz w:val="22"/>
          <w:szCs w:val="22"/>
        </w:rPr>
        <w:t xml:space="preserve"> have employees covered by the awards. Many employer groups, including those involved in tourism and hospitality, are seeking to have penalty rates moderated through the Fair Work process, to improve their ability to hire staff at the times they are needed in this industry, particularly weekends, evenings, late nights and early mornings.  They are not seeking to remove penalty rates altogether, but to make them more workable for SMEs.</w:t>
      </w:r>
    </w:p>
    <w:p w14:paraId="6AD032D8" w14:textId="77777777" w:rsidR="00932C82" w:rsidRPr="002A4E4E" w:rsidRDefault="00932C82" w:rsidP="00932C82">
      <w:pPr>
        <w:rPr>
          <w:rFonts w:asciiTheme="minorHAnsi" w:hAnsiTheme="minorHAnsi" w:cs="Arial"/>
          <w:sz w:val="22"/>
          <w:szCs w:val="22"/>
        </w:rPr>
      </w:pPr>
    </w:p>
    <w:p w14:paraId="503B76FD" w14:textId="77777777" w:rsidR="00932C82" w:rsidRPr="002A4E4E" w:rsidRDefault="00932C82" w:rsidP="00932C82">
      <w:pPr>
        <w:rPr>
          <w:rFonts w:asciiTheme="minorHAnsi" w:hAnsiTheme="minorHAnsi" w:cs="Arial"/>
          <w:sz w:val="22"/>
          <w:szCs w:val="22"/>
        </w:rPr>
      </w:pPr>
      <w:r w:rsidRPr="002A4E4E">
        <w:rPr>
          <w:rFonts w:asciiTheme="minorHAnsi" w:hAnsiTheme="minorHAnsi" w:cs="Arial"/>
          <w:sz w:val="22"/>
          <w:szCs w:val="22"/>
        </w:rPr>
        <w:t>The current provisions of the Fair Work Act and Modern Awards impose artificial constraints on tourism businesses. These constraints limit businesses’ ability to provide services to customers in the 24/7 business environment as it restricts their ability to hire employees at the times they are most needed. The onerous administrative and compliance burden of the Fair Work Act is a further constraint on small and medium businesses particularly, affecting productivity and profitability, and therefore their ability to grow and employ more people.</w:t>
      </w:r>
    </w:p>
    <w:p w14:paraId="14509EC1" w14:textId="77777777" w:rsidR="00932C82" w:rsidRPr="002A4E4E" w:rsidRDefault="00932C82" w:rsidP="00932C82">
      <w:pPr>
        <w:rPr>
          <w:rFonts w:asciiTheme="minorHAnsi" w:hAnsiTheme="minorHAnsi" w:cs="Arial"/>
          <w:sz w:val="22"/>
          <w:szCs w:val="22"/>
        </w:rPr>
      </w:pPr>
    </w:p>
    <w:p w14:paraId="32606412" w14:textId="77777777" w:rsidR="002A4E4E" w:rsidRPr="002A4E4E" w:rsidRDefault="002A4E4E">
      <w:pPr>
        <w:rPr>
          <w:rFonts w:asciiTheme="minorHAnsi" w:hAnsiTheme="minorHAnsi" w:cs="Arial"/>
          <w:b/>
          <w:sz w:val="22"/>
          <w:szCs w:val="22"/>
        </w:rPr>
      </w:pPr>
      <w:r w:rsidRPr="002A4E4E">
        <w:rPr>
          <w:rFonts w:asciiTheme="minorHAnsi" w:hAnsiTheme="minorHAnsi" w:cs="Arial"/>
          <w:b/>
          <w:sz w:val="22"/>
          <w:szCs w:val="22"/>
        </w:rPr>
        <w:br w:type="page"/>
      </w:r>
    </w:p>
    <w:p w14:paraId="361DD58F" w14:textId="210AB221" w:rsidR="00932C82" w:rsidRPr="002A4E4E" w:rsidRDefault="00932C82" w:rsidP="00932C82">
      <w:pPr>
        <w:rPr>
          <w:rFonts w:asciiTheme="minorHAnsi" w:hAnsiTheme="minorHAnsi" w:cs="Arial"/>
          <w:b/>
          <w:sz w:val="22"/>
          <w:szCs w:val="22"/>
        </w:rPr>
      </w:pPr>
      <w:r w:rsidRPr="002A4E4E">
        <w:rPr>
          <w:rFonts w:asciiTheme="minorHAnsi" w:hAnsiTheme="minorHAnsi" w:cs="Arial"/>
          <w:b/>
          <w:sz w:val="22"/>
          <w:szCs w:val="22"/>
        </w:rPr>
        <w:lastRenderedPageBreak/>
        <w:t>D.</w:t>
      </w:r>
      <w:r w:rsidRPr="002A4E4E">
        <w:rPr>
          <w:rFonts w:asciiTheme="minorHAnsi" w:hAnsiTheme="minorHAnsi" w:cs="Arial"/>
          <w:b/>
          <w:sz w:val="22"/>
          <w:szCs w:val="22"/>
        </w:rPr>
        <w:tab/>
        <w:t>Increasing workforce participation</w:t>
      </w:r>
    </w:p>
    <w:p w14:paraId="3196A964" w14:textId="77777777" w:rsidR="00932C82" w:rsidRPr="002A4E4E" w:rsidRDefault="00932C82" w:rsidP="00932C82">
      <w:pPr>
        <w:rPr>
          <w:rFonts w:asciiTheme="minorHAnsi" w:hAnsiTheme="minorHAnsi" w:cs="Arial"/>
          <w:sz w:val="22"/>
          <w:szCs w:val="22"/>
        </w:rPr>
      </w:pPr>
    </w:p>
    <w:p w14:paraId="7BED1E04" w14:textId="77777777" w:rsidR="00932C82" w:rsidRDefault="00932C82" w:rsidP="00932C82">
      <w:pPr>
        <w:rPr>
          <w:rFonts w:asciiTheme="minorHAnsi" w:eastAsiaTheme="minorEastAsia" w:hAnsiTheme="minorHAnsi" w:cs="Arial"/>
          <w:sz w:val="22"/>
          <w:szCs w:val="22"/>
        </w:rPr>
      </w:pPr>
      <w:r w:rsidRPr="002A4E4E">
        <w:rPr>
          <w:rFonts w:asciiTheme="minorHAnsi" w:hAnsiTheme="minorHAnsi" w:cs="Arial"/>
          <w:sz w:val="22"/>
          <w:szCs w:val="22"/>
        </w:rPr>
        <w:t xml:space="preserve">Flexible and affordable workplace regulations for tourism and hospitality can also increase workforce participation.  </w:t>
      </w:r>
      <w:r w:rsidRPr="002A4E4E">
        <w:rPr>
          <w:rFonts w:asciiTheme="minorHAnsi" w:eastAsiaTheme="minorEastAsia" w:hAnsiTheme="minorHAnsi" w:cs="Arial"/>
          <w:sz w:val="22"/>
          <w:szCs w:val="22"/>
        </w:rPr>
        <w:t>Th</w:t>
      </w:r>
      <w:r w:rsidRPr="002A4E4E">
        <w:rPr>
          <w:rFonts w:asciiTheme="minorHAnsi" w:hAnsiTheme="minorHAnsi" w:cs="Arial"/>
          <w:sz w:val="22"/>
          <w:szCs w:val="22"/>
        </w:rPr>
        <w:t xml:space="preserve">ere is a strong correlation between </w:t>
      </w:r>
      <w:r w:rsidRPr="002A4E4E">
        <w:rPr>
          <w:rFonts w:asciiTheme="minorHAnsi" w:eastAsiaTheme="minorEastAsia" w:hAnsiTheme="minorHAnsi" w:cs="Arial"/>
          <w:sz w:val="22"/>
          <w:szCs w:val="22"/>
        </w:rPr>
        <w:t>this industry</w:t>
      </w:r>
      <w:r w:rsidRPr="002A4E4E">
        <w:rPr>
          <w:rFonts w:asciiTheme="minorHAnsi" w:hAnsiTheme="minorHAnsi" w:cs="Arial"/>
          <w:sz w:val="22"/>
          <w:szCs w:val="22"/>
        </w:rPr>
        <w:t>’s ability</w:t>
      </w:r>
      <w:r w:rsidRPr="002A4E4E">
        <w:rPr>
          <w:rFonts w:asciiTheme="minorHAnsi" w:eastAsiaTheme="minorEastAsia" w:hAnsiTheme="minorHAnsi" w:cs="Arial"/>
          <w:sz w:val="22"/>
          <w:szCs w:val="22"/>
        </w:rPr>
        <w:t xml:space="preserve"> to increase workforce participation at all skill levels</w:t>
      </w:r>
      <w:r w:rsidRPr="002A4E4E">
        <w:rPr>
          <w:rFonts w:asciiTheme="minorHAnsi" w:hAnsiTheme="minorHAnsi" w:cs="Arial"/>
          <w:sz w:val="22"/>
          <w:szCs w:val="22"/>
        </w:rPr>
        <w:t xml:space="preserve">, when aligned to workplace flexibility and workable </w:t>
      </w:r>
      <w:r w:rsidRPr="002A4E4E">
        <w:rPr>
          <w:rFonts w:asciiTheme="minorHAnsi" w:eastAsiaTheme="minorEastAsia" w:hAnsiTheme="minorHAnsi" w:cs="Arial"/>
          <w:sz w:val="22"/>
          <w:szCs w:val="22"/>
        </w:rPr>
        <w:t xml:space="preserve">wages and penalties </w:t>
      </w:r>
      <w:r w:rsidRPr="002A4E4E">
        <w:rPr>
          <w:rFonts w:asciiTheme="minorHAnsi" w:hAnsiTheme="minorHAnsi" w:cs="Arial"/>
          <w:sz w:val="22"/>
          <w:szCs w:val="22"/>
        </w:rPr>
        <w:t xml:space="preserve">for </w:t>
      </w:r>
      <w:r w:rsidRPr="002A4E4E">
        <w:rPr>
          <w:rFonts w:asciiTheme="minorHAnsi" w:eastAsiaTheme="minorEastAsia" w:hAnsiTheme="minorHAnsi" w:cs="Arial"/>
          <w:sz w:val="22"/>
          <w:szCs w:val="22"/>
        </w:rPr>
        <w:t>the many SMEs who are the employers.</w:t>
      </w:r>
    </w:p>
    <w:p w14:paraId="6DAD050A" w14:textId="77777777" w:rsidR="002A4E4E" w:rsidRPr="002A4E4E" w:rsidRDefault="002A4E4E" w:rsidP="00932C82">
      <w:pPr>
        <w:rPr>
          <w:rFonts w:asciiTheme="minorHAnsi" w:eastAsiaTheme="minorEastAsia" w:hAnsiTheme="minorHAnsi" w:cs="Arial"/>
          <w:sz w:val="22"/>
          <w:szCs w:val="22"/>
        </w:rPr>
      </w:pPr>
    </w:p>
    <w:p w14:paraId="52A5849A" w14:textId="101A3E33" w:rsidR="00932C82" w:rsidRPr="002A4E4E" w:rsidRDefault="00932C82" w:rsidP="00932C82">
      <w:pPr>
        <w:rPr>
          <w:rFonts w:asciiTheme="minorHAnsi" w:hAnsiTheme="minorHAnsi" w:cs="Arial"/>
          <w:sz w:val="22"/>
          <w:szCs w:val="22"/>
        </w:rPr>
      </w:pPr>
      <w:r w:rsidRPr="002A4E4E">
        <w:rPr>
          <w:rFonts w:asciiTheme="minorHAnsi" w:hAnsiTheme="minorHAnsi" w:cs="Arial"/>
          <w:sz w:val="22"/>
          <w:szCs w:val="22"/>
        </w:rPr>
        <w:t xml:space="preserve">The industry has traditionally been a large employer of entry level and unskilled or semi-skilled employees, who go on to improve their productivity and skills levels through training, thereby </w:t>
      </w:r>
      <w:r w:rsidR="00705309">
        <w:rPr>
          <w:rFonts w:asciiTheme="minorHAnsi" w:hAnsiTheme="minorHAnsi" w:cs="Arial"/>
          <w:sz w:val="22"/>
          <w:szCs w:val="22"/>
        </w:rPr>
        <w:t>embarking</w:t>
      </w:r>
      <w:r w:rsidRPr="002A4E4E">
        <w:rPr>
          <w:rFonts w:asciiTheme="minorHAnsi" w:hAnsiTheme="minorHAnsi" w:cs="Arial"/>
          <w:sz w:val="22"/>
          <w:szCs w:val="22"/>
        </w:rPr>
        <w:t xml:space="preserve"> on a long term career in a dynamic and growing industry.  </w:t>
      </w:r>
    </w:p>
    <w:p w14:paraId="32DCD93E" w14:textId="77777777" w:rsidR="00932C82" w:rsidRPr="002A4E4E" w:rsidRDefault="00932C82" w:rsidP="00932C82">
      <w:pPr>
        <w:rPr>
          <w:rFonts w:asciiTheme="minorHAnsi" w:hAnsiTheme="minorHAnsi" w:cs="Arial"/>
          <w:sz w:val="22"/>
          <w:szCs w:val="22"/>
        </w:rPr>
      </w:pPr>
    </w:p>
    <w:p w14:paraId="5D86FC6F" w14:textId="77777777" w:rsidR="00932C82" w:rsidRPr="002A4E4E" w:rsidRDefault="00932C82" w:rsidP="00932C82">
      <w:pPr>
        <w:rPr>
          <w:rFonts w:asciiTheme="minorHAnsi" w:eastAsiaTheme="minorEastAsia" w:hAnsiTheme="minorHAnsi" w:cs="Arial"/>
          <w:sz w:val="22"/>
          <w:szCs w:val="22"/>
        </w:rPr>
      </w:pPr>
      <w:r w:rsidRPr="002A4E4E">
        <w:rPr>
          <w:rFonts w:asciiTheme="minorHAnsi" w:eastAsiaTheme="minorEastAsia" w:hAnsiTheme="minorHAnsi" w:cs="Arial"/>
          <w:sz w:val="22"/>
          <w:szCs w:val="22"/>
        </w:rPr>
        <w:t xml:space="preserve">The Deloitte Access Economics Australian Tourism </w:t>
      </w:r>
      <w:proofErr w:type="spellStart"/>
      <w:r w:rsidRPr="002A4E4E">
        <w:rPr>
          <w:rFonts w:asciiTheme="minorHAnsi" w:eastAsiaTheme="minorEastAsia" w:hAnsiTheme="minorHAnsi" w:cs="Arial"/>
          <w:sz w:val="22"/>
          <w:szCs w:val="22"/>
        </w:rPr>
        <w:t>Labour</w:t>
      </w:r>
      <w:proofErr w:type="spellEnd"/>
      <w:r w:rsidRPr="002A4E4E">
        <w:rPr>
          <w:rFonts w:asciiTheme="minorHAnsi" w:eastAsiaTheme="minorEastAsia" w:hAnsiTheme="minorHAnsi" w:cs="Arial"/>
          <w:sz w:val="22"/>
          <w:szCs w:val="22"/>
        </w:rPr>
        <w:t xml:space="preserve"> Force Report 2011 estimates that of the 56,000 vacancies anticipated this year, 46 per cent of these jobs will be skilled positions (25,760 workers), while the remaining 54 per cent of job shortages (30,748 workers) will be for unskilled </w:t>
      </w:r>
      <w:proofErr w:type="spellStart"/>
      <w:r w:rsidRPr="002A4E4E">
        <w:rPr>
          <w:rFonts w:asciiTheme="minorHAnsi" w:eastAsiaTheme="minorEastAsia" w:hAnsiTheme="minorHAnsi" w:cs="Arial"/>
          <w:sz w:val="22"/>
          <w:szCs w:val="22"/>
        </w:rPr>
        <w:t>labour</w:t>
      </w:r>
      <w:proofErr w:type="spellEnd"/>
      <w:r w:rsidRPr="002A4E4E">
        <w:rPr>
          <w:rFonts w:asciiTheme="minorHAnsi" w:eastAsiaTheme="minorEastAsia" w:hAnsiTheme="minorHAnsi" w:cs="Arial"/>
          <w:sz w:val="22"/>
          <w:szCs w:val="22"/>
          <w:vertAlign w:val="superscript"/>
        </w:rPr>
        <w:footnoteReference w:id="6"/>
      </w:r>
      <w:r w:rsidRPr="002A4E4E">
        <w:rPr>
          <w:rFonts w:asciiTheme="minorHAnsi" w:eastAsiaTheme="minorEastAsia" w:hAnsiTheme="minorHAnsi" w:cs="Arial"/>
          <w:sz w:val="22"/>
          <w:szCs w:val="22"/>
        </w:rPr>
        <w:t>. Kitchen hands, Waiters, Café and Restaurant Managers, and Chefs will be the most in-demand occupations within the tourism and hospitality sector</w:t>
      </w:r>
      <w:r w:rsidRPr="002A4E4E">
        <w:rPr>
          <w:rFonts w:asciiTheme="minorHAnsi" w:hAnsiTheme="minorHAnsi" w:cs="Arial"/>
          <w:sz w:val="22"/>
          <w:szCs w:val="22"/>
        </w:rPr>
        <w:t xml:space="preserve"> this year</w:t>
      </w:r>
      <w:r w:rsidRPr="002A4E4E">
        <w:rPr>
          <w:rFonts w:asciiTheme="minorHAnsi" w:eastAsiaTheme="minorEastAsia" w:hAnsiTheme="minorHAnsi" w:cs="Arial"/>
          <w:sz w:val="22"/>
          <w:szCs w:val="22"/>
        </w:rPr>
        <w:t xml:space="preserve">. </w:t>
      </w:r>
    </w:p>
    <w:p w14:paraId="1E8F1128" w14:textId="77777777" w:rsidR="00932C82" w:rsidRPr="002A4E4E" w:rsidRDefault="00932C82" w:rsidP="00932C82">
      <w:pPr>
        <w:rPr>
          <w:rFonts w:asciiTheme="minorHAnsi" w:hAnsiTheme="minorHAnsi"/>
          <w:sz w:val="22"/>
          <w:szCs w:val="22"/>
          <w:lang w:val="en-AU"/>
        </w:rPr>
      </w:pPr>
    </w:p>
    <w:p w14:paraId="7191F568" w14:textId="77777777" w:rsidR="00932C82" w:rsidRPr="002A4E4E" w:rsidRDefault="00932C82" w:rsidP="00932C82">
      <w:pPr>
        <w:rPr>
          <w:rFonts w:asciiTheme="minorHAnsi" w:hAnsiTheme="minorHAnsi"/>
          <w:sz w:val="22"/>
          <w:szCs w:val="22"/>
          <w:lang w:val="en-AU"/>
        </w:rPr>
      </w:pPr>
      <w:r w:rsidRPr="002A4E4E">
        <w:rPr>
          <w:rFonts w:asciiTheme="minorHAnsi" w:hAnsiTheme="minorHAnsi"/>
          <w:sz w:val="22"/>
          <w:szCs w:val="22"/>
          <w:lang w:val="en-AU"/>
        </w:rPr>
        <w:t xml:space="preserve">Tourism and hospitality businesses also tend to employ more females than males, and a high proportion of young people </w:t>
      </w:r>
      <w:proofErr w:type="gramStart"/>
      <w:r w:rsidRPr="002A4E4E">
        <w:rPr>
          <w:rFonts w:asciiTheme="minorHAnsi" w:hAnsiTheme="minorHAnsi"/>
          <w:sz w:val="22"/>
          <w:szCs w:val="22"/>
          <w:lang w:val="en-AU"/>
        </w:rPr>
        <w:t>between 15-24</w:t>
      </w:r>
      <w:proofErr w:type="gramEnd"/>
      <w:r w:rsidRPr="002A4E4E">
        <w:rPr>
          <w:rStyle w:val="FootnoteReference"/>
          <w:rFonts w:asciiTheme="minorHAnsi" w:hAnsiTheme="minorHAnsi"/>
          <w:sz w:val="22"/>
          <w:szCs w:val="22"/>
          <w:lang w:val="en-AU"/>
        </w:rPr>
        <w:footnoteReference w:id="7"/>
      </w:r>
      <w:r w:rsidRPr="002A4E4E">
        <w:rPr>
          <w:rFonts w:asciiTheme="minorHAnsi" w:hAnsiTheme="minorHAnsi"/>
          <w:sz w:val="22"/>
          <w:szCs w:val="22"/>
          <w:lang w:val="en-AU"/>
        </w:rPr>
        <w:t>.  With the current and ongoing concerns nationally about high rates of youth unemployment, there is the potential for tourism and hospitality to increase its ability to employ and train young people if there is a reasonable rather than restrictive regulatory framework in place, that takes account of the nature of this sector’s 24/7 business needs, and the large number of small businesses in the sector.</w:t>
      </w:r>
    </w:p>
    <w:p w14:paraId="07809ABC" w14:textId="77777777" w:rsidR="00932C82" w:rsidRPr="002A4E4E" w:rsidRDefault="00932C82" w:rsidP="00932C82">
      <w:pPr>
        <w:rPr>
          <w:rFonts w:asciiTheme="minorHAnsi" w:hAnsiTheme="minorHAnsi"/>
          <w:sz w:val="22"/>
          <w:szCs w:val="22"/>
          <w:lang w:val="en-AU"/>
        </w:rPr>
      </w:pPr>
    </w:p>
    <w:p w14:paraId="6BBCCCD3" w14:textId="13D69CF5" w:rsidR="00932C82" w:rsidRPr="002A4E4E" w:rsidRDefault="002D4F41" w:rsidP="002D4F41">
      <w:pPr>
        <w:jc w:val="center"/>
        <w:rPr>
          <w:rFonts w:asciiTheme="minorHAnsi" w:hAnsiTheme="minorHAnsi"/>
          <w:sz w:val="22"/>
          <w:szCs w:val="22"/>
          <w:lang w:val="en-AU"/>
        </w:rPr>
      </w:pPr>
      <w:r>
        <w:rPr>
          <w:rFonts w:asciiTheme="minorHAnsi" w:hAnsiTheme="minorHAnsi"/>
          <w:sz w:val="22"/>
          <w:szCs w:val="22"/>
          <w:lang w:val="en-AU"/>
        </w:rPr>
        <w:t>====================</w:t>
      </w:r>
    </w:p>
    <w:p w14:paraId="450AB323" w14:textId="77777777" w:rsidR="00932C82" w:rsidRDefault="00932C82" w:rsidP="00932C82">
      <w:pPr>
        <w:rPr>
          <w:rFonts w:asciiTheme="minorHAnsi" w:hAnsiTheme="minorHAnsi"/>
          <w:sz w:val="22"/>
          <w:szCs w:val="22"/>
          <w:lang w:val="en-AU"/>
        </w:rPr>
      </w:pPr>
    </w:p>
    <w:p w14:paraId="28CDFB11" w14:textId="43259A31" w:rsidR="002D4F41" w:rsidRDefault="002D4F41" w:rsidP="00932C82">
      <w:pPr>
        <w:rPr>
          <w:rFonts w:asciiTheme="minorHAnsi" w:hAnsiTheme="minorHAnsi"/>
          <w:sz w:val="22"/>
          <w:szCs w:val="22"/>
          <w:lang w:val="en-AU"/>
        </w:rPr>
      </w:pPr>
    </w:p>
    <w:p w14:paraId="6311F660" w14:textId="77777777" w:rsidR="002D4F41" w:rsidRPr="002A4E4E" w:rsidRDefault="002D4F41" w:rsidP="00932C82">
      <w:pPr>
        <w:rPr>
          <w:rFonts w:asciiTheme="minorHAnsi" w:hAnsiTheme="minorHAnsi"/>
          <w:sz w:val="22"/>
          <w:szCs w:val="22"/>
          <w:lang w:val="en-AU"/>
        </w:rPr>
      </w:pPr>
    </w:p>
    <w:p w14:paraId="49455716" w14:textId="36A8FB35" w:rsidR="00932C82" w:rsidRPr="002A4E4E" w:rsidRDefault="00932C82" w:rsidP="00932C82">
      <w:pPr>
        <w:rPr>
          <w:rFonts w:asciiTheme="minorHAnsi" w:hAnsiTheme="minorHAnsi"/>
          <w:sz w:val="22"/>
          <w:szCs w:val="22"/>
          <w:lang w:val="en-AU"/>
        </w:rPr>
      </w:pPr>
      <w:r w:rsidRPr="002A4E4E">
        <w:rPr>
          <w:rFonts w:asciiTheme="minorHAnsi" w:hAnsiTheme="minorHAnsi"/>
          <w:sz w:val="22"/>
          <w:szCs w:val="22"/>
          <w:lang w:val="en-AU"/>
        </w:rPr>
        <w:t>Thank you for the opportunity to make a submission.  Please have your office contact me if you require further information.</w:t>
      </w:r>
    </w:p>
    <w:p w14:paraId="042AB4FF" w14:textId="77777777" w:rsidR="00932C82" w:rsidRPr="002A4E4E" w:rsidRDefault="00932C82" w:rsidP="00932C82">
      <w:pPr>
        <w:rPr>
          <w:rFonts w:asciiTheme="minorHAnsi" w:hAnsiTheme="minorHAnsi"/>
          <w:sz w:val="22"/>
          <w:szCs w:val="22"/>
          <w:lang w:val="en-AU"/>
        </w:rPr>
      </w:pPr>
    </w:p>
    <w:p w14:paraId="756E517B" w14:textId="77777777" w:rsidR="00932C82" w:rsidRPr="002A4E4E" w:rsidRDefault="00932C82" w:rsidP="00932C82">
      <w:pPr>
        <w:rPr>
          <w:rFonts w:asciiTheme="minorHAnsi" w:hAnsiTheme="minorHAnsi" w:cstheme="minorHAnsi"/>
          <w:sz w:val="22"/>
          <w:szCs w:val="22"/>
        </w:rPr>
      </w:pPr>
      <w:r w:rsidRPr="002A4E4E">
        <w:rPr>
          <w:rFonts w:asciiTheme="minorHAnsi" w:hAnsiTheme="minorHAnsi" w:cstheme="minorHAnsi"/>
          <w:sz w:val="22"/>
          <w:szCs w:val="22"/>
        </w:rPr>
        <w:t>Yours faithfully</w:t>
      </w:r>
    </w:p>
    <w:p w14:paraId="2438DA64" w14:textId="0BB9E8B7" w:rsidR="00932C82" w:rsidRDefault="00932C82" w:rsidP="00932C82">
      <w:pPr>
        <w:rPr>
          <w:rFonts w:asciiTheme="minorHAnsi" w:hAnsiTheme="minorHAnsi" w:cstheme="minorHAnsi"/>
          <w:noProof/>
          <w:sz w:val="22"/>
          <w:szCs w:val="22"/>
          <w:lang w:val="en-AU" w:eastAsia="en-AU"/>
        </w:rPr>
      </w:pPr>
    </w:p>
    <w:p w14:paraId="76215A64" w14:textId="77777777" w:rsidR="000F158B" w:rsidRDefault="000F158B" w:rsidP="00932C82">
      <w:pPr>
        <w:rPr>
          <w:rFonts w:asciiTheme="minorHAnsi" w:hAnsiTheme="minorHAnsi" w:cstheme="minorHAnsi"/>
          <w:noProof/>
          <w:sz w:val="22"/>
          <w:szCs w:val="22"/>
          <w:lang w:val="en-AU" w:eastAsia="en-AU"/>
        </w:rPr>
      </w:pPr>
    </w:p>
    <w:p w14:paraId="7895AB15" w14:textId="77777777" w:rsidR="000F158B" w:rsidRPr="002A4E4E" w:rsidRDefault="000F158B" w:rsidP="00932C82">
      <w:pPr>
        <w:rPr>
          <w:rFonts w:asciiTheme="minorHAnsi" w:hAnsiTheme="minorHAnsi" w:cstheme="minorHAnsi"/>
          <w:sz w:val="22"/>
          <w:szCs w:val="22"/>
        </w:rPr>
      </w:pPr>
    </w:p>
    <w:p w14:paraId="341EE7CD" w14:textId="77777777" w:rsidR="00932C82" w:rsidRPr="002A4E4E" w:rsidRDefault="00932C82" w:rsidP="00932C82">
      <w:pPr>
        <w:rPr>
          <w:rFonts w:asciiTheme="minorHAnsi" w:hAnsiTheme="minorHAnsi" w:cstheme="minorHAnsi"/>
          <w:b/>
          <w:sz w:val="22"/>
          <w:szCs w:val="22"/>
        </w:rPr>
      </w:pPr>
      <w:r w:rsidRPr="002A4E4E">
        <w:rPr>
          <w:rFonts w:asciiTheme="minorHAnsi" w:hAnsiTheme="minorHAnsi" w:cstheme="minorHAnsi"/>
          <w:b/>
          <w:sz w:val="22"/>
          <w:szCs w:val="22"/>
        </w:rPr>
        <w:t>Juliana Payne</w:t>
      </w:r>
    </w:p>
    <w:p w14:paraId="20AF632A" w14:textId="6D65294D" w:rsidR="002A4E4E" w:rsidRPr="002A4E4E" w:rsidRDefault="00932C82" w:rsidP="00932C82">
      <w:pPr>
        <w:jc w:val="both"/>
        <w:rPr>
          <w:rFonts w:asciiTheme="minorHAnsi" w:hAnsiTheme="minorHAnsi" w:cstheme="minorHAnsi"/>
          <w:b/>
          <w:sz w:val="22"/>
          <w:szCs w:val="22"/>
        </w:rPr>
      </w:pPr>
      <w:r w:rsidRPr="002A4E4E">
        <w:rPr>
          <w:rFonts w:asciiTheme="minorHAnsi" w:hAnsiTheme="minorHAnsi" w:cstheme="minorHAnsi"/>
          <w:b/>
          <w:sz w:val="22"/>
          <w:szCs w:val="22"/>
        </w:rPr>
        <w:t>Chief Executive Officer</w:t>
      </w:r>
    </w:p>
    <w:p w14:paraId="5CEE4F1B" w14:textId="77777777" w:rsidR="002A4E4E" w:rsidRDefault="002A4E4E">
      <w:pPr>
        <w:rPr>
          <w:rFonts w:asciiTheme="minorHAnsi" w:hAnsiTheme="minorHAnsi" w:cstheme="minorHAnsi"/>
          <w:b/>
          <w:sz w:val="22"/>
          <w:szCs w:val="22"/>
        </w:rPr>
      </w:pPr>
      <w:r>
        <w:rPr>
          <w:rFonts w:asciiTheme="minorHAnsi" w:hAnsiTheme="minorHAnsi" w:cstheme="minorHAnsi"/>
          <w:b/>
          <w:sz w:val="22"/>
          <w:szCs w:val="22"/>
        </w:rPr>
        <w:br w:type="page"/>
      </w:r>
      <w:bookmarkStart w:id="0" w:name="_GoBack"/>
      <w:bookmarkEnd w:id="0"/>
    </w:p>
    <w:p w14:paraId="26718E19" w14:textId="77777777" w:rsidR="00932C82" w:rsidRPr="002A4E4E" w:rsidRDefault="00932C82" w:rsidP="00932C82">
      <w:pPr>
        <w:jc w:val="both"/>
        <w:rPr>
          <w:rFonts w:asciiTheme="minorHAnsi" w:hAnsiTheme="minorHAnsi"/>
          <w:sz w:val="22"/>
          <w:szCs w:val="22"/>
        </w:rPr>
      </w:pPr>
    </w:p>
    <w:p w14:paraId="037C04E0" w14:textId="77777777" w:rsidR="00932C82" w:rsidRPr="002A4E4E" w:rsidRDefault="00932C82" w:rsidP="00932C82">
      <w:pPr>
        <w:rPr>
          <w:rFonts w:asciiTheme="minorHAnsi" w:hAnsiTheme="minorHAnsi"/>
          <w:sz w:val="22"/>
          <w:szCs w:val="22"/>
        </w:rPr>
      </w:pPr>
    </w:p>
    <w:p w14:paraId="47D3A4D8" w14:textId="77777777" w:rsidR="00932C82" w:rsidRPr="002A4E4E" w:rsidRDefault="00932C82" w:rsidP="00932C82">
      <w:pPr>
        <w:jc w:val="center"/>
        <w:rPr>
          <w:rFonts w:asciiTheme="minorHAnsi" w:hAnsiTheme="minorHAnsi"/>
          <w:b/>
          <w:sz w:val="22"/>
          <w:szCs w:val="22"/>
          <w:lang w:val="en-AU"/>
        </w:rPr>
      </w:pPr>
      <w:r w:rsidRPr="002A4E4E">
        <w:rPr>
          <w:rFonts w:asciiTheme="minorHAnsi" w:hAnsiTheme="minorHAnsi"/>
          <w:b/>
          <w:sz w:val="22"/>
          <w:szCs w:val="22"/>
          <w:lang w:val="en-AU"/>
        </w:rPr>
        <w:t>NATIONAL TOURISM ALLIANCE MEMBERS</w:t>
      </w:r>
    </w:p>
    <w:p w14:paraId="1D67D766" w14:textId="77777777" w:rsidR="00932C82" w:rsidRPr="002A4E4E" w:rsidRDefault="00932C82" w:rsidP="00932C82">
      <w:pPr>
        <w:rPr>
          <w:rFonts w:asciiTheme="minorHAnsi" w:hAnsiTheme="minorHAnsi"/>
          <w:b/>
          <w:sz w:val="22"/>
          <w:szCs w:val="22"/>
          <w:lang w:val="en-AU"/>
        </w:rPr>
      </w:pPr>
    </w:p>
    <w:p w14:paraId="33BF313B" w14:textId="77777777" w:rsidR="00932C82" w:rsidRPr="002A4E4E" w:rsidRDefault="00932C82" w:rsidP="00932C82">
      <w:pPr>
        <w:rPr>
          <w:rFonts w:asciiTheme="minorHAnsi" w:hAnsiTheme="minorHAnsi"/>
          <w:b/>
          <w:sz w:val="22"/>
          <w:szCs w:val="22"/>
          <w:lang w:val="en-AU"/>
        </w:rPr>
      </w:pPr>
    </w:p>
    <w:tbl>
      <w:tblPr>
        <w:tblW w:w="8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6724"/>
      </w:tblGrid>
      <w:tr w:rsidR="00932C82" w:rsidRPr="002A4E4E" w14:paraId="53A266CE" w14:textId="77777777" w:rsidTr="00950110">
        <w:trPr>
          <w:trHeight w:val="300"/>
        </w:trPr>
        <w:tc>
          <w:tcPr>
            <w:tcW w:w="1296" w:type="dxa"/>
          </w:tcPr>
          <w:p w14:paraId="48D081B8"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noWrap/>
            <w:vAlign w:val="center"/>
            <w:hideMark/>
          </w:tcPr>
          <w:p w14:paraId="020D4F28"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Australian Tourism Export Council</w:t>
            </w:r>
          </w:p>
        </w:tc>
      </w:tr>
      <w:tr w:rsidR="00932C82" w:rsidRPr="002A4E4E" w14:paraId="0282C1CE" w14:textId="77777777" w:rsidTr="00950110">
        <w:trPr>
          <w:trHeight w:val="300"/>
        </w:trPr>
        <w:tc>
          <w:tcPr>
            <w:tcW w:w="1296" w:type="dxa"/>
          </w:tcPr>
          <w:p w14:paraId="184ECC4D"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hideMark/>
          </w:tcPr>
          <w:p w14:paraId="220059D3"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Caravan Industry Association of Australia</w:t>
            </w:r>
          </w:p>
        </w:tc>
      </w:tr>
      <w:tr w:rsidR="00932C82" w:rsidRPr="002A4E4E" w14:paraId="579EE66E" w14:textId="77777777" w:rsidTr="00950110">
        <w:trPr>
          <w:trHeight w:val="300"/>
        </w:trPr>
        <w:tc>
          <w:tcPr>
            <w:tcW w:w="1296" w:type="dxa"/>
          </w:tcPr>
          <w:p w14:paraId="6D51C09E"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tcPr>
          <w:p w14:paraId="745763DC"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Ecotourism Australia</w:t>
            </w:r>
          </w:p>
        </w:tc>
      </w:tr>
      <w:tr w:rsidR="00932C82" w:rsidRPr="002A4E4E" w14:paraId="3E2AF998" w14:textId="77777777" w:rsidTr="00950110">
        <w:trPr>
          <w:trHeight w:val="300"/>
        </w:trPr>
        <w:tc>
          <w:tcPr>
            <w:tcW w:w="1296" w:type="dxa"/>
          </w:tcPr>
          <w:p w14:paraId="05FAFF61"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tcPr>
          <w:p w14:paraId="0923D18E"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National Capital Attractions Association</w:t>
            </w:r>
          </w:p>
        </w:tc>
      </w:tr>
      <w:tr w:rsidR="00932C82" w:rsidRPr="002A4E4E" w14:paraId="1B41935D" w14:textId="77777777" w:rsidTr="00950110">
        <w:trPr>
          <w:trHeight w:val="300"/>
        </w:trPr>
        <w:tc>
          <w:tcPr>
            <w:tcW w:w="1296" w:type="dxa"/>
          </w:tcPr>
          <w:p w14:paraId="11B6213A"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hideMark/>
          </w:tcPr>
          <w:p w14:paraId="13255BDB"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Queensland Tourism Industry Council</w:t>
            </w:r>
            <w:r w:rsidRPr="002A4E4E">
              <w:rPr>
                <w:rFonts w:asciiTheme="minorHAnsi" w:hAnsiTheme="minorHAnsi" w:cstheme="minorHAnsi"/>
                <w:bCs/>
                <w:sz w:val="22"/>
                <w:szCs w:val="22"/>
                <w:lang w:eastAsia="en-AU"/>
              </w:rPr>
              <w:tab/>
            </w:r>
            <w:r w:rsidRPr="002A4E4E">
              <w:rPr>
                <w:rFonts w:asciiTheme="minorHAnsi" w:hAnsiTheme="minorHAnsi" w:cstheme="minorHAnsi"/>
                <w:bCs/>
                <w:sz w:val="22"/>
                <w:szCs w:val="22"/>
                <w:lang w:eastAsia="en-AU"/>
              </w:rPr>
              <w:tab/>
            </w:r>
          </w:p>
        </w:tc>
      </w:tr>
      <w:tr w:rsidR="00932C82" w:rsidRPr="002A4E4E" w14:paraId="6BD855F3" w14:textId="77777777" w:rsidTr="00950110">
        <w:trPr>
          <w:trHeight w:val="300"/>
        </w:trPr>
        <w:tc>
          <w:tcPr>
            <w:tcW w:w="1296" w:type="dxa"/>
          </w:tcPr>
          <w:p w14:paraId="3DBF101B"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noWrap/>
            <w:vAlign w:val="center"/>
            <w:hideMark/>
          </w:tcPr>
          <w:p w14:paraId="65D9B3EC"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Restaurant &amp; Catering Australia</w:t>
            </w:r>
            <w:r w:rsidRPr="002A4E4E">
              <w:rPr>
                <w:rFonts w:asciiTheme="minorHAnsi" w:hAnsiTheme="minorHAnsi" w:cstheme="minorHAnsi"/>
                <w:bCs/>
                <w:sz w:val="22"/>
                <w:szCs w:val="22"/>
                <w:lang w:eastAsia="en-AU"/>
              </w:rPr>
              <w:tab/>
            </w:r>
            <w:r w:rsidRPr="002A4E4E">
              <w:rPr>
                <w:rFonts w:asciiTheme="minorHAnsi" w:hAnsiTheme="minorHAnsi" w:cstheme="minorHAnsi"/>
                <w:bCs/>
                <w:sz w:val="22"/>
                <w:szCs w:val="22"/>
                <w:lang w:eastAsia="en-AU"/>
              </w:rPr>
              <w:tab/>
            </w:r>
            <w:r w:rsidRPr="002A4E4E">
              <w:rPr>
                <w:rFonts w:asciiTheme="minorHAnsi" w:hAnsiTheme="minorHAnsi" w:cstheme="minorHAnsi"/>
                <w:bCs/>
                <w:sz w:val="22"/>
                <w:szCs w:val="22"/>
                <w:lang w:eastAsia="en-AU"/>
              </w:rPr>
              <w:tab/>
            </w:r>
          </w:p>
        </w:tc>
      </w:tr>
      <w:tr w:rsidR="00932C82" w:rsidRPr="002A4E4E" w14:paraId="5E79CB79" w14:textId="77777777" w:rsidTr="00950110">
        <w:trPr>
          <w:trHeight w:val="300"/>
        </w:trPr>
        <w:tc>
          <w:tcPr>
            <w:tcW w:w="1296" w:type="dxa"/>
          </w:tcPr>
          <w:p w14:paraId="656636B9"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noWrap/>
            <w:vAlign w:val="center"/>
            <w:hideMark/>
          </w:tcPr>
          <w:p w14:paraId="1D4E4355"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 xml:space="preserve">South Australian Tourism Industry Council </w:t>
            </w:r>
          </w:p>
        </w:tc>
      </w:tr>
      <w:tr w:rsidR="00932C82" w:rsidRPr="002A4E4E" w14:paraId="1BB37389" w14:textId="77777777" w:rsidTr="00950110">
        <w:trPr>
          <w:trHeight w:val="300"/>
        </w:trPr>
        <w:tc>
          <w:tcPr>
            <w:tcW w:w="1296" w:type="dxa"/>
          </w:tcPr>
          <w:p w14:paraId="017FD89F"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tcPr>
          <w:p w14:paraId="20A60250"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Star Ratings Australia</w:t>
            </w:r>
          </w:p>
        </w:tc>
      </w:tr>
      <w:tr w:rsidR="00932C82" w:rsidRPr="002A4E4E" w14:paraId="7EA636E1" w14:textId="77777777" w:rsidTr="00950110">
        <w:trPr>
          <w:trHeight w:val="300"/>
        </w:trPr>
        <w:tc>
          <w:tcPr>
            <w:tcW w:w="1296" w:type="dxa"/>
          </w:tcPr>
          <w:p w14:paraId="4E63FDC9"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hideMark/>
          </w:tcPr>
          <w:p w14:paraId="6D0BF440"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Tourism Council Western Australia</w:t>
            </w:r>
          </w:p>
        </w:tc>
      </w:tr>
      <w:tr w:rsidR="00932C82" w:rsidRPr="002A4E4E" w14:paraId="31DB9C26" w14:textId="77777777" w:rsidTr="00950110">
        <w:trPr>
          <w:trHeight w:val="300"/>
        </w:trPr>
        <w:tc>
          <w:tcPr>
            <w:tcW w:w="1296" w:type="dxa"/>
          </w:tcPr>
          <w:p w14:paraId="49944ADA"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hideMark/>
          </w:tcPr>
          <w:p w14:paraId="59086370"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NSW Business Chamber Tourism Division</w:t>
            </w:r>
          </w:p>
        </w:tc>
      </w:tr>
      <w:tr w:rsidR="00932C82" w:rsidRPr="002A4E4E" w14:paraId="311CAA56" w14:textId="77777777" w:rsidTr="00950110">
        <w:trPr>
          <w:trHeight w:val="300"/>
        </w:trPr>
        <w:tc>
          <w:tcPr>
            <w:tcW w:w="1296" w:type="dxa"/>
          </w:tcPr>
          <w:p w14:paraId="51023D30"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hideMark/>
          </w:tcPr>
          <w:p w14:paraId="5DF23D0B"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Tourism Industry Council Tasmania</w:t>
            </w:r>
          </w:p>
        </w:tc>
      </w:tr>
      <w:tr w:rsidR="00932C82" w:rsidRPr="002A4E4E" w14:paraId="21FBFBD6" w14:textId="77777777" w:rsidTr="00950110">
        <w:trPr>
          <w:trHeight w:val="300"/>
        </w:trPr>
        <w:tc>
          <w:tcPr>
            <w:tcW w:w="1296" w:type="dxa"/>
          </w:tcPr>
          <w:p w14:paraId="33BF68D4"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hideMark/>
          </w:tcPr>
          <w:p w14:paraId="512560B6"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Victoria Tourism Industry Council</w:t>
            </w:r>
            <w:r w:rsidRPr="002A4E4E">
              <w:rPr>
                <w:rFonts w:asciiTheme="minorHAnsi" w:hAnsiTheme="minorHAnsi" w:cstheme="minorHAnsi"/>
                <w:bCs/>
                <w:sz w:val="22"/>
                <w:szCs w:val="22"/>
                <w:lang w:eastAsia="en-AU"/>
              </w:rPr>
              <w:tab/>
            </w:r>
            <w:r w:rsidRPr="002A4E4E">
              <w:rPr>
                <w:rFonts w:asciiTheme="minorHAnsi" w:hAnsiTheme="minorHAnsi" w:cstheme="minorHAnsi"/>
                <w:bCs/>
                <w:sz w:val="22"/>
                <w:szCs w:val="22"/>
                <w:lang w:eastAsia="en-AU"/>
              </w:rPr>
              <w:tab/>
            </w:r>
            <w:r w:rsidRPr="002A4E4E">
              <w:rPr>
                <w:rFonts w:asciiTheme="minorHAnsi" w:hAnsiTheme="minorHAnsi" w:cstheme="minorHAnsi"/>
                <w:bCs/>
                <w:sz w:val="22"/>
                <w:szCs w:val="22"/>
                <w:lang w:eastAsia="en-AU"/>
              </w:rPr>
              <w:tab/>
            </w:r>
          </w:p>
        </w:tc>
      </w:tr>
      <w:tr w:rsidR="00932C82" w:rsidRPr="002A4E4E" w14:paraId="1D9A683C" w14:textId="77777777" w:rsidTr="00950110">
        <w:trPr>
          <w:trHeight w:val="300"/>
        </w:trPr>
        <w:tc>
          <w:tcPr>
            <w:tcW w:w="1296" w:type="dxa"/>
          </w:tcPr>
          <w:p w14:paraId="5AF912CA" w14:textId="77777777" w:rsidR="00932C82" w:rsidRPr="002A4E4E" w:rsidRDefault="00932C82" w:rsidP="00932C82">
            <w:pPr>
              <w:pStyle w:val="ListParagraph"/>
              <w:numPr>
                <w:ilvl w:val="0"/>
                <w:numId w:val="1"/>
              </w:numPr>
              <w:rPr>
                <w:rFonts w:asciiTheme="minorHAnsi" w:hAnsiTheme="minorHAnsi" w:cstheme="minorHAnsi"/>
                <w:bCs/>
                <w:sz w:val="22"/>
                <w:szCs w:val="22"/>
                <w:lang w:eastAsia="en-AU"/>
              </w:rPr>
            </w:pPr>
          </w:p>
        </w:tc>
        <w:tc>
          <w:tcPr>
            <w:tcW w:w="6724" w:type="dxa"/>
            <w:shd w:val="clear" w:color="auto" w:fill="auto"/>
            <w:vAlign w:val="center"/>
          </w:tcPr>
          <w:p w14:paraId="2052A541" w14:textId="77777777" w:rsidR="00932C82" w:rsidRPr="002A4E4E" w:rsidRDefault="00932C82" w:rsidP="00950110">
            <w:pPr>
              <w:rPr>
                <w:rFonts w:asciiTheme="minorHAnsi" w:hAnsiTheme="minorHAnsi" w:cstheme="minorHAnsi"/>
                <w:bCs/>
                <w:sz w:val="22"/>
                <w:szCs w:val="22"/>
                <w:lang w:eastAsia="en-AU"/>
              </w:rPr>
            </w:pPr>
            <w:r w:rsidRPr="002A4E4E">
              <w:rPr>
                <w:rFonts w:asciiTheme="minorHAnsi" w:hAnsiTheme="minorHAnsi" w:cstheme="minorHAnsi"/>
                <w:bCs/>
                <w:sz w:val="22"/>
                <w:szCs w:val="22"/>
                <w:lang w:eastAsia="en-AU"/>
              </w:rPr>
              <w:t>Tourism Top End</w:t>
            </w:r>
          </w:p>
        </w:tc>
      </w:tr>
    </w:tbl>
    <w:p w14:paraId="479D936C" w14:textId="77777777" w:rsidR="00932C82" w:rsidRPr="002A4E4E" w:rsidRDefault="00932C82" w:rsidP="00932C82">
      <w:pPr>
        <w:rPr>
          <w:rFonts w:asciiTheme="minorHAnsi" w:hAnsiTheme="minorHAnsi"/>
          <w:sz w:val="22"/>
          <w:szCs w:val="22"/>
        </w:rPr>
      </w:pPr>
    </w:p>
    <w:p w14:paraId="032D76F9" w14:textId="77777777" w:rsidR="00932C82" w:rsidRPr="002A4E4E" w:rsidRDefault="00932C82" w:rsidP="00932C82">
      <w:pPr>
        <w:rPr>
          <w:rFonts w:asciiTheme="minorHAnsi" w:hAnsiTheme="minorHAnsi"/>
          <w:sz w:val="22"/>
          <w:szCs w:val="22"/>
        </w:rPr>
      </w:pPr>
    </w:p>
    <w:p w14:paraId="0239CEAE" w14:textId="77777777" w:rsidR="00932C82" w:rsidRPr="00442ED6" w:rsidRDefault="00932C82" w:rsidP="00932C82">
      <w:pPr>
        <w:rPr>
          <w:rFonts w:asciiTheme="minorHAnsi" w:hAnsiTheme="minorHAnsi"/>
          <w:sz w:val="22"/>
          <w:szCs w:val="22"/>
        </w:rPr>
      </w:pPr>
    </w:p>
    <w:p w14:paraId="18A2C1F6" w14:textId="77777777" w:rsidR="00DD7686" w:rsidRDefault="00DD7686" w:rsidP="004C762A">
      <w:pPr>
        <w:jc w:val="both"/>
        <w:rPr>
          <w:rFonts w:asciiTheme="minorHAnsi" w:hAnsiTheme="minorHAnsi"/>
          <w:sz w:val="22"/>
          <w:szCs w:val="22"/>
        </w:rPr>
      </w:pPr>
    </w:p>
    <w:p w14:paraId="18A2C233" w14:textId="2C1EF50C" w:rsidR="0045084B" w:rsidRPr="0045084B" w:rsidRDefault="0045084B" w:rsidP="00932C82">
      <w:pPr>
        <w:pStyle w:val="ListParagraph"/>
        <w:tabs>
          <w:tab w:val="left" w:pos="840"/>
        </w:tabs>
        <w:spacing w:before="3"/>
        <w:ind w:right="-20"/>
        <w:rPr>
          <w:rFonts w:asciiTheme="minorHAnsi" w:eastAsia="Calibri" w:hAnsiTheme="minorHAnsi"/>
          <w:sz w:val="20"/>
        </w:rPr>
      </w:pPr>
    </w:p>
    <w:p w14:paraId="18A2C234" w14:textId="77777777" w:rsidR="0045084B" w:rsidRPr="00DD7686" w:rsidRDefault="0045084B" w:rsidP="00F77534"/>
    <w:sectPr w:rsidR="0045084B" w:rsidRPr="00DD7686" w:rsidSect="00F77534">
      <w:headerReference w:type="default" r:id="rId13"/>
      <w:footerReference w:type="default" r:id="rId14"/>
      <w:headerReference w:type="first" r:id="rId15"/>
      <w:footerReference w:type="first" r:id="rId16"/>
      <w:pgSz w:w="11906" w:h="16838"/>
      <w:pgMar w:top="1440" w:right="1440" w:bottom="1440" w:left="1440" w:header="708" w:footer="1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2C239" w14:textId="77777777" w:rsidR="006D7656" w:rsidRDefault="006D7656" w:rsidP="00AC58D9">
      <w:r>
        <w:separator/>
      </w:r>
    </w:p>
  </w:endnote>
  <w:endnote w:type="continuationSeparator" w:id="0">
    <w:p w14:paraId="18A2C23A" w14:textId="77777777" w:rsidR="006D7656" w:rsidRDefault="006D7656" w:rsidP="00AC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52B26" w14:textId="638945EE" w:rsidR="00932C82" w:rsidRDefault="00932C82">
    <w:pPr>
      <w:pStyle w:val="Footer"/>
    </w:pPr>
    <w:r>
      <w:tab/>
    </w:r>
    <w:r>
      <w:tab/>
    </w:r>
    <w:r>
      <w:fldChar w:fldCharType="begin"/>
    </w:r>
    <w:r>
      <w:instrText xml:space="preserve"> PAGE   \* MERGEFORMAT </w:instrText>
    </w:r>
    <w:r>
      <w:fldChar w:fldCharType="separate"/>
    </w:r>
    <w:r w:rsidR="000F158B">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2C23D" w14:textId="77777777" w:rsidR="00003A60" w:rsidRDefault="00003A6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3425"/>
    </w:tblGrid>
    <w:tr w:rsidR="00003A60" w:rsidRPr="00796010" w14:paraId="18A2C240" w14:textId="77777777" w:rsidTr="00132802">
      <w:trPr>
        <w:jc w:val="center"/>
      </w:trPr>
      <w:tc>
        <w:tcPr>
          <w:tcW w:w="2622" w:type="dxa"/>
        </w:tcPr>
        <w:p w14:paraId="18A2C23E" w14:textId="77777777" w:rsidR="00003A60" w:rsidRPr="00796010" w:rsidRDefault="00003A60" w:rsidP="00003A60">
          <w:pPr>
            <w:pStyle w:val="Footer"/>
            <w:rPr>
              <w:rFonts w:ascii="Arial Narrow" w:hAnsi="Arial Narrow"/>
              <w:color w:val="003C69"/>
              <w:sz w:val="16"/>
              <w:szCs w:val="16"/>
            </w:rPr>
          </w:pPr>
          <w:r w:rsidRPr="00796010">
            <w:rPr>
              <w:rFonts w:ascii="Arial Narrow" w:hAnsi="Arial Narrow"/>
              <w:color w:val="003C69"/>
              <w:sz w:val="16"/>
              <w:szCs w:val="16"/>
            </w:rPr>
            <w:t>National Tourism Alliance</w:t>
          </w:r>
        </w:p>
      </w:tc>
      <w:tc>
        <w:tcPr>
          <w:tcW w:w="3425" w:type="dxa"/>
        </w:tcPr>
        <w:p w14:paraId="18A2C23F" w14:textId="77777777" w:rsidR="00003A60" w:rsidRPr="00796010" w:rsidRDefault="00003A60" w:rsidP="001E4120">
          <w:pPr>
            <w:pStyle w:val="Footer"/>
            <w:rPr>
              <w:rFonts w:ascii="Arial Narrow" w:hAnsi="Arial Narrow"/>
              <w:color w:val="003C69"/>
              <w:sz w:val="16"/>
              <w:szCs w:val="16"/>
            </w:rPr>
          </w:pPr>
          <w:r w:rsidRPr="00796010">
            <w:rPr>
              <w:rFonts w:ascii="Arial Narrow" w:hAnsi="Arial Narrow"/>
              <w:b/>
              <w:color w:val="003C69"/>
              <w:sz w:val="16"/>
              <w:szCs w:val="16"/>
            </w:rPr>
            <w:t xml:space="preserve">Phone  </w:t>
          </w:r>
          <w:r w:rsidR="001E4120">
            <w:rPr>
              <w:rFonts w:ascii="Arial Narrow" w:hAnsi="Arial Narrow"/>
              <w:color w:val="003C69"/>
              <w:sz w:val="16"/>
              <w:szCs w:val="16"/>
            </w:rPr>
            <w:t>02 8034 7492</w:t>
          </w:r>
        </w:p>
      </w:tc>
    </w:tr>
    <w:tr w:rsidR="00003A60" w:rsidRPr="00796010" w14:paraId="18A2C243" w14:textId="77777777" w:rsidTr="00132802">
      <w:trPr>
        <w:jc w:val="center"/>
      </w:trPr>
      <w:tc>
        <w:tcPr>
          <w:tcW w:w="2622" w:type="dxa"/>
        </w:tcPr>
        <w:p w14:paraId="18A2C241" w14:textId="77777777" w:rsidR="00003A60" w:rsidRPr="00796010" w:rsidRDefault="00003A60" w:rsidP="00003A60">
          <w:pPr>
            <w:pStyle w:val="Footer"/>
            <w:rPr>
              <w:rFonts w:ascii="Arial Narrow" w:hAnsi="Arial Narrow"/>
              <w:color w:val="003C69"/>
              <w:sz w:val="16"/>
              <w:szCs w:val="16"/>
            </w:rPr>
          </w:pPr>
          <w:r w:rsidRPr="00796010">
            <w:rPr>
              <w:rFonts w:ascii="Arial Narrow" w:hAnsi="Arial Narrow"/>
              <w:color w:val="003C69"/>
              <w:sz w:val="16"/>
              <w:szCs w:val="16"/>
            </w:rPr>
            <w:t>ABN 82 539 547 489</w:t>
          </w:r>
        </w:p>
      </w:tc>
      <w:tc>
        <w:tcPr>
          <w:tcW w:w="3425" w:type="dxa"/>
        </w:tcPr>
        <w:p w14:paraId="18A2C242" w14:textId="77777777" w:rsidR="00003A60" w:rsidRPr="00796010" w:rsidRDefault="000F158B" w:rsidP="00003A60">
          <w:pPr>
            <w:pStyle w:val="Footer"/>
            <w:rPr>
              <w:rFonts w:ascii="Arial Narrow" w:hAnsi="Arial Narrow"/>
              <w:color w:val="003C69"/>
              <w:sz w:val="16"/>
              <w:szCs w:val="16"/>
            </w:rPr>
          </w:pPr>
          <w:hyperlink r:id="rId1" w:history="1">
            <w:r w:rsidR="00003A60" w:rsidRPr="00796010">
              <w:rPr>
                <w:rFonts w:ascii="Arial Narrow" w:hAnsi="Arial Narrow"/>
                <w:color w:val="003C69"/>
                <w:sz w:val="16"/>
                <w:szCs w:val="16"/>
              </w:rPr>
              <w:t>www.tourismalliance.org</w:t>
            </w:r>
          </w:hyperlink>
        </w:p>
      </w:tc>
    </w:tr>
    <w:tr w:rsidR="00003A60" w:rsidRPr="00796010" w14:paraId="18A2C246" w14:textId="77777777" w:rsidTr="00132802">
      <w:trPr>
        <w:jc w:val="center"/>
      </w:trPr>
      <w:tc>
        <w:tcPr>
          <w:tcW w:w="2622" w:type="dxa"/>
        </w:tcPr>
        <w:p w14:paraId="18A2C244" w14:textId="77777777" w:rsidR="00003A60" w:rsidRPr="00796010" w:rsidRDefault="001E4120" w:rsidP="001E4120">
          <w:pPr>
            <w:pStyle w:val="Footer"/>
            <w:rPr>
              <w:rFonts w:ascii="Arial Narrow" w:hAnsi="Arial Narrow"/>
              <w:color w:val="003C69"/>
              <w:sz w:val="16"/>
              <w:szCs w:val="16"/>
            </w:rPr>
          </w:pPr>
          <w:r>
            <w:rPr>
              <w:rFonts w:ascii="Arial Narrow" w:hAnsi="Arial Narrow"/>
              <w:color w:val="003C69"/>
              <w:sz w:val="16"/>
              <w:szCs w:val="16"/>
            </w:rPr>
            <w:t>Suite 44</w:t>
          </w:r>
          <w:r w:rsidR="00003A60" w:rsidRPr="00796010">
            <w:rPr>
              <w:rFonts w:ascii="Arial Narrow" w:hAnsi="Arial Narrow"/>
              <w:color w:val="003C69"/>
              <w:sz w:val="16"/>
              <w:szCs w:val="16"/>
            </w:rPr>
            <w:t>,</w:t>
          </w:r>
          <w:r>
            <w:rPr>
              <w:rFonts w:ascii="Arial Narrow" w:hAnsi="Arial Narrow"/>
              <w:color w:val="003C69"/>
              <w:sz w:val="16"/>
              <w:szCs w:val="16"/>
            </w:rPr>
            <w:t>Level 10, 99 York</w:t>
          </w:r>
          <w:r w:rsidR="00003A60" w:rsidRPr="00796010">
            <w:rPr>
              <w:rFonts w:ascii="Arial Narrow" w:hAnsi="Arial Narrow"/>
              <w:color w:val="003C69"/>
              <w:sz w:val="16"/>
              <w:szCs w:val="16"/>
            </w:rPr>
            <w:t xml:space="preserve"> Street</w:t>
          </w:r>
        </w:p>
      </w:tc>
      <w:tc>
        <w:tcPr>
          <w:tcW w:w="3425" w:type="dxa"/>
        </w:tcPr>
        <w:p w14:paraId="18A2C245" w14:textId="77777777" w:rsidR="00003A60" w:rsidRPr="00796010" w:rsidRDefault="000F158B" w:rsidP="00003A60">
          <w:pPr>
            <w:pStyle w:val="Footer"/>
            <w:rPr>
              <w:rFonts w:ascii="Arial Narrow" w:hAnsi="Arial Narrow"/>
              <w:color w:val="003C69"/>
              <w:sz w:val="16"/>
              <w:szCs w:val="16"/>
            </w:rPr>
          </w:pPr>
          <w:hyperlink r:id="rId2" w:history="1">
            <w:r w:rsidR="00003A60" w:rsidRPr="00796010">
              <w:rPr>
                <w:rFonts w:ascii="Arial Narrow" w:hAnsi="Arial Narrow"/>
                <w:color w:val="003C69"/>
                <w:sz w:val="16"/>
                <w:szCs w:val="16"/>
              </w:rPr>
              <w:t>admin@tourismalliance.org</w:t>
            </w:r>
          </w:hyperlink>
        </w:p>
      </w:tc>
    </w:tr>
    <w:tr w:rsidR="00003A60" w:rsidRPr="00796010" w14:paraId="18A2C249" w14:textId="77777777" w:rsidTr="00132802">
      <w:trPr>
        <w:jc w:val="center"/>
      </w:trPr>
      <w:tc>
        <w:tcPr>
          <w:tcW w:w="2622" w:type="dxa"/>
        </w:tcPr>
        <w:p w14:paraId="18A2C247" w14:textId="77777777" w:rsidR="00003A60" w:rsidRPr="00796010" w:rsidRDefault="00003A60" w:rsidP="00003A60">
          <w:pPr>
            <w:pStyle w:val="Footer"/>
            <w:rPr>
              <w:rFonts w:ascii="Arial Narrow" w:hAnsi="Arial Narrow"/>
              <w:color w:val="003C69"/>
              <w:sz w:val="16"/>
              <w:szCs w:val="16"/>
            </w:rPr>
          </w:pPr>
          <w:r w:rsidRPr="00796010">
            <w:rPr>
              <w:rFonts w:ascii="Arial Narrow" w:hAnsi="Arial Narrow"/>
              <w:color w:val="003C69"/>
              <w:sz w:val="16"/>
              <w:szCs w:val="16"/>
            </w:rPr>
            <w:t>Sydney  NSW  2000</w:t>
          </w:r>
        </w:p>
      </w:tc>
      <w:tc>
        <w:tcPr>
          <w:tcW w:w="3425" w:type="dxa"/>
        </w:tcPr>
        <w:p w14:paraId="18A2C248" w14:textId="77777777" w:rsidR="00003A60" w:rsidRPr="00796010" w:rsidRDefault="00003A60" w:rsidP="00003A60">
          <w:pPr>
            <w:pStyle w:val="Footer"/>
            <w:rPr>
              <w:rFonts w:ascii="Arial Narrow" w:hAnsi="Arial Narrow"/>
              <w:color w:val="003C69"/>
              <w:sz w:val="16"/>
              <w:szCs w:val="16"/>
            </w:rPr>
          </w:pPr>
          <w:r w:rsidRPr="00796010">
            <w:rPr>
              <w:rFonts w:ascii="Arial Narrow" w:hAnsi="Arial Narrow"/>
              <w:color w:val="003C69"/>
              <w:sz w:val="16"/>
              <w:szCs w:val="16"/>
            </w:rPr>
            <w:t>www.australiantourismawards.com.au</w:t>
          </w:r>
        </w:p>
      </w:tc>
    </w:tr>
  </w:tbl>
  <w:p w14:paraId="18A2C24A" w14:textId="77777777" w:rsidR="00003A60" w:rsidRDefault="00003A60" w:rsidP="00003A60">
    <w:pPr>
      <w:pStyle w:val="Footer"/>
    </w:pPr>
    <w:r>
      <w:rPr>
        <w:noProof/>
        <w:lang w:val="en-AU" w:eastAsia="en-AU"/>
      </w:rPr>
      <w:drawing>
        <wp:inline distT="0" distB="0" distL="0" distR="0" wp14:anchorId="18A2C24E" wp14:editId="18A2C24F">
          <wp:extent cx="5731510" cy="1808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A_device (long).gif"/>
                  <pic:cNvPicPr/>
                </pic:nvPicPr>
                <pic:blipFill>
                  <a:blip r:embed="rId3">
                    <a:extLst>
                      <a:ext uri="{28A0092B-C50C-407E-A947-70E740481C1C}">
                        <a14:useLocalDpi xmlns:a14="http://schemas.microsoft.com/office/drawing/2010/main" val="0"/>
                      </a:ext>
                    </a:extLst>
                  </a:blip>
                  <a:stretch>
                    <a:fillRect/>
                  </a:stretch>
                </pic:blipFill>
                <pic:spPr>
                  <a:xfrm>
                    <a:off x="0" y="0"/>
                    <a:ext cx="5731510" cy="180849"/>
                  </a:xfrm>
                  <a:prstGeom prst="rect">
                    <a:avLst/>
                  </a:prstGeom>
                </pic:spPr>
              </pic:pic>
            </a:graphicData>
          </a:graphic>
        </wp:inline>
      </w:drawing>
    </w:r>
  </w:p>
  <w:p w14:paraId="18A2C24B" w14:textId="77777777" w:rsidR="00A400EE" w:rsidRPr="00A400EE" w:rsidRDefault="00A400EE" w:rsidP="00A40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2C237" w14:textId="77777777" w:rsidR="006D7656" w:rsidRDefault="006D7656" w:rsidP="00AC58D9">
      <w:r>
        <w:separator/>
      </w:r>
    </w:p>
  </w:footnote>
  <w:footnote w:type="continuationSeparator" w:id="0">
    <w:p w14:paraId="18A2C238" w14:textId="77777777" w:rsidR="006D7656" w:rsidRDefault="006D7656" w:rsidP="00AC58D9">
      <w:r>
        <w:continuationSeparator/>
      </w:r>
    </w:p>
  </w:footnote>
  <w:footnote w:id="1">
    <w:p w14:paraId="39A42386" w14:textId="77777777" w:rsidR="00932C82" w:rsidRPr="00442ED6" w:rsidRDefault="00932C82" w:rsidP="00932C82">
      <w:pPr>
        <w:pStyle w:val="FootnoteText"/>
        <w:rPr>
          <w:rFonts w:ascii="Arial" w:hAnsi="Arial" w:cs="Arial"/>
          <w:sz w:val="16"/>
          <w:szCs w:val="16"/>
        </w:rPr>
      </w:pPr>
      <w:r w:rsidRPr="00442ED6">
        <w:rPr>
          <w:rStyle w:val="FootnoteReference"/>
          <w:rFonts w:ascii="Arial" w:hAnsi="Arial" w:cs="Arial"/>
          <w:sz w:val="16"/>
          <w:szCs w:val="16"/>
        </w:rPr>
        <w:footnoteRef/>
      </w:r>
      <w:r w:rsidRPr="00442ED6">
        <w:rPr>
          <w:rFonts w:ascii="Arial" w:hAnsi="Arial" w:cs="Arial"/>
          <w:sz w:val="16"/>
          <w:szCs w:val="16"/>
        </w:rPr>
        <w:t xml:space="preserve"> Tourism Research Australia</w:t>
      </w:r>
    </w:p>
  </w:footnote>
  <w:footnote w:id="2">
    <w:p w14:paraId="68F3A1B2" w14:textId="77777777" w:rsidR="00932C82" w:rsidRPr="00442ED6" w:rsidRDefault="00932C82" w:rsidP="00932C82">
      <w:pPr>
        <w:pStyle w:val="FootnoteText"/>
        <w:rPr>
          <w:rFonts w:ascii="Arial" w:hAnsi="Arial" w:cs="Arial"/>
          <w:sz w:val="16"/>
          <w:szCs w:val="16"/>
        </w:rPr>
      </w:pPr>
      <w:r w:rsidRPr="00442ED6">
        <w:rPr>
          <w:rStyle w:val="FootnoteReference"/>
          <w:rFonts w:ascii="Arial" w:hAnsi="Arial" w:cs="Arial"/>
          <w:sz w:val="16"/>
          <w:szCs w:val="16"/>
        </w:rPr>
        <w:footnoteRef/>
      </w:r>
      <w:r w:rsidRPr="00442ED6">
        <w:rPr>
          <w:rFonts w:ascii="Arial" w:hAnsi="Arial" w:cs="Arial"/>
          <w:sz w:val="16"/>
          <w:szCs w:val="16"/>
        </w:rPr>
        <w:t xml:space="preserve"> Scoping study of small business tax compliance costs, Board of Taxation, 2007</w:t>
      </w:r>
    </w:p>
  </w:footnote>
  <w:footnote w:id="3">
    <w:p w14:paraId="658F1795" w14:textId="77777777" w:rsidR="00932C82" w:rsidRPr="00760C80" w:rsidRDefault="00932C82" w:rsidP="00932C82">
      <w:pPr>
        <w:pStyle w:val="FootnoteText"/>
        <w:rPr>
          <w:rFonts w:ascii="Arial" w:hAnsi="Arial" w:cs="Arial"/>
          <w:sz w:val="16"/>
          <w:szCs w:val="16"/>
        </w:rPr>
      </w:pPr>
      <w:r w:rsidRPr="00760C80">
        <w:rPr>
          <w:rStyle w:val="FootnoteReference"/>
          <w:rFonts w:ascii="Arial" w:hAnsi="Arial" w:cs="Arial"/>
          <w:sz w:val="16"/>
          <w:szCs w:val="16"/>
        </w:rPr>
        <w:footnoteRef/>
      </w:r>
      <w:r w:rsidRPr="00760C80">
        <w:rPr>
          <w:rFonts w:ascii="Arial" w:hAnsi="Arial" w:cs="Arial"/>
          <w:sz w:val="16"/>
          <w:szCs w:val="16"/>
        </w:rPr>
        <w:t xml:space="preserve"> ACCI Red Tape Survey 2012</w:t>
      </w:r>
    </w:p>
  </w:footnote>
  <w:footnote w:id="4">
    <w:p w14:paraId="3D889AE0" w14:textId="77777777" w:rsidR="00932C82" w:rsidRPr="00760C80" w:rsidRDefault="00932C82" w:rsidP="00932C82">
      <w:pPr>
        <w:pStyle w:val="FootnoteText"/>
        <w:rPr>
          <w:rFonts w:ascii="Arial" w:hAnsi="Arial" w:cs="Arial"/>
          <w:sz w:val="16"/>
          <w:szCs w:val="16"/>
        </w:rPr>
      </w:pPr>
      <w:r w:rsidRPr="00760C80">
        <w:rPr>
          <w:rStyle w:val="FootnoteReference"/>
          <w:rFonts w:ascii="Arial" w:hAnsi="Arial" w:cs="Arial"/>
          <w:sz w:val="16"/>
          <w:szCs w:val="16"/>
        </w:rPr>
        <w:footnoteRef/>
      </w:r>
      <w:r w:rsidRPr="00760C80">
        <w:rPr>
          <w:rFonts w:ascii="Arial" w:hAnsi="Arial" w:cs="Arial"/>
          <w:sz w:val="16"/>
          <w:szCs w:val="16"/>
        </w:rPr>
        <w:t xml:space="preserve"> Tourism Research Australia</w:t>
      </w:r>
    </w:p>
  </w:footnote>
  <w:footnote w:id="5">
    <w:p w14:paraId="3CAA64DB" w14:textId="77777777" w:rsidR="00932C82" w:rsidRPr="00786D49" w:rsidRDefault="00932C82" w:rsidP="00932C82">
      <w:pPr>
        <w:pStyle w:val="FootnoteText"/>
        <w:rPr>
          <w:lang w:val="en-AU"/>
        </w:rPr>
      </w:pPr>
      <w:r w:rsidRPr="008E025A">
        <w:rPr>
          <w:rStyle w:val="FootnoteReference"/>
          <w:rFonts w:asciiTheme="minorHAnsi" w:hAnsiTheme="minorHAnsi"/>
          <w:sz w:val="16"/>
          <w:szCs w:val="16"/>
        </w:rPr>
        <w:footnoteRef/>
      </w:r>
      <w:r w:rsidRPr="008E025A">
        <w:rPr>
          <w:rFonts w:asciiTheme="minorHAnsi" w:hAnsiTheme="minorHAnsi"/>
          <w:sz w:val="16"/>
          <w:szCs w:val="16"/>
        </w:rPr>
        <w:t xml:space="preserve"> </w:t>
      </w:r>
      <w:proofErr w:type="gramStart"/>
      <w:r w:rsidRPr="008E025A">
        <w:rPr>
          <w:rFonts w:asciiTheme="minorHAnsi" w:hAnsiTheme="minorHAnsi"/>
          <w:sz w:val="16"/>
          <w:szCs w:val="16"/>
          <w:lang w:val="en-AU"/>
        </w:rPr>
        <w:t>Deloitte Access Economics,</w:t>
      </w:r>
      <w:r w:rsidRPr="008E025A">
        <w:rPr>
          <w:rFonts w:asciiTheme="minorHAnsi" w:hAnsiTheme="minorHAnsi"/>
          <w:i/>
          <w:sz w:val="16"/>
          <w:szCs w:val="16"/>
          <w:lang w:val="en-AU"/>
        </w:rPr>
        <w:t xml:space="preserve"> Positioning for Prosperity?</w:t>
      </w:r>
      <w:proofErr w:type="gramEnd"/>
      <w:r w:rsidRPr="008E025A">
        <w:rPr>
          <w:rFonts w:asciiTheme="minorHAnsi" w:hAnsiTheme="minorHAnsi"/>
          <w:i/>
          <w:sz w:val="16"/>
          <w:szCs w:val="16"/>
          <w:lang w:val="en-AU"/>
        </w:rPr>
        <w:t xml:space="preserve"> Catching the next wave, </w:t>
      </w:r>
      <w:r w:rsidRPr="008E025A">
        <w:rPr>
          <w:rFonts w:asciiTheme="minorHAnsi" w:hAnsiTheme="minorHAnsi"/>
          <w:sz w:val="16"/>
          <w:szCs w:val="16"/>
          <w:lang w:val="en-AU"/>
        </w:rPr>
        <w:t>November</w:t>
      </w:r>
      <w:r>
        <w:rPr>
          <w:rFonts w:asciiTheme="minorHAnsi" w:hAnsiTheme="minorHAnsi"/>
          <w:sz w:val="16"/>
          <w:szCs w:val="16"/>
          <w:lang w:val="en-AU"/>
        </w:rPr>
        <w:t xml:space="preserve"> </w:t>
      </w:r>
      <w:r w:rsidRPr="008E025A">
        <w:rPr>
          <w:rFonts w:asciiTheme="minorHAnsi" w:hAnsiTheme="minorHAnsi"/>
          <w:sz w:val="16"/>
          <w:szCs w:val="16"/>
          <w:lang w:val="en-AU"/>
        </w:rPr>
        <w:t>2013</w:t>
      </w:r>
    </w:p>
  </w:footnote>
  <w:footnote w:id="6">
    <w:p w14:paraId="6FEC0B75" w14:textId="77777777" w:rsidR="00932C82" w:rsidRPr="005E6D98" w:rsidRDefault="00932C82" w:rsidP="00932C82">
      <w:pPr>
        <w:pStyle w:val="FootnoteText"/>
        <w:rPr>
          <w:rFonts w:ascii="Arial" w:hAnsi="Arial" w:cs="Arial"/>
          <w:sz w:val="16"/>
          <w:szCs w:val="16"/>
          <w:lang w:val="en-AU"/>
        </w:rPr>
      </w:pPr>
      <w:r w:rsidRPr="005E6D98">
        <w:rPr>
          <w:rStyle w:val="FootnoteReference"/>
          <w:rFonts w:ascii="Arial" w:hAnsi="Arial" w:cs="Arial"/>
          <w:sz w:val="16"/>
          <w:szCs w:val="16"/>
        </w:rPr>
        <w:footnoteRef/>
      </w:r>
      <w:r w:rsidRPr="005E6D98">
        <w:rPr>
          <w:rFonts w:ascii="Arial" w:hAnsi="Arial" w:cs="Arial"/>
          <w:sz w:val="16"/>
          <w:szCs w:val="16"/>
        </w:rPr>
        <w:t xml:space="preserve"> </w:t>
      </w:r>
      <w:r w:rsidRPr="005E6D98">
        <w:rPr>
          <w:rFonts w:ascii="Arial" w:hAnsi="Arial" w:cs="Arial"/>
          <w:sz w:val="16"/>
          <w:szCs w:val="16"/>
          <w:lang w:val="en-AU"/>
        </w:rPr>
        <w:t xml:space="preserve">Deloitte Access Economics (2011) </w:t>
      </w:r>
      <w:r w:rsidRPr="005E6D98">
        <w:rPr>
          <w:rFonts w:ascii="Arial" w:hAnsi="Arial" w:cs="Arial"/>
          <w:i/>
          <w:sz w:val="16"/>
          <w:szCs w:val="16"/>
          <w:lang w:val="en-AU"/>
        </w:rPr>
        <w:t>Australian Tourism Labour Force Report – Labour Force Profile (Part 1),</w:t>
      </w:r>
      <w:r w:rsidRPr="005E6D98">
        <w:rPr>
          <w:rFonts w:ascii="Arial" w:hAnsi="Arial" w:cs="Arial"/>
          <w:sz w:val="16"/>
          <w:szCs w:val="16"/>
          <w:lang w:val="en-AU"/>
        </w:rPr>
        <w:t xml:space="preserve"> p. iv, vii and xi</w:t>
      </w:r>
    </w:p>
  </w:footnote>
  <w:footnote w:id="7">
    <w:p w14:paraId="4D8088E8" w14:textId="77777777" w:rsidR="00932C82" w:rsidRDefault="00932C82" w:rsidP="00932C82">
      <w:pPr>
        <w:pStyle w:val="FootnoteText"/>
      </w:pPr>
      <w:r w:rsidRPr="005E6D98">
        <w:rPr>
          <w:rStyle w:val="FootnoteReference"/>
          <w:rFonts w:ascii="Arial" w:hAnsi="Arial" w:cs="Arial"/>
          <w:sz w:val="16"/>
          <w:szCs w:val="16"/>
        </w:rPr>
        <w:footnoteRef/>
      </w:r>
      <w:r w:rsidRPr="005E6D98">
        <w:rPr>
          <w:rFonts w:ascii="Arial" w:hAnsi="Arial" w:cs="Arial"/>
          <w:sz w:val="16"/>
          <w:szCs w:val="16"/>
        </w:rPr>
        <w:t xml:space="preserve"> Service Skills Australia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2FA3C" w14:textId="1D253403" w:rsidR="00932C82" w:rsidRDefault="00932C82">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2C23B" w14:textId="77777777" w:rsidR="00A400EE" w:rsidRDefault="00003A60" w:rsidP="00AC58D9">
    <w:pPr>
      <w:pStyle w:val="Header"/>
      <w:jc w:val="center"/>
    </w:pPr>
    <w:r>
      <w:rPr>
        <w:noProof/>
        <w:lang w:val="en-AU" w:eastAsia="en-AU"/>
      </w:rPr>
      <w:drawing>
        <wp:inline distT="0" distB="0" distL="0" distR="0" wp14:anchorId="18A2C24C" wp14:editId="18A2C24D">
          <wp:extent cx="2357359" cy="885825"/>
          <wp:effectExtent l="0" t="0" r="0" b="0"/>
          <wp:docPr id="6" name="Picture 6" descr="C:\Users\julianapayne\SkyDrive\MARKETING\Logos &amp; Images\NTA LOGO\NTA high res 2012\NTA-Logo-Stacked-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napayne\SkyDrive\MARKETING\Logos &amp; Images\NTA LOGO\NTA high res 2012\NTA-Logo-Stacked-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114" cy="886484"/>
                  </a:xfrm>
                  <a:prstGeom prst="rect">
                    <a:avLst/>
                  </a:prstGeom>
                  <a:noFill/>
                  <a:ln>
                    <a:noFill/>
                  </a:ln>
                </pic:spPr>
              </pic:pic>
            </a:graphicData>
          </a:graphic>
        </wp:inline>
      </w:drawing>
    </w:r>
  </w:p>
  <w:p w14:paraId="18A2C23C" w14:textId="77777777" w:rsidR="00A400EE" w:rsidRDefault="00A400EE" w:rsidP="00AC58D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ED05F9"/>
    <w:multiLevelType w:val="hybridMultilevel"/>
    <w:tmpl w:val="B8529E7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nsid w:val="102F103B"/>
    <w:multiLevelType w:val="hybridMultilevel"/>
    <w:tmpl w:val="C21AD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55A1E"/>
    <w:multiLevelType w:val="hybridMultilevel"/>
    <w:tmpl w:val="EE1421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6C2330"/>
    <w:multiLevelType w:val="hybridMultilevel"/>
    <w:tmpl w:val="5A2E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8451C"/>
    <w:multiLevelType w:val="hybridMultilevel"/>
    <w:tmpl w:val="32123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C32F0"/>
    <w:multiLevelType w:val="hybridMultilevel"/>
    <w:tmpl w:val="73749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97BD5"/>
    <w:multiLevelType w:val="hybridMultilevel"/>
    <w:tmpl w:val="EAF6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A74B01"/>
    <w:multiLevelType w:val="hybridMultilevel"/>
    <w:tmpl w:val="C21AD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C5240"/>
    <w:multiLevelType w:val="hybridMultilevel"/>
    <w:tmpl w:val="3A1A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40114"/>
    <w:multiLevelType w:val="hybridMultilevel"/>
    <w:tmpl w:val="9080F536"/>
    <w:lvl w:ilvl="0" w:tplc="705E55C0">
      <w:start w:val="1"/>
      <w:numFmt w:val="bullet"/>
      <w:lvlText w:val=""/>
      <w:lvlJc w:val="left"/>
      <w:pPr>
        <w:ind w:left="720" w:hanging="360"/>
      </w:pPr>
      <w:rPr>
        <w:rFonts w:ascii="Wingdings" w:hAnsi="Wingdings" w:hint="default"/>
        <w:color w:val="984806" w:themeColor="accent6" w:themeShade="8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1263E8C"/>
    <w:multiLevelType w:val="hybridMultilevel"/>
    <w:tmpl w:val="73CE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453C6A"/>
    <w:multiLevelType w:val="hybridMultilevel"/>
    <w:tmpl w:val="8F0652B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7E706BD4"/>
    <w:multiLevelType w:val="hybridMultilevel"/>
    <w:tmpl w:val="3042C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10"/>
  </w:num>
  <w:num w:numId="5">
    <w:abstractNumId w:val="2"/>
  </w:num>
  <w:num w:numId="6">
    <w:abstractNumId w:val="8"/>
  </w:num>
  <w:num w:numId="7">
    <w:abstractNumId w:val="6"/>
  </w:num>
  <w:num w:numId="8">
    <w:abstractNumId w:val="4"/>
  </w:num>
  <w:num w:numId="9">
    <w:abstractNumId w:val="9"/>
  </w:num>
  <w:num w:numId="10">
    <w:abstractNumId w:val="0"/>
  </w:num>
  <w:num w:numId="11">
    <w:abstractNumId w:val="13"/>
  </w:num>
  <w:num w:numId="12">
    <w:abstractNumId w:val="7"/>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D9"/>
    <w:rsid w:val="00003339"/>
    <w:rsid w:val="00003A60"/>
    <w:rsid w:val="0003486D"/>
    <w:rsid w:val="000C561F"/>
    <w:rsid w:val="000E5D69"/>
    <w:rsid w:val="000F158B"/>
    <w:rsid w:val="001243EE"/>
    <w:rsid w:val="001278D1"/>
    <w:rsid w:val="0015417E"/>
    <w:rsid w:val="001901C2"/>
    <w:rsid w:val="001A0C33"/>
    <w:rsid w:val="001B105C"/>
    <w:rsid w:val="001E4120"/>
    <w:rsid w:val="001F633A"/>
    <w:rsid w:val="002020C6"/>
    <w:rsid w:val="00264629"/>
    <w:rsid w:val="00292E7C"/>
    <w:rsid w:val="00296772"/>
    <w:rsid w:val="002A4E4E"/>
    <w:rsid w:val="002B10D9"/>
    <w:rsid w:val="002B300D"/>
    <w:rsid w:val="002C2E83"/>
    <w:rsid w:val="002D4F41"/>
    <w:rsid w:val="002E15A4"/>
    <w:rsid w:val="002F5F64"/>
    <w:rsid w:val="00306F76"/>
    <w:rsid w:val="003107F3"/>
    <w:rsid w:val="003527F0"/>
    <w:rsid w:val="00394A93"/>
    <w:rsid w:val="003B0407"/>
    <w:rsid w:val="003F7C05"/>
    <w:rsid w:val="00401BB7"/>
    <w:rsid w:val="004060A9"/>
    <w:rsid w:val="0041324F"/>
    <w:rsid w:val="0045084B"/>
    <w:rsid w:val="00460DC8"/>
    <w:rsid w:val="00492BC2"/>
    <w:rsid w:val="004B3844"/>
    <w:rsid w:val="004B3E4F"/>
    <w:rsid w:val="004C762A"/>
    <w:rsid w:val="004E4FDC"/>
    <w:rsid w:val="004F343A"/>
    <w:rsid w:val="00520B0F"/>
    <w:rsid w:val="00525D89"/>
    <w:rsid w:val="00551ED8"/>
    <w:rsid w:val="005717D3"/>
    <w:rsid w:val="005C1FB2"/>
    <w:rsid w:val="00610C58"/>
    <w:rsid w:val="006129C3"/>
    <w:rsid w:val="00631EED"/>
    <w:rsid w:val="00654754"/>
    <w:rsid w:val="006939E9"/>
    <w:rsid w:val="006A1E9F"/>
    <w:rsid w:val="006B743B"/>
    <w:rsid w:val="006D0C39"/>
    <w:rsid w:val="006D7656"/>
    <w:rsid w:val="006E41F3"/>
    <w:rsid w:val="006F15C4"/>
    <w:rsid w:val="00705309"/>
    <w:rsid w:val="00717331"/>
    <w:rsid w:val="0072693F"/>
    <w:rsid w:val="00744832"/>
    <w:rsid w:val="00796010"/>
    <w:rsid w:val="007B70B9"/>
    <w:rsid w:val="007D7493"/>
    <w:rsid w:val="007E67A3"/>
    <w:rsid w:val="008327A6"/>
    <w:rsid w:val="00860FFA"/>
    <w:rsid w:val="008740CE"/>
    <w:rsid w:val="008934D9"/>
    <w:rsid w:val="00897069"/>
    <w:rsid w:val="008F7042"/>
    <w:rsid w:val="00932C82"/>
    <w:rsid w:val="00971065"/>
    <w:rsid w:val="009A5140"/>
    <w:rsid w:val="009C3B31"/>
    <w:rsid w:val="00A01A7F"/>
    <w:rsid w:val="00A04501"/>
    <w:rsid w:val="00A139E2"/>
    <w:rsid w:val="00A23A35"/>
    <w:rsid w:val="00A400EE"/>
    <w:rsid w:val="00A42003"/>
    <w:rsid w:val="00A570B0"/>
    <w:rsid w:val="00AA2267"/>
    <w:rsid w:val="00AC58D9"/>
    <w:rsid w:val="00B15677"/>
    <w:rsid w:val="00B31171"/>
    <w:rsid w:val="00B320F3"/>
    <w:rsid w:val="00B35B89"/>
    <w:rsid w:val="00BB274B"/>
    <w:rsid w:val="00BE360D"/>
    <w:rsid w:val="00C765C3"/>
    <w:rsid w:val="00CB5A62"/>
    <w:rsid w:val="00CC7A59"/>
    <w:rsid w:val="00CE742A"/>
    <w:rsid w:val="00D301A6"/>
    <w:rsid w:val="00DB0A30"/>
    <w:rsid w:val="00DD7686"/>
    <w:rsid w:val="00E45BF7"/>
    <w:rsid w:val="00E90DE8"/>
    <w:rsid w:val="00EA38DE"/>
    <w:rsid w:val="00EF1D54"/>
    <w:rsid w:val="00EF4A09"/>
    <w:rsid w:val="00F51DE7"/>
    <w:rsid w:val="00F74346"/>
    <w:rsid w:val="00F77534"/>
    <w:rsid w:val="00F83747"/>
    <w:rsid w:val="00FA1EE5"/>
    <w:rsid w:val="00FE30D7"/>
    <w:rsid w:val="00FF1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72"/>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8D9"/>
    <w:pPr>
      <w:tabs>
        <w:tab w:val="center" w:pos="4513"/>
        <w:tab w:val="right" w:pos="9026"/>
      </w:tabs>
    </w:pPr>
  </w:style>
  <w:style w:type="character" w:customStyle="1" w:styleId="HeaderChar">
    <w:name w:val="Header Char"/>
    <w:basedOn w:val="DefaultParagraphFont"/>
    <w:link w:val="Header"/>
    <w:uiPriority w:val="99"/>
    <w:rsid w:val="00AC58D9"/>
  </w:style>
  <w:style w:type="paragraph" w:styleId="Footer">
    <w:name w:val="footer"/>
    <w:basedOn w:val="Normal"/>
    <w:link w:val="FooterChar"/>
    <w:uiPriority w:val="99"/>
    <w:unhideWhenUsed/>
    <w:rsid w:val="00AC58D9"/>
    <w:pPr>
      <w:tabs>
        <w:tab w:val="center" w:pos="4513"/>
        <w:tab w:val="right" w:pos="9026"/>
      </w:tabs>
    </w:pPr>
  </w:style>
  <w:style w:type="character" w:customStyle="1" w:styleId="FooterChar">
    <w:name w:val="Footer Char"/>
    <w:basedOn w:val="DefaultParagraphFont"/>
    <w:link w:val="Footer"/>
    <w:uiPriority w:val="99"/>
    <w:rsid w:val="00AC58D9"/>
  </w:style>
  <w:style w:type="paragraph" w:styleId="BalloonText">
    <w:name w:val="Balloon Text"/>
    <w:basedOn w:val="Normal"/>
    <w:link w:val="BalloonTextChar"/>
    <w:uiPriority w:val="99"/>
    <w:semiHidden/>
    <w:unhideWhenUsed/>
    <w:rsid w:val="00AC58D9"/>
    <w:rPr>
      <w:rFonts w:ascii="Tahoma" w:hAnsi="Tahoma" w:cs="Tahoma"/>
      <w:sz w:val="16"/>
      <w:szCs w:val="16"/>
    </w:rPr>
  </w:style>
  <w:style w:type="character" w:customStyle="1" w:styleId="BalloonTextChar">
    <w:name w:val="Balloon Text Char"/>
    <w:basedOn w:val="DefaultParagraphFont"/>
    <w:link w:val="BalloonText"/>
    <w:uiPriority w:val="99"/>
    <w:semiHidden/>
    <w:rsid w:val="00AC58D9"/>
    <w:rPr>
      <w:rFonts w:ascii="Tahoma" w:hAnsi="Tahoma" w:cs="Tahoma"/>
      <w:sz w:val="16"/>
      <w:szCs w:val="16"/>
    </w:rPr>
  </w:style>
  <w:style w:type="table" w:styleId="TableGrid">
    <w:name w:val="Table Grid"/>
    <w:basedOn w:val="TableNormal"/>
    <w:uiPriority w:val="59"/>
    <w:rsid w:val="00AC5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60A9"/>
    <w:pPr>
      <w:ind w:left="720"/>
      <w:contextualSpacing/>
    </w:pPr>
  </w:style>
  <w:style w:type="character" w:styleId="Hyperlink">
    <w:name w:val="Hyperlink"/>
    <w:basedOn w:val="DefaultParagraphFont"/>
    <w:uiPriority w:val="99"/>
    <w:unhideWhenUsed/>
    <w:rsid w:val="004060A9"/>
    <w:rPr>
      <w:color w:val="0000FF" w:themeColor="hyperlink"/>
      <w:u w:val="single"/>
    </w:rPr>
  </w:style>
  <w:style w:type="paragraph" w:styleId="BodyText2">
    <w:name w:val="Body Text 2"/>
    <w:basedOn w:val="Normal"/>
    <w:link w:val="BodyText2Char"/>
    <w:semiHidden/>
    <w:rsid w:val="00D301A6"/>
    <w:pPr>
      <w:shd w:val="clear" w:color="auto" w:fill="FFFFFF"/>
      <w:spacing w:before="100" w:beforeAutospacing="1" w:after="100" w:afterAutospacing="1"/>
      <w:jc w:val="both"/>
    </w:pPr>
    <w:rPr>
      <w:rFonts w:ascii="Verdana" w:hAnsi="Verdana"/>
      <w:szCs w:val="19"/>
    </w:rPr>
  </w:style>
  <w:style w:type="character" w:customStyle="1" w:styleId="BodyText2Char">
    <w:name w:val="Body Text 2 Char"/>
    <w:basedOn w:val="DefaultParagraphFont"/>
    <w:link w:val="BodyText2"/>
    <w:semiHidden/>
    <w:rsid w:val="00D301A6"/>
    <w:rPr>
      <w:rFonts w:ascii="Verdana" w:eastAsia="Times New Roman" w:hAnsi="Verdana" w:cs="Times New Roman"/>
      <w:szCs w:val="19"/>
      <w:shd w:val="clear" w:color="auto" w:fill="FFFFFF"/>
    </w:rPr>
  </w:style>
  <w:style w:type="paragraph" w:styleId="FootnoteText">
    <w:name w:val="footnote text"/>
    <w:basedOn w:val="Normal"/>
    <w:link w:val="FootnoteTextChar"/>
    <w:uiPriority w:val="99"/>
    <w:unhideWhenUsed/>
    <w:rsid w:val="00A400EE"/>
    <w:rPr>
      <w:sz w:val="20"/>
      <w:szCs w:val="20"/>
    </w:rPr>
  </w:style>
  <w:style w:type="character" w:customStyle="1" w:styleId="FootnoteTextChar">
    <w:name w:val="Footnote Text Char"/>
    <w:basedOn w:val="DefaultParagraphFont"/>
    <w:link w:val="FootnoteText"/>
    <w:uiPriority w:val="99"/>
    <w:rsid w:val="00A400E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A400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72"/>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8D9"/>
    <w:pPr>
      <w:tabs>
        <w:tab w:val="center" w:pos="4513"/>
        <w:tab w:val="right" w:pos="9026"/>
      </w:tabs>
    </w:pPr>
  </w:style>
  <w:style w:type="character" w:customStyle="1" w:styleId="HeaderChar">
    <w:name w:val="Header Char"/>
    <w:basedOn w:val="DefaultParagraphFont"/>
    <w:link w:val="Header"/>
    <w:uiPriority w:val="99"/>
    <w:rsid w:val="00AC58D9"/>
  </w:style>
  <w:style w:type="paragraph" w:styleId="Footer">
    <w:name w:val="footer"/>
    <w:basedOn w:val="Normal"/>
    <w:link w:val="FooterChar"/>
    <w:uiPriority w:val="99"/>
    <w:unhideWhenUsed/>
    <w:rsid w:val="00AC58D9"/>
    <w:pPr>
      <w:tabs>
        <w:tab w:val="center" w:pos="4513"/>
        <w:tab w:val="right" w:pos="9026"/>
      </w:tabs>
    </w:pPr>
  </w:style>
  <w:style w:type="character" w:customStyle="1" w:styleId="FooterChar">
    <w:name w:val="Footer Char"/>
    <w:basedOn w:val="DefaultParagraphFont"/>
    <w:link w:val="Footer"/>
    <w:uiPriority w:val="99"/>
    <w:rsid w:val="00AC58D9"/>
  </w:style>
  <w:style w:type="paragraph" w:styleId="BalloonText">
    <w:name w:val="Balloon Text"/>
    <w:basedOn w:val="Normal"/>
    <w:link w:val="BalloonTextChar"/>
    <w:uiPriority w:val="99"/>
    <w:semiHidden/>
    <w:unhideWhenUsed/>
    <w:rsid w:val="00AC58D9"/>
    <w:rPr>
      <w:rFonts w:ascii="Tahoma" w:hAnsi="Tahoma" w:cs="Tahoma"/>
      <w:sz w:val="16"/>
      <w:szCs w:val="16"/>
    </w:rPr>
  </w:style>
  <w:style w:type="character" w:customStyle="1" w:styleId="BalloonTextChar">
    <w:name w:val="Balloon Text Char"/>
    <w:basedOn w:val="DefaultParagraphFont"/>
    <w:link w:val="BalloonText"/>
    <w:uiPriority w:val="99"/>
    <w:semiHidden/>
    <w:rsid w:val="00AC58D9"/>
    <w:rPr>
      <w:rFonts w:ascii="Tahoma" w:hAnsi="Tahoma" w:cs="Tahoma"/>
      <w:sz w:val="16"/>
      <w:szCs w:val="16"/>
    </w:rPr>
  </w:style>
  <w:style w:type="table" w:styleId="TableGrid">
    <w:name w:val="Table Grid"/>
    <w:basedOn w:val="TableNormal"/>
    <w:uiPriority w:val="59"/>
    <w:rsid w:val="00AC58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60A9"/>
    <w:pPr>
      <w:ind w:left="720"/>
      <w:contextualSpacing/>
    </w:pPr>
  </w:style>
  <w:style w:type="character" w:styleId="Hyperlink">
    <w:name w:val="Hyperlink"/>
    <w:basedOn w:val="DefaultParagraphFont"/>
    <w:uiPriority w:val="99"/>
    <w:unhideWhenUsed/>
    <w:rsid w:val="004060A9"/>
    <w:rPr>
      <w:color w:val="0000FF" w:themeColor="hyperlink"/>
      <w:u w:val="single"/>
    </w:rPr>
  </w:style>
  <w:style w:type="paragraph" w:styleId="BodyText2">
    <w:name w:val="Body Text 2"/>
    <w:basedOn w:val="Normal"/>
    <w:link w:val="BodyText2Char"/>
    <w:semiHidden/>
    <w:rsid w:val="00D301A6"/>
    <w:pPr>
      <w:shd w:val="clear" w:color="auto" w:fill="FFFFFF"/>
      <w:spacing w:before="100" w:beforeAutospacing="1" w:after="100" w:afterAutospacing="1"/>
      <w:jc w:val="both"/>
    </w:pPr>
    <w:rPr>
      <w:rFonts w:ascii="Verdana" w:hAnsi="Verdana"/>
      <w:szCs w:val="19"/>
    </w:rPr>
  </w:style>
  <w:style w:type="character" w:customStyle="1" w:styleId="BodyText2Char">
    <w:name w:val="Body Text 2 Char"/>
    <w:basedOn w:val="DefaultParagraphFont"/>
    <w:link w:val="BodyText2"/>
    <w:semiHidden/>
    <w:rsid w:val="00D301A6"/>
    <w:rPr>
      <w:rFonts w:ascii="Verdana" w:eastAsia="Times New Roman" w:hAnsi="Verdana" w:cs="Times New Roman"/>
      <w:szCs w:val="19"/>
      <w:shd w:val="clear" w:color="auto" w:fill="FFFFFF"/>
    </w:rPr>
  </w:style>
  <w:style w:type="paragraph" w:styleId="FootnoteText">
    <w:name w:val="footnote text"/>
    <w:basedOn w:val="Normal"/>
    <w:link w:val="FootnoteTextChar"/>
    <w:uiPriority w:val="99"/>
    <w:unhideWhenUsed/>
    <w:rsid w:val="00A400EE"/>
    <w:rPr>
      <w:sz w:val="20"/>
      <w:szCs w:val="20"/>
    </w:rPr>
  </w:style>
  <w:style w:type="character" w:customStyle="1" w:styleId="FootnoteTextChar">
    <w:name w:val="Footnote Text Char"/>
    <w:basedOn w:val="DefaultParagraphFont"/>
    <w:link w:val="FootnoteText"/>
    <w:uiPriority w:val="99"/>
    <w:rsid w:val="00A400E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A400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mailto:admin@tourismalliance.org" TargetMode="External"/><Relationship Id="rId1" Type="http://schemas.openxmlformats.org/officeDocument/2006/relationships/hyperlink" Target="http://www.tourismallianc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B8941-947A-47D9-A02C-AB16FBDB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29AD83-E5C9-4449-A06B-8302DD682C9D}">
  <ds:schemaRefs>
    <ds:schemaRef ds:uri="http://schemas.microsoft.com/sharepoint/events"/>
  </ds:schemaRefs>
</ds:datastoreItem>
</file>

<file path=customXml/itemProps3.xml><?xml version="1.0" encoding="utf-8"?>
<ds:datastoreItem xmlns:ds="http://schemas.openxmlformats.org/officeDocument/2006/customXml" ds:itemID="{E3CCCCB0-F1D3-4055-B8E7-0BE9CF15FB71}">
  <ds:schemaRefs>
    <ds:schemaRef ds:uri="http://schemas.microsoft.com/office/2006/metadata/customXsn"/>
  </ds:schemaRefs>
</ds:datastoreItem>
</file>

<file path=customXml/itemProps4.xml><?xml version="1.0" encoding="utf-8"?>
<ds:datastoreItem xmlns:ds="http://schemas.openxmlformats.org/officeDocument/2006/customXml" ds:itemID="{EB69A8E4-449F-4F64-9C58-36A0151CA46C}">
  <ds:schemaRefs>
    <ds:schemaRef ds:uri="http://schemas.microsoft.com/sharepoint/v3/contenttype/forms"/>
  </ds:schemaRefs>
</ds:datastoreItem>
</file>

<file path=customXml/itemProps5.xml><?xml version="1.0" encoding="utf-8"?>
<ds:datastoreItem xmlns:ds="http://schemas.openxmlformats.org/officeDocument/2006/customXml" ds:itemID="{8901615D-0FA1-4E41-82F6-F7B4B4287C15}">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39 - National Tourism Alliance - Workplace Relations Framework - Public inquiry</vt:lpstr>
    </vt:vector>
  </TitlesOfParts>
  <Company>National Tourism Alliance</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National Tourism Alliance - Workplace Relations Framework - Public inquiry</dc:title>
  <dc:creator>National Tourism Alliance</dc:creator>
  <cp:lastModifiedBy>Mark Pimperl</cp:lastModifiedBy>
  <cp:revision>6</cp:revision>
  <cp:lastPrinted>2014-07-22T01:52:00Z</cp:lastPrinted>
  <dcterms:created xsi:type="dcterms:W3CDTF">2015-03-10T06:22:00Z</dcterms:created>
  <dcterms:modified xsi:type="dcterms:W3CDTF">2015-03-10T06:37:00Z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