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1BC" w:rsidRPr="00407C84" w:rsidRDefault="00FE3380" w:rsidP="00590CCF">
      <w:pPr>
        <w:pStyle w:val="Heading1"/>
        <w:spacing w:before="0" w:beforeAutospacing="0" w:after="0" w:afterAutospacing="0"/>
        <w:jc w:val="center"/>
        <w:rPr>
          <w:smallCaps/>
          <w:sz w:val="28"/>
          <w:szCs w:val="28"/>
        </w:rPr>
      </w:pPr>
      <w:bookmarkStart w:id="0" w:name="OLE_LINK5"/>
      <w:bookmarkStart w:id="1" w:name="_GoBack"/>
      <w:bookmarkEnd w:id="1"/>
      <w:r w:rsidRPr="00407C84">
        <w:rPr>
          <w:smallCaps/>
          <w:sz w:val="28"/>
          <w:szCs w:val="28"/>
        </w:rPr>
        <w:t>SUBMISSION TO THE PRODUCTIVITY COMMISSION'S INQUIRY INTO THE WORKPLACE RELATIONS FRAMEWORK 2015</w:t>
      </w:r>
    </w:p>
    <w:bookmarkEnd w:id="0"/>
    <w:p w:rsidR="00C22506" w:rsidRPr="00945114" w:rsidRDefault="00C22506" w:rsidP="00590CCF">
      <w:pPr>
        <w:pStyle w:val="NormalWeb"/>
        <w:spacing w:before="0" w:after="0"/>
        <w:rPr>
          <w:sz w:val="22"/>
          <w:szCs w:val="22"/>
        </w:rPr>
      </w:pPr>
    </w:p>
    <w:p w:rsidR="00407C84" w:rsidRDefault="00407C84" w:rsidP="00590CCF">
      <w:pPr>
        <w:pStyle w:val="BodyText"/>
        <w:spacing w:before="0" w:line="240" w:lineRule="auto"/>
        <w:jc w:val="left"/>
        <w:rPr>
          <w:sz w:val="22"/>
          <w:szCs w:val="22"/>
          <w:u w:val="single"/>
        </w:rPr>
      </w:pPr>
    </w:p>
    <w:p w:rsidR="00F3188B" w:rsidRPr="00407C84" w:rsidRDefault="00F3188B" w:rsidP="00590CCF">
      <w:pPr>
        <w:pStyle w:val="BodyText"/>
        <w:spacing w:before="0" w:line="240" w:lineRule="auto"/>
        <w:jc w:val="left"/>
        <w:rPr>
          <w:b/>
          <w:sz w:val="22"/>
          <w:szCs w:val="22"/>
          <w:u w:val="single"/>
        </w:rPr>
      </w:pPr>
      <w:r w:rsidRPr="00407C84">
        <w:rPr>
          <w:b/>
          <w:sz w:val="22"/>
          <w:szCs w:val="22"/>
          <w:u w:val="single"/>
        </w:rPr>
        <w:t>Introduction</w:t>
      </w:r>
    </w:p>
    <w:p w:rsidR="00407C84" w:rsidRDefault="00407C84" w:rsidP="00590CCF">
      <w:pPr>
        <w:pStyle w:val="BodyText"/>
        <w:spacing w:before="0" w:line="240" w:lineRule="auto"/>
        <w:jc w:val="left"/>
        <w:rPr>
          <w:sz w:val="22"/>
          <w:szCs w:val="22"/>
        </w:rPr>
      </w:pPr>
    </w:p>
    <w:p w:rsidR="00A40086" w:rsidRDefault="00C22506" w:rsidP="00590CCF">
      <w:pPr>
        <w:pStyle w:val="BodyText"/>
        <w:spacing w:before="0" w:line="240" w:lineRule="auto"/>
        <w:jc w:val="left"/>
        <w:rPr>
          <w:sz w:val="22"/>
          <w:szCs w:val="22"/>
        </w:rPr>
      </w:pPr>
      <w:r w:rsidRPr="00945114">
        <w:rPr>
          <w:sz w:val="22"/>
          <w:szCs w:val="22"/>
        </w:rPr>
        <w:t xml:space="preserve">This submission addresses the </w:t>
      </w:r>
      <w:r w:rsidR="00A40086" w:rsidRPr="00945114">
        <w:rPr>
          <w:sz w:val="22"/>
          <w:szCs w:val="22"/>
        </w:rPr>
        <w:t xml:space="preserve">following issues identified in the </w:t>
      </w:r>
      <w:r w:rsidRPr="00945114">
        <w:rPr>
          <w:sz w:val="22"/>
          <w:szCs w:val="22"/>
        </w:rPr>
        <w:t>terms of reference</w:t>
      </w:r>
      <w:r w:rsidR="00A40086" w:rsidRPr="00945114">
        <w:rPr>
          <w:sz w:val="22"/>
          <w:szCs w:val="22"/>
        </w:rPr>
        <w:t xml:space="preserve"> </w:t>
      </w:r>
      <w:r w:rsidR="00F3188B" w:rsidRPr="00945114">
        <w:rPr>
          <w:sz w:val="22"/>
          <w:szCs w:val="22"/>
        </w:rPr>
        <w:t>of the Productivity Commission I</w:t>
      </w:r>
      <w:r w:rsidR="00A40086" w:rsidRPr="00945114">
        <w:rPr>
          <w:sz w:val="22"/>
          <w:szCs w:val="22"/>
        </w:rPr>
        <w:t>nquiry</w:t>
      </w:r>
      <w:r w:rsidR="00945114">
        <w:rPr>
          <w:sz w:val="22"/>
          <w:szCs w:val="22"/>
        </w:rPr>
        <w:t>. It states:</w:t>
      </w:r>
    </w:p>
    <w:p w:rsidR="00590CCF" w:rsidRPr="00945114" w:rsidRDefault="00590CCF" w:rsidP="00590CCF">
      <w:pPr>
        <w:pStyle w:val="BodyText"/>
        <w:spacing w:before="0" w:line="240" w:lineRule="auto"/>
        <w:jc w:val="left"/>
        <w:rPr>
          <w:sz w:val="22"/>
          <w:szCs w:val="22"/>
        </w:rPr>
      </w:pPr>
    </w:p>
    <w:p w:rsidR="00A40086" w:rsidRPr="00945114" w:rsidRDefault="00A40086" w:rsidP="00590CCF">
      <w:pPr>
        <w:pStyle w:val="BodyText"/>
        <w:spacing w:before="0" w:line="240" w:lineRule="auto"/>
        <w:ind w:left="720"/>
        <w:jc w:val="left"/>
        <w:rPr>
          <w:sz w:val="20"/>
          <w:lang w:eastAsia="en-US"/>
        </w:rPr>
      </w:pPr>
      <w:r w:rsidRPr="00945114">
        <w:rPr>
          <w:sz w:val="20"/>
          <w:lang w:eastAsia="en-US"/>
        </w:rPr>
        <w:t xml:space="preserve">A key consideration will be the capacity for the workplace relations framework to adapt over the longer term to issues arising due to structural adjustments and changes in </w:t>
      </w:r>
      <w:r w:rsidR="00590CCF">
        <w:rPr>
          <w:sz w:val="20"/>
          <w:lang w:eastAsia="en-US"/>
        </w:rPr>
        <w:t xml:space="preserve">the global economy. </w:t>
      </w:r>
    </w:p>
    <w:p w:rsidR="00A40086" w:rsidRPr="00945114" w:rsidRDefault="00A40086" w:rsidP="00590CCF">
      <w:pPr>
        <w:pStyle w:val="BodyText"/>
        <w:spacing w:before="0" w:line="240" w:lineRule="auto"/>
        <w:ind w:firstLine="680"/>
        <w:jc w:val="left"/>
        <w:rPr>
          <w:sz w:val="20"/>
          <w:lang w:eastAsia="en-US"/>
        </w:rPr>
      </w:pPr>
      <w:r w:rsidRPr="00945114">
        <w:rPr>
          <w:sz w:val="20"/>
          <w:lang w:eastAsia="en-US"/>
        </w:rPr>
        <w:t>In particular, the review will assess the impact of the workplace relations framework on matters including:</w:t>
      </w:r>
    </w:p>
    <w:p w:rsidR="00A40086" w:rsidRPr="00945114" w:rsidRDefault="00A40086" w:rsidP="00590CCF">
      <w:pPr>
        <w:pStyle w:val="ListBullet"/>
        <w:tabs>
          <w:tab w:val="clear" w:pos="340"/>
          <w:tab w:val="num" w:pos="1060"/>
        </w:tabs>
        <w:spacing w:before="0" w:line="240" w:lineRule="auto"/>
        <w:ind w:left="1060"/>
        <w:jc w:val="left"/>
        <w:rPr>
          <w:sz w:val="20"/>
          <w:lang w:eastAsia="en-US"/>
        </w:rPr>
      </w:pPr>
      <w:proofErr w:type="gramStart"/>
      <w:r w:rsidRPr="00945114">
        <w:rPr>
          <w:sz w:val="20"/>
          <w:lang w:eastAsia="en-US"/>
        </w:rPr>
        <w:t>unemployment</w:t>
      </w:r>
      <w:proofErr w:type="gramEnd"/>
      <w:r w:rsidRPr="00945114">
        <w:rPr>
          <w:sz w:val="20"/>
          <w:lang w:eastAsia="en-US"/>
        </w:rPr>
        <w:t xml:space="preserve">, underemployment </w:t>
      </w:r>
      <w:r w:rsidR="00590CCF">
        <w:rPr>
          <w:sz w:val="20"/>
          <w:lang w:eastAsia="en-US"/>
        </w:rPr>
        <w:t>and job creation…</w:t>
      </w:r>
    </w:p>
    <w:p w:rsidR="00A40086" w:rsidRPr="00945114" w:rsidRDefault="00A40086" w:rsidP="00590CCF">
      <w:pPr>
        <w:pStyle w:val="ListBullet"/>
        <w:tabs>
          <w:tab w:val="clear" w:pos="340"/>
          <w:tab w:val="num" w:pos="1060"/>
        </w:tabs>
        <w:spacing w:before="0" w:line="240" w:lineRule="auto"/>
        <w:ind w:left="1060"/>
        <w:jc w:val="left"/>
        <w:rPr>
          <w:sz w:val="20"/>
          <w:lang w:eastAsia="en-US"/>
        </w:rPr>
      </w:pPr>
      <w:r w:rsidRPr="00945114">
        <w:rPr>
          <w:sz w:val="20"/>
          <w:lang w:eastAsia="en-US"/>
        </w:rPr>
        <w:t>productivity, competitiveness and business investment</w:t>
      </w:r>
    </w:p>
    <w:p w:rsidR="00945114" w:rsidRDefault="00A40086" w:rsidP="00590CCF">
      <w:pPr>
        <w:pStyle w:val="ListBullet"/>
        <w:tabs>
          <w:tab w:val="clear" w:pos="340"/>
          <w:tab w:val="num" w:pos="1060"/>
        </w:tabs>
        <w:spacing w:before="0" w:line="240" w:lineRule="auto"/>
        <w:ind w:left="1060"/>
        <w:jc w:val="left"/>
        <w:rPr>
          <w:sz w:val="20"/>
          <w:lang w:eastAsia="en-US"/>
        </w:rPr>
      </w:pPr>
      <w:r w:rsidRPr="00945114">
        <w:rPr>
          <w:sz w:val="20"/>
          <w:lang w:eastAsia="en-US"/>
        </w:rPr>
        <w:t xml:space="preserve">the ability of business and the labour market to respond appropriately </w:t>
      </w:r>
      <w:r w:rsidR="00945114">
        <w:rPr>
          <w:sz w:val="20"/>
          <w:lang w:eastAsia="en-US"/>
        </w:rPr>
        <w:t>to changing economic conditions</w:t>
      </w:r>
      <w:r w:rsidR="00590CCF">
        <w:rPr>
          <w:sz w:val="20"/>
          <w:lang w:eastAsia="en-US"/>
        </w:rPr>
        <w:t xml:space="preserve"> …</w:t>
      </w:r>
    </w:p>
    <w:p w:rsidR="00590CCF" w:rsidRDefault="00A40086" w:rsidP="00590CCF">
      <w:pPr>
        <w:pStyle w:val="ListBullet"/>
        <w:tabs>
          <w:tab w:val="clear" w:pos="340"/>
          <w:tab w:val="num" w:pos="1060"/>
        </w:tabs>
        <w:spacing w:before="0" w:line="240" w:lineRule="auto"/>
        <w:ind w:left="1060"/>
        <w:jc w:val="left"/>
        <w:rPr>
          <w:sz w:val="20"/>
          <w:lang w:eastAsia="en-US"/>
        </w:rPr>
      </w:pPr>
      <w:r w:rsidRPr="00945114">
        <w:rPr>
          <w:sz w:val="20"/>
          <w:lang w:eastAsia="en-US"/>
        </w:rPr>
        <w:t>the ability for employers to flexibly manage and engage with their employees</w:t>
      </w:r>
    </w:p>
    <w:p w:rsidR="00A40086" w:rsidRPr="00590CCF" w:rsidRDefault="00A40086" w:rsidP="00590CCF">
      <w:pPr>
        <w:pStyle w:val="ListBullet"/>
        <w:tabs>
          <w:tab w:val="clear" w:pos="340"/>
          <w:tab w:val="num" w:pos="1060"/>
        </w:tabs>
        <w:spacing w:before="0" w:line="240" w:lineRule="auto"/>
        <w:ind w:left="1060"/>
        <w:jc w:val="left"/>
        <w:rPr>
          <w:sz w:val="20"/>
          <w:lang w:eastAsia="en-US"/>
        </w:rPr>
      </w:pPr>
      <w:proofErr w:type="gramStart"/>
      <w:r w:rsidRPr="00590CCF">
        <w:rPr>
          <w:sz w:val="20"/>
          <w:lang w:eastAsia="en-US"/>
        </w:rPr>
        <w:t>red</w:t>
      </w:r>
      <w:proofErr w:type="gramEnd"/>
      <w:r w:rsidRPr="00590CCF">
        <w:rPr>
          <w:sz w:val="20"/>
          <w:lang w:eastAsia="en-US"/>
        </w:rPr>
        <w:t xml:space="preserve"> tape and the compliance burden for employers</w:t>
      </w:r>
      <w:r w:rsidR="00590CCF">
        <w:rPr>
          <w:sz w:val="20"/>
          <w:lang w:eastAsia="en-US"/>
        </w:rPr>
        <w:t>…</w:t>
      </w:r>
      <w:r w:rsidR="00945114">
        <w:rPr>
          <w:rStyle w:val="FootnoteReference"/>
          <w:sz w:val="20"/>
          <w:lang w:eastAsia="en-US"/>
        </w:rPr>
        <w:footnoteReference w:id="1"/>
      </w:r>
    </w:p>
    <w:p w:rsidR="00590CCF" w:rsidRDefault="00590CCF" w:rsidP="00590CCF">
      <w:pPr>
        <w:pStyle w:val="BodyText"/>
        <w:spacing w:before="0" w:line="240" w:lineRule="auto"/>
        <w:jc w:val="left"/>
        <w:rPr>
          <w:sz w:val="22"/>
          <w:szCs w:val="22"/>
        </w:rPr>
      </w:pPr>
    </w:p>
    <w:p w:rsidR="00ED3C53" w:rsidRDefault="00C22506" w:rsidP="00590CCF">
      <w:pPr>
        <w:pStyle w:val="BodyText"/>
        <w:spacing w:before="0" w:line="240" w:lineRule="auto"/>
        <w:jc w:val="left"/>
        <w:rPr>
          <w:sz w:val="22"/>
          <w:szCs w:val="22"/>
        </w:rPr>
      </w:pPr>
      <w:r w:rsidRPr="00945114">
        <w:rPr>
          <w:sz w:val="22"/>
          <w:szCs w:val="22"/>
        </w:rPr>
        <w:t>T</w:t>
      </w:r>
      <w:r w:rsidR="00C453B8" w:rsidRPr="00945114">
        <w:rPr>
          <w:sz w:val="22"/>
          <w:szCs w:val="22"/>
        </w:rPr>
        <w:t xml:space="preserve">he </w:t>
      </w:r>
      <w:bookmarkStart w:id="2" w:name="OLE_LINK76"/>
      <w:bookmarkStart w:id="3" w:name="OLE_LINK77"/>
      <w:bookmarkStart w:id="4" w:name="OLE_LINK59"/>
      <w:bookmarkStart w:id="5" w:name="OLE_LINK60"/>
      <w:r w:rsidR="00C453B8" w:rsidRPr="001513F6">
        <w:rPr>
          <w:i/>
          <w:sz w:val="22"/>
          <w:szCs w:val="22"/>
        </w:rPr>
        <w:t xml:space="preserve">Fair Work Act </w:t>
      </w:r>
      <w:bookmarkStart w:id="6" w:name="OLE_LINK68"/>
      <w:bookmarkStart w:id="7" w:name="OLE_LINK69"/>
      <w:bookmarkStart w:id="8" w:name="OLE_LINK78"/>
      <w:r w:rsidR="00C453B8" w:rsidRPr="001513F6">
        <w:rPr>
          <w:i/>
          <w:sz w:val="22"/>
          <w:szCs w:val="22"/>
        </w:rPr>
        <w:t>2009</w:t>
      </w:r>
      <w:r w:rsidR="00C453B8" w:rsidRPr="00945114">
        <w:rPr>
          <w:sz w:val="22"/>
          <w:szCs w:val="22"/>
        </w:rPr>
        <w:t xml:space="preserve"> (</w:t>
      </w:r>
      <w:proofErr w:type="spellStart"/>
      <w:r w:rsidR="00C453B8" w:rsidRPr="00945114">
        <w:rPr>
          <w:sz w:val="22"/>
          <w:szCs w:val="22"/>
        </w:rPr>
        <w:t>Cth</w:t>
      </w:r>
      <w:proofErr w:type="spellEnd"/>
      <w:r w:rsidR="00C453B8" w:rsidRPr="00945114">
        <w:rPr>
          <w:sz w:val="22"/>
          <w:szCs w:val="22"/>
        </w:rPr>
        <w:t>)</w:t>
      </w:r>
      <w:r w:rsidR="00E0365D" w:rsidRPr="00945114">
        <w:rPr>
          <w:sz w:val="22"/>
          <w:szCs w:val="22"/>
        </w:rPr>
        <w:t xml:space="preserve"> (</w:t>
      </w:r>
      <w:r w:rsidR="00945114">
        <w:rPr>
          <w:sz w:val="22"/>
          <w:szCs w:val="22"/>
        </w:rPr>
        <w:t>‘</w:t>
      </w:r>
      <w:r w:rsidR="00E0365D" w:rsidRPr="00590CCF">
        <w:rPr>
          <w:i/>
          <w:sz w:val="22"/>
          <w:szCs w:val="22"/>
        </w:rPr>
        <w:t>FWA</w:t>
      </w:r>
      <w:r w:rsidR="00945114">
        <w:rPr>
          <w:sz w:val="22"/>
          <w:szCs w:val="22"/>
        </w:rPr>
        <w:t>’</w:t>
      </w:r>
      <w:r w:rsidR="00E0365D" w:rsidRPr="00945114">
        <w:rPr>
          <w:sz w:val="22"/>
          <w:szCs w:val="22"/>
        </w:rPr>
        <w:t>)</w:t>
      </w:r>
      <w:r w:rsidR="00C453B8" w:rsidRPr="00945114">
        <w:rPr>
          <w:sz w:val="22"/>
          <w:szCs w:val="22"/>
        </w:rPr>
        <w:t xml:space="preserve"> </w:t>
      </w:r>
      <w:bookmarkEnd w:id="2"/>
      <w:bookmarkEnd w:id="3"/>
      <w:bookmarkEnd w:id="6"/>
      <w:bookmarkEnd w:id="7"/>
      <w:bookmarkEnd w:id="8"/>
      <w:r w:rsidR="00A40086" w:rsidRPr="00945114">
        <w:rPr>
          <w:sz w:val="22"/>
          <w:szCs w:val="22"/>
        </w:rPr>
        <w:t xml:space="preserve">in part </w:t>
      </w:r>
      <w:r w:rsidRPr="00945114">
        <w:rPr>
          <w:sz w:val="22"/>
          <w:szCs w:val="22"/>
        </w:rPr>
        <w:t>respond</w:t>
      </w:r>
      <w:r w:rsidR="00A40086" w:rsidRPr="00945114">
        <w:rPr>
          <w:sz w:val="22"/>
          <w:szCs w:val="22"/>
        </w:rPr>
        <w:t xml:space="preserve">ed </w:t>
      </w:r>
      <w:r w:rsidR="00652116" w:rsidRPr="00945114">
        <w:rPr>
          <w:sz w:val="22"/>
          <w:szCs w:val="22"/>
        </w:rPr>
        <w:t xml:space="preserve">to some of </w:t>
      </w:r>
      <w:bookmarkStart w:id="9" w:name="OLE_LINK30"/>
      <w:bookmarkStart w:id="10" w:name="OLE_LINK31"/>
      <w:r w:rsidR="00652116" w:rsidRPr="00945114">
        <w:rPr>
          <w:sz w:val="22"/>
          <w:szCs w:val="22"/>
        </w:rPr>
        <w:t xml:space="preserve">these </w:t>
      </w:r>
      <w:r w:rsidR="00527B09" w:rsidRPr="00945114">
        <w:rPr>
          <w:sz w:val="22"/>
          <w:szCs w:val="22"/>
        </w:rPr>
        <w:t xml:space="preserve">issues </w:t>
      </w:r>
      <w:bookmarkEnd w:id="9"/>
      <w:bookmarkEnd w:id="10"/>
      <w:r w:rsidRPr="00945114">
        <w:rPr>
          <w:sz w:val="22"/>
          <w:szCs w:val="22"/>
        </w:rPr>
        <w:t xml:space="preserve">by </w:t>
      </w:r>
      <w:r w:rsidR="00C453B8" w:rsidRPr="00945114">
        <w:rPr>
          <w:sz w:val="22"/>
          <w:szCs w:val="22"/>
        </w:rPr>
        <w:t xml:space="preserve">reinstatement of legal support for procedures over </w:t>
      </w:r>
      <w:bookmarkStart w:id="11" w:name="OLE_LINK3"/>
      <w:bookmarkStart w:id="12" w:name="OLE_LINK4"/>
      <w:bookmarkStart w:id="13" w:name="OLE_LINK6"/>
      <w:r w:rsidR="00590CCF">
        <w:rPr>
          <w:sz w:val="22"/>
          <w:szCs w:val="22"/>
        </w:rPr>
        <w:t>‘</w:t>
      </w:r>
      <w:r w:rsidR="00C453B8" w:rsidRPr="00945114">
        <w:rPr>
          <w:sz w:val="22"/>
          <w:szCs w:val="22"/>
        </w:rPr>
        <w:t>consultation</w:t>
      </w:r>
      <w:bookmarkEnd w:id="11"/>
      <w:bookmarkEnd w:id="12"/>
      <w:r w:rsidR="00C453B8" w:rsidRPr="00945114">
        <w:rPr>
          <w:sz w:val="22"/>
          <w:szCs w:val="22"/>
        </w:rPr>
        <w:t>, repres</w:t>
      </w:r>
      <w:r w:rsidR="00590CCF">
        <w:rPr>
          <w:sz w:val="22"/>
          <w:szCs w:val="22"/>
        </w:rPr>
        <w:t>entation and dispute settlement’</w:t>
      </w:r>
      <w:r w:rsidR="00C453B8" w:rsidRPr="00945114">
        <w:rPr>
          <w:sz w:val="22"/>
          <w:szCs w:val="22"/>
        </w:rPr>
        <w:t xml:space="preserve"> </w:t>
      </w:r>
      <w:bookmarkEnd w:id="13"/>
      <w:r w:rsidR="00A40086" w:rsidRPr="00945114">
        <w:rPr>
          <w:iCs/>
          <w:sz w:val="22"/>
          <w:szCs w:val="22"/>
        </w:rPr>
        <w:t xml:space="preserve">requiring consultation of representatives about </w:t>
      </w:r>
      <w:r w:rsidR="00C503CA">
        <w:rPr>
          <w:iCs/>
          <w:sz w:val="22"/>
          <w:szCs w:val="22"/>
        </w:rPr>
        <w:t>‘</w:t>
      </w:r>
      <w:r w:rsidR="00A40086" w:rsidRPr="00945114">
        <w:rPr>
          <w:iCs/>
          <w:sz w:val="22"/>
          <w:szCs w:val="22"/>
        </w:rPr>
        <w:t>major workplace change</w:t>
      </w:r>
      <w:r w:rsidR="00590CCF">
        <w:rPr>
          <w:iCs/>
          <w:sz w:val="22"/>
          <w:szCs w:val="22"/>
        </w:rPr>
        <w:t>’</w:t>
      </w:r>
      <w:r w:rsidR="00C47CC4" w:rsidRPr="00945114">
        <w:rPr>
          <w:iCs/>
          <w:sz w:val="22"/>
          <w:szCs w:val="22"/>
        </w:rPr>
        <w:t>.</w:t>
      </w:r>
      <w:r w:rsidR="00A40086" w:rsidRPr="00945114">
        <w:rPr>
          <w:rStyle w:val="FootnoteReference"/>
          <w:iCs/>
          <w:sz w:val="22"/>
          <w:szCs w:val="22"/>
        </w:rPr>
        <w:footnoteReference w:id="2"/>
      </w:r>
      <w:r w:rsidR="00A73A8D" w:rsidRPr="00945114">
        <w:rPr>
          <w:iCs/>
          <w:sz w:val="22"/>
          <w:szCs w:val="22"/>
        </w:rPr>
        <w:t xml:space="preserve"> Our submission will address how the FWA consultation procedures over major workplace change might better respond to </w:t>
      </w:r>
      <w:r w:rsidR="00A73A8D" w:rsidRPr="00945114">
        <w:rPr>
          <w:sz w:val="22"/>
          <w:szCs w:val="22"/>
        </w:rPr>
        <w:t>issues of structural adjustment and global competitiveness.</w:t>
      </w:r>
    </w:p>
    <w:p w:rsidR="00590CCF" w:rsidRPr="00945114" w:rsidRDefault="00590CCF" w:rsidP="00590CCF">
      <w:pPr>
        <w:pStyle w:val="BodyText"/>
        <w:spacing w:before="0" w:line="240" w:lineRule="auto"/>
        <w:jc w:val="left"/>
        <w:rPr>
          <w:sz w:val="22"/>
          <w:szCs w:val="22"/>
        </w:rPr>
      </w:pPr>
    </w:p>
    <w:bookmarkEnd w:id="4"/>
    <w:bookmarkEnd w:id="5"/>
    <w:p w:rsidR="00D4746B" w:rsidRPr="00945114" w:rsidRDefault="00A40086" w:rsidP="00590CCF">
      <w:pPr>
        <w:pStyle w:val="BodyText"/>
        <w:spacing w:before="0" w:line="240" w:lineRule="auto"/>
        <w:jc w:val="left"/>
        <w:rPr>
          <w:sz w:val="22"/>
          <w:szCs w:val="22"/>
          <w:lang w:eastAsia="en-US"/>
        </w:rPr>
      </w:pPr>
      <w:r w:rsidRPr="00945114">
        <w:rPr>
          <w:sz w:val="22"/>
          <w:szCs w:val="22"/>
        </w:rPr>
        <w:t>T</w:t>
      </w:r>
      <w:r w:rsidR="009E11BC" w:rsidRPr="00945114">
        <w:rPr>
          <w:sz w:val="22"/>
          <w:szCs w:val="22"/>
        </w:rPr>
        <w:t xml:space="preserve">his submission </w:t>
      </w:r>
      <w:r w:rsidRPr="00945114">
        <w:rPr>
          <w:sz w:val="22"/>
          <w:szCs w:val="22"/>
        </w:rPr>
        <w:t xml:space="preserve">also </w:t>
      </w:r>
      <w:r w:rsidR="009E11BC" w:rsidRPr="00945114">
        <w:rPr>
          <w:sz w:val="22"/>
          <w:szCs w:val="22"/>
        </w:rPr>
        <w:t>address</w:t>
      </w:r>
      <w:r w:rsidRPr="00945114">
        <w:rPr>
          <w:sz w:val="22"/>
          <w:szCs w:val="22"/>
        </w:rPr>
        <w:t>es</w:t>
      </w:r>
      <w:r w:rsidR="009E11BC" w:rsidRPr="00945114">
        <w:rPr>
          <w:sz w:val="22"/>
          <w:szCs w:val="22"/>
        </w:rPr>
        <w:t xml:space="preserve"> other issues raised by the terms of reference</w:t>
      </w:r>
      <w:r w:rsidR="001163B2" w:rsidRPr="00945114">
        <w:rPr>
          <w:sz w:val="22"/>
          <w:szCs w:val="22"/>
        </w:rPr>
        <w:t xml:space="preserve"> of the </w:t>
      </w:r>
      <w:r w:rsidR="00D4746B" w:rsidRPr="00945114">
        <w:rPr>
          <w:sz w:val="22"/>
          <w:szCs w:val="22"/>
        </w:rPr>
        <w:t>review in relation to the FWA consultation procedures. W</w:t>
      </w:r>
      <w:r w:rsidR="009E11BC" w:rsidRPr="00945114">
        <w:rPr>
          <w:sz w:val="22"/>
          <w:szCs w:val="22"/>
        </w:rPr>
        <w:t xml:space="preserve">e note that </w:t>
      </w:r>
      <w:r w:rsidR="00590CCF">
        <w:rPr>
          <w:sz w:val="22"/>
          <w:szCs w:val="22"/>
          <w:lang w:eastAsia="en-US"/>
        </w:rPr>
        <w:t>‘</w:t>
      </w:r>
      <w:r w:rsidR="00C47CC4" w:rsidRPr="00945114">
        <w:rPr>
          <w:sz w:val="22"/>
          <w:szCs w:val="22"/>
          <w:lang w:eastAsia="en-US"/>
        </w:rPr>
        <w:t>i</w:t>
      </w:r>
      <w:r w:rsidR="00590CCF">
        <w:rPr>
          <w:sz w:val="22"/>
          <w:szCs w:val="22"/>
          <w:lang w:eastAsia="en-US"/>
        </w:rPr>
        <w:t>n conducting the review’,</w:t>
      </w:r>
      <w:r w:rsidR="00D4746B" w:rsidRPr="00945114">
        <w:rPr>
          <w:sz w:val="22"/>
          <w:szCs w:val="22"/>
          <w:lang w:eastAsia="en-US"/>
        </w:rPr>
        <w:t xml:space="preserve"> the t</w:t>
      </w:r>
      <w:r w:rsidR="00590CCF">
        <w:rPr>
          <w:sz w:val="22"/>
          <w:szCs w:val="22"/>
          <w:lang w:eastAsia="en-US"/>
        </w:rPr>
        <w:t>erms of reference require that ‘</w:t>
      </w:r>
      <w:r w:rsidR="00D4746B" w:rsidRPr="00945114">
        <w:rPr>
          <w:sz w:val="22"/>
          <w:szCs w:val="22"/>
          <w:lang w:eastAsia="en-US"/>
        </w:rPr>
        <w:t>the Productivity Commission will draw on the full spectrum of evid</w:t>
      </w:r>
      <w:r w:rsidR="00590CCF">
        <w:rPr>
          <w:sz w:val="22"/>
          <w:szCs w:val="22"/>
          <w:lang w:eastAsia="en-US"/>
        </w:rPr>
        <w:t>ence’</w:t>
      </w:r>
      <w:r w:rsidR="00590CCF">
        <w:rPr>
          <w:rStyle w:val="FootnoteReference"/>
          <w:sz w:val="22"/>
          <w:szCs w:val="22"/>
          <w:lang w:eastAsia="en-US"/>
        </w:rPr>
        <w:footnoteReference w:id="3"/>
      </w:r>
      <w:r w:rsidR="00590CCF">
        <w:rPr>
          <w:sz w:val="22"/>
          <w:szCs w:val="22"/>
          <w:lang w:eastAsia="en-US"/>
        </w:rPr>
        <w:t xml:space="preserve"> and ‘</w:t>
      </w:r>
      <w:r w:rsidR="00D4746B" w:rsidRPr="00945114">
        <w:rPr>
          <w:sz w:val="22"/>
          <w:szCs w:val="22"/>
          <w:lang w:eastAsia="en-US"/>
        </w:rPr>
        <w:t>identify gaps in the evidence base where further collection may assist in the analysis of the overall perform</w:t>
      </w:r>
      <w:r w:rsidR="00590CCF">
        <w:rPr>
          <w:sz w:val="22"/>
          <w:szCs w:val="22"/>
          <w:lang w:eastAsia="en-US"/>
        </w:rPr>
        <w:t>ance and impact of the system’.</w:t>
      </w:r>
      <w:r w:rsidR="00590CCF">
        <w:rPr>
          <w:rStyle w:val="FootnoteReference"/>
          <w:sz w:val="22"/>
          <w:szCs w:val="22"/>
          <w:lang w:eastAsia="en-US"/>
        </w:rPr>
        <w:footnoteReference w:id="4"/>
      </w:r>
    </w:p>
    <w:p w:rsidR="00A40086" w:rsidRPr="00945114" w:rsidRDefault="00A40086" w:rsidP="00590CCF">
      <w:pPr>
        <w:spacing w:after="0" w:line="240" w:lineRule="auto"/>
        <w:rPr>
          <w:rFonts w:ascii="Times New Roman" w:hAnsi="Times New Roman"/>
        </w:rPr>
      </w:pPr>
    </w:p>
    <w:p w:rsidR="00C453B8" w:rsidRPr="00945114" w:rsidRDefault="001163B2" w:rsidP="00590CCF">
      <w:pPr>
        <w:pStyle w:val="NormalWeb"/>
        <w:spacing w:before="0" w:after="0"/>
        <w:rPr>
          <w:sz w:val="22"/>
          <w:szCs w:val="22"/>
        </w:rPr>
      </w:pPr>
      <w:bookmarkStart w:id="14" w:name="OLE_LINK9"/>
      <w:r w:rsidRPr="00945114">
        <w:rPr>
          <w:sz w:val="22"/>
          <w:szCs w:val="22"/>
        </w:rPr>
        <w:t>T</w:t>
      </w:r>
      <w:r w:rsidR="00C453B8" w:rsidRPr="00945114">
        <w:rPr>
          <w:sz w:val="22"/>
          <w:szCs w:val="22"/>
        </w:rPr>
        <w:t>here is relatively little publicly available research into the procedures o</w:t>
      </w:r>
      <w:r w:rsidR="001513F6">
        <w:rPr>
          <w:sz w:val="22"/>
          <w:szCs w:val="22"/>
        </w:rPr>
        <w:t>ver ‘</w:t>
      </w:r>
      <w:r w:rsidR="00C453B8" w:rsidRPr="00945114">
        <w:rPr>
          <w:sz w:val="22"/>
          <w:szCs w:val="22"/>
        </w:rPr>
        <w:t>consultation, repres</w:t>
      </w:r>
      <w:r w:rsidR="001513F6">
        <w:rPr>
          <w:sz w:val="22"/>
          <w:szCs w:val="22"/>
        </w:rPr>
        <w:t>entation and dispute settlement’</w:t>
      </w:r>
      <w:r w:rsidR="00C453B8" w:rsidRPr="00945114">
        <w:rPr>
          <w:sz w:val="22"/>
          <w:szCs w:val="22"/>
        </w:rPr>
        <w:t xml:space="preserve"> provided for in </w:t>
      </w:r>
      <w:r w:rsidR="00C453B8" w:rsidRPr="00945114">
        <w:rPr>
          <w:iCs/>
          <w:sz w:val="22"/>
          <w:szCs w:val="22"/>
        </w:rPr>
        <w:t xml:space="preserve">s </w:t>
      </w:r>
      <w:r w:rsidR="00C453B8" w:rsidRPr="00945114">
        <w:rPr>
          <w:bCs/>
          <w:sz w:val="22"/>
          <w:szCs w:val="22"/>
        </w:rPr>
        <w:t>205</w:t>
      </w:r>
      <w:r w:rsidR="001513F6">
        <w:rPr>
          <w:bCs/>
          <w:sz w:val="22"/>
          <w:szCs w:val="22"/>
        </w:rPr>
        <w:t xml:space="preserve"> of the FWA</w:t>
      </w:r>
      <w:r w:rsidR="00C453B8" w:rsidRPr="00945114">
        <w:rPr>
          <w:bCs/>
          <w:sz w:val="22"/>
          <w:szCs w:val="22"/>
        </w:rPr>
        <w:t xml:space="preserve"> and </w:t>
      </w:r>
      <w:r w:rsidR="00C453B8" w:rsidRPr="00945114">
        <w:rPr>
          <w:sz w:val="22"/>
          <w:szCs w:val="22"/>
        </w:rPr>
        <w:t>Schedule 2.3</w:t>
      </w:r>
      <w:r w:rsidR="001513F6">
        <w:rPr>
          <w:sz w:val="22"/>
          <w:szCs w:val="22"/>
        </w:rPr>
        <w:t xml:space="preserve"> of the </w:t>
      </w:r>
      <w:r w:rsidR="001513F6">
        <w:rPr>
          <w:i/>
          <w:sz w:val="22"/>
          <w:szCs w:val="22"/>
        </w:rPr>
        <w:t>Fair Work Regulations 2009</w:t>
      </w:r>
      <w:r w:rsidR="001513F6">
        <w:rPr>
          <w:sz w:val="22"/>
          <w:szCs w:val="22"/>
        </w:rPr>
        <w:t xml:space="preserve"> (</w:t>
      </w:r>
      <w:proofErr w:type="spellStart"/>
      <w:r w:rsidR="001513F6">
        <w:rPr>
          <w:sz w:val="22"/>
          <w:szCs w:val="22"/>
        </w:rPr>
        <w:t>Cth</w:t>
      </w:r>
      <w:proofErr w:type="spellEnd"/>
      <w:r w:rsidR="001513F6">
        <w:rPr>
          <w:sz w:val="22"/>
          <w:szCs w:val="22"/>
        </w:rPr>
        <w:t>)</w:t>
      </w:r>
      <w:r w:rsidR="00C453B8" w:rsidRPr="00945114">
        <w:rPr>
          <w:sz w:val="22"/>
          <w:szCs w:val="22"/>
        </w:rPr>
        <w:t>.</w:t>
      </w:r>
      <w:r w:rsidR="00C453B8" w:rsidRPr="00945114">
        <w:rPr>
          <w:rStyle w:val="FootnoteReference"/>
          <w:sz w:val="22"/>
          <w:szCs w:val="22"/>
        </w:rPr>
        <w:footnoteReference w:id="5"/>
      </w:r>
      <w:r w:rsidR="00C453B8" w:rsidRPr="00945114">
        <w:rPr>
          <w:sz w:val="22"/>
          <w:szCs w:val="22"/>
        </w:rPr>
        <w:t xml:space="preserve"> </w:t>
      </w:r>
      <w:bookmarkEnd w:id="14"/>
      <w:r w:rsidR="00C453B8" w:rsidRPr="00945114">
        <w:rPr>
          <w:sz w:val="22"/>
          <w:szCs w:val="22"/>
        </w:rPr>
        <w:t xml:space="preserve">Hence, it is difficult to assess how effective the statutory consultation requirements have been in terms of </w:t>
      </w:r>
      <w:r w:rsidR="00ED3C53" w:rsidRPr="00945114">
        <w:rPr>
          <w:sz w:val="22"/>
          <w:szCs w:val="22"/>
        </w:rPr>
        <w:t xml:space="preserve">their contribution to </w:t>
      </w:r>
      <w:r w:rsidR="001513F6">
        <w:rPr>
          <w:sz w:val="22"/>
          <w:szCs w:val="22"/>
        </w:rPr>
        <w:t>the ‘</w:t>
      </w:r>
      <w:r w:rsidR="00D4746B" w:rsidRPr="00945114">
        <w:rPr>
          <w:sz w:val="22"/>
          <w:szCs w:val="22"/>
        </w:rPr>
        <w:t xml:space="preserve">overall performance and </w:t>
      </w:r>
      <w:r w:rsidR="00652116" w:rsidRPr="00945114">
        <w:rPr>
          <w:sz w:val="22"/>
          <w:szCs w:val="22"/>
        </w:rPr>
        <w:t xml:space="preserve">the </w:t>
      </w:r>
      <w:r w:rsidR="00D4746B" w:rsidRPr="00945114">
        <w:rPr>
          <w:sz w:val="22"/>
          <w:szCs w:val="22"/>
        </w:rPr>
        <w:t>impact of the system</w:t>
      </w:r>
      <w:r w:rsidR="001513F6">
        <w:rPr>
          <w:sz w:val="22"/>
          <w:szCs w:val="22"/>
        </w:rPr>
        <w:t>’.</w:t>
      </w:r>
      <w:r w:rsidR="001513F6">
        <w:rPr>
          <w:rStyle w:val="FootnoteReference"/>
          <w:sz w:val="22"/>
          <w:szCs w:val="22"/>
        </w:rPr>
        <w:footnoteReference w:id="6"/>
      </w:r>
      <w:r w:rsidR="00B22493" w:rsidRPr="00945114">
        <w:rPr>
          <w:sz w:val="22"/>
          <w:szCs w:val="22"/>
        </w:rPr>
        <w:t xml:space="preserve"> W</w:t>
      </w:r>
      <w:r w:rsidR="00C453B8" w:rsidRPr="00945114">
        <w:rPr>
          <w:sz w:val="22"/>
          <w:szCs w:val="22"/>
        </w:rPr>
        <w:t xml:space="preserve">e urge the </w:t>
      </w:r>
      <w:r w:rsidR="00051189">
        <w:rPr>
          <w:sz w:val="22"/>
          <w:szCs w:val="22"/>
        </w:rPr>
        <w:t>Productivity C</w:t>
      </w:r>
      <w:r w:rsidR="00ED3C53" w:rsidRPr="00945114">
        <w:rPr>
          <w:sz w:val="22"/>
          <w:szCs w:val="22"/>
        </w:rPr>
        <w:t xml:space="preserve">ommission </w:t>
      </w:r>
      <w:r w:rsidR="00C453B8" w:rsidRPr="00945114">
        <w:rPr>
          <w:sz w:val="22"/>
          <w:szCs w:val="22"/>
        </w:rPr>
        <w:t>to recommend further research into the consultation r</w:t>
      </w:r>
      <w:r w:rsidR="00344218" w:rsidRPr="00945114">
        <w:rPr>
          <w:sz w:val="22"/>
          <w:szCs w:val="22"/>
        </w:rPr>
        <w:t>equirements provided for in the legislation and regulations.</w:t>
      </w:r>
    </w:p>
    <w:p w:rsidR="00C453B8" w:rsidRPr="00945114" w:rsidRDefault="00C453B8" w:rsidP="00590CCF">
      <w:pPr>
        <w:pStyle w:val="NormalWeb"/>
        <w:spacing w:before="0" w:after="0"/>
        <w:rPr>
          <w:sz w:val="22"/>
          <w:szCs w:val="22"/>
        </w:rPr>
      </w:pPr>
    </w:p>
    <w:p w:rsidR="00C453B8" w:rsidRPr="00945114" w:rsidRDefault="00C453B8" w:rsidP="00590CCF">
      <w:pPr>
        <w:spacing w:after="0" w:line="240" w:lineRule="auto"/>
        <w:rPr>
          <w:rFonts w:ascii="Times New Roman" w:hAnsi="Times New Roman"/>
        </w:rPr>
      </w:pPr>
      <w:r w:rsidRPr="00051189">
        <w:rPr>
          <w:rFonts w:ascii="Times New Roman" w:hAnsi="Times New Roman"/>
        </w:rPr>
        <w:t>The</w:t>
      </w:r>
      <w:r w:rsidR="00051189">
        <w:rPr>
          <w:rFonts w:ascii="Times New Roman" w:hAnsi="Times New Roman"/>
        </w:rPr>
        <w:t xml:space="preserve"> Productivity C</w:t>
      </w:r>
      <w:r w:rsidR="00ED3C53" w:rsidRPr="00051189">
        <w:rPr>
          <w:rFonts w:ascii="Times New Roman" w:hAnsi="Times New Roman"/>
        </w:rPr>
        <w:t xml:space="preserve">ommission has also </w:t>
      </w:r>
      <w:r w:rsidRPr="00051189">
        <w:rPr>
          <w:rFonts w:ascii="Times New Roman" w:hAnsi="Times New Roman"/>
        </w:rPr>
        <w:t xml:space="preserve">been asked </w:t>
      </w:r>
      <w:r w:rsidR="00ED3C53" w:rsidRPr="00051189">
        <w:rPr>
          <w:rFonts w:ascii="Times New Roman" w:hAnsi="Times New Roman"/>
        </w:rPr>
        <w:t xml:space="preserve">to </w:t>
      </w:r>
      <w:r w:rsidR="00D4746B" w:rsidRPr="00051189">
        <w:rPr>
          <w:rFonts w:ascii="Times New Roman" w:hAnsi="Times New Roman"/>
        </w:rPr>
        <w:t>review</w:t>
      </w:r>
      <w:r w:rsidR="00051189">
        <w:rPr>
          <w:rFonts w:ascii="Times New Roman" w:hAnsi="Times New Roman"/>
        </w:rPr>
        <w:t xml:space="preserve"> ‘</w:t>
      </w:r>
      <w:r w:rsidR="00D4746B" w:rsidRPr="00945114">
        <w:rPr>
          <w:rFonts w:ascii="Times New Roman" w:hAnsi="Times New Roman"/>
        </w:rPr>
        <w:t xml:space="preserve">the Act’s performance against its stated aims and objects, and the impact on jobs, incomes and </w:t>
      </w:r>
      <w:r w:rsidR="00051189">
        <w:rPr>
          <w:rFonts w:ascii="Times New Roman" w:hAnsi="Times New Roman"/>
        </w:rPr>
        <w:t>the economy’</w:t>
      </w:r>
      <w:r w:rsidR="00652116" w:rsidRPr="00945114">
        <w:rPr>
          <w:rFonts w:ascii="Times New Roman" w:hAnsi="Times New Roman"/>
        </w:rPr>
        <w:t xml:space="preserve"> and </w:t>
      </w:r>
      <w:r w:rsidR="00D4746B" w:rsidRPr="00945114">
        <w:rPr>
          <w:rFonts w:ascii="Times New Roman" w:hAnsi="Times New Roman"/>
        </w:rPr>
        <w:t xml:space="preserve">examine the </w:t>
      </w:r>
      <w:r w:rsidR="00051189">
        <w:rPr>
          <w:rFonts w:ascii="Times New Roman" w:hAnsi="Times New Roman"/>
        </w:rPr>
        <w:t>‘</w:t>
      </w:r>
      <w:r w:rsidR="00D4746B" w:rsidRPr="00945114">
        <w:rPr>
          <w:rFonts w:ascii="Times New Roman" w:hAnsi="Times New Roman"/>
        </w:rPr>
        <w:t xml:space="preserve">experience of </w:t>
      </w:r>
      <w:proofErr w:type="gramStart"/>
      <w:r w:rsidR="00D4746B" w:rsidRPr="00945114">
        <w:rPr>
          <w:rFonts w:ascii="Times New Roman" w:hAnsi="Times New Roman"/>
        </w:rPr>
        <w:lastRenderedPageBreak/>
        <w:t>countries</w:t>
      </w:r>
      <w:proofErr w:type="gramEnd"/>
      <w:r w:rsidR="00D4746B" w:rsidRPr="00945114">
        <w:rPr>
          <w:rFonts w:ascii="Times New Roman" w:hAnsi="Times New Roman"/>
        </w:rPr>
        <w:t xml:space="preserve"> in the Organisation for Economic </w:t>
      </w:r>
      <w:r w:rsidR="00652116" w:rsidRPr="00945114">
        <w:rPr>
          <w:rFonts w:ascii="Times New Roman" w:hAnsi="Times New Roman"/>
        </w:rPr>
        <w:t>Co</w:t>
      </w:r>
      <w:r w:rsidR="00652116" w:rsidRPr="00945114">
        <w:rPr>
          <w:rFonts w:ascii="Times New Roman" w:hAnsi="Times New Roman"/>
        </w:rPr>
        <w:noBreakHyphen/>
        <w:t>operation an</w:t>
      </w:r>
      <w:r w:rsidR="00051189">
        <w:rPr>
          <w:rFonts w:ascii="Times New Roman" w:hAnsi="Times New Roman"/>
        </w:rPr>
        <w:t>d Development’.</w:t>
      </w:r>
      <w:r w:rsidR="00D8727F">
        <w:rPr>
          <w:rStyle w:val="FootnoteReference"/>
          <w:rFonts w:ascii="Times New Roman" w:hAnsi="Times New Roman"/>
        </w:rPr>
        <w:footnoteReference w:id="7"/>
      </w:r>
      <w:r w:rsidR="003F1099">
        <w:rPr>
          <w:rFonts w:ascii="Times New Roman" w:hAnsi="Times New Roman"/>
        </w:rPr>
        <w:t xml:space="preserve"> </w:t>
      </w:r>
      <w:r w:rsidRPr="00945114">
        <w:rPr>
          <w:rFonts w:ascii="Times New Roman" w:hAnsi="Times New Roman"/>
        </w:rPr>
        <w:t xml:space="preserve">Accordingly, we compare the consultation provision in the </w:t>
      </w:r>
      <w:r w:rsidR="004C4DB4">
        <w:rPr>
          <w:rFonts w:ascii="Times New Roman" w:hAnsi="Times New Roman"/>
        </w:rPr>
        <w:t>FWA</w:t>
      </w:r>
      <w:r w:rsidRPr="00945114">
        <w:rPr>
          <w:rFonts w:ascii="Times New Roman" w:hAnsi="Times New Roman"/>
        </w:rPr>
        <w:t xml:space="preserve"> with evidence from comparable European laws and best practice. Improvements to the model term would enhance the </w:t>
      </w:r>
      <w:r w:rsidR="009E11BC" w:rsidRPr="00945114">
        <w:rPr>
          <w:rFonts w:ascii="Times New Roman" w:hAnsi="Times New Roman"/>
        </w:rPr>
        <w:t xml:space="preserve">operation of the </w:t>
      </w:r>
      <w:r w:rsidRPr="00945114">
        <w:rPr>
          <w:rFonts w:ascii="Times New Roman" w:hAnsi="Times New Roman"/>
        </w:rPr>
        <w:t>Act</w:t>
      </w:r>
      <w:r w:rsidR="009E11BC" w:rsidRPr="00945114">
        <w:rPr>
          <w:rFonts w:ascii="Times New Roman" w:hAnsi="Times New Roman"/>
        </w:rPr>
        <w:t xml:space="preserve"> consistent with its objects.</w:t>
      </w:r>
    </w:p>
    <w:p w:rsidR="009E11BC" w:rsidRDefault="009E11BC" w:rsidP="00590CCF">
      <w:pPr>
        <w:spacing w:after="0" w:line="240" w:lineRule="auto"/>
        <w:rPr>
          <w:rFonts w:ascii="Times New Roman" w:hAnsi="Times New Roman"/>
        </w:rPr>
      </w:pPr>
    </w:p>
    <w:p w:rsidR="004C4DB4" w:rsidRPr="00945114" w:rsidRDefault="004C4DB4" w:rsidP="00590CCF">
      <w:pPr>
        <w:spacing w:after="0" w:line="240" w:lineRule="auto"/>
        <w:rPr>
          <w:rFonts w:ascii="Times New Roman" w:hAnsi="Times New Roman"/>
        </w:rPr>
      </w:pPr>
    </w:p>
    <w:p w:rsidR="00C14ECF" w:rsidRPr="00407C84" w:rsidRDefault="00C14ECF" w:rsidP="00590CCF">
      <w:pPr>
        <w:spacing w:after="0" w:line="240" w:lineRule="auto"/>
        <w:rPr>
          <w:rFonts w:ascii="Times New Roman" w:hAnsi="Times New Roman"/>
          <w:b/>
          <w:u w:val="single"/>
        </w:rPr>
      </w:pPr>
      <w:r w:rsidRPr="00407C84">
        <w:rPr>
          <w:rFonts w:ascii="Times New Roman" w:hAnsi="Times New Roman"/>
          <w:b/>
          <w:u w:val="single"/>
        </w:rPr>
        <w:t>Enhan</w:t>
      </w:r>
      <w:r w:rsidR="00407C84">
        <w:rPr>
          <w:rFonts w:ascii="Times New Roman" w:hAnsi="Times New Roman"/>
          <w:b/>
          <w:u w:val="single"/>
        </w:rPr>
        <w:t xml:space="preserve">cing the Consultation Term Consistent </w:t>
      </w:r>
      <w:r w:rsidR="007852F6">
        <w:rPr>
          <w:rFonts w:ascii="Times New Roman" w:hAnsi="Times New Roman"/>
          <w:b/>
          <w:u w:val="single"/>
        </w:rPr>
        <w:t>w</w:t>
      </w:r>
      <w:r w:rsidR="00407C84">
        <w:rPr>
          <w:rFonts w:ascii="Times New Roman" w:hAnsi="Times New Roman"/>
          <w:b/>
          <w:u w:val="single"/>
        </w:rPr>
        <w:t>ith the FWA O</w:t>
      </w:r>
      <w:r w:rsidRPr="00407C84">
        <w:rPr>
          <w:rFonts w:ascii="Times New Roman" w:hAnsi="Times New Roman"/>
          <w:b/>
          <w:u w:val="single"/>
        </w:rPr>
        <w:t>bjects</w:t>
      </w:r>
    </w:p>
    <w:p w:rsidR="00C14ECF" w:rsidRPr="00945114" w:rsidRDefault="00C14ECF" w:rsidP="00590CCF">
      <w:pPr>
        <w:spacing w:after="0" w:line="240" w:lineRule="auto"/>
        <w:rPr>
          <w:rFonts w:ascii="Times New Roman" w:hAnsi="Times New Roman"/>
          <w:u w:val="single"/>
        </w:rPr>
      </w:pPr>
    </w:p>
    <w:p w:rsidR="00C453B8" w:rsidRPr="00945114" w:rsidRDefault="00C453B8" w:rsidP="00590CCF">
      <w:pPr>
        <w:spacing w:after="0" w:line="240" w:lineRule="auto"/>
        <w:rPr>
          <w:rFonts w:ascii="Times New Roman" w:hAnsi="Times New Roman"/>
        </w:rPr>
      </w:pPr>
      <w:r w:rsidRPr="00945114">
        <w:rPr>
          <w:rFonts w:ascii="Times New Roman" w:hAnsi="Times New Roman"/>
        </w:rPr>
        <w:t xml:space="preserve">We highlight for the </w:t>
      </w:r>
      <w:r w:rsidR="00ED3C53" w:rsidRPr="00945114">
        <w:rPr>
          <w:rFonts w:ascii="Times New Roman" w:hAnsi="Times New Roman"/>
        </w:rPr>
        <w:t>Commission</w:t>
      </w:r>
      <w:r w:rsidR="00C14ECF" w:rsidRPr="00945114">
        <w:rPr>
          <w:rFonts w:ascii="Times New Roman" w:hAnsi="Times New Roman"/>
        </w:rPr>
        <w:t>'</w:t>
      </w:r>
      <w:r w:rsidR="00ED3C53" w:rsidRPr="00945114">
        <w:rPr>
          <w:rFonts w:ascii="Times New Roman" w:hAnsi="Times New Roman"/>
        </w:rPr>
        <w:t xml:space="preserve">s </w:t>
      </w:r>
      <w:r w:rsidRPr="00945114">
        <w:rPr>
          <w:rFonts w:ascii="Times New Roman" w:hAnsi="Times New Roman"/>
        </w:rPr>
        <w:t xml:space="preserve">consideration </w:t>
      </w:r>
      <w:r w:rsidR="003F1099">
        <w:rPr>
          <w:rFonts w:ascii="Times New Roman" w:hAnsi="Times New Roman"/>
        </w:rPr>
        <w:t xml:space="preserve">the objects specified in </w:t>
      </w:r>
      <w:proofErr w:type="spellStart"/>
      <w:r w:rsidR="003F1099">
        <w:rPr>
          <w:rFonts w:ascii="Times New Roman" w:hAnsi="Times New Roman"/>
        </w:rPr>
        <w:t>ss</w:t>
      </w:r>
      <w:proofErr w:type="spellEnd"/>
      <w:r w:rsidR="003F1099">
        <w:rPr>
          <w:rFonts w:ascii="Times New Roman" w:hAnsi="Times New Roman"/>
        </w:rPr>
        <w:t xml:space="preserve"> 3</w:t>
      </w:r>
      <w:r w:rsidRPr="00945114">
        <w:rPr>
          <w:rFonts w:ascii="Times New Roman" w:hAnsi="Times New Roman"/>
        </w:rPr>
        <w:t>(a) and (e).</w:t>
      </w:r>
      <w:r w:rsidR="003F1099">
        <w:rPr>
          <w:rStyle w:val="FootnoteReference"/>
          <w:rFonts w:ascii="Times New Roman" w:hAnsi="Times New Roman"/>
        </w:rPr>
        <w:footnoteReference w:id="8"/>
      </w:r>
      <w:r w:rsidRPr="00945114">
        <w:rPr>
          <w:rFonts w:ascii="Times New Roman" w:hAnsi="Times New Roman"/>
        </w:rPr>
        <w:t xml:space="preserve"> Section 3 provides:</w:t>
      </w:r>
    </w:p>
    <w:p w:rsidR="00B364AF" w:rsidRPr="00945114" w:rsidRDefault="00B364AF" w:rsidP="00590CCF">
      <w:pPr>
        <w:spacing w:after="0" w:line="240" w:lineRule="auto"/>
        <w:ind w:left="360"/>
        <w:rPr>
          <w:rFonts w:ascii="Times New Roman" w:hAnsi="Times New Roman"/>
        </w:rPr>
      </w:pPr>
    </w:p>
    <w:p w:rsidR="00C453B8" w:rsidRPr="003F1099" w:rsidRDefault="00C453B8" w:rsidP="00590CCF">
      <w:pPr>
        <w:spacing w:after="0" w:line="240" w:lineRule="auto"/>
        <w:ind w:left="360"/>
        <w:rPr>
          <w:rFonts w:ascii="Times New Roman" w:hAnsi="Times New Roman"/>
          <w:sz w:val="20"/>
          <w:szCs w:val="20"/>
        </w:rPr>
      </w:pPr>
      <w:r w:rsidRPr="003F1099">
        <w:rPr>
          <w:rFonts w:ascii="Times New Roman" w:hAnsi="Times New Roman"/>
          <w:sz w:val="20"/>
          <w:szCs w:val="20"/>
        </w:rPr>
        <w:t>The object of this Act is to provide a balanced framework for coope</w:t>
      </w:r>
      <w:r w:rsidR="00B364AF" w:rsidRPr="003F1099">
        <w:rPr>
          <w:rFonts w:ascii="Times New Roman" w:hAnsi="Times New Roman"/>
          <w:sz w:val="20"/>
          <w:szCs w:val="20"/>
        </w:rPr>
        <w:t xml:space="preserve">rative and productive workplace </w:t>
      </w:r>
      <w:proofErr w:type="gramStart"/>
      <w:r w:rsidRPr="003F1099">
        <w:rPr>
          <w:rFonts w:ascii="Times New Roman" w:hAnsi="Times New Roman"/>
          <w:sz w:val="20"/>
          <w:szCs w:val="20"/>
        </w:rPr>
        <w:t>relations that promotes</w:t>
      </w:r>
      <w:proofErr w:type="gramEnd"/>
      <w:r w:rsidRPr="003F1099">
        <w:rPr>
          <w:rFonts w:ascii="Times New Roman" w:hAnsi="Times New Roman"/>
          <w:sz w:val="20"/>
          <w:szCs w:val="20"/>
        </w:rPr>
        <w:t xml:space="preserve"> national economic prosperity and social inclusion for all Australians by:</w:t>
      </w:r>
    </w:p>
    <w:p w:rsidR="00C453B8" w:rsidRPr="003F1099" w:rsidRDefault="00C453B8" w:rsidP="003F1099">
      <w:pPr>
        <w:pStyle w:val="ListParagraph"/>
        <w:numPr>
          <w:ilvl w:val="0"/>
          <w:numId w:val="4"/>
        </w:numPr>
        <w:ind w:left="1080"/>
        <w:rPr>
          <w:rFonts w:ascii="Times New Roman" w:hAnsi="Times New Roman"/>
          <w:sz w:val="20"/>
          <w:szCs w:val="20"/>
        </w:rPr>
      </w:pPr>
      <w:r w:rsidRPr="003F1099">
        <w:rPr>
          <w:rFonts w:ascii="Times New Roman" w:hAnsi="Times New Roman"/>
          <w:sz w:val="20"/>
          <w:szCs w:val="20"/>
        </w:rPr>
        <w:t>providing workplace relations laws that are fair to working Australians, are flexible for businesses, promote productivity and economic growth for Australia’s future economic prosperity and take into account Australia’s international labour obligations; and ...</w:t>
      </w:r>
    </w:p>
    <w:p w:rsidR="00C453B8" w:rsidRPr="003F1099" w:rsidRDefault="00AB7B57" w:rsidP="00590CCF">
      <w:pPr>
        <w:spacing w:after="0" w:line="240" w:lineRule="auto"/>
        <w:ind w:left="720"/>
        <w:rPr>
          <w:rFonts w:ascii="Times New Roman" w:hAnsi="Times New Roman"/>
          <w:sz w:val="20"/>
          <w:szCs w:val="20"/>
        </w:rPr>
      </w:pPr>
      <w:r w:rsidRPr="003F1099">
        <w:rPr>
          <w:rFonts w:ascii="Times New Roman" w:hAnsi="Times New Roman"/>
          <w:sz w:val="20"/>
          <w:szCs w:val="20"/>
        </w:rPr>
        <w:t xml:space="preserve">(e)   </w:t>
      </w:r>
      <w:r w:rsidR="00C453B8" w:rsidRPr="003F1099">
        <w:rPr>
          <w:rFonts w:ascii="Times New Roman" w:hAnsi="Times New Roman"/>
          <w:sz w:val="20"/>
          <w:szCs w:val="20"/>
        </w:rPr>
        <w:t>enabling fairness and representation at work and the prevention of discrimination by recognising the right to freedom of association and the right to be represented, protecting against unfair treatment and discrimination, providing accessible and effective procedures to resolve grievances and disputes and providing effective compliance mechanisms</w:t>
      </w:r>
      <w:r w:rsidR="003F1099">
        <w:rPr>
          <w:rFonts w:ascii="Times New Roman" w:hAnsi="Times New Roman"/>
          <w:sz w:val="20"/>
          <w:szCs w:val="20"/>
        </w:rPr>
        <w:t>;…</w:t>
      </w:r>
    </w:p>
    <w:p w:rsidR="003C301D" w:rsidRPr="00945114" w:rsidRDefault="003C301D" w:rsidP="00590CCF">
      <w:pPr>
        <w:spacing w:after="0" w:line="240" w:lineRule="auto"/>
        <w:ind w:left="720"/>
        <w:rPr>
          <w:rFonts w:ascii="Times New Roman" w:hAnsi="Times New Roman"/>
        </w:rPr>
      </w:pPr>
    </w:p>
    <w:p w:rsidR="00ED3C53" w:rsidRPr="00945114" w:rsidRDefault="00175DC8" w:rsidP="00590CCF">
      <w:pPr>
        <w:spacing w:after="0" w:line="240" w:lineRule="auto"/>
        <w:rPr>
          <w:rFonts w:ascii="Times New Roman" w:hAnsi="Times New Roman"/>
        </w:rPr>
      </w:pPr>
      <w:r w:rsidRPr="00945114">
        <w:rPr>
          <w:rFonts w:ascii="Times New Roman" w:hAnsi="Times New Roman"/>
        </w:rPr>
        <w:t>W</w:t>
      </w:r>
      <w:r w:rsidR="00E20CA2" w:rsidRPr="00945114">
        <w:rPr>
          <w:rFonts w:ascii="Times New Roman" w:hAnsi="Times New Roman"/>
        </w:rPr>
        <w:t>e</w:t>
      </w:r>
      <w:r w:rsidRPr="00945114">
        <w:rPr>
          <w:rFonts w:ascii="Times New Roman" w:hAnsi="Times New Roman"/>
        </w:rPr>
        <w:t xml:space="preserve"> not</w:t>
      </w:r>
      <w:r w:rsidR="00E20CA2" w:rsidRPr="00945114">
        <w:rPr>
          <w:rFonts w:ascii="Times New Roman" w:hAnsi="Times New Roman"/>
        </w:rPr>
        <w:t>e</w:t>
      </w:r>
      <w:r w:rsidRPr="00945114">
        <w:rPr>
          <w:rFonts w:ascii="Times New Roman" w:hAnsi="Times New Roman"/>
        </w:rPr>
        <w:t xml:space="preserve"> that </w:t>
      </w:r>
      <w:r w:rsidR="00E20CA2" w:rsidRPr="00945114">
        <w:rPr>
          <w:rFonts w:ascii="Times New Roman" w:hAnsi="Times New Roman"/>
        </w:rPr>
        <w:t>t</w:t>
      </w:r>
      <w:r w:rsidR="00ED3C53" w:rsidRPr="00945114">
        <w:rPr>
          <w:rFonts w:ascii="Times New Roman" w:hAnsi="Times New Roman"/>
        </w:rPr>
        <w:t xml:space="preserve">he Act provides that a </w:t>
      </w:r>
      <w:r w:rsidR="00E20CA2" w:rsidRPr="00945114">
        <w:rPr>
          <w:rFonts w:ascii="Times New Roman" w:hAnsi="Times New Roman"/>
        </w:rPr>
        <w:t xml:space="preserve">consultation </w:t>
      </w:r>
      <w:r w:rsidR="00ED3C53" w:rsidRPr="00945114">
        <w:rPr>
          <w:rFonts w:ascii="Times New Roman" w:hAnsi="Times New Roman"/>
          <w:iCs/>
        </w:rPr>
        <w:t>term must be included in an enterprise agreement requiring consultation of representatives about major workplace change</w:t>
      </w:r>
      <w:r w:rsidR="007B7ED1" w:rsidRPr="00945114">
        <w:rPr>
          <w:rFonts w:ascii="Times New Roman" w:hAnsi="Times New Roman"/>
          <w:iCs/>
        </w:rPr>
        <w:t>.</w:t>
      </w:r>
      <w:r w:rsidR="00ED3C53" w:rsidRPr="00945114">
        <w:rPr>
          <w:rStyle w:val="FootnoteReference"/>
          <w:rFonts w:ascii="Times New Roman" w:hAnsi="Times New Roman"/>
          <w:iCs/>
        </w:rPr>
        <w:footnoteReference w:id="9"/>
      </w:r>
      <w:r w:rsidR="00ED3C53" w:rsidRPr="00945114">
        <w:rPr>
          <w:rFonts w:ascii="Times New Roman" w:hAnsi="Times New Roman"/>
        </w:rPr>
        <w:t xml:space="preserve"> </w:t>
      </w:r>
      <w:r w:rsidR="00ED3C53" w:rsidRPr="00945114">
        <w:rPr>
          <w:rFonts w:ascii="Times New Roman" w:hAnsi="Times New Roman"/>
          <w:bCs/>
        </w:rPr>
        <w:t>I</w:t>
      </w:r>
      <w:r w:rsidR="00ED3C53" w:rsidRPr="00945114">
        <w:rPr>
          <w:rFonts w:ascii="Times New Roman" w:hAnsi="Times New Roman"/>
        </w:rPr>
        <w:t xml:space="preserve">f an enterprise agreement does not include a consultation term, then the model term is taken to be a condition of the agreement. The </w:t>
      </w:r>
      <w:r w:rsidR="00ED3C53" w:rsidRPr="00945114">
        <w:rPr>
          <w:rFonts w:ascii="Times New Roman" w:hAnsi="Times New Roman"/>
          <w:bCs/>
          <w:iCs/>
        </w:rPr>
        <w:t xml:space="preserve">model consultation term </w:t>
      </w:r>
      <w:r w:rsidR="00ED3C53" w:rsidRPr="00945114">
        <w:rPr>
          <w:rFonts w:ascii="Times New Roman" w:hAnsi="Times New Roman"/>
        </w:rPr>
        <w:t>for enterprise agreements is prescribed in the regulations, which require consultation of relevant employees and appointment of employee representatives</w:t>
      </w:r>
      <w:r w:rsidR="007B7ED1" w:rsidRPr="00945114">
        <w:rPr>
          <w:rFonts w:ascii="Times New Roman" w:hAnsi="Times New Roman"/>
        </w:rPr>
        <w:t>.</w:t>
      </w:r>
      <w:r w:rsidR="00ED3C53" w:rsidRPr="00945114">
        <w:rPr>
          <w:rStyle w:val="FootnoteReference"/>
          <w:rFonts w:ascii="Times New Roman" w:hAnsi="Times New Roman"/>
        </w:rPr>
        <w:footnoteReference w:id="10"/>
      </w:r>
      <w:r w:rsidR="00F3188B" w:rsidRPr="00945114">
        <w:rPr>
          <w:rFonts w:ascii="Times New Roman" w:hAnsi="Times New Roman"/>
        </w:rPr>
        <w:t xml:space="preserve"> It is notable that similar consultation procedures over major workplace change are also required for modern awards under </w:t>
      </w:r>
      <w:r w:rsidR="003C60DB">
        <w:rPr>
          <w:rFonts w:ascii="Times New Roman" w:hAnsi="Times New Roman"/>
        </w:rPr>
        <w:t>s 139(1</w:t>
      </w:r>
      <w:proofErr w:type="gramStart"/>
      <w:r w:rsidR="003C60DB">
        <w:rPr>
          <w:rFonts w:ascii="Times New Roman" w:hAnsi="Times New Roman"/>
        </w:rPr>
        <w:t>)(</w:t>
      </w:r>
      <w:proofErr w:type="gramEnd"/>
      <w:r w:rsidR="003C60DB">
        <w:rPr>
          <w:rFonts w:ascii="Times New Roman" w:hAnsi="Times New Roman"/>
        </w:rPr>
        <w:t xml:space="preserve">j) of the FWA. </w:t>
      </w:r>
      <w:r w:rsidR="00F3188B" w:rsidRPr="00945114">
        <w:rPr>
          <w:rFonts w:ascii="Times New Roman" w:hAnsi="Times New Roman"/>
        </w:rPr>
        <w:t xml:space="preserve">However, we only focus </w:t>
      </w:r>
      <w:r w:rsidR="00893BAD" w:rsidRPr="00945114">
        <w:rPr>
          <w:rFonts w:ascii="Times New Roman" w:hAnsi="Times New Roman"/>
        </w:rPr>
        <w:t xml:space="preserve">in this submission </w:t>
      </w:r>
      <w:r w:rsidR="00F3188B" w:rsidRPr="00945114">
        <w:rPr>
          <w:rFonts w:ascii="Times New Roman" w:hAnsi="Times New Roman"/>
        </w:rPr>
        <w:t>on the model term required in enterprise agreements.</w:t>
      </w:r>
    </w:p>
    <w:p w:rsidR="00ED3C53" w:rsidRPr="00945114" w:rsidRDefault="00ED3C53" w:rsidP="00590CCF">
      <w:pPr>
        <w:spacing w:after="0" w:line="240" w:lineRule="auto"/>
        <w:rPr>
          <w:rFonts w:ascii="Times New Roman" w:hAnsi="Times New Roman"/>
        </w:rPr>
      </w:pPr>
    </w:p>
    <w:p w:rsidR="00C453B8" w:rsidRPr="00945114" w:rsidRDefault="00C453B8" w:rsidP="00590CCF">
      <w:pPr>
        <w:spacing w:after="0" w:line="240" w:lineRule="auto"/>
        <w:rPr>
          <w:rFonts w:ascii="Times New Roman" w:hAnsi="Times New Roman"/>
        </w:rPr>
      </w:pPr>
      <w:r w:rsidRPr="00945114">
        <w:rPr>
          <w:rFonts w:ascii="Times New Roman" w:hAnsi="Times New Roman"/>
        </w:rPr>
        <w:t xml:space="preserve">The model term provides: </w:t>
      </w:r>
    </w:p>
    <w:p w:rsidR="00C453B8" w:rsidRPr="00945114" w:rsidRDefault="00C453B8" w:rsidP="00590CCF">
      <w:pPr>
        <w:pStyle w:val="ListParagraph"/>
        <w:numPr>
          <w:ilvl w:val="0"/>
          <w:numId w:val="7"/>
        </w:numPr>
        <w:rPr>
          <w:rFonts w:ascii="Times New Roman" w:hAnsi="Times New Roman"/>
          <w:sz w:val="22"/>
          <w:szCs w:val="22"/>
        </w:rPr>
      </w:pPr>
      <w:r w:rsidRPr="00945114">
        <w:rPr>
          <w:rFonts w:ascii="Times New Roman" w:hAnsi="Times New Roman"/>
          <w:sz w:val="22"/>
          <w:szCs w:val="22"/>
        </w:rPr>
        <w:t xml:space="preserve">a right to representation at work; </w:t>
      </w:r>
    </w:p>
    <w:p w:rsidR="00C453B8" w:rsidRPr="00945114" w:rsidRDefault="00C453B8" w:rsidP="00590CCF">
      <w:pPr>
        <w:pStyle w:val="ListParagraph"/>
        <w:numPr>
          <w:ilvl w:val="0"/>
          <w:numId w:val="7"/>
        </w:numPr>
        <w:rPr>
          <w:rFonts w:ascii="Times New Roman" w:hAnsi="Times New Roman"/>
          <w:sz w:val="22"/>
          <w:szCs w:val="22"/>
        </w:rPr>
      </w:pPr>
      <w:r w:rsidRPr="00945114">
        <w:rPr>
          <w:rFonts w:ascii="Times New Roman" w:hAnsi="Times New Roman"/>
          <w:sz w:val="22"/>
          <w:szCs w:val="22"/>
        </w:rPr>
        <w:t>a procedure for addressing grievances; and</w:t>
      </w:r>
    </w:p>
    <w:p w:rsidR="00C453B8" w:rsidRPr="00945114" w:rsidRDefault="00C453B8" w:rsidP="00590CCF">
      <w:pPr>
        <w:pStyle w:val="ListParagraph"/>
        <w:numPr>
          <w:ilvl w:val="0"/>
          <w:numId w:val="7"/>
        </w:numPr>
        <w:rPr>
          <w:rFonts w:ascii="Times New Roman" w:hAnsi="Times New Roman"/>
          <w:sz w:val="22"/>
          <w:szCs w:val="22"/>
        </w:rPr>
      </w:pPr>
      <w:proofErr w:type="gramStart"/>
      <w:r w:rsidRPr="00945114">
        <w:rPr>
          <w:rFonts w:ascii="Times New Roman" w:hAnsi="Times New Roman"/>
          <w:sz w:val="22"/>
          <w:szCs w:val="22"/>
        </w:rPr>
        <w:t>a</w:t>
      </w:r>
      <w:proofErr w:type="gramEnd"/>
      <w:r w:rsidRPr="00945114">
        <w:rPr>
          <w:rFonts w:ascii="Times New Roman" w:hAnsi="Times New Roman"/>
          <w:sz w:val="22"/>
          <w:szCs w:val="22"/>
        </w:rPr>
        <w:t xml:space="preserve"> self-regulatory compliance mechanism.</w:t>
      </w:r>
    </w:p>
    <w:p w:rsidR="001163B2" w:rsidRPr="00945114" w:rsidRDefault="00C453B8" w:rsidP="00590CCF">
      <w:pPr>
        <w:spacing w:after="0" w:line="240" w:lineRule="auto"/>
        <w:rPr>
          <w:rFonts w:ascii="Times New Roman" w:hAnsi="Times New Roman"/>
        </w:rPr>
      </w:pPr>
      <w:r w:rsidRPr="00945114">
        <w:rPr>
          <w:rFonts w:ascii="Times New Roman" w:hAnsi="Times New Roman"/>
        </w:rPr>
        <w:br/>
        <w:t>The model term could be improved if the consultation provisions better address</w:t>
      </w:r>
      <w:r w:rsidR="009E11BC" w:rsidRPr="00945114">
        <w:rPr>
          <w:rFonts w:ascii="Times New Roman" w:hAnsi="Times New Roman"/>
        </w:rPr>
        <w:t>ed</w:t>
      </w:r>
      <w:r w:rsidRPr="00945114">
        <w:rPr>
          <w:rFonts w:ascii="Times New Roman" w:hAnsi="Times New Roman"/>
        </w:rPr>
        <w:t xml:space="preserve"> other objectives of the Act, including co-operation and productivity. </w:t>
      </w:r>
    </w:p>
    <w:p w:rsidR="00B364AF" w:rsidRPr="00945114" w:rsidRDefault="00B364AF" w:rsidP="00590CCF">
      <w:pPr>
        <w:spacing w:after="0" w:line="240" w:lineRule="auto"/>
        <w:rPr>
          <w:rFonts w:ascii="Times New Roman" w:hAnsi="Times New Roman"/>
        </w:rPr>
      </w:pPr>
    </w:p>
    <w:p w:rsidR="00C14ECF" w:rsidRPr="00945114" w:rsidRDefault="00C14ECF" w:rsidP="00590CCF">
      <w:pPr>
        <w:spacing w:after="0" w:line="240" w:lineRule="auto"/>
        <w:rPr>
          <w:rFonts w:ascii="Times New Roman" w:hAnsi="Times New Roman"/>
        </w:rPr>
      </w:pPr>
    </w:p>
    <w:p w:rsidR="00C14ECF" w:rsidRPr="00F531FE" w:rsidRDefault="00F531FE" w:rsidP="00590CCF">
      <w:pPr>
        <w:spacing w:after="0" w:line="240" w:lineRule="auto"/>
        <w:rPr>
          <w:rFonts w:ascii="Times New Roman" w:hAnsi="Times New Roman"/>
          <w:b/>
          <w:u w:val="single"/>
        </w:rPr>
      </w:pPr>
      <w:r>
        <w:rPr>
          <w:rFonts w:ascii="Times New Roman" w:hAnsi="Times New Roman"/>
          <w:b/>
          <w:u w:val="single"/>
        </w:rPr>
        <w:t>Enhancing C</w:t>
      </w:r>
      <w:r w:rsidR="00C14ECF" w:rsidRPr="00F531FE">
        <w:rPr>
          <w:rFonts w:ascii="Times New Roman" w:hAnsi="Times New Roman"/>
          <w:b/>
          <w:u w:val="single"/>
        </w:rPr>
        <w:t xml:space="preserve">onsultation </w:t>
      </w:r>
      <w:r>
        <w:rPr>
          <w:rFonts w:ascii="Times New Roman" w:hAnsi="Times New Roman"/>
          <w:b/>
          <w:u w:val="single"/>
        </w:rPr>
        <w:t>P</w:t>
      </w:r>
      <w:r w:rsidR="00C14ECF" w:rsidRPr="00F531FE">
        <w:rPr>
          <w:rFonts w:ascii="Times New Roman" w:hAnsi="Times New Roman"/>
          <w:b/>
          <w:u w:val="single"/>
        </w:rPr>
        <w:t xml:space="preserve">rocedures in Australia by </w:t>
      </w:r>
      <w:r>
        <w:rPr>
          <w:rFonts w:ascii="Times New Roman" w:hAnsi="Times New Roman"/>
          <w:b/>
          <w:u w:val="single"/>
        </w:rPr>
        <w:t>R</w:t>
      </w:r>
      <w:r w:rsidR="00C14ECF" w:rsidRPr="00F531FE">
        <w:rPr>
          <w:rFonts w:ascii="Times New Roman" w:hAnsi="Times New Roman"/>
          <w:b/>
          <w:u w:val="single"/>
        </w:rPr>
        <w:t xml:space="preserve">eference to the </w:t>
      </w:r>
      <w:r>
        <w:rPr>
          <w:rFonts w:ascii="Times New Roman" w:hAnsi="Times New Roman"/>
          <w:b/>
          <w:u w:val="single"/>
        </w:rPr>
        <w:t>E</w:t>
      </w:r>
      <w:r w:rsidR="00C14ECF" w:rsidRPr="00F531FE">
        <w:rPr>
          <w:rFonts w:ascii="Times New Roman" w:hAnsi="Times New Roman"/>
          <w:b/>
          <w:u w:val="single"/>
        </w:rPr>
        <w:t xml:space="preserve">xperience of European </w:t>
      </w:r>
      <w:r>
        <w:rPr>
          <w:rFonts w:ascii="Times New Roman" w:hAnsi="Times New Roman"/>
          <w:b/>
          <w:u w:val="single"/>
        </w:rPr>
        <w:t>C</w:t>
      </w:r>
      <w:r w:rsidR="00C14ECF" w:rsidRPr="00F531FE">
        <w:rPr>
          <w:rFonts w:ascii="Times New Roman" w:hAnsi="Times New Roman"/>
          <w:b/>
          <w:u w:val="single"/>
        </w:rPr>
        <w:t>ountries</w:t>
      </w:r>
    </w:p>
    <w:p w:rsidR="00C14ECF" w:rsidRPr="00945114" w:rsidRDefault="00C14ECF" w:rsidP="00590CCF">
      <w:pPr>
        <w:spacing w:after="0" w:line="240" w:lineRule="auto"/>
        <w:rPr>
          <w:rFonts w:ascii="Times New Roman" w:hAnsi="Times New Roman"/>
        </w:rPr>
      </w:pPr>
    </w:p>
    <w:p w:rsidR="00C14ECF" w:rsidRPr="00945114" w:rsidRDefault="00C14ECF" w:rsidP="00590CCF">
      <w:pPr>
        <w:spacing w:after="0" w:line="240" w:lineRule="auto"/>
        <w:rPr>
          <w:rFonts w:ascii="Times New Roman" w:hAnsi="Times New Roman"/>
        </w:rPr>
      </w:pPr>
      <w:r w:rsidRPr="00945114">
        <w:rPr>
          <w:rFonts w:ascii="Times New Roman" w:hAnsi="Times New Roman"/>
        </w:rPr>
        <w:t>There are other ways in which the model term could also be enhanced.</w:t>
      </w:r>
    </w:p>
    <w:p w:rsidR="00C14ECF" w:rsidRPr="00945114" w:rsidRDefault="00C14ECF" w:rsidP="00590CCF">
      <w:pPr>
        <w:spacing w:after="0" w:line="240" w:lineRule="auto"/>
        <w:rPr>
          <w:rFonts w:ascii="Times New Roman" w:hAnsi="Times New Roman"/>
        </w:rPr>
      </w:pPr>
    </w:p>
    <w:p w:rsidR="00C453B8" w:rsidRPr="00945114" w:rsidRDefault="00C453B8" w:rsidP="00590CCF">
      <w:pPr>
        <w:spacing w:after="0" w:line="240" w:lineRule="auto"/>
        <w:rPr>
          <w:rStyle w:val="FootnoteTextChar"/>
          <w:rFonts w:ascii="Times New Roman" w:hAnsi="Times New Roman"/>
          <w:sz w:val="22"/>
          <w:szCs w:val="22"/>
          <w:lang w:val="en-US"/>
        </w:rPr>
      </w:pPr>
      <w:r w:rsidRPr="00945114">
        <w:rPr>
          <w:rFonts w:ascii="Times New Roman" w:hAnsi="Times New Roman"/>
        </w:rPr>
        <w:t xml:space="preserve">First, the topics for consultation in the model term are far more limited than in comparable European laws. Under the model term, consultation is required where </w:t>
      </w:r>
      <w:r w:rsidRPr="00945114">
        <w:rPr>
          <w:rStyle w:val="FootnoteTextChar"/>
          <w:rFonts w:ascii="Times New Roman" w:hAnsi="Times New Roman"/>
          <w:sz w:val="22"/>
          <w:szCs w:val="22"/>
        </w:rPr>
        <w:t xml:space="preserve">a major change is likely to have a significant effect on employees if it results in: </w:t>
      </w:r>
    </w:p>
    <w:p w:rsidR="00C453B8" w:rsidRPr="00F531FE" w:rsidRDefault="00C453B8" w:rsidP="00590CCF">
      <w:pPr>
        <w:pStyle w:val="FootnoteText"/>
        <w:numPr>
          <w:ilvl w:val="0"/>
          <w:numId w:val="1"/>
        </w:numPr>
        <w:rPr>
          <w:rStyle w:val="FootnoteTextChar"/>
          <w:rFonts w:ascii="Times New Roman" w:hAnsi="Times New Roman"/>
        </w:rPr>
      </w:pPr>
      <w:r w:rsidRPr="00F531FE">
        <w:rPr>
          <w:rStyle w:val="FootnoteTextChar"/>
          <w:rFonts w:ascii="Times New Roman" w:hAnsi="Times New Roman"/>
        </w:rPr>
        <w:lastRenderedPageBreak/>
        <w:t>the termination of the employment of employees; or</w:t>
      </w:r>
    </w:p>
    <w:p w:rsidR="00C453B8" w:rsidRPr="00F531FE" w:rsidRDefault="00C453B8" w:rsidP="00590CCF">
      <w:pPr>
        <w:pStyle w:val="FootnoteText"/>
        <w:numPr>
          <w:ilvl w:val="0"/>
          <w:numId w:val="1"/>
        </w:numPr>
        <w:rPr>
          <w:rStyle w:val="FootnoteTextChar"/>
          <w:rFonts w:ascii="Times New Roman" w:hAnsi="Times New Roman"/>
        </w:rPr>
      </w:pPr>
      <w:r w:rsidRPr="00F531FE">
        <w:rPr>
          <w:rStyle w:val="FootnoteTextChar"/>
          <w:rFonts w:ascii="Times New Roman" w:hAnsi="Times New Roman"/>
        </w:rPr>
        <w:t>major change to the composition, operation or size of the employer’s workforce or to the skills required of employees; or</w:t>
      </w:r>
    </w:p>
    <w:p w:rsidR="00C453B8" w:rsidRPr="00F531FE" w:rsidRDefault="00C453B8" w:rsidP="00590CCF">
      <w:pPr>
        <w:pStyle w:val="FootnoteText"/>
        <w:numPr>
          <w:ilvl w:val="0"/>
          <w:numId w:val="1"/>
        </w:numPr>
        <w:rPr>
          <w:rStyle w:val="FootnoteTextChar"/>
          <w:rFonts w:ascii="Times New Roman" w:hAnsi="Times New Roman"/>
        </w:rPr>
      </w:pPr>
      <w:r w:rsidRPr="00F531FE">
        <w:rPr>
          <w:rStyle w:val="FootnoteTextChar"/>
          <w:rFonts w:ascii="Times New Roman" w:hAnsi="Times New Roman"/>
        </w:rPr>
        <w:t>the elimination or diminution of job opportunities (including opportunities for promotion or tenure); or</w:t>
      </w:r>
    </w:p>
    <w:p w:rsidR="00C453B8" w:rsidRPr="00F531FE" w:rsidRDefault="00C453B8" w:rsidP="00590CCF">
      <w:pPr>
        <w:pStyle w:val="FootnoteText"/>
        <w:numPr>
          <w:ilvl w:val="0"/>
          <w:numId w:val="1"/>
        </w:numPr>
        <w:rPr>
          <w:rStyle w:val="FootnoteTextChar"/>
          <w:rFonts w:ascii="Times New Roman" w:hAnsi="Times New Roman"/>
        </w:rPr>
      </w:pPr>
      <w:r w:rsidRPr="00F531FE">
        <w:rPr>
          <w:rStyle w:val="FootnoteTextChar"/>
          <w:rFonts w:ascii="Times New Roman" w:hAnsi="Times New Roman"/>
        </w:rPr>
        <w:t>the alteration of hours of work; or</w:t>
      </w:r>
    </w:p>
    <w:p w:rsidR="00C453B8" w:rsidRPr="00F531FE" w:rsidRDefault="00C453B8" w:rsidP="00590CCF">
      <w:pPr>
        <w:pStyle w:val="FootnoteText"/>
        <w:numPr>
          <w:ilvl w:val="0"/>
          <w:numId w:val="1"/>
        </w:numPr>
        <w:rPr>
          <w:rStyle w:val="FootnoteTextChar"/>
          <w:rFonts w:ascii="Times New Roman" w:hAnsi="Times New Roman"/>
        </w:rPr>
      </w:pPr>
      <w:r w:rsidRPr="00F531FE">
        <w:rPr>
          <w:rStyle w:val="FootnoteTextChar"/>
          <w:rFonts w:ascii="Times New Roman" w:hAnsi="Times New Roman"/>
        </w:rPr>
        <w:t>the need to retrain employees; or</w:t>
      </w:r>
    </w:p>
    <w:p w:rsidR="00C453B8" w:rsidRPr="00F531FE" w:rsidRDefault="00C453B8" w:rsidP="00590CCF">
      <w:pPr>
        <w:pStyle w:val="FootnoteText"/>
        <w:numPr>
          <w:ilvl w:val="0"/>
          <w:numId w:val="1"/>
        </w:numPr>
        <w:rPr>
          <w:rFonts w:ascii="Times New Roman" w:hAnsi="Times New Roman"/>
          <w:sz w:val="20"/>
          <w:szCs w:val="20"/>
        </w:rPr>
      </w:pPr>
      <w:proofErr w:type="gramStart"/>
      <w:r w:rsidRPr="00F531FE">
        <w:rPr>
          <w:rStyle w:val="FootnoteTextChar"/>
          <w:rFonts w:ascii="Times New Roman" w:hAnsi="Times New Roman"/>
        </w:rPr>
        <w:t>the</w:t>
      </w:r>
      <w:proofErr w:type="gramEnd"/>
      <w:r w:rsidRPr="00F531FE">
        <w:rPr>
          <w:rStyle w:val="FootnoteTextChar"/>
          <w:rFonts w:ascii="Times New Roman" w:hAnsi="Times New Roman"/>
        </w:rPr>
        <w:t xml:space="preserve"> need to relocate employees to another workplace; or the restructuring of jobs.</w:t>
      </w:r>
      <w:r w:rsidR="00BC4BAE" w:rsidRPr="00F531FE">
        <w:rPr>
          <w:rStyle w:val="FootnoteReference"/>
          <w:rFonts w:ascii="Times New Roman" w:hAnsi="Times New Roman"/>
          <w:sz w:val="20"/>
          <w:szCs w:val="20"/>
          <w:lang w:val="en-AU"/>
        </w:rPr>
        <w:footnoteReference w:id="11"/>
      </w:r>
      <w:r w:rsidRPr="00F531FE">
        <w:rPr>
          <w:rStyle w:val="FootnoteTextChar"/>
          <w:rFonts w:ascii="Times New Roman" w:hAnsi="Times New Roman"/>
        </w:rPr>
        <w:t xml:space="preserve"> </w:t>
      </w:r>
    </w:p>
    <w:p w:rsidR="00C453B8" w:rsidRPr="00945114" w:rsidRDefault="00C453B8" w:rsidP="00590CCF">
      <w:pPr>
        <w:pStyle w:val="FootnoteText"/>
        <w:ind w:left="360"/>
        <w:rPr>
          <w:rFonts w:ascii="Times New Roman" w:hAnsi="Times New Roman"/>
        </w:rPr>
      </w:pPr>
    </w:p>
    <w:p w:rsidR="00A001C5" w:rsidRPr="00945114" w:rsidRDefault="00BA4745" w:rsidP="00590CCF">
      <w:pPr>
        <w:spacing w:after="0" w:line="240" w:lineRule="auto"/>
        <w:rPr>
          <w:rFonts w:ascii="Times New Roman" w:hAnsi="Times New Roman"/>
        </w:rPr>
      </w:pPr>
      <w:r>
        <w:rPr>
          <w:rFonts w:ascii="Times New Roman" w:hAnsi="Times New Roman"/>
        </w:rPr>
        <w:t>F</w:t>
      </w:r>
      <w:r w:rsidR="00A001C5" w:rsidRPr="00945114">
        <w:rPr>
          <w:rFonts w:ascii="Times New Roman" w:hAnsi="Times New Roman"/>
        </w:rPr>
        <w:t>rom 2014, whe</w:t>
      </w:r>
      <w:r w:rsidR="00C14ECF" w:rsidRPr="00945114">
        <w:rPr>
          <w:rFonts w:ascii="Times New Roman" w:hAnsi="Times New Roman"/>
        </w:rPr>
        <w:t>re the impact of a change to an employee's</w:t>
      </w:r>
      <w:r w:rsidR="00A001C5" w:rsidRPr="00945114">
        <w:rPr>
          <w:rFonts w:ascii="Times New Roman" w:hAnsi="Times New Roman"/>
        </w:rPr>
        <w:t xml:space="preserve"> regular roster or ordinary hours of work does not constitute major workplace change, an employer will nevertheless be subject to the same consultation obligation regarding </w:t>
      </w:r>
      <w:r w:rsidR="00C14ECF" w:rsidRPr="00945114">
        <w:rPr>
          <w:rFonts w:ascii="Times New Roman" w:hAnsi="Times New Roman"/>
        </w:rPr>
        <w:t>these matters</w:t>
      </w:r>
      <w:r w:rsidR="00F531FE">
        <w:rPr>
          <w:rFonts w:ascii="Times New Roman" w:hAnsi="Times New Roman"/>
        </w:rPr>
        <w:t xml:space="preserve">. </w:t>
      </w:r>
      <w:r w:rsidR="00A001C5" w:rsidRPr="00945114">
        <w:rPr>
          <w:rFonts w:ascii="Times New Roman" w:hAnsi="Times New Roman"/>
        </w:rPr>
        <w:t xml:space="preserve">Section 205 of the </w:t>
      </w:r>
      <w:r w:rsidR="00A001C5" w:rsidRPr="00F531FE">
        <w:rPr>
          <w:rFonts w:ascii="Times New Roman" w:hAnsi="Times New Roman"/>
        </w:rPr>
        <w:t>FWA</w:t>
      </w:r>
      <w:r w:rsidR="00A001C5" w:rsidRPr="00945114">
        <w:rPr>
          <w:rFonts w:ascii="Times New Roman" w:hAnsi="Times New Roman"/>
        </w:rPr>
        <w:t xml:space="preserve"> requires consultation of representatives about major workplace change and change to the regular roster or ordinary hours of work of employees to be a term of an enterprise agreeme</w:t>
      </w:r>
      <w:r w:rsidR="00F531FE">
        <w:rPr>
          <w:rFonts w:ascii="Times New Roman" w:hAnsi="Times New Roman"/>
        </w:rPr>
        <w:t xml:space="preserve">nt.  From 2014, amended s </w:t>
      </w:r>
      <w:r w:rsidR="00A001C5" w:rsidRPr="00945114">
        <w:rPr>
          <w:rFonts w:ascii="Times New Roman" w:hAnsi="Times New Roman"/>
        </w:rPr>
        <w:t>205 provides for a new consultation process to be included in a term in an enterprise agreement.</w:t>
      </w:r>
      <w:r w:rsidR="00A001C5" w:rsidRPr="00945114">
        <w:rPr>
          <w:rStyle w:val="FootnoteReference"/>
          <w:rFonts w:ascii="Times New Roman" w:hAnsi="Times New Roman"/>
        </w:rPr>
        <w:footnoteReference w:id="12"/>
      </w:r>
      <w:r w:rsidR="00A001C5" w:rsidRPr="00945114">
        <w:rPr>
          <w:rFonts w:ascii="Times New Roman" w:hAnsi="Times New Roman"/>
        </w:rPr>
        <w:t xml:space="preserve"> The term requires an employer to consult with their employees about change to a regular roster or ordinary hours of work by:</w:t>
      </w:r>
    </w:p>
    <w:p w:rsidR="00A001C5" w:rsidRPr="00F531FE" w:rsidRDefault="00A001C5" w:rsidP="00F531FE">
      <w:pPr>
        <w:pStyle w:val="ListParagraph"/>
        <w:numPr>
          <w:ilvl w:val="0"/>
          <w:numId w:val="16"/>
        </w:numPr>
        <w:rPr>
          <w:rFonts w:ascii="Times New Roman" w:hAnsi="Times New Roman"/>
          <w:sz w:val="20"/>
          <w:szCs w:val="20"/>
        </w:rPr>
      </w:pPr>
      <w:r w:rsidRPr="00F531FE">
        <w:rPr>
          <w:rFonts w:ascii="Times New Roman" w:hAnsi="Times New Roman"/>
          <w:sz w:val="20"/>
          <w:szCs w:val="20"/>
        </w:rPr>
        <w:t xml:space="preserve">providing information to the employees about the change; </w:t>
      </w:r>
    </w:p>
    <w:p w:rsidR="00A001C5" w:rsidRPr="00F531FE" w:rsidRDefault="00A001C5" w:rsidP="00F531FE">
      <w:pPr>
        <w:pStyle w:val="ListParagraph"/>
        <w:numPr>
          <w:ilvl w:val="0"/>
          <w:numId w:val="16"/>
        </w:numPr>
        <w:rPr>
          <w:rFonts w:ascii="Times New Roman" w:hAnsi="Times New Roman"/>
          <w:sz w:val="20"/>
          <w:szCs w:val="20"/>
        </w:rPr>
      </w:pPr>
      <w:r w:rsidRPr="00F531FE">
        <w:rPr>
          <w:rFonts w:ascii="Times New Roman" w:hAnsi="Times New Roman"/>
          <w:sz w:val="20"/>
          <w:szCs w:val="20"/>
        </w:rPr>
        <w:t>inviting employees to give their views about the impact of the change (including any impact in relation to their family and caring responsibilities); and</w:t>
      </w:r>
    </w:p>
    <w:p w:rsidR="00A001C5" w:rsidRPr="00F531FE" w:rsidRDefault="00A001C5" w:rsidP="00F531FE">
      <w:pPr>
        <w:pStyle w:val="ListParagraph"/>
        <w:numPr>
          <w:ilvl w:val="0"/>
          <w:numId w:val="16"/>
        </w:numPr>
        <w:rPr>
          <w:rFonts w:ascii="Times New Roman" w:hAnsi="Times New Roman"/>
          <w:sz w:val="20"/>
          <w:szCs w:val="20"/>
        </w:rPr>
      </w:pPr>
      <w:proofErr w:type="gramStart"/>
      <w:r w:rsidRPr="00F531FE">
        <w:rPr>
          <w:rFonts w:ascii="Times New Roman" w:hAnsi="Times New Roman"/>
          <w:sz w:val="20"/>
          <w:szCs w:val="20"/>
        </w:rPr>
        <w:t>considering</w:t>
      </w:r>
      <w:proofErr w:type="gramEnd"/>
      <w:r w:rsidRPr="00F531FE">
        <w:rPr>
          <w:rFonts w:ascii="Times New Roman" w:hAnsi="Times New Roman"/>
          <w:sz w:val="20"/>
          <w:szCs w:val="20"/>
        </w:rPr>
        <w:t xml:space="preserve"> any views put forward by those employees about the impact of the change.</w:t>
      </w:r>
      <w:r w:rsidR="00F531FE">
        <w:rPr>
          <w:rStyle w:val="FootnoteReference"/>
          <w:rFonts w:ascii="Times New Roman" w:hAnsi="Times New Roman"/>
          <w:sz w:val="20"/>
          <w:szCs w:val="20"/>
        </w:rPr>
        <w:footnoteReference w:id="13"/>
      </w:r>
    </w:p>
    <w:p w:rsidR="00C72ACB" w:rsidRDefault="00C72ACB" w:rsidP="00590CCF">
      <w:pPr>
        <w:spacing w:after="0" w:line="240" w:lineRule="auto"/>
        <w:rPr>
          <w:rFonts w:ascii="Times New Roman" w:hAnsi="Times New Roman"/>
        </w:rPr>
      </w:pPr>
    </w:p>
    <w:p w:rsidR="00754DE2" w:rsidRPr="00945114" w:rsidRDefault="00754DE2" w:rsidP="00590CCF">
      <w:pPr>
        <w:spacing w:after="0" w:line="240" w:lineRule="auto"/>
        <w:rPr>
          <w:rFonts w:ascii="Times New Roman" w:hAnsi="Times New Roman"/>
        </w:rPr>
      </w:pPr>
    </w:p>
    <w:p w:rsidR="00754DE2" w:rsidRDefault="00C85C17" w:rsidP="00590CCF">
      <w:pPr>
        <w:spacing w:after="0" w:line="240" w:lineRule="auto"/>
        <w:rPr>
          <w:rFonts w:ascii="Times New Roman" w:hAnsi="Times New Roman"/>
        </w:rPr>
      </w:pPr>
      <w:r w:rsidRPr="00945114">
        <w:rPr>
          <w:rFonts w:ascii="Times New Roman" w:hAnsi="Times New Roman"/>
        </w:rPr>
        <w:t xml:space="preserve">Professors </w:t>
      </w:r>
      <w:r w:rsidR="00C453B8" w:rsidRPr="00945114">
        <w:rPr>
          <w:rFonts w:ascii="Times New Roman" w:hAnsi="Times New Roman"/>
        </w:rPr>
        <w:t xml:space="preserve">Creighton and Stewart note that the </w:t>
      </w:r>
      <w:r w:rsidR="00A001C5" w:rsidRPr="00945114">
        <w:rPr>
          <w:rFonts w:ascii="Times New Roman" w:hAnsi="Times New Roman"/>
        </w:rPr>
        <w:t xml:space="preserve">model </w:t>
      </w:r>
      <w:r w:rsidR="00C453B8" w:rsidRPr="00945114">
        <w:rPr>
          <w:rFonts w:ascii="Times New Roman" w:hAnsi="Times New Roman"/>
        </w:rPr>
        <w:t>term</w:t>
      </w:r>
      <w:r w:rsidR="00A001C5" w:rsidRPr="00945114">
        <w:rPr>
          <w:rFonts w:ascii="Times New Roman" w:hAnsi="Times New Roman"/>
        </w:rPr>
        <w:t xml:space="preserve"> introduced in 2009</w:t>
      </w:r>
      <w:r w:rsidR="00754DE2">
        <w:rPr>
          <w:rFonts w:ascii="Times New Roman" w:hAnsi="Times New Roman"/>
        </w:rPr>
        <w:t>:</w:t>
      </w:r>
    </w:p>
    <w:p w:rsidR="00754DE2" w:rsidRDefault="00C453B8" w:rsidP="00754DE2">
      <w:pPr>
        <w:spacing w:after="0" w:line="240" w:lineRule="auto"/>
        <w:ind w:left="720"/>
        <w:rPr>
          <w:rStyle w:val="CharacterStyle16"/>
          <w:rFonts w:ascii="Times New Roman" w:hAnsi="Times New Roman"/>
          <w:spacing w:val="-9"/>
          <w:w w:val="105"/>
          <w:szCs w:val="20"/>
        </w:rPr>
      </w:pPr>
      <w:proofErr w:type="gramStart"/>
      <w:r w:rsidRPr="00754DE2">
        <w:rPr>
          <w:rStyle w:val="CharacterStyle16"/>
          <w:rFonts w:ascii="Times New Roman" w:hAnsi="Times New Roman"/>
          <w:spacing w:val="-4"/>
          <w:w w:val="105"/>
          <w:szCs w:val="20"/>
        </w:rPr>
        <w:t>is</w:t>
      </w:r>
      <w:proofErr w:type="gramEnd"/>
      <w:r w:rsidRPr="00754DE2">
        <w:rPr>
          <w:rStyle w:val="CharacterStyle16"/>
          <w:rFonts w:ascii="Times New Roman" w:hAnsi="Times New Roman"/>
          <w:spacing w:val="-4"/>
          <w:w w:val="105"/>
          <w:szCs w:val="20"/>
        </w:rPr>
        <w:t xml:space="preserve"> similar (in the extent of information provision and </w:t>
      </w:r>
      <w:r w:rsidRPr="00754DE2">
        <w:rPr>
          <w:rStyle w:val="CharacterStyle16"/>
          <w:rFonts w:ascii="Times New Roman" w:hAnsi="Times New Roman"/>
          <w:spacing w:val="-2"/>
          <w:w w:val="105"/>
          <w:szCs w:val="20"/>
        </w:rPr>
        <w:t xml:space="preserve">consultation it requires and the range of issues in respect of which these processes </w:t>
      </w:r>
      <w:r w:rsidRPr="00754DE2">
        <w:rPr>
          <w:rStyle w:val="CharacterStyle16"/>
          <w:rFonts w:ascii="Times New Roman" w:hAnsi="Times New Roman"/>
          <w:spacing w:val="-1"/>
          <w:w w:val="105"/>
          <w:szCs w:val="20"/>
        </w:rPr>
        <w:t xml:space="preserve">are to occur) to the consultation clauses that were commonly inserted in awards </w:t>
      </w:r>
      <w:r w:rsidRPr="00754DE2">
        <w:rPr>
          <w:rStyle w:val="CharacterStyle16"/>
          <w:rFonts w:ascii="Times New Roman" w:hAnsi="Times New Roman"/>
          <w:spacing w:val="-7"/>
          <w:w w:val="105"/>
          <w:szCs w:val="20"/>
        </w:rPr>
        <w:t>and collective agreements following the</w:t>
      </w:r>
      <w:r w:rsidR="003C301D" w:rsidRPr="00754DE2">
        <w:rPr>
          <w:rStyle w:val="CharacterStyle16"/>
          <w:rFonts w:ascii="Times New Roman" w:hAnsi="Times New Roman"/>
          <w:spacing w:val="-7"/>
          <w:w w:val="105"/>
          <w:szCs w:val="20"/>
        </w:rPr>
        <w:t xml:space="preserve"> </w:t>
      </w:r>
      <w:r w:rsidRPr="00754DE2">
        <w:rPr>
          <w:rStyle w:val="CharacterStyle16"/>
          <w:rFonts w:ascii="Times New Roman" w:hAnsi="Times New Roman"/>
          <w:iCs/>
          <w:spacing w:val="-7"/>
          <w:w w:val="105"/>
          <w:szCs w:val="20"/>
        </w:rPr>
        <w:t>Termination, Change and Redundancy Case</w:t>
      </w:r>
      <w:r w:rsidRPr="00754DE2">
        <w:rPr>
          <w:rStyle w:val="CharacterStyle16"/>
          <w:rFonts w:ascii="Times New Roman" w:hAnsi="Times New Roman"/>
          <w:spacing w:val="-7"/>
          <w:w w:val="105"/>
          <w:szCs w:val="20"/>
        </w:rPr>
        <w:t xml:space="preserve"> in </w:t>
      </w:r>
      <w:r w:rsidR="00754DE2" w:rsidRPr="00754DE2">
        <w:rPr>
          <w:rStyle w:val="CharacterStyle16"/>
          <w:rFonts w:ascii="Times New Roman" w:hAnsi="Times New Roman"/>
          <w:spacing w:val="-9"/>
          <w:w w:val="105"/>
          <w:szCs w:val="20"/>
        </w:rPr>
        <w:t>1984.</w:t>
      </w:r>
      <w:r w:rsidR="000215AF" w:rsidRPr="00754DE2">
        <w:rPr>
          <w:rStyle w:val="FootnoteReference"/>
          <w:rFonts w:ascii="Times New Roman" w:hAnsi="Times New Roman"/>
          <w:spacing w:val="-9"/>
          <w:w w:val="105"/>
          <w:sz w:val="20"/>
          <w:szCs w:val="20"/>
        </w:rPr>
        <w:footnoteReference w:id="14"/>
      </w:r>
    </w:p>
    <w:p w:rsidR="00754DE2" w:rsidRPr="00754DE2" w:rsidRDefault="00754DE2" w:rsidP="00754DE2">
      <w:pPr>
        <w:spacing w:after="0" w:line="240" w:lineRule="auto"/>
        <w:ind w:left="720"/>
        <w:rPr>
          <w:rStyle w:val="CharacterStyle16"/>
          <w:rFonts w:ascii="Times New Roman" w:hAnsi="Times New Roman"/>
          <w:spacing w:val="-9"/>
          <w:w w:val="105"/>
          <w:szCs w:val="20"/>
        </w:rPr>
      </w:pPr>
    </w:p>
    <w:p w:rsidR="00C453B8" w:rsidRPr="00945114" w:rsidRDefault="00A001C5" w:rsidP="00590CCF">
      <w:pPr>
        <w:spacing w:after="0" w:line="240" w:lineRule="auto"/>
        <w:rPr>
          <w:rFonts w:ascii="Times New Roman" w:hAnsi="Times New Roman"/>
          <w:spacing w:val="-9"/>
          <w:w w:val="105"/>
        </w:rPr>
      </w:pPr>
      <w:r w:rsidRPr="00945114">
        <w:rPr>
          <w:rStyle w:val="CharacterStyle16"/>
          <w:rFonts w:ascii="Times New Roman" w:hAnsi="Times New Roman"/>
          <w:spacing w:val="-9"/>
          <w:w w:val="105"/>
          <w:sz w:val="22"/>
        </w:rPr>
        <w:t xml:space="preserve">Despite the modest amendments to the model term operating from 2014, Australia lags well behind mandated consultation requirements over structural adjustment adopted in the European Union.  </w:t>
      </w:r>
      <w:r w:rsidR="00C453B8" w:rsidRPr="00945114">
        <w:rPr>
          <w:rStyle w:val="CharacterStyle16"/>
          <w:rFonts w:ascii="Times New Roman" w:hAnsi="Times New Roman"/>
          <w:spacing w:val="-9"/>
          <w:w w:val="105"/>
          <w:sz w:val="22"/>
        </w:rPr>
        <w:t xml:space="preserve">Since the mid-1980s, the European Union has developed new directives requiring all member states to adopt information and consultation procedures that </w:t>
      </w:r>
      <w:r w:rsidR="009E11BC" w:rsidRPr="00945114">
        <w:rPr>
          <w:rStyle w:val="CharacterStyle16"/>
          <w:rFonts w:ascii="Times New Roman" w:hAnsi="Times New Roman"/>
          <w:spacing w:val="-9"/>
          <w:w w:val="105"/>
          <w:sz w:val="22"/>
        </w:rPr>
        <w:t xml:space="preserve">extend </w:t>
      </w:r>
      <w:r w:rsidR="00C453B8" w:rsidRPr="00945114">
        <w:rPr>
          <w:rStyle w:val="CharacterStyle16"/>
          <w:rFonts w:ascii="Times New Roman" w:hAnsi="Times New Roman"/>
          <w:spacing w:val="-9"/>
          <w:w w:val="105"/>
          <w:sz w:val="22"/>
        </w:rPr>
        <w:t xml:space="preserve">beyond those provided for in the model term. For instance, </w:t>
      </w:r>
      <w:r w:rsidR="001163B2" w:rsidRPr="00945114">
        <w:rPr>
          <w:rStyle w:val="CharacterStyle16"/>
          <w:rFonts w:ascii="Times New Roman" w:hAnsi="Times New Roman"/>
          <w:spacing w:val="-9"/>
          <w:w w:val="105"/>
          <w:sz w:val="22"/>
        </w:rPr>
        <w:t xml:space="preserve">the </w:t>
      </w:r>
      <w:r w:rsidR="00C453B8" w:rsidRPr="00945114">
        <w:rPr>
          <w:rFonts w:ascii="Times New Roman" w:hAnsi="Times New Roman"/>
        </w:rPr>
        <w:t>European Union Directive requiring the establishment of employee information and consultation procedures in undertakings in each of the member States</w:t>
      </w:r>
      <w:r w:rsidR="00C42DA6" w:rsidRPr="00945114">
        <w:rPr>
          <w:rFonts w:ascii="Times New Roman" w:hAnsi="Times New Roman"/>
        </w:rPr>
        <w:t xml:space="preserve"> provides a more general list</w:t>
      </w:r>
      <w:r w:rsidR="00C453B8" w:rsidRPr="00945114">
        <w:rPr>
          <w:rFonts w:ascii="Times New Roman" w:hAnsi="Times New Roman"/>
        </w:rPr>
        <w:t xml:space="preserve"> </w:t>
      </w:r>
      <w:r w:rsidR="000A56D3" w:rsidRPr="00945114">
        <w:rPr>
          <w:rFonts w:ascii="Times New Roman" w:hAnsi="Times New Roman"/>
        </w:rPr>
        <w:t xml:space="preserve">of </w:t>
      </w:r>
      <w:r w:rsidR="00C453B8" w:rsidRPr="00945114">
        <w:rPr>
          <w:rFonts w:ascii="Times New Roman" w:hAnsi="Times New Roman"/>
        </w:rPr>
        <w:t>topics to be discussed by employers and employees</w:t>
      </w:r>
      <w:r w:rsidR="00C42DA6" w:rsidRPr="00945114">
        <w:rPr>
          <w:rFonts w:ascii="Times New Roman" w:hAnsi="Times New Roman"/>
        </w:rPr>
        <w:t>.</w:t>
      </w:r>
      <w:r w:rsidR="00754DE2" w:rsidRPr="00945114">
        <w:rPr>
          <w:rStyle w:val="FootnoteReference"/>
          <w:rFonts w:ascii="Times New Roman" w:hAnsi="Times New Roman"/>
        </w:rPr>
        <w:footnoteReference w:id="15"/>
      </w:r>
      <w:r w:rsidR="00C42DA6" w:rsidRPr="00945114">
        <w:rPr>
          <w:rFonts w:ascii="Times New Roman" w:hAnsi="Times New Roman"/>
        </w:rPr>
        <w:t xml:space="preserve"> These include</w:t>
      </w:r>
      <w:r w:rsidR="00C453B8" w:rsidRPr="00945114">
        <w:rPr>
          <w:rFonts w:ascii="Times New Roman" w:hAnsi="Times New Roman"/>
        </w:rPr>
        <w:t>:</w:t>
      </w:r>
    </w:p>
    <w:p w:rsidR="00C453B8" w:rsidRPr="00945114" w:rsidRDefault="00C453B8" w:rsidP="00590CCF">
      <w:pPr>
        <w:pStyle w:val="ListParagraph"/>
        <w:numPr>
          <w:ilvl w:val="0"/>
          <w:numId w:val="11"/>
        </w:numPr>
        <w:rPr>
          <w:rFonts w:ascii="Times New Roman" w:hAnsi="Times New Roman"/>
          <w:sz w:val="22"/>
          <w:szCs w:val="22"/>
        </w:rPr>
      </w:pPr>
      <w:r w:rsidRPr="00945114">
        <w:rPr>
          <w:rFonts w:ascii="Times New Roman" w:hAnsi="Times New Roman"/>
          <w:sz w:val="22"/>
          <w:szCs w:val="22"/>
        </w:rPr>
        <w:t>the future development of the enterprise’s activities and its economic situation</w:t>
      </w:r>
      <w:r w:rsidR="00754DE2">
        <w:rPr>
          <w:rFonts w:ascii="Times New Roman" w:hAnsi="Times New Roman"/>
          <w:sz w:val="22"/>
          <w:szCs w:val="22"/>
        </w:rPr>
        <w:t>;</w:t>
      </w:r>
      <w:r w:rsidR="00B47222" w:rsidRPr="00945114">
        <w:rPr>
          <w:rStyle w:val="FootnoteReference"/>
          <w:rFonts w:ascii="Times New Roman" w:hAnsi="Times New Roman"/>
          <w:sz w:val="22"/>
          <w:szCs w:val="22"/>
        </w:rPr>
        <w:footnoteReference w:id="16"/>
      </w:r>
    </w:p>
    <w:p w:rsidR="00C453B8" w:rsidRPr="00945114" w:rsidRDefault="00C453B8" w:rsidP="00590CCF">
      <w:pPr>
        <w:pStyle w:val="ListParagraph"/>
        <w:numPr>
          <w:ilvl w:val="0"/>
          <w:numId w:val="11"/>
        </w:numPr>
        <w:rPr>
          <w:rFonts w:ascii="Times New Roman" w:hAnsi="Times New Roman"/>
          <w:sz w:val="22"/>
          <w:szCs w:val="22"/>
        </w:rPr>
      </w:pPr>
      <w:r w:rsidRPr="00945114">
        <w:rPr>
          <w:rFonts w:ascii="Times New Roman" w:hAnsi="Times New Roman"/>
          <w:sz w:val="22"/>
          <w:szCs w:val="22"/>
        </w:rPr>
        <w:t>employment, particularly where there is a threat to employment within the business</w:t>
      </w:r>
      <w:r w:rsidR="00754DE2">
        <w:rPr>
          <w:rFonts w:ascii="Times New Roman" w:hAnsi="Times New Roman"/>
          <w:sz w:val="22"/>
          <w:szCs w:val="22"/>
        </w:rPr>
        <w:t>; and</w:t>
      </w:r>
      <w:r w:rsidR="00B47222" w:rsidRPr="00945114">
        <w:rPr>
          <w:rStyle w:val="FootnoteReference"/>
          <w:rFonts w:ascii="Times New Roman" w:hAnsi="Times New Roman"/>
          <w:sz w:val="22"/>
          <w:szCs w:val="22"/>
        </w:rPr>
        <w:footnoteReference w:id="17"/>
      </w:r>
    </w:p>
    <w:p w:rsidR="00C453B8" w:rsidRPr="00945114" w:rsidRDefault="00C453B8" w:rsidP="00590CCF">
      <w:pPr>
        <w:pStyle w:val="ListParagraph"/>
        <w:numPr>
          <w:ilvl w:val="0"/>
          <w:numId w:val="11"/>
        </w:numPr>
        <w:rPr>
          <w:rFonts w:ascii="Times New Roman" w:hAnsi="Times New Roman"/>
          <w:sz w:val="22"/>
          <w:szCs w:val="22"/>
        </w:rPr>
      </w:pPr>
      <w:proofErr w:type="gramStart"/>
      <w:r w:rsidRPr="00945114">
        <w:rPr>
          <w:rFonts w:ascii="Times New Roman" w:hAnsi="Times New Roman"/>
          <w:sz w:val="22"/>
          <w:szCs w:val="22"/>
        </w:rPr>
        <w:t>issues</w:t>
      </w:r>
      <w:proofErr w:type="gramEnd"/>
      <w:r w:rsidRPr="00945114">
        <w:rPr>
          <w:rFonts w:ascii="Times New Roman" w:hAnsi="Times New Roman"/>
          <w:sz w:val="22"/>
          <w:szCs w:val="22"/>
        </w:rPr>
        <w:t xml:space="preserve"> likely to lead to substantial changes in work organisation or contractual relations, especially issues directly affecting job security such as collective redundancies and business transfers</w:t>
      </w:r>
      <w:r w:rsidR="00F51FF8">
        <w:rPr>
          <w:rFonts w:ascii="Times New Roman" w:hAnsi="Times New Roman"/>
          <w:sz w:val="22"/>
          <w:szCs w:val="22"/>
        </w:rPr>
        <w:t>.</w:t>
      </w:r>
      <w:r w:rsidR="00B47222" w:rsidRPr="00945114">
        <w:rPr>
          <w:rStyle w:val="FootnoteReference"/>
          <w:rFonts w:ascii="Times New Roman" w:hAnsi="Times New Roman"/>
          <w:sz w:val="22"/>
          <w:szCs w:val="22"/>
        </w:rPr>
        <w:footnoteReference w:id="18"/>
      </w:r>
    </w:p>
    <w:p w:rsidR="00C453B8" w:rsidRPr="00945114" w:rsidRDefault="00C453B8" w:rsidP="00590CCF">
      <w:pPr>
        <w:pStyle w:val="textafterextract"/>
        <w:spacing w:before="0" w:line="240" w:lineRule="auto"/>
        <w:rPr>
          <w:rFonts w:ascii="Times New Roman" w:hAnsi="Times New Roman"/>
          <w:sz w:val="22"/>
          <w:szCs w:val="22"/>
        </w:rPr>
      </w:pPr>
    </w:p>
    <w:p w:rsidR="00C453B8" w:rsidRPr="00945114" w:rsidRDefault="007B26C1" w:rsidP="00590CCF">
      <w:pPr>
        <w:pStyle w:val="textafterextract"/>
        <w:spacing w:before="0" w:line="240" w:lineRule="auto"/>
        <w:rPr>
          <w:rFonts w:ascii="Times New Roman" w:hAnsi="Times New Roman"/>
          <w:sz w:val="22"/>
          <w:szCs w:val="22"/>
          <w:lang w:val="de-DE"/>
        </w:rPr>
      </w:pPr>
      <w:r w:rsidRPr="00945114">
        <w:rPr>
          <w:rFonts w:ascii="Times New Roman" w:hAnsi="Times New Roman"/>
          <w:sz w:val="22"/>
          <w:szCs w:val="22"/>
        </w:rPr>
        <w:t>Thus</w:t>
      </w:r>
      <w:r w:rsidR="000A56D3" w:rsidRPr="00945114">
        <w:rPr>
          <w:rFonts w:ascii="Times New Roman" w:hAnsi="Times New Roman"/>
          <w:sz w:val="22"/>
          <w:szCs w:val="22"/>
        </w:rPr>
        <w:t>,</w:t>
      </w:r>
      <w:r w:rsidRPr="00945114">
        <w:rPr>
          <w:rFonts w:ascii="Times New Roman" w:hAnsi="Times New Roman"/>
          <w:sz w:val="22"/>
          <w:szCs w:val="22"/>
        </w:rPr>
        <w:t xml:space="preserve"> the topics to be discussed include</w:t>
      </w:r>
      <w:r w:rsidR="00C453B8" w:rsidRPr="00945114">
        <w:rPr>
          <w:rFonts w:ascii="Times New Roman" w:hAnsi="Times New Roman"/>
          <w:sz w:val="22"/>
          <w:szCs w:val="22"/>
        </w:rPr>
        <w:t xml:space="preserve"> firm performance, continuance of employment and job security</w:t>
      </w:r>
      <w:r w:rsidRPr="00945114">
        <w:rPr>
          <w:rFonts w:ascii="Times New Roman" w:hAnsi="Times New Roman"/>
          <w:sz w:val="22"/>
          <w:szCs w:val="22"/>
        </w:rPr>
        <w:t xml:space="preserve">. </w:t>
      </w:r>
      <w:r w:rsidR="00C453B8" w:rsidRPr="00945114">
        <w:rPr>
          <w:rFonts w:ascii="Times New Roman" w:hAnsi="Times New Roman"/>
          <w:sz w:val="22"/>
          <w:szCs w:val="22"/>
        </w:rPr>
        <w:t xml:space="preserve">Most importantly, discussion of the economic situation of the firm would include consultation over </w:t>
      </w:r>
      <w:r w:rsidR="00C453B8" w:rsidRPr="00945114">
        <w:rPr>
          <w:rFonts w:ascii="Times New Roman" w:hAnsi="Times New Roman"/>
          <w:sz w:val="22"/>
          <w:szCs w:val="22"/>
        </w:rPr>
        <w:lastRenderedPageBreak/>
        <w:t xml:space="preserve">productivity. The topics discussed by Works Councils in the </w:t>
      </w:r>
      <w:r w:rsidR="00086951" w:rsidRPr="00945114">
        <w:rPr>
          <w:rFonts w:ascii="Times New Roman" w:hAnsi="Times New Roman"/>
          <w:sz w:val="22"/>
          <w:szCs w:val="22"/>
        </w:rPr>
        <w:t>Netherlands</w:t>
      </w:r>
      <w:r w:rsidR="00C453B8" w:rsidRPr="00945114">
        <w:rPr>
          <w:rFonts w:ascii="Times New Roman" w:hAnsi="Times New Roman"/>
          <w:sz w:val="22"/>
          <w:szCs w:val="22"/>
        </w:rPr>
        <w:t xml:space="preserve"> and Germany are </w:t>
      </w:r>
      <w:r w:rsidR="001163B2" w:rsidRPr="00945114">
        <w:rPr>
          <w:rFonts w:ascii="Times New Roman" w:hAnsi="Times New Roman"/>
          <w:sz w:val="22"/>
          <w:szCs w:val="22"/>
        </w:rPr>
        <w:t xml:space="preserve">also </w:t>
      </w:r>
      <w:r w:rsidR="00C453B8" w:rsidRPr="00945114">
        <w:rPr>
          <w:rFonts w:ascii="Times New Roman" w:hAnsi="Times New Roman"/>
          <w:sz w:val="22"/>
          <w:szCs w:val="22"/>
        </w:rPr>
        <w:t>far more extensive than in the</w:t>
      </w:r>
      <w:r w:rsidR="001163B2" w:rsidRPr="00945114">
        <w:rPr>
          <w:rFonts w:ascii="Times New Roman" w:hAnsi="Times New Roman"/>
          <w:sz w:val="22"/>
          <w:szCs w:val="22"/>
        </w:rPr>
        <w:t xml:space="preserve"> model term.</w:t>
      </w:r>
      <w:r w:rsidR="00030987" w:rsidRPr="00945114">
        <w:rPr>
          <w:rStyle w:val="FootnoteReference"/>
          <w:rFonts w:ascii="Times New Roman" w:hAnsi="Times New Roman"/>
          <w:sz w:val="22"/>
          <w:szCs w:val="22"/>
        </w:rPr>
        <w:footnoteReference w:id="19"/>
      </w:r>
    </w:p>
    <w:p w:rsidR="00C453B8" w:rsidRPr="00945114" w:rsidRDefault="00C453B8" w:rsidP="00590CCF">
      <w:pPr>
        <w:pStyle w:val="textafterextract"/>
        <w:spacing w:before="0" w:line="240" w:lineRule="auto"/>
        <w:rPr>
          <w:rFonts w:ascii="Times New Roman" w:hAnsi="Times New Roman"/>
          <w:sz w:val="22"/>
          <w:szCs w:val="22"/>
        </w:rPr>
      </w:pPr>
    </w:p>
    <w:p w:rsidR="00C453B8" w:rsidRPr="00945114" w:rsidRDefault="00C453B8" w:rsidP="00590CCF">
      <w:pPr>
        <w:pStyle w:val="textafterextract"/>
        <w:spacing w:before="0" w:line="240" w:lineRule="auto"/>
        <w:rPr>
          <w:rFonts w:ascii="Times New Roman" w:hAnsi="Times New Roman"/>
          <w:sz w:val="22"/>
          <w:szCs w:val="22"/>
        </w:rPr>
      </w:pPr>
      <w:r w:rsidRPr="00945114">
        <w:rPr>
          <w:rFonts w:ascii="Times New Roman" w:hAnsi="Times New Roman"/>
          <w:sz w:val="22"/>
          <w:szCs w:val="22"/>
        </w:rPr>
        <w:t>Turning from the topics of consultation to the form of consultation required by the model term, the term specifies that it must allow for the employee to be represented during the consultation</w:t>
      </w:r>
      <w:r w:rsidR="00030987" w:rsidRPr="00945114">
        <w:rPr>
          <w:rStyle w:val="FootnoteReference"/>
          <w:rFonts w:ascii="Times New Roman" w:hAnsi="Times New Roman"/>
          <w:sz w:val="22"/>
          <w:szCs w:val="22"/>
        </w:rPr>
        <w:footnoteReference w:id="20"/>
      </w:r>
      <w:r w:rsidR="00086951" w:rsidRPr="00945114">
        <w:rPr>
          <w:rFonts w:ascii="Times New Roman" w:hAnsi="Times New Roman"/>
          <w:sz w:val="22"/>
          <w:szCs w:val="22"/>
        </w:rPr>
        <w:t xml:space="preserve"> </w:t>
      </w:r>
      <w:r w:rsidRPr="00945114">
        <w:rPr>
          <w:rFonts w:ascii="Times New Roman" w:hAnsi="Times New Roman"/>
          <w:sz w:val="22"/>
          <w:szCs w:val="22"/>
        </w:rPr>
        <w:t>and the Explanatory Memorandum</w:t>
      </w:r>
      <w:r w:rsidR="00086951" w:rsidRPr="00945114">
        <w:rPr>
          <w:rStyle w:val="FootnoteReference"/>
          <w:rFonts w:ascii="Times New Roman" w:hAnsi="Times New Roman"/>
          <w:sz w:val="22"/>
          <w:szCs w:val="22"/>
        </w:rPr>
        <w:footnoteReference w:id="21"/>
      </w:r>
      <w:r w:rsidRPr="00945114">
        <w:rPr>
          <w:rFonts w:ascii="Times New Roman" w:hAnsi="Times New Roman"/>
          <w:sz w:val="22"/>
          <w:szCs w:val="22"/>
        </w:rPr>
        <w:t xml:space="preserve"> notes that</w:t>
      </w:r>
      <w:r w:rsidR="00086951" w:rsidRPr="00945114">
        <w:rPr>
          <w:rFonts w:ascii="Times New Roman" w:hAnsi="Times New Roman"/>
          <w:sz w:val="22"/>
          <w:szCs w:val="22"/>
        </w:rPr>
        <w:t xml:space="preserve"> the </w:t>
      </w:r>
      <w:r w:rsidRPr="00945114">
        <w:rPr>
          <w:rFonts w:ascii="Times New Roman" w:hAnsi="Times New Roman"/>
          <w:sz w:val="22"/>
          <w:szCs w:val="22"/>
        </w:rPr>
        <w:t>representative could be an ‘elected employee or a representative from an employee organisation’</w:t>
      </w:r>
      <w:r w:rsidR="00F51FF8">
        <w:rPr>
          <w:rFonts w:ascii="Times New Roman" w:hAnsi="Times New Roman"/>
          <w:sz w:val="22"/>
          <w:szCs w:val="22"/>
        </w:rPr>
        <w:t>.</w:t>
      </w:r>
      <w:r w:rsidR="00086951" w:rsidRPr="00945114">
        <w:rPr>
          <w:rStyle w:val="FootnoteReference"/>
          <w:rFonts w:ascii="Times New Roman" w:hAnsi="Times New Roman"/>
          <w:sz w:val="22"/>
          <w:szCs w:val="22"/>
        </w:rPr>
        <w:footnoteReference w:id="22"/>
      </w:r>
      <w:r w:rsidRPr="00945114">
        <w:rPr>
          <w:rFonts w:ascii="Times New Roman" w:hAnsi="Times New Roman"/>
          <w:sz w:val="22"/>
          <w:szCs w:val="22"/>
        </w:rPr>
        <w:t xml:space="preserve"> However, the model term provides no mechanism for election of representatives. </w:t>
      </w:r>
    </w:p>
    <w:p w:rsidR="00C453B8" w:rsidRPr="00945114" w:rsidRDefault="00C453B8" w:rsidP="00590CCF">
      <w:pPr>
        <w:pStyle w:val="NormalWeb"/>
        <w:spacing w:before="0" w:after="0"/>
        <w:rPr>
          <w:sz w:val="22"/>
          <w:szCs w:val="22"/>
        </w:rPr>
      </w:pPr>
    </w:p>
    <w:p w:rsidR="00C453B8" w:rsidRPr="00945114" w:rsidRDefault="00C453B8" w:rsidP="00590CCF">
      <w:pPr>
        <w:pStyle w:val="references"/>
        <w:spacing w:before="0" w:after="0" w:line="240" w:lineRule="auto"/>
        <w:ind w:left="0" w:firstLine="0"/>
        <w:rPr>
          <w:rFonts w:ascii="Times New Roman" w:hAnsi="Times New Roman"/>
          <w:sz w:val="22"/>
          <w:szCs w:val="22"/>
        </w:rPr>
      </w:pPr>
      <w:r w:rsidRPr="00945114">
        <w:rPr>
          <w:rFonts w:ascii="Times New Roman" w:hAnsi="Times New Roman"/>
          <w:sz w:val="22"/>
          <w:szCs w:val="22"/>
        </w:rPr>
        <w:t xml:space="preserve">The model term requires the employer to consult employees or their representatives, but provides no structure for ongoing consultation.  For instance, there is no reference to a committee structure, </w:t>
      </w:r>
      <w:r w:rsidR="00CC2A79" w:rsidRPr="00945114">
        <w:rPr>
          <w:rFonts w:ascii="Times New Roman" w:hAnsi="Times New Roman"/>
          <w:sz w:val="22"/>
          <w:szCs w:val="22"/>
        </w:rPr>
        <w:t>such as those provided for by</w:t>
      </w:r>
      <w:r w:rsidRPr="00945114">
        <w:rPr>
          <w:rFonts w:ascii="Times New Roman" w:hAnsi="Times New Roman"/>
          <w:sz w:val="22"/>
          <w:szCs w:val="22"/>
        </w:rPr>
        <w:t xml:space="preserve"> </w:t>
      </w:r>
      <w:r w:rsidR="00DF69A0" w:rsidRPr="00945114">
        <w:rPr>
          <w:rFonts w:ascii="Times New Roman" w:hAnsi="Times New Roman"/>
          <w:sz w:val="22"/>
          <w:szCs w:val="22"/>
        </w:rPr>
        <w:t xml:space="preserve">the </w:t>
      </w:r>
      <w:r w:rsidR="00EA3540" w:rsidRPr="00945114">
        <w:rPr>
          <w:rFonts w:ascii="Times New Roman" w:hAnsi="Times New Roman"/>
          <w:sz w:val="22"/>
          <w:szCs w:val="22"/>
        </w:rPr>
        <w:t>Eu</w:t>
      </w:r>
      <w:r w:rsidR="00086951" w:rsidRPr="00945114">
        <w:rPr>
          <w:rFonts w:ascii="Times New Roman" w:hAnsi="Times New Roman"/>
          <w:sz w:val="22"/>
          <w:szCs w:val="22"/>
        </w:rPr>
        <w:t>ropean Works Councils Directive</w:t>
      </w:r>
      <w:r w:rsidR="00086951" w:rsidRPr="00945114">
        <w:rPr>
          <w:rStyle w:val="FootnoteReference"/>
          <w:rFonts w:ascii="Times New Roman" w:hAnsi="Times New Roman"/>
          <w:sz w:val="22"/>
          <w:szCs w:val="22"/>
        </w:rPr>
        <w:footnoteReference w:id="23"/>
      </w:r>
      <w:r w:rsidR="00BB3571" w:rsidRPr="00945114">
        <w:rPr>
          <w:rFonts w:ascii="Times New Roman" w:hAnsi="Times New Roman"/>
          <w:sz w:val="22"/>
          <w:szCs w:val="22"/>
        </w:rPr>
        <w:t xml:space="preserve"> </w:t>
      </w:r>
      <w:r w:rsidR="00EA3540" w:rsidRPr="00945114">
        <w:rPr>
          <w:rFonts w:ascii="Times New Roman" w:hAnsi="Times New Roman"/>
          <w:sz w:val="22"/>
          <w:szCs w:val="22"/>
        </w:rPr>
        <w:t xml:space="preserve">and </w:t>
      </w:r>
      <w:r w:rsidR="00DF69A0" w:rsidRPr="00945114">
        <w:rPr>
          <w:rFonts w:ascii="Times New Roman" w:hAnsi="Times New Roman"/>
          <w:sz w:val="22"/>
          <w:szCs w:val="22"/>
        </w:rPr>
        <w:t xml:space="preserve">the </w:t>
      </w:r>
      <w:r w:rsidRPr="00945114">
        <w:rPr>
          <w:rFonts w:ascii="Times New Roman" w:hAnsi="Times New Roman"/>
          <w:sz w:val="22"/>
          <w:szCs w:val="22"/>
        </w:rPr>
        <w:t xml:space="preserve">Works Councils legislation in Germany and the Netherlands. </w:t>
      </w:r>
    </w:p>
    <w:p w:rsidR="00C453B8" w:rsidRPr="00945114" w:rsidRDefault="00C453B8" w:rsidP="00590CCF">
      <w:pPr>
        <w:spacing w:after="0" w:line="240" w:lineRule="auto"/>
        <w:rPr>
          <w:rFonts w:ascii="Times New Roman" w:hAnsi="Times New Roman"/>
        </w:rPr>
      </w:pPr>
    </w:p>
    <w:p w:rsidR="00EA3540" w:rsidRPr="00945114" w:rsidRDefault="00EA3540" w:rsidP="00590CCF">
      <w:pPr>
        <w:pStyle w:val="textindent"/>
        <w:spacing w:before="0" w:line="240" w:lineRule="auto"/>
        <w:ind w:firstLine="0"/>
        <w:rPr>
          <w:rFonts w:ascii="Times New Roman" w:hAnsi="Times New Roman"/>
          <w:sz w:val="22"/>
          <w:szCs w:val="22"/>
        </w:rPr>
      </w:pPr>
      <w:r w:rsidRPr="00945114">
        <w:rPr>
          <w:rFonts w:ascii="Times New Roman" w:hAnsi="Times New Roman"/>
          <w:sz w:val="22"/>
          <w:szCs w:val="22"/>
        </w:rPr>
        <w:t xml:space="preserve">The </w:t>
      </w:r>
      <w:r w:rsidR="00C85C17" w:rsidRPr="00945114">
        <w:rPr>
          <w:rFonts w:ascii="Times New Roman" w:hAnsi="Times New Roman"/>
          <w:sz w:val="22"/>
          <w:szCs w:val="22"/>
        </w:rPr>
        <w:t>m</w:t>
      </w:r>
      <w:r w:rsidRPr="00945114">
        <w:rPr>
          <w:rFonts w:ascii="Times New Roman" w:hAnsi="Times New Roman"/>
          <w:sz w:val="22"/>
          <w:szCs w:val="22"/>
        </w:rPr>
        <w:t xml:space="preserve">odel term does not provide an effective model for information and consultation procedures for a </w:t>
      </w:r>
      <w:r w:rsidR="00C85C17" w:rsidRPr="00945114">
        <w:rPr>
          <w:rFonts w:ascii="Times New Roman" w:hAnsi="Times New Roman"/>
          <w:sz w:val="22"/>
          <w:szCs w:val="22"/>
        </w:rPr>
        <w:t xml:space="preserve">developed </w:t>
      </w:r>
      <w:r w:rsidR="00F51FF8">
        <w:rPr>
          <w:rFonts w:ascii="Times New Roman" w:hAnsi="Times New Roman"/>
          <w:sz w:val="22"/>
          <w:szCs w:val="22"/>
        </w:rPr>
        <w:t>21</w:t>
      </w:r>
      <w:r w:rsidR="00F51FF8" w:rsidRPr="00F51FF8">
        <w:rPr>
          <w:rFonts w:ascii="Times New Roman" w:hAnsi="Times New Roman"/>
          <w:sz w:val="22"/>
          <w:szCs w:val="22"/>
          <w:vertAlign w:val="superscript"/>
        </w:rPr>
        <w:t>st</w:t>
      </w:r>
      <w:r w:rsidR="00F51FF8">
        <w:rPr>
          <w:rFonts w:ascii="Times New Roman" w:hAnsi="Times New Roman"/>
          <w:sz w:val="22"/>
          <w:szCs w:val="22"/>
        </w:rPr>
        <w:t xml:space="preserve"> </w:t>
      </w:r>
      <w:r w:rsidRPr="00945114">
        <w:rPr>
          <w:rFonts w:ascii="Times New Roman" w:hAnsi="Times New Roman"/>
          <w:sz w:val="22"/>
          <w:szCs w:val="22"/>
        </w:rPr>
        <w:t xml:space="preserve">century economy. </w:t>
      </w:r>
      <w:r w:rsidR="00AA7B68" w:rsidRPr="00945114">
        <w:rPr>
          <w:rFonts w:ascii="Times New Roman" w:hAnsi="Times New Roman"/>
          <w:sz w:val="22"/>
          <w:szCs w:val="22"/>
        </w:rPr>
        <w:t>I</w:t>
      </w:r>
      <w:r w:rsidRPr="00945114">
        <w:rPr>
          <w:rFonts w:ascii="Times New Roman" w:hAnsi="Times New Roman"/>
          <w:sz w:val="22"/>
          <w:szCs w:val="22"/>
        </w:rPr>
        <w:t xml:space="preserve">mproved consultation mechanisms are required to address </w:t>
      </w:r>
      <w:r w:rsidR="00DF69A0" w:rsidRPr="00945114">
        <w:rPr>
          <w:rFonts w:ascii="Times New Roman" w:hAnsi="Times New Roman"/>
          <w:sz w:val="22"/>
          <w:szCs w:val="22"/>
        </w:rPr>
        <w:t xml:space="preserve">skills development </w:t>
      </w:r>
      <w:r w:rsidRPr="00945114">
        <w:rPr>
          <w:rFonts w:ascii="Times New Roman" w:hAnsi="Times New Roman"/>
          <w:sz w:val="22"/>
          <w:szCs w:val="22"/>
        </w:rPr>
        <w:t xml:space="preserve">to provide </w:t>
      </w:r>
      <w:r w:rsidR="00F51FF8">
        <w:rPr>
          <w:rFonts w:ascii="Times New Roman" w:hAnsi="Times New Roman"/>
          <w:sz w:val="22"/>
          <w:szCs w:val="22"/>
        </w:rPr>
        <w:t>greater employability</w:t>
      </w:r>
      <w:r w:rsidRPr="00945114">
        <w:rPr>
          <w:rFonts w:ascii="Times New Roman" w:hAnsi="Times New Roman"/>
          <w:sz w:val="22"/>
          <w:szCs w:val="22"/>
        </w:rPr>
        <w:t xml:space="preserve"> and to address global competitive pressures faced by Australian businesses to enhance</w:t>
      </w:r>
      <w:r w:rsidR="00F51FF8">
        <w:rPr>
          <w:rFonts w:ascii="Times New Roman" w:hAnsi="Times New Roman"/>
          <w:sz w:val="22"/>
          <w:szCs w:val="22"/>
        </w:rPr>
        <w:t xml:space="preserve"> productivity and flexibility.</w:t>
      </w:r>
      <w:r w:rsidRPr="00945114">
        <w:rPr>
          <w:rFonts w:ascii="Times New Roman" w:hAnsi="Times New Roman"/>
          <w:sz w:val="22"/>
          <w:szCs w:val="22"/>
        </w:rPr>
        <w:t xml:space="preserve"> It is notable that </w:t>
      </w:r>
      <w:r w:rsidR="00DF69A0" w:rsidRPr="00945114">
        <w:rPr>
          <w:rFonts w:ascii="Times New Roman" w:hAnsi="Times New Roman"/>
          <w:sz w:val="22"/>
          <w:szCs w:val="22"/>
        </w:rPr>
        <w:t xml:space="preserve">enhancement </w:t>
      </w:r>
      <w:r w:rsidRPr="00945114">
        <w:rPr>
          <w:rFonts w:ascii="Times New Roman" w:hAnsi="Times New Roman"/>
          <w:sz w:val="22"/>
          <w:szCs w:val="22"/>
        </w:rPr>
        <w:t xml:space="preserve">of </w:t>
      </w:r>
      <w:r w:rsidR="00DF69A0" w:rsidRPr="00945114">
        <w:rPr>
          <w:rFonts w:ascii="Times New Roman" w:hAnsi="Times New Roman"/>
          <w:sz w:val="22"/>
          <w:szCs w:val="22"/>
        </w:rPr>
        <w:t>employability</w:t>
      </w:r>
      <w:r w:rsidR="00C85C17" w:rsidRPr="00945114">
        <w:rPr>
          <w:rFonts w:ascii="Times New Roman" w:hAnsi="Times New Roman"/>
          <w:sz w:val="22"/>
          <w:szCs w:val="22"/>
        </w:rPr>
        <w:t>,</w:t>
      </w:r>
      <w:r w:rsidR="00F51FF8">
        <w:rPr>
          <w:rFonts w:ascii="Times New Roman" w:hAnsi="Times New Roman"/>
          <w:sz w:val="22"/>
          <w:szCs w:val="22"/>
        </w:rPr>
        <w:t xml:space="preserve"> </w:t>
      </w:r>
      <w:r w:rsidR="00C85C17" w:rsidRPr="00945114">
        <w:rPr>
          <w:rFonts w:ascii="Times New Roman" w:hAnsi="Times New Roman"/>
          <w:sz w:val="22"/>
          <w:szCs w:val="22"/>
        </w:rPr>
        <w:t>job security</w:t>
      </w:r>
      <w:r w:rsidR="00DF69A0" w:rsidRPr="00945114">
        <w:rPr>
          <w:rFonts w:ascii="Times New Roman" w:hAnsi="Times New Roman"/>
          <w:sz w:val="22"/>
          <w:szCs w:val="22"/>
        </w:rPr>
        <w:t xml:space="preserve"> </w:t>
      </w:r>
      <w:r w:rsidRPr="00945114">
        <w:rPr>
          <w:rFonts w:ascii="Times New Roman" w:hAnsi="Times New Roman"/>
          <w:sz w:val="22"/>
          <w:szCs w:val="22"/>
        </w:rPr>
        <w:t>and competitive</w:t>
      </w:r>
      <w:r w:rsidR="00DF69A0" w:rsidRPr="00945114">
        <w:rPr>
          <w:rFonts w:ascii="Times New Roman" w:hAnsi="Times New Roman"/>
          <w:sz w:val="22"/>
          <w:szCs w:val="22"/>
        </w:rPr>
        <w:t xml:space="preserve">ness </w:t>
      </w:r>
      <w:r w:rsidR="00B676C0" w:rsidRPr="00945114">
        <w:rPr>
          <w:rFonts w:ascii="Times New Roman" w:hAnsi="Times New Roman"/>
          <w:sz w:val="22"/>
          <w:szCs w:val="22"/>
        </w:rPr>
        <w:t xml:space="preserve">underpin the policies of EU </w:t>
      </w:r>
      <w:r w:rsidRPr="00945114">
        <w:rPr>
          <w:rFonts w:ascii="Times New Roman" w:hAnsi="Times New Roman"/>
          <w:sz w:val="22"/>
          <w:szCs w:val="22"/>
        </w:rPr>
        <w:t>directives regarding informing and consulting employees</w:t>
      </w:r>
      <w:r w:rsidR="00F51FF8">
        <w:rPr>
          <w:rFonts w:ascii="Times New Roman" w:hAnsi="Times New Roman"/>
          <w:sz w:val="22"/>
          <w:szCs w:val="22"/>
        </w:rPr>
        <w:t>.</w:t>
      </w:r>
      <w:r w:rsidR="000A4758" w:rsidRPr="00945114">
        <w:rPr>
          <w:rStyle w:val="FootnoteReference"/>
          <w:rFonts w:ascii="Times New Roman" w:hAnsi="Times New Roman"/>
          <w:sz w:val="22"/>
          <w:szCs w:val="22"/>
        </w:rPr>
        <w:footnoteReference w:id="24"/>
      </w:r>
      <w:r w:rsidRPr="00945114">
        <w:rPr>
          <w:rFonts w:ascii="Times New Roman" w:hAnsi="Times New Roman"/>
          <w:sz w:val="22"/>
          <w:szCs w:val="22"/>
        </w:rPr>
        <w:t xml:space="preserve"> </w:t>
      </w:r>
      <w:r w:rsidR="00EB21FD" w:rsidRPr="00945114">
        <w:rPr>
          <w:rFonts w:ascii="Times New Roman" w:hAnsi="Times New Roman"/>
          <w:sz w:val="22"/>
          <w:szCs w:val="22"/>
        </w:rPr>
        <w:t>Effective implementation of a consultation procedure may not only enhance job security, but also employability, flexibility and productivity.</w:t>
      </w:r>
      <w:r w:rsidR="00F51FF8">
        <w:rPr>
          <w:rFonts w:ascii="Times New Roman" w:hAnsi="Times New Roman"/>
          <w:sz w:val="22"/>
          <w:szCs w:val="22"/>
        </w:rPr>
        <w:t xml:space="preserve"> </w:t>
      </w:r>
    </w:p>
    <w:p w:rsidR="00EB21FD" w:rsidRDefault="00EB21FD" w:rsidP="00590CCF">
      <w:pPr>
        <w:pStyle w:val="BodyText"/>
        <w:spacing w:before="0" w:line="240" w:lineRule="auto"/>
        <w:jc w:val="left"/>
        <w:rPr>
          <w:sz w:val="22"/>
          <w:szCs w:val="22"/>
        </w:rPr>
      </w:pPr>
    </w:p>
    <w:p w:rsidR="00407C84" w:rsidRPr="00945114" w:rsidRDefault="00407C84" w:rsidP="00590CCF">
      <w:pPr>
        <w:pStyle w:val="BodyText"/>
        <w:spacing w:before="0" w:line="240" w:lineRule="auto"/>
        <w:jc w:val="left"/>
        <w:rPr>
          <w:sz w:val="22"/>
          <w:szCs w:val="22"/>
        </w:rPr>
      </w:pPr>
    </w:p>
    <w:p w:rsidR="00EB21FD" w:rsidRPr="00407C84" w:rsidRDefault="00407C84" w:rsidP="00590CCF">
      <w:pPr>
        <w:pStyle w:val="BodyText"/>
        <w:spacing w:before="0" w:line="240" w:lineRule="auto"/>
        <w:jc w:val="left"/>
        <w:rPr>
          <w:b/>
          <w:sz w:val="22"/>
          <w:szCs w:val="22"/>
          <w:u w:val="single"/>
        </w:rPr>
      </w:pPr>
      <w:r>
        <w:rPr>
          <w:b/>
          <w:sz w:val="22"/>
          <w:szCs w:val="22"/>
          <w:u w:val="single"/>
        </w:rPr>
        <w:t>Regulatory B</w:t>
      </w:r>
      <w:r w:rsidR="00EB21FD" w:rsidRPr="00407C84">
        <w:rPr>
          <w:b/>
          <w:sz w:val="22"/>
          <w:szCs w:val="22"/>
          <w:u w:val="single"/>
        </w:rPr>
        <w:t xml:space="preserve">urden and the </w:t>
      </w:r>
      <w:r>
        <w:rPr>
          <w:b/>
          <w:sz w:val="22"/>
          <w:szCs w:val="22"/>
          <w:u w:val="single"/>
        </w:rPr>
        <w:t>S</w:t>
      </w:r>
      <w:r w:rsidR="00EB21FD" w:rsidRPr="00407C84">
        <w:rPr>
          <w:b/>
          <w:sz w:val="22"/>
          <w:szCs w:val="22"/>
          <w:u w:val="single"/>
        </w:rPr>
        <w:t xml:space="preserve">tatutory </w:t>
      </w:r>
      <w:r>
        <w:rPr>
          <w:b/>
          <w:sz w:val="22"/>
          <w:szCs w:val="22"/>
          <w:u w:val="single"/>
        </w:rPr>
        <w:t>F</w:t>
      </w:r>
      <w:r w:rsidR="00EB21FD" w:rsidRPr="00407C84">
        <w:rPr>
          <w:b/>
          <w:sz w:val="22"/>
          <w:szCs w:val="22"/>
          <w:u w:val="single"/>
        </w:rPr>
        <w:t>ramework</w:t>
      </w:r>
    </w:p>
    <w:p w:rsidR="00407C84" w:rsidRDefault="00407C84" w:rsidP="00590CCF">
      <w:pPr>
        <w:pStyle w:val="BodyText"/>
        <w:spacing w:before="0" w:line="240" w:lineRule="auto"/>
        <w:jc w:val="left"/>
        <w:rPr>
          <w:sz w:val="22"/>
          <w:szCs w:val="22"/>
        </w:rPr>
      </w:pPr>
    </w:p>
    <w:p w:rsidR="00B22493" w:rsidRPr="00945114" w:rsidRDefault="00EB21FD" w:rsidP="00590CCF">
      <w:pPr>
        <w:pStyle w:val="BodyText"/>
        <w:spacing w:before="0" w:line="240" w:lineRule="auto"/>
        <w:jc w:val="left"/>
        <w:rPr>
          <w:sz w:val="22"/>
          <w:szCs w:val="22"/>
        </w:rPr>
      </w:pPr>
      <w:r w:rsidRPr="00945114">
        <w:rPr>
          <w:sz w:val="22"/>
          <w:szCs w:val="22"/>
        </w:rPr>
        <w:t>I</w:t>
      </w:r>
      <w:r w:rsidR="00922176" w:rsidRPr="00945114">
        <w:rPr>
          <w:sz w:val="22"/>
          <w:szCs w:val="22"/>
        </w:rPr>
        <w:t xml:space="preserve">mplementation of information and consultation </w:t>
      </w:r>
      <w:r w:rsidR="005F67EF" w:rsidRPr="00945114">
        <w:rPr>
          <w:sz w:val="22"/>
          <w:szCs w:val="22"/>
        </w:rPr>
        <w:t xml:space="preserve">procedures </w:t>
      </w:r>
      <w:r w:rsidR="00B22493" w:rsidRPr="00945114">
        <w:rPr>
          <w:sz w:val="22"/>
          <w:szCs w:val="22"/>
        </w:rPr>
        <w:t>do</w:t>
      </w:r>
      <w:r w:rsidR="00922176" w:rsidRPr="00945114">
        <w:rPr>
          <w:sz w:val="22"/>
          <w:szCs w:val="22"/>
        </w:rPr>
        <w:t>es</w:t>
      </w:r>
      <w:r w:rsidR="00B22493" w:rsidRPr="00945114">
        <w:rPr>
          <w:sz w:val="22"/>
          <w:szCs w:val="22"/>
        </w:rPr>
        <w:t xml:space="preserve"> not impose a significant regulatory burden on </w:t>
      </w:r>
      <w:r w:rsidR="00DB6D74" w:rsidRPr="00945114">
        <w:rPr>
          <w:sz w:val="22"/>
          <w:szCs w:val="22"/>
        </w:rPr>
        <w:t xml:space="preserve">most </w:t>
      </w:r>
      <w:r w:rsidR="00B22493" w:rsidRPr="00945114">
        <w:rPr>
          <w:sz w:val="22"/>
          <w:szCs w:val="22"/>
        </w:rPr>
        <w:t xml:space="preserve">employers </w:t>
      </w:r>
      <w:r w:rsidR="00922176" w:rsidRPr="00945114">
        <w:rPr>
          <w:sz w:val="22"/>
          <w:szCs w:val="22"/>
        </w:rPr>
        <w:t xml:space="preserve">because it is </w:t>
      </w:r>
      <w:r w:rsidR="00B22493" w:rsidRPr="00945114">
        <w:rPr>
          <w:sz w:val="22"/>
          <w:szCs w:val="22"/>
        </w:rPr>
        <w:t xml:space="preserve">an elite </w:t>
      </w:r>
      <w:r w:rsidR="00922176" w:rsidRPr="00945114">
        <w:rPr>
          <w:sz w:val="22"/>
          <w:szCs w:val="22"/>
        </w:rPr>
        <w:t xml:space="preserve">form </w:t>
      </w:r>
      <w:r w:rsidR="00B22493" w:rsidRPr="00945114">
        <w:rPr>
          <w:sz w:val="22"/>
          <w:szCs w:val="22"/>
        </w:rPr>
        <w:t xml:space="preserve">of consultation, that is, through representatives. </w:t>
      </w:r>
      <w:r w:rsidR="00922176" w:rsidRPr="00945114">
        <w:rPr>
          <w:sz w:val="22"/>
          <w:szCs w:val="22"/>
        </w:rPr>
        <w:t>A</w:t>
      </w:r>
      <w:r w:rsidR="00B22493" w:rsidRPr="00945114">
        <w:rPr>
          <w:sz w:val="22"/>
          <w:szCs w:val="22"/>
        </w:rPr>
        <w:t xml:space="preserve"> statutor</w:t>
      </w:r>
      <w:r w:rsidR="00922176" w:rsidRPr="00945114">
        <w:rPr>
          <w:sz w:val="22"/>
          <w:szCs w:val="22"/>
        </w:rPr>
        <w:t xml:space="preserve">y framework can reduce costs for </w:t>
      </w:r>
      <w:r w:rsidR="00B22493" w:rsidRPr="00945114">
        <w:rPr>
          <w:sz w:val="22"/>
          <w:szCs w:val="22"/>
        </w:rPr>
        <w:t xml:space="preserve">employers who would otherwise have to expend funds to </w:t>
      </w:r>
      <w:r w:rsidR="00922176" w:rsidRPr="00945114">
        <w:rPr>
          <w:sz w:val="22"/>
          <w:szCs w:val="22"/>
        </w:rPr>
        <w:t>devise their own schemes for structured communication with their workforce.</w:t>
      </w:r>
      <w:r w:rsidR="00B22493" w:rsidRPr="00945114">
        <w:rPr>
          <w:sz w:val="22"/>
          <w:szCs w:val="22"/>
        </w:rPr>
        <w:t xml:space="preserve"> </w:t>
      </w:r>
      <w:r w:rsidR="00922176" w:rsidRPr="00945114">
        <w:rPr>
          <w:sz w:val="22"/>
          <w:szCs w:val="22"/>
        </w:rPr>
        <w:t xml:space="preserve">A legal framework </w:t>
      </w:r>
      <w:r w:rsidR="00BB17E3" w:rsidRPr="00945114">
        <w:rPr>
          <w:sz w:val="22"/>
          <w:szCs w:val="22"/>
        </w:rPr>
        <w:t xml:space="preserve">can minimise the </w:t>
      </w:r>
      <w:r w:rsidR="00C5230C" w:rsidRPr="00945114">
        <w:rPr>
          <w:sz w:val="22"/>
          <w:szCs w:val="22"/>
        </w:rPr>
        <w:t xml:space="preserve">risk of </w:t>
      </w:r>
      <w:r w:rsidR="00BB17E3" w:rsidRPr="00945114">
        <w:rPr>
          <w:sz w:val="22"/>
          <w:szCs w:val="22"/>
        </w:rPr>
        <w:t xml:space="preserve">productive discussions </w:t>
      </w:r>
      <w:r w:rsidR="00C5230C" w:rsidRPr="00945114">
        <w:rPr>
          <w:sz w:val="22"/>
          <w:szCs w:val="22"/>
        </w:rPr>
        <w:t xml:space="preserve">being </w:t>
      </w:r>
      <w:r w:rsidR="00B22493" w:rsidRPr="00945114">
        <w:rPr>
          <w:sz w:val="22"/>
          <w:szCs w:val="22"/>
        </w:rPr>
        <w:t>impeded by the conflicting interests of labour and capital.</w:t>
      </w:r>
    </w:p>
    <w:p w:rsidR="00DB6D74" w:rsidRPr="00945114" w:rsidRDefault="00DB6D74" w:rsidP="00590CCF">
      <w:pPr>
        <w:pStyle w:val="BodyText"/>
        <w:spacing w:before="0" w:line="240" w:lineRule="auto"/>
        <w:jc w:val="left"/>
        <w:rPr>
          <w:sz w:val="22"/>
          <w:szCs w:val="22"/>
        </w:rPr>
      </w:pPr>
    </w:p>
    <w:p w:rsidR="00407C84" w:rsidRDefault="00407C84" w:rsidP="00590CCF">
      <w:pPr>
        <w:pStyle w:val="BodyText"/>
        <w:spacing w:before="0" w:line="240" w:lineRule="auto"/>
        <w:jc w:val="left"/>
        <w:rPr>
          <w:b/>
          <w:sz w:val="22"/>
          <w:szCs w:val="22"/>
          <w:u w:val="single"/>
        </w:rPr>
      </w:pPr>
    </w:p>
    <w:p w:rsidR="00FE3380" w:rsidRDefault="00FE3380" w:rsidP="00590CCF">
      <w:pPr>
        <w:pStyle w:val="BodyText"/>
        <w:spacing w:before="0" w:line="240" w:lineRule="auto"/>
        <w:jc w:val="left"/>
        <w:rPr>
          <w:b/>
          <w:sz w:val="22"/>
          <w:szCs w:val="22"/>
          <w:u w:val="single"/>
        </w:rPr>
      </w:pPr>
    </w:p>
    <w:p w:rsidR="00FE3380" w:rsidRDefault="00FE3380" w:rsidP="00590CCF">
      <w:pPr>
        <w:pStyle w:val="BodyText"/>
        <w:spacing w:before="0" w:line="240" w:lineRule="auto"/>
        <w:jc w:val="left"/>
        <w:rPr>
          <w:b/>
          <w:sz w:val="22"/>
          <w:szCs w:val="22"/>
          <w:u w:val="single"/>
        </w:rPr>
      </w:pPr>
    </w:p>
    <w:p w:rsidR="00FE3380" w:rsidRDefault="00FE3380" w:rsidP="00590CCF">
      <w:pPr>
        <w:pStyle w:val="BodyText"/>
        <w:spacing w:before="0" w:line="240" w:lineRule="auto"/>
        <w:jc w:val="left"/>
        <w:rPr>
          <w:b/>
          <w:sz w:val="22"/>
          <w:szCs w:val="22"/>
          <w:u w:val="single"/>
        </w:rPr>
      </w:pPr>
    </w:p>
    <w:p w:rsidR="00FE3380" w:rsidRDefault="00FE3380" w:rsidP="00590CCF">
      <w:pPr>
        <w:pStyle w:val="BodyText"/>
        <w:spacing w:before="0" w:line="240" w:lineRule="auto"/>
        <w:jc w:val="left"/>
        <w:rPr>
          <w:b/>
          <w:sz w:val="22"/>
          <w:szCs w:val="22"/>
          <w:u w:val="single"/>
        </w:rPr>
      </w:pPr>
    </w:p>
    <w:p w:rsidR="00FE3380" w:rsidRDefault="00FE3380" w:rsidP="00590CCF">
      <w:pPr>
        <w:pStyle w:val="BodyText"/>
        <w:spacing w:before="0" w:line="240" w:lineRule="auto"/>
        <w:jc w:val="left"/>
        <w:rPr>
          <w:b/>
          <w:sz w:val="22"/>
          <w:szCs w:val="22"/>
          <w:u w:val="single"/>
        </w:rPr>
      </w:pPr>
    </w:p>
    <w:p w:rsidR="00DB6D74" w:rsidRPr="00407C84" w:rsidRDefault="00632600" w:rsidP="00590CCF">
      <w:pPr>
        <w:pStyle w:val="BodyText"/>
        <w:spacing w:before="0" w:line="240" w:lineRule="auto"/>
        <w:jc w:val="left"/>
        <w:rPr>
          <w:b/>
          <w:sz w:val="22"/>
          <w:szCs w:val="22"/>
          <w:u w:val="single"/>
        </w:rPr>
      </w:pPr>
      <w:r w:rsidRPr="00407C84">
        <w:rPr>
          <w:b/>
          <w:sz w:val="22"/>
          <w:szCs w:val="22"/>
          <w:u w:val="single"/>
        </w:rPr>
        <w:lastRenderedPageBreak/>
        <w:t xml:space="preserve">Impetus and </w:t>
      </w:r>
      <w:r w:rsidR="00407C84">
        <w:rPr>
          <w:b/>
          <w:sz w:val="22"/>
          <w:szCs w:val="22"/>
          <w:u w:val="single"/>
        </w:rPr>
        <w:t>E</w:t>
      </w:r>
      <w:r w:rsidRPr="00407C84">
        <w:rPr>
          <w:b/>
          <w:sz w:val="22"/>
          <w:szCs w:val="22"/>
          <w:u w:val="single"/>
        </w:rPr>
        <w:t xml:space="preserve">ffect of </w:t>
      </w:r>
      <w:r w:rsidR="00407C84">
        <w:rPr>
          <w:b/>
          <w:sz w:val="22"/>
          <w:szCs w:val="22"/>
          <w:u w:val="single"/>
        </w:rPr>
        <w:t>R</w:t>
      </w:r>
      <w:r w:rsidR="00F3188B" w:rsidRPr="00407C84">
        <w:rPr>
          <w:b/>
          <w:sz w:val="22"/>
          <w:szCs w:val="22"/>
          <w:u w:val="single"/>
        </w:rPr>
        <w:t>eform of the FWA</w:t>
      </w:r>
    </w:p>
    <w:p w:rsidR="008A4E5D" w:rsidRDefault="008A4E5D" w:rsidP="00590CCF">
      <w:pPr>
        <w:pStyle w:val="BodyText"/>
        <w:spacing w:before="0" w:line="240" w:lineRule="auto"/>
        <w:jc w:val="left"/>
        <w:rPr>
          <w:sz w:val="22"/>
          <w:szCs w:val="22"/>
        </w:rPr>
      </w:pPr>
    </w:p>
    <w:p w:rsidR="00632600" w:rsidRPr="00945114" w:rsidRDefault="00EA3540" w:rsidP="00590CCF">
      <w:pPr>
        <w:pStyle w:val="BodyText"/>
        <w:spacing w:before="0" w:line="240" w:lineRule="auto"/>
        <w:jc w:val="left"/>
        <w:rPr>
          <w:sz w:val="22"/>
          <w:szCs w:val="22"/>
        </w:rPr>
      </w:pPr>
      <w:r w:rsidRPr="00945114">
        <w:rPr>
          <w:sz w:val="22"/>
          <w:szCs w:val="22"/>
        </w:rPr>
        <w:t>W</w:t>
      </w:r>
      <w:r w:rsidR="00C453B8" w:rsidRPr="00945114">
        <w:rPr>
          <w:sz w:val="22"/>
          <w:szCs w:val="22"/>
        </w:rPr>
        <w:t>e note from Europe that there is very considerable evidence that joint consultation and/or works councils enhance productivity outcomes</w:t>
      </w:r>
      <w:r w:rsidR="00F51FF8">
        <w:rPr>
          <w:sz w:val="22"/>
          <w:szCs w:val="22"/>
        </w:rPr>
        <w:t>.</w:t>
      </w:r>
      <w:r w:rsidR="00C453B8" w:rsidRPr="00945114">
        <w:rPr>
          <w:rStyle w:val="FootnoteReference"/>
          <w:sz w:val="22"/>
          <w:szCs w:val="22"/>
        </w:rPr>
        <w:footnoteReference w:id="25"/>
      </w:r>
      <w:r w:rsidR="005F67EF" w:rsidRPr="00945114">
        <w:rPr>
          <w:sz w:val="22"/>
          <w:szCs w:val="22"/>
        </w:rPr>
        <w:t xml:space="preserve"> </w:t>
      </w:r>
      <w:r w:rsidR="00C72ACB" w:rsidRPr="00945114">
        <w:rPr>
          <w:sz w:val="22"/>
          <w:szCs w:val="22"/>
        </w:rPr>
        <w:t>T</w:t>
      </w:r>
      <w:r w:rsidR="00C453B8" w:rsidRPr="00945114">
        <w:rPr>
          <w:sz w:val="22"/>
          <w:szCs w:val="22"/>
        </w:rPr>
        <w:t xml:space="preserve">here </w:t>
      </w:r>
      <w:proofErr w:type="gramStart"/>
      <w:r w:rsidR="00C453B8" w:rsidRPr="00945114">
        <w:rPr>
          <w:sz w:val="22"/>
          <w:szCs w:val="22"/>
        </w:rPr>
        <w:t xml:space="preserve">has </w:t>
      </w:r>
      <w:r w:rsidR="00C72ACB" w:rsidRPr="00945114">
        <w:rPr>
          <w:sz w:val="22"/>
          <w:szCs w:val="22"/>
        </w:rPr>
        <w:t xml:space="preserve">also </w:t>
      </w:r>
      <w:r w:rsidR="00C453B8" w:rsidRPr="00945114">
        <w:rPr>
          <w:sz w:val="22"/>
          <w:szCs w:val="22"/>
        </w:rPr>
        <w:t>been</w:t>
      </w:r>
      <w:r w:rsidR="00632600" w:rsidRPr="00945114">
        <w:rPr>
          <w:sz w:val="22"/>
          <w:szCs w:val="22"/>
        </w:rPr>
        <w:t xml:space="preserve"> significant</w:t>
      </w:r>
      <w:r w:rsidR="00C453B8" w:rsidRPr="00945114">
        <w:rPr>
          <w:sz w:val="22"/>
          <w:szCs w:val="22"/>
        </w:rPr>
        <w:t xml:space="preserve"> scholarly research and government reports</w:t>
      </w:r>
      <w:proofErr w:type="gramEnd"/>
      <w:r w:rsidR="00C453B8" w:rsidRPr="00945114">
        <w:rPr>
          <w:sz w:val="22"/>
          <w:szCs w:val="22"/>
        </w:rPr>
        <w:t xml:space="preserve"> chronicling the need and the benefits of an effective information and consultation procedure for Australian employees.</w:t>
      </w:r>
      <w:r w:rsidR="00C453B8" w:rsidRPr="00945114">
        <w:rPr>
          <w:rStyle w:val="FootnoteReference"/>
          <w:sz w:val="22"/>
          <w:szCs w:val="22"/>
        </w:rPr>
        <w:footnoteReference w:id="26"/>
      </w:r>
      <w:r w:rsidR="00775F11" w:rsidRPr="00945114">
        <w:rPr>
          <w:sz w:val="22"/>
          <w:szCs w:val="22"/>
        </w:rPr>
        <w:t xml:space="preserve"> We would urge the </w:t>
      </w:r>
      <w:r w:rsidR="00632600" w:rsidRPr="00945114">
        <w:rPr>
          <w:sz w:val="22"/>
          <w:szCs w:val="22"/>
        </w:rPr>
        <w:t xml:space="preserve">Inquiry </w:t>
      </w:r>
      <w:r w:rsidR="00775F11" w:rsidRPr="00945114">
        <w:rPr>
          <w:sz w:val="22"/>
          <w:szCs w:val="22"/>
        </w:rPr>
        <w:t>to recommend to the government that they revise the model term to more effectively implement the objects of the Act.</w:t>
      </w:r>
    </w:p>
    <w:p w:rsidR="00632600" w:rsidRPr="00945114" w:rsidRDefault="00632600" w:rsidP="00590CCF">
      <w:pPr>
        <w:pStyle w:val="BodyText"/>
        <w:spacing w:before="0" w:line="240" w:lineRule="auto"/>
        <w:jc w:val="left"/>
        <w:rPr>
          <w:sz w:val="22"/>
          <w:szCs w:val="22"/>
        </w:rPr>
      </w:pPr>
    </w:p>
    <w:p w:rsidR="00C72ACB" w:rsidRPr="00945114" w:rsidRDefault="00C72ACB" w:rsidP="00590CCF">
      <w:pPr>
        <w:pStyle w:val="BodyText"/>
        <w:spacing w:before="0" w:line="240" w:lineRule="auto"/>
        <w:jc w:val="left"/>
        <w:rPr>
          <w:sz w:val="22"/>
          <w:szCs w:val="22"/>
        </w:rPr>
      </w:pPr>
      <w:r w:rsidRPr="00945114">
        <w:rPr>
          <w:sz w:val="22"/>
          <w:szCs w:val="22"/>
        </w:rPr>
        <w:t>Finally, the modest but useful 2014</w:t>
      </w:r>
      <w:r w:rsidR="00632600" w:rsidRPr="00945114">
        <w:rPr>
          <w:sz w:val="22"/>
          <w:szCs w:val="22"/>
        </w:rPr>
        <w:t xml:space="preserve"> changes</w:t>
      </w:r>
      <w:r w:rsidRPr="00945114">
        <w:rPr>
          <w:sz w:val="22"/>
          <w:szCs w:val="22"/>
        </w:rPr>
        <w:t xml:space="preserve"> </w:t>
      </w:r>
      <w:r w:rsidR="00B22493" w:rsidRPr="00945114">
        <w:rPr>
          <w:sz w:val="22"/>
          <w:szCs w:val="22"/>
        </w:rPr>
        <w:t>to s</w:t>
      </w:r>
      <w:r w:rsidR="00B22493" w:rsidRPr="00945114">
        <w:rPr>
          <w:iCs/>
          <w:sz w:val="22"/>
          <w:szCs w:val="22"/>
        </w:rPr>
        <w:t xml:space="preserve"> </w:t>
      </w:r>
      <w:proofErr w:type="gramStart"/>
      <w:r w:rsidR="00B22493" w:rsidRPr="00945114">
        <w:rPr>
          <w:bCs/>
          <w:sz w:val="22"/>
          <w:szCs w:val="22"/>
        </w:rPr>
        <w:t xml:space="preserve">205 </w:t>
      </w:r>
      <w:r w:rsidR="00B22493" w:rsidRPr="00945114">
        <w:rPr>
          <w:sz w:val="22"/>
          <w:szCs w:val="22"/>
        </w:rPr>
        <w:t xml:space="preserve"> </w:t>
      </w:r>
      <w:r w:rsidRPr="00945114">
        <w:rPr>
          <w:sz w:val="22"/>
          <w:szCs w:val="22"/>
        </w:rPr>
        <w:t>indicate</w:t>
      </w:r>
      <w:proofErr w:type="gramEnd"/>
      <w:r w:rsidRPr="00945114">
        <w:rPr>
          <w:sz w:val="22"/>
          <w:szCs w:val="22"/>
        </w:rPr>
        <w:t xml:space="preserve"> that new information and consultation procedures may be </w:t>
      </w:r>
      <w:r w:rsidR="00696E8C" w:rsidRPr="00945114">
        <w:rPr>
          <w:sz w:val="22"/>
          <w:szCs w:val="22"/>
        </w:rPr>
        <w:t xml:space="preserve">developed </w:t>
      </w:r>
      <w:r w:rsidRPr="00945114">
        <w:rPr>
          <w:sz w:val="22"/>
          <w:szCs w:val="22"/>
        </w:rPr>
        <w:t>under the the FWA</w:t>
      </w:r>
      <w:r w:rsidR="00E0365D" w:rsidRPr="00945114">
        <w:rPr>
          <w:sz w:val="22"/>
          <w:szCs w:val="22"/>
        </w:rPr>
        <w:t xml:space="preserve">. </w:t>
      </w:r>
      <w:r w:rsidR="00696E8C" w:rsidRPr="00945114">
        <w:rPr>
          <w:sz w:val="22"/>
          <w:szCs w:val="22"/>
        </w:rPr>
        <w:t xml:space="preserve">However, </w:t>
      </w:r>
      <w:r w:rsidRPr="00945114">
        <w:rPr>
          <w:sz w:val="22"/>
          <w:szCs w:val="22"/>
        </w:rPr>
        <w:t>millions of Australian employees</w:t>
      </w:r>
      <w:r w:rsidR="000C7DA2" w:rsidRPr="00945114">
        <w:rPr>
          <w:sz w:val="22"/>
          <w:szCs w:val="22"/>
        </w:rPr>
        <w:t xml:space="preserve"> who are not covered by the FWA remain unrepresented</w:t>
      </w:r>
      <w:r w:rsidRPr="00945114">
        <w:rPr>
          <w:sz w:val="22"/>
          <w:szCs w:val="22"/>
        </w:rPr>
        <w:t>.</w:t>
      </w:r>
      <w:r w:rsidR="005F67EF" w:rsidRPr="00945114">
        <w:rPr>
          <w:sz w:val="22"/>
          <w:szCs w:val="22"/>
        </w:rPr>
        <w:t xml:space="preserve">  Consequently, consideration should be given to developing legislation to promote information and consultation procedures for employees and employers not covered by the FWA</w:t>
      </w:r>
      <w:r w:rsidR="00F51FF8">
        <w:rPr>
          <w:sz w:val="22"/>
          <w:szCs w:val="22"/>
        </w:rPr>
        <w:t>.</w:t>
      </w:r>
      <w:r w:rsidR="00F51FF8">
        <w:rPr>
          <w:rStyle w:val="FootnoteReference"/>
          <w:sz w:val="22"/>
          <w:szCs w:val="22"/>
        </w:rPr>
        <w:footnoteReference w:id="27"/>
      </w:r>
      <w:r w:rsidR="00024F22" w:rsidRPr="00945114">
        <w:rPr>
          <w:sz w:val="22"/>
          <w:szCs w:val="22"/>
        </w:rPr>
        <w:t xml:space="preserve"> </w:t>
      </w:r>
    </w:p>
    <w:sectPr w:rsidR="00C72ACB" w:rsidRPr="00945114" w:rsidSect="000943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8C1" w:rsidRDefault="00DC38C1" w:rsidP="007A1D52">
      <w:pPr>
        <w:spacing w:after="0" w:line="240" w:lineRule="auto"/>
      </w:pPr>
      <w:r>
        <w:separator/>
      </w:r>
    </w:p>
  </w:endnote>
  <w:endnote w:type="continuationSeparator" w:id="0">
    <w:p w:rsidR="00DC38C1" w:rsidRDefault="00DC38C1" w:rsidP="007A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Ten">
    <w:altName w:val="Times Ten"/>
    <w:panose1 w:val="00000000000000000000"/>
    <w:charset w:val="00"/>
    <w:family w:val="roman"/>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8C1" w:rsidRDefault="00DC38C1" w:rsidP="007A1D52">
      <w:pPr>
        <w:spacing w:after="0" w:line="240" w:lineRule="auto"/>
      </w:pPr>
      <w:r>
        <w:separator/>
      </w:r>
    </w:p>
  </w:footnote>
  <w:footnote w:type="continuationSeparator" w:id="0">
    <w:p w:rsidR="00DC38C1" w:rsidRDefault="00DC38C1" w:rsidP="007A1D52">
      <w:pPr>
        <w:spacing w:after="0" w:line="240" w:lineRule="auto"/>
      </w:pPr>
      <w:r>
        <w:continuationSeparator/>
      </w:r>
    </w:p>
  </w:footnote>
  <w:footnote w:id="1">
    <w:p w:rsidR="00945114" w:rsidRPr="00364EFC" w:rsidRDefault="00945114">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Productivity Commission, </w:t>
      </w:r>
      <w:r w:rsidRPr="00364EFC">
        <w:rPr>
          <w:rFonts w:ascii="Times New Roman" w:hAnsi="Times New Roman"/>
          <w:i/>
        </w:rPr>
        <w:t>Workplace Relations Framework: The Inquiry in Context</w:t>
      </w:r>
      <w:r w:rsidRPr="00364EFC">
        <w:rPr>
          <w:rFonts w:ascii="Times New Roman" w:hAnsi="Times New Roman"/>
        </w:rPr>
        <w:t xml:space="preserve">, Issues </w:t>
      </w:r>
      <w:proofErr w:type="gramStart"/>
      <w:r w:rsidRPr="00364EFC">
        <w:rPr>
          <w:rFonts w:ascii="Times New Roman" w:hAnsi="Times New Roman"/>
        </w:rPr>
        <w:t>Paper  No</w:t>
      </w:r>
      <w:proofErr w:type="gramEnd"/>
      <w:r w:rsidRPr="00364EFC">
        <w:rPr>
          <w:rFonts w:ascii="Times New Roman" w:hAnsi="Times New Roman"/>
        </w:rPr>
        <w:t xml:space="preserve"> 1 (2015) iii-iv.</w:t>
      </w:r>
    </w:p>
  </w:footnote>
  <w:footnote w:id="2">
    <w:p w:rsidR="00A40086" w:rsidRPr="00364EFC" w:rsidRDefault="00A40086" w:rsidP="00A40086">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See </w:t>
      </w:r>
      <w:r w:rsidRPr="00364EFC">
        <w:rPr>
          <w:rFonts w:ascii="Times New Roman" w:hAnsi="Times New Roman"/>
          <w:i/>
          <w:iCs/>
        </w:rPr>
        <w:t>Fair Work Act 2009</w:t>
      </w:r>
      <w:r w:rsidRPr="00364EFC">
        <w:rPr>
          <w:rFonts w:ascii="Times New Roman" w:hAnsi="Times New Roman"/>
          <w:iCs/>
        </w:rPr>
        <w:t xml:space="preserve"> (</w:t>
      </w:r>
      <w:proofErr w:type="spellStart"/>
      <w:r w:rsidRPr="00364EFC">
        <w:rPr>
          <w:rFonts w:ascii="Times New Roman" w:hAnsi="Times New Roman"/>
          <w:iCs/>
        </w:rPr>
        <w:t>Cth</w:t>
      </w:r>
      <w:proofErr w:type="spellEnd"/>
      <w:r w:rsidRPr="00364EFC">
        <w:rPr>
          <w:rFonts w:ascii="Times New Roman" w:hAnsi="Times New Roman"/>
          <w:iCs/>
        </w:rPr>
        <w:t xml:space="preserve">) s </w:t>
      </w:r>
      <w:r w:rsidRPr="00364EFC">
        <w:rPr>
          <w:rFonts w:ascii="Times New Roman" w:hAnsi="Times New Roman"/>
          <w:bCs/>
        </w:rPr>
        <w:t>205.</w:t>
      </w:r>
    </w:p>
  </w:footnote>
  <w:footnote w:id="3">
    <w:p w:rsidR="00590CCF" w:rsidRPr="00364EFC" w:rsidRDefault="00590CCF">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w:t>
      </w:r>
      <w:r w:rsidRPr="00364EFC">
        <w:rPr>
          <w:rFonts w:ascii="Times New Roman" w:hAnsi="Times New Roman"/>
          <w:lang w:val="en-AU"/>
        </w:rPr>
        <w:t xml:space="preserve">Productivity Commission, above n 1, </w:t>
      </w:r>
      <w:proofErr w:type="gramStart"/>
      <w:r w:rsidRPr="00364EFC">
        <w:rPr>
          <w:rFonts w:ascii="Times New Roman" w:hAnsi="Times New Roman"/>
          <w:lang w:val="en-AU"/>
        </w:rPr>
        <w:t>iv</w:t>
      </w:r>
      <w:proofErr w:type="gramEnd"/>
      <w:r w:rsidRPr="00364EFC">
        <w:rPr>
          <w:rFonts w:ascii="Times New Roman" w:hAnsi="Times New Roman"/>
          <w:lang w:val="en-AU"/>
        </w:rPr>
        <w:t>.</w:t>
      </w:r>
    </w:p>
  </w:footnote>
  <w:footnote w:id="4">
    <w:p w:rsidR="00590CCF" w:rsidRPr="00364EFC" w:rsidRDefault="00590CCF">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w:t>
      </w:r>
      <w:proofErr w:type="gramStart"/>
      <w:r w:rsidRPr="00364EFC">
        <w:rPr>
          <w:rFonts w:ascii="Times New Roman" w:hAnsi="Times New Roman"/>
          <w:lang w:val="en-AU"/>
        </w:rPr>
        <w:t>Ibid v.</w:t>
      </w:r>
      <w:proofErr w:type="gramEnd"/>
    </w:p>
  </w:footnote>
  <w:footnote w:id="5">
    <w:p w:rsidR="00DC38C1" w:rsidRPr="00364EFC" w:rsidRDefault="00DC38C1" w:rsidP="00A96235">
      <w:pPr>
        <w:autoSpaceDE w:val="0"/>
        <w:autoSpaceDN w:val="0"/>
        <w:adjustRightInd w:val="0"/>
        <w:spacing w:after="0" w:line="240" w:lineRule="auto"/>
        <w:rPr>
          <w:rFonts w:ascii="Times New Roman" w:hAnsi="Times New Roman"/>
        </w:rPr>
      </w:pPr>
      <w:r w:rsidRPr="00364EFC">
        <w:rPr>
          <w:rStyle w:val="FootnoteReference"/>
          <w:rFonts w:ascii="Times New Roman" w:hAnsi="Times New Roman"/>
        </w:rPr>
        <w:footnoteRef/>
      </w:r>
      <w:r w:rsidRPr="00364EFC">
        <w:rPr>
          <w:rFonts w:ascii="Times New Roman" w:hAnsi="Times New Roman"/>
        </w:rPr>
        <w:t xml:space="preserve"> See B Creighton and A Stewart, </w:t>
      </w:r>
      <w:r w:rsidRPr="00364EFC">
        <w:rPr>
          <w:rFonts w:ascii="Times New Roman" w:hAnsi="Times New Roman"/>
          <w:i/>
        </w:rPr>
        <w:t>Labour Law</w:t>
      </w:r>
      <w:r w:rsidRPr="00364EFC">
        <w:rPr>
          <w:rFonts w:ascii="Times New Roman" w:hAnsi="Times New Roman"/>
        </w:rPr>
        <w:t xml:space="preserve"> (Federation Press, 5</w:t>
      </w:r>
      <w:r w:rsidRPr="00364EFC">
        <w:rPr>
          <w:rFonts w:ascii="Times New Roman" w:hAnsi="Times New Roman"/>
          <w:vertAlign w:val="superscript"/>
        </w:rPr>
        <w:t>th</w:t>
      </w:r>
      <w:r w:rsidRPr="00364EFC">
        <w:rPr>
          <w:rFonts w:ascii="Times New Roman" w:hAnsi="Times New Roman"/>
        </w:rPr>
        <w:t xml:space="preserve"> </w:t>
      </w:r>
      <w:proofErr w:type="spellStart"/>
      <w:proofErr w:type="gramStart"/>
      <w:r w:rsidRPr="00364EFC">
        <w:rPr>
          <w:rFonts w:ascii="Times New Roman" w:hAnsi="Times New Roman"/>
        </w:rPr>
        <w:t>ed</w:t>
      </w:r>
      <w:proofErr w:type="spellEnd"/>
      <w:proofErr w:type="gramEnd"/>
      <w:r w:rsidRPr="00364EFC">
        <w:rPr>
          <w:rFonts w:ascii="Times New Roman" w:hAnsi="Times New Roman"/>
        </w:rPr>
        <w:t xml:space="preserve">, 2010) 315; </w:t>
      </w:r>
      <w:r w:rsidRPr="00364EFC">
        <w:rPr>
          <w:rFonts w:ascii="Times New Roman" w:hAnsi="Times New Roman"/>
          <w:iCs/>
          <w:lang w:val="en-US"/>
        </w:rPr>
        <w:t xml:space="preserve">Amanda </w:t>
      </w:r>
      <w:proofErr w:type="spellStart"/>
      <w:r w:rsidRPr="00364EFC">
        <w:rPr>
          <w:rFonts w:ascii="Times New Roman" w:hAnsi="Times New Roman"/>
          <w:iCs/>
          <w:lang w:val="en-US"/>
        </w:rPr>
        <w:t>Pyman</w:t>
      </w:r>
      <w:proofErr w:type="spellEnd"/>
      <w:r w:rsidRPr="00364EFC">
        <w:rPr>
          <w:rFonts w:ascii="Times New Roman" w:hAnsi="Times New Roman"/>
          <w:iCs/>
          <w:lang w:val="en-US"/>
        </w:rPr>
        <w:t xml:space="preserve">, Peter Holland, Julian </w:t>
      </w:r>
      <w:proofErr w:type="spellStart"/>
      <w:r w:rsidRPr="00364EFC">
        <w:rPr>
          <w:rFonts w:ascii="Times New Roman" w:hAnsi="Times New Roman"/>
          <w:iCs/>
          <w:lang w:val="en-US"/>
        </w:rPr>
        <w:t>Teicher</w:t>
      </w:r>
      <w:proofErr w:type="spellEnd"/>
      <w:r w:rsidRPr="00364EFC">
        <w:rPr>
          <w:rFonts w:ascii="Times New Roman" w:hAnsi="Times New Roman"/>
          <w:iCs/>
          <w:lang w:val="en-US"/>
        </w:rPr>
        <w:t xml:space="preserve"> and Brian K. Cooper </w:t>
      </w:r>
      <w:r w:rsidRPr="00364EFC">
        <w:rPr>
          <w:rFonts w:ascii="Times New Roman" w:hAnsi="Times New Roman"/>
          <w:bCs/>
        </w:rPr>
        <w:t>‘</w:t>
      </w:r>
      <w:hyperlink r:id="rId1" w:history="1">
        <w:r w:rsidRPr="00364EFC">
          <w:rPr>
            <w:rStyle w:val="Hyperlink"/>
            <w:rFonts w:ascii="Times New Roman" w:hAnsi="Times New Roman"/>
            <w:bCs/>
            <w:color w:val="auto"/>
            <w:u w:val="none"/>
          </w:rPr>
          <w:t>Industrial Relations Climate, Employee Voice and Managerial Attitudes to Unions: An Australian Study</w:t>
        </w:r>
      </w:hyperlink>
      <w:r w:rsidRPr="00364EFC">
        <w:rPr>
          <w:rFonts w:ascii="Times New Roman" w:hAnsi="Times New Roman"/>
          <w:bCs/>
        </w:rPr>
        <w:t xml:space="preserve">’ (2010) 48(2) </w:t>
      </w:r>
      <w:r w:rsidRPr="00364EFC">
        <w:rPr>
          <w:rFonts w:ascii="Times New Roman" w:hAnsi="Times New Roman"/>
          <w:bCs/>
          <w:i/>
        </w:rPr>
        <w:t>British Journal of Industrial Relations</w:t>
      </w:r>
      <w:r w:rsidRPr="00364EFC">
        <w:rPr>
          <w:rFonts w:ascii="Times New Roman" w:hAnsi="Times New Roman"/>
          <w:bCs/>
        </w:rPr>
        <w:t xml:space="preserve"> 460. </w:t>
      </w:r>
    </w:p>
  </w:footnote>
  <w:footnote w:id="6">
    <w:p w:rsidR="001513F6" w:rsidRPr="00364EFC" w:rsidRDefault="001513F6">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w:t>
      </w:r>
      <w:proofErr w:type="gramStart"/>
      <w:r w:rsidRPr="00364EFC">
        <w:rPr>
          <w:rFonts w:ascii="Times New Roman" w:hAnsi="Times New Roman"/>
          <w:lang w:val="en-AU"/>
        </w:rPr>
        <w:t>Productivity Commission, above n 1, v.</w:t>
      </w:r>
      <w:proofErr w:type="gramEnd"/>
    </w:p>
  </w:footnote>
  <w:footnote w:id="7">
    <w:p w:rsidR="00D8727F" w:rsidRPr="00364EFC" w:rsidRDefault="00D8727F">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w:t>
      </w:r>
      <w:r w:rsidRPr="00364EFC">
        <w:rPr>
          <w:rFonts w:ascii="Times New Roman" w:hAnsi="Times New Roman"/>
          <w:lang w:val="en-AU"/>
        </w:rPr>
        <w:t xml:space="preserve">Ibid </w:t>
      </w:r>
      <w:proofErr w:type="gramStart"/>
      <w:r w:rsidRPr="00364EFC">
        <w:rPr>
          <w:rFonts w:ascii="Times New Roman" w:hAnsi="Times New Roman"/>
          <w:lang w:val="en-AU"/>
        </w:rPr>
        <w:t>iv</w:t>
      </w:r>
      <w:proofErr w:type="gramEnd"/>
      <w:r w:rsidRPr="00364EFC">
        <w:rPr>
          <w:rFonts w:ascii="Times New Roman" w:hAnsi="Times New Roman"/>
          <w:lang w:val="en-AU"/>
        </w:rPr>
        <w:t>.</w:t>
      </w:r>
    </w:p>
  </w:footnote>
  <w:footnote w:id="8">
    <w:p w:rsidR="003F1099" w:rsidRPr="00364EFC" w:rsidRDefault="003F1099">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w:t>
      </w:r>
      <w:proofErr w:type="gramStart"/>
      <w:r w:rsidRPr="00364EFC">
        <w:rPr>
          <w:rFonts w:ascii="Times New Roman" w:hAnsi="Times New Roman"/>
          <w:i/>
          <w:iCs/>
        </w:rPr>
        <w:t>Fair Work Act 2009</w:t>
      </w:r>
      <w:r w:rsidRPr="00364EFC">
        <w:rPr>
          <w:rFonts w:ascii="Times New Roman" w:hAnsi="Times New Roman"/>
          <w:iCs/>
        </w:rPr>
        <w:t xml:space="preserve"> (</w:t>
      </w:r>
      <w:proofErr w:type="spellStart"/>
      <w:r w:rsidRPr="00364EFC">
        <w:rPr>
          <w:rFonts w:ascii="Times New Roman" w:hAnsi="Times New Roman"/>
          <w:iCs/>
        </w:rPr>
        <w:t>Cth</w:t>
      </w:r>
      <w:proofErr w:type="spellEnd"/>
      <w:r w:rsidRPr="00364EFC">
        <w:rPr>
          <w:rFonts w:ascii="Times New Roman" w:hAnsi="Times New Roman"/>
          <w:iCs/>
        </w:rPr>
        <w:t xml:space="preserve">) s </w:t>
      </w:r>
      <w:r w:rsidRPr="00364EFC">
        <w:rPr>
          <w:rFonts w:ascii="Times New Roman" w:hAnsi="Times New Roman"/>
          <w:bCs/>
        </w:rPr>
        <w:t>3.</w:t>
      </w:r>
      <w:proofErr w:type="gramEnd"/>
    </w:p>
  </w:footnote>
  <w:footnote w:id="9">
    <w:p w:rsidR="00ED3C53" w:rsidRPr="00364EFC" w:rsidRDefault="00ED3C53" w:rsidP="00ED3C53">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See </w:t>
      </w:r>
      <w:bookmarkStart w:id="15" w:name="OLE_LINK7"/>
      <w:bookmarkStart w:id="16" w:name="OLE_LINK8"/>
      <w:r w:rsidRPr="00364EFC">
        <w:rPr>
          <w:rFonts w:ascii="Times New Roman" w:hAnsi="Times New Roman"/>
          <w:i/>
          <w:iCs/>
        </w:rPr>
        <w:t>Fair Work Act 2009</w:t>
      </w:r>
      <w:r w:rsidRPr="00364EFC">
        <w:rPr>
          <w:rFonts w:ascii="Times New Roman" w:hAnsi="Times New Roman"/>
          <w:iCs/>
        </w:rPr>
        <w:t xml:space="preserve"> (</w:t>
      </w:r>
      <w:proofErr w:type="spellStart"/>
      <w:r w:rsidRPr="00364EFC">
        <w:rPr>
          <w:rFonts w:ascii="Times New Roman" w:hAnsi="Times New Roman"/>
          <w:iCs/>
        </w:rPr>
        <w:t>Cth</w:t>
      </w:r>
      <w:proofErr w:type="spellEnd"/>
      <w:r w:rsidRPr="00364EFC">
        <w:rPr>
          <w:rFonts w:ascii="Times New Roman" w:hAnsi="Times New Roman"/>
          <w:iCs/>
        </w:rPr>
        <w:t xml:space="preserve">) s </w:t>
      </w:r>
      <w:r w:rsidRPr="00364EFC">
        <w:rPr>
          <w:rFonts w:ascii="Times New Roman" w:hAnsi="Times New Roman"/>
          <w:bCs/>
        </w:rPr>
        <w:t>205</w:t>
      </w:r>
      <w:bookmarkEnd w:id="15"/>
      <w:bookmarkEnd w:id="16"/>
      <w:r w:rsidRPr="00364EFC">
        <w:rPr>
          <w:rFonts w:ascii="Times New Roman" w:hAnsi="Times New Roman"/>
          <w:bCs/>
        </w:rPr>
        <w:t>.</w:t>
      </w:r>
    </w:p>
  </w:footnote>
  <w:footnote w:id="10">
    <w:p w:rsidR="00ED3C53" w:rsidRPr="00364EFC" w:rsidRDefault="00ED3C53" w:rsidP="00ED3C53">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w:t>
      </w:r>
      <w:proofErr w:type="gramStart"/>
      <w:r w:rsidRPr="00364EFC">
        <w:rPr>
          <w:rFonts w:ascii="Times New Roman" w:hAnsi="Times New Roman"/>
          <w:i/>
        </w:rPr>
        <w:t>Fair Work Regulations 2009</w:t>
      </w:r>
      <w:r w:rsidRPr="00364EFC">
        <w:rPr>
          <w:rFonts w:ascii="Times New Roman" w:hAnsi="Times New Roman"/>
        </w:rPr>
        <w:t xml:space="preserve"> (</w:t>
      </w:r>
      <w:proofErr w:type="spellStart"/>
      <w:r w:rsidRPr="00364EFC">
        <w:rPr>
          <w:rFonts w:ascii="Times New Roman" w:hAnsi="Times New Roman"/>
        </w:rPr>
        <w:t>Cth</w:t>
      </w:r>
      <w:proofErr w:type="spellEnd"/>
      <w:r w:rsidRPr="00364EFC">
        <w:rPr>
          <w:rFonts w:ascii="Times New Roman" w:hAnsi="Times New Roman"/>
        </w:rPr>
        <w:t>) Schedule 2.3.</w:t>
      </w:r>
      <w:proofErr w:type="gramEnd"/>
    </w:p>
  </w:footnote>
  <w:footnote w:id="11">
    <w:p w:rsidR="00DC38C1" w:rsidRPr="00364EFC" w:rsidRDefault="00DC38C1">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w:t>
      </w:r>
      <w:r w:rsidRPr="00364EFC">
        <w:rPr>
          <w:rFonts w:ascii="Times New Roman" w:hAnsi="Times New Roman"/>
          <w:i/>
        </w:rPr>
        <w:t>Fair Work Regulations 2009</w:t>
      </w:r>
      <w:r w:rsidRPr="00364EFC">
        <w:rPr>
          <w:rFonts w:ascii="Times New Roman" w:hAnsi="Times New Roman"/>
        </w:rPr>
        <w:t xml:space="preserve"> (</w:t>
      </w:r>
      <w:proofErr w:type="spellStart"/>
      <w:r w:rsidRPr="00364EFC">
        <w:rPr>
          <w:rFonts w:ascii="Times New Roman" w:hAnsi="Times New Roman"/>
        </w:rPr>
        <w:t>Cth</w:t>
      </w:r>
      <w:proofErr w:type="spellEnd"/>
      <w:r w:rsidRPr="00364EFC">
        <w:rPr>
          <w:rFonts w:ascii="Times New Roman" w:hAnsi="Times New Roman"/>
        </w:rPr>
        <w:t xml:space="preserve">) Schedule 2.3 (9). </w:t>
      </w:r>
    </w:p>
  </w:footnote>
  <w:footnote w:id="12">
    <w:p w:rsidR="00A001C5" w:rsidRPr="00364EFC" w:rsidRDefault="00A001C5" w:rsidP="00A001C5">
      <w:pPr>
        <w:pStyle w:val="FootnoteText"/>
        <w:rPr>
          <w:rFonts w:ascii="Times New Roman" w:hAnsi="Times New Roman"/>
        </w:rPr>
      </w:pPr>
      <w:r w:rsidRPr="00364EFC">
        <w:rPr>
          <w:rStyle w:val="FootnoteReference"/>
          <w:rFonts w:ascii="Times New Roman" w:hAnsi="Times New Roman"/>
        </w:rPr>
        <w:footnoteRef/>
      </w:r>
      <w:r w:rsidRPr="00364EFC">
        <w:rPr>
          <w:rFonts w:ascii="Times New Roman" w:hAnsi="Times New Roman"/>
        </w:rPr>
        <w:t xml:space="preserve"> </w:t>
      </w:r>
      <w:proofErr w:type="gramStart"/>
      <w:r w:rsidRPr="00364EFC">
        <w:rPr>
          <w:rFonts w:ascii="Times New Roman" w:hAnsi="Times New Roman"/>
          <w:i/>
        </w:rPr>
        <w:t xml:space="preserve">Fair Work Act 2009 </w:t>
      </w:r>
      <w:r w:rsidRPr="00364EFC">
        <w:rPr>
          <w:rFonts w:ascii="Times New Roman" w:hAnsi="Times New Roman"/>
        </w:rPr>
        <w:t>(</w:t>
      </w:r>
      <w:proofErr w:type="spellStart"/>
      <w:r w:rsidRPr="00364EFC">
        <w:rPr>
          <w:rFonts w:ascii="Times New Roman" w:hAnsi="Times New Roman"/>
        </w:rPr>
        <w:t>Cth</w:t>
      </w:r>
      <w:proofErr w:type="spellEnd"/>
      <w:r w:rsidRPr="00364EFC">
        <w:rPr>
          <w:rFonts w:ascii="Times New Roman" w:hAnsi="Times New Roman"/>
        </w:rPr>
        <w:t>) s 205(1A).</w:t>
      </w:r>
      <w:proofErr w:type="gramEnd"/>
    </w:p>
  </w:footnote>
  <w:footnote w:id="13">
    <w:p w:rsidR="00F531FE" w:rsidRPr="00364EFC" w:rsidRDefault="00F531FE">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w:t>
      </w:r>
      <w:proofErr w:type="gramStart"/>
      <w:r w:rsidRPr="00364EFC">
        <w:rPr>
          <w:rFonts w:ascii="Times New Roman" w:hAnsi="Times New Roman"/>
          <w:lang w:val="en-AU"/>
        </w:rPr>
        <w:t>Explanatory Memorandum, Fair Work Amendment Bill 2013 (</w:t>
      </w:r>
      <w:proofErr w:type="spellStart"/>
      <w:r w:rsidRPr="00364EFC">
        <w:rPr>
          <w:rFonts w:ascii="Times New Roman" w:hAnsi="Times New Roman"/>
          <w:lang w:val="en-AU"/>
        </w:rPr>
        <w:t>Cth</w:t>
      </w:r>
      <w:proofErr w:type="spellEnd"/>
      <w:r w:rsidRPr="00364EFC">
        <w:rPr>
          <w:rFonts w:ascii="Times New Roman" w:hAnsi="Times New Roman"/>
          <w:lang w:val="en-AU"/>
        </w:rPr>
        <w:t>) 20 [47].</w:t>
      </w:r>
      <w:proofErr w:type="gramEnd"/>
    </w:p>
  </w:footnote>
  <w:footnote w:id="14">
    <w:p w:rsidR="00DC38C1" w:rsidRPr="00364EFC" w:rsidRDefault="00DC38C1">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B Creighton and A Stewart, </w:t>
      </w:r>
      <w:proofErr w:type="spellStart"/>
      <w:r w:rsidRPr="00364EFC">
        <w:rPr>
          <w:rFonts w:ascii="Times New Roman" w:hAnsi="Times New Roman"/>
          <w:i/>
        </w:rPr>
        <w:t>Labour</w:t>
      </w:r>
      <w:proofErr w:type="spellEnd"/>
      <w:r w:rsidRPr="00364EFC">
        <w:rPr>
          <w:rFonts w:ascii="Times New Roman" w:hAnsi="Times New Roman"/>
          <w:i/>
        </w:rPr>
        <w:t xml:space="preserve"> Law</w:t>
      </w:r>
      <w:r w:rsidRPr="00364EFC">
        <w:rPr>
          <w:rFonts w:ascii="Times New Roman" w:hAnsi="Times New Roman"/>
        </w:rPr>
        <w:t xml:space="preserve"> (Federation Press, 5</w:t>
      </w:r>
      <w:r w:rsidRPr="00364EFC">
        <w:rPr>
          <w:rFonts w:ascii="Times New Roman" w:hAnsi="Times New Roman"/>
          <w:vertAlign w:val="superscript"/>
        </w:rPr>
        <w:t>th</w:t>
      </w:r>
      <w:r w:rsidRPr="00364EFC">
        <w:rPr>
          <w:rFonts w:ascii="Times New Roman" w:hAnsi="Times New Roman"/>
        </w:rPr>
        <w:t xml:space="preserve"> </w:t>
      </w:r>
      <w:proofErr w:type="spellStart"/>
      <w:proofErr w:type="gramStart"/>
      <w:r w:rsidRPr="00364EFC">
        <w:rPr>
          <w:rFonts w:ascii="Times New Roman" w:hAnsi="Times New Roman"/>
        </w:rPr>
        <w:t>ed</w:t>
      </w:r>
      <w:proofErr w:type="spellEnd"/>
      <w:proofErr w:type="gramEnd"/>
      <w:r w:rsidRPr="00364EFC">
        <w:rPr>
          <w:rFonts w:ascii="Times New Roman" w:hAnsi="Times New Roman"/>
        </w:rPr>
        <w:t>, 2010) 315.</w:t>
      </w:r>
    </w:p>
  </w:footnote>
  <w:footnote w:id="15">
    <w:p w:rsidR="00754DE2" w:rsidRPr="00364EFC" w:rsidRDefault="00754DE2" w:rsidP="00754DE2">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Council Directive 2002/14/EC, 2002 O J (L 080): (‘</w:t>
      </w:r>
      <w:r w:rsidRPr="00364EFC">
        <w:rPr>
          <w:rFonts w:ascii="Times New Roman" w:hAnsi="Times New Roman"/>
          <w:i/>
        </w:rPr>
        <w:t>ICED, 2002</w:t>
      </w:r>
      <w:r w:rsidRPr="00364EFC">
        <w:rPr>
          <w:rFonts w:ascii="Times New Roman" w:hAnsi="Times New Roman"/>
        </w:rPr>
        <w:t>’).</w:t>
      </w:r>
    </w:p>
  </w:footnote>
  <w:footnote w:id="16">
    <w:p w:rsidR="00DC38C1" w:rsidRPr="00364EFC" w:rsidRDefault="00DC38C1">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ICED 2002: art 4(2</w:t>
      </w:r>
      <w:proofErr w:type="gramStart"/>
      <w:r w:rsidRPr="00364EFC">
        <w:rPr>
          <w:rFonts w:ascii="Times New Roman" w:hAnsi="Times New Roman"/>
        </w:rPr>
        <w:t>)(</w:t>
      </w:r>
      <w:proofErr w:type="gramEnd"/>
      <w:r w:rsidRPr="00364EFC">
        <w:rPr>
          <w:rFonts w:ascii="Times New Roman" w:hAnsi="Times New Roman"/>
        </w:rPr>
        <w:t>a).</w:t>
      </w:r>
    </w:p>
  </w:footnote>
  <w:footnote w:id="17">
    <w:p w:rsidR="00DC38C1" w:rsidRPr="00364EFC" w:rsidRDefault="00DC38C1">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ICED 2002: art 4(2</w:t>
      </w:r>
      <w:proofErr w:type="gramStart"/>
      <w:r w:rsidRPr="00364EFC">
        <w:rPr>
          <w:rFonts w:ascii="Times New Roman" w:hAnsi="Times New Roman"/>
        </w:rPr>
        <w:t>)(</w:t>
      </w:r>
      <w:proofErr w:type="gramEnd"/>
      <w:r w:rsidRPr="00364EFC">
        <w:rPr>
          <w:rFonts w:ascii="Times New Roman" w:hAnsi="Times New Roman"/>
        </w:rPr>
        <w:t>b).</w:t>
      </w:r>
    </w:p>
  </w:footnote>
  <w:footnote w:id="18">
    <w:p w:rsidR="00DC38C1" w:rsidRPr="00364EFC" w:rsidRDefault="00DC38C1">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ICED 2002: art 4(2</w:t>
      </w:r>
      <w:proofErr w:type="gramStart"/>
      <w:r w:rsidRPr="00364EFC">
        <w:rPr>
          <w:rFonts w:ascii="Times New Roman" w:hAnsi="Times New Roman"/>
        </w:rPr>
        <w:t>)(</w:t>
      </w:r>
      <w:proofErr w:type="gramEnd"/>
      <w:r w:rsidRPr="00364EFC">
        <w:rPr>
          <w:rFonts w:ascii="Times New Roman" w:hAnsi="Times New Roman"/>
        </w:rPr>
        <w:t>c).</w:t>
      </w:r>
    </w:p>
  </w:footnote>
  <w:footnote w:id="19">
    <w:p w:rsidR="00DC38C1" w:rsidRPr="00364EFC" w:rsidRDefault="00DC38C1">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See Works Councils Act (WCA)</w:t>
      </w:r>
      <w:r w:rsidRPr="00364EFC">
        <w:rPr>
          <w:rFonts w:ascii="Times New Roman" w:hAnsi="Times New Roman"/>
          <w:i/>
        </w:rPr>
        <w:t xml:space="preserve"> </w:t>
      </w:r>
      <w:r w:rsidRPr="00364EFC">
        <w:rPr>
          <w:rFonts w:ascii="Times New Roman" w:hAnsi="Times New Roman"/>
        </w:rPr>
        <w:t>(</w:t>
      </w:r>
      <w:r w:rsidRPr="00364EFC">
        <w:rPr>
          <w:rFonts w:ascii="Times New Roman" w:hAnsi="Times New Roman"/>
          <w:i/>
        </w:rPr>
        <w:t xml:space="preserve">Wet op de </w:t>
      </w:r>
      <w:proofErr w:type="spellStart"/>
      <w:r w:rsidRPr="00364EFC">
        <w:rPr>
          <w:rFonts w:ascii="Times New Roman" w:hAnsi="Times New Roman"/>
          <w:i/>
        </w:rPr>
        <w:t>Ondernemingsraden</w:t>
      </w:r>
      <w:proofErr w:type="spellEnd"/>
      <w:r w:rsidRPr="00364EFC">
        <w:rPr>
          <w:rFonts w:ascii="Times New Roman" w:hAnsi="Times New Roman"/>
        </w:rPr>
        <w:t xml:space="preserve">), the Netherlands; </w:t>
      </w:r>
      <w:r w:rsidRPr="00364EFC">
        <w:rPr>
          <w:rFonts w:ascii="Times New Roman" w:hAnsi="Times New Roman"/>
          <w:lang w:val="de-DE"/>
        </w:rPr>
        <w:t>Betriebsverfassungsgesetz 1972, Works Constitution Act, Germany.</w:t>
      </w:r>
    </w:p>
  </w:footnote>
  <w:footnote w:id="20">
    <w:p w:rsidR="00DC38C1" w:rsidRPr="00364EFC" w:rsidRDefault="00DC38C1">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w:t>
      </w:r>
      <w:proofErr w:type="gramStart"/>
      <w:r w:rsidRPr="00364EFC">
        <w:rPr>
          <w:rFonts w:ascii="Times New Roman" w:hAnsi="Times New Roman"/>
          <w:i/>
          <w:iCs/>
        </w:rPr>
        <w:t>Fair Work Act 2009</w:t>
      </w:r>
      <w:r w:rsidRPr="00364EFC">
        <w:rPr>
          <w:rFonts w:ascii="Times New Roman" w:hAnsi="Times New Roman"/>
          <w:iCs/>
        </w:rPr>
        <w:t xml:space="preserve"> (</w:t>
      </w:r>
      <w:proofErr w:type="spellStart"/>
      <w:r w:rsidRPr="00364EFC">
        <w:rPr>
          <w:rFonts w:ascii="Times New Roman" w:hAnsi="Times New Roman"/>
          <w:iCs/>
        </w:rPr>
        <w:t>Cth</w:t>
      </w:r>
      <w:proofErr w:type="spellEnd"/>
      <w:r w:rsidRPr="00364EFC">
        <w:rPr>
          <w:rFonts w:ascii="Times New Roman" w:hAnsi="Times New Roman"/>
          <w:iCs/>
        </w:rPr>
        <w:t xml:space="preserve">) s </w:t>
      </w:r>
      <w:r w:rsidRPr="00364EFC">
        <w:rPr>
          <w:rFonts w:ascii="Times New Roman" w:hAnsi="Times New Roman"/>
          <w:bCs/>
        </w:rPr>
        <w:t>205(1</w:t>
      </w:r>
      <w:r w:rsidRPr="00364EFC">
        <w:rPr>
          <w:rFonts w:ascii="Times New Roman" w:hAnsi="Times New Roman"/>
        </w:rPr>
        <w:t>)</w:t>
      </w:r>
      <w:r w:rsidR="00F51FF8" w:rsidRPr="00364EFC">
        <w:rPr>
          <w:rFonts w:ascii="Times New Roman" w:hAnsi="Times New Roman"/>
        </w:rPr>
        <w:t>.</w:t>
      </w:r>
      <w:proofErr w:type="gramEnd"/>
    </w:p>
  </w:footnote>
  <w:footnote w:id="21">
    <w:p w:rsidR="00DC38C1" w:rsidRPr="00364EFC" w:rsidRDefault="00DC38C1">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w:t>
      </w:r>
      <w:proofErr w:type="gramStart"/>
      <w:r w:rsidRPr="00364EFC">
        <w:rPr>
          <w:rFonts w:ascii="Times New Roman" w:hAnsi="Times New Roman"/>
        </w:rPr>
        <w:t xml:space="preserve">Explanatory Memorandum, </w:t>
      </w:r>
      <w:r w:rsidRPr="00364EFC">
        <w:rPr>
          <w:rFonts w:ascii="Times New Roman" w:hAnsi="Times New Roman"/>
          <w:i/>
        </w:rPr>
        <w:t>Fair Work Bill 2009</w:t>
      </w:r>
      <w:r w:rsidRPr="00364EFC">
        <w:rPr>
          <w:rFonts w:ascii="Times New Roman" w:hAnsi="Times New Roman"/>
        </w:rPr>
        <w:t xml:space="preserve"> (</w:t>
      </w:r>
      <w:proofErr w:type="spellStart"/>
      <w:r w:rsidRPr="00364EFC">
        <w:rPr>
          <w:rFonts w:ascii="Times New Roman" w:hAnsi="Times New Roman"/>
        </w:rPr>
        <w:t>Cth</w:t>
      </w:r>
      <w:proofErr w:type="spellEnd"/>
      <w:r w:rsidRPr="00364EFC">
        <w:rPr>
          <w:rFonts w:ascii="Times New Roman" w:hAnsi="Times New Roman"/>
        </w:rPr>
        <w:t>) [876]</w:t>
      </w:r>
      <w:r w:rsidR="00F51FF8" w:rsidRPr="00364EFC">
        <w:rPr>
          <w:rFonts w:ascii="Times New Roman" w:hAnsi="Times New Roman"/>
        </w:rPr>
        <w:t>.</w:t>
      </w:r>
      <w:proofErr w:type="gramEnd"/>
    </w:p>
  </w:footnote>
  <w:footnote w:id="22">
    <w:p w:rsidR="00DC38C1" w:rsidRPr="00364EFC" w:rsidRDefault="00DC38C1">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w:t>
      </w:r>
      <w:proofErr w:type="gramStart"/>
      <w:r w:rsidRPr="00364EFC">
        <w:rPr>
          <w:rFonts w:ascii="Times New Roman" w:hAnsi="Times New Roman"/>
        </w:rPr>
        <w:t>Explanatory Memorandum,</w:t>
      </w:r>
      <w:r w:rsidRPr="00364EFC">
        <w:rPr>
          <w:rFonts w:ascii="Times New Roman" w:hAnsi="Times New Roman"/>
          <w:i/>
        </w:rPr>
        <w:t xml:space="preserve"> Fair Work Bill 2009</w:t>
      </w:r>
      <w:r w:rsidRPr="00364EFC">
        <w:rPr>
          <w:rFonts w:ascii="Times New Roman" w:hAnsi="Times New Roman"/>
        </w:rPr>
        <w:t xml:space="preserve"> (</w:t>
      </w:r>
      <w:proofErr w:type="spellStart"/>
      <w:r w:rsidRPr="00364EFC">
        <w:rPr>
          <w:rFonts w:ascii="Times New Roman" w:hAnsi="Times New Roman"/>
        </w:rPr>
        <w:t>Cth</w:t>
      </w:r>
      <w:proofErr w:type="spellEnd"/>
      <w:r w:rsidRPr="00364EFC">
        <w:rPr>
          <w:rFonts w:ascii="Times New Roman" w:hAnsi="Times New Roman"/>
        </w:rPr>
        <w:t>) [876]</w:t>
      </w:r>
      <w:r w:rsidR="00F51FF8" w:rsidRPr="00364EFC">
        <w:rPr>
          <w:rFonts w:ascii="Times New Roman" w:hAnsi="Times New Roman"/>
        </w:rPr>
        <w:t>.</w:t>
      </w:r>
      <w:proofErr w:type="gramEnd"/>
    </w:p>
  </w:footnote>
  <w:footnote w:id="23">
    <w:p w:rsidR="00DC38C1" w:rsidRPr="00364EFC" w:rsidRDefault="00DC38C1" w:rsidP="00BB3571">
      <w:pPr>
        <w:pStyle w:val="FootnoteText"/>
        <w:rPr>
          <w:rFonts w:ascii="Times New Roman" w:hAnsi="Times New Roman"/>
        </w:rPr>
      </w:pPr>
      <w:r w:rsidRPr="00364EFC">
        <w:rPr>
          <w:rStyle w:val="FootnoteReference"/>
          <w:rFonts w:ascii="Times New Roman" w:hAnsi="Times New Roman"/>
        </w:rPr>
        <w:footnoteRef/>
      </w:r>
      <w:r w:rsidRPr="00364EFC">
        <w:rPr>
          <w:rFonts w:ascii="Times New Roman" w:hAnsi="Times New Roman"/>
        </w:rPr>
        <w:t xml:space="preserve"> European Parliament and Council (EWC</w:t>
      </w:r>
      <w:proofErr w:type="gramStart"/>
      <w:r w:rsidRPr="00364EFC">
        <w:rPr>
          <w:rFonts w:ascii="Times New Roman" w:hAnsi="Times New Roman"/>
        </w:rPr>
        <w:t>)(</w:t>
      </w:r>
      <w:proofErr w:type="gramEnd"/>
      <w:r w:rsidRPr="00364EFC">
        <w:rPr>
          <w:rFonts w:ascii="Times New Roman" w:hAnsi="Times New Roman"/>
        </w:rPr>
        <w:t xml:space="preserve">1994) ‘European Works Council’, Council Directive 94/45, 1994 OJ (L 254); European Parliament and Council (EWC) (1997) ‘European Works Council’, Council Directive 97/74, 1998 OJ (L 010); The Transnational Information and Consultation of Employees Regulations (1999) UK Statutory Instrument 1999, 3323.   </w:t>
      </w:r>
    </w:p>
  </w:footnote>
  <w:footnote w:id="24">
    <w:p w:rsidR="00DC38C1" w:rsidRPr="00364EFC" w:rsidRDefault="00DC38C1">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Key aims mentioned in the preamble of the ICED 2002 are: to promote social dialogue between management and </w:t>
      </w:r>
      <w:proofErr w:type="spellStart"/>
      <w:r w:rsidRPr="00364EFC">
        <w:rPr>
          <w:rFonts w:ascii="Times New Roman" w:hAnsi="Times New Roman"/>
        </w:rPr>
        <w:t>labour</w:t>
      </w:r>
      <w:proofErr w:type="spellEnd"/>
      <w:r w:rsidRPr="00364EFC">
        <w:rPr>
          <w:rFonts w:ascii="Times New Roman" w:hAnsi="Times New Roman"/>
        </w:rPr>
        <w:t xml:space="preserve">; to strengthen dialogue and promote mutual trust within undertakings; to increase employee availability to undertake measures and activities to increase their employability, promote employee involvement in the operation of the future of the undertaking and increase its competitiveness.  </w:t>
      </w:r>
    </w:p>
  </w:footnote>
  <w:footnote w:id="25">
    <w:p w:rsidR="00DC38C1" w:rsidRPr="00364EFC" w:rsidRDefault="00DC38C1">
      <w:pPr>
        <w:pStyle w:val="FootnoteText"/>
        <w:rPr>
          <w:rFonts w:ascii="Times New Roman" w:hAnsi="Times New Roman"/>
        </w:rPr>
      </w:pPr>
      <w:r w:rsidRPr="00364EFC">
        <w:rPr>
          <w:rStyle w:val="FootnoteReference"/>
          <w:rFonts w:ascii="Times New Roman" w:hAnsi="Times New Roman"/>
        </w:rPr>
        <w:footnoteRef/>
      </w:r>
      <w:r w:rsidRPr="00364EFC">
        <w:rPr>
          <w:rFonts w:ascii="Times New Roman" w:hAnsi="Times New Roman"/>
        </w:rPr>
        <w:t xml:space="preserve"> </w:t>
      </w:r>
      <w:r w:rsidRPr="00364EFC">
        <w:rPr>
          <w:rFonts w:ascii="Times New Roman" w:hAnsi="Times New Roman"/>
          <w:lang w:val="en-AU"/>
        </w:rPr>
        <w:t>See for example, A Wilkinson, P</w:t>
      </w:r>
      <w:r w:rsidR="00E83A12">
        <w:rPr>
          <w:rFonts w:ascii="Times New Roman" w:hAnsi="Times New Roman"/>
          <w:lang w:val="en-AU"/>
        </w:rPr>
        <w:t xml:space="preserve"> J</w:t>
      </w:r>
      <w:r w:rsidRPr="00364EFC">
        <w:rPr>
          <w:rFonts w:ascii="Times New Roman" w:hAnsi="Times New Roman"/>
          <w:lang w:val="en-AU"/>
        </w:rPr>
        <w:t xml:space="preserve"> </w:t>
      </w:r>
      <w:proofErr w:type="spellStart"/>
      <w:r w:rsidRPr="00364EFC">
        <w:rPr>
          <w:rFonts w:ascii="Times New Roman" w:hAnsi="Times New Roman"/>
          <w:lang w:val="en-AU"/>
        </w:rPr>
        <w:t>Gollan</w:t>
      </w:r>
      <w:proofErr w:type="spellEnd"/>
      <w:r w:rsidRPr="00364EFC">
        <w:rPr>
          <w:rFonts w:ascii="Times New Roman" w:hAnsi="Times New Roman"/>
          <w:lang w:val="en-AU"/>
        </w:rPr>
        <w:t xml:space="preserve">, M </w:t>
      </w:r>
      <w:proofErr w:type="spellStart"/>
      <w:r w:rsidRPr="00364EFC">
        <w:rPr>
          <w:rFonts w:ascii="Times New Roman" w:hAnsi="Times New Roman"/>
          <w:lang w:val="en-AU"/>
        </w:rPr>
        <w:t>Marchington</w:t>
      </w:r>
      <w:proofErr w:type="spellEnd"/>
      <w:r w:rsidRPr="00364EFC">
        <w:rPr>
          <w:rFonts w:ascii="Times New Roman" w:hAnsi="Times New Roman"/>
          <w:lang w:val="en-AU"/>
        </w:rPr>
        <w:t>, and D Lewin, ‘Conceptualizing Employee Parti</w:t>
      </w:r>
      <w:r w:rsidR="00E83A12">
        <w:rPr>
          <w:rFonts w:ascii="Times New Roman" w:hAnsi="Times New Roman"/>
          <w:lang w:val="en-AU"/>
        </w:rPr>
        <w:t xml:space="preserve">cipation in Organizations’ in A Wilkinson, P J </w:t>
      </w:r>
      <w:proofErr w:type="spellStart"/>
      <w:r w:rsidR="00E83A12">
        <w:rPr>
          <w:rFonts w:ascii="Times New Roman" w:hAnsi="Times New Roman"/>
          <w:lang w:val="en-AU"/>
        </w:rPr>
        <w:t>Gollan</w:t>
      </w:r>
      <w:proofErr w:type="spellEnd"/>
      <w:r w:rsidR="00E83A12">
        <w:rPr>
          <w:rFonts w:ascii="Times New Roman" w:hAnsi="Times New Roman"/>
          <w:lang w:val="en-AU"/>
        </w:rPr>
        <w:t>, M</w:t>
      </w:r>
      <w:r w:rsidR="00364EFC">
        <w:rPr>
          <w:rFonts w:ascii="Times New Roman" w:hAnsi="Times New Roman"/>
          <w:lang w:val="en-AU"/>
        </w:rPr>
        <w:t xml:space="preserve"> </w:t>
      </w:r>
      <w:proofErr w:type="spellStart"/>
      <w:r w:rsidR="00364EFC">
        <w:rPr>
          <w:rFonts w:ascii="Times New Roman" w:hAnsi="Times New Roman"/>
          <w:lang w:val="en-AU"/>
        </w:rPr>
        <w:t>Marchington</w:t>
      </w:r>
      <w:proofErr w:type="spellEnd"/>
      <w:r w:rsidR="00364EFC">
        <w:rPr>
          <w:rFonts w:ascii="Times New Roman" w:hAnsi="Times New Roman"/>
          <w:lang w:val="en-AU"/>
        </w:rPr>
        <w:t xml:space="preserve">, and D </w:t>
      </w:r>
      <w:proofErr w:type="spellStart"/>
      <w:r w:rsidR="00364EFC">
        <w:rPr>
          <w:rFonts w:ascii="Times New Roman" w:hAnsi="Times New Roman"/>
          <w:lang w:val="en-AU"/>
        </w:rPr>
        <w:t>Lewin</w:t>
      </w:r>
      <w:proofErr w:type="spellEnd"/>
      <w:r w:rsidR="00364EFC">
        <w:rPr>
          <w:rFonts w:ascii="Times New Roman" w:hAnsi="Times New Roman"/>
          <w:lang w:val="en-AU"/>
        </w:rPr>
        <w:t xml:space="preserve"> (</w:t>
      </w:r>
      <w:proofErr w:type="spellStart"/>
      <w:r w:rsidR="00364EFC">
        <w:rPr>
          <w:rFonts w:ascii="Times New Roman" w:hAnsi="Times New Roman"/>
          <w:lang w:val="en-AU"/>
        </w:rPr>
        <w:t>eds</w:t>
      </w:r>
      <w:proofErr w:type="spellEnd"/>
      <w:r w:rsidRPr="00364EFC">
        <w:rPr>
          <w:rFonts w:ascii="Times New Roman" w:hAnsi="Times New Roman"/>
          <w:lang w:val="en-AU"/>
        </w:rPr>
        <w:t xml:space="preserve">) </w:t>
      </w:r>
      <w:r w:rsidRPr="00364EFC">
        <w:rPr>
          <w:rFonts w:ascii="Times New Roman" w:hAnsi="Times New Roman"/>
          <w:i/>
          <w:lang w:val="en-AU"/>
        </w:rPr>
        <w:t>The Oxford Handbook of Participation in Organisations</w:t>
      </w:r>
      <w:r w:rsidRPr="00364EFC">
        <w:rPr>
          <w:rFonts w:ascii="Times New Roman" w:hAnsi="Times New Roman"/>
          <w:lang w:val="en-AU"/>
        </w:rPr>
        <w:t xml:space="preserve"> (Oxford </w:t>
      </w:r>
      <w:r w:rsidR="00E83A12">
        <w:rPr>
          <w:rFonts w:ascii="Times New Roman" w:hAnsi="Times New Roman"/>
          <w:lang w:val="en-AU"/>
        </w:rPr>
        <w:t>University Press, 2010) 3-25; S</w:t>
      </w:r>
      <w:r w:rsidRPr="00364EFC">
        <w:rPr>
          <w:rFonts w:ascii="Times New Roman" w:hAnsi="Times New Roman"/>
          <w:lang w:val="en-AU"/>
        </w:rPr>
        <w:t xml:space="preserve"> Wood, ‘High Involvement Management and Performance’ in A Wilkinson, P</w:t>
      </w:r>
      <w:r w:rsidR="00E83A12">
        <w:rPr>
          <w:rFonts w:ascii="Times New Roman" w:hAnsi="Times New Roman"/>
          <w:lang w:val="en-AU"/>
        </w:rPr>
        <w:t xml:space="preserve"> J</w:t>
      </w:r>
      <w:r w:rsidRPr="00364EFC">
        <w:rPr>
          <w:rFonts w:ascii="Times New Roman" w:hAnsi="Times New Roman"/>
          <w:lang w:val="en-AU"/>
        </w:rPr>
        <w:t xml:space="preserve"> </w:t>
      </w:r>
      <w:proofErr w:type="spellStart"/>
      <w:r w:rsidRPr="00364EFC">
        <w:rPr>
          <w:rFonts w:ascii="Times New Roman" w:hAnsi="Times New Roman"/>
          <w:lang w:val="en-AU"/>
        </w:rPr>
        <w:t>Gollan</w:t>
      </w:r>
      <w:proofErr w:type="spellEnd"/>
      <w:r w:rsidRPr="00364EFC">
        <w:rPr>
          <w:rFonts w:ascii="Times New Roman" w:hAnsi="Times New Roman"/>
          <w:lang w:val="en-AU"/>
        </w:rPr>
        <w:t>, M</w:t>
      </w:r>
      <w:r w:rsidR="00364EFC">
        <w:rPr>
          <w:rFonts w:ascii="Times New Roman" w:hAnsi="Times New Roman"/>
          <w:lang w:val="en-AU"/>
        </w:rPr>
        <w:t xml:space="preserve"> </w:t>
      </w:r>
      <w:proofErr w:type="spellStart"/>
      <w:r w:rsidR="00364EFC">
        <w:rPr>
          <w:rFonts w:ascii="Times New Roman" w:hAnsi="Times New Roman"/>
          <w:lang w:val="en-AU"/>
        </w:rPr>
        <w:t>Marchington</w:t>
      </w:r>
      <w:proofErr w:type="spellEnd"/>
      <w:r w:rsidR="00364EFC">
        <w:rPr>
          <w:rFonts w:ascii="Times New Roman" w:hAnsi="Times New Roman"/>
          <w:lang w:val="en-AU"/>
        </w:rPr>
        <w:t xml:space="preserve">, and D </w:t>
      </w:r>
      <w:proofErr w:type="spellStart"/>
      <w:r w:rsidR="00364EFC">
        <w:rPr>
          <w:rFonts w:ascii="Times New Roman" w:hAnsi="Times New Roman"/>
          <w:lang w:val="en-AU"/>
        </w:rPr>
        <w:t>Lewin</w:t>
      </w:r>
      <w:proofErr w:type="spellEnd"/>
      <w:r w:rsidR="00364EFC">
        <w:rPr>
          <w:rFonts w:ascii="Times New Roman" w:hAnsi="Times New Roman"/>
          <w:lang w:val="en-AU"/>
        </w:rPr>
        <w:t xml:space="preserve"> (</w:t>
      </w:r>
      <w:proofErr w:type="spellStart"/>
      <w:r w:rsidR="00364EFC">
        <w:rPr>
          <w:rFonts w:ascii="Times New Roman" w:hAnsi="Times New Roman"/>
          <w:lang w:val="en-AU"/>
        </w:rPr>
        <w:t>eds</w:t>
      </w:r>
      <w:proofErr w:type="spellEnd"/>
      <w:r w:rsidRPr="00364EFC">
        <w:rPr>
          <w:rFonts w:ascii="Times New Roman" w:hAnsi="Times New Roman"/>
          <w:lang w:val="en-AU"/>
        </w:rPr>
        <w:t xml:space="preserve">) </w:t>
      </w:r>
      <w:r w:rsidRPr="00364EFC">
        <w:rPr>
          <w:rFonts w:ascii="Times New Roman" w:hAnsi="Times New Roman"/>
          <w:i/>
          <w:lang w:val="en-AU"/>
        </w:rPr>
        <w:t>The Oxford Handbook of Participation in Organisations</w:t>
      </w:r>
      <w:r w:rsidRPr="00364EFC">
        <w:rPr>
          <w:rFonts w:ascii="Times New Roman" w:hAnsi="Times New Roman"/>
          <w:lang w:val="en-AU"/>
        </w:rPr>
        <w:t xml:space="preserve">, (Oxford University Press, 2010) 407-425. </w:t>
      </w:r>
    </w:p>
  </w:footnote>
  <w:footnote w:id="26">
    <w:p w:rsidR="004F0385" w:rsidRPr="00364EFC" w:rsidRDefault="00DC38C1">
      <w:pPr>
        <w:pStyle w:val="FootnoteText"/>
        <w:rPr>
          <w:rFonts w:ascii="Times New Roman" w:hAnsi="Times New Roman"/>
        </w:rPr>
      </w:pPr>
      <w:r w:rsidRPr="00364EFC">
        <w:rPr>
          <w:rStyle w:val="FootnoteReference"/>
          <w:rFonts w:ascii="Times New Roman" w:hAnsi="Times New Roman"/>
        </w:rPr>
        <w:footnoteRef/>
      </w:r>
      <w:r w:rsidRPr="00364EFC">
        <w:rPr>
          <w:rFonts w:ascii="Times New Roman" w:hAnsi="Times New Roman"/>
        </w:rPr>
        <w:t xml:space="preserve"> See for example,  P</w:t>
      </w:r>
      <w:r w:rsidR="00E83A12">
        <w:rPr>
          <w:rFonts w:ascii="Times New Roman" w:hAnsi="Times New Roman"/>
        </w:rPr>
        <w:t xml:space="preserve"> J</w:t>
      </w:r>
      <w:r w:rsidRPr="00364EFC">
        <w:rPr>
          <w:rFonts w:ascii="Times New Roman" w:hAnsi="Times New Roman"/>
        </w:rPr>
        <w:t xml:space="preserve"> </w:t>
      </w:r>
      <w:proofErr w:type="spellStart"/>
      <w:r w:rsidRPr="00364EFC">
        <w:rPr>
          <w:rFonts w:ascii="Times New Roman" w:hAnsi="Times New Roman"/>
        </w:rPr>
        <w:t>Gollan</w:t>
      </w:r>
      <w:proofErr w:type="spellEnd"/>
      <w:r w:rsidRPr="00364EFC">
        <w:rPr>
          <w:rFonts w:ascii="Times New Roman" w:hAnsi="Times New Roman"/>
        </w:rPr>
        <w:t xml:space="preserve"> and G Patmore ‘Transporting the European Social Partnership Model to Australia’ (2006) 48 </w:t>
      </w:r>
      <w:r w:rsidRPr="00364EFC">
        <w:rPr>
          <w:rFonts w:ascii="Times New Roman" w:hAnsi="Times New Roman"/>
          <w:i/>
        </w:rPr>
        <w:t>The Journal of Industrial Relations</w:t>
      </w:r>
      <w:r w:rsidRPr="00364EFC">
        <w:rPr>
          <w:rFonts w:ascii="Times New Roman" w:hAnsi="Times New Roman"/>
        </w:rPr>
        <w:t xml:space="preserve"> 217, 217 - 256; P J </w:t>
      </w:r>
      <w:proofErr w:type="spellStart"/>
      <w:r w:rsidRPr="00364EFC">
        <w:rPr>
          <w:rFonts w:ascii="Times New Roman" w:hAnsi="Times New Roman"/>
        </w:rPr>
        <w:t>Gollan</w:t>
      </w:r>
      <w:proofErr w:type="spellEnd"/>
      <w:r w:rsidRPr="00364EFC">
        <w:rPr>
          <w:rFonts w:ascii="Times New Roman" w:hAnsi="Times New Roman"/>
        </w:rPr>
        <w:t>, G Patmore (</w:t>
      </w:r>
      <w:proofErr w:type="spellStart"/>
      <w:r w:rsidRPr="00364EFC">
        <w:rPr>
          <w:rFonts w:ascii="Times New Roman" w:hAnsi="Times New Roman"/>
        </w:rPr>
        <w:t>eds</w:t>
      </w:r>
      <w:proofErr w:type="spellEnd"/>
      <w:r w:rsidRPr="00364EFC">
        <w:rPr>
          <w:rFonts w:ascii="Times New Roman" w:hAnsi="Times New Roman"/>
        </w:rPr>
        <w:t xml:space="preserve">), </w:t>
      </w:r>
      <w:r w:rsidRPr="00364EFC">
        <w:rPr>
          <w:rFonts w:ascii="Times New Roman" w:hAnsi="Times New Roman"/>
          <w:i/>
        </w:rPr>
        <w:t xml:space="preserve">Partnership at Work: The Challenge of Employee Democracy: Labor Essays </w:t>
      </w:r>
      <w:r w:rsidRPr="00364EFC">
        <w:rPr>
          <w:rFonts w:ascii="Times New Roman" w:hAnsi="Times New Roman"/>
        </w:rPr>
        <w:t xml:space="preserve">(Pluto Press Australia, 2003); R </w:t>
      </w:r>
      <w:proofErr w:type="spellStart"/>
      <w:r w:rsidRPr="00364EFC">
        <w:rPr>
          <w:rFonts w:ascii="Times New Roman" w:hAnsi="Times New Roman"/>
        </w:rPr>
        <w:t>MacCallum</w:t>
      </w:r>
      <w:proofErr w:type="spellEnd"/>
      <w:r w:rsidRPr="00364EFC">
        <w:rPr>
          <w:rFonts w:ascii="Times New Roman" w:hAnsi="Times New Roman"/>
        </w:rPr>
        <w:t xml:space="preserve">, G Patmore, ‘Works Councils  and  Labor Law’  in I Ross, R Markey and P </w:t>
      </w:r>
      <w:proofErr w:type="spellStart"/>
      <w:r w:rsidRPr="00364EFC">
        <w:rPr>
          <w:rFonts w:ascii="Times New Roman" w:hAnsi="Times New Roman"/>
        </w:rPr>
        <w:t>Gollan</w:t>
      </w:r>
      <w:proofErr w:type="spellEnd"/>
      <w:r w:rsidRPr="00364EFC">
        <w:rPr>
          <w:rFonts w:ascii="Times New Roman" w:hAnsi="Times New Roman"/>
        </w:rPr>
        <w:t xml:space="preserve"> (</w:t>
      </w:r>
      <w:proofErr w:type="spellStart"/>
      <w:r w:rsidRPr="00364EFC">
        <w:rPr>
          <w:rFonts w:ascii="Times New Roman" w:hAnsi="Times New Roman"/>
        </w:rPr>
        <w:t>eds</w:t>
      </w:r>
      <w:proofErr w:type="spellEnd"/>
      <w:r w:rsidRPr="00364EFC">
        <w:rPr>
          <w:rFonts w:ascii="Times New Roman" w:hAnsi="Times New Roman"/>
        </w:rPr>
        <w:t xml:space="preserve">), </w:t>
      </w:r>
      <w:r w:rsidRPr="00364EFC">
        <w:rPr>
          <w:rFonts w:ascii="Times New Roman" w:hAnsi="Times New Roman"/>
          <w:i/>
        </w:rPr>
        <w:t>Works Councils for Australia: Future Prospects and Possibilities</w:t>
      </w:r>
      <w:r w:rsidRPr="00364EFC">
        <w:rPr>
          <w:rFonts w:ascii="Times New Roman" w:hAnsi="Times New Roman"/>
        </w:rPr>
        <w:t xml:space="preserve">  (Federation Press, 2002) 74-100; </w:t>
      </w:r>
    </w:p>
    <w:p w:rsidR="00DC38C1" w:rsidRPr="00364EFC" w:rsidRDefault="00DC38C1">
      <w:pPr>
        <w:pStyle w:val="FootnoteText"/>
        <w:rPr>
          <w:rFonts w:ascii="Times New Roman" w:hAnsi="Times New Roman"/>
        </w:rPr>
      </w:pPr>
      <w:r w:rsidRPr="00364EFC">
        <w:rPr>
          <w:rFonts w:ascii="Times New Roman" w:hAnsi="Times New Roman"/>
        </w:rPr>
        <w:t>P</w:t>
      </w:r>
      <w:r w:rsidR="00E83A12">
        <w:rPr>
          <w:rFonts w:ascii="Times New Roman" w:hAnsi="Times New Roman"/>
        </w:rPr>
        <w:t xml:space="preserve"> J </w:t>
      </w:r>
      <w:proofErr w:type="spellStart"/>
      <w:r w:rsidRPr="00364EFC">
        <w:rPr>
          <w:rFonts w:ascii="Times New Roman" w:hAnsi="Times New Roman"/>
        </w:rPr>
        <w:t>Gollan</w:t>
      </w:r>
      <w:proofErr w:type="spellEnd"/>
      <w:r w:rsidRPr="00364EFC">
        <w:rPr>
          <w:rFonts w:ascii="Times New Roman" w:hAnsi="Times New Roman"/>
        </w:rPr>
        <w:t>, ‘Nonunion Forms of Employee Representation in the United Ki</w:t>
      </w:r>
      <w:r w:rsidR="00E83A12">
        <w:rPr>
          <w:rFonts w:ascii="Times New Roman" w:hAnsi="Times New Roman"/>
        </w:rPr>
        <w:t>ngdom and Australia’, in B E</w:t>
      </w:r>
      <w:r w:rsidRPr="00364EFC">
        <w:rPr>
          <w:rFonts w:ascii="Times New Roman" w:hAnsi="Times New Roman"/>
        </w:rPr>
        <w:t xml:space="preserve"> Kaufman and D</w:t>
      </w:r>
      <w:r w:rsidR="00E83A12">
        <w:rPr>
          <w:rFonts w:ascii="Times New Roman" w:hAnsi="Times New Roman"/>
        </w:rPr>
        <w:t xml:space="preserve"> </w:t>
      </w:r>
      <w:r w:rsidRPr="00364EFC">
        <w:rPr>
          <w:rFonts w:ascii="Times New Roman" w:hAnsi="Times New Roman"/>
        </w:rPr>
        <w:t xml:space="preserve">G </w:t>
      </w:r>
      <w:proofErr w:type="spellStart"/>
      <w:r w:rsidRPr="00364EFC">
        <w:rPr>
          <w:rFonts w:ascii="Times New Roman" w:hAnsi="Times New Roman"/>
        </w:rPr>
        <w:t>Taras</w:t>
      </w:r>
      <w:proofErr w:type="spellEnd"/>
      <w:r w:rsidRPr="00364EFC">
        <w:rPr>
          <w:rFonts w:ascii="Times New Roman" w:hAnsi="Times New Roman"/>
        </w:rPr>
        <w:t xml:space="preserve"> (</w:t>
      </w:r>
      <w:proofErr w:type="spellStart"/>
      <w:r w:rsidRPr="00364EFC">
        <w:rPr>
          <w:rFonts w:ascii="Times New Roman" w:hAnsi="Times New Roman"/>
        </w:rPr>
        <w:t>eds</w:t>
      </w:r>
      <w:proofErr w:type="spellEnd"/>
      <w:r w:rsidRPr="00364EFC">
        <w:rPr>
          <w:rFonts w:ascii="Times New Roman" w:hAnsi="Times New Roman"/>
        </w:rPr>
        <w:t xml:space="preserve">), </w:t>
      </w:r>
      <w:r w:rsidRPr="00364EFC">
        <w:rPr>
          <w:rFonts w:ascii="Times New Roman" w:hAnsi="Times New Roman"/>
          <w:i/>
        </w:rPr>
        <w:t>Nonunion Employee Representation: History, Contemporary Practice, and Policy</w:t>
      </w:r>
      <w:r w:rsidRPr="00364EFC">
        <w:rPr>
          <w:rFonts w:ascii="Times New Roman" w:hAnsi="Times New Roman"/>
        </w:rPr>
        <w:t xml:space="preserve"> (M</w:t>
      </w:r>
      <w:r w:rsidR="00E83A12">
        <w:rPr>
          <w:rFonts w:ascii="Times New Roman" w:hAnsi="Times New Roman"/>
        </w:rPr>
        <w:t xml:space="preserve"> E</w:t>
      </w:r>
      <w:r w:rsidRPr="00364EFC">
        <w:rPr>
          <w:rFonts w:ascii="Times New Roman" w:hAnsi="Times New Roman"/>
        </w:rPr>
        <w:t xml:space="preserve"> Sharpe, 2000) 410-449; P</w:t>
      </w:r>
      <w:r w:rsidR="00E83A12">
        <w:rPr>
          <w:rFonts w:ascii="Times New Roman" w:hAnsi="Times New Roman"/>
        </w:rPr>
        <w:t xml:space="preserve"> </w:t>
      </w:r>
      <w:r w:rsidRPr="00364EFC">
        <w:rPr>
          <w:rFonts w:ascii="Times New Roman" w:hAnsi="Times New Roman"/>
        </w:rPr>
        <w:t>J</w:t>
      </w:r>
      <w:r w:rsidR="00364EFC">
        <w:rPr>
          <w:rFonts w:ascii="Times New Roman" w:hAnsi="Times New Roman"/>
        </w:rPr>
        <w:t xml:space="preserve"> </w:t>
      </w:r>
      <w:proofErr w:type="spellStart"/>
      <w:r w:rsidR="00E83A12">
        <w:rPr>
          <w:rFonts w:ascii="Times New Roman" w:hAnsi="Times New Roman"/>
        </w:rPr>
        <w:t>Gollan</w:t>
      </w:r>
      <w:proofErr w:type="spellEnd"/>
      <w:r w:rsidR="00E83A12">
        <w:rPr>
          <w:rFonts w:ascii="Times New Roman" w:hAnsi="Times New Roman"/>
        </w:rPr>
        <w:t>, R</w:t>
      </w:r>
      <w:r w:rsidRPr="00364EFC">
        <w:rPr>
          <w:rFonts w:ascii="Times New Roman" w:hAnsi="Times New Roman"/>
        </w:rPr>
        <w:t xml:space="preserve"> Markey and I Ross, ‘Additional forms of employee representation in Australia’, (Working Paper no. 64, Australian Centre for Industrial Relati</w:t>
      </w:r>
      <w:r w:rsidR="00E83A12">
        <w:rPr>
          <w:rFonts w:ascii="Times New Roman" w:hAnsi="Times New Roman"/>
        </w:rPr>
        <w:t>ons Research and Training, 2001</w:t>
      </w:r>
      <w:r w:rsidRPr="00364EFC">
        <w:rPr>
          <w:rFonts w:ascii="Times New Roman" w:hAnsi="Times New Roman"/>
        </w:rPr>
        <w:t>.</w:t>
      </w:r>
    </w:p>
  </w:footnote>
  <w:footnote w:id="27">
    <w:p w:rsidR="00F51FF8" w:rsidRPr="00364EFC" w:rsidRDefault="00F51FF8">
      <w:pPr>
        <w:pStyle w:val="FootnoteText"/>
        <w:rPr>
          <w:rFonts w:ascii="Times New Roman" w:hAnsi="Times New Roman"/>
          <w:lang w:val="en-AU"/>
        </w:rPr>
      </w:pPr>
      <w:r w:rsidRPr="00364EFC">
        <w:rPr>
          <w:rStyle w:val="FootnoteReference"/>
          <w:rFonts w:ascii="Times New Roman" w:hAnsi="Times New Roman"/>
        </w:rPr>
        <w:footnoteRef/>
      </w:r>
      <w:r w:rsidRPr="00364EFC">
        <w:rPr>
          <w:rFonts w:ascii="Times New Roman" w:hAnsi="Times New Roman"/>
        </w:rPr>
        <w:t xml:space="preserve"> For a comparison of information and consultation provisions, in Australia, the United States and the European Union see </w:t>
      </w:r>
      <w:r w:rsidR="00E83A12">
        <w:rPr>
          <w:rFonts w:ascii="Times New Roman" w:hAnsi="Times New Roman"/>
          <w:lang w:val="en-AU"/>
        </w:rPr>
        <w:t>G</w:t>
      </w:r>
      <w:r w:rsidRPr="00364EFC">
        <w:rPr>
          <w:rFonts w:ascii="Times New Roman" w:hAnsi="Times New Roman"/>
          <w:lang w:val="en-AU"/>
        </w:rPr>
        <w:t xml:space="preserve"> Patmore, 'A legal perspective on employee participation' in A Wilkinson, P</w:t>
      </w:r>
      <w:r w:rsidR="00E83A12">
        <w:rPr>
          <w:rFonts w:ascii="Times New Roman" w:hAnsi="Times New Roman"/>
          <w:lang w:val="en-AU"/>
        </w:rPr>
        <w:t xml:space="preserve"> J</w:t>
      </w:r>
      <w:r w:rsidRPr="00364EFC">
        <w:rPr>
          <w:rFonts w:ascii="Times New Roman" w:hAnsi="Times New Roman"/>
          <w:lang w:val="en-AU"/>
        </w:rPr>
        <w:t xml:space="preserve"> </w:t>
      </w:r>
      <w:proofErr w:type="spellStart"/>
      <w:r w:rsidRPr="00364EFC">
        <w:rPr>
          <w:rFonts w:ascii="Times New Roman" w:hAnsi="Times New Roman"/>
          <w:lang w:val="en-AU"/>
        </w:rPr>
        <w:t>Gollan</w:t>
      </w:r>
      <w:proofErr w:type="spellEnd"/>
      <w:r w:rsidRPr="00364EFC">
        <w:rPr>
          <w:rFonts w:ascii="Times New Roman" w:hAnsi="Times New Roman"/>
          <w:lang w:val="en-AU"/>
        </w:rPr>
        <w:t xml:space="preserve">, M </w:t>
      </w:r>
      <w:proofErr w:type="spellStart"/>
      <w:r w:rsidRPr="00364EFC">
        <w:rPr>
          <w:rFonts w:ascii="Times New Roman" w:hAnsi="Times New Roman"/>
          <w:lang w:val="en-AU"/>
        </w:rPr>
        <w:t>Marchington</w:t>
      </w:r>
      <w:proofErr w:type="spellEnd"/>
      <w:r w:rsidRPr="00364EFC">
        <w:rPr>
          <w:rFonts w:ascii="Times New Roman" w:hAnsi="Times New Roman"/>
          <w:lang w:val="en-AU"/>
        </w:rPr>
        <w:t xml:space="preserve">, D </w:t>
      </w:r>
      <w:proofErr w:type="spellStart"/>
      <w:r w:rsidRPr="00364EFC">
        <w:rPr>
          <w:rFonts w:ascii="Times New Roman" w:hAnsi="Times New Roman"/>
          <w:lang w:val="en-AU"/>
        </w:rPr>
        <w:t>Lewin</w:t>
      </w:r>
      <w:proofErr w:type="spellEnd"/>
      <w:r w:rsidRPr="00364EFC">
        <w:rPr>
          <w:rFonts w:ascii="Times New Roman" w:hAnsi="Times New Roman"/>
          <w:lang w:val="en-AU"/>
        </w:rPr>
        <w:t xml:space="preserve"> (</w:t>
      </w:r>
      <w:proofErr w:type="spellStart"/>
      <w:r w:rsidRPr="00364EFC">
        <w:rPr>
          <w:rFonts w:ascii="Times New Roman" w:hAnsi="Times New Roman"/>
          <w:lang w:val="en-AU"/>
        </w:rPr>
        <w:t>ed</w:t>
      </w:r>
      <w:proofErr w:type="spellEnd"/>
      <w:r w:rsidRPr="00364EFC">
        <w:rPr>
          <w:rFonts w:ascii="Times New Roman" w:hAnsi="Times New Roman"/>
          <w:lang w:val="en-AU"/>
        </w:rPr>
        <w:t xml:space="preserve">), </w:t>
      </w:r>
      <w:r w:rsidRPr="00364EFC">
        <w:rPr>
          <w:rFonts w:ascii="Times New Roman" w:hAnsi="Times New Roman"/>
          <w:i/>
          <w:iCs/>
          <w:lang w:val="en-AU"/>
        </w:rPr>
        <w:t>The Oxford Handbook of Participation in Organizations</w:t>
      </w:r>
      <w:r w:rsidRPr="00364EFC">
        <w:rPr>
          <w:rFonts w:ascii="Times New Roman" w:hAnsi="Times New Roman"/>
          <w:lang w:val="en-AU"/>
        </w:rPr>
        <w:t xml:space="preserve"> (</w:t>
      </w:r>
      <w:r w:rsidR="00E83A12">
        <w:rPr>
          <w:rFonts w:ascii="Times New Roman" w:hAnsi="Times New Roman"/>
          <w:lang w:val="en-AU"/>
        </w:rPr>
        <w:t xml:space="preserve">Oxford University Press, </w:t>
      </w:r>
      <w:r w:rsidRPr="00364EFC">
        <w:rPr>
          <w:rFonts w:ascii="Times New Roman" w:hAnsi="Times New Roman"/>
          <w:lang w:val="en-AU"/>
        </w:rPr>
        <w:t>2010) 76-104</w:t>
      </w:r>
      <w:r w:rsidRPr="00364EFC">
        <w:rPr>
          <w:rFonts w:ascii="Times New Roman" w:hAnsi="Times New Roman"/>
        </w:rPr>
        <w:t xml:space="preserve">; for a comparison of the different approaches to </w:t>
      </w:r>
      <w:proofErr w:type="spellStart"/>
      <w:r w:rsidRPr="00364EFC">
        <w:rPr>
          <w:rFonts w:ascii="Times New Roman" w:hAnsi="Times New Roman"/>
        </w:rPr>
        <w:t>labour</w:t>
      </w:r>
      <w:proofErr w:type="spellEnd"/>
      <w:r w:rsidRPr="00364EFC">
        <w:rPr>
          <w:rFonts w:ascii="Times New Roman" w:hAnsi="Times New Roman"/>
        </w:rPr>
        <w:t xml:space="preserve"> law regulation, focusing on exclusivity in the United States and plurality in Australia, see G Patmore, ‘Evaluating Legal Regulation of Collective Bargaining and Consultation in Australia and the United States: A Normative Analysis’</w:t>
      </w:r>
      <w:r w:rsidR="00A907F2" w:rsidRPr="00364EFC">
        <w:rPr>
          <w:rFonts w:ascii="Times New Roman" w:hAnsi="Times New Roman"/>
        </w:rPr>
        <w:t xml:space="preserve"> (Paper presented at the Australian </w:t>
      </w:r>
      <w:proofErr w:type="spellStart"/>
      <w:r w:rsidR="00A907F2" w:rsidRPr="00364EFC">
        <w:rPr>
          <w:rFonts w:ascii="Times New Roman" w:hAnsi="Times New Roman"/>
        </w:rPr>
        <w:t>Labour</w:t>
      </w:r>
      <w:proofErr w:type="spellEnd"/>
      <w:r w:rsidR="00A907F2" w:rsidRPr="00364EFC">
        <w:rPr>
          <w:rFonts w:ascii="Times New Roman" w:hAnsi="Times New Roman"/>
        </w:rPr>
        <w:t xml:space="preserve"> Law Association Conference, University of Sydney, 15 November 2014) 5</w:t>
      </w:r>
      <w:r w:rsidRPr="00364EFC">
        <w:rPr>
          <w:rFonts w:ascii="Times New Roman" w:hAnsi="Times New Roman"/>
        </w:rPr>
        <w:t xml:space="preserve"> and </w:t>
      </w:r>
      <w:r w:rsidR="00A907F2" w:rsidRPr="00364EFC">
        <w:rPr>
          <w:rFonts w:ascii="Times New Roman" w:hAnsi="Times New Roman"/>
        </w:rPr>
        <w:t>footnote</w:t>
      </w:r>
      <w:r w:rsidRPr="00364EFC">
        <w:rPr>
          <w:rFonts w:ascii="Times New Roman" w:hAnsi="Times New Roman"/>
        </w:rPr>
        <w:t xml:space="preserve"> 15 </w:t>
      </w:r>
      <w:r w:rsidR="00A907F2" w:rsidRPr="00364EFC">
        <w:rPr>
          <w:rFonts w:ascii="Times New Roman" w:hAnsi="Times New Roman"/>
        </w:rPr>
        <w:t xml:space="preserve">in relation to bargaining and </w:t>
      </w:r>
      <w:r w:rsidRPr="00364EFC">
        <w:rPr>
          <w:rFonts w:ascii="Times New Roman" w:hAnsi="Times New Roman"/>
        </w:rPr>
        <w:t>6-7 in relation to consultation; see also P</w:t>
      </w:r>
      <w:r w:rsidR="00E83A12">
        <w:rPr>
          <w:rFonts w:ascii="Times New Roman" w:hAnsi="Times New Roman"/>
        </w:rPr>
        <w:t xml:space="preserve"> J</w:t>
      </w:r>
      <w:r w:rsidRPr="00364EFC">
        <w:rPr>
          <w:rFonts w:ascii="Times New Roman" w:hAnsi="Times New Roman"/>
        </w:rPr>
        <w:t xml:space="preserve"> </w:t>
      </w:r>
      <w:proofErr w:type="spellStart"/>
      <w:r w:rsidRPr="00364EFC">
        <w:rPr>
          <w:rFonts w:ascii="Times New Roman" w:hAnsi="Times New Roman"/>
        </w:rPr>
        <w:t>Gollan</w:t>
      </w:r>
      <w:proofErr w:type="spellEnd"/>
      <w:r w:rsidRPr="00364EFC">
        <w:rPr>
          <w:rFonts w:ascii="Times New Roman" w:hAnsi="Times New Roman"/>
        </w:rPr>
        <w:t xml:space="preserve">, G Patmore and </w:t>
      </w:r>
      <w:r w:rsidR="00364EFC">
        <w:rPr>
          <w:rFonts w:ascii="Times New Roman" w:hAnsi="Times New Roman"/>
        </w:rPr>
        <w:t>C</w:t>
      </w:r>
      <w:r w:rsidRPr="00364EFC">
        <w:rPr>
          <w:rFonts w:ascii="Times New Roman" w:hAnsi="Times New Roman"/>
        </w:rPr>
        <w:t xml:space="preserve"> Xu, ‘Regula</w:t>
      </w:r>
      <w:r w:rsidR="00E83A12">
        <w:rPr>
          <w:rFonts w:ascii="Times New Roman" w:hAnsi="Times New Roman"/>
        </w:rPr>
        <w:t xml:space="preserve">tion of Employee Voice’ in A Wilkinson T </w:t>
      </w:r>
      <w:proofErr w:type="spellStart"/>
      <w:r w:rsidRPr="00364EFC">
        <w:rPr>
          <w:rFonts w:ascii="Times New Roman" w:hAnsi="Times New Roman"/>
        </w:rPr>
        <w:t>Dundon</w:t>
      </w:r>
      <w:proofErr w:type="spellEnd"/>
      <w:r w:rsidRPr="00364EFC">
        <w:rPr>
          <w:rFonts w:ascii="Times New Roman" w:hAnsi="Times New Roman"/>
        </w:rPr>
        <w:t xml:space="preserve">, </w:t>
      </w:r>
      <w:r w:rsidR="00E83A12">
        <w:rPr>
          <w:rFonts w:ascii="Times New Roman" w:hAnsi="Times New Roman"/>
        </w:rPr>
        <w:t xml:space="preserve">J </w:t>
      </w:r>
      <w:proofErr w:type="spellStart"/>
      <w:r w:rsidRPr="00364EFC">
        <w:rPr>
          <w:rFonts w:ascii="Times New Roman" w:hAnsi="Times New Roman"/>
        </w:rPr>
        <w:t>Donaghey</w:t>
      </w:r>
      <w:proofErr w:type="spellEnd"/>
      <w:r w:rsidRPr="00364EFC">
        <w:rPr>
          <w:rFonts w:ascii="Times New Roman" w:hAnsi="Times New Roman"/>
        </w:rPr>
        <w:t xml:space="preserve"> and </w:t>
      </w:r>
      <w:r w:rsidR="00E83A12">
        <w:rPr>
          <w:rFonts w:ascii="Times New Roman" w:hAnsi="Times New Roman"/>
        </w:rPr>
        <w:t xml:space="preserve">R </w:t>
      </w:r>
      <w:r w:rsidRPr="00364EFC">
        <w:rPr>
          <w:rFonts w:ascii="Times New Roman" w:hAnsi="Times New Roman"/>
        </w:rPr>
        <w:t>Freeman (</w:t>
      </w:r>
      <w:proofErr w:type="spellStart"/>
      <w:r w:rsidRPr="00364EFC">
        <w:rPr>
          <w:rFonts w:ascii="Times New Roman" w:hAnsi="Times New Roman"/>
        </w:rPr>
        <w:t>eds</w:t>
      </w:r>
      <w:proofErr w:type="spellEnd"/>
      <w:r w:rsidRPr="00364EFC">
        <w:rPr>
          <w:rFonts w:ascii="Times New Roman" w:hAnsi="Times New Roman"/>
        </w:rPr>
        <w:t xml:space="preserve">), </w:t>
      </w:r>
      <w:r w:rsidRPr="00364EFC">
        <w:rPr>
          <w:rFonts w:ascii="Times New Roman" w:hAnsi="Times New Roman"/>
          <w:i/>
        </w:rPr>
        <w:t>Handbook on Employee Voice</w:t>
      </w:r>
      <w:r w:rsidRPr="00364EFC">
        <w:rPr>
          <w:rFonts w:ascii="Times New Roman" w:hAnsi="Times New Roman"/>
        </w:rPr>
        <w:t xml:space="preserve"> (Edward Elgar,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31C"/>
    <w:multiLevelType w:val="hybridMultilevel"/>
    <w:tmpl w:val="2C34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A1F62"/>
    <w:multiLevelType w:val="hybridMultilevel"/>
    <w:tmpl w:val="4B0E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E12B7"/>
    <w:multiLevelType w:val="hybridMultilevel"/>
    <w:tmpl w:val="4860E2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292B1932"/>
    <w:multiLevelType w:val="hybridMultilevel"/>
    <w:tmpl w:val="657CB368"/>
    <w:lvl w:ilvl="0" w:tplc="0C090005">
      <w:start w:val="1"/>
      <w:numFmt w:val="bulle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
    <w:nsid w:val="29B248D4"/>
    <w:multiLevelType w:val="hybridMultilevel"/>
    <w:tmpl w:val="BA4CAED6"/>
    <w:lvl w:ilvl="0" w:tplc="3134FAB6">
      <w:start w:val="1"/>
      <w:numFmt w:val="lowerLetter"/>
      <w:lvlText w:val="(%1)"/>
      <w:lvlJc w:val="left"/>
      <w:pPr>
        <w:tabs>
          <w:tab w:val="num" w:pos="1080"/>
        </w:tabs>
        <w:ind w:left="1080" w:hanging="360"/>
      </w:pPr>
      <w:rPr>
        <w:rFonts w:cs="Times New Roman"/>
      </w:rPr>
    </w:lvl>
    <w:lvl w:ilvl="1" w:tplc="0C090019">
      <w:start w:val="1"/>
      <w:numFmt w:val="decimal"/>
      <w:lvlText w:val="%2."/>
      <w:lvlJc w:val="left"/>
      <w:pPr>
        <w:tabs>
          <w:tab w:val="num" w:pos="1800"/>
        </w:tabs>
        <w:ind w:left="1800" w:hanging="360"/>
      </w:pPr>
      <w:rPr>
        <w:rFonts w:cs="Times New Roman"/>
      </w:rPr>
    </w:lvl>
    <w:lvl w:ilvl="2" w:tplc="0C09001B">
      <w:start w:val="1"/>
      <w:numFmt w:val="decimal"/>
      <w:lvlText w:val="%3."/>
      <w:lvlJc w:val="left"/>
      <w:pPr>
        <w:tabs>
          <w:tab w:val="num" w:pos="2520"/>
        </w:tabs>
        <w:ind w:left="2520" w:hanging="36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decimal"/>
      <w:lvlText w:val="%5."/>
      <w:lvlJc w:val="left"/>
      <w:pPr>
        <w:tabs>
          <w:tab w:val="num" w:pos="3960"/>
        </w:tabs>
        <w:ind w:left="3960" w:hanging="360"/>
      </w:pPr>
      <w:rPr>
        <w:rFonts w:cs="Times New Roman"/>
      </w:rPr>
    </w:lvl>
    <w:lvl w:ilvl="5" w:tplc="0C09001B">
      <w:start w:val="1"/>
      <w:numFmt w:val="decimal"/>
      <w:lvlText w:val="%6."/>
      <w:lvlJc w:val="left"/>
      <w:pPr>
        <w:tabs>
          <w:tab w:val="num" w:pos="4680"/>
        </w:tabs>
        <w:ind w:left="4680" w:hanging="36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decimal"/>
      <w:lvlText w:val="%8."/>
      <w:lvlJc w:val="left"/>
      <w:pPr>
        <w:tabs>
          <w:tab w:val="num" w:pos="6120"/>
        </w:tabs>
        <w:ind w:left="6120" w:hanging="360"/>
      </w:pPr>
      <w:rPr>
        <w:rFonts w:cs="Times New Roman"/>
      </w:rPr>
    </w:lvl>
    <w:lvl w:ilvl="8" w:tplc="0C09001B">
      <w:start w:val="1"/>
      <w:numFmt w:val="decimal"/>
      <w:lvlText w:val="%9."/>
      <w:lvlJc w:val="left"/>
      <w:pPr>
        <w:tabs>
          <w:tab w:val="num" w:pos="6840"/>
        </w:tabs>
        <w:ind w:left="6840" w:hanging="360"/>
      </w:pPr>
      <w:rPr>
        <w:rFonts w:cs="Times New Roman"/>
      </w:rPr>
    </w:lvl>
  </w:abstractNum>
  <w:abstractNum w:abstractNumId="5">
    <w:nsid w:val="2A6478A8"/>
    <w:multiLevelType w:val="hybridMultilevel"/>
    <w:tmpl w:val="2D3A5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5D138E3"/>
    <w:multiLevelType w:val="hybridMultilevel"/>
    <w:tmpl w:val="D01449D6"/>
    <w:lvl w:ilvl="0" w:tplc="14E63F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8">
    <w:nsid w:val="5C1A1EA7"/>
    <w:multiLevelType w:val="hybridMultilevel"/>
    <w:tmpl w:val="617EA0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5F546F03"/>
    <w:multiLevelType w:val="hybridMultilevel"/>
    <w:tmpl w:val="06F0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955C3D"/>
    <w:multiLevelType w:val="hybridMultilevel"/>
    <w:tmpl w:val="BA4CAED6"/>
    <w:lvl w:ilvl="0" w:tplc="3134FAB6">
      <w:start w:val="1"/>
      <w:numFmt w:val="lowerLetter"/>
      <w:lvlText w:val="(%1)"/>
      <w:lvlJc w:val="left"/>
      <w:pPr>
        <w:tabs>
          <w:tab w:val="num" w:pos="720"/>
        </w:tabs>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1">
    <w:nsid w:val="6E630C28"/>
    <w:multiLevelType w:val="hybridMultilevel"/>
    <w:tmpl w:val="FEFE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8"/>
  </w:num>
  <w:num w:numId="9">
    <w:abstractNumId w:val="1"/>
  </w:num>
  <w:num w:numId="10">
    <w:abstractNumId w:val="11"/>
  </w:num>
  <w:num w:numId="11">
    <w:abstractNumId w:val="9"/>
  </w:num>
  <w:num w:numId="12">
    <w:abstractNumId w:val="7"/>
  </w:num>
  <w:num w:numId="13">
    <w:abstractNumId w:val="7"/>
  </w:num>
  <w:num w:numId="14">
    <w:abstractNumId w:val="3"/>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DB2A0F1-C708-4BDA-B612-84D9ED971E7F}"/>
    <w:docVar w:name="dgnword-eventsink" w:val="33774680"/>
  </w:docVars>
  <w:rsids>
    <w:rsidRoot w:val="00574DED"/>
    <w:rsid w:val="000214CF"/>
    <w:rsid w:val="000215AF"/>
    <w:rsid w:val="000246A1"/>
    <w:rsid w:val="00024F22"/>
    <w:rsid w:val="00030987"/>
    <w:rsid w:val="00047081"/>
    <w:rsid w:val="00051189"/>
    <w:rsid w:val="00051B4D"/>
    <w:rsid w:val="00061032"/>
    <w:rsid w:val="000777F3"/>
    <w:rsid w:val="00086951"/>
    <w:rsid w:val="000943D7"/>
    <w:rsid w:val="000A3252"/>
    <w:rsid w:val="000A4758"/>
    <w:rsid w:val="000A56D3"/>
    <w:rsid w:val="000C7DA2"/>
    <w:rsid w:val="001163B2"/>
    <w:rsid w:val="00126838"/>
    <w:rsid w:val="00126F7F"/>
    <w:rsid w:val="0013040F"/>
    <w:rsid w:val="001513F6"/>
    <w:rsid w:val="001533D3"/>
    <w:rsid w:val="00155D0D"/>
    <w:rsid w:val="00175DC8"/>
    <w:rsid w:val="00186680"/>
    <w:rsid w:val="001970FD"/>
    <w:rsid w:val="001B7796"/>
    <w:rsid w:val="0020045A"/>
    <w:rsid w:val="00211078"/>
    <w:rsid w:val="00211E6A"/>
    <w:rsid w:val="0021615D"/>
    <w:rsid w:val="00244572"/>
    <w:rsid w:val="00255E69"/>
    <w:rsid w:val="00270208"/>
    <w:rsid w:val="002C58AB"/>
    <w:rsid w:val="002D4D55"/>
    <w:rsid w:val="002F4CE5"/>
    <w:rsid w:val="002F7F5F"/>
    <w:rsid w:val="00304488"/>
    <w:rsid w:val="00314A21"/>
    <w:rsid w:val="003342D2"/>
    <w:rsid w:val="00344218"/>
    <w:rsid w:val="00364EFC"/>
    <w:rsid w:val="0037059C"/>
    <w:rsid w:val="00380ECD"/>
    <w:rsid w:val="0039202F"/>
    <w:rsid w:val="003C301D"/>
    <w:rsid w:val="003C60DB"/>
    <w:rsid w:val="003D1040"/>
    <w:rsid w:val="003F1099"/>
    <w:rsid w:val="00407C84"/>
    <w:rsid w:val="00415967"/>
    <w:rsid w:val="0042133B"/>
    <w:rsid w:val="00456F0C"/>
    <w:rsid w:val="004972C7"/>
    <w:rsid w:val="004B655B"/>
    <w:rsid w:val="004C4DB4"/>
    <w:rsid w:val="004E7123"/>
    <w:rsid w:val="004F0385"/>
    <w:rsid w:val="00517756"/>
    <w:rsid w:val="00527B09"/>
    <w:rsid w:val="00552B18"/>
    <w:rsid w:val="00571266"/>
    <w:rsid w:val="00574DED"/>
    <w:rsid w:val="00590CCF"/>
    <w:rsid w:val="005A3349"/>
    <w:rsid w:val="005B7344"/>
    <w:rsid w:val="005C3888"/>
    <w:rsid w:val="005D1B98"/>
    <w:rsid w:val="005D5F64"/>
    <w:rsid w:val="005F67EF"/>
    <w:rsid w:val="006105DE"/>
    <w:rsid w:val="006270AB"/>
    <w:rsid w:val="00632600"/>
    <w:rsid w:val="00652116"/>
    <w:rsid w:val="00683F20"/>
    <w:rsid w:val="00696E8C"/>
    <w:rsid w:val="0069773A"/>
    <w:rsid w:val="006E10B8"/>
    <w:rsid w:val="006F230B"/>
    <w:rsid w:val="006F35C3"/>
    <w:rsid w:val="006F5D57"/>
    <w:rsid w:val="00702C9C"/>
    <w:rsid w:val="007238F4"/>
    <w:rsid w:val="0075410B"/>
    <w:rsid w:val="00754DE2"/>
    <w:rsid w:val="00775F11"/>
    <w:rsid w:val="007852F6"/>
    <w:rsid w:val="007A17AE"/>
    <w:rsid w:val="007A1D52"/>
    <w:rsid w:val="007B26C1"/>
    <w:rsid w:val="007B7ED1"/>
    <w:rsid w:val="007D5970"/>
    <w:rsid w:val="007E4000"/>
    <w:rsid w:val="00801A98"/>
    <w:rsid w:val="00843385"/>
    <w:rsid w:val="0084507D"/>
    <w:rsid w:val="00893BAD"/>
    <w:rsid w:val="00894ED8"/>
    <w:rsid w:val="008A4E5D"/>
    <w:rsid w:val="008C33ED"/>
    <w:rsid w:val="008C6B9D"/>
    <w:rsid w:val="00906590"/>
    <w:rsid w:val="00907C48"/>
    <w:rsid w:val="00907E2F"/>
    <w:rsid w:val="00911B1D"/>
    <w:rsid w:val="00922176"/>
    <w:rsid w:val="00934842"/>
    <w:rsid w:val="0094278F"/>
    <w:rsid w:val="00945114"/>
    <w:rsid w:val="0095087C"/>
    <w:rsid w:val="0095292C"/>
    <w:rsid w:val="0095722A"/>
    <w:rsid w:val="00957D61"/>
    <w:rsid w:val="009E11BC"/>
    <w:rsid w:val="00A001C5"/>
    <w:rsid w:val="00A03FBF"/>
    <w:rsid w:val="00A40086"/>
    <w:rsid w:val="00A73A8D"/>
    <w:rsid w:val="00A877D6"/>
    <w:rsid w:val="00A907F2"/>
    <w:rsid w:val="00A96235"/>
    <w:rsid w:val="00AA0545"/>
    <w:rsid w:val="00AA7B68"/>
    <w:rsid w:val="00AB7B57"/>
    <w:rsid w:val="00AC3B9A"/>
    <w:rsid w:val="00AC5D68"/>
    <w:rsid w:val="00AE4961"/>
    <w:rsid w:val="00AE71F3"/>
    <w:rsid w:val="00B22493"/>
    <w:rsid w:val="00B364AF"/>
    <w:rsid w:val="00B372A4"/>
    <w:rsid w:val="00B47222"/>
    <w:rsid w:val="00B47C76"/>
    <w:rsid w:val="00B676C0"/>
    <w:rsid w:val="00B72637"/>
    <w:rsid w:val="00B73006"/>
    <w:rsid w:val="00B941DC"/>
    <w:rsid w:val="00BA4745"/>
    <w:rsid w:val="00BA7750"/>
    <w:rsid w:val="00BB17E3"/>
    <w:rsid w:val="00BB3571"/>
    <w:rsid w:val="00BC4BAE"/>
    <w:rsid w:val="00BF0452"/>
    <w:rsid w:val="00C05946"/>
    <w:rsid w:val="00C1434E"/>
    <w:rsid w:val="00C14ECF"/>
    <w:rsid w:val="00C16A58"/>
    <w:rsid w:val="00C22506"/>
    <w:rsid w:val="00C23CDB"/>
    <w:rsid w:val="00C42DA6"/>
    <w:rsid w:val="00C453B8"/>
    <w:rsid w:val="00C47CC4"/>
    <w:rsid w:val="00C503CA"/>
    <w:rsid w:val="00C5230C"/>
    <w:rsid w:val="00C7257D"/>
    <w:rsid w:val="00C72ACB"/>
    <w:rsid w:val="00C85C17"/>
    <w:rsid w:val="00CB2632"/>
    <w:rsid w:val="00CB481E"/>
    <w:rsid w:val="00CC2A79"/>
    <w:rsid w:val="00CC7AD3"/>
    <w:rsid w:val="00CD7059"/>
    <w:rsid w:val="00CD773B"/>
    <w:rsid w:val="00CE0FAE"/>
    <w:rsid w:val="00CF5973"/>
    <w:rsid w:val="00D446BB"/>
    <w:rsid w:val="00D4746B"/>
    <w:rsid w:val="00D6254A"/>
    <w:rsid w:val="00D7378E"/>
    <w:rsid w:val="00D8727F"/>
    <w:rsid w:val="00D908A8"/>
    <w:rsid w:val="00DA1A19"/>
    <w:rsid w:val="00DB6D74"/>
    <w:rsid w:val="00DC38C1"/>
    <w:rsid w:val="00DF2F0A"/>
    <w:rsid w:val="00DF4BA4"/>
    <w:rsid w:val="00DF69A0"/>
    <w:rsid w:val="00DF7ECC"/>
    <w:rsid w:val="00E0365D"/>
    <w:rsid w:val="00E15233"/>
    <w:rsid w:val="00E20CA2"/>
    <w:rsid w:val="00E73E6D"/>
    <w:rsid w:val="00E753E9"/>
    <w:rsid w:val="00E83A12"/>
    <w:rsid w:val="00EA3540"/>
    <w:rsid w:val="00EB0080"/>
    <w:rsid w:val="00EB21FD"/>
    <w:rsid w:val="00EB3173"/>
    <w:rsid w:val="00EC439F"/>
    <w:rsid w:val="00ED1058"/>
    <w:rsid w:val="00ED3C53"/>
    <w:rsid w:val="00EE6348"/>
    <w:rsid w:val="00EF430F"/>
    <w:rsid w:val="00F3188B"/>
    <w:rsid w:val="00F51FF8"/>
    <w:rsid w:val="00F531FE"/>
    <w:rsid w:val="00F53D52"/>
    <w:rsid w:val="00F5787A"/>
    <w:rsid w:val="00F6140E"/>
    <w:rsid w:val="00F84D8A"/>
    <w:rsid w:val="00F93EAE"/>
    <w:rsid w:val="00FE324E"/>
    <w:rsid w:val="00FE3380"/>
    <w:rsid w:val="00FE3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D7"/>
    <w:pPr>
      <w:spacing w:after="200" w:line="276" w:lineRule="auto"/>
    </w:pPr>
    <w:rPr>
      <w:lang w:eastAsia="en-US"/>
    </w:rPr>
  </w:style>
  <w:style w:type="paragraph" w:styleId="Heading1">
    <w:name w:val="heading 1"/>
    <w:basedOn w:val="Normal"/>
    <w:link w:val="Heading1Char"/>
    <w:qFormat/>
    <w:locked/>
    <w:rsid w:val="009E11B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A1D52"/>
    <w:rPr>
      <w:rFonts w:cs="Times New Roman"/>
      <w:color w:val="0000CC"/>
      <w:u w:val="single"/>
    </w:rPr>
  </w:style>
  <w:style w:type="paragraph" w:styleId="NormalWeb">
    <w:name w:val="Normal (Web)"/>
    <w:basedOn w:val="Normal"/>
    <w:uiPriority w:val="99"/>
    <w:rsid w:val="007A1D52"/>
    <w:pPr>
      <w:suppressAutoHyphens/>
      <w:spacing w:before="280" w:after="280" w:line="240" w:lineRule="auto"/>
    </w:pPr>
    <w:rPr>
      <w:rFonts w:ascii="Times New Roman" w:eastAsia="Times New Roman" w:hAnsi="Times New Roman"/>
      <w:sz w:val="24"/>
      <w:szCs w:val="24"/>
      <w:lang w:eastAsia="ar-SA"/>
    </w:rPr>
  </w:style>
  <w:style w:type="character" w:customStyle="1" w:styleId="FootnoteTextChar1">
    <w:name w:val="Footnote Text Char1"/>
    <w:aliases w:val="FN Char1,Footnote Text Char1 Char Char1,Footnote Text Char Char Char Char1,Footnote Text Char1 Char Char Char Char1,Footnote Text Char Char Char Char Char Char1,Footnote Text Char1 Char1 Char1,Footnote Text Char Char Char1 Char1"/>
    <w:uiPriority w:val="99"/>
    <w:locked/>
    <w:rsid w:val="007A1D52"/>
    <w:rPr>
      <w:rFonts w:cs="Times New Roman"/>
      <w:lang w:eastAsia="ar-SA" w:bidi="ar-SA"/>
    </w:rPr>
  </w:style>
  <w:style w:type="paragraph" w:styleId="FootnoteText">
    <w:name w:val="footnote text"/>
    <w:aliases w:val="FN,Footnote Text Char1 Char,Footnote Text Char Char Char,Footnote Text Char1 Char Char Char,Footnote Text Char Char Char Char Char,Footnote Text Char1 Char1,Footnote Text Char Char Char1"/>
    <w:basedOn w:val="Normal"/>
    <w:link w:val="FootnoteTextChar"/>
    <w:uiPriority w:val="99"/>
    <w:qFormat/>
    <w:rsid w:val="007A1D52"/>
    <w:pPr>
      <w:suppressAutoHyphens/>
      <w:spacing w:after="0" w:line="240" w:lineRule="auto"/>
    </w:pPr>
    <w:rPr>
      <w:lang w:val="en-US" w:eastAsia="ar-SA"/>
    </w:rPr>
  </w:style>
  <w:style w:type="character" w:customStyle="1" w:styleId="FootnoteTextChar">
    <w:name w:val="Footnote Text Char"/>
    <w:aliases w:val="FN Char,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semiHidden/>
    <w:locked/>
    <w:rsid w:val="007A1D52"/>
    <w:rPr>
      <w:rFonts w:cs="Times New Roman"/>
      <w:sz w:val="20"/>
      <w:szCs w:val="20"/>
      <w:lang w:val="en-AU"/>
    </w:rPr>
  </w:style>
  <w:style w:type="paragraph" w:customStyle="1" w:styleId="Style1">
    <w:name w:val="Style 1"/>
    <w:basedOn w:val="Normal"/>
    <w:uiPriority w:val="99"/>
    <w:rsid w:val="007A1D52"/>
    <w:pPr>
      <w:widowControl w:val="0"/>
      <w:autoSpaceDE w:val="0"/>
      <w:autoSpaceDN w:val="0"/>
      <w:adjustRightInd w:val="0"/>
      <w:spacing w:after="0" w:line="240" w:lineRule="auto"/>
    </w:pPr>
    <w:rPr>
      <w:rFonts w:ascii="Times New Roman" w:eastAsia="Times New Roman" w:hAnsi="Times New Roman"/>
      <w:sz w:val="24"/>
      <w:szCs w:val="24"/>
      <w:lang w:val="en-US" w:eastAsia="zh-CN"/>
    </w:rPr>
  </w:style>
  <w:style w:type="paragraph" w:customStyle="1" w:styleId="Default">
    <w:name w:val="Default"/>
    <w:rsid w:val="007A1D52"/>
    <w:pPr>
      <w:autoSpaceDE w:val="0"/>
      <w:autoSpaceDN w:val="0"/>
      <w:adjustRightInd w:val="0"/>
    </w:pPr>
    <w:rPr>
      <w:rFonts w:ascii="Times Ten" w:hAnsi="Times Ten" w:cs="Times Ten"/>
      <w:color w:val="000000"/>
      <w:sz w:val="24"/>
      <w:szCs w:val="24"/>
      <w:lang w:val="en-US" w:eastAsia="en-US"/>
    </w:rPr>
  </w:style>
  <w:style w:type="character" w:styleId="FootnoteReference">
    <w:name w:val="footnote reference"/>
    <w:basedOn w:val="DefaultParagraphFont"/>
    <w:uiPriority w:val="99"/>
    <w:semiHidden/>
    <w:rsid w:val="007A1D52"/>
    <w:rPr>
      <w:rFonts w:cs="Times New Roman"/>
      <w:vertAlign w:val="superscript"/>
    </w:rPr>
  </w:style>
  <w:style w:type="paragraph" w:styleId="ListParagraph">
    <w:name w:val="List Paragraph"/>
    <w:basedOn w:val="Normal"/>
    <w:uiPriority w:val="99"/>
    <w:qFormat/>
    <w:rsid w:val="004B655B"/>
    <w:pPr>
      <w:spacing w:after="0" w:line="240" w:lineRule="auto"/>
      <w:ind w:left="720"/>
      <w:contextualSpacing/>
    </w:pPr>
    <w:rPr>
      <w:rFonts w:eastAsia="Times New Roman"/>
      <w:sz w:val="24"/>
      <w:szCs w:val="24"/>
    </w:rPr>
  </w:style>
  <w:style w:type="paragraph" w:customStyle="1" w:styleId="List1">
    <w:name w:val="List1"/>
    <w:basedOn w:val="Normal"/>
    <w:rsid w:val="005A3349"/>
    <w:pPr>
      <w:spacing w:after="0" w:line="360" w:lineRule="auto"/>
    </w:pPr>
    <w:rPr>
      <w:rFonts w:ascii="Century Schoolbook" w:eastAsia="SimSun" w:hAnsi="Century Schoolbook"/>
      <w:sz w:val="24"/>
      <w:szCs w:val="20"/>
      <w:lang w:val="en-GB" w:eastAsia="zh-CN"/>
    </w:rPr>
  </w:style>
  <w:style w:type="paragraph" w:customStyle="1" w:styleId="listbottomline">
    <w:name w:val="list bottom line"/>
    <w:basedOn w:val="Normal"/>
    <w:uiPriority w:val="99"/>
    <w:rsid w:val="005A3349"/>
    <w:pPr>
      <w:spacing w:after="120" w:line="360" w:lineRule="auto"/>
    </w:pPr>
    <w:rPr>
      <w:rFonts w:ascii="Century Schoolbook" w:eastAsia="SimSun" w:hAnsi="Century Schoolbook"/>
      <w:sz w:val="24"/>
      <w:szCs w:val="20"/>
      <w:lang w:val="en-GB" w:eastAsia="zh-CN"/>
    </w:rPr>
  </w:style>
  <w:style w:type="paragraph" w:customStyle="1" w:styleId="listtopline">
    <w:name w:val="list top line"/>
    <w:basedOn w:val="Normal"/>
    <w:rsid w:val="005A3349"/>
    <w:pPr>
      <w:spacing w:before="120" w:after="0" w:line="360" w:lineRule="auto"/>
    </w:pPr>
    <w:rPr>
      <w:rFonts w:ascii="Century Schoolbook" w:eastAsia="SimSun" w:hAnsi="Century Schoolbook"/>
      <w:sz w:val="24"/>
      <w:szCs w:val="20"/>
      <w:lang w:val="en-GB" w:eastAsia="zh-CN"/>
    </w:rPr>
  </w:style>
  <w:style w:type="paragraph" w:customStyle="1" w:styleId="textafterextract">
    <w:name w:val="text after extract"/>
    <w:basedOn w:val="Normal"/>
    <w:uiPriority w:val="99"/>
    <w:rsid w:val="005A3349"/>
    <w:pPr>
      <w:spacing w:before="240" w:after="0" w:line="480" w:lineRule="auto"/>
    </w:pPr>
    <w:rPr>
      <w:rFonts w:ascii="Century Schoolbook" w:eastAsia="SimSun" w:hAnsi="Century Schoolbook"/>
      <w:sz w:val="24"/>
      <w:szCs w:val="20"/>
      <w:lang w:val="en-GB" w:eastAsia="zh-CN"/>
    </w:rPr>
  </w:style>
  <w:style w:type="paragraph" w:customStyle="1" w:styleId="textindent">
    <w:name w:val="text indent"/>
    <w:basedOn w:val="Normal"/>
    <w:rsid w:val="00EB3173"/>
    <w:pPr>
      <w:spacing w:before="80" w:after="0" w:line="480" w:lineRule="auto"/>
      <w:ind w:firstLine="720"/>
    </w:pPr>
    <w:rPr>
      <w:rFonts w:ascii="Century Schoolbook" w:eastAsia="SimSun" w:hAnsi="Century Schoolbook"/>
      <w:sz w:val="24"/>
      <w:szCs w:val="20"/>
      <w:lang w:val="en-GB" w:eastAsia="zh-CN"/>
    </w:rPr>
  </w:style>
  <w:style w:type="character" w:customStyle="1" w:styleId="CharacterStyle16">
    <w:name w:val="Character Style 16"/>
    <w:uiPriority w:val="99"/>
    <w:rsid w:val="005D1B98"/>
    <w:rPr>
      <w:rFonts w:ascii="Book Antiqua" w:hAnsi="Book Antiqua"/>
      <w:sz w:val="20"/>
    </w:rPr>
  </w:style>
  <w:style w:type="character" w:customStyle="1" w:styleId="Heading1Char">
    <w:name w:val="Heading 1 Char"/>
    <w:basedOn w:val="DefaultParagraphFont"/>
    <w:link w:val="Heading1"/>
    <w:rsid w:val="009E11BC"/>
    <w:rPr>
      <w:rFonts w:ascii="Times New Roman" w:eastAsia="Times New Roman" w:hAnsi="Times New Roman"/>
      <w:b/>
      <w:bCs/>
      <w:kern w:val="36"/>
      <w:sz w:val="48"/>
      <w:szCs w:val="48"/>
      <w:lang w:val="en-US" w:eastAsia="en-US"/>
    </w:rPr>
  </w:style>
  <w:style w:type="paragraph" w:styleId="PlainText">
    <w:name w:val="Plain Text"/>
    <w:basedOn w:val="Normal"/>
    <w:link w:val="PlainTextChar"/>
    <w:uiPriority w:val="99"/>
    <w:unhideWhenUsed/>
    <w:rsid w:val="009E11BC"/>
    <w:pPr>
      <w:spacing w:after="0" w:line="240" w:lineRule="auto"/>
    </w:pPr>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9E11BC"/>
    <w:rPr>
      <w:rFonts w:ascii="Consolas" w:eastAsiaTheme="minorHAnsi" w:hAnsi="Consolas" w:cstheme="minorBidi"/>
      <w:sz w:val="21"/>
      <w:szCs w:val="21"/>
      <w:lang w:val="en-US" w:eastAsia="en-US"/>
    </w:rPr>
  </w:style>
  <w:style w:type="paragraph" w:styleId="Footer">
    <w:name w:val="footer"/>
    <w:basedOn w:val="Normal"/>
    <w:link w:val="FooterChar"/>
    <w:uiPriority w:val="99"/>
    <w:rsid w:val="00EA3540"/>
    <w:pPr>
      <w:tabs>
        <w:tab w:val="center" w:pos="4513"/>
        <w:tab w:val="right" w:pos="9026"/>
      </w:tabs>
      <w:spacing w:after="0" w:line="240" w:lineRule="auto"/>
    </w:pPr>
    <w:rPr>
      <w:rFonts w:ascii="Times New Roman" w:eastAsia="SimSun" w:hAnsi="Times New Roman"/>
      <w:sz w:val="24"/>
      <w:szCs w:val="24"/>
      <w:lang w:eastAsia="zh-CN"/>
    </w:rPr>
  </w:style>
  <w:style w:type="character" w:customStyle="1" w:styleId="FooterChar">
    <w:name w:val="Footer Char"/>
    <w:basedOn w:val="DefaultParagraphFont"/>
    <w:link w:val="Footer"/>
    <w:uiPriority w:val="99"/>
    <w:rsid w:val="00EA3540"/>
    <w:rPr>
      <w:rFonts w:ascii="Times New Roman" w:eastAsia="SimSun" w:hAnsi="Times New Roman"/>
      <w:sz w:val="24"/>
      <w:szCs w:val="24"/>
      <w:lang w:eastAsia="zh-CN"/>
    </w:rPr>
  </w:style>
  <w:style w:type="paragraph" w:customStyle="1" w:styleId="references">
    <w:name w:val="references"/>
    <w:basedOn w:val="Normal"/>
    <w:rsid w:val="00EA3540"/>
    <w:pPr>
      <w:spacing w:before="80" w:after="80" w:line="480" w:lineRule="auto"/>
      <w:ind w:left="720" w:hanging="720"/>
    </w:pPr>
    <w:rPr>
      <w:rFonts w:ascii="Century Schoolbook" w:eastAsia="SimSun" w:hAnsi="Century Schoolbook"/>
      <w:sz w:val="24"/>
      <w:szCs w:val="20"/>
      <w:lang w:val="en-GB" w:eastAsia="zh-CN"/>
    </w:rPr>
  </w:style>
  <w:style w:type="paragraph" w:styleId="BalloonText">
    <w:name w:val="Balloon Text"/>
    <w:basedOn w:val="Normal"/>
    <w:link w:val="BalloonTextChar"/>
    <w:uiPriority w:val="99"/>
    <w:semiHidden/>
    <w:unhideWhenUsed/>
    <w:rsid w:val="0068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20"/>
    <w:rPr>
      <w:rFonts w:ascii="Tahoma" w:hAnsi="Tahoma" w:cs="Tahoma"/>
      <w:sz w:val="16"/>
      <w:szCs w:val="16"/>
      <w:lang w:eastAsia="en-US"/>
    </w:rPr>
  </w:style>
  <w:style w:type="paragraph" w:styleId="BodyText">
    <w:name w:val="Body Text"/>
    <w:link w:val="BodyTextChar"/>
    <w:unhideWhenUsed/>
    <w:qFormat/>
    <w:rsid w:val="00C22506"/>
    <w:pPr>
      <w:spacing w:before="240" w:line="300" w:lineRule="atLeast"/>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C22506"/>
    <w:rPr>
      <w:rFonts w:ascii="Times New Roman" w:eastAsia="Times New Roman" w:hAnsi="Times New Roman"/>
      <w:sz w:val="24"/>
      <w:szCs w:val="20"/>
    </w:rPr>
  </w:style>
  <w:style w:type="paragraph" w:styleId="ListBullet">
    <w:name w:val="List Bullet"/>
    <w:basedOn w:val="BodyText"/>
    <w:rsid w:val="00A40086"/>
    <w:pPr>
      <w:numPr>
        <w:numId w:val="12"/>
      </w:numP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D7"/>
    <w:pPr>
      <w:spacing w:after="200" w:line="276" w:lineRule="auto"/>
    </w:pPr>
    <w:rPr>
      <w:lang w:eastAsia="en-US"/>
    </w:rPr>
  </w:style>
  <w:style w:type="paragraph" w:styleId="Heading1">
    <w:name w:val="heading 1"/>
    <w:basedOn w:val="Normal"/>
    <w:link w:val="Heading1Char"/>
    <w:qFormat/>
    <w:locked/>
    <w:rsid w:val="009E11B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A1D52"/>
    <w:rPr>
      <w:rFonts w:cs="Times New Roman"/>
      <w:color w:val="0000CC"/>
      <w:u w:val="single"/>
    </w:rPr>
  </w:style>
  <w:style w:type="paragraph" w:styleId="NormalWeb">
    <w:name w:val="Normal (Web)"/>
    <w:basedOn w:val="Normal"/>
    <w:uiPriority w:val="99"/>
    <w:rsid w:val="007A1D52"/>
    <w:pPr>
      <w:suppressAutoHyphens/>
      <w:spacing w:before="280" w:after="280" w:line="240" w:lineRule="auto"/>
    </w:pPr>
    <w:rPr>
      <w:rFonts w:ascii="Times New Roman" w:eastAsia="Times New Roman" w:hAnsi="Times New Roman"/>
      <w:sz w:val="24"/>
      <w:szCs w:val="24"/>
      <w:lang w:eastAsia="ar-SA"/>
    </w:rPr>
  </w:style>
  <w:style w:type="character" w:customStyle="1" w:styleId="FootnoteTextChar1">
    <w:name w:val="Footnote Text Char1"/>
    <w:aliases w:val="FN Char1,Footnote Text Char1 Char Char1,Footnote Text Char Char Char Char1,Footnote Text Char1 Char Char Char Char1,Footnote Text Char Char Char Char Char Char1,Footnote Text Char1 Char1 Char1,Footnote Text Char Char Char1 Char1"/>
    <w:uiPriority w:val="99"/>
    <w:locked/>
    <w:rsid w:val="007A1D52"/>
    <w:rPr>
      <w:rFonts w:cs="Times New Roman"/>
      <w:lang w:eastAsia="ar-SA" w:bidi="ar-SA"/>
    </w:rPr>
  </w:style>
  <w:style w:type="paragraph" w:styleId="FootnoteText">
    <w:name w:val="footnote text"/>
    <w:aliases w:val="FN,Footnote Text Char1 Char,Footnote Text Char Char Char,Footnote Text Char1 Char Char Char,Footnote Text Char Char Char Char Char,Footnote Text Char1 Char1,Footnote Text Char Char Char1"/>
    <w:basedOn w:val="Normal"/>
    <w:link w:val="FootnoteTextChar"/>
    <w:uiPriority w:val="99"/>
    <w:qFormat/>
    <w:rsid w:val="007A1D52"/>
    <w:pPr>
      <w:suppressAutoHyphens/>
      <w:spacing w:after="0" w:line="240" w:lineRule="auto"/>
    </w:pPr>
    <w:rPr>
      <w:lang w:val="en-US" w:eastAsia="ar-SA"/>
    </w:rPr>
  </w:style>
  <w:style w:type="character" w:customStyle="1" w:styleId="FootnoteTextChar">
    <w:name w:val="Footnote Text Char"/>
    <w:aliases w:val="FN Char,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semiHidden/>
    <w:locked/>
    <w:rsid w:val="007A1D52"/>
    <w:rPr>
      <w:rFonts w:cs="Times New Roman"/>
      <w:sz w:val="20"/>
      <w:szCs w:val="20"/>
      <w:lang w:val="en-AU"/>
    </w:rPr>
  </w:style>
  <w:style w:type="paragraph" w:customStyle="1" w:styleId="Style1">
    <w:name w:val="Style 1"/>
    <w:basedOn w:val="Normal"/>
    <w:uiPriority w:val="99"/>
    <w:rsid w:val="007A1D52"/>
    <w:pPr>
      <w:widowControl w:val="0"/>
      <w:autoSpaceDE w:val="0"/>
      <w:autoSpaceDN w:val="0"/>
      <w:adjustRightInd w:val="0"/>
      <w:spacing w:after="0" w:line="240" w:lineRule="auto"/>
    </w:pPr>
    <w:rPr>
      <w:rFonts w:ascii="Times New Roman" w:eastAsia="Times New Roman" w:hAnsi="Times New Roman"/>
      <w:sz w:val="24"/>
      <w:szCs w:val="24"/>
      <w:lang w:val="en-US" w:eastAsia="zh-CN"/>
    </w:rPr>
  </w:style>
  <w:style w:type="paragraph" w:customStyle="1" w:styleId="Default">
    <w:name w:val="Default"/>
    <w:rsid w:val="007A1D52"/>
    <w:pPr>
      <w:autoSpaceDE w:val="0"/>
      <w:autoSpaceDN w:val="0"/>
      <w:adjustRightInd w:val="0"/>
    </w:pPr>
    <w:rPr>
      <w:rFonts w:ascii="Times Ten" w:hAnsi="Times Ten" w:cs="Times Ten"/>
      <w:color w:val="000000"/>
      <w:sz w:val="24"/>
      <w:szCs w:val="24"/>
      <w:lang w:val="en-US" w:eastAsia="en-US"/>
    </w:rPr>
  </w:style>
  <w:style w:type="character" w:styleId="FootnoteReference">
    <w:name w:val="footnote reference"/>
    <w:basedOn w:val="DefaultParagraphFont"/>
    <w:uiPriority w:val="99"/>
    <w:semiHidden/>
    <w:rsid w:val="007A1D52"/>
    <w:rPr>
      <w:rFonts w:cs="Times New Roman"/>
      <w:vertAlign w:val="superscript"/>
    </w:rPr>
  </w:style>
  <w:style w:type="paragraph" w:styleId="ListParagraph">
    <w:name w:val="List Paragraph"/>
    <w:basedOn w:val="Normal"/>
    <w:uiPriority w:val="99"/>
    <w:qFormat/>
    <w:rsid w:val="004B655B"/>
    <w:pPr>
      <w:spacing w:after="0" w:line="240" w:lineRule="auto"/>
      <w:ind w:left="720"/>
      <w:contextualSpacing/>
    </w:pPr>
    <w:rPr>
      <w:rFonts w:eastAsia="Times New Roman"/>
      <w:sz w:val="24"/>
      <w:szCs w:val="24"/>
    </w:rPr>
  </w:style>
  <w:style w:type="paragraph" w:customStyle="1" w:styleId="List1">
    <w:name w:val="List1"/>
    <w:basedOn w:val="Normal"/>
    <w:rsid w:val="005A3349"/>
    <w:pPr>
      <w:spacing w:after="0" w:line="360" w:lineRule="auto"/>
    </w:pPr>
    <w:rPr>
      <w:rFonts w:ascii="Century Schoolbook" w:eastAsia="SimSun" w:hAnsi="Century Schoolbook"/>
      <w:sz w:val="24"/>
      <w:szCs w:val="20"/>
      <w:lang w:val="en-GB" w:eastAsia="zh-CN"/>
    </w:rPr>
  </w:style>
  <w:style w:type="paragraph" w:customStyle="1" w:styleId="listbottomline">
    <w:name w:val="list bottom line"/>
    <w:basedOn w:val="Normal"/>
    <w:uiPriority w:val="99"/>
    <w:rsid w:val="005A3349"/>
    <w:pPr>
      <w:spacing w:after="120" w:line="360" w:lineRule="auto"/>
    </w:pPr>
    <w:rPr>
      <w:rFonts w:ascii="Century Schoolbook" w:eastAsia="SimSun" w:hAnsi="Century Schoolbook"/>
      <w:sz w:val="24"/>
      <w:szCs w:val="20"/>
      <w:lang w:val="en-GB" w:eastAsia="zh-CN"/>
    </w:rPr>
  </w:style>
  <w:style w:type="paragraph" w:customStyle="1" w:styleId="listtopline">
    <w:name w:val="list top line"/>
    <w:basedOn w:val="Normal"/>
    <w:rsid w:val="005A3349"/>
    <w:pPr>
      <w:spacing w:before="120" w:after="0" w:line="360" w:lineRule="auto"/>
    </w:pPr>
    <w:rPr>
      <w:rFonts w:ascii="Century Schoolbook" w:eastAsia="SimSun" w:hAnsi="Century Schoolbook"/>
      <w:sz w:val="24"/>
      <w:szCs w:val="20"/>
      <w:lang w:val="en-GB" w:eastAsia="zh-CN"/>
    </w:rPr>
  </w:style>
  <w:style w:type="paragraph" w:customStyle="1" w:styleId="textafterextract">
    <w:name w:val="text after extract"/>
    <w:basedOn w:val="Normal"/>
    <w:uiPriority w:val="99"/>
    <w:rsid w:val="005A3349"/>
    <w:pPr>
      <w:spacing w:before="240" w:after="0" w:line="480" w:lineRule="auto"/>
    </w:pPr>
    <w:rPr>
      <w:rFonts w:ascii="Century Schoolbook" w:eastAsia="SimSun" w:hAnsi="Century Schoolbook"/>
      <w:sz w:val="24"/>
      <w:szCs w:val="20"/>
      <w:lang w:val="en-GB" w:eastAsia="zh-CN"/>
    </w:rPr>
  </w:style>
  <w:style w:type="paragraph" w:customStyle="1" w:styleId="textindent">
    <w:name w:val="text indent"/>
    <w:basedOn w:val="Normal"/>
    <w:rsid w:val="00EB3173"/>
    <w:pPr>
      <w:spacing w:before="80" w:after="0" w:line="480" w:lineRule="auto"/>
      <w:ind w:firstLine="720"/>
    </w:pPr>
    <w:rPr>
      <w:rFonts w:ascii="Century Schoolbook" w:eastAsia="SimSun" w:hAnsi="Century Schoolbook"/>
      <w:sz w:val="24"/>
      <w:szCs w:val="20"/>
      <w:lang w:val="en-GB" w:eastAsia="zh-CN"/>
    </w:rPr>
  </w:style>
  <w:style w:type="character" w:customStyle="1" w:styleId="CharacterStyle16">
    <w:name w:val="Character Style 16"/>
    <w:uiPriority w:val="99"/>
    <w:rsid w:val="005D1B98"/>
    <w:rPr>
      <w:rFonts w:ascii="Book Antiqua" w:hAnsi="Book Antiqua"/>
      <w:sz w:val="20"/>
    </w:rPr>
  </w:style>
  <w:style w:type="character" w:customStyle="1" w:styleId="Heading1Char">
    <w:name w:val="Heading 1 Char"/>
    <w:basedOn w:val="DefaultParagraphFont"/>
    <w:link w:val="Heading1"/>
    <w:rsid w:val="009E11BC"/>
    <w:rPr>
      <w:rFonts w:ascii="Times New Roman" w:eastAsia="Times New Roman" w:hAnsi="Times New Roman"/>
      <w:b/>
      <w:bCs/>
      <w:kern w:val="36"/>
      <w:sz w:val="48"/>
      <w:szCs w:val="48"/>
      <w:lang w:val="en-US" w:eastAsia="en-US"/>
    </w:rPr>
  </w:style>
  <w:style w:type="paragraph" w:styleId="PlainText">
    <w:name w:val="Plain Text"/>
    <w:basedOn w:val="Normal"/>
    <w:link w:val="PlainTextChar"/>
    <w:uiPriority w:val="99"/>
    <w:unhideWhenUsed/>
    <w:rsid w:val="009E11BC"/>
    <w:pPr>
      <w:spacing w:after="0" w:line="240" w:lineRule="auto"/>
    </w:pPr>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9E11BC"/>
    <w:rPr>
      <w:rFonts w:ascii="Consolas" w:eastAsiaTheme="minorHAnsi" w:hAnsi="Consolas" w:cstheme="minorBidi"/>
      <w:sz w:val="21"/>
      <w:szCs w:val="21"/>
      <w:lang w:val="en-US" w:eastAsia="en-US"/>
    </w:rPr>
  </w:style>
  <w:style w:type="paragraph" w:styleId="Footer">
    <w:name w:val="footer"/>
    <w:basedOn w:val="Normal"/>
    <w:link w:val="FooterChar"/>
    <w:uiPriority w:val="99"/>
    <w:rsid w:val="00EA3540"/>
    <w:pPr>
      <w:tabs>
        <w:tab w:val="center" w:pos="4513"/>
        <w:tab w:val="right" w:pos="9026"/>
      </w:tabs>
      <w:spacing w:after="0" w:line="240" w:lineRule="auto"/>
    </w:pPr>
    <w:rPr>
      <w:rFonts w:ascii="Times New Roman" w:eastAsia="SimSun" w:hAnsi="Times New Roman"/>
      <w:sz w:val="24"/>
      <w:szCs w:val="24"/>
      <w:lang w:eastAsia="zh-CN"/>
    </w:rPr>
  </w:style>
  <w:style w:type="character" w:customStyle="1" w:styleId="FooterChar">
    <w:name w:val="Footer Char"/>
    <w:basedOn w:val="DefaultParagraphFont"/>
    <w:link w:val="Footer"/>
    <w:uiPriority w:val="99"/>
    <w:rsid w:val="00EA3540"/>
    <w:rPr>
      <w:rFonts w:ascii="Times New Roman" w:eastAsia="SimSun" w:hAnsi="Times New Roman"/>
      <w:sz w:val="24"/>
      <w:szCs w:val="24"/>
      <w:lang w:eastAsia="zh-CN"/>
    </w:rPr>
  </w:style>
  <w:style w:type="paragraph" w:customStyle="1" w:styleId="references">
    <w:name w:val="references"/>
    <w:basedOn w:val="Normal"/>
    <w:rsid w:val="00EA3540"/>
    <w:pPr>
      <w:spacing w:before="80" w:after="80" w:line="480" w:lineRule="auto"/>
      <w:ind w:left="720" w:hanging="720"/>
    </w:pPr>
    <w:rPr>
      <w:rFonts w:ascii="Century Schoolbook" w:eastAsia="SimSun" w:hAnsi="Century Schoolbook"/>
      <w:sz w:val="24"/>
      <w:szCs w:val="20"/>
      <w:lang w:val="en-GB" w:eastAsia="zh-CN"/>
    </w:rPr>
  </w:style>
  <w:style w:type="paragraph" w:styleId="BalloonText">
    <w:name w:val="Balloon Text"/>
    <w:basedOn w:val="Normal"/>
    <w:link w:val="BalloonTextChar"/>
    <w:uiPriority w:val="99"/>
    <w:semiHidden/>
    <w:unhideWhenUsed/>
    <w:rsid w:val="0068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20"/>
    <w:rPr>
      <w:rFonts w:ascii="Tahoma" w:hAnsi="Tahoma" w:cs="Tahoma"/>
      <w:sz w:val="16"/>
      <w:szCs w:val="16"/>
      <w:lang w:eastAsia="en-US"/>
    </w:rPr>
  </w:style>
  <w:style w:type="paragraph" w:styleId="BodyText">
    <w:name w:val="Body Text"/>
    <w:link w:val="BodyTextChar"/>
    <w:unhideWhenUsed/>
    <w:qFormat/>
    <w:rsid w:val="00C22506"/>
    <w:pPr>
      <w:spacing w:before="240" w:line="300" w:lineRule="atLeast"/>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C22506"/>
    <w:rPr>
      <w:rFonts w:ascii="Times New Roman" w:eastAsia="Times New Roman" w:hAnsi="Times New Roman"/>
      <w:sz w:val="24"/>
      <w:szCs w:val="20"/>
    </w:rPr>
  </w:style>
  <w:style w:type="paragraph" w:styleId="ListBullet">
    <w:name w:val="List Bullet"/>
    <w:basedOn w:val="BodyText"/>
    <w:rsid w:val="00A40086"/>
    <w:pPr>
      <w:numPr>
        <w:numId w:val="12"/>
      </w:num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8339">
      <w:bodyDiv w:val="1"/>
      <w:marLeft w:val="0"/>
      <w:marRight w:val="0"/>
      <w:marTop w:val="0"/>
      <w:marBottom w:val="0"/>
      <w:divBdr>
        <w:top w:val="none" w:sz="0" w:space="0" w:color="auto"/>
        <w:left w:val="none" w:sz="0" w:space="0" w:color="auto"/>
        <w:bottom w:val="none" w:sz="0" w:space="0" w:color="auto"/>
        <w:right w:val="none" w:sz="0" w:space="0" w:color="auto"/>
      </w:divBdr>
    </w:div>
    <w:div w:id="200288630">
      <w:bodyDiv w:val="1"/>
      <w:marLeft w:val="0"/>
      <w:marRight w:val="0"/>
      <w:marTop w:val="0"/>
      <w:marBottom w:val="0"/>
      <w:divBdr>
        <w:top w:val="none" w:sz="0" w:space="0" w:color="auto"/>
        <w:left w:val="none" w:sz="0" w:space="0" w:color="auto"/>
        <w:bottom w:val="none" w:sz="0" w:space="0" w:color="auto"/>
        <w:right w:val="none" w:sz="0" w:space="0" w:color="auto"/>
      </w:divBdr>
    </w:div>
    <w:div w:id="276135223">
      <w:bodyDiv w:val="1"/>
      <w:marLeft w:val="0"/>
      <w:marRight w:val="0"/>
      <w:marTop w:val="0"/>
      <w:marBottom w:val="0"/>
      <w:divBdr>
        <w:top w:val="none" w:sz="0" w:space="0" w:color="auto"/>
        <w:left w:val="none" w:sz="0" w:space="0" w:color="auto"/>
        <w:bottom w:val="none" w:sz="0" w:space="0" w:color="auto"/>
        <w:right w:val="none" w:sz="0" w:space="0" w:color="auto"/>
      </w:divBdr>
    </w:div>
    <w:div w:id="288779237">
      <w:marLeft w:val="0"/>
      <w:marRight w:val="0"/>
      <w:marTop w:val="0"/>
      <w:marBottom w:val="0"/>
      <w:divBdr>
        <w:top w:val="none" w:sz="0" w:space="0" w:color="auto"/>
        <w:left w:val="none" w:sz="0" w:space="0" w:color="auto"/>
        <w:bottom w:val="none" w:sz="0" w:space="0" w:color="auto"/>
        <w:right w:val="none" w:sz="0" w:space="0" w:color="auto"/>
      </w:divBdr>
    </w:div>
    <w:div w:id="288779238">
      <w:marLeft w:val="0"/>
      <w:marRight w:val="0"/>
      <w:marTop w:val="0"/>
      <w:marBottom w:val="0"/>
      <w:divBdr>
        <w:top w:val="none" w:sz="0" w:space="0" w:color="auto"/>
        <w:left w:val="none" w:sz="0" w:space="0" w:color="auto"/>
        <w:bottom w:val="none" w:sz="0" w:space="0" w:color="auto"/>
        <w:right w:val="none" w:sz="0" w:space="0" w:color="auto"/>
      </w:divBdr>
    </w:div>
    <w:div w:id="288779239">
      <w:marLeft w:val="0"/>
      <w:marRight w:val="0"/>
      <w:marTop w:val="0"/>
      <w:marBottom w:val="0"/>
      <w:divBdr>
        <w:top w:val="none" w:sz="0" w:space="0" w:color="auto"/>
        <w:left w:val="none" w:sz="0" w:space="0" w:color="auto"/>
        <w:bottom w:val="none" w:sz="0" w:space="0" w:color="auto"/>
        <w:right w:val="none" w:sz="0" w:space="0" w:color="auto"/>
      </w:divBdr>
    </w:div>
    <w:div w:id="288779240">
      <w:marLeft w:val="0"/>
      <w:marRight w:val="0"/>
      <w:marTop w:val="0"/>
      <w:marBottom w:val="0"/>
      <w:divBdr>
        <w:top w:val="none" w:sz="0" w:space="0" w:color="auto"/>
        <w:left w:val="none" w:sz="0" w:space="0" w:color="auto"/>
        <w:bottom w:val="none" w:sz="0" w:space="0" w:color="auto"/>
        <w:right w:val="none" w:sz="0" w:space="0" w:color="auto"/>
      </w:divBdr>
    </w:div>
    <w:div w:id="288779241">
      <w:marLeft w:val="0"/>
      <w:marRight w:val="0"/>
      <w:marTop w:val="0"/>
      <w:marBottom w:val="0"/>
      <w:divBdr>
        <w:top w:val="none" w:sz="0" w:space="0" w:color="auto"/>
        <w:left w:val="none" w:sz="0" w:space="0" w:color="auto"/>
        <w:bottom w:val="none" w:sz="0" w:space="0" w:color="auto"/>
        <w:right w:val="none" w:sz="0" w:space="0" w:color="auto"/>
      </w:divBdr>
    </w:div>
    <w:div w:id="288779242">
      <w:marLeft w:val="0"/>
      <w:marRight w:val="0"/>
      <w:marTop w:val="0"/>
      <w:marBottom w:val="0"/>
      <w:divBdr>
        <w:top w:val="none" w:sz="0" w:space="0" w:color="auto"/>
        <w:left w:val="none" w:sz="0" w:space="0" w:color="auto"/>
        <w:bottom w:val="none" w:sz="0" w:space="0" w:color="auto"/>
        <w:right w:val="none" w:sz="0" w:space="0" w:color="auto"/>
      </w:divBdr>
    </w:div>
    <w:div w:id="288779243">
      <w:marLeft w:val="0"/>
      <w:marRight w:val="0"/>
      <w:marTop w:val="0"/>
      <w:marBottom w:val="0"/>
      <w:divBdr>
        <w:top w:val="none" w:sz="0" w:space="0" w:color="auto"/>
        <w:left w:val="none" w:sz="0" w:space="0" w:color="auto"/>
        <w:bottom w:val="none" w:sz="0" w:space="0" w:color="auto"/>
        <w:right w:val="none" w:sz="0" w:space="0" w:color="auto"/>
      </w:divBdr>
    </w:div>
    <w:div w:id="288779244">
      <w:marLeft w:val="0"/>
      <w:marRight w:val="0"/>
      <w:marTop w:val="0"/>
      <w:marBottom w:val="0"/>
      <w:divBdr>
        <w:top w:val="none" w:sz="0" w:space="0" w:color="auto"/>
        <w:left w:val="none" w:sz="0" w:space="0" w:color="auto"/>
        <w:bottom w:val="none" w:sz="0" w:space="0" w:color="auto"/>
        <w:right w:val="none" w:sz="0" w:space="0" w:color="auto"/>
      </w:divBdr>
    </w:div>
    <w:div w:id="288779245">
      <w:marLeft w:val="0"/>
      <w:marRight w:val="0"/>
      <w:marTop w:val="0"/>
      <w:marBottom w:val="0"/>
      <w:divBdr>
        <w:top w:val="none" w:sz="0" w:space="0" w:color="auto"/>
        <w:left w:val="none" w:sz="0" w:space="0" w:color="auto"/>
        <w:bottom w:val="none" w:sz="0" w:space="0" w:color="auto"/>
        <w:right w:val="none" w:sz="0" w:space="0" w:color="auto"/>
      </w:divBdr>
    </w:div>
    <w:div w:id="288779246">
      <w:marLeft w:val="0"/>
      <w:marRight w:val="0"/>
      <w:marTop w:val="0"/>
      <w:marBottom w:val="0"/>
      <w:divBdr>
        <w:top w:val="none" w:sz="0" w:space="0" w:color="auto"/>
        <w:left w:val="none" w:sz="0" w:space="0" w:color="auto"/>
        <w:bottom w:val="none" w:sz="0" w:space="0" w:color="auto"/>
        <w:right w:val="none" w:sz="0" w:space="0" w:color="auto"/>
      </w:divBdr>
    </w:div>
    <w:div w:id="288779247">
      <w:marLeft w:val="0"/>
      <w:marRight w:val="0"/>
      <w:marTop w:val="0"/>
      <w:marBottom w:val="0"/>
      <w:divBdr>
        <w:top w:val="none" w:sz="0" w:space="0" w:color="auto"/>
        <w:left w:val="none" w:sz="0" w:space="0" w:color="auto"/>
        <w:bottom w:val="none" w:sz="0" w:space="0" w:color="auto"/>
        <w:right w:val="none" w:sz="0" w:space="0" w:color="auto"/>
      </w:divBdr>
    </w:div>
    <w:div w:id="288779248">
      <w:marLeft w:val="0"/>
      <w:marRight w:val="0"/>
      <w:marTop w:val="0"/>
      <w:marBottom w:val="0"/>
      <w:divBdr>
        <w:top w:val="none" w:sz="0" w:space="0" w:color="auto"/>
        <w:left w:val="none" w:sz="0" w:space="0" w:color="auto"/>
        <w:bottom w:val="none" w:sz="0" w:space="0" w:color="auto"/>
        <w:right w:val="none" w:sz="0" w:space="0" w:color="auto"/>
      </w:divBdr>
    </w:div>
    <w:div w:id="288779249">
      <w:marLeft w:val="0"/>
      <w:marRight w:val="0"/>
      <w:marTop w:val="0"/>
      <w:marBottom w:val="0"/>
      <w:divBdr>
        <w:top w:val="none" w:sz="0" w:space="0" w:color="auto"/>
        <w:left w:val="none" w:sz="0" w:space="0" w:color="auto"/>
        <w:bottom w:val="none" w:sz="0" w:space="0" w:color="auto"/>
        <w:right w:val="none" w:sz="0" w:space="0" w:color="auto"/>
      </w:divBdr>
    </w:div>
    <w:div w:id="512109528">
      <w:bodyDiv w:val="1"/>
      <w:marLeft w:val="0"/>
      <w:marRight w:val="0"/>
      <w:marTop w:val="0"/>
      <w:marBottom w:val="0"/>
      <w:divBdr>
        <w:top w:val="none" w:sz="0" w:space="0" w:color="auto"/>
        <w:left w:val="none" w:sz="0" w:space="0" w:color="auto"/>
        <w:bottom w:val="none" w:sz="0" w:space="0" w:color="auto"/>
        <w:right w:val="none" w:sz="0" w:space="0" w:color="auto"/>
      </w:divBdr>
    </w:div>
    <w:div w:id="512577708">
      <w:bodyDiv w:val="1"/>
      <w:marLeft w:val="0"/>
      <w:marRight w:val="0"/>
      <w:marTop w:val="0"/>
      <w:marBottom w:val="0"/>
      <w:divBdr>
        <w:top w:val="none" w:sz="0" w:space="0" w:color="auto"/>
        <w:left w:val="none" w:sz="0" w:space="0" w:color="auto"/>
        <w:bottom w:val="none" w:sz="0" w:space="0" w:color="auto"/>
        <w:right w:val="none" w:sz="0" w:space="0" w:color="auto"/>
      </w:divBdr>
    </w:div>
    <w:div w:id="577908230">
      <w:bodyDiv w:val="1"/>
      <w:marLeft w:val="0"/>
      <w:marRight w:val="0"/>
      <w:marTop w:val="0"/>
      <w:marBottom w:val="0"/>
      <w:divBdr>
        <w:top w:val="none" w:sz="0" w:space="0" w:color="auto"/>
        <w:left w:val="none" w:sz="0" w:space="0" w:color="auto"/>
        <w:bottom w:val="none" w:sz="0" w:space="0" w:color="auto"/>
        <w:right w:val="none" w:sz="0" w:space="0" w:color="auto"/>
      </w:divBdr>
    </w:div>
    <w:div w:id="833567016">
      <w:bodyDiv w:val="1"/>
      <w:marLeft w:val="0"/>
      <w:marRight w:val="0"/>
      <w:marTop w:val="0"/>
      <w:marBottom w:val="0"/>
      <w:divBdr>
        <w:top w:val="none" w:sz="0" w:space="0" w:color="auto"/>
        <w:left w:val="none" w:sz="0" w:space="0" w:color="auto"/>
        <w:bottom w:val="none" w:sz="0" w:space="0" w:color="auto"/>
        <w:right w:val="none" w:sz="0" w:space="0" w:color="auto"/>
      </w:divBdr>
    </w:div>
    <w:div w:id="892346995">
      <w:bodyDiv w:val="1"/>
      <w:marLeft w:val="0"/>
      <w:marRight w:val="0"/>
      <w:marTop w:val="0"/>
      <w:marBottom w:val="0"/>
      <w:divBdr>
        <w:top w:val="none" w:sz="0" w:space="0" w:color="auto"/>
        <w:left w:val="none" w:sz="0" w:space="0" w:color="auto"/>
        <w:bottom w:val="none" w:sz="0" w:space="0" w:color="auto"/>
        <w:right w:val="none" w:sz="0" w:space="0" w:color="auto"/>
      </w:divBdr>
    </w:div>
    <w:div w:id="963583368">
      <w:bodyDiv w:val="1"/>
      <w:marLeft w:val="0"/>
      <w:marRight w:val="0"/>
      <w:marTop w:val="0"/>
      <w:marBottom w:val="0"/>
      <w:divBdr>
        <w:top w:val="none" w:sz="0" w:space="0" w:color="auto"/>
        <w:left w:val="none" w:sz="0" w:space="0" w:color="auto"/>
        <w:bottom w:val="none" w:sz="0" w:space="0" w:color="auto"/>
        <w:right w:val="none" w:sz="0" w:space="0" w:color="auto"/>
      </w:divBdr>
    </w:div>
    <w:div w:id="1063068376">
      <w:bodyDiv w:val="1"/>
      <w:marLeft w:val="0"/>
      <w:marRight w:val="0"/>
      <w:marTop w:val="0"/>
      <w:marBottom w:val="0"/>
      <w:divBdr>
        <w:top w:val="none" w:sz="0" w:space="0" w:color="auto"/>
        <w:left w:val="none" w:sz="0" w:space="0" w:color="auto"/>
        <w:bottom w:val="none" w:sz="0" w:space="0" w:color="auto"/>
        <w:right w:val="none" w:sz="0" w:space="0" w:color="auto"/>
      </w:divBdr>
    </w:div>
    <w:div w:id="1235700389">
      <w:bodyDiv w:val="1"/>
      <w:marLeft w:val="0"/>
      <w:marRight w:val="0"/>
      <w:marTop w:val="0"/>
      <w:marBottom w:val="0"/>
      <w:divBdr>
        <w:top w:val="none" w:sz="0" w:space="0" w:color="auto"/>
        <w:left w:val="none" w:sz="0" w:space="0" w:color="auto"/>
        <w:bottom w:val="none" w:sz="0" w:space="0" w:color="auto"/>
        <w:right w:val="none" w:sz="0" w:space="0" w:color="auto"/>
      </w:divBdr>
    </w:div>
    <w:div w:id="1272472093">
      <w:bodyDiv w:val="1"/>
      <w:marLeft w:val="0"/>
      <w:marRight w:val="0"/>
      <w:marTop w:val="0"/>
      <w:marBottom w:val="0"/>
      <w:divBdr>
        <w:top w:val="none" w:sz="0" w:space="0" w:color="auto"/>
        <w:left w:val="none" w:sz="0" w:space="0" w:color="auto"/>
        <w:bottom w:val="none" w:sz="0" w:space="0" w:color="auto"/>
        <w:right w:val="none" w:sz="0" w:space="0" w:color="auto"/>
      </w:divBdr>
    </w:div>
    <w:div w:id="1415593849">
      <w:bodyDiv w:val="1"/>
      <w:marLeft w:val="0"/>
      <w:marRight w:val="0"/>
      <w:marTop w:val="0"/>
      <w:marBottom w:val="0"/>
      <w:divBdr>
        <w:top w:val="none" w:sz="0" w:space="0" w:color="auto"/>
        <w:left w:val="none" w:sz="0" w:space="0" w:color="auto"/>
        <w:bottom w:val="none" w:sz="0" w:space="0" w:color="auto"/>
        <w:right w:val="none" w:sz="0" w:space="0" w:color="auto"/>
      </w:divBdr>
    </w:div>
    <w:div w:id="1569538357">
      <w:bodyDiv w:val="1"/>
      <w:marLeft w:val="0"/>
      <w:marRight w:val="0"/>
      <w:marTop w:val="0"/>
      <w:marBottom w:val="0"/>
      <w:divBdr>
        <w:top w:val="none" w:sz="0" w:space="0" w:color="auto"/>
        <w:left w:val="none" w:sz="0" w:space="0" w:color="auto"/>
        <w:bottom w:val="none" w:sz="0" w:space="0" w:color="auto"/>
        <w:right w:val="none" w:sz="0" w:space="0" w:color="auto"/>
      </w:divBdr>
    </w:div>
    <w:div w:id="1583568914">
      <w:bodyDiv w:val="1"/>
      <w:marLeft w:val="0"/>
      <w:marRight w:val="0"/>
      <w:marTop w:val="0"/>
      <w:marBottom w:val="0"/>
      <w:divBdr>
        <w:top w:val="none" w:sz="0" w:space="0" w:color="auto"/>
        <w:left w:val="none" w:sz="0" w:space="0" w:color="auto"/>
        <w:bottom w:val="none" w:sz="0" w:space="0" w:color="auto"/>
        <w:right w:val="none" w:sz="0" w:space="0" w:color="auto"/>
      </w:divBdr>
    </w:div>
    <w:div w:id="2063167282">
      <w:bodyDiv w:val="1"/>
      <w:marLeft w:val="0"/>
      <w:marRight w:val="0"/>
      <w:marTop w:val="0"/>
      <w:marBottom w:val="0"/>
      <w:divBdr>
        <w:top w:val="none" w:sz="0" w:space="0" w:color="auto"/>
        <w:left w:val="none" w:sz="0" w:space="0" w:color="auto"/>
        <w:bottom w:val="none" w:sz="0" w:space="0" w:color="auto"/>
        <w:right w:val="none" w:sz="0" w:space="0" w:color="auto"/>
      </w:divBdr>
    </w:div>
    <w:div w:id="2073262921">
      <w:bodyDiv w:val="1"/>
      <w:marLeft w:val="0"/>
      <w:marRight w:val="0"/>
      <w:marTop w:val="0"/>
      <w:marBottom w:val="0"/>
      <w:divBdr>
        <w:top w:val="none" w:sz="0" w:space="0" w:color="auto"/>
        <w:left w:val="none" w:sz="0" w:space="0" w:color="auto"/>
        <w:bottom w:val="none" w:sz="0" w:space="0" w:color="auto"/>
        <w:right w:val="none" w:sz="0" w:space="0" w:color="auto"/>
      </w:divBdr>
    </w:div>
    <w:div w:id="2102605968">
      <w:bodyDiv w:val="1"/>
      <w:marLeft w:val="0"/>
      <w:marRight w:val="0"/>
      <w:marTop w:val="0"/>
      <w:marBottom w:val="0"/>
      <w:divBdr>
        <w:top w:val="none" w:sz="0" w:space="0" w:color="auto"/>
        <w:left w:val="none" w:sz="0" w:space="0" w:color="auto"/>
        <w:bottom w:val="none" w:sz="0" w:space="0" w:color="auto"/>
        <w:right w:val="none" w:sz="0" w:space="0" w:color="auto"/>
      </w:divBdr>
    </w:div>
    <w:div w:id="2119061741">
      <w:bodyDiv w:val="1"/>
      <w:marLeft w:val="0"/>
      <w:marRight w:val="0"/>
      <w:marTop w:val="0"/>
      <w:marBottom w:val="0"/>
      <w:divBdr>
        <w:top w:val="none" w:sz="0" w:space="0" w:color="auto"/>
        <w:left w:val="none" w:sz="0" w:space="0" w:color="auto"/>
        <w:bottom w:val="none" w:sz="0" w:space="0" w:color="auto"/>
        <w:right w:val="none" w:sz="0" w:space="0" w:color="auto"/>
      </w:divBdr>
    </w:div>
    <w:div w:id="213563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onlinelibrary.wiley.com/doi/10.1111/j.1467-8543.2009.00772.x/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EDC12-494A-46DA-A45C-9D9B64D0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1679</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Submission 192 - Glenn Patmore - Workplace Relations Framework - Public inquiry</vt:lpstr>
    </vt:vector>
  </TitlesOfParts>
  <Company/>
  <LinksUpToDate>false</LinksUpToDate>
  <CharactersWithSpaces>11359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192 - Glenn Patmore - Workplace Relations Framework - Public inquiry</dc:title>
  <dc:creator>Glenn Patmore</dc:creator>
  <cp:lastModifiedBy>Mark Pimperl</cp:lastModifiedBy>
  <cp:revision>6</cp:revision>
  <cp:lastPrinted>2012-02-17T04:40:00Z</cp:lastPrinted>
  <dcterms:created xsi:type="dcterms:W3CDTF">2015-03-13T06:04:00Z</dcterms:created>
  <dcterms:modified xsi:type="dcterms:W3CDTF">2015-04-16T23:16:00Z</dcterms:modified>
</cp:coreProperties>
</file>