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20A" w:rsidRDefault="0069720A" w:rsidP="0069720A">
      <w:pPr>
        <w:tabs>
          <w:tab w:val="left" w:pos="426"/>
          <w:tab w:val="left" w:pos="4537"/>
          <w:tab w:val="left" w:pos="4962"/>
        </w:tabs>
        <w:spacing w:after="0" w:line="240" w:lineRule="auto"/>
        <w:ind w:right="-249"/>
        <w:rPr>
          <w:b/>
          <w:i/>
          <w:sz w:val="24"/>
        </w:rPr>
      </w:pPr>
    </w:p>
    <w:p w:rsidR="0069720A" w:rsidRDefault="0069720A" w:rsidP="0069720A">
      <w:pPr>
        <w:tabs>
          <w:tab w:val="left" w:pos="426"/>
          <w:tab w:val="left" w:pos="4537"/>
          <w:tab w:val="left" w:pos="4962"/>
        </w:tabs>
        <w:spacing w:after="0" w:line="240" w:lineRule="auto"/>
        <w:ind w:right="34"/>
        <w:rPr>
          <w:rStyle w:val="Hyperlink"/>
          <w:b/>
          <w:sz w:val="28"/>
          <w:szCs w:val="24"/>
        </w:rPr>
      </w:pPr>
      <w:r w:rsidRPr="00247993">
        <w:rPr>
          <w:b/>
          <w:sz w:val="26"/>
          <w:szCs w:val="26"/>
        </w:rPr>
        <w:t>Draft and Final Reports will be available from the Commission’s website on release at:</w:t>
      </w:r>
      <w:r>
        <w:rPr>
          <w:b/>
          <w:sz w:val="26"/>
          <w:szCs w:val="26"/>
        </w:rPr>
        <w:br/>
      </w:r>
      <w:hyperlink r:id="rId14" w:history="1">
        <w:r>
          <w:rPr>
            <w:rStyle w:val="Hyperlink"/>
            <w:b/>
            <w:sz w:val="28"/>
            <w:szCs w:val="24"/>
          </w:rPr>
          <w:t>http://www.pc.gov.au/inquiries/current/workplace-relations</w:t>
        </w:r>
      </w:hyperlink>
    </w:p>
    <w:p w:rsidR="0069720A" w:rsidRDefault="0069720A">
      <w:pPr>
        <w:rPr>
          <w:rFonts w:cstheme="majorBidi"/>
        </w:rPr>
      </w:pPr>
    </w:p>
    <w:p w:rsidR="00F67EDD" w:rsidRPr="00C60203" w:rsidRDefault="00F67EDD">
      <w:pPr>
        <w:rPr>
          <w:rFonts w:cstheme="majorBidi"/>
        </w:rPr>
      </w:pPr>
    </w:p>
    <w:p w:rsidR="0069720A" w:rsidRDefault="0069720A" w:rsidP="0069720A">
      <w:pPr>
        <w:rPr>
          <w:rFonts w:cstheme="majorBidi"/>
        </w:rPr>
      </w:pPr>
      <w:r w:rsidRPr="00C60203">
        <w:rPr>
          <w:rFonts w:cstheme="majorBidi"/>
          <w:noProof/>
          <w:lang w:eastAsia="en-AU"/>
        </w:rPr>
        <w:drawing>
          <wp:inline distT="0" distB="0" distL="0" distR="0" wp14:anchorId="397BB048" wp14:editId="5926999D">
            <wp:extent cx="1930400" cy="2135302"/>
            <wp:effectExtent l="0" t="0" r="0" b="0"/>
            <wp:docPr id="1" name="Picture 1" descr="\\ad.monash.edu\home\User064\aorourke\Desktop\logo-portrait-colour-rgb.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onash.edu\home\User064\aorourke\Desktop\logo-portrait-colour-rgb.fw.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4671" cy="2140026"/>
                    </a:xfrm>
                    <a:prstGeom prst="rect">
                      <a:avLst/>
                    </a:prstGeom>
                    <a:noFill/>
                    <a:ln>
                      <a:noFill/>
                    </a:ln>
                  </pic:spPr>
                </pic:pic>
              </a:graphicData>
            </a:graphic>
          </wp:inline>
        </w:drawing>
      </w:r>
      <w:bookmarkStart w:id="0" w:name="_GoBack"/>
      <w:bookmarkEnd w:id="0"/>
    </w:p>
    <w:p w:rsidR="0069720A" w:rsidRDefault="0069720A" w:rsidP="0069720A">
      <w:pPr>
        <w:rPr>
          <w:rFonts w:cstheme="majorBidi"/>
        </w:rPr>
      </w:pPr>
    </w:p>
    <w:p w:rsidR="00AB3306" w:rsidRPr="0069720A" w:rsidRDefault="00A652C9" w:rsidP="0069720A">
      <w:pPr>
        <w:jc w:val="center"/>
        <w:rPr>
          <w:rFonts w:cstheme="majorBidi"/>
        </w:rPr>
      </w:pPr>
      <w:r w:rsidRPr="00C60203">
        <w:rPr>
          <w:rFonts w:cstheme="majorBidi"/>
          <w:b/>
          <w:bCs/>
          <w:sz w:val="40"/>
          <w:szCs w:val="40"/>
        </w:rPr>
        <w:t>The Australian C</w:t>
      </w:r>
      <w:r w:rsidR="00092BB3" w:rsidRPr="00C60203">
        <w:rPr>
          <w:rFonts w:cstheme="majorBidi"/>
          <w:b/>
          <w:bCs/>
          <w:sz w:val="40"/>
          <w:szCs w:val="40"/>
        </w:rPr>
        <w:t xml:space="preserve">onsortium </w:t>
      </w:r>
      <w:r w:rsidRPr="00C60203">
        <w:rPr>
          <w:rFonts w:cstheme="majorBidi"/>
          <w:b/>
          <w:bCs/>
          <w:sz w:val="40"/>
          <w:szCs w:val="40"/>
        </w:rPr>
        <w:t xml:space="preserve">for Research </w:t>
      </w:r>
      <w:r w:rsidR="006255AF" w:rsidRPr="00C60203">
        <w:rPr>
          <w:rFonts w:cstheme="majorBidi"/>
          <w:b/>
          <w:bCs/>
          <w:sz w:val="40"/>
          <w:szCs w:val="40"/>
        </w:rPr>
        <w:t>o</w:t>
      </w:r>
      <w:r w:rsidRPr="00C60203">
        <w:rPr>
          <w:rFonts w:cstheme="majorBidi"/>
          <w:b/>
          <w:bCs/>
          <w:sz w:val="40"/>
          <w:szCs w:val="40"/>
        </w:rPr>
        <w:t>n Employment and Work</w:t>
      </w:r>
    </w:p>
    <w:p w:rsidR="00A652C9" w:rsidRDefault="00AB3306" w:rsidP="00AB3306">
      <w:pPr>
        <w:spacing w:after="0" w:line="240" w:lineRule="auto"/>
        <w:jc w:val="center"/>
        <w:rPr>
          <w:rFonts w:cstheme="majorBidi"/>
          <w:b/>
          <w:bCs/>
          <w:sz w:val="40"/>
          <w:szCs w:val="40"/>
        </w:rPr>
      </w:pPr>
      <w:r>
        <w:rPr>
          <w:rFonts w:cstheme="majorBidi"/>
          <w:b/>
          <w:bCs/>
          <w:sz w:val="40"/>
          <w:szCs w:val="40"/>
        </w:rPr>
        <w:t>Centre for Global Business</w:t>
      </w:r>
    </w:p>
    <w:p w:rsidR="00AB3306" w:rsidRPr="00C60203" w:rsidRDefault="00AB3306" w:rsidP="00AB3306">
      <w:pPr>
        <w:spacing w:after="0" w:line="240" w:lineRule="auto"/>
        <w:jc w:val="center"/>
        <w:rPr>
          <w:rFonts w:cstheme="majorBidi"/>
          <w:sz w:val="40"/>
          <w:szCs w:val="40"/>
        </w:rPr>
      </w:pPr>
    </w:p>
    <w:p w:rsidR="001E65B0" w:rsidRDefault="00A652C9" w:rsidP="00C63348">
      <w:pPr>
        <w:spacing w:after="0" w:line="240" w:lineRule="auto"/>
        <w:jc w:val="center"/>
        <w:rPr>
          <w:rFonts w:cstheme="majorBidi"/>
          <w:b/>
          <w:bCs/>
          <w:sz w:val="40"/>
          <w:szCs w:val="40"/>
        </w:rPr>
      </w:pPr>
      <w:r w:rsidRPr="00C60203">
        <w:rPr>
          <w:rFonts w:cstheme="majorBidi"/>
          <w:b/>
          <w:bCs/>
          <w:sz w:val="40"/>
          <w:szCs w:val="40"/>
        </w:rPr>
        <w:t xml:space="preserve">Submission to the Productivity Commission </w:t>
      </w:r>
      <w:r w:rsidR="001E65B0">
        <w:rPr>
          <w:rFonts w:cstheme="majorBidi"/>
          <w:b/>
          <w:bCs/>
          <w:sz w:val="40"/>
          <w:szCs w:val="40"/>
        </w:rPr>
        <w:t>Inquiry</w:t>
      </w:r>
    </w:p>
    <w:p w:rsidR="00DB211E" w:rsidRDefault="003C3A8E" w:rsidP="00C63348">
      <w:pPr>
        <w:spacing w:after="0" w:line="240" w:lineRule="auto"/>
        <w:jc w:val="center"/>
        <w:rPr>
          <w:rFonts w:cstheme="majorBidi"/>
          <w:b/>
          <w:bCs/>
          <w:sz w:val="40"/>
          <w:szCs w:val="40"/>
        </w:rPr>
      </w:pPr>
      <w:r>
        <w:rPr>
          <w:rFonts w:cstheme="majorBidi"/>
          <w:b/>
          <w:bCs/>
          <w:sz w:val="40"/>
          <w:szCs w:val="40"/>
        </w:rPr>
        <w:t>into</w:t>
      </w:r>
      <w:r w:rsidR="001E65B0">
        <w:rPr>
          <w:rFonts w:cstheme="majorBidi"/>
          <w:b/>
          <w:bCs/>
          <w:sz w:val="40"/>
          <w:szCs w:val="40"/>
        </w:rPr>
        <w:t xml:space="preserve"> the </w:t>
      </w:r>
      <w:r w:rsidR="00DB211E">
        <w:rPr>
          <w:rFonts w:cstheme="majorBidi"/>
          <w:b/>
          <w:bCs/>
          <w:sz w:val="40"/>
          <w:szCs w:val="40"/>
        </w:rPr>
        <w:t xml:space="preserve"> </w:t>
      </w:r>
    </w:p>
    <w:p w:rsidR="00A652C9" w:rsidRPr="00C60203" w:rsidRDefault="00A652C9" w:rsidP="00C63348">
      <w:pPr>
        <w:spacing w:after="0" w:line="240" w:lineRule="auto"/>
        <w:jc w:val="center"/>
        <w:rPr>
          <w:rFonts w:cstheme="majorBidi"/>
          <w:b/>
          <w:bCs/>
          <w:sz w:val="40"/>
          <w:szCs w:val="40"/>
        </w:rPr>
      </w:pPr>
      <w:r w:rsidRPr="00C60203">
        <w:rPr>
          <w:rFonts w:cstheme="majorBidi"/>
          <w:b/>
          <w:bCs/>
          <w:sz w:val="40"/>
          <w:szCs w:val="40"/>
        </w:rPr>
        <w:t>Workplace Relations Framework</w:t>
      </w:r>
    </w:p>
    <w:p w:rsidR="00A652C9" w:rsidRPr="00C60203" w:rsidRDefault="00A652C9" w:rsidP="00A652C9">
      <w:pPr>
        <w:spacing w:after="0" w:line="240" w:lineRule="auto"/>
        <w:jc w:val="center"/>
        <w:rPr>
          <w:rFonts w:cstheme="majorBidi"/>
          <w:b/>
          <w:bCs/>
          <w:sz w:val="28"/>
          <w:szCs w:val="28"/>
        </w:rPr>
      </w:pPr>
    </w:p>
    <w:p w:rsidR="00A652C9" w:rsidRPr="00C60203" w:rsidRDefault="00A652C9" w:rsidP="00A652C9">
      <w:pPr>
        <w:spacing w:after="0" w:line="240" w:lineRule="auto"/>
        <w:rPr>
          <w:rFonts w:cstheme="majorBidi"/>
          <w:b/>
          <w:bCs/>
          <w:sz w:val="28"/>
          <w:szCs w:val="28"/>
        </w:rPr>
      </w:pPr>
    </w:p>
    <w:p w:rsidR="00A652C9" w:rsidRPr="00C60203" w:rsidRDefault="00A652C9" w:rsidP="00A652C9">
      <w:pPr>
        <w:spacing w:after="0" w:line="240" w:lineRule="auto"/>
        <w:rPr>
          <w:rFonts w:cstheme="majorBidi"/>
          <w:b/>
          <w:bCs/>
          <w:sz w:val="28"/>
          <w:szCs w:val="28"/>
        </w:rPr>
      </w:pPr>
    </w:p>
    <w:p w:rsidR="00A652C9" w:rsidRDefault="00A652C9" w:rsidP="00A652C9">
      <w:pPr>
        <w:spacing w:after="0" w:line="240" w:lineRule="auto"/>
        <w:rPr>
          <w:rFonts w:cstheme="majorBidi"/>
          <w:b/>
          <w:bCs/>
          <w:sz w:val="28"/>
          <w:szCs w:val="28"/>
        </w:rPr>
      </w:pPr>
    </w:p>
    <w:p w:rsidR="00A652C9" w:rsidRPr="00C60203" w:rsidRDefault="00A652C9" w:rsidP="00A652C9">
      <w:pPr>
        <w:spacing w:after="0" w:line="240" w:lineRule="auto"/>
        <w:rPr>
          <w:rFonts w:cstheme="majorBidi"/>
          <w:b/>
          <w:bCs/>
          <w:sz w:val="28"/>
          <w:szCs w:val="28"/>
        </w:rPr>
      </w:pPr>
    </w:p>
    <w:p w:rsidR="00A652C9" w:rsidRPr="00C60203" w:rsidRDefault="00A652C9" w:rsidP="00A652C9">
      <w:pPr>
        <w:spacing w:after="0" w:line="240" w:lineRule="auto"/>
        <w:rPr>
          <w:rFonts w:cstheme="majorBidi"/>
          <w:b/>
          <w:bCs/>
          <w:sz w:val="28"/>
          <w:szCs w:val="28"/>
        </w:rPr>
      </w:pPr>
    </w:p>
    <w:p w:rsidR="00E10B06" w:rsidRPr="00C60203" w:rsidRDefault="00E10B06" w:rsidP="006255AF">
      <w:pPr>
        <w:spacing w:after="0" w:line="240" w:lineRule="auto"/>
        <w:rPr>
          <w:rStyle w:val="Strong"/>
          <w:rFonts w:cstheme="majorBidi"/>
          <w:color w:val="000000"/>
          <w:sz w:val="24"/>
          <w:szCs w:val="24"/>
          <w:shd w:val="clear" w:color="auto" w:fill="FFFFFF"/>
        </w:rPr>
      </w:pPr>
      <w:r w:rsidRPr="00C60203">
        <w:rPr>
          <w:rStyle w:val="Strong"/>
          <w:rFonts w:cstheme="majorBidi"/>
          <w:color w:val="000000"/>
          <w:sz w:val="24"/>
          <w:szCs w:val="24"/>
          <w:shd w:val="clear" w:color="auto" w:fill="FFFFFF"/>
        </w:rPr>
        <w:t>Australian C</w:t>
      </w:r>
      <w:r w:rsidR="00CB72E5" w:rsidRPr="00C60203">
        <w:rPr>
          <w:rStyle w:val="Strong"/>
          <w:rFonts w:cstheme="majorBidi"/>
          <w:color w:val="000000"/>
          <w:sz w:val="24"/>
          <w:szCs w:val="24"/>
          <w:shd w:val="clear" w:color="auto" w:fill="FFFFFF"/>
        </w:rPr>
        <w:t>onsortium</w:t>
      </w:r>
      <w:r w:rsidRPr="00C60203">
        <w:rPr>
          <w:rStyle w:val="Strong"/>
          <w:rFonts w:cstheme="majorBidi"/>
          <w:color w:val="000000"/>
          <w:sz w:val="24"/>
          <w:szCs w:val="24"/>
          <w:shd w:val="clear" w:color="auto" w:fill="FFFFFF"/>
        </w:rPr>
        <w:t xml:space="preserve"> for Research </w:t>
      </w:r>
      <w:r w:rsidR="006255AF" w:rsidRPr="00C60203">
        <w:rPr>
          <w:rStyle w:val="Strong"/>
          <w:rFonts w:cstheme="majorBidi"/>
          <w:color w:val="000000"/>
          <w:sz w:val="24"/>
          <w:szCs w:val="24"/>
          <w:shd w:val="clear" w:color="auto" w:fill="FFFFFF"/>
        </w:rPr>
        <w:t>on</w:t>
      </w:r>
      <w:r w:rsidRPr="00C60203">
        <w:rPr>
          <w:rStyle w:val="Strong"/>
          <w:rFonts w:cstheme="majorBidi"/>
          <w:color w:val="000000"/>
          <w:sz w:val="24"/>
          <w:szCs w:val="24"/>
          <w:shd w:val="clear" w:color="auto" w:fill="FFFFFF"/>
        </w:rPr>
        <w:t xml:space="preserve"> Employment and Work (ACREW)</w:t>
      </w:r>
    </w:p>
    <w:p w:rsidR="00A652C9" w:rsidRPr="00C60203" w:rsidRDefault="00E10B06" w:rsidP="00315BDF">
      <w:pPr>
        <w:spacing w:after="0" w:line="240" w:lineRule="auto"/>
        <w:rPr>
          <w:rFonts w:cstheme="majorBidi"/>
          <w:sz w:val="24"/>
          <w:szCs w:val="24"/>
          <w:shd w:val="clear" w:color="auto" w:fill="FFFFFF"/>
        </w:rPr>
      </w:pPr>
      <w:r w:rsidRPr="00C60203">
        <w:rPr>
          <w:rStyle w:val="Strong"/>
          <w:rFonts w:cstheme="majorBidi"/>
          <w:color w:val="000000"/>
          <w:sz w:val="24"/>
          <w:szCs w:val="24"/>
          <w:shd w:val="clear" w:color="auto" w:fill="FFFFFF"/>
        </w:rPr>
        <w:t>Monash Business School</w:t>
      </w:r>
      <w:r w:rsidRPr="00C60203">
        <w:rPr>
          <w:rFonts w:cstheme="majorBidi"/>
          <w:color w:val="454545"/>
          <w:sz w:val="24"/>
          <w:szCs w:val="24"/>
        </w:rPr>
        <w:br/>
      </w:r>
      <w:r w:rsidRPr="00C60203">
        <w:rPr>
          <w:rFonts w:cstheme="majorBidi"/>
          <w:sz w:val="24"/>
          <w:szCs w:val="24"/>
          <w:shd w:val="clear" w:color="auto" w:fill="FFFFFF"/>
        </w:rPr>
        <w:t>P.O. Box 197</w:t>
      </w:r>
      <w:r w:rsidRPr="00C60203">
        <w:rPr>
          <w:rStyle w:val="apple-converted-space"/>
          <w:rFonts w:cstheme="majorBidi"/>
          <w:sz w:val="24"/>
          <w:szCs w:val="24"/>
          <w:shd w:val="clear" w:color="auto" w:fill="FFFFFF"/>
        </w:rPr>
        <w:t> </w:t>
      </w:r>
      <w:r w:rsidRPr="00C60203">
        <w:rPr>
          <w:rFonts w:cstheme="majorBidi"/>
          <w:sz w:val="24"/>
          <w:szCs w:val="24"/>
        </w:rPr>
        <w:br/>
      </w:r>
      <w:r w:rsidRPr="00C60203">
        <w:rPr>
          <w:rFonts w:cstheme="majorBidi"/>
          <w:sz w:val="24"/>
          <w:szCs w:val="24"/>
          <w:shd w:val="clear" w:color="auto" w:fill="FFFFFF"/>
        </w:rPr>
        <w:t xml:space="preserve">Building N, </w:t>
      </w:r>
      <w:r w:rsidR="00312B35">
        <w:rPr>
          <w:rFonts w:cstheme="majorBidi"/>
          <w:sz w:val="24"/>
          <w:szCs w:val="24"/>
          <w:shd w:val="clear" w:color="auto" w:fill="FFFFFF"/>
        </w:rPr>
        <w:t xml:space="preserve">27 </w:t>
      </w:r>
      <w:r w:rsidRPr="00C60203">
        <w:rPr>
          <w:rFonts w:cstheme="majorBidi"/>
          <w:sz w:val="24"/>
          <w:szCs w:val="24"/>
          <w:shd w:val="clear" w:color="auto" w:fill="FFFFFF"/>
        </w:rPr>
        <w:t>Sir John Monash Drive</w:t>
      </w:r>
      <w:r w:rsidRPr="00C60203">
        <w:rPr>
          <w:rFonts w:cstheme="majorBidi"/>
          <w:sz w:val="24"/>
          <w:szCs w:val="24"/>
        </w:rPr>
        <w:br/>
      </w:r>
      <w:r w:rsidRPr="00C60203">
        <w:rPr>
          <w:rFonts w:cstheme="majorBidi"/>
          <w:sz w:val="24"/>
          <w:szCs w:val="24"/>
          <w:shd w:val="clear" w:color="auto" w:fill="FFFFFF"/>
        </w:rPr>
        <w:t>Caulfield East</w:t>
      </w:r>
      <w:r w:rsidRPr="00C60203">
        <w:rPr>
          <w:rFonts w:cstheme="majorBidi"/>
          <w:sz w:val="24"/>
          <w:szCs w:val="24"/>
        </w:rPr>
        <w:br/>
      </w:r>
      <w:r w:rsidRPr="00C60203">
        <w:rPr>
          <w:rFonts w:cstheme="majorBidi"/>
          <w:sz w:val="24"/>
          <w:szCs w:val="24"/>
          <w:shd w:val="clear" w:color="auto" w:fill="FFFFFF"/>
        </w:rPr>
        <w:t>Victoria, 3145 AUSTRALIA</w:t>
      </w:r>
      <w:r w:rsidRPr="00C60203">
        <w:rPr>
          <w:rFonts w:cstheme="majorBidi"/>
          <w:sz w:val="24"/>
          <w:szCs w:val="24"/>
        </w:rPr>
        <w:br/>
      </w:r>
    </w:p>
    <w:p w:rsidR="00A652C9" w:rsidRPr="00C60203" w:rsidRDefault="00A652C9" w:rsidP="00E10B06">
      <w:pPr>
        <w:rPr>
          <w:rFonts w:cstheme="majorBidi"/>
          <w:b/>
          <w:bCs/>
          <w:sz w:val="28"/>
          <w:szCs w:val="28"/>
        </w:rPr>
      </w:pPr>
    </w:p>
    <w:sdt>
      <w:sdtPr>
        <w:rPr>
          <w:rFonts w:asciiTheme="minorHAnsi" w:eastAsiaTheme="minorEastAsia" w:hAnsiTheme="minorHAnsi" w:cstheme="minorBidi"/>
          <w:b w:val="0"/>
          <w:bCs w:val="0"/>
          <w:color w:val="auto"/>
          <w:sz w:val="22"/>
          <w:szCs w:val="22"/>
          <w:lang w:val="en-AU" w:eastAsia="zh-CN"/>
        </w:rPr>
        <w:id w:val="-669796524"/>
        <w:docPartObj>
          <w:docPartGallery w:val="Table of Contents"/>
          <w:docPartUnique/>
        </w:docPartObj>
      </w:sdtPr>
      <w:sdtEndPr>
        <w:rPr>
          <w:noProof/>
        </w:rPr>
      </w:sdtEndPr>
      <w:sdtContent>
        <w:p w:rsidR="009A1EF0" w:rsidRPr="00B51CBB" w:rsidRDefault="009A1EF0" w:rsidP="00B51CBB">
          <w:pPr>
            <w:pStyle w:val="TOCHeading"/>
            <w:jc w:val="center"/>
            <w:rPr>
              <w:rFonts w:asciiTheme="minorHAnsi" w:hAnsiTheme="minorHAnsi"/>
              <w:color w:val="000000" w:themeColor="text1"/>
            </w:rPr>
          </w:pPr>
          <w:r w:rsidRPr="00B51CBB">
            <w:rPr>
              <w:rFonts w:asciiTheme="minorHAnsi" w:hAnsiTheme="minorHAnsi"/>
              <w:color w:val="000000" w:themeColor="text1"/>
            </w:rPr>
            <w:t>Table of Contents</w:t>
          </w:r>
        </w:p>
        <w:p w:rsidR="0069720A" w:rsidRDefault="009A1EF0">
          <w:pPr>
            <w:pStyle w:val="TOC1"/>
            <w:tabs>
              <w:tab w:val="left" w:pos="440"/>
              <w:tab w:val="right" w:leader="dot" w:pos="9323"/>
            </w:tabs>
            <w:rPr>
              <w:b w:val="0"/>
              <w:noProof/>
              <w:sz w:val="22"/>
              <w:szCs w:val="22"/>
              <w:lang w:eastAsia="en-AU"/>
            </w:rPr>
          </w:pPr>
          <w:r>
            <w:rPr>
              <w:b w:val="0"/>
            </w:rPr>
            <w:fldChar w:fldCharType="begin"/>
          </w:r>
          <w:r>
            <w:instrText xml:space="preserve"> TOC \o "1-3" \h \z \u </w:instrText>
          </w:r>
          <w:r>
            <w:rPr>
              <w:b w:val="0"/>
            </w:rPr>
            <w:fldChar w:fldCharType="separate"/>
          </w:r>
          <w:hyperlink w:anchor="_Toc414343770" w:history="1">
            <w:r w:rsidR="0069720A" w:rsidRPr="006249F9">
              <w:rPr>
                <w:rStyle w:val="Hyperlink"/>
                <w:noProof/>
              </w:rPr>
              <w:t>1</w:t>
            </w:r>
            <w:r w:rsidR="0069720A">
              <w:rPr>
                <w:b w:val="0"/>
                <w:noProof/>
                <w:sz w:val="22"/>
                <w:szCs w:val="22"/>
                <w:lang w:eastAsia="en-AU"/>
              </w:rPr>
              <w:tab/>
            </w:r>
            <w:r w:rsidR="0069720A" w:rsidRPr="006249F9">
              <w:rPr>
                <w:rStyle w:val="Hyperlink"/>
                <w:noProof/>
              </w:rPr>
              <w:t>About ACREW</w:t>
            </w:r>
            <w:r w:rsidR="0069720A">
              <w:rPr>
                <w:noProof/>
                <w:webHidden/>
              </w:rPr>
              <w:tab/>
            </w:r>
            <w:r w:rsidR="0069720A">
              <w:rPr>
                <w:noProof/>
                <w:webHidden/>
              </w:rPr>
              <w:fldChar w:fldCharType="begin"/>
            </w:r>
            <w:r w:rsidR="0069720A">
              <w:rPr>
                <w:noProof/>
                <w:webHidden/>
              </w:rPr>
              <w:instrText xml:space="preserve"> PAGEREF _Toc414343770 \h </w:instrText>
            </w:r>
            <w:r w:rsidR="0069720A">
              <w:rPr>
                <w:noProof/>
                <w:webHidden/>
              </w:rPr>
            </w:r>
            <w:r w:rsidR="0069720A">
              <w:rPr>
                <w:noProof/>
                <w:webHidden/>
              </w:rPr>
              <w:fldChar w:fldCharType="separate"/>
            </w:r>
            <w:r w:rsidR="0049486E">
              <w:rPr>
                <w:noProof/>
                <w:webHidden/>
              </w:rPr>
              <w:t>5</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1" w:history="1">
            <w:r w:rsidR="0069720A" w:rsidRPr="006249F9">
              <w:rPr>
                <w:rStyle w:val="Hyperlink"/>
                <w:noProof/>
              </w:rPr>
              <w:t>2</w:t>
            </w:r>
            <w:r w:rsidR="0069720A">
              <w:rPr>
                <w:b w:val="0"/>
                <w:noProof/>
                <w:sz w:val="22"/>
                <w:szCs w:val="22"/>
                <w:lang w:eastAsia="en-AU"/>
              </w:rPr>
              <w:tab/>
            </w:r>
            <w:r w:rsidR="0069720A" w:rsidRPr="006249F9">
              <w:rPr>
                <w:rStyle w:val="Hyperlink"/>
                <w:noProof/>
              </w:rPr>
              <w:t>Introductory Remarks</w:t>
            </w:r>
            <w:r w:rsidR="0069720A">
              <w:rPr>
                <w:noProof/>
                <w:webHidden/>
              </w:rPr>
              <w:tab/>
            </w:r>
            <w:r w:rsidR="0069720A">
              <w:rPr>
                <w:noProof/>
                <w:webHidden/>
              </w:rPr>
              <w:fldChar w:fldCharType="begin"/>
            </w:r>
            <w:r w:rsidR="0069720A">
              <w:rPr>
                <w:noProof/>
                <w:webHidden/>
              </w:rPr>
              <w:instrText xml:space="preserve"> PAGEREF _Toc414343771 \h </w:instrText>
            </w:r>
            <w:r w:rsidR="0069720A">
              <w:rPr>
                <w:noProof/>
                <w:webHidden/>
              </w:rPr>
            </w:r>
            <w:r w:rsidR="0069720A">
              <w:rPr>
                <w:noProof/>
                <w:webHidden/>
              </w:rPr>
              <w:fldChar w:fldCharType="separate"/>
            </w:r>
            <w:r w:rsidR="0049486E">
              <w:rPr>
                <w:noProof/>
                <w:webHidden/>
              </w:rPr>
              <w:t>5</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2" w:history="1">
            <w:r w:rsidR="0069720A" w:rsidRPr="006249F9">
              <w:rPr>
                <w:rStyle w:val="Hyperlink"/>
                <w:noProof/>
              </w:rPr>
              <w:t>3</w:t>
            </w:r>
            <w:r w:rsidR="0069720A">
              <w:rPr>
                <w:b w:val="0"/>
                <w:noProof/>
                <w:sz w:val="22"/>
                <w:szCs w:val="22"/>
                <w:lang w:eastAsia="en-AU"/>
              </w:rPr>
              <w:tab/>
            </w:r>
            <w:r w:rsidR="0069720A" w:rsidRPr="006249F9">
              <w:rPr>
                <w:rStyle w:val="Hyperlink"/>
                <w:noProof/>
              </w:rPr>
              <w:t>Terms of Reference and Implications for the Productivity Commission’s Task</w:t>
            </w:r>
            <w:r w:rsidR="0069720A">
              <w:rPr>
                <w:noProof/>
                <w:webHidden/>
              </w:rPr>
              <w:tab/>
            </w:r>
            <w:r w:rsidR="0069720A">
              <w:rPr>
                <w:noProof/>
                <w:webHidden/>
              </w:rPr>
              <w:fldChar w:fldCharType="begin"/>
            </w:r>
            <w:r w:rsidR="0069720A">
              <w:rPr>
                <w:noProof/>
                <w:webHidden/>
              </w:rPr>
              <w:instrText xml:space="preserve"> PAGEREF _Toc414343772 \h </w:instrText>
            </w:r>
            <w:r w:rsidR="0069720A">
              <w:rPr>
                <w:noProof/>
                <w:webHidden/>
              </w:rPr>
            </w:r>
            <w:r w:rsidR="0069720A">
              <w:rPr>
                <w:noProof/>
                <w:webHidden/>
              </w:rPr>
              <w:fldChar w:fldCharType="separate"/>
            </w:r>
            <w:r w:rsidR="0049486E">
              <w:rPr>
                <w:noProof/>
                <w:webHidden/>
              </w:rPr>
              <w:t>6</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3" w:history="1">
            <w:r w:rsidR="0069720A" w:rsidRPr="006249F9">
              <w:rPr>
                <w:rStyle w:val="Hyperlink"/>
                <w:noProof/>
              </w:rPr>
              <w:t>4</w:t>
            </w:r>
            <w:r w:rsidR="0069720A">
              <w:rPr>
                <w:b w:val="0"/>
                <w:noProof/>
                <w:sz w:val="22"/>
                <w:szCs w:val="22"/>
                <w:lang w:eastAsia="en-AU"/>
              </w:rPr>
              <w:tab/>
            </w:r>
            <w:r w:rsidR="0069720A" w:rsidRPr="006249F9">
              <w:rPr>
                <w:rStyle w:val="Hyperlink"/>
                <w:noProof/>
              </w:rPr>
              <w:t>ToR 3: Small Businesses</w:t>
            </w:r>
            <w:r w:rsidR="0069720A">
              <w:rPr>
                <w:noProof/>
                <w:webHidden/>
              </w:rPr>
              <w:tab/>
            </w:r>
            <w:r w:rsidR="0069720A">
              <w:rPr>
                <w:noProof/>
                <w:webHidden/>
              </w:rPr>
              <w:fldChar w:fldCharType="begin"/>
            </w:r>
            <w:r w:rsidR="0069720A">
              <w:rPr>
                <w:noProof/>
                <w:webHidden/>
              </w:rPr>
              <w:instrText xml:space="preserve"> PAGEREF _Toc414343773 \h </w:instrText>
            </w:r>
            <w:r w:rsidR="0069720A">
              <w:rPr>
                <w:noProof/>
                <w:webHidden/>
              </w:rPr>
            </w:r>
            <w:r w:rsidR="0069720A">
              <w:rPr>
                <w:noProof/>
                <w:webHidden/>
              </w:rPr>
              <w:fldChar w:fldCharType="separate"/>
            </w:r>
            <w:r w:rsidR="0049486E">
              <w:rPr>
                <w:noProof/>
                <w:webHidden/>
              </w:rPr>
              <w:t>14</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4" w:history="1">
            <w:r w:rsidR="0069720A" w:rsidRPr="006249F9">
              <w:rPr>
                <w:rStyle w:val="Hyperlink"/>
                <w:noProof/>
              </w:rPr>
              <w:t>5</w:t>
            </w:r>
            <w:r w:rsidR="0069720A">
              <w:rPr>
                <w:b w:val="0"/>
                <w:noProof/>
                <w:sz w:val="22"/>
                <w:szCs w:val="22"/>
                <w:lang w:eastAsia="en-AU"/>
              </w:rPr>
              <w:tab/>
            </w:r>
            <w:r w:rsidR="0069720A" w:rsidRPr="006249F9">
              <w:rPr>
                <w:rStyle w:val="Hyperlink"/>
                <w:noProof/>
              </w:rPr>
              <w:t>ToR 4: Productivity, Competitiveness and Business Investment</w:t>
            </w:r>
            <w:r w:rsidR="0069720A">
              <w:rPr>
                <w:noProof/>
                <w:webHidden/>
              </w:rPr>
              <w:tab/>
            </w:r>
            <w:r w:rsidR="0069720A">
              <w:rPr>
                <w:noProof/>
                <w:webHidden/>
              </w:rPr>
              <w:fldChar w:fldCharType="begin"/>
            </w:r>
            <w:r w:rsidR="0069720A">
              <w:rPr>
                <w:noProof/>
                <w:webHidden/>
              </w:rPr>
              <w:instrText xml:space="preserve"> PAGEREF _Toc414343774 \h </w:instrText>
            </w:r>
            <w:r w:rsidR="0069720A">
              <w:rPr>
                <w:noProof/>
                <w:webHidden/>
              </w:rPr>
            </w:r>
            <w:r w:rsidR="0069720A">
              <w:rPr>
                <w:noProof/>
                <w:webHidden/>
              </w:rPr>
              <w:fldChar w:fldCharType="separate"/>
            </w:r>
            <w:r w:rsidR="0049486E">
              <w:rPr>
                <w:noProof/>
                <w:webHidden/>
              </w:rPr>
              <w:t>17</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5" w:history="1">
            <w:r w:rsidR="0069720A" w:rsidRPr="006249F9">
              <w:rPr>
                <w:rStyle w:val="Hyperlink"/>
                <w:noProof/>
              </w:rPr>
              <w:t>6</w:t>
            </w:r>
            <w:r w:rsidR="0069720A">
              <w:rPr>
                <w:b w:val="0"/>
                <w:noProof/>
                <w:sz w:val="22"/>
                <w:szCs w:val="22"/>
                <w:lang w:eastAsia="en-AU"/>
              </w:rPr>
              <w:tab/>
            </w:r>
            <w:r w:rsidR="0069720A" w:rsidRPr="006249F9">
              <w:rPr>
                <w:rStyle w:val="Hyperlink"/>
                <w:noProof/>
              </w:rPr>
              <w:t>ToR 6: Patterns of Engagement in the Labour Market</w:t>
            </w:r>
            <w:r w:rsidR="0069720A">
              <w:rPr>
                <w:noProof/>
                <w:webHidden/>
              </w:rPr>
              <w:tab/>
            </w:r>
            <w:r w:rsidR="0069720A">
              <w:rPr>
                <w:noProof/>
                <w:webHidden/>
              </w:rPr>
              <w:fldChar w:fldCharType="begin"/>
            </w:r>
            <w:r w:rsidR="0069720A">
              <w:rPr>
                <w:noProof/>
                <w:webHidden/>
              </w:rPr>
              <w:instrText xml:space="preserve"> PAGEREF _Toc414343775 \h </w:instrText>
            </w:r>
            <w:r w:rsidR="0069720A">
              <w:rPr>
                <w:noProof/>
                <w:webHidden/>
              </w:rPr>
            </w:r>
            <w:r w:rsidR="0069720A">
              <w:rPr>
                <w:noProof/>
                <w:webHidden/>
              </w:rPr>
              <w:fldChar w:fldCharType="separate"/>
            </w:r>
            <w:r w:rsidR="0049486E">
              <w:rPr>
                <w:noProof/>
                <w:webHidden/>
              </w:rPr>
              <w:t>19</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6" w:history="1">
            <w:r w:rsidR="0069720A" w:rsidRPr="006249F9">
              <w:rPr>
                <w:rStyle w:val="Hyperlink"/>
                <w:noProof/>
              </w:rPr>
              <w:t>7</w:t>
            </w:r>
            <w:r w:rsidR="0069720A">
              <w:rPr>
                <w:b w:val="0"/>
                <w:noProof/>
                <w:sz w:val="22"/>
                <w:szCs w:val="22"/>
                <w:lang w:eastAsia="en-AU"/>
              </w:rPr>
              <w:tab/>
            </w:r>
            <w:r w:rsidR="0069720A" w:rsidRPr="006249F9">
              <w:rPr>
                <w:rStyle w:val="Hyperlink"/>
                <w:noProof/>
              </w:rPr>
              <w:t>ToR 7: The Ability for Employers to Flexibly Manage and Engage with their Employees</w:t>
            </w:r>
            <w:r w:rsidR="0069720A">
              <w:rPr>
                <w:noProof/>
                <w:webHidden/>
              </w:rPr>
              <w:tab/>
            </w:r>
            <w:r w:rsidR="0069720A">
              <w:rPr>
                <w:noProof/>
                <w:webHidden/>
              </w:rPr>
              <w:fldChar w:fldCharType="begin"/>
            </w:r>
            <w:r w:rsidR="0069720A">
              <w:rPr>
                <w:noProof/>
                <w:webHidden/>
              </w:rPr>
              <w:instrText xml:space="preserve"> PAGEREF _Toc414343776 \h </w:instrText>
            </w:r>
            <w:r w:rsidR="0069720A">
              <w:rPr>
                <w:noProof/>
                <w:webHidden/>
              </w:rPr>
            </w:r>
            <w:r w:rsidR="0069720A">
              <w:rPr>
                <w:noProof/>
                <w:webHidden/>
              </w:rPr>
              <w:fldChar w:fldCharType="separate"/>
            </w:r>
            <w:r w:rsidR="0049486E">
              <w:rPr>
                <w:noProof/>
                <w:webHidden/>
              </w:rPr>
              <w:t>22</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7" w:history="1">
            <w:r w:rsidR="0069720A" w:rsidRPr="006249F9">
              <w:rPr>
                <w:rStyle w:val="Hyperlink"/>
                <w:noProof/>
              </w:rPr>
              <w:t>8</w:t>
            </w:r>
            <w:r w:rsidR="0069720A">
              <w:rPr>
                <w:b w:val="0"/>
                <w:noProof/>
                <w:sz w:val="22"/>
                <w:szCs w:val="22"/>
                <w:lang w:eastAsia="en-AU"/>
              </w:rPr>
              <w:tab/>
            </w:r>
            <w:r w:rsidR="0069720A" w:rsidRPr="006249F9">
              <w:rPr>
                <w:rStyle w:val="Hyperlink"/>
                <w:noProof/>
              </w:rPr>
              <w:t>ToR 10: Industrial Conflict and Days lost due to Industrial Action</w:t>
            </w:r>
            <w:r w:rsidR="0069720A">
              <w:rPr>
                <w:noProof/>
                <w:webHidden/>
              </w:rPr>
              <w:tab/>
            </w:r>
            <w:r w:rsidR="0069720A">
              <w:rPr>
                <w:noProof/>
                <w:webHidden/>
              </w:rPr>
              <w:fldChar w:fldCharType="begin"/>
            </w:r>
            <w:r w:rsidR="0069720A">
              <w:rPr>
                <w:noProof/>
                <w:webHidden/>
              </w:rPr>
              <w:instrText xml:space="preserve"> PAGEREF _Toc414343777 \h </w:instrText>
            </w:r>
            <w:r w:rsidR="0069720A">
              <w:rPr>
                <w:noProof/>
                <w:webHidden/>
              </w:rPr>
            </w:r>
            <w:r w:rsidR="0069720A">
              <w:rPr>
                <w:noProof/>
                <w:webHidden/>
              </w:rPr>
              <w:fldChar w:fldCharType="separate"/>
            </w:r>
            <w:r w:rsidR="0049486E">
              <w:rPr>
                <w:noProof/>
                <w:webHidden/>
              </w:rPr>
              <w:t>29</w:t>
            </w:r>
            <w:r w:rsidR="0069720A">
              <w:rPr>
                <w:noProof/>
                <w:webHidden/>
              </w:rPr>
              <w:fldChar w:fldCharType="end"/>
            </w:r>
          </w:hyperlink>
        </w:p>
        <w:p w:rsidR="0069720A" w:rsidRDefault="00CA403C">
          <w:pPr>
            <w:pStyle w:val="TOC1"/>
            <w:tabs>
              <w:tab w:val="left" w:pos="440"/>
              <w:tab w:val="right" w:leader="dot" w:pos="9323"/>
            </w:tabs>
            <w:rPr>
              <w:b w:val="0"/>
              <w:noProof/>
              <w:sz w:val="22"/>
              <w:szCs w:val="22"/>
              <w:lang w:eastAsia="en-AU"/>
            </w:rPr>
          </w:pPr>
          <w:hyperlink w:anchor="_Toc414343778" w:history="1">
            <w:r w:rsidR="0069720A" w:rsidRPr="006249F9">
              <w:rPr>
                <w:rStyle w:val="Hyperlink"/>
                <w:noProof/>
              </w:rPr>
              <w:t>9</w:t>
            </w:r>
            <w:r w:rsidR="0069720A">
              <w:rPr>
                <w:b w:val="0"/>
                <w:noProof/>
                <w:sz w:val="22"/>
                <w:szCs w:val="22"/>
                <w:lang w:eastAsia="en-AU"/>
              </w:rPr>
              <w:tab/>
            </w:r>
            <w:r w:rsidR="0069720A" w:rsidRPr="006249F9">
              <w:rPr>
                <w:rStyle w:val="Hyperlink"/>
                <w:noProof/>
              </w:rPr>
              <w:t>Conclusions and Recommendations</w:t>
            </w:r>
            <w:r w:rsidR="0069720A">
              <w:rPr>
                <w:noProof/>
                <w:webHidden/>
              </w:rPr>
              <w:tab/>
            </w:r>
            <w:r w:rsidR="0069720A">
              <w:rPr>
                <w:noProof/>
                <w:webHidden/>
              </w:rPr>
              <w:fldChar w:fldCharType="begin"/>
            </w:r>
            <w:r w:rsidR="0069720A">
              <w:rPr>
                <w:noProof/>
                <w:webHidden/>
              </w:rPr>
              <w:instrText xml:space="preserve"> PAGEREF _Toc414343778 \h </w:instrText>
            </w:r>
            <w:r w:rsidR="0069720A">
              <w:rPr>
                <w:noProof/>
                <w:webHidden/>
              </w:rPr>
            </w:r>
            <w:r w:rsidR="0069720A">
              <w:rPr>
                <w:noProof/>
                <w:webHidden/>
              </w:rPr>
              <w:fldChar w:fldCharType="separate"/>
            </w:r>
            <w:r w:rsidR="0049486E">
              <w:rPr>
                <w:noProof/>
                <w:webHidden/>
              </w:rPr>
              <w:t>35</w:t>
            </w:r>
            <w:r w:rsidR="0069720A">
              <w:rPr>
                <w:noProof/>
                <w:webHidden/>
              </w:rPr>
              <w:fldChar w:fldCharType="end"/>
            </w:r>
          </w:hyperlink>
        </w:p>
        <w:p w:rsidR="001813A4" w:rsidRDefault="001813A4">
          <w:pPr>
            <w:pStyle w:val="TOC1"/>
            <w:tabs>
              <w:tab w:val="right" w:leader="dot" w:pos="9323"/>
            </w:tabs>
            <w:rPr>
              <w:noProof/>
            </w:rPr>
          </w:pPr>
        </w:p>
        <w:p w:rsidR="0069720A" w:rsidRDefault="00CA403C">
          <w:pPr>
            <w:pStyle w:val="TOC1"/>
            <w:tabs>
              <w:tab w:val="right" w:leader="dot" w:pos="9323"/>
            </w:tabs>
            <w:rPr>
              <w:b w:val="0"/>
              <w:noProof/>
              <w:sz w:val="22"/>
              <w:szCs w:val="22"/>
              <w:lang w:eastAsia="en-AU"/>
            </w:rPr>
          </w:pPr>
          <w:hyperlink w:anchor="_Toc414343779" w:history="1">
            <w:r w:rsidR="0069720A" w:rsidRPr="006249F9">
              <w:rPr>
                <w:rStyle w:val="Hyperlink"/>
                <w:noProof/>
              </w:rPr>
              <w:t>Appendix A</w:t>
            </w:r>
            <w:r w:rsidR="0069720A">
              <w:rPr>
                <w:noProof/>
                <w:webHidden/>
              </w:rPr>
              <w:tab/>
            </w:r>
            <w:r w:rsidR="0069720A">
              <w:rPr>
                <w:noProof/>
                <w:webHidden/>
              </w:rPr>
              <w:fldChar w:fldCharType="begin"/>
            </w:r>
            <w:r w:rsidR="0069720A">
              <w:rPr>
                <w:noProof/>
                <w:webHidden/>
              </w:rPr>
              <w:instrText xml:space="preserve"> PAGEREF _Toc414343779 \h </w:instrText>
            </w:r>
            <w:r w:rsidR="0069720A">
              <w:rPr>
                <w:noProof/>
                <w:webHidden/>
              </w:rPr>
            </w:r>
            <w:r w:rsidR="0069720A">
              <w:rPr>
                <w:noProof/>
                <w:webHidden/>
              </w:rPr>
              <w:fldChar w:fldCharType="separate"/>
            </w:r>
            <w:r w:rsidR="0049486E">
              <w:rPr>
                <w:noProof/>
                <w:webHidden/>
              </w:rPr>
              <w:t>42</w:t>
            </w:r>
            <w:r w:rsidR="0069720A">
              <w:rPr>
                <w:noProof/>
                <w:webHidden/>
              </w:rPr>
              <w:fldChar w:fldCharType="end"/>
            </w:r>
          </w:hyperlink>
        </w:p>
        <w:p w:rsidR="009A1EF0" w:rsidRDefault="009A1EF0">
          <w:r>
            <w:rPr>
              <w:b/>
              <w:bCs/>
              <w:noProof/>
            </w:rPr>
            <w:fldChar w:fldCharType="end"/>
          </w:r>
        </w:p>
      </w:sdtContent>
    </w:sdt>
    <w:p w:rsidR="00395320" w:rsidRDefault="00395320">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0E4177" w:rsidRDefault="000E4177">
      <w:pPr>
        <w:rPr>
          <w:rFonts w:cstheme="majorBidi"/>
          <w:b/>
          <w:bCs/>
          <w:sz w:val="28"/>
          <w:szCs w:val="28"/>
        </w:rPr>
      </w:pPr>
    </w:p>
    <w:p w:rsidR="00B51CBB" w:rsidRDefault="009129E9" w:rsidP="009559D8">
      <w:pPr>
        <w:pStyle w:val="TOCHeading"/>
        <w:jc w:val="center"/>
        <w:rPr>
          <w:rFonts w:asciiTheme="minorHAnsi" w:hAnsiTheme="minorHAnsi"/>
          <w:color w:val="000000" w:themeColor="text1"/>
        </w:rPr>
      </w:pPr>
      <w:r>
        <w:rPr>
          <w:rFonts w:asciiTheme="minorHAnsi" w:hAnsiTheme="minorHAnsi"/>
          <w:color w:val="000000" w:themeColor="text1"/>
        </w:rPr>
        <w:lastRenderedPageBreak/>
        <w:t>List of Tables</w:t>
      </w:r>
      <w:r w:rsidR="009559D8">
        <w:rPr>
          <w:rFonts w:asciiTheme="minorHAnsi" w:hAnsiTheme="minorHAnsi"/>
          <w:color w:val="000000" w:themeColor="text1"/>
        </w:rPr>
        <w:t xml:space="preserve"> and Charts</w:t>
      </w:r>
    </w:p>
    <w:p w:rsidR="00B51CBB" w:rsidRPr="00B51CBB" w:rsidRDefault="00B51CBB" w:rsidP="00B51CBB"/>
    <w:p w:rsidR="009559D8" w:rsidRDefault="009559D8" w:rsidP="009559D8">
      <w:pPr>
        <w:spacing w:after="0" w:line="240" w:lineRule="auto"/>
        <w:rPr>
          <w:rFonts w:cstheme="majorBidi"/>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902"/>
        <w:gridCol w:w="546"/>
      </w:tblGrid>
      <w:tr w:rsidR="009559D8" w:rsidTr="00CE499E">
        <w:tc>
          <w:tcPr>
            <w:tcW w:w="1101" w:type="dxa"/>
          </w:tcPr>
          <w:p w:rsidR="009559D8" w:rsidRPr="009559D8" w:rsidRDefault="009559D8" w:rsidP="009559D8">
            <w:pPr>
              <w:rPr>
                <w:rFonts w:cstheme="majorBidi"/>
                <w:bCs/>
                <w:sz w:val="24"/>
                <w:szCs w:val="24"/>
                <w:lang w:val="en-US"/>
              </w:rPr>
            </w:pPr>
            <w:r w:rsidRPr="009559D8">
              <w:rPr>
                <w:rFonts w:cstheme="majorBidi"/>
                <w:bCs/>
                <w:sz w:val="24"/>
                <w:szCs w:val="24"/>
                <w:lang w:val="en-US"/>
              </w:rPr>
              <w:t>Table 1</w:t>
            </w:r>
          </w:p>
        </w:tc>
        <w:tc>
          <w:tcPr>
            <w:tcW w:w="7902" w:type="dxa"/>
          </w:tcPr>
          <w:p w:rsidR="009559D8" w:rsidRDefault="009559D8" w:rsidP="009559D8">
            <w:pPr>
              <w:rPr>
                <w:rFonts w:cstheme="majorBidi"/>
                <w:bCs/>
                <w:sz w:val="24"/>
                <w:szCs w:val="24"/>
                <w:lang w:val="en-US"/>
              </w:rPr>
            </w:pPr>
            <w:r w:rsidRPr="00234C24">
              <w:rPr>
                <w:rFonts w:cstheme="majorBidi"/>
                <w:bCs/>
                <w:sz w:val="24"/>
                <w:szCs w:val="24"/>
                <w:lang w:val="en-US"/>
              </w:rPr>
              <w:t>Distribution of Voice Arrangements: 2007 Australian Worker Representation and Participation Survey</w:t>
            </w:r>
          </w:p>
          <w:p w:rsidR="00CE499E" w:rsidRDefault="00CE499E" w:rsidP="009559D8">
            <w:pPr>
              <w:rPr>
                <w:rFonts w:cstheme="majorBidi"/>
                <w:bCs/>
                <w:sz w:val="24"/>
                <w:szCs w:val="24"/>
                <w:lang w:val="en-US"/>
              </w:rPr>
            </w:pPr>
          </w:p>
        </w:tc>
        <w:tc>
          <w:tcPr>
            <w:tcW w:w="546" w:type="dxa"/>
          </w:tcPr>
          <w:p w:rsidR="009559D8" w:rsidRDefault="009559D8" w:rsidP="009559D8">
            <w:pPr>
              <w:rPr>
                <w:rFonts w:cstheme="majorBidi"/>
                <w:bCs/>
                <w:sz w:val="24"/>
                <w:szCs w:val="24"/>
                <w:lang w:val="en-US"/>
              </w:rPr>
            </w:pPr>
            <w:r>
              <w:rPr>
                <w:rFonts w:cstheme="majorBidi"/>
                <w:bCs/>
                <w:sz w:val="24"/>
                <w:szCs w:val="24"/>
                <w:lang w:val="en-US"/>
              </w:rPr>
              <w:t>26</w:t>
            </w:r>
          </w:p>
        </w:tc>
      </w:tr>
      <w:tr w:rsidR="009559D8" w:rsidTr="00CE499E">
        <w:tc>
          <w:tcPr>
            <w:tcW w:w="1101" w:type="dxa"/>
          </w:tcPr>
          <w:p w:rsidR="009559D8" w:rsidRPr="009559D8" w:rsidRDefault="009559D8" w:rsidP="009559D8">
            <w:pPr>
              <w:widowControl w:val="0"/>
              <w:autoSpaceDE w:val="0"/>
              <w:autoSpaceDN w:val="0"/>
              <w:adjustRightInd w:val="0"/>
              <w:ind w:left="11"/>
              <w:rPr>
                <w:rFonts w:cstheme="majorBidi"/>
                <w:bCs/>
                <w:sz w:val="24"/>
                <w:szCs w:val="24"/>
                <w:lang w:val="en-US"/>
              </w:rPr>
            </w:pPr>
            <w:r w:rsidRPr="009559D8">
              <w:rPr>
                <w:rFonts w:cstheme="majorBidi"/>
                <w:bCs/>
                <w:sz w:val="24"/>
                <w:szCs w:val="24"/>
                <w:lang w:val="en-US"/>
              </w:rPr>
              <w:t>Table 2</w:t>
            </w:r>
          </w:p>
        </w:tc>
        <w:tc>
          <w:tcPr>
            <w:tcW w:w="7902" w:type="dxa"/>
          </w:tcPr>
          <w:p w:rsidR="009559D8" w:rsidRDefault="009559D8" w:rsidP="009559D8">
            <w:pPr>
              <w:widowControl w:val="0"/>
              <w:autoSpaceDE w:val="0"/>
              <w:autoSpaceDN w:val="0"/>
              <w:adjustRightInd w:val="0"/>
              <w:ind w:left="11"/>
              <w:rPr>
                <w:rFonts w:cstheme="majorBidi"/>
                <w:bCs/>
                <w:sz w:val="24"/>
                <w:szCs w:val="24"/>
                <w:lang w:val="en-US"/>
              </w:rPr>
            </w:pPr>
            <w:r w:rsidRPr="00234C24">
              <w:rPr>
                <w:rFonts w:cstheme="majorBidi"/>
                <w:bCs/>
                <w:sz w:val="24"/>
                <w:szCs w:val="24"/>
                <w:lang w:val="en-US"/>
              </w:rPr>
              <w:t>Results of Ordered Probit Regression Analyses Predicting Perceptions of the Industrial Relations Climate</w:t>
            </w:r>
          </w:p>
        </w:tc>
        <w:tc>
          <w:tcPr>
            <w:tcW w:w="546" w:type="dxa"/>
          </w:tcPr>
          <w:p w:rsidR="009559D8" w:rsidRDefault="00CE499E" w:rsidP="009559D8">
            <w:pPr>
              <w:rPr>
                <w:rFonts w:cstheme="majorBidi"/>
                <w:bCs/>
                <w:sz w:val="24"/>
                <w:szCs w:val="24"/>
                <w:lang w:val="en-US"/>
              </w:rPr>
            </w:pPr>
            <w:r>
              <w:rPr>
                <w:rFonts w:cstheme="majorBidi"/>
                <w:bCs/>
                <w:sz w:val="24"/>
                <w:szCs w:val="24"/>
                <w:lang w:val="en-US"/>
              </w:rPr>
              <w:t>26</w:t>
            </w:r>
          </w:p>
        </w:tc>
      </w:tr>
      <w:tr w:rsidR="009559D8" w:rsidTr="00CE499E">
        <w:tc>
          <w:tcPr>
            <w:tcW w:w="1101" w:type="dxa"/>
          </w:tcPr>
          <w:p w:rsidR="009559D8" w:rsidRPr="009559D8" w:rsidRDefault="009559D8" w:rsidP="009559D8">
            <w:pPr>
              <w:rPr>
                <w:rFonts w:cstheme="majorBidi"/>
                <w:bCs/>
                <w:sz w:val="24"/>
                <w:szCs w:val="24"/>
                <w:lang w:val="en-US"/>
              </w:rPr>
            </w:pPr>
          </w:p>
        </w:tc>
        <w:tc>
          <w:tcPr>
            <w:tcW w:w="7902" w:type="dxa"/>
          </w:tcPr>
          <w:p w:rsidR="009559D8" w:rsidRDefault="009559D8" w:rsidP="009559D8">
            <w:pPr>
              <w:rPr>
                <w:rFonts w:cstheme="majorBidi"/>
                <w:bCs/>
                <w:sz w:val="24"/>
                <w:szCs w:val="24"/>
                <w:lang w:val="en-US"/>
              </w:rPr>
            </w:pPr>
          </w:p>
        </w:tc>
        <w:tc>
          <w:tcPr>
            <w:tcW w:w="546" w:type="dxa"/>
          </w:tcPr>
          <w:p w:rsidR="009559D8" w:rsidRDefault="009559D8" w:rsidP="009559D8">
            <w:pPr>
              <w:rPr>
                <w:rFonts w:cstheme="majorBidi"/>
                <w:bCs/>
                <w:sz w:val="24"/>
                <w:szCs w:val="24"/>
                <w:lang w:val="en-US"/>
              </w:rPr>
            </w:pPr>
          </w:p>
        </w:tc>
      </w:tr>
      <w:tr w:rsidR="009559D8" w:rsidTr="00CE499E">
        <w:tc>
          <w:tcPr>
            <w:tcW w:w="1101" w:type="dxa"/>
          </w:tcPr>
          <w:p w:rsidR="009559D8" w:rsidRPr="009559D8" w:rsidRDefault="009559D8" w:rsidP="009559D8">
            <w:pPr>
              <w:rPr>
                <w:rFonts w:cstheme="majorBidi"/>
                <w:bCs/>
                <w:sz w:val="24"/>
                <w:szCs w:val="24"/>
                <w:lang w:val="en-US"/>
              </w:rPr>
            </w:pPr>
          </w:p>
        </w:tc>
        <w:tc>
          <w:tcPr>
            <w:tcW w:w="7902" w:type="dxa"/>
          </w:tcPr>
          <w:p w:rsidR="009559D8" w:rsidRDefault="009559D8" w:rsidP="009559D8">
            <w:pPr>
              <w:rPr>
                <w:rFonts w:cstheme="majorBidi"/>
                <w:bCs/>
                <w:sz w:val="24"/>
                <w:szCs w:val="24"/>
                <w:lang w:val="en-US"/>
              </w:rPr>
            </w:pPr>
          </w:p>
          <w:p w:rsidR="00CE499E" w:rsidRDefault="00CE499E" w:rsidP="009559D8">
            <w:pPr>
              <w:rPr>
                <w:rFonts w:cstheme="majorBidi"/>
                <w:bCs/>
                <w:sz w:val="24"/>
                <w:szCs w:val="24"/>
                <w:lang w:val="en-US"/>
              </w:rPr>
            </w:pPr>
          </w:p>
          <w:p w:rsidR="00CE499E" w:rsidRDefault="00CE499E" w:rsidP="009559D8">
            <w:pPr>
              <w:rPr>
                <w:rFonts w:cstheme="majorBidi"/>
                <w:bCs/>
                <w:sz w:val="24"/>
                <w:szCs w:val="24"/>
                <w:lang w:val="en-US"/>
              </w:rPr>
            </w:pPr>
          </w:p>
        </w:tc>
        <w:tc>
          <w:tcPr>
            <w:tcW w:w="546" w:type="dxa"/>
          </w:tcPr>
          <w:p w:rsidR="009559D8" w:rsidRDefault="009559D8" w:rsidP="009559D8">
            <w:pPr>
              <w:rPr>
                <w:rFonts w:cstheme="majorBidi"/>
                <w:bCs/>
                <w:sz w:val="24"/>
                <w:szCs w:val="24"/>
                <w:lang w:val="en-US"/>
              </w:rPr>
            </w:pPr>
          </w:p>
        </w:tc>
      </w:tr>
      <w:tr w:rsidR="009559D8" w:rsidTr="00CE499E">
        <w:tc>
          <w:tcPr>
            <w:tcW w:w="1101" w:type="dxa"/>
          </w:tcPr>
          <w:p w:rsidR="009559D8" w:rsidRPr="009559D8" w:rsidRDefault="009559D8" w:rsidP="009559D8">
            <w:pPr>
              <w:rPr>
                <w:rFonts w:cstheme="majorBidi"/>
                <w:bCs/>
                <w:sz w:val="24"/>
                <w:szCs w:val="24"/>
                <w:lang w:val="en-US"/>
              </w:rPr>
            </w:pPr>
            <w:r w:rsidRPr="009559D8">
              <w:rPr>
                <w:rFonts w:cstheme="majorBidi"/>
                <w:bCs/>
                <w:sz w:val="24"/>
                <w:szCs w:val="24"/>
                <w:lang w:val="en-US"/>
              </w:rPr>
              <w:t>Chart 1</w:t>
            </w:r>
          </w:p>
        </w:tc>
        <w:tc>
          <w:tcPr>
            <w:tcW w:w="7902" w:type="dxa"/>
          </w:tcPr>
          <w:p w:rsidR="009559D8" w:rsidRPr="00234C24" w:rsidRDefault="009559D8" w:rsidP="009559D8">
            <w:pPr>
              <w:rPr>
                <w:rFonts w:cstheme="majorBidi"/>
                <w:bCs/>
                <w:sz w:val="24"/>
                <w:szCs w:val="24"/>
                <w:lang w:val="en-US"/>
              </w:rPr>
            </w:pPr>
            <w:r w:rsidRPr="00234C24">
              <w:rPr>
                <w:rFonts w:cstheme="majorBidi"/>
                <w:bCs/>
                <w:sz w:val="24"/>
                <w:szCs w:val="24"/>
                <w:lang w:val="en-US"/>
              </w:rPr>
              <w:t>Employment-related complain</w:t>
            </w:r>
            <w:r>
              <w:rPr>
                <w:rFonts w:cstheme="majorBidi"/>
                <w:bCs/>
                <w:sz w:val="24"/>
                <w:szCs w:val="24"/>
                <w:lang w:val="en-US"/>
              </w:rPr>
              <w:t>t</w:t>
            </w:r>
            <w:r w:rsidRPr="00234C24">
              <w:rPr>
                <w:rFonts w:cstheme="majorBidi"/>
                <w:bCs/>
                <w:sz w:val="24"/>
                <w:szCs w:val="24"/>
                <w:lang w:val="en-US"/>
              </w:rPr>
              <w:t>s from 2000 to 2011</w:t>
            </w:r>
          </w:p>
          <w:p w:rsidR="009559D8" w:rsidRDefault="009559D8" w:rsidP="009559D8">
            <w:pPr>
              <w:rPr>
                <w:rFonts w:cstheme="majorBidi"/>
                <w:bCs/>
                <w:sz w:val="24"/>
                <w:szCs w:val="24"/>
                <w:lang w:val="en-US"/>
              </w:rPr>
            </w:pPr>
          </w:p>
        </w:tc>
        <w:tc>
          <w:tcPr>
            <w:tcW w:w="546" w:type="dxa"/>
          </w:tcPr>
          <w:p w:rsidR="009559D8" w:rsidRDefault="00CE499E" w:rsidP="009559D8">
            <w:pPr>
              <w:rPr>
                <w:rFonts w:cstheme="majorBidi"/>
                <w:bCs/>
                <w:sz w:val="24"/>
                <w:szCs w:val="24"/>
                <w:lang w:val="en-US"/>
              </w:rPr>
            </w:pPr>
            <w:r>
              <w:rPr>
                <w:rFonts w:cstheme="majorBidi"/>
                <w:bCs/>
                <w:sz w:val="24"/>
                <w:szCs w:val="24"/>
                <w:lang w:val="en-US"/>
              </w:rPr>
              <w:t>31</w:t>
            </w:r>
          </w:p>
        </w:tc>
      </w:tr>
      <w:tr w:rsidR="009559D8" w:rsidTr="00CE499E">
        <w:tc>
          <w:tcPr>
            <w:tcW w:w="1101" w:type="dxa"/>
          </w:tcPr>
          <w:p w:rsidR="009559D8" w:rsidRPr="009559D8" w:rsidRDefault="009559D8" w:rsidP="009559D8">
            <w:pPr>
              <w:spacing w:after="120" w:line="360" w:lineRule="auto"/>
              <w:rPr>
                <w:rFonts w:cstheme="majorBidi"/>
                <w:bCs/>
                <w:sz w:val="24"/>
                <w:szCs w:val="24"/>
                <w:lang w:val="en-US"/>
              </w:rPr>
            </w:pPr>
            <w:r w:rsidRPr="009559D8">
              <w:rPr>
                <w:rFonts w:cstheme="majorBidi"/>
                <w:bCs/>
                <w:sz w:val="24"/>
                <w:szCs w:val="24"/>
                <w:lang w:val="en-US"/>
              </w:rPr>
              <w:t>Chart 2</w:t>
            </w:r>
          </w:p>
        </w:tc>
        <w:tc>
          <w:tcPr>
            <w:tcW w:w="7902" w:type="dxa"/>
          </w:tcPr>
          <w:p w:rsidR="009559D8" w:rsidRDefault="009559D8" w:rsidP="00CE499E">
            <w:pPr>
              <w:spacing w:after="120" w:line="360" w:lineRule="auto"/>
              <w:rPr>
                <w:rFonts w:cstheme="majorBidi"/>
                <w:bCs/>
                <w:sz w:val="24"/>
                <w:szCs w:val="24"/>
                <w:lang w:val="en-US"/>
              </w:rPr>
            </w:pPr>
            <w:r w:rsidRPr="00234C24">
              <w:rPr>
                <w:rFonts w:cstheme="majorBidi"/>
                <w:bCs/>
                <w:sz w:val="24"/>
                <w:szCs w:val="24"/>
                <w:lang w:val="en-US"/>
              </w:rPr>
              <w:t xml:space="preserve">Types of individual disputes </w:t>
            </w:r>
            <w:r w:rsidR="00CE499E">
              <w:rPr>
                <w:rFonts w:cstheme="majorBidi"/>
                <w:bCs/>
                <w:sz w:val="24"/>
                <w:szCs w:val="24"/>
                <w:lang w:val="en-US"/>
              </w:rPr>
              <w:t>occurring in the past 12 months</w:t>
            </w:r>
          </w:p>
        </w:tc>
        <w:tc>
          <w:tcPr>
            <w:tcW w:w="546" w:type="dxa"/>
          </w:tcPr>
          <w:p w:rsidR="009559D8" w:rsidRDefault="00CE499E" w:rsidP="009559D8">
            <w:pPr>
              <w:rPr>
                <w:rFonts w:cstheme="majorBidi"/>
                <w:bCs/>
                <w:sz w:val="24"/>
                <w:szCs w:val="24"/>
                <w:lang w:val="en-US"/>
              </w:rPr>
            </w:pPr>
            <w:r>
              <w:rPr>
                <w:rFonts w:cstheme="majorBidi"/>
                <w:bCs/>
                <w:sz w:val="24"/>
                <w:szCs w:val="24"/>
                <w:lang w:val="en-US"/>
              </w:rPr>
              <w:t>32</w:t>
            </w:r>
          </w:p>
        </w:tc>
      </w:tr>
      <w:tr w:rsidR="009559D8" w:rsidTr="00CE499E">
        <w:tc>
          <w:tcPr>
            <w:tcW w:w="1101" w:type="dxa"/>
          </w:tcPr>
          <w:p w:rsidR="009559D8" w:rsidRPr="009559D8" w:rsidRDefault="009559D8" w:rsidP="009559D8">
            <w:pPr>
              <w:spacing w:after="120" w:line="360" w:lineRule="auto"/>
              <w:rPr>
                <w:rFonts w:cstheme="majorBidi"/>
                <w:bCs/>
                <w:sz w:val="24"/>
                <w:szCs w:val="24"/>
                <w:lang w:val="en-US"/>
              </w:rPr>
            </w:pPr>
            <w:r w:rsidRPr="009559D8">
              <w:rPr>
                <w:rFonts w:cstheme="majorBidi"/>
                <w:bCs/>
                <w:sz w:val="24"/>
                <w:szCs w:val="24"/>
                <w:lang w:val="en-US"/>
              </w:rPr>
              <w:t>Chart 3</w:t>
            </w:r>
          </w:p>
        </w:tc>
        <w:tc>
          <w:tcPr>
            <w:tcW w:w="7902" w:type="dxa"/>
          </w:tcPr>
          <w:p w:rsidR="009559D8" w:rsidRPr="00234C24" w:rsidRDefault="009559D8" w:rsidP="009559D8">
            <w:pPr>
              <w:spacing w:after="120" w:line="360" w:lineRule="auto"/>
              <w:rPr>
                <w:rFonts w:cstheme="majorBidi"/>
                <w:bCs/>
                <w:sz w:val="24"/>
                <w:szCs w:val="24"/>
                <w:lang w:val="en-US"/>
              </w:rPr>
            </w:pPr>
            <w:r w:rsidRPr="00234C24">
              <w:rPr>
                <w:rFonts w:cstheme="majorBidi"/>
                <w:bCs/>
                <w:sz w:val="24"/>
                <w:szCs w:val="24"/>
                <w:lang w:val="en-US"/>
              </w:rPr>
              <w:t>Parties involved in resolving individual disputes in the past 12 months</w:t>
            </w:r>
          </w:p>
        </w:tc>
        <w:tc>
          <w:tcPr>
            <w:tcW w:w="546" w:type="dxa"/>
          </w:tcPr>
          <w:p w:rsidR="009559D8" w:rsidRDefault="00CE499E" w:rsidP="009559D8">
            <w:pPr>
              <w:rPr>
                <w:rFonts w:cstheme="majorBidi"/>
                <w:bCs/>
                <w:sz w:val="24"/>
                <w:szCs w:val="24"/>
                <w:lang w:val="en-US"/>
              </w:rPr>
            </w:pPr>
            <w:r>
              <w:rPr>
                <w:rFonts w:cstheme="majorBidi"/>
                <w:bCs/>
                <w:sz w:val="24"/>
                <w:szCs w:val="24"/>
                <w:lang w:val="en-US"/>
              </w:rPr>
              <w:t>33</w:t>
            </w:r>
          </w:p>
        </w:tc>
      </w:tr>
      <w:tr w:rsidR="009559D8" w:rsidTr="00CE499E">
        <w:tc>
          <w:tcPr>
            <w:tcW w:w="1101" w:type="dxa"/>
          </w:tcPr>
          <w:p w:rsidR="009559D8" w:rsidRPr="009559D8" w:rsidRDefault="009559D8" w:rsidP="009559D8">
            <w:pPr>
              <w:rPr>
                <w:rFonts w:cstheme="majorBidi"/>
                <w:bCs/>
                <w:sz w:val="24"/>
                <w:szCs w:val="24"/>
                <w:lang w:val="en-US"/>
              </w:rPr>
            </w:pPr>
            <w:r w:rsidRPr="009559D8">
              <w:rPr>
                <w:rFonts w:cstheme="majorBidi"/>
                <w:bCs/>
                <w:sz w:val="24"/>
                <w:szCs w:val="24"/>
                <w:lang w:val="en-US"/>
              </w:rPr>
              <w:t>Chart 4:</w:t>
            </w:r>
          </w:p>
          <w:p w:rsidR="009559D8" w:rsidRPr="009559D8" w:rsidRDefault="009559D8" w:rsidP="009559D8">
            <w:pPr>
              <w:spacing w:after="120" w:line="360" w:lineRule="auto"/>
              <w:rPr>
                <w:rFonts w:cstheme="majorBidi"/>
                <w:bCs/>
                <w:sz w:val="24"/>
                <w:szCs w:val="24"/>
                <w:lang w:val="en-US"/>
              </w:rPr>
            </w:pPr>
          </w:p>
        </w:tc>
        <w:tc>
          <w:tcPr>
            <w:tcW w:w="7902" w:type="dxa"/>
          </w:tcPr>
          <w:p w:rsidR="009559D8" w:rsidRPr="00234C24" w:rsidRDefault="009559D8" w:rsidP="009559D8">
            <w:pPr>
              <w:rPr>
                <w:rFonts w:cstheme="majorBidi"/>
                <w:bCs/>
                <w:sz w:val="24"/>
                <w:szCs w:val="24"/>
                <w:lang w:val="en-US"/>
              </w:rPr>
            </w:pPr>
            <w:r w:rsidRPr="00234C24">
              <w:rPr>
                <w:rFonts w:cstheme="majorBidi"/>
                <w:bCs/>
                <w:sz w:val="24"/>
                <w:szCs w:val="24"/>
                <w:lang w:val="en-US"/>
              </w:rPr>
              <w:t xml:space="preserve">Mean scores on key work attitude, employee well-being and behaviour indicators – respondents experiencing conflict versus not experiencing conflict </w:t>
            </w:r>
          </w:p>
          <w:p w:rsidR="009559D8" w:rsidRDefault="009559D8" w:rsidP="009559D8">
            <w:pPr>
              <w:rPr>
                <w:rFonts w:cstheme="majorBidi"/>
                <w:bCs/>
                <w:sz w:val="24"/>
                <w:szCs w:val="24"/>
                <w:lang w:val="en-US"/>
              </w:rPr>
            </w:pPr>
          </w:p>
          <w:p w:rsidR="009559D8" w:rsidRPr="00234C24" w:rsidRDefault="009559D8" w:rsidP="009559D8">
            <w:pPr>
              <w:spacing w:after="120" w:line="360" w:lineRule="auto"/>
              <w:rPr>
                <w:rFonts w:cstheme="majorBidi"/>
                <w:bCs/>
                <w:sz w:val="24"/>
                <w:szCs w:val="24"/>
                <w:lang w:val="en-US"/>
              </w:rPr>
            </w:pPr>
          </w:p>
        </w:tc>
        <w:tc>
          <w:tcPr>
            <w:tcW w:w="546" w:type="dxa"/>
          </w:tcPr>
          <w:p w:rsidR="009559D8" w:rsidRDefault="00CE499E" w:rsidP="009559D8">
            <w:pPr>
              <w:rPr>
                <w:rFonts w:cstheme="majorBidi"/>
                <w:bCs/>
                <w:sz w:val="24"/>
                <w:szCs w:val="24"/>
                <w:lang w:val="en-US"/>
              </w:rPr>
            </w:pPr>
            <w:r>
              <w:rPr>
                <w:rFonts w:cstheme="majorBidi"/>
                <w:bCs/>
                <w:sz w:val="24"/>
                <w:szCs w:val="24"/>
                <w:lang w:val="en-US"/>
              </w:rPr>
              <w:t>34</w:t>
            </w:r>
          </w:p>
        </w:tc>
      </w:tr>
    </w:tbl>
    <w:p w:rsidR="00E15092" w:rsidRPr="00234C24" w:rsidRDefault="00E15092" w:rsidP="009559D8">
      <w:pPr>
        <w:spacing w:after="120" w:line="360" w:lineRule="auto"/>
        <w:rPr>
          <w:rFonts w:cstheme="majorBidi"/>
          <w:bCs/>
          <w:sz w:val="24"/>
          <w:szCs w:val="24"/>
          <w:lang w:val="en-US"/>
        </w:rPr>
      </w:pPr>
      <w:r w:rsidRPr="00234C24">
        <w:rPr>
          <w:rFonts w:cstheme="majorBidi"/>
          <w:bCs/>
          <w:sz w:val="24"/>
          <w:szCs w:val="24"/>
          <w:lang w:val="en-US"/>
        </w:rPr>
        <w:t xml:space="preserve">   </w:t>
      </w:r>
    </w:p>
    <w:p w:rsidR="00AA1739" w:rsidRPr="00AA1739" w:rsidRDefault="00AA1739">
      <w:pPr>
        <w:rPr>
          <w:rFonts w:cstheme="majorBidi"/>
          <w:b/>
          <w:sz w:val="24"/>
          <w:szCs w:val="24"/>
          <w:lang w:val="en-US"/>
        </w:rPr>
      </w:pPr>
    </w:p>
    <w:p w:rsidR="004D4190" w:rsidRDefault="004D4190">
      <w:pPr>
        <w:rPr>
          <w:rFonts w:cstheme="majorBidi"/>
          <w:b/>
          <w:bCs/>
          <w:sz w:val="28"/>
          <w:szCs w:val="28"/>
        </w:rPr>
      </w:pPr>
    </w:p>
    <w:p w:rsidR="004D4190" w:rsidRDefault="004D4190">
      <w:pPr>
        <w:rPr>
          <w:rFonts w:cstheme="majorBidi"/>
          <w:b/>
          <w:bCs/>
          <w:sz w:val="28"/>
          <w:szCs w:val="28"/>
        </w:rPr>
      </w:pPr>
    </w:p>
    <w:p w:rsidR="004D4190" w:rsidRDefault="004D4190">
      <w:pPr>
        <w:rPr>
          <w:rFonts w:cstheme="majorBidi"/>
          <w:b/>
          <w:bCs/>
          <w:sz w:val="28"/>
          <w:szCs w:val="28"/>
        </w:rPr>
      </w:pPr>
    </w:p>
    <w:p w:rsidR="004D4190" w:rsidRDefault="004D4190">
      <w:pPr>
        <w:rPr>
          <w:rFonts w:cstheme="majorBidi"/>
          <w:b/>
          <w:bCs/>
          <w:sz w:val="28"/>
          <w:szCs w:val="28"/>
        </w:rPr>
      </w:pPr>
    </w:p>
    <w:p w:rsidR="004D4190" w:rsidRDefault="004D4190">
      <w:pPr>
        <w:rPr>
          <w:rFonts w:cstheme="majorBidi"/>
          <w:b/>
          <w:bCs/>
          <w:sz w:val="28"/>
          <w:szCs w:val="28"/>
        </w:rPr>
      </w:pPr>
    </w:p>
    <w:p w:rsidR="000E4177" w:rsidRDefault="000E4177">
      <w:pPr>
        <w:rPr>
          <w:rFonts w:cstheme="majorBidi"/>
          <w:b/>
          <w:bCs/>
          <w:sz w:val="28"/>
          <w:szCs w:val="28"/>
        </w:rPr>
      </w:pPr>
      <w:r>
        <w:rPr>
          <w:rFonts w:cstheme="majorBidi"/>
          <w:b/>
          <w:bCs/>
          <w:sz w:val="28"/>
          <w:szCs w:val="28"/>
        </w:rPr>
        <w:br w:type="page"/>
      </w:r>
    </w:p>
    <w:p w:rsidR="00A652C9" w:rsidRPr="00C60203" w:rsidRDefault="00A652C9" w:rsidP="00FE2CDB">
      <w:pPr>
        <w:pStyle w:val="Heading1"/>
        <w:numPr>
          <w:ilvl w:val="0"/>
          <w:numId w:val="10"/>
        </w:numPr>
        <w:ind w:left="709" w:hanging="709"/>
      </w:pPr>
      <w:bookmarkStart w:id="1" w:name="_Toc414343770"/>
      <w:r w:rsidRPr="00C60203">
        <w:lastRenderedPageBreak/>
        <w:t>About ACREW</w:t>
      </w:r>
      <w:bookmarkEnd w:id="1"/>
    </w:p>
    <w:p w:rsidR="00A652C9" w:rsidRPr="00C60203" w:rsidRDefault="00A652C9" w:rsidP="001F296D">
      <w:pPr>
        <w:pStyle w:val="ListParagraph"/>
        <w:spacing w:after="0" w:line="360" w:lineRule="auto"/>
        <w:rPr>
          <w:rFonts w:cstheme="majorBidi"/>
          <w:b/>
          <w:bCs/>
          <w:sz w:val="24"/>
          <w:szCs w:val="24"/>
        </w:rPr>
      </w:pPr>
    </w:p>
    <w:p w:rsidR="00A652C9" w:rsidRPr="00C60203" w:rsidRDefault="00A652C9" w:rsidP="004B5116">
      <w:pPr>
        <w:spacing w:line="360" w:lineRule="auto"/>
        <w:ind w:left="709" w:hanging="709"/>
        <w:jc w:val="both"/>
        <w:rPr>
          <w:rFonts w:eastAsia="Times New Roman" w:cstheme="majorBidi"/>
          <w:sz w:val="24"/>
          <w:szCs w:val="24"/>
        </w:rPr>
      </w:pPr>
      <w:r w:rsidRPr="00C60203">
        <w:rPr>
          <w:rFonts w:cstheme="majorBidi"/>
          <w:sz w:val="24"/>
          <w:szCs w:val="24"/>
        </w:rPr>
        <w:t>1.1</w:t>
      </w:r>
      <w:r w:rsidRPr="00C60203">
        <w:rPr>
          <w:rFonts w:cstheme="majorBidi"/>
          <w:sz w:val="24"/>
          <w:szCs w:val="24"/>
        </w:rPr>
        <w:tab/>
      </w:r>
      <w:r w:rsidR="00A376E0" w:rsidRPr="00C60203">
        <w:rPr>
          <w:rFonts w:cstheme="majorBidi"/>
          <w:sz w:val="24"/>
          <w:szCs w:val="24"/>
        </w:rPr>
        <w:t>Until 2015</w:t>
      </w:r>
      <w:r w:rsidR="004B5116">
        <w:rPr>
          <w:rFonts w:cstheme="majorBidi"/>
          <w:sz w:val="24"/>
          <w:szCs w:val="24"/>
        </w:rPr>
        <w:t>,</w:t>
      </w:r>
      <w:r w:rsidR="00A376E0" w:rsidRPr="00C60203">
        <w:rPr>
          <w:rFonts w:cstheme="majorBidi"/>
          <w:sz w:val="24"/>
          <w:szCs w:val="24"/>
        </w:rPr>
        <w:t xml:space="preserve"> ACREW operated as the </w:t>
      </w:r>
      <w:r w:rsidRPr="00C60203">
        <w:rPr>
          <w:rFonts w:eastAsia="Times New Roman" w:cstheme="majorBidi"/>
          <w:sz w:val="24"/>
          <w:szCs w:val="24"/>
          <w:shd w:val="clear" w:color="auto" w:fill="FFFFFF"/>
        </w:rPr>
        <w:t xml:space="preserve">Australian </w:t>
      </w:r>
      <w:r w:rsidR="009E7286" w:rsidRPr="00C60203">
        <w:rPr>
          <w:rFonts w:eastAsia="Times New Roman" w:cstheme="majorBidi"/>
          <w:sz w:val="24"/>
          <w:szCs w:val="24"/>
          <w:shd w:val="clear" w:color="auto" w:fill="FFFFFF"/>
        </w:rPr>
        <w:t>Centre</w:t>
      </w:r>
      <w:r w:rsidRPr="00C60203">
        <w:rPr>
          <w:rFonts w:eastAsia="Times New Roman" w:cstheme="majorBidi"/>
          <w:sz w:val="24"/>
          <w:szCs w:val="24"/>
          <w:shd w:val="clear" w:color="auto" w:fill="FFFFFF"/>
        </w:rPr>
        <w:t xml:space="preserve"> for Research in Employment and Work</w:t>
      </w:r>
      <w:r w:rsidR="001D086B">
        <w:rPr>
          <w:rFonts w:eastAsia="Times New Roman" w:cstheme="majorBidi"/>
          <w:sz w:val="24"/>
          <w:szCs w:val="24"/>
          <w:shd w:val="clear" w:color="auto" w:fill="FFFFFF"/>
        </w:rPr>
        <w:t>. I</w:t>
      </w:r>
      <w:r w:rsidR="00A376E0" w:rsidRPr="00C60203">
        <w:rPr>
          <w:rFonts w:eastAsia="Times New Roman" w:cstheme="majorBidi"/>
          <w:sz w:val="24"/>
          <w:szCs w:val="24"/>
          <w:shd w:val="clear" w:color="auto" w:fill="FFFFFF"/>
        </w:rPr>
        <w:t xml:space="preserve">t </w:t>
      </w:r>
      <w:r w:rsidR="001D086B">
        <w:rPr>
          <w:rFonts w:eastAsia="Times New Roman" w:cstheme="majorBidi"/>
          <w:sz w:val="24"/>
          <w:szCs w:val="24"/>
          <w:shd w:val="clear" w:color="auto" w:fill="FFFFFF"/>
        </w:rPr>
        <w:t xml:space="preserve">is </w:t>
      </w:r>
      <w:r w:rsidR="00A376E0" w:rsidRPr="00C60203">
        <w:rPr>
          <w:rFonts w:eastAsia="Times New Roman" w:cstheme="majorBidi"/>
          <w:sz w:val="24"/>
          <w:szCs w:val="24"/>
          <w:shd w:val="clear" w:color="auto" w:fill="FFFFFF"/>
        </w:rPr>
        <w:t>now</w:t>
      </w:r>
      <w:r w:rsidR="00CB72E5" w:rsidRPr="00C60203">
        <w:rPr>
          <w:rFonts w:eastAsia="Times New Roman" w:cstheme="majorBidi"/>
          <w:sz w:val="24"/>
          <w:szCs w:val="24"/>
          <w:shd w:val="clear" w:color="auto" w:fill="FFFFFF"/>
        </w:rPr>
        <w:t xml:space="preserve"> </w:t>
      </w:r>
      <w:r w:rsidR="001D086B">
        <w:rPr>
          <w:rFonts w:eastAsia="Times New Roman" w:cstheme="majorBidi"/>
          <w:sz w:val="24"/>
          <w:szCs w:val="24"/>
          <w:shd w:val="clear" w:color="auto" w:fill="FFFFFF"/>
        </w:rPr>
        <w:t xml:space="preserve">located </w:t>
      </w:r>
      <w:r w:rsidR="00A376E0" w:rsidRPr="00C60203">
        <w:rPr>
          <w:rFonts w:eastAsia="Times New Roman" w:cstheme="majorBidi"/>
          <w:sz w:val="24"/>
          <w:szCs w:val="24"/>
          <w:shd w:val="clear" w:color="auto" w:fill="FFFFFF"/>
        </w:rPr>
        <w:t>within the Centre for Global Business of the Monash Business School</w:t>
      </w:r>
      <w:r w:rsidR="004F210A">
        <w:rPr>
          <w:rFonts w:eastAsia="Times New Roman" w:cstheme="majorBidi"/>
          <w:sz w:val="24"/>
          <w:szCs w:val="24"/>
          <w:shd w:val="clear" w:color="auto" w:fill="FFFFFF"/>
        </w:rPr>
        <w:t xml:space="preserve"> </w:t>
      </w:r>
      <w:r w:rsidR="001D086B">
        <w:rPr>
          <w:rFonts w:eastAsia="Times New Roman" w:cstheme="majorBidi"/>
          <w:sz w:val="24"/>
          <w:szCs w:val="24"/>
          <w:shd w:val="clear" w:color="auto" w:fill="FFFFFF"/>
        </w:rPr>
        <w:t xml:space="preserve">and operates </w:t>
      </w:r>
      <w:r w:rsidR="004F210A">
        <w:rPr>
          <w:rFonts w:eastAsia="Times New Roman" w:cstheme="majorBidi"/>
          <w:sz w:val="24"/>
          <w:szCs w:val="24"/>
          <w:shd w:val="clear" w:color="auto" w:fill="FFFFFF"/>
        </w:rPr>
        <w:t>as the Australian Consortium for Research on Employment and Work</w:t>
      </w:r>
      <w:r w:rsidR="00A376E0" w:rsidRPr="00C60203">
        <w:rPr>
          <w:rFonts w:eastAsia="Times New Roman" w:cstheme="majorBidi"/>
          <w:sz w:val="24"/>
          <w:szCs w:val="24"/>
          <w:shd w:val="clear" w:color="auto" w:fill="FFFFFF"/>
        </w:rPr>
        <w:t xml:space="preserve">. </w:t>
      </w:r>
      <w:r w:rsidRPr="00C60203">
        <w:rPr>
          <w:rFonts w:eastAsia="Times New Roman" w:cstheme="majorBidi"/>
          <w:sz w:val="24"/>
          <w:szCs w:val="24"/>
          <w:shd w:val="clear" w:color="auto" w:fill="FFFFFF"/>
        </w:rPr>
        <w:t xml:space="preserve">ACREW </w:t>
      </w:r>
      <w:r w:rsidR="00A376E0" w:rsidRPr="00C60203">
        <w:rPr>
          <w:rFonts w:eastAsia="Times New Roman" w:cstheme="majorBidi"/>
          <w:sz w:val="24"/>
          <w:szCs w:val="24"/>
          <w:shd w:val="clear" w:color="auto" w:fill="FFFFFF"/>
        </w:rPr>
        <w:t>w</w:t>
      </w:r>
      <w:r w:rsidRPr="00C60203">
        <w:rPr>
          <w:rFonts w:eastAsia="Times New Roman" w:cstheme="majorBidi"/>
          <w:sz w:val="24"/>
          <w:szCs w:val="24"/>
          <w:shd w:val="clear" w:color="auto" w:fill="FFFFFF"/>
        </w:rPr>
        <w:t>as established to promote research and scholarship in the broad area of work and employment. A key aim for</w:t>
      </w:r>
      <w:r w:rsidR="00CB72E5" w:rsidRPr="00C60203">
        <w:rPr>
          <w:rFonts w:eastAsia="Times New Roman" w:cstheme="majorBidi"/>
          <w:sz w:val="24"/>
          <w:szCs w:val="24"/>
          <w:shd w:val="clear" w:color="auto" w:fill="FFFFFF"/>
        </w:rPr>
        <w:t xml:space="preserve"> </w:t>
      </w:r>
      <w:r w:rsidR="00A376E0" w:rsidRPr="00C60203">
        <w:rPr>
          <w:rFonts w:eastAsia="Times New Roman" w:cstheme="majorBidi"/>
          <w:sz w:val="24"/>
          <w:szCs w:val="24"/>
          <w:shd w:val="clear" w:color="auto" w:fill="FFFFFF"/>
        </w:rPr>
        <w:t xml:space="preserve">ACREW </w:t>
      </w:r>
      <w:r w:rsidRPr="00C60203">
        <w:rPr>
          <w:rFonts w:eastAsia="Times New Roman" w:cstheme="majorBidi"/>
          <w:sz w:val="24"/>
          <w:szCs w:val="24"/>
          <w:shd w:val="clear" w:color="auto" w:fill="FFFFFF"/>
        </w:rPr>
        <w:t>is the promotion of cross</w:t>
      </w:r>
      <w:r w:rsidR="00CB72E5" w:rsidRPr="00C60203">
        <w:rPr>
          <w:rFonts w:eastAsia="Times New Roman" w:cstheme="majorBidi"/>
          <w:sz w:val="24"/>
          <w:szCs w:val="24"/>
          <w:shd w:val="clear" w:color="auto" w:fill="FFFFFF"/>
        </w:rPr>
        <w:t>-</w:t>
      </w:r>
      <w:r w:rsidRPr="00C60203">
        <w:rPr>
          <w:rFonts w:eastAsia="Times New Roman" w:cstheme="majorBidi"/>
          <w:sz w:val="24"/>
          <w:szCs w:val="24"/>
          <w:shd w:val="clear" w:color="auto" w:fill="FFFFFF"/>
        </w:rPr>
        <w:t xml:space="preserve">disciplinary and collaborative research </w:t>
      </w:r>
      <w:r w:rsidR="001D086B">
        <w:rPr>
          <w:rFonts w:eastAsia="Times New Roman" w:cstheme="majorBidi"/>
          <w:sz w:val="24"/>
          <w:szCs w:val="24"/>
          <w:shd w:val="clear" w:color="auto" w:fill="FFFFFF"/>
        </w:rPr>
        <w:t xml:space="preserve">in </w:t>
      </w:r>
      <w:r w:rsidRPr="00C60203">
        <w:rPr>
          <w:rFonts w:eastAsia="Times New Roman" w:cstheme="majorBidi"/>
          <w:sz w:val="24"/>
          <w:szCs w:val="24"/>
          <w:shd w:val="clear" w:color="auto" w:fill="FFFFFF"/>
        </w:rPr>
        <w:t xml:space="preserve">a range of </w:t>
      </w:r>
      <w:r w:rsidR="001D086B">
        <w:rPr>
          <w:rFonts w:eastAsia="Times New Roman" w:cstheme="majorBidi"/>
          <w:sz w:val="24"/>
          <w:szCs w:val="24"/>
          <w:shd w:val="clear" w:color="auto" w:fill="FFFFFF"/>
        </w:rPr>
        <w:t>fields</w:t>
      </w:r>
      <w:r w:rsidRPr="00C60203">
        <w:rPr>
          <w:rFonts w:eastAsia="Times New Roman" w:cstheme="majorBidi"/>
          <w:sz w:val="24"/>
          <w:szCs w:val="24"/>
          <w:shd w:val="clear" w:color="auto" w:fill="FFFFFF"/>
        </w:rPr>
        <w:t xml:space="preserve"> including human resource management, industrial and </w:t>
      </w:r>
      <w:r w:rsidR="001D086B">
        <w:rPr>
          <w:rFonts w:eastAsia="Times New Roman" w:cstheme="majorBidi"/>
          <w:sz w:val="24"/>
          <w:szCs w:val="24"/>
          <w:shd w:val="clear" w:color="auto" w:fill="FFFFFF"/>
        </w:rPr>
        <w:t xml:space="preserve">workplace </w:t>
      </w:r>
      <w:r w:rsidRPr="00C60203">
        <w:rPr>
          <w:rFonts w:eastAsia="Times New Roman" w:cstheme="majorBidi"/>
          <w:sz w:val="24"/>
          <w:szCs w:val="24"/>
          <w:shd w:val="clear" w:color="auto" w:fill="FFFFFF"/>
        </w:rPr>
        <w:t>relations and organisational behaviour.</w:t>
      </w:r>
      <w:r w:rsidR="00CB72E5" w:rsidRPr="00C60203">
        <w:rPr>
          <w:rFonts w:eastAsia="Times New Roman" w:cstheme="majorBidi"/>
          <w:sz w:val="24"/>
          <w:szCs w:val="24"/>
          <w:shd w:val="clear" w:color="auto" w:fill="FFFFFF"/>
        </w:rPr>
        <w:t xml:space="preserve"> </w:t>
      </w:r>
    </w:p>
    <w:p w:rsidR="00A652C9" w:rsidRPr="00C60203" w:rsidRDefault="001324E9" w:rsidP="004B5116">
      <w:pPr>
        <w:shd w:val="clear" w:color="auto" w:fill="FFFFFF"/>
        <w:spacing w:before="240" w:after="240" w:line="360" w:lineRule="auto"/>
        <w:ind w:left="709" w:hanging="709"/>
        <w:jc w:val="both"/>
        <w:rPr>
          <w:rFonts w:eastAsia="Times New Roman" w:cstheme="majorBidi"/>
          <w:sz w:val="24"/>
          <w:szCs w:val="24"/>
        </w:rPr>
      </w:pPr>
      <w:r w:rsidRPr="00C60203">
        <w:rPr>
          <w:rFonts w:eastAsia="Times New Roman" w:cstheme="majorBidi"/>
          <w:sz w:val="24"/>
          <w:szCs w:val="24"/>
        </w:rPr>
        <w:t>1.2</w:t>
      </w:r>
      <w:r w:rsidRPr="00C60203">
        <w:rPr>
          <w:rFonts w:eastAsia="Times New Roman" w:cstheme="majorBidi"/>
          <w:sz w:val="24"/>
          <w:szCs w:val="24"/>
        </w:rPr>
        <w:tab/>
      </w:r>
      <w:r w:rsidR="00A652C9" w:rsidRPr="00C60203">
        <w:rPr>
          <w:rFonts w:eastAsia="Times New Roman" w:cstheme="majorBidi"/>
          <w:sz w:val="24"/>
          <w:szCs w:val="24"/>
        </w:rPr>
        <w:t>ACREW encourage</w:t>
      </w:r>
      <w:r w:rsidR="001D086B">
        <w:rPr>
          <w:rFonts w:eastAsia="Times New Roman" w:cstheme="majorBidi"/>
          <w:sz w:val="24"/>
          <w:szCs w:val="24"/>
        </w:rPr>
        <w:t>s</w:t>
      </w:r>
      <w:r w:rsidR="00A652C9" w:rsidRPr="00C60203">
        <w:rPr>
          <w:rFonts w:eastAsia="Times New Roman" w:cstheme="majorBidi"/>
          <w:sz w:val="24"/>
          <w:szCs w:val="24"/>
        </w:rPr>
        <w:t xml:space="preserve"> projects spanning private, not-for</w:t>
      </w:r>
      <w:r w:rsidR="001D086B">
        <w:rPr>
          <w:rFonts w:eastAsia="Times New Roman" w:cstheme="majorBidi"/>
          <w:sz w:val="24"/>
          <w:szCs w:val="24"/>
        </w:rPr>
        <w:t xml:space="preserve">-profit and government sectors </w:t>
      </w:r>
      <w:r w:rsidR="00312B35">
        <w:rPr>
          <w:rFonts w:eastAsia="Times New Roman" w:cstheme="majorBidi"/>
          <w:sz w:val="24"/>
          <w:szCs w:val="24"/>
        </w:rPr>
        <w:t xml:space="preserve">with a view to producing </w:t>
      </w:r>
      <w:r w:rsidR="00A652C9" w:rsidRPr="00C60203">
        <w:rPr>
          <w:rFonts w:eastAsia="Times New Roman" w:cstheme="majorBidi"/>
          <w:sz w:val="24"/>
          <w:szCs w:val="24"/>
        </w:rPr>
        <w:t>high quality</w:t>
      </w:r>
      <w:r w:rsidR="00CB72E5" w:rsidRPr="00C60203">
        <w:rPr>
          <w:rFonts w:eastAsia="Times New Roman" w:cstheme="majorBidi"/>
          <w:sz w:val="24"/>
          <w:szCs w:val="24"/>
        </w:rPr>
        <w:t xml:space="preserve"> publications </w:t>
      </w:r>
      <w:r w:rsidR="004B5116" w:rsidRPr="00C60203">
        <w:rPr>
          <w:rFonts w:eastAsia="Times New Roman" w:cstheme="majorBidi"/>
          <w:sz w:val="24"/>
          <w:szCs w:val="24"/>
        </w:rPr>
        <w:t xml:space="preserve">which </w:t>
      </w:r>
      <w:r w:rsidR="00CB72E5" w:rsidRPr="00C60203">
        <w:rPr>
          <w:rFonts w:eastAsia="Times New Roman" w:cstheme="majorBidi"/>
          <w:sz w:val="24"/>
          <w:szCs w:val="24"/>
        </w:rPr>
        <w:t>also have im</w:t>
      </w:r>
      <w:r w:rsidR="001D086B">
        <w:rPr>
          <w:rFonts w:eastAsia="Times New Roman" w:cstheme="majorBidi"/>
          <w:sz w:val="24"/>
          <w:szCs w:val="24"/>
        </w:rPr>
        <w:t>pact in the sense of contributing</w:t>
      </w:r>
      <w:r w:rsidR="00CB72E5" w:rsidRPr="00C60203">
        <w:rPr>
          <w:rFonts w:eastAsia="Times New Roman" w:cstheme="majorBidi"/>
          <w:sz w:val="24"/>
          <w:szCs w:val="24"/>
        </w:rPr>
        <w:t xml:space="preserve"> to enhanced organisational performance, improved social well-being and the development of public policy.</w:t>
      </w:r>
    </w:p>
    <w:p w:rsidR="00A652C9" w:rsidRPr="00C60203" w:rsidRDefault="001324E9" w:rsidP="004B5116">
      <w:pPr>
        <w:shd w:val="clear" w:color="auto" w:fill="FFFFFF"/>
        <w:spacing w:before="240" w:after="240" w:line="360" w:lineRule="auto"/>
        <w:jc w:val="both"/>
        <w:rPr>
          <w:rFonts w:eastAsia="Times New Roman" w:cstheme="majorBidi"/>
          <w:sz w:val="24"/>
          <w:szCs w:val="24"/>
        </w:rPr>
      </w:pPr>
      <w:r w:rsidRPr="00C60203">
        <w:rPr>
          <w:rFonts w:eastAsia="Times New Roman" w:cstheme="majorBidi"/>
          <w:sz w:val="24"/>
          <w:szCs w:val="24"/>
        </w:rPr>
        <w:t>1.3</w:t>
      </w:r>
      <w:r w:rsidRPr="00C60203">
        <w:rPr>
          <w:rFonts w:eastAsia="Times New Roman" w:cstheme="majorBidi"/>
          <w:sz w:val="24"/>
          <w:szCs w:val="24"/>
        </w:rPr>
        <w:tab/>
      </w:r>
      <w:r w:rsidR="00A652C9" w:rsidRPr="00C60203">
        <w:rPr>
          <w:rFonts w:eastAsia="Times New Roman" w:cstheme="majorBidi"/>
          <w:sz w:val="24"/>
          <w:szCs w:val="24"/>
        </w:rPr>
        <w:t xml:space="preserve">The specific aims of </w:t>
      </w:r>
      <w:r w:rsidR="00024A6E" w:rsidRPr="00C60203">
        <w:rPr>
          <w:rFonts w:eastAsia="Times New Roman" w:cstheme="majorBidi"/>
          <w:sz w:val="24"/>
          <w:szCs w:val="24"/>
        </w:rPr>
        <w:t xml:space="preserve">ACREW </w:t>
      </w:r>
      <w:r w:rsidR="00A652C9" w:rsidRPr="00C60203">
        <w:rPr>
          <w:rFonts w:eastAsia="Times New Roman" w:cstheme="majorBidi"/>
          <w:sz w:val="24"/>
          <w:szCs w:val="24"/>
        </w:rPr>
        <w:t>are</w:t>
      </w:r>
      <w:r w:rsidR="00024A6E" w:rsidRPr="00C60203">
        <w:rPr>
          <w:rFonts w:eastAsia="Times New Roman" w:cstheme="majorBidi"/>
          <w:sz w:val="24"/>
          <w:szCs w:val="24"/>
        </w:rPr>
        <w:t xml:space="preserve"> to</w:t>
      </w:r>
      <w:r w:rsidR="00A652C9" w:rsidRPr="00C60203">
        <w:rPr>
          <w:rFonts w:eastAsia="Times New Roman" w:cstheme="majorBidi"/>
          <w:sz w:val="24"/>
          <w:szCs w:val="24"/>
        </w:rPr>
        <w:t>:</w:t>
      </w:r>
    </w:p>
    <w:p w:rsidR="00024A6E" w:rsidRPr="00C60203" w:rsidRDefault="00024A6E" w:rsidP="00FE2CDB">
      <w:pPr>
        <w:numPr>
          <w:ilvl w:val="0"/>
          <w:numId w:val="1"/>
        </w:numPr>
        <w:spacing w:after="0" w:line="360" w:lineRule="auto"/>
        <w:ind w:left="1418" w:hanging="425"/>
        <w:jc w:val="both"/>
        <w:rPr>
          <w:rFonts w:eastAsia="Times New Roman" w:cstheme="majorBidi"/>
          <w:sz w:val="24"/>
          <w:szCs w:val="24"/>
        </w:rPr>
      </w:pPr>
      <w:r w:rsidRPr="00C60203">
        <w:rPr>
          <w:rFonts w:eastAsia="Times New Roman" w:cstheme="majorBidi"/>
          <w:sz w:val="24"/>
          <w:szCs w:val="24"/>
        </w:rPr>
        <w:t>Collaborate with private, not for profit and public organisations in addressing challenges and opportunities that arise in t</w:t>
      </w:r>
      <w:r w:rsidR="008023A1">
        <w:rPr>
          <w:rFonts w:eastAsia="Times New Roman" w:cstheme="majorBidi"/>
          <w:sz w:val="24"/>
          <w:szCs w:val="24"/>
        </w:rPr>
        <w:t>he field of work and employment.</w:t>
      </w:r>
    </w:p>
    <w:p w:rsidR="00024A6E" w:rsidRPr="00C60203" w:rsidRDefault="00024A6E" w:rsidP="008023A1">
      <w:pPr>
        <w:numPr>
          <w:ilvl w:val="0"/>
          <w:numId w:val="1"/>
        </w:numPr>
        <w:spacing w:after="0" w:line="360" w:lineRule="auto"/>
        <w:ind w:left="1418" w:hanging="425"/>
        <w:jc w:val="both"/>
        <w:rPr>
          <w:rFonts w:eastAsia="Times New Roman" w:cstheme="majorBidi"/>
          <w:sz w:val="24"/>
          <w:szCs w:val="24"/>
        </w:rPr>
      </w:pPr>
      <w:r w:rsidRPr="00C60203">
        <w:rPr>
          <w:rFonts w:eastAsia="Times New Roman" w:cstheme="majorBidi"/>
          <w:sz w:val="24"/>
          <w:szCs w:val="24"/>
        </w:rPr>
        <w:t xml:space="preserve">Facilitate the attainment of high quality research and publications in the </w:t>
      </w:r>
      <w:r w:rsidR="008023A1">
        <w:rPr>
          <w:rFonts w:eastAsia="Times New Roman" w:cstheme="majorBidi"/>
          <w:sz w:val="24"/>
          <w:szCs w:val="24"/>
        </w:rPr>
        <w:t>field</w:t>
      </w:r>
      <w:r w:rsidRPr="00C60203">
        <w:rPr>
          <w:rFonts w:eastAsia="Times New Roman" w:cstheme="majorBidi"/>
          <w:sz w:val="24"/>
          <w:szCs w:val="24"/>
        </w:rPr>
        <w:t xml:space="preserve"> of work and employment.</w:t>
      </w:r>
    </w:p>
    <w:p w:rsidR="006350F5" w:rsidRPr="00C60203" w:rsidRDefault="00024A6E" w:rsidP="008023A1">
      <w:pPr>
        <w:numPr>
          <w:ilvl w:val="0"/>
          <w:numId w:val="1"/>
        </w:numPr>
        <w:spacing w:after="0" w:line="360" w:lineRule="auto"/>
        <w:ind w:left="1418" w:hanging="425"/>
        <w:jc w:val="both"/>
        <w:rPr>
          <w:rFonts w:eastAsia="Times New Roman" w:cstheme="majorBidi"/>
          <w:sz w:val="24"/>
          <w:szCs w:val="24"/>
        </w:rPr>
      </w:pPr>
      <w:r w:rsidRPr="00C60203">
        <w:rPr>
          <w:rFonts w:eastAsia="Times New Roman" w:cstheme="majorBidi"/>
          <w:sz w:val="24"/>
          <w:szCs w:val="24"/>
        </w:rPr>
        <w:t>C</w:t>
      </w:r>
      <w:r w:rsidR="006350F5" w:rsidRPr="00C60203">
        <w:rPr>
          <w:rFonts w:eastAsia="Times New Roman" w:cstheme="majorBidi"/>
          <w:sz w:val="24"/>
          <w:szCs w:val="24"/>
        </w:rPr>
        <w:t>ontribute to public policy debates in work</w:t>
      </w:r>
      <w:r w:rsidR="008023A1">
        <w:rPr>
          <w:rFonts w:eastAsia="Times New Roman" w:cstheme="majorBidi"/>
          <w:sz w:val="24"/>
          <w:szCs w:val="24"/>
        </w:rPr>
        <w:t xml:space="preserve"> and employment</w:t>
      </w:r>
    </w:p>
    <w:p w:rsidR="00A652C9" w:rsidRPr="00C60203" w:rsidRDefault="00024A6E" w:rsidP="00FE2CDB">
      <w:pPr>
        <w:numPr>
          <w:ilvl w:val="0"/>
          <w:numId w:val="1"/>
        </w:numPr>
        <w:spacing w:after="0" w:line="360" w:lineRule="auto"/>
        <w:ind w:left="1418" w:hanging="425"/>
        <w:jc w:val="both"/>
        <w:rPr>
          <w:rFonts w:eastAsia="Times New Roman" w:cstheme="majorBidi"/>
          <w:sz w:val="24"/>
          <w:szCs w:val="24"/>
        </w:rPr>
      </w:pPr>
      <w:r w:rsidRPr="00C60203">
        <w:rPr>
          <w:rFonts w:eastAsia="Times New Roman" w:cstheme="majorBidi"/>
          <w:sz w:val="24"/>
          <w:szCs w:val="24"/>
        </w:rPr>
        <w:t>F</w:t>
      </w:r>
      <w:r w:rsidR="00A652C9" w:rsidRPr="00C60203">
        <w:rPr>
          <w:rFonts w:eastAsia="Times New Roman" w:cstheme="majorBidi"/>
          <w:sz w:val="24"/>
          <w:szCs w:val="24"/>
        </w:rPr>
        <w:t xml:space="preserve">acilitate links between the </w:t>
      </w:r>
      <w:r w:rsidR="006350F5" w:rsidRPr="00C60203">
        <w:rPr>
          <w:rFonts w:eastAsia="Times New Roman" w:cstheme="majorBidi"/>
          <w:sz w:val="24"/>
          <w:szCs w:val="24"/>
        </w:rPr>
        <w:t>Monash Business School</w:t>
      </w:r>
      <w:r w:rsidR="001D086B">
        <w:rPr>
          <w:rFonts w:eastAsia="Times New Roman" w:cstheme="majorBidi"/>
          <w:sz w:val="24"/>
          <w:szCs w:val="24"/>
        </w:rPr>
        <w:t xml:space="preserve"> and other universities</w:t>
      </w:r>
      <w:r w:rsidR="004B5116">
        <w:rPr>
          <w:rFonts w:eastAsia="Times New Roman" w:cstheme="majorBidi"/>
          <w:sz w:val="24"/>
          <w:szCs w:val="24"/>
        </w:rPr>
        <w:t xml:space="preserve"> </w:t>
      </w:r>
      <w:r w:rsidRPr="00C60203">
        <w:rPr>
          <w:rFonts w:eastAsia="Times New Roman" w:cstheme="majorBidi"/>
          <w:sz w:val="24"/>
          <w:szCs w:val="24"/>
        </w:rPr>
        <w:t>both locally and internationally.</w:t>
      </w:r>
    </w:p>
    <w:p w:rsidR="00A71180" w:rsidRPr="00A85E88" w:rsidRDefault="00A71180" w:rsidP="00FE2CDB">
      <w:pPr>
        <w:pStyle w:val="Heading1"/>
        <w:numPr>
          <w:ilvl w:val="0"/>
          <w:numId w:val="10"/>
        </w:numPr>
        <w:ind w:hanging="720"/>
      </w:pPr>
      <w:bookmarkStart w:id="2" w:name="_Toc414343771"/>
      <w:r w:rsidRPr="00A85E88">
        <w:t>Introductory Remarks</w:t>
      </w:r>
      <w:bookmarkEnd w:id="2"/>
    </w:p>
    <w:p w:rsidR="00AB3306" w:rsidRDefault="00AB3306" w:rsidP="004B5116">
      <w:pPr>
        <w:spacing w:after="0" w:line="360" w:lineRule="auto"/>
        <w:ind w:left="709" w:hanging="709"/>
        <w:jc w:val="both"/>
        <w:rPr>
          <w:rFonts w:cstheme="majorBidi"/>
          <w:sz w:val="24"/>
          <w:szCs w:val="24"/>
        </w:rPr>
      </w:pPr>
    </w:p>
    <w:p w:rsidR="00A71180" w:rsidRPr="00635E87" w:rsidRDefault="00A71180" w:rsidP="004B5116">
      <w:pPr>
        <w:spacing w:after="0" w:line="360" w:lineRule="auto"/>
        <w:ind w:left="709" w:hanging="709"/>
        <w:jc w:val="both"/>
        <w:rPr>
          <w:rFonts w:cstheme="majorBidi"/>
          <w:sz w:val="24"/>
          <w:szCs w:val="24"/>
        </w:rPr>
      </w:pPr>
      <w:r w:rsidRPr="00635E87">
        <w:rPr>
          <w:rFonts w:cstheme="majorBidi"/>
          <w:sz w:val="24"/>
          <w:szCs w:val="24"/>
        </w:rPr>
        <w:t>2.1</w:t>
      </w:r>
      <w:r w:rsidRPr="00635E87">
        <w:rPr>
          <w:rFonts w:cstheme="majorBidi"/>
          <w:sz w:val="24"/>
          <w:szCs w:val="24"/>
        </w:rPr>
        <w:tab/>
        <w:t xml:space="preserve">This submission focuses on the issue of workplace relations at the level of the firm </w:t>
      </w:r>
      <w:r w:rsidR="00436761" w:rsidRPr="00635E87">
        <w:rPr>
          <w:rFonts w:cstheme="majorBidi"/>
          <w:sz w:val="24"/>
          <w:szCs w:val="24"/>
        </w:rPr>
        <w:t>i</w:t>
      </w:r>
      <w:r w:rsidRPr="00635E87">
        <w:rPr>
          <w:rFonts w:cstheme="majorBidi"/>
          <w:sz w:val="24"/>
          <w:szCs w:val="24"/>
        </w:rPr>
        <w:t xml:space="preserve">n the context of the framework set by the </w:t>
      </w:r>
      <w:r w:rsidR="00436761" w:rsidRPr="00635E87">
        <w:rPr>
          <w:rFonts w:cstheme="majorBidi"/>
          <w:sz w:val="24"/>
          <w:szCs w:val="24"/>
        </w:rPr>
        <w:t>Australian Government Productivity Commission (AGPC)</w:t>
      </w:r>
      <w:r w:rsidRPr="00635E87">
        <w:rPr>
          <w:rFonts w:cstheme="majorBidi"/>
          <w:sz w:val="24"/>
          <w:szCs w:val="24"/>
        </w:rPr>
        <w:t>. The terms of reference</w:t>
      </w:r>
      <w:r w:rsidR="00436761" w:rsidRPr="00635E87">
        <w:rPr>
          <w:rFonts w:cstheme="majorBidi"/>
          <w:sz w:val="24"/>
          <w:szCs w:val="24"/>
        </w:rPr>
        <w:t xml:space="preserve"> in Issues paper 1</w:t>
      </w:r>
      <w:r w:rsidRPr="00635E87">
        <w:rPr>
          <w:rFonts w:cstheme="majorBidi"/>
          <w:sz w:val="24"/>
          <w:szCs w:val="24"/>
        </w:rPr>
        <w:t xml:space="preserve"> </w:t>
      </w:r>
      <w:r w:rsidR="004B5116" w:rsidRPr="00635E87">
        <w:rPr>
          <w:rFonts w:cstheme="majorBidi"/>
          <w:sz w:val="24"/>
          <w:szCs w:val="24"/>
        </w:rPr>
        <w:t xml:space="preserve">seek </w:t>
      </w:r>
      <w:r w:rsidRPr="00635E87">
        <w:rPr>
          <w:rFonts w:cstheme="majorBidi"/>
          <w:sz w:val="24"/>
          <w:szCs w:val="24"/>
        </w:rPr>
        <w:t>input on a range of topics including</w:t>
      </w:r>
      <w:r w:rsidR="004B5116" w:rsidRPr="00635E87">
        <w:rPr>
          <w:rFonts w:cstheme="majorBidi"/>
          <w:sz w:val="24"/>
          <w:szCs w:val="24"/>
        </w:rPr>
        <w:t>:</w:t>
      </w:r>
      <w:r w:rsidRPr="00635E87">
        <w:rPr>
          <w:rFonts w:cstheme="majorBidi"/>
          <w:sz w:val="24"/>
          <w:szCs w:val="24"/>
        </w:rPr>
        <w:t xml:space="preserve"> influence on internal culture, business effectiveness, employee representation, innovation</w:t>
      </w:r>
      <w:r w:rsidR="004B5116" w:rsidRPr="00635E87">
        <w:rPr>
          <w:rFonts w:cstheme="majorBidi"/>
          <w:sz w:val="24"/>
          <w:szCs w:val="24"/>
        </w:rPr>
        <w:t xml:space="preserve">, skill formation and trust. The </w:t>
      </w:r>
      <w:r w:rsidR="00436761" w:rsidRPr="00635E87">
        <w:rPr>
          <w:rFonts w:cstheme="majorBidi"/>
          <w:sz w:val="24"/>
          <w:szCs w:val="24"/>
        </w:rPr>
        <w:t>Productivity Commission</w:t>
      </w:r>
      <w:r w:rsidR="004B5116" w:rsidRPr="00635E87">
        <w:rPr>
          <w:rFonts w:cstheme="majorBidi"/>
          <w:sz w:val="24"/>
          <w:szCs w:val="24"/>
        </w:rPr>
        <w:t xml:space="preserve"> </w:t>
      </w:r>
      <w:r w:rsidRPr="00635E87">
        <w:rPr>
          <w:rFonts w:cstheme="majorBidi"/>
          <w:sz w:val="24"/>
          <w:szCs w:val="24"/>
        </w:rPr>
        <w:t>also ask</w:t>
      </w:r>
      <w:r w:rsidR="00024A6E" w:rsidRPr="00635E87">
        <w:rPr>
          <w:rFonts w:cstheme="majorBidi"/>
          <w:sz w:val="24"/>
          <w:szCs w:val="24"/>
        </w:rPr>
        <w:t>s</w:t>
      </w:r>
      <w:r w:rsidRPr="00635E87">
        <w:rPr>
          <w:rFonts w:cstheme="majorBidi"/>
          <w:sz w:val="24"/>
          <w:szCs w:val="24"/>
        </w:rPr>
        <w:t xml:space="preserve"> submissions to </w:t>
      </w:r>
      <w:r w:rsidR="00024A6E" w:rsidRPr="00635E87">
        <w:rPr>
          <w:rFonts w:cstheme="majorBidi"/>
          <w:sz w:val="24"/>
          <w:szCs w:val="24"/>
        </w:rPr>
        <w:t xml:space="preserve">examine </w:t>
      </w:r>
      <w:r w:rsidRPr="00635E87">
        <w:rPr>
          <w:rFonts w:cstheme="majorBidi"/>
          <w:sz w:val="24"/>
          <w:szCs w:val="24"/>
        </w:rPr>
        <w:t xml:space="preserve">and go beyond the current workplace relations system to </w:t>
      </w:r>
      <w:r w:rsidRPr="00635E87">
        <w:rPr>
          <w:rFonts w:cstheme="majorBidi"/>
          <w:sz w:val="24"/>
          <w:szCs w:val="24"/>
        </w:rPr>
        <w:lastRenderedPageBreak/>
        <w:t>identify key factors that can increase competitive</w:t>
      </w:r>
      <w:r w:rsidR="004B5116" w:rsidRPr="00635E87">
        <w:rPr>
          <w:rFonts w:cstheme="majorBidi"/>
          <w:sz w:val="24"/>
          <w:szCs w:val="24"/>
        </w:rPr>
        <w:t>ness in an increasingly dynamic</w:t>
      </w:r>
      <w:r w:rsidRPr="00635E87">
        <w:rPr>
          <w:rFonts w:cstheme="majorBidi"/>
          <w:sz w:val="24"/>
          <w:szCs w:val="24"/>
        </w:rPr>
        <w:t xml:space="preserve"> work environment. </w:t>
      </w:r>
      <w:r w:rsidR="00436761" w:rsidRPr="00635E87">
        <w:rPr>
          <w:rFonts w:cstheme="majorBidi"/>
          <w:sz w:val="24"/>
          <w:szCs w:val="24"/>
        </w:rPr>
        <w:t>At the same time the Productivity Commission notes the diverse and potentially competing objectives of the workplace relations system and asks “</w:t>
      </w:r>
      <w:r w:rsidR="00436761" w:rsidRPr="00635E87">
        <w:rPr>
          <w:sz w:val="24"/>
          <w:szCs w:val="24"/>
        </w:rPr>
        <w:t>whether any system can hope to achieve coherence across this diversity of objectives” (AGPC, 2015: 7).</w:t>
      </w:r>
    </w:p>
    <w:p w:rsidR="00A71180" w:rsidRPr="00C60203" w:rsidRDefault="00A71180" w:rsidP="004B5116">
      <w:pPr>
        <w:spacing w:after="0" w:line="360" w:lineRule="auto"/>
        <w:jc w:val="both"/>
        <w:rPr>
          <w:rFonts w:cstheme="majorBidi"/>
          <w:sz w:val="24"/>
          <w:szCs w:val="24"/>
        </w:rPr>
      </w:pPr>
    </w:p>
    <w:p w:rsidR="00A71180" w:rsidRDefault="00A71180" w:rsidP="004B5116">
      <w:pPr>
        <w:spacing w:after="0" w:line="360" w:lineRule="auto"/>
        <w:ind w:left="709" w:hanging="709"/>
        <w:jc w:val="both"/>
        <w:rPr>
          <w:rFonts w:cstheme="majorBidi"/>
          <w:sz w:val="24"/>
          <w:szCs w:val="24"/>
        </w:rPr>
      </w:pPr>
      <w:r w:rsidRPr="00C60203">
        <w:rPr>
          <w:rFonts w:cstheme="majorBidi"/>
          <w:sz w:val="24"/>
          <w:szCs w:val="24"/>
        </w:rPr>
        <w:t>2.2</w:t>
      </w:r>
      <w:r w:rsidRPr="00C60203">
        <w:rPr>
          <w:rFonts w:cstheme="majorBidi"/>
          <w:sz w:val="24"/>
          <w:szCs w:val="24"/>
        </w:rPr>
        <w:tab/>
        <w:t>In Issue</w:t>
      </w:r>
      <w:r w:rsidR="004B5116">
        <w:rPr>
          <w:rFonts w:cstheme="majorBidi"/>
          <w:sz w:val="24"/>
          <w:szCs w:val="24"/>
        </w:rPr>
        <w:t>s</w:t>
      </w:r>
      <w:r w:rsidRPr="00C60203">
        <w:rPr>
          <w:rFonts w:cstheme="majorBidi"/>
          <w:sz w:val="24"/>
          <w:szCs w:val="24"/>
        </w:rPr>
        <w:t xml:space="preserve"> </w:t>
      </w:r>
      <w:r w:rsidR="003C3A8E">
        <w:rPr>
          <w:rFonts w:cstheme="majorBidi"/>
          <w:sz w:val="24"/>
          <w:szCs w:val="24"/>
        </w:rPr>
        <w:t>P</w:t>
      </w:r>
      <w:r w:rsidRPr="00C60203">
        <w:rPr>
          <w:rFonts w:cstheme="majorBidi"/>
          <w:sz w:val="24"/>
          <w:szCs w:val="24"/>
        </w:rPr>
        <w:t>aper 1, the term</w:t>
      </w:r>
      <w:r w:rsidR="004B5116">
        <w:rPr>
          <w:rFonts w:cstheme="majorBidi"/>
          <w:sz w:val="24"/>
          <w:szCs w:val="24"/>
        </w:rPr>
        <w:t>s</w:t>
      </w:r>
      <w:r w:rsidRPr="00C60203">
        <w:rPr>
          <w:rFonts w:cstheme="majorBidi"/>
          <w:sz w:val="24"/>
          <w:szCs w:val="24"/>
        </w:rPr>
        <w:t xml:space="preserve"> of reference outline the s</w:t>
      </w:r>
      <w:r w:rsidR="004B5116">
        <w:rPr>
          <w:rFonts w:cstheme="majorBidi"/>
          <w:sz w:val="24"/>
          <w:szCs w:val="24"/>
        </w:rPr>
        <w:t>cope of the inquiry and include:</w:t>
      </w:r>
      <w:r w:rsidRPr="00C60203">
        <w:rPr>
          <w:rFonts w:cstheme="majorBidi"/>
          <w:sz w:val="24"/>
          <w:szCs w:val="24"/>
        </w:rPr>
        <w:t xml:space="preserve"> the development of fair productiv</w:t>
      </w:r>
      <w:r w:rsidR="006350F5" w:rsidRPr="00C60203">
        <w:rPr>
          <w:rFonts w:cstheme="majorBidi"/>
          <w:sz w:val="24"/>
          <w:szCs w:val="24"/>
        </w:rPr>
        <w:t>e</w:t>
      </w:r>
      <w:r w:rsidRPr="00C60203">
        <w:rPr>
          <w:rFonts w:cstheme="majorBidi"/>
          <w:sz w:val="24"/>
          <w:szCs w:val="24"/>
        </w:rPr>
        <w:t xml:space="preserve">, effective workplaces and patterns of engagement in the labour market. </w:t>
      </w:r>
      <w:r w:rsidR="004B5116">
        <w:rPr>
          <w:rFonts w:cstheme="majorBidi"/>
          <w:sz w:val="24"/>
          <w:szCs w:val="24"/>
        </w:rPr>
        <w:t xml:space="preserve">Tied up in these </w:t>
      </w:r>
      <w:r w:rsidR="007A409C">
        <w:rPr>
          <w:rFonts w:cstheme="majorBidi"/>
          <w:sz w:val="24"/>
          <w:szCs w:val="24"/>
        </w:rPr>
        <w:t xml:space="preserve">concerns </w:t>
      </w:r>
      <w:r w:rsidR="004B5116">
        <w:rPr>
          <w:rFonts w:cstheme="majorBidi"/>
          <w:sz w:val="24"/>
          <w:szCs w:val="24"/>
        </w:rPr>
        <w:t xml:space="preserve">are </w:t>
      </w:r>
      <w:r w:rsidRPr="00C60203">
        <w:rPr>
          <w:rFonts w:cstheme="majorBidi"/>
          <w:sz w:val="24"/>
          <w:szCs w:val="24"/>
        </w:rPr>
        <w:t>issues associat</w:t>
      </w:r>
      <w:r w:rsidR="004B5116">
        <w:rPr>
          <w:rFonts w:cstheme="majorBidi"/>
          <w:sz w:val="24"/>
          <w:szCs w:val="24"/>
        </w:rPr>
        <w:t xml:space="preserve">ed with employee representation, particularly </w:t>
      </w:r>
      <w:r w:rsidRPr="00C60203">
        <w:rPr>
          <w:rFonts w:cstheme="majorBidi"/>
          <w:sz w:val="24"/>
          <w:szCs w:val="24"/>
        </w:rPr>
        <w:t>in the light of the long term decline in trade union density in Australia</w:t>
      </w:r>
      <w:r w:rsidR="004B5116">
        <w:rPr>
          <w:rFonts w:cstheme="majorBidi"/>
          <w:sz w:val="24"/>
          <w:szCs w:val="24"/>
        </w:rPr>
        <w:t xml:space="preserve">, </w:t>
      </w:r>
      <w:r w:rsidRPr="00C60203">
        <w:rPr>
          <w:rFonts w:cstheme="majorBidi"/>
          <w:sz w:val="24"/>
          <w:szCs w:val="24"/>
        </w:rPr>
        <w:t xml:space="preserve">the best way to represent employee interests in the workplace, </w:t>
      </w:r>
      <w:r w:rsidR="004B5116">
        <w:rPr>
          <w:rFonts w:cstheme="majorBidi"/>
          <w:sz w:val="24"/>
          <w:szCs w:val="24"/>
        </w:rPr>
        <w:t xml:space="preserve">and </w:t>
      </w:r>
      <w:r w:rsidRPr="00C60203">
        <w:rPr>
          <w:rFonts w:cstheme="majorBidi"/>
          <w:sz w:val="24"/>
          <w:szCs w:val="24"/>
        </w:rPr>
        <w:t>trust and cooperation in the workplace. Our submission is based upon detailed academic research</w:t>
      </w:r>
      <w:r w:rsidR="00024A6E" w:rsidRPr="00C60203">
        <w:rPr>
          <w:rFonts w:cstheme="majorBidi"/>
          <w:sz w:val="24"/>
          <w:szCs w:val="24"/>
        </w:rPr>
        <w:t xml:space="preserve"> undertak</w:t>
      </w:r>
      <w:r w:rsidR="00B30218" w:rsidRPr="00C60203">
        <w:rPr>
          <w:rFonts w:cstheme="majorBidi"/>
          <w:sz w:val="24"/>
          <w:szCs w:val="24"/>
        </w:rPr>
        <w:t>en by</w:t>
      </w:r>
      <w:r w:rsidR="007A409C">
        <w:rPr>
          <w:rFonts w:cstheme="majorBidi"/>
          <w:sz w:val="24"/>
          <w:szCs w:val="24"/>
        </w:rPr>
        <w:t xml:space="preserve"> members of</w:t>
      </w:r>
      <w:r w:rsidR="00B30218" w:rsidRPr="00C60203">
        <w:rPr>
          <w:rFonts w:cstheme="majorBidi"/>
          <w:sz w:val="24"/>
          <w:szCs w:val="24"/>
        </w:rPr>
        <w:t xml:space="preserve"> ACREW </w:t>
      </w:r>
      <w:r w:rsidR="007A409C">
        <w:rPr>
          <w:rFonts w:cstheme="majorBidi"/>
          <w:sz w:val="24"/>
          <w:szCs w:val="24"/>
        </w:rPr>
        <w:t xml:space="preserve">insofar as they relate </w:t>
      </w:r>
      <w:r w:rsidR="004B5116">
        <w:rPr>
          <w:rFonts w:cstheme="majorBidi"/>
          <w:sz w:val="24"/>
          <w:szCs w:val="24"/>
        </w:rPr>
        <w:t>to the terms of reference.</w:t>
      </w:r>
      <w:r w:rsidR="00F55C15">
        <w:rPr>
          <w:rFonts w:cstheme="majorBidi"/>
          <w:sz w:val="24"/>
          <w:szCs w:val="24"/>
        </w:rPr>
        <w:t xml:space="preserve"> The contributors are listed at the end of this submission. </w:t>
      </w:r>
    </w:p>
    <w:p w:rsidR="006255AF" w:rsidRPr="00C60203" w:rsidRDefault="006255AF" w:rsidP="00FE2CDB">
      <w:pPr>
        <w:pStyle w:val="Heading1"/>
        <w:numPr>
          <w:ilvl w:val="0"/>
          <w:numId w:val="10"/>
        </w:numPr>
        <w:ind w:hanging="720"/>
      </w:pPr>
      <w:bookmarkStart w:id="3" w:name="_Toc414343772"/>
      <w:r w:rsidRPr="00C60203">
        <w:t xml:space="preserve">Terms of Reference and Implications for </w:t>
      </w:r>
      <w:r w:rsidR="007A409C">
        <w:t xml:space="preserve">the </w:t>
      </w:r>
      <w:r w:rsidRPr="00C60203">
        <w:t xml:space="preserve">Productivity </w:t>
      </w:r>
      <w:r w:rsidR="00AB3306">
        <w:t>Commission’s Task</w:t>
      </w:r>
      <w:bookmarkEnd w:id="3"/>
    </w:p>
    <w:p w:rsidR="006255AF" w:rsidRPr="00C60203" w:rsidRDefault="006255AF" w:rsidP="004B5116">
      <w:pPr>
        <w:spacing w:after="0" w:line="360" w:lineRule="auto"/>
        <w:jc w:val="both"/>
        <w:rPr>
          <w:rFonts w:cstheme="majorBidi"/>
          <w:b/>
          <w:bCs/>
          <w:sz w:val="28"/>
          <w:szCs w:val="28"/>
        </w:rPr>
      </w:pPr>
    </w:p>
    <w:p w:rsidR="006255AF" w:rsidRPr="00C60203" w:rsidRDefault="006255AF" w:rsidP="008023A1">
      <w:pPr>
        <w:pStyle w:val="ListParagraph"/>
        <w:spacing w:after="0" w:line="360" w:lineRule="auto"/>
        <w:ind w:left="709" w:hanging="709"/>
        <w:jc w:val="both"/>
        <w:rPr>
          <w:rFonts w:cstheme="majorBidi"/>
          <w:sz w:val="24"/>
          <w:szCs w:val="24"/>
        </w:rPr>
      </w:pPr>
      <w:r w:rsidRPr="00C60203">
        <w:rPr>
          <w:rFonts w:cstheme="majorBidi"/>
          <w:sz w:val="24"/>
          <w:szCs w:val="24"/>
        </w:rPr>
        <w:t>3.1</w:t>
      </w:r>
      <w:r w:rsidRPr="00C60203">
        <w:rPr>
          <w:rFonts w:cstheme="majorBidi"/>
        </w:rPr>
        <w:tab/>
      </w:r>
      <w:r w:rsidRPr="00C60203">
        <w:rPr>
          <w:rFonts w:cstheme="majorBidi"/>
          <w:sz w:val="24"/>
          <w:szCs w:val="24"/>
        </w:rPr>
        <w:t xml:space="preserve">The terms of reference for this review are ambitious and extensive. This part of our submission outlines the implications that flow from the terms of reference for the process the </w:t>
      </w:r>
      <w:r w:rsidR="008023A1">
        <w:rPr>
          <w:rFonts w:cstheme="majorBidi"/>
          <w:sz w:val="24"/>
          <w:szCs w:val="24"/>
        </w:rPr>
        <w:t>Productivity Commission</w:t>
      </w:r>
      <w:r w:rsidR="007A409C">
        <w:rPr>
          <w:rFonts w:cstheme="majorBidi"/>
          <w:sz w:val="24"/>
          <w:szCs w:val="24"/>
        </w:rPr>
        <w:t xml:space="preserve"> </w:t>
      </w:r>
      <w:r w:rsidRPr="00C60203">
        <w:rPr>
          <w:rFonts w:cstheme="majorBidi"/>
          <w:sz w:val="24"/>
          <w:szCs w:val="24"/>
        </w:rPr>
        <w:t xml:space="preserve">adopts throughout the review. The process proposed starts with the following provision in the terms of reference: </w:t>
      </w:r>
    </w:p>
    <w:p w:rsidR="006255AF" w:rsidRPr="00C60203" w:rsidRDefault="006255AF" w:rsidP="004B5116">
      <w:pPr>
        <w:pStyle w:val="ListParagraph"/>
        <w:spacing w:after="0" w:line="360" w:lineRule="auto"/>
        <w:ind w:left="709" w:hanging="709"/>
        <w:jc w:val="both"/>
        <w:rPr>
          <w:rFonts w:cstheme="majorBidi"/>
          <w:sz w:val="24"/>
          <w:szCs w:val="24"/>
        </w:rPr>
      </w:pPr>
    </w:p>
    <w:p w:rsidR="006255AF" w:rsidRPr="00FD5193" w:rsidRDefault="006255AF" w:rsidP="004B5116">
      <w:pPr>
        <w:spacing w:after="0" w:line="360" w:lineRule="auto"/>
        <w:ind w:left="1134"/>
        <w:jc w:val="both"/>
        <w:rPr>
          <w:rFonts w:cstheme="majorBidi"/>
          <w:i/>
          <w:iCs/>
          <w:sz w:val="24"/>
          <w:szCs w:val="24"/>
        </w:rPr>
      </w:pPr>
      <w:r w:rsidRPr="00FD5193">
        <w:rPr>
          <w:rFonts w:cstheme="majorBidi"/>
          <w:i/>
          <w:iCs/>
          <w:sz w:val="24"/>
          <w:szCs w:val="24"/>
        </w:rPr>
        <w:t>An overarching principle for any recommendations should be the need to ensure a framework to serve the country in the longer term, given the level of legislative change in this area in recent years</w:t>
      </w:r>
      <w:r w:rsidR="004F1F52">
        <w:rPr>
          <w:rFonts w:cstheme="majorBidi"/>
          <w:i/>
          <w:iCs/>
          <w:sz w:val="24"/>
          <w:szCs w:val="24"/>
        </w:rPr>
        <w:t xml:space="preserve"> </w:t>
      </w:r>
      <w:r w:rsidR="004F1F52">
        <w:rPr>
          <w:rFonts w:cstheme="majorBidi"/>
          <w:iCs/>
          <w:sz w:val="24"/>
          <w:szCs w:val="24"/>
        </w:rPr>
        <w:t>(AGPC, 2015: iv)</w:t>
      </w:r>
      <w:r w:rsidR="00D74029" w:rsidRPr="00FD5193">
        <w:rPr>
          <w:rFonts w:cstheme="majorBidi"/>
          <w:i/>
          <w:iCs/>
          <w:sz w:val="24"/>
          <w:szCs w:val="24"/>
        </w:rPr>
        <w:t>.</w:t>
      </w:r>
    </w:p>
    <w:p w:rsidR="006255AF" w:rsidRPr="00C60203" w:rsidRDefault="006255AF" w:rsidP="004B5116">
      <w:pPr>
        <w:spacing w:after="0" w:line="360" w:lineRule="auto"/>
        <w:ind w:left="1134"/>
        <w:jc w:val="both"/>
        <w:rPr>
          <w:rFonts w:cstheme="majorBidi"/>
          <w:i/>
          <w:sz w:val="24"/>
          <w:szCs w:val="24"/>
        </w:rPr>
      </w:pPr>
    </w:p>
    <w:p w:rsidR="006255AF" w:rsidRDefault="006255AF" w:rsidP="00D74029">
      <w:pPr>
        <w:spacing w:after="0" w:line="360" w:lineRule="auto"/>
        <w:ind w:left="709"/>
        <w:jc w:val="both"/>
        <w:rPr>
          <w:rFonts w:cstheme="majorBidi"/>
          <w:sz w:val="24"/>
          <w:szCs w:val="24"/>
        </w:rPr>
      </w:pPr>
      <w:r w:rsidRPr="00C60203">
        <w:rPr>
          <w:rFonts w:cstheme="majorBidi"/>
          <w:sz w:val="24"/>
          <w:szCs w:val="24"/>
        </w:rPr>
        <w:t xml:space="preserve">The context for understanding the implications of this term of reference for the </w:t>
      </w:r>
      <w:r w:rsidR="007A409C">
        <w:rPr>
          <w:rFonts w:cstheme="majorBidi"/>
          <w:sz w:val="24"/>
          <w:szCs w:val="24"/>
        </w:rPr>
        <w:t>AGPC’</w:t>
      </w:r>
      <w:r w:rsidRPr="00C60203">
        <w:rPr>
          <w:rFonts w:cstheme="majorBidi"/>
          <w:sz w:val="24"/>
          <w:szCs w:val="24"/>
        </w:rPr>
        <w:t xml:space="preserve">s task  starts with </w:t>
      </w:r>
      <w:r w:rsidR="004F1F52">
        <w:rPr>
          <w:rFonts w:cstheme="majorBidi"/>
          <w:sz w:val="24"/>
          <w:szCs w:val="24"/>
        </w:rPr>
        <w:t>a brief outline of the drivers of</w:t>
      </w:r>
      <w:r w:rsidRPr="00C60203">
        <w:rPr>
          <w:rFonts w:cstheme="majorBidi"/>
          <w:sz w:val="24"/>
          <w:szCs w:val="24"/>
        </w:rPr>
        <w:t xml:space="preserve"> frequent change in workplace relations legislation in Australia and how this compares to s</w:t>
      </w:r>
      <w:r w:rsidR="004F1F52">
        <w:rPr>
          <w:rFonts w:cstheme="majorBidi"/>
          <w:sz w:val="24"/>
          <w:szCs w:val="24"/>
        </w:rPr>
        <w:t>elected</w:t>
      </w:r>
      <w:r w:rsidRPr="00C60203">
        <w:rPr>
          <w:rFonts w:cstheme="majorBidi"/>
          <w:sz w:val="24"/>
          <w:szCs w:val="24"/>
        </w:rPr>
        <w:t xml:space="preserve"> OECD countries.</w:t>
      </w:r>
    </w:p>
    <w:p w:rsidR="002527D8" w:rsidRDefault="002527D8" w:rsidP="00D74029">
      <w:pPr>
        <w:spacing w:after="0" w:line="360" w:lineRule="auto"/>
        <w:ind w:left="709"/>
        <w:jc w:val="both"/>
        <w:rPr>
          <w:rFonts w:cstheme="majorBidi"/>
          <w:sz w:val="24"/>
          <w:szCs w:val="24"/>
        </w:rPr>
      </w:pPr>
    </w:p>
    <w:p w:rsidR="002527D8" w:rsidRDefault="002527D8" w:rsidP="00D74029">
      <w:pPr>
        <w:spacing w:after="0" w:line="360" w:lineRule="auto"/>
        <w:ind w:left="709"/>
        <w:jc w:val="both"/>
        <w:rPr>
          <w:rFonts w:cstheme="majorBidi"/>
          <w:sz w:val="24"/>
          <w:szCs w:val="24"/>
        </w:rPr>
      </w:pPr>
    </w:p>
    <w:p w:rsidR="00312B35" w:rsidRPr="00C60203" w:rsidRDefault="00312B35" w:rsidP="00D74029">
      <w:pPr>
        <w:spacing w:after="0" w:line="360" w:lineRule="auto"/>
        <w:ind w:left="709"/>
        <w:jc w:val="both"/>
        <w:rPr>
          <w:rFonts w:cstheme="majorBidi"/>
          <w:sz w:val="24"/>
          <w:szCs w:val="24"/>
        </w:rPr>
      </w:pPr>
    </w:p>
    <w:p w:rsidR="006255AF" w:rsidRPr="00C60203" w:rsidRDefault="006255AF" w:rsidP="004B5116">
      <w:pPr>
        <w:spacing w:before="240" w:line="360" w:lineRule="auto"/>
        <w:jc w:val="both"/>
        <w:rPr>
          <w:rFonts w:cstheme="majorBidi"/>
          <w:b/>
          <w:sz w:val="24"/>
          <w:szCs w:val="24"/>
        </w:rPr>
      </w:pPr>
      <w:r w:rsidRPr="00C60203">
        <w:rPr>
          <w:rFonts w:cstheme="majorBidi"/>
          <w:sz w:val="24"/>
          <w:szCs w:val="24"/>
        </w:rPr>
        <w:t>3.2</w:t>
      </w:r>
      <w:r w:rsidRPr="00C60203">
        <w:rPr>
          <w:rFonts w:cstheme="majorBidi"/>
          <w:sz w:val="24"/>
          <w:szCs w:val="24"/>
        </w:rPr>
        <w:tab/>
      </w:r>
      <w:r w:rsidRPr="00C60203">
        <w:rPr>
          <w:rFonts w:cstheme="majorBidi"/>
          <w:b/>
          <w:bCs/>
          <w:sz w:val="24"/>
          <w:szCs w:val="24"/>
        </w:rPr>
        <w:t>Drivers</w:t>
      </w:r>
      <w:r w:rsidRPr="00C60203">
        <w:rPr>
          <w:rFonts w:cstheme="majorBidi"/>
          <w:b/>
          <w:sz w:val="24"/>
          <w:szCs w:val="24"/>
        </w:rPr>
        <w:t xml:space="preserve"> of frequent legislative change in Australian context</w:t>
      </w:r>
    </w:p>
    <w:p w:rsidR="008251A9" w:rsidRDefault="00D11B18" w:rsidP="0049486E">
      <w:pPr>
        <w:spacing w:after="120" w:line="360" w:lineRule="auto"/>
        <w:ind w:left="720"/>
        <w:jc w:val="both"/>
        <w:rPr>
          <w:rFonts w:eastAsia="PMingLiU" w:cstheme="majorBidi"/>
          <w:bCs/>
          <w:iCs/>
          <w:sz w:val="24"/>
          <w:szCs w:val="24"/>
        </w:rPr>
      </w:pPr>
      <w:r w:rsidRPr="00C60203">
        <w:rPr>
          <w:rFonts w:cstheme="majorBidi"/>
          <w:sz w:val="24"/>
          <w:szCs w:val="24"/>
        </w:rPr>
        <w:t>Historically</w:t>
      </w:r>
      <w:r w:rsidR="008023A1">
        <w:rPr>
          <w:rFonts w:cstheme="majorBidi"/>
          <w:sz w:val="24"/>
          <w:szCs w:val="24"/>
        </w:rPr>
        <w:t>,</w:t>
      </w:r>
      <w:r w:rsidRPr="00C60203">
        <w:rPr>
          <w:rFonts w:cstheme="majorBidi"/>
          <w:sz w:val="24"/>
          <w:szCs w:val="24"/>
        </w:rPr>
        <w:t xml:space="preserve"> industrial relations laws in Australia have been a source of controversy and substantial variation has occurred over the political cycle. </w:t>
      </w:r>
      <w:r w:rsidR="008251A9">
        <w:rPr>
          <w:rFonts w:eastAsia="PMingLiU" w:cstheme="majorBidi"/>
          <w:bCs/>
          <w:sz w:val="24"/>
          <w:szCs w:val="24"/>
        </w:rPr>
        <w:t>This process of '</w:t>
      </w:r>
      <w:r w:rsidRPr="00C60203">
        <w:rPr>
          <w:rFonts w:eastAsia="PMingLiU" w:cstheme="majorBidi"/>
          <w:bCs/>
          <w:sz w:val="24"/>
          <w:szCs w:val="24"/>
        </w:rPr>
        <w:t>political product diffe</w:t>
      </w:r>
      <w:r w:rsidR="0049486E">
        <w:rPr>
          <w:rFonts w:eastAsia="PMingLiU" w:cstheme="majorBidi"/>
          <w:bCs/>
          <w:sz w:val="24"/>
          <w:szCs w:val="24"/>
        </w:rPr>
        <w:t>rentiation in the labour market’</w:t>
      </w:r>
      <w:r w:rsidRPr="00C60203">
        <w:rPr>
          <w:rFonts w:eastAsia="PMingLiU" w:cstheme="majorBidi"/>
          <w:bCs/>
          <w:sz w:val="24"/>
          <w:szCs w:val="24"/>
        </w:rPr>
        <w:t xml:space="preserve"> as it has been termed, has been extensively reviewed for the period from 1956 to </w:t>
      </w:r>
      <w:r w:rsidRPr="00635E87">
        <w:rPr>
          <w:rFonts w:eastAsia="PMingLiU" w:cstheme="majorBidi"/>
          <w:bCs/>
          <w:sz w:val="24"/>
          <w:szCs w:val="24"/>
        </w:rPr>
        <w:t>1997 (Pittard &amp; Fox 1999).</w:t>
      </w:r>
      <w:r w:rsidR="00635E87">
        <w:rPr>
          <w:rFonts w:eastAsia="PMingLiU" w:cstheme="majorBidi"/>
          <w:bCs/>
          <w:sz w:val="24"/>
          <w:szCs w:val="24"/>
        </w:rPr>
        <w:t xml:space="preserve"> </w:t>
      </w:r>
      <w:r>
        <w:rPr>
          <w:rFonts w:eastAsia="PMingLiU" w:cstheme="majorBidi"/>
          <w:bCs/>
          <w:sz w:val="24"/>
          <w:szCs w:val="24"/>
        </w:rPr>
        <w:t xml:space="preserve"> An overview of </w:t>
      </w:r>
      <w:r w:rsidRPr="00C60203">
        <w:rPr>
          <w:rFonts w:eastAsia="PMingLiU" w:cstheme="majorBidi"/>
          <w:bCs/>
          <w:sz w:val="24"/>
          <w:szCs w:val="24"/>
        </w:rPr>
        <w:t xml:space="preserve">this work is contained in </w:t>
      </w:r>
      <w:r w:rsidRPr="00C60203">
        <w:rPr>
          <w:rFonts w:eastAsia="PMingLiU" w:cstheme="majorBidi"/>
          <w:bCs/>
          <w:i/>
          <w:iCs/>
          <w:sz w:val="24"/>
          <w:szCs w:val="24"/>
        </w:rPr>
        <w:t>Beyond Enterprise Bargaining</w:t>
      </w:r>
      <w:r w:rsidRPr="006A64D6">
        <w:rPr>
          <w:rFonts w:eastAsia="PMingLiU" w:cstheme="majorBidi"/>
          <w:bCs/>
          <w:sz w:val="24"/>
          <w:szCs w:val="24"/>
        </w:rPr>
        <w:t xml:space="preserve"> (AMMA</w:t>
      </w:r>
      <w:r w:rsidR="00661093">
        <w:rPr>
          <w:rFonts w:eastAsia="PMingLiU" w:cstheme="majorBidi"/>
          <w:bCs/>
          <w:sz w:val="24"/>
          <w:szCs w:val="24"/>
        </w:rPr>
        <w:t>,.</w:t>
      </w:r>
      <w:r w:rsidRPr="006A64D6">
        <w:rPr>
          <w:rFonts w:eastAsia="PMingLiU" w:cstheme="majorBidi"/>
          <w:bCs/>
          <w:sz w:val="24"/>
          <w:szCs w:val="24"/>
        </w:rPr>
        <w:t xml:space="preserve"> 1999), which examines the period in</w:t>
      </w:r>
      <w:r w:rsidRPr="00C60203">
        <w:rPr>
          <w:rFonts w:eastAsia="PMingLiU" w:cstheme="majorBidi"/>
          <w:bCs/>
          <w:sz w:val="24"/>
          <w:szCs w:val="24"/>
        </w:rPr>
        <w:t xml:space="preserve"> two parts</w:t>
      </w:r>
      <w:r>
        <w:rPr>
          <w:rFonts w:eastAsia="PMingLiU" w:cstheme="majorBidi"/>
          <w:bCs/>
          <w:sz w:val="24"/>
          <w:szCs w:val="24"/>
        </w:rPr>
        <w:t>,</w:t>
      </w:r>
      <w:r w:rsidRPr="00C60203">
        <w:rPr>
          <w:rFonts w:eastAsia="PMingLiU" w:cstheme="majorBidi"/>
          <w:bCs/>
          <w:sz w:val="24"/>
          <w:szCs w:val="24"/>
        </w:rPr>
        <w:t xml:space="preserve"> first to 1988 and then the period up to 1997. </w:t>
      </w:r>
      <w:r>
        <w:rPr>
          <w:rFonts w:eastAsia="PMingLiU" w:cstheme="majorBidi"/>
          <w:bCs/>
          <w:sz w:val="24"/>
          <w:szCs w:val="24"/>
        </w:rPr>
        <w:t>For most of this period</w:t>
      </w:r>
      <w:r w:rsidR="008023A1">
        <w:rPr>
          <w:rFonts w:eastAsia="PMingLiU" w:cstheme="majorBidi"/>
          <w:bCs/>
          <w:sz w:val="24"/>
          <w:szCs w:val="24"/>
        </w:rPr>
        <w:t>,</w:t>
      </w:r>
      <w:r>
        <w:rPr>
          <w:rFonts w:eastAsia="PMingLiU" w:cstheme="majorBidi"/>
          <w:bCs/>
          <w:sz w:val="24"/>
          <w:szCs w:val="24"/>
        </w:rPr>
        <w:t xml:space="preserve"> </w:t>
      </w:r>
      <w:r w:rsidRPr="00C60203">
        <w:rPr>
          <w:rFonts w:eastAsia="PMingLiU" w:cstheme="majorBidi"/>
          <w:bCs/>
          <w:sz w:val="24"/>
          <w:szCs w:val="24"/>
        </w:rPr>
        <w:t xml:space="preserve">the only </w:t>
      </w:r>
      <w:r w:rsidRPr="00724A7C">
        <w:rPr>
          <w:rFonts w:eastAsia="PMingLiU" w:cstheme="majorBidi"/>
          <w:bCs/>
          <w:sz w:val="24"/>
          <w:szCs w:val="24"/>
        </w:rPr>
        <w:t>area</w:t>
      </w:r>
      <w:r w:rsidRPr="00C60203">
        <w:rPr>
          <w:rFonts w:eastAsia="PMingLiU" w:cstheme="majorBidi"/>
          <w:bCs/>
          <w:sz w:val="24"/>
          <w:szCs w:val="24"/>
        </w:rPr>
        <w:t xml:space="preserve"> of substantive agreement between the </w:t>
      </w:r>
      <w:r>
        <w:rPr>
          <w:rFonts w:eastAsia="PMingLiU" w:cstheme="majorBidi"/>
          <w:bCs/>
          <w:sz w:val="24"/>
          <w:szCs w:val="24"/>
        </w:rPr>
        <w:t xml:space="preserve">major </w:t>
      </w:r>
      <w:r w:rsidRPr="00C60203">
        <w:rPr>
          <w:rFonts w:eastAsia="PMingLiU" w:cstheme="majorBidi"/>
          <w:bCs/>
          <w:sz w:val="24"/>
          <w:szCs w:val="24"/>
        </w:rPr>
        <w:t>political parties seemed to be that conciliation and arbitration should be the basis of the regulation of industrial disputes</w:t>
      </w:r>
      <w:r w:rsidRPr="008251A9">
        <w:rPr>
          <w:rFonts w:eastAsia="PMingLiU" w:cstheme="majorBidi"/>
          <w:bCs/>
          <w:sz w:val="24"/>
          <w:szCs w:val="24"/>
        </w:rPr>
        <w:t>.</w:t>
      </w:r>
      <w:r w:rsidRPr="008251A9">
        <w:rPr>
          <w:rStyle w:val="FootnoteReference"/>
          <w:rFonts w:eastAsia="PMingLiU" w:cstheme="majorBidi"/>
          <w:bCs/>
          <w:sz w:val="24"/>
          <w:szCs w:val="24"/>
        </w:rPr>
        <w:footnoteReference w:id="1"/>
      </w:r>
      <w:r w:rsidR="00661093">
        <w:rPr>
          <w:rFonts w:eastAsia="PMingLiU" w:cstheme="majorBidi"/>
          <w:bCs/>
          <w:sz w:val="24"/>
          <w:szCs w:val="24"/>
        </w:rPr>
        <w:t xml:space="preserve">  </w:t>
      </w:r>
      <w:r w:rsidR="007A409C" w:rsidRPr="008251A9">
        <w:rPr>
          <w:rFonts w:eastAsia="PMingLiU" w:cstheme="majorBidi"/>
          <w:bCs/>
          <w:iCs/>
          <w:sz w:val="24"/>
          <w:szCs w:val="24"/>
        </w:rPr>
        <w:t>This period of broad consensus among the parties ended abruptly with the introduction and passage of</w:t>
      </w:r>
      <w:r w:rsidR="006A64D6">
        <w:rPr>
          <w:rFonts w:eastAsia="PMingLiU" w:cstheme="majorBidi"/>
          <w:bCs/>
          <w:iCs/>
          <w:sz w:val="24"/>
          <w:szCs w:val="24"/>
        </w:rPr>
        <w:t xml:space="preserve"> the </w:t>
      </w:r>
      <w:r w:rsidR="006A64D6">
        <w:rPr>
          <w:rFonts w:eastAsia="PMingLiU" w:cstheme="majorBidi"/>
          <w:bCs/>
          <w:i/>
          <w:iCs/>
          <w:sz w:val="24"/>
          <w:szCs w:val="24"/>
        </w:rPr>
        <w:t>Workplace Relations (WorkChoices) Amendment Act 2005</w:t>
      </w:r>
      <w:r w:rsidR="007A409C" w:rsidRPr="008251A9">
        <w:rPr>
          <w:rFonts w:eastAsia="PMingLiU" w:cstheme="majorBidi"/>
          <w:bCs/>
          <w:iCs/>
          <w:sz w:val="24"/>
          <w:szCs w:val="24"/>
        </w:rPr>
        <w:t>.</w:t>
      </w:r>
    </w:p>
    <w:p w:rsidR="008251A9" w:rsidRDefault="008251A9" w:rsidP="0049486E">
      <w:pPr>
        <w:spacing w:after="120" w:line="240" w:lineRule="auto"/>
        <w:ind w:left="720"/>
        <w:jc w:val="both"/>
        <w:rPr>
          <w:rFonts w:eastAsia="PMingLiU" w:cstheme="majorBidi"/>
          <w:bCs/>
          <w:iCs/>
          <w:sz w:val="24"/>
          <w:szCs w:val="24"/>
        </w:rPr>
      </w:pPr>
    </w:p>
    <w:p w:rsidR="007A409C" w:rsidRPr="008251A9" w:rsidRDefault="007A409C" w:rsidP="0049486E">
      <w:pPr>
        <w:spacing w:after="120" w:line="360" w:lineRule="auto"/>
        <w:ind w:left="720"/>
        <w:jc w:val="both"/>
        <w:rPr>
          <w:i/>
          <w:sz w:val="24"/>
          <w:szCs w:val="24"/>
        </w:rPr>
      </w:pPr>
      <w:r w:rsidRPr="008251A9">
        <w:rPr>
          <w:rFonts w:cstheme="majorBidi"/>
          <w:iCs/>
          <w:sz w:val="24"/>
          <w:szCs w:val="24"/>
        </w:rPr>
        <w:t>In Nordic and Scandi</w:t>
      </w:r>
      <w:r w:rsidR="008251A9">
        <w:rPr>
          <w:rFonts w:cstheme="majorBidi"/>
          <w:iCs/>
          <w:sz w:val="24"/>
          <w:szCs w:val="24"/>
        </w:rPr>
        <w:t>navian countries</w:t>
      </w:r>
      <w:r w:rsidR="008023A1">
        <w:rPr>
          <w:rFonts w:cstheme="majorBidi"/>
          <w:iCs/>
          <w:sz w:val="24"/>
          <w:szCs w:val="24"/>
        </w:rPr>
        <w:t>,</w:t>
      </w:r>
      <w:r w:rsidR="008251A9">
        <w:rPr>
          <w:rFonts w:cstheme="majorBidi"/>
          <w:iCs/>
          <w:sz w:val="24"/>
          <w:szCs w:val="24"/>
        </w:rPr>
        <w:t xml:space="preserve"> there are long</w:t>
      </w:r>
      <w:r w:rsidRPr="008251A9">
        <w:rPr>
          <w:rFonts w:cstheme="majorBidi"/>
          <w:iCs/>
          <w:sz w:val="24"/>
          <w:szCs w:val="24"/>
        </w:rPr>
        <w:t>standing bipartite agreements between national employer and union bodies on the framework for collective bargaining. In Denmark</w:t>
      </w:r>
      <w:r w:rsidR="008023A1">
        <w:rPr>
          <w:rFonts w:cstheme="majorBidi"/>
          <w:iCs/>
          <w:sz w:val="24"/>
          <w:szCs w:val="24"/>
        </w:rPr>
        <w:t>,</w:t>
      </w:r>
      <w:r w:rsidRPr="008251A9">
        <w:rPr>
          <w:rFonts w:cstheme="majorBidi"/>
          <w:iCs/>
          <w:sz w:val="24"/>
          <w:szCs w:val="24"/>
        </w:rPr>
        <w:t xml:space="preserve"> bipartite agreement goes back as far as 1898</w:t>
      </w:r>
      <w:r w:rsidR="008251A9">
        <w:rPr>
          <w:rFonts w:cstheme="majorBidi"/>
          <w:iCs/>
          <w:sz w:val="24"/>
          <w:szCs w:val="24"/>
        </w:rPr>
        <w:t xml:space="preserve"> and</w:t>
      </w:r>
      <w:r w:rsidRPr="008251A9">
        <w:rPr>
          <w:rFonts w:cstheme="majorBidi"/>
          <w:iCs/>
          <w:sz w:val="24"/>
          <w:szCs w:val="24"/>
        </w:rPr>
        <w:t xml:space="preserve"> in Norway</w:t>
      </w:r>
      <w:r w:rsidR="008251A9">
        <w:rPr>
          <w:rFonts w:cstheme="majorBidi"/>
          <w:iCs/>
          <w:sz w:val="24"/>
          <w:szCs w:val="24"/>
        </w:rPr>
        <w:t xml:space="preserve"> to</w:t>
      </w:r>
      <w:r w:rsidRPr="008251A9">
        <w:rPr>
          <w:rFonts w:cstheme="majorBidi"/>
          <w:iCs/>
          <w:sz w:val="24"/>
          <w:szCs w:val="24"/>
        </w:rPr>
        <w:t xml:space="preserve"> 1935. In Swed</w:t>
      </w:r>
      <w:r w:rsidR="008251A9">
        <w:rPr>
          <w:rFonts w:cstheme="majorBidi"/>
          <w:iCs/>
          <w:sz w:val="24"/>
          <w:szCs w:val="24"/>
        </w:rPr>
        <w:t>en</w:t>
      </w:r>
      <w:r w:rsidR="008023A1">
        <w:rPr>
          <w:rFonts w:cstheme="majorBidi"/>
          <w:iCs/>
          <w:sz w:val="24"/>
          <w:szCs w:val="24"/>
        </w:rPr>
        <w:t>,</w:t>
      </w:r>
      <w:r w:rsidR="008251A9">
        <w:rPr>
          <w:rFonts w:cstheme="majorBidi"/>
          <w:iCs/>
          <w:sz w:val="24"/>
          <w:szCs w:val="24"/>
        </w:rPr>
        <w:t xml:space="preserve"> the Basic Agreement reached in </w:t>
      </w:r>
      <w:r w:rsidRPr="008251A9">
        <w:rPr>
          <w:rFonts w:cstheme="majorBidi"/>
          <w:iCs/>
          <w:sz w:val="24"/>
          <w:szCs w:val="24"/>
        </w:rPr>
        <w:t xml:space="preserve">1938, recognised the role of unions,  </w:t>
      </w:r>
      <w:r w:rsidRPr="008251A9">
        <w:rPr>
          <w:rFonts w:cstheme="majorBidi"/>
          <w:iCs/>
          <w:sz w:val="24"/>
          <w:szCs w:val="24"/>
        </w:rPr>
        <w:lastRenderedPageBreak/>
        <w:t>strike action over new contracts and  a limited number of managerial prerogatives within the scope of collective bargaining  (</w:t>
      </w:r>
      <w:r w:rsidR="00635E87">
        <w:rPr>
          <w:rFonts w:cstheme="majorBidi"/>
          <w:iCs/>
          <w:sz w:val="24"/>
          <w:szCs w:val="24"/>
        </w:rPr>
        <w:t>Gourevitch, et. al., 1985).</w:t>
      </w:r>
      <w:r w:rsidRPr="008251A9">
        <w:rPr>
          <w:rFonts w:cstheme="majorBidi"/>
          <w:iCs/>
          <w:sz w:val="24"/>
          <w:szCs w:val="24"/>
        </w:rPr>
        <w:t xml:space="preserve"> The legislated framework for collective bargaining has been stable over the longer term in many other countries </w:t>
      </w:r>
      <w:r w:rsidR="008023A1">
        <w:rPr>
          <w:rFonts w:cstheme="majorBidi"/>
          <w:iCs/>
          <w:sz w:val="24"/>
          <w:szCs w:val="24"/>
        </w:rPr>
        <w:t xml:space="preserve">including the </w:t>
      </w:r>
      <w:r w:rsidRPr="008251A9">
        <w:rPr>
          <w:rFonts w:cstheme="majorBidi"/>
          <w:iCs/>
          <w:sz w:val="24"/>
          <w:szCs w:val="24"/>
        </w:rPr>
        <w:t>USA (1935), Germany (1952)</w:t>
      </w:r>
      <w:r w:rsidR="008251A9">
        <w:rPr>
          <w:rFonts w:cstheme="majorBidi"/>
          <w:iCs/>
          <w:sz w:val="24"/>
          <w:szCs w:val="24"/>
        </w:rPr>
        <w:t xml:space="preserve"> and</w:t>
      </w:r>
      <w:r w:rsidRPr="008251A9">
        <w:rPr>
          <w:rFonts w:cstheme="majorBidi"/>
          <w:iCs/>
          <w:sz w:val="24"/>
          <w:szCs w:val="24"/>
        </w:rPr>
        <w:t xml:space="preserve"> Japan (1948). A common feature of these frameworks has been union recognition, the right to strike and broad rules for collective bargaining and the recognition of managerial prerogatives outside the scope of bargaining</w:t>
      </w:r>
      <w:r w:rsidR="008251A9">
        <w:rPr>
          <w:rFonts w:cstheme="majorBidi"/>
          <w:iCs/>
          <w:sz w:val="24"/>
          <w:szCs w:val="24"/>
        </w:rPr>
        <w:t xml:space="preserve"> or what we would refer to as </w:t>
      </w:r>
      <w:r w:rsidRPr="008251A9">
        <w:rPr>
          <w:rFonts w:cstheme="majorBidi"/>
          <w:iCs/>
          <w:sz w:val="24"/>
          <w:szCs w:val="24"/>
        </w:rPr>
        <w:t>allowable matters in the Australian context.</w:t>
      </w:r>
    </w:p>
    <w:p w:rsidR="007A409C" w:rsidRPr="008251A9" w:rsidRDefault="007A409C" w:rsidP="008251A9">
      <w:pPr>
        <w:pStyle w:val="FootnoteText"/>
        <w:spacing w:line="360" w:lineRule="auto"/>
        <w:rPr>
          <w:sz w:val="24"/>
          <w:szCs w:val="24"/>
        </w:rPr>
      </w:pPr>
    </w:p>
    <w:p w:rsidR="006255AF" w:rsidRPr="00C60203" w:rsidRDefault="006255AF" w:rsidP="008023A1">
      <w:pPr>
        <w:spacing w:after="0" w:line="360" w:lineRule="auto"/>
        <w:ind w:left="709" w:hanging="709"/>
        <w:jc w:val="both"/>
        <w:rPr>
          <w:rFonts w:eastAsia="PMingLiU" w:cstheme="majorBidi"/>
          <w:bCs/>
          <w:sz w:val="24"/>
          <w:szCs w:val="24"/>
        </w:rPr>
      </w:pPr>
      <w:r w:rsidRPr="00C60203">
        <w:rPr>
          <w:rFonts w:eastAsia="PMingLiU" w:cstheme="majorBidi"/>
          <w:bCs/>
          <w:sz w:val="24"/>
          <w:szCs w:val="24"/>
        </w:rPr>
        <w:t>3.3</w:t>
      </w:r>
      <w:r w:rsidRPr="00C60203">
        <w:rPr>
          <w:rFonts w:eastAsia="PMingLiU" w:cstheme="majorBidi"/>
          <w:bCs/>
          <w:sz w:val="24"/>
          <w:szCs w:val="24"/>
        </w:rPr>
        <w:tab/>
      </w:r>
      <w:r w:rsidR="008251A9">
        <w:rPr>
          <w:rFonts w:eastAsia="PMingLiU" w:cstheme="majorBidi"/>
          <w:bCs/>
          <w:sz w:val="24"/>
          <w:szCs w:val="24"/>
        </w:rPr>
        <w:t>In Australia, o</w:t>
      </w:r>
      <w:r w:rsidRPr="00C60203">
        <w:rPr>
          <w:rFonts w:eastAsia="PMingLiU" w:cstheme="majorBidi"/>
          <w:bCs/>
          <w:sz w:val="24"/>
          <w:szCs w:val="24"/>
        </w:rPr>
        <w:t>ther areas of agreement were nearly all related to procedural arrangements under the</w:t>
      </w:r>
      <w:r w:rsidR="008251A9">
        <w:rPr>
          <w:rFonts w:eastAsia="PMingLiU" w:cstheme="majorBidi"/>
          <w:bCs/>
          <w:sz w:val="24"/>
          <w:szCs w:val="24"/>
        </w:rPr>
        <w:t xml:space="preserve"> prevailing industrial </w:t>
      </w:r>
      <w:r w:rsidR="0039155E">
        <w:rPr>
          <w:rFonts w:eastAsia="PMingLiU" w:cstheme="majorBidi"/>
          <w:bCs/>
          <w:sz w:val="24"/>
          <w:szCs w:val="24"/>
        </w:rPr>
        <w:t>legislation</w:t>
      </w:r>
      <w:r w:rsidRPr="00C60203">
        <w:rPr>
          <w:rFonts w:eastAsia="PMingLiU" w:cstheme="majorBidi"/>
          <w:bCs/>
          <w:sz w:val="24"/>
          <w:szCs w:val="24"/>
        </w:rPr>
        <w:t xml:space="preserve"> and the regulation of the internal administrative practices of registered organisations. In some areas of substantive disagreement (conciliation and arbitration vs collective bargaining, the scope for individual negotiations vs collective agreements, </w:t>
      </w:r>
      <w:r w:rsidR="008251A9">
        <w:rPr>
          <w:rFonts w:eastAsia="PMingLiU" w:cstheme="majorBidi"/>
          <w:bCs/>
          <w:sz w:val="24"/>
          <w:szCs w:val="24"/>
        </w:rPr>
        <w:t xml:space="preserve">and </w:t>
      </w:r>
      <w:r w:rsidRPr="00C60203">
        <w:rPr>
          <w:rFonts w:eastAsia="PMingLiU" w:cstheme="majorBidi"/>
          <w:bCs/>
          <w:sz w:val="24"/>
          <w:szCs w:val="24"/>
        </w:rPr>
        <w:t xml:space="preserve">the degree of </w:t>
      </w:r>
      <w:r w:rsidR="008023A1">
        <w:rPr>
          <w:rFonts w:eastAsia="PMingLiU" w:cstheme="majorBidi"/>
          <w:bCs/>
          <w:sz w:val="24"/>
          <w:szCs w:val="24"/>
        </w:rPr>
        <w:t xml:space="preserve">the </w:t>
      </w:r>
      <w:r w:rsidRPr="00C60203">
        <w:rPr>
          <w:rFonts w:eastAsia="PMingLiU" w:cstheme="majorBidi"/>
          <w:bCs/>
          <w:sz w:val="24"/>
          <w:szCs w:val="24"/>
        </w:rPr>
        <w:t>Austral</w:t>
      </w:r>
      <w:r w:rsidR="004B5116">
        <w:rPr>
          <w:rFonts w:eastAsia="PMingLiU" w:cstheme="majorBidi"/>
          <w:bCs/>
          <w:sz w:val="24"/>
          <w:szCs w:val="24"/>
        </w:rPr>
        <w:t>i</w:t>
      </w:r>
      <w:r w:rsidRPr="00C60203">
        <w:rPr>
          <w:rFonts w:eastAsia="PMingLiU" w:cstheme="majorBidi"/>
          <w:bCs/>
          <w:sz w:val="24"/>
          <w:szCs w:val="24"/>
        </w:rPr>
        <w:t>an Industrial Relations Commission control over agreements), it is interesting to note that over time</w:t>
      </w:r>
      <w:r w:rsidR="008023A1">
        <w:rPr>
          <w:rFonts w:eastAsia="PMingLiU" w:cstheme="majorBidi"/>
          <w:bCs/>
          <w:sz w:val="24"/>
          <w:szCs w:val="24"/>
        </w:rPr>
        <w:t>,</w:t>
      </w:r>
      <w:r w:rsidRPr="00C60203">
        <w:rPr>
          <w:rFonts w:eastAsia="PMingLiU" w:cstheme="majorBidi"/>
          <w:bCs/>
          <w:sz w:val="24"/>
          <w:szCs w:val="24"/>
        </w:rPr>
        <w:t xml:space="preserve"> the positions of the major parties have changed, sometimes to the extent that they are on different sides of the same argument. The conclusion that the Association of Mines and Metal </w:t>
      </w:r>
      <w:r w:rsidRPr="0026765D">
        <w:rPr>
          <w:rFonts w:eastAsia="PMingLiU" w:cstheme="majorBidi"/>
          <w:bCs/>
          <w:sz w:val="24"/>
          <w:szCs w:val="24"/>
        </w:rPr>
        <w:t xml:space="preserve">Australia </w:t>
      </w:r>
      <w:r w:rsidR="00D11B18" w:rsidRPr="0026765D">
        <w:rPr>
          <w:rFonts w:eastAsia="PMingLiU" w:cstheme="majorBidi"/>
          <w:bCs/>
          <w:sz w:val="24"/>
          <w:szCs w:val="24"/>
        </w:rPr>
        <w:t>(AMMA 1999)</w:t>
      </w:r>
      <w:r w:rsidR="00D11B18" w:rsidRPr="00C60203">
        <w:rPr>
          <w:rFonts w:eastAsia="PMingLiU" w:cstheme="majorBidi"/>
          <w:bCs/>
          <w:sz w:val="24"/>
          <w:szCs w:val="24"/>
        </w:rPr>
        <w:t xml:space="preserve"> </w:t>
      </w:r>
      <w:r w:rsidRPr="00C60203">
        <w:rPr>
          <w:rFonts w:eastAsia="PMingLiU" w:cstheme="majorBidi"/>
          <w:bCs/>
          <w:sz w:val="24"/>
          <w:szCs w:val="24"/>
        </w:rPr>
        <w:t>reached from the analysis of the operation of the ’</w:t>
      </w:r>
      <w:r w:rsidR="0026765D">
        <w:rPr>
          <w:rFonts w:eastAsia="PMingLiU" w:cstheme="majorBidi"/>
          <w:bCs/>
          <w:sz w:val="24"/>
          <w:szCs w:val="24"/>
        </w:rPr>
        <w:t>industrial relations pendulum</w:t>
      </w:r>
      <w:r w:rsidR="008023A1">
        <w:rPr>
          <w:rFonts w:eastAsia="PMingLiU" w:cstheme="majorBidi"/>
          <w:bCs/>
          <w:sz w:val="24"/>
          <w:szCs w:val="24"/>
        </w:rPr>
        <w:t>’</w:t>
      </w:r>
      <w:r w:rsidR="0026765D">
        <w:rPr>
          <w:rFonts w:eastAsia="PMingLiU" w:cstheme="majorBidi"/>
          <w:bCs/>
          <w:sz w:val="24"/>
          <w:szCs w:val="24"/>
        </w:rPr>
        <w:t xml:space="preserve"> between </w:t>
      </w:r>
      <w:r w:rsidRPr="00C60203">
        <w:rPr>
          <w:rFonts w:eastAsia="PMingLiU" w:cstheme="majorBidi"/>
          <w:bCs/>
          <w:sz w:val="24"/>
          <w:szCs w:val="24"/>
        </w:rPr>
        <w:t>1956</w:t>
      </w:r>
      <w:r w:rsidR="0026765D">
        <w:rPr>
          <w:rFonts w:eastAsia="PMingLiU" w:cstheme="majorBidi"/>
          <w:bCs/>
          <w:sz w:val="24"/>
          <w:szCs w:val="24"/>
        </w:rPr>
        <w:t xml:space="preserve"> and </w:t>
      </w:r>
      <w:r w:rsidRPr="00C60203">
        <w:rPr>
          <w:rFonts w:eastAsia="PMingLiU" w:cstheme="majorBidi"/>
          <w:bCs/>
          <w:sz w:val="24"/>
          <w:szCs w:val="24"/>
        </w:rPr>
        <w:t>19</w:t>
      </w:r>
      <w:r w:rsidR="0026765D">
        <w:rPr>
          <w:rFonts w:eastAsia="PMingLiU" w:cstheme="majorBidi"/>
          <w:bCs/>
          <w:sz w:val="24"/>
          <w:szCs w:val="24"/>
        </w:rPr>
        <w:t>9</w:t>
      </w:r>
      <w:r w:rsidRPr="00C60203">
        <w:rPr>
          <w:rFonts w:eastAsia="PMingLiU" w:cstheme="majorBidi"/>
          <w:bCs/>
          <w:sz w:val="24"/>
          <w:szCs w:val="24"/>
        </w:rPr>
        <w:t>8 period is worth repeating:</w:t>
      </w:r>
    </w:p>
    <w:p w:rsidR="006255AF" w:rsidRPr="00C60203" w:rsidRDefault="006255AF" w:rsidP="004B5116">
      <w:pPr>
        <w:spacing w:after="0" w:line="360" w:lineRule="auto"/>
        <w:ind w:left="720"/>
        <w:jc w:val="both"/>
        <w:rPr>
          <w:rFonts w:eastAsia="PMingLiU" w:cstheme="majorBidi"/>
          <w:bCs/>
          <w:i/>
          <w:sz w:val="24"/>
          <w:szCs w:val="24"/>
        </w:rPr>
      </w:pPr>
    </w:p>
    <w:p w:rsidR="006255AF" w:rsidRDefault="006255AF" w:rsidP="00726E76">
      <w:pPr>
        <w:spacing w:after="0" w:line="360" w:lineRule="auto"/>
        <w:ind w:left="1134"/>
        <w:jc w:val="both"/>
        <w:rPr>
          <w:rFonts w:eastAsia="PMingLiU" w:cstheme="majorBidi"/>
          <w:bCs/>
          <w:i/>
          <w:iCs/>
          <w:sz w:val="24"/>
          <w:szCs w:val="24"/>
        </w:rPr>
      </w:pPr>
      <w:r w:rsidRPr="00A85A33">
        <w:rPr>
          <w:rFonts w:eastAsia="PMingLiU" w:cstheme="majorBidi"/>
          <w:bCs/>
          <w:i/>
          <w:iCs/>
          <w:sz w:val="24"/>
          <w:szCs w:val="24"/>
        </w:rPr>
        <w:t>The conclusion to which one is inevitably drawn is an embarrassment to the parliamentary process and the history of public policy making in Australia. At the end of the period (19</w:t>
      </w:r>
      <w:r w:rsidR="0026765D">
        <w:rPr>
          <w:rFonts w:eastAsia="PMingLiU" w:cstheme="majorBidi"/>
          <w:bCs/>
          <w:i/>
          <w:iCs/>
          <w:sz w:val="24"/>
          <w:szCs w:val="24"/>
        </w:rPr>
        <w:t>8</w:t>
      </w:r>
      <w:r w:rsidRPr="00A85A33">
        <w:rPr>
          <w:rFonts w:eastAsia="PMingLiU" w:cstheme="majorBidi"/>
          <w:bCs/>
          <w:i/>
          <w:iCs/>
          <w:sz w:val="24"/>
          <w:szCs w:val="24"/>
        </w:rPr>
        <w:t xml:space="preserve">8), it was plain to see that the economy continued to be plagued by high inflation, high unemployment and low productivity growth. By the early 1990s, the Industrial Relations Act 1988, as a framework for the system had been discarded. A wholesale and major reform had begun with a move to an enterprise bargaining based system, first supported by a Labor Government in policy and law. The trend to greater flexibility and decentralisation was continued by the subsequent Liberal/National Coalition Government. Finally, it should be recalled that all the political rhetoric, countless hours of legislative drafting and </w:t>
      </w:r>
      <w:r w:rsidRPr="00A85A33">
        <w:rPr>
          <w:rFonts w:eastAsia="PMingLiU" w:cstheme="majorBidi"/>
          <w:bCs/>
          <w:i/>
          <w:iCs/>
          <w:sz w:val="24"/>
          <w:szCs w:val="24"/>
        </w:rPr>
        <w:lastRenderedPageBreak/>
        <w:t>Parliamentary debate involved in the 52 Amending Bil</w:t>
      </w:r>
      <w:r w:rsidR="00AB3306" w:rsidRPr="00A85A33">
        <w:rPr>
          <w:rFonts w:eastAsia="PMingLiU" w:cstheme="majorBidi"/>
          <w:bCs/>
          <w:i/>
          <w:iCs/>
          <w:sz w:val="24"/>
          <w:szCs w:val="24"/>
        </w:rPr>
        <w:t>ls introduced over the period</w:t>
      </w:r>
      <w:r w:rsidRPr="00A85A33">
        <w:rPr>
          <w:rFonts w:eastAsia="PMingLiU" w:cstheme="majorBidi"/>
          <w:bCs/>
          <w:i/>
          <w:iCs/>
          <w:sz w:val="24"/>
          <w:szCs w:val="24"/>
        </w:rPr>
        <w:t>...cost, conservatively estimated, well in excess of one million dollars each days debate. Readers may well question the total cost to tax payers over the period, and for what net benefit?</w:t>
      </w:r>
    </w:p>
    <w:p w:rsidR="00D11B18" w:rsidRPr="00D11B18" w:rsidRDefault="00D11B18" w:rsidP="00D11B18">
      <w:pPr>
        <w:spacing w:after="0" w:line="360" w:lineRule="auto"/>
        <w:ind w:left="1418"/>
        <w:jc w:val="both"/>
        <w:rPr>
          <w:rFonts w:eastAsia="PMingLiU" w:cstheme="majorBidi"/>
          <w:bCs/>
          <w:i/>
          <w:iCs/>
          <w:sz w:val="24"/>
          <w:szCs w:val="24"/>
        </w:rPr>
      </w:pPr>
    </w:p>
    <w:p w:rsidR="006255AF" w:rsidRDefault="006255AF" w:rsidP="00494F98">
      <w:pPr>
        <w:pStyle w:val="ListParagraph"/>
        <w:spacing w:after="0" w:line="360" w:lineRule="auto"/>
        <w:ind w:left="709"/>
        <w:jc w:val="both"/>
        <w:rPr>
          <w:rFonts w:cstheme="majorBidi"/>
          <w:sz w:val="24"/>
          <w:szCs w:val="24"/>
        </w:rPr>
      </w:pPr>
      <w:r w:rsidRPr="00C60203">
        <w:rPr>
          <w:rFonts w:cstheme="majorBidi"/>
          <w:sz w:val="24"/>
          <w:szCs w:val="24"/>
        </w:rPr>
        <w:t xml:space="preserve">This phenomenon was again readily apparent during the 2007 federal election in which </w:t>
      </w:r>
      <w:r w:rsidR="00494F98">
        <w:rPr>
          <w:rFonts w:cstheme="majorBidi"/>
          <w:i/>
          <w:iCs/>
          <w:sz w:val="24"/>
          <w:szCs w:val="24"/>
        </w:rPr>
        <w:t>`</w:t>
      </w:r>
      <w:r w:rsidR="0026765D">
        <w:rPr>
          <w:rFonts w:cstheme="majorBidi"/>
          <w:sz w:val="24"/>
          <w:szCs w:val="24"/>
        </w:rPr>
        <w:t xml:space="preserve"> </w:t>
      </w:r>
      <w:r w:rsidR="003C3A8E">
        <w:rPr>
          <w:rFonts w:cstheme="majorBidi"/>
          <w:sz w:val="24"/>
          <w:szCs w:val="24"/>
        </w:rPr>
        <w:t xml:space="preserve">amendments </w:t>
      </w:r>
      <w:r w:rsidR="0026765D">
        <w:rPr>
          <w:rFonts w:cstheme="majorBidi"/>
          <w:sz w:val="24"/>
          <w:szCs w:val="24"/>
        </w:rPr>
        <w:t>featured so prominently</w:t>
      </w:r>
      <w:r w:rsidR="000E629A">
        <w:rPr>
          <w:rFonts w:cstheme="majorBidi"/>
          <w:sz w:val="24"/>
          <w:szCs w:val="24"/>
        </w:rPr>
        <w:t xml:space="preserve">. The process of review now occurring represents an opportunity to prevent a further costly and disruptive swing of the industrial relations pendulum.  </w:t>
      </w:r>
    </w:p>
    <w:p w:rsidR="00D11B18" w:rsidRPr="00C60203" w:rsidRDefault="00D11B18" w:rsidP="00D11B18">
      <w:pPr>
        <w:pStyle w:val="ListParagraph"/>
        <w:spacing w:after="0" w:line="360" w:lineRule="auto"/>
        <w:ind w:left="709"/>
        <w:jc w:val="both"/>
        <w:rPr>
          <w:rFonts w:cstheme="majorBidi"/>
          <w:sz w:val="24"/>
          <w:szCs w:val="24"/>
        </w:rPr>
      </w:pPr>
    </w:p>
    <w:p w:rsidR="00D11B18" w:rsidRPr="00C60203" w:rsidRDefault="006255AF" w:rsidP="008023A1">
      <w:pPr>
        <w:spacing w:after="0" w:line="360" w:lineRule="auto"/>
        <w:ind w:left="709" w:hanging="709"/>
        <w:jc w:val="both"/>
        <w:rPr>
          <w:rFonts w:eastAsia="PMingLiU" w:cstheme="majorBidi"/>
          <w:bCs/>
          <w:sz w:val="24"/>
          <w:szCs w:val="24"/>
        </w:rPr>
      </w:pPr>
      <w:r w:rsidRPr="00C60203">
        <w:rPr>
          <w:rFonts w:cstheme="majorBidi"/>
          <w:sz w:val="24"/>
          <w:szCs w:val="24"/>
        </w:rPr>
        <w:t>3.4</w:t>
      </w:r>
      <w:r w:rsidRPr="00C60203">
        <w:rPr>
          <w:rFonts w:cstheme="majorBidi"/>
          <w:sz w:val="24"/>
          <w:szCs w:val="24"/>
        </w:rPr>
        <w:tab/>
        <w:t xml:space="preserve">While controversy in this area is to be expected, given the economic and industrial interests at stake, the magnitude and frequency of changes in legislative arrangements in Australia is striking compared to most other OECD economies. In a survey of this phenomenon prior to the </w:t>
      </w:r>
      <w:r w:rsidRPr="00C60203">
        <w:rPr>
          <w:rFonts w:cstheme="majorBidi"/>
          <w:i/>
          <w:iCs/>
          <w:sz w:val="24"/>
          <w:szCs w:val="24"/>
        </w:rPr>
        <w:t>WorkChoices</w:t>
      </w:r>
      <w:r w:rsidR="000E629A">
        <w:rPr>
          <w:rFonts w:cstheme="majorBidi"/>
          <w:i/>
          <w:iCs/>
          <w:sz w:val="24"/>
          <w:szCs w:val="24"/>
        </w:rPr>
        <w:t xml:space="preserve"> </w:t>
      </w:r>
      <w:r w:rsidR="000E629A">
        <w:rPr>
          <w:rFonts w:cstheme="majorBidi"/>
          <w:iCs/>
          <w:sz w:val="24"/>
          <w:szCs w:val="24"/>
        </w:rPr>
        <w:t xml:space="preserve">amendments </w:t>
      </w:r>
      <w:r w:rsidRPr="00C60203">
        <w:rPr>
          <w:rFonts w:cstheme="majorBidi"/>
          <w:sz w:val="24"/>
          <w:szCs w:val="24"/>
        </w:rPr>
        <w:t xml:space="preserve">in Australia, </w:t>
      </w:r>
      <w:r w:rsidR="00090E45">
        <w:rPr>
          <w:rFonts w:cstheme="majorBidi"/>
          <w:sz w:val="24"/>
          <w:szCs w:val="24"/>
        </w:rPr>
        <w:fldChar w:fldCharType="begin"/>
      </w:r>
      <w:r w:rsidR="00090E45">
        <w:rPr>
          <w:rFonts w:cstheme="majorBidi"/>
          <w:sz w:val="24"/>
          <w:szCs w:val="24"/>
        </w:rPr>
        <w:instrText xml:space="preserve"> ADDIN EN.CITE &lt;EndNote&gt;&lt;Cite AuthorYear="1"&gt;&lt;Author&gt;Traxler&lt;/Author&gt;&lt;Year&gt;2001&lt;/Year&gt;&lt;RecNum&gt;33&lt;/RecNum&gt;&lt;DisplayText&gt;Traxler, Blaschke, and Kittel (2001)&lt;/DisplayText&gt;&lt;record&gt;&lt;rec-number&gt;33&lt;/rec-number&gt;&lt;foreign-keys&gt;&lt;key app="EN" db-id="xe9w25v07zaw5hev9v0p2xz5fwzxxrfx0t50" timestamp="1426051526"&gt;33&lt;/key&gt;&lt;/foreign-keys&gt;&lt;ref-type name="Book"&gt;6&lt;/ref-type&gt;&lt;contributors&gt;&lt;authors&gt;&lt;author&gt;Traxler, F.&lt;/author&gt;&lt;author&gt;Blaschke, S.&lt;/author&gt;&lt;author&gt;Kittel, B.&lt;/author&gt;&lt;/authors&gt;&lt;/contributors&gt;&lt;titles&gt;&lt;title&gt;National labour relations in internationalized markets: A comparative study of institutions, change, and performance&lt;/title&gt;&lt;/titles&gt;&lt;section&gt;297&lt;/section&gt;&lt;dates&gt;&lt;year&gt;2001&lt;/year&gt;&lt;/dates&gt;&lt;pub-location&gt;Oxford&lt;/pub-location&gt;&lt;publisher&gt;Oxford University Press&lt;/publisher&gt;&lt;urls&gt;&lt;/urls&gt;&lt;/record&gt;&lt;/Cite&gt;&lt;/EndNote&gt;</w:instrText>
      </w:r>
      <w:r w:rsidR="00090E45">
        <w:rPr>
          <w:rFonts w:cstheme="majorBidi"/>
          <w:sz w:val="24"/>
          <w:szCs w:val="24"/>
        </w:rPr>
        <w:fldChar w:fldCharType="separate"/>
      </w:r>
      <w:r w:rsidR="00090E45">
        <w:rPr>
          <w:rFonts w:cstheme="majorBidi"/>
          <w:noProof/>
          <w:sz w:val="24"/>
          <w:szCs w:val="24"/>
        </w:rPr>
        <w:t>Traxler, Blaschke, and Kittel (2001)</w:t>
      </w:r>
      <w:r w:rsidR="00090E45">
        <w:rPr>
          <w:rFonts w:cstheme="majorBidi"/>
          <w:sz w:val="24"/>
          <w:szCs w:val="24"/>
        </w:rPr>
        <w:fldChar w:fldCharType="end"/>
      </w:r>
      <w:r w:rsidR="00090E45">
        <w:rPr>
          <w:rFonts w:cstheme="majorBidi"/>
          <w:sz w:val="24"/>
          <w:szCs w:val="24"/>
        </w:rPr>
        <w:t xml:space="preserve"> </w:t>
      </w:r>
      <w:r w:rsidR="00D11B18" w:rsidRPr="00C60203">
        <w:rPr>
          <w:rFonts w:cstheme="majorBidi"/>
          <w:sz w:val="24"/>
          <w:szCs w:val="24"/>
        </w:rPr>
        <w:t>observe</w:t>
      </w:r>
      <w:r w:rsidR="008023A1">
        <w:rPr>
          <w:rFonts w:cstheme="majorBidi"/>
          <w:sz w:val="24"/>
          <w:szCs w:val="24"/>
        </w:rPr>
        <w:t>d</w:t>
      </w:r>
      <w:r w:rsidR="00D11B18" w:rsidRPr="00C60203">
        <w:rPr>
          <w:rFonts w:cstheme="majorBidi"/>
          <w:sz w:val="24"/>
          <w:szCs w:val="24"/>
        </w:rPr>
        <w:t xml:space="preserve"> that a</w:t>
      </w:r>
      <w:r w:rsidR="00D11B18" w:rsidRPr="00C60203">
        <w:rPr>
          <w:rFonts w:eastAsia="PMingLiU" w:cstheme="majorBidi"/>
          <w:bCs/>
          <w:sz w:val="24"/>
          <w:szCs w:val="24"/>
        </w:rPr>
        <w:t xml:space="preserve">mong OECD countries, European members </w:t>
      </w:r>
      <w:r w:rsidR="008023A1">
        <w:rPr>
          <w:rFonts w:eastAsia="PMingLiU" w:cstheme="majorBidi"/>
          <w:bCs/>
          <w:sz w:val="24"/>
          <w:szCs w:val="24"/>
        </w:rPr>
        <w:t xml:space="preserve">prioritised </w:t>
      </w:r>
      <w:r w:rsidR="00D11B18" w:rsidRPr="00C60203">
        <w:rPr>
          <w:rFonts w:eastAsia="PMingLiU" w:cstheme="majorBidi"/>
          <w:bCs/>
          <w:sz w:val="24"/>
          <w:szCs w:val="24"/>
        </w:rPr>
        <w:t xml:space="preserve"> social stabilisation when faced with a policy choice between the social and economic objectives which involve</w:t>
      </w:r>
      <w:r w:rsidR="008023A1">
        <w:rPr>
          <w:rFonts w:eastAsia="PMingLiU" w:cstheme="majorBidi"/>
          <w:bCs/>
          <w:sz w:val="24"/>
          <w:szCs w:val="24"/>
        </w:rPr>
        <w:t>d</w:t>
      </w:r>
      <w:r w:rsidR="00D11B18" w:rsidRPr="00C60203">
        <w:rPr>
          <w:rFonts w:eastAsia="PMingLiU" w:cstheme="majorBidi"/>
          <w:bCs/>
          <w:sz w:val="24"/>
          <w:szCs w:val="24"/>
        </w:rPr>
        <w:t xml:space="preserve"> overriding the role of the collective processes of the </w:t>
      </w:r>
      <w:r w:rsidR="000E629A">
        <w:rPr>
          <w:rFonts w:eastAsia="PMingLiU" w:cstheme="majorBidi"/>
          <w:bCs/>
          <w:sz w:val="24"/>
          <w:szCs w:val="24"/>
        </w:rPr>
        <w:t xml:space="preserve">industrial </w:t>
      </w:r>
      <w:r w:rsidR="00D11B18" w:rsidRPr="00C60203">
        <w:rPr>
          <w:rFonts w:eastAsia="PMingLiU" w:cstheme="majorBidi"/>
          <w:bCs/>
          <w:sz w:val="24"/>
          <w:szCs w:val="24"/>
        </w:rPr>
        <w:t xml:space="preserve">relation system. In the United Kingdom under </w:t>
      </w:r>
      <w:r w:rsidR="00D11B18">
        <w:rPr>
          <w:rFonts w:eastAsia="PMingLiU" w:cstheme="majorBidi"/>
          <w:bCs/>
          <w:sz w:val="24"/>
          <w:szCs w:val="24"/>
        </w:rPr>
        <w:t xml:space="preserve">prime minister </w:t>
      </w:r>
      <w:r w:rsidR="00D11B18" w:rsidRPr="00C60203">
        <w:rPr>
          <w:rFonts w:eastAsia="PMingLiU" w:cstheme="majorBidi"/>
          <w:bCs/>
          <w:sz w:val="24"/>
          <w:szCs w:val="24"/>
        </w:rPr>
        <w:t>Margaret Thatcher (</w:t>
      </w:r>
      <w:r w:rsidR="00D11B18" w:rsidRPr="00C60203">
        <w:rPr>
          <w:rFonts w:eastAsia="PMingLiU" w:cstheme="majorBidi"/>
          <w:bCs/>
          <w:i/>
          <w:iCs/>
          <w:sz w:val="24"/>
          <w:szCs w:val="24"/>
        </w:rPr>
        <w:t xml:space="preserve">Trade Union Act 1984 </w:t>
      </w:r>
      <w:r w:rsidR="00D11B18" w:rsidRPr="00C60203">
        <w:rPr>
          <w:rFonts w:eastAsia="PMingLiU" w:cstheme="majorBidi"/>
          <w:bCs/>
          <w:sz w:val="24"/>
          <w:szCs w:val="24"/>
        </w:rPr>
        <w:t>and</w:t>
      </w:r>
      <w:r w:rsidR="00D11B18">
        <w:rPr>
          <w:rFonts w:eastAsia="PMingLiU" w:cstheme="majorBidi"/>
          <w:bCs/>
          <w:sz w:val="24"/>
          <w:szCs w:val="24"/>
        </w:rPr>
        <w:t xml:space="preserve"> the</w:t>
      </w:r>
      <w:r w:rsidR="00D11B18" w:rsidRPr="00C60203">
        <w:rPr>
          <w:rFonts w:eastAsia="PMingLiU" w:cstheme="majorBidi"/>
          <w:bCs/>
          <w:sz w:val="24"/>
          <w:szCs w:val="24"/>
        </w:rPr>
        <w:t xml:space="preserve"> </w:t>
      </w:r>
      <w:r w:rsidR="00D11B18" w:rsidRPr="00C60203">
        <w:rPr>
          <w:rFonts w:eastAsia="PMingLiU" w:cstheme="majorBidi"/>
          <w:bCs/>
          <w:i/>
          <w:iCs/>
          <w:sz w:val="24"/>
          <w:szCs w:val="24"/>
        </w:rPr>
        <w:t>Employment Act 1980</w:t>
      </w:r>
      <w:r w:rsidR="00D11B18" w:rsidRPr="00C60203">
        <w:rPr>
          <w:rFonts w:eastAsia="PMingLiU" w:cstheme="majorBidi"/>
          <w:bCs/>
          <w:sz w:val="24"/>
          <w:szCs w:val="24"/>
        </w:rPr>
        <w:t xml:space="preserve"> and subsequent amendments in 1988, 1989, 1990)</w:t>
      </w:r>
      <w:r w:rsidR="00D11B18">
        <w:rPr>
          <w:rFonts w:eastAsia="PMingLiU" w:cstheme="majorBidi"/>
          <w:bCs/>
          <w:sz w:val="24"/>
          <w:szCs w:val="24"/>
        </w:rPr>
        <w:t>,</w:t>
      </w:r>
      <w:r w:rsidR="00D11B18" w:rsidRPr="00C60203">
        <w:rPr>
          <w:rFonts w:eastAsia="PMingLiU" w:cstheme="majorBidi"/>
          <w:bCs/>
          <w:sz w:val="24"/>
          <w:szCs w:val="24"/>
        </w:rPr>
        <w:t xml:space="preserve"> and in New Zealand under prime minister Robert Muldoon (</w:t>
      </w:r>
      <w:r w:rsidR="00D11B18" w:rsidRPr="00C60203">
        <w:rPr>
          <w:rFonts w:eastAsia="PMingLiU" w:cstheme="majorBidi"/>
          <w:bCs/>
          <w:i/>
          <w:iCs/>
          <w:sz w:val="24"/>
          <w:szCs w:val="24"/>
        </w:rPr>
        <w:t>Employment Contracts Act 1991</w:t>
      </w:r>
      <w:r w:rsidR="00D11B18">
        <w:rPr>
          <w:rFonts w:eastAsia="PMingLiU" w:cstheme="majorBidi"/>
          <w:bCs/>
          <w:sz w:val="24"/>
          <w:szCs w:val="24"/>
        </w:rPr>
        <w:t>,</w:t>
      </w:r>
      <w:r w:rsidR="00D11B18" w:rsidRPr="00C60203">
        <w:rPr>
          <w:rFonts w:eastAsia="PMingLiU" w:cstheme="majorBidi"/>
          <w:bCs/>
          <w:sz w:val="24"/>
          <w:szCs w:val="24"/>
        </w:rPr>
        <w:t xml:space="preserve"> significant legislative interventions </w:t>
      </w:r>
      <w:r w:rsidR="00D11B18">
        <w:rPr>
          <w:rFonts w:eastAsia="PMingLiU" w:cstheme="majorBidi"/>
          <w:bCs/>
          <w:sz w:val="24"/>
          <w:szCs w:val="24"/>
        </w:rPr>
        <w:t xml:space="preserve">were made </w:t>
      </w:r>
      <w:r w:rsidR="00D11B18" w:rsidRPr="00C60203">
        <w:rPr>
          <w:rFonts w:eastAsia="PMingLiU" w:cstheme="majorBidi"/>
          <w:bCs/>
          <w:sz w:val="24"/>
          <w:szCs w:val="24"/>
        </w:rPr>
        <w:t>for the purposes of economic stabilisation an</w:t>
      </w:r>
      <w:r w:rsidR="00D11B18">
        <w:rPr>
          <w:rFonts w:eastAsia="PMingLiU" w:cstheme="majorBidi"/>
          <w:bCs/>
          <w:sz w:val="24"/>
          <w:szCs w:val="24"/>
        </w:rPr>
        <w:t xml:space="preserve">d reform with little regard for </w:t>
      </w:r>
      <w:r w:rsidR="00D11B18" w:rsidRPr="00C60203">
        <w:rPr>
          <w:rFonts w:eastAsia="PMingLiU" w:cstheme="majorBidi"/>
          <w:bCs/>
          <w:sz w:val="24"/>
          <w:szCs w:val="24"/>
        </w:rPr>
        <w:t xml:space="preserve">long established labour market institutions and relationships. </w:t>
      </w:r>
    </w:p>
    <w:p w:rsidR="00D11B18" w:rsidRPr="00445105" w:rsidRDefault="00D11B18" w:rsidP="00D11B18">
      <w:pPr>
        <w:spacing w:after="0" w:line="360" w:lineRule="auto"/>
        <w:jc w:val="both"/>
        <w:rPr>
          <w:rFonts w:eastAsia="PMingLiU" w:cstheme="majorBidi"/>
          <w:bCs/>
          <w:sz w:val="24"/>
          <w:szCs w:val="24"/>
        </w:rPr>
      </w:pPr>
    </w:p>
    <w:p w:rsidR="006255AF" w:rsidRPr="00C60203" w:rsidRDefault="00D11B18" w:rsidP="00D11B18">
      <w:pPr>
        <w:spacing w:after="0" w:line="360" w:lineRule="auto"/>
        <w:ind w:left="709" w:hanging="709"/>
        <w:jc w:val="both"/>
        <w:rPr>
          <w:rFonts w:cstheme="majorBidi"/>
          <w:sz w:val="24"/>
          <w:szCs w:val="24"/>
        </w:rPr>
      </w:pPr>
      <w:r w:rsidRPr="00445105">
        <w:rPr>
          <w:rFonts w:eastAsia="PMingLiU" w:cstheme="majorBidi"/>
          <w:bCs/>
          <w:sz w:val="24"/>
          <w:szCs w:val="24"/>
        </w:rPr>
        <w:t xml:space="preserve">3.5 </w:t>
      </w:r>
      <w:r w:rsidRPr="00445105">
        <w:rPr>
          <w:rFonts w:eastAsia="PMingLiU" w:cstheme="majorBidi"/>
          <w:bCs/>
          <w:sz w:val="24"/>
          <w:szCs w:val="24"/>
        </w:rPr>
        <w:tab/>
        <w:t xml:space="preserve">However, successive governments in the UK and NZ have not sought to turn back these fundamental reforms. In Australia by contrast, the unprecedented change reflected in the </w:t>
      </w:r>
      <w:r w:rsidRPr="00445105">
        <w:rPr>
          <w:rFonts w:cs="Times"/>
          <w:bCs/>
          <w:i/>
          <w:iCs/>
          <w:color w:val="000000"/>
          <w:sz w:val="24"/>
          <w:szCs w:val="24"/>
          <w:shd w:val="clear" w:color="auto" w:fill="FFFFFF"/>
        </w:rPr>
        <w:t xml:space="preserve">Workplace Relations Amendment (Work Choices) Act </w:t>
      </w:r>
      <w:r w:rsidRPr="00445105">
        <w:rPr>
          <w:rFonts w:cs="Times"/>
          <w:bCs/>
          <w:color w:val="000000"/>
          <w:sz w:val="24"/>
          <w:szCs w:val="24"/>
          <w:shd w:val="clear" w:color="auto" w:fill="FFFFFF"/>
        </w:rPr>
        <w:t>2005</w:t>
      </w:r>
      <w:r w:rsidRPr="00445105">
        <w:rPr>
          <w:rFonts w:eastAsia="PMingLiU" w:cstheme="majorBidi"/>
          <w:bCs/>
          <w:sz w:val="24"/>
          <w:szCs w:val="24"/>
        </w:rPr>
        <w:t xml:space="preserve"> was a major factor leading to a change of federal government and to the prime minister of the day losing his seat. </w:t>
      </w:r>
      <w:r w:rsidR="004F1F52">
        <w:rPr>
          <w:rFonts w:eastAsia="PMingLiU" w:cstheme="majorBidi"/>
          <w:bCs/>
          <w:sz w:val="24"/>
          <w:szCs w:val="24"/>
        </w:rPr>
        <w:t xml:space="preserve">Consequently, </w:t>
      </w:r>
      <w:r w:rsidRPr="00445105">
        <w:rPr>
          <w:rFonts w:cstheme="majorBidi"/>
          <w:bCs/>
          <w:sz w:val="24"/>
          <w:szCs w:val="24"/>
        </w:rPr>
        <w:t xml:space="preserve">there is now a systemic risk that rhetoric rather than logic will dominate debate about how our workplace relations system adapts to the economic and social changes that will inevitably flow from a further period of major structural </w:t>
      </w:r>
      <w:r w:rsidRPr="00445105">
        <w:rPr>
          <w:rFonts w:cstheme="majorBidi"/>
          <w:bCs/>
          <w:sz w:val="24"/>
          <w:szCs w:val="24"/>
        </w:rPr>
        <w:lastRenderedPageBreak/>
        <w:t>change. Could the public policy process once again fail at a time when the need for our workplace relations system to support productivity performance is imperative?</w:t>
      </w:r>
    </w:p>
    <w:p w:rsidR="006255AF" w:rsidRPr="00C60203" w:rsidRDefault="006255AF" w:rsidP="00327732">
      <w:pPr>
        <w:tabs>
          <w:tab w:val="left" w:pos="709"/>
        </w:tabs>
        <w:spacing w:after="0" w:line="360" w:lineRule="auto"/>
        <w:ind w:left="709" w:hanging="709"/>
        <w:jc w:val="both"/>
        <w:rPr>
          <w:rFonts w:cstheme="majorBidi"/>
          <w:sz w:val="24"/>
          <w:szCs w:val="24"/>
        </w:rPr>
      </w:pPr>
    </w:p>
    <w:p w:rsidR="006255AF" w:rsidRPr="00C60203" w:rsidRDefault="006255AF" w:rsidP="00327732">
      <w:pPr>
        <w:pStyle w:val="ListParagraph"/>
        <w:spacing w:line="360" w:lineRule="auto"/>
        <w:ind w:left="709" w:hanging="709"/>
        <w:jc w:val="both"/>
        <w:rPr>
          <w:rFonts w:cstheme="majorBidi"/>
          <w:b/>
          <w:sz w:val="24"/>
          <w:szCs w:val="24"/>
        </w:rPr>
      </w:pPr>
      <w:r w:rsidRPr="00C60203">
        <w:rPr>
          <w:rFonts w:cstheme="majorBidi"/>
          <w:sz w:val="24"/>
          <w:szCs w:val="24"/>
        </w:rPr>
        <w:t>3.6</w:t>
      </w:r>
      <w:r w:rsidRPr="00C60203">
        <w:rPr>
          <w:rFonts w:cstheme="majorBidi"/>
          <w:sz w:val="24"/>
          <w:szCs w:val="24"/>
        </w:rPr>
        <w:tab/>
      </w:r>
      <w:r w:rsidRPr="00C60203">
        <w:rPr>
          <w:rFonts w:cstheme="majorBidi"/>
          <w:b/>
          <w:bCs/>
          <w:sz w:val="24"/>
          <w:szCs w:val="24"/>
        </w:rPr>
        <w:t>A</w:t>
      </w:r>
      <w:r w:rsidRPr="00C60203">
        <w:rPr>
          <w:rFonts w:cstheme="majorBidi"/>
          <w:b/>
          <w:sz w:val="24"/>
          <w:szCs w:val="24"/>
        </w:rPr>
        <w:t xml:space="preserve"> different approach to this review is required to </w:t>
      </w:r>
      <w:r w:rsidR="0049486E">
        <w:rPr>
          <w:rFonts w:cstheme="majorBidi"/>
          <w:b/>
          <w:sz w:val="24"/>
          <w:szCs w:val="24"/>
        </w:rPr>
        <w:t>point the way to lasting change</w:t>
      </w:r>
    </w:p>
    <w:p w:rsidR="004F1F52" w:rsidRPr="00C60203" w:rsidRDefault="00D20A74" w:rsidP="0049486E">
      <w:pPr>
        <w:spacing w:after="0" w:line="360" w:lineRule="auto"/>
        <w:ind w:left="709"/>
        <w:jc w:val="both"/>
        <w:rPr>
          <w:rFonts w:eastAsia="PMingLiU" w:cstheme="majorBidi"/>
          <w:bCs/>
          <w:sz w:val="24"/>
          <w:szCs w:val="24"/>
        </w:rPr>
      </w:pPr>
      <w:r>
        <w:rPr>
          <w:rFonts w:cstheme="majorBidi"/>
          <w:sz w:val="24"/>
          <w:szCs w:val="24"/>
        </w:rPr>
        <w:t xml:space="preserve">We </w:t>
      </w:r>
      <w:r w:rsidR="00D11B18" w:rsidRPr="00C60203">
        <w:rPr>
          <w:rFonts w:cstheme="majorBidi"/>
          <w:sz w:val="24"/>
          <w:szCs w:val="24"/>
        </w:rPr>
        <w:t xml:space="preserve">contend </w:t>
      </w:r>
      <w:r w:rsidR="004F1F52" w:rsidRPr="00C60203">
        <w:rPr>
          <w:rFonts w:cstheme="majorBidi"/>
          <w:sz w:val="24"/>
          <w:szCs w:val="24"/>
        </w:rPr>
        <w:t>that th</w:t>
      </w:r>
      <w:r w:rsidR="004F1F52">
        <w:rPr>
          <w:rFonts w:cstheme="majorBidi"/>
          <w:sz w:val="24"/>
          <w:szCs w:val="24"/>
        </w:rPr>
        <w:t xml:space="preserve">e </w:t>
      </w:r>
      <w:r w:rsidR="0049486E">
        <w:rPr>
          <w:rFonts w:cstheme="majorBidi"/>
          <w:sz w:val="24"/>
          <w:szCs w:val="24"/>
        </w:rPr>
        <w:t>Productivity Commission</w:t>
      </w:r>
      <w:r w:rsidR="004F1F52">
        <w:rPr>
          <w:rFonts w:cstheme="majorBidi"/>
          <w:sz w:val="24"/>
          <w:szCs w:val="24"/>
        </w:rPr>
        <w:t xml:space="preserve">’s </w:t>
      </w:r>
      <w:r w:rsidR="004F1F52" w:rsidRPr="00C60203">
        <w:rPr>
          <w:rFonts w:cstheme="majorBidi"/>
          <w:sz w:val="24"/>
          <w:szCs w:val="24"/>
        </w:rPr>
        <w:t xml:space="preserve">review of the workplace relations framework </w:t>
      </w:r>
      <w:r w:rsidR="004F1F52">
        <w:rPr>
          <w:rFonts w:cstheme="majorBidi"/>
          <w:sz w:val="24"/>
          <w:szCs w:val="24"/>
        </w:rPr>
        <w:t xml:space="preserve">and the terms of reference </w:t>
      </w:r>
      <w:r w:rsidR="004F1F52" w:rsidRPr="00C60203">
        <w:rPr>
          <w:rFonts w:cstheme="majorBidi"/>
          <w:sz w:val="24"/>
          <w:szCs w:val="24"/>
        </w:rPr>
        <w:t xml:space="preserve">present an opportunity to begin a more </w:t>
      </w:r>
      <w:r w:rsidR="004F1F52">
        <w:rPr>
          <w:rFonts w:cstheme="majorBidi"/>
          <w:sz w:val="24"/>
          <w:szCs w:val="24"/>
        </w:rPr>
        <w:t xml:space="preserve">innovative and </w:t>
      </w:r>
      <w:r w:rsidR="004F1F52" w:rsidRPr="00C60203">
        <w:rPr>
          <w:rFonts w:cstheme="majorBidi"/>
          <w:sz w:val="24"/>
          <w:szCs w:val="24"/>
        </w:rPr>
        <w:t xml:space="preserve">constructive public policy process. </w:t>
      </w:r>
      <w:r w:rsidR="004F1F52">
        <w:rPr>
          <w:rFonts w:cstheme="majorBidi"/>
          <w:sz w:val="24"/>
          <w:szCs w:val="24"/>
        </w:rPr>
        <w:t>R</w:t>
      </w:r>
      <w:r w:rsidR="004F1F52" w:rsidRPr="00C60203">
        <w:rPr>
          <w:rFonts w:cstheme="majorBidi"/>
          <w:sz w:val="24"/>
          <w:szCs w:val="24"/>
        </w:rPr>
        <w:t>ealisation of t</w:t>
      </w:r>
      <w:r w:rsidR="004F1F52">
        <w:rPr>
          <w:rFonts w:cstheme="majorBidi"/>
          <w:sz w:val="24"/>
          <w:szCs w:val="24"/>
        </w:rPr>
        <w:t xml:space="preserve">his </w:t>
      </w:r>
      <w:r w:rsidR="004F1F52" w:rsidRPr="00C60203">
        <w:rPr>
          <w:rFonts w:cstheme="majorBidi"/>
          <w:sz w:val="24"/>
          <w:szCs w:val="24"/>
        </w:rPr>
        <w:t xml:space="preserve">opportunity will </w:t>
      </w:r>
      <w:r w:rsidR="004F1F52">
        <w:rPr>
          <w:rFonts w:cstheme="majorBidi"/>
          <w:sz w:val="24"/>
          <w:szCs w:val="24"/>
        </w:rPr>
        <w:t xml:space="preserve">however </w:t>
      </w:r>
      <w:r w:rsidR="004F1F52" w:rsidRPr="00C60203">
        <w:rPr>
          <w:rFonts w:cstheme="majorBidi"/>
          <w:sz w:val="24"/>
          <w:szCs w:val="24"/>
        </w:rPr>
        <w:t>also turn on behaviour and events which are outside</w:t>
      </w:r>
      <w:r w:rsidR="004F1F52">
        <w:rPr>
          <w:rFonts w:cstheme="majorBidi"/>
          <w:sz w:val="24"/>
          <w:szCs w:val="24"/>
        </w:rPr>
        <w:t xml:space="preserve"> the</w:t>
      </w:r>
      <w:r w:rsidR="004F1F52" w:rsidRPr="00C60203">
        <w:rPr>
          <w:rFonts w:cstheme="majorBidi"/>
          <w:sz w:val="24"/>
          <w:szCs w:val="24"/>
        </w:rPr>
        <w:t xml:space="preserve"> scope and the timing of the review</w:t>
      </w:r>
      <w:r w:rsidR="004F1F52">
        <w:rPr>
          <w:rFonts w:cstheme="majorBidi"/>
          <w:sz w:val="24"/>
          <w:szCs w:val="24"/>
        </w:rPr>
        <w:t>,</w:t>
      </w:r>
      <w:r w:rsidR="004F1F52" w:rsidRPr="00C60203">
        <w:rPr>
          <w:rFonts w:cstheme="majorBidi"/>
          <w:sz w:val="24"/>
          <w:szCs w:val="24"/>
        </w:rPr>
        <w:t xml:space="preserve"> including the period following early after the next federal election. Part of the behavioural change required</w:t>
      </w:r>
      <w:r w:rsidR="004F1F52">
        <w:rPr>
          <w:rFonts w:cstheme="majorBidi"/>
          <w:sz w:val="24"/>
          <w:szCs w:val="24"/>
        </w:rPr>
        <w:t xml:space="preserve">, </w:t>
      </w:r>
      <w:r w:rsidR="004F1F52" w:rsidRPr="00C60203">
        <w:rPr>
          <w:rFonts w:cstheme="majorBidi"/>
          <w:sz w:val="24"/>
          <w:szCs w:val="24"/>
        </w:rPr>
        <w:t xml:space="preserve">is for those making submissions </w:t>
      </w:r>
      <w:r w:rsidR="004F1F52">
        <w:rPr>
          <w:rFonts w:cstheme="majorBidi"/>
          <w:sz w:val="24"/>
          <w:szCs w:val="24"/>
        </w:rPr>
        <w:t>and other stakeholders,</w:t>
      </w:r>
      <w:r w:rsidR="004F1F52" w:rsidRPr="00C60203">
        <w:rPr>
          <w:rFonts w:cstheme="majorBidi"/>
          <w:sz w:val="24"/>
          <w:szCs w:val="24"/>
        </w:rPr>
        <w:t xml:space="preserve"> to reconsider longstanding and entrenched positions and to recognise that sustainable and productive improvements in our </w:t>
      </w:r>
      <w:r w:rsidR="004F1F52">
        <w:rPr>
          <w:rFonts w:cstheme="majorBidi"/>
          <w:sz w:val="24"/>
          <w:szCs w:val="24"/>
        </w:rPr>
        <w:t>workplace relations f</w:t>
      </w:r>
      <w:r w:rsidR="004F1F52" w:rsidRPr="00C60203">
        <w:rPr>
          <w:rFonts w:cstheme="majorBidi"/>
          <w:sz w:val="24"/>
          <w:szCs w:val="24"/>
        </w:rPr>
        <w:t xml:space="preserve">ramework do not come </w:t>
      </w:r>
      <w:r w:rsidR="004F1F52">
        <w:rPr>
          <w:rFonts w:cstheme="majorBidi"/>
          <w:sz w:val="24"/>
          <w:szCs w:val="24"/>
        </w:rPr>
        <w:t xml:space="preserve">only </w:t>
      </w:r>
      <w:r w:rsidR="004F1F52" w:rsidRPr="00C60203">
        <w:rPr>
          <w:rFonts w:cstheme="majorBidi"/>
          <w:sz w:val="24"/>
          <w:szCs w:val="24"/>
        </w:rPr>
        <w:t xml:space="preserve">from legislation </w:t>
      </w:r>
      <w:r w:rsidR="004F1F52" w:rsidRPr="00C60203">
        <w:rPr>
          <w:rFonts w:eastAsia="PMingLiU" w:cstheme="majorBidi"/>
          <w:bCs/>
          <w:sz w:val="24"/>
          <w:szCs w:val="24"/>
        </w:rPr>
        <w:t>but</w:t>
      </w:r>
      <w:r w:rsidR="004F1F52">
        <w:rPr>
          <w:rFonts w:eastAsia="PMingLiU" w:cstheme="majorBidi"/>
          <w:bCs/>
          <w:sz w:val="24"/>
          <w:szCs w:val="24"/>
        </w:rPr>
        <w:t xml:space="preserve"> from</w:t>
      </w:r>
      <w:r w:rsidR="004F1F52" w:rsidRPr="00C60203">
        <w:rPr>
          <w:rFonts w:eastAsia="PMingLiU" w:cstheme="majorBidi"/>
          <w:bCs/>
          <w:sz w:val="24"/>
          <w:szCs w:val="24"/>
        </w:rPr>
        <w:t xml:space="preserve"> the </w:t>
      </w:r>
      <w:r w:rsidR="004F1F52">
        <w:rPr>
          <w:rFonts w:eastAsia="PMingLiU" w:cstheme="majorBidi"/>
          <w:bCs/>
          <w:sz w:val="24"/>
          <w:szCs w:val="24"/>
        </w:rPr>
        <w:t xml:space="preserve">direct participants who </w:t>
      </w:r>
      <w:r w:rsidR="004F1F52" w:rsidRPr="00C60203">
        <w:rPr>
          <w:rFonts w:eastAsia="PMingLiU" w:cstheme="majorBidi"/>
          <w:bCs/>
          <w:sz w:val="24"/>
          <w:szCs w:val="24"/>
        </w:rPr>
        <w:t xml:space="preserve">make the system work on a </w:t>
      </w:r>
      <w:r w:rsidR="004F1F52">
        <w:rPr>
          <w:rFonts w:eastAsia="PMingLiU" w:cstheme="majorBidi"/>
          <w:bCs/>
          <w:sz w:val="24"/>
          <w:szCs w:val="24"/>
        </w:rPr>
        <w:t xml:space="preserve">daily </w:t>
      </w:r>
      <w:r w:rsidR="004F1F52" w:rsidRPr="00C60203">
        <w:rPr>
          <w:rFonts w:eastAsia="PMingLiU" w:cstheme="majorBidi"/>
          <w:bCs/>
          <w:sz w:val="24"/>
          <w:szCs w:val="24"/>
        </w:rPr>
        <w:t>basis, regardless of which government is in office</w:t>
      </w:r>
      <w:r w:rsidR="004F1F52">
        <w:rPr>
          <w:rFonts w:eastAsia="PMingLiU" w:cstheme="majorBidi"/>
          <w:bCs/>
          <w:sz w:val="24"/>
          <w:szCs w:val="24"/>
        </w:rPr>
        <w:t>. The process</w:t>
      </w:r>
      <w:r w:rsidR="004F1F52" w:rsidRPr="00C60203">
        <w:rPr>
          <w:rFonts w:eastAsia="PMingLiU" w:cstheme="majorBidi"/>
          <w:bCs/>
          <w:sz w:val="24"/>
          <w:szCs w:val="24"/>
        </w:rPr>
        <w:t xml:space="preserve"> of review developed by the Commission can help to start this shift in mindset.</w:t>
      </w:r>
    </w:p>
    <w:p w:rsidR="006255AF" w:rsidRPr="00C60203" w:rsidRDefault="006255AF" w:rsidP="00327732">
      <w:pPr>
        <w:pStyle w:val="ListParagraph"/>
        <w:spacing w:line="360" w:lineRule="auto"/>
        <w:ind w:left="0"/>
        <w:jc w:val="both"/>
        <w:rPr>
          <w:rFonts w:cstheme="majorBidi"/>
          <w:sz w:val="24"/>
          <w:szCs w:val="24"/>
        </w:rPr>
      </w:pPr>
    </w:p>
    <w:p w:rsidR="006255AF" w:rsidRPr="00357DF2" w:rsidRDefault="006255AF" w:rsidP="00357DF2">
      <w:pPr>
        <w:pStyle w:val="ListParagraph"/>
        <w:spacing w:line="360" w:lineRule="auto"/>
        <w:ind w:left="709" w:hanging="709"/>
        <w:jc w:val="both"/>
        <w:rPr>
          <w:rFonts w:cstheme="majorBidi"/>
          <w:sz w:val="24"/>
          <w:szCs w:val="24"/>
        </w:rPr>
      </w:pPr>
      <w:r w:rsidRPr="00C60203">
        <w:rPr>
          <w:rFonts w:cstheme="majorBidi"/>
          <w:sz w:val="24"/>
          <w:szCs w:val="24"/>
        </w:rPr>
        <w:t>3.7</w:t>
      </w:r>
      <w:r w:rsidRPr="00C60203">
        <w:rPr>
          <w:rFonts w:cstheme="majorBidi"/>
          <w:sz w:val="24"/>
          <w:szCs w:val="24"/>
        </w:rPr>
        <w:tab/>
        <w:t>Three key aspects of the terms of reference point to the opportunity for a better way forward:</w:t>
      </w:r>
    </w:p>
    <w:p w:rsidR="00357DF2" w:rsidRPr="00E32BD8" w:rsidRDefault="00357DF2" w:rsidP="00726E76">
      <w:pPr>
        <w:pStyle w:val="ListParagraph"/>
        <w:numPr>
          <w:ilvl w:val="0"/>
          <w:numId w:val="13"/>
        </w:numPr>
        <w:spacing w:line="360" w:lineRule="auto"/>
        <w:ind w:left="1701" w:hanging="567"/>
        <w:jc w:val="both"/>
        <w:rPr>
          <w:rFonts w:cstheme="majorBidi"/>
          <w:sz w:val="24"/>
          <w:szCs w:val="24"/>
        </w:rPr>
      </w:pPr>
      <w:r w:rsidRPr="00E32BD8">
        <w:rPr>
          <w:rFonts w:cstheme="majorBidi"/>
          <w:sz w:val="24"/>
          <w:szCs w:val="24"/>
        </w:rPr>
        <w:t>The overarching principle to develop recommendations to serve the country in the longer term carries the clear implication that those recommendations, if acted upon, can serve over successive political and economic cycles.</w:t>
      </w:r>
    </w:p>
    <w:p w:rsidR="00357DF2" w:rsidRPr="00E32BD8" w:rsidRDefault="00357DF2" w:rsidP="00AA1739">
      <w:pPr>
        <w:pStyle w:val="ListParagraph"/>
        <w:numPr>
          <w:ilvl w:val="0"/>
          <w:numId w:val="13"/>
        </w:numPr>
        <w:spacing w:line="360" w:lineRule="auto"/>
        <w:ind w:left="1701" w:hanging="567"/>
        <w:jc w:val="both"/>
        <w:rPr>
          <w:rFonts w:cstheme="majorBidi"/>
          <w:sz w:val="24"/>
          <w:szCs w:val="24"/>
        </w:rPr>
      </w:pPr>
      <w:r w:rsidRPr="00E32BD8">
        <w:rPr>
          <w:rFonts w:cstheme="majorBidi"/>
          <w:sz w:val="24"/>
          <w:szCs w:val="24"/>
        </w:rPr>
        <w:t xml:space="preserve">The requirement for the </w:t>
      </w:r>
      <w:r w:rsidR="00AA1739">
        <w:rPr>
          <w:rFonts w:cstheme="majorBidi"/>
          <w:sz w:val="24"/>
          <w:szCs w:val="24"/>
        </w:rPr>
        <w:t>Productivity Commission</w:t>
      </w:r>
      <w:r w:rsidRPr="00E32BD8">
        <w:rPr>
          <w:rFonts w:cstheme="majorBidi"/>
          <w:sz w:val="24"/>
          <w:szCs w:val="24"/>
        </w:rPr>
        <w:t xml:space="preserve"> to “identify future options”</w:t>
      </w:r>
      <w:r w:rsidR="00D20A74">
        <w:rPr>
          <w:rFonts w:cstheme="majorBidi"/>
          <w:sz w:val="24"/>
          <w:szCs w:val="24"/>
        </w:rPr>
        <w:t>.</w:t>
      </w:r>
    </w:p>
    <w:p w:rsidR="00357DF2" w:rsidRPr="00E32BD8" w:rsidRDefault="00357DF2" w:rsidP="00726E76">
      <w:pPr>
        <w:pStyle w:val="ListParagraph"/>
        <w:numPr>
          <w:ilvl w:val="0"/>
          <w:numId w:val="13"/>
        </w:numPr>
        <w:spacing w:line="360" w:lineRule="auto"/>
        <w:ind w:left="1701" w:hanging="567"/>
        <w:jc w:val="both"/>
        <w:rPr>
          <w:rFonts w:cstheme="majorBidi"/>
          <w:sz w:val="24"/>
          <w:szCs w:val="24"/>
        </w:rPr>
      </w:pPr>
      <w:r w:rsidRPr="00E32BD8">
        <w:rPr>
          <w:rFonts w:cstheme="majorBidi"/>
          <w:sz w:val="24"/>
          <w:szCs w:val="24"/>
        </w:rPr>
        <w:t>The requirement to seek evidence and, as far as possible, to assess the costs and benefits of recommendations.</w:t>
      </w:r>
    </w:p>
    <w:p w:rsidR="00357DF2" w:rsidRPr="00C60203" w:rsidRDefault="006255AF" w:rsidP="0071735B">
      <w:pPr>
        <w:spacing w:line="360" w:lineRule="auto"/>
        <w:ind w:left="709" w:hanging="709"/>
        <w:jc w:val="both"/>
        <w:rPr>
          <w:rFonts w:cstheme="majorBidi"/>
          <w:sz w:val="24"/>
          <w:szCs w:val="24"/>
        </w:rPr>
      </w:pPr>
      <w:r w:rsidRPr="00C60203">
        <w:rPr>
          <w:rFonts w:cstheme="majorBidi"/>
          <w:sz w:val="24"/>
          <w:szCs w:val="24"/>
        </w:rPr>
        <w:t>3.8</w:t>
      </w:r>
      <w:r w:rsidRPr="00C60203">
        <w:rPr>
          <w:rFonts w:cstheme="majorBidi"/>
          <w:sz w:val="24"/>
          <w:szCs w:val="24"/>
        </w:rPr>
        <w:tab/>
      </w:r>
      <w:r w:rsidR="00357DF2" w:rsidRPr="00C60203">
        <w:rPr>
          <w:rFonts w:cstheme="majorBidi"/>
          <w:sz w:val="24"/>
          <w:szCs w:val="24"/>
        </w:rPr>
        <w:t xml:space="preserve">The </w:t>
      </w:r>
      <w:r w:rsidR="00357DF2">
        <w:rPr>
          <w:rFonts w:cstheme="majorBidi"/>
          <w:sz w:val="24"/>
          <w:szCs w:val="24"/>
        </w:rPr>
        <w:t>i</w:t>
      </w:r>
      <w:r w:rsidR="00357DF2" w:rsidRPr="00C60203">
        <w:rPr>
          <w:rFonts w:cstheme="majorBidi"/>
          <w:sz w:val="24"/>
          <w:szCs w:val="24"/>
        </w:rPr>
        <w:t xml:space="preserve">ssues </w:t>
      </w:r>
      <w:r w:rsidR="00357DF2">
        <w:rPr>
          <w:rFonts w:cstheme="majorBidi"/>
          <w:sz w:val="24"/>
          <w:szCs w:val="24"/>
        </w:rPr>
        <w:t>p</w:t>
      </w:r>
      <w:r w:rsidR="00357DF2" w:rsidRPr="00C60203">
        <w:rPr>
          <w:rFonts w:cstheme="majorBidi"/>
          <w:sz w:val="24"/>
          <w:szCs w:val="24"/>
        </w:rPr>
        <w:t xml:space="preserve">apers released by the </w:t>
      </w:r>
      <w:r w:rsidR="00AA1739">
        <w:rPr>
          <w:rFonts w:cstheme="majorBidi"/>
          <w:sz w:val="24"/>
          <w:szCs w:val="24"/>
        </w:rPr>
        <w:t>Productivity Commission</w:t>
      </w:r>
      <w:r w:rsidR="00357DF2" w:rsidRPr="00C60203">
        <w:rPr>
          <w:rFonts w:cstheme="majorBidi"/>
          <w:sz w:val="24"/>
          <w:szCs w:val="24"/>
        </w:rPr>
        <w:t xml:space="preserve"> put those making submissions on notice of the need for proposals and recommendations that are advanced to be supported by evidence and argument. However, at this stage little emphasis has been given by the </w:t>
      </w:r>
      <w:r w:rsidR="00AA1739">
        <w:rPr>
          <w:rFonts w:cstheme="majorBidi"/>
          <w:sz w:val="24"/>
          <w:szCs w:val="24"/>
        </w:rPr>
        <w:t>Productivity Commission</w:t>
      </w:r>
      <w:r w:rsidR="00357DF2" w:rsidRPr="00C60203">
        <w:rPr>
          <w:rFonts w:cstheme="majorBidi"/>
          <w:sz w:val="24"/>
          <w:szCs w:val="24"/>
        </w:rPr>
        <w:t xml:space="preserve"> to the need for submissions to address how legislative proposals advanced could serve the country over the longer term and the question that inevitably flows</w:t>
      </w:r>
      <w:r w:rsidR="00357DF2">
        <w:rPr>
          <w:rFonts w:cstheme="majorBidi"/>
          <w:sz w:val="24"/>
          <w:szCs w:val="24"/>
        </w:rPr>
        <w:t xml:space="preserve"> from this term of reference:  </w:t>
      </w:r>
      <w:r w:rsidR="00357DF2" w:rsidRPr="00C60203">
        <w:rPr>
          <w:rFonts w:cstheme="majorBidi"/>
          <w:sz w:val="24"/>
          <w:szCs w:val="24"/>
        </w:rPr>
        <w:t xml:space="preserve">how broad based support for reform might be established in order to avoid major modification or </w:t>
      </w:r>
      <w:r w:rsidR="00357DF2" w:rsidRPr="00C60203">
        <w:rPr>
          <w:rFonts w:cstheme="majorBidi"/>
          <w:sz w:val="24"/>
          <w:szCs w:val="24"/>
        </w:rPr>
        <w:lastRenderedPageBreak/>
        <w:t>reversal with</w:t>
      </w:r>
      <w:r w:rsidR="00357DF2">
        <w:rPr>
          <w:rFonts w:cstheme="majorBidi"/>
          <w:sz w:val="24"/>
          <w:szCs w:val="24"/>
        </w:rPr>
        <w:t xml:space="preserve"> changes of federal government?</w:t>
      </w:r>
      <w:r w:rsidR="00357DF2" w:rsidRPr="00C60203">
        <w:rPr>
          <w:rFonts w:cstheme="majorBidi"/>
          <w:sz w:val="24"/>
          <w:szCs w:val="24"/>
        </w:rPr>
        <w:t xml:space="preserve"> </w:t>
      </w:r>
      <w:r w:rsidR="00357DF2">
        <w:rPr>
          <w:rFonts w:cstheme="majorBidi"/>
          <w:sz w:val="24"/>
          <w:szCs w:val="24"/>
        </w:rPr>
        <w:t xml:space="preserve">This is of the utmost importance in view of the high </w:t>
      </w:r>
      <w:r w:rsidR="00357DF2" w:rsidRPr="00C60203">
        <w:rPr>
          <w:rFonts w:cstheme="majorBidi"/>
          <w:sz w:val="24"/>
          <w:szCs w:val="24"/>
        </w:rPr>
        <w:t>transaction costs</w:t>
      </w:r>
      <w:r w:rsidR="00357DF2">
        <w:rPr>
          <w:rFonts w:cstheme="majorBidi"/>
          <w:sz w:val="24"/>
          <w:szCs w:val="24"/>
        </w:rPr>
        <w:t xml:space="preserve"> of major legislative change </w:t>
      </w:r>
      <w:r w:rsidR="008023A1">
        <w:rPr>
          <w:rFonts w:cstheme="majorBidi"/>
          <w:sz w:val="24"/>
          <w:szCs w:val="24"/>
        </w:rPr>
        <w:t xml:space="preserve">for </w:t>
      </w:r>
      <w:r w:rsidR="00357DF2">
        <w:rPr>
          <w:rFonts w:cstheme="majorBidi"/>
          <w:sz w:val="24"/>
          <w:szCs w:val="24"/>
        </w:rPr>
        <w:t xml:space="preserve">participants in the system </w:t>
      </w:r>
      <w:r w:rsidR="008023A1">
        <w:rPr>
          <w:rFonts w:cstheme="majorBidi"/>
          <w:sz w:val="24"/>
          <w:szCs w:val="24"/>
        </w:rPr>
        <w:t xml:space="preserve">as they </w:t>
      </w:r>
      <w:r w:rsidR="004F1F52">
        <w:rPr>
          <w:rFonts w:cstheme="majorBidi"/>
          <w:sz w:val="24"/>
          <w:szCs w:val="24"/>
        </w:rPr>
        <w:t>ad</w:t>
      </w:r>
      <w:r w:rsidR="008023A1">
        <w:rPr>
          <w:rFonts w:cstheme="majorBidi"/>
          <w:sz w:val="24"/>
          <w:szCs w:val="24"/>
        </w:rPr>
        <w:t>apt to the changes. F</w:t>
      </w:r>
      <w:r w:rsidR="00357DF2" w:rsidRPr="00C60203">
        <w:rPr>
          <w:rFonts w:cstheme="majorBidi"/>
          <w:sz w:val="24"/>
          <w:szCs w:val="24"/>
        </w:rPr>
        <w:t>or example</w:t>
      </w:r>
      <w:r w:rsidR="008023A1">
        <w:rPr>
          <w:rFonts w:cstheme="majorBidi"/>
          <w:sz w:val="24"/>
          <w:szCs w:val="24"/>
        </w:rPr>
        <w:t xml:space="preserve">, transaction costs are incurred </w:t>
      </w:r>
      <w:r w:rsidR="0071735B">
        <w:rPr>
          <w:rFonts w:cstheme="majorBidi"/>
          <w:sz w:val="24"/>
          <w:szCs w:val="24"/>
        </w:rPr>
        <w:t>in</w:t>
      </w:r>
      <w:r w:rsidR="00357DF2" w:rsidRPr="00C60203">
        <w:rPr>
          <w:rFonts w:cstheme="majorBidi"/>
          <w:sz w:val="24"/>
          <w:szCs w:val="24"/>
        </w:rPr>
        <w:t xml:space="preserve"> </w:t>
      </w:r>
      <w:r w:rsidR="00683FB6">
        <w:rPr>
          <w:rFonts w:cstheme="majorBidi"/>
          <w:sz w:val="24"/>
          <w:szCs w:val="24"/>
        </w:rPr>
        <w:t xml:space="preserve">making strategic decisions based on the changed business environment, </w:t>
      </w:r>
      <w:r w:rsidR="00357DF2" w:rsidRPr="00C60203">
        <w:rPr>
          <w:rFonts w:cstheme="majorBidi"/>
          <w:sz w:val="24"/>
          <w:szCs w:val="24"/>
        </w:rPr>
        <w:t>seeking detailed legal advice, revising policies and procedures,</w:t>
      </w:r>
      <w:r w:rsidR="00357DF2">
        <w:rPr>
          <w:rFonts w:cstheme="majorBidi"/>
          <w:sz w:val="24"/>
          <w:szCs w:val="24"/>
        </w:rPr>
        <w:t xml:space="preserve"> </w:t>
      </w:r>
      <w:r w:rsidR="00357DF2" w:rsidRPr="00C60203">
        <w:rPr>
          <w:rFonts w:cstheme="majorBidi"/>
          <w:sz w:val="24"/>
          <w:szCs w:val="24"/>
        </w:rPr>
        <w:t>training staff at all levels in the requirements of the new system</w:t>
      </w:r>
      <w:r w:rsidR="0071735B">
        <w:rPr>
          <w:rFonts w:cstheme="majorBidi"/>
          <w:sz w:val="24"/>
          <w:szCs w:val="24"/>
        </w:rPr>
        <w:t>,</w:t>
      </w:r>
      <w:r w:rsidR="00357DF2">
        <w:rPr>
          <w:rFonts w:cstheme="majorBidi"/>
          <w:sz w:val="24"/>
          <w:szCs w:val="24"/>
        </w:rPr>
        <w:t xml:space="preserve"> developing new documentation, and implementing communication strategies</w:t>
      </w:r>
      <w:r w:rsidR="00357DF2" w:rsidRPr="00C60203">
        <w:rPr>
          <w:rFonts w:cstheme="majorBidi"/>
          <w:sz w:val="24"/>
          <w:szCs w:val="24"/>
        </w:rPr>
        <w:t xml:space="preserve"> and</w:t>
      </w:r>
      <w:r w:rsidR="00357DF2">
        <w:rPr>
          <w:rFonts w:cstheme="majorBidi"/>
          <w:sz w:val="24"/>
          <w:szCs w:val="24"/>
        </w:rPr>
        <w:t xml:space="preserve"> public education campaigns</w:t>
      </w:r>
      <w:r w:rsidR="00357DF2" w:rsidRPr="00C60203">
        <w:rPr>
          <w:rFonts w:cstheme="majorBidi"/>
          <w:sz w:val="24"/>
          <w:szCs w:val="24"/>
        </w:rPr>
        <w:t xml:space="preserve">.  </w:t>
      </w:r>
    </w:p>
    <w:p w:rsidR="00357DF2" w:rsidRPr="00C60203" w:rsidRDefault="00357DF2" w:rsidP="00AA1739">
      <w:pPr>
        <w:spacing w:line="360" w:lineRule="auto"/>
        <w:ind w:left="709" w:hanging="709"/>
        <w:jc w:val="both"/>
        <w:rPr>
          <w:rFonts w:cstheme="majorBidi"/>
          <w:sz w:val="24"/>
          <w:szCs w:val="24"/>
        </w:rPr>
      </w:pPr>
      <w:r w:rsidRPr="00C60203">
        <w:rPr>
          <w:rFonts w:cstheme="majorBidi"/>
          <w:sz w:val="24"/>
          <w:szCs w:val="24"/>
        </w:rPr>
        <w:t>3.9</w:t>
      </w:r>
      <w:r w:rsidRPr="00C60203">
        <w:rPr>
          <w:rFonts w:cstheme="majorBidi"/>
          <w:sz w:val="24"/>
          <w:szCs w:val="24"/>
        </w:rPr>
        <w:tab/>
        <w:t>In this context the following p</w:t>
      </w:r>
      <w:r>
        <w:rPr>
          <w:rFonts w:cstheme="majorBidi"/>
          <w:sz w:val="24"/>
          <w:szCs w:val="24"/>
        </w:rPr>
        <w:t xml:space="preserve">rocess, </w:t>
      </w:r>
      <w:r w:rsidRPr="00C60203">
        <w:rPr>
          <w:rFonts w:cstheme="majorBidi"/>
          <w:sz w:val="24"/>
          <w:szCs w:val="24"/>
        </w:rPr>
        <w:t>if not already</w:t>
      </w:r>
      <w:r>
        <w:rPr>
          <w:rFonts w:cstheme="majorBidi"/>
          <w:sz w:val="24"/>
          <w:szCs w:val="24"/>
        </w:rPr>
        <w:t xml:space="preserve"> planned, should now be publicl</w:t>
      </w:r>
      <w:r w:rsidRPr="00C60203">
        <w:rPr>
          <w:rFonts w:cstheme="majorBidi"/>
          <w:sz w:val="24"/>
          <w:szCs w:val="24"/>
        </w:rPr>
        <w:t>y articulated by the</w:t>
      </w:r>
      <w:r w:rsidR="00AA1739">
        <w:rPr>
          <w:rFonts w:cstheme="majorBidi"/>
          <w:sz w:val="24"/>
          <w:szCs w:val="24"/>
        </w:rPr>
        <w:t xml:space="preserve"> Productivity Commission</w:t>
      </w:r>
      <w:r w:rsidRPr="00C60203">
        <w:rPr>
          <w:rFonts w:cstheme="majorBidi"/>
          <w:sz w:val="24"/>
          <w:szCs w:val="24"/>
        </w:rPr>
        <w:t xml:space="preserve"> to help reframe the policy debate:</w:t>
      </w:r>
    </w:p>
    <w:p w:rsidR="00A85E88" w:rsidRPr="00357DF2" w:rsidRDefault="006255AF" w:rsidP="0049486E">
      <w:pPr>
        <w:pStyle w:val="ListParagraph"/>
        <w:numPr>
          <w:ilvl w:val="2"/>
          <w:numId w:val="10"/>
        </w:numPr>
        <w:spacing w:line="360" w:lineRule="auto"/>
        <w:jc w:val="both"/>
        <w:rPr>
          <w:rFonts w:cstheme="majorBidi"/>
          <w:sz w:val="24"/>
          <w:szCs w:val="24"/>
        </w:rPr>
      </w:pPr>
      <w:r w:rsidRPr="00357DF2">
        <w:rPr>
          <w:rFonts w:cstheme="majorBidi"/>
          <w:sz w:val="24"/>
          <w:szCs w:val="24"/>
        </w:rPr>
        <w:t xml:space="preserve">The </w:t>
      </w:r>
      <w:r w:rsidR="00357DF2" w:rsidRPr="00C321B2">
        <w:rPr>
          <w:rFonts w:cstheme="majorBidi"/>
          <w:sz w:val="24"/>
          <w:szCs w:val="24"/>
        </w:rPr>
        <w:t xml:space="preserve">public release of a draft report prior to the final report in November 2015, outlining the options that have emerged from the </w:t>
      </w:r>
      <w:r w:rsidR="00683FB6">
        <w:rPr>
          <w:rFonts w:cstheme="majorBidi"/>
          <w:sz w:val="24"/>
          <w:szCs w:val="24"/>
        </w:rPr>
        <w:t>inquiry,</w:t>
      </w:r>
      <w:r w:rsidR="00357DF2" w:rsidRPr="00C321B2">
        <w:rPr>
          <w:rFonts w:cstheme="majorBidi"/>
          <w:sz w:val="24"/>
          <w:szCs w:val="24"/>
        </w:rPr>
        <w:t xml:space="preserve"> tested against the </w:t>
      </w:r>
      <w:r w:rsidR="0049486E">
        <w:rPr>
          <w:rFonts w:cstheme="majorBidi"/>
          <w:sz w:val="24"/>
          <w:szCs w:val="24"/>
        </w:rPr>
        <w:t>Productivity Commission’s</w:t>
      </w:r>
      <w:r w:rsidR="00357DF2" w:rsidRPr="00C321B2">
        <w:rPr>
          <w:rFonts w:cstheme="majorBidi"/>
          <w:sz w:val="24"/>
          <w:szCs w:val="24"/>
        </w:rPr>
        <w:t xml:space="preserve"> terms of reference, including the longer term sustainability of proposed reforms. The draft report should also explore the extent to which key aspects of the workplace relations framework and the ethics and principles on which it is founded are broadly agreed. In this context</w:t>
      </w:r>
      <w:r w:rsidR="006E2310">
        <w:rPr>
          <w:rFonts w:cstheme="majorBidi"/>
          <w:sz w:val="24"/>
          <w:szCs w:val="24"/>
        </w:rPr>
        <w:t>,</w:t>
      </w:r>
      <w:r w:rsidR="00357DF2" w:rsidRPr="00C321B2">
        <w:rPr>
          <w:rFonts w:cstheme="majorBidi"/>
          <w:sz w:val="24"/>
          <w:szCs w:val="24"/>
        </w:rPr>
        <w:t xml:space="preserve"> we submit that the level of fundamental agreement about the shift to </w:t>
      </w:r>
      <w:r w:rsidR="006E2310">
        <w:rPr>
          <w:rFonts w:cstheme="majorBidi"/>
          <w:sz w:val="24"/>
          <w:szCs w:val="24"/>
        </w:rPr>
        <w:t xml:space="preserve">an </w:t>
      </w:r>
      <w:r w:rsidR="00357DF2" w:rsidRPr="00C321B2">
        <w:rPr>
          <w:rFonts w:cstheme="majorBidi"/>
          <w:sz w:val="24"/>
          <w:szCs w:val="24"/>
        </w:rPr>
        <w:t>enterprise based bargaining system in the 1990s and the need for a fair and effective safety net remains strong and can be a starting point for a broader community-wide dialogue and discussion about the principles on which a more stable and sustainable workplace relations framework can be based.</w:t>
      </w:r>
    </w:p>
    <w:p w:rsidR="00A85E88" w:rsidRDefault="006255AF" w:rsidP="0049486E">
      <w:pPr>
        <w:pStyle w:val="ListParagraph"/>
        <w:numPr>
          <w:ilvl w:val="2"/>
          <w:numId w:val="10"/>
        </w:numPr>
        <w:spacing w:line="360" w:lineRule="auto"/>
        <w:jc w:val="both"/>
        <w:rPr>
          <w:rFonts w:cstheme="majorBidi"/>
          <w:sz w:val="24"/>
          <w:szCs w:val="24"/>
        </w:rPr>
      </w:pPr>
      <w:r w:rsidRPr="00A85E88">
        <w:rPr>
          <w:rFonts w:cstheme="majorBidi"/>
          <w:sz w:val="24"/>
          <w:szCs w:val="24"/>
        </w:rPr>
        <w:t xml:space="preserve">Encouragement </w:t>
      </w:r>
      <w:r w:rsidR="00357DF2" w:rsidRPr="00A85E88">
        <w:rPr>
          <w:rFonts w:cstheme="majorBidi"/>
          <w:sz w:val="24"/>
          <w:szCs w:val="24"/>
        </w:rPr>
        <w:t>of a community</w:t>
      </w:r>
      <w:r w:rsidR="00683FB6">
        <w:rPr>
          <w:rFonts w:cstheme="majorBidi"/>
          <w:sz w:val="24"/>
          <w:szCs w:val="24"/>
        </w:rPr>
        <w:t>-</w:t>
      </w:r>
      <w:r w:rsidR="00357DF2" w:rsidRPr="00A85E88">
        <w:rPr>
          <w:rFonts w:cstheme="majorBidi"/>
          <w:sz w:val="24"/>
          <w:szCs w:val="24"/>
        </w:rPr>
        <w:t xml:space="preserve">wide debate about options which extends beyond any processes facilitated by the </w:t>
      </w:r>
      <w:r w:rsidR="0049486E">
        <w:rPr>
          <w:rFonts w:cstheme="majorBidi"/>
          <w:sz w:val="24"/>
          <w:szCs w:val="24"/>
        </w:rPr>
        <w:t>Productivity Commission</w:t>
      </w:r>
      <w:r w:rsidR="00357DF2" w:rsidRPr="00A85E88">
        <w:rPr>
          <w:rFonts w:cstheme="majorBidi"/>
          <w:sz w:val="24"/>
          <w:szCs w:val="24"/>
        </w:rPr>
        <w:t xml:space="preserve"> and which can be expected to continue up to and beyond the next federal election. Part of the context for such a debate is the need to recognise that legislation </w:t>
      </w:r>
      <w:r w:rsidR="006E2310">
        <w:rPr>
          <w:rFonts w:cstheme="majorBidi"/>
          <w:sz w:val="24"/>
          <w:szCs w:val="24"/>
        </w:rPr>
        <w:t>alone</w:t>
      </w:r>
      <w:r w:rsidR="00357DF2" w:rsidRPr="00A85E88">
        <w:rPr>
          <w:rFonts w:cstheme="majorBidi"/>
          <w:sz w:val="24"/>
          <w:szCs w:val="24"/>
        </w:rPr>
        <w:t xml:space="preserve"> is not the way to productive and sustainable change and that there is a need for the major stakeholders and institutions to become engaged in this debate.</w:t>
      </w:r>
    </w:p>
    <w:p w:rsidR="006255AF" w:rsidRPr="00A85E88" w:rsidRDefault="006255AF" w:rsidP="00FE2CDB">
      <w:pPr>
        <w:pStyle w:val="ListParagraph"/>
        <w:numPr>
          <w:ilvl w:val="2"/>
          <w:numId w:val="10"/>
        </w:numPr>
        <w:spacing w:line="360" w:lineRule="auto"/>
        <w:jc w:val="both"/>
        <w:rPr>
          <w:rFonts w:cstheme="majorBidi"/>
          <w:sz w:val="24"/>
          <w:szCs w:val="24"/>
        </w:rPr>
      </w:pPr>
      <w:r w:rsidRPr="00A85E88">
        <w:rPr>
          <w:rFonts w:cstheme="majorBidi"/>
          <w:sz w:val="24"/>
          <w:szCs w:val="24"/>
        </w:rPr>
        <w:t>In the evaluation of submissions and in the development of options, t</w:t>
      </w:r>
      <w:r w:rsidR="00683FB6">
        <w:rPr>
          <w:rFonts w:cstheme="majorBidi"/>
          <w:sz w:val="24"/>
          <w:szCs w:val="24"/>
        </w:rPr>
        <w:t>here is a need t</w:t>
      </w:r>
      <w:r w:rsidRPr="00A85E88">
        <w:rPr>
          <w:rFonts w:cstheme="majorBidi"/>
          <w:sz w:val="24"/>
          <w:szCs w:val="24"/>
        </w:rPr>
        <w:t xml:space="preserve">o focus on issues that truly relate to the workplace relations framework, which would involve legislative change and are not </w:t>
      </w:r>
      <w:r w:rsidRPr="00A85E88">
        <w:rPr>
          <w:rFonts w:cstheme="majorBidi"/>
          <w:sz w:val="24"/>
          <w:szCs w:val="24"/>
        </w:rPr>
        <w:lastRenderedPageBreak/>
        <w:t>operational aspects of the s</w:t>
      </w:r>
      <w:r w:rsidR="00327732" w:rsidRPr="00A85E88">
        <w:rPr>
          <w:rFonts w:cstheme="majorBidi"/>
          <w:sz w:val="24"/>
          <w:szCs w:val="24"/>
        </w:rPr>
        <w:t xml:space="preserve">ystems and processes contained </w:t>
      </w:r>
      <w:r w:rsidRPr="00A85E88">
        <w:rPr>
          <w:rFonts w:cstheme="majorBidi"/>
          <w:sz w:val="24"/>
          <w:szCs w:val="24"/>
        </w:rPr>
        <w:t xml:space="preserve">within the </w:t>
      </w:r>
      <w:r w:rsidR="00683FB6">
        <w:rPr>
          <w:rFonts w:cstheme="majorBidi"/>
          <w:sz w:val="24"/>
          <w:szCs w:val="24"/>
        </w:rPr>
        <w:t>workplace relations f</w:t>
      </w:r>
      <w:r w:rsidRPr="00A85E88">
        <w:rPr>
          <w:rFonts w:cstheme="majorBidi"/>
          <w:sz w:val="24"/>
          <w:szCs w:val="24"/>
        </w:rPr>
        <w:t>ramework which, by their nature, are likely to exhibit variation over time, including in response to changing economic and labour market conditions.</w:t>
      </w:r>
    </w:p>
    <w:p w:rsidR="00327732" w:rsidRPr="00327732" w:rsidRDefault="00327732" w:rsidP="00327732">
      <w:pPr>
        <w:pStyle w:val="ListParagraph"/>
        <w:jc w:val="both"/>
        <w:rPr>
          <w:rFonts w:cstheme="majorBidi"/>
          <w:sz w:val="24"/>
          <w:szCs w:val="24"/>
        </w:rPr>
      </w:pPr>
    </w:p>
    <w:p w:rsidR="006255AF" w:rsidRPr="00C60203" w:rsidRDefault="00357DF2" w:rsidP="00620396">
      <w:pPr>
        <w:pStyle w:val="ListParagraph"/>
        <w:spacing w:after="0" w:line="360" w:lineRule="auto"/>
        <w:ind w:left="709" w:hanging="709"/>
        <w:jc w:val="both"/>
        <w:rPr>
          <w:rFonts w:cstheme="majorBidi"/>
          <w:sz w:val="24"/>
          <w:szCs w:val="24"/>
        </w:rPr>
      </w:pPr>
      <w:r>
        <w:rPr>
          <w:rFonts w:cstheme="majorBidi"/>
          <w:sz w:val="24"/>
          <w:szCs w:val="24"/>
        </w:rPr>
        <w:t>3.10</w:t>
      </w:r>
      <w:r>
        <w:rPr>
          <w:rFonts w:cstheme="majorBidi"/>
          <w:sz w:val="24"/>
          <w:szCs w:val="24"/>
        </w:rPr>
        <w:tab/>
        <w:t>The workplace relations</w:t>
      </w:r>
      <w:r w:rsidRPr="00C60203">
        <w:rPr>
          <w:rFonts w:cstheme="majorBidi"/>
          <w:sz w:val="24"/>
          <w:szCs w:val="24"/>
        </w:rPr>
        <w:t xml:space="preserve"> framework sits within a wider economic context which influences the outcomes of</w:t>
      </w:r>
      <w:r w:rsidR="00683FB6">
        <w:rPr>
          <w:rFonts w:cstheme="majorBidi"/>
          <w:sz w:val="24"/>
          <w:szCs w:val="24"/>
        </w:rPr>
        <w:t>,</w:t>
      </w:r>
      <w:r w:rsidRPr="00C60203">
        <w:rPr>
          <w:rFonts w:cstheme="majorBidi"/>
          <w:sz w:val="24"/>
          <w:szCs w:val="24"/>
        </w:rPr>
        <w:t xml:space="preserve"> and the processes within the framework according to changing economic circumstances. The framework needs to be durable and effective through these changing circumstances. For example, the framework arti</w:t>
      </w:r>
      <w:r>
        <w:rPr>
          <w:rFonts w:cstheme="majorBidi"/>
          <w:sz w:val="24"/>
          <w:szCs w:val="24"/>
        </w:rPr>
        <w:t>culates the boundaries w</w:t>
      </w:r>
      <w:r w:rsidRPr="00C60203">
        <w:rPr>
          <w:rFonts w:cstheme="majorBidi"/>
          <w:sz w:val="24"/>
          <w:szCs w:val="24"/>
        </w:rPr>
        <w:t xml:space="preserve">ith other regulatory systems such as competition and trade practices law, </w:t>
      </w:r>
      <w:r w:rsidR="00683FB6">
        <w:rPr>
          <w:rFonts w:cstheme="majorBidi"/>
          <w:sz w:val="24"/>
          <w:szCs w:val="24"/>
        </w:rPr>
        <w:t>occupational health and safety</w:t>
      </w:r>
      <w:r w:rsidRPr="00C60203">
        <w:rPr>
          <w:rFonts w:cstheme="majorBidi"/>
          <w:sz w:val="24"/>
          <w:szCs w:val="24"/>
        </w:rPr>
        <w:t xml:space="preserve"> regulations; the scope of authorities exercised by institutions operating within the framework; the people and organisations that have access to and can participate; and the matters that can be</w:t>
      </w:r>
      <w:r>
        <w:rPr>
          <w:rFonts w:cstheme="majorBidi"/>
          <w:sz w:val="24"/>
          <w:szCs w:val="24"/>
        </w:rPr>
        <w:t xml:space="preserve"> determined within the systems </w:t>
      </w:r>
      <w:r w:rsidRPr="00C60203">
        <w:rPr>
          <w:rFonts w:cstheme="majorBidi"/>
          <w:sz w:val="24"/>
          <w:szCs w:val="24"/>
        </w:rPr>
        <w:t>operating within the framework.</w:t>
      </w:r>
    </w:p>
    <w:p w:rsidR="006255AF" w:rsidRPr="00C60203" w:rsidRDefault="006255AF" w:rsidP="00637AB8">
      <w:pPr>
        <w:pStyle w:val="ListParagraph"/>
        <w:spacing w:after="0" w:line="360" w:lineRule="auto"/>
        <w:ind w:left="851" w:hanging="851"/>
        <w:jc w:val="both"/>
        <w:rPr>
          <w:rFonts w:cstheme="majorBidi"/>
          <w:sz w:val="24"/>
          <w:szCs w:val="24"/>
        </w:rPr>
      </w:pPr>
    </w:p>
    <w:p w:rsidR="00357DF2" w:rsidRPr="00C60203" w:rsidRDefault="006255AF" w:rsidP="00620396">
      <w:pPr>
        <w:pStyle w:val="ListParagraph"/>
        <w:tabs>
          <w:tab w:val="left" w:pos="709"/>
        </w:tabs>
        <w:spacing w:after="0" w:line="360" w:lineRule="auto"/>
        <w:ind w:left="709" w:hanging="709"/>
        <w:jc w:val="both"/>
        <w:rPr>
          <w:rFonts w:eastAsia="PMingLiU" w:cstheme="majorBidi"/>
          <w:bCs/>
          <w:i/>
          <w:sz w:val="24"/>
          <w:szCs w:val="24"/>
        </w:rPr>
      </w:pPr>
      <w:r w:rsidRPr="00683FB6">
        <w:rPr>
          <w:rFonts w:cstheme="majorBidi"/>
          <w:sz w:val="24"/>
          <w:szCs w:val="24"/>
        </w:rPr>
        <w:t>3.11</w:t>
      </w:r>
      <w:r w:rsidRPr="00683FB6">
        <w:rPr>
          <w:rFonts w:cstheme="majorBidi"/>
          <w:sz w:val="24"/>
          <w:szCs w:val="24"/>
        </w:rPr>
        <w:tab/>
        <w:t xml:space="preserve">By </w:t>
      </w:r>
      <w:r w:rsidR="00357DF2" w:rsidRPr="00683FB6">
        <w:rPr>
          <w:rFonts w:cstheme="majorBidi"/>
          <w:sz w:val="24"/>
          <w:szCs w:val="24"/>
        </w:rPr>
        <w:t>contrast</w:t>
      </w:r>
      <w:r w:rsidR="006E2310">
        <w:rPr>
          <w:rFonts w:cstheme="majorBidi"/>
          <w:sz w:val="24"/>
          <w:szCs w:val="24"/>
        </w:rPr>
        <w:t>,</w:t>
      </w:r>
      <w:r w:rsidR="00357DF2" w:rsidRPr="00683FB6">
        <w:rPr>
          <w:rFonts w:cstheme="majorBidi"/>
          <w:sz w:val="24"/>
          <w:szCs w:val="24"/>
        </w:rPr>
        <w:t xml:space="preserve"> the outcomes of bargaining, associated industrial disputation and the setting of standards and conditions of work are readily influenced by changing economic circumstances. These are operational issues and outcomes that are readily distinguishable from the framework issues described above. Legislation shapes the dimensions of the framework and operations therein but legislation can directly impact operational outcomes, including operational processes and business outcomes within corporations, especially now that the Corporations Power is the major underpinning of WR regulation. The significance of this shift cannot be underestimated, as McCallum (2005) has noted:</w:t>
      </w:r>
    </w:p>
    <w:p w:rsidR="00357DF2" w:rsidRPr="00C60203" w:rsidRDefault="00357DF2" w:rsidP="00637AB8">
      <w:pPr>
        <w:spacing w:after="0" w:line="360" w:lineRule="auto"/>
        <w:ind w:left="851" w:hanging="851"/>
        <w:jc w:val="both"/>
        <w:rPr>
          <w:rFonts w:eastAsia="PMingLiU" w:cstheme="majorBidi"/>
          <w:bCs/>
          <w:sz w:val="24"/>
          <w:szCs w:val="24"/>
        </w:rPr>
      </w:pPr>
    </w:p>
    <w:p w:rsidR="00357DF2" w:rsidRPr="006E022F" w:rsidRDefault="00357DF2" w:rsidP="00726E76">
      <w:pPr>
        <w:pStyle w:val="ListParagraph"/>
        <w:spacing w:after="0" w:line="360" w:lineRule="auto"/>
        <w:ind w:left="1134" w:right="-165"/>
        <w:rPr>
          <w:rFonts w:cstheme="majorBidi"/>
          <w:i/>
          <w:sz w:val="24"/>
          <w:szCs w:val="24"/>
        </w:rPr>
      </w:pPr>
      <w:r>
        <w:rPr>
          <w:rFonts w:cstheme="majorBidi"/>
          <w:i/>
          <w:sz w:val="24"/>
          <w:szCs w:val="24"/>
        </w:rPr>
        <w:t>L</w:t>
      </w:r>
      <w:r w:rsidRPr="00C60203">
        <w:rPr>
          <w:rFonts w:cstheme="majorBidi"/>
          <w:i/>
          <w:sz w:val="24"/>
          <w:szCs w:val="24"/>
        </w:rPr>
        <w:t>abour laws will become little more than a sub-set of corporations law</w:t>
      </w:r>
      <w:r>
        <w:rPr>
          <w:rFonts w:cstheme="majorBidi"/>
          <w:i/>
          <w:sz w:val="24"/>
          <w:szCs w:val="24"/>
        </w:rPr>
        <w:t xml:space="preserve"> </w:t>
      </w:r>
      <w:r w:rsidRPr="00C60203">
        <w:rPr>
          <w:rFonts w:cstheme="majorBidi"/>
          <w:i/>
          <w:sz w:val="24"/>
          <w:szCs w:val="24"/>
        </w:rPr>
        <w:t>because inevitably they will fasten upon the economic needs of corporations and their employees will be viewed as but one aspect of the productive process</w:t>
      </w:r>
      <w:r>
        <w:rPr>
          <w:rFonts w:cstheme="majorBidi"/>
          <w:i/>
          <w:sz w:val="24"/>
          <w:szCs w:val="24"/>
        </w:rPr>
        <w:t xml:space="preserve"> </w:t>
      </w:r>
      <w:r w:rsidRPr="006E022F">
        <w:rPr>
          <w:rFonts w:cstheme="majorBidi"/>
          <w:i/>
          <w:sz w:val="24"/>
          <w:szCs w:val="24"/>
        </w:rPr>
        <w:t>in our globalized economy.</w:t>
      </w:r>
    </w:p>
    <w:p w:rsidR="006255AF" w:rsidRPr="00C60203" w:rsidRDefault="006255AF" w:rsidP="00637AB8">
      <w:pPr>
        <w:pStyle w:val="ListParagraph"/>
        <w:tabs>
          <w:tab w:val="left" w:pos="709"/>
        </w:tabs>
        <w:spacing w:after="0" w:line="360" w:lineRule="auto"/>
        <w:ind w:left="851" w:hanging="851"/>
        <w:jc w:val="both"/>
        <w:rPr>
          <w:rFonts w:cstheme="majorBidi"/>
          <w:sz w:val="24"/>
          <w:szCs w:val="24"/>
        </w:rPr>
      </w:pPr>
    </w:p>
    <w:p w:rsidR="006255AF" w:rsidRPr="00274CBA" w:rsidRDefault="006255AF" w:rsidP="00AA1739">
      <w:pPr>
        <w:pStyle w:val="ListParagraph"/>
        <w:numPr>
          <w:ilvl w:val="1"/>
          <w:numId w:val="11"/>
        </w:numPr>
        <w:spacing w:after="0" w:line="360" w:lineRule="auto"/>
        <w:ind w:left="709" w:hanging="709"/>
        <w:jc w:val="both"/>
        <w:rPr>
          <w:rFonts w:cstheme="majorBidi"/>
          <w:sz w:val="24"/>
          <w:szCs w:val="24"/>
        </w:rPr>
      </w:pPr>
      <w:r w:rsidRPr="00274CBA">
        <w:rPr>
          <w:rFonts w:cstheme="majorBidi"/>
          <w:sz w:val="24"/>
          <w:szCs w:val="24"/>
        </w:rPr>
        <w:t xml:space="preserve">The </w:t>
      </w:r>
      <w:r w:rsidR="00357DF2" w:rsidRPr="00274CBA">
        <w:rPr>
          <w:rFonts w:cstheme="majorBidi"/>
          <w:sz w:val="24"/>
          <w:szCs w:val="24"/>
        </w:rPr>
        <w:t>corporations power</w:t>
      </w:r>
      <w:r w:rsidR="00357DF2">
        <w:rPr>
          <w:rFonts w:cstheme="majorBidi"/>
          <w:sz w:val="24"/>
          <w:szCs w:val="24"/>
        </w:rPr>
        <w:t xml:space="preserve"> in section 51(</w:t>
      </w:r>
      <w:r w:rsidR="007C16A6">
        <w:rPr>
          <w:rFonts w:cstheme="majorBidi"/>
          <w:sz w:val="24"/>
          <w:szCs w:val="24"/>
        </w:rPr>
        <w:t>xx</w:t>
      </w:r>
      <w:r w:rsidR="00357DF2">
        <w:rPr>
          <w:rFonts w:cstheme="majorBidi"/>
          <w:sz w:val="24"/>
          <w:szCs w:val="24"/>
        </w:rPr>
        <w:t>) of the Constitution</w:t>
      </w:r>
      <w:r w:rsidR="00357DF2" w:rsidRPr="00274CBA">
        <w:rPr>
          <w:rFonts w:cstheme="majorBidi"/>
          <w:sz w:val="24"/>
          <w:szCs w:val="24"/>
        </w:rPr>
        <w:t xml:space="preserve"> gives </w:t>
      </w:r>
      <w:r w:rsidR="00357DF2">
        <w:rPr>
          <w:rFonts w:cstheme="majorBidi"/>
          <w:sz w:val="24"/>
          <w:szCs w:val="24"/>
        </w:rPr>
        <w:t xml:space="preserve">the national </w:t>
      </w:r>
      <w:r w:rsidR="00357DF2" w:rsidRPr="00274CBA">
        <w:rPr>
          <w:rFonts w:cstheme="majorBidi"/>
          <w:sz w:val="24"/>
          <w:szCs w:val="24"/>
        </w:rPr>
        <w:t xml:space="preserve">government power to intrude </w:t>
      </w:r>
      <w:r w:rsidR="00357DF2">
        <w:rPr>
          <w:rFonts w:cstheme="majorBidi"/>
          <w:sz w:val="24"/>
          <w:szCs w:val="24"/>
        </w:rPr>
        <w:t>directly into the operation of C</w:t>
      </w:r>
      <w:r w:rsidR="00357DF2" w:rsidRPr="00274CBA">
        <w:rPr>
          <w:rFonts w:cstheme="majorBidi"/>
          <w:sz w:val="24"/>
          <w:szCs w:val="24"/>
        </w:rPr>
        <w:t xml:space="preserve">ommonwealth </w:t>
      </w:r>
      <w:r w:rsidR="00357DF2" w:rsidRPr="00274CBA">
        <w:rPr>
          <w:rFonts w:cstheme="majorBidi"/>
          <w:sz w:val="24"/>
          <w:szCs w:val="24"/>
        </w:rPr>
        <w:lastRenderedPageBreak/>
        <w:t xml:space="preserve">corporations and to set wages and conditions and to increase or decrease standards such as the federal minimum wage. Currently, as the </w:t>
      </w:r>
      <w:r w:rsidR="00AA1739">
        <w:rPr>
          <w:rFonts w:cstheme="majorBidi"/>
          <w:sz w:val="24"/>
          <w:szCs w:val="24"/>
        </w:rPr>
        <w:t>Productivity Commission</w:t>
      </w:r>
      <w:r w:rsidR="00357DF2" w:rsidRPr="00274CBA">
        <w:rPr>
          <w:rFonts w:cstheme="majorBidi"/>
          <w:sz w:val="24"/>
          <w:szCs w:val="24"/>
        </w:rPr>
        <w:t xml:space="preserve"> notes in Issues </w:t>
      </w:r>
      <w:r w:rsidR="006E2310">
        <w:rPr>
          <w:rFonts w:cstheme="majorBidi"/>
          <w:sz w:val="24"/>
          <w:szCs w:val="24"/>
        </w:rPr>
        <w:t>p</w:t>
      </w:r>
      <w:r w:rsidR="00357DF2" w:rsidRPr="00274CBA">
        <w:rPr>
          <w:rFonts w:cstheme="majorBidi"/>
          <w:sz w:val="24"/>
          <w:szCs w:val="24"/>
        </w:rPr>
        <w:t>aper 1, the scope of the minimum wage has been widened to encompass employees of all businesses (except those employed by unincorporated enterprises in Western Australia), and the creation of specific legislative criteria for setting the minimum. Likewise National Employment Standards (NES) rest</w:t>
      </w:r>
      <w:r w:rsidR="007C16A6">
        <w:rPr>
          <w:rFonts w:cstheme="majorBidi"/>
          <w:sz w:val="24"/>
          <w:szCs w:val="24"/>
        </w:rPr>
        <w:t>s</w:t>
      </w:r>
      <w:r w:rsidR="00357DF2" w:rsidRPr="00274CBA">
        <w:rPr>
          <w:rFonts w:cstheme="majorBidi"/>
          <w:sz w:val="24"/>
          <w:szCs w:val="24"/>
        </w:rPr>
        <w:t xml:space="preserve"> on s</w:t>
      </w:r>
      <w:r w:rsidR="00357DF2">
        <w:rPr>
          <w:rFonts w:cstheme="majorBidi"/>
          <w:sz w:val="24"/>
          <w:szCs w:val="24"/>
        </w:rPr>
        <w:t xml:space="preserve">ection </w:t>
      </w:r>
      <w:r w:rsidR="00357DF2" w:rsidRPr="00274CBA">
        <w:rPr>
          <w:rFonts w:cstheme="majorBidi"/>
          <w:sz w:val="24"/>
          <w:szCs w:val="24"/>
        </w:rPr>
        <w:t>51(</w:t>
      </w:r>
      <w:r w:rsidR="007C16A6">
        <w:rPr>
          <w:rFonts w:cstheme="majorBidi"/>
          <w:sz w:val="24"/>
          <w:szCs w:val="24"/>
        </w:rPr>
        <w:t>xx</w:t>
      </w:r>
      <w:r w:rsidR="00357DF2" w:rsidRPr="00274CBA">
        <w:rPr>
          <w:rFonts w:cstheme="majorBidi"/>
          <w:sz w:val="24"/>
          <w:szCs w:val="24"/>
        </w:rPr>
        <w:t>) of the Constitution. Rather than an outcome of dispute settling processes presided over by an independent tribunal, as has historically been the case under the conciliation and arbitration power, in s</w:t>
      </w:r>
      <w:r w:rsidR="00357DF2">
        <w:rPr>
          <w:rFonts w:cstheme="majorBidi"/>
          <w:sz w:val="24"/>
          <w:szCs w:val="24"/>
        </w:rPr>
        <w:t xml:space="preserve">ection </w:t>
      </w:r>
      <w:r w:rsidR="00357DF2" w:rsidRPr="00274CBA">
        <w:rPr>
          <w:rFonts w:cstheme="majorBidi"/>
          <w:sz w:val="24"/>
          <w:szCs w:val="24"/>
        </w:rPr>
        <w:t>51(</w:t>
      </w:r>
      <w:r w:rsidR="007C16A6">
        <w:rPr>
          <w:rFonts w:cstheme="majorBidi"/>
          <w:sz w:val="24"/>
          <w:szCs w:val="24"/>
        </w:rPr>
        <w:t>xxxv</w:t>
      </w:r>
      <w:r w:rsidR="00357DF2" w:rsidRPr="00274CBA">
        <w:rPr>
          <w:rFonts w:cstheme="majorBidi"/>
          <w:sz w:val="24"/>
          <w:szCs w:val="24"/>
        </w:rPr>
        <w:t xml:space="preserve">) of the Constitution, these standards are the outcome of the political processes of the </w:t>
      </w:r>
      <w:r w:rsidR="007C16A6">
        <w:rPr>
          <w:rFonts w:cstheme="majorBidi"/>
          <w:sz w:val="24"/>
          <w:szCs w:val="24"/>
        </w:rPr>
        <w:t>Commonwealth Pa</w:t>
      </w:r>
      <w:r w:rsidR="006E2310">
        <w:rPr>
          <w:rFonts w:cstheme="majorBidi"/>
          <w:sz w:val="24"/>
          <w:szCs w:val="24"/>
        </w:rPr>
        <w:t>rliament. It is not germane</w:t>
      </w:r>
      <w:r w:rsidR="00357DF2" w:rsidRPr="00274CBA">
        <w:rPr>
          <w:rFonts w:cstheme="majorBidi"/>
          <w:sz w:val="24"/>
          <w:szCs w:val="24"/>
        </w:rPr>
        <w:t xml:space="preserve"> that currently the federal minimum wage is set by the Minimum Wage Panel established under the </w:t>
      </w:r>
      <w:r w:rsidR="00357DF2" w:rsidRPr="00274CBA">
        <w:rPr>
          <w:rFonts w:cstheme="majorBidi"/>
          <w:i/>
          <w:iCs/>
          <w:sz w:val="24"/>
          <w:szCs w:val="24"/>
        </w:rPr>
        <w:t>Fair Work Act 2009</w:t>
      </w:r>
      <w:r w:rsidR="00357DF2" w:rsidRPr="00274CBA">
        <w:rPr>
          <w:rFonts w:cstheme="majorBidi"/>
          <w:sz w:val="24"/>
          <w:szCs w:val="24"/>
        </w:rPr>
        <w:t>.</w:t>
      </w:r>
      <w:r w:rsidR="00357DF2" w:rsidRPr="00921C95">
        <w:rPr>
          <w:rStyle w:val="FootnoteReference"/>
          <w:rFonts w:cstheme="majorBidi"/>
          <w:sz w:val="24"/>
          <w:szCs w:val="24"/>
        </w:rPr>
        <w:t xml:space="preserve"> </w:t>
      </w:r>
      <w:r w:rsidR="00357DF2" w:rsidRPr="00C60203">
        <w:rPr>
          <w:rStyle w:val="FootnoteReference"/>
          <w:rFonts w:cstheme="majorBidi"/>
          <w:sz w:val="24"/>
          <w:szCs w:val="24"/>
        </w:rPr>
        <w:footnoteReference w:id="2"/>
      </w:r>
      <w:r w:rsidR="00357DF2" w:rsidRPr="00274CBA">
        <w:rPr>
          <w:rFonts w:cstheme="majorBidi"/>
          <w:sz w:val="24"/>
          <w:szCs w:val="24"/>
        </w:rPr>
        <w:t xml:space="preserve">  It is now within the power of the Commonwealth to legislate directly on this and the NES and </w:t>
      </w:r>
      <w:r w:rsidR="006E2310">
        <w:rPr>
          <w:rFonts w:cstheme="majorBidi"/>
          <w:sz w:val="24"/>
          <w:szCs w:val="24"/>
        </w:rPr>
        <w:t xml:space="preserve">consequently </w:t>
      </w:r>
      <w:r w:rsidR="00357DF2" w:rsidRPr="00274CBA">
        <w:rPr>
          <w:rFonts w:cstheme="majorBidi"/>
          <w:sz w:val="24"/>
          <w:szCs w:val="24"/>
        </w:rPr>
        <w:t xml:space="preserve">these matters are </w:t>
      </w:r>
      <w:r w:rsidR="00357DF2">
        <w:rPr>
          <w:rFonts w:cstheme="majorBidi"/>
          <w:sz w:val="24"/>
          <w:szCs w:val="24"/>
        </w:rPr>
        <w:t>subject to the vagaries of the industrial relations</w:t>
      </w:r>
      <w:r w:rsidR="00357DF2" w:rsidRPr="00274CBA">
        <w:rPr>
          <w:rFonts w:cstheme="majorBidi"/>
          <w:sz w:val="24"/>
          <w:szCs w:val="24"/>
        </w:rPr>
        <w:t xml:space="preserve"> pendulum. The search for some broad based consensus on the political limits on the use of the corporation</w:t>
      </w:r>
      <w:r w:rsidR="0071735B">
        <w:rPr>
          <w:rFonts w:cstheme="majorBidi"/>
          <w:sz w:val="24"/>
          <w:szCs w:val="24"/>
        </w:rPr>
        <w:t>s</w:t>
      </w:r>
      <w:r w:rsidR="00357DF2" w:rsidRPr="00274CBA">
        <w:rPr>
          <w:rFonts w:cstheme="majorBidi"/>
          <w:sz w:val="24"/>
          <w:szCs w:val="24"/>
        </w:rPr>
        <w:t xml:space="preserve"> power for the regulation of workplace relations is, therefore, part of t</w:t>
      </w:r>
      <w:r w:rsidR="00357DF2">
        <w:rPr>
          <w:rFonts w:cstheme="majorBidi"/>
          <w:sz w:val="24"/>
          <w:szCs w:val="24"/>
        </w:rPr>
        <w:t>he challenge in establishing a workplace relations</w:t>
      </w:r>
      <w:r w:rsidR="00357DF2" w:rsidRPr="00274CBA">
        <w:rPr>
          <w:rFonts w:cstheme="majorBidi"/>
          <w:sz w:val="24"/>
          <w:szCs w:val="24"/>
        </w:rPr>
        <w:t xml:space="preserve"> framework to serve the country in the longer term.</w:t>
      </w:r>
    </w:p>
    <w:p w:rsidR="006255AF" w:rsidRPr="00C60203" w:rsidRDefault="006255AF" w:rsidP="00327732">
      <w:pPr>
        <w:pStyle w:val="ListParagraph"/>
        <w:spacing w:after="0" w:line="360" w:lineRule="auto"/>
        <w:jc w:val="both"/>
        <w:rPr>
          <w:rFonts w:cstheme="majorBidi"/>
          <w:sz w:val="24"/>
          <w:szCs w:val="24"/>
        </w:rPr>
      </w:pPr>
    </w:p>
    <w:p w:rsidR="006255AF" w:rsidRDefault="006255AF" w:rsidP="0049486E">
      <w:pPr>
        <w:pStyle w:val="ListParagraph"/>
        <w:numPr>
          <w:ilvl w:val="1"/>
          <w:numId w:val="11"/>
        </w:numPr>
        <w:spacing w:after="0" w:line="360" w:lineRule="auto"/>
        <w:ind w:left="709" w:hanging="709"/>
        <w:jc w:val="both"/>
        <w:rPr>
          <w:rFonts w:cstheme="majorBidi"/>
          <w:b/>
          <w:bCs/>
          <w:sz w:val="24"/>
          <w:szCs w:val="24"/>
        </w:rPr>
      </w:pPr>
      <w:r w:rsidRPr="00274CBA">
        <w:rPr>
          <w:rFonts w:cstheme="majorBidi"/>
          <w:sz w:val="24"/>
          <w:szCs w:val="24"/>
        </w:rPr>
        <w:t xml:space="preserve">Below </w:t>
      </w:r>
      <w:r w:rsidR="00357DF2" w:rsidRPr="00274CBA">
        <w:rPr>
          <w:rFonts w:cstheme="majorBidi"/>
          <w:sz w:val="24"/>
          <w:szCs w:val="24"/>
        </w:rPr>
        <w:t xml:space="preserve">our submission will review some of the major issues identified </w:t>
      </w:r>
      <w:r w:rsidR="003E3B5C">
        <w:rPr>
          <w:rFonts w:cstheme="majorBidi"/>
          <w:sz w:val="24"/>
          <w:szCs w:val="24"/>
        </w:rPr>
        <w:t>in</w:t>
      </w:r>
      <w:r w:rsidR="00357DF2" w:rsidRPr="00274CBA">
        <w:rPr>
          <w:rFonts w:cstheme="majorBidi"/>
          <w:sz w:val="24"/>
          <w:szCs w:val="24"/>
        </w:rPr>
        <w:t xml:space="preserve"> the </w:t>
      </w:r>
      <w:r w:rsidR="00357DF2">
        <w:rPr>
          <w:rFonts w:cstheme="majorBidi"/>
          <w:sz w:val="24"/>
          <w:szCs w:val="24"/>
        </w:rPr>
        <w:t>issues p</w:t>
      </w:r>
      <w:r w:rsidR="003E3B5C">
        <w:rPr>
          <w:rFonts w:cstheme="majorBidi"/>
          <w:sz w:val="24"/>
          <w:szCs w:val="24"/>
        </w:rPr>
        <w:t>apers using the framework-</w:t>
      </w:r>
      <w:r w:rsidR="00357DF2" w:rsidRPr="00274CBA">
        <w:rPr>
          <w:rFonts w:cstheme="majorBidi"/>
          <w:sz w:val="24"/>
          <w:szCs w:val="24"/>
        </w:rPr>
        <w:t xml:space="preserve">operations </w:t>
      </w:r>
      <w:r w:rsidR="003E3B5C">
        <w:rPr>
          <w:rFonts w:cstheme="majorBidi"/>
          <w:sz w:val="24"/>
          <w:szCs w:val="24"/>
        </w:rPr>
        <w:t xml:space="preserve">distinction </w:t>
      </w:r>
      <w:r w:rsidR="00357DF2" w:rsidRPr="00274CBA">
        <w:rPr>
          <w:rFonts w:cstheme="majorBidi"/>
          <w:sz w:val="24"/>
          <w:szCs w:val="24"/>
        </w:rPr>
        <w:t xml:space="preserve">in order to identify the critical issues to be resolved in order for the </w:t>
      </w:r>
      <w:r w:rsidR="003E3B5C">
        <w:rPr>
          <w:rFonts w:cstheme="majorBidi"/>
          <w:sz w:val="24"/>
          <w:szCs w:val="24"/>
        </w:rPr>
        <w:t>Inquiry’</w:t>
      </w:r>
      <w:r w:rsidR="00357DF2" w:rsidRPr="00274CBA">
        <w:rPr>
          <w:rFonts w:cstheme="majorBidi"/>
          <w:sz w:val="24"/>
          <w:szCs w:val="24"/>
        </w:rPr>
        <w:t xml:space="preserve">s overarching principle to be satisfied. The distinction proposed will better enable the </w:t>
      </w:r>
      <w:r w:rsidR="0049486E">
        <w:rPr>
          <w:rFonts w:cstheme="majorBidi"/>
          <w:sz w:val="24"/>
          <w:szCs w:val="24"/>
        </w:rPr>
        <w:t>Productivity Commission</w:t>
      </w:r>
      <w:r w:rsidR="00357DF2" w:rsidRPr="00274CBA">
        <w:rPr>
          <w:rFonts w:cstheme="majorBidi"/>
          <w:sz w:val="24"/>
          <w:szCs w:val="24"/>
        </w:rPr>
        <w:t xml:space="preserve"> to distinguish between common causes of variation within the operation of the systems comprising the overall </w:t>
      </w:r>
      <w:r w:rsidR="003E3B5C">
        <w:rPr>
          <w:rFonts w:cstheme="majorBidi"/>
          <w:sz w:val="24"/>
          <w:szCs w:val="24"/>
        </w:rPr>
        <w:t>workplace relations</w:t>
      </w:r>
      <w:r w:rsidR="00357DF2" w:rsidRPr="00274CBA">
        <w:rPr>
          <w:rFonts w:cstheme="majorBidi"/>
          <w:sz w:val="24"/>
          <w:szCs w:val="24"/>
        </w:rPr>
        <w:t xml:space="preserve"> framework and issues relating to the design of the overall system or framework. In this regard it is useful to recall the general principle that intervention in a system in response to normal variation (common cause) is likely to actually increase variation</w:t>
      </w:r>
      <w:r w:rsidR="009D711A">
        <w:rPr>
          <w:rFonts w:cstheme="majorBidi"/>
          <w:sz w:val="24"/>
          <w:szCs w:val="24"/>
        </w:rPr>
        <w:t xml:space="preserve"> (Dem</w:t>
      </w:r>
      <w:r w:rsidR="00685A38">
        <w:rPr>
          <w:rFonts w:cstheme="majorBidi"/>
          <w:sz w:val="24"/>
          <w:szCs w:val="24"/>
        </w:rPr>
        <w:t>ing 2000</w:t>
      </w:r>
      <w:r w:rsidR="009D711A">
        <w:rPr>
          <w:rFonts w:cstheme="majorBidi"/>
          <w:sz w:val="24"/>
          <w:szCs w:val="24"/>
        </w:rPr>
        <w:t>)</w:t>
      </w:r>
      <w:r w:rsidR="00357DF2" w:rsidRPr="00274CBA">
        <w:rPr>
          <w:rFonts w:cstheme="majorBidi"/>
          <w:sz w:val="24"/>
          <w:szCs w:val="24"/>
        </w:rPr>
        <w:t>.</w:t>
      </w:r>
      <w:r w:rsidR="00357DF2" w:rsidRPr="00274CBA">
        <w:rPr>
          <w:rFonts w:cstheme="majorBidi"/>
        </w:rPr>
        <w:t xml:space="preserve"> </w:t>
      </w:r>
      <w:r w:rsidR="00357DF2" w:rsidRPr="00274CBA">
        <w:rPr>
          <w:rFonts w:cstheme="majorBidi"/>
          <w:sz w:val="24"/>
          <w:szCs w:val="24"/>
        </w:rPr>
        <w:t xml:space="preserve">An overview of the recommended public policy process is set out in </w:t>
      </w:r>
      <w:r w:rsidR="00357DF2">
        <w:rPr>
          <w:rFonts w:cstheme="majorBidi"/>
          <w:sz w:val="24"/>
          <w:szCs w:val="24"/>
        </w:rPr>
        <w:t>Appendix 1.</w:t>
      </w:r>
      <w:r w:rsidRPr="00274CBA">
        <w:rPr>
          <w:rFonts w:cstheme="majorBidi"/>
          <w:b/>
          <w:bCs/>
          <w:sz w:val="24"/>
          <w:szCs w:val="24"/>
        </w:rPr>
        <w:t xml:space="preserve"> </w:t>
      </w:r>
    </w:p>
    <w:p w:rsidR="00AA1739" w:rsidRPr="00AA1739" w:rsidRDefault="00AA1739" w:rsidP="00AA1739">
      <w:pPr>
        <w:pStyle w:val="ListParagraph"/>
        <w:rPr>
          <w:rFonts w:cstheme="majorBidi"/>
          <w:b/>
          <w:bCs/>
          <w:sz w:val="24"/>
          <w:szCs w:val="24"/>
        </w:rPr>
      </w:pPr>
    </w:p>
    <w:p w:rsidR="00AA1739" w:rsidRDefault="00AA1739" w:rsidP="00AA1739">
      <w:pPr>
        <w:pStyle w:val="ListParagraph"/>
        <w:spacing w:after="0" w:line="360" w:lineRule="auto"/>
        <w:ind w:left="709"/>
        <w:jc w:val="both"/>
        <w:rPr>
          <w:rFonts w:cstheme="majorBidi"/>
          <w:b/>
          <w:bCs/>
          <w:sz w:val="24"/>
          <w:szCs w:val="24"/>
        </w:rPr>
      </w:pPr>
    </w:p>
    <w:p w:rsidR="006255AF" w:rsidRDefault="001F296D" w:rsidP="00726E76">
      <w:pPr>
        <w:pStyle w:val="Heading1"/>
        <w:numPr>
          <w:ilvl w:val="0"/>
          <w:numId w:val="11"/>
        </w:numPr>
        <w:ind w:left="709" w:hanging="709"/>
      </w:pPr>
      <w:bookmarkStart w:id="4" w:name="_Toc414343773"/>
      <w:r w:rsidRPr="006A1709">
        <w:lastRenderedPageBreak/>
        <w:t>ToR 3: Small Businesses</w:t>
      </w:r>
      <w:bookmarkEnd w:id="4"/>
    </w:p>
    <w:p w:rsidR="00A85E88" w:rsidRPr="00A85E88" w:rsidRDefault="00A85E88" w:rsidP="00A85E88"/>
    <w:p w:rsidR="00274CBA" w:rsidRPr="0049486E" w:rsidRDefault="001F296D" w:rsidP="00726E76">
      <w:pPr>
        <w:pStyle w:val="ListParagraph"/>
        <w:numPr>
          <w:ilvl w:val="1"/>
          <w:numId w:val="5"/>
        </w:numPr>
        <w:spacing w:after="0" w:line="360" w:lineRule="auto"/>
        <w:ind w:left="709" w:hanging="709"/>
        <w:jc w:val="both"/>
        <w:rPr>
          <w:rFonts w:cstheme="majorBidi"/>
          <w:sz w:val="24"/>
          <w:szCs w:val="24"/>
        </w:rPr>
      </w:pPr>
      <w:r w:rsidRPr="00694929">
        <w:rPr>
          <w:rFonts w:cstheme="majorBidi"/>
          <w:sz w:val="24"/>
          <w:szCs w:val="24"/>
        </w:rPr>
        <w:t xml:space="preserve">This section focuses on </w:t>
      </w:r>
      <w:r w:rsidR="00327732" w:rsidRPr="00694929">
        <w:rPr>
          <w:rFonts w:cstheme="majorBidi"/>
          <w:sz w:val="24"/>
          <w:szCs w:val="24"/>
        </w:rPr>
        <w:t>term of reference three, and in particular, the i</w:t>
      </w:r>
      <w:r w:rsidRPr="00694929">
        <w:rPr>
          <w:rFonts w:cstheme="majorBidi"/>
          <w:sz w:val="24"/>
          <w:szCs w:val="24"/>
        </w:rPr>
        <w:t xml:space="preserve">mpact of the workplace relations framework on the following aspects of employment </w:t>
      </w:r>
      <w:r w:rsidRPr="0049486E">
        <w:rPr>
          <w:rFonts w:cstheme="majorBidi"/>
          <w:sz w:val="24"/>
          <w:szCs w:val="24"/>
        </w:rPr>
        <w:t>in small business</w:t>
      </w:r>
      <w:r w:rsidR="0071735B" w:rsidRPr="0049486E">
        <w:rPr>
          <w:rFonts w:cstheme="majorBidi"/>
          <w:sz w:val="24"/>
          <w:szCs w:val="24"/>
        </w:rPr>
        <w:t>es</w:t>
      </w:r>
      <w:r w:rsidRPr="0049486E">
        <w:rPr>
          <w:rFonts w:cstheme="majorBidi"/>
          <w:sz w:val="24"/>
          <w:szCs w:val="24"/>
        </w:rPr>
        <w:t>:</w:t>
      </w:r>
    </w:p>
    <w:p w:rsidR="00E0132B" w:rsidRPr="005F0AB8" w:rsidRDefault="00E0132B" w:rsidP="00726E76">
      <w:pPr>
        <w:pStyle w:val="ListParagraph"/>
        <w:numPr>
          <w:ilvl w:val="0"/>
          <w:numId w:val="14"/>
        </w:numPr>
        <w:spacing w:after="0" w:line="360" w:lineRule="auto"/>
        <w:ind w:left="1134" w:hanging="283"/>
        <w:jc w:val="both"/>
        <w:rPr>
          <w:rFonts w:cstheme="majorBidi"/>
          <w:sz w:val="24"/>
          <w:szCs w:val="24"/>
        </w:rPr>
      </w:pPr>
      <w:r w:rsidRPr="005F0AB8">
        <w:rPr>
          <w:rFonts w:cstheme="majorBidi"/>
          <w:sz w:val="24"/>
          <w:szCs w:val="24"/>
          <w:lang w:eastAsia="en-US"/>
        </w:rPr>
        <w:t xml:space="preserve">Fair and equitable pay and conditions for employees, including the maintenance </w:t>
      </w:r>
      <w:r w:rsidR="000E4F2E">
        <w:rPr>
          <w:rFonts w:cstheme="majorBidi"/>
          <w:sz w:val="24"/>
          <w:szCs w:val="24"/>
          <w:lang w:eastAsia="en-US"/>
        </w:rPr>
        <w:t>of a relevant safety net; i.e. f</w:t>
      </w:r>
      <w:r w:rsidRPr="005F0AB8">
        <w:rPr>
          <w:rFonts w:cstheme="majorBidi"/>
          <w:sz w:val="24"/>
          <w:szCs w:val="24"/>
          <w:lang w:eastAsia="en-US"/>
        </w:rPr>
        <w:t>air, productive and effective workplaces in small firms, includ</w:t>
      </w:r>
      <w:r w:rsidR="000E4F2E">
        <w:rPr>
          <w:rFonts w:cstheme="majorBidi"/>
          <w:sz w:val="24"/>
          <w:szCs w:val="24"/>
          <w:lang w:eastAsia="en-US"/>
        </w:rPr>
        <w:t>ing</w:t>
      </w:r>
      <w:r w:rsidRPr="005F0AB8">
        <w:rPr>
          <w:rFonts w:cstheme="majorBidi"/>
          <w:sz w:val="24"/>
          <w:szCs w:val="24"/>
          <w:lang w:eastAsia="en-US"/>
        </w:rPr>
        <w:t xml:space="preserve"> representation and voice issues in small business</w:t>
      </w:r>
      <w:r w:rsidR="009D711A">
        <w:rPr>
          <w:rFonts w:cstheme="majorBidi"/>
          <w:sz w:val="24"/>
          <w:szCs w:val="24"/>
          <w:lang w:eastAsia="en-US"/>
        </w:rPr>
        <w:t>.</w:t>
      </w:r>
    </w:p>
    <w:p w:rsidR="00E0132B" w:rsidRPr="005F0AB8" w:rsidRDefault="00E0132B" w:rsidP="00726E76">
      <w:pPr>
        <w:pStyle w:val="ListParagraph"/>
        <w:numPr>
          <w:ilvl w:val="0"/>
          <w:numId w:val="14"/>
        </w:numPr>
        <w:spacing w:after="0" w:line="360" w:lineRule="auto"/>
        <w:ind w:left="1134" w:hanging="283"/>
        <w:jc w:val="both"/>
        <w:rPr>
          <w:rFonts w:cstheme="majorBidi"/>
          <w:sz w:val="24"/>
          <w:szCs w:val="24"/>
        </w:rPr>
      </w:pPr>
      <w:r w:rsidRPr="005F0AB8">
        <w:rPr>
          <w:rFonts w:cstheme="majorBidi"/>
          <w:sz w:val="24"/>
          <w:szCs w:val="24"/>
          <w:lang w:eastAsia="en-US"/>
        </w:rPr>
        <w:t xml:space="preserve">The ability for small business employers to flexibly manage </w:t>
      </w:r>
      <w:r w:rsidR="009D711A">
        <w:rPr>
          <w:rFonts w:cstheme="majorBidi"/>
          <w:sz w:val="24"/>
          <w:szCs w:val="24"/>
          <w:lang w:eastAsia="en-US"/>
        </w:rPr>
        <w:t>and engage with their employees.</w:t>
      </w:r>
    </w:p>
    <w:p w:rsidR="00E0132B" w:rsidRPr="005F0AB8" w:rsidRDefault="00E0132B" w:rsidP="00726E76">
      <w:pPr>
        <w:pStyle w:val="ListParagraph"/>
        <w:numPr>
          <w:ilvl w:val="0"/>
          <w:numId w:val="14"/>
        </w:numPr>
        <w:spacing w:after="0" w:line="360" w:lineRule="auto"/>
        <w:ind w:left="1134" w:hanging="283"/>
        <w:jc w:val="both"/>
        <w:rPr>
          <w:rFonts w:cstheme="majorBidi"/>
          <w:sz w:val="24"/>
          <w:szCs w:val="24"/>
        </w:rPr>
      </w:pPr>
      <w:r w:rsidRPr="005F0AB8">
        <w:rPr>
          <w:rFonts w:cstheme="majorBidi"/>
          <w:sz w:val="24"/>
          <w:szCs w:val="24"/>
          <w:lang w:eastAsia="en-US"/>
        </w:rPr>
        <w:t xml:space="preserve">Red tape and the </w:t>
      </w:r>
      <w:r>
        <w:rPr>
          <w:rFonts w:cstheme="majorBidi"/>
          <w:sz w:val="24"/>
          <w:szCs w:val="24"/>
          <w:lang w:eastAsia="en-US"/>
        </w:rPr>
        <w:t>compliance burden for employers</w:t>
      </w:r>
      <w:r w:rsidR="003C3A8E">
        <w:rPr>
          <w:rFonts w:cstheme="majorBidi"/>
          <w:sz w:val="24"/>
          <w:szCs w:val="24"/>
          <w:lang w:eastAsia="en-US"/>
        </w:rPr>
        <w:t>—</w:t>
      </w:r>
      <w:r w:rsidRPr="005F0AB8">
        <w:rPr>
          <w:rFonts w:cstheme="majorBidi"/>
          <w:sz w:val="24"/>
          <w:szCs w:val="24"/>
          <w:lang w:eastAsia="en-US"/>
        </w:rPr>
        <w:t>a particular issue for small business.</w:t>
      </w:r>
    </w:p>
    <w:p w:rsidR="001F296D" w:rsidRDefault="001F296D" w:rsidP="00494F98">
      <w:pPr>
        <w:spacing w:after="0" w:line="360" w:lineRule="auto"/>
        <w:ind w:left="851" w:hanging="851"/>
        <w:jc w:val="both"/>
        <w:rPr>
          <w:rFonts w:cstheme="majorBidi"/>
          <w:b/>
          <w:bCs/>
          <w:sz w:val="24"/>
          <w:szCs w:val="24"/>
          <w:u w:val="single"/>
        </w:rPr>
      </w:pPr>
    </w:p>
    <w:p w:rsidR="00971C31" w:rsidRDefault="00971C31" w:rsidP="00620396">
      <w:pPr>
        <w:pStyle w:val="ListParagraph"/>
        <w:numPr>
          <w:ilvl w:val="1"/>
          <w:numId w:val="5"/>
        </w:numPr>
        <w:spacing w:after="0" w:line="360" w:lineRule="auto"/>
        <w:ind w:left="709" w:hanging="709"/>
        <w:jc w:val="both"/>
        <w:rPr>
          <w:rFonts w:cstheme="majorBidi"/>
          <w:sz w:val="24"/>
          <w:szCs w:val="24"/>
        </w:rPr>
      </w:pPr>
      <w:r w:rsidRPr="00694929">
        <w:rPr>
          <w:rFonts w:cstheme="majorBidi"/>
          <w:sz w:val="24"/>
          <w:szCs w:val="24"/>
        </w:rPr>
        <w:t xml:space="preserve">This submission argues that the </w:t>
      </w:r>
      <w:r w:rsidRPr="00D8033E">
        <w:rPr>
          <w:rFonts w:cstheme="majorBidi"/>
          <w:i/>
          <w:iCs/>
          <w:sz w:val="24"/>
          <w:szCs w:val="24"/>
        </w:rPr>
        <w:t>Fair Work Act 2009</w:t>
      </w:r>
      <w:r w:rsidRPr="00694929">
        <w:rPr>
          <w:rFonts w:cstheme="majorBidi"/>
          <w:sz w:val="24"/>
          <w:szCs w:val="24"/>
        </w:rPr>
        <w:t xml:space="preserve"> and the Fair Work Commission have an important and ongoing role in setting the regulatory context for small business growth and development. This will ensure that small businesses produce social and economic benefits by providing entrepreneurial and commercial opportunities for business owners and good quality employment opportunities for employees.</w:t>
      </w:r>
    </w:p>
    <w:p w:rsidR="00A068DB" w:rsidRPr="00837EAE" w:rsidRDefault="00A068DB" w:rsidP="00837EAE">
      <w:pPr>
        <w:spacing w:after="0" w:line="360" w:lineRule="auto"/>
        <w:jc w:val="both"/>
        <w:rPr>
          <w:rFonts w:cstheme="majorBidi"/>
          <w:b/>
          <w:bCs/>
          <w:sz w:val="24"/>
          <w:szCs w:val="24"/>
          <w:u w:val="single"/>
        </w:rPr>
      </w:pPr>
    </w:p>
    <w:p w:rsidR="001F296D" w:rsidRDefault="001F296D" w:rsidP="00330579">
      <w:pPr>
        <w:pStyle w:val="ListParagraph"/>
        <w:numPr>
          <w:ilvl w:val="1"/>
          <w:numId w:val="5"/>
        </w:numPr>
        <w:spacing w:after="0" w:line="360" w:lineRule="auto"/>
        <w:ind w:left="709" w:hanging="709"/>
        <w:jc w:val="both"/>
        <w:rPr>
          <w:rFonts w:cstheme="majorBidi"/>
          <w:sz w:val="24"/>
          <w:szCs w:val="24"/>
        </w:rPr>
      </w:pPr>
      <w:r w:rsidRPr="00694929">
        <w:rPr>
          <w:rFonts w:cstheme="majorBidi"/>
          <w:sz w:val="24"/>
          <w:szCs w:val="24"/>
        </w:rPr>
        <w:t xml:space="preserve">Small </w:t>
      </w:r>
      <w:r w:rsidR="00E0132B" w:rsidRPr="00694929">
        <w:rPr>
          <w:rFonts w:cstheme="majorBidi"/>
          <w:sz w:val="24"/>
          <w:szCs w:val="24"/>
        </w:rPr>
        <w:t xml:space="preserve">businesses, defined as actively trading businesses with 0-19 employees, are an important source of employment (although not necessarily employment growth) and </w:t>
      </w:r>
      <w:r w:rsidR="0071735B">
        <w:rPr>
          <w:rFonts w:cstheme="majorBidi"/>
          <w:sz w:val="24"/>
          <w:szCs w:val="24"/>
        </w:rPr>
        <w:t>ad</w:t>
      </w:r>
      <w:r w:rsidR="00A665FC">
        <w:rPr>
          <w:rFonts w:cstheme="majorBidi"/>
          <w:sz w:val="24"/>
          <w:szCs w:val="24"/>
        </w:rPr>
        <w:t>d</w:t>
      </w:r>
      <w:r w:rsidR="0071735B">
        <w:rPr>
          <w:rFonts w:cstheme="majorBidi"/>
          <w:sz w:val="24"/>
          <w:szCs w:val="24"/>
        </w:rPr>
        <w:t xml:space="preserve"> </w:t>
      </w:r>
      <w:r w:rsidR="00E0132B" w:rsidRPr="00694929">
        <w:rPr>
          <w:rFonts w:cstheme="majorBidi"/>
          <w:sz w:val="24"/>
          <w:szCs w:val="24"/>
        </w:rPr>
        <w:t>value to the Australian economy. In Australia, approximately 96% of all businesses are small, and of these 34.7% employ staff and 61.2% are sole traders. Small business accounts for 45.7% of private sector employment and this employment is overwhelmingly concentrated in the services sector (84.4%). Small businesses employ 4.818 million employees</w:t>
      </w:r>
      <w:r w:rsidR="00E0132B">
        <w:rPr>
          <w:rFonts w:cstheme="majorBidi"/>
          <w:sz w:val="24"/>
          <w:szCs w:val="24"/>
        </w:rPr>
        <w:t xml:space="preserve"> </w:t>
      </w:r>
      <w:r w:rsidR="00E0132B">
        <w:rPr>
          <w:rFonts w:cstheme="majorBidi"/>
          <w:sz w:val="24"/>
          <w:szCs w:val="24"/>
        </w:rPr>
        <w:fldChar w:fldCharType="begin"/>
      </w:r>
      <w:r w:rsidR="00B05886">
        <w:rPr>
          <w:rFonts w:cstheme="majorBidi"/>
          <w:sz w:val="24"/>
          <w:szCs w:val="24"/>
        </w:rPr>
        <w:instrText xml:space="preserve"> ADDIN EN.CITE &lt;EndNote&gt;&lt;Cite&gt;&lt;Author&gt;Department of Industry&lt;/Author&gt;&lt;Year&gt;2012&lt;/Year&gt;&lt;RecNum&gt;34&lt;/RecNum&gt;&lt;Prefix&gt;see &lt;/Prefix&gt;&lt;DisplayText&gt;(see Department of Industry, 2012)&lt;/DisplayText&gt;&lt;record&gt;&lt;rec-number&gt;34&lt;/rec-number&gt;&lt;foreign-keys&gt;&lt;key app="EN" db-id="xe9w25v07zaw5hev9v0p2xz5fwzxxrfx0t50" timestamp="1426056801"&gt;34&lt;/key&gt;&lt;/foreign-keys&gt;&lt;ref-type name="Report"&gt;27&lt;/ref-type&gt;&lt;contributors&gt;&lt;authors&gt;&lt;author&gt;Department of Industry,, Innovation, Science, Research and Tertiary Education&lt;/author&gt;&lt;/authors&gt;&lt;/contributors&gt;&lt;titles&gt;&lt;title&gt;Australian small business: Key statistics and analysis, Commonwealth of Australia.&lt;/title&gt;&lt;/titles&gt;&lt;dates&gt;&lt;year&gt;2012&lt;/year&gt;&lt;/dates&gt;&lt;pub-location&gt;Commonwealth of Australia.&lt;/pub-location&gt;&lt;urls&gt;&lt;/urls&gt;&lt;/record&gt;&lt;/Cite&gt;&lt;/EndNote&gt;</w:instrText>
      </w:r>
      <w:r w:rsidR="00E0132B">
        <w:rPr>
          <w:rFonts w:cstheme="majorBidi"/>
          <w:sz w:val="24"/>
          <w:szCs w:val="24"/>
        </w:rPr>
        <w:fldChar w:fldCharType="separate"/>
      </w:r>
      <w:r w:rsidR="00B05886">
        <w:rPr>
          <w:rFonts w:cstheme="majorBidi"/>
          <w:noProof/>
          <w:sz w:val="24"/>
          <w:szCs w:val="24"/>
        </w:rPr>
        <w:t>(see Department of Industry, 2012)</w:t>
      </w:r>
      <w:r w:rsidR="00E0132B">
        <w:rPr>
          <w:rFonts w:cstheme="majorBidi"/>
          <w:sz w:val="24"/>
          <w:szCs w:val="24"/>
        </w:rPr>
        <w:fldChar w:fldCharType="end"/>
      </w:r>
      <w:r w:rsidR="00E0132B" w:rsidRPr="00694929">
        <w:rPr>
          <w:rFonts w:cstheme="majorBidi"/>
          <w:sz w:val="24"/>
          <w:szCs w:val="24"/>
        </w:rPr>
        <w:t xml:space="preserve"> and are a source of value added and innovation for the A</w:t>
      </w:r>
      <w:r w:rsidR="00E0132B">
        <w:rPr>
          <w:rFonts w:cstheme="majorBidi"/>
          <w:sz w:val="24"/>
          <w:szCs w:val="24"/>
        </w:rPr>
        <w:t>ustralian economy. For example</w:t>
      </w:r>
      <w:r w:rsidR="0071735B">
        <w:rPr>
          <w:rFonts w:cstheme="majorBidi"/>
          <w:sz w:val="24"/>
          <w:szCs w:val="24"/>
        </w:rPr>
        <w:t>,</w:t>
      </w:r>
      <w:r w:rsidR="00E0132B">
        <w:rPr>
          <w:rFonts w:cstheme="majorBidi"/>
          <w:sz w:val="24"/>
          <w:szCs w:val="24"/>
        </w:rPr>
        <w:t xml:space="preserve"> s</w:t>
      </w:r>
      <w:r w:rsidR="00E0132B" w:rsidRPr="00694929">
        <w:rPr>
          <w:rFonts w:cstheme="majorBidi"/>
          <w:sz w:val="24"/>
          <w:szCs w:val="24"/>
        </w:rPr>
        <w:t>mall businesses account</w:t>
      </w:r>
      <w:r w:rsidR="0071735B">
        <w:rPr>
          <w:rFonts w:cstheme="majorBidi"/>
          <w:sz w:val="24"/>
          <w:szCs w:val="24"/>
        </w:rPr>
        <w:t>ed</w:t>
      </w:r>
      <w:r w:rsidR="00E0132B" w:rsidRPr="00694929">
        <w:rPr>
          <w:rFonts w:cstheme="majorBidi"/>
          <w:sz w:val="24"/>
          <w:szCs w:val="24"/>
        </w:rPr>
        <w:t xml:space="preserve"> for 33.7% of private sector industry value adde</w:t>
      </w:r>
      <w:r w:rsidR="00330579">
        <w:rPr>
          <w:rFonts w:cstheme="majorBidi"/>
          <w:sz w:val="24"/>
          <w:szCs w:val="24"/>
        </w:rPr>
        <w:t>d</w:t>
      </w:r>
      <w:r w:rsidR="0071735B">
        <w:rPr>
          <w:rFonts w:cstheme="majorBidi"/>
          <w:sz w:val="24"/>
          <w:szCs w:val="24"/>
        </w:rPr>
        <w:t xml:space="preserve">, and </w:t>
      </w:r>
      <w:r w:rsidR="00E0132B" w:rsidRPr="00694929">
        <w:rPr>
          <w:rFonts w:cstheme="majorBidi"/>
          <w:sz w:val="24"/>
          <w:szCs w:val="24"/>
        </w:rPr>
        <w:t>for the period 2010-</w:t>
      </w:r>
      <w:r w:rsidR="009D711A">
        <w:rPr>
          <w:rFonts w:cstheme="majorBidi"/>
          <w:sz w:val="24"/>
          <w:szCs w:val="24"/>
        </w:rPr>
        <w:t>20</w:t>
      </w:r>
      <w:r w:rsidR="00E0132B" w:rsidRPr="00694929">
        <w:rPr>
          <w:rFonts w:cstheme="majorBidi"/>
          <w:sz w:val="24"/>
          <w:szCs w:val="24"/>
        </w:rPr>
        <w:t>11</w:t>
      </w:r>
      <w:r w:rsidR="00330579">
        <w:rPr>
          <w:rFonts w:cstheme="majorBidi"/>
          <w:sz w:val="24"/>
          <w:szCs w:val="24"/>
        </w:rPr>
        <w:t>,</w:t>
      </w:r>
      <w:r w:rsidR="00E0132B" w:rsidRPr="00694929">
        <w:rPr>
          <w:rFonts w:cstheme="majorBidi"/>
          <w:sz w:val="24"/>
          <w:szCs w:val="24"/>
        </w:rPr>
        <w:t xml:space="preserve"> almost 50% of businesses with 5-19 employees reported some kind of innovative activity</w:t>
      </w:r>
      <w:r w:rsidR="00330579">
        <w:rPr>
          <w:rFonts w:cstheme="majorBidi"/>
          <w:sz w:val="24"/>
          <w:szCs w:val="24"/>
        </w:rPr>
        <w:t xml:space="preserve"> (Barrett &amp; Mayson, 2005</w:t>
      </w:r>
      <w:r w:rsidR="00E0132B" w:rsidRPr="00694929">
        <w:rPr>
          <w:rFonts w:cstheme="majorBidi"/>
          <w:sz w:val="24"/>
          <w:szCs w:val="24"/>
        </w:rPr>
        <w:t>. These statistics point to the social value and economic potential of small business and</w:t>
      </w:r>
      <w:r w:rsidR="00330579">
        <w:rPr>
          <w:rFonts w:cstheme="majorBidi"/>
          <w:sz w:val="24"/>
          <w:szCs w:val="24"/>
        </w:rPr>
        <w:t xml:space="preserve"> to</w:t>
      </w:r>
      <w:r w:rsidR="00E0132B" w:rsidRPr="00694929">
        <w:rPr>
          <w:rFonts w:cstheme="majorBidi"/>
          <w:sz w:val="24"/>
          <w:szCs w:val="24"/>
        </w:rPr>
        <w:t xml:space="preserve"> the need for effective regulation that enables small </w:t>
      </w:r>
      <w:r w:rsidR="00E0132B" w:rsidRPr="00694929">
        <w:rPr>
          <w:rFonts w:cstheme="majorBidi"/>
          <w:sz w:val="24"/>
          <w:szCs w:val="24"/>
        </w:rPr>
        <w:lastRenderedPageBreak/>
        <w:t>business</w:t>
      </w:r>
      <w:r w:rsidR="00330579">
        <w:rPr>
          <w:rFonts w:cstheme="majorBidi"/>
          <w:sz w:val="24"/>
          <w:szCs w:val="24"/>
        </w:rPr>
        <w:t>es</w:t>
      </w:r>
      <w:r w:rsidR="00E0132B" w:rsidRPr="00694929">
        <w:rPr>
          <w:rFonts w:cstheme="majorBidi"/>
          <w:sz w:val="24"/>
          <w:szCs w:val="24"/>
        </w:rPr>
        <w:t xml:space="preserve"> be productive, flexible and engaging workplaces</w:t>
      </w:r>
      <w:r w:rsidR="00330579">
        <w:rPr>
          <w:rFonts w:cstheme="majorBidi"/>
          <w:sz w:val="24"/>
          <w:szCs w:val="24"/>
        </w:rPr>
        <w:t xml:space="preserve"> (</w:t>
      </w:r>
      <w:r w:rsidR="00E0132B" w:rsidRPr="00694929">
        <w:rPr>
          <w:rFonts w:cstheme="majorBidi"/>
          <w:sz w:val="24"/>
          <w:szCs w:val="24"/>
        </w:rPr>
        <w:t>as well as providing fair and equitable employment conditions</w:t>
      </w:r>
      <w:r w:rsidR="00FA6CB0">
        <w:rPr>
          <w:rFonts w:cstheme="majorBidi"/>
          <w:sz w:val="24"/>
          <w:szCs w:val="24"/>
        </w:rPr>
        <w:t>)</w:t>
      </w:r>
      <w:r w:rsidR="00E0132B" w:rsidRPr="00694929">
        <w:rPr>
          <w:rFonts w:cstheme="majorBidi"/>
          <w:sz w:val="24"/>
          <w:szCs w:val="24"/>
        </w:rPr>
        <w:t>.</w:t>
      </w:r>
    </w:p>
    <w:p w:rsidR="00726E76" w:rsidRPr="00694929" w:rsidRDefault="00726E76" w:rsidP="00726E76">
      <w:pPr>
        <w:pStyle w:val="ListParagraph"/>
        <w:spacing w:after="0" w:line="360" w:lineRule="auto"/>
        <w:ind w:left="709"/>
        <w:jc w:val="both"/>
        <w:rPr>
          <w:rFonts w:cstheme="majorBidi"/>
          <w:sz w:val="24"/>
          <w:szCs w:val="24"/>
        </w:rPr>
      </w:pPr>
    </w:p>
    <w:p w:rsidR="004A21F5" w:rsidRDefault="001F296D" w:rsidP="00330579">
      <w:pPr>
        <w:pStyle w:val="ListParagraph"/>
        <w:numPr>
          <w:ilvl w:val="1"/>
          <w:numId w:val="5"/>
        </w:numPr>
        <w:spacing w:after="0" w:line="360" w:lineRule="auto"/>
        <w:ind w:left="709" w:hanging="709"/>
        <w:jc w:val="both"/>
        <w:rPr>
          <w:rFonts w:cstheme="majorBidi"/>
          <w:sz w:val="24"/>
          <w:szCs w:val="24"/>
        </w:rPr>
      </w:pPr>
      <w:r w:rsidRPr="00694929">
        <w:rPr>
          <w:rFonts w:cstheme="majorBidi"/>
          <w:sz w:val="24"/>
          <w:szCs w:val="24"/>
        </w:rPr>
        <w:t xml:space="preserve">To </w:t>
      </w:r>
      <w:r w:rsidR="00E0132B" w:rsidRPr="00694929">
        <w:rPr>
          <w:rFonts w:cstheme="majorBidi"/>
          <w:sz w:val="24"/>
          <w:szCs w:val="24"/>
        </w:rPr>
        <w:t xml:space="preserve">this end, the </w:t>
      </w:r>
      <w:r w:rsidR="00E0132B" w:rsidRPr="00AA1739">
        <w:rPr>
          <w:rFonts w:cstheme="majorBidi"/>
          <w:i/>
          <w:iCs/>
          <w:sz w:val="24"/>
          <w:szCs w:val="24"/>
        </w:rPr>
        <w:t>Fair Work Act 2009</w:t>
      </w:r>
      <w:r w:rsidR="00E0132B" w:rsidRPr="00694929">
        <w:rPr>
          <w:rFonts w:cstheme="majorBidi"/>
          <w:sz w:val="24"/>
          <w:szCs w:val="24"/>
        </w:rPr>
        <w:t xml:space="preserve"> requires that small business</w:t>
      </w:r>
      <w:r w:rsidR="00685A38">
        <w:rPr>
          <w:rFonts w:cstheme="majorBidi"/>
          <w:sz w:val="24"/>
          <w:szCs w:val="24"/>
        </w:rPr>
        <w:t>es</w:t>
      </w:r>
      <w:r w:rsidR="00E0132B" w:rsidRPr="00694929">
        <w:rPr>
          <w:rFonts w:cstheme="majorBidi"/>
          <w:sz w:val="24"/>
          <w:szCs w:val="24"/>
        </w:rPr>
        <w:t xml:space="preserve"> compl</w:t>
      </w:r>
      <w:r w:rsidR="00685A38">
        <w:rPr>
          <w:rFonts w:cstheme="majorBidi"/>
          <w:sz w:val="24"/>
          <w:szCs w:val="24"/>
        </w:rPr>
        <w:t>y</w:t>
      </w:r>
      <w:r w:rsidR="00E0132B" w:rsidRPr="00694929">
        <w:rPr>
          <w:rFonts w:cstheme="majorBidi"/>
          <w:sz w:val="24"/>
          <w:szCs w:val="24"/>
        </w:rPr>
        <w:t xml:space="preserve"> with the National Employment Standards, modern awards, unfair and unlawful dismissal laws, agreement making obligations, transfer of business rules and specified workplace rights.</w:t>
      </w:r>
      <w:r w:rsidR="00E0132B" w:rsidRPr="00C60203">
        <w:rPr>
          <w:rStyle w:val="FootnoteReference"/>
          <w:rFonts w:cstheme="majorBidi"/>
          <w:sz w:val="24"/>
          <w:szCs w:val="24"/>
        </w:rPr>
        <w:footnoteReference w:id="3"/>
      </w:r>
      <w:r w:rsidR="00E0132B" w:rsidRPr="00694929">
        <w:rPr>
          <w:rFonts w:cstheme="majorBidi"/>
          <w:sz w:val="24"/>
          <w:szCs w:val="24"/>
        </w:rPr>
        <w:t xml:space="preserve"> </w:t>
      </w:r>
      <w:r w:rsidR="00685A38">
        <w:rPr>
          <w:rFonts w:cstheme="majorBidi"/>
          <w:sz w:val="24"/>
          <w:szCs w:val="24"/>
        </w:rPr>
        <w:t>Arguably t</w:t>
      </w:r>
      <w:r w:rsidR="00E0132B" w:rsidRPr="00694929">
        <w:rPr>
          <w:rFonts w:cstheme="majorBidi"/>
          <w:sz w:val="24"/>
          <w:szCs w:val="24"/>
        </w:rPr>
        <w:t>his regulation is crucial for small business</w:t>
      </w:r>
      <w:r w:rsidR="00685A38">
        <w:rPr>
          <w:rFonts w:cstheme="majorBidi"/>
          <w:sz w:val="24"/>
          <w:szCs w:val="24"/>
        </w:rPr>
        <w:t xml:space="preserve"> operations as it</w:t>
      </w:r>
      <w:r w:rsidR="00E0132B" w:rsidRPr="00694929">
        <w:rPr>
          <w:rFonts w:cstheme="majorBidi"/>
          <w:sz w:val="24"/>
          <w:szCs w:val="24"/>
        </w:rPr>
        <w:t xml:space="preserve"> provides a framework of minimum standards with regard to wage</w:t>
      </w:r>
      <w:r w:rsidR="00685A38">
        <w:rPr>
          <w:rFonts w:cstheme="majorBidi"/>
          <w:sz w:val="24"/>
          <w:szCs w:val="24"/>
        </w:rPr>
        <w:t xml:space="preserve">s and conditions of employment, in this way ensuring that competition is based on competitive advantage rather than the ability to cut costs. </w:t>
      </w:r>
    </w:p>
    <w:p w:rsidR="004A21F5" w:rsidRPr="004A21F5" w:rsidRDefault="004A21F5" w:rsidP="00637AB8">
      <w:pPr>
        <w:pStyle w:val="ListParagraph"/>
        <w:ind w:left="851" w:hanging="851"/>
        <w:rPr>
          <w:rFonts w:cstheme="majorBidi"/>
          <w:sz w:val="24"/>
          <w:szCs w:val="24"/>
        </w:rPr>
      </w:pPr>
    </w:p>
    <w:p w:rsidR="001F296D" w:rsidRPr="004A21F5" w:rsidRDefault="004A21F5" w:rsidP="00330579">
      <w:pPr>
        <w:pStyle w:val="ListParagraph"/>
        <w:numPr>
          <w:ilvl w:val="1"/>
          <w:numId w:val="5"/>
        </w:numPr>
        <w:spacing w:after="0" w:line="360" w:lineRule="auto"/>
        <w:ind w:left="709" w:hanging="709"/>
        <w:jc w:val="both"/>
        <w:rPr>
          <w:rFonts w:cstheme="majorBidi"/>
          <w:sz w:val="24"/>
          <w:szCs w:val="24"/>
        </w:rPr>
      </w:pPr>
      <w:r w:rsidRPr="004A21F5">
        <w:rPr>
          <w:rFonts w:cstheme="majorBidi"/>
          <w:sz w:val="24"/>
          <w:szCs w:val="24"/>
        </w:rPr>
        <w:t>However, small business workplace regulation and indeed regulation more generally remain contentious issue</w:t>
      </w:r>
      <w:r w:rsidR="00330579">
        <w:rPr>
          <w:rFonts w:cstheme="majorBidi"/>
          <w:sz w:val="24"/>
          <w:szCs w:val="24"/>
        </w:rPr>
        <w:t>s</w:t>
      </w:r>
      <w:r w:rsidRPr="004A21F5">
        <w:rPr>
          <w:rFonts w:cstheme="majorBidi"/>
          <w:sz w:val="24"/>
          <w:szCs w:val="24"/>
        </w:rPr>
        <w:t>. Those organisations that represent small business</w:t>
      </w:r>
      <w:r w:rsidRPr="00C60203">
        <w:rPr>
          <w:rStyle w:val="FootnoteReference"/>
          <w:rFonts w:cstheme="majorBidi"/>
          <w:sz w:val="24"/>
          <w:szCs w:val="24"/>
        </w:rPr>
        <w:footnoteReference w:id="4"/>
      </w:r>
      <w:r w:rsidRPr="004A21F5">
        <w:rPr>
          <w:rFonts w:cstheme="majorBidi"/>
          <w:sz w:val="24"/>
          <w:szCs w:val="24"/>
        </w:rPr>
        <w:t xml:space="preserve"> as well as government</w:t>
      </w:r>
      <w:r w:rsidRPr="00C60203">
        <w:rPr>
          <w:rStyle w:val="FootnoteReference"/>
          <w:rFonts w:cstheme="majorBidi"/>
          <w:sz w:val="24"/>
          <w:szCs w:val="24"/>
        </w:rPr>
        <w:footnoteReference w:id="5"/>
      </w:r>
      <w:r w:rsidRPr="004A21F5">
        <w:rPr>
          <w:rFonts w:cstheme="majorBidi"/>
          <w:sz w:val="24"/>
          <w:szCs w:val="24"/>
        </w:rPr>
        <w:t xml:space="preserve"> and to some extent regulators, such as the Fair Work Commission, recognise that regulation is a burden on small firms because they lack the resources and economies of scale to respond to regulatory requirements. For this reason </w:t>
      </w:r>
      <w:r w:rsidR="00685A38" w:rsidRPr="004A21F5">
        <w:rPr>
          <w:rFonts w:cstheme="majorBidi"/>
          <w:sz w:val="24"/>
          <w:szCs w:val="24"/>
        </w:rPr>
        <w:t xml:space="preserve">the </w:t>
      </w:r>
      <w:r w:rsidR="00E0132B" w:rsidRPr="004A21F5">
        <w:rPr>
          <w:rFonts w:cstheme="majorBidi"/>
          <w:sz w:val="24"/>
          <w:szCs w:val="24"/>
        </w:rPr>
        <w:t xml:space="preserve">Fair Work </w:t>
      </w:r>
      <w:r w:rsidR="003950C1" w:rsidRPr="004A21F5">
        <w:rPr>
          <w:rFonts w:cstheme="majorBidi"/>
          <w:sz w:val="24"/>
          <w:szCs w:val="24"/>
        </w:rPr>
        <w:t>Ombudsman</w:t>
      </w:r>
      <w:r w:rsidR="00685A38" w:rsidRPr="004A21F5">
        <w:rPr>
          <w:rFonts w:cstheme="majorBidi"/>
          <w:sz w:val="24"/>
          <w:szCs w:val="24"/>
        </w:rPr>
        <w:t xml:space="preserve"> has developed </w:t>
      </w:r>
      <w:r w:rsidR="00E0132B" w:rsidRPr="004A21F5">
        <w:rPr>
          <w:rFonts w:cstheme="majorBidi"/>
          <w:sz w:val="24"/>
          <w:szCs w:val="24"/>
        </w:rPr>
        <w:t>information resources, including guidelines, check lists and procedures to guide small business compliance</w:t>
      </w:r>
      <w:r>
        <w:rPr>
          <w:rFonts w:cstheme="majorBidi"/>
          <w:sz w:val="24"/>
          <w:szCs w:val="24"/>
        </w:rPr>
        <w:t>,</w:t>
      </w:r>
      <w:r w:rsidR="00685A38" w:rsidRPr="004A21F5">
        <w:rPr>
          <w:rFonts w:cstheme="majorBidi"/>
          <w:sz w:val="24"/>
          <w:szCs w:val="24"/>
        </w:rPr>
        <w:t xml:space="preserve"> and the Fair Work Commission continues to develop resources to simplify access to and participation in its processes</w:t>
      </w:r>
      <w:r w:rsidR="00E0132B" w:rsidRPr="004A21F5">
        <w:rPr>
          <w:rFonts w:cstheme="majorBidi"/>
          <w:sz w:val="24"/>
          <w:szCs w:val="24"/>
        </w:rPr>
        <w:t>.</w:t>
      </w:r>
      <w:r w:rsidR="00E0132B" w:rsidRPr="00C60203">
        <w:rPr>
          <w:rStyle w:val="FootnoteReference"/>
          <w:rFonts w:cstheme="majorBidi"/>
          <w:sz w:val="24"/>
          <w:szCs w:val="24"/>
        </w:rPr>
        <w:footnoteReference w:id="6"/>
      </w:r>
    </w:p>
    <w:p w:rsidR="001F296D" w:rsidRPr="00C60203" w:rsidRDefault="001F296D" w:rsidP="00726E76">
      <w:pPr>
        <w:spacing w:after="0" w:line="360" w:lineRule="auto"/>
        <w:ind w:left="709" w:hanging="709"/>
        <w:jc w:val="both"/>
        <w:rPr>
          <w:rFonts w:cstheme="majorBidi"/>
          <w:b/>
          <w:bCs/>
          <w:sz w:val="24"/>
          <w:szCs w:val="24"/>
          <w:u w:val="single"/>
        </w:rPr>
      </w:pPr>
    </w:p>
    <w:p w:rsidR="00E0132B" w:rsidRPr="00694929" w:rsidRDefault="001F296D" w:rsidP="00330579">
      <w:pPr>
        <w:pStyle w:val="ListParagraph"/>
        <w:numPr>
          <w:ilvl w:val="1"/>
          <w:numId w:val="5"/>
        </w:numPr>
        <w:spacing w:after="0" w:line="360" w:lineRule="auto"/>
        <w:ind w:left="709" w:hanging="709"/>
        <w:jc w:val="both"/>
        <w:rPr>
          <w:rFonts w:cstheme="majorBidi"/>
          <w:sz w:val="24"/>
          <w:szCs w:val="24"/>
        </w:rPr>
      </w:pPr>
      <w:r w:rsidRPr="00E0132B">
        <w:rPr>
          <w:rFonts w:cstheme="majorBidi"/>
          <w:sz w:val="24"/>
          <w:szCs w:val="24"/>
        </w:rPr>
        <w:t xml:space="preserve">The </w:t>
      </w:r>
      <w:r w:rsidR="00E0132B" w:rsidRPr="00694929">
        <w:rPr>
          <w:rFonts w:cstheme="majorBidi"/>
          <w:sz w:val="24"/>
          <w:szCs w:val="24"/>
        </w:rPr>
        <w:t>regulation-as-burden argument, while having empirical support, frequently finds its way into policy discussion and ministerial pronouncements as an unchallenged truth</w:t>
      </w:r>
      <w:r w:rsidR="00E0132B">
        <w:rPr>
          <w:rFonts w:cstheme="majorBidi"/>
          <w:sz w:val="24"/>
          <w:szCs w:val="24"/>
        </w:rPr>
        <w:t xml:space="preserve"> </w:t>
      </w:r>
      <w:r w:rsidR="00E0132B">
        <w:rPr>
          <w:rFonts w:cstheme="majorBidi"/>
          <w:sz w:val="24"/>
          <w:szCs w:val="24"/>
        </w:rPr>
        <w:fldChar w:fldCharType="begin"/>
      </w:r>
      <w:r w:rsidR="00E0132B">
        <w:rPr>
          <w:rFonts w:cstheme="majorBidi"/>
          <w:sz w:val="24"/>
          <w:szCs w:val="24"/>
        </w:rPr>
        <w:instrText xml:space="preserve"> ADDIN EN.CITE &lt;EndNote&gt;&lt;Cite&gt;&lt;Author&gt;Barrett&lt;/Author&gt;&lt;Year&gt;2014&lt;/Year&gt;&lt;RecNum&gt;35&lt;/RecNum&gt;&lt;DisplayText&gt;(Barrett, Mayson, &amp;amp; Bahn, 2014)&lt;/DisplayText&gt;&lt;record&gt;&lt;rec-number&gt;35&lt;/rec-number&gt;&lt;foreign-keys&gt;&lt;key app="EN" db-id="xe9w25v07zaw5hev9v0p2xz5fwzxxrfx0t50" timestamp="1426057027"&gt;35&lt;/key&gt;&lt;/foreign-keys&gt;&lt;ref-type name="Journal Article"&gt;17&lt;/ref-type&gt;&lt;contributors&gt;&lt;authors&gt;&lt;author&gt;Barrett, R.&lt;/author&gt;&lt;author&gt;Mayson, S.&lt;/author&gt;&lt;author&gt;Bahn, S.&lt;/author&gt;&lt;/authors&gt;&lt;/contributors&gt;&lt;titles&gt;&lt;title&gt;Small firms and OHS harmonisation: Potential regulatory effects of the dominant narrative&lt;/title&gt;&lt;secondary-title&gt;Journal of Industrial Relations, 5 6(3):61-80.&lt;/secondary-title&gt;&lt;/titles&gt;&lt;periodical&gt;&lt;full-title&gt;Journal of Industrial Relations, 5 6(3):61-80.&lt;/full-title&gt;&lt;/periodical&gt;&lt;pages&gt;61-80&lt;/pages&gt;&lt;volume&gt;56&lt;/volume&gt;&lt;number&gt;3&lt;/number&gt;&lt;dates&gt;&lt;year&gt;2014&lt;/year&gt;&lt;/dates&gt;&lt;urls&gt;&lt;/urls&gt;&lt;/record&gt;&lt;/Cite&gt;&lt;/EndNote&gt;</w:instrText>
      </w:r>
      <w:r w:rsidR="00E0132B">
        <w:rPr>
          <w:rFonts w:cstheme="majorBidi"/>
          <w:sz w:val="24"/>
          <w:szCs w:val="24"/>
        </w:rPr>
        <w:fldChar w:fldCharType="separate"/>
      </w:r>
      <w:r w:rsidR="00E0132B">
        <w:rPr>
          <w:rFonts w:cstheme="majorBidi"/>
          <w:noProof/>
          <w:sz w:val="24"/>
          <w:szCs w:val="24"/>
        </w:rPr>
        <w:t>(Barrett, Mayson &amp; Bahn, 2014)</w:t>
      </w:r>
      <w:r w:rsidR="00E0132B">
        <w:rPr>
          <w:rFonts w:cstheme="majorBidi"/>
          <w:sz w:val="24"/>
          <w:szCs w:val="24"/>
        </w:rPr>
        <w:fldChar w:fldCharType="end"/>
      </w:r>
      <w:r w:rsidR="00E0132B" w:rsidRPr="00694929">
        <w:rPr>
          <w:rFonts w:cstheme="majorBidi"/>
          <w:sz w:val="24"/>
          <w:szCs w:val="24"/>
        </w:rPr>
        <w:t>. However</w:t>
      </w:r>
      <w:r w:rsidR="00330579">
        <w:rPr>
          <w:rFonts w:cstheme="majorBidi"/>
          <w:sz w:val="24"/>
          <w:szCs w:val="24"/>
        </w:rPr>
        <w:t xml:space="preserve">, it has been shown </w:t>
      </w:r>
      <w:r w:rsidR="00E0132B" w:rsidRPr="00694929">
        <w:rPr>
          <w:rFonts w:cstheme="majorBidi"/>
          <w:sz w:val="24"/>
          <w:szCs w:val="24"/>
        </w:rPr>
        <w:t>that</w:t>
      </w:r>
      <w:r w:rsidR="00FA6CB0">
        <w:rPr>
          <w:rFonts w:cstheme="majorBidi"/>
          <w:sz w:val="24"/>
          <w:szCs w:val="24"/>
        </w:rPr>
        <w:t>,</w:t>
      </w:r>
      <w:r w:rsidR="00E0132B" w:rsidRPr="00694929">
        <w:rPr>
          <w:rFonts w:cstheme="majorBidi"/>
          <w:sz w:val="24"/>
          <w:szCs w:val="24"/>
        </w:rPr>
        <w:t xml:space="preserve"> while </w:t>
      </w:r>
      <w:r w:rsidR="00330579">
        <w:rPr>
          <w:rFonts w:cstheme="majorBidi"/>
          <w:sz w:val="24"/>
          <w:szCs w:val="24"/>
        </w:rPr>
        <w:t xml:space="preserve">small businesses perceive </w:t>
      </w:r>
      <w:r w:rsidR="00E0132B" w:rsidRPr="00694929">
        <w:rPr>
          <w:rFonts w:cstheme="majorBidi"/>
          <w:sz w:val="24"/>
          <w:szCs w:val="24"/>
        </w:rPr>
        <w:t xml:space="preserve">regulation </w:t>
      </w:r>
      <w:r w:rsidR="00FA6CB0">
        <w:rPr>
          <w:rFonts w:cstheme="majorBidi"/>
          <w:sz w:val="24"/>
          <w:szCs w:val="24"/>
        </w:rPr>
        <w:t xml:space="preserve">as </w:t>
      </w:r>
      <w:r w:rsidR="00E0132B" w:rsidRPr="00694929">
        <w:rPr>
          <w:rFonts w:cstheme="majorBidi"/>
          <w:sz w:val="24"/>
          <w:szCs w:val="24"/>
        </w:rPr>
        <w:t>burdensome</w:t>
      </w:r>
      <w:r w:rsidR="00FA6CB0">
        <w:rPr>
          <w:rFonts w:cstheme="majorBidi"/>
          <w:sz w:val="24"/>
          <w:szCs w:val="24"/>
        </w:rPr>
        <w:t>,</w:t>
      </w:r>
      <w:r w:rsidR="00330579">
        <w:rPr>
          <w:rFonts w:cstheme="majorBidi"/>
          <w:sz w:val="24"/>
          <w:szCs w:val="24"/>
        </w:rPr>
        <w:t xml:space="preserve"> this</w:t>
      </w:r>
      <w:r w:rsidR="00E0132B" w:rsidRPr="00694929">
        <w:rPr>
          <w:rFonts w:cstheme="majorBidi"/>
          <w:sz w:val="24"/>
          <w:szCs w:val="24"/>
        </w:rPr>
        <w:t xml:space="preserve"> may also create opportunities and outcomes that are beneficial for small business and its stakeholders, particularly employees</w:t>
      </w:r>
      <w:r w:rsidR="00E0132B">
        <w:rPr>
          <w:rFonts w:cstheme="majorBidi"/>
          <w:sz w:val="24"/>
          <w:szCs w:val="24"/>
        </w:rPr>
        <w:t xml:space="preserve"> </w:t>
      </w:r>
      <w:r w:rsidR="00E0132B">
        <w:rPr>
          <w:rFonts w:cstheme="majorBidi"/>
          <w:sz w:val="24"/>
          <w:szCs w:val="24"/>
        </w:rPr>
        <w:fldChar w:fldCharType="begin"/>
      </w:r>
      <w:r w:rsidR="00B05886">
        <w:rPr>
          <w:rFonts w:cstheme="majorBidi"/>
          <w:sz w:val="24"/>
          <w:szCs w:val="24"/>
        </w:rPr>
        <w:instrText xml:space="preserve"> ADDIN EN.CITE &lt;EndNote&gt;&lt;Cite&gt;&lt;Author&gt;Barrett&lt;/Author&gt;&lt;Year&gt;2014&lt;/Year&gt;&lt;RecNum&gt;41&lt;/RecNum&gt;&lt;Prefix&gt;see &lt;/Prefix&gt;&lt;DisplayText&gt;(see Barrett, Bahn, &amp;amp; Mayson, 2014)&lt;/DisplayText&gt;&lt;record&gt;&lt;rec-number&gt;41&lt;/rec-number&gt;&lt;foreign-keys&gt;&lt;key app="EN" db-id="xe9w25v07zaw5hev9v0p2xz5fwzxxrfx0t50" timestamp="1426059238"&gt;41&lt;/key&gt;&lt;/foreign-keys&gt;&lt;ref-type name="Report"&gt;27&lt;/ref-type&gt;&lt;contributors&gt;&lt;authors&gt;&lt;author&gt;Barrett, R.&lt;/author&gt;&lt;author&gt;Bahn, S.&lt;/author&gt;&lt;author&gt;Mayson, S.&lt;/author&gt;&lt;/authors&gt;&lt;/contributors&gt;&lt;titles&gt;&lt;title&gt;Small and medium-sized enterprises: Understandings of and responses to health and safety harmonisation&lt;/title&gt;&lt;secondary-title&gt;Report for Industrial Foundation for Accident Prevention (IFAP)&lt;/secondary-title&gt;&lt;/titles&gt;&lt;dates&gt;&lt;year&gt;2014&lt;/year&gt;&lt;/dates&gt;&lt;publisher&gt;Centre for Innovative Practice, Edith Cowan University and Australian Centre for Employment and Work, Monash University&lt;/publisher&gt;&lt;urls&gt;&lt;/urls&gt;&lt;/record&gt;&lt;/Cite&gt;&lt;/EndNote&gt;</w:instrText>
      </w:r>
      <w:r w:rsidR="00E0132B">
        <w:rPr>
          <w:rFonts w:cstheme="majorBidi"/>
          <w:sz w:val="24"/>
          <w:szCs w:val="24"/>
        </w:rPr>
        <w:fldChar w:fldCharType="separate"/>
      </w:r>
      <w:r w:rsidR="00B05886">
        <w:rPr>
          <w:rFonts w:cstheme="majorBidi"/>
          <w:noProof/>
          <w:sz w:val="24"/>
          <w:szCs w:val="24"/>
        </w:rPr>
        <w:t>(see Barrett, Bahn &amp; Mayson, 2014)</w:t>
      </w:r>
      <w:r w:rsidR="00E0132B">
        <w:rPr>
          <w:rFonts w:cstheme="majorBidi"/>
          <w:sz w:val="24"/>
          <w:szCs w:val="24"/>
        </w:rPr>
        <w:fldChar w:fldCharType="end"/>
      </w:r>
      <w:r w:rsidR="00E0132B" w:rsidRPr="00694929">
        <w:rPr>
          <w:rFonts w:cstheme="majorBidi"/>
          <w:sz w:val="24"/>
          <w:szCs w:val="24"/>
        </w:rPr>
        <w:t xml:space="preserve">. For example, </w:t>
      </w:r>
      <w:r w:rsidR="00DB33F3" w:rsidRPr="00694929">
        <w:rPr>
          <w:rFonts w:cstheme="majorBidi"/>
          <w:sz w:val="24"/>
          <w:szCs w:val="24"/>
        </w:rPr>
        <w:t xml:space="preserve">in their study on small firm responses to the harmonisation of the occupational health and safety regulations </w:t>
      </w:r>
      <w:r w:rsidR="00E0132B" w:rsidRPr="00694929">
        <w:rPr>
          <w:rFonts w:cstheme="majorBidi"/>
          <w:sz w:val="24"/>
          <w:szCs w:val="24"/>
        </w:rPr>
        <w:lastRenderedPageBreak/>
        <w:t>Barrett</w:t>
      </w:r>
      <w:r w:rsidR="00DB33F3">
        <w:rPr>
          <w:rFonts w:cstheme="majorBidi"/>
          <w:sz w:val="24"/>
          <w:szCs w:val="24"/>
        </w:rPr>
        <w:t xml:space="preserve">, Bahn &amp; Mayson </w:t>
      </w:r>
      <w:r w:rsidR="00E0132B" w:rsidRPr="00694929">
        <w:rPr>
          <w:rFonts w:cstheme="majorBidi"/>
          <w:sz w:val="24"/>
          <w:szCs w:val="24"/>
        </w:rPr>
        <w:t>(2014) found, that respondents reported increased business opportunities and found it easier to recruit good quality staff by positively responding to harmonisation. The key issue is recognising that regulatory compliance may set the conditions for small business owners to build robust businesses capable of growing and innovating by managing and developing their workforces in a safe, fair and equitable way. By providing a workplace relations framework which is clearly communicated and user friendly government can lower the transactions costs associated with small business compliance. Specifically, owners and operators need</w:t>
      </w:r>
      <w:r w:rsidR="00330579">
        <w:rPr>
          <w:rFonts w:cstheme="majorBidi"/>
          <w:sz w:val="24"/>
          <w:szCs w:val="24"/>
        </w:rPr>
        <w:t xml:space="preserve"> to</w:t>
      </w:r>
      <w:r w:rsidR="00E0132B" w:rsidRPr="00694929">
        <w:rPr>
          <w:rFonts w:cstheme="majorBidi"/>
          <w:sz w:val="24"/>
          <w:szCs w:val="24"/>
        </w:rPr>
        <w:t xml:space="preserve"> invest less time and energy in the minutiae of employment regulation and need </w:t>
      </w:r>
      <w:r w:rsidR="00330579">
        <w:rPr>
          <w:rFonts w:cstheme="majorBidi"/>
          <w:sz w:val="24"/>
          <w:szCs w:val="24"/>
        </w:rPr>
        <w:t xml:space="preserve">to </w:t>
      </w:r>
      <w:r w:rsidR="00E0132B" w:rsidRPr="00694929">
        <w:rPr>
          <w:rFonts w:cstheme="majorBidi"/>
          <w:sz w:val="24"/>
          <w:szCs w:val="24"/>
        </w:rPr>
        <w:t>have less recourse to legal and other specialist advisors.</w:t>
      </w:r>
    </w:p>
    <w:p w:rsidR="001F296D" w:rsidRPr="00E0132B" w:rsidRDefault="001F296D" w:rsidP="00637AB8">
      <w:pPr>
        <w:spacing w:after="0" w:line="360" w:lineRule="auto"/>
        <w:ind w:left="851" w:hanging="851"/>
        <w:jc w:val="both"/>
        <w:rPr>
          <w:rFonts w:cstheme="majorBidi"/>
          <w:b/>
          <w:bCs/>
          <w:sz w:val="24"/>
          <w:szCs w:val="24"/>
          <w:u w:val="single"/>
        </w:rPr>
      </w:pPr>
    </w:p>
    <w:p w:rsidR="00E0132B" w:rsidRPr="00694929" w:rsidRDefault="001F296D" w:rsidP="00805629">
      <w:pPr>
        <w:pStyle w:val="ListParagraph"/>
        <w:numPr>
          <w:ilvl w:val="1"/>
          <w:numId w:val="5"/>
        </w:numPr>
        <w:spacing w:after="0" w:line="360" w:lineRule="auto"/>
        <w:ind w:left="709" w:hanging="709"/>
        <w:jc w:val="both"/>
        <w:rPr>
          <w:rFonts w:cstheme="majorBidi"/>
          <w:sz w:val="24"/>
          <w:szCs w:val="24"/>
        </w:rPr>
      </w:pPr>
      <w:r w:rsidRPr="00694929">
        <w:rPr>
          <w:rFonts w:cstheme="majorBidi"/>
          <w:sz w:val="24"/>
          <w:szCs w:val="24"/>
        </w:rPr>
        <w:t xml:space="preserve">Relevant </w:t>
      </w:r>
      <w:r w:rsidR="00E0132B" w:rsidRPr="00694929">
        <w:rPr>
          <w:rFonts w:cstheme="majorBidi"/>
          <w:sz w:val="24"/>
          <w:szCs w:val="24"/>
        </w:rPr>
        <w:t>to regulation as burden arguments is research that shows that small firms lack resources</w:t>
      </w:r>
      <w:r w:rsidR="00330579">
        <w:rPr>
          <w:rFonts w:cstheme="majorBidi"/>
          <w:sz w:val="24"/>
          <w:szCs w:val="24"/>
        </w:rPr>
        <w:t>, have</w:t>
      </w:r>
      <w:r w:rsidR="00E0132B" w:rsidRPr="00694929">
        <w:rPr>
          <w:rFonts w:cstheme="majorBidi"/>
          <w:sz w:val="24"/>
          <w:szCs w:val="24"/>
        </w:rPr>
        <w:t xml:space="preserve"> informal structures</w:t>
      </w:r>
      <w:r w:rsidR="00330579">
        <w:rPr>
          <w:rFonts w:cstheme="majorBidi"/>
          <w:sz w:val="24"/>
          <w:szCs w:val="24"/>
        </w:rPr>
        <w:t xml:space="preserve"> and</w:t>
      </w:r>
      <w:r w:rsidR="00E0132B" w:rsidRPr="00694929">
        <w:rPr>
          <w:rFonts w:cstheme="majorBidi"/>
          <w:sz w:val="24"/>
          <w:szCs w:val="24"/>
        </w:rPr>
        <w:t xml:space="preserve"> l</w:t>
      </w:r>
      <w:r w:rsidR="00330579">
        <w:rPr>
          <w:rFonts w:cstheme="majorBidi"/>
          <w:sz w:val="24"/>
          <w:szCs w:val="24"/>
        </w:rPr>
        <w:t>imited managerial capacity and that t</w:t>
      </w:r>
      <w:r w:rsidR="00E0132B" w:rsidRPr="00694929">
        <w:rPr>
          <w:rFonts w:cstheme="majorBidi"/>
          <w:sz w:val="24"/>
          <w:szCs w:val="24"/>
        </w:rPr>
        <w:t>he personal attitudes and values of the owner/manager</w:t>
      </w:r>
      <w:r w:rsidR="00805629">
        <w:rPr>
          <w:rFonts w:cstheme="majorBidi"/>
          <w:sz w:val="24"/>
          <w:szCs w:val="24"/>
        </w:rPr>
        <w:t xml:space="preserve"> shape </w:t>
      </w:r>
      <w:r w:rsidR="00E0132B" w:rsidRPr="00694929">
        <w:rPr>
          <w:rFonts w:cstheme="majorBidi"/>
          <w:sz w:val="24"/>
          <w:szCs w:val="24"/>
        </w:rPr>
        <w:t>the deve</w:t>
      </w:r>
      <w:r w:rsidR="00805629">
        <w:rPr>
          <w:rFonts w:cstheme="majorBidi"/>
          <w:sz w:val="24"/>
          <w:szCs w:val="24"/>
        </w:rPr>
        <w:t xml:space="preserve">lopment of employment practices </w:t>
      </w:r>
      <w:r w:rsidR="00E0132B">
        <w:rPr>
          <w:rFonts w:cstheme="majorBidi"/>
          <w:sz w:val="24"/>
          <w:szCs w:val="24"/>
        </w:rPr>
        <w:fldChar w:fldCharType="begin">
          <w:fldData xml:space="preserve">PEVuZE5vdGU+PENpdGU+PEF1dGhvcj5CYXJyZXR0PC9BdXRob3I+PFllYXI+MjAwODwvWWVhcj48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</w:fldData>
        </w:fldChar>
      </w:r>
      <w:r w:rsidR="00E0132B">
        <w:rPr>
          <w:rFonts w:cstheme="majorBidi"/>
          <w:sz w:val="24"/>
          <w:szCs w:val="24"/>
        </w:rPr>
        <w:instrText xml:space="preserve"> ADDIN EN.CITE </w:instrText>
      </w:r>
      <w:r w:rsidR="00E0132B">
        <w:rPr>
          <w:rFonts w:cstheme="majorBidi"/>
          <w:sz w:val="24"/>
          <w:szCs w:val="24"/>
        </w:rPr>
        <w:fldChar w:fldCharType="begin">
          <w:fldData xml:space="preserve">PEVuZE5vdGU+PENpdGU+PEF1dGhvcj5CYXJyZXR0PC9BdXRob3I+PFllYXI+MjAwODwvWWVhcj48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</w:fldData>
        </w:fldChar>
      </w:r>
      <w:r w:rsidR="00E0132B">
        <w:rPr>
          <w:rFonts w:cstheme="majorBidi"/>
          <w:sz w:val="24"/>
          <w:szCs w:val="24"/>
        </w:rPr>
        <w:instrText xml:space="preserve"> ADDIN EN.CITE.DATA </w:instrText>
      </w:r>
      <w:r w:rsidR="00E0132B">
        <w:rPr>
          <w:rFonts w:cstheme="majorBidi"/>
          <w:sz w:val="24"/>
          <w:szCs w:val="24"/>
        </w:rPr>
      </w:r>
      <w:r w:rsidR="00E0132B">
        <w:rPr>
          <w:rFonts w:cstheme="majorBidi"/>
          <w:sz w:val="24"/>
          <w:szCs w:val="24"/>
        </w:rPr>
        <w:fldChar w:fldCharType="end"/>
      </w:r>
      <w:r w:rsidR="00E0132B">
        <w:rPr>
          <w:rFonts w:cstheme="majorBidi"/>
          <w:sz w:val="24"/>
          <w:szCs w:val="24"/>
        </w:rPr>
      </w:r>
      <w:r w:rsidR="00E0132B">
        <w:rPr>
          <w:rFonts w:cstheme="majorBidi"/>
          <w:sz w:val="24"/>
          <w:szCs w:val="24"/>
        </w:rPr>
        <w:fldChar w:fldCharType="separate"/>
      </w:r>
      <w:r w:rsidR="00E0132B">
        <w:rPr>
          <w:rFonts w:cstheme="majorBidi"/>
          <w:noProof/>
          <w:sz w:val="24"/>
          <w:szCs w:val="24"/>
        </w:rPr>
        <w:t>(Barrett &amp; Mayson, 2005, 2008; Mayson &amp; Barrett, 2008)</w:t>
      </w:r>
      <w:r w:rsidR="00E0132B">
        <w:rPr>
          <w:rFonts w:cstheme="majorBidi"/>
          <w:sz w:val="24"/>
          <w:szCs w:val="24"/>
        </w:rPr>
        <w:fldChar w:fldCharType="end"/>
      </w:r>
      <w:r w:rsidR="00E0132B">
        <w:rPr>
          <w:rFonts w:cstheme="majorBidi"/>
          <w:sz w:val="24"/>
          <w:szCs w:val="24"/>
        </w:rPr>
        <w:t>.</w:t>
      </w:r>
      <w:r w:rsidR="00E0132B" w:rsidRPr="00694929">
        <w:rPr>
          <w:rFonts w:cstheme="majorBidi"/>
          <w:sz w:val="24"/>
          <w:szCs w:val="24"/>
        </w:rPr>
        <w:t xml:space="preserve"> These challenges arise from ‘smallness’ of small firms and </w:t>
      </w:r>
      <w:r w:rsidR="00805629">
        <w:rPr>
          <w:rFonts w:cstheme="majorBidi"/>
          <w:sz w:val="24"/>
          <w:szCs w:val="24"/>
        </w:rPr>
        <w:t xml:space="preserve">the </w:t>
      </w:r>
      <w:r w:rsidR="00E0132B" w:rsidRPr="00694929">
        <w:rPr>
          <w:rFonts w:cstheme="majorBidi"/>
          <w:sz w:val="24"/>
          <w:szCs w:val="24"/>
        </w:rPr>
        <w:t>attendant attitudes and responses of small business owners/managers to government regulation, ideological views about the autonomy of small business owners and the degree to which employment management practices are formalised to ensure effective and equitable employment relations</w:t>
      </w:r>
      <w:r w:rsidR="00E0132B">
        <w:rPr>
          <w:rFonts w:cstheme="majorBidi"/>
          <w:sz w:val="24"/>
          <w:szCs w:val="24"/>
        </w:rPr>
        <w:t xml:space="preserve"> </w:t>
      </w:r>
      <w:r w:rsidR="00E0132B">
        <w:rPr>
          <w:rFonts w:cstheme="majorBidi"/>
          <w:sz w:val="24"/>
          <w:szCs w:val="24"/>
        </w:rPr>
        <w:fldChar w:fldCharType="begin"/>
      </w:r>
      <w:r w:rsidR="00E0132B">
        <w:rPr>
          <w:rFonts w:cstheme="majorBidi"/>
          <w:sz w:val="24"/>
          <w:szCs w:val="24"/>
        </w:rPr>
        <w:instrText xml:space="preserve"> ADDIN EN.CITE &lt;EndNote&gt;&lt;Cite&gt;&lt;Author&gt;Barrett&lt;/Author&gt;&lt;Year&gt;2005&lt;/Year&gt;&lt;RecNum&gt;40&lt;/RecNum&gt;&lt;DisplayText&gt;(Barrett &amp;amp; Mayson, 2005)&lt;/DisplayText&gt;&lt;record&gt;&lt;rec-number&gt;40&lt;/rec-number&gt;&lt;foreign-keys&gt;&lt;key app="EN" db-id="xe9w25v07zaw5hev9v0p2xz5fwzxxrfx0t50" timestamp="1426058243"&gt;40&lt;/key&gt;&lt;/foreign-keys&gt;&lt;ref-type name="Book"&gt;6&lt;/ref-type&gt;&lt;contributors&gt;&lt;authors&gt;&lt;author&gt;Barrett, R.&lt;/author&gt;&lt;author&gt;Mayson, S.&lt;/author&gt;&lt;/authors&gt;&lt;/contributors&gt;&lt;titles&gt;&lt;title&gt;Getting and keeping good staff: HR issues and challenges in small firms&lt;/title&gt;&lt;/titles&gt;&lt;dates&gt;&lt;year&gt;2005&lt;/year&gt;&lt;/dates&gt;&lt;pub-location&gt;Melbourne, Victoria&lt;/pub-location&gt;&lt;publisher&gt;CPA Australia&lt;/publisher&gt;&lt;urls&gt;&lt;/urls&gt;&lt;/record&gt;&lt;/Cite&gt;&lt;/EndNote&gt;</w:instrText>
      </w:r>
      <w:r w:rsidR="00E0132B">
        <w:rPr>
          <w:rFonts w:cstheme="majorBidi"/>
          <w:sz w:val="24"/>
          <w:szCs w:val="24"/>
        </w:rPr>
        <w:fldChar w:fldCharType="separate"/>
      </w:r>
      <w:r w:rsidR="00E0132B">
        <w:rPr>
          <w:rFonts w:cstheme="majorBidi"/>
          <w:noProof/>
          <w:sz w:val="24"/>
          <w:szCs w:val="24"/>
        </w:rPr>
        <w:t>(Barrett &amp; Mayson, 2005)</w:t>
      </w:r>
      <w:r w:rsidR="00E0132B">
        <w:rPr>
          <w:rFonts w:cstheme="majorBidi"/>
          <w:sz w:val="24"/>
          <w:szCs w:val="24"/>
        </w:rPr>
        <w:fldChar w:fldCharType="end"/>
      </w:r>
      <w:r w:rsidR="00E0132B" w:rsidRPr="00694929">
        <w:rPr>
          <w:rFonts w:cstheme="majorBidi"/>
          <w:sz w:val="24"/>
          <w:szCs w:val="24"/>
        </w:rPr>
        <w:t xml:space="preserve">. </w:t>
      </w:r>
    </w:p>
    <w:p w:rsidR="00E0132B" w:rsidRPr="00C60203" w:rsidRDefault="00E0132B" w:rsidP="00726E76">
      <w:pPr>
        <w:spacing w:after="0" w:line="360" w:lineRule="auto"/>
        <w:ind w:left="709" w:hanging="709"/>
        <w:jc w:val="both"/>
        <w:rPr>
          <w:rFonts w:cstheme="majorBidi"/>
          <w:sz w:val="24"/>
          <w:szCs w:val="24"/>
        </w:rPr>
      </w:pPr>
    </w:p>
    <w:p w:rsidR="00E0132B" w:rsidRPr="00694929" w:rsidRDefault="00E0132B" w:rsidP="00805629">
      <w:pPr>
        <w:pStyle w:val="ListParagraph"/>
        <w:numPr>
          <w:ilvl w:val="1"/>
          <w:numId w:val="5"/>
        </w:numPr>
        <w:spacing w:after="0" w:line="360" w:lineRule="auto"/>
        <w:ind w:left="709" w:hanging="709"/>
        <w:jc w:val="both"/>
        <w:rPr>
          <w:rFonts w:cstheme="majorBidi"/>
          <w:sz w:val="24"/>
          <w:szCs w:val="24"/>
        </w:rPr>
      </w:pPr>
      <w:r w:rsidRPr="00694929">
        <w:rPr>
          <w:rFonts w:cstheme="majorBidi"/>
          <w:sz w:val="24"/>
          <w:szCs w:val="24"/>
        </w:rPr>
        <w:t>In this regard we</w:t>
      </w:r>
      <w:r w:rsidR="00805629">
        <w:rPr>
          <w:rFonts w:cstheme="majorBidi"/>
          <w:sz w:val="24"/>
          <w:szCs w:val="24"/>
        </w:rPr>
        <w:t xml:space="preserve"> al</w:t>
      </w:r>
      <w:r w:rsidR="0085622D">
        <w:rPr>
          <w:rFonts w:cstheme="majorBidi"/>
          <w:sz w:val="24"/>
          <w:szCs w:val="24"/>
        </w:rPr>
        <w:t>so</w:t>
      </w:r>
      <w:r w:rsidRPr="00694929">
        <w:rPr>
          <w:rFonts w:cstheme="majorBidi"/>
          <w:sz w:val="24"/>
          <w:szCs w:val="24"/>
        </w:rPr>
        <w:t xml:space="preserve"> note the findings of </w:t>
      </w:r>
      <w:r>
        <w:rPr>
          <w:rFonts w:cstheme="majorBidi"/>
          <w:sz w:val="24"/>
          <w:szCs w:val="24"/>
        </w:rPr>
        <w:fldChar w:fldCharType="begin"/>
      </w:r>
      <w:r>
        <w:rPr>
          <w:rFonts w:cstheme="majorBidi"/>
          <w:sz w:val="24"/>
          <w:szCs w:val="24"/>
        </w:rPr>
        <w:instrText xml:space="preserve"> ADDIN EN.CITE &lt;EndNote&gt;&lt;Cite AuthorYear="1"&gt;&lt;Author&gt;Barrett&lt;/Author&gt;&lt;Year&gt;2005&lt;/Year&gt;&lt;RecNum&gt;40&lt;/RecNum&gt;&lt;DisplayText&gt;Barrett and Mayson (2005)&lt;/DisplayText&gt;&lt;record&gt;&lt;rec-number&gt;40&lt;/rec-number&gt;&lt;foreign-keys&gt;&lt;key app="EN" db-id="xe9w25v07zaw5hev9v0p2xz5fwzxxrfx0t50" timestamp="1426058243"&gt;40&lt;/key&gt;&lt;/foreign-keys&gt;&lt;ref-type name="Book"&gt;6&lt;/ref-type&gt;&lt;contributors&gt;&lt;authors&gt;&lt;author&gt;Barrett, R.&lt;/author&gt;&lt;author&gt;Mayson, S.&lt;/author&gt;&lt;/authors&gt;&lt;/contributors&gt;&lt;titles&gt;&lt;title&gt;Getting and keeping good staff: HR issues and challenges in small firms&lt;/title&gt;&lt;/titles&gt;&lt;dates&gt;&lt;year&gt;2005&lt;/year&gt;&lt;/dates&gt;&lt;pub-location&gt;Melbourne, Victoria&lt;/pub-location&gt;&lt;publisher&gt;CPA Australia&lt;/publisher&gt;&lt;urls&gt;&lt;/urls&gt;&lt;/record&gt;&lt;/Cite&gt;&lt;/EndNote&gt;</w:instrText>
      </w:r>
      <w:r>
        <w:rPr>
          <w:rFonts w:cstheme="majorBidi"/>
          <w:sz w:val="24"/>
          <w:szCs w:val="24"/>
        </w:rPr>
        <w:fldChar w:fldCharType="separate"/>
      </w:r>
      <w:r>
        <w:rPr>
          <w:rFonts w:cstheme="majorBidi"/>
          <w:noProof/>
          <w:sz w:val="24"/>
          <w:szCs w:val="24"/>
        </w:rPr>
        <w:t>Barrett and Mayson (2005)</w:t>
      </w:r>
      <w:r>
        <w:rPr>
          <w:rFonts w:cstheme="majorBidi"/>
          <w:sz w:val="24"/>
          <w:szCs w:val="24"/>
        </w:rPr>
        <w:fldChar w:fldCharType="end"/>
      </w:r>
      <w:r w:rsidRPr="00694929">
        <w:rPr>
          <w:rFonts w:cstheme="majorBidi"/>
          <w:sz w:val="24"/>
          <w:szCs w:val="24"/>
        </w:rPr>
        <w:t xml:space="preserve"> that formalisation of employment practices can contribute to improved outcomes in terms of growth, flexibility and equity in smaller firms. For example analysis of survey data from 600 Australian small firms conducted by CPA Australia found that informality pervaded the employment practices of firms and in the absence of internal formalisation, some firms relied on external guidance such as awards to set wages and conditions.  Where firms had developed some level of formalisation of employment practices, there was a link between growth and the use of practices such as formal recruitment processes, selection criteria and, reward practices that engendered employee commitment such as time off, incentives and bonuses</w:t>
      </w:r>
      <w:r>
        <w:rPr>
          <w:rFonts w:cstheme="majorBidi"/>
          <w:sz w:val="24"/>
          <w:szCs w:val="24"/>
        </w:rPr>
        <w:t xml:space="preserve"> </w:t>
      </w:r>
      <w:r>
        <w:rPr>
          <w:rFonts w:cstheme="majorBidi"/>
          <w:sz w:val="24"/>
          <w:szCs w:val="24"/>
        </w:rPr>
        <w:fldChar w:fldCharType="begin"/>
      </w:r>
      <w:r>
        <w:rPr>
          <w:rFonts w:cstheme="majorBidi"/>
          <w:sz w:val="24"/>
          <w:szCs w:val="24"/>
        </w:rPr>
        <w:instrText xml:space="preserve"> ADDIN EN.CITE &lt;EndNote&gt;&lt;Cite&gt;&lt;Author&gt;Barrett&lt;/Author&gt;&lt;Year&gt;2007&lt;/Year&gt;&lt;RecNum&gt;36&lt;/RecNum&gt;&lt;DisplayText&gt;(Barrett &amp;amp; Mayson, 2007)&lt;/DisplayText&gt;&lt;record&gt;&lt;rec-number&gt;36&lt;/rec-number&gt;&lt;foreign-keys&gt;&lt;key app="EN" db-id="xe9w25v07zaw5hev9v0p2xz5fwzxxrfx0t50" timestamp="1426057330"&gt;36&lt;/key&gt;&lt;/foreign-keys&gt;&lt;ref-type name="Journal Article"&gt;17&lt;/ref-type&gt;&lt;contributors&gt;&lt;authors&gt;&lt;author&gt;Barrett, R.&lt;/author&gt;&lt;author&gt;Mayson, S. &lt;/author&gt;&lt;/authors&gt;&lt;/contributors&gt;&lt;titles&gt;&lt;title&gt;Human resource management in growing small firms&lt;/title&gt;&lt;secondary-title&gt;Journal of Small Business and Enterprise Development&lt;/secondary-title&gt;&lt;/titles&gt;&lt;periodical&gt;&lt;full-title&gt;Journal of Small Business and Enterprise Development&lt;/full-title&gt;&lt;/periodical&gt;&lt;pages&gt;307-320&lt;/pages&gt;&lt;volume&gt;14&lt;/volume&gt;&lt;number&gt;2&lt;/number&gt;&lt;dates&gt;&lt;year&gt;2007&lt;/year&gt;&lt;/dates&gt;&lt;urls&gt;&lt;/urls&gt;&lt;/record&gt;&lt;/Cite&gt;&lt;/EndNote&gt;</w:instrText>
      </w:r>
      <w:r>
        <w:rPr>
          <w:rFonts w:cstheme="majorBidi"/>
          <w:sz w:val="24"/>
          <w:szCs w:val="24"/>
        </w:rPr>
        <w:fldChar w:fldCharType="separate"/>
      </w:r>
      <w:r>
        <w:rPr>
          <w:rFonts w:cstheme="majorBidi"/>
          <w:noProof/>
          <w:sz w:val="24"/>
          <w:szCs w:val="24"/>
        </w:rPr>
        <w:t>(Barrett &amp; Mayson, 2007)</w:t>
      </w:r>
      <w:r>
        <w:rPr>
          <w:rFonts w:cstheme="majorBidi"/>
          <w:sz w:val="24"/>
          <w:szCs w:val="24"/>
        </w:rPr>
        <w:fldChar w:fldCharType="end"/>
      </w:r>
      <w:r w:rsidRPr="00694929">
        <w:rPr>
          <w:rFonts w:cstheme="majorBidi"/>
          <w:sz w:val="24"/>
          <w:szCs w:val="24"/>
        </w:rPr>
        <w:t xml:space="preserve">. In </w:t>
      </w:r>
      <w:r w:rsidR="00805629">
        <w:rPr>
          <w:rFonts w:cstheme="majorBidi"/>
          <w:sz w:val="24"/>
          <w:szCs w:val="24"/>
        </w:rPr>
        <w:t>another study</w:t>
      </w:r>
      <w:r w:rsidR="00805629" w:rsidRPr="00805629">
        <w:rPr>
          <w:rFonts w:cstheme="majorBidi"/>
          <w:sz w:val="24"/>
          <w:szCs w:val="24"/>
        </w:rPr>
        <w:t xml:space="preserve"> </w:t>
      </w:r>
      <w:r w:rsidR="00805629" w:rsidRPr="00694929">
        <w:rPr>
          <w:rFonts w:cstheme="majorBidi"/>
          <w:sz w:val="24"/>
          <w:szCs w:val="24"/>
        </w:rPr>
        <w:t>of the management of maternity leave</w:t>
      </w:r>
      <w:r w:rsidR="00805629">
        <w:rPr>
          <w:rFonts w:cstheme="majorBidi"/>
          <w:sz w:val="24"/>
          <w:szCs w:val="24"/>
        </w:rPr>
        <w:t xml:space="preserve"> in small accounting/financial services firms, </w:t>
      </w:r>
      <w:r>
        <w:rPr>
          <w:rFonts w:cstheme="majorBidi"/>
          <w:sz w:val="24"/>
          <w:szCs w:val="24"/>
        </w:rPr>
        <w:fldChar w:fldCharType="begin"/>
      </w:r>
      <w:r>
        <w:rPr>
          <w:rFonts w:cstheme="majorBidi"/>
          <w:sz w:val="24"/>
          <w:szCs w:val="24"/>
        </w:rPr>
        <w:instrText xml:space="preserve"> ADDIN EN.CITE &lt;EndNote&gt;&lt;Cite AuthorYear="1"&gt;&lt;Author&gt;Barrett&lt;/Author&gt;&lt;Year&gt;2008&lt;/Year&gt;&lt;RecNum&gt;38&lt;/RecNum&gt;&lt;DisplayText&gt;Barrett and Mayson (2008)&lt;/DisplayText&gt;&lt;record&gt;&lt;rec-number&gt;38&lt;/rec-number&gt;&lt;foreign-keys&gt;&lt;key app="EN" db-id="xe9w25v07zaw5hev9v0p2xz5fwzxxrfx0t50" timestamp="1426057654"&gt;38&lt;/key&gt;&lt;/foreign-keys&gt;&lt;ref-type name="Journal Article"&gt;17&lt;/ref-type&gt;&lt;contributors&gt;&lt;authors&gt;&lt;author&gt;Barrett, R.&lt;/author&gt;&lt;author&gt;Mayson, S.&lt;/author&gt;&lt;/authors&gt;&lt;/contributors&gt;&lt;titles&gt;&lt;title&gt;Small firms, the paid maternity leave debate in Australia and the business case&lt;/title&gt;&lt;secondary-title&gt;Equal Opportunities International&lt;/secondary-title&gt;&lt;/titles&gt;&lt;periodical&gt;&lt;full-title&gt;Equal Opportunities International&lt;/full-title&gt;&lt;/periodical&gt;&lt;pages&gt;276-291&lt;/pages&gt;&lt;volume&gt;27&lt;/volume&gt;&lt;number&gt;3&lt;/number&gt;&lt;dates&gt;&lt;year&gt;2008&lt;/year&gt;&lt;/dates&gt;&lt;urls&gt;&lt;/urls&gt;&lt;/record&gt;&lt;/Cite&gt;&lt;/EndNote&gt;</w:instrText>
      </w:r>
      <w:r>
        <w:rPr>
          <w:rFonts w:cstheme="majorBidi"/>
          <w:sz w:val="24"/>
          <w:szCs w:val="24"/>
        </w:rPr>
        <w:fldChar w:fldCharType="separate"/>
      </w:r>
      <w:r>
        <w:rPr>
          <w:rFonts w:cstheme="majorBidi"/>
          <w:noProof/>
          <w:sz w:val="24"/>
          <w:szCs w:val="24"/>
        </w:rPr>
        <w:t xml:space="preserve">Barrett and </w:t>
      </w:r>
      <w:r>
        <w:rPr>
          <w:rFonts w:cstheme="majorBidi"/>
          <w:noProof/>
          <w:sz w:val="24"/>
          <w:szCs w:val="24"/>
        </w:rPr>
        <w:lastRenderedPageBreak/>
        <w:t>Mayson (2008)</w:t>
      </w:r>
      <w:r>
        <w:rPr>
          <w:rFonts w:cstheme="majorBidi"/>
          <w:sz w:val="24"/>
          <w:szCs w:val="24"/>
        </w:rPr>
        <w:fldChar w:fldCharType="end"/>
      </w:r>
      <w:r>
        <w:rPr>
          <w:rFonts w:cstheme="majorBidi"/>
          <w:sz w:val="24"/>
          <w:szCs w:val="24"/>
        </w:rPr>
        <w:t xml:space="preserve"> </w:t>
      </w:r>
      <w:r w:rsidRPr="00694929">
        <w:rPr>
          <w:rFonts w:cstheme="majorBidi"/>
          <w:sz w:val="24"/>
          <w:szCs w:val="24"/>
        </w:rPr>
        <w:t xml:space="preserve">found that a lack of formality resulted in ad hoc arrangements and </w:t>
      </w:r>
      <w:r w:rsidR="00805629">
        <w:rPr>
          <w:rFonts w:cstheme="majorBidi"/>
          <w:sz w:val="24"/>
          <w:szCs w:val="24"/>
        </w:rPr>
        <w:t xml:space="preserve">that </w:t>
      </w:r>
      <w:r w:rsidRPr="00694929">
        <w:rPr>
          <w:rFonts w:cstheme="majorBidi"/>
          <w:sz w:val="24"/>
          <w:szCs w:val="24"/>
        </w:rPr>
        <w:t xml:space="preserve">decisions to grant leave were </w:t>
      </w:r>
      <w:r w:rsidR="00805629">
        <w:rPr>
          <w:rFonts w:cstheme="majorBidi"/>
          <w:sz w:val="24"/>
          <w:szCs w:val="24"/>
        </w:rPr>
        <w:t xml:space="preserve">often </w:t>
      </w:r>
      <w:r w:rsidRPr="00694929">
        <w:rPr>
          <w:rFonts w:cstheme="majorBidi"/>
          <w:sz w:val="24"/>
          <w:szCs w:val="24"/>
        </w:rPr>
        <w:t xml:space="preserve">made at the whim of the owner/manager </w:t>
      </w:r>
      <w:r w:rsidR="00805629">
        <w:rPr>
          <w:rFonts w:cstheme="majorBidi"/>
          <w:sz w:val="24"/>
          <w:szCs w:val="24"/>
        </w:rPr>
        <w:t xml:space="preserve">based on </w:t>
      </w:r>
      <w:r w:rsidRPr="00694929">
        <w:rPr>
          <w:rFonts w:cstheme="majorBidi"/>
          <w:sz w:val="24"/>
          <w:szCs w:val="24"/>
        </w:rPr>
        <w:t>their perceptio</w:t>
      </w:r>
      <w:r w:rsidR="00805629">
        <w:rPr>
          <w:rFonts w:cstheme="majorBidi"/>
          <w:sz w:val="24"/>
          <w:szCs w:val="24"/>
        </w:rPr>
        <w:t>ns of the value or expendability of the</w:t>
      </w:r>
      <w:r w:rsidRPr="00694929">
        <w:rPr>
          <w:rFonts w:cstheme="majorBidi"/>
          <w:sz w:val="24"/>
          <w:szCs w:val="24"/>
        </w:rPr>
        <w:t xml:space="preserve"> employee. </w:t>
      </w:r>
    </w:p>
    <w:p w:rsidR="00E0132B" w:rsidRPr="00C60203" w:rsidRDefault="00E0132B" w:rsidP="00637AB8">
      <w:pPr>
        <w:spacing w:after="0" w:line="360" w:lineRule="auto"/>
        <w:ind w:left="851" w:hanging="851"/>
        <w:rPr>
          <w:rFonts w:cstheme="majorBidi"/>
          <w:sz w:val="24"/>
          <w:szCs w:val="24"/>
        </w:rPr>
      </w:pPr>
    </w:p>
    <w:p w:rsidR="003E77EB" w:rsidRDefault="00FA6CB0" w:rsidP="00805629">
      <w:pPr>
        <w:pStyle w:val="ListParagraph"/>
        <w:numPr>
          <w:ilvl w:val="1"/>
          <w:numId w:val="5"/>
        </w:numPr>
        <w:spacing w:after="0" w:line="360" w:lineRule="auto"/>
        <w:ind w:left="709" w:hanging="709"/>
        <w:jc w:val="both"/>
        <w:rPr>
          <w:rFonts w:cstheme="majorBidi"/>
          <w:sz w:val="24"/>
          <w:szCs w:val="24"/>
        </w:rPr>
      </w:pPr>
      <w:r w:rsidRPr="00626156">
        <w:rPr>
          <w:rFonts w:cstheme="majorBidi"/>
          <w:sz w:val="24"/>
          <w:szCs w:val="24"/>
        </w:rPr>
        <w:t xml:space="preserve">These findings support the arguments in this submission that, despite the regulation as burden arguments, small business stands to benefit from employment regulation (and indeed other regulation such as occupational health and safety) because of the challenges created by their ‘smallness’. </w:t>
      </w:r>
      <w:r w:rsidR="00971C31">
        <w:rPr>
          <w:rFonts w:cstheme="majorBidi"/>
          <w:sz w:val="24"/>
          <w:szCs w:val="24"/>
        </w:rPr>
        <w:t xml:space="preserve">It follows that the regulatory framework, including that </w:t>
      </w:r>
      <w:r w:rsidRPr="00626156">
        <w:rPr>
          <w:rFonts w:cstheme="majorBidi"/>
          <w:sz w:val="24"/>
          <w:szCs w:val="24"/>
        </w:rPr>
        <w:t xml:space="preserve">which already exists </w:t>
      </w:r>
      <w:r w:rsidR="00805629">
        <w:rPr>
          <w:rFonts w:cstheme="majorBidi"/>
          <w:sz w:val="24"/>
          <w:szCs w:val="24"/>
        </w:rPr>
        <w:t>under</w:t>
      </w:r>
      <w:r w:rsidRPr="00626156">
        <w:rPr>
          <w:rFonts w:cstheme="majorBidi"/>
          <w:sz w:val="24"/>
          <w:szCs w:val="24"/>
        </w:rPr>
        <w:t xml:space="preserve"> the </w:t>
      </w:r>
      <w:r w:rsidRPr="00626156">
        <w:rPr>
          <w:rFonts w:cstheme="majorBidi"/>
          <w:i/>
          <w:iCs/>
          <w:sz w:val="24"/>
          <w:szCs w:val="24"/>
        </w:rPr>
        <w:t>Fair Work Act 2009</w:t>
      </w:r>
      <w:r w:rsidR="00971C31">
        <w:rPr>
          <w:rFonts w:cstheme="majorBidi"/>
          <w:i/>
          <w:iCs/>
          <w:sz w:val="24"/>
          <w:szCs w:val="24"/>
        </w:rPr>
        <w:t>,</w:t>
      </w:r>
      <w:r w:rsidRPr="00626156">
        <w:rPr>
          <w:rFonts w:cstheme="majorBidi"/>
          <w:sz w:val="24"/>
          <w:szCs w:val="24"/>
        </w:rPr>
        <w:t xml:space="preserve"> </w:t>
      </w:r>
      <w:r w:rsidR="00805629">
        <w:rPr>
          <w:rFonts w:cstheme="majorBidi"/>
          <w:sz w:val="24"/>
          <w:szCs w:val="24"/>
        </w:rPr>
        <w:t xml:space="preserve">should be retained </w:t>
      </w:r>
      <w:r>
        <w:rPr>
          <w:rFonts w:cstheme="majorBidi"/>
          <w:sz w:val="24"/>
          <w:szCs w:val="24"/>
        </w:rPr>
        <w:t xml:space="preserve">but </w:t>
      </w:r>
      <w:r w:rsidRPr="00626156">
        <w:rPr>
          <w:rFonts w:cstheme="majorBidi"/>
          <w:sz w:val="24"/>
          <w:szCs w:val="24"/>
        </w:rPr>
        <w:t xml:space="preserve">support resources </w:t>
      </w:r>
      <w:r>
        <w:rPr>
          <w:rFonts w:cstheme="majorBidi"/>
          <w:sz w:val="24"/>
          <w:szCs w:val="24"/>
        </w:rPr>
        <w:t xml:space="preserve">should </w:t>
      </w:r>
      <w:r w:rsidR="00971C31">
        <w:rPr>
          <w:rFonts w:cstheme="majorBidi"/>
          <w:sz w:val="24"/>
          <w:szCs w:val="24"/>
        </w:rPr>
        <w:t xml:space="preserve">continue to </w:t>
      </w:r>
      <w:r>
        <w:rPr>
          <w:rFonts w:cstheme="majorBidi"/>
          <w:sz w:val="24"/>
          <w:szCs w:val="24"/>
        </w:rPr>
        <w:t xml:space="preserve">be </w:t>
      </w:r>
      <w:r w:rsidRPr="00626156">
        <w:rPr>
          <w:rFonts w:cstheme="majorBidi"/>
          <w:sz w:val="24"/>
          <w:szCs w:val="24"/>
        </w:rPr>
        <w:t>developed in consultation with small business</w:t>
      </w:r>
      <w:r w:rsidR="00805629">
        <w:rPr>
          <w:rFonts w:cstheme="majorBidi"/>
          <w:sz w:val="24"/>
          <w:szCs w:val="24"/>
        </w:rPr>
        <w:t>. This approach will e</w:t>
      </w:r>
      <w:r w:rsidR="00971C31">
        <w:rPr>
          <w:rFonts w:cstheme="majorBidi"/>
          <w:sz w:val="24"/>
          <w:szCs w:val="24"/>
        </w:rPr>
        <w:t>nsure that</w:t>
      </w:r>
      <w:r w:rsidRPr="00626156">
        <w:rPr>
          <w:rFonts w:cstheme="majorBidi"/>
          <w:sz w:val="24"/>
          <w:szCs w:val="24"/>
        </w:rPr>
        <w:t xml:space="preserve"> regulatory requirements </w:t>
      </w:r>
      <w:r w:rsidR="00971C31">
        <w:rPr>
          <w:rFonts w:cstheme="majorBidi"/>
          <w:sz w:val="24"/>
          <w:szCs w:val="24"/>
        </w:rPr>
        <w:t xml:space="preserve">are both effective and that the associated transaction costs are minimised. </w:t>
      </w:r>
    </w:p>
    <w:p w:rsidR="003E77EB" w:rsidRPr="003E77EB" w:rsidRDefault="003E77EB" w:rsidP="003E77EB">
      <w:pPr>
        <w:pStyle w:val="ListParagraph"/>
        <w:rPr>
          <w:rFonts w:cstheme="majorBidi"/>
          <w:sz w:val="24"/>
          <w:szCs w:val="24"/>
        </w:rPr>
      </w:pPr>
    </w:p>
    <w:p w:rsidR="00FA6CB0" w:rsidRPr="00626156" w:rsidRDefault="003E77EB" w:rsidP="00805629">
      <w:pPr>
        <w:pStyle w:val="ListParagraph"/>
        <w:numPr>
          <w:ilvl w:val="1"/>
          <w:numId w:val="5"/>
        </w:numPr>
        <w:spacing w:after="0" w:line="360" w:lineRule="auto"/>
        <w:ind w:left="709" w:hanging="709"/>
        <w:jc w:val="both"/>
        <w:rPr>
          <w:rFonts w:cstheme="majorBidi"/>
          <w:sz w:val="24"/>
          <w:szCs w:val="24"/>
        </w:rPr>
      </w:pPr>
      <w:r>
        <w:rPr>
          <w:rFonts w:cstheme="majorBidi"/>
          <w:sz w:val="24"/>
          <w:szCs w:val="24"/>
        </w:rPr>
        <w:t>Following the reasoning above, we also submit that o</w:t>
      </w:r>
      <w:r w:rsidR="00FA6CB0">
        <w:rPr>
          <w:rFonts w:cstheme="majorBidi"/>
          <w:sz w:val="24"/>
          <w:szCs w:val="24"/>
        </w:rPr>
        <w:t>perational issues such as the application of penalty rates in the sector</w:t>
      </w:r>
      <w:r w:rsidR="00971C31">
        <w:rPr>
          <w:rFonts w:cstheme="majorBidi"/>
          <w:sz w:val="24"/>
          <w:szCs w:val="24"/>
        </w:rPr>
        <w:t>, which are</w:t>
      </w:r>
      <w:r w:rsidR="00FA6CB0">
        <w:rPr>
          <w:rFonts w:cstheme="majorBidi"/>
          <w:sz w:val="24"/>
          <w:szCs w:val="24"/>
        </w:rPr>
        <w:t xml:space="preserve"> currently under review by the Fair Work Commission</w:t>
      </w:r>
      <w:r w:rsidR="00971C31">
        <w:rPr>
          <w:rFonts w:cstheme="majorBidi"/>
          <w:sz w:val="24"/>
          <w:szCs w:val="24"/>
        </w:rPr>
        <w:t>,</w:t>
      </w:r>
      <w:r w:rsidR="00FA6CB0">
        <w:rPr>
          <w:rFonts w:cstheme="majorBidi"/>
          <w:sz w:val="24"/>
          <w:szCs w:val="24"/>
        </w:rPr>
        <w:t xml:space="preserve"> should not be determined by legislation</w:t>
      </w:r>
      <w:r w:rsidR="00971C31">
        <w:rPr>
          <w:rFonts w:cstheme="majorBidi"/>
          <w:sz w:val="24"/>
          <w:szCs w:val="24"/>
        </w:rPr>
        <w:t>. Legislation of an operational type</w:t>
      </w:r>
      <w:r w:rsidR="00FA6CB0">
        <w:rPr>
          <w:rFonts w:cstheme="majorBidi"/>
          <w:sz w:val="24"/>
          <w:szCs w:val="24"/>
        </w:rPr>
        <w:t xml:space="preserve"> would inevitably be controversial and </w:t>
      </w:r>
      <w:r w:rsidR="00971C31">
        <w:rPr>
          <w:rFonts w:cstheme="majorBidi"/>
          <w:sz w:val="24"/>
          <w:szCs w:val="24"/>
        </w:rPr>
        <w:t xml:space="preserve">would be </w:t>
      </w:r>
      <w:r w:rsidR="00FA6CB0">
        <w:rPr>
          <w:rFonts w:cstheme="majorBidi"/>
          <w:sz w:val="24"/>
          <w:szCs w:val="24"/>
        </w:rPr>
        <w:t>unlikely to survive over the longer term</w:t>
      </w:r>
      <w:r w:rsidR="00971C31">
        <w:rPr>
          <w:rFonts w:cstheme="majorBidi"/>
          <w:sz w:val="24"/>
          <w:szCs w:val="24"/>
        </w:rPr>
        <w:t>,</w:t>
      </w:r>
      <w:r w:rsidR="00FA6CB0">
        <w:rPr>
          <w:rFonts w:cstheme="majorBidi"/>
          <w:sz w:val="24"/>
          <w:szCs w:val="24"/>
        </w:rPr>
        <w:t xml:space="preserve"> thus making the regulatory framework less stable and predictable for </w:t>
      </w:r>
      <w:r>
        <w:rPr>
          <w:rFonts w:cstheme="majorBidi"/>
          <w:sz w:val="24"/>
          <w:szCs w:val="24"/>
        </w:rPr>
        <w:t xml:space="preserve">small business. </w:t>
      </w:r>
      <w:r w:rsidR="00FA6CB0">
        <w:rPr>
          <w:rFonts w:cstheme="majorBidi"/>
          <w:sz w:val="24"/>
          <w:szCs w:val="24"/>
        </w:rPr>
        <w:t xml:space="preserve"> </w:t>
      </w:r>
    </w:p>
    <w:p w:rsidR="00FE2CDB" w:rsidRDefault="00FE2CDB" w:rsidP="00726E76">
      <w:pPr>
        <w:pStyle w:val="Heading1"/>
        <w:numPr>
          <w:ilvl w:val="0"/>
          <w:numId w:val="5"/>
        </w:numPr>
        <w:ind w:left="709" w:hanging="709"/>
      </w:pPr>
      <w:bookmarkStart w:id="5" w:name="_Toc414343774"/>
      <w:r w:rsidRPr="00FE2CDB">
        <w:t>ToR 4: Productivity, Competitiveness and Business Investment</w:t>
      </w:r>
      <w:bookmarkEnd w:id="5"/>
    </w:p>
    <w:p w:rsidR="00620396" w:rsidRPr="00620396" w:rsidRDefault="00620396" w:rsidP="00620396"/>
    <w:p w:rsidR="00FE2CDB" w:rsidRPr="00392844" w:rsidRDefault="00971C31" w:rsidP="00620396">
      <w:pPr>
        <w:spacing w:line="360" w:lineRule="auto"/>
        <w:jc w:val="both"/>
        <w:rPr>
          <w:sz w:val="24"/>
          <w:szCs w:val="24"/>
        </w:rPr>
      </w:pPr>
      <w:r>
        <w:rPr>
          <w:sz w:val="24"/>
          <w:szCs w:val="24"/>
        </w:rPr>
        <w:t>In t</w:t>
      </w:r>
      <w:r w:rsidR="00FE2CDB" w:rsidRPr="00392844">
        <w:rPr>
          <w:sz w:val="24"/>
          <w:szCs w:val="24"/>
        </w:rPr>
        <w:t xml:space="preserve">his part of our submission </w:t>
      </w:r>
      <w:r>
        <w:rPr>
          <w:sz w:val="24"/>
          <w:szCs w:val="24"/>
        </w:rPr>
        <w:t>we draw</w:t>
      </w:r>
      <w:r w:rsidR="00FE2CDB" w:rsidRPr="00392844">
        <w:rPr>
          <w:sz w:val="24"/>
          <w:szCs w:val="24"/>
        </w:rPr>
        <w:t xml:space="preserve"> on the following assumptions and principles relating to the links between workplace relations </w:t>
      </w:r>
      <w:r w:rsidR="00FE2CDB">
        <w:rPr>
          <w:sz w:val="24"/>
          <w:szCs w:val="24"/>
        </w:rPr>
        <w:t>and productivity growth:</w:t>
      </w:r>
    </w:p>
    <w:p w:rsidR="00FE2CDB" w:rsidRPr="00FE2CDB" w:rsidRDefault="00FE2CDB" w:rsidP="00726E76">
      <w:pPr>
        <w:pStyle w:val="ListParagraph"/>
        <w:numPr>
          <w:ilvl w:val="0"/>
          <w:numId w:val="19"/>
        </w:numPr>
        <w:spacing w:line="360" w:lineRule="auto"/>
        <w:ind w:left="851" w:hanging="284"/>
        <w:jc w:val="both"/>
        <w:rPr>
          <w:sz w:val="24"/>
          <w:szCs w:val="24"/>
        </w:rPr>
      </w:pPr>
      <w:r w:rsidRPr="00FE2CDB">
        <w:rPr>
          <w:sz w:val="24"/>
          <w:szCs w:val="24"/>
        </w:rPr>
        <w:t xml:space="preserve">It is the substance of the </w:t>
      </w:r>
      <w:r w:rsidR="00971C31">
        <w:rPr>
          <w:sz w:val="24"/>
          <w:szCs w:val="24"/>
        </w:rPr>
        <w:t xml:space="preserve">employment </w:t>
      </w:r>
      <w:r w:rsidRPr="00FE2CDB">
        <w:rPr>
          <w:sz w:val="24"/>
          <w:szCs w:val="24"/>
        </w:rPr>
        <w:t>relationship</w:t>
      </w:r>
      <w:r w:rsidR="00971C31">
        <w:rPr>
          <w:sz w:val="24"/>
          <w:szCs w:val="24"/>
        </w:rPr>
        <w:t xml:space="preserve"> and</w:t>
      </w:r>
      <w:r w:rsidRPr="00FE2CDB">
        <w:rPr>
          <w:sz w:val="24"/>
          <w:szCs w:val="24"/>
        </w:rPr>
        <w:t xml:space="preserve"> not its legal form which determines whether employees are engaged and productive.</w:t>
      </w:r>
    </w:p>
    <w:p w:rsidR="00FE2CDB" w:rsidRPr="00FE2CDB" w:rsidRDefault="00FE2CDB" w:rsidP="00805629">
      <w:pPr>
        <w:pStyle w:val="ListParagraph"/>
        <w:numPr>
          <w:ilvl w:val="0"/>
          <w:numId w:val="19"/>
        </w:numPr>
        <w:spacing w:line="360" w:lineRule="auto"/>
        <w:ind w:left="851" w:hanging="284"/>
        <w:jc w:val="both"/>
        <w:rPr>
          <w:sz w:val="24"/>
          <w:szCs w:val="24"/>
        </w:rPr>
      </w:pPr>
      <w:r w:rsidRPr="00FE2CDB">
        <w:rPr>
          <w:sz w:val="24"/>
          <w:szCs w:val="24"/>
        </w:rPr>
        <w:t>Productivity at the workplace is an outcome of the quality of</w:t>
      </w:r>
      <w:r w:rsidR="00971C31">
        <w:rPr>
          <w:sz w:val="24"/>
          <w:szCs w:val="24"/>
        </w:rPr>
        <w:t xml:space="preserve"> both</w:t>
      </w:r>
      <w:r w:rsidRPr="00FE2CDB">
        <w:rPr>
          <w:sz w:val="24"/>
          <w:szCs w:val="24"/>
        </w:rPr>
        <w:t xml:space="preserve"> leadership and </w:t>
      </w:r>
      <w:r w:rsidR="00971C31">
        <w:rPr>
          <w:sz w:val="24"/>
          <w:szCs w:val="24"/>
        </w:rPr>
        <w:t xml:space="preserve">organisational </w:t>
      </w:r>
      <w:r w:rsidRPr="00FE2CDB">
        <w:rPr>
          <w:sz w:val="24"/>
          <w:szCs w:val="24"/>
        </w:rPr>
        <w:t xml:space="preserve">culture and the </w:t>
      </w:r>
      <w:r w:rsidR="00971C31">
        <w:rPr>
          <w:sz w:val="24"/>
          <w:szCs w:val="24"/>
        </w:rPr>
        <w:t>impact th</w:t>
      </w:r>
      <w:r w:rsidR="00805629">
        <w:rPr>
          <w:sz w:val="24"/>
          <w:szCs w:val="24"/>
        </w:rPr>
        <w:t xml:space="preserve">ese have </w:t>
      </w:r>
      <w:r w:rsidR="00971C31">
        <w:rPr>
          <w:sz w:val="24"/>
          <w:szCs w:val="24"/>
        </w:rPr>
        <w:t xml:space="preserve">on </w:t>
      </w:r>
      <w:r w:rsidRPr="00FE2CDB">
        <w:rPr>
          <w:sz w:val="24"/>
          <w:szCs w:val="24"/>
        </w:rPr>
        <w:t>emp</w:t>
      </w:r>
      <w:r w:rsidR="00805629">
        <w:rPr>
          <w:sz w:val="24"/>
          <w:szCs w:val="24"/>
        </w:rPr>
        <w:t>loyee engagement and commitment</w:t>
      </w:r>
      <w:r w:rsidRPr="00FE2CDB">
        <w:rPr>
          <w:sz w:val="24"/>
          <w:szCs w:val="24"/>
        </w:rPr>
        <w:t>.</w:t>
      </w:r>
    </w:p>
    <w:p w:rsidR="00FE2CDB" w:rsidRPr="00FE2CDB" w:rsidRDefault="00383DCB" w:rsidP="00726E76">
      <w:pPr>
        <w:pStyle w:val="ListParagraph"/>
        <w:numPr>
          <w:ilvl w:val="0"/>
          <w:numId w:val="19"/>
        </w:numPr>
        <w:spacing w:line="360" w:lineRule="auto"/>
        <w:ind w:left="851" w:hanging="284"/>
        <w:jc w:val="both"/>
        <w:rPr>
          <w:sz w:val="24"/>
          <w:szCs w:val="24"/>
        </w:rPr>
      </w:pPr>
      <w:r>
        <w:rPr>
          <w:sz w:val="24"/>
          <w:szCs w:val="24"/>
        </w:rPr>
        <w:t>The quality of w</w:t>
      </w:r>
      <w:r w:rsidR="00FE2CDB" w:rsidRPr="00FE2CDB">
        <w:rPr>
          <w:sz w:val="24"/>
          <w:szCs w:val="24"/>
        </w:rPr>
        <w:t>orkplace relations should be a source of competitive advantage flowing to the enterprise and should be encouraged not impeded by legislation.</w:t>
      </w:r>
    </w:p>
    <w:p w:rsidR="00FE2CDB" w:rsidRDefault="00FE2CDB" w:rsidP="00FE2CDB">
      <w:pPr>
        <w:pStyle w:val="ListParagraph"/>
        <w:spacing w:line="288" w:lineRule="auto"/>
        <w:jc w:val="both"/>
        <w:rPr>
          <w:sz w:val="24"/>
          <w:szCs w:val="24"/>
        </w:rPr>
      </w:pPr>
    </w:p>
    <w:p w:rsidR="00FE2CDB" w:rsidRDefault="00FE2CDB" w:rsidP="001839C0">
      <w:pPr>
        <w:pStyle w:val="ListParagraph"/>
        <w:numPr>
          <w:ilvl w:val="1"/>
          <w:numId w:val="5"/>
        </w:numPr>
        <w:spacing w:line="360" w:lineRule="auto"/>
        <w:ind w:left="709" w:hanging="709"/>
        <w:jc w:val="both"/>
        <w:rPr>
          <w:sz w:val="24"/>
          <w:szCs w:val="24"/>
        </w:rPr>
      </w:pPr>
      <w:r w:rsidRPr="00FE2CDB">
        <w:rPr>
          <w:sz w:val="24"/>
          <w:szCs w:val="24"/>
        </w:rPr>
        <w:t xml:space="preserve">The first two points can be illustrated by reference to the following evidence and argument. It has often been asserted that direct employment relations between employees and the employer are more productive than an employment relationship mediated by a third party (typically a union) and as a consequence individual contracts of employment will be more productive than collective agreements. However, </w:t>
      </w:r>
      <w:r w:rsidR="00FF7BE2">
        <w:rPr>
          <w:sz w:val="24"/>
          <w:szCs w:val="24"/>
        </w:rPr>
        <w:t>we have not been able to find any Australian</w:t>
      </w:r>
      <w:r w:rsidRPr="00FE2CDB">
        <w:rPr>
          <w:sz w:val="24"/>
          <w:szCs w:val="24"/>
        </w:rPr>
        <w:t xml:space="preserve"> evidence </w:t>
      </w:r>
      <w:r w:rsidR="00FF7BE2">
        <w:rPr>
          <w:sz w:val="24"/>
          <w:szCs w:val="24"/>
        </w:rPr>
        <w:t xml:space="preserve">that </w:t>
      </w:r>
      <w:r w:rsidRPr="00FE2CDB">
        <w:rPr>
          <w:sz w:val="24"/>
          <w:szCs w:val="24"/>
        </w:rPr>
        <w:t>support</w:t>
      </w:r>
      <w:r w:rsidR="00FF7BE2">
        <w:rPr>
          <w:sz w:val="24"/>
          <w:szCs w:val="24"/>
        </w:rPr>
        <w:t>s</w:t>
      </w:r>
      <w:r w:rsidRPr="00FE2CDB">
        <w:rPr>
          <w:sz w:val="24"/>
          <w:szCs w:val="24"/>
        </w:rPr>
        <w:t xml:space="preserve"> this assertion. Studies of the effects of Australian Workplace Agreements (AWAs) do not establish any link between legislative innovation and productivity</w:t>
      </w:r>
      <w:r w:rsidR="00FF7BE2">
        <w:rPr>
          <w:sz w:val="24"/>
          <w:szCs w:val="24"/>
        </w:rPr>
        <w:t xml:space="preserve"> (</w:t>
      </w:r>
      <w:r w:rsidR="001839C0">
        <w:rPr>
          <w:sz w:val="24"/>
          <w:szCs w:val="24"/>
        </w:rPr>
        <w:t>e.g.</w:t>
      </w:r>
      <w:r w:rsidR="00FF7BE2">
        <w:rPr>
          <w:sz w:val="24"/>
          <w:szCs w:val="24"/>
        </w:rPr>
        <w:t xml:space="preserve"> Peetz 2006; Peetz &amp; Preston, 2009)</w:t>
      </w:r>
      <w:r w:rsidRPr="00FE2CDB">
        <w:rPr>
          <w:sz w:val="24"/>
          <w:szCs w:val="24"/>
        </w:rPr>
        <w:t>.</w:t>
      </w:r>
    </w:p>
    <w:p w:rsidR="00FE2CDB" w:rsidRDefault="00FE2CDB" w:rsidP="00726E76">
      <w:pPr>
        <w:pStyle w:val="ListParagraph"/>
        <w:spacing w:line="360" w:lineRule="auto"/>
        <w:ind w:left="709" w:hanging="709"/>
        <w:jc w:val="both"/>
        <w:rPr>
          <w:sz w:val="24"/>
          <w:szCs w:val="24"/>
        </w:rPr>
      </w:pPr>
    </w:p>
    <w:p w:rsidR="00FE2CDB" w:rsidRDefault="00FE2CDB" w:rsidP="001839C0">
      <w:pPr>
        <w:pStyle w:val="ListParagraph"/>
        <w:numPr>
          <w:ilvl w:val="1"/>
          <w:numId w:val="5"/>
        </w:numPr>
        <w:spacing w:line="360" w:lineRule="auto"/>
        <w:ind w:left="709" w:hanging="709"/>
        <w:jc w:val="both"/>
        <w:rPr>
          <w:sz w:val="24"/>
          <w:szCs w:val="24"/>
        </w:rPr>
      </w:pPr>
      <w:r w:rsidRPr="00FE2CDB">
        <w:rPr>
          <w:sz w:val="24"/>
          <w:szCs w:val="24"/>
        </w:rPr>
        <w:t xml:space="preserve">In this regard the experience of substantial workplace productivity gains realised in aluminium mining and smelting in the Comalco Group in Australia and New Zealand in the 1990s is </w:t>
      </w:r>
      <w:r w:rsidR="001839C0">
        <w:rPr>
          <w:sz w:val="24"/>
          <w:szCs w:val="24"/>
        </w:rPr>
        <w:t>highly cogent</w:t>
      </w:r>
      <w:r w:rsidRPr="00FE2CDB">
        <w:rPr>
          <w:sz w:val="24"/>
          <w:szCs w:val="24"/>
        </w:rPr>
        <w:t>.</w:t>
      </w:r>
      <w:r>
        <w:rPr>
          <w:rStyle w:val="FootnoteReference"/>
          <w:sz w:val="24"/>
          <w:szCs w:val="24"/>
        </w:rPr>
        <w:footnoteReference w:id="7"/>
      </w:r>
      <w:r w:rsidRPr="00FE2CDB">
        <w:rPr>
          <w:sz w:val="24"/>
          <w:szCs w:val="24"/>
        </w:rPr>
        <w:t xml:space="preserve">  Rapid gains in current efficiency (a key measure of operational e</w:t>
      </w:r>
      <w:r w:rsidR="007A1E3C">
        <w:rPr>
          <w:sz w:val="24"/>
          <w:szCs w:val="24"/>
        </w:rPr>
        <w:t>fficiency in aluminium smelting</w:t>
      </w:r>
      <w:r w:rsidRPr="00FE2CDB">
        <w:rPr>
          <w:sz w:val="24"/>
          <w:szCs w:val="24"/>
        </w:rPr>
        <w:t xml:space="preserve">), metal purity, the elimination of overtime and substantial reductions in absenteeism have been documented </w:t>
      </w:r>
      <w:r w:rsidR="007A1E3C">
        <w:rPr>
          <w:sz w:val="24"/>
          <w:szCs w:val="24"/>
        </w:rPr>
        <w:t>(</w:t>
      </w:r>
      <w:r w:rsidR="00383DCB">
        <w:rPr>
          <w:sz w:val="24"/>
          <w:szCs w:val="24"/>
        </w:rPr>
        <w:t>Macdonald, Burke &amp; Stewart, 2006: 247-258)</w:t>
      </w:r>
      <w:r w:rsidRPr="00FE2CDB">
        <w:rPr>
          <w:sz w:val="24"/>
          <w:szCs w:val="24"/>
        </w:rPr>
        <w:t>. Productivity gains of up to 25% were achieved</w:t>
      </w:r>
      <w:r w:rsidR="007A1E3C">
        <w:rPr>
          <w:sz w:val="24"/>
          <w:szCs w:val="24"/>
        </w:rPr>
        <w:t xml:space="preserve"> shortly after the introduction of individual contracts on a voluntary basis. However, </w:t>
      </w:r>
      <w:r w:rsidRPr="00FE2CDB">
        <w:rPr>
          <w:sz w:val="24"/>
          <w:szCs w:val="24"/>
        </w:rPr>
        <w:t xml:space="preserve">the move to individual contracts by award employees was due to a cultural change strategy </w:t>
      </w:r>
      <w:r w:rsidR="007A1E3C">
        <w:rPr>
          <w:sz w:val="24"/>
          <w:szCs w:val="24"/>
        </w:rPr>
        <w:t xml:space="preserve">that built </w:t>
      </w:r>
      <w:r w:rsidRPr="00FE2CDB">
        <w:rPr>
          <w:sz w:val="24"/>
          <w:szCs w:val="24"/>
        </w:rPr>
        <w:t xml:space="preserve">leadership capability at these operating sites over time. </w:t>
      </w:r>
      <w:r w:rsidR="001839C0">
        <w:rPr>
          <w:sz w:val="24"/>
          <w:szCs w:val="24"/>
        </w:rPr>
        <w:t xml:space="preserve">In each case </w:t>
      </w:r>
      <w:r w:rsidRPr="00FE2CDB">
        <w:rPr>
          <w:sz w:val="24"/>
          <w:szCs w:val="24"/>
        </w:rPr>
        <w:t>collective processes involving secret ballots of employees were used to authorise the new staff employment</w:t>
      </w:r>
      <w:r w:rsidR="007A1E3C">
        <w:rPr>
          <w:sz w:val="24"/>
          <w:szCs w:val="24"/>
        </w:rPr>
        <w:t xml:space="preserve"> </w:t>
      </w:r>
      <w:r w:rsidR="005E2352">
        <w:rPr>
          <w:sz w:val="24"/>
          <w:szCs w:val="24"/>
        </w:rPr>
        <w:t>arrangements</w:t>
      </w:r>
      <w:r w:rsidRPr="00FE2CDB">
        <w:rPr>
          <w:sz w:val="24"/>
          <w:szCs w:val="24"/>
        </w:rPr>
        <w:t xml:space="preserve"> and</w:t>
      </w:r>
      <w:r w:rsidR="007A1E3C">
        <w:rPr>
          <w:sz w:val="24"/>
          <w:szCs w:val="24"/>
        </w:rPr>
        <w:t xml:space="preserve"> </w:t>
      </w:r>
      <w:r w:rsidR="001839C0">
        <w:rPr>
          <w:sz w:val="24"/>
          <w:szCs w:val="24"/>
        </w:rPr>
        <w:t>in</w:t>
      </w:r>
      <w:r w:rsidRPr="00FE2CDB">
        <w:rPr>
          <w:sz w:val="24"/>
          <w:szCs w:val="24"/>
        </w:rPr>
        <w:t xml:space="preserve"> each ballot around 90% of employees voted in favour of the </w:t>
      </w:r>
      <w:r w:rsidR="001839C0">
        <w:rPr>
          <w:sz w:val="24"/>
          <w:szCs w:val="24"/>
        </w:rPr>
        <w:t xml:space="preserve">company’s </w:t>
      </w:r>
      <w:r w:rsidRPr="00FE2CDB">
        <w:rPr>
          <w:sz w:val="24"/>
          <w:szCs w:val="24"/>
        </w:rPr>
        <w:t>offer despite strong opposition from the unions covering those sites. Finally, the gains were made in employee engagement and work</w:t>
      </w:r>
      <w:r w:rsidR="005E2352">
        <w:rPr>
          <w:sz w:val="24"/>
          <w:szCs w:val="24"/>
        </w:rPr>
        <w:t xml:space="preserve">place productivity despite the </w:t>
      </w:r>
      <w:r w:rsidRPr="00FE2CDB">
        <w:rPr>
          <w:sz w:val="24"/>
          <w:szCs w:val="24"/>
        </w:rPr>
        <w:t>industrial relations legislation in place at the time.</w:t>
      </w:r>
    </w:p>
    <w:p w:rsidR="00FE2CDB" w:rsidRDefault="00FE2CDB" w:rsidP="00620396">
      <w:pPr>
        <w:pStyle w:val="ListParagraph"/>
        <w:spacing w:line="360" w:lineRule="auto"/>
        <w:ind w:left="851" w:hanging="851"/>
        <w:jc w:val="both"/>
        <w:rPr>
          <w:sz w:val="24"/>
          <w:szCs w:val="24"/>
        </w:rPr>
      </w:pPr>
    </w:p>
    <w:p w:rsidR="00FE2CDB" w:rsidRPr="005E2352" w:rsidRDefault="00FE2CDB" w:rsidP="001839C0">
      <w:pPr>
        <w:pStyle w:val="ListParagraph"/>
        <w:numPr>
          <w:ilvl w:val="1"/>
          <w:numId w:val="5"/>
        </w:numPr>
        <w:spacing w:line="360" w:lineRule="auto"/>
        <w:ind w:left="709" w:hanging="709"/>
        <w:jc w:val="both"/>
        <w:rPr>
          <w:sz w:val="24"/>
          <w:szCs w:val="24"/>
        </w:rPr>
      </w:pPr>
      <w:r w:rsidRPr="00FE2CDB">
        <w:rPr>
          <w:sz w:val="24"/>
          <w:szCs w:val="24"/>
        </w:rPr>
        <w:t>The conclusion is clear</w:t>
      </w:r>
      <w:r w:rsidR="005E2352">
        <w:rPr>
          <w:sz w:val="24"/>
          <w:szCs w:val="24"/>
        </w:rPr>
        <w:t>;</w:t>
      </w:r>
      <w:r w:rsidRPr="00FE2CDB">
        <w:rPr>
          <w:sz w:val="24"/>
          <w:szCs w:val="24"/>
        </w:rPr>
        <w:t xml:space="preserve"> it is the work of management to create the conditions </w:t>
      </w:r>
      <w:r w:rsidR="005E2352">
        <w:rPr>
          <w:sz w:val="24"/>
          <w:szCs w:val="24"/>
        </w:rPr>
        <w:t>for</w:t>
      </w:r>
      <w:r w:rsidRPr="00FE2CDB">
        <w:rPr>
          <w:sz w:val="24"/>
          <w:szCs w:val="24"/>
        </w:rPr>
        <w:t xml:space="preserve"> cultural transformation at the workplace</w:t>
      </w:r>
      <w:r w:rsidR="005E2352">
        <w:rPr>
          <w:sz w:val="24"/>
          <w:szCs w:val="24"/>
        </w:rPr>
        <w:t xml:space="preserve"> and that</w:t>
      </w:r>
      <w:r w:rsidR="001839C0">
        <w:rPr>
          <w:sz w:val="24"/>
          <w:szCs w:val="24"/>
        </w:rPr>
        <w:t xml:space="preserve"> at best</w:t>
      </w:r>
      <w:r w:rsidR="005E2352">
        <w:rPr>
          <w:sz w:val="24"/>
          <w:szCs w:val="24"/>
        </w:rPr>
        <w:t xml:space="preserve"> l</w:t>
      </w:r>
      <w:r w:rsidRPr="00FE2CDB">
        <w:rPr>
          <w:sz w:val="24"/>
          <w:szCs w:val="24"/>
        </w:rPr>
        <w:t xml:space="preserve">egislation can facilitate </w:t>
      </w:r>
      <w:r w:rsidR="005E2352">
        <w:rPr>
          <w:sz w:val="24"/>
          <w:szCs w:val="24"/>
        </w:rPr>
        <w:t xml:space="preserve">organisations </w:t>
      </w:r>
      <w:r w:rsidRPr="00FE2CDB">
        <w:rPr>
          <w:sz w:val="24"/>
          <w:szCs w:val="24"/>
        </w:rPr>
        <w:t xml:space="preserve">embarking on this </w:t>
      </w:r>
      <w:r w:rsidR="005E2352">
        <w:rPr>
          <w:sz w:val="24"/>
          <w:szCs w:val="24"/>
        </w:rPr>
        <w:t>path. What then are the key elements of such an approach?</w:t>
      </w:r>
    </w:p>
    <w:p w:rsidR="00FE2CDB" w:rsidRPr="002813E1" w:rsidRDefault="002813E1" w:rsidP="002813E1">
      <w:pPr>
        <w:pStyle w:val="ListParagraph"/>
        <w:numPr>
          <w:ilvl w:val="0"/>
          <w:numId w:val="17"/>
        </w:numPr>
        <w:spacing w:line="360" w:lineRule="auto"/>
        <w:ind w:left="1276"/>
        <w:jc w:val="both"/>
        <w:rPr>
          <w:sz w:val="24"/>
          <w:szCs w:val="24"/>
        </w:rPr>
      </w:pPr>
      <w:r>
        <w:rPr>
          <w:sz w:val="24"/>
          <w:szCs w:val="24"/>
        </w:rPr>
        <w:lastRenderedPageBreak/>
        <w:t>The cu</w:t>
      </w:r>
      <w:r w:rsidR="00FE2CDB" w:rsidRPr="00192A31">
        <w:rPr>
          <w:sz w:val="24"/>
          <w:szCs w:val="24"/>
        </w:rPr>
        <w:t>ltural transformation to substantially lift productivity performance will only be achieved if a very substantial proportion of the employees at the workplace support the changes in the employment relationship</w:t>
      </w:r>
      <w:r w:rsidR="00FE2CDB" w:rsidRPr="002813E1">
        <w:rPr>
          <w:sz w:val="24"/>
          <w:szCs w:val="24"/>
        </w:rPr>
        <w:t xml:space="preserve">. </w:t>
      </w:r>
    </w:p>
    <w:p w:rsidR="00FE2CDB" w:rsidRDefault="00FE2CDB" w:rsidP="002813E1">
      <w:pPr>
        <w:pStyle w:val="ListParagraph"/>
        <w:numPr>
          <w:ilvl w:val="0"/>
          <w:numId w:val="17"/>
        </w:numPr>
        <w:spacing w:line="360" w:lineRule="auto"/>
        <w:ind w:left="1276" w:hanging="357"/>
        <w:jc w:val="both"/>
        <w:rPr>
          <w:sz w:val="24"/>
          <w:szCs w:val="24"/>
        </w:rPr>
      </w:pPr>
      <w:r>
        <w:rPr>
          <w:sz w:val="24"/>
          <w:szCs w:val="24"/>
        </w:rPr>
        <w:t>A</w:t>
      </w:r>
      <w:r w:rsidRPr="002309EB">
        <w:rPr>
          <w:sz w:val="24"/>
          <w:szCs w:val="24"/>
        </w:rPr>
        <w:t xml:space="preserve"> collective process to </w:t>
      </w:r>
      <w:r>
        <w:rPr>
          <w:sz w:val="24"/>
          <w:szCs w:val="24"/>
        </w:rPr>
        <w:t xml:space="preserve">transition to </w:t>
      </w:r>
      <w:r w:rsidRPr="002309EB">
        <w:rPr>
          <w:sz w:val="24"/>
          <w:szCs w:val="24"/>
        </w:rPr>
        <w:t xml:space="preserve">individual employment arrangements (secret ballots) for eligible employees is a disciplined way to demonstrate the necessary level of support </w:t>
      </w:r>
      <w:r>
        <w:rPr>
          <w:sz w:val="24"/>
          <w:szCs w:val="24"/>
        </w:rPr>
        <w:t xml:space="preserve">for a </w:t>
      </w:r>
      <w:r w:rsidRPr="002309EB">
        <w:rPr>
          <w:sz w:val="24"/>
          <w:szCs w:val="24"/>
        </w:rPr>
        <w:t>shift in culture and workplace behaviour.</w:t>
      </w:r>
    </w:p>
    <w:p w:rsidR="002813E1" w:rsidRPr="002309EB" w:rsidRDefault="002813E1" w:rsidP="002813E1">
      <w:pPr>
        <w:pStyle w:val="ListParagraph"/>
        <w:spacing w:line="360" w:lineRule="auto"/>
        <w:ind w:left="1276"/>
        <w:jc w:val="both"/>
        <w:rPr>
          <w:sz w:val="24"/>
          <w:szCs w:val="24"/>
        </w:rPr>
      </w:pPr>
    </w:p>
    <w:p w:rsidR="00FE2CDB" w:rsidRDefault="00FE2CDB" w:rsidP="00726E76">
      <w:pPr>
        <w:pStyle w:val="ListParagraph"/>
        <w:numPr>
          <w:ilvl w:val="1"/>
          <w:numId w:val="5"/>
        </w:numPr>
        <w:spacing w:line="360" w:lineRule="auto"/>
        <w:ind w:left="709" w:hanging="709"/>
        <w:jc w:val="both"/>
        <w:rPr>
          <w:sz w:val="24"/>
          <w:szCs w:val="24"/>
        </w:rPr>
      </w:pPr>
      <w:r w:rsidRPr="00FE2CDB">
        <w:rPr>
          <w:sz w:val="24"/>
          <w:szCs w:val="24"/>
        </w:rPr>
        <w:t xml:space="preserve">Applied </w:t>
      </w:r>
      <w:r w:rsidR="002813E1">
        <w:rPr>
          <w:sz w:val="24"/>
          <w:szCs w:val="24"/>
        </w:rPr>
        <w:t>to</w:t>
      </w:r>
      <w:r w:rsidRPr="00FE2CDB">
        <w:rPr>
          <w:sz w:val="24"/>
          <w:szCs w:val="24"/>
        </w:rPr>
        <w:t xml:space="preserve"> the current regulatory framework this model would have the following characteristics:</w:t>
      </w:r>
    </w:p>
    <w:p w:rsidR="00FE2CDB" w:rsidRPr="00392844" w:rsidRDefault="00FE2CDB" w:rsidP="00726E76">
      <w:pPr>
        <w:pStyle w:val="ListParagraph"/>
        <w:numPr>
          <w:ilvl w:val="0"/>
          <w:numId w:val="22"/>
        </w:numPr>
        <w:spacing w:line="360" w:lineRule="auto"/>
        <w:ind w:left="1276" w:hanging="425"/>
        <w:jc w:val="both"/>
        <w:rPr>
          <w:sz w:val="24"/>
          <w:szCs w:val="24"/>
        </w:rPr>
      </w:pPr>
      <w:r w:rsidRPr="00392844">
        <w:rPr>
          <w:sz w:val="24"/>
          <w:szCs w:val="24"/>
        </w:rPr>
        <w:t xml:space="preserve">A 66% majority of </w:t>
      </w:r>
      <w:r w:rsidR="002813E1">
        <w:rPr>
          <w:sz w:val="24"/>
          <w:szCs w:val="24"/>
        </w:rPr>
        <w:t xml:space="preserve">all </w:t>
      </w:r>
      <w:r w:rsidRPr="00392844">
        <w:rPr>
          <w:sz w:val="24"/>
          <w:szCs w:val="24"/>
        </w:rPr>
        <w:t xml:space="preserve">employees at a workplace </w:t>
      </w:r>
      <w:r w:rsidR="002813E1">
        <w:rPr>
          <w:sz w:val="24"/>
          <w:szCs w:val="24"/>
        </w:rPr>
        <w:t>voting in a</w:t>
      </w:r>
      <w:r w:rsidRPr="00392844">
        <w:rPr>
          <w:sz w:val="24"/>
          <w:szCs w:val="24"/>
        </w:rPr>
        <w:t xml:space="preserve"> secret ballot </w:t>
      </w:r>
      <w:r w:rsidR="002813E1">
        <w:rPr>
          <w:sz w:val="24"/>
          <w:szCs w:val="24"/>
        </w:rPr>
        <w:t xml:space="preserve">would opt </w:t>
      </w:r>
      <w:r w:rsidRPr="00392844">
        <w:rPr>
          <w:sz w:val="24"/>
          <w:szCs w:val="24"/>
        </w:rPr>
        <w:t>to enter into direct employment arrangements with their employer which would displace the operation of modern awards and any collective agreement which might otherwise apply</w:t>
      </w:r>
      <w:r>
        <w:rPr>
          <w:sz w:val="24"/>
          <w:szCs w:val="24"/>
        </w:rPr>
        <w:t>.</w:t>
      </w:r>
    </w:p>
    <w:p w:rsidR="00FE2CDB" w:rsidRPr="00635E87" w:rsidRDefault="00FE2CDB" w:rsidP="001839C0">
      <w:pPr>
        <w:pStyle w:val="ListParagraph"/>
        <w:numPr>
          <w:ilvl w:val="0"/>
          <w:numId w:val="22"/>
        </w:numPr>
        <w:spacing w:line="360" w:lineRule="auto"/>
        <w:ind w:left="1276" w:hanging="425"/>
        <w:jc w:val="both"/>
        <w:rPr>
          <w:sz w:val="24"/>
          <w:szCs w:val="24"/>
        </w:rPr>
      </w:pPr>
      <w:r w:rsidRPr="00635E87">
        <w:rPr>
          <w:sz w:val="24"/>
          <w:szCs w:val="24"/>
        </w:rPr>
        <w:t>At all times the NES would apply as safety nets along with applicable occupational health and sa</w:t>
      </w:r>
      <w:r w:rsidR="002813E1" w:rsidRPr="00635E87">
        <w:rPr>
          <w:sz w:val="24"/>
          <w:szCs w:val="24"/>
        </w:rPr>
        <w:t>fety legislation and other anti-</w:t>
      </w:r>
      <w:r w:rsidRPr="00635E87">
        <w:rPr>
          <w:sz w:val="24"/>
          <w:szCs w:val="24"/>
        </w:rPr>
        <w:t>discrimination and human r</w:t>
      </w:r>
      <w:r w:rsidR="002813E1" w:rsidRPr="00635E87">
        <w:rPr>
          <w:sz w:val="24"/>
          <w:szCs w:val="24"/>
        </w:rPr>
        <w:t>ights legislation.</w:t>
      </w:r>
    </w:p>
    <w:p w:rsidR="00FE2CDB" w:rsidRPr="006E2310" w:rsidRDefault="00FE2CDB" w:rsidP="00726E76">
      <w:pPr>
        <w:pStyle w:val="ListParagraph"/>
        <w:numPr>
          <w:ilvl w:val="0"/>
          <w:numId w:val="22"/>
        </w:numPr>
        <w:spacing w:line="360" w:lineRule="auto"/>
        <w:ind w:left="1276" w:hanging="425"/>
        <w:jc w:val="both"/>
        <w:rPr>
          <w:sz w:val="24"/>
          <w:szCs w:val="24"/>
        </w:rPr>
      </w:pPr>
      <w:r w:rsidRPr="00392844">
        <w:rPr>
          <w:sz w:val="24"/>
          <w:szCs w:val="24"/>
        </w:rPr>
        <w:t xml:space="preserve">Employees </w:t>
      </w:r>
      <w:r w:rsidR="002813E1">
        <w:rPr>
          <w:sz w:val="24"/>
          <w:szCs w:val="24"/>
        </w:rPr>
        <w:t xml:space="preserve">would be able to </w:t>
      </w:r>
      <w:r>
        <w:rPr>
          <w:sz w:val="24"/>
          <w:szCs w:val="24"/>
        </w:rPr>
        <w:t xml:space="preserve">give </w:t>
      </w:r>
      <w:r w:rsidR="002813E1">
        <w:rPr>
          <w:sz w:val="24"/>
          <w:szCs w:val="24"/>
        </w:rPr>
        <w:t xml:space="preserve">reasonable </w:t>
      </w:r>
      <w:r w:rsidRPr="00392844">
        <w:rPr>
          <w:sz w:val="24"/>
          <w:szCs w:val="24"/>
        </w:rPr>
        <w:t>notice</w:t>
      </w:r>
      <w:r>
        <w:rPr>
          <w:sz w:val="24"/>
          <w:szCs w:val="24"/>
        </w:rPr>
        <w:t xml:space="preserve"> to</w:t>
      </w:r>
      <w:r w:rsidRPr="00392844">
        <w:rPr>
          <w:sz w:val="24"/>
          <w:szCs w:val="24"/>
        </w:rPr>
        <w:t xml:space="preserve"> initiate a </w:t>
      </w:r>
      <w:r w:rsidR="002813E1">
        <w:rPr>
          <w:sz w:val="24"/>
          <w:szCs w:val="24"/>
        </w:rPr>
        <w:t xml:space="preserve">secret </w:t>
      </w:r>
      <w:r w:rsidRPr="00392844">
        <w:rPr>
          <w:sz w:val="24"/>
          <w:szCs w:val="24"/>
        </w:rPr>
        <w:t>ballot to exit the self</w:t>
      </w:r>
      <w:r w:rsidR="00635E87">
        <w:rPr>
          <w:sz w:val="24"/>
          <w:szCs w:val="24"/>
        </w:rPr>
        <w:t>-</w:t>
      </w:r>
      <w:r w:rsidRPr="00392844">
        <w:rPr>
          <w:sz w:val="24"/>
          <w:szCs w:val="24"/>
        </w:rPr>
        <w:t xml:space="preserve"> regulatory model </w:t>
      </w:r>
      <w:r>
        <w:rPr>
          <w:sz w:val="24"/>
          <w:szCs w:val="24"/>
        </w:rPr>
        <w:t xml:space="preserve">with a </w:t>
      </w:r>
      <w:r w:rsidR="002813E1">
        <w:rPr>
          <w:sz w:val="24"/>
          <w:szCs w:val="24"/>
        </w:rPr>
        <w:t xml:space="preserve">simple </w:t>
      </w:r>
      <w:r w:rsidRPr="00392844">
        <w:rPr>
          <w:sz w:val="24"/>
          <w:szCs w:val="24"/>
        </w:rPr>
        <w:t>majority (50%</w:t>
      </w:r>
      <w:r w:rsidR="002813E1">
        <w:rPr>
          <w:sz w:val="24"/>
          <w:szCs w:val="24"/>
        </w:rPr>
        <w:t xml:space="preserve"> plus 1</w:t>
      </w:r>
      <w:r w:rsidRPr="00392844">
        <w:rPr>
          <w:sz w:val="24"/>
          <w:szCs w:val="24"/>
        </w:rPr>
        <w:t xml:space="preserve">) of employees </w:t>
      </w:r>
      <w:r>
        <w:rPr>
          <w:sz w:val="24"/>
          <w:szCs w:val="24"/>
        </w:rPr>
        <w:t xml:space="preserve">casting </w:t>
      </w:r>
      <w:r w:rsidRPr="00392844">
        <w:rPr>
          <w:sz w:val="24"/>
          <w:szCs w:val="24"/>
        </w:rPr>
        <w:t>a vote</w:t>
      </w:r>
      <w:r>
        <w:rPr>
          <w:sz w:val="24"/>
          <w:szCs w:val="24"/>
        </w:rPr>
        <w:t xml:space="preserve"> being determinative.</w:t>
      </w:r>
      <w:r w:rsidRPr="00726E76">
        <w:t xml:space="preserve"> </w:t>
      </w:r>
    </w:p>
    <w:p w:rsidR="006E2310" w:rsidRPr="002813E1" w:rsidRDefault="006E2310" w:rsidP="00620396">
      <w:pPr>
        <w:pStyle w:val="ListParagraph"/>
        <w:spacing w:line="360" w:lineRule="auto"/>
        <w:ind w:left="851" w:hanging="851"/>
        <w:jc w:val="both"/>
        <w:rPr>
          <w:sz w:val="24"/>
          <w:szCs w:val="24"/>
        </w:rPr>
      </w:pPr>
    </w:p>
    <w:p w:rsidR="002813E1" w:rsidRDefault="002813E1" w:rsidP="001839C0">
      <w:pPr>
        <w:pStyle w:val="ListParagraph"/>
        <w:numPr>
          <w:ilvl w:val="1"/>
          <w:numId w:val="5"/>
        </w:numPr>
        <w:tabs>
          <w:tab w:val="left" w:pos="709"/>
        </w:tabs>
        <w:spacing w:line="360" w:lineRule="auto"/>
        <w:ind w:left="709" w:hanging="709"/>
        <w:jc w:val="both"/>
        <w:rPr>
          <w:sz w:val="24"/>
          <w:szCs w:val="24"/>
        </w:rPr>
      </w:pPr>
      <w:r w:rsidRPr="006E2310">
        <w:rPr>
          <w:sz w:val="24"/>
          <w:szCs w:val="24"/>
        </w:rPr>
        <w:t xml:space="preserve">In summary, recognising that legislation should play a framework role, legislative change to enable some form of individual contacting can facilitate productivity improvement, but there needs to be appropriate minimum standards and procedural safeguards provided. </w:t>
      </w:r>
      <w:r w:rsidR="001839C0">
        <w:rPr>
          <w:sz w:val="24"/>
          <w:szCs w:val="24"/>
        </w:rPr>
        <w:t>If this does</w:t>
      </w:r>
      <w:r w:rsidRPr="006E2310">
        <w:rPr>
          <w:sz w:val="24"/>
          <w:szCs w:val="24"/>
        </w:rPr>
        <w:t xml:space="preserve"> not occur</w:t>
      </w:r>
      <w:r w:rsidR="001839C0">
        <w:rPr>
          <w:sz w:val="24"/>
          <w:szCs w:val="24"/>
        </w:rPr>
        <w:t xml:space="preserve">, legislative innovation will be both controversial and fail to endure. </w:t>
      </w:r>
      <w:r w:rsidRPr="006E2310">
        <w:rPr>
          <w:sz w:val="24"/>
          <w:szCs w:val="24"/>
        </w:rPr>
        <w:t xml:space="preserve"> </w:t>
      </w:r>
    </w:p>
    <w:p w:rsidR="003E77EB" w:rsidRDefault="003E77EB" w:rsidP="003E77EB">
      <w:pPr>
        <w:pStyle w:val="ListParagraph"/>
        <w:tabs>
          <w:tab w:val="left" w:pos="709"/>
        </w:tabs>
        <w:spacing w:line="360" w:lineRule="auto"/>
        <w:ind w:left="709"/>
        <w:jc w:val="both"/>
        <w:rPr>
          <w:sz w:val="24"/>
          <w:szCs w:val="24"/>
        </w:rPr>
      </w:pPr>
    </w:p>
    <w:p w:rsidR="001F296D" w:rsidRDefault="001F296D" w:rsidP="00726E76">
      <w:pPr>
        <w:pStyle w:val="Heading1"/>
        <w:numPr>
          <w:ilvl w:val="0"/>
          <w:numId w:val="5"/>
        </w:numPr>
        <w:ind w:left="709" w:hanging="709"/>
      </w:pPr>
      <w:bookmarkStart w:id="6" w:name="_Toc414343775"/>
      <w:r w:rsidRPr="00694929">
        <w:t>ToR</w:t>
      </w:r>
      <w:r w:rsidR="009920AB" w:rsidRPr="00694929">
        <w:t xml:space="preserve"> </w:t>
      </w:r>
      <w:r w:rsidRPr="00694929">
        <w:t>6: Patterns of Engagement in the Labour Market</w:t>
      </w:r>
      <w:bookmarkEnd w:id="6"/>
    </w:p>
    <w:p w:rsidR="00EF104E" w:rsidRDefault="00EF104E" w:rsidP="00620396">
      <w:pPr>
        <w:spacing w:after="0" w:line="360" w:lineRule="auto"/>
        <w:ind w:left="851" w:hanging="851"/>
        <w:jc w:val="both"/>
      </w:pPr>
    </w:p>
    <w:p w:rsidR="00491D3B" w:rsidRPr="00C23BFF" w:rsidRDefault="00491D3B" w:rsidP="001839C0">
      <w:pPr>
        <w:pStyle w:val="ListParagraph"/>
        <w:numPr>
          <w:ilvl w:val="1"/>
          <w:numId w:val="5"/>
        </w:numPr>
        <w:spacing w:after="0" w:line="360" w:lineRule="auto"/>
        <w:ind w:left="709" w:hanging="709"/>
        <w:jc w:val="both"/>
        <w:rPr>
          <w:rFonts w:cstheme="majorBidi"/>
          <w:sz w:val="24"/>
          <w:szCs w:val="24"/>
        </w:rPr>
      </w:pPr>
      <w:r w:rsidRPr="00C23BFF">
        <w:rPr>
          <w:rFonts w:cstheme="majorBidi"/>
          <w:sz w:val="24"/>
          <w:szCs w:val="24"/>
        </w:rPr>
        <w:t>This section focuses on term of reference six, and in particular, demographic changes and workplace flexibility as they relate to patterns of engagement in the labour market.</w:t>
      </w:r>
      <w:r w:rsidR="00EF104E" w:rsidRPr="00C23BFF">
        <w:rPr>
          <w:rFonts w:cstheme="majorBidi"/>
          <w:sz w:val="24"/>
          <w:szCs w:val="24"/>
        </w:rPr>
        <w:t xml:space="preserve"> </w:t>
      </w:r>
      <w:r w:rsidR="00EF104E" w:rsidRPr="00C23BFF">
        <w:rPr>
          <w:rFonts w:cstheme="majorBidi"/>
          <w:sz w:val="24"/>
          <w:szCs w:val="24"/>
        </w:rPr>
        <w:lastRenderedPageBreak/>
        <w:t xml:space="preserve">This is an important policy issue and one where the framework-operations distinction needs to be carefully </w:t>
      </w:r>
      <w:r w:rsidR="007B3CFB" w:rsidRPr="00C23BFF">
        <w:rPr>
          <w:rFonts w:cstheme="majorBidi"/>
          <w:sz w:val="24"/>
          <w:szCs w:val="24"/>
        </w:rPr>
        <w:t>consider</w:t>
      </w:r>
      <w:r w:rsidR="001839C0">
        <w:rPr>
          <w:rFonts w:cstheme="majorBidi"/>
          <w:sz w:val="24"/>
          <w:szCs w:val="24"/>
        </w:rPr>
        <w:t>ed</w:t>
      </w:r>
      <w:r w:rsidR="00EF104E" w:rsidRPr="00C23BFF">
        <w:rPr>
          <w:rFonts w:cstheme="majorBidi"/>
          <w:sz w:val="24"/>
          <w:szCs w:val="24"/>
        </w:rPr>
        <w:t xml:space="preserve">. </w:t>
      </w:r>
    </w:p>
    <w:p w:rsidR="00694929" w:rsidRDefault="00694929" w:rsidP="00726E76">
      <w:pPr>
        <w:pStyle w:val="ListParagraph"/>
        <w:spacing w:line="360" w:lineRule="auto"/>
        <w:ind w:left="709" w:hanging="709"/>
        <w:jc w:val="both"/>
        <w:rPr>
          <w:rFonts w:cs="Times New Roman"/>
          <w:sz w:val="24"/>
          <w:szCs w:val="24"/>
        </w:rPr>
      </w:pPr>
    </w:p>
    <w:p w:rsidR="009920AB" w:rsidRPr="00FE2CDB" w:rsidRDefault="009920AB" w:rsidP="001839C0">
      <w:pPr>
        <w:pStyle w:val="ListParagraph"/>
        <w:numPr>
          <w:ilvl w:val="1"/>
          <w:numId w:val="5"/>
        </w:numPr>
        <w:spacing w:line="360" w:lineRule="auto"/>
        <w:ind w:left="709" w:hanging="709"/>
        <w:jc w:val="both"/>
        <w:rPr>
          <w:rFonts w:cs="Times New Roman"/>
          <w:sz w:val="24"/>
          <w:szCs w:val="24"/>
        </w:rPr>
      </w:pPr>
      <w:r w:rsidRPr="00694929">
        <w:rPr>
          <w:rFonts w:cs="Times New Roman"/>
          <w:sz w:val="24"/>
          <w:szCs w:val="24"/>
        </w:rPr>
        <w:t xml:space="preserve">Changes </w:t>
      </w:r>
      <w:r w:rsidR="00FE2CDB" w:rsidRPr="00694929">
        <w:rPr>
          <w:rFonts w:cs="Times New Roman"/>
          <w:sz w:val="24"/>
          <w:szCs w:val="24"/>
        </w:rPr>
        <w:t xml:space="preserve">in </w:t>
      </w:r>
      <w:r w:rsidR="001839C0">
        <w:rPr>
          <w:rFonts w:cs="Times New Roman"/>
          <w:sz w:val="24"/>
          <w:szCs w:val="24"/>
        </w:rPr>
        <w:t>workforce demographics</w:t>
      </w:r>
      <w:r w:rsidR="00FE2CDB" w:rsidRPr="00694929">
        <w:rPr>
          <w:rFonts w:cs="Times New Roman"/>
          <w:sz w:val="24"/>
          <w:szCs w:val="24"/>
        </w:rPr>
        <w:t xml:space="preserve"> are putting pressure on employers to flexibly manage and engage with their employees. There is increasing recognition that if employers are to ‘flexibly engage’, they also need help to better understand and manage the changing family responsibilities of Australian workers. This is particularly important in relation to the increasing number of Australians who will provide care for their family and loved ones. </w:t>
      </w:r>
      <w:r w:rsidR="00FE2CDB" w:rsidRPr="00694929">
        <w:rPr>
          <w:rFonts w:cs="Times New Roman"/>
          <w:color w:val="000000"/>
          <w:sz w:val="24"/>
          <w:szCs w:val="24"/>
          <w:shd w:val="clear" w:color="auto" w:fill="FFFFFF"/>
        </w:rPr>
        <w:t>The 2012 Survey of Disability, Ageing and Carers, defined a carer as a person who provides informal assistance to an older person or someone who has a disability or a long-term health condition. The survey identified 2.7 million Australians carers (12% of the population), with 770,000 (3.4%) identified as primary carers, although care for children was not included</w:t>
      </w:r>
      <w:r w:rsidR="00FE2CDB">
        <w:rPr>
          <w:rFonts w:cs="Times New Roman"/>
          <w:color w:val="000000"/>
          <w:sz w:val="24"/>
          <w:szCs w:val="24"/>
          <w:shd w:val="clear" w:color="auto" w:fill="FFFFFF"/>
        </w:rPr>
        <w:t xml:space="preserve"> </w:t>
      </w:r>
      <w:r w:rsidR="00FE2CDB">
        <w:rPr>
          <w:rFonts w:cs="Times New Roman"/>
          <w:color w:val="000000"/>
          <w:sz w:val="24"/>
          <w:szCs w:val="24"/>
          <w:shd w:val="clear" w:color="auto" w:fill="FFFFFF"/>
        </w:rPr>
        <w:fldChar w:fldCharType="begin"/>
      </w:r>
      <w:r w:rsidR="00FE2CDB">
        <w:rPr>
          <w:rFonts w:cs="Times New Roman"/>
          <w:color w:val="000000"/>
          <w:sz w:val="24"/>
          <w:szCs w:val="24"/>
          <w:shd w:val="clear" w:color="auto" w:fill="FFFFFF"/>
        </w:rPr>
        <w:instrText xml:space="preserve"> ADDIN EN.CITE &lt;EndNote&gt;&lt;Cite&gt;&lt;Author&gt;ABS&lt;/Author&gt;&lt;Year&gt;2012&lt;/Year&gt;&lt;RecNum&gt;11&lt;/RecNum&gt;&lt;DisplayText&gt;(ABS, 2012)&lt;/DisplayText&gt;&lt;record&gt;&lt;rec-number&gt;11&lt;/rec-number&gt;&lt;foreign-keys&gt;&lt;key app="EN" db-id="xe9w25v07zaw5hev9v0p2xz5fwzxxrfx0t50" timestamp="1426042568"&gt;11&lt;/key&gt;&lt;/foreign-keys&gt;&lt;ref-type name="Electronic Article"&gt;43&lt;/ref-type&gt;&lt;contributors&gt;&lt;authors&gt;&lt;author&gt;ABS&lt;/author&gt;&lt;/authors&gt;&lt;/contributors&gt;&lt;titles&gt;&lt;title&gt;Disability, ageing and carers, Australia: Summary of findings, 2012, No. 4430.0&lt;/title&gt;&lt;/titles&gt;&lt;dates&gt;&lt;year&gt;2012&lt;/year&gt;&lt;/dates&gt;&lt;urls&gt;&lt;related-urls&gt;&lt;url&gt;http://www.abs.gov.au/ausstats&lt;/url&gt;&lt;/related-urls&gt;&lt;/urls&gt;&lt;/record&gt;&lt;/Cite&gt;&lt;/EndNote&gt;</w:instrText>
      </w:r>
      <w:r w:rsidR="00FE2CDB">
        <w:rPr>
          <w:rFonts w:cs="Times New Roman"/>
          <w:color w:val="000000"/>
          <w:sz w:val="24"/>
          <w:szCs w:val="24"/>
          <w:shd w:val="clear" w:color="auto" w:fill="FFFFFF"/>
        </w:rPr>
        <w:fldChar w:fldCharType="separate"/>
      </w:r>
      <w:r w:rsidR="00FE2CDB">
        <w:rPr>
          <w:rFonts w:cs="Times New Roman"/>
          <w:noProof/>
          <w:color w:val="000000"/>
          <w:sz w:val="24"/>
          <w:szCs w:val="24"/>
          <w:shd w:val="clear" w:color="auto" w:fill="FFFFFF"/>
        </w:rPr>
        <w:t>(ABS, 2012)</w:t>
      </w:r>
      <w:r w:rsidR="00FE2CDB">
        <w:rPr>
          <w:rFonts w:cs="Times New Roman"/>
          <w:color w:val="000000"/>
          <w:sz w:val="24"/>
          <w:szCs w:val="24"/>
          <w:shd w:val="clear" w:color="auto" w:fill="FFFFFF"/>
        </w:rPr>
        <w:fldChar w:fldCharType="end"/>
      </w:r>
      <w:r w:rsidR="00FE2CDB" w:rsidRPr="00694929">
        <w:rPr>
          <w:rFonts w:cs="Times New Roman"/>
          <w:color w:val="000000"/>
          <w:sz w:val="24"/>
          <w:szCs w:val="24"/>
          <w:shd w:val="clear" w:color="auto" w:fill="FFFFFF"/>
        </w:rPr>
        <w:t>.</w:t>
      </w:r>
    </w:p>
    <w:p w:rsidR="00694929" w:rsidRDefault="00694929" w:rsidP="003B1C4A">
      <w:pPr>
        <w:pStyle w:val="ListParagraph"/>
        <w:spacing w:line="360" w:lineRule="auto"/>
        <w:ind w:left="709" w:hanging="851"/>
        <w:jc w:val="both"/>
        <w:rPr>
          <w:rFonts w:cs="Times New Roman"/>
          <w:sz w:val="24"/>
          <w:szCs w:val="24"/>
        </w:rPr>
      </w:pPr>
    </w:p>
    <w:p w:rsidR="009920AB" w:rsidRPr="00694929" w:rsidRDefault="009920AB" w:rsidP="003B1C4A">
      <w:pPr>
        <w:pStyle w:val="ListParagraph"/>
        <w:numPr>
          <w:ilvl w:val="1"/>
          <w:numId w:val="5"/>
        </w:numPr>
        <w:spacing w:line="360" w:lineRule="auto"/>
        <w:ind w:left="709" w:hanging="709"/>
        <w:jc w:val="both"/>
        <w:rPr>
          <w:rFonts w:cs="Times New Roman"/>
          <w:sz w:val="24"/>
          <w:szCs w:val="24"/>
        </w:rPr>
      </w:pPr>
      <w:r w:rsidRPr="00694929">
        <w:rPr>
          <w:rFonts w:cs="Times New Roman"/>
          <w:sz w:val="24"/>
          <w:szCs w:val="24"/>
        </w:rPr>
        <w:t xml:space="preserve">Like </w:t>
      </w:r>
      <w:r w:rsidR="00FE2CDB" w:rsidRPr="00694929">
        <w:rPr>
          <w:rFonts w:cs="Times New Roman"/>
          <w:sz w:val="24"/>
          <w:szCs w:val="24"/>
        </w:rPr>
        <w:t xml:space="preserve">many other western developed nations, Australia has </w:t>
      </w:r>
      <w:r w:rsidR="003A11E3">
        <w:rPr>
          <w:rFonts w:cs="Times New Roman"/>
          <w:sz w:val="24"/>
          <w:szCs w:val="24"/>
        </w:rPr>
        <w:t>an ag</w:t>
      </w:r>
      <w:r w:rsidR="001839C0">
        <w:rPr>
          <w:rFonts w:cs="Times New Roman"/>
          <w:sz w:val="24"/>
          <w:szCs w:val="24"/>
        </w:rPr>
        <w:t>e</w:t>
      </w:r>
      <w:r w:rsidR="003A11E3">
        <w:rPr>
          <w:rFonts w:cs="Times New Roman"/>
          <w:sz w:val="24"/>
          <w:szCs w:val="24"/>
        </w:rPr>
        <w:t xml:space="preserve">ing population </w:t>
      </w:r>
      <w:r w:rsidR="00FE2CDB">
        <w:rPr>
          <w:rFonts w:cs="Times New Roman"/>
          <w:sz w:val="24"/>
          <w:szCs w:val="24"/>
        </w:rPr>
        <w:fldChar w:fldCharType="begin"/>
      </w:r>
      <w:r w:rsidR="00FE2CDB">
        <w:rPr>
          <w:rFonts w:cs="Times New Roman"/>
          <w:sz w:val="24"/>
          <w:szCs w:val="24"/>
        </w:rPr>
        <w:instrText xml:space="preserve"> ADDIN EN.CITE &lt;EndNote&gt;&lt;Cite&gt;&lt;Author&gt;ABS&lt;/Author&gt;&lt;Year&gt;2013&lt;/Year&gt;&lt;RecNum&gt;10&lt;/RecNum&gt;&lt;DisplayText&gt;(ABS, 2013)&lt;/DisplayText&gt;&lt;record&gt;&lt;rec-number&gt;10&lt;/rec-number&gt;&lt;foreign-keys&gt;&lt;key app="EN" db-id="xe9w25v07zaw5hev9v0p2xz5fwzxxrfx0t50" timestamp="1426042510"&gt;10&lt;/key&gt;&lt;/foreign-keys&gt;&lt;ref-type name="Electronic Article"&gt;43&lt;/ref-type&gt;&lt;contributors&gt;&lt;authors&gt;&lt;author&gt;ABS&lt;/author&gt;&lt;/authors&gt;&lt;/contributors&gt;&lt;titles&gt;&lt;title&gt;Australian demographic statistics, Jun 2013. No. 3101.0&lt;/title&gt;&lt;/titles&gt;&lt;dates&gt;&lt;year&gt;2013&lt;/year&gt;&lt;/dates&gt;&lt;urls&gt;&lt;related-urls&gt;&lt;url&gt;http://www.abs.gov.au/ausstats  &lt;/url&gt;&lt;/related-urls&gt;&lt;/urls&gt;&lt;/record&gt;&lt;/Cite&gt;&lt;/EndNote&gt;</w:instrText>
      </w:r>
      <w:r w:rsidR="00FE2CDB">
        <w:rPr>
          <w:rFonts w:cs="Times New Roman"/>
          <w:sz w:val="24"/>
          <w:szCs w:val="24"/>
        </w:rPr>
        <w:fldChar w:fldCharType="separate"/>
      </w:r>
      <w:r w:rsidR="00FE2CDB">
        <w:rPr>
          <w:rFonts w:cs="Times New Roman"/>
          <w:noProof/>
          <w:sz w:val="24"/>
          <w:szCs w:val="24"/>
        </w:rPr>
        <w:t>(ABS, 2013)</w:t>
      </w:r>
      <w:r w:rsidR="00FE2CDB">
        <w:rPr>
          <w:rFonts w:cs="Times New Roman"/>
          <w:sz w:val="24"/>
          <w:szCs w:val="24"/>
        </w:rPr>
        <w:fldChar w:fldCharType="end"/>
      </w:r>
      <w:r w:rsidR="00FE2CDB" w:rsidRPr="00694929">
        <w:rPr>
          <w:rFonts w:cs="Times New Roman"/>
          <w:sz w:val="24"/>
          <w:szCs w:val="24"/>
        </w:rPr>
        <w:t xml:space="preserve"> in tandem with delayed childbearing</w:t>
      </w:r>
      <w:r w:rsidR="00FE2CDB">
        <w:rPr>
          <w:rFonts w:cs="Times New Roman"/>
          <w:sz w:val="24"/>
          <w:szCs w:val="24"/>
        </w:rPr>
        <w:t xml:space="preserve"> </w:t>
      </w:r>
      <w:r w:rsidR="00FE2CDB">
        <w:rPr>
          <w:rFonts w:cs="Times New Roman"/>
          <w:sz w:val="24"/>
          <w:szCs w:val="24"/>
        </w:rPr>
        <w:fldChar w:fldCharType="begin"/>
      </w:r>
      <w:r w:rsidR="00FE2CDB">
        <w:rPr>
          <w:rFonts w:cs="Times New Roman"/>
          <w:sz w:val="24"/>
          <w:szCs w:val="24"/>
        </w:rPr>
        <w:instrText xml:space="preserve"> ADDIN EN.CITE &lt;EndNote&gt;&lt;Cite&gt;&lt;Author&gt;ABS&lt;/Author&gt;&lt;Year&gt;2008&lt;/Year&gt;&lt;RecNum&gt;12&lt;/RecNum&gt;&lt;DisplayText&gt;(ABS, 2008)&lt;/DisplayText&gt;&lt;record&gt;&lt;rec-number&gt;12&lt;/rec-number&gt;&lt;foreign-keys&gt;&lt;key app="EN" db-id="xe9w25v07zaw5hev9v0p2xz5fwzxxrfx0t50" timestamp="1426042649"&gt;12&lt;/key&gt;&lt;/foreign-keys&gt;&lt;ref-type name="Electronic Article"&gt;43&lt;/ref-type&gt;&lt;contributors&gt;&lt;authors&gt;&lt;author&gt;ABS&lt;/author&gt;&lt;/authors&gt;&lt;/contributors&gt;&lt;titles&gt;&lt;title&gt;Australian social trends, 2008. No. 4102.0&lt;/title&gt;&lt;/titles&gt;&lt;dates&gt;&lt;year&gt;2008&lt;/year&gt;&lt;/dates&gt;&lt;urls&gt;&lt;related-urls&gt;&lt;url&gt;http://www.abs.gov.au/ausstats &lt;/url&gt;&lt;/related-urls&gt;&lt;/urls&gt;&lt;/record&gt;&lt;/Cite&gt;&lt;/EndNote&gt;</w:instrText>
      </w:r>
      <w:r w:rsidR="00FE2CDB">
        <w:rPr>
          <w:rFonts w:cs="Times New Roman"/>
          <w:sz w:val="24"/>
          <w:szCs w:val="24"/>
        </w:rPr>
        <w:fldChar w:fldCharType="separate"/>
      </w:r>
      <w:r w:rsidR="00FE2CDB">
        <w:rPr>
          <w:rFonts w:cs="Times New Roman"/>
          <w:noProof/>
          <w:sz w:val="24"/>
          <w:szCs w:val="24"/>
        </w:rPr>
        <w:t>(ABS, 2008)</w:t>
      </w:r>
      <w:r w:rsidR="00FE2CDB">
        <w:rPr>
          <w:rFonts w:cs="Times New Roman"/>
          <w:sz w:val="24"/>
          <w:szCs w:val="24"/>
        </w:rPr>
        <w:fldChar w:fldCharType="end"/>
      </w:r>
      <w:r w:rsidR="00FE2CDB" w:rsidRPr="00694929">
        <w:rPr>
          <w:rFonts w:cs="Times New Roman"/>
          <w:sz w:val="24"/>
          <w:szCs w:val="24"/>
        </w:rPr>
        <w:t xml:space="preserve"> and a long-term increase in women’s labour force </w:t>
      </w:r>
      <w:r w:rsidR="00FE2CDB" w:rsidRPr="007C12DF">
        <w:rPr>
          <w:rFonts w:cs="Times New Roman"/>
          <w:sz w:val="24"/>
          <w:szCs w:val="24"/>
        </w:rPr>
        <w:t>participation (ABS, 2006), as</w:t>
      </w:r>
      <w:r w:rsidR="00FE2CDB" w:rsidRPr="00694929">
        <w:rPr>
          <w:rFonts w:cs="Times New Roman"/>
          <w:sz w:val="24"/>
          <w:szCs w:val="24"/>
        </w:rPr>
        <w:t xml:space="preserve"> well as continuing gender inequality in the allocation of unpaid care</w:t>
      </w:r>
      <w:r w:rsidR="0018683D">
        <w:rPr>
          <w:rFonts w:cs="Times New Roman"/>
          <w:sz w:val="24"/>
          <w:szCs w:val="24"/>
        </w:rPr>
        <w:t xml:space="preserve"> </w:t>
      </w:r>
      <w:r w:rsidR="00FE2CDB" w:rsidRPr="00694929">
        <w:rPr>
          <w:rFonts w:cs="Times New Roman"/>
          <w:sz w:val="24"/>
          <w:szCs w:val="24"/>
        </w:rPr>
        <w:t>work</w:t>
      </w:r>
      <w:r w:rsidR="00FE2CDB">
        <w:rPr>
          <w:rFonts w:cs="Times New Roman"/>
          <w:sz w:val="24"/>
          <w:szCs w:val="24"/>
        </w:rPr>
        <w:t xml:space="preserve"> </w:t>
      </w:r>
      <w:r w:rsidR="00FE2CDB">
        <w:rPr>
          <w:rFonts w:cs="Times New Roman"/>
          <w:sz w:val="24"/>
          <w:szCs w:val="24"/>
        </w:rPr>
        <w:fldChar w:fldCharType="begin"/>
      </w:r>
      <w:r w:rsidR="00FE2CDB">
        <w:rPr>
          <w:rFonts w:cs="Times New Roman"/>
          <w:sz w:val="24"/>
          <w:szCs w:val="24"/>
        </w:rPr>
        <w:instrText xml:space="preserve"> ADDIN EN.CITE &lt;EndNote&gt;&lt;Cite&gt;&lt;Author&gt;Hoeing&lt;/Author&gt;&lt;Year&gt;2012&lt;/Year&gt;&lt;RecNum&gt;14&lt;/RecNum&gt;&lt;DisplayText&gt;(Hoeing &amp;amp; Page, 2012)&lt;/DisplayText&gt;&lt;record&gt;&lt;rec-number&gt;14&lt;/rec-number&gt;&lt;foreign-keys&gt;&lt;key app="EN" db-id="xe9w25v07zaw5hev9v0p2xz5fwzxxrfx0t50" timestamp="1426044863"&gt;14&lt;/key&gt;&lt;/foreign-keys&gt;&lt;ref-type name="Report"&gt;27&lt;/ref-type&gt;&lt;contributors&gt;&lt;authors&gt;&lt;author&gt;Hoeing, S.A.&lt;/author&gt;&lt;author&gt;Page, A.R.E.&lt;/author&gt;&lt;/authors&gt;&lt;/contributors&gt;&lt;titles&gt;&lt;title&gt;Counting on care work in Australia. Report prepared by AEC group limited for economic Security4Women&lt;/title&gt;&lt;/titles&gt;&lt;dates&gt;&lt;year&gt;2012&lt;/year&gt;&lt;/dates&gt;&lt;pub-location&gt;Australia&lt;/pub-location&gt;&lt;urls&gt;&lt;/urls&gt;&lt;/record&gt;&lt;/Cite&gt;&lt;/EndNote&gt;</w:instrText>
      </w:r>
      <w:r w:rsidR="00FE2CDB">
        <w:rPr>
          <w:rFonts w:cs="Times New Roman"/>
          <w:sz w:val="24"/>
          <w:szCs w:val="24"/>
        </w:rPr>
        <w:fldChar w:fldCharType="separate"/>
      </w:r>
      <w:r w:rsidR="00FE2CDB">
        <w:rPr>
          <w:rFonts w:cs="Times New Roman"/>
          <w:noProof/>
          <w:sz w:val="24"/>
          <w:szCs w:val="24"/>
        </w:rPr>
        <w:t>(Hoeing &amp; Page, 2012)</w:t>
      </w:r>
      <w:r w:rsidR="00FE2CDB">
        <w:rPr>
          <w:rFonts w:cs="Times New Roman"/>
          <w:sz w:val="24"/>
          <w:szCs w:val="24"/>
        </w:rPr>
        <w:fldChar w:fldCharType="end"/>
      </w:r>
      <w:r w:rsidR="00FE2CDB" w:rsidRPr="00694929">
        <w:rPr>
          <w:rFonts w:cs="Times New Roman"/>
          <w:sz w:val="24"/>
          <w:szCs w:val="24"/>
        </w:rPr>
        <w:t>. These changing demographics have put pressure on the number of Australians who are likely to take on the role of a carer at some point in their life while at the same time engaging in meaningful employment. A</w:t>
      </w:r>
      <w:r w:rsidR="003A11E3">
        <w:rPr>
          <w:rFonts w:cs="Times New Roman"/>
          <w:sz w:val="24"/>
          <w:szCs w:val="24"/>
        </w:rPr>
        <w:t>ustralian Bureau of Statistics</w:t>
      </w:r>
      <w:r w:rsidR="00FE2CDB" w:rsidRPr="00694929">
        <w:rPr>
          <w:rFonts w:cs="Times New Roman"/>
          <w:sz w:val="24"/>
          <w:szCs w:val="24"/>
        </w:rPr>
        <w:t xml:space="preserve"> figures identify over 1.5 million carers are of working age (18-64) but the labour force participation rate for primary carers (42%) and other carers (63%) was lower than that for non-carers aged 15 years or more (69%)</w:t>
      </w:r>
      <w:r w:rsidR="00FE2CDB">
        <w:rPr>
          <w:rFonts w:cs="Times New Roman"/>
          <w:sz w:val="24"/>
          <w:szCs w:val="24"/>
        </w:rPr>
        <w:t xml:space="preserve"> </w:t>
      </w:r>
      <w:r w:rsidR="00FE2CDB">
        <w:rPr>
          <w:rFonts w:cs="Times New Roman"/>
          <w:sz w:val="24"/>
          <w:szCs w:val="24"/>
        </w:rPr>
        <w:fldChar w:fldCharType="begin"/>
      </w:r>
      <w:r w:rsidR="00FE2CDB">
        <w:rPr>
          <w:rFonts w:cs="Times New Roman"/>
          <w:sz w:val="24"/>
          <w:szCs w:val="24"/>
        </w:rPr>
        <w:instrText xml:space="preserve"> ADDIN EN.CITE &lt;EndNote&gt;&lt;Cite&gt;&lt;Author&gt;ABS&lt;/Author&gt;&lt;Year&gt;2012&lt;/Year&gt;&lt;RecNum&gt;11&lt;/RecNum&gt;&lt;DisplayText&gt;(ABS, 2012)&lt;/DisplayText&gt;&lt;record&gt;&lt;rec-number&gt;11&lt;/rec-number&gt;&lt;foreign-keys&gt;&lt;key app="EN" db-id="xe9w25v07zaw5hev9v0p2xz5fwzxxrfx0t50" timestamp="1426042568"&gt;11&lt;/key&gt;&lt;/foreign-keys&gt;&lt;ref-type name="Electronic Article"&gt;43&lt;/ref-type&gt;&lt;contributors&gt;&lt;authors&gt;&lt;author&gt;ABS&lt;/author&gt;&lt;/authors&gt;&lt;/contributors&gt;&lt;titles&gt;&lt;title&gt;Disability, ageing and carers, Australia: Summary of findings, 2012, No. 4430.0&lt;/title&gt;&lt;/titles&gt;&lt;dates&gt;&lt;year&gt;2012&lt;/year&gt;&lt;/dates&gt;&lt;urls&gt;&lt;related-urls&gt;&lt;url&gt;http://www.abs.gov.au/ausstats&lt;/url&gt;&lt;/related-urls&gt;&lt;/urls&gt;&lt;/record&gt;&lt;/Cite&gt;&lt;/EndNote&gt;</w:instrText>
      </w:r>
      <w:r w:rsidR="00FE2CDB">
        <w:rPr>
          <w:rFonts w:cs="Times New Roman"/>
          <w:sz w:val="24"/>
          <w:szCs w:val="24"/>
        </w:rPr>
        <w:fldChar w:fldCharType="separate"/>
      </w:r>
      <w:r w:rsidR="00FE2CDB">
        <w:rPr>
          <w:rFonts w:cs="Times New Roman"/>
          <w:noProof/>
          <w:sz w:val="24"/>
          <w:szCs w:val="24"/>
        </w:rPr>
        <w:t>(ABS, 2012)</w:t>
      </w:r>
      <w:r w:rsidR="00FE2CDB">
        <w:rPr>
          <w:rFonts w:cs="Times New Roman"/>
          <w:sz w:val="24"/>
          <w:szCs w:val="24"/>
        </w:rPr>
        <w:fldChar w:fldCharType="end"/>
      </w:r>
      <w:r w:rsidR="00FE2CDB" w:rsidRPr="00694929">
        <w:rPr>
          <w:rFonts w:cs="Times New Roman"/>
          <w:sz w:val="24"/>
          <w:szCs w:val="24"/>
        </w:rPr>
        <w:t>. Combining paid work and primary care is often not possible or very difficult</w:t>
      </w:r>
      <w:r w:rsidR="00EF104E">
        <w:rPr>
          <w:rFonts w:cs="Times New Roman"/>
          <w:sz w:val="24"/>
          <w:szCs w:val="24"/>
        </w:rPr>
        <w:t xml:space="preserve"> and this is likely to have major implications for organisational performance. </w:t>
      </w:r>
    </w:p>
    <w:p w:rsidR="00694929" w:rsidRDefault="00694929" w:rsidP="00620396">
      <w:pPr>
        <w:pStyle w:val="ListParagraph"/>
        <w:spacing w:line="360" w:lineRule="auto"/>
        <w:ind w:left="851" w:hanging="851"/>
        <w:jc w:val="both"/>
        <w:rPr>
          <w:rFonts w:cs="Times New Roman"/>
          <w:sz w:val="24"/>
          <w:szCs w:val="24"/>
        </w:rPr>
      </w:pPr>
    </w:p>
    <w:p w:rsidR="000C1811" w:rsidRDefault="009920AB" w:rsidP="003B1C4A">
      <w:pPr>
        <w:pStyle w:val="ListParagraph"/>
        <w:numPr>
          <w:ilvl w:val="1"/>
          <w:numId w:val="5"/>
        </w:numPr>
        <w:spacing w:line="360" w:lineRule="auto"/>
        <w:ind w:left="709" w:hanging="709"/>
        <w:jc w:val="both"/>
        <w:rPr>
          <w:rFonts w:cs="Times New Roman"/>
          <w:sz w:val="24"/>
          <w:szCs w:val="24"/>
        </w:rPr>
      </w:pPr>
      <w:r w:rsidRPr="0018683D">
        <w:rPr>
          <w:rFonts w:cs="Times New Roman"/>
          <w:sz w:val="24"/>
          <w:szCs w:val="24"/>
        </w:rPr>
        <w:t xml:space="preserve">Policy-makers </w:t>
      </w:r>
      <w:r w:rsidR="003A4BEA" w:rsidRPr="0018683D">
        <w:rPr>
          <w:rFonts w:cs="Times New Roman"/>
          <w:sz w:val="24"/>
          <w:szCs w:val="24"/>
        </w:rPr>
        <w:t>in developed nations such as Australia are facing considerable pressure to respond to the needs of an ag</w:t>
      </w:r>
      <w:r w:rsidR="001839C0">
        <w:rPr>
          <w:rFonts w:cs="Times New Roman"/>
          <w:sz w:val="24"/>
          <w:szCs w:val="24"/>
        </w:rPr>
        <w:t>e</w:t>
      </w:r>
      <w:r w:rsidR="003A4BEA" w:rsidRPr="0018683D">
        <w:rPr>
          <w:rFonts w:cs="Times New Roman"/>
          <w:sz w:val="24"/>
          <w:szCs w:val="24"/>
        </w:rPr>
        <w:t>ing population.</w:t>
      </w:r>
      <w:r w:rsidR="003A11E3" w:rsidRPr="0018683D">
        <w:rPr>
          <w:rFonts w:cs="Times New Roman"/>
          <w:sz w:val="24"/>
          <w:szCs w:val="24"/>
        </w:rPr>
        <w:t xml:space="preserve"> An u</w:t>
      </w:r>
      <w:r w:rsidR="003A4BEA" w:rsidRPr="0018683D">
        <w:rPr>
          <w:rFonts w:cs="Times New Roman"/>
          <w:sz w:val="24"/>
          <w:szCs w:val="24"/>
        </w:rPr>
        <w:t>nderstanding</w:t>
      </w:r>
      <w:r w:rsidR="001839C0">
        <w:rPr>
          <w:rFonts w:cs="Times New Roman"/>
          <w:sz w:val="24"/>
          <w:szCs w:val="24"/>
        </w:rPr>
        <w:t xml:space="preserve"> of</w:t>
      </w:r>
      <w:r w:rsidR="003A4BEA" w:rsidRPr="0018683D">
        <w:rPr>
          <w:rFonts w:cs="Times New Roman"/>
          <w:sz w:val="24"/>
          <w:szCs w:val="24"/>
        </w:rPr>
        <w:t xml:space="preserve"> the full range of caregiving commitments can have implications for </w:t>
      </w:r>
      <w:r w:rsidR="003A11E3" w:rsidRPr="0018683D">
        <w:rPr>
          <w:rFonts w:cs="Times New Roman"/>
          <w:sz w:val="24"/>
          <w:szCs w:val="24"/>
        </w:rPr>
        <w:t xml:space="preserve">the development of labour </w:t>
      </w:r>
      <w:r w:rsidR="003A4BEA" w:rsidRPr="0018683D">
        <w:rPr>
          <w:rFonts w:cs="Times New Roman"/>
          <w:sz w:val="24"/>
          <w:szCs w:val="24"/>
        </w:rPr>
        <w:t xml:space="preserve">market policies. Recent research by ACREW members </w:t>
      </w:r>
      <w:r w:rsidR="003A4BEA" w:rsidRPr="0018683D">
        <w:rPr>
          <w:rFonts w:cs="Times New Roman"/>
          <w:sz w:val="24"/>
          <w:szCs w:val="24"/>
        </w:rPr>
        <w:fldChar w:fldCharType="begin"/>
      </w:r>
      <w:r w:rsidR="003A4BEA" w:rsidRPr="0018683D">
        <w:rPr>
          <w:rFonts w:cs="Times New Roman"/>
          <w:sz w:val="24"/>
          <w:szCs w:val="24"/>
        </w:rPr>
        <w:instrText xml:space="preserve"> ADDIN EN.CITE &lt;EndNote&gt;&lt;Cite&gt;&lt;Author&gt;Bardoel&lt;/Author&gt;&lt;Year&gt;2014&lt;/Year&gt;&lt;RecNum&gt;13&lt;/RecNum&gt;&lt;DisplayText&gt;(Bardoel &amp;amp; Drago, 2014)&lt;/DisplayText&gt;&lt;record&gt;&lt;rec-number&gt;13&lt;/rec-number&gt;&lt;foreign-keys&gt;&lt;key app="EN" db-id="xe9w25v07zaw5hev9v0p2xz5fwzxxrfx0t50" timestamp="1426043305"&gt;13&lt;/key&gt;&lt;/foreign-keys&gt;&lt;ref-type name="Conference Paper"&gt;47&lt;/ref-type&gt;&lt;contributors&gt;&lt;authors&gt;&lt;author&gt;Bardoel, E.A.&lt;/author&gt;&lt;author&gt;Drago, R.&lt;/author&gt;&lt;/authors&gt;&lt;/contributors&gt;&lt;titles&gt;&lt;title&gt;Dual-responsibility caregiving: The sandwich generation in Australia&lt;/title&gt;&lt;secondary-title&gt;Work and Family Researchers Network Conference&lt;/secondary-title&gt;&lt;/titles&gt;&lt;dates&gt;&lt;year&gt;2014&lt;/year&gt;&lt;/dates&gt;&lt;pub-location&gt;New York&lt;/pub-location&gt;&lt;urls&gt;&lt;/urls&gt;&lt;/record&gt;&lt;/Cite&gt;&lt;/EndNote&gt;</w:instrText>
      </w:r>
      <w:r w:rsidR="003A4BEA" w:rsidRPr="0018683D">
        <w:rPr>
          <w:rFonts w:cs="Times New Roman"/>
          <w:sz w:val="24"/>
          <w:szCs w:val="24"/>
        </w:rPr>
        <w:fldChar w:fldCharType="separate"/>
      </w:r>
      <w:r w:rsidR="003A4BEA" w:rsidRPr="0018683D">
        <w:rPr>
          <w:rFonts w:cs="Times New Roman"/>
          <w:noProof/>
          <w:sz w:val="24"/>
          <w:szCs w:val="24"/>
        </w:rPr>
        <w:t>(Bardoel &amp; Drago, 2014)</w:t>
      </w:r>
      <w:r w:rsidR="003A4BEA" w:rsidRPr="0018683D">
        <w:rPr>
          <w:rFonts w:cs="Times New Roman"/>
          <w:sz w:val="24"/>
          <w:szCs w:val="24"/>
        </w:rPr>
        <w:fldChar w:fldCharType="end"/>
      </w:r>
      <w:r w:rsidR="003A4BEA" w:rsidRPr="0018683D">
        <w:rPr>
          <w:rFonts w:cs="Times New Roman"/>
          <w:sz w:val="24"/>
          <w:szCs w:val="24"/>
        </w:rPr>
        <w:t xml:space="preserve"> has found that it is important to expand the traditional definition of carers to include the </w:t>
      </w:r>
      <w:r w:rsidR="003A11E3" w:rsidRPr="0018683D">
        <w:rPr>
          <w:rFonts w:cs="Times New Roman"/>
          <w:sz w:val="24"/>
          <w:szCs w:val="24"/>
        </w:rPr>
        <w:t>‘</w:t>
      </w:r>
      <w:r w:rsidR="003A4BEA" w:rsidRPr="0018683D">
        <w:rPr>
          <w:rFonts w:cs="Times New Roman"/>
          <w:sz w:val="24"/>
          <w:szCs w:val="24"/>
        </w:rPr>
        <w:t>sandwich generation</w:t>
      </w:r>
      <w:r w:rsidR="003A11E3" w:rsidRPr="0018683D">
        <w:rPr>
          <w:rFonts w:cs="Times New Roman"/>
          <w:sz w:val="24"/>
          <w:szCs w:val="24"/>
        </w:rPr>
        <w:t>’</w:t>
      </w:r>
      <w:r w:rsidR="003A4BEA" w:rsidRPr="0018683D">
        <w:rPr>
          <w:rFonts w:cs="Times New Roman"/>
          <w:sz w:val="24"/>
          <w:szCs w:val="24"/>
        </w:rPr>
        <w:t xml:space="preserve"> (care for child and parent) and also to</w:t>
      </w:r>
      <w:r w:rsidR="00EF104E" w:rsidRPr="0018683D">
        <w:rPr>
          <w:rFonts w:cs="Times New Roman"/>
          <w:sz w:val="24"/>
          <w:szCs w:val="24"/>
        </w:rPr>
        <w:t xml:space="preserve"> include multi-generation carers (</w:t>
      </w:r>
      <w:r w:rsidR="003A4BEA" w:rsidRPr="0018683D">
        <w:rPr>
          <w:rFonts w:cs="Times New Roman"/>
          <w:sz w:val="24"/>
          <w:szCs w:val="24"/>
        </w:rPr>
        <w:t xml:space="preserve">with </w:t>
      </w:r>
      <w:r w:rsidR="003A4BEA" w:rsidRPr="0018683D">
        <w:rPr>
          <w:rFonts w:cs="Times New Roman"/>
          <w:sz w:val="24"/>
          <w:szCs w:val="24"/>
        </w:rPr>
        <w:lastRenderedPageBreak/>
        <w:t>care for a child and any adult). For example, if labour market circumstances are similar for members of the sandwich generation and those with multi</w:t>
      </w:r>
      <w:r w:rsidR="000C1811" w:rsidRPr="0018683D">
        <w:rPr>
          <w:rFonts w:cs="Times New Roman"/>
          <w:sz w:val="24"/>
          <w:szCs w:val="24"/>
        </w:rPr>
        <w:t>-</w:t>
      </w:r>
      <w:r w:rsidR="003A4BEA" w:rsidRPr="0018683D">
        <w:rPr>
          <w:rFonts w:cs="Times New Roman"/>
          <w:sz w:val="24"/>
          <w:szCs w:val="24"/>
        </w:rPr>
        <w:t>generational caregiving status, then the effectiveness of those policies could be enhanced by supporting employment among individuals with a broader range of caregiving commitments</w:t>
      </w:r>
      <w:r w:rsidR="0018683D">
        <w:rPr>
          <w:rFonts w:cs="Times New Roman"/>
          <w:sz w:val="24"/>
          <w:szCs w:val="24"/>
        </w:rPr>
        <w:t>.</w:t>
      </w:r>
    </w:p>
    <w:p w:rsidR="0018683D" w:rsidRPr="0018683D" w:rsidRDefault="0018683D" w:rsidP="0018683D">
      <w:pPr>
        <w:pStyle w:val="ListParagraph"/>
        <w:spacing w:line="360" w:lineRule="auto"/>
        <w:ind w:left="709"/>
        <w:jc w:val="both"/>
        <w:rPr>
          <w:rFonts w:cs="Times New Roman"/>
          <w:sz w:val="24"/>
          <w:szCs w:val="24"/>
        </w:rPr>
      </w:pPr>
    </w:p>
    <w:p w:rsidR="00491D3B" w:rsidRPr="0018683D" w:rsidRDefault="003A4BEA" w:rsidP="003B1C4A">
      <w:pPr>
        <w:pStyle w:val="ListParagraph"/>
        <w:numPr>
          <w:ilvl w:val="1"/>
          <w:numId w:val="5"/>
        </w:numPr>
        <w:spacing w:line="360" w:lineRule="auto"/>
        <w:ind w:left="709" w:hanging="709"/>
        <w:jc w:val="both"/>
        <w:rPr>
          <w:rFonts w:cs="Times New Roman"/>
          <w:sz w:val="24"/>
          <w:szCs w:val="24"/>
        </w:rPr>
      </w:pPr>
      <w:r w:rsidRPr="0018683D">
        <w:rPr>
          <w:rFonts w:cs="Times New Roman"/>
          <w:sz w:val="24"/>
          <w:szCs w:val="24"/>
        </w:rPr>
        <w:t>To the extent that care is provided by individuals other than children, multi</w:t>
      </w:r>
      <w:r w:rsidR="000C1811" w:rsidRPr="0018683D">
        <w:rPr>
          <w:rFonts w:cs="Times New Roman"/>
          <w:sz w:val="24"/>
          <w:szCs w:val="24"/>
        </w:rPr>
        <w:t>-</w:t>
      </w:r>
      <w:r w:rsidRPr="0018683D">
        <w:rPr>
          <w:rFonts w:cs="Times New Roman"/>
          <w:sz w:val="24"/>
          <w:szCs w:val="24"/>
        </w:rPr>
        <w:t>generational caregiving status may be expanding as well, along with grandparent multi</w:t>
      </w:r>
      <w:r w:rsidR="000C1811" w:rsidRPr="0018683D">
        <w:rPr>
          <w:rFonts w:cs="Times New Roman"/>
          <w:sz w:val="24"/>
          <w:szCs w:val="24"/>
        </w:rPr>
        <w:t>-</w:t>
      </w:r>
      <w:r w:rsidRPr="0018683D">
        <w:rPr>
          <w:rFonts w:cs="Times New Roman"/>
          <w:sz w:val="24"/>
          <w:szCs w:val="24"/>
        </w:rPr>
        <w:t>generational caregiving</w:t>
      </w:r>
      <w:r w:rsidR="009920AB" w:rsidRPr="0018683D">
        <w:rPr>
          <w:rFonts w:cs="Times New Roman"/>
          <w:sz w:val="24"/>
          <w:szCs w:val="24"/>
        </w:rPr>
        <w:t>.</w:t>
      </w:r>
      <w:r w:rsidR="0018683D" w:rsidRPr="0018683D">
        <w:rPr>
          <w:rFonts w:cs="Times New Roman"/>
          <w:sz w:val="24"/>
          <w:szCs w:val="24"/>
        </w:rPr>
        <w:t xml:space="preserve"> </w:t>
      </w:r>
      <w:r w:rsidR="009920AB" w:rsidRPr="0018683D">
        <w:rPr>
          <w:rFonts w:cs="Times New Roman"/>
          <w:sz w:val="24"/>
          <w:szCs w:val="24"/>
        </w:rPr>
        <w:t>However,</w:t>
      </w:r>
      <w:r w:rsidR="0018683D">
        <w:rPr>
          <w:rFonts w:cs="Times New Roman"/>
          <w:sz w:val="24"/>
          <w:szCs w:val="24"/>
        </w:rPr>
        <w:t xml:space="preserve"> until recently</w:t>
      </w:r>
      <w:r w:rsidR="009920AB" w:rsidRPr="0018683D">
        <w:rPr>
          <w:rFonts w:cs="Times New Roman"/>
          <w:sz w:val="24"/>
          <w:szCs w:val="24"/>
        </w:rPr>
        <w:t xml:space="preserve"> </w:t>
      </w:r>
      <w:r w:rsidRPr="0018683D">
        <w:rPr>
          <w:rFonts w:cs="Times New Roman"/>
          <w:sz w:val="24"/>
          <w:szCs w:val="24"/>
        </w:rPr>
        <w:t>no estimates of sandwich generation or multi</w:t>
      </w:r>
      <w:r w:rsidR="000C1811" w:rsidRPr="0018683D">
        <w:rPr>
          <w:rFonts w:cs="Times New Roman"/>
          <w:sz w:val="24"/>
          <w:szCs w:val="24"/>
        </w:rPr>
        <w:t>-</w:t>
      </w:r>
      <w:r w:rsidRPr="0018683D">
        <w:rPr>
          <w:rFonts w:cs="Times New Roman"/>
          <w:sz w:val="24"/>
          <w:szCs w:val="24"/>
        </w:rPr>
        <w:t xml:space="preserve">generational carer status existed for Australia. Based on eight waves of the Household, Income, and Labour Dynamics in Australia (HILDA) Survey with approximately 6,000 respondents, </w:t>
      </w:r>
      <w:r w:rsidR="00904F82">
        <w:rPr>
          <w:rFonts w:cs="Times New Roman"/>
          <w:sz w:val="24"/>
          <w:szCs w:val="24"/>
        </w:rPr>
        <w:t>Bardoel and</w:t>
      </w:r>
      <w:r w:rsidR="0018683D">
        <w:rPr>
          <w:rFonts w:cs="Times New Roman"/>
          <w:sz w:val="24"/>
          <w:szCs w:val="24"/>
        </w:rPr>
        <w:t xml:space="preserve"> Drago (2014) </w:t>
      </w:r>
      <w:r w:rsidRPr="0018683D">
        <w:rPr>
          <w:rFonts w:cs="Times New Roman"/>
          <w:sz w:val="24"/>
          <w:szCs w:val="24"/>
        </w:rPr>
        <w:t>calculated the probability of entering multi</w:t>
      </w:r>
      <w:r w:rsidR="000C1811" w:rsidRPr="0018683D">
        <w:rPr>
          <w:rFonts w:cs="Times New Roman"/>
          <w:sz w:val="24"/>
          <w:szCs w:val="24"/>
        </w:rPr>
        <w:t>-</w:t>
      </w:r>
      <w:r w:rsidRPr="0018683D">
        <w:rPr>
          <w:rFonts w:cs="Times New Roman"/>
          <w:sz w:val="24"/>
          <w:szCs w:val="24"/>
        </w:rPr>
        <w:t>generational carer status between the ages of 22 and 60 years</w:t>
      </w:r>
      <w:r w:rsidR="0018683D">
        <w:rPr>
          <w:rFonts w:cs="Times New Roman"/>
          <w:sz w:val="24"/>
          <w:szCs w:val="24"/>
        </w:rPr>
        <w:t xml:space="preserve">. The </w:t>
      </w:r>
      <w:r w:rsidRPr="0018683D">
        <w:rPr>
          <w:rFonts w:cs="Times New Roman"/>
          <w:sz w:val="24"/>
          <w:szCs w:val="24"/>
        </w:rPr>
        <w:t>initial results have revealed that there is a 37% probability of any adult entering multi</w:t>
      </w:r>
      <w:r w:rsidR="000C1811" w:rsidRPr="0018683D">
        <w:rPr>
          <w:rFonts w:cs="Times New Roman"/>
          <w:sz w:val="24"/>
          <w:szCs w:val="24"/>
        </w:rPr>
        <w:t>-</w:t>
      </w:r>
      <w:r w:rsidRPr="0018683D">
        <w:rPr>
          <w:rFonts w:cs="Times New Roman"/>
          <w:sz w:val="24"/>
          <w:szCs w:val="24"/>
        </w:rPr>
        <w:t xml:space="preserve">generational caregiving status at some point in </w:t>
      </w:r>
      <w:r w:rsidR="009413AB" w:rsidRPr="0018683D">
        <w:rPr>
          <w:rFonts w:cs="Times New Roman"/>
          <w:sz w:val="24"/>
          <w:szCs w:val="24"/>
        </w:rPr>
        <w:t xml:space="preserve">their life and this is gendered; </w:t>
      </w:r>
      <w:r w:rsidRPr="0018683D">
        <w:rPr>
          <w:rFonts w:cs="Times New Roman"/>
          <w:sz w:val="24"/>
          <w:szCs w:val="24"/>
        </w:rPr>
        <w:t>women</w:t>
      </w:r>
      <w:r w:rsidR="009413AB" w:rsidRPr="0018683D">
        <w:rPr>
          <w:rFonts w:cs="Times New Roman"/>
          <w:sz w:val="24"/>
          <w:szCs w:val="24"/>
        </w:rPr>
        <w:t xml:space="preserve"> have a 0.</w:t>
      </w:r>
      <w:r w:rsidRPr="0018683D">
        <w:rPr>
          <w:rFonts w:cs="Times New Roman"/>
          <w:sz w:val="24"/>
          <w:szCs w:val="24"/>
        </w:rPr>
        <w:t xml:space="preserve">23 probability and men </w:t>
      </w:r>
      <w:r w:rsidR="009413AB" w:rsidRPr="0018683D">
        <w:rPr>
          <w:rFonts w:cs="Times New Roman"/>
          <w:sz w:val="24"/>
          <w:szCs w:val="24"/>
        </w:rPr>
        <w:t xml:space="preserve">have </w:t>
      </w:r>
      <w:r w:rsidRPr="0018683D">
        <w:rPr>
          <w:rFonts w:cs="Times New Roman"/>
          <w:sz w:val="24"/>
          <w:szCs w:val="24"/>
        </w:rPr>
        <w:t>only</w:t>
      </w:r>
      <w:r w:rsidR="009413AB" w:rsidRPr="0018683D">
        <w:rPr>
          <w:rFonts w:cs="Times New Roman"/>
          <w:sz w:val="24"/>
          <w:szCs w:val="24"/>
        </w:rPr>
        <w:t xml:space="preserve"> a 0</w:t>
      </w:r>
      <w:r w:rsidRPr="0018683D">
        <w:rPr>
          <w:rFonts w:cs="Times New Roman"/>
          <w:sz w:val="24"/>
          <w:szCs w:val="24"/>
        </w:rPr>
        <w:t>.025 probability. The survey also indicated that partnered women receive little help from their partner when they enter multi</w:t>
      </w:r>
      <w:r w:rsidR="009413AB" w:rsidRPr="0018683D">
        <w:rPr>
          <w:rFonts w:cs="Times New Roman"/>
          <w:sz w:val="24"/>
          <w:szCs w:val="24"/>
        </w:rPr>
        <w:t>-</w:t>
      </w:r>
      <w:r w:rsidRPr="0018683D">
        <w:rPr>
          <w:rFonts w:cs="Times New Roman"/>
          <w:sz w:val="24"/>
          <w:szCs w:val="24"/>
        </w:rPr>
        <w:t xml:space="preserve">generational caregiving status, according to partner reports. However interestingly the duration one spends as a carer is not predicted by gender or other demographics, suggesting it is largely beyond the control of caregivers. The figures reveal that duration as a caregiver is typically short (70% exit after 1 year), but a small group have a long duration as caregivers (10% </w:t>
      </w:r>
      <w:r w:rsidR="009413AB" w:rsidRPr="0018683D">
        <w:rPr>
          <w:rFonts w:cs="Times New Roman"/>
          <w:sz w:val="24"/>
          <w:szCs w:val="24"/>
        </w:rPr>
        <w:t xml:space="preserve">for </w:t>
      </w:r>
      <w:r w:rsidRPr="0018683D">
        <w:rPr>
          <w:rFonts w:cs="Times New Roman"/>
          <w:sz w:val="24"/>
          <w:szCs w:val="24"/>
        </w:rPr>
        <w:t>at least 6 years). Also while duration is not predictable, at a practical level, it is often difficult to undo commitments</w:t>
      </w:r>
      <w:r w:rsidR="009920AB" w:rsidRPr="0018683D">
        <w:rPr>
          <w:rFonts w:cs="Times New Roman"/>
          <w:sz w:val="24"/>
          <w:szCs w:val="24"/>
        </w:rPr>
        <w:t>.</w:t>
      </w:r>
    </w:p>
    <w:p w:rsidR="00694929" w:rsidRDefault="00694929" w:rsidP="00620396">
      <w:pPr>
        <w:pStyle w:val="ListParagraph"/>
        <w:spacing w:line="360" w:lineRule="auto"/>
        <w:ind w:left="851" w:hanging="851"/>
        <w:rPr>
          <w:rFonts w:cs="Times New Roman"/>
          <w:sz w:val="24"/>
          <w:szCs w:val="24"/>
        </w:rPr>
      </w:pPr>
    </w:p>
    <w:p w:rsidR="007B3CFB" w:rsidRPr="00871627" w:rsidRDefault="003A4BEA" w:rsidP="00904F82">
      <w:pPr>
        <w:pStyle w:val="ListParagraph"/>
        <w:numPr>
          <w:ilvl w:val="1"/>
          <w:numId w:val="5"/>
        </w:numPr>
        <w:spacing w:line="360" w:lineRule="auto"/>
        <w:ind w:left="709" w:hanging="709"/>
        <w:jc w:val="both"/>
        <w:rPr>
          <w:rFonts w:cs="Times New Roman"/>
          <w:sz w:val="24"/>
          <w:szCs w:val="24"/>
        </w:rPr>
      </w:pPr>
      <w:r w:rsidRPr="007B3CFB">
        <w:rPr>
          <w:rFonts w:cs="Times New Roman"/>
          <w:sz w:val="24"/>
          <w:szCs w:val="24"/>
        </w:rPr>
        <w:t>For policy-makers, financial, mental health, and other policy supports such as innovations around long-term job leaves and flexible work arrangements for multi-generation caregivers may be worthy of consideration</w:t>
      </w:r>
      <w:r w:rsidR="009920AB" w:rsidRPr="007B3CFB">
        <w:rPr>
          <w:rFonts w:cs="Times New Roman"/>
          <w:sz w:val="24"/>
          <w:szCs w:val="24"/>
        </w:rPr>
        <w:t>.</w:t>
      </w:r>
      <w:r w:rsidR="0018683D" w:rsidRPr="007B3CFB">
        <w:rPr>
          <w:rFonts w:cs="Times New Roman"/>
          <w:sz w:val="24"/>
          <w:szCs w:val="24"/>
        </w:rPr>
        <w:t xml:space="preserve"> This gives rise to an issue of whether the existing </w:t>
      </w:r>
      <w:r w:rsidR="00904F82">
        <w:rPr>
          <w:rFonts w:cs="Times New Roman"/>
          <w:sz w:val="24"/>
          <w:szCs w:val="24"/>
        </w:rPr>
        <w:t>‘</w:t>
      </w:r>
      <w:r w:rsidR="0018683D" w:rsidRPr="007B3CFB">
        <w:rPr>
          <w:rFonts w:cs="Times New Roman"/>
          <w:sz w:val="24"/>
          <w:szCs w:val="24"/>
        </w:rPr>
        <w:t>right to request</w:t>
      </w:r>
      <w:r w:rsidR="00904F82">
        <w:rPr>
          <w:rFonts w:cs="Times New Roman"/>
          <w:sz w:val="24"/>
          <w:szCs w:val="24"/>
        </w:rPr>
        <w:t>’</w:t>
      </w:r>
      <w:r w:rsidR="0018683D" w:rsidRPr="007B3CFB">
        <w:rPr>
          <w:rFonts w:cs="Times New Roman"/>
          <w:sz w:val="24"/>
          <w:szCs w:val="24"/>
        </w:rPr>
        <w:t xml:space="preserve"> provisions in the </w:t>
      </w:r>
      <w:r w:rsidR="0018683D" w:rsidRPr="007B3CFB">
        <w:rPr>
          <w:rFonts w:cs="Arial"/>
          <w:i/>
          <w:sz w:val="24"/>
          <w:szCs w:val="24"/>
        </w:rPr>
        <w:t xml:space="preserve">Fair Work Act 2009 </w:t>
      </w:r>
      <w:r w:rsidR="0018683D" w:rsidRPr="007B3CFB">
        <w:rPr>
          <w:rFonts w:cs="Arial"/>
          <w:sz w:val="24"/>
          <w:szCs w:val="24"/>
        </w:rPr>
        <w:t xml:space="preserve">(section.65) </w:t>
      </w:r>
      <w:r w:rsidR="007B3CFB" w:rsidRPr="007B3CFB">
        <w:rPr>
          <w:rFonts w:cs="Arial"/>
          <w:sz w:val="24"/>
          <w:szCs w:val="24"/>
        </w:rPr>
        <w:t xml:space="preserve">and National Employment Standard 2 </w:t>
      </w:r>
      <w:r w:rsidR="0018683D" w:rsidRPr="007B3CFB">
        <w:rPr>
          <w:rFonts w:cs="Arial"/>
          <w:sz w:val="24"/>
          <w:szCs w:val="24"/>
        </w:rPr>
        <w:t>are sufficient</w:t>
      </w:r>
      <w:r w:rsidR="007B3CFB" w:rsidRPr="007B3CFB">
        <w:rPr>
          <w:rFonts w:cs="Arial"/>
          <w:sz w:val="24"/>
          <w:szCs w:val="24"/>
        </w:rPr>
        <w:t xml:space="preserve"> </w:t>
      </w:r>
      <w:r w:rsidR="0018683D" w:rsidRPr="007B3CFB">
        <w:rPr>
          <w:rFonts w:cs="Arial"/>
          <w:sz w:val="24"/>
          <w:szCs w:val="24"/>
        </w:rPr>
        <w:t>or whether legislative amendments would intrude into operation</w:t>
      </w:r>
      <w:r w:rsidR="00904F82">
        <w:rPr>
          <w:rFonts w:cs="Arial"/>
          <w:sz w:val="24"/>
          <w:szCs w:val="24"/>
        </w:rPr>
        <w:t>al issues</w:t>
      </w:r>
      <w:r w:rsidR="0018683D" w:rsidRPr="007B3CFB">
        <w:rPr>
          <w:rFonts w:cs="Arial"/>
          <w:sz w:val="24"/>
          <w:szCs w:val="24"/>
        </w:rPr>
        <w:t xml:space="preserve">. </w:t>
      </w:r>
      <w:r w:rsidR="007B3CFB" w:rsidRPr="007B3CFB">
        <w:rPr>
          <w:rFonts w:cs="Arial"/>
          <w:sz w:val="24"/>
          <w:szCs w:val="24"/>
        </w:rPr>
        <w:t>W</w:t>
      </w:r>
      <w:r w:rsidR="0018683D" w:rsidRPr="007B3CFB">
        <w:rPr>
          <w:rFonts w:cs="Arial"/>
          <w:sz w:val="24"/>
          <w:szCs w:val="24"/>
        </w:rPr>
        <w:t xml:space="preserve">e are </w:t>
      </w:r>
      <w:r w:rsidR="007B3CFB" w:rsidRPr="007B3CFB">
        <w:rPr>
          <w:rFonts w:cs="Arial"/>
          <w:sz w:val="24"/>
          <w:szCs w:val="24"/>
        </w:rPr>
        <w:t xml:space="preserve">however </w:t>
      </w:r>
      <w:r w:rsidR="0018683D" w:rsidRPr="007B3CFB">
        <w:rPr>
          <w:rFonts w:cs="Arial"/>
          <w:sz w:val="24"/>
          <w:szCs w:val="24"/>
        </w:rPr>
        <w:t xml:space="preserve">mindful of the compliance issue facing small business as discussed in section </w:t>
      </w:r>
      <w:r w:rsidR="00904F82">
        <w:rPr>
          <w:rFonts w:cs="Arial"/>
          <w:sz w:val="24"/>
          <w:szCs w:val="24"/>
        </w:rPr>
        <w:t>4</w:t>
      </w:r>
      <w:r w:rsidR="0018683D" w:rsidRPr="007B3CFB">
        <w:rPr>
          <w:rFonts w:cs="Arial"/>
          <w:sz w:val="24"/>
          <w:szCs w:val="24"/>
        </w:rPr>
        <w:t xml:space="preserve"> above</w:t>
      </w:r>
      <w:r w:rsidR="007B3CFB" w:rsidRPr="007B3CFB">
        <w:rPr>
          <w:rFonts w:cs="Arial"/>
          <w:sz w:val="24"/>
          <w:szCs w:val="24"/>
        </w:rPr>
        <w:t xml:space="preserve"> and </w:t>
      </w:r>
      <w:r w:rsidR="00904F82">
        <w:rPr>
          <w:rFonts w:cs="Arial"/>
          <w:sz w:val="24"/>
          <w:szCs w:val="24"/>
        </w:rPr>
        <w:t xml:space="preserve">of </w:t>
      </w:r>
      <w:r w:rsidR="007B3CFB" w:rsidRPr="007B3CFB">
        <w:rPr>
          <w:rFonts w:cs="Arial"/>
          <w:sz w:val="24"/>
          <w:szCs w:val="24"/>
        </w:rPr>
        <w:t xml:space="preserve">the need to balance this against the issue of increasing labour force participation. </w:t>
      </w:r>
    </w:p>
    <w:p w:rsidR="00871627" w:rsidRPr="007B3CFB" w:rsidRDefault="00871627" w:rsidP="00871627">
      <w:pPr>
        <w:pStyle w:val="ListParagraph"/>
        <w:spacing w:line="360" w:lineRule="auto"/>
        <w:ind w:left="709"/>
        <w:jc w:val="both"/>
        <w:rPr>
          <w:rFonts w:cs="Times New Roman"/>
          <w:sz w:val="24"/>
          <w:szCs w:val="24"/>
        </w:rPr>
      </w:pPr>
    </w:p>
    <w:p w:rsidR="007B3CFB" w:rsidRPr="00871627" w:rsidRDefault="007B3CFB" w:rsidP="003B1C4A">
      <w:pPr>
        <w:pStyle w:val="ListParagraph"/>
        <w:numPr>
          <w:ilvl w:val="1"/>
          <w:numId w:val="5"/>
        </w:numPr>
        <w:tabs>
          <w:tab w:val="left" w:pos="709"/>
        </w:tabs>
        <w:spacing w:line="360" w:lineRule="auto"/>
        <w:ind w:left="851" w:hanging="851"/>
        <w:jc w:val="both"/>
        <w:rPr>
          <w:rFonts w:cs="Times New Roman"/>
          <w:sz w:val="24"/>
          <w:szCs w:val="24"/>
        </w:rPr>
      </w:pPr>
      <w:r w:rsidRPr="00871627">
        <w:rPr>
          <w:rFonts w:cs="Times New Roman"/>
          <w:sz w:val="24"/>
          <w:szCs w:val="24"/>
        </w:rPr>
        <w:lastRenderedPageBreak/>
        <w:t>At the same time it should be noted that National Employment Standard 2 provides:</w:t>
      </w:r>
    </w:p>
    <w:p w:rsidR="007B3CFB" w:rsidRPr="00EA43AC" w:rsidRDefault="00EA43AC" w:rsidP="00620396">
      <w:pPr>
        <w:tabs>
          <w:tab w:val="left" w:pos="851"/>
        </w:tabs>
        <w:spacing w:line="360" w:lineRule="auto"/>
        <w:ind w:left="1134"/>
        <w:jc w:val="both"/>
        <w:rPr>
          <w:rFonts w:cs="Arial"/>
          <w:i/>
          <w:sz w:val="24"/>
          <w:szCs w:val="24"/>
        </w:rPr>
      </w:pPr>
      <w:r w:rsidRPr="00EA43AC">
        <w:rPr>
          <w:rFonts w:cs="Arial"/>
          <w:b/>
          <w:bCs/>
          <w:i/>
          <w:color w:val="3C3C3C"/>
          <w:sz w:val="24"/>
          <w:szCs w:val="24"/>
          <w:shd w:val="clear" w:color="auto" w:fill="FFFFFF"/>
          <w:lang w:val="en-US"/>
        </w:rPr>
        <w:t>2. Requests for flexible working arrangements</w:t>
      </w:r>
      <w:r w:rsidRPr="00EA43AC">
        <w:rPr>
          <w:rStyle w:val="apple-converted-space"/>
          <w:rFonts w:cs="Arial"/>
          <w:i/>
          <w:color w:val="3C3C3C"/>
          <w:sz w:val="24"/>
          <w:szCs w:val="24"/>
          <w:shd w:val="clear" w:color="auto" w:fill="FFFFFF"/>
          <w:lang w:val="en-US"/>
        </w:rPr>
        <w:t> </w:t>
      </w:r>
      <w:r w:rsidRPr="00EA43AC">
        <w:rPr>
          <w:rStyle w:val="Strong"/>
          <w:rFonts w:cs="Arial"/>
          <w:i/>
          <w:color w:val="3C3C3C"/>
          <w:sz w:val="24"/>
          <w:szCs w:val="24"/>
          <w:shd w:val="clear" w:color="auto" w:fill="FFFFFF"/>
          <w:lang w:val="en-US"/>
        </w:rPr>
        <w:t>—</w:t>
      </w:r>
      <w:r w:rsidRPr="00EA43AC">
        <w:rPr>
          <w:rStyle w:val="apple-converted-space"/>
          <w:rFonts w:cs="Arial"/>
          <w:b/>
          <w:bCs/>
          <w:i/>
          <w:color w:val="3C3C3C"/>
          <w:sz w:val="24"/>
          <w:szCs w:val="24"/>
          <w:shd w:val="clear" w:color="auto" w:fill="FFFFFF"/>
          <w:lang w:val="en-US"/>
        </w:rPr>
        <w:t> </w:t>
      </w:r>
      <w:r w:rsidRPr="00EA43AC">
        <w:rPr>
          <w:rFonts w:cs="Arial"/>
          <w:i/>
          <w:color w:val="3C3C3C"/>
          <w:sz w:val="24"/>
          <w:szCs w:val="24"/>
          <w:shd w:val="clear" w:color="auto" w:fill="FFFFFF"/>
          <w:lang w:val="en-US"/>
        </w:rPr>
        <w:t>an employee who has responsibility for a child under school age may request a change in working arrangements to assist the employee to care for the child. This entitlement only applies to an employee with at least 12 months continuous service with the employer or, in the case of casual employees, to long term casual employees who have a reasonable expectation of continued employment with the employer. An employer is entitled to refuse an employee’s request for flexible working arrangements on reasonable business grounds but must provide written reasons for such a refusal.</w:t>
      </w:r>
    </w:p>
    <w:p w:rsidR="00EA43AC" w:rsidRPr="00871627" w:rsidRDefault="00EA43AC" w:rsidP="00904F82">
      <w:pPr>
        <w:pStyle w:val="ListParagraph"/>
        <w:numPr>
          <w:ilvl w:val="1"/>
          <w:numId w:val="5"/>
        </w:numPr>
        <w:tabs>
          <w:tab w:val="left" w:pos="851"/>
        </w:tabs>
        <w:spacing w:line="360" w:lineRule="auto"/>
        <w:ind w:left="709" w:hanging="709"/>
        <w:jc w:val="both"/>
        <w:rPr>
          <w:rFonts w:cs="Times New Roman"/>
          <w:sz w:val="24"/>
          <w:szCs w:val="24"/>
        </w:rPr>
      </w:pPr>
      <w:r w:rsidRPr="00871627">
        <w:rPr>
          <w:rFonts w:cs="Times New Roman"/>
          <w:sz w:val="24"/>
          <w:szCs w:val="24"/>
        </w:rPr>
        <w:t>This standard is by design limited to parents of children and operates within</w:t>
      </w:r>
      <w:r w:rsidR="00904F82">
        <w:rPr>
          <w:rFonts w:cs="Times New Roman"/>
          <w:sz w:val="24"/>
          <w:szCs w:val="24"/>
        </w:rPr>
        <w:t xml:space="preserve"> the right to request framework. H</w:t>
      </w:r>
      <w:r w:rsidRPr="00871627">
        <w:rPr>
          <w:rFonts w:cs="Times New Roman"/>
          <w:sz w:val="24"/>
          <w:szCs w:val="24"/>
        </w:rPr>
        <w:t>oweve</w:t>
      </w:r>
      <w:r w:rsidR="00904F82">
        <w:rPr>
          <w:rFonts w:cs="Times New Roman"/>
          <w:sz w:val="24"/>
          <w:szCs w:val="24"/>
        </w:rPr>
        <w:t>r, in view of the issue of care</w:t>
      </w:r>
      <w:r w:rsidRPr="00871627">
        <w:rPr>
          <w:rFonts w:cs="Times New Roman"/>
          <w:sz w:val="24"/>
          <w:szCs w:val="24"/>
        </w:rPr>
        <w:t xml:space="preserve">giving and labour market participation, it may be timely to re-visit this standard. </w:t>
      </w:r>
      <w:r w:rsidR="00E839AC" w:rsidRPr="00871627">
        <w:rPr>
          <w:rFonts w:cs="Times New Roman"/>
          <w:sz w:val="24"/>
          <w:szCs w:val="24"/>
        </w:rPr>
        <w:t>Further, it is evident from the experience of the Retail and Hospitality industries that the existence of the national standard has led to a measure of innovation in the development of enterprise agreements (Lafferty, 2013).</w:t>
      </w:r>
    </w:p>
    <w:p w:rsidR="001F296D" w:rsidRDefault="00491D3B" w:rsidP="003B1C4A">
      <w:pPr>
        <w:pStyle w:val="Heading1"/>
        <w:numPr>
          <w:ilvl w:val="0"/>
          <w:numId w:val="5"/>
        </w:numPr>
        <w:ind w:left="709" w:hanging="709"/>
      </w:pPr>
      <w:bookmarkStart w:id="7" w:name="_Toc414343776"/>
      <w:r w:rsidRPr="005A0DCE">
        <w:t>ToR 7: The Ability for Employers to Flexibly Manage and Engage with their E</w:t>
      </w:r>
      <w:r w:rsidR="001F296D" w:rsidRPr="005A0DCE">
        <w:t>mployees</w:t>
      </w:r>
      <w:bookmarkEnd w:id="7"/>
    </w:p>
    <w:p w:rsidR="002527D8" w:rsidRPr="002527D8" w:rsidRDefault="002527D8" w:rsidP="002527D8"/>
    <w:p w:rsidR="00491D3B" w:rsidRDefault="00491D3B" w:rsidP="00904F82">
      <w:pPr>
        <w:spacing w:after="0" w:line="360" w:lineRule="auto"/>
        <w:jc w:val="both"/>
        <w:rPr>
          <w:rFonts w:cstheme="majorBidi"/>
          <w:sz w:val="24"/>
          <w:szCs w:val="24"/>
        </w:rPr>
      </w:pPr>
      <w:r w:rsidRPr="00C60203">
        <w:rPr>
          <w:rFonts w:cstheme="majorBidi"/>
          <w:sz w:val="24"/>
          <w:szCs w:val="24"/>
        </w:rPr>
        <w:t xml:space="preserve">This section focuses on </w:t>
      </w:r>
      <w:r>
        <w:rPr>
          <w:rFonts w:cstheme="majorBidi"/>
          <w:sz w:val="24"/>
          <w:szCs w:val="24"/>
        </w:rPr>
        <w:t>term of reference seven, and in particular, how employee voice, representation and participation rela</w:t>
      </w:r>
      <w:r w:rsidR="00904F82">
        <w:rPr>
          <w:rFonts w:cstheme="majorBidi"/>
          <w:sz w:val="24"/>
          <w:szCs w:val="24"/>
        </w:rPr>
        <w:t xml:space="preserve">te to, shape and impact upon employers’ abilities </w:t>
      </w:r>
      <w:r>
        <w:rPr>
          <w:rFonts w:cstheme="majorBidi"/>
          <w:sz w:val="24"/>
          <w:szCs w:val="24"/>
        </w:rPr>
        <w:t>to flexibly manage and engage with their employees.</w:t>
      </w:r>
      <w:r w:rsidR="00EF104E">
        <w:rPr>
          <w:rFonts w:cstheme="majorBidi"/>
          <w:sz w:val="24"/>
          <w:szCs w:val="24"/>
        </w:rPr>
        <w:t xml:space="preserve"> </w:t>
      </w:r>
    </w:p>
    <w:p w:rsidR="00491D3B" w:rsidRDefault="00491D3B" w:rsidP="001F296D">
      <w:pPr>
        <w:spacing w:after="0" w:line="360" w:lineRule="auto"/>
        <w:jc w:val="both"/>
        <w:rPr>
          <w:rFonts w:cstheme="majorBidi"/>
          <w:sz w:val="24"/>
          <w:szCs w:val="24"/>
        </w:rPr>
      </w:pPr>
    </w:p>
    <w:p w:rsidR="005A0DCE" w:rsidRPr="003A4BEA" w:rsidRDefault="001F296D" w:rsidP="003B1C4A">
      <w:pPr>
        <w:pStyle w:val="ListParagraph"/>
        <w:numPr>
          <w:ilvl w:val="1"/>
          <w:numId w:val="5"/>
        </w:numPr>
        <w:spacing w:after="0" w:line="360" w:lineRule="auto"/>
        <w:ind w:left="709" w:hanging="709"/>
        <w:jc w:val="both"/>
        <w:rPr>
          <w:rFonts w:cstheme="majorBidi"/>
          <w:sz w:val="24"/>
          <w:szCs w:val="24"/>
        </w:rPr>
      </w:pPr>
      <w:r w:rsidRPr="003A4BEA">
        <w:rPr>
          <w:rFonts w:cstheme="majorBidi"/>
          <w:sz w:val="24"/>
          <w:szCs w:val="24"/>
        </w:rPr>
        <w:t xml:space="preserve">Employee </w:t>
      </w:r>
      <w:r w:rsidR="003A4BEA" w:rsidRPr="003A4BEA">
        <w:rPr>
          <w:rFonts w:cstheme="majorBidi"/>
          <w:sz w:val="24"/>
          <w:szCs w:val="24"/>
        </w:rPr>
        <w:t>voice can be defined as how employees have a say and participate in decisions that affect them at work. Our research on employee voice, drawn from national surveys, the Australian Workplace Representation and Participation Survey (AWRPS) conducted in 2004, 2007 and 2010, distinguishes three types of voice: union voice, non-union (direct) voice and hybrid voice.</w:t>
      </w:r>
    </w:p>
    <w:p w:rsidR="005A0DCE" w:rsidRDefault="005A0DCE" w:rsidP="003B1C4A">
      <w:pPr>
        <w:pStyle w:val="ListParagraph"/>
        <w:spacing w:after="0" w:line="360" w:lineRule="auto"/>
        <w:ind w:left="709" w:hanging="709"/>
        <w:jc w:val="both"/>
        <w:rPr>
          <w:rFonts w:cstheme="majorBidi"/>
          <w:sz w:val="24"/>
          <w:szCs w:val="24"/>
        </w:rPr>
      </w:pPr>
    </w:p>
    <w:p w:rsidR="00904F82" w:rsidRDefault="00904F82" w:rsidP="003B1C4A">
      <w:pPr>
        <w:pStyle w:val="ListParagraph"/>
        <w:spacing w:after="0" w:line="360" w:lineRule="auto"/>
        <w:ind w:left="709" w:hanging="709"/>
        <w:jc w:val="both"/>
        <w:rPr>
          <w:rFonts w:cstheme="majorBidi"/>
          <w:sz w:val="24"/>
          <w:szCs w:val="24"/>
        </w:rPr>
      </w:pPr>
    </w:p>
    <w:p w:rsidR="001F296D" w:rsidRPr="00312B35" w:rsidRDefault="00312B35" w:rsidP="003B1C4A">
      <w:pPr>
        <w:pStyle w:val="ListParagraph"/>
        <w:numPr>
          <w:ilvl w:val="1"/>
          <w:numId w:val="7"/>
        </w:numPr>
        <w:spacing w:after="0" w:line="360" w:lineRule="auto"/>
        <w:ind w:left="709" w:hanging="709"/>
        <w:jc w:val="both"/>
        <w:rPr>
          <w:rFonts w:cstheme="majorBidi"/>
          <w:sz w:val="24"/>
          <w:szCs w:val="24"/>
        </w:rPr>
      </w:pPr>
      <w:r>
        <w:rPr>
          <w:rFonts w:cstheme="majorBidi"/>
          <w:b/>
          <w:bCs/>
          <w:sz w:val="24"/>
          <w:szCs w:val="24"/>
        </w:rPr>
        <w:lastRenderedPageBreak/>
        <w:t>Union voice</w:t>
      </w:r>
    </w:p>
    <w:p w:rsidR="001F296D" w:rsidRPr="00C60203" w:rsidRDefault="001F296D" w:rsidP="00241B39">
      <w:pPr>
        <w:spacing w:after="0" w:line="360" w:lineRule="auto"/>
        <w:ind w:left="709"/>
        <w:jc w:val="both"/>
        <w:rPr>
          <w:rFonts w:cstheme="majorBidi"/>
          <w:sz w:val="24"/>
          <w:szCs w:val="24"/>
        </w:rPr>
      </w:pPr>
      <w:r w:rsidRPr="00C60203">
        <w:rPr>
          <w:rFonts w:cstheme="majorBidi"/>
          <w:sz w:val="24"/>
          <w:szCs w:val="24"/>
        </w:rPr>
        <w:t xml:space="preserve">In </w:t>
      </w:r>
      <w:r w:rsidR="003A4BEA" w:rsidRPr="00C60203">
        <w:rPr>
          <w:rFonts w:cstheme="majorBidi"/>
          <w:sz w:val="24"/>
          <w:szCs w:val="24"/>
        </w:rPr>
        <w:t xml:space="preserve">Issues Paper 1, the </w:t>
      </w:r>
      <w:r w:rsidR="00241B39">
        <w:rPr>
          <w:rFonts w:cstheme="majorBidi"/>
          <w:sz w:val="24"/>
          <w:szCs w:val="24"/>
        </w:rPr>
        <w:t xml:space="preserve">Productivity </w:t>
      </w:r>
      <w:r w:rsidR="00A665FC">
        <w:rPr>
          <w:rFonts w:cstheme="majorBidi"/>
          <w:sz w:val="24"/>
          <w:szCs w:val="24"/>
        </w:rPr>
        <w:t>Commission</w:t>
      </w:r>
      <w:r w:rsidR="002D6ADD">
        <w:rPr>
          <w:rFonts w:cstheme="majorBidi"/>
          <w:sz w:val="24"/>
          <w:szCs w:val="24"/>
        </w:rPr>
        <w:t xml:space="preserve"> </w:t>
      </w:r>
      <w:r w:rsidR="003A4BEA" w:rsidRPr="00C60203">
        <w:rPr>
          <w:rFonts w:cstheme="majorBidi"/>
          <w:sz w:val="24"/>
          <w:szCs w:val="24"/>
        </w:rPr>
        <w:t xml:space="preserve">notes the decline in union membership and adverts to the possibilities of alternative forms of representation. While we acknowledge this phenomenon of declining union </w:t>
      </w:r>
      <w:r w:rsidR="003A4BEA">
        <w:rPr>
          <w:rFonts w:cstheme="majorBidi"/>
          <w:sz w:val="24"/>
          <w:szCs w:val="24"/>
        </w:rPr>
        <w:t>membership</w:t>
      </w:r>
      <w:r w:rsidR="003A4BEA" w:rsidRPr="00C60203">
        <w:rPr>
          <w:rFonts w:cstheme="majorBidi"/>
          <w:sz w:val="24"/>
          <w:szCs w:val="24"/>
        </w:rPr>
        <w:t xml:space="preserve">, a trend common across Anglo-American countries, we emphasise the continuing importance of trade unions both in the workplace and the wider society. With approximately 1.7 million members, the Australian trade union movement still directly represents a significant proportion of the Australian workforce as well as providing a </w:t>
      </w:r>
      <w:r w:rsidR="003A4BEA">
        <w:rPr>
          <w:rFonts w:cstheme="majorBidi"/>
          <w:sz w:val="24"/>
          <w:szCs w:val="24"/>
        </w:rPr>
        <w:t xml:space="preserve">representative </w:t>
      </w:r>
      <w:r w:rsidR="003A4BEA" w:rsidRPr="00C60203">
        <w:rPr>
          <w:rFonts w:cstheme="majorBidi"/>
          <w:sz w:val="24"/>
          <w:szCs w:val="24"/>
        </w:rPr>
        <w:t>voice for a large number of otherwise disenfranchised employees, particularly women and younger workers, employed in low income and often insecure jobs</w:t>
      </w:r>
      <w:r w:rsidR="003A4BEA">
        <w:rPr>
          <w:rFonts w:cstheme="majorBidi"/>
          <w:sz w:val="24"/>
          <w:szCs w:val="24"/>
        </w:rPr>
        <w:t xml:space="preserve">. </w:t>
      </w:r>
      <w:r w:rsidR="003A4BEA" w:rsidRPr="00C60203">
        <w:rPr>
          <w:rFonts w:cstheme="majorBidi"/>
          <w:sz w:val="24"/>
          <w:szCs w:val="24"/>
        </w:rPr>
        <w:t xml:space="preserve">We also find evidence of unmet demand for trade unions in our AWRPS surveys: that is, non-union employees who would join a union if one is formed at their workplace. The 2010 AWRPS data indicates unmet demand of 34% in non-union </w:t>
      </w:r>
      <w:r w:rsidR="003A4BEA" w:rsidRPr="00066D39">
        <w:rPr>
          <w:rFonts w:cstheme="majorBidi"/>
          <w:sz w:val="24"/>
          <w:szCs w:val="24"/>
        </w:rPr>
        <w:t>workplaces</w:t>
      </w:r>
      <w:r w:rsidR="008D5D94">
        <w:rPr>
          <w:rFonts w:cstheme="majorBidi"/>
          <w:sz w:val="24"/>
          <w:szCs w:val="24"/>
        </w:rPr>
        <w:t xml:space="preserve"> </w:t>
      </w:r>
      <w:r w:rsidR="008D5D94">
        <w:rPr>
          <w:rFonts w:cstheme="majorBidi"/>
          <w:sz w:val="24"/>
          <w:szCs w:val="24"/>
        </w:rPr>
        <w:fldChar w:fldCharType="begin"/>
      </w:r>
      <w:r w:rsidR="008D5D94">
        <w:rPr>
          <w:rFonts w:cstheme="majorBidi"/>
          <w:sz w:val="24"/>
          <w:szCs w:val="24"/>
        </w:rPr>
        <w:instrText xml:space="preserve"> ADDIN EN.CITE &lt;EndNote&gt;&lt;Cite&gt;&lt;Author&gt;Pyman&lt;/Author&gt;&lt;Year&gt;2015&lt;/Year&gt;&lt;RecNum&gt;42&lt;/RecNum&gt;&lt;DisplayText&gt;(Pyman, Teicher, Cooper, &amp;amp; Holland, 2015)&lt;/DisplayText&gt;&lt;record&gt;&lt;rec-number&gt;42&lt;/rec-number&gt;&lt;foreign-keys&gt;&lt;key app="EN" db-id="xe9w25v07zaw5hev9v0p2xz5fwzxxrfx0t50" timestamp="1426202133"&gt;42&lt;/key&gt;&lt;/foreign-keys&gt;&lt;ref-type name="Unpublished Work"&gt;34&lt;/ref-type&gt;&lt;contributors&gt;&lt;authors&gt;&lt;author&gt;Pyman, A.&lt;/author&gt;&lt;author&gt;Teicher, J.&lt;/author&gt;&lt;author&gt;Cooper, B.&lt;/author&gt;&lt;author&gt;Holland, P.&lt;/author&gt;&lt;/authors&gt;&lt;/contributors&gt;&lt;titles&gt;&lt;title&gt;The predictors of unmet demand in non-union workplaces: An Australian study&lt;/title&gt;&lt;/titles&gt;&lt;dates&gt;&lt;year&gt;2015&lt;/year&gt;&lt;/dates&gt;&lt;work-type&gt;Unpublished paper&lt;/work-type&gt;&lt;urls&gt;&lt;/urls&gt;&lt;/record&gt;&lt;/Cite&gt;&lt;/EndNote&gt;</w:instrText>
      </w:r>
      <w:r w:rsidR="008D5D94">
        <w:rPr>
          <w:rFonts w:cstheme="majorBidi"/>
          <w:sz w:val="24"/>
          <w:szCs w:val="24"/>
        </w:rPr>
        <w:fldChar w:fldCharType="separate"/>
      </w:r>
      <w:r w:rsidR="008D5D94">
        <w:rPr>
          <w:rFonts w:cstheme="majorBidi"/>
          <w:noProof/>
          <w:sz w:val="24"/>
          <w:szCs w:val="24"/>
        </w:rPr>
        <w:t>(Pyman, Teicher, Cooper, &amp; Holland, 2015)</w:t>
      </w:r>
      <w:r w:rsidR="008D5D94">
        <w:rPr>
          <w:rFonts w:cstheme="majorBidi"/>
          <w:sz w:val="24"/>
          <w:szCs w:val="24"/>
        </w:rPr>
        <w:fldChar w:fldCharType="end"/>
      </w:r>
      <w:r w:rsidRPr="00C60203">
        <w:rPr>
          <w:rFonts w:cstheme="majorBidi"/>
          <w:sz w:val="24"/>
          <w:szCs w:val="24"/>
        </w:rPr>
        <w:t>.</w:t>
      </w:r>
    </w:p>
    <w:p w:rsidR="001F296D" w:rsidRPr="00C60203" w:rsidRDefault="001F296D" w:rsidP="00620396">
      <w:pPr>
        <w:spacing w:after="0" w:line="360" w:lineRule="auto"/>
        <w:ind w:left="851" w:hanging="851"/>
        <w:jc w:val="both"/>
        <w:rPr>
          <w:rFonts w:cstheme="majorBidi"/>
          <w:sz w:val="24"/>
          <w:szCs w:val="24"/>
        </w:rPr>
      </w:pPr>
    </w:p>
    <w:p w:rsidR="005A0DCE" w:rsidRDefault="001F296D" w:rsidP="00904F82">
      <w:pPr>
        <w:pStyle w:val="ListParagraph"/>
        <w:numPr>
          <w:ilvl w:val="1"/>
          <w:numId w:val="27"/>
        </w:numPr>
        <w:spacing w:after="0" w:line="360" w:lineRule="auto"/>
        <w:ind w:left="709" w:hanging="709"/>
        <w:jc w:val="both"/>
        <w:rPr>
          <w:rFonts w:cstheme="majorBidi"/>
          <w:sz w:val="24"/>
          <w:szCs w:val="24"/>
        </w:rPr>
      </w:pPr>
      <w:r w:rsidRPr="005A0DCE">
        <w:rPr>
          <w:rFonts w:cstheme="majorBidi"/>
          <w:sz w:val="24"/>
          <w:szCs w:val="24"/>
        </w:rPr>
        <w:t xml:space="preserve">The </w:t>
      </w:r>
      <w:r w:rsidR="003A4BEA" w:rsidRPr="00581DFC">
        <w:rPr>
          <w:rFonts w:cstheme="majorBidi"/>
          <w:sz w:val="24"/>
          <w:szCs w:val="24"/>
        </w:rPr>
        <w:t>union movement in Australia and in most parts of the world exists as an institution providing employee voice in the workplace but playing a variety of roles as part of the Australian community. Trade unions not only offer protection for Australian workers through representing workers at the workplace in relation to both individual and collective issues</w:t>
      </w:r>
      <w:r w:rsidR="00181EB9">
        <w:rPr>
          <w:rFonts w:cstheme="majorBidi"/>
          <w:sz w:val="24"/>
          <w:szCs w:val="24"/>
        </w:rPr>
        <w:t xml:space="preserve">, they also seek to </w:t>
      </w:r>
      <w:r w:rsidR="00181EB9" w:rsidRPr="00581DFC">
        <w:rPr>
          <w:rFonts w:cstheme="majorBidi"/>
          <w:sz w:val="24"/>
          <w:szCs w:val="24"/>
        </w:rPr>
        <w:t>influence government policy beyond the workplace for the benefit of members, former members and potential members</w:t>
      </w:r>
      <w:r w:rsidR="00181EB9">
        <w:rPr>
          <w:rFonts w:cstheme="majorBidi"/>
          <w:sz w:val="24"/>
          <w:szCs w:val="24"/>
        </w:rPr>
        <w:t xml:space="preserve">. Some </w:t>
      </w:r>
      <w:r w:rsidR="003A4BEA" w:rsidRPr="00581DFC">
        <w:rPr>
          <w:rFonts w:cstheme="majorBidi"/>
          <w:sz w:val="24"/>
          <w:szCs w:val="24"/>
        </w:rPr>
        <w:t>campaigns run by the union movement have reflected the gap between community expectations and concerns and government policy.</w:t>
      </w:r>
      <w:r w:rsidR="00181EB9">
        <w:rPr>
          <w:rFonts w:cstheme="majorBidi"/>
          <w:sz w:val="24"/>
          <w:szCs w:val="24"/>
        </w:rPr>
        <w:t xml:space="preserve"> </w:t>
      </w:r>
    </w:p>
    <w:p w:rsidR="005A0DCE" w:rsidRDefault="005A0DCE" w:rsidP="00483CC0">
      <w:pPr>
        <w:pStyle w:val="ListParagraph"/>
        <w:spacing w:after="0" w:line="360" w:lineRule="auto"/>
        <w:ind w:left="709" w:hanging="709"/>
        <w:jc w:val="both"/>
        <w:rPr>
          <w:rFonts w:cstheme="majorBidi"/>
          <w:sz w:val="24"/>
          <w:szCs w:val="24"/>
        </w:rPr>
      </w:pPr>
    </w:p>
    <w:p w:rsidR="005A0DCE" w:rsidRDefault="003A4BEA" w:rsidP="00904F82">
      <w:pPr>
        <w:pStyle w:val="ListParagraph"/>
        <w:numPr>
          <w:ilvl w:val="1"/>
          <w:numId w:val="27"/>
        </w:numPr>
        <w:spacing w:after="0" w:line="360" w:lineRule="auto"/>
        <w:ind w:left="709" w:hanging="709"/>
        <w:jc w:val="both"/>
        <w:rPr>
          <w:rFonts w:cstheme="majorBidi"/>
          <w:sz w:val="24"/>
          <w:szCs w:val="24"/>
        </w:rPr>
      </w:pPr>
      <w:r w:rsidRPr="00581DFC">
        <w:rPr>
          <w:rFonts w:cstheme="majorBidi"/>
          <w:sz w:val="24"/>
          <w:szCs w:val="24"/>
        </w:rPr>
        <w:t xml:space="preserve">These community based activities cannot be readily disentangled from the day-to-day workplace based interventions by unions. A recent example of this role </w:t>
      </w:r>
      <w:r w:rsidR="00904F82">
        <w:rPr>
          <w:rFonts w:cstheme="majorBidi"/>
          <w:sz w:val="24"/>
          <w:szCs w:val="24"/>
        </w:rPr>
        <w:t xml:space="preserve">relates </w:t>
      </w:r>
      <w:r w:rsidRPr="00581DFC">
        <w:rPr>
          <w:rFonts w:cstheme="majorBidi"/>
          <w:sz w:val="24"/>
          <w:szCs w:val="24"/>
        </w:rPr>
        <w:t xml:space="preserve">to public concern at the cruelty associated with live meat exports; however, the union movement has been concerned with aspects of this industry since the mid-1970s. Led by the Australasian Meat Industry Employees’ Union (AMIEU), alliances between the union movement, animal rights groups, other community groups, and even meat processing industry employers, have been formed to raise awareness of the issues surrounding live export. These activities have </w:t>
      </w:r>
      <w:r w:rsidR="00904F82">
        <w:rPr>
          <w:rFonts w:cstheme="majorBidi"/>
          <w:sz w:val="24"/>
          <w:szCs w:val="24"/>
        </w:rPr>
        <w:t>included cruelty to animals and</w:t>
      </w:r>
      <w:r w:rsidRPr="00581DFC">
        <w:rPr>
          <w:rFonts w:cstheme="majorBidi"/>
          <w:sz w:val="24"/>
          <w:szCs w:val="24"/>
        </w:rPr>
        <w:t xml:space="preserve"> the competition between </w:t>
      </w:r>
      <w:r w:rsidRPr="00581DFC">
        <w:rPr>
          <w:rFonts w:cstheme="majorBidi"/>
          <w:sz w:val="24"/>
          <w:szCs w:val="24"/>
        </w:rPr>
        <w:lastRenderedPageBreak/>
        <w:t>the established meat processing and export companies a</w:t>
      </w:r>
      <w:r w:rsidR="00904F82">
        <w:rPr>
          <w:rFonts w:cstheme="majorBidi"/>
          <w:sz w:val="24"/>
          <w:szCs w:val="24"/>
        </w:rPr>
        <w:t xml:space="preserve">nd the new live export industry, which has led to </w:t>
      </w:r>
      <w:r w:rsidRPr="00581DFC">
        <w:rPr>
          <w:rFonts w:cstheme="majorBidi"/>
          <w:sz w:val="24"/>
          <w:szCs w:val="24"/>
        </w:rPr>
        <w:t>job losse</w:t>
      </w:r>
      <w:r w:rsidR="00D81C35">
        <w:rPr>
          <w:rFonts w:cstheme="majorBidi"/>
          <w:sz w:val="24"/>
          <w:szCs w:val="24"/>
        </w:rPr>
        <w:t>s in abattoirs across Australia</w:t>
      </w:r>
      <w:r w:rsidRPr="00581DFC">
        <w:rPr>
          <w:rFonts w:cstheme="majorBidi"/>
          <w:sz w:val="24"/>
          <w:szCs w:val="24"/>
        </w:rPr>
        <w:t xml:space="preserve"> </w:t>
      </w:r>
      <w:r w:rsidRPr="00581DFC">
        <w:rPr>
          <w:rFonts w:cstheme="majorBidi"/>
          <w:sz w:val="24"/>
          <w:szCs w:val="24"/>
        </w:rPr>
        <w:fldChar w:fldCharType="begin"/>
      </w:r>
      <w:r w:rsidRPr="00581DFC">
        <w:rPr>
          <w:rFonts w:cstheme="majorBidi"/>
          <w:sz w:val="24"/>
          <w:szCs w:val="24"/>
        </w:rPr>
        <w:instrText xml:space="preserve"> ADDIN EN.CITE &lt;EndNote&gt;&lt;Cite&gt;&lt;Author&gt;Jerrard&lt;/Author&gt;&lt;Year&gt;2007&lt;/Year&gt;&lt;RecNum&gt;28&lt;/RecNum&gt;&lt;DisplayText&gt;(Jerrard, 2007; Jerrard &amp;amp; Le Queux, 2013)&lt;/DisplayText&gt;&lt;record&gt;&lt;rec-number&gt;28&lt;/rec-number&gt;&lt;foreign-keys&gt;&lt;key app="EN" db-id="xe9w25v07zaw5hev9v0p2xz5fwzxxrfx0t50" timestamp="1426048176"&gt;28&lt;/key&gt;&lt;/foreign-keys&gt;&lt;ref-type name="Book Section"&gt;5&lt;/ref-type&gt;&lt;contributors&gt;&lt;authors&gt;&lt;author&gt;Jerrard, M.&lt;/author&gt;&lt;/authors&gt;&lt;secondary-authors&gt;&lt;author&gt;Buttigieg, D.&lt;/author&gt;&lt;author&gt;Cockfield, S.&lt;/author&gt;&lt;author&gt;Cooney, R.&lt;/author&gt;&lt;author&gt;Jerrard, M.&lt;/author&gt;&lt;author&gt;Rainnie, A.&lt;/author&gt;&lt;/secondary-authors&gt;&lt;/contributors&gt;&lt;titles&gt;&lt;title&gt;Building alliances to protect jobs: The AMIEU&amp;apos;s response to live animal export&lt;/title&gt;&lt;secondary-title&gt;Trade unions in the community - values, issues, shared interests and alliances&lt;/secondary-title&gt;&lt;/titles&gt;&lt;pages&gt;185-200&lt;/pages&gt;&lt;dates&gt;&lt;year&gt;2007&lt;/year&gt;&lt;/dates&gt;&lt;pub-location&gt;Melbourne&lt;/pub-location&gt;&lt;publisher&gt;Heidelberg Press&lt;/publisher&gt;&lt;urls&gt;&lt;/urls&gt;&lt;/record&gt;&lt;/Cite&gt;&lt;Cite&gt;&lt;Author&gt;Jerrard&lt;/Author&gt;&lt;Year&gt;2013&lt;/Year&gt;&lt;RecNum&gt;31&lt;/RecNum&gt;&lt;record&gt;&lt;rec-number&gt;31&lt;/rec-number&gt;&lt;foreign-keys&gt;&lt;key app="EN" db-id="xe9w25v07zaw5hev9v0p2xz5fwzxxrfx0t50" timestamp="1426048596"&gt;31&lt;/key&gt;&lt;/foreign-keys&gt;&lt;ref-type name="Book Section"&gt;5&lt;/ref-type&gt;&lt;contributors&gt;&lt;authors&gt;&lt;author&gt;Jerrard, M.&lt;/author&gt;&lt;author&gt;Le Queux, S.&lt;/author&gt;&lt;/authors&gt;&lt;secondary-authors&gt;&lt;author&gt;Teicher, J.&lt;/author&gt;&lt;author&gt;Holland, P.&lt;/author&gt;&lt;author&gt;Gough, R.&lt;/author&gt;&lt;/secondary-authors&gt;&lt;/contributors&gt;&lt;titles&gt;&lt;title&gt;Australian trade unions and international labour movements&lt;/title&gt;&lt;secondary-title&gt;Australian Workplace Relations&lt;/secondary-title&gt;&lt;/titles&gt;&lt;pages&gt;46-62&lt;/pages&gt;&lt;dates&gt;&lt;year&gt;2013&lt;/year&gt;&lt;/dates&gt;&lt;pub-location&gt;Melbourne&lt;/pub-location&gt;&lt;publisher&gt;Cambridge University Press&lt;/publisher&gt;&lt;urls&gt;&lt;/urls&gt;&lt;/record&gt;&lt;/Cite&gt;&lt;/EndNote&gt;</w:instrText>
      </w:r>
      <w:r w:rsidRPr="00581DFC">
        <w:rPr>
          <w:rFonts w:cstheme="majorBidi"/>
          <w:sz w:val="24"/>
          <w:szCs w:val="24"/>
        </w:rPr>
        <w:fldChar w:fldCharType="separate"/>
      </w:r>
      <w:r w:rsidRPr="00581DFC">
        <w:rPr>
          <w:rFonts w:cstheme="majorBidi"/>
          <w:noProof/>
          <w:sz w:val="24"/>
          <w:szCs w:val="24"/>
        </w:rPr>
        <w:t>(Jerrard, 2007; Jerrard &amp; Le Queux, 2013)</w:t>
      </w:r>
      <w:r w:rsidRPr="00581DFC">
        <w:rPr>
          <w:rFonts w:cstheme="majorBidi"/>
          <w:sz w:val="24"/>
          <w:szCs w:val="24"/>
        </w:rPr>
        <w:fldChar w:fldCharType="end"/>
      </w:r>
      <w:r w:rsidRPr="00581DFC">
        <w:rPr>
          <w:rFonts w:cstheme="majorBidi"/>
          <w:sz w:val="24"/>
          <w:szCs w:val="24"/>
        </w:rPr>
        <w:t>. This case illustrates the tight nexus between industrial and what might be called non-industrial issues.</w:t>
      </w:r>
    </w:p>
    <w:p w:rsidR="005A0DCE" w:rsidRDefault="005A0DCE" w:rsidP="005A0DCE">
      <w:pPr>
        <w:pStyle w:val="ListParagraph"/>
        <w:spacing w:after="0" w:line="360" w:lineRule="auto"/>
        <w:ind w:left="709"/>
        <w:jc w:val="both"/>
        <w:rPr>
          <w:rFonts w:cstheme="majorBidi"/>
          <w:sz w:val="24"/>
          <w:szCs w:val="24"/>
        </w:rPr>
      </w:pPr>
    </w:p>
    <w:p w:rsidR="00BB2207" w:rsidRPr="00BB2207" w:rsidRDefault="007C416A" w:rsidP="00BB2207">
      <w:pPr>
        <w:pStyle w:val="ListParagraph"/>
        <w:numPr>
          <w:ilvl w:val="1"/>
          <w:numId w:val="27"/>
        </w:numPr>
        <w:spacing w:after="0" w:line="360" w:lineRule="auto"/>
        <w:ind w:left="709" w:hanging="709"/>
        <w:jc w:val="both"/>
        <w:rPr>
          <w:rFonts w:cstheme="majorBidi"/>
          <w:color w:val="000000" w:themeColor="text1"/>
          <w:sz w:val="24"/>
          <w:szCs w:val="24"/>
        </w:rPr>
      </w:pPr>
      <w:r w:rsidRPr="005A0DCE">
        <w:rPr>
          <w:rFonts w:cstheme="majorBidi"/>
          <w:sz w:val="24"/>
          <w:szCs w:val="24"/>
        </w:rPr>
        <w:t xml:space="preserve">There </w:t>
      </w:r>
      <w:r w:rsidR="00BB2207" w:rsidRPr="00581DFC">
        <w:rPr>
          <w:rFonts w:cstheme="majorBidi"/>
          <w:sz w:val="24"/>
          <w:szCs w:val="24"/>
        </w:rPr>
        <w:t xml:space="preserve">are other powerful examples of the </w:t>
      </w:r>
      <w:r w:rsidR="00BB2207" w:rsidRPr="00581DFC">
        <w:rPr>
          <w:rFonts w:cstheme="majorBidi"/>
          <w:sz w:val="24"/>
          <w:szCs w:val="24"/>
          <w:lang w:val="en"/>
        </w:rPr>
        <w:t>continuing efficacy and importance of trade unions in the face of declining membership. The outcome of the James Hardie Company campaign which was both an industrial one on behalf of present and former trade union members is illustrative of the role of unions beyond formal workplace voice mechanisms or where that form of voice fails. The campaign reflected the social justice objective of providing financial compensation for the sufferers of asbestos-related mesothelioma contracted during their working lives, as well as compensation for their families. The campaign was run by the ACTU, Unions NSW and the Australian Manufacturing Workers’ Union (AMWU) in conjunction with anti-asbestos groups and the</w:t>
      </w:r>
      <w:r w:rsidR="00BB2207" w:rsidRPr="00BB2207">
        <w:rPr>
          <w:rFonts w:cstheme="majorBidi"/>
          <w:color w:val="000000" w:themeColor="text1"/>
          <w:sz w:val="24"/>
          <w:szCs w:val="24"/>
          <w:lang w:val="en"/>
        </w:rPr>
        <w:t xml:space="preserve"> New South Wales Government </w:t>
      </w:r>
      <w:r w:rsidR="00BB2207" w:rsidRPr="00BB2207">
        <w:rPr>
          <w:rFonts w:cstheme="majorBidi"/>
          <w:color w:val="000000" w:themeColor="text1"/>
          <w:sz w:val="24"/>
          <w:szCs w:val="24"/>
          <w:lang w:val="en"/>
        </w:rPr>
        <w:fldChar w:fldCharType="begin"/>
      </w:r>
      <w:r w:rsidR="00BB2207" w:rsidRPr="00BB2207">
        <w:rPr>
          <w:rFonts w:cstheme="majorBidi"/>
          <w:color w:val="000000" w:themeColor="text1"/>
          <w:sz w:val="24"/>
          <w:szCs w:val="24"/>
          <w:lang w:val="en"/>
        </w:rPr>
        <w:instrText xml:space="preserve"> ADDIN EN.CITE &lt;EndNote&gt;&lt;Cite&gt;&lt;Author&gt;Holland&lt;/Author&gt;&lt;Year&gt;2011&lt;/Year&gt;&lt;RecNum&gt;25&lt;/RecNum&gt;&lt;DisplayText&gt;(Holland &amp;amp; Pyman, 2011; Jerrard &amp;amp; Le Queux, 2013)&lt;/DisplayText&gt;&lt;record&gt;&lt;rec-number&gt;25&lt;/rec-number&gt;&lt;foreign-keys&gt;&lt;key app="EN" db-id="xe9w25v07zaw5hev9v0p2xz5fwzxxrfx0t50" timestamp="1426046030"&gt;25&lt;/key&gt;&lt;/foreign-keys&gt;&lt;ref-type name="Journal Article"&gt;17&lt;/ref-type&gt;&lt;contributors&gt;&lt;authors&gt;&lt;author&gt;Holland, P.&lt;/author&gt;&lt;author&gt;Pyman, A.&lt;/author&gt;&lt;/authors&gt;&lt;/contributors&gt;&lt;titles&gt;&lt;title&gt;Trade unions and corporate campaigning in a global economy: The case of James Hardie&lt;/title&gt;&lt;secondary-title&gt;Economic and Industrial Democracy, Vol. 32, No. 2, 307-328.&lt;/secondary-title&gt;&lt;/titles&gt;&lt;periodical&gt;&lt;full-title&gt;Economic and Industrial Democracy, Vol. 32, No. 2, 307-328.&lt;/full-title&gt;&lt;/periodical&gt;&lt;pages&gt;307-328&lt;/pages&gt;&lt;volume&gt;32&lt;/volume&gt;&lt;number&gt;2&lt;/number&gt;&lt;dates&gt;&lt;year&gt;2011&lt;/year&gt;&lt;/dates&gt;&lt;urls&gt;&lt;/urls&gt;&lt;/record&gt;&lt;/Cite&gt;&lt;Cite&gt;&lt;Author&gt;Jerrard&lt;/Author&gt;&lt;Year&gt;2013&lt;/Year&gt;&lt;RecNum&gt;31&lt;/RecNum&gt;&lt;record&gt;&lt;rec-number&gt;31&lt;/rec-number&gt;&lt;foreign-keys&gt;&lt;key app="EN" db-id="xe9w25v07zaw5hev9v0p2xz5fwzxxrfx0t50" timestamp="1426048596"&gt;31&lt;/key&gt;&lt;/foreign-keys&gt;&lt;ref-type name="Book Section"&gt;5&lt;/ref-type&gt;&lt;contributors&gt;&lt;authors&gt;&lt;author&gt;Jerrard, M.&lt;/author&gt;&lt;author&gt;Le Queux, S.&lt;/author&gt;&lt;/authors&gt;&lt;secondary-authors&gt;&lt;author&gt;Teicher, J.&lt;/author&gt;&lt;author&gt;Holland, P.&lt;/author&gt;&lt;author&gt;Gough, R.&lt;/author&gt;&lt;/secondary-authors&gt;&lt;/contributors&gt;&lt;titles&gt;&lt;title&gt;Australian trade unions and international labour movements&lt;/title&gt;&lt;secondary-title&gt;Australian Workplace Relations&lt;/secondary-title&gt;&lt;/titles&gt;&lt;pages&gt;46-62&lt;/pages&gt;&lt;dates&gt;&lt;year&gt;2013&lt;/year&gt;&lt;/dates&gt;&lt;pub-location&gt;Melbourne&lt;/pub-location&gt;&lt;publisher&gt;Cambridge University Press&lt;/publisher&gt;&lt;urls&gt;&lt;/urls&gt;&lt;/record&gt;&lt;/Cite&gt;&lt;/EndNote&gt;</w:instrText>
      </w:r>
      <w:r w:rsidR="00BB2207" w:rsidRPr="00BB2207">
        <w:rPr>
          <w:rFonts w:cstheme="majorBidi"/>
          <w:color w:val="000000" w:themeColor="text1"/>
          <w:sz w:val="24"/>
          <w:szCs w:val="24"/>
          <w:lang w:val="en"/>
        </w:rPr>
        <w:fldChar w:fldCharType="separate"/>
      </w:r>
      <w:r w:rsidR="00BB2207" w:rsidRPr="00BB2207">
        <w:rPr>
          <w:rFonts w:cstheme="majorBidi"/>
          <w:noProof/>
          <w:color w:val="000000" w:themeColor="text1"/>
          <w:sz w:val="24"/>
          <w:szCs w:val="24"/>
          <w:lang w:val="en"/>
        </w:rPr>
        <w:t>(Holland &amp; Pyman, 2011; Jerrard &amp; Le Queux, 2013)</w:t>
      </w:r>
      <w:r w:rsidR="00BB2207" w:rsidRPr="00BB2207">
        <w:rPr>
          <w:rFonts w:cstheme="majorBidi"/>
          <w:color w:val="000000" w:themeColor="text1"/>
          <w:sz w:val="24"/>
          <w:szCs w:val="24"/>
          <w:lang w:val="en"/>
        </w:rPr>
        <w:fldChar w:fldCharType="end"/>
      </w:r>
      <w:r w:rsidR="00BB2207" w:rsidRPr="00BB2207">
        <w:rPr>
          <w:rFonts w:cstheme="majorBidi"/>
          <w:color w:val="000000" w:themeColor="text1"/>
          <w:sz w:val="24"/>
          <w:szCs w:val="24"/>
          <w:lang w:val="en"/>
        </w:rPr>
        <w:t>.</w:t>
      </w:r>
    </w:p>
    <w:p w:rsidR="00BB2207" w:rsidRPr="00BB2207" w:rsidRDefault="00BB2207" w:rsidP="00BB2207">
      <w:pPr>
        <w:pStyle w:val="ListParagraph"/>
        <w:spacing w:after="0" w:line="360" w:lineRule="auto"/>
        <w:ind w:left="709"/>
        <w:jc w:val="both"/>
        <w:rPr>
          <w:rFonts w:cstheme="majorBidi"/>
          <w:color w:val="000000" w:themeColor="text1"/>
          <w:sz w:val="24"/>
          <w:szCs w:val="24"/>
        </w:rPr>
      </w:pPr>
    </w:p>
    <w:p w:rsidR="00BB2207" w:rsidRPr="00BB2207" w:rsidRDefault="00BB2207" w:rsidP="00BB2207">
      <w:pPr>
        <w:pStyle w:val="ListParagraph"/>
        <w:numPr>
          <w:ilvl w:val="1"/>
          <w:numId w:val="27"/>
        </w:numPr>
        <w:spacing w:after="0" w:line="360" w:lineRule="auto"/>
        <w:ind w:left="709" w:hanging="709"/>
        <w:jc w:val="both"/>
        <w:rPr>
          <w:rFonts w:cstheme="majorBidi"/>
          <w:color w:val="000000" w:themeColor="text1"/>
          <w:sz w:val="24"/>
          <w:szCs w:val="24"/>
        </w:rPr>
      </w:pPr>
      <w:r w:rsidRPr="00BB2207">
        <w:rPr>
          <w:rFonts w:cstheme="majorBidi"/>
          <w:color w:val="000000" w:themeColor="text1"/>
          <w:sz w:val="24"/>
          <w:szCs w:val="24"/>
        </w:rPr>
        <w:t>Other brief examples of this kind include:</w:t>
      </w:r>
    </w:p>
    <w:p w:rsidR="00BB2207" w:rsidRPr="00BB2207" w:rsidRDefault="00BB2207" w:rsidP="00483CC0">
      <w:pPr>
        <w:pStyle w:val="ListParagraph"/>
        <w:numPr>
          <w:ilvl w:val="0"/>
          <w:numId w:val="28"/>
        </w:numPr>
        <w:spacing w:after="0" w:line="360" w:lineRule="auto"/>
        <w:ind w:left="1276" w:hanging="425"/>
        <w:jc w:val="both"/>
        <w:rPr>
          <w:rFonts w:cstheme="majorBidi"/>
          <w:color w:val="000000" w:themeColor="text1"/>
          <w:sz w:val="24"/>
          <w:szCs w:val="24"/>
        </w:rPr>
      </w:pPr>
      <w:r w:rsidRPr="00BB2207">
        <w:rPr>
          <w:rFonts w:cstheme="majorBidi"/>
          <w:color w:val="000000" w:themeColor="text1"/>
          <w:sz w:val="24"/>
          <w:szCs w:val="24"/>
        </w:rPr>
        <w:t xml:space="preserve">A union-community alliance aimed at improving occupational health and safety was formed by the Australian Workers’ Union (AWU) with the Country Women’s Association (CWA), and supported by WorkSafe Victoria </w:t>
      </w:r>
      <w:r w:rsidRPr="00BB2207">
        <w:rPr>
          <w:rFonts w:cstheme="majorBidi"/>
          <w:color w:val="000000" w:themeColor="text1"/>
          <w:sz w:val="24"/>
          <w:szCs w:val="24"/>
        </w:rPr>
        <w:fldChar w:fldCharType="begin"/>
      </w:r>
      <w:r w:rsidRPr="00BB2207">
        <w:rPr>
          <w:rFonts w:cstheme="majorBidi"/>
          <w:color w:val="000000" w:themeColor="text1"/>
          <w:sz w:val="24"/>
          <w:szCs w:val="24"/>
        </w:rPr>
        <w:instrText xml:space="preserve"> ADDIN EN.CITE &lt;EndNote&gt;&lt;Cite&gt;&lt;Author&gt;Jerrard&lt;/Author&gt;&lt;Year&gt;2008&lt;/Year&gt;&lt;RecNum&gt;26&lt;/RecNum&gt;&lt;DisplayText&gt;(Jerrard, 2008)&lt;/DisplayText&gt;&lt;record&gt;&lt;rec-number&gt;26&lt;/rec-number&gt;&lt;foreign-keys&gt;&lt;key app="EN" db-id="xe9w25v07zaw5hev9v0p2xz5fwzxxrfx0t50" timestamp="1426046427"&gt;26&lt;/key&gt;&lt;/foreign-keys&gt;&lt;ref-type name="Journal Article"&gt;17&lt;/ref-type&gt;&lt;contributors&gt;&lt;authors&gt;&lt;author&gt;Jerrard, M.&lt;/author&gt;&lt;/authors&gt;&lt;/contributors&gt;&lt;titles&gt;&lt;title&gt;The Australian workers’ union and the country women’s association: Using union-community partnerships to take safety to farmers&lt;/title&gt;&lt;secondary-title&gt;Employment Relations Record&lt;/secondary-title&gt;&lt;/titles&gt;&lt;periodical&gt;&lt;full-title&gt;Employment Relations Record&lt;/full-title&gt;&lt;/periodical&gt;&lt;pages&gt;91-102&lt;/pages&gt;&lt;volume&gt;8&lt;/volume&gt;&lt;number&gt;1&lt;/number&gt;&lt;dates&gt;&lt;year&gt;2008&lt;/year&gt;&lt;/dates&gt;&lt;urls&gt;&lt;/urls&gt;&lt;/record&gt;&lt;/Cite&gt;&lt;/EndNote&gt;</w:instrText>
      </w:r>
      <w:r w:rsidRPr="00BB2207">
        <w:rPr>
          <w:rFonts w:cstheme="majorBidi"/>
          <w:color w:val="000000" w:themeColor="text1"/>
          <w:sz w:val="24"/>
          <w:szCs w:val="24"/>
        </w:rPr>
        <w:fldChar w:fldCharType="separate"/>
      </w:r>
      <w:r w:rsidRPr="00BB2207">
        <w:rPr>
          <w:rFonts w:cstheme="majorBidi"/>
          <w:noProof/>
          <w:color w:val="000000" w:themeColor="text1"/>
          <w:sz w:val="24"/>
          <w:szCs w:val="24"/>
        </w:rPr>
        <w:t>(Jerrard, 2008)</w:t>
      </w:r>
      <w:r w:rsidRPr="00BB2207">
        <w:rPr>
          <w:rFonts w:cstheme="majorBidi"/>
          <w:color w:val="000000" w:themeColor="text1"/>
          <w:sz w:val="24"/>
          <w:szCs w:val="24"/>
        </w:rPr>
        <w:fldChar w:fldCharType="end"/>
      </w:r>
      <w:r w:rsidRPr="00BB2207">
        <w:rPr>
          <w:rFonts w:cstheme="majorBidi"/>
          <w:color w:val="000000" w:themeColor="text1"/>
          <w:sz w:val="24"/>
          <w:szCs w:val="24"/>
        </w:rPr>
        <w:t>.</w:t>
      </w:r>
    </w:p>
    <w:p w:rsidR="00BB2207" w:rsidRPr="00BB2207" w:rsidRDefault="00BB2207" w:rsidP="00483CC0">
      <w:pPr>
        <w:pStyle w:val="ListParagraph"/>
        <w:numPr>
          <w:ilvl w:val="0"/>
          <w:numId w:val="28"/>
        </w:numPr>
        <w:spacing w:after="0" w:line="360" w:lineRule="auto"/>
        <w:ind w:left="1276" w:hanging="425"/>
        <w:jc w:val="both"/>
        <w:rPr>
          <w:rFonts w:cstheme="majorBidi"/>
          <w:color w:val="000000" w:themeColor="text1"/>
          <w:sz w:val="24"/>
          <w:szCs w:val="24"/>
        </w:rPr>
      </w:pPr>
      <w:r w:rsidRPr="00BB2207">
        <w:rPr>
          <w:rFonts w:cstheme="majorBidi"/>
          <w:color w:val="000000" w:themeColor="text1"/>
          <w:sz w:val="24"/>
          <w:szCs w:val="24"/>
        </w:rPr>
        <w:t>The ACTU, Victorian Trades Hall Council, Queensland Council of Unions and a group of unions</w:t>
      </w:r>
      <w:r w:rsidRPr="00BB2207">
        <w:rPr>
          <w:rStyle w:val="FootnoteReference"/>
          <w:rFonts w:cstheme="majorBidi"/>
          <w:color w:val="000000" w:themeColor="text1"/>
          <w:sz w:val="24"/>
          <w:szCs w:val="24"/>
        </w:rPr>
        <w:footnoteReference w:id="8"/>
      </w:r>
      <w:r w:rsidRPr="00BB2207">
        <w:rPr>
          <w:rFonts w:eastAsia="Times New Roman" w:cstheme="majorBidi"/>
          <w:color w:val="000000" w:themeColor="text1"/>
          <w:sz w:val="24"/>
          <w:szCs w:val="24"/>
          <w:lang w:eastAsia="en-AU"/>
        </w:rPr>
        <w:t xml:space="preserve"> assisted Australians for Native Title and Reconciliation (ANTaR) and the Stolen Wages Campaign Working Group (SWCWG) with a publicity campaign to raise awareness about  payments that had been held in trust funds for indigenous workers but never paid to those entitled to them </w:t>
      </w:r>
      <w:r w:rsidRPr="00BB2207">
        <w:rPr>
          <w:rFonts w:eastAsia="Times New Roman" w:cstheme="majorBidi"/>
          <w:color w:val="000000" w:themeColor="text1"/>
          <w:sz w:val="24"/>
          <w:szCs w:val="24"/>
          <w:lang w:eastAsia="en-AU"/>
        </w:rPr>
        <w:fldChar w:fldCharType="begin"/>
      </w:r>
      <w:r w:rsidRPr="00BB2207">
        <w:rPr>
          <w:rFonts w:eastAsia="Times New Roman" w:cstheme="majorBidi"/>
          <w:color w:val="000000" w:themeColor="text1"/>
          <w:sz w:val="24"/>
          <w:szCs w:val="24"/>
          <w:lang w:eastAsia="en-AU"/>
        </w:rPr>
        <w:instrText xml:space="preserve"> ADDIN EN.CITE &lt;EndNote&gt;&lt;Cite&gt;&lt;Author&gt;Jerrard&lt;/Author&gt;&lt;Year&gt;2010&lt;/Year&gt;&lt;RecNum&gt;30&lt;/RecNum&gt;&lt;DisplayText&gt;(Jerrard &amp;amp; Heap, 2010)&lt;/DisplayText&gt;&lt;record&gt;&lt;rec-number&gt;30&lt;/rec-number&gt;&lt;foreign-keys&gt;&lt;key app="EN" db-id="xe9w25v07zaw5hev9v0p2xz5fwzxxrfx0t50" timestamp="1426048495"&gt;30&lt;/key&gt;&lt;/foreign-keys&gt;&lt;ref-type name="Book Section"&gt;5&lt;/ref-type&gt;&lt;contributors&gt;&lt;authors&gt;&lt;author&gt;Jerrard, M.&lt;/author&gt;&lt;author&gt;Heap, L.&lt;/author&gt;&lt;/authors&gt;&lt;secondary-authors&gt;&lt;author&gt;Strachan, G.&lt;/author&gt;&lt;author&gt;French, E.&lt;/author&gt;&lt;author&gt;Burgess, J.&lt;/author&gt;&lt;/secondary-authors&gt;&lt;/contributors&gt;&lt;titles&gt;&lt;title&gt;Trade unions and social justice&lt;/title&gt;&lt;secondary-title&gt;Managing Diversity in Australia: Theory and Practice&lt;/secondary-title&gt;&lt;/titles&gt;&lt;pages&gt;121-136&lt;/pages&gt;&lt;dates&gt;&lt;year&gt;2010&lt;/year&gt;&lt;/dates&gt;&lt;pub-location&gt;North Ryde, NSW&lt;/pub-location&gt;&lt;publisher&gt;McGraw-Hill&lt;/publisher&gt;&lt;urls&gt;&lt;/urls&gt;&lt;/record&gt;&lt;/Cite&gt;&lt;/EndNote&gt;</w:instrText>
      </w:r>
      <w:r w:rsidRPr="00BB2207">
        <w:rPr>
          <w:rFonts w:eastAsia="Times New Roman" w:cstheme="majorBidi"/>
          <w:color w:val="000000" w:themeColor="text1"/>
          <w:sz w:val="24"/>
          <w:szCs w:val="24"/>
          <w:lang w:eastAsia="en-AU"/>
        </w:rPr>
        <w:fldChar w:fldCharType="separate"/>
      </w:r>
      <w:r w:rsidRPr="00BB2207">
        <w:rPr>
          <w:rFonts w:eastAsia="Times New Roman" w:cstheme="majorBidi"/>
          <w:noProof/>
          <w:color w:val="000000" w:themeColor="text1"/>
          <w:sz w:val="24"/>
          <w:szCs w:val="24"/>
          <w:lang w:eastAsia="en-AU"/>
        </w:rPr>
        <w:t>(Jerrard &amp; Heap, 2010)</w:t>
      </w:r>
      <w:r w:rsidRPr="00BB2207">
        <w:rPr>
          <w:rFonts w:eastAsia="Times New Roman" w:cstheme="majorBidi"/>
          <w:color w:val="000000" w:themeColor="text1"/>
          <w:sz w:val="24"/>
          <w:szCs w:val="24"/>
          <w:lang w:eastAsia="en-AU"/>
        </w:rPr>
        <w:fldChar w:fldCharType="end"/>
      </w:r>
      <w:r w:rsidRPr="00BB2207">
        <w:rPr>
          <w:rFonts w:eastAsia="Times New Roman" w:cstheme="majorBidi"/>
          <w:color w:val="000000" w:themeColor="text1"/>
          <w:sz w:val="24"/>
          <w:szCs w:val="24"/>
          <w:lang w:eastAsia="en-AU"/>
        </w:rPr>
        <w:t>.</w:t>
      </w:r>
    </w:p>
    <w:p w:rsidR="00BB2207" w:rsidRPr="00BB2207" w:rsidRDefault="00BB2207" w:rsidP="00483CC0">
      <w:pPr>
        <w:pStyle w:val="ListParagraph"/>
        <w:numPr>
          <w:ilvl w:val="0"/>
          <w:numId w:val="28"/>
        </w:numPr>
        <w:spacing w:after="0" w:line="360" w:lineRule="auto"/>
        <w:ind w:left="1276" w:hanging="425"/>
        <w:jc w:val="both"/>
        <w:rPr>
          <w:rFonts w:cstheme="majorBidi"/>
          <w:color w:val="000000" w:themeColor="text1"/>
          <w:sz w:val="24"/>
          <w:szCs w:val="24"/>
        </w:rPr>
      </w:pPr>
      <w:r w:rsidRPr="00BB2207">
        <w:rPr>
          <w:rFonts w:eastAsia="Times New Roman" w:cstheme="majorBidi"/>
          <w:color w:val="000000" w:themeColor="text1"/>
          <w:sz w:val="24"/>
          <w:szCs w:val="24"/>
          <w:lang w:eastAsia="en-AU"/>
        </w:rPr>
        <w:t xml:space="preserve">The Maritime Union of Australia has formed a community alliance that benefits seafarers when on shore with the establishment of and fundraising for the Stella Maris Seafarers’ Centre in Melbourne </w:t>
      </w:r>
      <w:r w:rsidRPr="00BB2207">
        <w:rPr>
          <w:rFonts w:eastAsia="Times New Roman" w:cstheme="majorBidi"/>
          <w:color w:val="000000" w:themeColor="text1"/>
          <w:sz w:val="24"/>
          <w:szCs w:val="24"/>
          <w:lang w:eastAsia="en-AU"/>
        </w:rPr>
        <w:fldChar w:fldCharType="begin"/>
      </w:r>
      <w:r w:rsidRPr="00BB2207">
        <w:rPr>
          <w:rFonts w:eastAsia="Times New Roman" w:cstheme="majorBidi"/>
          <w:color w:val="000000" w:themeColor="text1"/>
          <w:sz w:val="24"/>
          <w:szCs w:val="24"/>
          <w:lang w:eastAsia="en-AU"/>
        </w:rPr>
        <w:instrText xml:space="preserve"> ADDIN EN.CITE &lt;EndNote&gt;&lt;Cite&gt;&lt;Author&gt;Jerrard&lt;/Author&gt;&lt;Year&gt;2009&lt;/Year&gt;&lt;RecNum&gt;29&lt;/RecNum&gt;&lt;DisplayText&gt;(Jerrard, Cockfield, &amp;amp; Buttigieg, 2009)&lt;/DisplayText&gt;&lt;record&gt;&lt;rec-number&gt;29&lt;/rec-number&gt;&lt;foreign-keys&gt;&lt;key app="EN" db-id="xe9w25v07zaw5hev9v0p2xz5fwzxxrfx0t50" timestamp="1426048366"&gt;29&lt;/key&gt;&lt;/foreign-keys&gt;&lt;ref-type name="Book Section"&gt;5&lt;/ref-type&gt;&lt;contributors&gt;&lt;authors&gt;&lt;author&gt;Jerrard, M.&lt;/author&gt;&lt;author&gt;Cockfield, S.&lt;/author&gt;&lt;author&gt;Buttigieg, D.&lt;/author&gt;&lt;/authors&gt;&lt;secondary-authors&gt;&lt;author&gt;Gall, G.&lt;/author&gt;&lt;/secondary-authors&gt;&lt;/contributors&gt;&lt;titles&gt;&lt;title&gt;The ‘servicing-organising-community continuum’: Where are Australian unions today?&lt;/title&gt;&lt;secondary-title&gt;The Future of Union Organising: Building for Tomorrow&lt;/secondary-title&gt;&lt;/titles&gt;&lt;pages&gt;97-113&lt;/pages&gt;&lt;dates&gt;&lt;year&gt;2009&lt;/year&gt;&lt;/dates&gt;&lt;pub-location&gt;Basingstoke&lt;/pub-location&gt;&lt;publisher&gt;Palgrave Macmillan&lt;/publisher&gt;&lt;urls&gt;&lt;/urls&gt;&lt;/record&gt;&lt;/Cite&gt;&lt;/EndNote&gt;</w:instrText>
      </w:r>
      <w:r w:rsidRPr="00BB2207">
        <w:rPr>
          <w:rFonts w:eastAsia="Times New Roman" w:cstheme="majorBidi"/>
          <w:color w:val="000000" w:themeColor="text1"/>
          <w:sz w:val="24"/>
          <w:szCs w:val="24"/>
          <w:lang w:eastAsia="en-AU"/>
        </w:rPr>
        <w:fldChar w:fldCharType="separate"/>
      </w:r>
      <w:r w:rsidRPr="00BB2207">
        <w:rPr>
          <w:rFonts w:eastAsia="Times New Roman" w:cstheme="majorBidi"/>
          <w:noProof/>
          <w:color w:val="000000" w:themeColor="text1"/>
          <w:sz w:val="24"/>
          <w:szCs w:val="24"/>
          <w:lang w:eastAsia="en-AU"/>
        </w:rPr>
        <w:t>(Jerrard, Cockfield, &amp; Buttigieg, 2009)</w:t>
      </w:r>
      <w:r w:rsidRPr="00BB2207">
        <w:rPr>
          <w:rFonts w:eastAsia="Times New Roman" w:cstheme="majorBidi"/>
          <w:color w:val="000000" w:themeColor="text1"/>
          <w:sz w:val="24"/>
          <w:szCs w:val="24"/>
          <w:lang w:eastAsia="en-AU"/>
        </w:rPr>
        <w:fldChar w:fldCharType="end"/>
      </w:r>
      <w:r w:rsidRPr="00BB2207">
        <w:rPr>
          <w:rFonts w:eastAsia="Times New Roman" w:cstheme="majorBidi"/>
          <w:color w:val="000000" w:themeColor="text1"/>
          <w:sz w:val="24"/>
          <w:szCs w:val="24"/>
          <w:lang w:eastAsia="en-AU"/>
        </w:rPr>
        <w:t>.</w:t>
      </w:r>
    </w:p>
    <w:p w:rsidR="005A0DCE" w:rsidRDefault="005A0DCE" w:rsidP="005A0DCE">
      <w:pPr>
        <w:pStyle w:val="ListParagraph"/>
        <w:spacing w:after="0" w:line="360" w:lineRule="auto"/>
        <w:ind w:left="709"/>
        <w:jc w:val="both"/>
        <w:rPr>
          <w:rFonts w:cstheme="majorBidi"/>
          <w:sz w:val="24"/>
          <w:szCs w:val="24"/>
        </w:rPr>
      </w:pPr>
    </w:p>
    <w:p w:rsidR="00312B35" w:rsidRPr="00312B35" w:rsidRDefault="00312B35" w:rsidP="00312B35">
      <w:pPr>
        <w:pStyle w:val="ListParagraph"/>
        <w:numPr>
          <w:ilvl w:val="1"/>
          <w:numId w:val="27"/>
        </w:numPr>
        <w:spacing w:after="0" w:line="360" w:lineRule="auto"/>
        <w:ind w:left="709" w:hanging="709"/>
        <w:jc w:val="both"/>
        <w:rPr>
          <w:rFonts w:cstheme="majorBidi"/>
          <w:sz w:val="24"/>
          <w:szCs w:val="24"/>
        </w:rPr>
      </w:pPr>
      <w:r>
        <w:rPr>
          <w:rFonts w:cstheme="majorBidi"/>
          <w:b/>
          <w:sz w:val="24"/>
          <w:szCs w:val="24"/>
        </w:rPr>
        <w:lastRenderedPageBreak/>
        <w:t>Direct voice</w:t>
      </w:r>
    </w:p>
    <w:p w:rsidR="00BB2207" w:rsidRDefault="001F296D" w:rsidP="0049486E">
      <w:pPr>
        <w:pStyle w:val="ListParagraph"/>
        <w:spacing w:after="0" w:line="360" w:lineRule="auto"/>
        <w:ind w:left="709"/>
        <w:jc w:val="both"/>
        <w:rPr>
          <w:rFonts w:cstheme="majorBidi"/>
          <w:sz w:val="24"/>
          <w:szCs w:val="24"/>
        </w:rPr>
      </w:pPr>
      <w:r w:rsidRPr="005A0DCE">
        <w:rPr>
          <w:rFonts w:cstheme="majorBidi"/>
          <w:sz w:val="24"/>
          <w:szCs w:val="24"/>
        </w:rPr>
        <w:t xml:space="preserve">The </w:t>
      </w:r>
      <w:r w:rsidR="00BB2207" w:rsidRPr="005A0DCE">
        <w:rPr>
          <w:rFonts w:cstheme="majorBidi"/>
          <w:sz w:val="24"/>
          <w:szCs w:val="24"/>
        </w:rPr>
        <w:t xml:space="preserve">AWRPS surveys show that direct voice, that is, two-way communication between management and individual employees without the intermediation of a third party is increasingly common in Australian workplaces. Using ordered probit regression analyses, we found that direct voice underpins employees’ global job satisfaction in the workplace </w:t>
      </w:r>
      <w:r w:rsidR="00BB2207">
        <w:rPr>
          <w:rFonts w:cstheme="majorBidi"/>
          <w:sz w:val="24"/>
          <w:szCs w:val="24"/>
        </w:rPr>
        <w:fldChar w:fldCharType="begin"/>
      </w:r>
      <w:r w:rsidR="00BB2207">
        <w:rPr>
          <w:rFonts w:cstheme="majorBidi"/>
          <w:sz w:val="24"/>
          <w:szCs w:val="24"/>
        </w:rPr>
        <w:instrText xml:space="preserve"> ADDIN EN.CITE &lt;EndNote&gt;&lt;Cite&gt;&lt;Author&gt;Holland&lt;/Author&gt;&lt;Year&gt;2012&lt;/Year&gt;&lt;RecNum&gt;1&lt;/RecNum&gt;&lt;DisplayText&gt;(Holland, Cooper, Pyman, &amp;amp; Teicher, 2012)&lt;/DisplayText&gt;&lt;record&gt;&lt;rec-number&gt;1&lt;/rec-number&gt;&lt;foreign-keys&gt;&lt;key app="EN" db-id="xe9w25v07zaw5hev9v0p2xz5fwzxxrfx0t50" timestamp="1426041556"&gt;1&lt;/key&gt;&lt;/foreign-keys&gt;&lt;ref-type name="Journal Article"&gt;17&lt;/ref-type&gt;&lt;contributors&gt;&lt;authors&gt;&lt;author&gt;Holland, P.&lt;/author&gt;&lt;author&gt;Cooper, B.&lt;/author&gt;&lt;author&gt;Pyman, A.&lt;/author&gt;&lt;author&gt;Teicher, J.&lt;/author&gt;&lt;/authors&gt;&lt;/contributors&gt;&lt;titles&gt;&lt;title&gt;Trust in management: The role of employee voice arrangements and perceived managerial opposition to unions&lt;/title&gt;&lt;secondary-title&gt;Human Resource Management (UK)&lt;/secondary-title&gt;&lt;/titles&gt;&lt;periodical&gt;&lt;full-title&gt;Human Resource Management (UK)&lt;/full-title&gt;&lt;/periodical&gt;&lt;pages&gt;377-391&lt;/pages&gt;&lt;volume&gt;22&lt;/volume&gt;&lt;number&gt;4&lt;/number&gt;&lt;dates&gt;&lt;year&gt;2012&lt;/year&gt;&lt;/dates&gt;&lt;urls&gt;&lt;/urls&gt;&lt;/record&gt;&lt;/Cite&gt;&lt;/EndNote&gt;</w:instrText>
      </w:r>
      <w:r w:rsidR="00BB2207">
        <w:rPr>
          <w:rFonts w:cstheme="majorBidi"/>
          <w:sz w:val="24"/>
          <w:szCs w:val="24"/>
        </w:rPr>
        <w:fldChar w:fldCharType="separate"/>
      </w:r>
      <w:r w:rsidR="00BB2207">
        <w:rPr>
          <w:rFonts w:cstheme="majorBidi"/>
          <w:noProof/>
          <w:sz w:val="24"/>
          <w:szCs w:val="24"/>
        </w:rPr>
        <w:t>(Holland, Cooper, Pyman, &amp; Teicher, 2012)</w:t>
      </w:r>
      <w:r w:rsidR="00BB2207">
        <w:rPr>
          <w:rFonts w:cstheme="majorBidi"/>
          <w:sz w:val="24"/>
          <w:szCs w:val="24"/>
        </w:rPr>
        <w:fldChar w:fldCharType="end"/>
      </w:r>
      <w:r w:rsidR="00BB2207" w:rsidRPr="005A0DCE">
        <w:rPr>
          <w:rFonts w:cstheme="majorBidi"/>
          <w:sz w:val="24"/>
          <w:szCs w:val="24"/>
        </w:rPr>
        <w:t>. The link between direct employee voice and organisational outcomes is important when considering how employers can best engage employees</w:t>
      </w:r>
      <w:r w:rsidR="00181EB9">
        <w:rPr>
          <w:rFonts w:cstheme="majorBidi"/>
          <w:sz w:val="24"/>
          <w:szCs w:val="24"/>
        </w:rPr>
        <w:t xml:space="preserve">. There is now </w:t>
      </w:r>
      <w:r w:rsidR="00BB2207" w:rsidRPr="005A0DCE">
        <w:rPr>
          <w:rFonts w:cstheme="majorBidi"/>
          <w:sz w:val="24"/>
          <w:szCs w:val="24"/>
        </w:rPr>
        <w:t xml:space="preserve">a large body of research in </w:t>
      </w:r>
      <w:r w:rsidR="00181EB9">
        <w:rPr>
          <w:rFonts w:cstheme="majorBidi"/>
          <w:sz w:val="24"/>
          <w:szCs w:val="24"/>
        </w:rPr>
        <w:t xml:space="preserve">the areas of </w:t>
      </w:r>
      <w:r w:rsidR="00BB2207" w:rsidRPr="005A0DCE">
        <w:rPr>
          <w:rFonts w:cstheme="majorBidi"/>
          <w:sz w:val="24"/>
          <w:szCs w:val="24"/>
        </w:rPr>
        <w:t>organisational behaviour</w:t>
      </w:r>
      <w:r w:rsidR="00181EB9">
        <w:rPr>
          <w:rFonts w:cstheme="majorBidi"/>
          <w:sz w:val="24"/>
          <w:szCs w:val="24"/>
        </w:rPr>
        <w:t>,</w:t>
      </w:r>
      <w:r w:rsidR="00BB2207" w:rsidRPr="005A0DCE">
        <w:rPr>
          <w:rFonts w:cstheme="majorBidi"/>
          <w:sz w:val="24"/>
          <w:szCs w:val="24"/>
        </w:rPr>
        <w:t xml:space="preserve"> human resources management</w:t>
      </w:r>
      <w:r w:rsidR="00181EB9">
        <w:rPr>
          <w:rFonts w:cstheme="majorBidi"/>
          <w:sz w:val="24"/>
          <w:szCs w:val="24"/>
        </w:rPr>
        <w:t xml:space="preserve"> and </w:t>
      </w:r>
      <w:r w:rsidR="00BB2207" w:rsidRPr="005A0DCE">
        <w:rPr>
          <w:rFonts w:cstheme="majorBidi"/>
          <w:sz w:val="24"/>
          <w:szCs w:val="24"/>
        </w:rPr>
        <w:t>workplace relations</w:t>
      </w:r>
      <w:r w:rsidR="00181EB9">
        <w:rPr>
          <w:rFonts w:cstheme="majorBidi"/>
          <w:sz w:val="24"/>
          <w:szCs w:val="24"/>
        </w:rPr>
        <w:t xml:space="preserve"> demonstrating </w:t>
      </w:r>
      <w:r w:rsidR="00BB2207" w:rsidRPr="005A0DCE">
        <w:rPr>
          <w:rFonts w:cstheme="majorBidi"/>
          <w:sz w:val="24"/>
          <w:szCs w:val="24"/>
        </w:rPr>
        <w:t xml:space="preserve">that job satisfaction is associated with a range of other desirable individual and organisational outcomes including employee engagement, and commitment </w:t>
      </w:r>
      <w:r w:rsidR="00B05886">
        <w:rPr>
          <w:rFonts w:cstheme="majorBidi"/>
          <w:sz w:val="24"/>
          <w:szCs w:val="24"/>
        </w:rPr>
        <w:fldChar w:fldCharType="begin">
          <w:fldData xml:space="preserve">PEVuZE5vdGU+PENpdGU+PEF1dGhvcj5Db3g8L0F1dGhvcj48WWVhcj4yMDA2PC9ZZWFyPjxSZWNO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</w:fldData>
        </w:fldChar>
      </w:r>
      <w:r w:rsidR="008D5D94">
        <w:rPr>
          <w:rFonts w:cstheme="majorBidi"/>
          <w:sz w:val="24"/>
          <w:szCs w:val="24"/>
        </w:rPr>
        <w:instrText xml:space="preserve"> ADDIN EN.CITE </w:instrText>
      </w:r>
      <w:r w:rsidR="008D5D94">
        <w:rPr>
          <w:rFonts w:cstheme="majorBidi"/>
          <w:sz w:val="24"/>
          <w:szCs w:val="24"/>
        </w:rPr>
        <w:fldChar w:fldCharType="begin">
          <w:fldData xml:space="preserve">PEVuZE5vdGU+PENpdGU+PEF1dGhvcj5Db3g8L0F1dGhvcj48WWVhcj4yMDA2PC9ZZWFyPjxSZWNO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</w:fldData>
        </w:fldChar>
      </w:r>
      <w:r w:rsidR="008D5D94">
        <w:rPr>
          <w:rFonts w:cstheme="majorBidi"/>
          <w:sz w:val="24"/>
          <w:szCs w:val="24"/>
        </w:rPr>
        <w:instrText xml:space="preserve"> ADDIN EN.CITE.DATA </w:instrText>
      </w:r>
      <w:r w:rsidR="008D5D94">
        <w:rPr>
          <w:rFonts w:cstheme="majorBidi"/>
          <w:sz w:val="24"/>
          <w:szCs w:val="24"/>
        </w:rPr>
      </w:r>
      <w:r w:rsidR="008D5D94">
        <w:rPr>
          <w:rFonts w:cstheme="majorBidi"/>
          <w:sz w:val="24"/>
          <w:szCs w:val="24"/>
        </w:rPr>
        <w:fldChar w:fldCharType="end"/>
      </w:r>
      <w:r w:rsidR="00B05886">
        <w:rPr>
          <w:rFonts w:cstheme="majorBidi"/>
          <w:sz w:val="24"/>
          <w:szCs w:val="24"/>
        </w:rPr>
      </w:r>
      <w:r w:rsidR="00B05886">
        <w:rPr>
          <w:rFonts w:cstheme="majorBidi"/>
          <w:sz w:val="24"/>
          <w:szCs w:val="24"/>
        </w:rPr>
        <w:fldChar w:fldCharType="separate"/>
      </w:r>
      <w:r w:rsidR="00B05886">
        <w:rPr>
          <w:rFonts w:cstheme="majorBidi"/>
          <w:noProof/>
          <w:sz w:val="24"/>
          <w:szCs w:val="24"/>
        </w:rPr>
        <w:t>(Cox, Zagelmeyer, &amp; Marchington, 2006; Oshagbemi, 1999; Spector, 1997; Wright, 2006)</w:t>
      </w:r>
      <w:r w:rsidR="00B05886">
        <w:rPr>
          <w:rFonts w:cstheme="majorBidi"/>
          <w:sz w:val="24"/>
          <w:szCs w:val="24"/>
        </w:rPr>
        <w:fldChar w:fldCharType="end"/>
      </w:r>
      <w:r w:rsidR="00B05886">
        <w:rPr>
          <w:rFonts w:cstheme="majorBidi"/>
          <w:sz w:val="24"/>
          <w:szCs w:val="24"/>
        </w:rPr>
        <w:t xml:space="preserve">. </w:t>
      </w:r>
      <w:r w:rsidR="00BB2207" w:rsidRPr="005A0DCE">
        <w:rPr>
          <w:rFonts w:cstheme="majorBidi"/>
          <w:sz w:val="24"/>
          <w:szCs w:val="24"/>
        </w:rPr>
        <w:t>These outcomes, in turn, have been found to be associated with reduced intention to quit and increased performance.</w:t>
      </w:r>
    </w:p>
    <w:p w:rsidR="00BB2207" w:rsidRDefault="00BB2207" w:rsidP="00BB2207">
      <w:pPr>
        <w:spacing w:after="0" w:line="360" w:lineRule="auto"/>
        <w:ind w:left="709"/>
        <w:jc w:val="both"/>
        <w:rPr>
          <w:rFonts w:cstheme="majorBidi"/>
          <w:sz w:val="24"/>
          <w:szCs w:val="24"/>
        </w:rPr>
      </w:pPr>
    </w:p>
    <w:p w:rsidR="00696E95" w:rsidRDefault="001F296D" w:rsidP="00696E95">
      <w:pPr>
        <w:pStyle w:val="ListParagraph"/>
        <w:numPr>
          <w:ilvl w:val="1"/>
          <w:numId w:val="27"/>
        </w:numPr>
        <w:spacing w:after="0" w:line="360" w:lineRule="auto"/>
        <w:ind w:left="709" w:hanging="709"/>
        <w:jc w:val="both"/>
        <w:rPr>
          <w:rFonts w:cstheme="majorBidi"/>
          <w:sz w:val="24"/>
          <w:szCs w:val="24"/>
        </w:rPr>
      </w:pPr>
      <w:r w:rsidRPr="00BB2207">
        <w:rPr>
          <w:rFonts w:cstheme="majorBidi"/>
          <w:sz w:val="24"/>
          <w:szCs w:val="24"/>
        </w:rPr>
        <w:t xml:space="preserve">In another study </w:t>
      </w:r>
      <w:r w:rsidR="00577980" w:rsidRPr="00BB2207">
        <w:rPr>
          <w:rFonts w:cstheme="majorBidi"/>
          <w:sz w:val="24"/>
          <w:szCs w:val="24"/>
        </w:rPr>
        <w:t>of employee voice</w:t>
      </w:r>
      <w:r w:rsidR="00CF71DB">
        <w:rPr>
          <w:rFonts w:cstheme="majorBidi"/>
          <w:sz w:val="24"/>
          <w:szCs w:val="24"/>
        </w:rPr>
        <w:t xml:space="preserve"> </w:t>
      </w:r>
      <w:r w:rsidRPr="00BB2207">
        <w:rPr>
          <w:rFonts w:cstheme="majorBidi"/>
          <w:sz w:val="24"/>
          <w:szCs w:val="24"/>
        </w:rPr>
        <w:t xml:space="preserve">using ordered probit regression analyses </w:t>
      </w:r>
      <w:r w:rsidR="001D7656" w:rsidRPr="00BB2207">
        <w:rPr>
          <w:rFonts w:cstheme="majorBidi"/>
          <w:sz w:val="24"/>
          <w:szCs w:val="24"/>
        </w:rPr>
        <w:fldChar w:fldCharType="begin"/>
      </w:r>
      <w:r w:rsidR="001D7656" w:rsidRPr="00BB2207">
        <w:rPr>
          <w:rFonts w:cstheme="majorBidi"/>
          <w:sz w:val="24"/>
          <w:szCs w:val="24"/>
        </w:rPr>
        <w:instrText xml:space="preserve"> ADDIN EN.CITE &lt;EndNote&gt;&lt;Cite&gt;&lt;Author&gt;Pyman&lt;/Author&gt;&lt;Year&gt;2010&lt;/Year&gt;&lt;RecNum&gt;3&lt;/RecNum&gt;&lt;DisplayText&gt;(Pyman, Holland, Teicher, &amp;amp; Cooper, 2010)&lt;/DisplayText&gt;&lt;record&gt;&lt;rec-number&gt;3&lt;/rec-number&gt;&lt;foreign-keys&gt;&lt;key app="EN" db-id="xe9w25v07zaw5hev9v0p2xz5fwzxxrfx0t50" timestamp="1426041699"&gt;3&lt;/key&gt;&lt;/foreign-keys&gt;&lt;ref-type name="Journal Article"&gt;17&lt;/ref-type&gt;&lt;contributors&gt;&lt;authors&gt;&lt;author&gt;Pyman, A.&lt;/author&gt;&lt;author&gt;Holland, P.&lt;/author&gt;&lt;author&gt;Teicher, J.&lt;/author&gt;&lt;author&gt;Cooper, B.&lt;/author&gt;&lt;/authors&gt;&lt;/contributors&gt;&lt;titles&gt;&lt;title&gt;Industrial relations climate, employee voice and managerial attitudes to unions: An Australian study&lt;/title&gt;&lt;secondary-title&gt;British Journal of Industrial Relations&lt;/secondary-title&gt;&lt;/titles&gt;&lt;periodical&gt;&lt;full-title&gt;British Journal of Industrial Relations&lt;/full-title&gt;&lt;/periodical&gt;&lt;pages&gt;460-480&lt;/pages&gt;&lt;volume&gt;48&lt;/volume&gt;&lt;number&gt;2&lt;/number&gt;&lt;dates&gt;&lt;year&gt;2010&lt;/year&gt;&lt;/dates&gt;&lt;urls&gt;&lt;/urls&gt;&lt;/record&gt;&lt;/Cite&gt;&lt;/EndNote&gt;</w:instrText>
      </w:r>
      <w:r w:rsidR="001D7656" w:rsidRPr="00BB2207">
        <w:rPr>
          <w:rFonts w:cstheme="majorBidi"/>
          <w:sz w:val="24"/>
          <w:szCs w:val="24"/>
        </w:rPr>
        <w:fldChar w:fldCharType="separate"/>
      </w:r>
      <w:r w:rsidR="001D7656" w:rsidRPr="00BB2207">
        <w:rPr>
          <w:rFonts w:cstheme="majorBidi"/>
          <w:noProof/>
          <w:sz w:val="24"/>
          <w:szCs w:val="24"/>
        </w:rPr>
        <w:t>(Pyman, Holland, Teicher, &amp; Cooper, 2010)</w:t>
      </w:r>
      <w:r w:rsidR="001D7656" w:rsidRPr="00BB2207">
        <w:rPr>
          <w:rFonts w:cstheme="majorBidi"/>
          <w:sz w:val="24"/>
          <w:szCs w:val="24"/>
        </w:rPr>
        <w:fldChar w:fldCharType="end"/>
      </w:r>
      <w:r w:rsidRPr="00BB2207">
        <w:rPr>
          <w:rFonts w:cstheme="majorBidi"/>
          <w:sz w:val="24"/>
          <w:szCs w:val="24"/>
        </w:rPr>
        <w:t xml:space="preserve">, </w:t>
      </w:r>
      <w:r w:rsidR="00696E95">
        <w:rPr>
          <w:rFonts w:cstheme="majorBidi"/>
          <w:sz w:val="24"/>
          <w:szCs w:val="24"/>
        </w:rPr>
        <w:t xml:space="preserve">it was </w:t>
      </w:r>
      <w:r w:rsidRPr="00BB2207">
        <w:rPr>
          <w:rFonts w:cstheme="majorBidi"/>
          <w:sz w:val="24"/>
          <w:szCs w:val="24"/>
        </w:rPr>
        <w:t>found that employees</w:t>
      </w:r>
      <w:r w:rsidR="00577980" w:rsidRPr="00BB2207">
        <w:rPr>
          <w:rFonts w:cstheme="majorBidi"/>
          <w:sz w:val="24"/>
          <w:szCs w:val="24"/>
        </w:rPr>
        <w:t>’</w:t>
      </w:r>
      <w:r w:rsidRPr="00BB2207">
        <w:rPr>
          <w:rFonts w:cstheme="majorBidi"/>
          <w:sz w:val="24"/>
          <w:szCs w:val="24"/>
        </w:rPr>
        <w:t xml:space="preserve"> perceptions of the industrial relations climate are more likely to be favourable if they have access to direct-only voice arrangements. Where management is perceived by employees to oppose unions (in unionised workplaces), the industrial relations climate is more likely to be reported as poor</w:t>
      </w:r>
      <w:r w:rsidR="00AD0ED0">
        <w:rPr>
          <w:rFonts w:cstheme="majorBidi"/>
          <w:sz w:val="24"/>
          <w:szCs w:val="24"/>
        </w:rPr>
        <w:t>er</w:t>
      </w:r>
      <w:r w:rsidRPr="00BB2207">
        <w:rPr>
          <w:rFonts w:cstheme="majorBidi"/>
          <w:sz w:val="24"/>
          <w:szCs w:val="24"/>
        </w:rPr>
        <w:t>. Industrial relations climate is a function of work patterns and practices and perceived management attitudes and is linked to organisational performance. Our findings show a positive relationship between direct voice and employees’ perceptions of the industrial relations climate</w:t>
      </w:r>
      <w:r w:rsidR="00696E95">
        <w:rPr>
          <w:rFonts w:cstheme="majorBidi"/>
          <w:sz w:val="24"/>
          <w:szCs w:val="24"/>
        </w:rPr>
        <w:t xml:space="preserve">; see </w:t>
      </w:r>
      <w:r w:rsidRPr="00BB2207">
        <w:rPr>
          <w:rFonts w:cstheme="majorBidi"/>
          <w:sz w:val="24"/>
          <w:szCs w:val="24"/>
        </w:rPr>
        <w:t>Tables 1 and 2.</w:t>
      </w:r>
      <w:r w:rsidR="00696E95">
        <w:rPr>
          <w:rFonts w:cstheme="majorBidi"/>
          <w:sz w:val="24"/>
          <w:szCs w:val="24"/>
        </w:rPr>
        <w:t xml:space="preserve"> </w:t>
      </w:r>
      <w:r w:rsidR="00696E95" w:rsidRPr="003127C8">
        <w:rPr>
          <w:rFonts w:cstheme="majorBidi"/>
          <w:sz w:val="24"/>
          <w:szCs w:val="24"/>
        </w:rPr>
        <w:t>Our findings on the relationship between employee voice arrangements and the industrial relations climate are evidence that trust is a critical aspect of d</w:t>
      </w:r>
      <w:r w:rsidR="00696E95" w:rsidRPr="008B3607">
        <w:rPr>
          <w:rFonts w:cstheme="majorBidi"/>
          <w:sz w:val="24"/>
          <w:szCs w:val="24"/>
        </w:rPr>
        <w:t xml:space="preserve">eveloping cooperative workplace </w:t>
      </w:r>
      <w:r w:rsidR="00696E95" w:rsidRPr="003127C8">
        <w:rPr>
          <w:rFonts w:cstheme="majorBidi"/>
          <w:sz w:val="24"/>
          <w:szCs w:val="24"/>
        </w:rPr>
        <w:t>relations and therefore engaging employees</w:t>
      </w:r>
      <w:r w:rsidR="00696E95">
        <w:rPr>
          <w:rFonts w:cstheme="majorBidi"/>
          <w:sz w:val="24"/>
          <w:szCs w:val="24"/>
        </w:rPr>
        <w:t xml:space="preserve">. </w:t>
      </w:r>
    </w:p>
    <w:p w:rsidR="00D81C35" w:rsidRDefault="00D81C35" w:rsidP="00D81C35">
      <w:pPr>
        <w:spacing w:after="0" w:line="360" w:lineRule="auto"/>
        <w:jc w:val="both"/>
        <w:rPr>
          <w:rFonts w:cstheme="majorBidi"/>
          <w:sz w:val="24"/>
          <w:szCs w:val="24"/>
        </w:rPr>
      </w:pPr>
    </w:p>
    <w:p w:rsidR="00D81C35" w:rsidRPr="00D81C35" w:rsidRDefault="00D81C35" w:rsidP="00D81C35">
      <w:pPr>
        <w:spacing w:after="0" w:line="360" w:lineRule="auto"/>
        <w:jc w:val="both"/>
        <w:rPr>
          <w:rFonts w:cstheme="majorBidi"/>
          <w:sz w:val="24"/>
          <w:szCs w:val="24"/>
        </w:rPr>
      </w:pPr>
    </w:p>
    <w:p w:rsidR="001F296D" w:rsidRDefault="001F296D" w:rsidP="00696E95">
      <w:pPr>
        <w:pStyle w:val="ListParagraph"/>
        <w:spacing w:after="0" w:line="360" w:lineRule="auto"/>
        <w:ind w:left="709"/>
        <w:jc w:val="both"/>
        <w:rPr>
          <w:rFonts w:cstheme="majorBidi"/>
          <w:sz w:val="24"/>
          <w:szCs w:val="24"/>
        </w:rPr>
      </w:pPr>
    </w:p>
    <w:p w:rsidR="0049486E" w:rsidRDefault="0049486E">
      <w:pPr>
        <w:rPr>
          <w:rFonts w:cstheme="majorBidi"/>
          <w:b/>
          <w:sz w:val="24"/>
          <w:szCs w:val="24"/>
        </w:rPr>
      </w:pPr>
      <w:r>
        <w:rPr>
          <w:rFonts w:cstheme="majorBidi"/>
          <w:b/>
          <w:sz w:val="24"/>
          <w:szCs w:val="24"/>
        </w:rPr>
        <w:br w:type="page"/>
      </w:r>
    </w:p>
    <w:p w:rsidR="001F296D" w:rsidRPr="00312B35" w:rsidRDefault="00D52755" w:rsidP="00CA3D1B">
      <w:pPr>
        <w:spacing w:after="0" w:line="240" w:lineRule="auto"/>
        <w:rPr>
          <w:rFonts w:cstheme="majorBidi"/>
          <w:b/>
          <w:sz w:val="24"/>
          <w:szCs w:val="24"/>
        </w:rPr>
      </w:pPr>
      <w:r w:rsidRPr="00312B35">
        <w:rPr>
          <w:rFonts w:cstheme="majorBidi"/>
          <w:b/>
          <w:sz w:val="24"/>
          <w:szCs w:val="24"/>
        </w:rPr>
        <w:lastRenderedPageBreak/>
        <w:t>Table 1</w:t>
      </w:r>
      <w:r w:rsidR="00312B35" w:rsidRPr="00312B35">
        <w:rPr>
          <w:rFonts w:cstheme="majorBidi"/>
          <w:b/>
          <w:sz w:val="24"/>
          <w:szCs w:val="24"/>
        </w:rPr>
        <w:t>:</w:t>
      </w:r>
      <w:r w:rsidRPr="00312B35">
        <w:rPr>
          <w:rFonts w:cstheme="majorBidi"/>
          <w:b/>
          <w:sz w:val="24"/>
          <w:szCs w:val="24"/>
        </w:rPr>
        <w:t xml:space="preserve"> </w:t>
      </w:r>
      <w:r w:rsidR="001F296D" w:rsidRPr="00312B35">
        <w:rPr>
          <w:rFonts w:cstheme="majorBidi"/>
          <w:b/>
          <w:sz w:val="24"/>
          <w:szCs w:val="24"/>
        </w:rPr>
        <w:t>Distribution of Voice Arrangements: 2007 Australian Worker Representation and Participation Survey</w:t>
      </w:r>
    </w:p>
    <w:p w:rsidR="00CA3D1B" w:rsidRPr="00C60203" w:rsidRDefault="00CA3D1B" w:rsidP="00CA3D1B">
      <w:pPr>
        <w:spacing w:after="0" w:line="240" w:lineRule="auto"/>
        <w:rPr>
          <w:rFonts w:cstheme="majorBidi"/>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2"/>
        <w:gridCol w:w="1623"/>
      </w:tblGrid>
      <w:tr w:rsidR="001F296D" w:rsidRPr="00C60203" w:rsidTr="005D35FC">
        <w:trPr>
          <w:jc w:val="center"/>
        </w:trPr>
        <w:tc>
          <w:tcPr>
            <w:tcW w:w="6182" w:type="dxa"/>
            <w:tcBorders>
              <w:top w:val="single" w:sz="4" w:space="0" w:color="auto"/>
              <w:bottom w:val="single" w:sz="4" w:space="0" w:color="auto"/>
            </w:tcBorders>
            <w:vAlign w:val="center"/>
          </w:tcPr>
          <w:p w:rsidR="001F296D" w:rsidRPr="00C60203" w:rsidRDefault="001F296D" w:rsidP="00CA3D1B">
            <w:pPr>
              <w:spacing w:line="360" w:lineRule="auto"/>
              <w:rPr>
                <w:rFonts w:cstheme="majorBidi"/>
                <w:b/>
                <w:bCs/>
                <w:sz w:val="24"/>
                <w:szCs w:val="24"/>
              </w:rPr>
            </w:pPr>
            <w:r w:rsidRPr="00C60203">
              <w:rPr>
                <w:rFonts w:cstheme="majorBidi"/>
                <w:b/>
                <w:bCs/>
                <w:sz w:val="24"/>
                <w:szCs w:val="24"/>
              </w:rPr>
              <w:t>Voice Arrangements</w:t>
            </w:r>
          </w:p>
        </w:tc>
        <w:tc>
          <w:tcPr>
            <w:tcW w:w="1623" w:type="dxa"/>
            <w:tcBorders>
              <w:top w:val="single" w:sz="4" w:space="0" w:color="auto"/>
              <w:bottom w:val="single" w:sz="4" w:space="0" w:color="auto"/>
            </w:tcBorders>
            <w:vAlign w:val="center"/>
          </w:tcPr>
          <w:p w:rsidR="001F296D" w:rsidRPr="00C60203" w:rsidRDefault="001F296D" w:rsidP="00CA3D1B">
            <w:pPr>
              <w:spacing w:line="360" w:lineRule="auto"/>
              <w:jc w:val="center"/>
              <w:rPr>
                <w:rFonts w:cstheme="majorBidi"/>
                <w:b/>
                <w:bCs/>
                <w:sz w:val="24"/>
                <w:szCs w:val="24"/>
              </w:rPr>
            </w:pPr>
            <w:r w:rsidRPr="00C60203">
              <w:rPr>
                <w:rFonts w:cstheme="majorBidi"/>
                <w:b/>
                <w:bCs/>
                <w:sz w:val="24"/>
                <w:szCs w:val="24"/>
              </w:rPr>
              <w:t>%</w:t>
            </w:r>
          </w:p>
        </w:tc>
      </w:tr>
      <w:tr w:rsidR="001F296D" w:rsidRPr="00C60203" w:rsidTr="005D35FC">
        <w:trPr>
          <w:jc w:val="center"/>
        </w:trPr>
        <w:tc>
          <w:tcPr>
            <w:tcW w:w="6182" w:type="dxa"/>
            <w:tcBorders>
              <w:top w:val="single" w:sz="4" w:space="0" w:color="auto"/>
            </w:tcBorders>
            <w:vAlign w:val="center"/>
          </w:tcPr>
          <w:p w:rsidR="001F296D" w:rsidRPr="00C60203" w:rsidRDefault="001F296D" w:rsidP="00CA3D1B">
            <w:pPr>
              <w:spacing w:line="360" w:lineRule="auto"/>
              <w:rPr>
                <w:rFonts w:cstheme="majorBidi"/>
                <w:sz w:val="24"/>
                <w:szCs w:val="24"/>
              </w:rPr>
            </w:pPr>
            <w:r w:rsidRPr="00C60203">
              <w:rPr>
                <w:rFonts w:cstheme="majorBidi"/>
                <w:sz w:val="24"/>
                <w:szCs w:val="24"/>
              </w:rPr>
              <w:t>Union only</w:t>
            </w:r>
          </w:p>
        </w:tc>
        <w:tc>
          <w:tcPr>
            <w:tcW w:w="1623" w:type="dxa"/>
            <w:tcBorders>
              <w:top w:val="single" w:sz="4" w:space="0" w:color="auto"/>
            </w:tcBorders>
            <w:vAlign w:val="center"/>
          </w:tcPr>
          <w:p w:rsidR="001F296D" w:rsidRPr="00C60203" w:rsidRDefault="001F296D" w:rsidP="00CA3D1B">
            <w:pPr>
              <w:spacing w:line="360" w:lineRule="auto"/>
              <w:jc w:val="center"/>
              <w:rPr>
                <w:rFonts w:cstheme="majorBidi"/>
                <w:sz w:val="24"/>
                <w:szCs w:val="24"/>
              </w:rPr>
            </w:pPr>
            <w:r w:rsidRPr="00C60203">
              <w:rPr>
                <w:rFonts w:cstheme="majorBidi"/>
                <w:sz w:val="24"/>
                <w:szCs w:val="24"/>
              </w:rPr>
              <w:t>12.1</w:t>
            </w:r>
          </w:p>
        </w:tc>
      </w:tr>
      <w:tr w:rsidR="001F296D" w:rsidRPr="00C60203" w:rsidTr="005D35FC">
        <w:trPr>
          <w:jc w:val="center"/>
        </w:trPr>
        <w:tc>
          <w:tcPr>
            <w:tcW w:w="6182" w:type="dxa"/>
            <w:vAlign w:val="center"/>
          </w:tcPr>
          <w:p w:rsidR="001F296D" w:rsidRPr="00C60203" w:rsidRDefault="001F296D" w:rsidP="00CA3D1B">
            <w:pPr>
              <w:spacing w:line="360" w:lineRule="auto"/>
              <w:rPr>
                <w:rFonts w:cstheme="majorBidi"/>
                <w:sz w:val="24"/>
                <w:szCs w:val="24"/>
              </w:rPr>
            </w:pPr>
            <w:r w:rsidRPr="00C60203">
              <w:rPr>
                <w:rFonts w:cstheme="majorBidi"/>
                <w:sz w:val="24"/>
                <w:szCs w:val="24"/>
              </w:rPr>
              <w:t>Direct only</w:t>
            </w:r>
          </w:p>
        </w:tc>
        <w:tc>
          <w:tcPr>
            <w:tcW w:w="1623" w:type="dxa"/>
            <w:vAlign w:val="center"/>
          </w:tcPr>
          <w:p w:rsidR="001F296D" w:rsidRPr="00C60203" w:rsidRDefault="001F296D" w:rsidP="00CA3D1B">
            <w:pPr>
              <w:spacing w:line="360" w:lineRule="auto"/>
              <w:jc w:val="center"/>
              <w:rPr>
                <w:rFonts w:cstheme="majorBidi"/>
                <w:sz w:val="24"/>
                <w:szCs w:val="24"/>
              </w:rPr>
            </w:pPr>
            <w:r w:rsidRPr="00C60203">
              <w:rPr>
                <w:rFonts w:cstheme="majorBidi"/>
                <w:sz w:val="24"/>
                <w:szCs w:val="24"/>
              </w:rPr>
              <w:t>27.5</w:t>
            </w:r>
          </w:p>
        </w:tc>
      </w:tr>
      <w:tr w:rsidR="001F296D" w:rsidRPr="00C60203" w:rsidTr="005D35FC">
        <w:trPr>
          <w:jc w:val="center"/>
        </w:trPr>
        <w:tc>
          <w:tcPr>
            <w:tcW w:w="6182" w:type="dxa"/>
            <w:vAlign w:val="center"/>
          </w:tcPr>
          <w:p w:rsidR="001F296D" w:rsidRPr="00C60203" w:rsidRDefault="001F296D" w:rsidP="00CA3D1B">
            <w:pPr>
              <w:spacing w:line="360" w:lineRule="auto"/>
              <w:rPr>
                <w:rFonts w:cstheme="majorBidi"/>
                <w:sz w:val="24"/>
                <w:szCs w:val="24"/>
              </w:rPr>
            </w:pPr>
            <w:r w:rsidRPr="00C60203">
              <w:rPr>
                <w:rFonts w:cstheme="majorBidi"/>
                <w:sz w:val="24"/>
                <w:szCs w:val="24"/>
              </w:rPr>
              <w:t>Union and direct (dual-channel/hybrid)</w:t>
            </w:r>
          </w:p>
        </w:tc>
        <w:tc>
          <w:tcPr>
            <w:tcW w:w="1623" w:type="dxa"/>
            <w:vAlign w:val="center"/>
          </w:tcPr>
          <w:p w:rsidR="001F296D" w:rsidRPr="00C60203" w:rsidRDefault="001F296D" w:rsidP="00CA3D1B">
            <w:pPr>
              <w:spacing w:line="360" w:lineRule="auto"/>
              <w:jc w:val="center"/>
              <w:rPr>
                <w:rFonts w:cstheme="majorBidi"/>
                <w:sz w:val="24"/>
                <w:szCs w:val="24"/>
              </w:rPr>
            </w:pPr>
            <w:r w:rsidRPr="00C60203">
              <w:rPr>
                <w:rFonts w:cstheme="majorBidi"/>
                <w:sz w:val="24"/>
                <w:szCs w:val="24"/>
              </w:rPr>
              <w:t>23.0</w:t>
            </w:r>
          </w:p>
        </w:tc>
      </w:tr>
      <w:tr w:rsidR="001F296D" w:rsidRPr="00C60203" w:rsidTr="005D35FC">
        <w:trPr>
          <w:jc w:val="center"/>
        </w:trPr>
        <w:tc>
          <w:tcPr>
            <w:tcW w:w="6182" w:type="dxa"/>
            <w:vAlign w:val="center"/>
          </w:tcPr>
          <w:p w:rsidR="001F296D" w:rsidRPr="00C60203" w:rsidRDefault="001F296D" w:rsidP="00CA3D1B">
            <w:pPr>
              <w:spacing w:line="360" w:lineRule="auto"/>
              <w:rPr>
                <w:rFonts w:cstheme="majorBidi"/>
                <w:sz w:val="24"/>
                <w:szCs w:val="24"/>
              </w:rPr>
            </w:pPr>
            <w:r w:rsidRPr="00C60203">
              <w:rPr>
                <w:rFonts w:cstheme="majorBidi"/>
                <w:sz w:val="24"/>
                <w:szCs w:val="24"/>
              </w:rPr>
              <w:t>Neither union nor direct voice</w:t>
            </w:r>
          </w:p>
        </w:tc>
        <w:tc>
          <w:tcPr>
            <w:tcW w:w="1623" w:type="dxa"/>
            <w:vAlign w:val="center"/>
          </w:tcPr>
          <w:p w:rsidR="001F296D" w:rsidRPr="00C60203" w:rsidRDefault="001F296D" w:rsidP="00CA3D1B">
            <w:pPr>
              <w:spacing w:line="360" w:lineRule="auto"/>
              <w:jc w:val="center"/>
              <w:rPr>
                <w:rFonts w:cstheme="majorBidi"/>
                <w:sz w:val="24"/>
                <w:szCs w:val="24"/>
              </w:rPr>
            </w:pPr>
            <w:r w:rsidRPr="00C60203">
              <w:rPr>
                <w:rFonts w:cstheme="majorBidi"/>
                <w:sz w:val="24"/>
                <w:szCs w:val="24"/>
              </w:rPr>
              <w:t>23.8</w:t>
            </w:r>
          </w:p>
        </w:tc>
      </w:tr>
      <w:tr w:rsidR="001F296D" w:rsidRPr="00C60203" w:rsidTr="005D35FC">
        <w:trPr>
          <w:jc w:val="center"/>
        </w:trPr>
        <w:tc>
          <w:tcPr>
            <w:tcW w:w="6182" w:type="dxa"/>
            <w:vAlign w:val="center"/>
          </w:tcPr>
          <w:p w:rsidR="001F296D" w:rsidRPr="00C60203" w:rsidRDefault="001F296D" w:rsidP="00CA3D1B">
            <w:pPr>
              <w:spacing w:line="360" w:lineRule="auto"/>
              <w:rPr>
                <w:rFonts w:cstheme="majorBidi"/>
                <w:sz w:val="24"/>
                <w:szCs w:val="24"/>
              </w:rPr>
            </w:pPr>
            <w:r w:rsidRPr="00C60203">
              <w:rPr>
                <w:rFonts w:cstheme="majorBidi"/>
                <w:sz w:val="24"/>
                <w:szCs w:val="24"/>
              </w:rPr>
              <w:t>Not known</w:t>
            </w:r>
          </w:p>
        </w:tc>
        <w:tc>
          <w:tcPr>
            <w:tcW w:w="1623" w:type="dxa"/>
            <w:vAlign w:val="center"/>
          </w:tcPr>
          <w:p w:rsidR="001F296D" w:rsidRPr="00C60203" w:rsidRDefault="001F296D" w:rsidP="00CA3D1B">
            <w:pPr>
              <w:spacing w:line="360" w:lineRule="auto"/>
              <w:jc w:val="center"/>
              <w:rPr>
                <w:rFonts w:cstheme="majorBidi"/>
                <w:sz w:val="24"/>
                <w:szCs w:val="24"/>
              </w:rPr>
            </w:pPr>
            <w:r w:rsidRPr="00C60203">
              <w:rPr>
                <w:rFonts w:cstheme="majorBidi"/>
                <w:sz w:val="24"/>
                <w:szCs w:val="24"/>
              </w:rPr>
              <w:t>13.6</w:t>
            </w:r>
          </w:p>
        </w:tc>
      </w:tr>
    </w:tbl>
    <w:p w:rsidR="0071518D" w:rsidRPr="00AD0ED0" w:rsidRDefault="00CA3D1B" w:rsidP="005D35FC">
      <w:pPr>
        <w:spacing w:after="0" w:line="360" w:lineRule="auto"/>
        <w:ind w:left="11"/>
        <w:jc w:val="both"/>
        <w:rPr>
          <w:rFonts w:cstheme="majorBidi"/>
          <w:sz w:val="20"/>
          <w:szCs w:val="20"/>
        </w:rPr>
      </w:pPr>
      <w:r>
        <w:rPr>
          <w:rFonts w:cstheme="majorBidi"/>
          <w:sz w:val="24"/>
          <w:szCs w:val="24"/>
        </w:rPr>
        <w:t xml:space="preserve">                </w:t>
      </w:r>
      <w:r w:rsidR="00D81C35">
        <w:rPr>
          <w:rFonts w:cstheme="majorBidi"/>
          <w:sz w:val="20"/>
          <w:szCs w:val="20"/>
        </w:rPr>
        <w:t>Source: Pyman et al. 2010: 468</w:t>
      </w:r>
    </w:p>
    <w:p w:rsidR="00483CC0" w:rsidRDefault="00483CC0" w:rsidP="005D35FC">
      <w:pPr>
        <w:widowControl w:val="0"/>
        <w:autoSpaceDE w:val="0"/>
        <w:autoSpaceDN w:val="0"/>
        <w:adjustRightInd w:val="0"/>
        <w:spacing w:after="0" w:line="240" w:lineRule="auto"/>
        <w:ind w:left="11"/>
        <w:rPr>
          <w:rFonts w:cs="TimesNRMT"/>
          <w:b/>
          <w:sz w:val="24"/>
          <w:szCs w:val="24"/>
          <w:lang w:val="en-US"/>
        </w:rPr>
      </w:pPr>
    </w:p>
    <w:p w:rsidR="00483CC0" w:rsidRDefault="00483CC0" w:rsidP="005D35FC">
      <w:pPr>
        <w:widowControl w:val="0"/>
        <w:autoSpaceDE w:val="0"/>
        <w:autoSpaceDN w:val="0"/>
        <w:adjustRightInd w:val="0"/>
        <w:spacing w:after="0" w:line="240" w:lineRule="auto"/>
        <w:ind w:left="11"/>
        <w:rPr>
          <w:rFonts w:cs="TimesNRMT"/>
          <w:b/>
          <w:sz w:val="24"/>
          <w:szCs w:val="24"/>
        </w:rPr>
      </w:pPr>
    </w:p>
    <w:p w:rsidR="00AD16CA" w:rsidRDefault="009F36FC" w:rsidP="005D35FC">
      <w:pPr>
        <w:widowControl w:val="0"/>
        <w:autoSpaceDE w:val="0"/>
        <w:autoSpaceDN w:val="0"/>
        <w:adjustRightInd w:val="0"/>
        <w:spacing w:after="0" w:line="240" w:lineRule="auto"/>
        <w:ind w:left="11"/>
        <w:rPr>
          <w:rFonts w:cs="TimesNRMT"/>
          <w:b/>
          <w:sz w:val="24"/>
          <w:szCs w:val="24"/>
          <w:lang w:val="en-US"/>
        </w:rPr>
      </w:pPr>
      <w:r w:rsidRPr="00312B35">
        <w:rPr>
          <w:rFonts w:cs="TimesNRMT"/>
          <w:b/>
          <w:sz w:val="24"/>
          <w:szCs w:val="24"/>
          <w:lang w:val="en-US"/>
        </w:rPr>
        <w:t>T</w:t>
      </w:r>
      <w:r w:rsidR="00AD0ED0" w:rsidRPr="00312B35">
        <w:rPr>
          <w:rFonts w:cs="TimesNRMT"/>
          <w:b/>
          <w:sz w:val="24"/>
          <w:szCs w:val="24"/>
          <w:lang w:val="en-US"/>
        </w:rPr>
        <w:t>able 2</w:t>
      </w:r>
      <w:r w:rsidR="002E17BB">
        <w:rPr>
          <w:rFonts w:cs="TimesNRMT"/>
          <w:b/>
          <w:sz w:val="24"/>
          <w:szCs w:val="24"/>
          <w:lang w:val="en-US"/>
        </w:rPr>
        <w:t>:</w:t>
      </w:r>
      <w:r w:rsidR="00AD16CA" w:rsidRPr="00312B35">
        <w:rPr>
          <w:rFonts w:cs="TimesNRMT"/>
          <w:b/>
          <w:sz w:val="24"/>
          <w:szCs w:val="24"/>
          <w:lang w:val="en-US"/>
        </w:rPr>
        <w:t xml:space="preserve">  </w:t>
      </w:r>
      <w:r w:rsidRPr="00312B35">
        <w:rPr>
          <w:rFonts w:cs="TimesNRMT"/>
          <w:b/>
          <w:sz w:val="24"/>
          <w:szCs w:val="24"/>
          <w:lang w:val="en-US"/>
        </w:rPr>
        <w:t>Results of Ordered Probit Regression Analyses Predicting Perceptions of the Industrial</w:t>
      </w:r>
      <w:r w:rsidR="002E17BB">
        <w:rPr>
          <w:rFonts w:cs="TimesNRMT"/>
          <w:b/>
          <w:sz w:val="24"/>
          <w:szCs w:val="24"/>
          <w:lang w:val="en-US"/>
        </w:rPr>
        <w:t xml:space="preserve"> </w:t>
      </w:r>
      <w:r w:rsidRPr="00312B35">
        <w:rPr>
          <w:rFonts w:cs="TimesNRMT"/>
          <w:b/>
          <w:sz w:val="24"/>
          <w:szCs w:val="24"/>
          <w:lang w:val="en-US"/>
        </w:rPr>
        <w:t>Relations Climate</w:t>
      </w:r>
    </w:p>
    <w:p w:rsidR="002E17BB" w:rsidRPr="00312B35" w:rsidRDefault="002E17BB" w:rsidP="005D35FC">
      <w:pPr>
        <w:widowControl w:val="0"/>
        <w:autoSpaceDE w:val="0"/>
        <w:autoSpaceDN w:val="0"/>
        <w:adjustRightInd w:val="0"/>
        <w:spacing w:after="0" w:line="240" w:lineRule="auto"/>
        <w:ind w:left="11"/>
        <w:rPr>
          <w:rFonts w:cs="TimesNRMT"/>
          <w:b/>
          <w:sz w:val="24"/>
          <w:szCs w:val="24"/>
          <w:lang w:val="en-US"/>
        </w:rPr>
      </w:pPr>
    </w:p>
    <w:tbl>
      <w:tblPr>
        <w:tblStyle w:val="TableGrid"/>
        <w:tblW w:w="89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949"/>
        <w:gridCol w:w="1077"/>
      </w:tblGrid>
      <w:tr w:rsidR="009F36FC" w:rsidRPr="00AD16CA" w:rsidTr="005D35FC">
        <w:trPr>
          <w:jc w:val="center"/>
        </w:trPr>
        <w:tc>
          <w:tcPr>
            <w:tcW w:w="6912" w:type="dxa"/>
            <w:tcBorders>
              <w:top w:val="single" w:sz="4" w:space="0" w:color="auto"/>
              <w:bottom w:val="single" w:sz="4" w:space="0" w:color="auto"/>
            </w:tcBorders>
          </w:tcPr>
          <w:p w:rsidR="009F36FC" w:rsidRPr="00635E87" w:rsidRDefault="009F36FC" w:rsidP="0071518D">
            <w:pPr>
              <w:spacing w:line="360" w:lineRule="auto"/>
              <w:jc w:val="both"/>
              <w:rPr>
                <w:rFonts w:cstheme="majorBidi"/>
                <w:b/>
                <w:sz w:val="24"/>
                <w:szCs w:val="24"/>
              </w:rPr>
            </w:pPr>
          </w:p>
        </w:tc>
        <w:tc>
          <w:tcPr>
            <w:tcW w:w="949" w:type="dxa"/>
            <w:tcBorders>
              <w:top w:val="single" w:sz="4" w:space="0" w:color="auto"/>
              <w:bottom w:val="single" w:sz="4" w:space="0" w:color="auto"/>
            </w:tcBorders>
          </w:tcPr>
          <w:p w:rsidR="009F36FC" w:rsidRPr="00AD16CA" w:rsidRDefault="009F36FC" w:rsidP="00AD16CA">
            <w:pPr>
              <w:spacing w:line="360" w:lineRule="auto"/>
              <w:jc w:val="center"/>
              <w:rPr>
                <w:rFonts w:cstheme="majorBidi"/>
                <w:b/>
                <w:sz w:val="24"/>
                <w:szCs w:val="24"/>
                <w:lang w:val="fr-FR"/>
              </w:rPr>
            </w:pPr>
            <w:r w:rsidRPr="00AD16CA">
              <w:rPr>
                <w:rFonts w:cs="Italic"/>
                <w:b/>
                <w:i/>
                <w:iCs/>
                <w:sz w:val="24"/>
                <w:szCs w:val="24"/>
                <w:lang w:val="en-US"/>
              </w:rPr>
              <w:t>B</w:t>
            </w:r>
          </w:p>
        </w:tc>
        <w:tc>
          <w:tcPr>
            <w:tcW w:w="1077" w:type="dxa"/>
            <w:tcBorders>
              <w:top w:val="single" w:sz="4" w:space="0" w:color="auto"/>
              <w:bottom w:val="single" w:sz="4" w:space="0" w:color="auto"/>
            </w:tcBorders>
          </w:tcPr>
          <w:p w:rsidR="009F36FC" w:rsidRPr="00AD16CA" w:rsidRDefault="009F36FC" w:rsidP="00AD16CA">
            <w:pPr>
              <w:spacing w:line="360" w:lineRule="auto"/>
              <w:jc w:val="center"/>
              <w:rPr>
                <w:rFonts w:cstheme="majorBidi"/>
                <w:b/>
                <w:sz w:val="24"/>
                <w:szCs w:val="24"/>
                <w:lang w:val="fr-FR"/>
              </w:rPr>
            </w:pPr>
            <w:r w:rsidRPr="00AD16CA">
              <w:rPr>
                <w:rFonts w:cs="TimesNRMT-Italic"/>
                <w:b/>
                <w:i/>
                <w:iCs/>
                <w:sz w:val="24"/>
                <w:szCs w:val="24"/>
                <w:lang w:val="en-US"/>
              </w:rPr>
              <w:t>s.e.</w:t>
            </w:r>
          </w:p>
        </w:tc>
      </w:tr>
      <w:tr w:rsidR="009F36FC" w:rsidRPr="00556EE9" w:rsidTr="005D35FC">
        <w:trPr>
          <w:jc w:val="center"/>
        </w:trPr>
        <w:tc>
          <w:tcPr>
            <w:tcW w:w="6912" w:type="dxa"/>
            <w:tcBorders>
              <w:top w:val="single" w:sz="4" w:space="0" w:color="auto"/>
            </w:tcBorders>
          </w:tcPr>
          <w:p w:rsidR="00AD16CA" w:rsidRPr="00AD16CA" w:rsidRDefault="009F36FC" w:rsidP="00CA3D1B">
            <w:pPr>
              <w:autoSpaceDE w:val="0"/>
              <w:autoSpaceDN w:val="0"/>
              <w:adjustRightInd w:val="0"/>
              <w:rPr>
                <w:rFonts w:cs="TimesNRMT"/>
                <w:b/>
                <w:sz w:val="24"/>
                <w:szCs w:val="24"/>
              </w:rPr>
            </w:pPr>
            <w:r w:rsidRPr="00AD16CA">
              <w:rPr>
                <w:rFonts w:cs="TimesNRMT"/>
                <w:b/>
                <w:sz w:val="24"/>
                <w:szCs w:val="24"/>
              </w:rPr>
              <w:t>Model 1: employee voice arrangements (reference category: no union</w:t>
            </w:r>
            <w:r w:rsidR="00CA3D1B" w:rsidRPr="00AD16CA">
              <w:rPr>
                <w:rFonts w:cs="TimesNRMT"/>
                <w:b/>
                <w:sz w:val="24"/>
                <w:szCs w:val="24"/>
              </w:rPr>
              <w:t xml:space="preserve"> </w:t>
            </w:r>
            <w:r w:rsidRPr="00AD16CA">
              <w:rPr>
                <w:rFonts w:cs="TimesNRMT"/>
                <w:b/>
                <w:sz w:val="24"/>
                <w:szCs w:val="24"/>
              </w:rPr>
              <w:t>or direct voice)</w:t>
            </w:r>
          </w:p>
        </w:tc>
        <w:tc>
          <w:tcPr>
            <w:tcW w:w="949" w:type="dxa"/>
            <w:tcBorders>
              <w:top w:val="single" w:sz="4" w:space="0" w:color="auto"/>
            </w:tcBorders>
          </w:tcPr>
          <w:p w:rsidR="009F36FC" w:rsidRPr="00CF71DB" w:rsidRDefault="009F36FC" w:rsidP="00AD16CA">
            <w:pPr>
              <w:spacing w:before="100" w:beforeAutospacing="1" w:after="100" w:afterAutospacing="1" w:line="360" w:lineRule="auto"/>
              <w:jc w:val="center"/>
              <w:rPr>
                <w:rFonts w:cstheme="majorBidi"/>
                <w:sz w:val="24"/>
                <w:szCs w:val="24"/>
              </w:rPr>
            </w:pPr>
          </w:p>
        </w:tc>
        <w:tc>
          <w:tcPr>
            <w:tcW w:w="1077" w:type="dxa"/>
            <w:tcBorders>
              <w:top w:val="single" w:sz="4" w:space="0" w:color="auto"/>
            </w:tcBorders>
          </w:tcPr>
          <w:p w:rsidR="009F36FC" w:rsidRPr="00CF71DB" w:rsidRDefault="009F36FC" w:rsidP="00AD16CA">
            <w:pPr>
              <w:spacing w:before="100" w:beforeAutospacing="1" w:after="100" w:afterAutospacing="1" w:line="360" w:lineRule="auto"/>
              <w:jc w:val="center"/>
              <w:rPr>
                <w:rFonts w:cstheme="majorBidi"/>
                <w:sz w:val="24"/>
                <w:szCs w:val="24"/>
              </w:rPr>
            </w:pPr>
          </w:p>
        </w:tc>
      </w:tr>
      <w:tr w:rsidR="009F36FC" w:rsidRPr="00556EE9" w:rsidTr="005D35FC">
        <w:trPr>
          <w:jc w:val="center"/>
        </w:trPr>
        <w:tc>
          <w:tcPr>
            <w:tcW w:w="6912" w:type="dxa"/>
          </w:tcPr>
          <w:p w:rsidR="009F36FC" w:rsidRPr="00556EE9" w:rsidRDefault="009F36FC" w:rsidP="0071518D">
            <w:pPr>
              <w:spacing w:line="360" w:lineRule="auto"/>
              <w:jc w:val="both"/>
              <w:rPr>
                <w:rFonts w:cstheme="majorBidi"/>
                <w:sz w:val="24"/>
                <w:szCs w:val="24"/>
                <w:lang w:val="fr-FR"/>
              </w:rPr>
            </w:pPr>
            <w:r w:rsidRPr="00556EE9">
              <w:rPr>
                <w:rFonts w:cs="TimesNRMT"/>
                <w:sz w:val="24"/>
                <w:szCs w:val="24"/>
                <w:lang w:val="en-US"/>
              </w:rPr>
              <w:t>Union only</w:t>
            </w:r>
          </w:p>
        </w:tc>
        <w:tc>
          <w:tcPr>
            <w:tcW w:w="949" w:type="dxa"/>
          </w:tcPr>
          <w:p w:rsidR="009F36FC" w:rsidRPr="00556EE9" w:rsidRDefault="009F36FC" w:rsidP="00D81C35">
            <w:pPr>
              <w:spacing w:line="360" w:lineRule="auto"/>
              <w:jc w:val="center"/>
              <w:rPr>
                <w:rFonts w:cstheme="majorBidi"/>
                <w:sz w:val="24"/>
                <w:szCs w:val="24"/>
                <w:lang w:val="fr-FR"/>
              </w:rPr>
            </w:pPr>
            <w:r w:rsidRPr="00556EE9">
              <w:rPr>
                <w:rFonts w:cstheme="majorBidi"/>
                <w:sz w:val="24"/>
                <w:szCs w:val="24"/>
                <w:lang w:val="fr-FR"/>
              </w:rPr>
              <w:t>-</w:t>
            </w:r>
            <w:r w:rsidR="00D81C35">
              <w:rPr>
                <w:rFonts w:cstheme="majorBidi"/>
                <w:sz w:val="24"/>
                <w:szCs w:val="24"/>
                <w:lang w:val="fr-FR"/>
              </w:rPr>
              <w:t>0</w:t>
            </w:r>
            <w:r w:rsidRPr="00556EE9">
              <w:rPr>
                <w:rFonts w:cstheme="majorBidi"/>
                <w:sz w:val="24"/>
                <w:szCs w:val="24"/>
                <w:lang w:val="fr-FR"/>
              </w:rPr>
              <w:t>.47*</w:t>
            </w:r>
          </w:p>
        </w:tc>
        <w:tc>
          <w:tcPr>
            <w:tcW w:w="1077" w:type="dxa"/>
          </w:tcPr>
          <w:p w:rsidR="009F36FC" w:rsidRPr="00556EE9" w:rsidRDefault="009F36FC" w:rsidP="00AD16CA">
            <w:pPr>
              <w:spacing w:line="360" w:lineRule="auto"/>
              <w:jc w:val="center"/>
              <w:rPr>
                <w:rFonts w:cstheme="majorBidi"/>
                <w:sz w:val="24"/>
                <w:szCs w:val="24"/>
                <w:lang w:val="fr-FR"/>
              </w:rPr>
            </w:pPr>
            <w:r w:rsidRPr="00556EE9">
              <w:rPr>
                <w:rFonts w:cstheme="majorBidi"/>
                <w:sz w:val="24"/>
                <w:szCs w:val="24"/>
                <w:lang w:val="fr-FR"/>
              </w:rPr>
              <w:t>0.18</w:t>
            </w:r>
          </w:p>
        </w:tc>
      </w:tr>
      <w:tr w:rsidR="009F36FC" w:rsidRPr="00556EE9" w:rsidTr="005D35FC">
        <w:trPr>
          <w:jc w:val="center"/>
        </w:trPr>
        <w:tc>
          <w:tcPr>
            <w:tcW w:w="6912" w:type="dxa"/>
          </w:tcPr>
          <w:p w:rsidR="009F36FC" w:rsidRPr="00556EE9" w:rsidRDefault="009F36FC" w:rsidP="0071518D">
            <w:pPr>
              <w:spacing w:line="360" w:lineRule="auto"/>
              <w:jc w:val="both"/>
              <w:rPr>
                <w:rFonts w:cstheme="majorBidi"/>
                <w:sz w:val="24"/>
                <w:szCs w:val="24"/>
                <w:lang w:val="fr-FR"/>
              </w:rPr>
            </w:pPr>
            <w:r w:rsidRPr="00556EE9">
              <w:rPr>
                <w:rFonts w:cs="TimesNRMT"/>
                <w:sz w:val="24"/>
                <w:szCs w:val="24"/>
                <w:lang w:val="en-US"/>
              </w:rPr>
              <w:t>Direct only</w:t>
            </w:r>
          </w:p>
        </w:tc>
        <w:tc>
          <w:tcPr>
            <w:tcW w:w="949" w:type="dxa"/>
          </w:tcPr>
          <w:p w:rsidR="009F36FC" w:rsidRPr="00556EE9" w:rsidRDefault="009F36FC" w:rsidP="00AD16CA">
            <w:pPr>
              <w:spacing w:line="360" w:lineRule="auto"/>
              <w:jc w:val="center"/>
              <w:rPr>
                <w:rFonts w:cstheme="majorBidi"/>
                <w:sz w:val="24"/>
                <w:szCs w:val="24"/>
                <w:lang w:val="fr-FR"/>
              </w:rPr>
            </w:pPr>
            <w:r w:rsidRPr="00556EE9">
              <w:rPr>
                <w:rFonts w:cstheme="majorBidi"/>
                <w:sz w:val="24"/>
                <w:szCs w:val="24"/>
                <w:lang w:val="fr-FR"/>
              </w:rPr>
              <w:t>0.55*</w:t>
            </w:r>
          </w:p>
        </w:tc>
        <w:tc>
          <w:tcPr>
            <w:tcW w:w="1077" w:type="dxa"/>
          </w:tcPr>
          <w:p w:rsidR="009F36FC" w:rsidRPr="00556EE9" w:rsidRDefault="009F36FC" w:rsidP="00AD16CA">
            <w:pPr>
              <w:spacing w:line="360" w:lineRule="auto"/>
              <w:jc w:val="center"/>
              <w:rPr>
                <w:rFonts w:cstheme="majorBidi"/>
                <w:sz w:val="24"/>
                <w:szCs w:val="24"/>
                <w:lang w:val="fr-FR"/>
              </w:rPr>
            </w:pPr>
            <w:r w:rsidRPr="00556EE9">
              <w:rPr>
                <w:rFonts w:cstheme="majorBidi"/>
                <w:sz w:val="24"/>
                <w:szCs w:val="24"/>
                <w:lang w:val="fr-FR"/>
              </w:rPr>
              <w:t>0.13</w:t>
            </w:r>
          </w:p>
        </w:tc>
      </w:tr>
      <w:tr w:rsidR="009F36FC" w:rsidRPr="00556EE9" w:rsidTr="005D35FC">
        <w:trPr>
          <w:jc w:val="center"/>
        </w:trPr>
        <w:tc>
          <w:tcPr>
            <w:tcW w:w="6912" w:type="dxa"/>
          </w:tcPr>
          <w:p w:rsidR="00AD16CA" w:rsidRPr="00AD16CA" w:rsidRDefault="009F36FC" w:rsidP="0071518D">
            <w:pPr>
              <w:spacing w:line="360" w:lineRule="auto"/>
              <w:jc w:val="both"/>
              <w:rPr>
                <w:rFonts w:cs="TimesNRMT"/>
                <w:sz w:val="24"/>
                <w:szCs w:val="24"/>
                <w:lang w:val="en-US"/>
              </w:rPr>
            </w:pPr>
            <w:r w:rsidRPr="00556EE9">
              <w:rPr>
                <w:rFonts w:cs="TimesNRMT"/>
                <w:sz w:val="24"/>
                <w:szCs w:val="24"/>
                <w:lang w:val="en-US"/>
              </w:rPr>
              <w:t>Union and direct (dual-channel)</w:t>
            </w:r>
          </w:p>
        </w:tc>
        <w:tc>
          <w:tcPr>
            <w:tcW w:w="949" w:type="dxa"/>
          </w:tcPr>
          <w:p w:rsidR="009F36FC" w:rsidRPr="00556EE9" w:rsidRDefault="009F36FC" w:rsidP="00AD16CA">
            <w:pPr>
              <w:spacing w:line="360" w:lineRule="auto"/>
              <w:jc w:val="center"/>
              <w:rPr>
                <w:rFonts w:cstheme="majorBidi"/>
                <w:sz w:val="24"/>
                <w:szCs w:val="24"/>
                <w:lang w:val="fr-FR"/>
              </w:rPr>
            </w:pPr>
            <w:r w:rsidRPr="00556EE9">
              <w:rPr>
                <w:rFonts w:cstheme="majorBidi"/>
                <w:sz w:val="24"/>
                <w:szCs w:val="24"/>
                <w:lang w:val="fr-FR"/>
              </w:rPr>
              <w:t>0.20</w:t>
            </w:r>
          </w:p>
        </w:tc>
        <w:tc>
          <w:tcPr>
            <w:tcW w:w="1077" w:type="dxa"/>
          </w:tcPr>
          <w:p w:rsidR="009F36FC" w:rsidRPr="00556EE9" w:rsidRDefault="009F36FC" w:rsidP="00AD16CA">
            <w:pPr>
              <w:spacing w:line="360" w:lineRule="auto"/>
              <w:jc w:val="center"/>
              <w:rPr>
                <w:rFonts w:cstheme="majorBidi"/>
                <w:sz w:val="24"/>
                <w:szCs w:val="24"/>
                <w:lang w:val="fr-FR"/>
              </w:rPr>
            </w:pPr>
            <w:r w:rsidRPr="00556EE9">
              <w:rPr>
                <w:rFonts w:cstheme="majorBidi"/>
                <w:sz w:val="24"/>
                <w:szCs w:val="24"/>
                <w:lang w:val="fr-FR"/>
              </w:rPr>
              <w:t>0.15</w:t>
            </w:r>
          </w:p>
        </w:tc>
      </w:tr>
      <w:tr w:rsidR="009F36FC" w:rsidRPr="00556EE9" w:rsidTr="005D35FC">
        <w:trPr>
          <w:jc w:val="center"/>
        </w:trPr>
        <w:tc>
          <w:tcPr>
            <w:tcW w:w="6912" w:type="dxa"/>
          </w:tcPr>
          <w:p w:rsidR="00AD16CA" w:rsidRPr="00AD16CA" w:rsidRDefault="009F36FC" w:rsidP="0071518D">
            <w:pPr>
              <w:spacing w:line="360" w:lineRule="auto"/>
              <w:jc w:val="both"/>
              <w:rPr>
                <w:rFonts w:cs="TimesNRMT"/>
                <w:b/>
                <w:sz w:val="24"/>
                <w:szCs w:val="24"/>
                <w:lang w:val="en-US"/>
              </w:rPr>
            </w:pPr>
            <w:r w:rsidRPr="00AD16CA">
              <w:rPr>
                <w:rFonts w:cs="TimesNRMT"/>
                <w:b/>
                <w:sz w:val="24"/>
                <w:szCs w:val="24"/>
                <w:lang w:val="en-US"/>
              </w:rPr>
              <w:t>Model 2: direct voice arrangements</w:t>
            </w:r>
          </w:p>
        </w:tc>
        <w:tc>
          <w:tcPr>
            <w:tcW w:w="949" w:type="dxa"/>
          </w:tcPr>
          <w:p w:rsidR="009F36FC" w:rsidRPr="00556EE9" w:rsidRDefault="009F36FC" w:rsidP="00AD16CA">
            <w:pPr>
              <w:spacing w:line="360" w:lineRule="auto"/>
              <w:jc w:val="center"/>
              <w:rPr>
                <w:rFonts w:cstheme="majorBidi"/>
                <w:sz w:val="24"/>
                <w:szCs w:val="24"/>
                <w:lang w:val="fr-FR"/>
              </w:rPr>
            </w:pPr>
          </w:p>
        </w:tc>
        <w:tc>
          <w:tcPr>
            <w:tcW w:w="1077" w:type="dxa"/>
          </w:tcPr>
          <w:p w:rsidR="009F36FC" w:rsidRPr="00556EE9" w:rsidRDefault="009F36FC" w:rsidP="00AD16CA">
            <w:pPr>
              <w:spacing w:line="360" w:lineRule="auto"/>
              <w:jc w:val="center"/>
              <w:rPr>
                <w:rFonts w:cstheme="majorBidi"/>
                <w:sz w:val="24"/>
                <w:szCs w:val="24"/>
                <w:lang w:val="fr-FR"/>
              </w:rPr>
            </w:pPr>
          </w:p>
        </w:tc>
      </w:tr>
      <w:tr w:rsidR="009F36FC" w:rsidRPr="00556EE9" w:rsidTr="005D35FC">
        <w:trPr>
          <w:jc w:val="center"/>
        </w:trPr>
        <w:tc>
          <w:tcPr>
            <w:tcW w:w="6912" w:type="dxa"/>
          </w:tcPr>
          <w:p w:rsidR="009F36FC" w:rsidRPr="00CF71DB" w:rsidRDefault="009F36FC" w:rsidP="0071518D">
            <w:pPr>
              <w:spacing w:after="200" w:line="360" w:lineRule="auto"/>
              <w:jc w:val="both"/>
              <w:rPr>
                <w:rFonts w:cstheme="majorBidi"/>
                <w:sz w:val="24"/>
                <w:szCs w:val="24"/>
              </w:rPr>
            </w:pPr>
            <w:r w:rsidRPr="00556EE9">
              <w:rPr>
                <w:rFonts w:cs="TimesNRMT"/>
                <w:sz w:val="24"/>
                <w:szCs w:val="24"/>
                <w:lang w:val="en-US"/>
              </w:rPr>
              <w:t>Regular meetings with all staff</w:t>
            </w:r>
          </w:p>
        </w:tc>
        <w:tc>
          <w:tcPr>
            <w:tcW w:w="949" w:type="dxa"/>
          </w:tcPr>
          <w:p w:rsidR="009F36FC"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0.41*</w:t>
            </w:r>
          </w:p>
        </w:tc>
        <w:tc>
          <w:tcPr>
            <w:tcW w:w="1077" w:type="dxa"/>
          </w:tcPr>
          <w:p w:rsidR="009F36FC"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0.09</w:t>
            </w:r>
          </w:p>
        </w:tc>
      </w:tr>
      <w:tr w:rsidR="009F36FC" w:rsidRPr="00556EE9" w:rsidTr="005D35FC">
        <w:trPr>
          <w:jc w:val="center"/>
        </w:trPr>
        <w:tc>
          <w:tcPr>
            <w:tcW w:w="6912" w:type="dxa"/>
          </w:tcPr>
          <w:p w:rsidR="009F36FC" w:rsidRPr="00556EE9" w:rsidRDefault="009F36FC" w:rsidP="0071518D">
            <w:pPr>
              <w:spacing w:line="360" w:lineRule="auto"/>
              <w:jc w:val="both"/>
              <w:rPr>
                <w:rFonts w:cstheme="majorBidi"/>
                <w:sz w:val="24"/>
                <w:szCs w:val="24"/>
                <w:lang w:val="fr-FR"/>
              </w:rPr>
            </w:pPr>
            <w:r w:rsidRPr="00556EE9">
              <w:rPr>
                <w:rFonts w:cs="TimesNRMT"/>
                <w:sz w:val="24"/>
                <w:szCs w:val="24"/>
                <w:lang w:val="en-US"/>
              </w:rPr>
              <w:t>Employee involvement program</w:t>
            </w:r>
          </w:p>
        </w:tc>
        <w:tc>
          <w:tcPr>
            <w:tcW w:w="949" w:type="dxa"/>
          </w:tcPr>
          <w:p w:rsidR="009F36FC"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0.08</w:t>
            </w:r>
          </w:p>
        </w:tc>
        <w:tc>
          <w:tcPr>
            <w:tcW w:w="1077" w:type="dxa"/>
          </w:tcPr>
          <w:p w:rsidR="009F36FC"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0.14</w:t>
            </w:r>
          </w:p>
        </w:tc>
      </w:tr>
      <w:tr w:rsidR="00CB0FB0" w:rsidRPr="00556EE9" w:rsidTr="005D35FC">
        <w:trPr>
          <w:jc w:val="center"/>
        </w:trPr>
        <w:tc>
          <w:tcPr>
            <w:tcW w:w="6912" w:type="dxa"/>
          </w:tcPr>
          <w:p w:rsidR="00AD16CA" w:rsidRPr="00556EE9" w:rsidRDefault="00CB0FB0" w:rsidP="0071518D">
            <w:pPr>
              <w:spacing w:line="360" w:lineRule="auto"/>
              <w:jc w:val="both"/>
              <w:rPr>
                <w:rFonts w:cs="TimesNRMT"/>
                <w:sz w:val="24"/>
                <w:szCs w:val="24"/>
                <w:lang w:val="en-US"/>
              </w:rPr>
            </w:pPr>
            <w:r w:rsidRPr="00556EE9">
              <w:rPr>
                <w:rFonts w:cs="TimesNRMT"/>
                <w:sz w:val="24"/>
                <w:szCs w:val="24"/>
                <w:lang w:val="en-US"/>
              </w:rPr>
              <w:t>Semi-autonomous workgroups</w:t>
            </w:r>
          </w:p>
        </w:tc>
        <w:tc>
          <w:tcPr>
            <w:tcW w:w="949" w:type="dxa"/>
          </w:tcPr>
          <w:p w:rsidR="00CB0FB0"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0.24*</w:t>
            </w:r>
          </w:p>
        </w:tc>
        <w:tc>
          <w:tcPr>
            <w:tcW w:w="1077" w:type="dxa"/>
          </w:tcPr>
          <w:p w:rsidR="00CB0FB0"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0.12</w:t>
            </w:r>
          </w:p>
        </w:tc>
      </w:tr>
      <w:tr w:rsidR="00CB0FB0" w:rsidRPr="00556EE9" w:rsidTr="005D35FC">
        <w:trPr>
          <w:jc w:val="center"/>
        </w:trPr>
        <w:tc>
          <w:tcPr>
            <w:tcW w:w="6912" w:type="dxa"/>
          </w:tcPr>
          <w:p w:rsidR="00AD16CA" w:rsidRPr="00AD16CA" w:rsidRDefault="00CB0FB0" w:rsidP="00AD16CA">
            <w:pPr>
              <w:widowControl w:val="0"/>
              <w:autoSpaceDE w:val="0"/>
              <w:autoSpaceDN w:val="0"/>
              <w:adjustRightInd w:val="0"/>
              <w:rPr>
                <w:rFonts w:cs="TimesNRMT"/>
                <w:b/>
                <w:sz w:val="24"/>
                <w:szCs w:val="24"/>
                <w:lang w:val="en-US"/>
              </w:rPr>
            </w:pPr>
            <w:r w:rsidRPr="00AD16CA">
              <w:rPr>
                <w:rFonts w:cs="TimesNRMT"/>
                <w:b/>
                <w:sz w:val="24"/>
                <w:szCs w:val="24"/>
                <w:lang w:val="en-US"/>
              </w:rPr>
              <w:t>Model 3: employees’ perceptions of managerial attitudes to unions</w:t>
            </w:r>
            <w:r w:rsidR="00AD16CA" w:rsidRPr="00AD16CA">
              <w:rPr>
                <w:rFonts w:cs="TimesNRMT"/>
                <w:b/>
                <w:sz w:val="24"/>
                <w:szCs w:val="24"/>
                <w:lang w:val="en-US"/>
              </w:rPr>
              <w:t xml:space="preserve"> </w:t>
            </w:r>
            <w:r w:rsidRPr="00AD16CA">
              <w:rPr>
                <w:rFonts w:cs="TimesNRMT"/>
                <w:b/>
                <w:sz w:val="24"/>
                <w:szCs w:val="24"/>
                <w:lang w:val="en-US"/>
              </w:rPr>
              <w:t>and employee voice arrangements — unionized workplaces only</w:t>
            </w:r>
          </w:p>
        </w:tc>
        <w:tc>
          <w:tcPr>
            <w:tcW w:w="949" w:type="dxa"/>
          </w:tcPr>
          <w:p w:rsidR="00CB0FB0" w:rsidRPr="00CF71DB" w:rsidRDefault="00CB0FB0" w:rsidP="00AD16CA">
            <w:pPr>
              <w:spacing w:before="100" w:beforeAutospacing="1" w:after="100" w:afterAutospacing="1" w:line="360" w:lineRule="auto"/>
              <w:jc w:val="center"/>
              <w:rPr>
                <w:rFonts w:cstheme="majorBidi"/>
                <w:sz w:val="24"/>
                <w:szCs w:val="24"/>
              </w:rPr>
            </w:pPr>
          </w:p>
        </w:tc>
        <w:tc>
          <w:tcPr>
            <w:tcW w:w="1077" w:type="dxa"/>
          </w:tcPr>
          <w:p w:rsidR="00CB0FB0" w:rsidRPr="00CF71DB" w:rsidRDefault="00CB0FB0" w:rsidP="00AD16CA">
            <w:pPr>
              <w:spacing w:before="100" w:beforeAutospacing="1" w:after="100" w:afterAutospacing="1" w:line="360" w:lineRule="auto"/>
              <w:jc w:val="center"/>
              <w:rPr>
                <w:rFonts w:cstheme="majorBidi"/>
                <w:sz w:val="24"/>
                <w:szCs w:val="24"/>
              </w:rPr>
            </w:pPr>
          </w:p>
        </w:tc>
      </w:tr>
      <w:tr w:rsidR="00CB0FB0" w:rsidRPr="00556EE9" w:rsidTr="005D35FC">
        <w:trPr>
          <w:jc w:val="center"/>
        </w:trPr>
        <w:tc>
          <w:tcPr>
            <w:tcW w:w="6912" w:type="dxa"/>
          </w:tcPr>
          <w:p w:rsidR="00CB0FB0" w:rsidRPr="00556EE9" w:rsidRDefault="00CB0FB0" w:rsidP="0071518D">
            <w:pPr>
              <w:spacing w:line="360" w:lineRule="auto"/>
              <w:jc w:val="both"/>
              <w:rPr>
                <w:rFonts w:cs="TimesNRMT"/>
                <w:sz w:val="24"/>
                <w:szCs w:val="24"/>
                <w:lang w:val="en-US"/>
              </w:rPr>
            </w:pPr>
            <w:r w:rsidRPr="00556EE9">
              <w:rPr>
                <w:rFonts w:cs="TimesNRMT"/>
                <w:sz w:val="24"/>
                <w:szCs w:val="24"/>
                <w:lang w:val="en-US"/>
              </w:rPr>
              <w:t>Perceived management opposition to unions</w:t>
            </w:r>
          </w:p>
        </w:tc>
        <w:tc>
          <w:tcPr>
            <w:tcW w:w="949" w:type="dxa"/>
          </w:tcPr>
          <w:p w:rsidR="00CB0FB0" w:rsidRPr="00556EE9" w:rsidRDefault="00CB0FB0" w:rsidP="00D81C35">
            <w:pPr>
              <w:spacing w:line="360" w:lineRule="auto"/>
              <w:jc w:val="center"/>
              <w:rPr>
                <w:rFonts w:cstheme="majorBidi"/>
                <w:sz w:val="24"/>
                <w:szCs w:val="24"/>
                <w:lang w:val="fr-FR"/>
              </w:rPr>
            </w:pPr>
            <w:r w:rsidRPr="00556EE9">
              <w:rPr>
                <w:rFonts w:cstheme="majorBidi"/>
                <w:sz w:val="24"/>
                <w:szCs w:val="24"/>
                <w:lang w:val="fr-FR"/>
              </w:rPr>
              <w:t>-</w:t>
            </w:r>
            <w:r w:rsidR="00D81C35">
              <w:rPr>
                <w:rFonts w:cstheme="majorBidi"/>
                <w:sz w:val="24"/>
                <w:szCs w:val="24"/>
                <w:lang w:val="fr-FR"/>
              </w:rPr>
              <w:t>0</w:t>
            </w:r>
            <w:r w:rsidRPr="00556EE9">
              <w:rPr>
                <w:rFonts w:cstheme="majorBidi"/>
                <w:sz w:val="24"/>
                <w:szCs w:val="24"/>
                <w:lang w:val="fr-FR"/>
              </w:rPr>
              <w:t>.76*</w:t>
            </w:r>
          </w:p>
        </w:tc>
        <w:tc>
          <w:tcPr>
            <w:tcW w:w="1077" w:type="dxa"/>
          </w:tcPr>
          <w:p w:rsidR="00CB0FB0"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0.14</w:t>
            </w:r>
          </w:p>
        </w:tc>
      </w:tr>
      <w:tr w:rsidR="00CB0FB0" w:rsidRPr="00556EE9" w:rsidTr="005D35FC">
        <w:trPr>
          <w:jc w:val="center"/>
        </w:trPr>
        <w:tc>
          <w:tcPr>
            <w:tcW w:w="6912" w:type="dxa"/>
          </w:tcPr>
          <w:p w:rsidR="00CB0FB0" w:rsidRPr="00556EE9" w:rsidRDefault="00CB0FB0" w:rsidP="0071518D">
            <w:pPr>
              <w:spacing w:line="360" w:lineRule="auto"/>
              <w:jc w:val="both"/>
              <w:rPr>
                <w:rFonts w:cs="TimesNRMT"/>
                <w:sz w:val="24"/>
                <w:szCs w:val="24"/>
                <w:lang w:val="en-US"/>
              </w:rPr>
            </w:pPr>
            <w:r w:rsidRPr="00556EE9">
              <w:rPr>
                <w:rFonts w:cs="TimesNRMT"/>
                <w:sz w:val="24"/>
                <w:szCs w:val="24"/>
                <w:lang w:val="en-US"/>
              </w:rPr>
              <w:t>Presence of any direct voice</w:t>
            </w:r>
          </w:p>
        </w:tc>
        <w:tc>
          <w:tcPr>
            <w:tcW w:w="949" w:type="dxa"/>
          </w:tcPr>
          <w:p w:rsidR="00CB0FB0"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0.47*</w:t>
            </w:r>
          </w:p>
        </w:tc>
        <w:tc>
          <w:tcPr>
            <w:tcW w:w="1077" w:type="dxa"/>
          </w:tcPr>
          <w:p w:rsidR="00CB0FB0" w:rsidRPr="00556EE9" w:rsidRDefault="00CB0FB0" w:rsidP="00AD16CA">
            <w:pPr>
              <w:spacing w:line="360" w:lineRule="auto"/>
              <w:jc w:val="center"/>
              <w:rPr>
                <w:rFonts w:cstheme="majorBidi"/>
                <w:sz w:val="24"/>
                <w:szCs w:val="24"/>
                <w:lang w:val="fr-FR"/>
              </w:rPr>
            </w:pPr>
            <w:r w:rsidRPr="00556EE9">
              <w:rPr>
                <w:rFonts w:cstheme="majorBidi"/>
                <w:sz w:val="24"/>
                <w:szCs w:val="24"/>
                <w:lang w:val="fr-FR"/>
              </w:rPr>
              <w:t>0.18</w:t>
            </w:r>
          </w:p>
        </w:tc>
      </w:tr>
    </w:tbl>
    <w:p w:rsidR="00C63348" w:rsidRPr="0071735B" w:rsidRDefault="00556EE9" w:rsidP="005D35FC">
      <w:pPr>
        <w:widowControl w:val="0"/>
        <w:autoSpaceDE w:val="0"/>
        <w:autoSpaceDN w:val="0"/>
        <w:adjustRightInd w:val="0"/>
        <w:spacing w:after="0" w:line="240" w:lineRule="auto"/>
        <w:ind w:left="153"/>
        <w:rPr>
          <w:rFonts w:cs="TimesNRMT-Italic"/>
          <w:sz w:val="20"/>
          <w:szCs w:val="24"/>
          <w:lang w:val="en-US"/>
        </w:rPr>
      </w:pPr>
      <w:r w:rsidRPr="0071735B">
        <w:rPr>
          <w:rFonts w:cs="TimesNRMT-Italic"/>
          <w:i/>
          <w:iCs/>
          <w:sz w:val="20"/>
          <w:szCs w:val="24"/>
          <w:lang w:val="pt-PT"/>
        </w:rPr>
        <w:t>Note</w:t>
      </w:r>
      <w:r w:rsidRPr="0071735B">
        <w:rPr>
          <w:rFonts w:cs="TimesNRMT-Italic"/>
          <w:sz w:val="20"/>
          <w:szCs w:val="24"/>
          <w:lang w:val="pt-PT"/>
        </w:rPr>
        <w:t xml:space="preserve">: Nagelkerke pseudo </w:t>
      </w:r>
      <w:r w:rsidRPr="0071735B">
        <w:rPr>
          <w:rFonts w:cs="TimesNRMT-Italic"/>
          <w:i/>
          <w:iCs/>
          <w:sz w:val="20"/>
          <w:szCs w:val="24"/>
          <w:lang w:val="pt-PT"/>
        </w:rPr>
        <w:t>R</w:t>
      </w:r>
      <w:r w:rsidRPr="0071735B">
        <w:rPr>
          <w:rFonts w:cs="TimesNRMT-Italic"/>
          <w:sz w:val="20"/>
          <w:szCs w:val="24"/>
          <w:vertAlign w:val="superscript"/>
          <w:lang w:val="pt-PT"/>
        </w:rPr>
        <w:t>2</w:t>
      </w:r>
      <w:r w:rsidRPr="0071735B">
        <w:rPr>
          <w:rFonts w:cs="TimesNRMT-Italic"/>
          <w:sz w:val="20"/>
          <w:szCs w:val="24"/>
          <w:lang w:val="pt-PT"/>
        </w:rPr>
        <w:t xml:space="preserve"> for: model 1 = 0.11; model 2 = 0.08; model 3 = 0.28. </w:t>
      </w:r>
      <w:r w:rsidRPr="0071735B">
        <w:rPr>
          <w:rFonts w:cs="TimesNRMT-Italic"/>
          <w:sz w:val="20"/>
          <w:szCs w:val="24"/>
          <w:lang w:val="en-US"/>
        </w:rPr>
        <w:t>Controls</w:t>
      </w:r>
      <w:r w:rsidR="00C63348" w:rsidRPr="0071735B">
        <w:rPr>
          <w:rFonts w:cs="TimesNRMT-Italic"/>
          <w:sz w:val="20"/>
          <w:szCs w:val="24"/>
          <w:lang w:val="en-US"/>
        </w:rPr>
        <w:t xml:space="preserve">   </w:t>
      </w:r>
      <w:r w:rsidRPr="0071735B">
        <w:rPr>
          <w:rFonts w:cs="TimesNRMT-Italic"/>
          <w:sz w:val="20"/>
          <w:szCs w:val="24"/>
          <w:lang w:val="en-US"/>
        </w:rPr>
        <w:t>include: gender, age, gross weekly income, o</w:t>
      </w:r>
      <w:r w:rsidR="00095158" w:rsidRPr="0071735B">
        <w:rPr>
          <w:rFonts w:cs="TimesNRMT-Italic"/>
          <w:sz w:val="20"/>
          <w:szCs w:val="24"/>
          <w:lang w:val="en-US"/>
        </w:rPr>
        <w:t>ccupation, hours worked, organis</w:t>
      </w:r>
      <w:r w:rsidRPr="0071735B">
        <w:rPr>
          <w:rFonts w:cs="TimesNRMT-Italic"/>
          <w:sz w:val="20"/>
          <w:szCs w:val="24"/>
          <w:lang w:val="en-US"/>
        </w:rPr>
        <w:t>ational tenure,</w:t>
      </w:r>
      <w:r w:rsidR="00C63348" w:rsidRPr="0071735B">
        <w:rPr>
          <w:rFonts w:cs="TimesNRMT-Italic"/>
          <w:sz w:val="20"/>
          <w:szCs w:val="24"/>
          <w:lang w:val="en-US"/>
        </w:rPr>
        <w:t xml:space="preserve"> </w:t>
      </w:r>
      <w:r w:rsidR="00095158" w:rsidRPr="0071735B">
        <w:rPr>
          <w:rFonts w:cs="TimesNRMT-Italic"/>
          <w:sz w:val="20"/>
          <w:szCs w:val="24"/>
          <w:lang w:val="en-US"/>
        </w:rPr>
        <w:t>organis</w:t>
      </w:r>
      <w:r w:rsidRPr="0071735B">
        <w:rPr>
          <w:rFonts w:cs="TimesNRMT-Italic"/>
          <w:sz w:val="20"/>
          <w:szCs w:val="24"/>
          <w:lang w:val="en-US"/>
        </w:rPr>
        <w:t>ational size, sector, union membership.</w:t>
      </w:r>
    </w:p>
    <w:p w:rsidR="009F36FC" w:rsidRPr="0071735B" w:rsidRDefault="00556EE9" w:rsidP="003E77EB">
      <w:pPr>
        <w:widowControl w:val="0"/>
        <w:autoSpaceDE w:val="0"/>
        <w:autoSpaceDN w:val="0"/>
        <w:adjustRightInd w:val="0"/>
        <w:spacing w:after="0" w:line="240" w:lineRule="auto"/>
        <w:ind w:left="371" w:hanging="218"/>
        <w:rPr>
          <w:rFonts w:cs="TimesNRMT-Italic"/>
          <w:sz w:val="20"/>
          <w:szCs w:val="24"/>
          <w:lang w:val="fr-FR"/>
        </w:rPr>
      </w:pPr>
      <w:r w:rsidRPr="00093E63">
        <w:rPr>
          <w:rFonts w:cs="TimesNRMT-Italic"/>
          <w:i/>
          <w:iCs/>
          <w:sz w:val="20"/>
          <w:szCs w:val="24"/>
          <w:lang w:val="fr-FR"/>
        </w:rPr>
        <w:t xml:space="preserve">p </w:t>
      </w:r>
      <w:r w:rsidRPr="00093E63">
        <w:rPr>
          <w:rFonts w:cs="TimesNRMT-Italic"/>
          <w:sz w:val="20"/>
          <w:szCs w:val="24"/>
          <w:lang w:val="fr-FR"/>
        </w:rPr>
        <w:t>&lt; 0.05.</w:t>
      </w:r>
      <w:r w:rsidR="003E77EB" w:rsidRPr="00093E63">
        <w:rPr>
          <w:rFonts w:cs="TimesNRMT-Italic"/>
          <w:sz w:val="20"/>
          <w:szCs w:val="24"/>
          <w:lang w:val="fr-FR"/>
        </w:rPr>
        <w:t xml:space="preserve"> </w:t>
      </w:r>
      <w:r w:rsidRPr="0071735B">
        <w:rPr>
          <w:rFonts w:cs="TimesNRMT-Italic"/>
          <w:i/>
          <w:iCs/>
          <w:sz w:val="20"/>
          <w:szCs w:val="24"/>
          <w:lang w:val="fr-FR"/>
        </w:rPr>
        <w:t>B</w:t>
      </w:r>
      <w:r w:rsidR="0071735B" w:rsidRPr="0071735B">
        <w:rPr>
          <w:rFonts w:cs="TimesNRMT-Italic"/>
          <w:sz w:val="20"/>
          <w:szCs w:val="24"/>
          <w:lang w:val="fr-FR"/>
        </w:rPr>
        <w:t>=</w:t>
      </w:r>
      <w:r w:rsidRPr="0071735B">
        <w:rPr>
          <w:rFonts w:cs="TimesNRMT-Italic"/>
          <w:sz w:val="20"/>
          <w:szCs w:val="24"/>
          <w:lang w:val="fr-FR"/>
        </w:rPr>
        <w:t xml:space="preserve">probit regression coefficient; </w:t>
      </w:r>
      <w:r w:rsidRPr="0071735B">
        <w:rPr>
          <w:rFonts w:cs="TimesNRMT-Italic"/>
          <w:i/>
          <w:iCs/>
          <w:sz w:val="20"/>
          <w:szCs w:val="24"/>
          <w:lang w:val="fr-FR"/>
        </w:rPr>
        <w:t>s.e.</w:t>
      </w:r>
      <w:r w:rsidRPr="0071735B">
        <w:rPr>
          <w:rFonts w:cs="TimesNRMT-Italic"/>
          <w:sz w:val="20"/>
          <w:szCs w:val="24"/>
          <w:lang w:val="fr-FR"/>
        </w:rPr>
        <w:t>, standard error.</w:t>
      </w:r>
    </w:p>
    <w:p w:rsidR="00556EE9" w:rsidRPr="0071735B" w:rsidRDefault="00556EE9" w:rsidP="005D35FC">
      <w:pPr>
        <w:spacing w:after="0" w:line="360" w:lineRule="auto"/>
        <w:ind w:left="11"/>
        <w:jc w:val="both"/>
        <w:rPr>
          <w:rFonts w:cstheme="majorBidi"/>
          <w:sz w:val="24"/>
          <w:szCs w:val="24"/>
          <w:lang w:val="fr-FR"/>
        </w:rPr>
      </w:pPr>
    </w:p>
    <w:p w:rsidR="00CF71DB" w:rsidRPr="0071735B" w:rsidRDefault="00CF71DB" w:rsidP="005D35FC">
      <w:pPr>
        <w:pStyle w:val="ListParagraph"/>
        <w:spacing w:after="0" w:line="360" w:lineRule="auto"/>
        <w:jc w:val="both"/>
        <w:rPr>
          <w:rFonts w:cstheme="majorBidi"/>
          <w:sz w:val="24"/>
          <w:szCs w:val="24"/>
          <w:lang w:val="fr-FR"/>
        </w:rPr>
      </w:pPr>
    </w:p>
    <w:p w:rsidR="00BF5A14" w:rsidRDefault="00B770A8" w:rsidP="00D81C35">
      <w:pPr>
        <w:pStyle w:val="ListParagraph"/>
        <w:numPr>
          <w:ilvl w:val="1"/>
          <w:numId w:val="27"/>
        </w:numPr>
        <w:spacing w:after="0" w:line="360" w:lineRule="auto"/>
        <w:ind w:left="720" w:hanging="709"/>
        <w:jc w:val="both"/>
        <w:rPr>
          <w:rFonts w:cstheme="majorBidi"/>
          <w:sz w:val="24"/>
          <w:szCs w:val="24"/>
        </w:rPr>
      </w:pPr>
      <w:r>
        <w:rPr>
          <w:rFonts w:cstheme="majorBidi"/>
          <w:sz w:val="24"/>
          <w:szCs w:val="24"/>
        </w:rPr>
        <w:lastRenderedPageBreak/>
        <w:t xml:space="preserve">The analyses based on the three </w:t>
      </w:r>
      <w:r w:rsidR="00D81C35">
        <w:rPr>
          <w:rFonts w:cstheme="majorBidi"/>
          <w:sz w:val="24"/>
          <w:szCs w:val="24"/>
        </w:rPr>
        <w:t>AWRPS s</w:t>
      </w:r>
      <w:r>
        <w:rPr>
          <w:rFonts w:cstheme="majorBidi"/>
          <w:sz w:val="24"/>
          <w:szCs w:val="24"/>
        </w:rPr>
        <w:t xml:space="preserve">urveys </w:t>
      </w:r>
      <w:r w:rsidR="00BB2207" w:rsidRPr="00BF5A14">
        <w:rPr>
          <w:rFonts w:cstheme="majorBidi"/>
          <w:sz w:val="24"/>
          <w:szCs w:val="24"/>
        </w:rPr>
        <w:t>have consistently shown that regular meetings between senior management and staff</w:t>
      </w:r>
      <w:r w:rsidR="00D81C35">
        <w:rPr>
          <w:rFonts w:cstheme="majorBidi"/>
          <w:sz w:val="24"/>
          <w:szCs w:val="24"/>
        </w:rPr>
        <w:t xml:space="preserve"> are</w:t>
      </w:r>
      <w:r w:rsidR="0049486E">
        <w:rPr>
          <w:rFonts w:cstheme="majorBidi"/>
          <w:sz w:val="24"/>
          <w:szCs w:val="24"/>
        </w:rPr>
        <w:t xml:space="preserve"> </w:t>
      </w:r>
      <w:r w:rsidR="00BB2207" w:rsidRPr="00BF5A14">
        <w:rPr>
          <w:rFonts w:cstheme="majorBidi"/>
          <w:sz w:val="24"/>
          <w:szCs w:val="24"/>
        </w:rPr>
        <w:t>the most effective employee voice channel, followed by semi-autonomous work groups and team briefings. Little evidence has been found for efficacy of formal employee involvement programs such as quality circles, but the incidence of such programs is relatively small in Australia. In the light of the discussion below, it is important to note that the quality of relationships at work is an important element in organisational performance and employee well-being.</w:t>
      </w:r>
    </w:p>
    <w:p w:rsidR="00BF5A14" w:rsidRPr="00BF5A14" w:rsidRDefault="00BF5A14" w:rsidP="005D35FC">
      <w:pPr>
        <w:spacing w:after="0" w:line="360" w:lineRule="auto"/>
        <w:ind w:left="11"/>
        <w:jc w:val="both"/>
        <w:rPr>
          <w:rFonts w:cstheme="majorBidi"/>
          <w:b/>
          <w:bCs/>
          <w:sz w:val="24"/>
          <w:szCs w:val="24"/>
          <w:u w:val="single"/>
        </w:rPr>
      </w:pPr>
    </w:p>
    <w:p w:rsidR="00BF5A14" w:rsidRPr="002E17BB" w:rsidRDefault="00B770A8" w:rsidP="005D35FC">
      <w:pPr>
        <w:pStyle w:val="ListParagraph"/>
        <w:numPr>
          <w:ilvl w:val="1"/>
          <w:numId w:val="27"/>
        </w:numPr>
        <w:spacing w:after="0" w:line="360" w:lineRule="auto"/>
        <w:ind w:left="720" w:hanging="709"/>
        <w:jc w:val="both"/>
        <w:rPr>
          <w:rFonts w:cstheme="majorBidi"/>
          <w:sz w:val="24"/>
          <w:szCs w:val="24"/>
        </w:rPr>
      </w:pPr>
      <w:r>
        <w:rPr>
          <w:rFonts w:cstheme="majorBidi"/>
          <w:b/>
          <w:bCs/>
          <w:sz w:val="24"/>
          <w:szCs w:val="24"/>
        </w:rPr>
        <w:t>Voice complementarity</w:t>
      </w:r>
    </w:p>
    <w:p w:rsidR="001F296D" w:rsidRDefault="00B770A8" w:rsidP="00D81C35">
      <w:pPr>
        <w:spacing w:after="0" w:line="360" w:lineRule="auto"/>
        <w:ind w:left="720"/>
        <w:jc w:val="both"/>
        <w:rPr>
          <w:rFonts w:cstheme="majorBidi"/>
          <w:sz w:val="24"/>
          <w:szCs w:val="24"/>
        </w:rPr>
      </w:pPr>
      <w:r>
        <w:rPr>
          <w:rFonts w:cstheme="majorBidi"/>
          <w:sz w:val="24"/>
          <w:szCs w:val="24"/>
        </w:rPr>
        <w:t xml:space="preserve">The </w:t>
      </w:r>
      <w:r w:rsidR="00D81C35">
        <w:rPr>
          <w:rFonts w:cstheme="majorBidi"/>
          <w:sz w:val="24"/>
          <w:szCs w:val="24"/>
        </w:rPr>
        <w:t xml:space="preserve">AWRPS </w:t>
      </w:r>
      <w:r>
        <w:rPr>
          <w:rFonts w:cstheme="majorBidi"/>
          <w:sz w:val="24"/>
          <w:szCs w:val="24"/>
        </w:rPr>
        <w:t>studies</w:t>
      </w:r>
      <w:r w:rsidR="00BB2207" w:rsidRPr="00BF5A14">
        <w:rPr>
          <w:rFonts w:cstheme="majorBidi"/>
          <w:sz w:val="24"/>
          <w:szCs w:val="24"/>
        </w:rPr>
        <w:t xml:space="preserve"> demonstrate the benefits of voice complementarity – that is, the co-existence and reinforcement of both union and non-union (direct) voice</w:t>
      </w:r>
      <w:r w:rsidR="00BB2207">
        <w:rPr>
          <w:rFonts w:cstheme="majorBidi"/>
          <w:sz w:val="24"/>
          <w:szCs w:val="24"/>
        </w:rPr>
        <w:t xml:space="preserve"> </w:t>
      </w:r>
      <w:r w:rsidR="00BB2207">
        <w:rPr>
          <w:rFonts w:cstheme="majorBidi"/>
          <w:sz w:val="24"/>
          <w:szCs w:val="24"/>
        </w:rPr>
        <w:fldChar w:fldCharType="begin"/>
      </w:r>
      <w:r w:rsidR="00BB2207">
        <w:rPr>
          <w:rFonts w:cstheme="majorBidi"/>
          <w:sz w:val="24"/>
          <w:szCs w:val="24"/>
        </w:rPr>
        <w:instrText xml:space="preserve"> ADDIN EN.CITE &lt;EndNote&gt;&lt;Cite&gt;&lt;Author&gt;Pyman&lt;/Author&gt;&lt;Year&gt;2006&lt;/Year&gt;&lt;RecNum&gt;7&lt;/RecNum&gt;&lt;DisplayText&gt;(Pyman, Cooper, Teicher, &amp;amp; Holland, 2006)&lt;/DisplayText&gt;&lt;record&gt;&lt;rec-number&gt;7&lt;/rec-number&gt;&lt;foreign-keys&gt;&lt;key app="EN" db-id="xe9w25v07zaw5hev9v0p2xz5fwzxxrfx0t50" timestamp="1426041993"&gt;7&lt;/key&gt;&lt;/foreign-keys&gt;&lt;ref-type name="Journal Article"&gt;17&lt;/ref-type&gt;&lt;contributors&gt;&lt;authors&gt;&lt;author&gt;Pyman, A.&lt;/author&gt;&lt;author&gt;Cooper, B.&lt;/author&gt;&lt;author&gt;Teicher, J.&lt;/author&gt;&lt;author&gt;Holland, P.&lt;/author&gt;&lt;/authors&gt;&lt;/contributors&gt;&lt;titles&gt;&lt;title&gt;A comparison of the effectiveness of employee voice arrangements in Australia&lt;/title&gt;&lt;secondary-title&gt;Industrial Relations Journal&lt;/secondary-title&gt;&lt;/titles&gt;&lt;periodical&gt;&lt;full-title&gt;Industrial Relations Journal&lt;/full-title&gt;&lt;/periodical&gt;&lt;pages&gt;543-559&lt;/pages&gt;&lt;volume&gt;37&lt;/volume&gt;&lt;number&gt;5&lt;/number&gt;&lt;dates&gt;&lt;year&gt;2006&lt;/year&gt;&lt;/dates&gt;&lt;urls&gt;&lt;/urls&gt;&lt;/record&gt;&lt;/Cite&gt;&lt;/EndNote&gt;</w:instrText>
      </w:r>
      <w:r w:rsidR="00BB2207">
        <w:rPr>
          <w:rFonts w:cstheme="majorBidi"/>
          <w:sz w:val="24"/>
          <w:szCs w:val="24"/>
        </w:rPr>
        <w:fldChar w:fldCharType="separate"/>
      </w:r>
      <w:r w:rsidR="00BB2207">
        <w:rPr>
          <w:rFonts w:cstheme="majorBidi"/>
          <w:noProof/>
          <w:sz w:val="24"/>
          <w:szCs w:val="24"/>
        </w:rPr>
        <w:t>(Pyman, Cooper, Teicher, &amp; Holland, 2006)</w:t>
      </w:r>
      <w:r w:rsidR="00BB2207">
        <w:rPr>
          <w:rFonts w:cstheme="majorBidi"/>
          <w:sz w:val="24"/>
          <w:szCs w:val="24"/>
        </w:rPr>
        <w:fldChar w:fldCharType="end"/>
      </w:r>
      <w:r w:rsidR="00BB2207" w:rsidRPr="00BF5A14">
        <w:rPr>
          <w:rFonts w:cstheme="majorBidi"/>
          <w:sz w:val="24"/>
          <w:szCs w:val="24"/>
        </w:rPr>
        <w:t>. Our research found a positive impact of complementary or hybrid voice channels on employee job satisfaction, but interestingly not for trust in management</w:t>
      </w:r>
      <w:r w:rsidR="00BB2207">
        <w:rPr>
          <w:rFonts w:cstheme="majorBidi"/>
          <w:sz w:val="24"/>
          <w:szCs w:val="24"/>
        </w:rPr>
        <w:t xml:space="preserve"> </w:t>
      </w:r>
      <w:r w:rsidR="00BB2207">
        <w:rPr>
          <w:rFonts w:cstheme="majorBidi"/>
          <w:sz w:val="24"/>
          <w:szCs w:val="24"/>
        </w:rPr>
        <w:fldChar w:fldCharType="begin"/>
      </w:r>
      <w:r w:rsidR="00BB2207">
        <w:rPr>
          <w:rFonts w:cstheme="majorBidi"/>
          <w:sz w:val="24"/>
          <w:szCs w:val="24"/>
        </w:rPr>
        <w:instrText xml:space="preserve"> ADDIN EN.CITE &lt;EndNote&gt;&lt;Cite&gt;&lt;Author&gt;Holland&lt;/Author&gt;&lt;Year&gt;2012&lt;/Year&gt;&lt;RecNum&gt;1&lt;/RecNum&gt;&lt;DisplayText&gt;(Holland et al., 2012)&lt;/DisplayText&gt;&lt;record&gt;&lt;rec-number&gt;1&lt;/rec-number&gt;&lt;foreign-keys&gt;&lt;key app="EN" db-id="xe9w25v07zaw5hev9v0p2xz5fwzxxrfx0t50" timestamp="1426041556"&gt;1&lt;/key&gt;&lt;/foreign-keys&gt;&lt;ref-type name="Journal Article"&gt;17&lt;/ref-type&gt;&lt;contributors&gt;&lt;authors&gt;&lt;author&gt;Holland, P.&lt;/author&gt;&lt;author&gt;Cooper, B.&lt;/author&gt;&lt;author&gt;Pyman, A.&lt;/author&gt;&lt;author&gt;Teicher, J.&lt;/author&gt;&lt;/authors&gt;&lt;/contributors&gt;&lt;titles&gt;&lt;title&gt;Trust in management: The role of employee voice arrangements and perceived managerial opposition to unions&lt;/title&gt;&lt;secondary-title&gt;Human Resource Management (UK)&lt;/secondary-title&gt;&lt;/titles&gt;&lt;periodical&gt;&lt;full-title&gt;Human Resource Management (UK)&lt;/full-title&gt;&lt;/periodical&gt;&lt;pages&gt;377-391&lt;/pages&gt;&lt;volume&gt;22&lt;/volume&gt;&lt;number&gt;4&lt;/number&gt;&lt;dates&gt;&lt;year&gt;2012&lt;/year&gt;&lt;/dates&gt;&lt;urls&gt;&lt;/urls&gt;&lt;/record&gt;&lt;/Cite&gt;&lt;/EndNote&gt;</w:instrText>
      </w:r>
      <w:r w:rsidR="00BB2207">
        <w:rPr>
          <w:rFonts w:cstheme="majorBidi"/>
          <w:sz w:val="24"/>
          <w:szCs w:val="24"/>
        </w:rPr>
        <w:fldChar w:fldCharType="separate"/>
      </w:r>
      <w:r w:rsidR="00BB2207">
        <w:rPr>
          <w:rFonts w:cstheme="majorBidi"/>
          <w:noProof/>
          <w:sz w:val="24"/>
          <w:szCs w:val="24"/>
        </w:rPr>
        <w:t>(Holland et al., 2012)</w:t>
      </w:r>
      <w:r w:rsidR="00BB2207">
        <w:rPr>
          <w:rFonts w:cstheme="majorBidi"/>
          <w:sz w:val="24"/>
          <w:szCs w:val="24"/>
        </w:rPr>
        <w:fldChar w:fldCharType="end"/>
      </w:r>
      <w:r w:rsidR="00BB2207" w:rsidRPr="00BF5A14">
        <w:rPr>
          <w:rFonts w:cstheme="majorBidi"/>
          <w:sz w:val="24"/>
          <w:szCs w:val="24"/>
        </w:rPr>
        <w:t>.  Our research also shows a positive impact of voice complementarity on the perceived industrial relations climate, job control, influence over job rewards, and the responsiveness of managers to employee needs</w:t>
      </w:r>
      <w:r w:rsidR="00BB2207">
        <w:rPr>
          <w:rFonts w:cstheme="majorBidi"/>
          <w:sz w:val="24"/>
          <w:szCs w:val="24"/>
        </w:rPr>
        <w:t xml:space="preserve"> </w:t>
      </w:r>
      <w:r w:rsidR="00BB2207">
        <w:rPr>
          <w:rFonts w:cstheme="majorBidi"/>
          <w:sz w:val="24"/>
          <w:szCs w:val="24"/>
        </w:rPr>
        <w:fldChar w:fldCharType="begin"/>
      </w:r>
      <w:r w:rsidR="00BB2207">
        <w:rPr>
          <w:rFonts w:cstheme="majorBidi"/>
          <w:sz w:val="24"/>
          <w:szCs w:val="24"/>
        </w:rPr>
        <w:instrText xml:space="preserve"> ADDIN EN.CITE &lt;EndNote&gt;&lt;Cite&gt;&lt;Author&gt;Pyman&lt;/Author&gt;&lt;Year&gt;2010&lt;/Year&gt;&lt;RecNum&gt;3&lt;/RecNum&gt;&lt;DisplayText&gt;(Pyman et al., 2010)&lt;/DisplayText&gt;&lt;record&gt;&lt;rec-number&gt;3&lt;/rec-number&gt;&lt;foreign-keys&gt;&lt;key app="EN" db-id="xe9w25v07zaw5hev9v0p2xz5fwzxxrfx0t50" timestamp="1426041699"&gt;3&lt;/key&gt;&lt;/foreign-keys&gt;&lt;ref-type name="Journal Article"&gt;17&lt;/ref-type&gt;&lt;contributors&gt;&lt;authors&gt;&lt;author&gt;Pyman, A.&lt;/author&gt;&lt;author&gt;Holland, P.&lt;/author&gt;&lt;author&gt;Teicher, J.&lt;/author&gt;&lt;author&gt;Cooper, B.&lt;/author&gt;&lt;/authors&gt;&lt;/contributors&gt;&lt;titles&gt;&lt;title&gt;Industrial relations climate, employee voice and managerial attitudes to unions: An Australian study&lt;/title&gt;&lt;secondary-title&gt;British Journal of Industrial Relations&lt;/secondary-title&gt;&lt;/titles&gt;&lt;periodical&gt;&lt;full-title&gt;British Journal of Industrial Relations&lt;/full-title&gt;&lt;/periodical&gt;&lt;pages&gt;460-480&lt;/pages&gt;&lt;volume&gt;48&lt;/volume&gt;&lt;number&gt;2&lt;/number&gt;&lt;dates&gt;&lt;year&gt;2010&lt;/year&gt;&lt;/dates&gt;&lt;urls&gt;&lt;/urls&gt;&lt;/record&gt;&lt;/Cite&gt;&lt;/EndNote&gt;</w:instrText>
      </w:r>
      <w:r w:rsidR="00BB2207">
        <w:rPr>
          <w:rFonts w:cstheme="majorBidi"/>
          <w:sz w:val="24"/>
          <w:szCs w:val="24"/>
        </w:rPr>
        <w:fldChar w:fldCharType="separate"/>
      </w:r>
      <w:r w:rsidR="00BB2207">
        <w:rPr>
          <w:rFonts w:cstheme="majorBidi"/>
          <w:noProof/>
          <w:sz w:val="24"/>
          <w:szCs w:val="24"/>
        </w:rPr>
        <w:t>(Pyman et al., 2010)</w:t>
      </w:r>
      <w:r w:rsidR="00BB2207">
        <w:rPr>
          <w:rFonts w:cstheme="majorBidi"/>
          <w:sz w:val="24"/>
          <w:szCs w:val="24"/>
        </w:rPr>
        <w:fldChar w:fldCharType="end"/>
      </w:r>
      <w:r w:rsidR="00BB2207" w:rsidRPr="00BF5A14">
        <w:rPr>
          <w:rFonts w:cstheme="majorBidi"/>
          <w:sz w:val="24"/>
          <w:szCs w:val="24"/>
        </w:rPr>
        <w:t xml:space="preserve">. In terms of the </w:t>
      </w:r>
      <w:r w:rsidR="00904F82">
        <w:rPr>
          <w:rFonts w:cstheme="majorBidi"/>
          <w:sz w:val="24"/>
          <w:szCs w:val="24"/>
        </w:rPr>
        <w:t>Productivity Commission’</w:t>
      </w:r>
      <w:r w:rsidR="00696E95">
        <w:rPr>
          <w:rFonts w:cstheme="majorBidi"/>
          <w:sz w:val="24"/>
          <w:szCs w:val="24"/>
        </w:rPr>
        <w:t>s</w:t>
      </w:r>
      <w:r w:rsidR="00BB2207" w:rsidRPr="00BF5A14">
        <w:rPr>
          <w:rFonts w:cstheme="majorBidi"/>
          <w:sz w:val="24"/>
          <w:szCs w:val="24"/>
        </w:rPr>
        <w:t xml:space="preserve"> focus on co</w:t>
      </w:r>
      <w:r w:rsidR="00696E95">
        <w:rPr>
          <w:rFonts w:cstheme="majorBidi"/>
          <w:sz w:val="24"/>
          <w:szCs w:val="24"/>
        </w:rPr>
        <w:t>-</w:t>
      </w:r>
      <w:r w:rsidR="00BB2207" w:rsidRPr="00BF5A14">
        <w:rPr>
          <w:rFonts w:cstheme="majorBidi"/>
          <w:sz w:val="24"/>
          <w:szCs w:val="24"/>
        </w:rPr>
        <w:t>operative relations at work, we submit that it is important for organisations to develop complementary or hybrid voice syste</w:t>
      </w:r>
      <w:r w:rsidR="00BB2207">
        <w:rPr>
          <w:rFonts w:cstheme="majorBidi"/>
          <w:sz w:val="24"/>
          <w:szCs w:val="24"/>
        </w:rPr>
        <w:t xml:space="preserve">ms (union and non-union/direct) </w:t>
      </w:r>
      <w:r w:rsidR="00BB2207" w:rsidRPr="00BF5A14">
        <w:rPr>
          <w:rFonts w:cstheme="majorBidi"/>
          <w:sz w:val="24"/>
          <w:szCs w:val="24"/>
        </w:rPr>
        <w:t xml:space="preserve">which are linked to employee commitment and organisational performance. However, our research suggests that </w:t>
      </w:r>
      <w:r w:rsidR="002E17BB">
        <w:rPr>
          <w:rFonts w:cstheme="majorBidi"/>
          <w:sz w:val="24"/>
          <w:szCs w:val="24"/>
        </w:rPr>
        <w:t xml:space="preserve">most participants in </w:t>
      </w:r>
      <w:r w:rsidR="00BB2207" w:rsidRPr="00BF5A14">
        <w:rPr>
          <w:rFonts w:cstheme="majorBidi"/>
          <w:sz w:val="24"/>
          <w:szCs w:val="24"/>
        </w:rPr>
        <w:t>the Australian workp</w:t>
      </w:r>
      <w:r w:rsidR="002E17BB">
        <w:rPr>
          <w:rFonts w:cstheme="majorBidi"/>
          <w:sz w:val="24"/>
          <w:szCs w:val="24"/>
        </w:rPr>
        <w:t xml:space="preserve">lace relations system may not be ready </w:t>
      </w:r>
      <w:r w:rsidR="00BB2207" w:rsidRPr="00BF5A14">
        <w:rPr>
          <w:rFonts w:cstheme="majorBidi"/>
          <w:sz w:val="24"/>
          <w:szCs w:val="24"/>
        </w:rPr>
        <w:t>to develop and manage sophisticated human resources policies and practices where voice systems complement rather compete with each other</w:t>
      </w:r>
      <w:r w:rsidR="00696E95">
        <w:rPr>
          <w:rFonts w:cstheme="majorBidi"/>
          <w:sz w:val="24"/>
          <w:szCs w:val="24"/>
        </w:rPr>
        <w:t xml:space="preserve">. Consistent with the evidence and argument presented above, we do not argue that this is a cause for legislative intervention </w:t>
      </w:r>
      <w:r w:rsidR="0039155E">
        <w:rPr>
          <w:rFonts w:cstheme="majorBidi"/>
          <w:sz w:val="24"/>
          <w:szCs w:val="24"/>
        </w:rPr>
        <w:t xml:space="preserve">other than to encourage employers to have recourse to innovative workplace agreements. </w:t>
      </w:r>
    </w:p>
    <w:p w:rsidR="00491D3B" w:rsidRPr="00C60203" w:rsidRDefault="00491D3B" w:rsidP="005D35FC">
      <w:pPr>
        <w:spacing w:after="0" w:line="360" w:lineRule="auto"/>
        <w:ind w:left="11"/>
        <w:jc w:val="both"/>
        <w:rPr>
          <w:rFonts w:cstheme="majorBidi"/>
          <w:sz w:val="24"/>
          <w:szCs w:val="24"/>
        </w:rPr>
      </w:pPr>
    </w:p>
    <w:p w:rsidR="001F296D" w:rsidRPr="002E17BB" w:rsidRDefault="00635E87" w:rsidP="00635E87">
      <w:pPr>
        <w:pStyle w:val="ListParagraph"/>
        <w:numPr>
          <w:ilvl w:val="1"/>
          <w:numId w:val="27"/>
        </w:numPr>
        <w:spacing w:after="0" w:line="360" w:lineRule="auto"/>
        <w:ind w:left="720" w:hanging="709"/>
        <w:jc w:val="both"/>
        <w:rPr>
          <w:rFonts w:cstheme="majorBidi"/>
          <w:b/>
          <w:i/>
          <w:sz w:val="24"/>
          <w:szCs w:val="24"/>
        </w:rPr>
      </w:pPr>
      <w:r>
        <w:rPr>
          <w:rFonts w:cstheme="majorBidi"/>
          <w:b/>
          <w:i/>
          <w:sz w:val="24"/>
          <w:szCs w:val="24"/>
        </w:rPr>
        <w:t>The Role of Joint Consultative</w:t>
      </w:r>
      <w:r w:rsidR="001F296D" w:rsidRPr="002E17BB">
        <w:rPr>
          <w:rFonts w:cstheme="majorBidi"/>
          <w:b/>
          <w:i/>
          <w:sz w:val="24"/>
          <w:szCs w:val="24"/>
        </w:rPr>
        <w:t xml:space="preserve"> Committees</w:t>
      </w:r>
    </w:p>
    <w:p w:rsidR="00500E45" w:rsidRDefault="001F296D" w:rsidP="005D35FC">
      <w:pPr>
        <w:spacing w:after="0" w:line="360" w:lineRule="auto"/>
        <w:ind w:left="720"/>
        <w:jc w:val="both"/>
        <w:rPr>
          <w:rFonts w:cstheme="majorBidi"/>
          <w:sz w:val="24"/>
          <w:szCs w:val="24"/>
        </w:rPr>
      </w:pPr>
      <w:r w:rsidRPr="00C60203">
        <w:rPr>
          <w:rFonts w:cstheme="majorBidi"/>
          <w:sz w:val="24"/>
          <w:szCs w:val="24"/>
        </w:rPr>
        <w:t xml:space="preserve">Joint </w:t>
      </w:r>
      <w:r w:rsidR="00BB2207" w:rsidRPr="00C60203">
        <w:rPr>
          <w:rFonts w:cstheme="majorBidi"/>
          <w:sz w:val="24"/>
          <w:szCs w:val="24"/>
        </w:rPr>
        <w:t>Consul</w:t>
      </w:r>
      <w:r w:rsidR="00BB2207">
        <w:rPr>
          <w:rFonts w:cstheme="majorBidi"/>
          <w:sz w:val="24"/>
          <w:szCs w:val="24"/>
        </w:rPr>
        <w:t>t</w:t>
      </w:r>
      <w:r w:rsidR="00BB2207" w:rsidRPr="00C60203">
        <w:rPr>
          <w:rFonts w:cstheme="majorBidi"/>
          <w:sz w:val="24"/>
          <w:szCs w:val="24"/>
        </w:rPr>
        <w:t xml:space="preserve">ation Committees (JCCs) were </w:t>
      </w:r>
      <w:r w:rsidR="00BB2207">
        <w:rPr>
          <w:rFonts w:cstheme="majorBidi"/>
          <w:sz w:val="24"/>
          <w:szCs w:val="24"/>
        </w:rPr>
        <w:t xml:space="preserve">a significant component of the </w:t>
      </w:r>
      <w:r w:rsidR="00BB2207" w:rsidRPr="00C60203">
        <w:rPr>
          <w:rFonts w:cstheme="majorBidi"/>
          <w:sz w:val="24"/>
          <w:szCs w:val="24"/>
        </w:rPr>
        <w:t>industrial landscape of Australia, particular</w:t>
      </w:r>
      <w:r w:rsidR="0039155E">
        <w:rPr>
          <w:rFonts w:cstheme="majorBidi"/>
          <w:sz w:val="24"/>
          <w:szCs w:val="24"/>
        </w:rPr>
        <w:t xml:space="preserve">ly from the 1970s onwards. </w:t>
      </w:r>
      <w:r w:rsidR="00500E45" w:rsidRPr="00C60203">
        <w:rPr>
          <w:rFonts w:cstheme="majorBidi"/>
          <w:sz w:val="24"/>
          <w:szCs w:val="24"/>
        </w:rPr>
        <w:t xml:space="preserve">JCCs </w:t>
      </w:r>
      <w:r w:rsidR="00500E45">
        <w:rPr>
          <w:rFonts w:cstheme="majorBidi"/>
          <w:sz w:val="24"/>
          <w:szCs w:val="24"/>
        </w:rPr>
        <w:t>a</w:t>
      </w:r>
      <w:r w:rsidR="00500E45" w:rsidRPr="00C60203">
        <w:rPr>
          <w:rFonts w:cstheme="majorBidi"/>
          <w:sz w:val="24"/>
          <w:szCs w:val="24"/>
        </w:rPr>
        <w:t>re considered as a form of indirect employee voice which could be further categorised as union or non-</w:t>
      </w:r>
      <w:r w:rsidR="00500E45" w:rsidRPr="00C60203">
        <w:rPr>
          <w:rFonts w:cstheme="majorBidi"/>
          <w:sz w:val="24"/>
          <w:szCs w:val="24"/>
        </w:rPr>
        <w:lastRenderedPageBreak/>
        <w:t>union indirect voice</w:t>
      </w:r>
      <w:r w:rsidR="00500E45">
        <w:rPr>
          <w:rFonts w:cstheme="majorBidi"/>
          <w:sz w:val="24"/>
          <w:szCs w:val="24"/>
        </w:rPr>
        <w:t xml:space="preserve">. </w:t>
      </w:r>
      <w:r w:rsidR="0039155E">
        <w:rPr>
          <w:rFonts w:cstheme="majorBidi"/>
          <w:sz w:val="24"/>
          <w:szCs w:val="24"/>
        </w:rPr>
        <w:t>Traditionally, they have been union dominated but apart from that relatively little is known about their operation and contribution</w:t>
      </w:r>
      <w:r w:rsidR="00500E45">
        <w:rPr>
          <w:rFonts w:cstheme="majorBidi"/>
          <w:sz w:val="24"/>
          <w:szCs w:val="24"/>
        </w:rPr>
        <w:t>.</w:t>
      </w:r>
    </w:p>
    <w:p w:rsidR="001F296D" w:rsidRPr="00C60203" w:rsidRDefault="001F296D" w:rsidP="005D35FC">
      <w:pPr>
        <w:spacing w:after="0" w:line="360" w:lineRule="auto"/>
        <w:ind w:left="11"/>
        <w:jc w:val="both"/>
        <w:rPr>
          <w:rFonts w:cstheme="majorBidi"/>
          <w:sz w:val="24"/>
          <w:szCs w:val="24"/>
        </w:rPr>
      </w:pPr>
    </w:p>
    <w:p w:rsidR="00500E45" w:rsidRDefault="00500E45" w:rsidP="005D35FC">
      <w:pPr>
        <w:pStyle w:val="ListParagraph"/>
        <w:numPr>
          <w:ilvl w:val="1"/>
          <w:numId w:val="27"/>
        </w:numPr>
        <w:spacing w:after="0" w:line="360" w:lineRule="auto"/>
        <w:ind w:left="720" w:hanging="709"/>
        <w:jc w:val="both"/>
        <w:rPr>
          <w:rFonts w:cstheme="majorBidi"/>
          <w:sz w:val="24"/>
          <w:szCs w:val="24"/>
        </w:rPr>
      </w:pPr>
      <w:r>
        <w:rPr>
          <w:rFonts w:cstheme="majorBidi"/>
          <w:sz w:val="24"/>
          <w:szCs w:val="24"/>
        </w:rPr>
        <w:t xml:space="preserve">Research conducted by ACREW members </w:t>
      </w:r>
      <w:r w:rsidR="0039155E">
        <w:rPr>
          <w:rFonts w:cstheme="majorBidi"/>
          <w:sz w:val="24"/>
          <w:szCs w:val="24"/>
        </w:rPr>
        <w:t xml:space="preserve">found that 80% </w:t>
      </w:r>
      <w:r w:rsidR="00BB2207" w:rsidRPr="00BF5A14">
        <w:rPr>
          <w:rFonts w:cstheme="majorBidi"/>
          <w:sz w:val="24"/>
          <w:szCs w:val="24"/>
        </w:rPr>
        <w:t>of employees surveyed c</w:t>
      </w:r>
      <w:r w:rsidR="00BB2207">
        <w:rPr>
          <w:rFonts w:cstheme="majorBidi"/>
          <w:sz w:val="24"/>
          <w:szCs w:val="24"/>
        </w:rPr>
        <w:t xml:space="preserve">onsidered JCCs to be effective </w:t>
      </w:r>
      <w:r w:rsidR="00BB2207">
        <w:rPr>
          <w:rFonts w:cstheme="majorBidi"/>
          <w:sz w:val="24"/>
          <w:szCs w:val="24"/>
        </w:rPr>
        <w:fldChar w:fldCharType="begin"/>
      </w:r>
      <w:r w:rsidR="00BB2207">
        <w:rPr>
          <w:rFonts w:cstheme="majorBidi"/>
          <w:sz w:val="24"/>
          <w:szCs w:val="24"/>
        </w:rPr>
        <w:instrText xml:space="preserve"> ADDIN EN.CITE &lt;EndNote&gt;&lt;Cite&gt;&lt;Author&gt;Holland&lt;/Author&gt;&lt;Year&gt;2009&lt;/Year&gt;&lt;RecNum&gt;19&lt;/RecNum&gt;&lt;DisplayText&gt;(Holland, Pyman, Cooper, &amp;amp; Teicher, 2009)&lt;/DisplayText&gt;&lt;record&gt;&lt;rec-number&gt;19&lt;/rec-number&gt;&lt;foreign-keys&gt;&lt;key app="EN" db-id="xe9w25v07zaw5hev9v0p2xz5fwzxxrfx0t50" timestamp="1426045390"&gt;19&lt;/key&gt;&lt;/foreign-keys&gt;&lt;ref-type name="Journal Article"&gt;17&lt;/ref-type&gt;&lt;contributors&gt;&lt;authors&gt;&lt;author&gt;Holland, P.&lt;/author&gt;&lt;author&gt;Pyman, A.&lt;/author&gt;&lt;author&gt;Cooper, B.&lt;/author&gt;&lt;author&gt;Teicher, J.&lt;/author&gt;&lt;/authors&gt;&lt;/contributors&gt;&lt;titles&gt;&lt;title&gt;The development of alternative voice mechanisms in Australia: The case of joint consultation&lt;/title&gt;&lt;secondary-title&gt;Economics and Industrial Democracy&lt;/secondary-title&gt;&lt;/titles&gt;&lt;periodical&gt;&lt;full-title&gt;Economics and Industrial Democracy&lt;/full-title&gt;&lt;/periodical&gt;&lt;pages&gt;67-92&lt;/pages&gt;&lt;volume&gt;30&lt;/volume&gt;&lt;number&gt;1&lt;/number&gt;&lt;dates&gt;&lt;year&gt;2009&lt;/year&gt;&lt;/dates&gt;&lt;urls&gt;&lt;/urls&gt;&lt;/record&gt;&lt;/Cite&gt;&lt;/EndNote&gt;</w:instrText>
      </w:r>
      <w:r w:rsidR="00BB2207">
        <w:rPr>
          <w:rFonts w:cstheme="majorBidi"/>
          <w:sz w:val="24"/>
          <w:szCs w:val="24"/>
        </w:rPr>
        <w:fldChar w:fldCharType="separate"/>
      </w:r>
      <w:r w:rsidR="00BB2207">
        <w:rPr>
          <w:rFonts w:cstheme="majorBidi"/>
          <w:noProof/>
          <w:sz w:val="24"/>
          <w:szCs w:val="24"/>
        </w:rPr>
        <w:t>(Holland, Pyman, Cooper, &amp; Teicher, 2009)</w:t>
      </w:r>
      <w:r w:rsidR="00BB2207">
        <w:rPr>
          <w:rFonts w:cstheme="majorBidi"/>
          <w:sz w:val="24"/>
          <w:szCs w:val="24"/>
        </w:rPr>
        <w:fldChar w:fldCharType="end"/>
      </w:r>
      <w:r w:rsidR="00BB2207" w:rsidRPr="00BF5A14">
        <w:rPr>
          <w:rFonts w:cstheme="majorBidi"/>
          <w:sz w:val="24"/>
          <w:szCs w:val="24"/>
        </w:rPr>
        <w:t>. Another significant issue was that JCC</w:t>
      </w:r>
      <w:r w:rsidR="00D81C35">
        <w:rPr>
          <w:rFonts w:cstheme="majorBidi"/>
          <w:sz w:val="24"/>
          <w:szCs w:val="24"/>
        </w:rPr>
        <w:t>S</w:t>
      </w:r>
      <w:r w:rsidR="00BB2207" w:rsidRPr="00BF5A14">
        <w:rPr>
          <w:rFonts w:cstheme="majorBidi"/>
          <w:sz w:val="24"/>
          <w:szCs w:val="24"/>
        </w:rPr>
        <w:t xml:space="preserve"> were seen to be more effective in smaller organisations (typical</w:t>
      </w:r>
      <w:r>
        <w:rPr>
          <w:rFonts w:cstheme="majorBidi"/>
          <w:sz w:val="24"/>
          <w:szCs w:val="24"/>
        </w:rPr>
        <w:t xml:space="preserve">ly </w:t>
      </w:r>
      <w:r w:rsidR="00BB2207" w:rsidRPr="00BF5A14">
        <w:rPr>
          <w:rFonts w:cstheme="majorBidi"/>
          <w:sz w:val="24"/>
          <w:szCs w:val="24"/>
        </w:rPr>
        <w:t xml:space="preserve">having low union membership) and where management had a variety of communication strategies </w:t>
      </w:r>
      <w:r w:rsidR="00BB2207">
        <w:rPr>
          <w:rFonts w:cstheme="majorBidi"/>
          <w:sz w:val="24"/>
          <w:szCs w:val="24"/>
        </w:rPr>
        <w:fldChar w:fldCharType="begin"/>
      </w:r>
      <w:r w:rsidR="00BB2207">
        <w:rPr>
          <w:rFonts w:cstheme="majorBidi"/>
          <w:sz w:val="24"/>
          <w:szCs w:val="24"/>
        </w:rPr>
        <w:instrText xml:space="preserve"> ADDIN EN.CITE &lt;EndNote&gt;&lt;Cite&gt;&lt;Author&gt;Holland&lt;/Author&gt;&lt;Year&gt;2009&lt;/Year&gt;&lt;RecNum&gt;19&lt;/RecNum&gt;&lt;DisplayText&gt;(Holland et al., 2009)&lt;/DisplayText&gt;&lt;record&gt;&lt;rec-number&gt;19&lt;/rec-number&gt;&lt;foreign-keys&gt;&lt;key app="EN" db-id="xe9w25v07zaw5hev9v0p2xz5fwzxxrfx0t50" timestamp="1426045390"&gt;19&lt;/key&gt;&lt;/foreign-keys&gt;&lt;ref-type name="Journal Article"&gt;17&lt;/ref-type&gt;&lt;contributors&gt;&lt;authors&gt;&lt;author&gt;Holland, P.&lt;/author&gt;&lt;author&gt;Pyman, A.&lt;/author&gt;&lt;author&gt;Cooper, B.&lt;/author&gt;&lt;author&gt;Teicher, J.&lt;/author&gt;&lt;/authors&gt;&lt;/contributors&gt;&lt;titles&gt;&lt;title&gt;The development of alternative voice mechanisms in Australia: The case of joint consultation&lt;/title&gt;&lt;secondary-title&gt;Economics and Industrial Democracy&lt;/secondary-title&gt;&lt;/titles&gt;&lt;periodical&gt;&lt;full-title&gt;Economics and Industrial Democracy&lt;/full-title&gt;&lt;/periodical&gt;&lt;pages&gt;67-92&lt;/pages&gt;&lt;volume&gt;30&lt;/volume&gt;&lt;number&gt;1&lt;/number&gt;&lt;dates&gt;&lt;year&gt;2009&lt;/year&gt;&lt;/dates&gt;&lt;urls&gt;&lt;/urls&gt;&lt;/record&gt;&lt;/Cite&gt;&lt;/EndNote&gt;</w:instrText>
      </w:r>
      <w:r w:rsidR="00BB2207">
        <w:rPr>
          <w:rFonts w:cstheme="majorBidi"/>
          <w:sz w:val="24"/>
          <w:szCs w:val="24"/>
        </w:rPr>
        <w:fldChar w:fldCharType="separate"/>
      </w:r>
      <w:r w:rsidR="00BB2207">
        <w:rPr>
          <w:rFonts w:cstheme="majorBidi"/>
          <w:noProof/>
          <w:sz w:val="24"/>
          <w:szCs w:val="24"/>
        </w:rPr>
        <w:t>(Holland et al., 2009)</w:t>
      </w:r>
      <w:r w:rsidR="00BB2207">
        <w:rPr>
          <w:rFonts w:cstheme="majorBidi"/>
          <w:sz w:val="24"/>
          <w:szCs w:val="24"/>
        </w:rPr>
        <w:fldChar w:fldCharType="end"/>
      </w:r>
      <w:r w:rsidR="00BB2207" w:rsidRPr="00BF5A14">
        <w:rPr>
          <w:rFonts w:cstheme="majorBidi"/>
          <w:sz w:val="24"/>
          <w:szCs w:val="24"/>
        </w:rPr>
        <w:t>. These findings support the argument that management needs to develop a variety of mechanisms and communication channels to effectively enhance workplace co</w:t>
      </w:r>
      <w:r>
        <w:rPr>
          <w:rFonts w:cstheme="majorBidi"/>
          <w:sz w:val="24"/>
          <w:szCs w:val="24"/>
        </w:rPr>
        <w:t>-</w:t>
      </w:r>
      <w:r w:rsidR="00BB2207" w:rsidRPr="00BF5A14">
        <w:rPr>
          <w:rFonts w:cstheme="majorBidi"/>
          <w:sz w:val="24"/>
          <w:szCs w:val="24"/>
        </w:rPr>
        <w:t xml:space="preserve">operation, employee engagement and commitment. </w:t>
      </w:r>
    </w:p>
    <w:p w:rsidR="00500E45" w:rsidRDefault="00500E45" w:rsidP="005D35FC">
      <w:pPr>
        <w:pStyle w:val="ListParagraph"/>
        <w:spacing w:after="0" w:line="360" w:lineRule="auto"/>
        <w:jc w:val="both"/>
        <w:rPr>
          <w:rFonts w:cstheme="majorBidi"/>
          <w:sz w:val="24"/>
          <w:szCs w:val="24"/>
        </w:rPr>
      </w:pPr>
    </w:p>
    <w:p w:rsidR="001F296D" w:rsidRPr="002E17BB" w:rsidRDefault="001F296D" w:rsidP="005D35FC">
      <w:pPr>
        <w:pStyle w:val="ListParagraph"/>
        <w:numPr>
          <w:ilvl w:val="1"/>
          <w:numId w:val="27"/>
        </w:numPr>
        <w:spacing w:after="0" w:line="360" w:lineRule="auto"/>
        <w:ind w:left="720" w:hanging="709"/>
        <w:jc w:val="both"/>
        <w:rPr>
          <w:rFonts w:cstheme="majorBidi"/>
          <w:sz w:val="24"/>
          <w:szCs w:val="24"/>
        </w:rPr>
      </w:pPr>
      <w:r w:rsidRPr="002E17BB">
        <w:rPr>
          <w:rFonts w:cstheme="majorBidi"/>
          <w:b/>
          <w:bCs/>
          <w:sz w:val="24"/>
          <w:szCs w:val="24"/>
        </w:rPr>
        <w:t xml:space="preserve">Management attitudes </w:t>
      </w:r>
    </w:p>
    <w:p w:rsidR="00F5336C" w:rsidRPr="00F5336C" w:rsidRDefault="00F5336C" w:rsidP="00D81C35">
      <w:pPr>
        <w:pStyle w:val="ListParagraph"/>
        <w:spacing w:after="0" w:line="360" w:lineRule="auto"/>
        <w:jc w:val="both"/>
        <w:rPr>
          <w:rFonts w:cstheme="majorBidi"/>
          <w:sz w:val="24"/>
          <w:szCs w:val="24"/>
        </w:rPr>
      </w:pPr>
      <w:r w:rsidRPr="00F5336C">
        <w:rPr>
          <w:rFonts w:cstheme="majorBidi"/>
          <w:sz w:val="24"/>
          <w:szCs w:val="24"/>
        </w:rPr>
        <w:t>The body of AWRPS research has consistently shown the importance of management attitudes in influencing employee’s perceptions of co</w:t>
      </w:r>
      <w:r w:rsidR="00500E45">
        <w:rPr>
          <w:rFonts w:cstheme="majorBidi"/>
          <w:sz w:val="24"/>
          <w:szCs w:val="24"/>
        </w:rPr>
        <w:t>-</w:t>
      </w:r>
      <w:r w:rsidRPr="00F5336C">
        <w:rPr>
          <w:rFonts w:cstheme="majorBidi"/>
          <w:sz w:val="24"/>
          <w:szCs w:val="24"/>
        </w:rPr>
        <w:t xml:space="preserve">operative workplace relations </w:t>
      </w:r>
      <w:r w:rsidRPr="00F5336C">
        <w:rPr>
          <w:rFonts w:cstheme="majorBidi"/>
          <w:sz w:val="24"/>
          <w:szCs w:val="24"/>
        </w:rPr>
        <w:fldChar w:fldCharType="begin"/>
      </w:r>
      <w:r w:rsidRPr="00F5336C">
        <w:rPr>
          <w:rFonts w:cstheme="majorBidi"/>
          <w:sz w:val="24"/>
          <w:szCs w:val="24"/>
        </w:rPr>
        <w:instrText xml:space="preserve"> ADDIN EN.CITE &lt;EndNote&gt;&lt;Cite&gt;&lt;Author&gt;Pyman&lt;/Author&gt;&lt;Year&gt;2010&lt;/Year&gt;&lt;RecNum&gt;3&lt;/RecNum&gt;&lt;DisplayText&gt;(Holland et al., 2012; Pyman et al., 2010)&lt;/DisplayText&gt;&lt;record&gt;&lt;rec-number&gt;3&lt;/rec-number&gt;&lt;foreign-keys&gt;&lt;key app="EN" db-id="xe9w25v07zaw5hev9v0p2xz5fwzxxrfx0t50" timestamp="1426041699"&gt;3&lt;/key&gt;&lt;/foreign-keys&gt;&lt;ref-type name="Journal Article"&gt;17&lt;/ref-type&gt;&lt;contributors&gt;&lt;authors&gt;&lt;author&gt;Pyman, A.&lt;/author&gt;&lt;author&gt;Holland, P.&lt;/author&gt;&lt;author&gt;Teicher, J.&lt;/author&gt;&lt;author&gt;Cooper, B.&lt;/author&gt;&lt;/authors&gt;&lt;/contributors&gt;&lt;titles&gt;&lt;title&gt;Industrial relations climate, employee voice and managerial attitudes to unions: An Australian study&lt;/title&gt;&lt;secondary-title&gt;British Journal of Industrial Relations&lt;/secondary-title&gt;&lt;/titles&gt;&lt;periodical&gt;&lt;full-title&gt;British Journal of Industrial Relations&lt;/full-title&gt;&lt;/periodical&gt;&lt;pages&gt;460-480&lt;/pages&gt;&lt;volume&gt;48&lt;/volume&gt;&lt;number&gt;2&lt;/number&gt;&lt;dates&gt;&lt;year&gt;2010&lt;/year&gt;&lt;/dates&gt;&lt;urls&gt;&lt;/urls&gt;&lt;/record&gt;&lt;/Cite&gt;&lt;Cite&gt;&lt;Author&gt;Holland&lt;/Author&gt;&lt;Year&gt;2012&lt;/Year&gt;&lt;RecNum&gt;1&lt;/RecNum&gt;&lt;record&gt;&lt;rec-number&gt;1&lt;/rec-number&gt;&lt;foreign-keys&gt;&lt;key app="EN" db-id="xe9w25v07zaw5hev9v0p2xz5fwzxxrfx0t50" timestamp="1426041556"&gt;1&lt;/key&gt;&lt;/foreign-keys&gt;&lt;ref-type name="Journal Article"&gt;17&lt;/ref-type&gt;&lt;contributors&gt;&lt;authors&gt;&lt;author&gt;Holland, P.&lt;/author&gt;&lt;author&gt;Cooper, B.&lt;/author&gt;&lt;author&gt;Pyman, A.&lt;/author&gt;&lt;author&gt;Teicher, J.&lt;/author&gt;&lt;/authors&gt;&lt;/contributors&gt;&lt;titles&gt;&lt;title&gt;Trust in management: The role of employee voice arrangements and perceived managerial opposition to unions&lt;/title&gt;&lt;secondary-title&gt;Human Resource Management (UK)&lt;/secondary-title&gt;&lt;/titles&gt;&lt;periodical&gt;&lt;full-title&gt;Human Resource Management (UK)&lt;/full-title&gt;&lt;/periodical&gt;&lt;pages&gt;377-391&lt;/pages&gt;&lt;volume&gt;22&lt;/volume&gt;&lt;number&gt;4&lt;/number&gt;&lt;dates&gt;&lt;year&gt;2012&lt;/year&gt;&lt;/dates&gt;&lt;urls&gt;&lt;/urls&gt;&lt;/record&gt;&lt;/Cite&gt;&lt;/EndNote&gt;</w:instrText>
      </w:r>
      <w:r w:rsidRPr="00F5336C">
        <w:rPr>
          <w:rFonts w:cstheme="majorBidi"/>
          <w:sz w:val="24"/>
          <w:szCs w:val="24"/>
        </w:rPr>
        <w:fldChar w:fldCharType="separate"/>
      </w:r>
      <w:r w:rsidRPr="00F5336C">
        <w:rPr>
          <w:rFonts w:cstheme="majorBidi"/>
          <w:noProof/>
          <w:sz w:val="24"/>
          <w:szCs w:val="24"/>
        </w:rPr>
        <w:t>(Holland et al., 2012; Pyman et al., 2010)</w:t>
      </w:r>
      <w:r w:rsidRPr="00F5336C">
        <w:rPr>
          <w:rFonts w:cstheme="majorBidi"/>
          <w:sz w:val="24"/>
          <w:szCs w:val="24"/>
        </w:rPr>
        <w:fldChar w:fldCharType="end"/>
      </w:r>
      <w:r w:rsidRPr="00F5336C">
        <w:rPr>
          <w:rFonts w:cstheme="majorBidi"/>
          <w:sz w:val="24"/>
          <w:szCs w:val="24"/>
        </w:rPr>
        <w:t xml:space="preserve">; an issue of interest </w:t>
      </w:r>
      <w:r w:rsidR="00500E45">
        <w:rPr>
          <w:rFonts w:cstheme="majorBidi"/>
          <w:sz w:val="24"/>
          <w:szCs w:val="24"/>
        </w:rPr>
        <w:t xml:space="preserve">to this </w:t>
      </w:r>
      <w:r w:rsidRPr="00500E45">
        <w:rPr>
          <w:rFonts w:cstheme="majorBidi"/>
          <w:sz w:val="24"/>
          <w:szCs w:val="24"/>
        </w:rPr>
        <w:t>inquiry (</w:t>
      </w:r>
      <w:r w:rsidR="00500E45" w:rsidRPr="00500E45">
        <w:rPr>
          <w:rFonts w:cstheme="majorBidi"/>
          <w:sz w:val="24"/>
          <w:szCs w:val="24"/>
        </w:rPr>
        <w:t>AG</w:t>
      </w:r>
      <w:r w:rsidRPr="00500E45">
        <w:rPr>
          <w:rFonts w:cstheme="majorBidi"/>
          <w:sz w:val="24"/>
          <w:szCs w:val="24"/>
        </w:rPr>
        <w:t>PC 2015: 4). We have found that management attitudes are an important indicator of the climate or</w:t>
      </w:r>
      <w:r w:rsidRPr="00F5336C">
        <w:rPr>
          <w:rFonts w:cstheme="majorBidi"/>
          <w:sz w:val="24"/>
          <w:szCs w:val="24"/>
        </w:rPr>
        <w:t xml:space="preserve"> workplace culture </w:t>
      </w:r>
      <w:r w:rsidRPr="00F5336C">
        <w:rPr>
          <w:rFonts w:cstheme="majorBidi"/>
          <w:sz w:val="24"/>
          <w:szCs w:val="24"/>
        </w:rPr>
        <w:fldChar w:fldCharType="begin"/>
      </w:r>
      <w:r w:rsidRPr="00F5336C">
        <w:rPr>
          <w:rFonts w:cstheme="majorBidi"/>
          <w:sz w:val="24"/>
          <w:szCs w:val="24"/>
        </w:rPr>
        <w:instrText xml:space="preserve"> ADDIN EN.CITE &lt;EndNote&gt;&lt;Cite&gt;&lt;Author&gt;Pyman&lt;/Author&gt;&lt;Year&gt;2010&lt;/Year&gt;&lt;RecNum&gt;3&lt;/RecNum&gt;&lt;DisplayText&gt;(Pyman et al., 2010)&lt;/DisplayText&gt;&lt;record&gt;&lt;rec-number&gt;3&lt;/rec-number&gt;&lt;foreign-keys&gt;&lt;key app="EN" db-id="xe9w25v07zaw5hev9v0p2xz5fwzxxrfx0t50" timestamp="1426041699"&gt;3&lt;/key&gt;&lt;/foreign-keys&gt;&lt;ref-type name="Journal Article"&gt;17&lt;/ref-type&gt;&lt;contributors&gt;&lt;authors&gt;&lt;author&gt;Pyman, A.&lt;/author&gt;&lt;author&gt;Holland, P.&lt;/author&gt;&lt;author&gt;Teicher, J.&lt;/author&gt;&lt;author&gt;Cooper, B.&lt;/author&gt;&lt;/authors&gt;&lt;/contributors&gt;&lt;titles&gt;&lt;title&gt;Industrial relations climate, employee voice and managerial attitudes to unions: An Australian study&lt;/title&gt;&lt;secondary-title&gt;British Journal of Industrial Relations&lt;/secondary-title&gt;&lt;/titles&gt;&lt;periodical&gt;&lt;full-title&gt;British Journal of Industrial Relations&lt;/full-title&gt;&lt;/periodical&gt;&lt;pages&gt;460-480&lt;/pages&gt;&lt;volume&gt;48&lt;/volume&gt;&lt;number&gt;2&lt;/number&gt;&lt;dates&gt;&lt;year&gt;2010&lt;/year&gt;&lt;/dates&gt;&lt;urls&gt;&lt;/urls&gt;&lt;/record&gt;&lt;/Cite&gt;&lt;/EndNote&gt;</w:instrText>
      </w:r>
      <w:r w:rsidRPr="00F5336C">
        <w:rPr>
          <w:rFonts w:cstheme="majorBidi"/>
          <w:sz w:val="24"/>
          <w:szCs w:val="24"/>
        </w:rPr>
        <w:fldChar w:fldCharType="separate"/>
      </w:r>
      <w:r w:rsidRPr="00F5336C">
        <w:rPr>
          <w:rFonts w:cstheme="majorBidi"/>
          <w:noProof/>
          <w:sz w:val="24"/>
          <w:szCs w:val="24"/>
        </w:rPr>
        <w:t>(Pyman et al., 2010)</w:t>
      </w:r>
      <w:r w:rsidRPr="00F5336C">
        <w:rPr>
          <w:rFonts w:cstheme="majorBidi"/>
          <w:sz w:val="24"/>
          <w:szCs w:val="24"/>
        </w:rPr>
        <w:fldChar w:fldCharType="end"/>
      </w:r>
      <w:r w:rsidRPr="00F5336C">
        <w:rPr>
          <w:rFonts w:cstheme="majorBidi"/>
          <w:sz w:val="24"/>
          <w:szCs w:val="24"/>
        </w:rPr>
        <w:t xml:space="preserve">. For example, </w:t>
      </w:r>
      <w:r w:rsidR="003127C8">
        <w:rPr>
          <w:rFonts w:cstheme="majorBidi"/>
          <w:sz w:val="24"/>
          <w:szCs w:val="24"/>
        </w:rPr>
        <w:t xml:space="preserve">as noted above, </w:t>
      </w:r>
      <w:r w:rsidRPr="00F5336C">
        <w:rPr>
          <w:rFonts w:cstheme="majorBidi"/>
          <w:sz w:val="24"/>
          <w:szCs w:val="24"/>
        </w:rPr>
        <w:t xml:space="preserve">where management </w:t>
      </w:r>
      <w:r w:rsidR="00D81C35">
        <w:rPr>
          <w:rFonts w:cstheme="majorBidi"/>
          <w:sz w:val="24"/>
          <w:szCs w:val="24"/>
        </w:rPr>
        <w:t xml:space="preserve">is perceived to have </w:t>
      </w:r>
      <w:r w:rsidRPr="00F5336C">
        <w:rPr>
          <w:rFonts w:cstheme="majorBidi"/>
          <w:sz w:val="24"/>
          <w:szCs w:val="24"/>
        </w:rPr>
        <w:t>a negative attitude to trade unions</w:t>
      </w:r>
      <w:r w:rsidR="00D81C35">
        <w:rPr>
          <w:rFonts w:cstheme="majorBidi"/>
          <w:sz w:val="24"/>
          <w:szCs w:val="24"/>
        </w:rPr>
        <w:t>, employees’</w:t>
      </w:r>
      <w:r w:rsidRPr="00F5336C">
        <w:rPr>
          <w:rFonts w:cstheme="majorBidi"/>
          <w:sz w:val="24"/>
          <w:szCs w:val="24"/>
        </w:rPr>
        <w:t xml:space="preserve"> trust and </w:t>
      </w:r>
      <w:r w:rsidR="00D81C35">
        <w:rPr>
          <w:rFonts w:cstheme="majorBidi"/>
          <w:sz w:val="24"/>
          <w:szCs w:val="24"/>
        </w:rPr>
        <w:t xml:space="preserve">perceptions of </w:t>
      </w:r>
      <w:r w:rsidRPr="00F5336C">
        <w:rPr>
          <w:rFonts w:cstheme="majorBidi"/>
          <w:sz w:val="24"/>
          <w:szCs w:val="24"/>
        </w:rPr>
        <w:t xml:space="preserve">the industrial relations climate are significantly poorer </w:t>
      </w:r>
      <w:r w:rsidRPr="00F5336C">
        <w:rPr>
          <w:rFonts w:cstheme="majorBidi"/>
          <w:sz w:val="24"/>
          <w:szCs w:val="24"/>
        </w:rPr>
        <w:fldChar w:fldCharType="begin"/>
      </w:r>
      <w:r w:rsidRPr="00F5336C">
        <w:rPr>
          <w:rFonts w:cstheme="majorBidi"/>
          <w:sz w:val="24"/>
          <w:szCs w:val="24"/>
        </w:rPr>
        <w:instrText xml:space="preserve"> ADDIN EN.CITE &lt;EndNote&gt;&lt;Cite&gt;&lt;Author&gt;Pyman&lt;/Author&gt;&lt;Year&gt;2010&lt;/Year&gt;&lt;RecNum&gt;3&lt;/RecNum&gt;&lt;DisplayText&gt;(Pyman et al., 2010)&lt;/DisplayText&gt;&lt;record&gt;&lt;rec-number&gt;3&lt;/rec-number&gt;&lt;foreign-keys&gt;&lt;key app="EN" db-id="xe9w25v07zaw5hev9v0p2xz5fwzxxrfx0t50" timestamp="1426041699"&gt;3&lt;/key&gt;&lt;/foreign-keys&gt;&lt;ref-type name="Journal Article"&gt;17&lt;/ref-type&gt;&lt;contributors&gt;&lt;authors&gt;&lt;author&gt;Pyman, A.&lt;/author&gt;&lt;author&gt;Holland, P.&lt;/author&gt;&lt;author&gt;Teicher, J.&lt;/author&gt;&lt;author&gt;Cooper, B.&lt;/author&gt;&lt;/authors&gt;&lt;/contributors&gt;&lt;titles&gt;&lt;title&gt;Industrial relations climate, employee voice and managerial attitudes to unions: An Australian study&lt;/title&gt;&lt;secondary-title&gt;British Journal of Industrial Relations&lt;/secondary-title&gt;&lt;/titles&gt;&lt;periodical&gt;&lt;full-title&gt;British Journal of Industrial Relations&lt;/full-title&gt;&lt;/periodical&gt;&lt;pages&gt;460-480&lt;/pages&gt;&lt;volume&gt;48&lt;/volume&gt;&lt;number&gt;2&lt;/number&gt;&lt;dates&gt;&lt;year&gt;2010&lt;/year&gt;&lt;/dates&gt;&lt;urls&gt;&lt;/urls&gt;&lt;/record&gt;&lt;/Cite&gt;&lt;/EndNote&gt;</w:instrText>
      </w:r>
      <w:r w:rsidRPr="00F5336C">
        <w:rPr>
          <w:rFonts w:cstheme="majorBidi"/>
          <w:sz w:val="24"/>
          <w:szCs w:val="24"/>
        </w:rPr>
        <w:fldChar w:fldCharType="separate"/>
      </w:r>
      <w:r w:rsidRPr="00F5336C">
        <w:rPr>
          <w:rFonts w:cstheme="majorBidi"/>
          <w:noProof/>
          <w:sz w:val="24"/>
          <w:szCs w:val="24"/>
        </w:rPr>
        <w:t>(Pyman et al., 2010)</w:t>
      </w:r>
      <w:r w:rsidRPr="00F5336C">
        <w:rPr>
          <w:rFonts w:cstheme="majorBidi"/>
          <w:sz w:val="24"/>
          <w:szCs w:val="24"/>
        </w:rPr>
        <w:fldChar w:fldCharType="end"/>
      </w:r>
      <w:r w:rsidRPr="00F5336C">
        <w:rPr>
          <w:rFonts w:cstheme="majorBidi"/>
          <w:sz w:val="24"/>
          <w:szCs w:val="24"/>
        </w:rPr>
        <w:t xml:space="preserve">. </w:t>
      </w:r>
      <w:r w:rsidR="00D81C35">
        <w:rPr>
          <w:rFonts w:cstheme="majorBidi"/>
          <w:sz w:val="24"/>
          <w:szCs w:val="24"/>
        </w:rPr>
        <w:t>It was</w:t>
      </w:r>
      <w:r w:rsidRPr="00F5336C">
        <w:rPr>
          <w:rFonts w:cstheme="majorBidi"/>
          <w:sz w:val="24"/>
          <w:szCs w:val="24"/>
        </w:rPr>
        <w:t xml:space="preserve"> also found that management attitudes are linked to the presence of other voice practices. For example, where management had favourable attitudes to union</w:t>
      </w:r>
      <w:r w:rsidR="00500E45">
        <w:rPr>
          <w:rFonts w:cstheme="majorBidi"/>
          <w:sz w:val="24"/>
          <w:szCs w:val="24"/>
        </w:rPr>
        <w:t>s, 74%</w:t>
      </w:r>
      <w:r w:rsidRPr="00F5336C">
        <w:rPr>
          <w:rFonts w:cstheme="majorBidi"/>
          <w:sz w:val="24"/>
          <w:szCs w:val="24"/>
        </w:rPr>
        <w:t xml:space="preserve"> of respondents reported </w:t>
      </w:r>
      <w:r w:rsidR="00500E45">
        <w:rPr>
          <w:rFonts w:cstheme="majorBidi"/>
          <w:sz w:val="24"/>
          <w:szCs w:val="24"/>
        </w:rPr>
        <w:t>the</w:t>
      </w:r>
      <w:r w:rsidRPr="00F5336C">
        <w:rPr>
          <w:rFonts w:cstheme="majorBidi"/>
          <w:sz w:val="24"/>
          <w:szCs w:val="24"/>
        </w:rPr>
        <w:t xml:space="preserve"> presence of a JCC. However, where management were perceived to oppose union</w:t>
      </w:r>
      <w:r w:rsidR="00D81C35">
        <w:rPr>
          <w:rFonts w:cstheme="majorBidi"/>
          <w:sz w:val="24"/>
          <w:szCs w:val="24"/>
        </w:rPr>
        <w:t>s</w:t>
      </w:r>
      <w:r w:rsidRPr="00F5336C">
        <w:rPr>
          <w:rFonts w:cstheme="majorBidi"/>
          <w:sz w:val="24"/>
          <w:szCs w:val="24"/>
        </w:rPr>
        <w:t xml:space="preserve"> the presence of JCCs fell to 41</w:t>
      </w:r>
      <w:r w:rsidR="00500E45">
        <w:rPr>
          <w:rFonts w:cstheme="majorBidi"/>
          <w:sz w:val="24"/>
          <w:szCs w:val="24"/>
        </w:rPr>
        <w:t>%</w:t>
      </w:r>
      <w:r w:rsidRPr="00F5336C">
        <w:rPr>
          <w:rFonts w:cstheme="majorBidi"/>
          <w:sz w:val="24"/>
          <w:szCs w:val="24"/>
        </w:rPr>
        <w:t xml:space="preserve"> </w:t>
      </w:r>
      <w:r w:rsidRPr="00F5336C">
        <w:rPr>
          <w:rFonts w:cstheme="majorBidi"/>
          <w:sz w:val="24"/>
          <w:szCs w:val="24"/>
        </w:rPr>
        <w:fldChar w:fldCharType="begin"/>
      </w:r>
      <w:r w:rsidRPr="00F5336C">
        <w:rPr>
          <w:rFonts w:cstheme="majorBidi"/>
          <w:sz w:val="24"/>
          <w:szCs w:val="24"/>
        </w:rPr>
        <w:instrText xml:space="preserve"> ADDIN EN.CITE &lt;EndNote&gt;&lt;Cite&gt;&lt;Author&gt;Pyman&lt;/Author&gt;&lt;Year&gt;2010&lt;/Year&gt;&lt;RecNum&gt;3&lt;/RecNum&gt;&lt;DisplayText&gt;(Holland et al., 2009; Pyman et al., 2010)&lt;/DisplayText&gt;&lt;record&gt;&lt;rec-number&gt;3&lt;/rec-number&gt;&lt;foreign-keys&gt;&lt;key app="EN" db-id="xe9w25v07zaw5hev9v0p2xz5fwzxxrfx0t50" timestamp="1426041699"&gt;3&lt;/key&gt;&lt;/foreign-keys&gt;&lt;ref-type name="Journal Article"&gt;17&lt;/ref-type&gt;&lt;contributors&gt;&lt;authors&gt;&lt;author&gt;Pyman, A.&lt;/author&gt;&lt;author&gt;Holland, P.&lt;/author&gt;&lt;author&gt;Teicher, J.&lt;/author&gt;&lt;author&gt;Cooper, B.&lt;/author&gt;&lt;/authors&gt;&lt;/contributors&gt;&lt;titles&gt;&lt;title&gt;Industrial relations climate, employee voice and managerial attitudes to unions: An Australian study&lt;/title&gt;&lt;secondary-title&gt;British Journal of Industrial Relations&lt;/secondary-title&gt;&lt;/titles&gt;&lt;periodical&gt;&lt;full-title&gt;British Journal of Industrial Relations&lt;/full-title&gt;&lt;/periodical&gt;&lt;pages&gt;460-480&lt;/pages&gt;&lt;volume&gt;48&lt;/volume&gt;&lt;number&gt;2&lt;/number&gt;&lt;dates&gt;&lt;year&gt;2010&lt;/year&gt;&lt;/dates&gt;&lt;urls&gt;&lt;/urls&gt;&lt;/record&gt;&lt;/Cite&gt;&lt;Cite&gt;&lt;Author&gt;Holland&lt;/Author&gt;&lt;Year&gt;2009&lt;/Year&gt;&lt;RecNum&gt;19&lt;/RecNum&gt;&lt;record&gt;&lt;rec-number&gt;19&lt;/rec-number&gt;&lt;foreign-keys&gt;&lt;key app="EN" db-id="xe9w25v07zaw5hev9v0p2xz5fwzxxrfx0t50" timestamp="1426045390"&gt;19&lt;/key&gt;&lt;/foreign-keys&gt;&lt;ref-type name="Journal Article"&gt;17&lt;/ref-type&gt;&lt;contributors&gt;&lt;authors&gt;&lt;author&gt;Holland, P.&lt;/author&gt;&lt;author&gt;Pyman, A.&lt;/author&gt;&lt;author&gt;Cooper, B.&lt;/author&gt;&lt;author&gt;Teicher, J.&lt;/author&gt;&lt;/authors&gt;&lt;/contributors&gt;&lt;titles&gt;&lt;title&gt;The development of alternative voice mechanisms in Australia: The case of joint consultation&lt;/title&gt;&lt;secondary-title&gt;Economics and Industrial Democracy&lt;/secondary-title&gt;&lt;/titles&gt;&lt;periodical&gt;&lt;full-title&gt;Economics and Industrial Democracy&lt;/full-title&gt;&lt;/periodical&gt;&lt;pages&gt;67-92&lt;/pages&gt;&lt;volume&gt;30&lt;/volume&gt;&lt;number&gt;1&lt;/number&gt;&lt;dates&gt;&lt;year&gt;2009&lt;/year&gt;&lt;/dates&gt;&lt;urls&gt;&lt;/urls&gt;&lt;/record&gt;&lt;/Cite&gt;&lt;/EndNote&gt;</w:instrText>
      </w:r>
      <w:r w:rsidRPr="00F5336C">
        <w:rPr>
          <w:rFonts w:cstheme="majorBidi"/>
          <w:sz w:val="24"/>
          <w:szCs w:val="24"/>
        </w:rPr>
        <w:fldChar w:fldCharType="separate"/>
      </w:r>
      <w:r w:rsidRPr="00F5336C">
        <w:rPr>
          <w:rFonts w:cstheme="majorBidi"/>
          <w:noProof/>
          <w:sz w:val="24"/>
          <w:szCs w:val="24"/>
        </w:rPr>
        <w:t>(Holland et al., 2009; Pyman et al., 2010)</w:t>
      </w:r>
      <w:r w:rsidRPr="00F5336C">
        <w:rPr>
          <w:rFonts w:cstheme="majorBidi"/>
          <w:sz w:val="24"/>
          <w:szCs w:val="24"/>
        </w:rPr>
        <w:fldChar w:fldCharType="end"/>
      </w:r>
      <w:r w:rsidRPr="00F5336C">
        <w:rPr>
          <w:rFonts w:cstheme="majorBidi"/>
          <w:sz w:val="24"/>
          <w:szCs w:val="24"/>
        </w:rPr>
        <w:t>.</w:t>
      </w:r>
    </w:p>
    <w:p w:rsidR="00BF5A14" w:rsidRDefault="00BF5A14" w:rsidP="005D35FC">
      <w:pPr>
        <w:spacing w:after="0" w:line="360" w:lineRule="auto"/>
        <w:ind w:left="11"/>
        <w:jc w:val="both"/>
        <w:rPr>
          <w:rFonts w:cstheme="majorBidi"/>
          <w:sz w:val="24"/>
          <w:szCs w:val="24"/>
        </w:rPr>
      </w:pPr>
    </w:p>
    <w:p w:rsidR="00F5336C" w:rsidRPr="00E35582" w:rsidRDefault="00500E45" w:rsidP="00D81C35">
      <w:pPr>
        <w:pStyle w:val="ListParagraph"/>
        <w:numPr>
          <w:ilvl w:val="1"/>
          <w:numId w:val="27"/>
        </w:numPr>
        <w:spacing w:after="0" w:line="360" w:lineRule="auto"/>
        <w:ind w:left="720" w:hanging="709"/>
        <w:jc w:val="both"/>
        <w:rPr>
          <w:rFonts w:cstheme="majorBidi"/>
          <w:sz w:val="24"/>
          <w:szCs w:val="24"/>
        </w:rPr>
      </w:pPr>
      <w:r w:rsidRPr="00E35582">
        <w:rPr>
          <w:rFonts w:cstheme="majorBidi"/>
          <w:sz w:val="24"/>
          <w:szCs w:val="24"/>
        </w:rPr>
        <w:t xml:space="preserve">In summary, </w:t>
      </w:r>
      <w:r w:rsidR="00383DCB" w:rsidRPr="00E35582">
        <w:rPr>
          <w:rFonts w:cstheme="majorBidi"/>
          <w:sz w:val="24"/>
          <w:szCs w:val="24"/>
        </w:rPr>
        <w:t>the</w:t>
      </w:r>
      <w:r w:rsidR="00F5336C" w:rsidRPr="00E35582">
        <w:rPr>
          <w:rFonts w:cstheme="majorBidi"/>
          <w:sz w:val="24"/>
          <w:szCs w:val="24"/>
        </w:rPr>
        <w:t xml:space="preserve"> research on employee voice, representation and participation in Australian workplaces undertaken over a 10-year period shows that co</w:t>
      </w:r>
      <w:r w:rsidR="002E17BB" w:rsidRPr="00E35582">
        <w:rPr>
          <w:rFonts w:cstheme="majorBidi"/>
          <w:sz w:val="24"/>
          <w:szCs w:val="24"/>
        </w:rPr>
        <w:t>-</w:t>
      </w:r>
      <w:r w:rsidR="00F5336C" w:rsidRPr="00E35582">
        <w:rPr>
          <w:rFonts w:cstheme="majorBidi"/>
          <w:sz w:val="24"/>
          <w:szCs w:val="24"/>
        </w:rPr>
        <w:t xml:space="preserve">operative relations between employees and employers are associated with the provision of hybrid voice systems </w:t>
      </w:r>
      <w:r w:rsidR="00F5336C" w:rsidRPr="00E35582">
        <w:rPr>
          <w:rFonts w:cstheme="majorBidi"/>
          <w:sz w:val="24"/>
          <w:szCs w:val="24"/>
        </w:rPr>
        <w:fldChar w:fldCharType="begin"/>
      </w:r>
      <w:r w:rsidR="00F5336C" w:rsidRPr="00E35582">
        <w:rPr>
          <w:rFonts w:cstheme="majorBidi"/>
          <w:sz w:val="24"/>
          <w:szCs w:val="24"/>
        </w:rPr>
        <w:instrText xml:space="preserve"> ADDIN EN.CITE &lt;EndNote&gt;&lt;Cite&gt;&lt;Author&gt;Pyman&lt;/Author&gt;&lt;Year&gt;2006&lt;/Year&gt;&lt;RecNum&gt;7&lt;/RecNum&gt;&lt;DisplayText&gt;(Pyman et al., 2006)&lt;/DisplayText&gt;&lt;record&gt;&lt;rec-number&gt;7&lt;/rec-number&gt;&lt;foreign-keys&gt;&lt;key app="EN" db-id="xe9w25v07zaw5hev9v0p2xz5fwzxxrfx0t50" timestamp="1426041993"&gt;7&lt;/key&gt;&lt;/foreign-keys&gt;&lt;ref-type name="Journal Article"&gt;17&lt;/ref-type&gt;&lt;contributors&gt;&lt;authors&gt;&lt;author&gt;Pyman, A.&lt;/author&gt;&lt;author&gt;Cooper, B.&lt;/author&gt;&lt;author&gt;Teicher, J.&lt;/author&gt;&lt;author&gt;Holland, P.&lt;/author&gt;&lt;/authors&gt;&lt;/contributors&gt;&lt;titles&gt;&lt;title&gt;A comparison of the effectiveness of employee voice arrangements in Australia&lt;/title&gt;&lt;secondary-title&gt;Industrial Relations Journal&lt;/secondary-title&gt;&lt;/titles&gt;&lt;periodical&gt;&lt;full-title&gt;Industrial Relations Journal&lt;/full-title&gt;&lt;/periodical&gt;&lt;pages&gt;543-559&lt;/pages&gt;&lt;volume&gt;37&lt;/volume&gt;&lt;number&gt;5&lt;/number&gt;&lt;dates&gt;&lt;year&gt;2006&lt;/year&gt;&lt;/dates&gt;&lt;urls&gt;&lt;/urls&gt;&lt;/record&gt;&lt;/Cite&gt;&lt;/EndNote&gt;</w:instrText>
      </w:r>
      <w:r w:rsidR="00F5336C" w:rsidRPr="00E35582">
        <w:rPr>
          <w:rFonts w:cstheme="majorBidi"/>
          <w:sz w:val="24"/>
          <w:szCs w:val="24"/>
        </w:rPr>
        <w:fldChar w:fldCharType="separate"/>
      </w:r>
      <w:r w:rsidR="00F5336C" w:rsidRPr="00E35582">
        <w:rPr>
          <w:rFonts w:cstheme="majorBidi"/>
          <w:noProof/>
          <w:sz w:val="24"/>
          <w:szCs w:val="24"/>
        </w:rPr>
        <w:t>(Pyman et al., 2006)</w:t>
      </w:r>
      <w:r w:rsidR="00F5336C" w:rsidRPr="00E35582">
        <w:rPr>
          <w:rFonts w:cstheme="majorBidi"/>
          <w:sz w:val="24"/>
          <w:szCs w:val="24"/>
        </w:rPr>
        <w:fldChar w:fldCharType="end"/>
      </w:r>
      <w:r w:rsidR="00F5336C" w:rsidRPr="00E35582">
        <w:rPr>
          <w:rFonts w:cstheme="majorBidi"/>
          <w:sz w:val="24"/>
          <w:szCs w:val="24"/>
        </w:rPr>
        <w:t>. Underpinning such systems is the importance of direct voice. The key for manage</w:t>
      </w:r>
      <w:r w:rsidRPr="00E35582">
        <w:rPr>
          <w:rFonts w:cstheme="majorBidi"/>
          <w:sz w:val="24"/>
          <w:szCs w:val="24"/>
        </w:rPr>
        <w:t>ment is to build sophisticated human resources</w:t>
      </w:r>
      <w:r w:rsidR="00F5336C" w:rsidRPr="00E35582">
        <w:rPr>
          <w:rFonts w:cstheme="majorBidi"/>
          <w:sz w:val="24"/>
          <w:szCs w:val="24"/>
        </w:rPr>
        <w:t xml:space="preserve"> systems that develop and encourage such a framework</w:t>
      </w:r>
      <w:r w:rsidRPr="00E35582">
        <w:rPr>
          <w:rFonts w:cstheme="majorBidi"/>
          <w:sz w:val="24"/>
          <w:szCs w:val="24"/>
        </w:rPr>
        <w:t xml:space="preserve">. </w:t>
      </w:r>
      <w:r w:rsidR="00F5336C" w:rsidRPr="00E35582">
        <w:rPr>
          <w:rFonts w:cstheme="majorBidi"/>
          <w:sz w:val="24"/>
          <w:szCs w:val="24"/>
        </w:rPr>
        <w:t xml:space="preserve"> For management this requires </w:t>
      </w:r>
      <w:r w:rsidR="00F5336C" w:rsidRPr="00E35582">
        <w:rPr>
          <w:rFonts w:cstheme="majorBidi"/>
          <w:sz w:val="24"/>
          <w:szCs w:val="24"/>
        </w:rPr>
        <w:lastRenderedPageBreak/>
        <w:t>significant and ongoing investment in human capital and communication and the development of a dialogue and working relationship with unions in those workplaces where they exist</w:t>
      </w:r>
      <w:r w:rsidR="00F56562" w:rsidRPr="00E35582">
        <w:rPr>
          <w:rFonts w:cstheme="majorBidi"/>
          <w:sz w:val="24"/>
          <w:szCs w:val="24"/>
        </w:rPr>
        <w:t>. I</w:t>
      </w:r>
      <w:r w:rsidR="00F5336C" w:rsidRPr="00E35582">
        <w:rPr>
          <w:rFonts w:cstheme="majorBidi"/>
          <w:sz w:val="24"/>
          <w:szCs w:val="24"/>
        </w:rPr>
        <w:t xml:space="preserve">n some European nations, these systems are mandated through work councils or </w:t>
      </w:r>
      <w:r w:rsidR="00F56562" w:rsidRPr="00E35582">
        <w:rPr>
          <w:rFonts w:cstheme="majorBidi"/>
          <w:sz w:val="24"/>
          <w:szCs w:val="24"/>
        </w:rPr>
        <w:t xml:space="preserve">legislation on </w:t>
      </w:r>
      <w:r w:rsidR="00F5336C" w:rsidRPr="00E35582">
        <w:rPr>
          <w:rFonts w:cstheme="majorBidi"/>
          <w:sz w:val="24"/>
          <w:szCs w:val="24"/>
        </w:rPr>
        <w:t>information and consultation</w:t>
      </w:r>
      <w:r w:rsidR="00F56562" w:rsidRPr="00E35582">
        <w:rPr>
          <w:rFonts w:cstheme="majorBidi"/>
          <w:sz w:val="24"/>
          <w:szCs w:val="24"/>
        </w:rPr>
        <w:t>, and it may well be that the process of standard setting has been a factor in the acceptance and institutionalisation of these provisions.</w:t>
      </w:r>
      <w:r w:rsidR="00E35582">
        <w:rPr>
          <w:rFonts w:cstheme="majorBidi"/>
          <w:sz w:val="24"/>
          <w:szCs w:val="24"/>
        </w:rPr>
        <w:t xml:space="preserve"> Legislating for mechanisms to institutionalise employee voice </w:t>
      </w:r>
      <w:r w:rsidR="00F5336C" w:rsidRPr="00E35582">
        <w:rPr>
          <w:rFonts w:cstheme="majorBidi"/>
          <w:sz w:val="24"/>
          <w:szCs w:val="24"/>
        </w:rPr>
        <w:t xml:space="preserve">is </w:t>
      </w:r>
      <w:r w:rsidR="00E35582">
        <w:rPr>
          <w:rFonts w:cstheme="majorBidi"/>
          <w:sz w:val="24"/>
          <w:szCs w:val="24"/>
        </w:rPr>
        <w:t xml:space="preserve">likely to be problematic </w:t>
      </w:r>
      <w:r w:rsidR="00F5336C" w:rsidRPr="00E35582">
        <w:rPr>
          <w:rFonts w:cstheme="majorBidi"/>
          <w:sz w:val="24"/>
          <w:szCs w:val="24"/>
        </w:rPr>
        <w:t xml:space="preserve">in Australia and </w:t>
      </w:r>
      <w:r w:rsidR="00E35582">
        <w:rPr>
          <w:rFonts w:cstheme="majorBidi"/>
          <w:sz w:val="24"/>
          <w:szCs w:val="24"/>
        </w:rPr>
        <w:t>risks falling foul of the industrial relations pendulum</w:t>
      </w:r>
      <w:r w:rsidR="00E35582" w:rsidRPr="00E35582">
        <w:rPr>
          <w:rFonts w:cstheme="majorBidi"/>
          <w:sz w:val="24"/>
          <w:szCs w:val="24"/>
        </w:rPr>
        <w:t xml:space="preserve"> due to employers’ lack of understanding of the benefits</w:t>
      </w:r>
      <w:r w:rsidR="00E35582">
        <w:rPr>
          <w:rFonts w:cstheme="majorBidi"/>
          <w:sz w:val="24"/>
          <w:szCs w:val="24"/>
        </w:rPr>
        <w:t xml:space="preserve">. In this regard the experience with the implementation of the Training Guarantee and strong employer resistance is salutary. In the present circumstances it would be valuable for the </w:t>
      </w:r>
      <w:r w:rsidR="00904F82">
        <w:rPr>
          <w:rFonts w:cstheme="majorBidi"/>
          <w:sz w:val="24"/>
          <w:szCs w:val="24"/>
        </w:rPr>
        <w:t xml:space="preserve">Productivity Commission </w:t>
      </w:r>
      <w:r w:rsidR="00E35582">
        <w:rPr>
          <w:rFonts w:cstheme="majorBidi"/>
          <w:sz w:val="24"/>
          <w:szCs w:val="24"/>
        </w:rPr>
        <w:t xml:space="preserve">to encourage wide public debate on the </w:t>
      </w:r>
      <w:r w:rsidR="005D35FC">
        <w:rPr>
          <w:rFonts w:cstheme="majorBidi"/>
          <w:sz w:val="24"/>
          <w:szCs w:val="24"/>
        </w:rPr>
        <w:t xml:space="preserve">benefits and means of fostering hybrid forms of employee voice in Australian workplaces. </w:t>
      </w:r>
      <w:r w:rsidR="00E35582">
        <w:rPr>
          <w:rFonts w:cstheme="majorBidi"/>
          <w:sz w:val="24"/>
          <w:szCs w:val="24"/>
        </w:rPr>
        <w:t>More generally</w:t>
      </w:r>
      <w:r w:rsidR="00F5336C" w:rsidRPr="00E35582">
        <w:rPr>
          <w:rFonts w:cstheme="majorBidi"/>
          <w:sz w:val="24"/>
          <w:szCs w:val="24"/>
        </w:rPr>
        <w:t>, management attitude</w:t>
      </w:r>
      <w:r w:rsidR="00D81C35">
        <w:rPr>
          <w:rFonts w:cstheme="majorBidi"/>
          <w:sz w:val="24"/>
          <w:szCs w:val="24"/>
        </w:rPr>
        <w:t>s</w:t>
      </w:r>
      <w:r w:rsidR="00F5336C" w:rsidRPr="00E35582">
        <w:rPr>
          <w:rFonts w:cstheme="majorBidi"/>
          <w:sz w:val="24"/>
          <w:szCs w:val="24"/>
        </w:rPr>
        <w:t xml:space="preserve"> and leadership are critical variable</w:t>
      </w:r>
      <w:r w:rsidR="00D81C35">
        <w:rPr>
          <w:rFonts w:cstheme="majorBidi"/>
          <w:sz w:val="24"/>
          <w:szCs w:val="24"/>
        </w:rPr>
        <w:t>s</w:t>
      </w:r>
      <w:r w:rsidR="00F5336C" w:rsidRPr="00E35582">
        <w:rPr>
          <w:rFonts w:cstheme="majorBidi"/>
          <w:sz w:val="24"/>
          <w:szCs w:val="24"/>
        </w:rPr>
        <w:t xml:space="preserve"> in productively managing and engaging employees and </w:t>
      </w:r>
      <w:r w:rsidR="00D81C35">
        <w:rPr>
          <w:rFonts w:cstheme="majorBidi"/>
          <w:sz w:val="24"/>
          <w:szCs w:val="24"/>
        </w:rPr>
        <w:t xml:space="preserve">in </w:t>
      </w:r>
      <w:r w:rsidR="00F5336C" w:rsidRPr="00E35582">
        <w:rPr>
          <w:rFonts w:cstheme="majorBidi"/>
          <w:sz w:val="24"/>
          <w:szCs w:val="24"/>
        </w:rPr>
        <w:t>creating a workplace culture that fosters not only productivity and competitiveness but equity and employee wellbeing.</w:t>
      </w:r>
    </w:p>
    <w:p w:rsidR="00491D3B" w:rsidRDefault="00491D3B" w:rsidP="00620585">
      <w:pPr>
        <w:pStyle w:val="Heading1"/>
        <w:numPr>
          <w:ilvl w:val="0"/>
          <w:numId w:val="27"/>
        </w:numPr>
        <w:ind w:left="709" w:hanging="709"/>
      </w:pPr>
      <w:bookmarkStart w:id="8" w:name="_Toc414343777"/>
      <w:r w:rsidRPr="0066254F">
        <w:t>ToR 10: Industrial Conflict and Days lost due to Industrial Action</w:t>
      </w:r>
      <w:bookmarkEnd w:id="8"/>
    </w:p>
    <w:p w:rsidR="002527D8" w:rsidRPr="002527D8" w:rsidRDefault="002527D8" w:rsidP="005D35FC">
      <w:pPr>
        <w:ind w:left="11"/>
      </w:pPr>
    </w:p>
    <w:p w:rsidR="00014B04" w:rsidRDefault="00CE28A8" w:rsidP="00904F82">
      <w:pPr>
        <w:spacing w:after="0" w:line="360" w:lineRule="auto"/>
        <w:ind w:left="709" w:hanging="709"/>
        <w:jc w:val="both"/>
        <w:rPr>
          <w:rFonts w:cstheme="majorBidi"/>
          <w:sz w:val="24"/>
          <w:szCs w:val="24"/>
        </w:rPr>
      </w:pPr>
      <w:r>
        <w:rPr>
          <w:rFonts w:cstheme="majorBidi"/>
          <w:sz w:val="24"/>
          <w:szCs w:val="24"/>
        </w:rPr>
        <w:t xml:space="preserve">8.1 </w:t>
      </w:r>
      <w:r>
        <w:rPr>
          <w:rFonts w:cstheme="majorBidi"/>
          <w:sz w:val="24"/>
          <w:szCs w:val="24"/>
        </w:rPr>
        <w:tab/>
      </w:r>
      <w:r w:rsidR="00491D3B" w:rsidRPr="00C60203">
        <w:rPr>
          <w:rFonts w:cstheme="majorBidi"/>
          <w:sz w:val="24"/>
          <w:szCs w:val="24"/>
        </w:rPr>
        <w:t xml:space="preserve">This section focuses on </w:t>
      </w:r>
      <w:r w:rsidR="00491D3B">
        <w:rPr>
          <w:rFonts w:cstheme="majorBidi"/>
          <w:sz w:val="24"/>
          <w:szCs w:val="24"/>
        </w:rPr>
        <w:t xml:space="preserve">term of reference ten, </w:t>
      </w:r>
      <w:r w:rsidR="00133BAF">
        <w:rPr>
          <w:rFonts w:cstheme="majorBidi"/>
          <w:sz w:val="24"/>
          <w:szCs w:val="24"/>
        </w:rPr>
        <w:t xml:space="preserve">which </w:t>
      </w:r>
      <w:r w:rsidR="005D35FC">
        <w:rPr>
          <w:rFonts w:cstheme="majorBidi"/>
          <w:sz w:val="24"/>
          <w:szCs w:val="24"/>
        </w:rPr>
        <w:t xml:space="preserve">requires the </w:t>
      </w:r>
      <w:r w:rsidR="00904F82">
        <w:rPr>
          <w:rFonts w:cstheme="majorBidi"/>
          <w:sz w:val="24"/>
          <w:szCs w:val="24"/>
        </w:rPr>
        <w:t>Productivity Commission</w:t>
      </w:r>
      <w:r w:rsidR="005D35FC">
        <w:rPr>
          <w:rFonts w:cstheme="majorBidi"/>
          <w:sz w:val="24"/>
          <w:szCs w:val="24"/>
        </w:rPr>
        <w:t xml:space="preserve"> </w:t>
      </w:r>
      <w:r w:rsidR="00133BAF">
        <w:rPr>
          <w:rFonts w:cstheme="majorBidi"/>
          <w:sz w:val="24"/>
          <w:szCs w:val="24"/>
        </w:rPr>
        <w:t xml:space="preserve">to consider the impact of the workplace relations framework on </w:t>
      </w:r>
      <w:r w:rsidR="005D35FC">
        <w:rPr>
          <w:rFonts w:cstheme="majorBidi"/>
          <w:sz w:val="24"/>
          <w:szCs w:val="24"/>
        </w:rPr>
        <w:t>“</w:t>
      </w:r>
      <w:r w:rsidR="00014B04">
        <w:rPr>
          <w:rFonts w:cstheme="majorBidi"/>
          <w:sz w:val="24"/>
          <w:szCs w:val="24"/>
        </w:rPr>
        <w:t>industrial conflict and days lost due to industrial action”. In this regard it important to note that</w:t>
      </w:r>
      <w:r w:rsidR="005D35FC">
        <w:rPr>
          <w:rFonts w:cstheme="majorBidi"/>
          <w:sz w:val="24"/>
          <w:szCs w:val="24"/>
        </w:rPr>
        <w:t>,</w:t>
      </w:r>
      <w:r w:rsidR="00014B04">
        <w:rPr>
          <w:rFonts w:cstheme="majorBidi"/>
          <w:sz w:val="24"/>
          <w:szCs w:val="24"/>
        </w:rPr>
        <w:t xml:space="preserve"> while</w:t>
      </w:r>
      <w:r w:rsidR="009A0B56">
        <w:rPr>
          <w:rFonts w:cstheme="majorBidi"/>
          <w:sz w:val="24"/>
          <w:szCs w:val="24"/>
        </w:rPr>
        <w:t xml:space="preserve"> collective</w:t>
      </w:r>
      <w:r w:rsidR="00014B04">
        <w:rPr>
          <w:rFonts w:cstheme="majorBidi"/>
          <w:sz w:val="24"/>
          <w:szCs w:val="24"/>
        </w:rPr>
        <w:t xml:space="preserve"> industrial conflict has undergone a long term decline, the issue of industrial conflict remains an important one in considering the future shape of the workplace relations framework in this country. Indeed, we think it is pivotal to the efficiency of organisations and ultimately the performa</w:t>
      </w:r>
      <w:r w:rsidR="005D35FC">
        <w:rPr>
          <w:rFonts w:cstheme="majorBidi"/>
          <w:sz w:val="24"/>
          <w:szCs w:val="24"/>
        </w:rPr>
        <w:t>nce of the economy and the well-</w:t>
      </w:r>
      <w:r w:rsidR="00014B04">
        <w:rPr>
          <w:rFonts w:cstheme="majorBidi"/>
          <w:sz w:val="24"/>
          <w:szCs w:val="24"/>
        </w:rPr>
        <w:t xml:space="preserve">being of the population. </w:t>
      </w:r>
      <w:r w:rsidR="001E65B0">
        <w:rPr>
          <w:rFonts w:cstheme="majorBidi"/>
          <w:sz w:val="24"/>
          <w:szCs w:val="24"/>
        </w:rPr>
        <w:t xml:space="preserve">The </w:t>
      </w:r>
      <w:r w:rsidR="00904F82">
        <w:rPr>
          <w:rFonts w:cstheme="majorBidi"/>
          <w:sz w:val="24"/>
          <w:szCs w:val="24"/>
        </w:rPr>
        <w:t>Productivity Commission</w:t>
      </w:r>
      <w:r w:rsidR="001E65B0">
        <w:rPr>
          <w:rFonts w:cstheme="majorBidi"/>
          <w:sz w:val="24"/>
          <w:szCs w:val="24"/>
        </w:rPr>
        <w:t xml:space="preserve"> has made a similar point in Issues </w:t>
      </w:r>
      <w:r w:rsidR="005D35FC">
        <w:rPr>
          <w:rFonts w:cstheme="majorBidi"/>
          <w:sz w:val="24"/>
          <w:szCs w:val="24"/>
        </w:rPr>
        <w:t>P</w:t>
      </w:r>
      <w:r w:rsidR="001E65B0">
        <w:rPr>
          <w:rFonts w:cstheme="majorBidi"/>
          <w:sz w:val="24"/>
          <w:szCs w:val="24"/>
        </w:rPr>
        <w:t>aper 1 (</w:t>
      </w:r>
      <w:r w:rsidR="00E3723C">
        <w:rPr>
          <w:rFonts w:cstheme="majorBidi"/>
          <w:sz w:val="24"/>
          <w:szCs w:val="24"/>
        </w:rPr>
        <w:t>AGPC</w:t>
      </w:r>
      <w:r w:rsidR="001E65B0">
        <w:rPr>
          <w:rFonts w:cstheme="majorBidi"/>
          <w:sz w:val="24"/>
          <w:szCs w:val="24"/>
        </w:rPr>
        <w:t>, 2015: 4):</w:t>
      </w:r>
    </w:p>
    <w:p w:rsidR="001E65B0" w:rsidRPr="00D65255" w:rsidRDefault="001E65B0" w:rsidP="00620585">
      <w:pPr>
        <w:spacing w:after="0" w:line="360" w:lineRule="auto"/>
        <w:ind w:left="709" w:hanging="709"/>
        <w:jc w:val="both"/>
        <w:rPr>
          <w:rFonts w:cstheme="majorBidi"/>
          <w:sz w:val="16"/>
          <w:szCs w:val="24"/>
        </w:rPr>
      </w:pPr>
    </w:p>
    <w:p w:rsidR="001E65B0" w:rsidRPr="001E65B0" w:rsidRDefault="001E65B0" w:rsidP="00363918">
      <w:pPr>
        <w:pStyle w:val="BodyText"/>
        <w:spacing w:line="360" w:lineRule="auto"/>
        <w:ind w:left="1134"/>
        <w:rPr>
          <w:i/>
          <w:sz w:val="24"/>
          <w:szCs w:val="24"/>
        </w:rPr>
      </w:pPr>
      <w:r w:rsidRPr="001E65B0">
        <w:rPr>
          <w:i/>
          <w:sz w:val="24"/>
          <w:szCs w:val="24"/>
        </w:rPr>
        <w:t>Long</w:t>
      </w:r>
      <w:r w:rsidRPr="001E65B0">
        <w:rPr>
          <w:i/>
          <w:sz w:val="24"/>
          <w:szCs w:val="24"/>
        </w:rPr>
        <w:noBreakHyphen/>
        <w:t>run shifts in labour markets, institutions, the nature of the economy and social security systems may provide an impetus for further change. For example:</w:t>
      </w:r>
    </w:p>
    <w:p w:rsidR="001E65B0" w:rsidRPr="001E65B0" w:rsidRDefault="001E65B0" w:rsidP="00363918">
      <w:pPr>
        <w:pStyle w:val="ListBullet"/>
        <w:tabs>
          <w:tab w:val="clear" w:pos="360"/>
          <w:tab w:val="num" w:pos="382"/>
          <w:tab w:val="left" w:pos="567"/>
        </w:tabs>
        <w:spacing w:line="360" w:lineRule="auto"/>
        <w:ind w:left="1418" w:hanging="284"/>
        <w:rPr>
          <w:rFonts w:asciiTheme="minorHAnsi" w:hAnsiTheme="minorHAnsi"/>
          <w:i/>
          <w:szCs w:val="24"/>
        </w:rPr>
      </w:pPr>
      <w:r w:rsidRPr="001E65B0">
        <w:rPr>
          <w:rFonts w:asciiTheme="minorHAnsi" w:hAnsiTheme="minorHAnsi"/>
          <w:i/>
          <w:szCs w:val="24"/>
        </w:rPr>
        <w:lastRenderedPageBreak/>
        <w:t>cooperative relations between employees and employers may be more important for innovation, technological diffusion and investments in skills — developments that are critical for future productivity, economic growth and adaptability</w:t>
      </w:r>
    </w:p>
    <w:p w:rsidR="001E65B0" w:rsidRDefault="001E65B0" w:rsidP="005D35FC">
      <w:pPr>
        <w:spacing w:after="0" w:line="360" w:lineRule="auto"/>
        <w:ind w:left="709"/>
        <w:jc w:val="both"/>
        <w:rPr>
          <w:rFonts w:cstheme="majorBidi"/>
          <w:sz w:val="24"/>
          <w:szCs w:val="24"/>
        </w:rPr>
      </w:pPr>
    </w:p>
    <w:p w:rsidR="004A3821" w:rsidRDefault="004A3821" w:rsidP="00D81C35">
      <w:pPr>
        <w:spacing w:after="0" w:line="360" w:lineRule="auto"/>
        <w:ind w:left="709"/>
        <w:jc w:val="both"/>
        <w:rPr>
          <w:rFonts w:cstheme="majorBidi"/>
          <w:sz w:val="24"/>
          <w:szCs w:val="24"/>
        </w:rPr>
      </w:pPr>
      <w:r>
        <w:rPr>
          <w:rFonts w:cstheme="majorBidi"/>
          <w:sz w:val="24"/>
          <w:szCs w:val="24"/>
        </w:rPr>
        <w:t>In this regar</w:t>
      </w:r>
      <w:r w:rsidR="009A0B56">
        <w:rPr>
          <w:rFonts w:cstheme="majorBidi"/>
          <w:sz w:val="24"/>
          <w:szCs w:val="24"/>
        </w:rPr>
        <w:t xml:space="preserve">d, we note that declining days </w:t>
      </w:r>
      <w:r>
        <w:rPr>
          <w:rFonts w:cstheme="majorBidi"/>
          <w:sz w:val="24"/>
          <w:szCs w:val="24"/>
        </w:rPr>
        <w:t xml:space="preserve">industrial action is not reflected in the workload of the Fair Work Commission </w:t>
      </w:r>
      <w:r w:rsidR="009A0B56">
        <w:rPr>
          <w:rFonts w:cstheme="majorBidi"/>
          <w:sz w:val="24"/>
          <w:szCs w:val="24"/>
        </w:rPr>
        <w:t xml:space="preserve">(2014) </w:t>
      </w:r>
      <w:r>
        <w:rPr>
          <w:rFonts w:cstheme="majorBidi"/>
          <w:sz w:val="24"/>
          <w:szCs w:val="24"/>
        </w:rPr>
        <w:t>with a sharp rise in individual disputes including unfair dismissal and adverse action</w:t>
      </w:r>
      <w:r w:rsidR="00D81C35">
        <w:rPr>
          <w:rFonts w:cstheme="majorBidi"/>
          <w:sz w:val="24"/>
          <w:szCs w:val="24"/>
        </w:rPr>
        <w:t xml:space="preserve"> claims</w:t>
      </w:r>
      <w:r>
        <w:rPr>
          <w:rFonts w:cstheme="majorBidi"/>
          <w:sz w:val="24"/>
          <w:szCs w:val="24"/>
        </w:rPr>
        <w:t xml:space="preserve"> as well as disputes arising from failed dispute resolution procedures. </w:t>
      </w:r>
    </w:p>
    <w:p w:rsidR="00CE28A8" w:rsidRDefault="00CE28A8" w:rsidP="004A3821">
      <w:pPr>
        <w:spacing w:after="0" w:line="360" w:lineRule="auto"/>
        <w:jc w:val="both"/>
        <w:rPr>
          <w:rFonts w:cstheme="majorBidi"/>
          <w:sz w:val="24"/>
          <w:szCs w:val="24"/>
        </w:rPr>
      </w:pPr>
    </w:p>
    <w:p w:rsidR="00755C69" w:rsidRPr="009A0B56" w:rsidRDefault="001E65B0" w:rsidP="00625E25">
      <w:pPr>
        <w:pStyle w:val="ListParagraph"/>
        <w:numPr>
          <w:ilvl w:val="1"/>
          <w:numId w:val="27"/>
        </w:numPr>
        <w:spacing w:after="0" w:line="360" w:lineRule="auto"/>
        <w:ind w:left="709" w:hanging="709"/>
        <w:jc w:val="both"/>
        <w:rPr>
          <w:rFonts w:cstheme="majorBidi"/>
          <w:sz w:val="24"/>
          <w:szCs w:val="24"/>
          <w:lang w:eastAsia="en-AU"/>
        </w:rPr>
      </w:pPr>
      <w:r w:rsidRPr="009A0B56">
        <w:rPr>
          <w:rFonts w:cstheme="majorBidi"/>
          <w:sz w:val="24"/>
          <w:szCs w:val="24"/>
        </w:rPr>
        <w:t>The existing legislative framework has for the most part proven effective in restraining industrial action notwithstanding the occurrence of a small number of high profile disputes in areas such as building and construction</w:t>
      </w:r>
      <w:r w:rsidR="005D35FC" w:rsidRPr="009A0B56">
        <w:rPr>
          <w:rFonts w:cstheme="majorBidi"/>
          <w:sz w:val="24"/>
          <w:szCs w:val="24"/>
        </w:rPr>
        <w:t xml:space="preserve"> and mining</w:t>
      </w:r>
      <w:r w:rsidRPr="009A0B56">
        <w:rPr>
          <w:rFonts w:cstheme="majorBidi"/>
          <w:sz w:val="24"/>
          <w:szCs w:val="24"/>
        </w:rPr>
        <w:t xml:space="preserve">. </w:t>
      </w:r>
      <w:r w:rsidR="004C4FBB" w:rsidRPr="009A0B56">
        <w:rPr>
          <w:rFonts w:cstheme="majorBidi"/>
          <w:sz w:val="24"/>
          <w:szCs w:val="24"/>
        </w:rPr>
        <w:t>Levels of industrial conflict as measured by t</w:t>
      </w:r>
      <w:r w:rsidR="003E753E" w:rsidRPr="009A0B56">
        <w:rPr>
          <w:rFonts w:cstheme="majorBidi"/>
          <w:sz w:val="24"/>
          <w:szCs w:val="24"/>
        </w:rPr>
        <w:t xml:space="preserve">he </w:t>
      </w:r>
      <w:r w:rsidR="003E753E" w:rsidRPr="009A0B56">
        <w:rPr>
          <w:rFonts w:cstheme="majorBidi"/>
          <w:sz w:val="24"/>
          <w:szCs w:val="24"/>
          <w:lang w:eastAsia="en-AU"/>
        </w:rPr>
        <w:t xml:space="preserve">number of working days lost due to industrial disputes per year has </w:t>
      </w:r>
      <w:r w:rsidR="004C4FBB" w:rsidRPr="009A0B56">
        <w:rPr>
          <w:rFonts w:cstheme="majorBidi"/>
          <w:sz w:val="24"/>
          <w:szCs w:val="24"/>
          <w:lang w:eastAsia="en-AU"/>
        </w:rPr>
        <w:t xml:space="preserve">fallen </w:t>
      </w:r>
      <w:r w:rsidR="003E753E" w:rsidRPr="009A0B56">
        <w:rPr>
          <w:rFonts w:cstheme="majorBidi"/>
          <w:sz w:val="24"/>
          <w:szCs w:val="24"/>
          <w:lang w:eastAsia="en-AU"/>
        </w:rPr>
        <w:t xml:space="preserve">from a peak of about 6 million </w:t>
      </w:r>
      <w:r w:rsidR="004C4FBB" w:rsidRPr="009A0B56">
        <w:rPr>
          <w:rFonts w:cstheme="majorBidi"/>
          <w:sz w:val="24"/>
          <w:szCs w:val="24"/>
          <w:lang w:eastAsia="en-AU"/>
        </w:rPr>
        <w:t xml:space="preserve">days </w:t>
      </w:r>
      <w:r w:rsidR="003E753E" w:rsidRPr="009A0B56">
        <w:rPr>
          <w:rFonts w:cstheme="majorBidi"/>
          <w:sz w:val="24"/>
          <w:szCs w:val="24"/>
          <w:lang w:eastAsia="en-AU"/>
        </w:rPr>
        <w:t>in 1974 to a low of 50,000 in 2007. In recent years there has been a small increase in working days lost</w:t>
      </w:r>
      <w:r w:rsidR="004C4FBB" w:rsidRPr="009A0B56">
        <w:rPr>
          <w:rFonts w:cstheme="majorBidi"/>
          <w:sz w:val="24"/>
          <w:szCs w:val="24"/>
          <w:lang w:eastAsia="en-AU"/>
        </w:rPr>
        <w:t>, for example w</w:t>
      </w:r>
      <w:r w:rsidR="003E753E" w:rsidRPr="009A0B56">
        <w:rPr>
          <w:rFonts w:cstheme="majorBidi"/>
          <w:sz w:val="24"/>
          <w:szCs w:val="24"/>
          <w:lang w:eastAsia="en-AU"/>
        </w:rPr>
        <w:t>orking days lost</w:t>
      </w:r>
      <w:r w:rsidR="004C4FBB" w:rsidRPr="009A0B56">
        <w:rPr>
          <w:rFonts w:cstheme="majorBidi"/>
          <w:sz w:val="24"/>
          <w:szCs w:val="24"/>
          <w:lang w:eastAsia="en-AU"/>
        </w:rPr>
        <w:t xml:space="preserve"> reached </w:t>
      </w:r>
      <w:r w:rsidR="003E753E" w:rsidRPr="009A0B56">
        <w:rPr>
          <w:rFonts w:cstheme="majorBidi"/>
          <w:sz w:val="24"/>
          <w:szCs w:val="24"/>
          <w:lang w:eastAsia="en-AU"/>
        </w:rPr>
        <w:t xml:space="preserve">241,000 in 2013. </w:t>
      </w:r>
      <w:r w:rsidR="009454BA" w:rsidRPr="009A0B56">
        <w:rPr>
          <w:rFonts w:cstheme="majorBidi"/>
          <w:sz w:val="24"/>
          <w:szCs w:val="24"/>
          <w:lang w:eastAsia="en-AU"/>
        </w:rPr>
        <w:t>We are not suggesting that th</w:t>
      </w:r>
      <w:r w:rsidR="005D35FC" w:rsidRPr="009A0B56">
        <w:rPr>
          <w:rFonts w:cstheme="majorBidi"/>
          <w:sz w:val="24"/>
          <w:szCs w:val="24"/>
          <w:lang w:eastAsia="en-AU"/>
        </w:rPr>
        <w:t xml:space="preserve">e decline in organised conflict </w:t>
      </w:r>
      <w:r w:rsidR="009454BA" w:rsidRPr="009A0B56">
        <w:rPr>
          <w:rFonts w:cstheme="majorBidi"/>
          <w:sz w:val="24"/>
          <w:szCs w:val="24"/>
          <w:lang w:eastAsia="en-AU"/>
        </w:rPr>
        <w:t>is entirely due</w:t>
      </w:r>
      <w:r w:rsidR="00F83B9E" w:rsidRPr="009A0B56">
        <w:rPr>
          <w:rFonts w:cstheme="majorBidi"/>
          <w:sz w:val="24"/>
          <w:szCs w:val="24"/>
          <w:lang w:eastAsia="en-AU"/>
        </w:rPr>
        <w:t xml:space="preserve"> to legislative change however. </w:t>
      </w:r>
    </w:p>
    <w:p w:rsidR="00755C69" w:rsidRPr="00D65255" w:rsidRDefault="00755C69" w:rsidP="00625E25">
      <w:pPr>
        <w:pStyle w:val="ListParagraph"/>
        <w:spacing w:after="0" w:line="360" w:lineRule="auto"/>
        <w:ind w:left="709" w:hanging="709"/>
        <w:jc w:val="both"/>
        <w:rPr>
          <w:rFonts w:cstheme="majorBidi"/>
          <w:sz w:val="16"/>
          <w:szCs w:val="24"/>
          <w:lang w:eastAsia="en-AU"/>
        </w:rPr>
      </w:pPr>
    </w:p>
    <w:p w:rsidR="00755C69" w:rsidRDefault="00F83B9E" w:rsidP="00D81C35">
      <w:pPr>
        <w:pStyle w:val="ListParagraph"/>
        <w:numPr>
          <w:ilvl w:val="1"/>
          <w:numId w:val="27"/>
        </w:numPr>
        <w:spacing w:after="0" w:line="360" w:lineRule="auto"/>
        <w:ind w:left="709" w:hanging="709"/>
        <w:jc w:val="both"/>
        <w:rPr>
          <w:rFonts w:cstheme="majorBidi"/>
          <w:sz w:val="24"/>
          <w:szCs w:val="24"/>
          <w:lang w:eastAsia="en-AU"/>
        </w:rPr>
      </w:pPr>
      <w:r w:rsidRPr="009A0B56">
        <w:rPr>
          <w:rFonts w:cstheme="majorBidi"/>
          <w:sz w:val="24"/>
          <w:szCs w:val="24"/>
          <w:lang w:eastAsia="en-AU"/>
        </w:rPr>
        <w:t>While w</w:t>
      </w:r>
      <w:r w:rsidR="009A0B56" w:rsidRPr="009A0B56">
        <w:rPr>
          <w:rFonts w:cstheme="majorBidi"/>
          <w:sz w:val="24"/>
          <w:szCs w:val="24"/>
          <w:lang w:eastAsia="en-AU"/>
        </w:rPr>
        <w:t xml:space="preserve">orking days lost are declining, there is abundant evidence </w:t>
      </w:r>
      <w:r w:rsidRPr="009A0B56">
        <w:rPr>
          <w:rFonts w:cstheme="majorBidi"/>
          <w:sz w:val="24"/>
          <w:szCs w:val="24"/>
          <w:lang w:eastAsia="en-AU"/>
        </w:rPr>
        <w:t xml:space="preserve">that </w:t>
      </w:r>
      <w:r w:rsidR="003E753E" w:rsidRPr="009A0B56">
        <w:rPr>
          <w:rFonts w:cstheme="majorBidi"/>
          <w:sz w:val="24"/>
          <w:szCs w:val="24"/>
          <w:lang w:eastAsia="en-AU"/>
        </w:rPr>
        <w:t xml:space="preserve">there is still widespread, but less visible conflict in the form of individual and small group disputes. </w:t>
      </w:r>
      <w:r w:rsidRPr="009A0B56">
        <w:rPr>
          <w:rFonts w:cstheme="majorBidi"/>
          <w:sz w:val="24"/>
          <w:szCs w:val="24"/>
          <w:lang w:eastAsia="en-GB"/>
        </w:rPr>
        <w:t>Moreover, t</w:t>
      </w:r>
      <w:r w:rsidRPr="009A0B56">
        <w:rPr>
          <w:rFonts w:cstheme="majorBidi"/>
          <w:sz w:val="24"/>
          <w:szCs w:val="24"/>
          <w:lang w:eastAsia="en-AU"/>
        </w:rPr>
        <w:t xml:space="preserve">here is a high cost associated with individual and small group conflict with the Productivity Commission (2010: 287) suggesting that the annual costs to the economy could be as high as AUD$36 billion. </w:t>
      </w:r>
      <w:r w:rsidR="009A0B56" w:rsidRPr="009A0B56">
        <w:rPr>
          <w:rFonts w:cstheme="majorBidi"/>
          <w:sz w:val="24"/>
          <w:szCs w:val="24"/>
          <w:lang w:eastAsia="en-AU"/>
        </w:rPr>
        <w:t xml:space="preserve"> </w:t>
      </w:r>
      <w:r w:rsidR="003E753E" w:rsidRPr="009A0B56">
        <w:rPr>
          <w:rFonts w:cstheme="majorBidi"/>
          <w:sz w:val="24"/>
          <w:szCs w:val="24"/>
          <w:lang w:eastAsia="en-AU"/>
        </w:rPr>
        <w:t xml:space="preserve">As shown in </w:t>
      </w:r>
      <w:r w:rsidR="00AD0ED0" w:rsidRPr="009A0B56">
        <w:rPr>
          <w:rFonts w:cstheme="majorBidi"/>
          <w:sz w:val="24"/>
          <w:szCs w:val="24"/>
          <w:lang w:eastAsia="en-AU"/>
        </w:rPr>
        <w:t>Chart</w:t>
      </w:r>
      <w:r w:rsidR="003E753E" w:rsidRPr="009A0B56">
        <w:rPr>
          <w:rFonts w:cstheme="majorBidi"/>
          <w:sz w:val="24"/>
          <w:szCs w:val="24"/>
          <w:lang w:eastAsia="en-AU"/>
        </w:rPr>
        <w:t xml:space="preserve"> </w:t>
      </w:r>
      <w:r w:rsidR="00AD0ED0" w:rsidRPr="009A0B56">
        <w:rPr>
          <w:rFonts w:cstheme="majorBidi"/>
          <w:sz w:val="24"/>
          <w:szCs w:val="24"/>
          <w:lang w:eastAsia="en-AU"/>
        </w:rPr>
        <w:t>1</w:t>
      </w:r>
      <w:r w:rsidR="003E753E" w:rsidRPr="009A0B56">
        <w:rPr>
          <w:rFonts w:cstheme="majorBidi"/>
          <w:sz w:val="24"/>
          <w:szCs w:val="24"/>
          <w:lang w:eastAsia="en-AU"/>
        </w:rPr>
        <w:t>, since 2000 there has been an increasing number of complaints that involve employment discrimination to the Australian Human Rights Commission (AHRC) and its predecessor, the Human Rights and Equal Opportunity Commission (HREOC). The 84% increase observed in the areas of disability, sex, race and age between 2004–05 and 2010–11 is unlikely to be entirely a result of growing public awareness of these avenues for resolving complaints. Employment-related complaints constituted 86% of all complaint</w:t>
      </w:r>
      <w:r w:rsidR="00D81C35">
        <w:rPr>
          <w:rFonts w:cstheme="majorBidi"/>
          <w:sz w:val="24"/>
          <w:szCs w:val="24"/>
          <w:lang w:eastAsia="en-AU"/>
        </w:rPr>
        <w:t>s</w:t>
      </w:r>
      <w:r w:rsidR="003E753E" w:rsidRPr="009A0B56">
        <w:rPr>
          <w:rFonts w:cstheme="majorBidi"/>
          <w:sz w:val="24"/>
          <w:szCs w:val="24"/>
          <w:lang w:eastAsia="en-AU"/>
        </w:rPr>
        <w:t xml:space="preserve"> under the</w:t>
      </w:r>
      <w:r w:rsidR="003E753E" w:rsidRPr="009A0B56">
        <w:rPr>
          <w:rFonts w:cstheme="majorBidi"/>
          <w:i/>
          <w:sz w:val="24"/>
          <w:szCs w:val="24"/>
          <w:lang w:eastAsia="en-AU"/>
        </w:rPr>
        <w:t xml:space="preserve"> Sex Discrimination Act 1984</w:t>
      </w:r>
      <w:r w:rsidR="003E753E" w:rsidRPr="009A0B56">
        <w:rPr>
          <w:rFonts w:cstheme="majorBidi"/>
          <w:iCs/>
          <w:sz w:val="24"/>
          <w:szCs w:val="24"/>
          <w:lang w:eastAsia="en-AU"/>
        </w:rPr>
        <w:t>,</w:t>
      </w:r>
      <w:r w:rsidR="003E753E" w:rsidRPr="009A0B56">
        <w:rPr>
          <w:rFonts w:cstheme="majorBidi"/>
          <w:sz w:val="24"/>
          <w:szCs w:val="24"/>
          <w:lang w:eastAsia="en-AU"/>
        </w:rPr>
        <w:t xml:space="preserve"> 44% of areas under the</w:t>
      </w:r>
      <w:r w:rsidR="003E753E" w:rsidRPr="009A0B56">
        <w:rPr>
          <w:rFonts w:cstheme="majorBidi"/>
          <w:i/>
          <w:sz w:val="24"/>
          <w:szCs w:val="24"/>
          <w:lang w:eastAsia="en-AU"/>
        </w:rPr>
        <w:t xml:space="preserve"> Racial Discrimination Act 1975, </w:t>
      </w:r>
      <w:r w:rsidR="003E753E" w:rsidRPr="009A0B56">
        <w:rPr>
          <w:rFonts w:cstheme="majorBidi"/>
          <w:sz w:val="24"/>
          <w:szCs w:val="24"/>
          <w:lang w:eastAsia="en-AU"/>
        </w:rPr>
        <w:t>44% of areas under the</w:t>
      </w:r>
      <w:r w:rsidR="003E753E" w:rsidRPr="009A0B56">
        <w:rPr>
          <w:rFonts w:cstheme="majorBidi"/>
          <w:i/>
          <w:sz w:val="24"/>
          <w:szCs w:val="24"/>
          <w:lang w:eastAsia="en-AU"/>
        </w:rPr>
        <w:t xml:space="preserve"> Disability Discrimination Act 1992</w:t>
      </w:r>
      <w:r w:rsidR="003E753E" w:rsidRPr="009A0B56">
        <w:rPr>
          <w:rFonts w:cstheme="majorBidi"/>
          <w:sz w:val="24"/>
          <w:szCs w:val="24"/>
          <w:lang w:eastAsia="en-AU"/>
        </w:rPr>
        <w:t>,</w:t>
      </w:r>
      <w:r w:rsidR="003E753E" w:rsidRPr="009A0B56">
        <w:rPr>
          <w:rFonts w:cstheme="majorBidi"/>
          <w:i/>
          <w:sz w:val="24"/>
          <w:szCs w:val="24"/>
          <w:lang w:eastAsia="en-AU"/>
        </w:rPr>
        <w:t xml:space="preserve"> </w:t>
      </w:r>
      <w:r w:rsidR="003E753E" w:rsidRPr="009A0B56">
        <w:rPr>
          <w:rFonts w:cstheme="majorBidi"/>
          <w:iCs/>
          <w:sz w:val="24"/>
          <w:szCs w:val="24"/>
          <w:lang w:eastAsia="en-AU"/>
        </w:rPr>
        <w:t xml:space="preserve">and </w:t>
      </w:r>
      <w:r w:rsidR="003E753E" w:rsidRPr="009A0B56">
        <w:rPr>
          <w:rFonts w:cstheme="majorBidi"/>
          <w:sz w:val="24"/>
          <w:szCs w:val="24"/>
          <w:lang w:eastAsia="en-AU"/>
        </w:rPr>
        <w:t>62% of areas under the</w:t>
      </w:r>
      <w:r w:rsidR="003E753E" w:rsidRPr="009A0B56">
        <w:rPr>
          <w:rFonts w:cstheme="majorBidi"/>
          <w:i/>
          <w:sz w:val="24"/>
          <w:szCs w:val="24"/>
          <w:lang w:eastAsia="en-AU"/>
        </w:rPr>
        <w:t xml:space="preserve"> Age Discrimination Act</w:t>
      </w:r>
      <w:r w:rsidR="003E753E" w:rsidRPr="009A0B56">
        <w:rPr>
          <w:rFonts w:cstheme="majorBidi"/>
          <w:sz w:val="24"/>
          <w:szCs w:val="24"/>
          <w:lang w:eastAsia="en-AU"/>
        </w:rPr>
        <w:t xml:space="preserve"> </w:t>
      </w:r>
      <w:r w:rsidR="003E753E" w:rsidRPr="009A0B56">
        <w:rPr>
          <w:rFonts w:cstheme="majorBidi"/>
          <w:i/>
          <w:sz w:val="24"/>
          <w:szCs w:val="24"/>
          <w:lang w:eastAsia="en-AU"/>
        </w:rPr>
        <w:t xml:space="preserve">2004 </w:t>
      </w:r>
      <w:r w:rsidR="003E753E" w:rsidRPr="009A0B56">
        <w:rPr>
          <w:rFonts w:cstheme="majorBidi"/>
          <w:sz w:val="24"/>
          <w:szCs w:val="24"/>
          <w:lang w:eastAsia="en-AU"/>
        </w:rPr>
        <w:t>(HREOC</w:t>
      </w:r>
      <w:r w:rsidR="00D81C35">
        <w:rPr>
          <w:rFonts w:cstheme="majorBidi"/>
          <w:sz w:val="24"/>
          <w:szCs w:val="24"/>
          <w:lang w:eastAsia="en-AU"/>
        </w:rPr>
        <w:t>,</w:t>
      </w:r>
      <w:r w:rsidR="003E753E" w:rsidRPr="009A0B56">
        <w:rPr>
          <w:rFonts w:cstheme="majorBidi"/>
          <w:sz w:val="24"/>
          <w:szCs w:val="24"/>
          <w:lang w:eastAsia="en-AU"/>
        </w:rPr>
        <w:t xml:space="preserve"> 2010).</w:t>
      </w:r>
      <w:r w:rsidR="003E753E" w:rsidRPr="00C60203">
        <w:rPr>
          <w:rStyle w:val="EndnoteReference"/>
          <w:rFonts w:cstheme="majorBidi"/>
          <w:sz w:val="24"/>
          <w:szCs w:val="24"/>
          <w:lang w:eastAsia="en-AU"/>
        </w:rPr>
        <w:endnoteReference w:id="1"/>
      </w:r>
      <w:r w:rsidR="00D65255">
        <w:rPr>
          <w:rFonts w:cstheme="majorBidi"/>
          <w:sz w:val="24"/>
          <w:szCs w:val="24"/>
          <w:lang w:eastAsia="en-AU"/>
        </w:rPr>
        <w:t xml:space="preserve"> </w:t>
      </w:r>
    </w:p>
    <w:p w:rsidR="00837EAE" w:rsidRDefault="00837EAE" w:rsidP="00837EAE">
      <w:pPr>
        <w:pStyle w:val="ListParagraph"/>
        <w:spacing w:after="0" w:line="360" w:lineRule="auto"/>
        <w:ind w:left="284"/>
        <w:jc w:val="both"/>
        <w:rPr>
          <w:rFonts w:cstheme="majorBidi"/>
          <w:sz w:val="24"/>
          <w:szCs w:val="24"/>
          <w:lang w:eastAsia="en-AU"/>
        </w:rPr>
      </w:pPr>
    </w:p>
    <w:p w:rsidR="00D65255" w:rsidRDefault="00D65255" w:rsidP="00D65255">
      <w:pPr>
        <w:pStyle w:val="ListParagraph"/>
        <w:spacing w:after="0" w:line="360" w:lineRule="auto"/>
        <w:ind w:left="284"/>
        <w:jc w:val="both"/>
        <w:rPr>
          <w:rFonts w:cstheme="majorBidi"/>
          <w:sz w:val="24"/>
          <w:szCs w:val="24"/>
          <w:lang w:eastAsia="en-AU"/>
        </w:rPr>
      </w:pPr>
      <w:r w:rsidRPr="00C60203">
        <w:rPr>
          <w:rFonts w:cstheme="majorBidi"/>
          <w:noProof/>
          <w:szCs w:val="24"/>
          <w:lang w:eastAsia="en-AU"/>
        </w:rPr>
        <w:drawing>
          <wp:anchor distT="0" distB="0" distL="114300" distR="114300" simplePos="0" relativeHeight="251718656" behindDoc="0" locked="0" layoutInCell="1" allowOverlap="1" wp14:anchorId="6A4A841A" wp14:editId="7F4BE311">
            <wp:simplePos x="0" y="0"/>
            <wp:positionH relativeFrom="column">
              <wp:posOffset>571500</wp:posOffset>
            </wp:positionH>
            <wp:positionV relativeFrom="paragraph">
              <wp:posOffset>254000</wp:posOffset>
            </wp:positionV>
            <wp:extent cx="5029200" cy="3203575"/>
            <wp:effectExtent l="0" t="0" r="0" b="0"/>
            <wp:wrapThrough wrapText="bothSides">
              <wp:wrapPolygon edited="0">
                <wp:start x="0" y="0"/>
                <wp:lineTo x="0" y="21407"/>
                <wp:lineTo x="21491" y="21407"/>
                <wp:lineTo x="2149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9200" cy="320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ajorBidi"/>
          <w:b/>
          <w:bCs/>
          <w:sz w:val="24"/>
          <w:szCs w:val="24"/>
          <w:lang w:val="en-US"/>
        </w:rPr>
        <w:t xml:space="preserve">               Chart</w:t>
      </w:r>
      <w:r w:rsidRPr="006E022F">
        <w:rPr>
          <w:rFonts w:cstheme="majorBidi"/>
          <w:b/>
          <w:bCs/>
          <w:sz w:val="24"/>
          <w:szCs w:val="24"/>
          <w:lang w:val="en-US"/>
        </w:rPr>
        <w:t xml:space="preserve"> 1</w:t>
      </w:r>
      <w:r w:rsidR="00635E87">
        <w:rPr>
          <w:rFonts w:cstheme="majorBidi"/>
          <w:b/>
          <w:bCs/>
          <w:sz w:val="24"/>
          <w:szCs w:val="24"/>
          <w:lang w:val="en-US"/>
        </w:rPr>
        <w:t>:</w:t>
      </w:r>
      <w:r w:rsidRPr="006E022F">
        <w:rPr>
          <w:rFonts w:cstheme="majorBidi"/>
          <w:b/>
          <w:bCs/>
          <w:sz w:val="24"/>
          <w:szCs w:val="24"/>
          <w:lang w:val="en-US"/>
        </w:rPr>
        <w:t xml:space="preserve"> </w:t>
      </w:r>
      <w:r>
        <w:rPr>
          <w:rFonts w:cstheme="majorBidi"/>
          <w:b/>
          <w:bCs/>
          <w:sz w:val="24"/>
          <w:szCs w:val="24"/>
          <w:lang w:val="en-US"/>
        </w:rPr>
        <w:t xml:space="preserve"> Employment-related complain</w:t>
      </w:r>
      <w:r w:rsidR="00A665FC">
        <w:rPr>
          <w:rFonts w:cstheme="majorBidi"/>
          <w:b/>
          <w:bCs/>
          <w:sz w:val="24"/>
          <w:szCs w:val="24"/>
          <w:lang w:val="en-US"/>
        </w:rPr>
        <w:t>t</w:t>
      </w:r>
      <w:r>
        <w:rPr>
          <w:rFonts w:cstheme="majorBidi"/>
          <w:b/>
          <w:bCs/>
          <w:sz w:val="24"/>
          <w:szCs w:val="24"/>
          <w:lang w:val="en-US"/>
        </w:rPr>
        <w:t>s from 2000 to 2011</w:t>
      </w:r>
    </w:p>
    <w:p w:rsidR="00C53C3E" w:rsidRDefault="00C53C3E" w:rsidP="00755C69">
      <w:pPr>
        <w:pStyle w:val="ListParagraph"/>
        <w:spacing w:after="0" w:line="360" w:lineRule="auto"/>
        <w:ind w:left="709"/>
        <w:jc w:val="both"/>
        <w:rPr>
          <w:rFonts w:cstheme="majorBidi"/>
          <w:sz w:val="24"/>
          <w:szCs w:val="24"/>
          <w:lang w:eastAsia="en-AU"/>
        </w:rPr>
      </w:pPr>
    </w:p>
    <w:p w:rsidR="00C53C3E" w:rsidRDefault="00C53C3E" w:rsidP="00C53C3E">
      <w:pPr>
        <w:pStyle w:val="ListParagraph"/>
        <w:spacing w:after="0" w:line="360" w:lineRule="auto"/>
        <w:ind w:left="709"/>
        <w:jc w:val="both"/>
        <w:rPr>
          <w:rFonts w:cstheme="majorBidi"/>
          <w:sz w:val="24"/>
          <w:szCs w:val="24"/>
          <w:lang w:eastAsia="en-AU"/>
        </w:rPr>
      </w:pPr>
    </w:p>
    <w:p w:rsidR="00C53C3E" w:rsidRDefault="00C53C3E" w:rsidP="00C53C3E">
      <w:pPr>
        <w:spacing w:after="0" w:line="360" w:lineRule="auto"/>
        <w:jc w:val="both"/>
        <w:rPr>
          <w:rFonts w:cstheme="majorBidi"/>
          <w:sz w:val="24"/>
          <w:szCs w:val="24"/>
          <w:lang w:eastAsia="en-AU"/>
        </w:rPr>
      </w:pPr>
    </w:p>
    <w:p w:rsidR="00C53C3E" w:rsidRPr="00C53C3E" w:rsidRDefault="00C53C3E" w:rsidP="00C53C3E">
      <w:pPr>
        <w:spacing w:after="0" w:line="360" w:lineRule="auto"/>
        <w:jc w:val="both"/>
        <w:rPr>
          <w:rFonts w:cstheme="majorBidi"/>
          <w:sz w:val="24"/>
          <w:szCs w:val="24"/>
          <w:lang w:eastAsia="en-AU"/>
        </w:rPr>
      </w:pPr>
    </w:p>
    <w:p w:rsidR="00755C69" w:rsidRPr="00C60203" w:rsidRDefault="00755C69" w:rsidP="003E753E">
      <w:pPr>
        <w:tabs>
          <w:tab w:val="left" w:pos="709"/>
          <w:tab w:val="left" w:pos="851"/>
        </w:tabs>
        <w:autoSpaceDE w:val="0"/>
        <w:autoSpaceDN w:val="0"/>
        <w:adjustRightInd w:val="0"/>
        <w:spacing w:after="0" w:line="360" w:lineRule="auto"/>
        <w:ind w:left="709" w:hanging="709"/>
        <w:jc w:val="both"/>
        <w:rPr>
          <w:rFonts w:cstheme="majorBidi"/>
          <w:color w:val="1A1A1A"/>
          <w:sz w:val="24"/>
          <w:szCs w:val="24"/>
        </w:rPr>
      </w:pPr>
    </w:p>
    <w:p w:rsidR="00274CBA" w:rsidRDefault="003E753E" w:rsidP="00D65255">
      <w:pPr>
        <w:autoSpaceDE w:val="0"/>
        <w:autoSpaceDN w:val="0"/>
        <w:adjustRightInd w:val="0"/>
        <w:spacing w:after="0" w:line="360" w:lineRule="auto"/>
        <w:ind w:left="720"/>
        <w:jc w:val="both"/>
        <w:rPr>
          <w:rFonts w:cstheme="majorBidi"/>
          <w:b/>
          <w:bCs/>
          <w:sz w:val="24"/>
          <w:szCs w:val="24"/>
          <w:lang w:val="en-US"/>
        </w:rPr>
      </w:pPr>
      <w:r w:rsidRPr="00C60203">
        <w:rPr>
          <w:rFonts w:cstheme="majorBidi"/>
          <w:sz w:val="16"/>
          <w:szCs w:val="16"/>
          <w:lang w:eastAsia="en-AU"/>
        </w:rPr>
        <w:t xml:space="preserve">Source: HREOC/AHRC Annual Reports.  Note: The </w:t>
      </w:r>
      <w:r w:rsidRPr="00C60203">
        <w:rPr>
          <w:rFonts w:cstheme="majorBidi"/>
          <w:iCs/>
          <w:sz w:val="16"/>
          <w:szCs w:val="16"/>
          <w:lang w:eastAsia="en-AU"/>
        </w:rPr>
        <w:t>Age Discrimination Act</w:t>
      </w:r>
      <w:r w:rsidRPr="00C60203">
        <w:rPr>
          <w:rFonts w:cstheme="majorBidi"/>
          <w:i/>
          <w:iCs/>
          <w:sz w:val="16"/>
          <w:szCs w:val="16"/>
          <w:lang w:eastAsia="en-AU"/>
        </w:rPr>
        <w:t xml:space="preserve"> </w:t>
      </w:r>
      <w:r w:rsidRPr="00C60203">
        <w:rPr>
          <w:rFonts w:cstheme="majorBidi"/>
          <w:sz w:val="16"/>
          <w:szCs w:val="16"/>
          <w:lang w:eastAsia="en-AU"/>
        </w:rPr>
        <w:t>has only been in existence from 2004</w:t>
      </w:r>
      <w:r w:rsidRPr="00C60203">
        <w:rPr>
          <w:rFonts w:cstheme="majorBidi"/>
          <w:sz w:val="16"/>
          <w:szCs w:val="16"/>
        </w:rPr>
        <w:t>–</w:t>
      </w:r>
      <w:r w:rsidRPr="00C60203">
        <w:rPr>
          <w:rFonts w:cstheme="majorBidi"/>
          <w:sz w:val="16"/>
          <w:szCs w:val="16"/>
          <w:lang w:eastAsia="en-AU"/>
        </w:rPr>
        <w:t>2005.</w:t>
      </w:r>
      <w:r w:rsidR="00D65255" w:rsidRPr="00B466C8">
        <w:rPr>
          <w:rFonts w:cstheme="majorBidi"/>
          <w:b/>
          <w:bCs/>
          <w:sz w:val="24"/>
          <w:szCs w:val="24"/>
          <w:lang w:val="en-US"/>
        </w:rPr>
        <w:t xml:space="preserve"> </w:t>
      </w:r>
    </w:p>
    <w:p w:rsidR="00AF3AA5" w:rsidRDefault="00AF3AA5" w:rsidP="00D65255">
      <w:pPr>
        <w:autoSpaceDE w:val="0"/>
        <w:autoSpaceDN w:val="0"/>
        <w:adjustRightInd w:val="0"/>
        <w:spacing w:after="0" w:line="360" w:lineRule="auto"/>
        <w:ind w:left="720"/>
        <w:jc w:val="both"/>
        <w:rPr>
          <w:rFonts w:cstheme="majorBidi"/>
          <w:b/>
          <w:bCs/>
          <w:sz w:val="24"/>
          <w:szCs w:val="24"/>
          <w:u w:val="single"/>
        </w:rPr>
      </w:pPr>
    </w:p>
    <w:p w:rsidR="009A0B56" w:rsidRPr="009A0B56" w:rsidRDefault="009A0B56" w:rsidP="00D81C35">
      <w:pPr>
        <w:pStyle w:val="ListParagraph"/>
        <w:numPr>
          <w:ilvl w:val="1"/>
          <w:numId w:val="27"/>
        </w:numPr>
        <w:tabs>
          <w:tab w:val="left" w:pos="709"/>
        </w:tabs>
        <w:spacing w:after="0" w:line="360" w:lineRule="auto"/>
        <w:ind w:left="709" w:hanging="709"/>
        <w:jc w:val="both"/>
        <w:rPr>
          <w:rFonts w:cstheme="majorBidi"/>
          <w:sz w:val="24"/>
          <w:szCs w:val="24"/>
        </w:rPr>
      </w:pPr>
      <w:r w:rsidRPr="009A0B56">
        <w:rPr>
          <w:rFonts w:cstheme="majorBidi"/>
          <w:sz w:val="24"/>
          <w:szCs w:val="24"/>
        </w:rPr>
        <w:t>In considering changing patterns of workplace conflict and their implications for this inquiry, we draw on the findings of two national surveys and in-depth interviews with senior practitioners, which were conducted as part of an Australian Research Council funded project on workplace conflict and its resolution. The findings presented below are preliminary and detailed analysis of the data is in process.</w:t>
      </w:r>
      <w:r>
        <w:rPr>
          <w:rStyle w:val="FootnoteReference"/>
          <w:rFonts w:cstheme="majorBidi"/>
          <w:sz w:val="24"/>
          <w:szCs w:val="24"/>
        </w:rPr>
        <w:footnoteReference w:id="9"/>
      </w:r>
      <w:r w:rsidRPr="009A0B56">
        <w:rPr>
          <w:rFonts w:cstheme="majorBidi"/>
          <w:sz w:val="24"/>
          <w:szCs w:val="24"/>
        </w:rPr>
        <w:t xml:space="preserve">  The first survey conducted in 2014 presents the views of 1,412 respondents who were the most senior manager responsible for employee relations in the organisations surveyed. The second survey exam</w:t>
      </w:r>
      <w:r w:rsidR="00D81C35">
        <w:rPr>
          <w:rFonts w:cstheme="majorBidi"/>
          <w:sz w:val="24"/>
          <w:szCs w:val="24"/>
        </w:rPr>
        <w:t>ined employee p</w:t>
      </w:r>
      <w:r w:rsidRPr="009A0B56">
        <w:rPr>
          <w:rFonts w:cstheme="majorBidi"/>
          <w:sz w:val="24"/>
          <w:szCs w:val="24"/>
        </w:rPr>
        <w:t>erceptions of conflict and dispute resolution in the workplace. This survey was completed by 773 employees working in six case study organisations across Australia.</w:t>
      </w:r>
    </w:p>
    <w:p w:rsidR="009A0B56" w:rsidRPr="009A0B56" w:rsidRDefault="009A0B56" w:rsidP="00AF3AA5">
      <w:pPr>
        <w:pStyle w:val="ListParagraph"/>
        <w:tabs>
          <w:tab w:val="left" w:pos="709"/>
        </w:tabs>
        <w:spacing w:after="0" w:line="360" w:lineRule="auto"/>
        <w:ind w:left="709" w:hanging="709"/>
        <w:jc w:val="both"/>
        <w:rPr>
          <w:rFonts w:cstheme="majorBidi"/>
          <w:sz w:val="24"/>
          <w:szCs w:val="24"/>
          <w:lang w:eastAsia="en-AU"/>
        </w:rPr>
      </w:pPr>
    </w:p>
    <w:p w:rsidR="003600FD" w:rsidRPr="00C55CC5" w:rsidRDefault="00D81C35" w:rsidP="00D81C35">
      <w:pPr>
        <w:pStyle w:val="ListParagraph"/>
        <w:numPr>
          <w:ilvl w:val="1"/>
          <w:numId w:val="27"/>
        </w:numPr>
        <w:tabs>
          <w:tab w:val="left" w:pos="709"/>
        </w:tabs>
        <w:spacing w:after="0" w:line="360" w:lineRule="auto"/>
        <w:ind w:left="709" w:hanging="709"/>
        <w:jc w:val="both"/>
        <w:rPr>
          <w:rFonts w:cstheme="majorBidi"/>
          <w:b/>
          <w:bCs/>
          <w:sz w:val="24"/>
          <w:szCs w:val="24"/>
          <w:u w:val="single"/>
        </w:rPr>
      </w:pPr>
      <w:r>
        <w:rPr>
          <w:rFonts w:cstheme="majorBidi"/>
          <w:bCs/>
          <w:sz w:val="24"/>
          <w:szCs w:val="24"/>
        </w:rPr>
        <w:t>The</w:t>
      </w:r>
      <w:r w:rsidR="00C53C3E" w:rsidRPr="00C55CC5">
        <w:rPr>
          <w:rFonts w:cstheme="majorBidi"/>
          <w:bCs/>
          <w:sz w:val="24"/>
          <w:szCs w:val="24"/>
        </w:rPr>
        <w:t xml:space="preserve"> survey of managers revealed the prevalence of disputes in organisation</w:t>
      </w:r>
      <w:r w:rsidR="009A0B56">
        <w:rPr>
          <w:rFonts w:cstheme="majorBidi"/>
          <w:bCs/>
          <w:sz w:val="24"/>
          <w:szCs w:val="24"/>
        </w:rPr>
        <w:t>s</w:t>
      </w:r>
      <w:r w:rsidR="00C53C3E" w:rsidRPr="00C55CC5">
        <w:rPr>
          <w:rFonts w:cstheme="majorBidi"/>
          <w:bCs/>
          <w:sz w:val="24"/>
          <w:szCs w:val="24"/>
        </w:rPr>
        <w:t xml:space="preserve"> with 82% reporting </w:t>
      </w:r>
      <w:r w:rsidR="003600FD" w:rsidRPr="00C55CC5">
        <w:rPr>
          <w:rFonts w:cstheme="majorBidi"/>
          <w:sz w:val="24"/>
          <w:szCs w:val="24"/>
        </w:rPr>
        <w:t xml:space="preserve">at least one individual dispute in </w:t>
      </w:r>
      <w:r w:rsidR="00732CE0" w:rsidRPr="00C55CC5">
        <w:rPr>
          <w:rFonts w:cstheme="majorBidi"/>
          <w:sz w:val="24"/>
          <w:szCs w:val="24"/>
        </w:rPr>
        <w:t xml:space="preserve">the </w:t>
      </w:r>
      <w:r w:rsidR="003600FD" w:rsidRPr="00C55CC5">
        <w:rPr>
          <w:rFonts w:cstheme="majorBidi"/>
          <w:sz w:val="24"/>
          <w:szCs w:val="24"/>
        </w:rPr>
        <w:t xml:space="preserve">past 12 months. The most frequently </w:t>
      </w:r>
      <w:r w:rsidR="003600FD" w:rsidRPr="00C55CC5">
        <w:rPr>
          <w:rFonts w:cstheme="majorBidi"/>
          <w:color w:val="000000" w:themeColor="text1"/>
          <w:sz w:val="24"/>
          <w:szCs w:val="24"/>
        </w:rPr>
        <w:t xml:space="preserve">occurring </w:t>
      </w:r>
      <w:r w:rsidR="00732CE0" w:rsidRPr="00C55CC5">
        <w:rPr>
          <w:rFonts w:cstheme="majorBidi"/>
          <w:color w:val="000000" w:themeColor="text1"/>
          <w:sz w:val="24"/>
          <w:szCs w:val="24"/>
        </w:rPr>
        <w:t xml:space="preserve">issues </w:t>
      </w:r>
      <w:r w:rsidR="003600FD" w:rsidRPr="00C55CC5">
        <w:rPr>
          <w:rFonts w:cstheme="majorBidi"/>
          <w:color w:val="000000" w:themeColor="text1"/>
          <w:sz w:val="24"/>
          <w:szCs w:val="24"/>
        </w:rPr>
        <w:t>related to disciplinary matters and personality conflicts</w:t>
      </w:r>
      <w:r w:rsidR="003127C8" w:rsidRPr="00C55CC5">
        <w:rPr>
          <w:rFonts w:cstheme="majorBidi"/>
          <w:color w:val="000000" w:themeColor="text1"/>
          <w:sz w:val="24"/>
          <w:szCs w:val="24"/>
        </w:rPr>
        <w:t xml:space="preserve"> (see Chart 2)</w:t>
      </w:r>
      <w:r w:rsidR="00732CE0" w:rsidRPr="00C55CC5">
        <w:rPr>
          <w:rFonts w:cstheme="majorBidi"/>
          <w:color w:val="000000" w:themeColor="text1"/>
          <w:sz w:val="24"/>
          <w:szCs w:val="24"/>
        </w:rPr>
        <w:t xml:space="preserve"> </w:t>
      </w:r>
      <w:r w:rsidR="009A0B56">
        <w:rPr>
          <w:rFonts w:cstheme="majorBidi"/>
          <w:color w:val="000000" w:themeColor="text1"/>
          <w:sz w:val="24"/>
          <w:szCs w:val="24"/>
        </w:rPr>
        <w:t>al</w:t>
      </w:r>
      <w:r w:rsidR="00732CE0" w:rsidRPr="00C55CC5">
        <w:rPr>
          <w:rFonts w:cstheme="majorBidi"/>
          <w:color w:val="000000" w:themeColor="text1"/>
          <w:sz w:val="24"/>
          <w:szCs w:val="24"/>
        </w:rPr>
        <w:t>though this varied across organisational size</w:t>
      </w:r>
      <w:r w:rsidR="003600FD" w:rsidRPr="00C55CC5">
        <w:rPr>
          <w:rFonts w:cstheme="majorBidi"/>
          <w:color w:val="000000" w:themeColor="text1"/>
          <w:sz w:val="24"/>
          <w:szCs w:val="24"/>
        </w:rPr>
        <w:t xml:space="preserve">. </w:t>
      </w:r>
      <w:r w:rsidR="003127C8" w:rsidRPr="00C55CC5">
        <w:rPr>
          <w:rFonts w:cstheme="majorBidi"/>
          <w:color w:val="000000" w:themeColor="text1"/>
          <w:sz w:val="24"/>
          <w:szCs w:val="24"/>
        </w:rPr>
        <w:t xml:space="preserve"> </w:t>
      </w:r>
      <w:r w:rsidR="00732CE0" w:rsidRPr="00C55CC5">
        <w:rPr>
          <w:rFonts w:cstheme="majorBidi"/>
          <w:color w:val="000000" w:themeColor="text1"/>
          <w:sz w:val="24"/>
          <w:szCs w:val="24"/>
        </w:rPr>
        <w:t xml:space="preserve">Significantly, the respondents, the most </w:t>
      </w:r>
      <w:r w:rsidR="00732CE0" w:rsidRPr="00C55CC5">
        <w:rPr>
          <w:rFonts w:cstheme="majorBidi"/>
          <w:color w:val="000000" w:themeColor="text1"/>
          <w:sz w:val="24"/>
          <w:szCs w:val="24"/>
        </w:rPr>
        <w:lastRenderedPageBreak/>
        <w:t xml:space="preserve">senior manager responsible for human resources, reported that on </w:t>
      </w:r>
      <w:r w:rsidR="003600FD" w:rsidRPr="00C55CC5">
        <w:rPr>
          <w:rFonts w:cstheme="majorBidi"/>
          <w:color w:val="000000" w:themeColor="text1"/>
          <w:sz w:val="24"/>
          <w:szCs w:val="24"/>
        </w:rPr>
        <w:t>average</w:t>
      </w:r>
      <w:r w:rsidR="00732CE0" w:rsidRPr="00C55CC5">
        <w:rPr>
          <w:rFonts w:cstheme="majorBidi"/>
          <w:color w:val="000000" w:themeColor="text1"/>
          <w:sz w:val="24"/>
          <w:szCs w:val="24"/>
        </w:rPr>
        <w:t xml:space="preserve"> they spent</w:t>
      </w:r>
      <w:r w:rsidR="003600FD" w:rsidRPr="00C55CC5">
        <w:rPr>
          <w:rFonts w:cstheme="majorBidi"/>
          <w:sz w:val="24"/>
          <w:szCs w:val="24"/>
        </w:rPr>
        <w:t xml:space="preserve"> 10% of their time per week resolving individual disputes.</w:t>
      </w:r>
      <w:r w:rsidR="00C55CC5" w:rsidRPr="00C55CC5">
        <w:rPr>
          <w:rFonts w:cstheme="majorBidi"/>
          <w:sz w:val="24"/>
          <w:szCs w:val="24"/>
        </w:rPr>
        <w:t xml:space="preserve"> Indeed, for organisations with more than 500 employees the senior manager spent an average of 14 hours per week on individual conflicts. </w:t>
      </w:r>
      <w:r w:rsidR="001B37B3">
        <w:rPr>
          <w:rFonts w:cstheme="majorBidi"/>
          <w:sz w:val="24"/>
          <w:szCs w:val="24"/>
        </w:rPr>
        <w:t xml:space="preserve">In summary our evidence suggests that conflict is widespread and costly to resolve and this has clear implications for organisational productivity. </w:t>
      </w:r>
      <w:r w:rsidR="00C55CC5">
        <w:rPr>
          <w:rFonts w:cstheme="majorBidi"/>
          <w:sz w:val="24"/>
          <w:szCs w:val="24"/>
        </w:rPr>
        <w:t xml:space="preserve"> </w:t>
      </w:r>
    </w:p>
    <w:p w:rsidR="00E3723C" w:rsidRDefault="00E3723C" w:rsidP="00AD0ED0">
      <w:pPr>
        <w:tabs>
          <w:tab w:val="left" w:pos="709"/>
        </w:tabs>
        <w:spacing w:after="0"/>
        <w:rPr>
          <w:rFonts w:cstheme="majorBidi"/>
          <w:sz w:val="24"/>
          <w:szCs w:val="24"/>
        </w:rPr>
      </w:pPr>
    </w:p>
    <w:p w:rsidR="00D65255" w:rsidRDefault="00D65255" w:rsidP="00AD0ED0">
      <w:pPr>
        <w:tabs>
          <w:tab w:val="left" w:pos="709"/>
        </w:tabs>
        <w:spacing w:after="0"/>
        <w:rPr>
          <w:rFonts w:cstheme="majorBidi"/>
          <w:sz w:val="24"/>
          <w:szCs w:val="24"/>
        </w:rPr>
      </w:pPr>
    </w:p>
    <w:p w:rsidR="003600FD" w:rsidRPr="003C57DD" w:rsidRDefault="00AD0ED0" w:rsidP="003127C8">
      <w:pPr>
        <w:spacing w:after="120" w:line="360" w:lineRule="auto"/>
        <w:rPr>
          <w:rFonts w:cstheme="majorBidi"/>
          <w:b/>
          <w:bCs/>
          <w:sz w:val="24"/>
          <w:szCs w:val="24"/>
          <w:lang w:val="en-US"/>
        </w:rPr>
      </w:pPr>
      <w:r>
        <w:rPr>
          <w:rFonts w:cstheme="majorBidi"/>
          <w:b/>
          <w:bCs/>
          <w:sz w:val="24"/>
          <w:szCs w:val="24"/>
          <w:lang w:val="en-US"/>
        </w:rPr>
        <w:t>Chart</w:t>
      </w:r>
      <w:r w:rsidR="00930D28" w:rsidRPr="003C57DD">
        <w:rPr>
          <w:rFonts w:cstheme="majorBidi"/>
          <w:b/>
          <w:bCs/>
          <w:sz w:val="24"/>
          <w:szCs w:val="24"/>
          <w:lang w:val="en-US"/>
        </w:rPr>
        <w:t xml:space="preserve"> </w:t>
      </w:r>
      <w:r w:rsidR="003127C8">
        <w:rPr>
          <w:rFonts w:cstheme="majorBidi"/>
          <w:b/>
          <w:bCs/>
          <w:sz w:val="24"/>
          <w:szCs w:val="24"/>
          <w:lang w:val="en-US"/>
        </w:rPr>
        <w:t>2</w:t>
      </w:r>
      <w:r w:rsidR="00837EAE">
        <w:rPr>
          <w:rFonts w:cstheme="majorBidi"/>
          <w:b/>
          <w:bCs/>
          <w:sz w:val="24"/>
          <w:szCs w:val="24"/>
          <w:lang w:val="en-US"/>
        </w:rPr>
        <w:t>:</w:t>
      </w:r>
      <w:r w:rsidR="003127C8">
        <w:rPr>
          <w:rFonts w:cstheme="majorBidi"/>
          <w:b/>
          <w:bCs/>
          <w:sz w:val="24"/>
          <w:szCs w:val="24"/>
          <w:lang w:val="en-US"/>
        </w:rPr>
        <w:t xml:space="preserve"> </w:t>
      </w:r>
      <w:r w:rsidR="00930D28" w:rsidRPr="003C57DD">
        <w:rPr>
          <w:rFonts w:cstheme="majorBidi"/>
          <w:b/>
          <w:bCs/>
          <w:sz w:val="24"/>
          <w:szCs w:val="24"/>
          <w:lang w:val="en-US"/>
        </w:rPr>
        <w:t xml:space="preserve">  </w:t>
      </w:r>
      <w:r w:rsidR="003C57DD">
        <w:rPr>
          <w:rFonts w:cstheme="majorBidi"/>
          <w:b/>
          <w:bCs/>
          <w:sz w:val="24"/>
          <w:szCs w:val="24"/>
          <w:lang w:val="en-US"/>
        </w:rPr>
        <w:t xml:space="preserve"> </w:t>
      </w:r>
      <w:r w:rsidR="00930D28" w:rsidRPr="003C57DD">
        <w:rPr>
          <w:rFonts w:cstheme="majorBidi"/>
          <w:b/>
          <w:bCs/>
          <w:sz w:val="24"/>
          <w:szCs w:val="24"/>
          <w:lang w:val="en-US"/>
        </w:rPr>
        <w:t xml:space="preserve">Types of individual disputes </w:t>
      </w:r>
      <w:r w:rsidR="003622D8" w:rsidRPr="003C57DD">
        <w:rPr>
          <w:rFonts w:cstheme="majorBidi"/>
          <w:b/>
          <w:bCs/>
          <w:sz w:val="24"/>
          <w:szCs w:val="24"/>
          <w:lang w:val="en-US"/>
        </w:rPr>
        <w:t>occurring</w:t>
      </w:r>
      <w:r w:rsidR="00930D28" w:rsidRPr="003C57DD">
        <w:rPr>
          <w:rFonts w:cstheme="majorBidi"/>
          <w:b/>
          <w:bCs/>
          <w:sz w:val="24"/>
          <w:szCs w:val="24"/>
          <w:lang w:val="en-US"/>
        </w:rPr>
        <w:t xml:space="preserve"> in the past 12 months</w:t>
      </w:r>
    </w:p>
    <w:p w:rsidR="003600FD" w:rsidRPr="00C60203" w:rsidRDefault="00556EE9" w:rsidP="00930D28">
      <w:pPr>
        <w:spacing w:after="120" w:line="360" w:lineRule="auto"/>
        <w:rPr>
          <w:rFonts w:cstheme="majorBidi"/>
          <w:sz w:val="16"/>
          <w:szCs w:val="16"/>
          <w:lang w:eastAsia="en-US"/>
        </w:rPr>
      </w:pPr>
      <w:r>
        <w:rPr>
          <w:noProof/>
          <w:lang w:eastAsia="en-AU"/>
        </w:rPr>
        <w:drawing>
          <wp:inline distT="0" distB="0" distL="0" distR="0" wp14:anchorId="349BEE37" wp14:editId="5D0E861A">
            <wp:extent cx="0" cy="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11911" w:rsidRPr="006E022F">
        <w:rPr>
          <w:rFonts w:cstheme="majorBidi"/>
          <w:sz w:val="16"/>
          <w:szCs w:val="16"/>
          <w:lang w:eastAsia="en-US"/>
        </w:rPr>
        <w:t xml:space="preserve"> </w:t>
      </w:r>
      <w:r w:rsidR="006E022F" w:rsidRPr="006E022F">
        <w:rPr>
          <w:rFonts w:cstheme="majorBidi"/>
          <w:noProof/>
          <w:sz w:val="16"/>
          <w:szCs w:val="16"/>
          <w:lang w:eastAsia="en-AU"/>
        </w:rPr>
        <w:drawing>
          <wp:inline distT="0" distB="0" distL="0" distR="0" wp14:anchorId="5D7D6D1F" wp14:editId="22F20C3A">
            <wp:extent cx="5829300" cy="3094990"/>
            <wp:effectExtent l="0" t="0" r="12700" b="292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00FD" w:rsidRDefault="00811911" w:rsidP="001F296D">
      <w:pPr>
        <w:spacing w:after="120" w:line="360" w:lineRule="auto"/>
        <w:rPr>
          <w:rFonts w:cstheme="majorBidi"/>
          <w:sz w:val="16"/>
          <w:szCs w:val="16"/>
          <w:lang w:eastAsia="en-US"/>
        </w:rPr>
      </w:pPr>
      <w:r w:rsidRPr="00C60203">
        <w:rPr>
          <w:rFonts w:cstheme="majorBidi"/>
          <w:i/>
          <w:iCs/>
          <w:sz w:val="16"/>
          <w:szCs w:val="16"/>
          <w:lang w:eastAsia="en-US"/>
        </w:rPr>
        <w:t>Note:</w:t>
      </w:r>
      <w:r w:rsidRPr="00C60203">
        <w:rPr>
          <w:rFonts w:cstheme="majorBidi"/>
          <w:sz w:val="16"/>
          <w:szCs w:val="16"/>
          <w:lang w:eastAsia="en-US"/>
        </w:rPr>
        <w:t xml:space="preserve"> respondents could select multiple response options</w:t>
      </w:r>
    </w:p>
    <w:p w:rsidR="00B770A8" w:rsidRDefault="00B770A8" w:rsidP="00B770A8">
      <w:pPr>
        <w:pStyle w:val="ListParagraph"/>
        <w:spacing w:after="120" w:line="360" w:lineRule="auto"/>
        <w:ind w:left="709"/>
        <w:rPr>
          <w:rFonts w:cstheme="majorBidi"/>
          <w:sz w:val="24"/>
          <w:szCs w:val="24"/>
        </w:rPr>
      </w:pPr>
    </w:p>
    <w:p w:rsidR="00363918" w:rsidRPr="003E77EB" w:rsidRDefault="00B770A8" w:rsidP="00675F56">
      <w:pPr>
        <w:pStyle w:val="ListParagraph"/>
        <w:numPr>
          <w:ilvl w:val="1"/>
          <w:numId w:val="27"/>
        </w:numPr>
        <w:tabs>
          <w:tab w:val="left" w:pos="709"/>
        </w:tabs>
        <w:spacing w:after="0" w:line="360" w:lineRule="auto"/>
        <w:ind w:left="709" w:hanging="709"/>
        <w:jc w:val="both"/>
        <w:rPr>
          <w:rFonts w:cstheme="majorBidi"/>
          <w:b/>
          <w:sz w:val="24"/>
          <w:szCs w:val="24"/>
        </w:rPr>
      </w:pPr>
      <w:r>
        <w:rPr>
          <w:rFonts w:cstheme="majorBidi"/>
          <w:sz w:val="24"/>
          <w:szCs w:val="24"/>
        </w:rPr>
        <w:t xml:space="preserve">In view of the interest and importance of building co-operation at workplace level, it is notable that </w:t>
      </w:r>
      <w:r w:rsidR="00AD0ED0">
        <w:rPr>
          <w:rFonts w:cstheme="majorBidi"/>
          <w:sz w:val="24"/>
          <w:szCs w:val="24"/>
        </w:rPr>
        <w:t xml:space="preserve">employers found that </w:t>
      </w:r>
      <w:r w:rsidR="00AD0ED0" w:rsidRPr="00090549">
        <w:rPr>
          <w:rFonts w:cstheme="majorBidi"/>
          <w:sz w:val="24"/>
          <w:szCs w:val="24"/>
        </w:rPr>
        <w:t xml:space="preserve">discussions between internal parties </w:t>
      </w:r>
      <w:r w:rsidR="00AD0ED0">
        <w:rPr>
          <w:rFonts w:cstheme="majorBidi"/>
          <w:sz w:val="24"/>
          <w:szCs w:val="24"/>
        </w:rPr>
        <w:t xml:space="preserve">were the </w:t>
      </w:r>
      <w:r w:rsidR="00D81C35">
        <w:rPr>
          <w:rFonts w:cstheme="majorBidi"/>
          <w:sz w:val="24"/>
          <w:szCs w:val="24"/>
        </w:rPr>
        <w:t xml:space="preserve">most </w:t>
      </w:r>
      <w:r w:rsidR="00AD0ED0">
        <w:rPr>
          <w:rFonts w:cstheme="majorBidi"/>
          <w:sz w:val="24"/>
          <w:szCs w:val="24"/>
        </w:rPr>
        <w:t xml:space="preserve">common approach </w:t>
      </w:r>
      <w:r w:rsidR="00AD0ED0" w:rsidRPr="00090549">
        <w:rPr>
          <w:rFonts w:cstheme="majorBidi"/>
          <w:sz w:val="24"/>
          <w:szCs w:val="24"/>
        </w:rPr>
        <w:t>to resolv</w:t>
      </w:r>
      <w:r w:rsidR="00D81C35">
        <w:rPr>
          <w:rFonts w:cstheme="majorBidi"/>
          <w:sz w:val="24"/>
          <w:szCs w:val="24"/>
        </w:rPr>
        <w:t>ing</w:t>
      </w:r>
      <w:r w:rsidR="00AD0ED0" w:rsidRPr="00090549">
        <w:rPr>
          <w:rFonts w:cstheme="majorBidi"/>
          <w:sz w:val="24"/>
          <w:szCs w:val="24"/>
        </w:rPr>
        <w:t xml:space="preserve"> individual disputes</w:t>
      </w:r>
      <w:r w:rsidR="00D81C35">
        <w:rPr>
          <w:rFonts w:cstheme="majorBidi"/>
          <w:sz w:val="24"/>
          <w:szCs w:val="24"/>
        </w:rPr>
        <w:t xml:space="preserve"> and were</w:t>
      </w:r>
      <w:r w:rsidR="00AD0ED0">
        <w:rPr>
          <w:rFonts w:cstheme="majorBidi"/>
          <w:sz w:val="24"/>
          <w:szCs w:val="24"/>
        </w:rPr>
        <w:t xml:space="preserve"> considered to be </w:t>
      </w:r>
      <w:r w:rsidR="00AD0ED0" w:rsidRPr="00090549">
        <w:rPr>
          <w:rFonts w:cstheme="majorBidi"/>
          <w:sz w:val="24"/>
          <w:szCs w:val="24"/>
        </w:rPr>
        <w:t xml:space="preserve">the most effective </w:t>
      </w:r>
      <w:r w:rsidR="00D81C35">
        <w:rPr>
          <w:rFonts w:cstheme="majorBidi"/>
          <w:sz w:val="24"/>
          <w:szCs w:val="24"/>
        </w:rPr>
        <w:t>of the</w:t>
      </w:r>
      <w:r w:rsidR="00AD0ED0" w:rsidRPr="00090549">
        <w:rPr>
          <w:rFonts w:cstheme="majorBidi"/>
          <w:sz w:val="24"/>
          <w:szCs w:val="24"/>
        </w:rPr>
        <w:t xml:space="preserve"> approach</w:t>
      </w:r>
      <w:r w:rsidR="00D81C35">
        <w:rPr>
          <w:rFonts w:cstheme="majorBidi"/>
          <w:sz w:val="24"/>
          <w:szCs w:val="24"/>
        </w:rPr>
        <w:t>es</w:t>
      </w:r>
      <w:r w:rsidR="00AD0ED0" w:rsidRPr="00090549">
        <w:rPr>
          <w:rFonts w:cstheme="majorBidi"/>
          <w:sz w:val="24"/>
          <w:szCs w:val="24"/>
        </w:rPr>
        <w:t xml:space="preserve">. </w:t>
      </w:r>
      <w:r>
        <w:rPr>
          <w:rFonts w:cstheme="majorBidi"/>
          <w:sz w:val="24"/>
          <w:szCs w:val="24"/>
        </w:rPr>
        <w:t>As would be expected, o</w:t>
      </w:r>
      <w:r w:rsidR="00AD0ED0" w:rsidRPr="00090549">
        <w:rPr>
          <w:rFonts w:cstheme="majorBidi"/>
          <w:sz w:val="24"/>
          <w:szCs w:val="24"/>
        </w:rPr>
        <w:t xml:space="preserve">rganisations involve external or third parties in individual dispute resolution to a lesser extent. </w:t>
      </w:r>
      <w:r>
        <w:rPr>
          <w:rFonts w:cstheme="majorBidi"/>
          <w:sz w:val="24"/>
          <w:szCs w:val="24"/>
        </w:rPr>
        <w:t xml:space="preserve">Industrial tribunals including the Fair Work Commission </w:t>
      </w:r>
      <w:r w:rsidR="00AD0ED0" w:rsidRPr="00090549">
        <w:rPr>
          <w:rFonts w:cstheme="majorBidi"/>
          <w:sz w:val="24"/>
          <w:szCs w:val="24"/>
        </w:rPr>
        <w:t>were used in just over a quarter of cases to resolve individual disputes</w:t>
      </w:r>
      <w:r>
        <w:rPr>
          <w:rFonts w:cstheme="majorBidi"/>
          <w:sz w:val="24"/>
          <w:szCs w:val="24"/>
        </w:rPr>
        <w:t>; see C</w:t>
      </w:r>
      <w:r w:rsidR="003127C8">
        <w:rPr>
          <w:rFonts w:cstheme="majorBidi"/>
          <w:sz w:val="24"/>
          <w:szCs w:val="24"/>
        </w:rPr>
        <w:t>hart 3.</w:t>
      </w:r>
      <w:r w:rsidR="00E3723C">
        <w:rPr>
          <w:rFonts w:cstheme="majorBidi"/>
          <w:sz w:val="24"/>
          <w:szCs w:val="24"/>
        </w:rPr>
        <w:t xml:space="preserve"> But this does not mean that disputes are always resolved. Turning to the employee survey</w:t>
      </w:r>
      <w:r w:rsidR="00D81C35">
        <w:rPr>
          <w:rFonts w:cstheme="majorBidi"/>
          <w:sz w:val="24"/>
          <w:szCs w:val="24"/>
        </w:rPr>
        <w:t>, o</w:t>
      </w:r>
      <w:r w:rsidR="00E3723C" w:rsidRPr="0036168A">
        <w:rPr>
          <w:rFonts w:cstheme="majorBidi"/>
          <w:sz w:val="24"/>
          <w:szCs w:val="24"/>
        </w:rPr>
        <w:t xml:space="preserve">f the 40% who </w:t>
      </w:r>
      <w:r w:rsidR="00D81C35">
        <w:rPr>
          <w:rFonts w:cstheme="majorBidi"/>
          <w:sz w:val="24"/>
          <w:szCs w:val="24"/>
        </w:rPr>
        <w:t>reported</w:t>
      </w:r>
      <w:r w:rsidR="00E3723C">
        <w:rPr>
          <w:rFonts w:cstheme="majorBidi"/>
          <w:sz w:val="24"/>
          <w:szCs w:val="24"/>
        </w:rPr>
        <w:t xml:space="preserve"> that they had </w:t>
      </w:r>
      <w:r w:rsidR="00E3723C" w:rsidRPr="0036168A">
        <w:rPr>
          <w:rFonts w:cstheme="majorBidi"/>
          <w:sz w:val="24"/>
          <w:szCs w:val="24"/>
        </w:rPr>
        <w:t>experienced conflict at work in the last 12 months, only 21% reported</w:t>
      </w:r>
      <w:r w:rsidR="00675F56">
        <w:rPr>
          <w:rFonts w:cstheme="majorBidi"/>
          <w:sz w:val="24"/>
          <w:szCs w:val="24"/>
        </w:rPr>
        <w:t xml:space="preserve"> that</w:t>
      </w:r>
      <w:r w:rsidR="00E3723C" w:rsidRPr="0036168A">
        <w:rPr>
          <w:rFonts w:cstheme="majorBidi"/>
          <w:sz w:val="24"/>
          <w:szCs w:val="24"/>
        </w:rPr>
        <w:t xml:space="preserve"> the conflict was fully resolved</w:t>
      </w:r>
      <w:r w:rsidR="00E3723C">
        <w:rPr>
          <w:rFonts w:cstheme="majorBidi"/>
          <w:sz w:val="24"/>
          <w:szCs w:val="24"/>
        </w:rPr>
        <w:t xml:space="preserve"> and almost half </w:t>
      </w:r>
      <w:r w:rsidR="00E3723C" w:rsidRPr="0036168A">
        <w:rPr>
          <w:rFonts w:cstheme="majorBidi"/>
          <w:sz w:val="24"/>
          <w:szCs w:val="24"/>
        </w:rPr>
        <w:t xml:space="preserve">reported </w:t>
      </w:r>
      <w:r w:rsidR="00E3723C">
        <w:rPr>
          <w:rFonts w:cstheme="majorBidi"/>
          <w:sz w:val="24"/>
          <w:szCs w:val="24"/>
        </w:rPr>
        <w:t xml:space="preserve">partial resolution. </w:t>
      </w:r>
    </w:p>
    <w:p w:rsidR="00930D28" w:rsidRPr="00C60203" w:rsidRDefault="00E41D29" w:rsidP="003127C8">
      <w:pPr>
        <w:spacing w:after="120" w:line="360" w:lineRule="auto"/>
        <w:rPr>
          <w:rFonts w:cstheme="majorBidi"/>
          <w:sz w:val="24"/>
          <w:szCs w:val="24"/>
        </w:rPr>
      </w:pPr>
      <w:r>
        <w:rPr>
          <w:rFonts w:cstheme="majorBidi"/>
          <w:b/>
          <w:bCs/>
          <w:sz w:val="24"/>
          <w:szCs w:val="24"/>
          <w:lang w:val="en-US"/>
        </w:rPr>
        <w:lastRenderedPageBreak/>
        <w:t>Chart</w:t>
      </w:r>
      <w:r w:rsidR="003C57DD">
        <w:rPr>
          <w:rFonts w:cstheme="majorBidi"/>
          <w:b/>
          <w:bCs/>
          <w:sz w:val="24"/>
          <w:szCs w:val="24"/>
          <w:lang w:val="en-US"/>
        </w:rPr>
        <w:t xml:space="preserve"> </w:t>
      </w:r>
      <w:r w:rsidR="003127C8">
        <w:rPr>
          <w:rFonts w:cstheme="majorBidi"/>
          <w:b/>
          <w:bCs/>
          <w:sz w:val="24"/>
          <w:szCs w:val="24"/>
          <w:lang w:val="en-US"/>
        </w:rPr>
        <w:t>3</w:t>
      </w:r>
      <w:r w:rsidR="00635E87">
        <w:rPr>
          <w:rFonts w:cstheme="majorBidi"/>
          <w:b/>
          <w:bCs/>
          <w:sz w:val="24"/>
          <w:szCs w:val="24"/>
          <w:lang w:val="en-US"/>
        </w:rPr>
        <w:t>:</w:t>
      </w:r>
      <w:r w:rsidR="003C57DD">
        <w:rPr>
          <w:rFonts w:cstheme="majorBidi"/>
          <w:b/>
          <w:bCs/>
          <w:sz w:val="24"/>
          <w:szCs w:val="24"/>
          <w:lang w:val="en-US"/>
        </w:rPr>
        <w:t xml:space="preserve">   </w:t>
      </w:r>
      <w:r w:rsidR="00930D28" w:rsidRPr="00930D28">
        <w:rPr>
          <w:rFonts w:cstheme="majorBidi"/>
          <w:b/>
          <w:bCs/>
          <w:sz w:val="24"/>
          <w:szCs w:val="24"/>
          <w:lang w:val="en-US"/>
        </w:rPr>
        <w:t xml:space="preserve">Parties </w:t>
      </w:r>
      <w:r w:rsidR="00090549">
        <w:rPr>
          <w:rFonts w:cstheme="majorBidi"/>
          <w:b/>
          <w:bCs/>
          <w:sz w:val="24"/>
          <w:szCs w:val="24"/>
          <w:lang w:val="en-US"/>
        </w:rPr>
        <w:t>i</w:t>
      </w:r>
      <w:r w:rsidR="00930D28" w:rsidRPr="00930D28">
        <w:rPr>
          <w:rFonts w:cstheme="majorBidi"/>
          <w:b/>
          <w:bCs/>
          <w:sz w:val="24"/>
          <w:szCs w:val="24"/>
          <w:lang w:val="en-US"/>
        </w:rPr>
        <w:t>nvolved in resolving individual disputes in the past 12 months</w:t>
      </w:r>
    </w:p>
    <w:p w:rsidR="003600FD" w:rsidRPr="00C60203" w:rsidRDefault="00930D28" w:rsidP="001F296D">
      <w:pPr>
        <w:spacing w:after="120" w:line="360" w:lineRule="auto"/>
        <w:rPr>
          <w:rFonts w:cstheme="majorBidi"/>
          <w:noProof/>
          <w:sz w:val="24"/>
          <w:szCs w:val="24"/>
          <w:lang w:eastAsia="en-AU"/>
        </w:rPr>
      </w:pPr>
      <w:r>
        <w:rPr>
          <w:noProof/>
          <w:lang w:eastAsia="en-AU"/>
        </w:rPr>
        <w:drawing>
          <wp:inline distT="0" distB="0" distL="0" distR="0" wp14:anchorId="2F294199" wp14:editId="3B71F2EF">
            <wp:extent cx="5636623" cy="2846796"/>
            <wp:effectExtent l="0" t="0" r="27940" b="234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600FD" w:rsidRPr="00C60203" w:rsidRDefault="003600FD" w:rsidP="001F296D">
      <w:pPr>
        <w:spacing w:after="0" w:line="360" w:lineRule="auto"/>
        <w:jc w:val="both"/>
        <w:rPr>
          <w:rFonts w:cstheme="majorBidi"/>
          <w:sz w:val="16"/>
          <w:szCs w:val="16"/>
          <w:lang w:eastAsia="en-US"/>
        </w:rPr>
      </w:pPr>
      <w:r w:rsidRPr="00C60203">
        <w:rPr>
          <w:rFonts w:cstheme="majorBidi"/>
          <w:i/>
          <w:iCs/>
          <w:sz w:val="16"/>
          <w:szCs w:val="16"/>
          <w:lang w:eastAsia="en-US"/>
        </w:rPr>
        <w:t>Note:</w:t>
      </w:r>
      <w:r w:rsidRPr="00C60203">
        <w:rPr>
          <w:rFonts w:cstheme="majorBidi"/>
          <w:sz w:val="16"/>
          <w:szCs w:val="16"/>
          <w:lang w:eastAsia="en-US"/>
        </w:rPr>
        <w:t xml:space="preserve"> respondents could select multiple response options</w:t>
      </w:r>
    </w:p>
    <w:p w:rsidR="003600FD" w:rsidRDefault="003600FD" w:rsidP="001F296D">
      <w:pPr>
        <w:spacing w:after="0" w:line="360" w:lineRule="auto"/>
        <w:jc w:val="both"/>
        <w:rPr>
          <w:rFonts w:cstheme="majorBidi"/>
          <w:lang w:eastAsia="en-US"/>
        </w:rPr>
      </w:pPr>
    </w:p>
    <w:p w:rsidR="00E3723C" w:rsidRDefault="00E3723C" w:rsidP="00675F56">
      <w:pPr>
        <w:pStyle w:val="ListParagraph"/>
        <w:numPr>
          <w:ilvl w:val="1"/>
          <w:numId w:val="27"/>
        </w:numPr>
        <w:spacing w:after="0" w:line="360" w:lineRule="auto"/>
        <w:ind w:left="709" w:hanging="709"/>
        <w:rPr>
          <w:rFonts w:cstheme="majorBidi"/>
          <w:sz w:val="24"/>
          <w:szCs w:val="24"/>
          <w:lang w:eastAsia="en-US"/>
        </w:rPr>
      </w:pPr>
      <w:r>
        <w:rPr>
          <w:rFonts w:cstheme="majorBidi"/>
          <w:sz w:val="24"/>
          <w:szCs w:val="24"/>
        </w:rPr>
        <w:t xml:space="preserve">As shown in </w:t>
      </w:r>
      <w:r w:rsidRPr="00334ED8">
        <w:rPr>
          <w:rFonts w:cstheme="majorBidi"/>
          <w:sz w:val="24"/>
          <w:szCs w:val="24"/>
        </w:rPr>
        <w:t xml:space="preserve">Chart </w:t>
      </w:r>
      <w:r>
        <w:rPr>
          <w:rFonts w:cstheme="majorBidi"/>
          <w:sz w:val="24"/>
          <w:szCs w:val="24"/>
        </w:rPr>
        <w:t>4</w:t>
      </w:r>
      <w:r w:rsidRPr="00334ED8">
        <w:rPr>
          <w:rFonts w:cstheme="majorBidi"/>
          <w:sz w:val="24"/>
          <w:szCs w:val="24"/>
        </w:rPr>
        <w:t>,</w:t>
      </w:r>
      <w:r>
        <w:rPr>
          <w:rFonts w:cstheme="majorBidi"/>
          <w:sz w:val="24"/>
          <w:szCs w:val="24"/>
        </w:rPr>
        <w:t xml:space="preserve"> e</w:t>
      </w:r>
      <w:r w:rsidRPr="0036168A">
        <w:rPr>
          <w:rFonts w:cstheme="majorBidi"/>
          <w:sz w:val="24"/>
          <w:szCs w:val="24"/>
        </w:rPr>
        <w:t>mployees who experienced conflict at work in the last 12 months reported lower levels of job satisfaction, fairness at work, trust in senior management,</w:t>
      </w:r>
      <w:r w:rsidR="00675F56">
        <w:rPr>
          <w:rFonts w:cstheme="majorBidi"/>
          <w:sz w:val="24"/>
          <w:szCs w:val="24"/>
        </w:rPr>
        <w:t xml:space="preserve"> and</w:t>
      </w:r>
      <w:r w:rsidRPr="0036168A">
        <w:rPr>
          <w:rFonts w:cstheme="majorBidi"/>
          <w:sz w:val="24"/>
          <w:szCs w:val="24"/>
        </w:rPr>
        <w:t xml:space="preserve"> trust in their immediate supervisor compared to those who reported they had not experienced conflict at work. Employees who experienced conflict at work in the last 12 months </w:t>
      </w:r>
      <w:r>
        <w:rPr>
          <w:rFonts w:cstheme="majorBidi"/>
          <w:sz w:val="24"/>
          <w:szCs w:val="24"/>
        </w:rPr>
        <w:t xml:space="preserve">also </w:t>
      </w:r>
      <w:r w:rsidRPr="0036168A">
        <w:rPr>
          <w:rFonts w:cstheme="majorBidi"/>
          <w:sz w:val="24"/>
          <w:szCs w:val="24"/>
        </w:rPr>
        <w:t>reported higher levels intention to quit when compared to those who had not experienced conflict at work.</w:t>
      </w:r>
      <w:r>
        <w:rPr>
          <w:rFonts w:cstheme="majorBidi"/>
          <w:sz w:val="24"/>
          <w:szCs w:val="24"/>
        </w:rPr>
        <w:t xml:space="preserve"> Two immediate conclusions are suggested by these findings: firs</w:t>
      </w:r>
      <w:r w:rsidR="00675F56">
        <w:rPr>
          <w:rFonts w:cstheme="majorBidi"/>
          <w:sz w:val="24"/>
          <w:szCs w:val="24"/>
        </w:rPr>
        <w:t>t that organisations in general</w:t>
      </w:r>
      <w:r>
        <w:rPr>
          <w:rFonts w:cstheme="majorBidi"/>
          <w:sz w:val="24"/>
          <w:szCs w:val="24"/>
        </w:rPr>
        <w:t xml:space="preserve"> are not effective in resolving conflicts and that the experience of conflict (even when it is reported as fully resolved) has detrimental consequences for key outcome variables associated with organisational performance; </w:t>
      </w:r>
      <w:r w:rsidR="00A665FC">
        <w:rPr>
          <w:rFonts w:cstheme="majorBidi"/>
          <w:sz w:val="24"/>
          <w:szCs w:val="24"/>
        </w:rPr>
        <w:t>e.g.</w:t>
      </w:r>
      <w:r>
        <w:rPr>
          <w:rFonts w:cstheme="majorBidi"/>
          <w:sz w:val="24"/>
          <w:szCs w:val="24"/>
        </w:rPr>
        <w:t xml:space="preserve"> trust and fairness. </w:t>
      </w:r>
    </w:p>
    <w:p w:rsidR="00D65255" w:rsidRDefault="00D65255" w:rsidP="00D65255">
      <w:pPr>
        <w:pStyle w:val="ListParagraph"/>
        <w:spacing w:after="0" w:line="360" w:lineRule="auto"/>
        <w:ind w:left="360"/>
        <w:rPr>
          <w:rFonts w:cstheme="majorBidi"/>
          <w:sz w:val="24"/>
          <w:szCs w:val="24"/>
        </w:rPr>
      </w:pPr>
    </w:p>
    <w:p w:rsidR="00D65255" w:rsidRDefault="00D65255" w:rsidP="00D65255">
      <w:pPr>
        <w:pStyle w:val="ListParagraph"/>
        <w:spacing w:after="0" w:line="360" w:lineRule="auto"/>
        <w:ind w:left="360"/>
        <w:rPr>
          <w:rFonts w:cstheme="majorBidi"/>
          <w:sz w:val="24"/>
          <w:szCs w:val="24"/>
        </w:rPr>
      </w:pPr>
    </w:p>
    <w:p w:rsidR="00D65255" w:rsidRDefault="00D65255" w:rsidP="00D65255">
      <w:pPr>
        <w:pStyle w:val="ListParagraph"/>
        <w:spacing w:after="0" w:line="360" w:lineRule="auto"/>
        <w:ind w:left="360"/>
        <w:rPr>
          <w:rFonts w:cstheme="majorBidi"/>
          <w:sz w:val="24"/>
          <w:szCs w:val="24"/>
        </w:rPr>
      </w:pPr>
    </w:p>
    <w:p w:rsidR="00D65255" w:rsidRDefault="00D65255" w:rsidP="00D65255">
      <w:pPr>
        <w:pStyle w:val="ListParagraph"/>
        <w:spacing w:after="0" w:line="360" w:lineRule="auto"/>
        <w:ind w:left="360"/>
        <w:rPr>
          <w:rFonts w:cstheme="majorBidi"/>
          <w:sz w:val="24"/>
          <w:szCs w:val="24"/>
        </w:rPr>
      </w:pPr>
    </w:p>
    <w:p w:rsidR="00D65255" w:rsidRDefault="00D65255" w:rsidP="00D65255">
      <w:pPr>
        <w:pStyle w:val="ListParagraph"/>
        <w:spacing w:after="0" w:line="360" w:lineRule="auto"/>
        <w:ind w:left="360"/>
        <w:rPr>
          <w:rFonts w:cstheme="majorBidi"/>
          <w:sz w:val="24"/>
          <w:szCs w:val="24"/>
        </w:rPr>
      </w:pPr>
    </w:p>
    <w:p w:rsidR="00D65255" w:rsidRDefault="00D65255" w:rsidP="00D65255">
      <w:pPr>
        <w:pStyle w:val="ListParagraph"/>
        <w:spacing w:after="0" w:line="360" w:lineRule="auto"/>
        <w:ind w:left="360"/>
        <w:rPr>
          <w:rFonts w:cstheme="majorBidi"/>
          <w:sz w:val="24"/>
          <w:szCs w:val="24"/>
          <w:lang w:eastAsia="en-US"/>
        </w:rPr>
      </w:pPr>
    </w:p>
    <w:p w:rsidR="00E3723C" w:rsidRPr="003622D8" w:rsidRDefault="00E3723C" w:rsidP="00E3723C">
      <w:pPr>
        <w:pStyle w:val="ListParagraph"/>
        <w:spacing w:after="0" w:line="360" w:lineRule="auto"/>
        <w:ind w:left="709"/>
        <w:rPr>
          <w:rFonts w:cstheme="majorBidi"/>
          <w:sz w:val="24"/>
          <w:szCs w:val="24"/>
          <w:lang w:eastAsia="en-US"/>
        </w:rPr>
      </w:pPr>
    </w:p>
    <w:p w:rsidR="0031674C" w:rsidRPr="00234C24" w:rsidRDefault="00E41D29" w:rsidP="008B3607">
      <w:pPr>
        <w:spacing w:after="0" w:line="240" w:lineRule="auto"/>
        <w:rPr>
          <w:rFonts w:cstheme="majorBidi"/>
          <w:b/>
          <w:bCs/>
          <w:sz w:val="24"/>
          <w:szCs w:val="24"/>
          <w:lang w:val="en-US"/>
        </w:rPr>
      </w:pPr>
      <w:r w:rsidRPr="00234C24">
        <w:rPr>
          <w:rFonts w:cstheme="majorBidi"/>
          <w:b/>
          <w:bCs/>
          <w:sz w:val="24"/>
          <w:szCs w:val="24"/>
          <w:lang w:val="en-US"/>
        </w:rPr>
        <w:lastRenderedPageBreak/>
        <w:t xml:space="preserve">Chart </w:t>
      </w:r>
      <w:r w:rsidR="003622D8" w:rsidRPr="00234C24">
        <w:rPr>
          <w:rFonts w:cstheme="majorBidi"/>
          <w:b/>
          <w:bCs/>
          <w:sz w:val="24"/>
          <w:szCs w:val="24"/>
          <w:lang w:val="en-US"/>
        </w:rPr>
        <w:t>4</w:t>
      </w:r>
      <w:r w:rsidR="00635E87">
        <w:rPr>
          <w:rFonts w:cstheme="majorBidi"/>
          <w:b/>
          <w:bCs/>
          <w:sz w:val="24"/>
          <w:szCs w:val="24"/>
          <w:lang w:val="en-US"/>
        </w:rPr>
        <w:t>:</w:t>
      </w:r>
      <w:r w:rsidRPr="00234C24">
        <w:rPr>
          <w:rFonts w:cstheme="majorBidi"/>
          <w:b/>
          <w:bCs/>
          <w:sz w:val="24"/>
          <w:szCs w:val="24"/>
          <w:lang w:val="en-US"/>
        </w:rPr>
        <w:t xml:space="preserve">  </w:t>
      </w:r>
      <w:r w:rsidR="003600FD" w:rsidRPr="00234C24">
        <w:rPr>
          <w:rFonts w:cstheme="majorBidi"/>
          <w:b/>
          <w:bCs/>
          <w:sz w:val="24"/>
          <w:szCs w:val="24"/>
          <w:lang w:val="en-US"/>
        </w:rPr>
        <w:t xml:space="preserve"> Mean scores on key work attitude</w:t>
      </w:r>
      <w:r w:rsidR="00F30163" w:rsidRPr="00234C24">
        <w:rPr>
          <w:rFonts w:cstheme="majorBidi"/>
          <w:b/>
          <w:bCs/>
          <w:sz w:val="24"/>
          <w:szCs w:val="24"/>
          <w:lang w:val="en-US"/>
        </w:rPr>
        <w:t>, employee well-being and behaviour</w:t>
      </w:r>
      <w:r w:rsidR="003600FD" w:rsidRPr="00234C24">
        <w:rPr>
          <w:rFonts w:cstheme="majorBidi"/>
          <w:b/>
          <w:bCs/>
          <w:sz w:val="24"/>
          <w:szCs w:val="24"/>
          <w:lang w:val="en-US"/>
        </w:rPr>
        <w:t xml:space="preserve"> indicators – resp</w:t>
      </w:r>
      <w:r w:rsidR="00095158" w:rsidRPr="00234C24">
        <w:rPr>
          <w:rFonts w:cstheme="majorBidi"/>
          <w:b/>
          <w:bCs/>
          <w:sz w:val="24"/>
          <w:szCs w:val="24"/>
          <w:lang w:val="en-US"/>
        </w:rPr>
        <w:t>ondents experiencing conflict versus</w:t>
      </w:r>
      <w:r w:rsidR="003600FD" w:rsidRPr="00234C24">
        <w:rPr>
          <w:rFonts w:cstheme="majorBidi"/>
          <w:b/>
          <w:bCs/>
          <w:sz w:val="24"/>
          <w:szCs w:val="24"/>
          <w:lang w:val="en-US"/>
        </w:rPr>
        <w:t xml:space="preserve"> not experiencing conflict</w:t>
      </w:r>
      <w:r w:rsidR="004A2AE6" w:rsidRPr="00234C24">
        <w:rPr>
          <w:rFonts w:cstheme="majorBidi"/>
          <w:b/>
          <w:bCs/>
          <w:sz w:val="24"/>
          <w:szCs w:val="24"/>
          <w:lang w:val="en-US"/>
        </w:rPr>
        <w:t xml:space="preserve"> </w:t>
      </w:r>
    </w:p>
    <w:p w:rsidR="003600FD" w:rsidRDefault="003600FD" w:rsidP="0031674C">
      <w:pPr>
        <w:spacing w:after="0" w:line="360" w:lineRule="auto"/>
        <w:rPr>
          <w:rFonts w:cstheme="majorBidi"/>
          <w:b/>
        </w:rPr>
      </w:pPr>
    </w:p>
    <w:p w:rsidR="0031674C" w:rsidRPr="00C60203" w:rsidRDefault="0031674C" w:rsidP="00E41D29">
      <w:pPr>
        <w:spacing w:after="0" w:line="360" w:lineRule="auto"/>
        <w:rPr>
          <w:rFonts w:cstheme="majorBidi"/>
          <w:b/>
        </w:rPr>
      </w:pPr>
      <w:r>
        <w:rPr>
          <w:noProof/>
          <w:lang w:eastAsia="en-AU"/>
        </w:rPr>
        <w:drawing>
          <wp:inline distT="0" distB="0" distL="0" distR="0" wp14:anchorId="75ACB960" wp14:editId="65852721">
            <wp:extent cx="5943600" cy="4037330"/>
            <wp:effectExtent l="0" t="0" r="25400" b="266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E753E" w:rsidRPr="00CF71DB" w:rsidRDefault="008B3607" w:rsidP="004A2AE6">
      <w:pPr>
        <w:spacing w:after="0" w:line="240" w:lineRule="auto"/>
        <w:rPr>
          <w:rFonts w:cstheme="majorBidi"/>
          <w:bCs/>
          <w:lang w:eastAsia="en-US"/>
        </w:rPr>
      </w:pPr>
      <w:r w:rsidRPr="004A2AE6">
        <w:rPr>
          <w:rFonts w:cstheme="majorBidi"/>
          <w:bCs/>
        </w:rPr>
        <w:t xml:space="preserve">Mean scores as reported by respondents (1=Strongly disagree to 5=Strongly agree). </w:t>
      </w:r>
      <w:r w:rsidR="003600FD" w:rsidRPr="00CF71DB">
        <w:rPr>
          <w:rFonts w:cstheme="majorBidi"/>
          <w:bCs/>
          <w:lang w:eastAsia="en-US"/>
        </w:rPr>
        <w:t>All differences are statis</w:t>
      </w:r>
      <w:r w:rsidR="003E753E" w:rsidRPr="00CF71DB">
        <w:rPr>
          <w:rFonts w:cstheme="majorBidi"/>
          <w:bCs/>
          <w:lang w:eastAsia="en-US"/>
        </w:rPr>
        <w:t>tically significant at p &lt; .05.</w:t>
      </w:r>
    </w:p>
    <w:p w:rsidR="003E753E" w:rsidRDefault="003E753E" w:rsidP="003E753E">
      <w:pPr>
        <w:spacing w:after="0" w:line="360" w:lineRule="auto"/>
        <w:jc w:val="both"/>
        <w:rPr>
          <w:rFonts w:cstheme="majorBidi"/>
          <w:b/>
          <w:bCs/>
          <w:sz w:val="24"/>
          <w:szCs w:val="24"/>
        </w:rPr>
      </w:pPr>
    </w:p>
    <w:p w:rsidR="00E3723C" w:rsidRDefault="00E3723C" w:rsidP="00675F56">
      <w:pPr>
        <w:pStyle w:val="ListParagraph"/>
        <w:numPr>
          <w:ilvl w:val="1"/>
          <w:numId w:val="27"/>
        </w:numPr>
        <w:spacing w:after="120" w:line="360" w:lineRule="auto"/>
        <w:ind w:left="709" w:hanging="709"/>
        <w:rPr>
          <w:rFonts w:cstheme="majorBidi"/>
          <w:sz w:val="24"/>
          <w:szCs w:val="24"/>
        </w:rPr>
      </w:pPr>
      <w:r>
        <w:rPr>
          <w:rFonts w:cstheme="majorBidi"/>
          <w:sz w:val="24"/>
          <w:szCs w:val="24"/>
        </w:rPr>
        <w:t xml:space="preserve">In terms of the framework-operations </w:t>
      </w:r>
      <w:r w:rsidR="00675F56">
        <w:rPr>
          <w:rFonts w:cstheme="majorBidi"/>
          <w:sz w:val="24"/>
          <w:szCs w:val="24"/>
        </w:rPr>
        <w:t>approach</w:t>
      </w:r>
      <w:r>
        <w:rPr>
          <w:rFonts w:cstheme="majorBidi"/>
          <w:sz w:val="24"/>
          <w:szCs w:val="24"/>
        </w:rPr>
        <w:t xml:space="preserve"> adopted in this submission, the prevalence of workplace conflict is both costly and has significant implications for employee well-being, but it is </w:t>
      </w:r>
      <w:r w:rsidR="00675F56">
        <w:rPr>
          <w:rFonts w:cstheme="majorBidi"/>
          <w:sz w:val="24"/>
          <w:szCs w:val="24"/>
        </w:rPr>
        <w:t>an issue w</w:t>
      </w:r>
      <w:r>
        <w:rPr>
          <w:rFonts w:cstheme="majorBidi"/>
          <w:sz w:val="24"/>
          <w:szCs w:val="24"/>
        </w:rPr>
        <w:t xml:space="preserve">hich ultimately has to be addressed by the workplace participants.  </w:t>
      </w:r>
      <w:r w:rsidR="00675F56">
        <w:rPr>
          <w:rFonts w:cstheme="majorBidi"/>
          <w:sz w:val="24"/>
          <w:szCs w:val="24"/>
        </w:rPr>
        <w:t xml:space="preserve">The </w:t>
      </w:r>
      <w:r>
        <w:rPr>
          <w:rFonts w:cstheme="majorBidi"/>
          <w:sz w:val="24"/>
          <w:szCs w:val="24"/>
        </w:rPr>
        <w:t xml:space="preserve">research suggests that much remains to be done at the workplace level, not so much in developing more or better dispute resolution procedures but in creating genuine opportunities for employees to exercise voice. For this to occur, among other things, much greater attention must be directed to training both managers and employees in effective dispute resolution. These are not things that can be readily mandated by legislation, but, as we have suggested in section 7, consideration should be given to whether legislation could foster the development of employee voice mechanisms such as joint consultation or works councils as found in many European countries.   </w:t>
      </w:r>
    </w:p>
    <w:p w:rsidR="00DB211E" w:rsidRDefault="00DB211E" w:rsidP="001B70C3">
      <w:pPr>
        <w:pStyle w:val="Heading1"/>
        <w:numPr>
          <w:ilvl w:val="0"/>
          <w:numId w:val="27"/>
        </w:numPr>
        <w:ind w:left="709" w:hanging="709"/>
      </w:pPr>
      <w:bookmarkStart w:id="9" w:name="_Toc414343778"/>
      <w:r w:rsidRPr="00D65255">
        <w:lastRenderedPageBreak/>
        <w:t>Conclusions and Recommendations</w:t>
      </w:r>
      <w:bookmarkEnd w:id="9"/>
      <w:r w:rsidRPr="00D65255">
        <w:t xml:space="preserve"> </w:t>
      </w:r>
    </w:p>
    <w:p w:rsidR="009D002D" w:rsidRDefault="009D002D" w:rsidP="009D002D">
      <w:pPr>
        <w:pStyle w:val="ListParagraph"/>
        <w:spacing w:after="0" w:line="360" w:lineRule="auto"/>
        <w:ind w:left="0"/>
        <w:jc w:val="both"/>
        <w:rPr>
          <w:b/>
          <w:sz w:val="28"/>
          <w:szCs w:val="28"/>
        </w:rPr>
      </w:pPr>
    </w:p>
    <w:p w:rsidR="009D002D" w:rsidRDefault="00241B39" w:rsidP="009D002D">
      <w:pPr>
        <w:pStyle w:val="ListParagraph"/>
        <w:numPr>
          <w:ilvl w:val="1"/>
          <w:numId w:val="34"/>
        </w:numPr>
        <w:spacing w:after="0" w:line="360" w:lineRule="auto"/>
        <w:ind w:left="709" w:hanging="709"/>
        <w:jc w:val="both"/>
        <w:rPr>
          <w:rFonts w:cstheme="majorBidi"/>
          <w:sz w:val="24"/>
          <w:szCs w:val="24"/>
        </w:rPr>
      </w:pPr>
      <w:r w:rsidRPr="00B26CA7">
        <w:rPr>
          <w:sz w:val="24"/>
          <w:szCs w:val="24"/>
        </w:rPr>
        <w:t>The terms of reference and the issues papers that the AGPC has released emphasise the need for evidence and argument to be presented to support proposals and recommendations advanced in submissions to the inquiry. Our submission addresses issues raised by the Productivity Commission to the extent that relevant research has been conducted by members of ACREW or is accessible to us</w:t>
      </w:r>
      <w:r w:rsidRPr="00B26CA7">
        <w:rPr>
          <w:rFonts w:cstheme="majorBidi"/>
          <w:sz w:val="24"/>
          <w:szCs w:val="24"/>
        </w:rPr>
        <w:t xml:space="preserve">.  </w:t>
      </w:r>
    </w:p>
    <w:p w:rsidR="009D002D" w:rsidRDefault="009D002D" w:rsidP="009D002D">
      <w:pPr>
        <w:pStyle w:val="ListParagraph"/>
        <w:spacing w:after="0" w:line="360" w:lineRule="auto"/>
        <w:ind w:left="709"/>
        <w:jc w:val="both"/>
        <w:rPr>
          <w:rFonts w:cstheme="majorBidi"/>
          <w:sz w:val="24"/>
          <w:szCs w:val="24"/>
        </w:rPr>
      </w:pPr>
    </w:p>
    <w:p w:rsidR="009D002D" w:rsidRPr="009D002D" w:rsidRDefault="00241B39" w:rsidP="009D002D">
      <w:pPr>
        <w:pStyle w:val="ListParagraph"/>
        <w:numPr>
          <w:ilvl w:val="1"/>
          <w:numId w:val="34"/>
        </w:numPr>
        <w:spacing w:after="0" w:line="360" w:lineRule="auto"/>
        <w:ind w:left="709" w:hanging="709"/>
        <w:jc w:val="both"/>
        <w:rPr>
          <w:rFonts w:cstheme="majorBidi"/>
          <w:sz w:val="24"/>
          <w:szCs w:val="24"/>
        </w:rPr>
      </w:pPr>
      <w:r w:rsidRPr="009D002D">
        <w:rPr>
          <w:rFonts w:cstheme="majorBidi"/>
          <w:sz w:val="24"/>
          <w:szCs w:val="24"/>
        </w:rPr>
        <w:t>The submission first discussed the terms of reference of the inquiry and the implications for</w:t>
      </w:r>
      <w:r w:rsidRPr="009D002D">
        <w:rPr>
          <w:sz w:val="24"/>
          <w:szCs w:val="24"/>
        </w:rPr>
        <w:t xml:space="preserve"> how the Productivity Commission could approach its task. We concluded that there is a significant opportunity to advance the quality of the public policy process in the contentious area of industrial relations and workplace relations reform by focussing on the longer term implications and sustainability of options for change developed by the Productivity Commission. We argued that this was not only desirable but in fact required by the terms of reference. We also submitted that the Productivity Commission should position its report so as to encourage a wider public debate about workplace relations reform in the period up to and beyond the next federal election. In the interests of stability in the legislative arrangements in this important area such a debate has the potential to advance public policy formulation and implementation. Finally in this part of our submission we highlighted the need to distinguish between operational issues and those which truly did relate to the framework of the workplace relations system where sustainability and stability is required over the longer term. </w:t>
      </w:r>
    </w:p>
    <w:p w:rsidR="009D002D" w:rsidRPr="009D002D" w:rsidRDefault="009D002D" w:rsidP="009D002D">
      <w:pPr>
        <w:pStyle w:val="ListParagraph"/>
        <w:spacing w:after="0" w:line="360" w:lineRule="auto"/>
        <w:ind w:left="709"/>
        <w:jc w:val="both"/>
        <w:rPr>
          <w:rFonts w:cstheme="majorBidi"/>
          <w:sz w:val="24"/>
          <w:szCs w:val="24"/>
        </w:rPr>
      </w:pPr>
    </w:p>
    <w:p w:rsidR="009D002D" w:rsidRPr="009D002D" w:rsidRDefault="00241B39" w:rsidP="00241B39">
      <w:pPr>
        <w:pStyle w:val="ListParagraph"/>
        <w:numPr>
          <w:ilvl w:val="1"/>
          <w:numId w:val="34"/>
        </w:numPr>
        <w:spacing w:after="0" w:line="360" w:lineRule="auto"/>
        <w:ind w:left="709" w:hanging="709"/>
        <w:jc w:val="both"/>
        <w:rPr>
          <w:sz w:val="24"/>
          <w:szCs w:val="24"/>
        </w:rPr>
      </w:pPr>
      <w:r w:rsidRPr="009D002D">
        <w:rPr>
          <w:sz w:val="24"/>
          <w:szCs w:val="24"/>
        </w:rPr>
        <w:t xml:space="preserve">The submission then turned to specific issues identified in the inquiry’s terms of reference </w:t>
      </w:r>
      <w:r w:rsidRPr="009D002D">
        <w:rPr>
          <w:rFonts w:cstheme="majorBidi"/>
          <w:sz w:val="24"/>
          <w:szCs w:val="24"/>
        </w:rPr>
        <w:t>where research and evidence could be advanced based on the work of ACREW</w:t>
      </w:r>
      <w:r w:rsidR="00B26CA7" w:rsidRPr="009D002D">
        <w:rPr>
          <w:rFonts w:cstheme="majorBidi"/>
          <w:sz w:val="24"/>
          <w:szCs w:val="24"/>
        </w:rPr>
        <w:t xml:space="preserve"> members</w:t>
      </w:r>
      <w:r w:rsidRPr="009D002D">
        <w:rPr>
          <w:rFonts w:cstheme="majorBidi"/>
          <w:sz w:val="24"/>
          <w:szCs w:val="24"/>
        </w:rPr>
        <w:t>.</w:t>
      </w:r>
    </w:p>
    <w:p w:rsidR="009D002D" w:rsidRPr="009D002D" w:rsidRDefault="009D002D" w:rsidP="009D002D">
      <w:pPr>
        <w:pStyle w:val="ListParagraph"/>
        <w:rPr>
          <w:sz w:val="24"/>
          <w:szCs w:val="24"/>
        </w:rPr>
      </w:pPr>
    </w:p>
    <w:p w:rsidR="004C5D71" w:rsidRPr="004C5D71" w:rsidRDefault="00241B39" w:rsidP="004C5D71">
      <w:pPr>
        <w:pStyle w:val="ListParagraph"/>
        <w:numPr>
          <w:ilvl w:val="1"/>
          <w:numId w:val="34"/>
        </w:numPr>
        <w:spacing w:after="0" w:line="360" w:lineRule="auto"/>
        <w:ind w:left="709" w:hanging="709"/>
        <w:jc w:val="both"/>
        <w:rPr>
          <w:sz w:val="24"/>
          <w:szCs w:val="24"/>
        </w:rPr>
      </w:pPr>
      <w:r w:rsidRPr="009D002D">
        <w:rPr>
          <w:sz w:val="24"/>
          <w:szCs w:val="24"/>
        </w:rPr>
        <w:t>In relation to small business, there is an emerging body of research that demonstrates the need to weight the regulation</w:t>
      </w:r>
      <w:r w:rsidR="009D002D" w:rsidRPr="009D002D">
        <w:rPr>
          <w:sz w:val="24"/>
          <w:szCs w:val="24"/>
        </w:rPr>
        <w:t>-</w:t>
      </w:r>
      <w:r w:rsidRPr="009D002D">
        <w:rPr>
          <w:sz w:val="24"/>
          <w:szCs w:val="24"/>
        </w:rPr>
        <w:t>as</w:t>
      </w:r>
      <w:r w:rsidR="009D002D" w:rsidRPr="009D002D">
        <w:rPr>
          <w:sz w:val="24"/>
          <w:szCs w:val="24"/>
        </w:rPr>
        <w:t>-</w:t>
      </w:r>
      <w:r w:rsidRPr="009D002D">
        <w:rPr>
          <w:sz w:val="24"/>
          <w:szCs w:val="24"/>
        </w:rPr>
        <w:t>cost arguments against the benefits of regulation in the area of workplace relations. These benefits include gains in operational efficiency and in the capacity to attract and retain staff</w:t>
      </w:r>
      <w:r w:rsidR="009D002D" w:rsidRPr="009D002D">
        <w:rPr>
          <w:sz w:val="24"/>
          <w:szCs w:val="24"/>
        </w:rPr>
        <w:t xml:space="preserve"> </w:t>
      </w:r>
      <w:r w:rsidR="00B26CA7" w:rsidRPr="009D002D">
        <w:rPr>
          <w:sz w:val="24"/>
          <w:szCs w:val="24"/>
        </w:rPr>
        <w:t xml:space="preserve">associated with the formalisation of employment practices leading to improved outcomes in terms of growth, flexibility and </w:t>
      </w:r>
      <w:r w:rsidR="00B26CA7" w:rsidRPr="009D002D">
        <w:rPr>
          <w:sz w:val="24"/>
          <w:szCs w:val="24"/>
        </w:rPr>
        <w:lastRenderedPageBreak/>
        <w:t xml:space="preserve">equity. </w:t>
      </w:r>
      <w:r w:rsidR="009D002D" w:rsidRPr="009D002D">
        <w:rPr>
          <w:rFonts w:cstheme="majorBidi"/>
          <w:sz w:val="24"/>
          <w:szCs w:val="24"/>
        </w:rPr>
        <w:t>In the circumstances, arguments to lessen the application of workplace relations laws to small business shou</w:t>
      </w:r>
      <w:r w:rsidR="009D002D">
        <w:rPr>
          <w:rFonts w:cstheme="majorBidi"/>
          <w:sz w:val="24"/>
          <w:szCs w:val="24"/>
        </w:rPr>
        <w:t xml:space="preserve">ld be resisted, however, consideration could be given to encouraging greater flexibility through refining NES 2 </w:t>
      </w:r>
      <w:r w:rsidR="004C5D71">
        <w:rPr>
          <w:rFonts w:cstheme="majorBidi"/>
          <w:sz w:val="24"/>
          <w:szCs w:val="24"/>
        </w:rPr>
        <w:t>as discussed below above and in section 9.7</w:t>
      </w:r>
      <w:r w:rsidR="009D002D">
        <w:rPr>
          <w:rFonts w:cstheme="majorBidi"/>
          <w:sz w:val="24"/>
          <w:szCs w:val="24"/>
        </w:rPr>
        <w:t>.</w:t>
      </w:r>
    </w:p>
    <w:p w:rsidR="004C5D71" w:rsidRPr="004C5D71" w:rsidRDefault="004C5D71" w:rsidP="004C5D71">
      <w:pPr>
        <w:pStyle w:val="ListParagraph"/>
        <w:rPr>
          <w:sz w:val="24"/>
          <w:szCs w:val="24"/>
        </w:rPr>
      </w:pPr>
    </w:p>
    <w:p w:rsidR="004C5D71" w:rsidRDefault="009D002D" w:rsidP="00241B39">
      <w:pPr>
        <w:pStyle w:val="ListParagraph"/>
        <w:numPr>
          <w:ilvl w:val="1"/>
          <w:numId w:val="34"/>
        </w:numPr>
        <w:spacing w:after="0" w:line="360" w:lineRule="auto"/>
        <w:ind w:left="709" w:hanging="709"/>
        <w:jc w:val="both"/>
        <w:rPr>
          <w:sz w:val="24"/>
          <w:szCs w:val="24"/>
        </w:rPr>
      </w:pPr>
      <w:r w:rsidRPr="004C5D71">
        <w:rPr>
          <w:sz w:val="24"/>
          <w:szCs w:val="24"/>
        </w:rPr>
        <w:t xml:space="preserve">The </w:t>
      </w:r>
      <w:r w:rsidR="00241B39" w:rsidRPr="004C5D71">
        <w:rPr>
          <w:sz w:val="24"/>
          <w:szCs w:val="24"/>
        </w:rPr>
        <w:t>impact of the workplace relations on “productivity, competitiveness, and business investment” in term of reference 4</w:t>
      </w:r>
      <w:r w:rsidRPr="004C5D71">
        <w:rPr>
          <w:sz w:val="24"/>
          <w:szCs w:val="24"/>
        </w:rPr>
        <w:t xml:space="preserve"> is central to the purposes of the inquiry. </w:t>
      </w:r>
      <w:r w:rsidR="004C5D71" w:rsidRPr="004C5D71">
        <w:rPr>
          <w:sz w:val="24"/>
          <w:szCs w:val="24"/>
        </w:rPr>
        <w:t xml:space="preserve">We drew on several sources of evidence including experiences in the mining industry to develop the argument. We </w:t>
      </w:r>
      <w:r w:rsidRPr="004C5D71">
        <w:rPr>
          <w:sz w:val="24"/>
          <w:szCs w:val="24"/>
        </w:rPr>
        <w:t>submit that the legislation should play a framework role only and that the link between workplace relations and productivity growth and increased competitiveness lies in the quality of both leadership and organisational culture and the impact these have on employee engagement and commitment.</w:t>
      </w:r>
      <w:r w:rsidR="004C5D71" w:rsidRPr="004C5D71">
        <w:rPr>
          <w:sz w:val="24"/>
          <w:szCs w:val="24"/>
        </w:rPr>
        <w:t xml:space="preserve"> These findings are also borne out by the research reviewed in sections 7 and 8. </w:t>
      </w:r>
    </w:p>
    <w:p w:rsidR="004C5D71" w:rsidRPr="004C5D71" w:rsidRDefault="004C5D71" w:rsidP="004C5D71">
      <w:pPr>
        <w:pStyle w:val="ListParagraph"/>
        <w:rPr>
          <w:sz w:val="24"/>
          <w:szCs w:val="24"/>
        </w:rPr>
      </w:pPr>
    </w:p>
    <w:p w:rsidR="004C5D71" w:rsidRDefault="004C5D71" w:rsidP="004C5D71">
      <w:pPr>
        <w:pStyle w:val="ListParagraph"/>
        <w:numPr>
          <w:ilvl w:val="1"/>
          <w:numId w:val="34"/>
        </w:numPr>
        <w:spacing w:after="0" w:line="360" w:lineRule="auto"/>
        <w:ind w:left="709" w:hanging="709"/>
        <w:jc w:val="both"/>
        <w:rPr>
          <w:sz w:val="24"/>
          <w:szCs w:val="24"/>
        </w:rPr>
      </w:pPr>
      <w:r>
        <w:rPr>
          <w:sz w:val="24"/>
          <w:szCs w:val="24"/>
        </w:rPr>
        <w:t xml:space="preserve">In addition, </w:t>
      </w:r>
      <w:r w:rsidR="00241B39" w:rsidRPr="004C5D71">
        <w:rPr>
          <w:sz w:val="24"/>
          <w:szCs w:val="24"/>
        </w:rPr>
        <w:t xml:space="preserve">recognising that legislation should play a framework role, legislative change to enable some form of individual contacting can facilitate productivity improvement, but there needs to be appropriate minimum standards and procedural safeguards provided by law. Should this not occur legislative innovation would be fraught with controversy and would not be enduring. </w:t>
      </w:r>
    </w:p>
    <w:p w:rsidR="004C5D71" w:rsidRPr="004C5D71" w:rsidRDefault="004C5D71" w:rsidP="004C5D71">
      <w:pPr>
        <w:pStyle w:val="ListParagraph"/>
        <w:rPr>
          <w:rFonts w:cs="Times New Roman"/>
          <w:sz w:val="24"/>
          <w:szCs w:val="24"/>
        </w:rPr>
      </w:pPr>
    </w:p>
    <w:p w:rsidR="008E2292" w:rsidRPr="008E2292" w:rsidRDefault="004C5D71" w:rsidP="008E2292">
      <w:pPr>
        <w:pStyle w:val="ListParagraph"/>
        <w:numPr>
          <w:ilvl w:val="1"/>
          <w:numId w:val="34"/>
        </w:numPr>
        <w:spacing w:after="0" w:line="360" w:lineRule="auto"/>
        <w:ind w:left="709" w:hanging="709"/>
        <w:jc w:val="both"/>
        <w:rPr>
          <w:sz w:val="24"/>
          <w:szCs w:val="24"/>
        </w:rPr>
      </w:pPr>
      <w:r>
        <w:rPr>
          <w:rFonts w:cs="Times New Roman"/>
          <w:sz w:val="24"/>
          <w:szCs w:val="24"/>
        </w:rPr>
        <w:t xml:space="preserve">Term of reference 6 deals with patterns of engagement in the labour market, however, our submissions have been limited to the impact of an ageing workforce for labour market participation and its impact on productivity. In view of the large actual and even larger potential impact on the labour force, we submit that NES 2 should be revisited to included caregiving in its various forms. </w:t>
      </w:r>
      <w:r w:rsidR="008E2292" w:rsidRPr="004C5D71">
        <w:rPr>
          <w:rFonts w:cs="Times New Roman"/>
          <w:sz w:val="24"/>
          <w:szCs w:val="24"/>
        </w:rPr>
        <w:t xml:space="preserve">. Further, it is evident from the experience of the Retail and Hospitality industries that the existence of the national standard </w:t>
      </w:r>
      <w:r w:rsidR="008E2292" w:rsidRPr="004C5D71">
        <w:rPr>
          <w:rFonts w:cstheme="majorBidi"/>
          <w:sz w:val="24"/>
          <w:szCs w:val="24"/>
        </w:rPr>
        <w:t>has led to a measure of innovation in the development of enterpr</w:t>
      </w:r>
      <w:r w:rsidR="008E2292">
        <w:rPr>
          <w:rFonts w:cstheme="majorBidi"/>
          <w:sz w:val="24"/>
          <w:szCs w:val="24"/>
        </w:rPr>
        <w:t>ise agreements.</w:t>
      </w:r>
    </w:p>
    <w:p w:rsidR="008E2292" w:rsidRPr="008E2292" w:rsidRDefault="008E2292" w:rsidP="008E2292">
      <w:pPr>
        <w:pStyle w:val="ListParagraph"/>
        <w:rPr>
          <w:rFonts w:cstheme="majorBidi"/>
          <w:sz w:val="24"/>
          <w:szCs w:val="24"/>
        </w:rPr>
      </w:pPr>
    </w:p>
    <w:p w:rsidR="00093E63" w:rsidRDefault="00241B39" w:rsidP="00241B39">
      <w:pPr>
        <w:pStyle w:val="ListParagraph"/>
        <w:numPr>
          <w:ilvl w:val="1"/>
          <w:numId w:val="34"/>
        </w:numPr>
        <w:spacing w:after="120" w:line="360" w:lineRule="auto"/>
        <w:ind w:left="709" w:hanging="709"/>
        <w:jc w:val="both"/>
        <w:rPr>
          <w:rFonts w:cstheme="majorBidi"/>
          <w:sz w:val="24"/>
          <w:szCs w:val="24"/>
        </w:rPr>
      </w:pPr>
      <w:r w:rsidRPr="00093E63">
        <w:rPr>
          <w:rFonts w:cstheme="majorBidi"/>
          <w:sz w:val="24"/>
          <w:szCs w:val="24"/>
        </w:rPr>
        <w:t xml:space="preserve">The </w:t>
      </w:r>
      <w:r w:rsidR="008E2292" w:rsidRPr="00093E63">
        <w:rPr>
          <w:rFonts w:cstheme="majorBidi"/>
          <w:sz w:val="24"/>
          <w:szCs w:val="24"/>
        </w:rPr>
        <w:t xml:space="preserve">“ability to flexibly manage and engage with employees” is implicit in each of the issues reviewed above but we contend that our research on employee voice in the Australian workforce over a decade underscores the importance of </w:t>
      </w:r>
      <w:r w:rsidRPr="00093E63">
        <w:rPr>
          <w:rFonts w:cstheme="majorBidi"/>
          <w:sz w:val="24"/>
          <w:szCs w:val="24"/>
        </w:rPr>
        <w:t xml:space="preserve">co-operative relations between employees and employers </w:t>
      </w:r>
      <w:r w:rsidR="008E2292" w:rsidRPr="00093E63">
        <w:rPr>
          <w:rFonts w:cstheme="majorBidi"/>
          <w:sz w:val="24"/>
          <w:szCs w:val="24"/>
        </w:rPr>
        <w:t xml:space="preserve">and in particular the utility of </w:t>
      </w:r>
      <w:r w:rsidRPr="00093E63">
        <w:rPr>
          <w:rFonts w:cstheme="majorBidi"/>
          <w:sz w:val="24"/>
          <w:szCs w:val="24"/>
        </w:rPr>
        <w:t xml:space="preserve">hybrid voice systems For management this requires significant and ongoing investment in human </w:t>
      </w:r>
      <w:r w:rsidRPr="00093E63">
        <w:rPr>
          <w:rFonts w:cstheme="majorBidi"/>
          <w:sz w:val="24"/>
          <w:szCs w:val="24"/>
        </w:rPr>
        <w:lastRenderedPageBreak/>
        <w:t>capital and communication and the development of a dialogue and working relationship with unions where they exist. Legislating for mechanisms to institutionalise employee voice is</w:t>
      </w:r>
      <w:r w:rsidR="008E2292" w:rsidRPr="00093E63">
        <w:rPr>
          <w:rFonts w:cstheme="majorBidi"/>
          <w:sz w:val="24"/>
          <w:szCs w:val="24"/>
        </w:rPr>
        <w:t xml:space="preserve"> desirable but this can only follow a community-wide debate such as we have proposed could be initiated by the Productivity Commission in the period following the release of its draft report. </w:t>
      </w:r>
    </w:p>
    <w:p w:rsidR="00093E63" w:rsidRPr="00093E63" w:rsidRDefault="00093E63" w:rsidP="00093E63">
      <w:pPr>
        <w:pStyle w:val="ListParagraph"/>
        <w:rPr>
          <w:rFonts w:cstheme="majorBidi"/>
          <w:sz w:val="24"/>
          <w:szCs w:val="24"/>
        </w:rPr>
      </w:pPr>
    </w:p>
    <w:p w:rsidR="00241B39" w:rsidRPr="007D2091" w:rsidRDefault="007D2091" w:rsidP="00241B39">
      <w:pPr>
        <w:pStyle w:val="ListParagraph"/>
        <w:numPr>
          <w:ilvl w:val="1"/>
          <w:numId w:val="34"/>
        </w:numPr>
        <w:spacing w:after="0" w:line="360" w:lineRule="auto"/>
        <w:ind w:left="360" w:hanging="709"/>
        <w:jc w:val="both"/>
        <w:rPr>
          <w:rFonts w:cstheme="majorBidi"/>
          <w:sz w:val="24"/>
          <w:szCs w:val="24"/>
        </w:rPr>
      </w:pPr>
      <w:r w:rsidRPr="007D2091">
        <w:rPr>
          <w:rFonts w:cstheme="majorBidi"/>
          <w:sz w:val="24"/>
          <w:szCs w:val="24"/>
        </w:rPr>
        <w:t xml:space="preserve">The terms of reference also raise the issue of industrial conflict, however consistent with the approach we have taken in this submission, we have widened the discussion to include all forms of workplace conflict. </w:t>
      </w:r>
      <w:r w:rsidR="00241B39" w:rsidRPr="007D2091">
        <w:rPr>
          <w:rFonts w:cstheme="majorBidi"/>
          <w:sz w:val="24"/>
          <w:szCs w:val="24"/>
        </w:rPr>
        <w:t xml:space="preserve">The prevalence of workplace conflict is both costly and has significant implications for employee well-being, </w:t>
      </w:r>
      <w:r w:rsidRPr="007D2091">
        <w:rPr>
          <w:rFonts w:cstheme="majorBidi"/>
          <w:sz w:val="24"/>
          <w:szCs w:val="24"/>
        </w:rPr>
        <w:t>M</w:t>
      </w:r>
      <w:r w:rsidR="00241B39" w:rsidRPr="007D2091">
        <w:rPr>
          <w:rFonts w:cstheme="majorBidi"/>
          <w:sz w:val="24"/>
          <w:szCs w:val="24"/>
        </w:rPr>
        <w:t>uch remains to</w:t>
      </w:r>
      <w:r w:rsidRPr="007D2091">
        <w:rPr>
          <w:rFonts w:cstheme="majorBidi"/>
          <w:sz w:val="24"/>
          <w:szCs w:val="24"/>
        </w:rPr>
        <w:t xml:space="preserve"> be done at the workplace level </w:t>
      </w:r>
      <w:r w:rsidR="00241B39" w:rsidRPr="007D2091">
        <w:rPr>
          <w:rFonts w:cstheme="majorBidi"/>
          <w:sz w:val="24"/>
          <w:szCs w:val="24"/>
        </w:rPr>
        <w:t>in creating genuine opportunities for employees to exercise voice</w:t>
      </w:r>
      <w:r w:rsidRPr="007D2091">
        <w:rPr>
          <w:rFonts w:cstheme="majorBidi"/>
          <w:sz w:val="24"/>
          <w:szCs w:val="24"/>
        </w:rPr>
        <w:t xml:space="preserve"> and this depends on the quality of management. </w:t>
      </w:r>
    </w:p>
    <w:p w:rsidR="00241B39" w:rsidRPr="00881906" w:rsidRDefault="00241B39" w:rsidP="00241B39">
      <w:pPr>
        <w:spacing w:after="0" w:line="360" w:lineRule="auto"/>
        <w:jc w:val="both"/>
        <w:rPr>
          <w:rFonts w:cstheme="majorBidi"/>
          <w:b/>
          <w:bCs/>
          <w:sz w:val="28"/>
          <w:szCs w:val="28"/>
        </w:rPr>
      </w:pPr>
    </w:p>
    <w:p w:rsidR="00241B39" w:rsidRPr="00C60203" w:rsidRDefault="00241B39" w:rsidP="00241B39">
      <w:pPr>
        <w:spacing w:after="0" w:line="360" w:lineRule="auto"/>
        <w:ind w:left="709"/>
        <w:jc w:val="both"/>
        <w:rPr>
          <w:rFonts w:eastAsia="PMingLiU" w:cstheme="majorBidi"/>
          <w:bCs/>
          <w:sz w:val="24"/>
          <w:szCs w:val="24"/>
        </w:rPr>
      </w:pPr>
    </w:p>
    <w:p w:rsidR="00241B39" w:rsidRPr="0080643B" w:rsidRDefault="00241B39" w:rsidP="00241B39">
      <w:pPr>
        <w:spacing w:after="0" w:line="360" w:lineRule="auto"/>
        <w:rPr>
          <w:rFonts w:cstheme="majorBidi"/>
          <w:b/>
          <w:bCs/>
          <w:sz w:val="24"/>
          <w:szCs w:val="24"/>
        </w:rPr>
      </w:pPr>
    </w:p>
    <w:p w:rsidR="009559D8" w:rsidRDefault="009559D8">
      <w:pPr>
        <w:rPr>
          <w:rFonts w:cstheme="majorBidi"/>
          <w:b/>
          <w:bCs/>
          <w:sz w:val="28"/>
          <w:szCs w:val="28"/>
        </w:rPr>
      </w:pPr>
      <w:r>
        <w:rPr>
          <w:rFonts w:cstheme="majorBidi"/>
          <w:b/>
          <w:bCs/>
          <w:sz w:val="28"/>
          <w:szCs w:val="28"/>
        </w:rPr>
        <w:br w:type="page"/>
      </w:r>
    </w:p>
    <w:p w:rsidR="008505F9" w:rsidRPr="00837EAE" w:rsidRDefault="008505F9" w:rsidP="001F296D">
      <w:pPr>
        <w:spacing w:after="0" w:line="360" w:lineRule="auto"/>
        <w:rPr>
          <w:rFonts w:cstheme="majorBidi"/>
          <w:b/>
          <w:bCs/>
          <w:sz w:val="28"/>
          <w:szCs w:val="28"/>
        </w:rPr>
      </w:pPr>
      <w:r w:rsidRPr="00837EAE">
        <w:rPr>
          <w:rFonts w:cstheme="majorBidi"/>
          <w:b/>
          <w:bCs/>
          <w:sz w:val="28"/>
          <w:szCs w:val="28"/>
        </w:rPr>
        <w:lastRenderedPageBreak/>
        <w:t>References</w:t>
      </w:r>
    </w:p>
    <w:p w:rsidR="008505F9" w:rsidRDefault="008505F9" w:rsidP="001F296D">
      <w:pPr>
        <w:spacing w:after="0" w:line="360" w:lineRule="auto"/>
        <w:rPr>
          <w:rFonts w:cstheme="majorBidi"/>
          <w:b/>
          <w:bCs/>
          <w:sz w:val="24"/>
          <w:szCs w:val="24"/>
        </w:rPr>
      </w:pPr>
    </w:p>
    <w:p w:rsidR="00CB40D8" w:rsidRPr="008D5D94" w:rsidRDefault="00CB40D8" w:rsidP="00CB40D8">
      <w:pPr>
        <w:pStyle w:val="EndNoteBibliography"/>
        <w:spacing w:after="0"/>
        <w:ind w:left="720" w:hanging="720"/>
        <w:rPr>
          <w:noProof/>
        </w:rPr>
      </w:pPr>
      <w:r>
        <w:rPr>
          <w:rFonts w:cstheme="majorBidi"/>
          <w:b/>
          <w:bCs/>
          <w:szCs w:val="24"/>
        </w:rPr>
        <w:fldChar w:fldCharType="begin"/>
      </w:r>
      <w:r>
        <w:rPr>
          <w:rFonts w:cstheme="majorBidi"/>
          <w:b/>
          <w:bCs/>
          <w:szCs w:val="24"/>
        </w:rPr>
        <w:instrText xml:space="preserve"> ADDIN EN.REFLIST </w:instrText>
      </w:r>
      <w:r>
        <w:rPr>
          <w:rFonts w:cstheme="majorBidi"/>
          <w:b/>
          <w:bCs/>
          <w:szCs w:val="24"/>
        </w:rPr>
        <w:fldChar w:fldCharType="separate"/>
      </w:r>
      <w:r w:rsidRPr="008D5D94">
        <w:rPr>
          <w:noProof/>
        </w:rPr>
        <w:t xml:space="preserve">ABS. (2008). Australian social trends, 2008. No. 4102.0. </w:t>
      </w:r>
      <w:hyperlink r:id="rId21" w:history="1">
        <w:r w:rsidRPr="008D5D94">
          <w:rPr>
            <w:rStyle w:val="Hyperlink"/>
            <w:rFonts w:asciiTheme="minorHAnsi" w:hAnsiTheme="minorHAnsi"/>
            <w:noProof/>
            <w:sz w:val="22"/>
          </w:rPr>
          <w:t>http://www.abs.gov.au/ausstats</w:t>
        </w:r>
      </w:hyperlink>
      <w:r w:rsidRPr="008D5D94">
        <w:rPr>
          <w:noProof/>
        </w:rPr>
        <w:t xml:space="preserve"> </w:t>
      </w:r>
    </w:p>
    <w:p w:rsidR="00CB40D8" w:rsidRPr="008D5D94" w:rsidRDefault="00CB40D8" w:rsidP="00CB40D8">
      <w:pPr>
        <w:pStyle w:val="EndNoteBibliography"/>
        <w:spacing w:after="0"/>
        <w:ind w:left="720" w:hanging="720"/>
        <w:rPr>
          <w:noProof/>
        </w:rPr>
      </w:pPr>
      <w:r w:rsidRPr="008D5D94">
        <w:rPr>
          <w:noProof/>
        </w:rPr>
        <w:t xml:space="preserve">ABS. (2012). Disability, ageing and carers, Australia: Summary of findings, 2012, No. 4430.0. </w:t>
      </w:r>
      <w:hyperlink r:id="rId22" w:history="1">
        <w:r w:rsidRPr="008D5D94">
          <w:rPr>
            <w:rStyle w:val="Hyperlink"/>
            <w:rFonts w:asciiTheme="minorHAnsi" w:hAnsiTheme="minorHAnsi"/>
            <w:noProof/>
            <w:sz w:val="22"/>
          </w:rPr>
          <w:t>http://www.abs.gov.au/ausstats</w:t>
        </w:r>
      </w:hyperlink>
    </w:p>
    <w:p w:rsidR="00CB40D8" w:rsidRDefault="00CB40D8" w:rsidP="00CB40D8">
      <w:pPr>
        <w:pStyle w:val="EndNoteBibliography"/>
        <w:spacing w:after="0"/>
        <w:ind w:left="720" w:hanging="720"/>
        <w:rPr>
          <w:noProof/>
        </w:rPr>
      </w:pPr>
      <w:r w:rsidRPr="008D5D94">
        <w:rPr>
          <w:noProof/>
        </w:rPr>
        <w:t xml:space="preserve">ABS. (2013). Australian demographic statistics, Jun 2013. No. 3101.0. </w:t>
      </w:r>
      <w:hyperlink r:id="rId23" w:history="1">
        <w:r w:rsidRPr="008D5D94">
          <w:rPr>
            <w:rStyle w:val="Hyperlink"/>
            <w:rFonts w:asciiTheme="minorHAnsi" w:hAnsiTheme="minorHAnsi"/>
            <w:noProof/>
            <w:sz w:val="22"/>
          </w:rPr>
          <w:t>http://www.abs.gov.au/ausstats</w:t>
        </w:r>
      </w:hyperlink>
      <w:r w:rsidRPr="008D5D94">
        <w:rPr>
          <w:noProof/>
        </w:rPr>
        <w:t xml:space="preserve">  </w:t>
      </w:r>
    </w:p>
    <w:p w:rsidR="00CB40D8" w:rsidRPr="00DE53C7" w:rsidRDefault="00CB40D8" w:rsidP="00CB40D8">
      <w:pPr>
        <w:pStyle w:val="EndNoteBibliography"/>
        <w:spacing w:after="0"/>
        <w:ind w:left="720" w:hanging="720"/>
        <w:rPr>
          <w:i/>
          <w:noProof/>
        </w:rPr>
      </w:pPr>
      <w:r>
        <w:rPr>
          <w:noProof/>
        </w:rPr>
        <w:t>Australian Government Productivity Commission (2010)</w:t>
      </w:r>
      <w:r>
        <w:rPr>
          <w:i/>
          <w:noProof/>
        </w:rPr>
        <w:t>Performance Benchmarking of Australian Business Regulation: Occupational Health and Safety</w:t>
      </w:r>
    </w:p>
    <w:p w:rsidR="00CB40D8" w:rsidRPr="00436761" w:rsidRDefault="00CB40D8" w:rsidP="00CB40D8">
      <w:pPr>
        <w:pStyle w:val="EndNoteBibliography"/>
        <w:spacing w:after="0"/>
        <w:ind w:left="720" w:hanging="720"/>
        <w:rPr>
          <w:noProof/>
        </w:rPr>
      </w:pPr>
      <w:r>
        <w:rPr>
          <w:noProof/>
        </w:rPr>
        <w:t>Australian Government Productivity Commission (2015)</w:t>
      </w:r>
      <w:r>
        <w:rPr>
          <w:i/>
          <w:noProof/>
        </w:rPr>
        <w:t>Workplace Relations Framework: The Inquiry in Context</w:t>
      </w:r>
      <w:r>
        <w:rPr>
          <w:noProof/>
        </w:rPr>
        <w:t>,  Issues paper No. 1, January</w:t>
      </w:r>
    </w:p>
    <w:p w:rsidR="00CB40D8" w:rsidRPr="008D5D94" w:rsidRDefault="00CB40D8" w:rsidP="00CB40D8">
      <w:pPr>
        <w:pStyle w:val="EndNoteBibliography"/>
        <w:spacing w:after="0"/>
        <w:ind w:left="720" w:hanging="720"/>
        <w:rPr>
          <w:noProof/>
        </w:rPr>
      </w:pPr>
      <w:r w:rsidRPr="00837EAE">
        <w:rPr>
          <w:noProof/>
          <w:lang w:val="it-IT"/>
        </w:rPr>
        <w:t xml:space="preserve">Bardoel, E. A., &amp; Drago, R. (2014). </w:t>
      </w:r>
      <w:r w:rsidRPr="008D5D94">
        <w:rPr>
          <w:i/>
          <w:noProof/>
        </w:rPr>
        <w:t>Dual-responsibility caregiving: The sandwich generation in Australia</w:t>
      </w:r>
      <w:r w:rsidRPr="008D5D94">
        <w:rPr>
          <w:noProof/>
        </w:rPr>
        <w:t xml:space="preserve">. Paper presented at the Work and Family Researchers Network Conference, New York. </w:t>
      </w:r>
    </w:p>
    <w:p w:rsidR="00CB40D8" w:rsidRPr="008D5D94" w:rsidRDefault="00CB40D8" w:rsidP="00CB40D8">
      <w:pPr>
        <w:pStyle w:val="EndNoteBibliography"/>
        <w:spacing w:after="0"/>
        <w:ind w:left="720" w:hanging="720"/>
        <w:rPr>
          <w:noProof/>
        </w:rPr>
      </w:pPr>
      <w:r w:rsidRPr="008D5D94">
        <w:rPr>
          <w:noProof/>
        </w:rPr>
        <w:t xml:space="preserve">Barrett, R., Bahn, S., &amp; Mayson, S. (2014). </w:t>
      </w:r>
      <w:r w:rsidRPr="00DB33F3">
        <w:rPr>
          <w:i/>
          <w:iCs/>
          <w:noProof/>
        </w:rPr>
        <w:t>Small and medium-sized enterprises: Understandings of and responses to health and safety harmonisation</w:t>
      </w:r>
      <w:r w:rsidR="00DB33F3">
        <w:rPr>
          <w:i/>
          <w:iCs/>
          <w:noProof/>
        </w:rPr>
        <w:t>,</w:t>
      </w:r>
      <w:r w:rsidRPr="00DB33F3">
        <w:rPr>
          <w:i/>
          <w:iCs/>
          <w:noProof/>
        </w:rPr>
        <w:t xml:space="preserve"> </w:t>
      </w:r>
      <w:r w:rsidRPr="00DB33F3">
        <w:rPr>
          <w:iCs/>
          <w:noProof/>
        </w:rPr>
        <w:t xml:space="preserve">Report for Industrial Foundation for Accident Prevention (IFAP): </w:t>
      </w:r>
      <w:r w:rsidRPr="008D5D94">
        <w:rPr>
          <w:noProof/>
        </w:rPr>
        <w:t>Centre for Innovative Practice, Edith Cowan University and Australian Centre for Employment and Work, Monash University.</w:t>
      </w:r>
    </w:p>
    <w:p w:rsidR="00CB40D8" w:rsidRPr="008D5D94" w:rsidRDefault="00CB40D8" w:rsidP="00CB40D8">
      <w:pPr>
        <w:pStyle w:val="EndNoteBibliography"/>
        <w:spacing w:after="0"/>
        <w:ind w:left="720" w:hanging="720"/>
        <w:rPr>
          <w:noProof/>
        </w:rPr>
      </w:pPr>
      <w:r w:rsidRPr="008D5D94">
        <w:rPr>
          <w:noProof/>
        </w:rPr>
        <w:t xml:space="preserve">Barrett, R., &amp; Mayson, S. (2005). </w:t>
      </w:r>
      <w:r w:rsidRPr="008D5D94">
        <w:rPr>
          <w:i/>
          <w:noProof/>
        </w:rPr>
        <w:t>Getting and keeping good staff: HR issues and challenges in small firms</w:t>
      </w:r>
      <w:r w:rsidRPr="008D5D94">
        <w:rPr>
          <w:noProof/>
        </w:rPr>
        <w:t>. Melbourne, Victoria: CPA Australia.</w:t>
      </w:r>
    </w:p>
    <w:p w:rsidR="00CB40D8" w:rsidRPr="008D5D94" w:rsidRDefault="00CB40D8" w:rsidP="00CB40D8">
      <w:pPr>
        <w:pStyle w:val="EndNoteBibliography"/>
        <w:spacing w:after="0"/>
        <w:ind w:left="720" w:hanging="720"/>
        <w:rPr>
          <w:noProof/>
        </w:rPr>
      </w:pPr>
      <w:r w:rsidRPr="008D5D94">
        <w:rPr>
          <w:noProof/>
        </w:rPr>
        <w:t xml:space="preserve">Barrett, R., &amp; Mayson, S. (2007). Human resource management in growing small firms. </w:t>
      </w:r>
      <w:r w:rsidRPr="008D5D94">
        <w:rPr>
          <w:i/>
          <w:noProof/>
        </w:rPr>
        <w:t>Journal of Small Business and Enterprise Development, 14</w:t>
      </w:r>
      <w:r w:rsidRPr="008D5D94">
        <w:rPr>
          <w:noProof/>
        </w:rPr>
        <w:t xml:space="preserve">(2), 307-320. </w:t>
      </w:r>
    </w:p>
    <w:p w:rsidR="00CB40D8" w:rsidRPr="008D5D94" w:rsidRDefault="00CB40D8" w:rsidP="00CB40D8">
      <w:pPr>
        <w:pStyle w:val="EndNoteBibliography"/>
        <w:spacing w:after="0"/>
        <w:ind w:left="720" w:hanging="720"/>
        <w:rPr>
          <w:noProof/>
        </w:rPr>
      </w:pPr>
      <w:r w:rsidRPr="008D5D94">
        <w:rPr>
          <w:noProof/>
        </w:rPr>
        <w:t xml:space="preserve">Barrett, R., &amp; Mayson, S. (2008). Small firms, the paid maternity leave debate in Australia and the business case. </w:t>
      </w:r>
      <w:r w:rsidRPr="008D5D94">
        <w:rPr>
          <w:i/>
          <w:noProof/>
        </w:rPr>
        <w:t>Equal Opportunities International, 27</w:t>
      </w:r>
      <w:r w:rsidRPr="008D5D94">
        <w:rPr>
          <w:noProof/>
        </w:rPr>
        <w:t xml:space="preserve">(3), 276-291. </w:t>
      </w:r>
    </w:p>
    <w:p w:rsidR="00CB40D8" w:rsidRPr="008D5D94" w:rsidRDefault="00CB40D8" w:rsidP="00CB40D8">
      <w:pPr>
        <w:pStyle w:val="EndNoteBibliography"/>
        <w:spacing w:after="0"/>
        <w:ind w:left="720" w:hanging="720"/>
        <w:rPr>
          <w:noProof/>
        </w:rPr>
      </w:pPr>
      <w:r w:rsidRPr="008D5D94">
        <w:rPr>
          <w:noProof/>
        </w:rPr>
        <w:t xml:space="preserve">Barrett, R., Mayson, S., &amp; Bahn, S. (2014). Small firms and OHS harmonisation: Potential regulatory effects of the dominant narrative. </w:t>
      </w:r>
      <w:r w:rsidRPr="008D5D94">
        <w:rPr>
          <w:i/>
          <w:noProof/>
        </w:rPr>
        <w:t>Journal of Industrial Relations, 5 6(3):61-80., 56</w:t>
      </w:r>
      <w:r w:rsidRPr="008D5D94">
        <w:rPr>
          <w:noProof/>
        </w:rPr>
        <w:t xml:space="preserve">(3), 61-80. </w:t>
      </w:r>
    </w:p>
    <w:p w:rsidR="00CB40D8" w:rsidRDefault="00CB40D8" w:rsidP="00CB40D8">
      <w:pPr>
        <w:pStyle w:val="EndNoteBibliography"/>
        <w:spacing w:after="0"/>
        <w:ind w:left="720" w:hanging="720"/>
        <w:rPr>
          <w:noProof/>
        </w:rPr>
      </w:pPr>
      <w:r w:rsidRPr="008D5D94">
        <w:rPr>
          <w:noProof/>
        </w:rPr>
        <w:t xml:space="preserve">Cox, A., Zagelmeyer, S., &amp; Marchington, M. (2006). Embedding employee involvement and participation at work. </w:t>
      </w:r>
      <w:r w:rsidRPr="008D5D94">
        <w:rPr>
          <w:i/>
          <w:noProof/>
        </w:rPr>
        <w:t>Human Resource Management Journal, 16</w:t>
      </w:r>
      <w:r w:rsidRPr="008D5D94">
        <w:rPr>
          <w:noProof/>
        </w:rPr>
        <w:t xml:space="preserve">(3), 250-267. </w:t>
      </w:r>
    </w:p>
    <w:p w:rsidR="00CB40D8" w:rsidRPr="00CB40D8" w:rsidRDefault="00CB40D8" w:rsidP="00CB40D8">
      <w:pPr>
        <w:pStyle w:val="CommentText"/>
        <w:spacing w:line="360" w:lineRule="auto"/>
        <w:rPr>
          <w:sz w:val="24"/>
          <w:szCs w:val="24"/>
        </w:rPr>
      </w:pPr>
      <w:r w:rsidRPr="00CB40D8">
        <w:rPr>
          <w:noProof/>
          <w:sz w:val="24"/>
          <w:szCs w:val="24"/>
        </w:rPr>
        <w:t>Deming, W.E.(</w:t>
      </w:r>
      <w:r w:rsidRPr="00CB40D8">
        <w:rPr>
          <w:sz w:val="24"/>
          <w:szCs w:val="24"/>
        </w:rPr>
        <w:t xml:space="preserve">2000) </w:t>
      </w:r>
      <w:r w:rsidRPr="00CB40D8">
        <w:rPr>
          <w:i/>
          <w:sz w:val="24"/>
          <w:szCs w:val="24"/>
        </w:rPr>
        <w:t>Out of the Crisis,</w:t>
      </w:r>
      <w:r w:rsidRPr="00CB40D8">
        <w:rPr>
          <w:sz w:val="24"/>
          <w:szCs w:val="24"/>
        </w:rPr>
        <w:t>. MIT  Press: Cambridge, Mass.</w:t>
      </w:r>
    </w:p>
    <w:p w:rsidR="00CB40D8" w:rsidRPr="008D5D94" w:rsidRDefault="00CB40D8" w:rsidP="00CB40D8">
      <w:pPr>
        <w:pStyle w:val="EndNoteBibliography"/>
        <w:spacing w:after="0"/>
        <w:ind w:left="720" w:hanging="720"/>
        <w:rPr>
          <w:noProof/>
        </w:rPr>
      </w:pPr>
      <w:r w:rsidRPr="008D5D94">
        <w:rPr>
          <w:noProof/>
        </w:rPr>
        <w:lastRenderedPageBreak/>
        <w:t>Department of Industry, Innovation, Science, Research and Tertiary Education. (2012). Australian small business: Key statistics and analysis, Commonwealth of Australia. Commonwealth of Australia.</w:t>
      </w:r>
    </w:p>
    <w:p w:rsidR="00CB40D8" w:rsidRPr="008A49DC" w:rsidRDefault="00CB40D8" w:rsidP="00CB40D8">
      <w:pPr>
        <w:pStyle w:val="EndNoteBibliography"/>
        <w:spacing w:after="0"/>
        <w:ind w:left="720" w:hanging="720"/>
        <w:rPr>
          <w:rFonts w:asciiTheme="minorHAnsi" w:hAnsiTheme="minorHAnsi" w:cs="Arial"/>
          <w:color w:val="222222"/>
          <w:szCs w:val="24"/>
          <w:shd w:val="clear" w:color="auto" w:fill="FFFFFF"/>
        </w:rPr>
      </w:pPr>
      <w:r w:rsidRPr="008A49DC">
        <w:rPr>
          <w:rStyle w:val="il"/>
          <w:rFonts w:asciiTheme="minorHAnsi" w:hAnsiTheme="minorHAnsi" w:cs="Arial"/>
          <w:color w:val="222222"/>
          <w:szCs w:val="24"/>
          <w:shd w:val="clear" w:color="auto" w:fill="FFFFFF"/>
        </w:rPr>
        <w:t>Fox</w:t>
      </w:r>
      <w:r w:rsidRPr="008A49DC">
        <w:rPr>
          <w:rFonts w:asciiTheme="minorHAnsi" w:hAnsiTheme="minorHAnsi" w:cs="Arial"/>
          <w:color w:val="222222"/>
          <w:szCs w:val="24"/>
          <w:shd w:val="clear" w:color="auto" w:fill="FFFFFF"/>
        </w:rPr>
        <w:t>, C. and</w:t>
      </w:r>
      <w:r w:rsidRPr="008A49DC">
        <w:rPr>
          <w:rStyle w:val="apple-converted-space"/>
          <w:rFonts w:asciiTheme="minorHAnsi" w:hAnsiTheme="minorHAnsi" w:cs="Arial"/>
          <w:color w:val="222222"/>
          <w:szCs w:val="24"/>
          <w:shd w:val="clear" w:color="auto" w:fill="FFFFFF"/>
        </w:rPr>
        <w:t> </w:t>
      </w:r>
      <w:r w:rsidRPr="008A49DC">
        <w:rPr>
          <w:rStyle w:val="il"/>
          <w:rFonts w:asciiTheme="minorHAnsi" w:hAnsiTheme="minorHAnsi" w:cs="Arial"/>
          <w:color w:val="222222"/>
          <w:szCs w:val="24"/>
          <w:shd w:val="clear" w:color="auto" w:fill="FFFFFF"/>
        </w:rPr>
        <w:t>Pittard</w:t>
      </w:r>
      <w:r w:rsidRPr="008A49DC">
        <w:rPr>
          <w:rFonts w:asciiTheme="minorHAnsi" w:hAnsiTheme="minorHAnsi" w:cs="Arial"/>
          <w:color w:val="222222"/>
          <w:szCs w:val="24"/>
          <w:shd w:val="clear" w:color="auto" w:fill="FFFFFF"/>
        </w:rPr>
        <w:t>, M.  (1999),</w:t>
      </w:r>
      <w:r w:rsidRPr="008A49DC">
        <w:rPr>
          <w:rStyle w:val="apple-converted-space"/>
          <w:rFonts w:asciiTheme="minorHAnsi" w:hAnsiTheme="minorHAnsi" w:cs="Arial"/>
          <w:color w:val="222222"/>
          <w:szCs w:val="24"/>
          <w:shd w:val="clear" w:color="auto" w:fill="FFFFFF"/>
        </w:rPr>
        <w:t> </w:t>
      </w:r>
      <w:r w:rsidRPr="008A49DC">
        <w:rPr>
          <w:rStyle w:val="apple-converted-space"/>
          <w:rFonts w:asciiTheme="minorHAnsi" w:hAnsiTheme="minorHAnsi" w:cs="Arial"/>
          <w:i/>
          <w:iCs/>
          <w:color w:val="222222"/>
          <w:szCs w:val="24"/>
          <w:shd w:val="clear" w:color="auto" w:fill="FFFFFF"/>
        </w:rPr>
        <w:t>'</w:t>
      </w:r>
      <w:r w:rsidRPr="008A49DC">
        <w:rPr>
          <w:rFonts w:asciiTheme="minorHAnsi" w:hAnsiTheme="minorHAnsi" w:cs="Arial"/>
          <w:i/>
          <w:iCs/>
          <w:color w:val="222222"/>
          <w:szCs w:val="24"/>
          <w:shd w:val="clear" w:color="auto" w:fill="FFFFFF"/>
        </w:rPr>
        <w:t>Amending the Industrial Relations Statute: An Australian Preoccupation', </w:t>
      </w:r>
      <w:r w:rsidRPr="008A49DC">
        <w:rPr>
          <w:rFonts w:asciiTheme="minorHAnsi" w:hAnsiTheme="minorHAnsi" w:cs="Arial"/>
          <w:color w:val="222222"/>
          <w:szCs w:val="24"/>
          <w:shd w:val="clear" w:color="auto" w:fill="FFFFFF"/>
        </w:rPr>
        <w:t xml:space="preserve"> Working Paper 69  Melbourne: National Key Centre in Industrial Relations Monash University.</w:t>
      </w:r>
    </w:p>
    <w:p w:rsidR="00CB40D8" w:rsidRPr="008A49DC" w:rsidRDefault="00CB40D8" w:rsidP="00CB40D8">
      <w:pPr>
        <w:pStyle w:val="EndNoteBibliography"/>
        <w:spacing w:after="0"/>
        <w:ind w:left="720" w:hanging="720"/>
        <w:rPr>
          <w:rFonts w:asciiTheme="minorHAnsi" w:hAnsiTheme="minorHAnsi" w:cs="Arial"/>
          <w:color w:val="222222"/>
          <w:szCs w:val="24"/>
          <w:shd w:val="clear" w:color="auto" w:fill="FFFFFF"/>
        </w:rPr>
      </w:pPr>
      <w:r w:rsidRPr="008A49DC">
        <w:rPr>
          <w:rFonts w:asciiTheme="minorHAnsi" w:hAnsiTheme="minorHAnsi" w:cs="Arial"/>
          <w:color w:val="222222"/>
          <w:szCs w:val="24"/>
          <w:shd w:val="clear" w:color="auto" w:fill="FFFFFF"/>
        </w:rPr>
        <w:t xml:space="preserve">Gourevitch, P. et. al. (1985) </w:t>
      </w:r>
      <w:r w:rsidRPr="008A49DC">
        <w:rPr>
          <w:rFonts w:asciiTheme="minorHAnsi" w:hAnsiTheme="minorHAnsi" w:cs="Arial"/>
          <w:i/>
          <w:iCs/>
          <w:color w:val="222222"/>
          <w:szCs w:val="24"/>
          <w:shd w:val="clear" w:color="auto" w:fill="FFFFFF"/>
        </w:rPr>
        <w:t>Unions and Economic Crisis</w:t>
      </w:r>
      <w:r w:rsidRPr="008A49DC">
        <w:rPr>
          <w:rFonts w:asciiTheme="minorHAnsi" w:hAnsiTheme="minorHAnsi" w:cs="Arial"/>
          <w:color w:val="222222"/>
          <w:szCs w:val="24"/>
          <w:shd w:val="clear" w:color="auto" w:fill="FFFFFF"/>
        </w:rPr>
        <w:t>, Allen &amp; Unwin: London.</w:t>
      </w:r>
    </w:p>
    <w:p w:rsidR="00CB40D8" w:rsidRPr="008A49DC" w:rsidRDefault="00CB40D8" w:rsidP="00CB40D8">
      <w:pPr>
        <w:pStyle w:val="EndNoteBibliography"/>
        <w:spacing w:after="0"/>
        <w:ind w:left="720" w:hanging="720"/>
        <w:rPr>
          <w:rFonts w:asciiTheme="minorHAnsi" w:hAnsiTheme="minorHAnsi"/>
          <w:noProof/>
          <w:szCs w:val="24"/>
        </w:rPr>
      </w:pPr>
      <w:r w:rsidRPr="008A49DC">
        <w:rPr>
          <w:rFonts w:asciiTheme="minorHAnsi" w:hAnsiTheme="minorHAnsi"/>
          <w:noProof/>
          <w:szCs w:val="24"/>
        </w:rPr>
        <w:t>Hoeing, S. A., &amp; Page, A. R. E. (2012). Counting on care work in Australia. Report prepared by AEC group limited for economic Security4Women. Australia.</w:t>
      </w:r>
    </w:p>
    <w:p w:rsidR="00CB40D8" w:rsidRPr="008D5D94" w:rsidRDefault="00CB40D8" w:rsidP="00CB40D8">
      <w:pPr>
        <w:pStyle w:val="EndNoteBibliography"/>
        <w:spacing w:after="0"/>
        <w:ind w:left="720" w:hanging="720"/>
        <w:rPr>
          <w:noProof/>
        </w:rPr>
      </w:pPr>
      <w:r w:rsidRPr="008A49DC">
        <w:rPr>
          <w:rFonts w:asciiTheme="minorHAnsi" w:hAnsiTheme="minorHAnsi"/>
          <w:noProof/>
          <w:szCs w:val="24"/>
        </w:rPr>
        <w:t>Holland, P., Cooper, B., Pyman, A., &amp; Teicher, J. (2012). Trust in</w:t>
      </w:r>
      <w:r w:rsidRPr="008D5D94">
        <w:rPr>
          <w:noProof/>
        </w:rPr>
        <w:t xml:space="preserve"> management: The role of employee voice arrangements and perceived managerial opposition to unions. </w:t>
      </w:r>
      <w:r w:rsidRPr="008D5D94">
        <w:rPr>
          <w:i/>
          <w:noProof/>
        </w:rPr>
        <w:t>Human Resource Management (UK), 22</w:t>
      </w:r>
      <w:r w:rsidRPr="008D5D94">
        <w:rPr>
          <w:noProof/>
        </w:rPr>
        <w:t xml:space="preserve">(4), 377-391. </w:t>
      </w:r>
    </w:p>
    <w:p w:rsidR="00CB40D8" w:rsidRPr="008D5D94" w:rsidRDefault="00CB40D8" w:rsidP="00CB40D8">
      <w:pPr>
        <w:pStyle w:val="EndNoteBibliography"/>
        <w:spacing w:after="0"/>
        <w:ind w:left="720" w:hanging="720"/>
        <w:rPr>
          <w:noProof/>
        </w:rPr>
      </w:pPr>
      <w:r w:rsidRPr="008D5D94">
        <w:rPr>
          <w:noProof/>
        </w:rPr>
        <w:t xml:space="preserve">Holland, P., &amp; Pyman, A. (2011). Trade unions and corporate campaigning in a global economy: The case of James Hardie. </w:t>
      </w:r>
      <w:r w:rsidRPr="008D5D94">
        <w:rPr>
          <w:i/>
          <w:noProof/>
        </w:rPr>
        <w:t>Economic and Industrial Democracy, Vol. 32, No. 2, 307-328., 32</w:t>
      </w:r>
      <w:r w:rsidRPr="008D5D94">
        <w:rPr>
          <w:noProof/>
        </w:rPr>
        <w:t xml:space="preserve">(2), 307-328. </w:t>
      </w:r>
    </w:p>
    <w:p w:rsidR="00CB40D8" w:rsidRPr="008D5D94" w:rsidRDefault="00CB40D8" w:rsidP="00CB40D8">
      <w:pPr>
        <w:pStyle w:val="EndNoteBibliography"/>
        <w:spacing w:after="0"/>
        <w:ind w:left="720" w:hanging="720"/>
        <w:rPr>
          <w:noProof/>
        </w:rPr>
      </w:pPr>
      <w:r w:rsidRPr="008D5D94">
        <w:rPr>
          <w:noProof/>
        </w:rPr>
        <w:t xml:space="preserve">Holland, P., Pyman, A., Cooper, B., &amp; Teicher, J. (2009). The development of alternative voice mechanisms in Australia: The case of joint consultation. </w:t>
      </w:r>
      <w:r w:rsidRPr="008D5D94">
        <w:rPr>
          <w:i/>
          <w:noProof/>
        </w:rPr>
        <w:t>Economics and Industrial Democracy, 30</w:t>
      </w:r>
      <w:r w:rsidRPr="008D5D94">
        <w:rPr>
          <w:noProof/>
        </w:rPr>
        <w:t xml:space="preserve">(1), 67-92. </w:t>
      </w:r>
    </w:p>
    <w:p w:rsidR="00CB40D8" w:rsidRPr="008D5D94" w:rsidRDefault="00CB40D8" w:rsidP="00CB40D8">
      <w:pPr>
        <w:pStyle w:val="EndNoteBibliography"/>
        <w:spacing w:after="0"/>
        <w:ind w:left="720" w:hanging="720"/>
        <w:rPr>
          <w:noProof/>
        </w:rPr>
      </w:pPr>
      <w:r w:rsidRPr="008D5D94">
        <w:rPr>
          <w:noProof/>
        </w:rPr>
        <w:t xml:space="preserve">Jerrard, M. (2007). Building alliances to protect jobs: The AMIEU's response to live animal export. In D. Buttigieg, S. Cockfield, R. Cooney, M. Jerrard &amp; A. Rainnie (Eds.), </w:t>
      </w:r>
      <w:r w:rsidRPr="008D5D94">
        <w:rPr>
          <w:i/>
          <w:noProof/>
        </w:rPr>
        <w:t>Trade unions in the community - values, issues, shared interests and alliances</w:t>
      </w:r>
      <w:r w:rsidRPr="008D5D94">
        <w:rPr>
          <w:noProof/>
        </w:rPr>
        <w:t xml:space="preserve"> (pp. 185-200). Melbourne: Heidelberg Press.</w:t>
      </w:r>
    </w:p>
    <w:p w:rsidR="00CB40D8" w:rsidRPr="008D5D94" w:rsidRDefault="00CB40D8" w:rsidP="00CB40D8">
      <w:pPr>
        <w:pStyle w:val="EndNoteBibliography"/>
        <w:spacing w:after="0"/>
        <w:ind w:left="720" w:hanging="720"/>
        <w:rPr>
          <w:noProof/>
        </w:rPr>
      </w:pPr>
      <w:r w:rsidRPr="008D5D94">
        <w:rPr>
          <w:noProof/>
        </w:rPr>
        <w:t xml:space="preserve">Jerrard, M. (2008). The Australian workers’ union and the country women’s association: Using union-community partnerships to take safety to farmers. </w:t>
      </w:r>
      <w:r w:rsidRPr="008D5D94">
        <w:rPr>
          <w:i/>
          <w:noProof/>
        </w:rPr>
        <w:t>Employment Relations Record, 8</w:t>
      </w:r>
      <w:r w:rsidRPr="008D5D94">
        <w:rPr>
          <w:noProof/>
        </w:rPr>
        <w:t xml:space="preserve">(1), 91-102. </w:t>
      </w:r>
    </w:p>
    <w:p w:rsidR="00CB40D8" w:rsidRPr="008D5D94" w:rsidRDefault="00CB40D8" w:rsidP="00CB40D8">
      <w:pPr>
        <w:pStyle w:val="EndNoteBibliography"/>
        <w:spacing w:after="0"/>
        <w:ind w:left="720" w:hanging="720"/>
        <w:rPr>
          <w:noProof/>
        </w:rPr>
      </w:pPr>
      <w:r w:rsidRPr="008D5D94">
        <w:rPr>
          <w:noProof/>
        </w:rPr>
        <w:t xml:space="preserve">Jerrard, M., Cockfield, S., &amp; Buttigieg, D. (2009). The ‘servicing-organising-community continuum’: Where are Australian unions today? In G. Gall (Ed.), </w:t>
      </w:r>
      <w:r w:rsidRPr="008D5D94">
        <w:rPr>
          <w:i/>
          <w:noProof/>
        </w:rPr>
        <w:t>The Future of Union Organising: Building for Tomorrow</w:t>
      </w:r>
      <w:r w:rsidRPr="008D5D94">
        <w:rPr>
          <w:noProof/>
        </w:rPr>
        <w:t xml:space="preserve"> (pp. 97-113). Basingstoke: Palgrave Macmillan.</w:t>
      </w:r>
    </w:p>
    <w:p w:rsidR="00CB40D8" w:rsidRPr="008D5D94" w:rsidRDefault="00CB40D8" w:rsidP="00CB40D8">
      <w:pPr>
        <w:pStyle w:val="EndNoteBibliography"/>
        <w:spacing w:after="0"/>
        <w:ind w:left="720" w:hanging="720"/>
        <w:rPr>
          <w:noProof/>
        </w:rPr>
      </w:pPr>
      <w:r w:rsidRPr="008D5D94">
        <w:rPr>
          <w:noProof/>
        </w:rPr>
        <w:t xml:space="preserve">Jerrard, M., &amp; Heap, L. (2010). Trade unions and social justice. In G. Strachan, E. French &amp; J. Burgess (Eds.), </w:t>
      </w:r>
      <w:r w:rsidRPr="008D5D94">
        <w:rPr>
          <w:i/>
          <w:noProof/>
        </w:rPr>
        <w:t>Managing Diversity in Australia: Theory and Practice</w:t>
      </w:r>
      <w:r w:rsidRPr="008D5D94">
        <w:rPr>
          <w:noProof/>
        </w:rPr>
        <w:t xml:space="preserve"> (pp. 121-136). North Ryde, NSW: McGraw-Hill.</w:t>
      </w:r>
    </w:p>
    <w:p w:rsidR="00CB40D8" w:rsidRDefault="00CB40D8" w:rsidP="00CB40D8">
      <w:pPr>
        <w:pStyle w:val="EndNoteBibliography"/>
        <w:spacing w:after="0"/>
        <w:ind w:left="720" w:hanging="720"/>
        <w:rPr>
          <w:noProof/>
        </w:rPr>
      </w:pPr>
      <w:r w:rsidRPr="008D5D94">
        <w:rPr>
          <w:noProof/>
        </w:rPr>
        <w:lastRenderedPageBreak/>
        <w:t xml:space="preserve">Jerrard, M., &amp; Le Queux, S. (2013). Australian trade unions and international labour movements. In J. Teicher, P. Holland &amp; R. Gough (Eds.), </w:t>
      </w:r>
      <w:r w:rsidRPr="008D5D94">
        <w:rPr>
          <w:i/>
          <w:noProof/>
        </w:rPr>
        <w:t>Australian Workplace Relations</w:t>
      </w:r>
      <w:r w:rsidRPr="008D5D94">
        <w:rPr>
          <w:noProof/>
        </w:rPr>
        <w:t xml:space="preserve"> (pp. 46-62). Melbourne: Cambridge University Press.</w:t>
      </w:r>
    </w:p>
    <w:p w:rsidR="007D2091" w:rsidRPr="008D5D94" w:rsidRDefault="007D2091" w:rsidP="00CB40D8">
      <w:pPr>
        <w:pStyle w:val="EndNoteBibliography"/>
        <w:spacing w:after="0"/>
        <w:ind w:left="720" w:hanging="720"/>
        <w:rPr>
          <w:noProof/>
        </w:rPr>
      </w:pPr>
      <w:r>
        <w:rPr>
          <w:rFonts w:asciiTheme="minorHAnsi" w:hAnsiTheme="minorHAnsi"/>
          <w:noProof/>
          <w:szCs w:val="24"/>
        </w:rPr>
        <w:t xml:space="preserve">Lafferty, G. (2013) 'From reactive flexibility to strategic flexiblity in retail and hospitality' in Teicher, J., Holland, P. &amp; Gough, R. (eds.) Australian Workplace </w:t>
      </w:r>
      <w:r w:rsidRPr="00E839AC">
        <w:rPr>
          <w:rFonts w:asciiTheme="minorHAnsi" w:hAnsiTheme="minorHAnsi"/>
          <w:noProof/>
          <w:szCs w:val="24"/>
        </w:rPr>
        <w:t>Relations</w:t>
      </w:r>
      <w:r>
        <w:rPr>
          <w:rFonts w:asciiTheme="minorHAnsi" w:hAnsiTheme="minorHAnsi"/>
          <w:noProof/>
          <w:szCs w:val="24"/>
        </w:rPr>
        <w:t>, Melbourne:</w:t>
      </w:r>
    </w:p>
    <w:p w:rsidR="00CB40D8" w:rsidRPr="008D5D94" w:rsidRDefault="00CB40D8" w:rsidP="00CB40D8">
      <w:pPr>
        <w:pStyle w:val="EndNoteBibliography"/>
        <w:spacing w:after="0"/>
        <w:ind w:left="720" w:hanging="720"/>
        <w:rPr>
          <w:noProof/>
        </w:rPr>
      </w:pPr>
      <w:r w:rsidRPr="008D5D94">
        <w:rPr>
          <w:noProof/>
        </w:rPr>
        <w:t xml:space="preserve">Mayson, S., &amp; Barrett, R. (2008). The formality and informality of HRM practices in small firms. In S. Mayson &amp; R. Barrett (Eds.), </w:t>
      </w:r>
      <w:r w:rsidRPr="008D5D94">
        <w:rPr>
          <w:i/>
          <w:noProof/>
        </w:rPr>
        <w:t>International Handbook of Entrepreneurship and Human Resource Management</w:t>
      </w:r>
      <w:r w:rsidRPr="008D5D94">
        <w:rPr>
          <w:noProof/>
        </w:rPr>
        <w:t xml:space="preserve"> (pp. 111-136). Cheltenham, UK: Edward Elgar Publishing Ltd.</w:t>
      </w:r>
    </w:p>
    <w:p w:rsidR="00CB40D8" w:rsidRDefault="00CB40D8" w:rsidP="00CB40D8">
      <w:pPr>
        <w:pStyle w:val="EndNoteBibliography"/>
        <w:spacing w:after="0"/>
        <w:ind w:left="720" w:hanging="720"/>
        <w:rPr>
          <w:noProof/>
        </w:rPr>
      </w:pPr>
      <w:r w:rsidRPr="008D5D94">
        <w:rPr>
          <w:noProof/>
        </w:rPr>
        <w:t xml:space="preserve">Oshagbemi, T. (1999). Overall job satisfaction: How good are single versus multiple-item measures? </w:t>
      </w:r>
      <w:r w:rsidRPr="008D5D94">
        <w:rPr>
          <w:i/>
          <w:noProof/>
        </w:rPr>
        <w:t>Journal of Managerial Psychology, 16</w:t>
      </w:r>
      <w:r w:rsidRPr="008D5D94">
        <w:rPr>
          <w:noProof/>
        </w:rPr>
        <w:t xml:space="preserve">(8), 388-403. </w:t>
      </w:r>
    </w:p>
    <w:p w:rsidR="00CB40D8" w:rsidRPr="00D25834" w:rsidRDefault="00CB40D8" w:rsidP="00CB40D8">
      <w:pPr>
        <w:pStyle w:val="EndNoteBibliography"/>
        <w:spacing w:after="0"/>
        <w:ind w:left="720" w:hanging="720"/>
        <w:rPr>
          <w:szCs w:val="24"/>
        </w:rPr>
      </w:pPr>
      <w:r w:rsidRPr="00D25834">
        <w:rPr>
          <w:szCs w:val="24"/>
        </w:rPr>
        <w:t>Peetz, D. (200</w:t>
      </w:r>
      <w:r>
        <w:rPr>
          <w:szCs w:val="24"/>
        </w:rPr>
        <w:t>5</w:t>
      </w:r>
      <w:r w:rsidRPr="00D25834">
        <w:rPr>
          <w:szCs w:val="24"/>
        </w:rPr>
        <w:t>)  'Hollow Shells: the alleged link between individual contracting and productivity growth',</w:t>
      </w:r>
      <w:r w:rsidRPr="00D25834">
        <w:t xml:space="preserve"> </w:t>
      </w:r>
      <w:r w:rsidRPr="00D25834">
        <w:rPr>
          <w:szCs w:val="24"/>
        </w:rPr>
        <w:t xml:space="preserve">Journal of Political Economy,  No.56: 32-55. </w:t>
      </w:r>
    </w:p>
    <w:p w:rsidR="00CB40D8" w:rsidRPr="005874C6" w:rsidRDefault="00CB40D8" w:rsidP="00CB40D8">
      <w:pPr>
        <w:pStyle w:val="EndNoteBibliography"/>
        <w:spacing w:after="0"/>
        <w:ind w:left="720" w:hanging="720"/>
        <w:rPr>
          <w:rFonts w:asciiTheme="minorHAnsi" w:hAnsiTheme="minorHAnsi"/>
          <w:noProof/>
          <w:szCs w:val="24"/>
        </w:rPr>
      </w:pPr>
      <w:r w:rsidRPr="007D2091">
        <w:rPr>
          <w:rFonts w:asciiTheme="minorHAnsi" w:hAnsiTheme="minorHAnsi"/>
          <w:color w:val="000000"/>
          <w:szCs w:val="24"/>
          <w:shd w:val="clear" w:color="auto" w:fill="FFFFFF"/>
        </w:rPr>
        <w:t>Peetz, D., Preston, A.</w:t>
      </w:r>
      <w:r w:rsidRPr="007D2091">
        <w:rPr>
          <w:rStyle w:val="apple-converted-space"/>
          <w:rFonts w:asciiTheme="minorHAnsi" w:hAnsiTheme="minorHAnsi"/>
          <w:color w:val="000000"/>
          <w:szCs w:val="24"/>
          <w:shd w:val="clear" w:color="auto" w:fill="FFFFFF"/>
        </w:rPr>
        <w:t> (</w:t>
      </w:r>
      <w:r w:rsidRPr="007D2091">
        <w:rPr>
          <w:rFonts w:asciiTheme="minorHAnsi" w:hAnsiTheme="minorHAnsi"/>
          <w:color w:val="000000"/>
          <w:szCs w:val="24"/>
          <w:shd w:val="clear" w:color="auto" w:fill="FFFFFF"/>
        </w:rPr>
        <w:t>2009</w:t>
      </w:r>
      <w:r>
        <w:rPr>
          <w:rFonts w:asciiTheme="minorHAnsi" w:hAnsiTheme="minorHAnsi"/>
          <w:color w:val="000000"/>
          <w:szCs w:val="24"/>
          <w:shd w:val="clear" w:color="auto" w:fill="FFFFFF"/>
        </w:rPr>
        <w:t>)</w:t>
      </w:r>
      <w:r w:rsidRPr="005874C6">
        <w:rPr>
          <w:rStyle w:val="apple-converted-space"/>
          <w:rFonts w:asciiTheme="minorHAnsi" w:hAnsiTheme="minorHAnsi"/>
          <w:color w:val="000000"/>
          <w:szCs w:val="24"/>
          <w:shd w:val="clear" w:color="auto" w:fill="FFFFFF"/>
        </w:rPr>
        <w:t> </w:t>
      </w:r>
      <w:r w:rsidRPr="005874C6">
        <w:rPr>
          <w:rFonts w:asciiTheme="minorHAnsi" w:hAnsiTheme="minorHAnsi"/>
          <w:color w:val="000000"/>
          <w:szCs w:val="24"/>
          <w:shd w:val="clear" w:color="auto" w:fill="FFFFFF"/>
        </w:rPr>
        <w:t>'Individual contracting, collective bargaining and wages in Australia',</w:t>
      </w:r>
      <w:r w:rsidRPr="005874C6">
        <w:rPr>
          <w:rStyle w:val="apple-converted-space"/>
          <w:rFonts w:asciiTheme="minorHAnsi" w:hAnsiTheme="minorHAnsi"/>
          <w:color w:val="000000"/>
          <w:szCs w:val="24"/>
          <w:shd w:val="clear" w:color="auto" w:fill="FFFFFF"/>
        </w:rPr>
        <w:t> </w:t>
      </w:r>
      <w:r>
        <w:rPr>
          <w:rStyle w:val="apple-converted-space"/>
          <w:rFonts w:asciiTheme="minorHAnsi" w:hAnsiTheme="minorHAnsi"/>
          <w:color w:val="000000"/>
          <w:szCs w:val="24"/>
          <w:shd w:val="clear" w:color="auto" w:fill="FFFFFF"/>
        </w:rPr>
        <w:t>Industrial Relations Journal</w:t>
      </w:r>
      <w:r w:rsidRPr="005874C6">
        <w:rPr>
          <w:rFonts w:asciiTheme="minorHAnsi" w:hAnsiTheme="minorHAnsi"/>
          <w:color w:val="000000"/>
          <w:szCs w:val="24"/>
          <w:shd w:val="clear" w:color="auto" w:fill="FFFFFF"/>
        </w:rPr>
        <w:t xml:space="preserve"> 40</w:t>
      </w:r>
      <w:r>
        <w:rPr>
          <w:rFonts w:asciiTheme="minorHAnsi" w:hAnsiTheme="minorHAnsi"/>
          <w:color w:val="000000"/>
          <w:szCs w:val="24"/>
          <w:shd w:val="clear" w:color="auto" w:fill="FFFFFF"/>
        </w:rPr>
        <w:t>(</w:t>
      </w:r>
      <w:r w:rsidRPr="005874C6">
        <w:rPr>
          <w:rFonts w:asciiTheme="minorHAnsi" w:hAnsiTheme="minorHAnsi"/>
          <w:color w:val="000000"/>
          <w:szCs w:val="24"/>
          <w:shd w:val="clear" w:color="auto" w:fill="FFFFFF"/>
        </w:rPr>
        <w:t>5</w:t>
      </w:r>
      <w:r>
        <w:rPr>
          <w:rFonts w:asciiTheme="minorHAnsi" w:hAnsiTheme="minorHAnsi"/>
          <w:color w:val="000000"/>
          <w:szCs w:val="24"/>
          <w:shd w:val="clear" w:color="auto" w:fill="FFFFFF"/>
        </w:rPr>
        <w:t>):</w:t>
      </w:r>
      <w:r w:rsidRPr="005874C6">
        <w:rPr>
          <w:rFonts w:asciiTheme="minorHAnsi" w:hAnsiTheme="minorHAnsi"/>
          <w:color w:val="000000"/>
          <w:szCs w:val="24"/>
          <w:shd w:val="clear" w:color="auto" w:fill="FFFFFF"/>
        </w:rPr>
        <w:t xml:space="preserve"> 444-461.</w:t>
      </w:r>
    </w:p>
    <w:p w:rsidR="00CB40D8" w:rsidRPr="008D5D94" w:rsidRDefault="00CB40D8" w:rsidP="00CB40D8">
      <w:pPr>
        <w:pStyle w:val="EndNoteBibliography"/>
        <w:spacing w:after="0"/>
        <w:ind w:left="720" w:hanging="720"/>
        <w:rPr>
          <w:noProof/>
        </w:rPr>
      </w:pPr>
      <w:r w:rsidRPr="00837EAE">
        <w:rPr>
          <w:noProof/>
          <w:lang w:val="de-DE"/>
        </w:rPr>
        <w:t xml:space="preserve">Pyman, A., Cooper, B., Teicher, J., &amp; Holland, P. (2006). </w:t>
      </w:r>
      <w:r w:rsidRPr="008D5D94">
        <w:rPr>
          <w:noProof/>
        </w:rPr>
        <w:t xml:space="preserve">A comparison of the effectiveness of employee voice arrangements in Australia. </w:t>
      </w:r>
      <w:r w:rsidRPr="008D5D94">
        <w:rPr>
          <w:i/>
          <w:noProof/>
        </w:rPr>
        <w:t>Industrial Relations Journal, 37</w:t>
      </w:r>
      <w:r w:rsidRPr="008D5D94">
        <w:rPr>
          <w:noProof/>
        </w:rPr>
        <w:t xml:space="preserve">(5), 543-559. </w:t>
      </w:r>
    </w:p>
    <w:p w:rsidR="00CB40D8" w:rsidRPr="008D5D94" w:rsidRDefault="00CB40D8" w:rsidP="00CB40D8">
      <w:pPr>
        <w:pStyle w:val="EndNoteBibliography"/>
        <w:spacing w:after="0"/>
        <w:ind w:left="720" w:hanging="720"/>
        <w:rPr>
          <w:noProof/>
        </w:rPr>
      </w:pPr>
      <w:r w:rsidRPr="008D5D94">
        <w:rPr>
          <w:noProof/>
        </w:rPr>
        <w:t xml:space="preserve">Pyman, A., Holland, P., Teicher, J., &amp; Cooper, B. (2010). Industrial relations climate, employee voice and managerial attitudes to unions: An Australian study. </w:t>
      </w:r>
      <w:r w:rsidRPr="008D5D94">
        <w:rPr>
          <w:i/>
          <w:noProof/>
        </w:rPr>
        <w:t>British Journal of Industrial Relations, 48</w:t>
      </w:r>
      <w:r w:rsidRPr="008D5D94">
        <w:rPr>
          <w:noProof/>
        </w:rPr>
        <w:t xml:space="preserve">(2), 460-480. </w:t>
      </w:r>
    </w:p>
    <w:p w:rsidR="00CB40D8" w:rsidRPr="008D5D94" w:rsidRDefault="00CB40D8" w:rsidP="00CB40D8">
      <w:pPr>
        <w:pStyle w:val="EndNoteBibliography"/>
        <w:spacing w:after="0"/>
        <w:ind w:left="720" w:hanging="720"/>
        <w:rPr>
          <w:noProof/>
        </w:rPr>
      </w:pPr>
      <w:r w:rsidRPr="00093E63">
        <w:rPr>
          <w:noProof/>
        </w:rPr>
        <w:t xml:space="preserve">Pyman, A., Teicher, J., Cooper, B., &amp; Holland, P. (2015). </w:t>
      </w:r>
      <w:r w:rsidRPr="008D5D94">
        <w:rPr>
          <w:i/>
          <w:noProof/>
        </w:rPr>
        <w:t>The predictors of unmet demand in non-union workplaces: An Australian study</w:t>
      </w:r>
      <w:r w:rsidRPr="008D5D94">
        <w:rPr>
          <w:noProof/>
        </w:rPr>
        <w:t xml:space="preserve">. Unpublished paper.  </w:t>
      </w:r>
    </w:p>
    <w:p w:rsidR="00CB40D8" w:rsidRPr="008D5D94" w:rsidRDefault="00CB40D8" w:rsidP="00CB40D8">
      <w:pPr>
        <w:pStyle w:val="EndNoteBibliography"/>
        <w:spacing w:after="0"/>
        <w:ind w:left="720" w:hanging="720"/>
        <w:rPr>
          <w:noProof/>
        </w:rPr>
      </w:pPr>
      <w:r w:rsidRPr="008D5D94">
        <w:rPr>
          <w:noProof/>
        </w:rPr>
        <w:t xml:space="preserve">Spector, P. E. (1997). </w:t>
      </w:r>
      <w:r w:rsidRPr="008D5D94">
        <w:rPr>
          <w:i/>
          <w:noProof/>
        </w:rPr>
        <w:t>Job satisfaction: Application, assessment, cause, and consequences</w:t>
      </w:r>
      <w:r w:rsidRPr="008D5D94">
        <w:rPr>
          <w:noProof/>
        </w:rPr>
        <w:t>. Thousand Oaks, CA: Sage.</w:t>
      </w:r>
    </w:p>
    <w:p w:rsidR="00CB40D8" w:rsidRPr="008D5D94" w:rsidRDefault="00CB40D8" w:rsidP="00CB40D8">
      <w:pPr>
        <w:pStyle w:val="EndNoteBibliography"/>
        <w:spacing w:after="0"/>
        <w:ind w:left="720" w:hanging="720"/>
        <w:rPr>
          <w:noProof/>
        </w:rPr>
      </w:pPr>
      <w:r w:rsidRPr="008D5D94">
        <w:rPr>
          <w:noProof/>
        </w:rPr>
        <w:t xml:space="preserve">Traxler, F., Blaschke, S., &amp; Kittel, B. (2001). </w:t>
      </w:r>
      <w:r w:rsidRPr="008D5D94">
        <w:rPr>
          <w:i/>
          <w:noProof/>
        </w:rPr>
        <w:t>National labour relations in internationalized markets: A comparative study of institutions, change, and performance</w:t>
      </w:r>
      <w:r w:rsidRPr="008D5D94">
        <w:rPr>
          <w:noProof/>
        </w:rPr>
        <w:t>. Oxford: Oxford University Press.</w:t>
      </w:r>
    </w:p>
    <w:p w:rsidR="00CB40D8" w:rsidRPr="008D5D94" w:rsidRDefault="00CB40D8" w:rsidP="00CB40D8">
      <w:pPr>
        <w:pStyle w:val="EndNoteBibliography"/>
        <w:ind w:left="720" w:hanging="720"/>
        <w:rPr>
          <w:noProof/>
        </w:rPr>
      </w:pPr>
      <w:r w:rsidRPr="008D5D94">
        <w:rPr>
          <w:noProof/>
        </w:rPr>
        <w:t xml:space="preserve">Wright, T. A. (2006). The emergence of job satisfaction in organizational behavior. </w:t>
      </w:r>
      <w:r w:rsidRPr="008D5D94">
        <w:rPr>
          <w:i/>
          <w:noProof/>
        </w:rPr>
        <w:t>Journal of Managerial History, 12</w:t>
      </w:r>
      <w:r w:rsidRPr="008D5D94">
        <w:rPr>
          <w:noProof/>
        </w:rPr>
        <w:t xml:space="preserve">(3), 262-277. </w:t>
      </w:r>
    </w:p>
    <w:p w:rsidR="00CB40D8" w:rsidRDefault="00CB40D8" w:rsidP="00CB40D8">
      <w:pPr>
        <w:spacing w:after="0" w:line="360" w:lineRule="auto"/>
        <w:rPr>
          <w:rFonts w:cstheme="majorBidi"/>
          <w:b/>
          <w:bCs/>
          <w:sz w:val="24"/>
          <w:szCs w:val="24"/>
        </w:rPr>
      </w:pPr>
      <w:r>
        <w:rPr>
          <w:rFonts w:cstheme="majorBidi"/>
          <w:b/>
          <w:bCs/>
          <w:sz w:val="24"/>
          <w:szCs w:val="24"/>
        </w:rPr>
        <w:fldChar w:fldCharType="end"/>
      </w:r>
    </w:p>
    <w:p w:rsidR="00CB40D8" w:rsidRDefault="00CB40D8" w:rsidP="00CB40D8">
      <w:pPr>
        <w:spacing w:after="0" w:line="360" w:lineRule="auto"/>
        <w:rPr>
          <w:rFonts w:cstheme="majorBidi"/>
          <w:b/>
          <w:bCs/>
          <w:sz w:val="24"/>
          <w:szCs w:val="24"/>
        </w:rPr>
      </w:pPr>
    </w:p>
    <w:p w:rsidR="00CB40D8" w:rsidRDefault="00CB40D8" w:rsidP="00CB40D8">
      <w:pPr>
        <w:spacing w:after="0" w:line="360" w:lineRule="auto"/>
        <w:rPr>
          <w:rFonts w:cstheme="majorBidi"/>
          <w:b/>
          <w:bCs/>
          <w:sz w:val="24"/>
          <w:szCs w:val="24"/>
        </w:rPr>
      </w:pPr>
    </w:p>
    <w:p w:rsidR="00CB40D8" w:rsidRDefault="00CB40D8" w:rsidP="00CB40D8">
      <w:pPr>
        <w:spacing w:after="0" w:line="360" w:lineRule="auto"/>
        <w:rPr>
          <w:rFonts w:cstheme="majorBidi"/>
          <w:b/>
          <w:bCs/>
          <w:sz w:val="24"/>
          <w:szCs w:val="24"/>
        </w:rPr>
      </w:pPr>
    </w:p>
    <w:p w:rsidR="003E77EB" w:rsidRPr="003E77EB" w:rsidRDefault="003E77EB" w:rsidP="00CB40D8">
      <w:pPr>
        <w:spacing w:after="0" w:line="360" w:lineRule="auto"/>
        <w:rPr>
          <w:rFonts w:cstheme="majorBidi"/>
          <w:b/>
          <w:bCs/>
          <w:sz w:val="28"/>
          <w:szCs w:val="28"/>
        </w:rPr>
      </w:pPr>
      <w:r w:rsidRPr="003E77EB">
        <w:rPr>
          <w:rFonts w:cstheme="majorBidi"/>
          <w:b/>
          <w:bCs/>
          <w:sz w:val="28"/>
          <w:szCs w:val="28"/>
        </w:rPr>
        <w:t>List of Contributors</w:t>
      </w:r>
    </w:p>
    <w:p w:rsidR="003E77EB" w:rsidRDefault="003E77EB" w:rsidP="00CB40D8">
      <w:pPr>
        <w:spacing w:after="0" w:line="360" w:lineRule="auto"/>
        <w:rPr>
          <w:rFonts w:cstheme="majorBidi"/>
          <w:sz w:val="24"/>
          <w:szCs w:val="24"/>
        </w:rPr>
      </w:pPr>
      <w:r w:rsidRPr="003E77EB">
        <w:rPr>
          <w:rFonts w:cstheme="majorBidi"/>
          <w:sz w:val="24"/>
          <w:szCs w:val="24"/>
        </w:rPr>
        <w:t>Professor Julian Teicher</w:t>
      </w:r>
    </w:p>
    <w:p w:rsidR="003E77EB" w:rsidRPr="00093E63" w:rsidRDefault="003E77EB" w:rsidP="00CB40D8">
      <w:pPr>
        <w:spacing w:after="0" w:line="360" w:lineRule="auto"/>
        <w:rPr>
          <w:rFonts w:cstheme="majorBidi"/>
          <w:sz w:val="24"/>
          <w:szCs w:val="24"/>
        </w:rPr>
      </w:pPr>
      <w:r w:rsidRPr="00093E63">
        <w:rPr>
          <w:rFonts w:cstheme="majorBidi"/>
          <w:sz w:val="24"/>
          <w:szCs w:val="24"/>
        </w:rPr>
        <w:t>Associate Professor Anne Bardoel</w:t>
      </w:r>
    </w:p>
    <w:p w:rsidR="003E77EB" w:rsidRPr="00093E63" w:rsidRDefault="003E77EB" w:rsidP="00CB40D8">
      <w:pPr>
        <w:spacing w:after="0" w:line="360" w:lineRule="auto"/>
        <w:rPr>
          <w:rFonts w:cstheme="majorBidi"/>
          <w:sz w:val="24"/>
          <w:szCs w:val="24"/>
        </w:rPr>
      </w:pPr>
      <w:r w:rsidRPr="00093E63">
        <w:rPr>
          <w:rFonts w:cstheme="majorBidi"/>
          <w:sz w:val="24"/>
          <w:szCs w:val="24"/>
        </w:rPr>
        <w:t>Associate Professor Peter Holland</w:t>
      </w:r>
    </w:p>
    <w:p w:rsidR="003E77EB" w:rsidRPr="00093E63" w:rsidRDefault="003E77EB" w:rsidP="00CB40D8">
      <w:pPr>
        <w:spacing w:after="0" w:line="360" w:lineRule="auto"/>
        <w:rPr>
          <w:rFonts w:cstheme="majorBidi"/>
          <w:sz w:val="24"/>
          <w:szCs w:val="24"/>
        </w:rPr>
      </w:pPr>
      <w:r w:rsidRPr="00093E63">
        <w:rPr>
          <w:rFonts w:cstheme="majorBidi"/>
          <w:sz w:val="24"/>
          <w:szCs w:val="24"/>
        </w:rPr>
        <w:t>Associate Professor Amanda Pyman</w:t>
      </w:r>
    </w:p>
    <w:p w:rsidR="003E77EB" w:rsidRPr="00093E63" w:rsidRDefault="003E77EB" w:rsidP="00CB40D8">
      <w:pPr>
        <w:spacing w:after="0" w:line="360" w:lineRule="auto"/>
        <w:rPr>
          <w:rFonts w:cstheme="majorBidi"/>
          <w:sz w:val="24"/>
          <w:szCs w:val="24"/>
        </w:rPr>
      </w:pPr>
      <w:r w:rsidRPr="00093E63">
        <w:rPr>
          <w:rFonts w:cstheme="majorBidi"/>
          <w:sz w:val="24"/>
          <w:szCs w:val="24"/>
        </w:rPr>
        <w:t>Dr Brian Cooper</w:t>
      </w:r>
    </w:p>
    <w:p w:rsidR="00241B39" w:rsidRPr="00093E63" w:rsidRDefault="00241B39" w:rsidP="00CB40D8">
      <w:pPr>
        <w:spacing w:after="0" w:line="360" w:lineRule="auto"/>
        <w:rPr>
          <w:rFonts w:cstheme="majorBidi"/>
          <w:sz w:val="24"/>
          <w:szCs w:val="24"/>
        </w:rPr>
      </w:pPr>
      <w:r w:rsidRPr="00093E63">
        <w:rPr>
          <w:rFonts w:cstheme="majorBidi"/>
          <w:sz w:val="24"/>
          <w:szCs w:val="24"/>
        </w:rPr>
        <w:t>Dr Marjorie Jerrard</w:t>
      </w:r>
    </w:p>
    <w:p w:rsidR="003E77EB" w:rsidRPr="00093E63" w:rsidRDefault="003E77EB" w:rsidP="00CB40D8">
      <w:pPr>
        <w:spacing w:after="0" w:line="360" w:lineRule="auto"/>
        <w:rPr>
          <w:rFonts w:cstheme="majorBidi"/>
          <w:sz w:val="24"/>
          <w:szCs w:val="24"/>
        </w:rPr>
      </w:pPr>
      <w:r w:rsidRPr="00093E63">
        <w:rPr>
          <w:rFonts w:cstheme="majorBidi"/>
          <w:sz w:val="24"/>
          <w:szCs w:val="24"/>
        </w:rPr>
        <w:t>Dr Susan Mayson</w:t>
      </w:r>
    </w:p>
    <w:p w:rsidR="009559D8" w:rsidRPr="00093E63" w:rsidRDefault="009559D8" w:rsidP="00CB40D8">
      <w:pPr>
        <w:spacing w:after="0" w:line="360" w:lineRule="auto"/>
        <w:rPr>
          <w:rFonts w:cstheme="majorBidi"/>
          <w:sz w:val="24"/>
          <w:szCs w:val="24"/>
        </w:rPr>
      </w:pPr>
      <w:r w:rsidRPr="00093E63">
        <w:rPr>
          <w:rFonts w:cstheme="majorBidi"/>
          <w:sz w:val="24"/>
          <w:szCs w:val="24"/>
        </w:rPr>
        <w:t>Mr Geoff McGill</w:t>
      </w:r>
    </w:p>
    <w:p w:rsidR="00241B39" w:rsidRPr="003E77EB" w:rsidRDefault="00241B39" w:rsidP="00CB40D8">
      <w:pPr>
        <w:spacing w:after="0" w:line="360" w:lineRule="auto"/>
        <w:rPr>
          <w:rFonts w:cstheme="majorBidi"/>
          <w:sz w:val="24"/>
          <w:szCs w:val="24"/>
          <w:lang w:val="it-IT"/>
        </w:rPr>
      </w:pPr>
      <w:r>
        <w:rPr>
          <w:rFonts w:cstheme="majorBidi"/>
          <w:sz w:val="24"/>
          <w:szCs w:val="24"/>
          <w:lang w:val="it-IT"/>
        </w:rPr>
        <w:t>Ms Anne O’Rourke</w:t>
      </w: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pPr>
    </w:p>
    <w:p w:rsidR="003E77EB" w:rsidRPr="003E77EB" w:rsidRDefault="003E77EB" w:rsidP="00CB40D8">
      <w:pPr>
        <w:spacing w:after="0" w:line="360" w:lineRule="auto"/>
        <w:rPr>
          <w:rFonts w:cstheme="majorBidi"/>
          <w:b/>
          <w:bCs/>
          <w:sz w:val="24"/>
          <w:szCs w:val="24"/>
          <w:lang w:val="it-IT"/>
        </w:rPr>
        <w:sectPr w:rsidR="003E77EB" w:rsidRPr="003E77EB" w:rsidSect="005C4940">
          <w:footerReference w:type="even" r:id="rId24"/>
          <w:footerReference w:type="default" r:id="rId25"/>
          <w:footerReference w:type="first" r:id="rId26"/>
          <w:pgSz w:w="11906" w:h="16838"/>
          <w:pgMar w:top="1418" w:right="1133" w:bottom="1440" w:left="1440" w:header="708" w:footer="708" w:gutter="0"/>
          <w:cols w:space="708"/>
          <w:docGrid w:linePitch="360"/>
        </w:sectPr>
      </w:pPr>
    </w:p>
    <w:p w:rsidR="00676AC2" w:rsidRPr="009559D8" w:rsidRDefault="00676AC2" w:rsidP="00676AC2">
      <w:pPr>
        <w:pStyle w:val="EndNoteBibliography"/>
        <w:spacing w:after="0"/>
        <w:rPr>
          <w:b/>
          <w:bCs/>
          <w:noProof/>
        </w:rPr>
      </w:pPr>
      <w:bookmarkStart w:id="10" w:name="_Toc287859329"/>
      <w:bookmarkStart w:id="11" w:name="_Toc414343779"/>
      <w:r w:rsidRPr="009559D8">
        <w:rPr>
          <w:b/>
          <w:bCs/>
          <w:noProof/>
        </w:rPr>
        <w:lastRenderedPageBreak/>
        <w:t>Appendix A</w:t>
      </w:r>
      <w:bookmarkEnd w:id="10"/>
      <w:bookmarkEnd w:id="11"/>
    </w:p>
    <w:p w:rsidR="00676AC2" w:rsidRDefault="00676AC2" w:rsidP="00676AC2">
      <w:pPr>
        <w:pStyle w:val="EndNoteBibliography"/>
        <w:ind w:left="720" w:hanging="720"/>
        <w:rPr>
          <w:noProof/>
        </w:rPr>
      </w:pPr>
      <w:r>
        <w:rPr>
          <w:noProof/>
          <w:lang w:eastAsia="en-AU"/>
        </w:rPr>
        <w:drawing>
          <wp:anchor distT="0" distB="0" distL="107950" distR="107950" simplePos="0" relativeHeight="251720704" behindDoc="0" locked="0" layoutInCell="1" allowOverlap="1" wp14:anchorId="48FBC4C6" wp14:editId="084C0B5C">
            <wp:simplePos x="0" y="0"/>
            <wp:positionH relativeFrom="margin">
              <wp:align>center</wp:align>
            </wp:positionH>
            <wp:positionV relativeFrom="margin">
              <wp:align>top</wp:align>
            </wp:positionV>
            <wp:extent cx="6801485" cy="5100955"/>
            <wp:effectExtent l="0" t="0" r="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27">
                      <a:extLst>
                        <a:ext uri="{28A0092B-C50C-407E-A947-70E740481C1C}">
                          <a14:useLocalDpi xmlns:a14="http://schemas.microsoft.com/office/drawing/2010/main" val="0"/>
                        </a:ext>
                      </a:extLst>
                    </a:blip>
                    <a:stretch>
                      <a:fillRect/>
                    </a:stretch>
                  </pic:blipFill>
                  <pic:spPr>
                    <a:xfrm>
                      <a:off x="0" y="0"/>
                      <a:ext cx="6801485" cy="5100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676AC2" w:rsidRDefault="00676AC2" w:rsidP="00676AC2">
      <w:pPr>
        <w:pStyle w:val="EndNoteBibliography"/>
        <w:ind w:left="720" w:hanging="720"/>
        <w:rPr>
          <w:noProof/>
        </w:rPr>
      </w:pPr>
    </w:p>
    <w:p w:rsidR="00676AC2" w:rsidRDefault="00676AC2" w:rsidP="00676AC2">
      <w:pPr>
        <w:pStyle w:val="EndNoteBibliography"/>
        <w:ind w:left="720" w:hanging="720"/>
        <w:rPr>
          <w:noProof/>
        </w:rPr>
      </w:pPr>
    </w:p>
    <w:p w:rsidR="00676AC2" w:rsidRDefault="00676AC2" w:rsidP="00676AC2">
      <w:pPr>
        <w:pStyle w:val="EndNoteBibliography"/>
        <w:ind w:left="720" w:hanging="720"/>
        <w:rPr>
          <w:noProof/>
        </w:rPr>
      </w:pPr>
    </w:p>
    <w:p w:rsidR="007878C0" w:rsidRDefault="00676AC2" w:rsidP="00676AC2">
      <w:pPr>
        <w:pStyle w:val="EndNoteBibliography"/>
        <w:spacing w:after="0"/>
        <w:rPr>
          <w:rFonts w:cstheme="majorBidi"/>
          <w:b/>
          <w:bCs/>
          <w:szCs w:val="24"/>
        </w:rPr>
      </w:pPr>
      <w:r>
        <w:rPr>
          <w:rFonts w:cstheme="majorBidi"/>
          <w:b/>
          <w:bCs/>
          <w:szCs w:val="24"/>
        </w:rPr>
        <w:br w:type="page"/>
      </w:r>
    </w:p>
    <w:sectPr w:rsidR="007878C0" w:rsidSect="007878C0">
      <w:footerReference w:type="even" r:id="rId28"/>
      <w:footerReference w:type="default" r:id="rId29"/>
      <w:footerReference w:type="first" r:id="rId30"/>
      <w:pgSz w:w="16838" w:h="11906" w:orient="landscape"/>
      <w:pgMar w:top="1440" w:right="1418" w:bottom="113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3A" w:rsidRDefault="00DE253A" w:rsidP="006B1CF7">
      <w:pPr>
        <w:spacing w:after="0" w:line="240" w:lineRule="auto"/>
      </w:pPr>
      <w:r>
        <w:separator/>
      </w:r>
    </w:p>
  </w:endnote>
  <w:endnote w:type="continuationSeparator" w:id="0">
    <w:p w:rsidR="00DE253A" w:rsidRDefault="00DE253A" w:rsidP="006B1CF7">
      <w:pPr>
        <w:spacing w:after="0" w:line="240" w:lineRule="auto"/>
      </w:pPr>
      <w:r>
        <w:continuationSeparator/>
      </w:r>
    </w:p>
  </w:endnote>
  <w:endnote w:id="1">
    <w:p w:rsidR="008A49DC" w:rsidRPr="00AB4BFA" w:rsidRDefault="008A49DC" w:rsidP="00AB4BFA">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TimesNRMT">
    <w:panose1 w:val="00000000000000000000"/>
    <w:charset w:val="00"/>
    <w:family w:val="roman"/>
    <w:notTrueType/>
    <w:pitch w:val="default"/>
    <w:sig w:usb0="00000003" w:usb1="00000000" w:usb2="00000000" w:usb3="00000000" w:csb0="00000001" w:csb1="00000000"/>
  </w:font>
  <w:font w:name="Italic">
    <w:altName w:val="Cambria"/>
    <w:panose1 w:val="00000000000000000000"/>
    <w:charset w:val="4D"/>
    <w:family w:val="auto"/>
    <w:notTrueType/>
    <w:pitch w:val="default"/>
    <w:sig w:usb0="00000003" w:usb1="00000000" w:usb2="00000000" w:usb3="00000000" w:csb0="00000001" w:csb1="00000000"/>
  </w:font>
  <w:font w:name="TimesNRMT-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C" w:rsidRDefault="008A49DC" w:rsidP="004D41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49DC" w:rsidRDefault="008A49DC" w:rsidP="007D65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C" w:rsidRDefault="008A49DC" w:rsidP="0031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4043">
      <w:rPr>
        <w:rStyle w:val="PageNumber"/>
        <w:noProof/>
      </w:rPr>
      <w:t>1</w:t>
    </w:r>
    <w:r>
      <w:rPr>
        <w:rStyle w:val="PageNumber"/>
      </w:rPr>
      <w:fldChar w:fldCharType="end"/>
    </w:r>
  </w:p>
  <w:p w:rsidR="008A49DC" w:rsidRDefault="008A49DC" w:rsidP="007D658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C" w:rsidRDefault="008A49DC" w:rsidP="0039532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C" w:rsidRDefault="008A49DC" w:rsidP="004D41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49DC" w:rsidRDefault="008A49DC" w:rsidP="007D658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C" w:rsidRDefault="008A49DC" w:rsidP="0031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4043">
      <w:rPr>
        <w:rStyle w:val="PageNumber"/>
        <w:noProof/>
      </w:rPr>
      <w:t>41</w:t>
    </w:r>
    <w:r>
      <w:rPr>
        <w:rStyle w:val="PageNumber"/>
      </w:rPr>
      <w:fldChar w:fldCharType="end"/>
    </w:r>
  </w:p>
  <w:p w:rsidR="008A49DC" w:rsidRDefault="008A49DC" w:rsidP="007D658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DC" w:rsidRDefault="008A49DC" w:rsidP="003953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3A" w:rsidRDefault="00DE253A" w:rsidP="006B1CF7">
      <w:pPr>
        <w:spacing w:after="0" w:line="240" w:lineRule="auto"/>
      </w:pPr>
      <w:r>
        <w:separator/>
      </w:r>
    </w:p>
  </w:footnote>
  <w:footnote w:type="continuationSeparator" w:id="0">
    <w:p w:rsidR="00DE253A" w:rsidRDefault="00DE253A" w:rsidP="006B1CF7">
      <w:pPr>
        <w:spacing w:after="0" w:line="240" w:lineRule="auto"/>
      </w:pPr>
      <w:r>
        <w:continuationSeparator/>
      </w:r>
    </w:p>
  </w:footnote>
  <w:footnote w:id="1">
    <w:p w:rsidR="008A49DC" w:rsidRPr="006E022F" w:rsidRDefault="008A49DC" w:rsidP="00D11B18">
      <w:pPr>
        <w:spacing w:after="0" w:line="240" w:lineRule="auto"/>
        <w:ind w:left="720"/>
        <w:rPr>
          <w:rFonts w:eastAsia="PMingLiU" w:cstheme="majorBidi"/>
          <w:bCs/>
          <w:sz w:val="20"/>
          <w:szCs w:val="20"/>
        </w:rPr>
      </w:pPr>
      <w:r>
        <w:rPr>
          <w:rStyle w:val="FootnoteReference"/>
        </w:rPr>
        <w:footnoteRef/>
      </w:r>
      <w:r>
        <w:t xml:space="preserve"> </w:t>
      </w:r>
      <w:r w:rsidRPr="006E022F">
        <w:rPr>
          <w:rFonts w:eastAsia="PMingLiU" w:cstheme="majorBidi"/>
          <w:bCs/>
          <w:sz w:val="20"/>
          <w:szCs w:val="20"/>
        </w:rPr>
        <w:t>The period of the 19</w:t>
      </w:r>
      <w:r>
        <w:rPr>
          <w:rFonts w:eastAsia="PMingLiU" w:cstheme="majorBidi"/>
          <w:bCs/>
          <w:sz w:val="20"/>
          <w:szCs w:val="20"/>
        </w:rPr>
        <w:t>8</w:t>
      </w:r>
      <w:r w:rsidRPr="006E022F">
        <w:rPr>
          <w:rFonts w:eastAsia="PMingLiU" w:cstheme="majorBidi"/>
          <w:bCs/>
          <w:sz w:val="20"/>
          <w:szCs w:val="20"/>
        </w:rPr>
        <w:t>0s and up to the introduction of the WorkChoices</w:t>
      </w:r>
      <w:r>
        <w:rPr>
          <w:rFonts w:eastAsia="PMingLiU" w:cstheme="majorBidi"/>
          <w:bCs/>
          <w:sz w:val="20"/>
          <w:szCs w:val="20"/>
        </w:rPr>
        <w:t xml:space="preserve"> legislation in 2006</w:t>
      </w:r>
      <w:r w:rsidRPr="006E022F">
        <w:rPr>
          <w:rFonts w:eastAsia="PMingLiU" w:cstheme="majorBidi"/>
          <w:bCs/>
          <w:sz w:val="20"/>
          <w:szCs w:val="20"/>
        </w:rPr>
        <w:t xml:space="preserve"> a large measure of agreement existed between the labour market parties on key aspects of our industrial and workplace relations systems. In 1999, AMMA identified the following areas of commonality:</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The industrial relations system should have an award safety net arrangement supervised by the AIRC;</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Enterprise bargaining  should be the main  form  of the regulation of industrial relations;</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The AIRC should protect procedural fairness and minimum standards, but otherwise not interfere in the outcome of bargaining;</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 xml:space="preserve">Other </w:t>
      </w:r>
      <w:r>
        <w:rPr>
          <w:rFonts w:eastAsia="PMingLiU" w:cstheme="majorBidi"/>
          <w:bCs/>
          <w:sz w:val="20"/>
          <w:szCs w:val="20"/>
        </w:rPr>
        <w:t>c</w:t>
      </w:r>
      <w:r w:rsidRPr="006E022F">
        <w:rPr>
          <w:rFonts w:eastAsia="PMingLiU" w:cstheme="majorBidi"/>
          <w:bCs/>
          <w:sz w:val="20"/>
          <w:szCs w:val="20"/>
        </w:rPr>
        <w:t>onstitutional  heads of power can be used where appropriate , in framing legislation;</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A right to strike should be recognised in bargaining for new agreements, and there is a limited role for the AIRC during periods of protected action;</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The AIRC’s powers to intervene to settle an industrial dispute is a function to be exercised in extraordinary circumstances but not normally otherwise;</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Protection from legal sanction and the common law should be afforded the parties during periods of protected bargaining, but sanctions for breach of agreements and unauthorised industrial action should be available in other circumstances including access to the common law; and</w:t>
      </w:r>
    </w:p>
    <w:p w:rsidR="008A49DC" w:rsidRPr="006E022F" w:rsidRDefault="008A49DC" w:rsidP="00FE2CDB">
      <w:pPr>
        <w:pStyle w:val="ListParagraph"/>
        <w:numPr>
          <w:ilvl w:val="0"/>
          <w:numId w:val="2"/>
        </w:numPr>
        <w:spacing w:after="0" w:line="240" w:lineRule="auto"/>
        <w:ind w:left="1440"/>
        <w:rPr>
          <w:rFonts w:eastAsia="PMingLiU" w:cstheme="majorBidi"/>
          <w:bCs/>
          <w:sz w:val="20"/>
          <w:szCs w:val="20"/>
        </w:rPr>
      </w:pPr>
      <w:r w:rsidRPr="006E022F">
        <w:rPr>
          <w:rFonts w:eastAsia="PMingLiU" w:cstheme="majorBidi"/>
          <w:bCs/>
          <w:sz w:val="20"/>
          <w:szCs w:val="20"/>
        </w:rPr>
        <w:t>A system of recognition and registration is required to be maintained as part of the machinery of the industrial relations system.</w:t>
      </w:r>
    </w:p>
    <w:p w:rsidR="008A49DC" w:rsidRDefault="008A49DC" w:rsidP="00D11B18">
      <w:pPr>
        <w:pStyle w:val="FootnoteText"/>
      </w:pPr>
    </w:p>
  </w:footnote>
  <w:footnote w:id="2">
    <w:p w:rsidR="008A49DC" w:rsidRPr="00D8033E" w:rsidRDefault="008A49DC" w:rsidP="00357DF2">
      <w:pPr>
        <w:pStyle w:val="ListParagraph"/>
        <w:spacing w:after="0" w:line="240" w:lineRule="auto"/>
        <w:ind w:left="0"/>
        <w:rPr>
          <w:rFonts w:cstheme="majorBidi"/>
          <w:sz w:val="20"/>
          <w:szCs w:val="20"/>
        </w:rPr>
      </w:pPr>
      <w:r w:rsidRPr="006E022F">
        <w:rPr>
          <w:rStyle w:val="FootnoteReference"/>
          <w:rFonts w:cstheme="majorBidi"/>
          <w:sz w:val="20"/>
          <w:szCs w:val="20"/>
        </w:rPr>
        <w:footnoteRef/>
      </w:r>
      <w:r w:rsidRPr="006E022F">
        <w:rPr>
          <w:rFonts w:cstheme="majorBidi"/>
          <w:sz w:val="20"/>
          <w:szCs w:val="20"/>
        </w:rPr>
        <w:t xml:space="preserve"> It is noteworthy that the Commission of Audit initiated by the current government, suggested the minimum wage be set by the federal governme</w:t>
      </w:r>
      <w:r>
        <w:rPr>
          <w:rFonts w:cstheme="majorBidi"/>
          <w:sz w:val="20"/>
          <w:szCs w:val="20"/>
        </w:rPr>
        <w:t xml:space="preserve">nt using the corporations power; see </w:t>
      </w:r>
      <w:r>
        <w:rPr>
          <w:rFonts w:cstheme="majorBidi"/>
          <w:i/>
          <w:iCs/>
          <w:sz w:val="20"/>
          <w:szCs w:val="20"/>
        </w:rPr>
        <w:t>Australian Financial Review,</w:t>
      </w:r>
      <w:r w:rsidRPr="006E022F">
        <w:rPr>
          <w:rFonts w:cstheme="majorBidi"/>
          <w:color w:val="000000"/>
          <w:sz w:val="20"/>
          <w:szCs w:val="20"/>
        </w:rPr>
        <w:t xml:space="preserve"> 2 May, 2014</w:t>
      </w:r>
      <w:r>
        <w:rPr>
          <w:rFonts w:cstheme="majorBidi"/>
          <w:color w:val="000000"/>
          <w:sz w:val="20"/>
          <w:szCs w:val="20"/>
        </w:rPr>
        <w:t>.</w:t>
      </w:r>
    </w:p>
  </w:footnote>
  <w:footnote w:id="3">
    <w:p w:rsidR="008A49DC" w:rsidRPr="00635E87" w:rsidRDefault="008A49DC" w:rsidP="00E0132B">
      <w:pPr>
        <w:pStyle w:val="FootnoteText"/>
        <w:rPr>
          <w:rFonts w:cstheme="majorBidi"/>
        </w:rPr>
      </w:pPr>
      <w:r w:rsidRPr="000F5CC1">
        <w:rPr>
          <w:rStyle w:val="FootnoteReference"/>
          <w:rFonts w:asciiTheme="majorBidi" w:hAnsiTheme="majorBidi" w:cstheme="majorBidi"/>
        </w:rPr>
        <w:footnoteRef/>
      </w:r>
      <w:r w:rsidRPr="000F5CC1">
        <w:rPr>
          <w:rFonts w:asciiTheme="majorBidi" w:hAnsiTheme="majorBidi" w:cstheme="majorBidi"/>
        </w:rPr>
        <w:t xml:space="preserve"> </w:t>
      </w:r>
      <w:r w:rsidRPr="002928D9">
        <w:rPr>
          <w:rFonts w:cstheme="majorBidi"/>
        </w:rPr>
        <w:t>Fair Work Ombudsman</w:t>
      </w:r>
      <w:r w:rsidRPr="002928D9">
        <w:rPr>
          <w:rFonts w:cstheme="majorBidi"/>
          <w:b/>
        </w:rPr>
        <w:t>,</w:t>
      </w:r>
      <w:r>
        <w:rPr>
          <w:rFonts w:cstheme="majorBidi"/>
          <w:b/>
        </w:rPr>
        <w:t xml:space="preserve"> </w:t>
      </w:r>
      <w:r w:rsidRPr="002928D9">
        <w:rPr>
          <w:rFonts w:cstheme="majorBidi"/>
          <w:b/>
        </w:rPr>
        <w:t xml:space="preserve"> </w:t>
      </w:r>
      <w:hyperlink r:id="rId1" w:history="1">
        <w:r w:rsidRPr="002928D9">
          <w:rPr>
            <w:rStyle w:val="Hyperlink"/>
            <w:rFonts w:cstheme="majorBidi"/>
          </w:rPr>
          <w:t>http://www.fairwork.gov.au/about-us/policies-and-guides/</w:t>
        </w:r>
      </w:hyperlink>
      <w:r>
        <w:rPr>
          <w:rStyle w:val="Hyperlink"/>
          <w:rFonts w:cstheme="majorBidi"/>
          <w:color w:val="auto"/>
          <w:u w:val="none"/>
        </w:rPr>
        <w:t xml:space="preserve">.   </w:t>
      </w:r>
      <w:r w:rsidRPr="002928D9">
        <w:rPr>
          <w:rStyle w:val="Hyperlink"/>
          <w:rFonts w:cstheme="majorBidi"/>
          <w:color w:val="auto"/>
          <w:u w:val="none"/>
        </w:rPr>
        <w:t>Also see</w:t>
      </w:r>
      <w:r>
        <w:rPr>
          <w:rStyle w:val="Hyperlink"/>
          <w:rFonts w:cstheme="majorBidi"/>
          <w:color w:val="auto"/>
          <w:u w:val="none"/>
        </w:rPr>
        <w:t xml:space="preserve"> </w:t>
      </w:r>
      <w:r w:rsidRPr="002928D9">
        <w:rPr>
          <w:rStyle w:val="Hyperlink"/>
          <w:rFonts w:cstheme="majorBidi"/>
          <w:color w:val="auto"/>
          <w:u w:val="none"/>
        </w:rPr>
        <w:t>Small-business-and-the-Fair-Work-Act-best-practice-guide.</w:t>
      </w:r>
      <w:r w:rsidRPr="00635E87">
        <w:rPr>
          <w:rStyle w:val="Hyperlink"/>
          <w:rFonts w:cstheme="majorBidi"/>
          <w:color w:val="auto"/>
          <w:u w:val="none"/>
        </w:rPr>
        <w:t>pdf and https://www.fwc.gov.au/.</w:t>
      </w:r>
    </w:p>
  </w:footnote>
  <w:footnote w:id="4">
    <w:p w:rsidR="008A49DC" w:rsidRPr="00635E87" w:rsidRDefault="008A49DC" w:rsidP="004A21F5">
      <w:pPr>
        <w:pStyle w:val="FootnoteText"/>
        <w:rPr>
          <w:rFonts w:cstheme="majorBidi"/>
        </w:rPr>
      </w:pPr>
      <w:r w:rsidRPr="00635E87">
        <w:rPr>
          <w:rStyle w:val="FootnoteReference"/>
          <w:rFonts w:cstheme="majorBidi"/>
        </w:rPr>
        <w:footnoteRef/>
      </w:r>
      <w:r w:rsidRPr="00635E87">
        <w:rPr>
          <w:rFonts w:cstheme="majorBidi"/>
        </w:rPr>
        <w:t xml:space="preserve"> See for example http://www.cosboa.org.au</w:t>
      </w:r>
    </w:p>
  </w:footnote>
  <w:footnote w:id="5">
    <w:p w:rsidR="008A49DC" w:rsidRPr="006E022F" w:rsidRDefault="008A49DC" w:rsidP="004A21F5">
      <w:pPr>
        <w:pStyle w:val="FootnoteText"/>
      </w:pPr>
      <w:r w:rsidRPr="006E022F">
        <w:rPr>
          <w:rStyle w:val="FootnoteReference"/>
          <w:rFonts w:cstheme="majorBidi"/>
        </w:rPr>
        <w:footnoteRef/>
      </w:r>
      <w:r w:rsidRPr="006E022F">
        <w:rPr>
          <w:rFonts w:cstheme="majorBidi"/>
        </w:rPr>
        <w:t xml:space="preserve"> See </w:t>
      </w:r>
      <w:hyperlink r:id="rId2" w:history="1">
        <w:r w:rsidRPr="006E022F">
          <w:rPr>
            <w:rStyle w:val="Hyperlink"/>
            <w:rFonts w:cstheme="majorBidi"/>
          </w:rPr>
          <w:t>https://www.cuttingredtape.gov.au/</w:t>
        </w:r>
      </w:hyperlink>
      <w:r w:rsidRPr="006E022F">
        <w:rPr>
          <w:rFonts w:cstheme="majorBidi"/>
          <w:sz w:val="24"/>
          <w:szCs w:val="24"/>
        </w:rPr>
        <w:t xml:space="preserve"> </w:t>
      </w:r>
    </w:p>
  </w:footnote>
  <w:footnote w:id="6">
    <w:p w:rsidR="008A49DC" w:rsidRPr="002928D9" w:rsidRDefault="008A49DC" w:rsidP="00E0132B">
      <w:pPr>
        <w:spacing w:after="0" w:line="240" w:lineRule="auto"/>
        <w:rPr>
          <w:rFonts w:cstheme="majorBidi"/>
          <w:sz w:val="20"/>
          <w:szCs w:val="20"/>
        </w:rPr>
      </w:pPr>
      <w:r w:rsidRPr="002928D9">
        <w:rPr>
          <w:rStyle w:val="FootnoteReference"/>
          <w:rFonts w:cstheme="majorBidi"/>
          <w:sz w:val="20"/>
          <w:szCs w:val="20"/>
        </w:rPr>
        <w:footnoteRef/>
      </w:r>
      <w:r w:rsidRPr="002928D9">
        <w:rPr>
          <w:rFonts w:cstheme="majorBidi"/>
          <w:sz w:val="20"/>
          <w:szCs w:val="20"/>
        </w:rPr>
        <w:t xml:space="preserve"> Fair Work Commission/Sweeney Research (2014) A Qualitative Research Report on Citizen Co-Design with Small Business Owners. Ref. No. 24210, 13</w:t>
      </w:r>
      <w:r w:rsidRPr="002928D9">
        <w:rPr>
          <w:rFonts w:cstheme="majorBidi"/>
          <w:sz w:val="20"/>
          <w:szCs w:val="20"/>
          <w:vertAlign w:val="superscript"/>
        </w:rPr>
        <w:t>th</w:t>
      </w:r>
      <w:r w:rsidRPr="002928D9">
        <w:rPr>
          <w:rFonts w:cstheme="majorBidi"/>
          <w:sz w:val="20"/>
          <w:szCs w:val="20"/>
        </w:rPr>
        <w:t xml:space="preserve"> August, V1. Prepared for the Fair Work Commission, Commonwealth of Australia; and </w:t>
      </w:r>
      <w:hyperlink r:id="rId3" w:history="1">
        <w:r w:rsidRPr="002928D9">
          <w:rPr>
            <w:rStyle w:val="Hyperlink"/>
            <w:rFonts w:cstheme="majorBidi"/>
            <w:sz w:val="20"/>
            <w:szCs w:val="20"/>
          </w:rPr>
          <w:t>https://www.fwc.gov.au/audience/small-business-employers</w:t>
        </w:r>
      </w:hyperlink>
    </w:p>
  </w:footnote>
  <w:footnote w:id="7">
    <w:p w:rsidR="008A49DC" w:rsidRPr="00192A31" w:rsidRDefault="008A49DC" w:rsidP="007A1E3C">
      <w:pPr>
        <w:pStyle w:val="FootnoteText"/>
      </w:pPr>
      <w:r w:rsidRPr="00192A31">
        <w:rPr>
          <w:rStyle w:val="FootnoteReference"/>
        </w:rPr>
        <w:footnoteRef/>
      </w:r>
      <w:r w:rsidRPr="00192A31">
        <w:t xml:space="preserve"> A description of the journey to all staff employment is provided by </w:t>
      </w:r>
      <w:proofErr w:type="spellStart"/>
      <w:r w:rsidRPr="00192A31">
        <w:t>Ludeke</w:t>
      </w:r>
      <w:proofErr w:type="spellEnd"/>
      <w:r>
        <w:t xml:space="preserve"> (1996)</w:t>
      </w:r>
      <w:r w:rsidRPr="00192A31">
        <w:t xml:space="preserve"> but an explanation of the detailed work that was done over several years at </w:t>
      </w:r>
      <w:proofErr w:type="spellStart"/>
      <w:r w:rsidRPr="00192A31">
        <w:t>Comalco’s</w:t>
      </w:r>
      <w:proofErr w:type="spellEnd"/>
      <w:r w:rsidRPr="00192A31">
        <w:t xml:space="preserve"> operating sites to change the culture of the workplace to engage the discretionary effort of employees can be found in </w:t>
      </w:r>
      <w:r>
        <w:t>Macdonald, Burke &amp; Stewart, 2006).</w:t>
      </w:r>
      <w:r w:rsidRPr="00192A31">
        <w:rPr>
          <w:highlight w:val="yellow"/>
        </w:rPr>
        <w:t xml:space="preserve">  </w:t>
      </w:r>
    </w:p>
    <w:p w:rsidR="008A49DC" w:rsidRPr="00192A31" w:rsidRDefault="008A49DC" w:rsidP="00FE2CDB">
      <w:pPr>
        <w:pStyle w:val="FootnoteText"/>
      </w:pPr>
      <w:r w:rsidRPr="00192A31">
        <w:rPr>
          <w:highlight w:val="yellow"/>
        </w:rPr>
        <w:t xml:space="preserve">  </w:t>
      </w:r>
    </w:p>
  </w:footnote>
  <w:footnote w:id="8">
    <w:p w:rsidR="008A49DC" w:rsidRPr="000F4477" w:rsidRDefault="008A49DC" w:rsidP="00BB2207">
      <w:pPr>
        <w:pStyle w:val="FootnoteText"/>
      </w:pPr>
      <w:r w:rsidRPr="000F4477">
        <w:rPr>
          <w:rStyle w:val="FootnoteReference"/>
        </w:rPr>
        <w:footnoteRef/>
      </w:r>
      <w:r w:rsidRPr="000F4477">
        <w:t xml:space="preserve"> </w:t>
      </w:r>
      <w:r w:rsidRPr="000F4477">
        <w:rPr>
          <w:rFonts w:cstheme="majorBidi"/>
        </w:rPr>
        <w:t xml:space="preserve">Australian Services Union (ASU), the AMIEU, the CFMEU (Construction and Mining and Energy Divisions), United Voice, the Maritime Union of Australia (MUA), </w:t>
      </w:r>
      <w:r>
        <w:rPr>
          <w:rFonts w:cstheme="majorBidi"/>
        </w:rPr>
        <w:t xml:space="preserve">and </w:t>
      </w:r>
      <w:r w:rsidRPr="000F4477">
        <w:rPr>
          <w:rFonts w:cstheme="majorBidi"/>
        </w:rPr>
        <w:t>the National Tertiary Education Union (NTEU)</w:t>
      </w:r>
      <w:r>
        <w:rPr>
          <w:rFonts w:cstheme="majorBidi"/>
        </w:rPr>
        <w:t>.</w:t>
      </w:r>
      <w:r w:rsidRPr="000F4477">
        <w:rPr>
          <w:rFonts w:eastAsia="Times New Roman" w:cstheme="majorBidi"/>
          <w:color w:val="000000"/>
          <w:lang w:eastAsia="en-AU"/>
        </w:rPr>
        <w:t>l</w:t>
      </w:r>
    </w:p>
  </w:footnote>
  <w:footnote w:id="9">
    <w:p w:rsidR="008A49DC" w:rsidRPr="00963E66" w:rsidRDefault="008A49DC" w:rsidP="009A0B56">
      <w:pPr>
        <w:pStyle w:val="FootnoteText"/>
        <w:rPr>
          <w:b/>
          <w:bCs/>
          <w:color w:val="FF3300"/>
        </w:rPr>
      </w:pPr>
      <w:r>
        <w:rPr>
          <w:rStyle w:val="FootnoteReference"/>
        </w:rPr>
        <w:footnoteRef/>
      </w:r>
      <w:r>
        <w:t xml:space="preserve">  Australian Research Council funded research </w:t>
      </w:r>
      <w:r w:rsidRPr="001D7656">
        <w:rPr>
          <w:color w:val="000000" w:themeColor="text1"/>
        </w:rPr>
        <w:t>project DP120103054: ‘Efficiency, Justice and Voice: A Study of Effective Ways to Prevent and Settle Workplace Disputes’</w:t>
      </w:r>
      <w:r w:rsidRPr="001D7656">
        <w:rPr>
          <w:b/>
          <w:bCs/>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B66"/>
    <w:multiLevelType w:val="multilevel"/>
    <w:tmpl w:val="33EC64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C240E4"/>
    <w:multiLevelType w:val="multilevel"/>
    <w:tmpl w:val="AE1E4A7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E2091E"/>
    <w:multiLevelType w:val="hybridMultilevel"/>
    <w:tmpl w:val="2B2C7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09E3853"/>
    <w:multiLevelType w:val="multilevel"/>
    <w:tmpl w:val="125462C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57B43D1"/>
    <w:multiLevelType w:val="hybridMultilevel"/>
    <w:tmpl w:val="C81A0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711F09"/>
    <w:multiLevelType w:val="multilevel"/>
    <w:tmpl w:val="A3905F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FE2335"/>
    <w:multiLevelType w:val="multilevel"/>
    <w:tmpl w:val="C7FCC1E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8C20026"/>
    <w:multiLevelType w:val="multilevel"/>
    <w:tmpl w:val="33EC641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F02ECF"/>
    <w:multiLevelType w:val="multilevel"/>
    <w:tmpl w:val="9C642486"/>
    <w:lvl w:ilvl="0">
      <w:start w:val="1"/>
      <w:numFmt w:val="decimal"/>
      <w:lvlText w:val="%1"/>
      <w:lvlJc w:val="left"/>
      <w:pPr>
        <w:ind w:left="720" w:hanging="360"/>
      </w:pPr>
      <w:rPr>
        <w:rFonts w:hint="default"/>
      </w:rPr>
    </w:lvl>
    <w:lvl w:ilvl="1">
      <w:start w:val="9"/>
      <w:numFmt w:val="decimal"/>
      <w:isLgl/>
      <w:lvlText w:val="%1.%2"/>
      <w:lvlJc w:val="left"/>
      <w:pPr>
        <w:ind w:left="1369"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503" w:hanging="1440"/>
      </w:pPr>
      <w:rPr>
        <w:rFonts w:hint="default"/>
      </w:rPr>
    </w:lvl>
    <w:lvl w:ilvl="8">
      <w:start w:val="1"/>
      <w:numFmt w:val="decimal"/>
      <w:isLgl/>
      <w:lvlText w:val="%1.%2.%3.%4.%5.%6.%7.%8.%9"/>
      <w:lvlJc w:val="left"/>
      <w:pPr>
        <w:ind w:left="6392" w:hanging="1800"/>
      </w:pPr>
      <w:rPr>
        <w:rFonts w:hint="default"/>
      </w:rPr>
    </w:lvl>
  </w:abstractNum>
  <w:abstractNum w:abstractNumId="9">
    <w:nsid w:val="1B1C4047"/>
    <w:multiLevelType w:val="hybridMultilevel"/>
    <w:tmpl w:val="342038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2136773"/>
    <w:multiLevelType w:val="multilevel"/>
    <w:tmpl w:val="AABC7C38"/>
    <w:lvl w:ilvl="0">
      <w:start w:val="6"/>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B470081"/>
    <w:multiLevelType w:val="multilevel"/>
    <w:tmpl w:val="33EC641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4478BE"/>
    <w:multiLevelType w:val="multilevel"/>
    <w:tmpl w:val="33EC64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DE43641"/>
    <w:multiLevelType w:val="hybridMultilevel"/>
    <w:tmpl w:val="2CF2BE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5B14C1"/>
    <w:multiLevelType w:val="multilevel"/>
    <w:tmpl w:val="40008AD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F80073C"/>
    <w:multiLevelType w:val="multilevel"/>
    <w:tmpl w:val="33EC64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3A32BD8"/>
    <w:multiLevelType w:val="multilevel"/>
    <w:tmpl w:val="13D66430"/>
    <w:lvl w:ilvl="0">
      <w:start w:val="3"/>
      <w:numFmt w:val="decimal"/>
      <w:lvlText w:val="%1"/>
      <w:lvlJc w:val="left"/>
      <w:pPr>
        <w:ind w:left="420" w:hanging="420"/>
      </w:pPr>
      <w:rPr>
        <w:rFonts w:hint="default"/>
      </w:rPr>
    </w:lvl>
    <w:lvl w:ilvl="1">
      <w:start w:val="12"/>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78A78F6"/>
    <w:multiLevelType w:val="hybridMultilevel"/>
    <w:tmpl w:val="76B6B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DC7B1F"/>
    <w:multiLevelType w:val="multilevel"/>
    <w:tmpl w:val="42A88A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DF81E00"/>
    <w:multiLevelType w:val="multilevel"/>
    <w:tmpl w:val="AABC7C38"/>
    <w:lvl w:ilvl="0">
      <w:start w:val="6"/>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FDE75CC"/>
    <w:multiLevelType w:val="multilevel"/>
    <w:tmpl w:val="0D5E51DC"/>
    <w:lvl w:ilvl="0">
      <w:start w:val="9"/>
      <w:numFmt w:val="decimal"/>
      <w:lvlText w:val="%1"/>
      <w:lvlJc w:val="left"/>
      <w:pPr>
        <w:ind w:left="375" w:hanging="375"/>
      </w:pPr>
      <w:rPr>
        <w:rFonts w:cstheme="minorBidi" w:hint="default"/>
        <w:b/>
        <w:sz w:val="28"/>
      </w:rPr>
    </w:lvl>
    <w:lvl w:ilvl="1">
      <w:start w:val="1"/>
      <w:numFmt w:val="decimal"/>
      <w:lvlText w:val="%1.%2"/>
      <w:lvlJc w:val="left"/>
      <w:pPr>
        <w:ind w:left="943" w:hanging="375"/>
      </w:pPr>
      <w:rPr>
        <w:rFonts w:cstheme="minorBidi" w:hint="default"/>
        <w:b w:val="0"/>
        <w:bCs/>
        <w:sz w:val="24"/>
        <w:szCs w:val="24"/>
      </w:rPr>
    </w:lvl>
    <w:lvl w:ilvl="2">
      <w:start w:val="1"/>
      <w:numFmt w:val="decimal"/>
      <w:lvlText w:val="%1.%2.%3"/>
      <w:lvlJc w:val="left"/>
      <w:pPr>
        <w:ind w:left="720" w:hanging="720"/>
      </w:pPr>
      <w:rPr>
        <w:rFonts w:cstheme="minorBidi" w:hint="default"/>
        <w:b/>
        <w:sz w:val="28"/>
      </w:rPr>
    </w:lvl>
    <w:lvl w:ilvl="3">
      <w:start w:val="1"/>
      <w:numFmt w:val="decimal"/>
      <w:lvlText w:val="%1.%2.%3.%4"/>
      <w:lvlJc w:val="left"/>
      <w:pPr>
        <w:ind w:left="720" w:hanging="720"/>
      </w:pPr>
      <w:rPr>
        <w:rFonts w:cstheme="minorBidi" w:hint="default"/>
        <w:b/>
        <w:sz w:val="28"/>
      </w:rPr>
    </w:lvl>
    <w:lvl w:ilvl="4">
      <w:start w:val="1"/>
      <w:numFmt w:val="decimal"/>
      <w:lvlText w:val="%1.%2.%3.%4.%5"/>
      <w:lvlJc w:val="left"/>
      <w:pPr>
        <w:ind w:left="1080" w:hanging="1080"/>
      </w:pPr>
      <w:rPr>
        <w:rFonts w:cstheme="minorBidi" w:hint="default"/>
        <w:b/>
        <w:sz w:val="28"/>
      </w:rPr>
    </w:lvl>
    <w:lvl w:ilvl="5">
      <w:start w:val="1"/>
      <w:numFmt w:val="decimal"/>
      <w:lvlText w:val="%1.%2.%3.%4.%5.%6"/>
      <w:lvlJc w:val="left"/>
      <w:pPr>
        <w:ind w:left="1080" w:hanging="1080"/>
      </w:pPr>
      <w:rPr>
        <w:rFonts w:cstheme="minorBidi" w:hint="default"/>
        <w:b/>
        <w:sz w:val="28"/>
      </w:rPr>
    </w:lvl>
    <w:lvl w:ilvl="6">
      <w:start w:val="1"/>
      <w:numFmt w:val="decimal"/>
      <w:lvlText w:val="%1.%2.%3.%4.%5.%6.%7"/>
      <w:lvlJc w:val="left"/>
      <w:pPr>
        <w:ind w:left="1440" w:hanging="1440"/>
      </w:pPr>
      <w:rPr>
        <w:rFonts w:cstheme="minorBidi" w:hint="default"/>
        <w:b/>
        <w:sz w:val="28"/>
      </w:rPr>
    </w:lvl>
    <w:lvl w:ilvl="7">
      <w:start w:val="1"/>
      <w:numFmt w:val="decimal"/>
      <w:lvlText w:val="%1.%2.%3.%4.%5.%6.%7.%8"/>
      <w:lvlJc w:val="left"/>
      <w:pPr>
        <w:ind w:left="1440" w:hanging="1440"/>
      </w:pPr>
      <w:rPr>
        <w:rFonts w:cstheme="minorBidi" w:hint="default"/>
        <w:b/>
        <w:sz w:val="28"/>
      </w:rPr>
    </w:lvl>
    <w:lvl w:ilvl="8">
      <w:start w:val="1"/>
      <w:numFmt w:val="decimal"/>
      <w:lvlText w:val="%1.%2.%3.%4.%5.%6.%7.%8.%9"/>
      <w:lvlJc w:val="left"/>
      <w:pPr>
        <w:ind w:left="1800" w:hanging="1800"/>
      </w:pPr>
      <w:rPr>
        <w:rFonts w:cstheme="minorBidi" w:hint="default"/>
        <w:b/>
        <w:sz w:val="28"/>
      </w:rPr>
    </w:lvl>
  </w:abstractNum>
  <w:abstractNum w:abstractNumId="21">
    <w:nsid w:val="49551238"/>
    <w:multiLevelType w:val="multilevel"/>
    <w:tmpl w:val="327C0C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nsid w:val="55BA0BEF"/>
    <w:multiLevelType w:val="multilevel"/>
    <w:tmpl w:val="9C642486"/>
    <w:lvl w:ilvl="0">
      <w:start w:val="1"/>
      <w:numFmt w:val="decimal"/>
      <w:lvlText w:val="%1"/>
      <w:lvlJc w:val="left"/>
      <w:pPr>
        <w:ind w:left="720" w:hanging="360"/>
      </w:pPr>
      <w:rPr>
        <w:rFonts w:hint="default"/>
      </w:rPr>
    </w:lvl>
    <w:lvl w:ilvl="1">
      <w:start w:val="9"/>
      <w:numFmt w:val="decimal"/>
      <w:isLgl/>
      <w:lvlText w:val="%1.%2"/>
      <w:lvlJc w:val="left"/>
      <w:pPr>
        <w:ind w:left="1369"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503" w:hanging="1440"/>
      </w:pPr>
      <w:rPr>
        <w:rFonts w:hint="default"/>
      </w:rPr>
    </w:lvl>
    <w:lvl w:ilvl="8">
      <w:start w:val="1"/>
      <w:numFmt w:val="decimal"/>
      <w:isLgl/>
      <w:lvlText w:val="%1.%2.%3.%4.%5.%6.%7.%8.%9"/>
      <w:lvlJc w:val="left"/>
      <w:pPr>
        <w:ind w:left="6392" w:hanging="1800"/>
      </w:pPr>
      <w:rPr>
        <w:rFonts w:hint="default"/>
      </w:rPr>
    </w:lvl>
  </w:abstractNum>
  <w:abstractNum w:abstractNumId="24">
    <w:nsid w:val="57AD4A9A"/>
    <w:multiLevelType w:val="hybridMultilevel"/>
    <w:tmpl w:val="D0BE9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013C6B"/>
    <w:multiLevelType w:val="hybridMultilevel"/>
    <w:tmpl w:val="259661B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2477AB"/>
    <w:multiLevelType w:val="hybridMultilevel"/>
    <w:tmpl w:val="6B32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641EBB"/>
    <w:multiLevelType w:val="hybridMultilevel"/>
    <w:tmpl w:val="4B8CD328"/>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8">
    <w:nsid w:val="6472479B"/>
    <w:multiLevelType w:val="multilevel"/>
    <w:tmpl w:val="7704344A"/>
    <w:lvl w:ilvl="0">
      <w:start w:val="6"/>
      <w:numFmt w:val="decimal"/>
      <w:lvlText w:val="%1"/>
      <w:lvlJc w:val="left"/>
      <w:pPr>
        <w:ind w:left="360" w:hanging="360"/>
      </w:pPr>
      <w:rPr>
        <w:rFonts w:hint="default"/>
      </w:rPr>
    </w:lvl>
    <w:lvl w:ilvl="1">
      <w:start w:val="1"/>
      <w:numFmt w:val="none"/>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AD11407"/>
    <w:multiLevelType w:val="multilevel"/>
    <w:tmpl w:val="F154A338"/>
    <w:lvl w:ilvl="0">
      <w:start w:val="6"/>
      <w:numFmt w:val="decimal"/>
      <w:lvlText w:val="%1"/>
      <w:lvlJc w:val="left"/>
      <w:pPr>
        <w:ind w:left="440" w:hanging="440"/>
      </w:pPr>
      <w:rPr>
        <w:rFonts w:hint="default"/>
      </w:rPr>
    </w:lvl>
    <w:lvl w:ilvl="1">
      <w:start w:val="14"/>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D006D6B"/>
    <w:multiLevelType w:val="hybridMultilevel"/>
    <w:tmpl w:val="EF36B0F8"/>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AD87BF4"/>
    <w:multiLevelType w:val="hybridMultilevel"/>
    <w:tmpl w:val="FBF0B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CAF0842"/>
    <w:multiLevelType w:val="hybridMultilevel"/>
    <w:tmpl w:val="A24CB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4"/>
  </w:num>
  <w:num w:numId="3">
    <w:abstractNumId w:val="22"/>
  </w:num>
  <w:num w:numId="4">
    <w:abstractNumId w:val="26"/>
  </w:num>
  <w:num w:numId="5">
    <w:abstractNumId w:val="11"/>
  </w:num>
  <w:num w:numId="6">
    <w:abstractNumId w:val="3"/>
  </w:num>
  <w:num w:numId="7">
    <w:abstractNumId w:val="28"/>
  </w:num>
  <w:num w:numId="8">
    <w:abstractNumId w:val="6"/>
  </w:num>
  <w:num w:numId="9">
    <w:abstractNumId w:val="25"/>
  </w:num>
  <w:num w:numId="10">
    <w:abstractNumId w:val="23"/>
  </w:num>
  <w:num w:numId="11">
    <w:abstractNumId w:val="16"/>
  </w:num>
  <w:num w:numId="12">
    <w:abstractNumId w:val="29"/>
  </w:num>
  <w:num w:numId="13">
    <w:abstractNumId w:val="27"/>
  </w:num>
  <w:num w:numId="14">
    <w:abstractNumId w:val="9"/>
  </w:num>
  <w:num w:numId="15">
    <w:abstractNumId w:val="33"/>
  </w:num>
  <w:num w:numId="16">
    <w:abstractNumId w:val="32"/>
  </w:num>
  <w:num w:numId="17">
    <w:abstractNumId w:val="2"/>
  </w:num>
  <w:num w:numId="18">
    <w:abstractNumId w:val="8"/>
  </w:num>
  <w:num w:numId="19">
    <w:abstractNumId w:val="17"/>
  </w:num>
  <w:num w:numId="20">
    <w:abstractNumId w:val="15"/>
  </w:num>
  <w:num w:numId="21">
    <w:abstractNumId w:val="12"/>
  </w:num>
  <w:num w:numId="22">
    <w:abstractNumId w:val="30"/>
  </w:num>
  <w:num w:numId="23">
    <w:abstractNumId w:val="1"/>
  </w:num>
  <w:num w:numId="24">
    <w:abstractNumId w:val="5"/>
  </w:num>
  <w:num w:numId="25">
    <w:abstractNumId w:val="19"/>
  </w:num>
  <w:num w:numId="26">
    <w:abstractNumId w:val="10"/>
  </w:num>
  <w:num w:numId="27">
    <w:abstractNumId w:val="14"/>
  </w:num>
  <w:num w:numId="28">
    <w:abstractNumId w:val="24"/>
  </w:num>
  <w:num w:numId="29">
    <w:abstractNumId w:val="18"/>
  </w:num>
  <w:num w:numId="30">
    <w:abstractNumId w:val="0"/>
  </w:num>
  <w:num w:numId="31">
    <w:abstractNumId w:val="7"/>
  </w:num>
  <w:num w:numId="32">
    <w:abstractNumId w:val="31"/>
  </w:num>
  <w:num w:numId="33">
    <w:abstractNumId w:val="13"/>
  </w:num>
  <w:num w:numId="3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en-AU"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xe9w25v07zaw5hev9v0p2xz5fwzxxrfx0t50&quot;&gt;FWC&lt;record-ids&gt;&lt;item&gt;1&lt;/item&gt;&lt;item&gt;3&lt;/item&gt;&lt;item&gt;7&lt;/item&gt;&lt;item&gt;10&lt;/item&gt;&lt;item&gt;11&lt;/item&gt;&lt;item&gt;12&lt;/item&gt;&lt;item&gt;13&lt;/item&gt;&lt;item&gt;14&lt;/item&gt;&lt;item&gt;19&lt;/item&gt;&lt;item&gt;25&lt;/item&gt;&lt;item&gt;26&lt;/item&gt;&lt;item&gt;28&lt;/item&gt;&lt;item&gt;29&lt;/item&gt;&lt;item&gt;30&lt;/item&gt;&lt;item&gt;31&lt;/item&gt;&lt;item&gt;33&lt;/item&gt;&lt;item&gt;34&lt;/item&gt;&lt;item&gt;35&lt;/item&gt;&lt;item&gt;36&lt;/item&gt;&lt;item&gt;38&lt;/item&gt;&lt;item&gt;39&lt;/item&gt;&lt;item&gt;40&lt;/item&gt;&lt;item&gt;41&lt;/item&gt;&lt;item&gt;42&lt;/item&gt;&lt;item&gt;43&lt;/item&gt;&lt;item&gt;44&lt;/item&gt;&lt;item&gt;45&lt;/item&gt;&lt;item&gt;46&lt;/item&gt;&lt;/record-ids&gt;&lt;/item&gt;&lt;/Libraries&gt;"/>
  </w:docVars>
  <w:rsids>
    <w:rsidRoot w:val="001D7CFC"/>
    <w:rsid w:val="00014B04"/>
    <w:rsid w:val="00021FEF"/>
    <w:rsid w:val="00024A6E"/>
    <w:rsid w:val="0004455F"/>
    <w:rsid w:val="000448A8"/>
    <w:rsid w:val="00071092"/>
    <w:rsid w:val="0007143B"/>
    <w:rsid w:val="00075FB6"/>
    <w:rsid w:val="00090549"/>
    <w:rsid w:val="00090E45"/>
    <w:rsid w:val="0009264E"/>
    <w:rsid w:val="00092BB3"/>
    <w:rsid w:val="00093E63"/>
    <w:rsid w:val="00095158"/>
    <w:rsid w:val="000A4BBE"/>
    <w:rsid w:val="000C1811"/>
    <w:rsid w:val="000D3ABC"/>
    <w:rsid w:val="000E0D2F"/>
    <w:rsid w:val="000E313C"/>
    <w:rsid w:val="000E4177"/>
    <w:rsid w:val="000E4F2E"/>
    <w:rsid w:val="000E629A"/>
    <w:rsid w:val="000F03C7"/>
    <w:rsid w:val="000F5CC1"/>
    <w:rsid w:val="00107C00"/>
    <w:rsid w:val="00110A4E"/>
    <w:rsid w:val="001324E9"/>
    <w:rsid w:val="001325A9"/>
    <w:rsid w:val="00133BAF"/>
    <w:rsid w:val="0017324A"/>
    <w:rsid w:val="001813A4"/>
    <w:rsid w:val="00181EB9"/>
    <w:rsid w:val="001839C0"/>
    <w:rsid w:val="0018683D"/>
    <w:rsid w:val="0019601B"/>
    <w:rsid w:val="001A7BC1"/>
    <w:rsid w:val="001B37B3"/>
    <w:rsid w:val="001B70C3"/>
    <w:rsid w:val="001D086B"/>
    <w:rsid w:val="001D5BD1"/>
    <w:rsid w:val="001D7656"/>
    <w:rsid w:val="001D7CFC"/>
    <w:rsid w:val="001E65B0"/>
    <w:rsid w:val="001E7944"/>
    <w:rsid w:val="001F1F2E"/>
    <w:rsid w:val="001F296D"/>
    <w:rsid w:val="00202759"/>
    <w:rsid w:val="00234C24"/>
    <w:rsid w:val="00241B39"/>
    <w:rsid w:val="002527D8"/>
    <w:rsid w:val="00252D21"/>
    <w:rsid w:val="0026765D"/>
    <w:rsid w:val="00274CBA"/>
    <w:rsid w:val="002813E1"/>
    <w:rsid w:val="002846AB"/>
    <w:rsid w:val="0028742C"/>
    <w:rsid w:val="002928D9"/>
    <w:rsid w:val="002A2737"/>
    <w:rsid w:val="002D6ADD"/>
    <w:rsid w:val="002E17BB"/>
    <w:rsid w:val="002F7F8C"/>
    <w:rsid w:val="00300CA9"/>
    <w:rsid w:val="00304B3C"/>
    <w:rsid w:val="003127C8"/>
    <w:rsid w:val="00312B35"/>
    <w:rsid w:val="00313034"/>
    <w:rsid w:val="00315BDF"/>
    <w:rsid w:val="0031674C"/>
    <w:rsid w:val="00316F33"/>
    <w:rsid w:val="003200B1"/>
    <w:rsid w:val="00321374"/>
    <w:rsid w:val="00326CCC"/>
    <w:rsid w:val="00327732"/>
    <w:rsid w:val="00330579"/>
    <w:rsid w:val="00334ED8"/>
    <w:rsid w:val="00350BCA"/>
    <w:rsid w:val="00356FEF"/>
    <w:rsid w:val="00357DF2"/>
    <w:rsid w:val="003600FD"/>
    <w:rsid w:val="0036168A"/>
    <w:rsid w:val="003622D8"/>
    <w:rsid w:val="00363918"/>
    <w:rsid w:val="00383DCB"/>
    <w:rsid w:val="0039155E"/>
    <w:rsid w:val="003950C1"/>
    <w:rsid w:val="00395320"/>
    <w:rsid w:val="00396C03"/>
    <w:rsid w:val="003A11E3"/>
    <w:rsid w:val="003A4BEA"/>
    <w:rsid w:val="003A5A38"/>
    <w:rsid w:val="003A6DB8"/>
    <w:rsid w:val="003B1C4A"/>
    <w:rsid w:val="003B7A1F"/>
    <w:rsid w:val="003C3A8E"/>
    <w:rsid w:val="003C57DD"/>
    <w:rsid w:val="003E3B5C"/>
    <w:rsid w:val="003E753E"/>
    <w:rsid w:val="003E77EB"/>
    <w:rsid w:val="00423B64"/>
    <w:rsid w:val="00426E51"/>
    <w:rsid w:val="00436761"/>
    <w:rsid w:val="0045531B"/>
    <w:rsid w:val="004577DB"/>
    <w:rsid w:val="00467549"/>
    <w:rsid w:val="00483CC0"/>
    <w:rsid w:val="00491D3B"/>
    <w:rsid w:val="004920CE"/>
    <w:rsid w:val="0049486E"/>
    <w:rsid w:val="00494F98"/>
    <w:rsid w:val="0049593B"/>
    <w:rsid w:val="004A21F5"/>
    <w:rsid w:val="004A2AE6"/>
    <w:rsid w:val="004A3821"/>
    <w:rsid w:val="004B17FE"/>
    <w:rsid w:val="004B1FA1"/>
    <w:rsid w:val="004B5116"/>
    <w:rsid w:val="004C0D6B"/>
    <w:rsid w:val="004C4FBB"/>
    <w:rsid w:val="004C5D71"/>
    <w:rsid w:val="004D4117"/>
    <w:rsid w:val="004D4190"/>
    <w:rsid w:val="004F1F52"/>
    <w:rsid w:val="004F210A"/>
    <w:rsid w:val="004F2C34"/>
    <w:rsid w:val="004F4163"/>
    <w:rsid w:val="00500E45"/>
    <w:rsid w:val="005464A1"/>
    <w:rsid w:val="00556EE9"/>
    <w:rsid w:val="00577980"/>
    <w:rsid w:val="005A0DCE"/>
    <w:rsid w:val="005A7A28"/>
    <w:rsid w:val="005C4940"/>
    <w:rsid w:val="005D19E1"/>
    <w:rsid w:val="005D35FC"/>
    <w:rsid w:val="005E2352"/>
    <w:rsid w:val="005F0264"/>
    <w:rsid w:val="00620396"/>
    <w:rsid w:val="00620585"/>
    <w:rsid w:val="006255AF"/>
    <w:rsid w:val="00625E25"/>
    <w:rsid w:val="006350F5"/>
    <w:rsid w:val="00635E87"/>
    <w:rsid w:val="00637AB8"/>
    <w:rsid w:val="0065210B"/>
    <w:rsid w:val="00652E54"/>
    <w:rsid w:val="00661093"/>
    <w:rsid w:val="0066254F"/>
    <w:rsid w:val="00662AF7"/>
    <w:rsid w:val="00675F56"/>
    <w:rsid w:val="00676AC2"/>
    <w:rsid w:val="00683FB6"/>
    <w:rsid w:val="00685A38"/>
    <w:rsid w:val="00694929"/>
    <w:rsid w:val="00696E95"/>
    <w:rsid w:val="0069720A"/>
    <w:rsid w:val="00697A31"/>
    <w:rsid w:val="006A1709"/>
    <w:rsid w:val="006A1986"/>
    <w:rsid w:val="006A64D6"/>
    <w:rsid w:val="006B1CF7"/>
    <w:rsid w:val="006B3294"/>
    <w:rsid w:val="006E022F"/>
    <w:rsid w:val="006E2310"/>
    <w:rsid w:val="007049EB"/>
    <w:rsid w:val="0071518D"/>
    <w:rsid w:val="0071735B"/>
    <w:rsid w:val="00722055"/>
    <w:rsid w:val="00726E76"/>
    <w:rsid w:val="00731A0D"/>
    <w:rsid w:val="007328A2"/>
    <w:rsid w:val="00732CE0"/>
    <w:rsid w:val="00753427"/>
    <w:rsid w:val="00755C69"/>
    <w:rsid w:val="007568FA"/>
    <w:rsid w:val="007575D9"/>
    <w:rsid w:val="00767B94"/>
    <w:rsid w:val="007878C0"/>
    <w:rsid w:val="007A1A69"/>
    <w:rsid w:val="007A1E3C"/>
    <w:rsid w:val="007A409C"/>
    <w:rsid w:val="007A67CA"/>
    <w:rsid w:val="007A72B9"/>
    <w:rsid w:val="007A7B2C"/>
    <w:rsid w:val="007B3CFB"/>
    <w:rsid w:val="007C16A6"/>
    <w:rsid w:val="007C416A"/>
    <w:rsid w:val="007D0F65"/>
    <w:rsid w:val="007D2091"/>
    <w:rsid w:val="007D658D"/>
    <w:rsid w:val="007E08B4"/>
    <w:rsid w:val="007E3B35"/>
    <w:rsid w:val="007E4A18"/>
    <w:rsid w:val="008023A1"/>
    <w:rsid w:val="00805629"/>
    <w:rsid w:val="0080643B"/>
    <w:rsid w:val="00811911"/>
    <w:rsid w:val="00824D79"/>
    <w:rsid w:val="008251A9"/>
    <w:rsid w:val="00836BA7"/>
    <w:rsid w:val="00837EAE"/>
    <w:rsid w:val="008505F9"/>
    <w:rsid w:val="0085622D"/>
    <w:rsid w:val="00867DDB"/>
    <w:rsid w:val="00871627"/>
    <w:rsid w:val="00872BA4"/>
    <w:rsid w:val="00881906"/>
    <w:rsid w:val="008A414F"/>
    <w:rsid w:val="008A49DC"/>
    <w:rsid w:val="008A4A0F"/>
    <w:rsid w:val="008A7295"/>
    <w:rsid w:val="008B3607"/>
    <w:rsid w:val="008C3FFC"/>
    <w:rsid w:val="008D5D94"/>
    <w:rsid w:val="008E2292"/>
    <w:rsid w:val="008F0FAC"/>
    <w:rsid w:val="008F22D7"/>
    <w:rsid w:val="00901749"/>
    <w:rsid w:val="0090228C"/>
    <w:rsid w:val="00904F82"/>
    <w:rsid w:val="009073FE"/>
    <w:rsid w:val="009129E9"/>
    <w:rsid w:val="009219E9"/>
    <w:rsid w:val="00924D07"/>
    <w:rsid w:val="00925998"/>
    <w:rsid w:val="00926F6E"/>
    <w:rsid w:val="00930D28"/>
    <w:rsid w:val="009413AB"/>
    <w:rsid w:val="009454BA"/>
    <w:rsid w:val="0094705C"/>
    <w:rsid w:val="009559D8"/>
    <w:rsid w:val="00963E66"/>
    <w:rsid w:val="00971C31"/>
    <w:rsid w:val="00981C9B"/>
    <w:rsid w:val="009920AB"/>
    <w:rsid w:val="009A0B56"/>
    <w:rsid w:val="009A1EF0"/>
    <w:rsid w:val="009A6804"/>
    <w:rsid w:val="009D002D"/>
    <w:rsid w:val="009D711A"/>
    <w:rsid w:val="009E7286"/>
    <w:rsid w:val="009F36FC"/>
    <w:rsid w:val="009F703B"/>
    <w:rsid w:val="00A068DB"/>
    <w:rsid w:val="00A121B2"/>
    <w:rsid w:val="00A13FCD"/>
    <w:rsid w:val="00A20CEA"/>
    <w:rsid w:val="00A25F5D"/>
    <w:rsid w:val="00A376E0"/>
    <w:rsid w:val="00A54735"/>
    <w:rsid w:val="00A5553D"/>
    <w:rsid w:val="00A602CF"/>
    <w:rsid w:val="00A645AD"/>
    <w:rsid w:val="00A652C9"/>
    <w:rsid w:val="00A665FC"/>
    <w:rsid w:val="00A71180"/>
    <w:rsid w:val="00A84820"/>
    <w:rsid w:val="00A85A33"/>
    <w:rsid w:val="00A85E88"/>
    <w:rsid w:val="00A94B31"/>
    <w:rsid w:val="00AA1739"/>
    <w:rsid w:val="00AB1CE2"/>
    <w:rsid w:val="00AB3306"/>
    <w:rsid w:val="00AB4BFA"/>
    <w:rsid w:val="00AB5B58"/>
    <w:rsid w:val="00AD0730"/>
    <w:rsid w:val="00AD0ED0"/>
    <w:rsid w:val="00AD16CA"/>
    <w:rsid w:val="00AF32F9"/>
    <w:rsid w:val="00AF3AA5"/>
    <w:rsid w:val="00B05886"/>
    <w:rsid w:val="00B16243"/>
    <w:rsid w:val="00B26CA7"/>
    <w:rsid w:val="00B30218"/>
    <w:rsid w:val="00B34F6E"/>
    <w:rsid w:val="00B466C8"/>
    <w:rsid w:val="00B51CBB"/>
    <w:rsid w:val="00B770A8"/>
    <w:rsid w:val="00B964B0"/>
    <w:rsid w:val="00BB2207"/>
    <w:rsid w:val="00BC65EB"/>
    <w:rsid w:val="00BD64A5"/>
    <w:rsid w:val="00BE235A"/>
    <w:rsid w:val="00BF5A14"/>
    <w:rsid w:val="00BF5F6C"/>
    <w:rsid w:val="00C12828"/>
    <w:rsid w:val="00C23BFF"/>
    <w:rsid w:val="00C321B2"/>
    <w:rsid w:val="00C33C6C"/>
    <w:rsid w:val="00C53C3E"/>
    <w:rsid w:val="00C55CC5"/>
    <w:rsid w:val="00C60203"/>
    <w:rsid w:val="00C63348"/>
    <w:rsid w:val="00C93EB7"/>
    <w:rsid w:val="00CA3D1B"/>
    <w:rsid w:val="00CB0FB0"/>
    <w:rsid w:val="00CB389B"/>
    <w:rsid w:val="00CB40D8"/>
    <w:rsid w:val="00CB72E5"/>
    <w:rsid w:val="00CC2F47"/>
    <w:rsid w:val="00CE1275"/>
    <w:rsid w:val="00CE28A8"/>
    <w:rsid w:val="00CE499E"/>
    <w:rsid w:val="00CF0CA5"/>
    <w:rsid w:val="00CF4462"/>
    <w:rsid w:val="00CF71DB"/>
    <w:rsid w:val="00CF7FAB"/>
    <w:rsid w:val="00D10AD7"/>
    <w:rsid w:val="00D11B18"/>
    <w:rsid w:val="00D162FF"/>
    <w:rsid w:val="00D16EF6"/>
    <w:rsid w:val="00D20A74"/>
    <w:rsid w:val="00D52755"/>
    <w:rsid w:val="00D57323"/>
    <w:rsid w:val="00D65255"/>
    <w:rsid w:val="00D74029"/>
    <w:rsid w:val="00D81245"/>
    <w:rsid w:val="00D81C35"/>
    <w:rsid w:val="00D85FD8"/>
    <w:rsid w:val="00D93CDA"/>
    <w:rsid w:val="00D95A7E"/>
    <w:rsid w:val="00DB13CE"/>
    <w:rsid w:val="00DB211E"/>
    <w:rsid w:val="00DB33F3"/>
    <w:rsid w:val="00DC0CD6"/>
    <w:rsid w:val="00DC7DF8"/>
    <w:rsid w:val="00DE253A"/>
    <w:rsid w:val="00DE53C7"/>
    <w:rsid w:val="00E0132B"/>
    <w:rsid w:val="00E04AE9"/>
    <w:rsid w:val="00E07AF4"/>
    <w:rsid w:val="00E10B06"/>
    <w:rsid w:val="00E12BCB"/>
    <w:rsid w:val="00E14E7F"/>
    <w:rsid w:val="00E15092"/>
    <w:rsid w:val="00E26E59"/>
    <w:rsid w:val="00E35582"/>
    <w:rsid w:val="00E3723C"/>
    <w:rsid w:val="00E41D29"/>
    <w:rsid w:val="00E72713"/>
    <w:rsid w:val="00E839AC"/>
    <w:rsid w:val="00E86C84"/>
    <w:rsid w:val="00E94C49"/>
    <w:rsid w:val="00EA037E"/>
    <w:rsid w:val="00EA43AC"/>
    <w:rsid w:val="00EC0DF5"/>
    <w:rsid w:val="00EF104E"/>
    <w:rsid w:val="00F30163"/>
    <w:rsid w:val="00F5336C"/>
    <w:rsid w:val="00F55C15"/>
    <w:rsid w:val="00F56562"/>
    <w:rsid w:val="00F644FB"/>
    <w:rsid w:val="00F66561"/>
    <w:rsid w:val="00F67EDD"/>
    <w:rsid w:val="00F73EEE"/>
    <w:rsid w:val="00F83B9E"/>
    <w:rsid w:val="00F84043"/>
    <w:rsid w:val="00FA5324"/>
    <w:rsid w:val="00FA6CB0"/>
    <w:rsid w:val="00FD2068"/>
    <w:rsid w:val="00FD5193"/>
    <w:rsid w:val="00FD74B1"/>
    <w:rsid w:val="00FE2CDB"/>
    <w:rsid w:val="00FF6C5F"/>
    <w:rsid w:val="00FF7B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27D8"/>
    <w:pPr>
      <w:keepNext/>
      <w:keepLines/>
      <w:spacing w:before="480" w:after="0"/>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qFormat/>
    <w:rsid w:val="0094705C"/>
    <w:pPr>
      <w:keepNext/>
      <w:spacing w:before="240" w:after="60"/>
      <w:outlineLvl w:val="1"/>
    </w:pPr>
    <w:rPr>
      <w:rFonts w:ascii="Cambria" w:eastAsia="Times New Roman" w:hAnsi="Cambria" w:cs="Times New Roman"/>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FC"/>
    <w:rPr>
      <w:rFonts w:ascii="Tahoma" w:hAnsi="Tahoma" w:cs="Tahoma"/>
      <w:sz w:val="16"/>
      <w:szCs w:val="16"/>
    </w:rPr>
  </w:style>
  <w:style w:type="paragraph" w:styleId="ListParagraph">
    <w:name w:val="List Paragraph"/>
    <w:basedOn w:val="Normal"/>
    <w:uiPriority w:val="34"/>
    <w:qFormat/>
    <w:rsid w:val="00A652C9"/>
    <w:pPr>
      <w:ind w:left="720"/>
      <w:contextualSpacing/>
    </w:pPr>
  </w:style>
  <w:style w:type="paragraph" w:styleId="NormalWeb">
    <w:name w:val="Normal (Web)"/>
    <w:basedOn w:val="Normal"/>
    <w:uiPriority w:val="99"/>
    <w:semiHidden/>
    <w:unhideWhenUsed/>
    <w:rsid w:val="00A65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0B06"/>
    <w:rPr>
      <w:b/>
      <w:bCs/>
    </w:rPr>
  </w:style>
  <w:style w:type="character" w:customStyle="1" w:styleId="apple-converted-space">
    <w:name w:val="apple-converted-space"/>
    <w:basedOn w:val="DefaultParagraphFont"/>
    <w:rsid w:val="00E10B06"/>
  </w:style>
  <w:style w:type="character" w:styleId="Hyperlink">
    <w:name w:val="Hyperlink"/>
    <w:basedOn w:val="DefaultParagraphFont"/>
    <w:uiPriority w:val="99"/>
    <w:unhideWhenUsed/>
    <w:rsid w:val="00E10B06"/>
    <w:rPr>
      <w:color w:val="0000FF"/>
      <w:u w:val="single"/>
    </w:rPr>
  </w:style>
  <w:style w:type="character" w:customStyle="1" w:styleId="Heading2Char">
    <w:name w:val="Heading 2 Char"/>
    <w:basedOn w:val="DefaultParagraphFont"/>
    <w:link w:val="Heading2"/>
    <w:uiPriority w:val="9"/>
    <w:rsid w:val="0094705C"/>
    <w:rPr>
      <w:rFonts w:ascii="Cambria" w:eastAsia="Times New Roman" w:hAnsi="Cambria" w:cs="Times New Roman"/>
      <w:b/>
      <w:bCs/>
      <w:i/>
      <w:iCs/>
      <w:sz w:val="28"/>
      <w:szCs w:val="28"/>
      <w:lang w:val="x-none" w:eastAsia="en-US"/>
    </w:rPr>
  </w:style>
  <w:style w:type="paragraph" w:styleId="EndnoteText">
    <w:name w:val="endnote text"/>
    <w:basedOn w:val="Normal"/>
    <w:link w:val="EndnoteTextChar"/>
    <w:uiPriority w:val="99"/>
    <w:unhideWhenUsed/>
    <w:rsid w:val="006B1CF7"/>
    <w:pPr>
      <w:spacing w:after="0" w:line="240" w:lineRule="auto"/>
      <w:jc w:val="both"/>
    </w:pPr>
    <w:rPr>
      <w:rFonts w:ascii="Times New Roman" w:eastAsia="Times New Roman" w:hAnsi="Times New Roman" w:cs="Times New Roman"/>
      <w:sz w:val="24"/>
      <w:szCs w:val="24"/>
      <w:lang w:val="en-GB" w:eastAsia="x-none"/>
    </w:rPr>
  </w:style>
  <w:style w:type="character" w:customStyle="1" w:styleId="EndnoteTextChar">
    <w:name w:val="Endnote Text Char"/>
    <w:basedOn w:val="DefaultParagraphFont"/>
    <w:link w:val="EndnoteText"/>
    <w:uiPriority w:val="99"/>
    <w:rsid w:val="006B1CF7"/>
    <w:rPr>
      <w:rFonts w:ascii="Times New Roman" w:eastAsia="Times New Roman" w:hAnsi="Times New Roman" w:cs="Times New Roman"/>
      <w:sz w:val="24"/>
      <w:szCs w:val="24"/>
      <w:lang w:val="en-GB" w:eastAsia="x-none"/>
    </w:rPr>
  </w:style>
  <w:style w:type="character" w:styleId="EndnoteReference">
    <w:name w:val="endnote reference"/>
    <w:uiPriority w:val="99"/>
    <w:unhideWhenUsed/>
    <w:rsid w:val="006B1CF7"/>
    <w:rPr>
      <w:rFonts w:cs="Times New Roman"/>
      <w:vertAlign w:val="superscript"/>
    </w:rPr>
  </w:style>
  <w:style w:type="character" w:styleId="CommentReference">
    <w:name w:val="annotation reference"/>
    <w:basedOn w:val="DefaultParagraphFont"/>
    <w:uiPriority w:val="99"/>
    <w:semiHidden/>
    <w:unhideWhenUsed/>
    <w:rsid w:val="009219E9"/>
    <w:rPr>
      <w:sz w:val="16"/>
      <w:szCs w:val="16"/>
    </w:rPr>
  </w:style>
  <w:style w:type="paragraph" w:styleId="CommentText">
    <w:name w:val="annotation text"/>
    <w:basedOn w:val="Normal"/>
    <w:link w:val="CommentTextChar"/>
    <w:uiPriority w:val="99"/>
    <w:semiHidden/>
    <w:unhideWhenUsed/>
    <w:rsid w:val="009219E9"/>
    <w:pPr>
      <w:spacing w:line="240" w:lineRule="auto"/>
    </w:pPr>
    <w:rPr>
      <w:sz w:val="20"/>
      <w:szCs w:val="20"/>
    </w:rPr>
  </w:style>
  <w:style w:type="character" w:customStyle="1" w:styleId="CommentTextChar">
    <w:name w:val="Comment Text Char"/>
    <w:basedOn w:val="DefaultParagraphFont"/>
    <w:link w:val="CommentText"/>
    <w:uiPriority w:val="99"/>
    <w:semiHidden/>
    <w:rsid w:val="009219E9"/>
    <w:rPr>
      <w:sz w:val="20"/>
      <w:szCs w:val="20"/>
    </w:rPr>
  </w:style>
  <w:style w:type="paragraph" w:styleId="CommentSubject">
    <w:name w:val="annotation subject"/>
    <w:basedOn w:val="CommentText"/>
    <w:next w:val="CommentText"/>
    <w:link w:val="CommentSubjectChar"/>
    <w:uiPriority w:val="99"/>
    <w:semiHidden/>
    <w:unhideWhenUsed/>
    <w:rsid w:val="009219E9"/>
    <w:rPr>
      <w:b/>
      <w:bCs/>
    </w:rPr>
  </w:style>
  <w:style w:type="character" w:customStyle="1" w:styleId="CommentSubjectChar">
    <w:name w:val="Comment Subject Char"/>
    <w:basedOn w:val="CommentTextChar"/>
    <w:link w:val="CommentSubject"/>
    <w:uiPriority w:val="99"/>
    <w:semiHidden/>
    <w:rsid w:val="009219E9"/>
    <w:rPr>
      <w:b/>
      <w:bCs/>
      <w:sz w:val="20"/>
      <w:szCs w:val="20"/>
    </w:rPr>
  </w:style>
  <w:style w:type="paragraph" w:styleId="FootnoteText">
    <w:name w:val="footnote text"/>
    <w:basedOn w:val="Normal"/>
    <w:link w:val="FootnoteTextChar"/>
    <w:uiPriority w:val="99"/>
    <w:unhideWhenUsed/>
    <w:rsid w:val="00396C03"/>
    <w:pPr>
      <w:spacing w:after="0" w:line="240" w:lineRule="auto"/>
    </w:pPr>
    <w:rPr>
      <w:sz w:val="20"/>
      <w:szCs w:val="20"/>
    </w:rPr>
  </w:style>
  <w:style w:type="character" w:customStyle="1" w:styleId="FootnoteTextChar">
    <w:name w:val="Footnote Text Char"/>
    <w:basedOn w:val="DefaultParagraphFont"/>
    <w:link w:val="FootnoteText"/>
    <w:uiPriority w:val="99"/>
    <w:rsid w:val="00396C03"/>
    <w:rPr>
      <w:sz w:val="20"/>
      <w:szCs w:val="20"/>
    </w:rPr>
  </w:style>
  <w:style w:type="character" w:styleId="FootnoteReference">
    <w:name w:val="footnote reference"/>
    <w:basedOn w:val="DefaultParagraphFont"/>
    <w:uiPriority w:val="99"/>
    <w:semiHidden/>
    <w:unhideWhenUsed/>
    <w:rsid w:val="00396C03"/>
    <w:rPr>
      <w:vertAlign w:val="superscript"/>
    </w:rPr>
  </w:style>
  <w:style w:type="paragraph" w:styleId="Header">
    <w:name w:val="header"/>
    <w:basedOn w:val="Normal"/>
    <w:link w:val="HeaderChar"/>
    <w:uiPriority w:val="99"/>
    <w:unhideWhenUsed/>
    <w:rsid w:val="008F0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FAC"/>
  </w:style>
  <w:style w:type="paragraph" w:styleId="Footer">
    <w:name w:val="footer"/>
    <w:basedOn w:val="Normal"/>
    <w:link w:val="FooterChar"/>
    <w:uiPriority w:val="99"/>
    <w:unhideWhenUsed/>
    <w:rsid w:val="008F0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FAC"/>
  </w:style>
  <w:style w:type="paragraph" w:styleId="ListBullet">
    <w:name w:val="List Bullet"/>
    <w:basedOn w:val="BodyText"/>
    <w:rsid w:val="002F7F8C"/>
    <w:pPr>
      <w:numPr>
        <w:numId w:val="3"/>
      </w:numPr>
      <w:tabs>
        <w:tab w:val="clear" w:pos="340"/>
        <w:tab w:val="num" w:pos="360"/>
      </w:tabs>
      <w:spacing w:before="120" w:after="0" w:line="300" w:lineRule="atLeast"/>
      <w:ind w:left="0" w:firstLine="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2F7F8C"/>
    <w:pPr>
      <w:spacing w:after="120"/>
    </w:pPr>
  </w:style>
  <w:style w:type="character" w:customStyle="1" w:styleId="BodyTextChar">
    <w:name w:val="Body Text Char"/>
    <w:basedOn w:val="DefaultParagraphFont"/>
    <w:link w:val="BodyText"/>
    <w:uiPriority w:val="99"/>
    <w:semiHidden/>
    <w:rsid w:val="002F7F8C"/>
  </w:style>
  <w:style w:type="paragraph" w:customStyle="1" w:styleId="Default">
    <w:name w:val="Default"/>
    <w:rsid w:val="00662AF7"/>
    <w:pPr>
      <w:autoSpaceDE w:val="0"/>
      <w:autoSpaceDN w:val="0"/>
      <w:adjustRightInd w:val="0"/>
      <w:spacing w:after="0" w:line="240" w:lineRule="auto"/>
    </w:pPr>
    <w:rPr>
      <w:rFonts w:ascii="Tahoma" w:hAnsi="Tahoma" w:cs="Tahoma"/>
      <w:color w:val="000000"/>
      <w:sz w:val="24"/>
      <w:szCs w:val="24"/>
      <w:lang w:eastAsia="en-US"/>
    </w:rPr>
  </w:style>
  <w:style w:type="table" w:styleId="TableGrid">
    <w:name w:val="Table Grid"/>
    <w:basedOn w:val="TableNormal"/>
    <w:rsid w:val="00492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090E45"/>
    <w:pPr>
      <w:spacing w:after="0"/>
      <w:jc w:val="center"/>
    </w:pPr>
    <w:rPr>
      <w:rFonts w:ascii="Calibri" w:hAnsi="Calibri"/>
      <w:sz w:val="24"/>
    </w:rPr>
  </w:style>
  <w:style w:type="paragraph" w:customStyle="1" w:styleId="EndNoteBibliography">
    <w:name w:val="EndNote Bibliography"/>
    <w:basedOn w:val="Normal"/>
    <w:rsid w:val="00090E45"/>
    <w:pPr>
      <w:spacing w:line="360" w:lineRule="auto"/>
    </w:pPr>
    <w:rPr>
      <w:rFonts w:ascii="Calibri" w:hAnsi="Calibri"/>
      <w:sz w:val="24"/>
    </w:rPr>
  </w:style>
  <w:style w:type="character" w:customStyle="1" w:styleId="Heading1Char">
    <w:name w:val="Heading 1 Char"/>
    <w:basedOn w:val="DefaultParagraphFont"/>
    <w:link w:val="Heading1"/>
    <w:uiPriority w:val="9"/>
    <w:rsid w:val="002527D8"/>
    <w:rPr>
      <w:rFonts w:eastAsiaTheme="majorEastAsia" w:cstheme="majorBidi"/>
      <w:b/>
      <w:bCs/>
      <w:color w:val="000000" w:themeColor="text1"/>
      <w:sz w:val="28"/>
      <w:szCs w:val="32"/>
    </w:rPr>
  </w:style>
  <w:style w:type="paragraph" w:styleId="TOCHeading">
    <w:name w:val="TOC Heading"/>
    <w:basedOn w:val="Heading1"/>
    <w:next w:val="Normal"/>
    <w:uiPriority w:val="39"/>
    <w:unhideWhenUsed/>
    <w:qFormat/>
    <w:rsid w:val="00A85E88"/>
    <w:pPr>
      <w:outlineLvl w:val="9"/>
    </w:pPr>
    <w:rPr>
      <w:rFonts w:asciiTheme="majorHAnsi" w:hAnsiTheme="majorHAnsi"/>
      <w:color w:val="365F91" w:themeColor="accent1" w:themeShade="BF"/>
      <w:szCs w:val="28"/>
      <w:lang w:val="en-US" w:eastAsia="en-US"/>
    </w:rPr>
  </w:style>
  <w:style w:type="paragraph" w:styleId="TOC1">
    <w:name w:val="toc 1"/>
    <w:basedOn w:val="Normal"/>
    <w:next w:val="Normal"/>
    <w:autoRedefine/>
    <w:uiPriority w:val="39"/>
    <w:unhideWhenUsed/>
    <w:rsid w:val="0009264E"/>
    <w:pPr>
      <w:spacing w:before="120" w:after="0"/>
    </w:pPr>
    <w:rPr>
      <w:b/>
      <w:sz w:val="24"/>
      <w:szCs w:val="24"/>
    </w:rPr>
  </w:style>
  <w:style w:type="paragraph" w:styleId="TOC2">
    <w:name w:val="toc 2"/>
    <w:basedOn w:val="Normal"/>
    <w:next w:val="Normal"/>
    <w:autoRedefine/>
    <w:uiPriority w:val="39"/>
    <w:unhideWhenUsed/>
    <w:rsid w:val="00A85E88"/>
    <w:pPr>
      <w:spacing w:after="0"/>
      <w:ind w:left="220"/>
    </w:pPr>
    <w:rPr>
      <w:b/>
    </w:rPr>
  </w:style>
  <w:style w:type="paragraph" w:styleId="TOC3">
    <w:name w:val="toc 3"/>
    <w:basedOn w:val="Normal"/>
    <w:next w:val="Normal"/>
    <w:autoRedefine/>
    <w:uiPriority w:val="39"/>
    <w:unhideWhenUsed/>
    <w:rsid w:val="00A85E88"/>
    <w:pPr>
      <w:spacing w:after="0"/>
      <w:ind w:left="440"/>
    </w:pPr>
  </w:style>
  <w:style w:type="paragraph" w:styleId="TOC4">
    <w:name w:val="toc 4"/>
    <w:basedOn w:val="Normal"/>
    <w:next w:val="Normal"/>
    <w:autoRedefine/>
    <w:uiPriority w:val="39"/>
    <w:semiHidden/>
    <w:unhideWhenUsed/>
    <w:rsid w:val="00A85E88"/>
    <w:pPr>
      <w:spacing w:after="0"/>
      <w:ind w:left="660"/>
    </w:pPr>
    <w:rPr>
      <w:sz w:val="20"/>
      <w:szCs w:val="20"/>
    </w:rPr>
  </w:style>
  <w:style w:type="paragraph" w:styleId="TOC5">
    <w:name w:val="toc 5"/>
    <w:basedOn w:val="Normal"/>
    <w:next w:val="Normal"/>
    <w:autoRedefine/>
    <w:uiPriority w:val="39"/>
    <w:semiHidden/>
    <w:unhideWhenUsed/>
    <w:rsid w:val="00A85E88"/>
    <w:pPr>
      <w:spacing w:after="0"/>
      <w:ind w:left="880"/>
    </w:pPr>
    <w:rPr>
      <w:sz w:val="20"/>
      <w:szCs w:val="20"/>
    </w:rPr>
  </w:style>
  <w:style w:type="paragraph" w:styleId="TOC6">
    <w:name w:val="toc 6"/>
    <w:basedOn w:val="Normal"/>
    <w:next w:val="Normal"/>
    <w:autoRedefine/>
    <w:uiPriority w:val="39"/>
    <w:semiHidden/>
    <w:unhideWhenUsed/>
    <w:rsid w:val="00A85E88"/>
    <w:pPr>
      <w:spacing w:after="0"/>
      <w:ind w:left="1100"/>
    </w:pPr>
    <w:rPr>
      <w:sz w:val="20"/>
      <w:szCs w:val="20"/>
    </w:rPr>
  </w:style>
  <w:style w:type="paragraph" w:styleId="TOC7">
    <w:name w:val="toc 7"/>
    <w:basedOn w:val="Normal"/>
    <w:next w:val="Normal"/>
    <w:autoRedefine/>
    <w:uiPriority w:val="39"/>
    <w:semiHidden/>
    <w:unhideWhenUsed/>
    <w:rsid w:val="00A85E88"/>
    <w:pPr>
      <w:spacing w:after="0"/>
      <w:ind w:left="1320"/>
    </w:pPr>
    <w:rPr>
      <w:sz w:val="20"/>
      <w:szCs w:val="20"/>
    </w:rPr>
  </w:style>
  <w:style w:type="paragraph" w:styleId="TOC8">
    <w:name w:val="toc 8"/>
    <w:basedOn w:val="Normal"/>
    <w:next w:val="Normal"/>
    <w:autoRedefine/>
    <w:uiPriority w:val="39"/>
    <w:semiHidden/>
    <w:unhideWhenUsed/>
    <w:rsid w:val="00A85E88"/>
    <w:pPr>
      <w:spacing w:after="0"/>
      <w:ind w:left="1540"/>
    </w:pPr>
    <w:rPr>
      <w:sz w:val="20"/>
      <w:szCs w:val="20"/>
    </w:rPr>
  </w:style>
  <w:style w:type="paragraph" w:styleId="TOC9">
    <w:name w:val="toc 9"/>
    <w:basedOn w:val="Normal"/>
    <w:next w:val="Normal"/>
    <w:autoRedefine/>
    <w:uiPriority w:val="39"/>
    <w:semiHidden/>
    <w:unhideWhenUsed/>
    <w:rsid w:val="00A85E88"/>
    <w:pPr>
      <w:spacing w:after="0"/>
      <w:ind w:left="1760"/>
    </w:pPr>
    <w:rPr>
      <w:sz w:val="20"/>
      <w:szCs w:val="20"/>
    </w:rPr>
  </w:style>
  <w:style w:type="character" w:styleId="PageNumber">
    <w:name w:val="page number"/>
    <w:basedOn w:val="DefaultParagraphFont"/>
    <w:uiPriority w:val="99"/>
    <w:semiHidden/>
    <w:unhideWhenUsed/>
    <w:rsid w:val="007D658D"/>
  </w:style>
  <w:style w:type="paragraph" w:styleId="Revision">
    <w:name w:val="Revision"/>
    <w:hidden/>
    <w:uiPriority w:val="99"/>
    <w:semiHidden/>
    <w:rsid w:val="00CF71DB"/>
    <w:pPr>
      <w:spacing w:after="0" w:line="240" w:lineRule="auto"/>
    </w:pPr>
  </w:style>
  <w:style w:type="paragraph" w:customStyle="1" w:styleId="Bulletform">
    <w:name w:val="Bullet form"/>
    <w:basedOn w:val="Normal"/>
    <w:rsid w:val="0069720A"/>
    <w:pPr>
      <w:numPr>
        <w:numId w:val="32"/>
      </w:numPr>
      <w:spacing w:before="120" w:after="0" w:line="240" w:lineRule="auto"/>
      <w:ind w:left="714" w:hanging="357"/>
      <w:jc w:val="both"/>
    </w:pPr>
    <w:rPr>
      <w:rFonts w:ascii="GoudyOlSt BT" w:eastAsia="Times New Roman" w:hAnsi="GoudyOlSt BT" w:cs="Times New Roman"/>
      <w:sz w:val="24"/>
      <w:szCs w:val="20"/>
      <w:lang w:eastAsia="en-AU"/>
    </w:rPr>
  </w:style>
  <w:style w:type="character" w:customStyle="1" w:styleId="il">
    <w:name w:val="il"/>
    <w:basedOn w:val="DefaultParagraphFont"/>
    <w:rsid w:val="00CB4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27D8"/>
    <w:pPr>
      <w:keepNext/>
      <w:keepLines/>
      <w:spacing w:before="480" w:after="0"/>
      <w:outlineLvl w:val="0"/>
    </w:pPr>
    <w:rPr>
      <w:rFonts w:eastAsiaTheme="majorEastAsia" w:cstheme="majorBidi"/>
      <w:b/>
      <w:bCs/>
      <w:color w:val="000000" w:themeColor="text1"/>
      <w:sz w:val="28"/>
      <w:szCs w:val="32"/>
    </w:rPr>
  </w:style>
  <w:style w:type="paragraph" w:styleId="Heading2">
    <w:name w:val="heading 2"/>
    <w:basedOn w:val="Normal"/>
    <w:next w:val="Normal"/>
    <w:link w:val="Heading2Char"/>
    <w:uiPriority w:val="9"/>
    <w:qFormat/>
    <w:rsid w:val="0094705C"/>
    <w:pPr>
      <w:keepNext/>
      <w:spacing w:before="240" w:after="60"/>
      <w:outlineLvl w:val="1"/>
    </w:pPr>
    <w:rPr>
      <w:rFonts w:ascii="Cambria" w:eastAsia="Times New Roman" w:hAnsi="Cambria" w:cs="Times New Roman"/>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FC"/>
    <w:rPr>
      <w:rFonts w:ascii="Tahoma" w:hAnsi="Tahoma" w:cs="Tahoma"/>
      <w:sz w:val="16"/>
      <w:szCs w:val="16"/>
    </w:rPr>
  </w:style>
  <w:style w:type="paragraph" w:styleId="ListParagraph">
    <w:name w:val="List Paragraph"/>
    <w:basedOn w:val="Normal"/>
    <w:uiPriority w:val="34"/>
    <w:qFormat/>
    <w:rsid w:val="00A652C9"/>
    <w:pPr>
      <w:ind w:left="720"/>
      <w:contextualSpacing/>
    </w:pPr>
  </w:style>
  <w:style w:type="paragraph" w:styleId="NormalWeb">
    <w:name w:val="Normal (Web)"/>
    <w:basedOn w:val="Normal"/>
    <w:uiPriority w:val="99"/>
    <w:semiHidden/>
    <w:unhideWhenUsed/>
    <w:rsid w:val="00A65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0B06"/>
    <w:rPr>
      <w:b/>
      <w:bCs/>
    </w:rPr>
  </w:style>
  <w:style w:type="character" w:customStyle="1" w:styleId="apple-converted-space">
    <w:name w:val="apple-converted-space"/>
    <w:basedOn w:val="DefaultParagraphFont"/>
    <w:rsid w:val="00E10B06"/>
  </w:style>
  <w:style w:type="character" w:styleId="Hyperlink">
    <w:name w:val="Hyperlink"/>
    <w:basedOn w:val="DefaultParagraphFont"/>
    <w:uiPriority w:val="99"/>
    <w:unhideWhenUsed/>
    <w:rsid w:val="00E10B06"/>
    <w:rPr>
      <w:color w:val="0000FF"/>
      <w:u w:val="single"/>
    </w:rPr>
  </w:style>
  <w:style w:type="character" w:customStyle="1" w:styleId="Heading2Char">
    <w:name w:val="Heading 2 Char"/>
    <w:basedOn w:val="DefaultParagraphFont"/>
    <w:link w:val="Heading2"/>
    <w:uiPriority w:val="9"/>
    <w:rsid w:val="0094705C"/>
    <w:rPr>
      <w:rFonts w:ascii="Cambria" w:eastAsia="Times New Roman" w:hAnsi="Cambria" w:cs="Times New Roman"/>
      <w:b/>
      <w:bCs/>
      <w:i/>
      <w:iCs/>
      <w:sz w:val="28"/>
      <w:szCs w:val="28"/>
      <w:lang w:val="x-none" w:eastAsia="en-US"/>
    </w:rPr>
  </w:style>
  <w:style w:type="paragraph" w:styleId="EndnoteText">
    <w:name w:val="endnote text"/>
    <w:basedOn w:val="Normal"/>
    <w:link w:val="EndnoteTextChar"/>
    <w:uiPriority w:val="99"/>
    <w:unhideWhenUsed/>
    <w:rsid w:val="006B1CF7"/>
    <w:pPr>
      <w:spacing w:after="0" w:line="240" w:lineRule="auto"/>
      <w:jc w:val="both"/>
    </w:pPr>
    <w:rPr>
      <w:rFonts w:ascii="Times New Roman" w:eastAsia="Times New Roman" w:hAnsi="Times New Roman" w:cs="Times New Roman"/>
      <w:sz w:val="24"/>
      <w:szCs w:val="24"/>
      <w:lang w:val="en-GB" w:eastAsia="x-none"/>
    </w:rPr>
  </w:style>
  <w:style w:type="character" w:customStyle="1" w:styleId="EndnoteTextChar">
    <w:name w:val="Endnote Text Char"/>
    <w:basedOn w:val="DefaultParagraphFont"/>
    <w:link w:val="EndnoteText"/>
    <w:uiPriority w:val="99"/>
    <w:rsid w:val="006B1CF7"/>
    <w:rPr>
      <w:rFonts w:ascii="Times New Roman" w:eastAsia="Times New Roman" w:hAnsi="Times New Roman" w:cs="Times New Roman"/>
      <w:sz w:val="24"/>
      <w:szCs w:val="24"/>
      <w:lang w:val="en-GB" w:eastAsia="x-none"/>
    </w:rPr>
  </w:style>
  <w:style w:type="character" w:styleId="EndnoteReference">
    <w:name w:val="endnote reference"/>
    <w:uiPriority w:val="99"/>
    <w:unhideWhenUsed/>
    <w:rsid w:val="006B1CF7"/>
    <w:rPr>
      <w:rFonts w:cs="Times New Roman"/>
      <w:vertAlign w:val="superscript"/>
    </w:rPr>
  </w:style>
  <w:style w:type="character" w:styleId="CommentReference">
    <w:name w:val="annotation reference"/>
    <w:basedOn w:val="DefaultParagraphFont"/>
    <w:uiPriority w:val="99"/>
    <w:semiHidden/>
    <w:unhideWhenUsed/>
    <w:rsid w:val="009219E9"/>
    <w:rPr>
      <w:sz w:val="16"/>
      <w:szCs w:val="16"/>
    </w:rPr>
  </w:style>
  <w:style w:type="paragraph" w:styleId="CommentText">
    <w:name w:val="annotation text"/>
    <w:basedOn w:val="Normal"/>
    <w:link w:val="CommentTextChar"/>
    <w:uiPriority w:val="99"/>
    <w:semiHidden/>
    <w:unhideWhenUsed/>
    <w:rsid w:val="009219E9"/>
    <w:pPr>
      <w:spacing w:line="240" w:lineRule="auto"/>
    </w:pPr>
    <w:rPr>
      <w:sz w:val="20"/>
      <w:szCs w:val="20"/>
    </w:rPr>
  </w:style>
  <w:style w:type="character" w:customStyle="1" w:styleId="CommentTextChar">
    <w:name w:val="Comment Text Char"/>
    <w:basedOn w:val="DefaultParagraphFont"/>
    <w:link w:val="CommentText"/>
    <w:uiPriority w:val="99"/>
    <w:semiHidden/>
    <w:rsid w:val="009219E9"/>
    <w:rPr>
      <w:sz w:val="20"/>
      <w:szCs w:val="20"/>
    </w:rPr>
  </w:style>
  <w:style w:type="paragraph" w:styleId="CommentSubject">
    <w:name w:val="annotation subject"/>
    <w:basedOn w:val="CommentText"/>
    <w:next w:val="CommentText"/>
    <w:link w:val="CommentSubjectChar"/>
    <w:uiPriority w:val="99"/>
    <w:semiHidden/>
    <w:unhideWhenUsed/>
    <w:rsid w:val="009219E9"/>
    <w:rPr>
      <w:b/>
      <w:bCs/>
    </w:rPr>
  </w:style>
  <w:style w:type="character" w:customStyle="1" w:styleId="CommentSubjectChar">
    <w:name w:val="Comment Subject Char"/>
    <w:basedOn w:val="CommentTextChar"/>
    <w:link w:val="CommentSubject"/>
    <w:uiPriority w:val="99"/>
    <w:semiHidden/>
    <w:rsid w:val="009219E9"/>
    <w:rPr>
      <w:b/>
      <w:bCs/>
      <w:sz w:val="20"/>
      <w:szCs w:val="20"/>
    </w:rPr>
  </w:style>
  <w:style w:type="paragraph" w:styleId="FootnoteText">
    <w:name w:val="footnote text"/>
    <w:basedOn w:val="Normal"/>
    <w:link w:val="FootnoteTextChar"/>
    <w:uiPriority w:val="99"/>
    <w:unhideWhenUsed/>
    <w:rsid w:val="00396C03"/>
    <w:pPr>
      <w:spacing w:after="0" w:line="240" w:lineRule="auto"/>
    </w:pPr>
    <w:rPr>
      <w:sz w:val="20"/>
      <w:szCs w:val="20"/>
    </w:rPr>
  </w:style>
  <w:style w:type="character" w:customStyle="1" w:styleId="FootnoteTextChar">
    <w:name w:val="Footnote Text Char"/>
    <w:basedOn w:val="DefaultParagraphFont"/>
    <w:link w:val="FootnoteText"/>
    <w:uiPriority w:val="99"/>
    <w:rsid w:val="00396C03"/>
    <w:rPr>
      <w:sz w:val="20"/>
      <w:szCs w:val="20"/>
    </w:rPr>
  </w:style>
  <w:style w:type="character" w:styleId="FootnoteReference">
    <w:name w:val="footnote reference"/>
    <w:basedOn w:val="DefaultParagraphFont"/>
    <w:uiPriority w:val="99"/>
    <w:semiHidden/>
    <w:unhideWhenUsed/>
    <w:rsid w:val="00396C03"/>
    <w:rPr>
      <w:vertAlign w:val="superscript"/>
    </w:rPr>
  </w:style>
  <w:style w:type="paragraph" w:styleId="Header">
    <w:name w:val="header"/>
    <w:basedOn w:val="Normal"/>
    <w:link w:val="HeaderChar"/>
    <w:uiPriority w:val="99"/>
    <w:unhideWhenUsed/>
    <w:rsid w:val="008F0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FAC"/>
  </w:style>
  <w:style w:type="paragraph" w:styleId="Footer">
    <w:name w:val="footer"/>
    <w:basedOn w:val="Normal"/>
    <w:link w:val="FooterChar"/>
    <w:uiPriority w:val="99"/>
    <w:unhideWhenUsed/>
    <w:rsid w:val="008F0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FAC"/>
  </w:style>
  <w:style w:type="paragraph" w:styleId="ListBullet">
    <w:name w:val="List Bullet"/>
    <w:basedOn w:val="BodyText"/>
    <w:rsid w:val="002F7F8C"/>
    <w:pPr>
      <w:numPr>
        <w:numId w:val="3"/>
      </w:numPr>
      <w:tabs>
        <w:tab w:val="clear" w:pos="340"/>
        <w:tab w:val="num" w:pos="360"/>
      </w:tabs>
      <w:spacing w:before="120" w:after="0" w:line="300" w:lineRule="atLeast"/>
      <w:ind w:left="0" w:firstLine="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2F7F8C"/>
    <w:pPr>
      <w:spacing w:after="120"/>
    </w:pPr>
  </w:style>
  <w:style w:type="character" w:customStyle="1" w:styleId="BodyTextChar">
    <w:name w:val="Body Text Char"/>
    <w:basedOn w:val="DefaultParagraphFont"/>
    <w:link w:val="BodyText"/>
    <w:uiPriority w:val="99"/>
    <w:semiHidden/>
    <w:rsid w:val="002F7F8C"/>
  </w:style>
  <w:style w:type="paragraph" w:customStyle="1" w:styleId="Default">
    <w:name w:val="Default"/>
    <w:rsid w:val="00662AF7"/>
    <w:pPr>
      <w:autoSpaceDE w:val="0"/>
      <w:autoSpaceDN w:val="0"/>
      <w:adjustRightInd w:val="0"/>
      <w:spacing w:after="0" w:line="240" w:lineRule="auto"/>
    </w:pPr>
    <w:rPr>
      <w:rFonts w:ascii="Tahoma" w:hAnsi="Tahoma" w:cs="Tahoma"/>
      <w:color w:val="000000"/>
      <w:sz w:val="24"/>
      <w:szCs w:val="24"/>
      <w:lang w:eastAsia="en-US"/>
    </w:rPr>
  </w:style>
  <w:style w:type="table" w:styleId="TableGrid">
    <w:name w:val="Table Grid"/>
    <w:basedOn w:val="TableNormal"/>
    <w:rsid w:val="00492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090E45"/>
    <w:pPr>
      <w:spacing w:after="0"/>
      <w:jc w:val="center"/>
    </w:pPr>
    <w:rPr>
      <w:rFonts w:ascii="Calibri" w:hAnsi="Calibri"/>
      <w:sz w:val="24"/>
    </w:rPr>
  </w:style>
  <w:style w:type="paragraph" w:customStyle="1" w:styleId="EndNoteBibliography">
    <w:name w:val="EndNote Bibliography"/>
    <w:basedOn w:val="Normal"/>
    <w:rsid w:val="00090E45"/>
    <w:pPr>
      <w:spacing w:line="360" w:lineRule="auto"/>
    </w:pPr>
    <w:rPr>
      <w:rFonts w:ascii="Calibri" w:hAnsi="Calibri"/>
      <w:sz w:val="24"/>
    </w:rPr>
  </w:style>
  <w:style w:type="character" w:customStyle="1" w:styleId="Heading1Char">
    <w:name w:val="Heading 1 Char"/>
    <w:basedOn w:val="DefaultParagraphFont"/>
    <w:link w:val="Heading1"/>
    <w:uiPriority w:val="9"/>
    <w:rsid w:val="002527D8"/>
    <w:rPr>
      <w:rFonts w:eastAsiaTheme="majorEastAsia" w:cstheme="majorBidi"/>
      <w:b/>
      <w:bCs/>
      <w:color w:val="000000" w:themeColor="text1"/>
      <w:sz w:val="28"/>
      <w:szCs w:val="32"/>
    </w:rPr>
  </w:style>
  <w:style w:type="paragraph" w:styleId="TOCHeading">
    <w:name w:val="TOC Heading"/>
    <w:basedOn w:val="Heading1"/>
    <w:next w:val="Normal"/>
    <w:uiPriority w:val="39"/>
    <w:unhideWhenUsed/>
    <w:qFormat/>
    <w:rsid w:val="00A85E88"/>
    <w:pPr>
      <w:outlineLvl w:val="9"/>
    </w:pPr>
    <w:rPr>
      <w:rFonts w:asciiTheme="majorHAnsi" w:hAnsiTheme="majorHAnsi"/>
      <w:color w:val="365F91" w:themeColor="accent1" w:themeShade="BF"/>
      <w:szCs w:val="28"/>
      <w:lang w:val="en-US" w:eastAsia="en-US"/>
    </w:rPr>
  </w:style>
  <w:style w:type="paragraph" w:styleId="TOC1">
    <w:name w:val="toc 1"/>
    <w:basedOn w:val="Normal"/>
    <w:next w:val="Normal"/>
    <w:autoRedefine/>
    <w:uiPriority w:val="39"/>
    <w:unhideWhenUsed/>
    <w:rsid w:val="0009264E"/>
    <w:pPr>
      <w:spacing w:before="120" w:after="0"/>
    </w:pPr>
    <w:rPr>
      <w:b/>
      <w:sz w:val="24"/>
      <w:szCs w:val="24"/>
    </w:rPr>
  </w:style>
  <w:style w:type="paragraph" w:styleId="TOC2">
    <w:name w:val="toc 2"/>
    <w:basedOn w:val="Normal"/>
    <w:next w:val="Normal"/>
    <w:autoRedefine/>
    <w:uiPriority w:val="39"/>
    <w:unhideWhenUsed/>
    <w:rsid w:val="00A85E88"/>
    <w:pPr>
      <w:spacing w:after="0"/>
      <w:ind w:left="220"/>
    </w:pPr>
    <w:rPr>
      <w:b/>
    </w:rPr>
  </w:style>
  <w:style w:type="paragraph" w:styleId="TOC3">
    <w:name w:val="toc 3"/>
    <w:basedOn w:val="Normal"/>
    <w:next w:val="Normal"/>
    <w:autoRedefine/>
    <w:uiPriority w:val="39"/>
    <w:unhideWhenUsed/>
    <w:rsid w:val="00A85E88"/>
    <w:pPr>
      <w:spacing w:after="0"/>
      <w:ind w:left="440"/>
    </w:pPr>
  </w:style>
  <w:style w:type="paragraph" w:styleId="TOC4">
    <w:name w:val="toc 4"/>
    <w:basedOn w:val="Normal"/>
    <w:next w:val="Normal"/>
    <w:autoRedefine/>
    <w:uiPriority w:val="39"/>
    <w:semiHidden/>
    <w:unhideWhenUsed/>
    <w:rsid w:val="00A85E88"/>
    <w:pPr>
      <w:spacing w:after="0"/>
      <w:ind w:left="660"/>
    </w:pPr>
    <w:rPr>
      <w:sz w:val="20"/>
      <w:szCs w:val="20"/>
    </w:rPr>
  </w:style>
  <w:style w:type="paragraph" w:styleId="TOC5">
    <w:name w:val="toc 5"/>
    <w:basedOn w:val="Normal"/>
    <w:next w:val="Normal"/>
    <w:autoRedefine/>
    <w:uiPriority w:val="39"/>
    <w:semiHidden/>
    <w:unhideWhenUsed/>
    <w:rsid w:val="00A85E88"/>
    <w:pPr>
      <w:spacing w:after="0"/>
      <w:ind w:left="880"/>
    </w:pPr>
    <w:rPr>
      <w:sz w:val="20"/>
      <w:szCs w:val="20"/>
    </w:rPr>
  </w:style>
  <w:style w:type="paragraph" w:styleId="TOC6">
    <w:name w:val="toc 6"/>
    <w:basedOn w:val="Normal"/>
    <w:next w:val="Normal"/>
    <w:autoRedefine/>
    <w:uiPriority w:val="39"/>
    <w:semiHidden/>
    <w:unhideWhenUsed/>
    <w:rsid w:val="00A85E88"/>
    <w:pPr>
      <w:spacing w:after="0"/>
      <w:ind w:left="1100"/>
    </w:pPr>
    <w:rPr>
      <w:sz w:val="20"/>
      <w:szCs w:val="20"/>
    </w:rPr>
  </w:style>
  <w:style w:type="paragraph" w:styleId="TOC7">
    <w:name w:val="toc 7"/>
    <w:basedOn w:val="Normal"/>
    <w:next w:val="Normal"/>
    <w:autoRedefine/>
    <w:uiPriority w:val="39"/>
    <w:semiHidden/>
    <w:unhideWhenUsed/>
    <w:rsid w:val="00A85E88"/>
    <w:pPr>
      <w:spacing w:after="0"/>
      <w:ind w:left="1320"/>
    </w:pPr>
    <w:rPr>
      <w:sz w:val="20"/>
      <w:szCs w:val="20"/>
    </w:rPr>
  </w:style>
  <w:style w:type="paragraph" w:styleId="TOC8">
    <w:name w:val="toc 8"/>
    <w:basedOn w:val="Normal"/>
    <w:next w:val="Normal"/>
    <w:autoRedefine/>
    <w:uiPriority w:val="39"/>
    <w:semiHidden/>
    <w:unhideWhenUsed/>
    <w:rsid w:val="00A85E88"/>
    <w:pPr>
      <w:spacing w:after="0"/>
      <w:ind w:left="1540"/>
    </w:pPr>
    <w:rPr>
      <w:sz w:val="20"/>
      <w:szCs w:val="20"/>
    </w:rPr>
  </w:style>
  <w:style w:type="paragraph" w:styleId="TOC9">
    <w:name w:val="toc 9"/>
    <w:basedOn w:val="Normal"/>
    <w:next w:val="Normal"/>
    <w:autoRedefine/>
    <w:uiPriority w:val="39"/>
    <w:semiHidden/>
    <w:unhideWhenUsed/>
    <w:rsid w:val="00A85E88"/>
    <w:pPr>
      <w:spacing w:after="0"/>
      <w:ind w:left="1760"/>
    </w:pPr>
    <w:rPr>
      <w:sz w:val="20"/>
      <w:szCs w:val="20"/>
    </w:rPr>
  </w:style>
  <w:style w:type="character" w:styleId="PageNumber">
    <w:name w:val="page number"/>
    <w:basedOn w:val="DefaultParagraphFont"/>
    <w:uiPriority w:val="99"/>
    <w:semiHidden/>
    <w:unhideWhenUsed/>
    <w:rsid w:val="007D658D"/>
  </w:style>
  <w:style w:type="paragraph" w:styleId="Revision">
    <w:name w:val="Revision"/>
    <w:hidden/>
    <w:uiPriority w:val="99"/>
    <w:semiHidden/>
    <w:rsid w:val="00CF71DB"/>
    <w:pPr>
      <w:spacing w:after="0" w:line="240" w:lineRule="auto"/>
    </w:pPr>
  </w:style>
  <w:style w:type="paragraph" w:customStyle="1" w:styleId="Bulletform">
    <w:name w:val="Bullet form"/>
    <w:basedOn w:val="Normal"/>
    <w:rsid w:val="0069720A"/>
    <w:pPr>
      <w:numPr>
        <w:numId w:val="32"/>
      </w:numPr>
      <w:spacing w:before="120" w:after="0" w:line="240" w:lineRule="auto"/>
      <w:ind w:left="714" w:hanging="357"/>
      <w:jc w:val="both"/>
    </w:pPr>
    <w:rPr>
      <w:rFonts w:ascii="GoudyOlSt BT" w:eastAsia="Times New Roman" w:hAnsi="GoudyOlSt BT" w:cs="Times New Roman"/>
      <w:sz w:val="24"/>
      <w:szCs w:val="20"/>
      <w:lang w:eastAsia="en-AU"/>
    </w:rPr>
  </w:style>
  <w:style w:type="character" w:customStyle="1" w:styleId="il">
    <w:name w:val="il"/>
    <w:basedOn w:val="DefaultParagraphFont"/>
    <w:rsid w:val="00CB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5235">
      <w:bodyDiv w:val="1"/>
      <w:marLeft w:val="0"/>
      <w:marRight w:val="0"/>
      <w:marTop w:val="0"/>
      <w:marBottom w:val="0"/>
      <w:divBdr>
        <w:top w:val="none" w:sz="0" w:space="0" w:color="auto"/>
        <w:left w:val="none" w:sz="0" w:space="0" w:color="auto"/>
        <w:bottom w:val="none" w:sz="0" w:space="0" w:color="auto"/>
        <w:right w:val="none" w:sz="0" w:space="0" w:color="auto"/>
      </w:divBdr>
    </w:div>
    <w:div w:id="255138722">
      <w:bodyDiv w:val="1"/>
      <w:marLeft w:val="0"/>
      <w:marRight w:val="0"/>
      <w:marTop w:val="0"/>
      <w:marBottom w:val="0"/>
      <w:divBdr>
        <w:top w:val="none" w:sz="0" w:space="0" w:color="auto"/>
        <w:left w:val="none" w:sz="0" w:space="0" w:color="auto"/>
        <w:bottom w:val="none" w:sz="0" w:space="0" w:color="auto"/>
        <w:right w:val="none" w:sz="0" w:space="0" w:color="auto"/>
      </w:divBdr>
    </w:div>
    <w:div w:id="1163937903">
      <w:bodyDiv w:val="1"/>
      <w:marLeft w:val="0"/>
      <w:marRight w:val="0"/>
      <w:marTop w:val="0"/>
      <w:marBottom w:val="0"/>
      <w:divBdr>
        <w:top w:val="none" w:sz="0" w:space="0" w:color="auto"/>
        <w:left w:val="none" w:sz="0" w:space="0" w:color="auto"/>
        <w:bottom w:val="none" w:sz="0" w:space="0" w:color="auto"/>
        <w:right w:val="none" w:sz="0" w:space="0" w:color="auto"/>
      </w:divBdr>
    </w:div>
    <w:div w:id="1261983791">
      <w:bodyDiv w:val="1"/>
      <w:marLeft w:val="0"/>
      <w:marRight w:val="0"/>
      <w:marTop w:val="0"/>
      <w:marBottom w:val="0"/>
      <w:divBdr>
        <w:top w:val="none" w:sz="0" w:space="0" w:color="auto"/>
        <w:left w:val="none" w:sz="0" w:space="0" w:color="auto"/>
        <w:bottom w:val="none" w:sz="0" w:space="0" w:color="auto"/>
        <w:right w:val="none" w:sz="0" w:space="0" w:color="auto"/>
      </w:divBdr>
    </w:div>
    <w:div w:id="1299454197">
      <w:bodyDiv w:val="1"/>
      <w:marLeft w:val="0"/>
      <w:marRight w:val="0"/>
      <w:marTop w:val="0"/>
      <w:marBottom w:val="0"/>
      <w:divBdr>
        <w:top w:val="none" w:sz="0" w:space="0" w:color="auto"/>
        <w:left w:val="none" w:sz="0" w:space="0" w:color="auto"/>
        <w:bottom w:val="none" w:sz="0" w:space="0" w:color="auto"/>
        <w:right w:val="none" w:sz="0" w:space="0" w:color="auto"/>
      </w:divBdr>
      <w:divsChild>
        <w:div w:id="1573664861">
          <w:marLeft w:val="0"/>
          <w:marRight w:val="0"/>
          <w:marTop w:val="0"/>
          <w:marBottom w:val="0"/>
          <w:divBdr>
            <w:top w:val="none" w:sz="0" w:space="0" w:color="auto"/>
            <w:left w:val="none" w:sz="0" w:space="0" w:color="auto"/>
            <w:bottom w:val="none" w:sz="0" w:space="0" w:color="auto"/>
            <w:right w:val="none" w:sz="0" w:space="0" w:color="auto"/>
          </w:divBdr>
        </w:div>
      </w:divsChild>
    </w:div>
    <w:div w:id="20880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bs.gov.au/ausstat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abs.gov.au/ausstats" TargetMode="Externa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c.gov.au/inquiries/current/workplace-relations" TargetMode="External"/><Relationship Id="rId22" Type="http://schemas.openxmlformats.org/officeDocument/2006/relationships/hyperlink" Target="http://www.abs.gov.au/ausstats" TargetMode="External"/><Relationship Id="rId27" Type="http://schemas.openxmlformats.org/officeDocument/2006/relationships/image" Target="media/image3.jpg"/><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fwc.gov.au/audience/small-business-employers" TargetMode="External"/><Relationship Id="rId2" Type="http://schemas.openxmlformats.org/officeDocument/2006/relationships/hyperlink" Target="https://www.cuttingredtape.gov.au/" TargetMode="External"/><Relationship Id="rId1" Type="http://schemas.openxmlformats.org/officeDocument/2006/relationships/hyperlink" Target="http://www.fairwork.gov.au/about-us/policies-and-guid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erajghafoori:Desktop:EJV_HRSurvey&amp;Table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erajghafoori:Desktop:EJV_HRSurvey&amp;Table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erajghafoori:Desktop:EJV_HRSurvey&amp;Table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erajghafoori:Desktop:EJV_HRSurvey&amp;Tabl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baseline="0">
                <a:latin typeface="+mn-lt"/>
              </a:rPr>
              <a:t>Figure 3: Types of individual disputes occurring in the past 12 months</a:t>
            </a:r>
            <a:endParaRPr lang="en-AU" sz="1000" b="1" i="0" baseline="0">
              <a:latin typeface="+mn-lt"/>
            </a:endParaRPr>
          </a:p>
        </c:rich>
      </c:tx>
      <c:layout/>
      <c:overlay val="0"/>
      <c:spPr>
        <a:noFill/>
        <a:ln w="25400">
          <a:noFill/>
        </a:ln>
      </c:spPr>
    </c:title>
    <c:autoTitleDeleted val="0"/>
    <c:plotArea>
      <c:layout/>
      <c:barChart>
        <c:barDir val="bar"/>
        <c:grouping val="clustered"/>
        <c:varyColors val="0"/>
        <c:ser>
          <c:idx val="0"/>
          <c:order val="0"/>
          <c:spPr>
            <a:solidFill>
              <a:srgbClr val="4F81BD"/>
            </a:solidFill>
            <a:ln w="25400">
              <a:noFill/>
            </a:ln>
          </c:spPr>
          <c:invertIfNegative val="0"/>
          <c:dLbls>
            <c:spPr>
              <a:noFill/>
              <a:ln w="25400">
                <a:noFill/>
              </a:ln>
            </c:spPr>
            <c:txPr>
              <a:bodyPr/>
              <a:lstStyle/>
              <a:p>
                <a:pPr>
                  <a:defRPr sz="800"/>
                </a:pPr>
                <a:endParaRPr lang="en-US"/>
              </a:p>
            </c:txPr>
            <c:dLblPos val="outEnd"/>
            <c:showLegendKey val="0"/>
            <c:showVal val="1"/>
            <c:showCatName val="0"/>
            <c:showSerName val="0"/>
            <c:showPercent val="0"/>
            <c:showBubbleSize val="0"/>
            <c:showLeaderLines val="0"/>
          </c:dLbls>
          <c:cat>
            <c:strRef>
              <c:f>Individual!$A$57:$A$75</c:f>
              <c:strCache>
                <c:ptCount val="19"/>
                <c:pt idx="0">
                  <c:v>Disciplinary matters</c:v>
                </c:pt>
                <c:pt idx="1">
                  <c:v>Personality conflicts</c:v>
                </c:pt>
                <c:pt idx="2">
                  <c:v>Employment conditions </c:v>
                </c:pt>
                <c:pt idx="3">
                  <c:v>Bullying at work and harassment </c:v>
                </c:pt>
                <c:pt idx="4">
                  <c:v>Supervisor/line manager decisions</c:v>
                </c:pt>
                <c:pt idx="5">
                  <c:v>Remuneration</c:v>
                </c:pt>
                <c:pt idx="6">
                  <c:v>Health and safety </c:v>
                </c:pt>
                <c:pt idx="7">
                  <c:v>Uncivil behaviour falling short of bullying or harassment</c:v>
                </c:pt>
                <c:pt idx="8">
                  <c:v>Unfair dismissal</c:v>
                </c:pt>
                <c:pt idx="9">
                  <c:v>Promotion and career development</c:v>
                </c:pt>
                <c:pt idx="10">
                  <c:v>No individual disputes reported</c:v>
                </c:pt>
                <c:pt idx="11">
                  <c:v>Job security </c:v>
                </c:pt>
                <c:pt idx="12">
                  <c:v>Relocation to another position in the organisation</c:v>
                </c:pt>
                <c:pt idx="13">
                  <c:v>Race discrimination</c:v>
                </c:pt>
                <c:pt idx="14">
                  <c:v>Disability discrimination</c:v>
                </c:pt>
                <c:pt idx="15">
                  <c:v>Gender discrimination</c:v>
                </c:pt>
                <c:pt idx="16">
                  <c:v>Age discrimination</c:v>
                </c:pt>
                <c:pt idx="17">
                  <c:v>Any other individual dispute </c:v>
                </c:pt>
                <c:pt idx="18">
                  <c:v>Some other form of discrimination </c:v>
                </c:pt>
              </c:strCache>
            </c:strRef>
          </c:cat>
          <c:val>
            <c:numRef>
              <c:f>Individual!$B$57:$B$75</c:f>
              <c:numCache>
                <c:formatCode>0%</c:formatCode>
                <c:ptCount val="19"/>
                <c:pt idx="0">
                  <c:v>0.54</c:v>
                </c:pt>
                <c:pt idx="1">
                  <c:v>0.49</c:v>
                </c:pt>
                <c:pt idx="2">
                  <c:v>0.38</c:v>
                </c:pt>
                <c:pt idx="3">
                  <c:v>0.35</c:v>
                </c:pt>
                <c:pt idx="4">
                  <c:v>0.26</c:v>
                </c:pt>
                <c:pt idx="5">
                  <c:v>0.25</c:v>
                </c:pt>
                <c:pt idx="6">
                  <c:v>0.23</c:v>
                </c:pt>
                <c:pt idx="7">
                  <c:v>0.23</c:v>
                </c:pt>
                <c:pt idx="8">
                  <c:v>0.21</c:v>
                </c:pt>
                <c:pt idx="9">
                  <c:v>0.18</c:v>
                </c:pt>
                <c:pt idx="10">
                  <c:v>0.18</c:v>
                </c:pt>
                <c:pt idx="11">
                  <c:v>0.17</c:v>
                </c:pt>
                <c:pt idx="12">
                  <c:v>0.14000000000000001</c:v>
                </c:pt>
                <c:pt idx="13">
                  <c:v>0.06</c:v>
                </c:pt>
                <c:pt idx="14">
                  <c:v>0.04</c:v>
                </c:pt>
                <c:pt idx="15">
                  <c:v>0.03</c:v>
                </c:pt>
                <c:pt idx="16">
                  <c:v>0.03</c:v>
                </c:pt>
                <c:pt idx="17">
                  <c:v>0.02</c:v>
                </c:pt>
                <c:pt idx="18">
                  <c:v>0.01</c:v>
                </c:pt>
              </c:numCache>
            </c:numRef>
          </c:val>
        </c:ser>
        <c:dLbls>
          <c:showLegendKey val="0"/>
          <c:showVal val="0"/>
          <c:showCatName val="0"/>
          <c:showSerName val="0"/>
          <c:showPercent val="0"/>
          <c:showBubbleSize val="0"/>
        </c:dLbls>
        <c:gapWidth val="150"/>
        <c:axId val="166652544"/>
        <c:axId val="174653824"/>
      </c:barChart>
      <c:catAx>
        <c:axId val="166652544"/>
        <c:scaling>
          <c:orientation val="minMax"/>
        </c:scaling>
        <c:delete val="0"/>
        <c:axPos val="l"/>
        <c:numFmt formatCode="General" sourceLinked="1"/>
        <c:majorTickMark val="none"/>
        <c:minorTickMark val="none"/>
        <c:tickLblPos val="nextTo"/>
        <c:spPr>
          <a:ln w="3175">
            <a:solidFill>
              <a:srgbClr val="808080"/>
            </a:solidFill>
            <a:prstDash val="solid"/>
          </a:ln>
        </c:spPr>
        <c:txPr>
          <a:bodyPr/>
          <a:lstStyle/>
          <a:p>
            <a:pPr>
              <a:defRPr sz="900"/>
            </a:pPr>
            <a:endParaRPr lang="en-US"/>
          </a:p>
        </c:txPr>
        <c:crossAx val="174653824"/>
        <c:crosses val="autoZero"/>
        <c:auto val="1"/>
        <c:lblAlgn val="ctr"/>
        <c:lblOffset val="100"/>
        <c:noMultiLvlLbl val="0"/>
      </c:catAx>
      <c:valAx>
        <c:axId val="174653824"/>
        <c:scaling>
          <c:orientation val="minMax"/>
        </c:scaling>
        <c:delete val="0"/>
        <c:axPos val="b"/>
        <c:majorGridlines>
          <c:spPr>
            <a:ln w="3175">
              <a:solidFill>
                <a:srgbClr val="808080"/>
              </a:solidFill>
              <a:prstDash val="solid"/>
            </a:ln>
          </c:spPr>
        </c:majorGridlines>
        <c:numFmt formatCode="0%" sourceLinked="1"/>
        <c:majorTickMark val="none"/>
        <c:minorTickMark val="none"/>
        <c:tickLblPos val="nextTo"/>
        <c:spPr>
          <a:ln w="3175">
            <a:solidFill>
              <a:srgbClr val="808080"/>
            </a:solidFill>
            <a:prstDash val="solid"/>
          </a:ln>
        </c:spPr>
        <c:txPr>
          <a:bodyPr/>
          <a:lstStyle/>
          <a:p>
            <a:pPr>
              <a:defRPr sz="900"/>
            </a:pPr>
            <a:endParaRPr lang="en-US"/>
          </a:p>
        </c:txPr>
        <c:crossAx val="166652544"/>
        <c:crosses val="autoZero"/>
        <c:crossBetween val="between"/>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4F81BD"/>
            </a:solidFill>
            <a:ln w="25400">
              <a:noFill/>
            </a:ln>
          </c:spPr>
          <c:invertIfNegative val="0"/>
          <c:dLbls>
            <c:spPr>
              <a:noFill/>
              <a:ln w="25400">
                <a:noFill/>
              </a:ln>
            </c:spPr>
            <c:txPr>
              <a:bodyPr/>
              <a:lstStyle/>
              <a:p>
                <a:pPr>
                  <a:defRPr sz="800"/>
                </a:pPr>
                <a:endParaRPr lang="en-US"/>
              </a:p>
            </c:txPr>
            <c:dLblPos val="outEnd"/>
            <c:showLegendKey val="0"/>
            <c:showVal val="1"/>
            <c:showCatName val="0"/>
            <c:showSerName val="0"/>
            <c:showPercent val="0"/>
            <c:showBubbleSize val="0"/>
            <c:showLeaderLines val="0"/>
          </c:dLbls>
          <c:cat>
            <c:strRef>
              <c:f>Individual!$A$57:$A$75</c:f>
              <c:strCache>
                <c:ptCount val="19"/>
                <c:pt idx="0">
                  <c:v>Disciplinary matters</c:v>
                </c:pt>
                <c:pt idx="1">
                  <c:v>Personality conflicts</c:v>
                </c:pt>
                <c:pt idx="2">
                  <c:v>Employment conditions </c:v>
                </c:pt>
                <c:pt idx="3">
                  <c:v>Bullying at work and harassment </c:v>
                </c:pt>
                <c:pt idx="4">
                  <c:v>Supervisor/line manager decisions</c:v>
                </c:pt>
                <c:pt idx="5">
                  <c:v>Remuneration</c:v>
                </c:pt>
                <c:pt idx="6">
                  <c:v>Health and safety </c:v>
                </c:pt>
                <c:pt idx="7">
                  <c:v>Uncivil behaviour falling short of bullying or harassment</c:v>
                </c:pt>
                <c:pt idx="8">
                  <c:v>Unfair dismissal</c:v>
                </c:pt>
                <c:pt idx="9">
                  <c:v>Promotion and career development</c:v>
                </c:pt>
                <c:pt idx="10">
                  <c:v>No individual disputes reported</c:v>
                </c:pt>
                <c:pt idx="11">
                  <c:v>Job security </c:v>
                </c:pt>
                <c:pt idx="12">
                  <c:v>Relocation to another position in the organisation</c:v>
                </c:pt>
                <c:pt idx="13">
                  <c:v>Race discrimination</c:v>
                </c:pt>
                <c:pt idx="14">
                  <c:v>Disability discrimination</c:v>
                </c:pt>
                <c:pt idx="15">
                  <c:v>Gender discrimination</c:v>
                </c:pt>
                <c:pt idx="16">
                  <c:v>Age discrimination</c:v>
                </c:pt>
                <c:pt idx="17">
                  <c:v>Any other individual dispute </c:v>
                </c:pt>
                <c:pt idx="18">
                  <c:v>Some other form of discrimination </c:v>
                </c:pt>
              </c:strCache>
            </c:strRef>
          </c:cat>
          <c:val>
            <c:numRef>
              <c:f>Individual!$B$57:$B$75</c:f>
              <c:numCache>
                <c:formatCode>0%</c:formatCode>
                <c:ptCount val="19"/>
                <c:pt idx="0">
                  <c:v>0.54</c:v>
                </c:pt>
                <c:pt idx="1">
                  <c:v>0.49</c:v>
                </c:pt>
                <c:pt idx="2">
                  <c:v>0.38</c:v>
                </c:pt>
                <c:pt idx="3">
                  <c:v>0.35</c:v>
                </c:pt>
                <c:pt idx="4">
                  <c:v>0.26</c:v>
                </c:pt>
                <c:pt idx="5">
                  <c:v>0.25</c:v>
                </c:pt>
                <c:pt idx="6">
                  <c:v>0.23</c:v>
                </c:pt>
                <c:pt idx="7">
                  <c:v>0.23</c:v>
                </c:pt>
                <c:pt idx="8">
                  <c:v>0.21</c:v>
                </c:pt>
                <c:pt idx="9">
                  <c:v>0.18</c:v>
                </c:pt>
                <c:pt idx="10">
                  <c:v>0.18</c:v>
                </c:pt>
                <c:pt idx="11">
                  <c:v>0.17</c:v>
                </c:pt>
                <c:pt idx="12">
                  <c:v>0.14000000000000001</c:v>
                </c:pt>
                <c:pt idx="13">
                  <c:v>0.06</c:v>
                </c:pt>
                <c:pt idx="14">
                  <c:v>0.04</c:v>
                </c:pt>
                <c:pt idx="15">
                  <c:v>0.03</c:v>
                </c:pt>
                <c:pt idx="16">
                  <c:v>0.03</c:v>
                </c:pt>
                <c:pt idx="17">
                  <c:v>0.02</c:v>
                </c:pt>
                <c:pt idx="18">
                  <c:v>0.01</c:v>
                </c:pt>
              </c:numCache>
            </c:numRef>
          </c:val>
        </c:ser>
        <c:dLbls>
          <c:showLegendKey val="0"/>
          <c:showVal val="0"/>
          <c:showCatName val="0"/>
          <c:showSerName val="0"/>
          <c:showPercent val="0"/>
          <c:showBubbleSize val="0"/>
        </c:dLbls>
        <c:gapWidth val="150"/>
        <c:axId val="95629696"/>
        <c:axId val="95631232"/>
      </c:barChart>
      <c:catAx>
        <c:axId val="95629696"/>
        <c:scaling>
          <c:orientation val="minMax"/>
        </c:scaling>
        <c:delete val="0"/>
        <c:axPos val="l"/>
        <c:numFmt formatCode="General" sourceLinked="1"/>
        <c:majorTickMark val="none"/>
        <c:minorTickMark val="none"/>
        <c:tickLblPos val="nextTo"/>
        <c:spPr>
          <a:ln w="3175">
            <a:solidFill>
              <a:srgbClr val="808080"/>
            </a:solidFill>
            <a:prstDash val="solid"/>
          </a:ln>
        </c:spPr>
        <c:txPr>
          <a:bodyPr/>
          <a:lstStyle/>
          <a:p>
            <a:pPr>
              <a:defRPr sz="900"/>
            </a:pPr>
            <a:endParaRPr lang="en-US"/>
          </a:p>
        </c:txPr>
        <c:crossAx val="95631232"/>
        <c:crosses val="autoZero"/>
        <c:auto val="1"/>
        <c:lblAlgn val="ctr"/>
        <c:lblOffset val="100"/>
        <c:noMultiLvlLbl val="0"/>
      </c:catAx>
      <c:valAx>
        <c:axId val="95631232"/>
        <c:scaling>
          <c:orientation val="minMax"/>
        </c:scaling>
        <c:delete val="0"/>
        <c:axPos val="b"/>
        <c:numFmt formatCode="0%" sourceLinked="1"/>
        <c:majorTickMark val="none"/>
        <c:minorTickMark val="none"/>
        <c:tickLblPos val="nextTo"/>
        <c:spPr>
          <a:ln w="3175">
            <a:solidFill>
              <a:srgbClr val="808080"/>
            </a:solidFill>
            <a:prstDash val="solid"/>
          </a:ln>
        </c:spPr>
        <c:txPr>
          <a:bodyPr/>
          <a:lstStyle/>
          <a:p>
            <a:pPr>
              <a:defRPr sz="900"/>
            </a:pPr>
            <a:endParaRPr lang="en-US"/>
          </a:p>
        </c:txPr>
        <c:crossAx val="95629696"/>
        <c:crosses val="autoZero"/>
        <c:crossBetween val="between"/>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spPr>
            <a:solidFill>
              <a:schemeClr val="accent1"/>
            </a:solidFill>
            <a:ln w="25400" cap="flat" cmpd="sng" algn="ctr">
              <a:noFill/>
              <a:prstDash val="solid"/>
            </a:ln>
            <a:effectLst/>
          </c:spPr>
          <c:invertIfNegative val="0"/>
          <c:dLbls>
            <c:spPr>
              <a:noFill/>
              <a:ln w="25400">
                <a:noFill/>
              </a:ln>
            </c:spPr>
            <c:txPr>
              <a:bodyPr/>
              <a:lstStyle/>
              <a:p>
                <a:pPr>
                  <a:defRPr sz="800"/>
                </a:pPr>
                <a:endParaRPr lang="en-US"/>
              </a:p>
            </c:txPr>
            <c:dLblPos val="outEnd"/>
            <c:showLegendKey val="0"/>
            <c:showVal val="1"/>
            <c:showCatName val="0"/>
            <c:showSerName val="0"/>
            <c:showPercent val="0"/>
            <c:showBubbleSize val="0"/>
            <c:showLeaderLines val="0"/>
          </c:dLbls>
          <c:cat>
            <c:strRef>
              <c:f>Individual!$A$105:$A$116</c:f>
              <c:strCache>
                <c:ptCount val="12"/>
                <c:pt idx="0">
                  <c:v>Discussion between the parties concerned</c:v>
                </c:pt>
                <c:pt idx="1">
                  <c:v>Discussion with managers</c:v>
                </c:pt>
                <c:pt idx="2">
                  <c:v>Discussion with in-house HR</c:v>
                </c:pt>
                <c:pt idx="3">
                  <c:v>Discussion between union/employee reps and mgrs</c:v>
                </c:pt>
                <c:pt idx="4">
                  <c:v>Fair Work Commission or equivalent State Commission</c:v>
                </c:pt>
                <c:pt idx="5">
                  <c:v>Mediation by a private dispute resolution specialist</c:v>
                </c:pt>
                <c:pt idx="6">
                  <c:v>Private legal advisors</c:v>
                </c:pt>
                <c:pt idx="7">
                  <c:v>Employer association</c:v>
                </c:pt>
                <c:pt idx="8">
                  <c:v>External HR/employment consultants</c:v>
                </c:pt>
                <c:pt idx="9">
                  <c:v>Federal or state anti-discrimination tribunal</c:v>
                </c:pt>
                <c:pt idx="10">
                  <c:v>Other </c:v>
                </c:pt>
                <c:pt idx="11">
                  <c:v>None</c:v>
                </c:pt>
              </c:strCache>
            </c:strRef>
          </c:cat>
          <c:val>
            <c:numRef>
              <c:f>Individual!$B$105:$B$116</c:f>
              <c:numCache>
                <c:formatCode>0%</c:formatCode>
                <c:ptCount val="12"/>
                <c:pt idx="0">
                  <c:v>0.87</c:v>
                </c:pt>
                <c:pt idx="1">
                  <c:v>0.81</c:v>
                </c:pt>
                <c:pt idx="2">
                  <c:v>0.73</c:v>
                </c:pt>
                <c:pt idx="3">
                  <c:v>0.39</c:v>
                </c:pt>
                <c:pt idx="4">
                  <c:v>0.26</c:v>
                </c:pt>
                <c:pt idx="5">
                  <c:v>0.19</c:v>
                </c:pt>
                <c:pt idx="6">
                  <c:v>0.17</c:v>
                </c:pt>
                <c:pt idx="7">
                  <c:v>0.1</c:v>
                </c:pt>
                <c:pt idx="8">
                  <c:v>0.09</c:v>
                </c:pt>
                <c:pt idx="9">
                  <c:v>0.05</c:v>
                </c:pt>
                <c:pt idx="10">
                  <c:v>0.02</c:v>
                </c:pt>
                <c:pt idx="11">
                  <c:v>0.01</c:v>
                </c:pt>
              </c:numCache>
            </c:numRef>
          </c:val>
        </c:ser>
        <c:dLbls>
          <c:showLegendKey val="0"/>
          <c:showVal val="0"/>
          <c:showCatName val="0"/>
          <c:showSerName val="0"/>
          <c:showPercent val="0"/>
          <c:showBubbleSize val="0"/>
        </c:dLbls>
        <c:gapWidth val="150"/>
        <c:axId val="95671808"/>
        <c:axId val="95673344"/>
      </c:barChart>
      <c:catAx>
        <c:axId val="95671808"/>
        <c:scaling>
          <c:orientation val="minMax"/>
        </c:scaling>
        <c:delete val="0"/>
        <c:axPos val="l"/>
        <c:numFmt formatCode="General" sourceLinked="1"/>
        <c:majorTickMark val="none"/>
        <c:minorTickMark val="none"/>
        <c:tickLblPos val="nextTo"/>
        <c:spPr>
          <a:ln w="3175">
            <a:solidFill>
              <a:srgbClr val="808080"/>
            </a:solidFill>
            <a:prstDash val="solid"/>
          </a:ln>
        </c:spPr>
        <c:txPr>
          <a:bodyPr/>
          <a:lstStyle/>
          <a:p>
            <a:pPr>
              <a:defRPr sz="900"/>
            </a:pPr>
            <a:endParaRPr lang="en-US"/>
          </a:p>
        </c:txPr>
        <c:crossAx val="95673344"/>
        <c:crosses val="autoZero"/>
        <c:auto val="1"/>
        <c:lblAlgn val="ctr"/>
        <c:lblOffset val="100"/>
        <c:noMultiLvlLbl val="0"/>
      </c:catAx>
      <c:valAx>
        <c:axId val="95673344"/>
        <c:scaling>
          <c:orientation val="minMax"/>
        </c:scaling>
        <c:delete val="0"/>
        <c:axPos val="b"/>
        <c:numFmt formatCode="0%" sourceLinked="1"/>
        <c:majorTickMark val="none"/>
        <c:minorTickMark val="none"/>
        <c:tickLblPos val="nextTo"/>
        <c:spPr>
          <a:ln w="3175">
            <a:solidFill>
              <a:srgbClr val="808080"/>
            </a:solidFill>
            <a:prstDash val="solid"/>
          </a:ln>
        </c:spPr>
        <c:txPr>
          <a:bodyPr/>
          <a:lstStyle/>
          <a:p>
            <a:pPr>
              <a:defRPr sz="900"/>
            </a:pPr>
            <a:endParaRPr lang="en-US"/>
          </a:p>
        </c:txPr>
        <c:crossAx val="95671808"/>
        <c:crosses val="autoZero"/>
        <c:crossBetween val="between"/>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a:effectLst>
      <a:glow>
        <a:schemeClr val="accent1">
          <a:satMod val="175000"/>
          <a:alpha val="40000"/>
        </a:schemeClr>
      </a:glo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'new charts'!$B$11</c:f>
              <c:strCache>
                <c:ptCount val="1"/>
                <c:pt idx="0">
                  <c:v>Yes, experienced conflict</c:v>
                </c:pt>
              </c:strCache>
            </c:strRef>
          </c:tx>
          <c:invertIfNegative val="0"/>
          <c:cat>
            <c:strRef>
              <c:f>'new charts'!$A$12:$A$16</c:f>
              <c:strCache>
                <c:ptCount val="5"/>
                <c:pt idx="0">
                  <c:v>Job satisfaction (Sample item: All in all I am satisfied with my job)_x000d_</c:v>
                </c:pt>
                <c:pt idx="1">
                  <c:v>Fairness (Sample item: Overall I am treated fairly by my organisation)_x000d_</c:v>
                </c:pt>
                <c:pt idx="2">
                  <c:v>Trust in senior management (Sample item: Senior management can be trusted to make sensible decisions for this organisation’s future)_x000d_</c:v>
                </c:pt>
                <c:pt idx="3">
                  <c:v>Trust in immediate supervisor (Sample item: I feel confident that my supervisor will always try to treat me fairly)_x000d_</c:v>
                </c:pt>
                <c:pt idx="4">
                  <c:v>Intention to quit (Sample item: I will actively look for a new job within the next year)_x000d_</c:v>
                </c:pt>
              </c:strCache>
            </c:strRef>
          </c:cat>
          <c:val>
            <c:numRef>
              <c:f>'new charts'!$B$12:$B$16</c:f>
              <c:numCache>
                <c:formatCode>0.0</c:formatCode>
                <c:ptCount val="5"/>
                <c:pt idx="0">
                  <c:v>3.8</c:v>
                </c:pt>
                <c:pt idx="1">
                  <c:v>3.4</c:v>
                </c:pt>
                <c:pt idx="2">
                  <c:v>3.2</c:v>
                </c:pt>
                <c:pt idx="3">
                  <c:v>3.6</c:v>
                </c:pt>
                <c:pt idx="4">
                  <c:v>2.7</c:v>
                </c:pt>
              </c:numCache>
            </c:numRef>
          </c:val>
        </c:ser>
        <c:ser>
          <c:idx val="1"/>
          <c:order val="1"/>
          <c:tx>
            <c:strRef>
              <c:f>'new charts'!$C$11</c:f>
              <c:strCache>
                <c:ptCount val="1"/>
                <c:pt idx="0">
                  <c:v>No, did not experience conflict</c:v>
                </c:pt>
              </c:strCache>
            </c:strRef>
          </c:tx>
          <c:invertIfNegative val="0"/>
          <c:cat>
            <c:strRef>
              <c:f>'new charts'!$A$12:$A$16</c:f>
              <c:strCache>
                <c:ptCount val="5"/>
                <c:pt idx="0">
                  <c:v>Job satisfaction (Sample item: All in all I am satisfied with my job)_x000d_</c:v>
                </c:pt>
                <c:pt idx="1">
                  <c:v>Fairness (Sample item: Overall I am treated fairly by my organisation)_x000d_</c:v>
                </c:pt>
                <c:pt idx="2">
                  <c:v>Trust in senior management (Sample item: Senior management can be trusted to make sensible decisions for this organisation’s future)_x000d_</c:v>
                </c:pt>
                <c:pt idx="3">
                  <c:v>Trust in immediate supervisor (Sample item: I feel confident that my supervisor will always try to treat me fairly)_x000d_</c:v>
                </c:pt>
                <c:pt idx="4">
                  <c:v>Intention to quit (Sample item: I will actively look for a new job within the next year)_x000d_</c:v>
                </c:pt>
              </c:strCache>
            </c:strRef>
          </c:cat>
          <c:val>
            <c:numRef>
              <c:f>'new charts'!$C$12:$C$16</c:f>
              <c:numCache>
                <c:formatCode>0.0</c:formatCode>
                <c:ptCount val="5"/>
                <c:pt idx="0">
                  <c:v>4.2</c:v>
                </c:pt>
                <c:pt idx="1">
                  <c:v>4</c:v>
                </c:pt>
                <c:pt idx="2">
                  <c:v>3.7</c:v>
                </c:pt>
                <c:pt idx="3">
                  <c:v>4</c:v>
                </c:pt>
                <c:pt idx="4">
                  <c:v>2.1</c:v>
                </c:pt>
              </c:numCache>
            </c:numRef>
          </c:val>
        </c:ser>
        <c:dLbls>
          <c:showLegendKey val="0"/>
          <c:showVal val="1"/>
          <c:showCatName val="0"/>
          <c:showSerName val="0"/>
          <c:showPercent val="0"/>
          <c:showBubbleSize val="0"/>
        </c:dLbls>
        <c:gapWidth val="75"/>
        <c:overlap val="-25"/>
        <c:axId val="95383936"/>
        <c:axId val="95385472"/>
      </c:barChart>
      <c:catAx>
        <c:axId val="95383936"/>
        <c:scaling>
          <c:orientation val="minMax"/>
        </c:scaling>
        <c:delete val="0"/>
        <c:axPos val="l"/>
        <c:numFmt formatCode="@" sourceLinked="1"/>
        <c:majorTickMark val="none"/>
        <c:minorTickMark val="none"/>
        <c:tickLblPos val="nextTo"/>
        <c:txPr>
          <a:bodyPr rot="0" vert="horz" lIns="2" anchor="ctr" anchorCtr="1">
            <a:spAutoFit/>
          </a:bodyPr>
          <a:lstStyle/>
          <a:p>
            <a:pPr algn="just">
              <a:defRPr b="0" i="0" strike="noStrike" cap="none" normalizeH="0" baseline="0"/>
            </a:pPr>
            <a:endParaRPr lang="en-US"/>
          </a:p>
        </c:txPr>
        <c:crossAx val="95385472"/>
        <c:crosses val="autoZero"/>
        <c:auto val="1"/>
        <c:lblAlgn val="ctr"/>
        <c:lblOffset val="100"/>
        <c:noMultiLvlLbl val="0"/>
      </c:catAx>
      <c:valAx>
        <c:axId val="95385472"/>
        <c:scaling>
          <c:orientation val="minMax"/>
          <c:max val="5"/>
          <c:min val="1"/>
        </c:scaling>
        <c:delete val="0"/>
        <c:axPos val="b"/>
        <c:numFmt formatCode="0.0" sourceLinked="1"/>
        <c:majorTickMark val="none"/>
        <c:minorTickMark val="none"/>
        <c:tickLblPos val="nextTo"/>
        <c:spPr>
          <a:ln w="9525">
            <a:noFill/>
          </a:ln>
        </c:spPr>
        <c:crossAx val="9538393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332D-B9C8-4AA6-B5F8-5A357E307415}">
  <ds:schemaRefs>
    <ds:schemaRef ds:uri="http://schemas.microsoft.com/sharepoint/v3/contenttype/forms"/>
  </ds:schemaRefs>
</ds:datastoreItem>
</file>

<file path=customXml/itemProps2.xml><?xml version="1.0" encoding="utf-8"?>
<ds:datastoreItem xmlns:ds="http://schemas.openxmlformats.org/officeDocument/2006/customXml" ds:itemID="{1E5C77AF-0773-4303-A94E-246BFC312619}">
  <ds:schemaRefs>
    <ds:schemaRef ds:uri="http://schemas.microsoft.com/office/2006/metadata/customXsn"/>
  </ds:schemaRefs>
</ds:datastoreItem>
</file>

<file path=customXml/itemProps3.xml><?xml version="1.0" encoding="utf-8"?>
<ds:datastoreItem xmlns:ds="http://schemas.openxmlformats.org/officeDocument/2006/customXml" ds:itemID="{272D270C-4882-4B16-B70C-53027DE9566A}">
  <ds:schemaRefs>
    <ds:schemaRef ds:uri="http://schemas.microsoft.com/sharepoint/events"/>
  </ds:schemaRefs>
</ds:datastoreItem>
</file>

<file path=customXml/itemProps4.xml><?xml version="1.0" encoding="utf-8"?>
<ds:datastoreItem xmlns:ds="http://schemas.openxmlformats.org/officeDocument/2006/customXml" ds:itemID="{07C1D2AE-7232-41BF-AA69-0810A714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BE41335-1CAF-4B21-A5EE-ABF4531EF2D5}">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62B0486B-57F2-4722-8637-3C39FBC0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15452</Words>
  <Characters>88079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Submission 181 - Australian Consortium for Research on Work and Employment (ACREW), Monash Business School - Workplace Relations Framework - Public inquiry</vt:lpstr>
    </vt:vector>
  </TitlesOfParts>
  <Company>Australian Consortium for Research on Work and Employment (ACREW), Monash Business School</Company>
  <LinksUpToDate>false</LinksUpToDate>
  <CharactersWithSpaces>103325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181 - Australian Consortium for Research on Work and Employment (ACREW), Monash Business School - Workplace Relations Framework - Public inquiry</dc:title>
  <dc:creator>Australian Consortium for Research on Work and Employment (ACREW), Monash Business School</dc:creator>
  <cp:lastModifiedBy>Productivity Commission</cp:lastModifiedBy>
  <cp:revision>6</cp:revision>
  <cp:lastPrinted>2015-03-17T05:19:00Z</cp:lastPrinted>
  <dcterms:created xsi:type="dcterms:W3CDTF">2015-03-17T06:34:00Z</dcterms:created>
  <dcterms:modified xsi:type="dcterms:W3CDTF">2015-04-15T05:28:00Z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