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A176B4" w14:textId="77777777" w:rsidR="00602902" w:rsidRPr="00BF5564" w:rsidRDefault="00602902" w:rsidP="00DA152E">
      <w:pPr>
        <w:spacing w:after="0" w:line="240" w:lineRule="auto"/>
        <w:jc w:val="both"/>
        <w:rPr>
          <w:rFonts w:cs="Times New Roman"/>
          <w:b/>
          <w:sz w:val="32"/>
          <w:szCs w:val="32"/>
        </w:rPr>
      </w:pPr>
      <w:bookmarkStart w:id="0" w:name="_GoBack"/>
      <w:bookmarkEnd w:id="0"/>
    </w:p>
    <w:p w14:paraId="41538852" w14:textId="77777777" w:rsidR="00602902" w:rsidRPr="00590CC5" w:rsidRDefault="00B11B71" w:rsidP="00602902">
      <w:pPr>
        <w:spacing w:after="0" w:line="240" w:lineRule="auto"/>
        <w:jc w:val="right"/>
        <w:rPr>
          <w:rFonts w:cs="Times New Roman"/>
          <w:b/>
          <w:color w:val="365F91" w:themeColor="accent1" w:themeShade="BF"/>
          <w:sz w:val="40"/>
          <w:szCs w:val="40"/>
        </w:rPr>
      </w:pPr>
      <w:r>
        <w:rPr>
          <w:rFonts w:cs="Times New Roman"/>
          <w:b/>
          <w:color w:val="365F91" w:themeColor="accent1" w:themeShade="BF"/>
          <w:sz w:val="40"/>
          <w:szCs w:val="40"/>
        </w:rPr>
        <w:t xml:space="preserve">Individual </w:t>
      </w:r>
      <w:r w:rsidR="00602902" w:rsidRPr="00590CC5">
        <w:rPr>
          <w:rFonts w:cs="Times New Roman"/>
          <w:b/>
          <w:color w:val="365F91" w:themeColor="accent1" w:themeShade="BF"/>
          <w:sz w:val="40"/>
          <w:szCs w:val="40"/>
        </w:rPr>
        <w:t>Submission to Productivity Commission</w:t>
      </w:r>
    </w:p>
    <w:p w14:paraId="3CA17CB8" w14:textId="77777777" w:rsidR="00602902" w:rsidRPr="00590CC5" w:rsidRDefault="00914399" w:rsidP="00602902">
      <w:pPr>
        <w:spacing w:after="0" w:line="240" w:lineRule="auto"/>
        <w:jc w:val="right"/>
        <w:rPr>
          <w:rFonts w:cs="Times New Roman"/>
          <w:b/>
          <w:color w:val="365F91" w:themeColor="accent1" w:themeShade="BF"/>
          <w:sz w:val="40"/>
          <w:szCs w:val="40"/>
        </w:rPr>
      </w:pPr>
      <w:r>
        <w:rPr>
          <w:rFonts w:cs="Times New Roman"/>
          <w:b/>
          <w:color w:val="365F91" w:themeColor="accent1" w:themeShade="BF"/>
          <w:sz w:val="40"/>
          <w:szCs w:val="40"/>
        </w:rPr>
        <w:t>Inquiry into Migrant Intake I</w:t>
      </w:r>
      <w:r w:rsidR="00590CC5" w:rsidRPr="00590CC5">
        <w:rPr>
          <w:rFonts w:cs="Times New Roman"/>
          <w:b/>
          <w:color w:val="365F91" w:themeColor="accent1" w:themeShade="BF"/>
          <w:sz w:val="40"/>
          <w:szCs w:val="40"/>
        </w:rPr>
        <w:t>nto Australia</w:t>
      </w:r>
    </w:p>
    <w:p w14:paraId="1A3A6AE6" w14:textId="77777777" w:rsidR="00602902" w:rsidRPr="00590CC5" w:rsidRDefault="00602902" w:rsidP="00602902">
      <w:pPr>
        <w:spacing w:after="0" w:line="240" w:lineRule="auto"/>
        <w:jc w:val="right"/>
        <w:rPr>
          <w:rFonts w:cs="Times New Roman"/>
          <w:b/>
          <w:color w:val="365F91" w:themeColor="accent1" w:themeShade="BF"/>
          <w:sz w:val="40"/>
          <w:szCs w:val="40"/>
        </w:rPr>
      </w:pPr>
    </w:p>
    <w:p w14:paraId="4E23BB0B" w14:textId="77777777" w:rsidR="00602902" w:rsidRPr="00590CC5" w:rsidRDefault="00602902" w:rsidP="00602902">
      <w:pPr>
        <w:spacing w:after="0" w:line="240" w:lineRule="auto"/>
        <w:jc w:val="right"/>
        <w:rPr>
          <w:rFonts w:cs="Times New Roman"/>
          <w:b/>
          <w:color w:val="365F91" w:themeColor="accent1" w:themeShade="BF"/>
          <w:sz w:val="40"/>
          <w:szCs w:val="40"/>
        </w:rPr>
      </w:pPr>
      <w:r w:rsidRPr="00590CC5">
        <w:rPr>
          <w:rFonts w:cs="Times New Roman"/>
          <w:b/>
          <w:color w:val="365F91" w:themeColor="accent1" w:themeShade="BF"/>
          <w:sz w:val="40"/>
          <w:szCs w:val="40"/>
        </w:rPr>
        <w:t>2015</w:t>
      </w:r>
    </w:p>
    <w:p w14:paraId="4BCB6565" w14:textId="77777777" w:rsidR="00602902" w:rsidRPr="00590CC5" w:rsidRDefault="00602902" w:rsidP="00DA152E">
      <w:pPr>
        <w:spacing w:after="0" w:line="240" w:lineRule="auto"/>
        <w:jc w:val="both"/>
        <w:rPr>
          <w:rFonts w:cs="Times New Roman"/>
          <w:b/>
          <w:sz w:val="40"/>
          <w:szCs w:val="40"/>
        </w:rPr>
      </w:pPr>
    </w:p>
    <w:p w14:paraId="54FDA9B5" w14:textId="77777777" w:rsidR="00602902" w:rsidRPr="00BF5564" w:rsidRDefault="00602902" w:rsidP="00DA152E">
      <w:pPr>
        <w:spacing w:after="0" w:line="240" w:lineRule="auto"/>
        <w:jc w:val="both"/>
        <w:rPr>
          <w:rFonts w:cs="Times New Roman"/>
          <w:b/>
          <w:sz w:val="32"/>
          <w:szCs w:val="32"/>
        </w:rPr>
      </w:pPr>
    </w:p>
    <w:p w14:paraId="226472AD" w14:textId="77777777" w:rsidR="00602902" w:rsidRDefault="00602902" w:rsidP="00DA152E">
      <w:pPr>
        <w:spacing w:after="0" w:line="240" w:lineRule="auto"/>
        <w:jc w:val="both"/>
        <w:rPr>
          <w:rFonts w:cs="Times New Roman"/>
          <w:b/>
          <w:sz w:val="32"/>
          <w:szCs w:val="32"/>
        </w:rPr>
      </w:pPr>
    </w:p>
    <w:p w14:paraId="02901C3C" w14:textId="77777777" w:rsidR="00590CC5" w:rsidRDefault="00590CC5" w:rsidP="00DA152E">
      <w:pPr>
        <w:spacing w:after="0" w:line="240" w:lineRule="auto"/>
        <w:jc w:val="both"/>
        <w:rPr>
          <w:rFonts w:cs="Times New Roman"/>
          <w:b/>
          <w:sz w:val="32"/>
          <w:szCs w:val="32"/>
        </w:rPr>
      </w:pPr>
    </w:p>
    <w:p w14:paraId="6D97E4EA" w14:textId="77777777" w:rsidR="00590CC5" w:rsidRDefault="00590CC5" w:rsidP="00DA152E">
      <w:pPr>
        <w:spacing w:after="0" w:line="240" w:lineRule="auto"/>
        <w:jc w:val="both"/>
        <w:rPr>
          <w:rFonts w:cs="Times New Roman"/>
          <w:b/>
          <w:sz w:val="32"/>
          <w:szCs w:val="32"/>
        </w:rPr>
      </w:pPr>
    </w:p>
    <w:p w14:paraId="7735CAE9" w14:textId="77777777" w:rsidR="00590CC5" w:rsidRDefault="00590CC5" w:rsidP="00DA152E">
      <w:pPr>
        <w:spacing w:after="0" w:line="240" w:lineRule="auto"/>
        <w:jc w:val="both"/>
        <w:rPr>
          <w:rFonts w:cs="Times New Roman"/>
          <w:b/>
          <w:sz w:val="32"/>
          <w:szCs w:val="32"/>
        </w:rPr>
      </w:pPr>
    </w:p>
    <w:p w14:paraId="65B63E9C" w14:textId="77777777" w:rsidR="00590CC5" w:rsidRDefault="00590CC5" w:rsidP="00DA152E">
      <w:pPr>
        <w:spacing w:after="0" w:line="240" w:lineRule="auto"/>
        <w:jc w:val="both"/>
        <w:rPr>
          <w:rFonts w:cs="Times New Roman"/>
          <w:b/>
          <w:sz w:val="32"/>
          <w:szCs w:val="32"/>
        </w:rPr>
      </w:pPr>
    </w:p>
    <w:p w14:paraId="1B8CCB27" w14:textId="77777777" w:rsidR="00590CC5" w:rsidRDefault="00590CC5" w:rsidP="00DA152E">
      <w:pPr>
        <w:spacing w:after="0" w:line="240" w:lineRule="auto"/>
        <w:jc w:val="both"/>
        <w:rPr>
          <w:rFonts w:cs="Times New Roman"/>
          <w:b/>
          <w:sz w:val="32"/>
          <w:szCs w:val="32"/>
        </w:rPr>
      </w:pPr>
    </w:p>
    <w:p w14:paraId="035A60E7" w14:textId="77777777" w:rsidR="00590CC5" w:rsidRDefault="00590CC5" w:rsidP="00DA152E">
      <w:pPr>
        <w:spacing w:after="0" w:line="240" w:lineRule="auto"/>
        <w:jc w:val="both"/>
        <w:rPr>
          <w:rFonts w:cs="Times New Roman"/>
          <w:b/>
          <w:sz w:val="32"/>
          <w:szCs w:val="32"/>
        </w:rPr>
      </w:pPr>
    </w:p>
    <w:p w14:paraId="3D442734" w14:textId="77777777" w:rsidR="00590CC5" w:rsidRDefault="00590CC5" w:rsidP="00DA152E">
      <w:pPr>
        <w:spacing w:after="0" w:line="240" w:lineRule="auto"/>
        <w:jc w:val="both"/>
        <w:rPr>
          <w:rFonts w:cs="Times New Roman"/>
          <w:b/>
          <w:sz w:val="32"/>
          <w:szCs w:val="32"/>
        </w:rPr>
      </w:pPr>
    </w:p>
    <w:p w14:paraId="7AA0D2F3" w14:textId="77777777" w:rsidR="00590CC5" w:rsidRDefault="00590CC5" w:rsidP="00DA152E">
      <w:pPr>
        <w:spacing w:after="0" w:line="240" w:lineRule="auto"/>
        <w:jc w:val="both"/>
        <w:rPr>
          <w:rFonts w:cs="Times New Roman"/>
          <w:b/>
          <w:sz w:val="32"/>
          <w:szCs w:val="32"/>
        </w:rPr>
      </w:pPr>
    </w:p>
    <w:p w14:paraId="06C9A50C" w14:textId="77777777" w:rsidR="00590CC5" w:rsidRDefault="00590CC5" w:rsidP="00DA152E">
      <w:pPr>
        <w:spacing w:after="0" w:line="240" w:lineRule="auto"/>
        <w:jc w:val="both"/>
        <w:rPr>
          <w:rFonts w:cs="Times New Roman"/>
          <w:b/>
          <w:sz w:val="32"/>
          <w:szCs w:val="32"/>
        </w:rPr>
      </w:pPr>
    </w:p>
    <w:p w14:paraId="00CD7F13" w14:textId="77777777" w:rsidR="00590CC5" w:rsidRDefault="00590CC5" w:rsidP="00DA152E">
      <w:pPr>
        <w:spacing w:after="0" w:line="240" w:lineRule="auto"/>
        <w:jc w:val="both"/>
        <w:rPr>
          <w:rFonts w:cs="Times New Roman"/>
          <w:b/>
          <w:sz w:val="32"/>
          <w:szCs w:val="32"/>
        </w:rPr>
      </w:pPr>
    </w:p>
    <w:p w14:paraId="6690BAD7" w14:textId="77777777" w:rsidR="00590CC5" w:rsidRDefault="00590CC5" w:rsidP="00DA152E">
      <w:pPr>
        <w:spacing w:after="0" w:line="240" w:lineRule="auto"/>
        <w:jc w:val="both"/>
        <w:rPr>
          <w:rFonts w:cs="Times New Roman"/>
          <w:b/>
          <w:sz w:val="32"/>
          <w:szCs w:val="32"/>
        </w:rPr>
      </w:pPr>
    </w:p>
    <w:p w14:paraId="595CBA20" w14:textId="77777777" w:rsidR="00590CC5" w:rsidRDefault="00590CC5" w:rsidP="00DA152E">
      <w:pPr>
        <w:spacing w:after="0" w:line="240" w:lineRule="auto"/>
        <w:jc w:val="both"/>
        <w:rPr>
          <w:rFonts w:cs="Times New Roman"/>
          <w:b/>
          <w:sz w:val="32"/>
          <w:szCs w:val="32"/>
        </w:rPr>
      </w:pPr>
    </w:p>
    <w:p w14:paraId="555D31C5" w14:textId="77777777" w:rsidR="00590CC5" w:rsidRDefault="00590CC5" w:rsidP="00DA152E">
      <w:pPr>
        <w:spacing w:after="0" w:line="240" w:lineRule="auto"/>
        <w:jc w:val="both"/>
        <w:rPr>
          <w:rFonts w:cs="Times New Roman"/>
          <w:b/>
          <w:sz w:val="32"/>
          <w:szCs w:val="32"/>
        </w:rPr>
      </w:pPr>
    </w:p>
    <w:p w14:paraId="734B2BBA" w14:textId="77777777" w:rsidR="00602902" w:rsidRPr="00BF5564" w:rsidRDefault="00602902" w:rsidP="00DA152E">
      <w:pPr>
        <w:spacing w:after="0" w:line="240" w:lineRule="auto"/>
        <w:jc w:val="both"/>
        <w:rPr>
          <w:rFonts w:cs="Times New Roman"/>
          <w:b/>
          <w:sz w:val="32"/>
          <w:szCs w:val="32"/>
        </w:rPr>
      </w:pPr>
    </w:p>
    <w:p w14:paraId="25D9849E" w14:textId="77777777" w:rsidR="00602902" w:rsidRPr="00BF5564" w:rsidRDefault="00590CC5" w:rsidP="00DA152E">
      <w:pPr>
        <w:spacing w:after="0" w:line="240" w:lineRule="auto"/>
        <w:jc w:val="both"/>
        <w:rPr>
          <w:rFonts w:cs="Times New Roman"/>
          <w:b/>
          <w:sz w:val="32"/>
          <w:szCs w:val="32"/>
        </w:rPr>
      </w:pPr>
      <w:r>
        <w:rPr>
          <w:rFonts w:ascii="Calibri" w:hAnsi="Calibri" w:cs="Calibri"/>
          <w:b/>
          <w:bCs/>
          <w:noProof/>
          <w:sz w:val="36"/>
          <w:szCs w:val="36"/>
          <w:lang w:val="en-AU" w:eastAsia="en-AU"/>
        </w:rPr>
        <w:drawing>
          <wp:inline distT="0" distB="0" distL="0" distR="0" wp14:anchorId="7A49FB65" wp14:editId="033E5100">
            <wp:extent cx="1572895" cy="1487170"/>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1572895" cy="1487170"/>
                    </a:xfrm>
                    <a:prstGeom prst="rect">
                      <a:avLst/>
                    </a:prstGeom>
                    <a:noFill/>
                    <a:ln w="9525">
                      <a:noFill/>
                      <a:miter lim="800000"/>
                      <a:headEnd/>
                      <a:tailEnd/>
                    </a:ln>
                  </pic:spPr>
                </pic:pic>
              </a:graphicData>
            </a:graphic>
          </wp:inline>
        </w:drawing>
      </w:r>
    </w:p>
    <w:p w14:paraId="24C17997" w14:textId="77777777" w:rsidR="00602902" w:rsidRPr="00BF5564" w:rsidRDefault="00602902" w:rsidP="00DA152E">
      <w:pPr>
        <w:spacing w:after="0" w:line="240" w:lineRule="auto"/>
        <w:jc w:val="both"/>
        <w:rPr>
          <w:rFonts w:cs="Times New Roman"/>
          <w:b/>
          <w:sz w:val="32"/>
          <w:szCs w:val="32"/>
        </w:rPr>
      </w:pPr>
    </w:p>
    <w:p w14:paraId="2D6267AE" w14:textId="77777777" w:rsidR="0031064B" w:rsidRPr="00BF5564" w:rsidRDefault="0031064B" w:rsidP="00DA152E">
      <w:pPr>
        <w:spacing w:after="0" w:line="240" w:lineRule="auto"/>
        <w:jc w:val="both"/>
        <w:rPr>
          <w:rFonts w:cs="Times New Roman"/>
          <w:b/>
        </w:rPr>
      </w:pPr>
    </w:p>
    <w:p w14:paraId="33303F2D" w14:textId="77777777" w:rsidR="00DA152E" w:rsidRPr="00590CC5" w:rsidRDefault="00AA3A90" w:rsidP="00DA152E">
      <w:pPr>
        <w:spacing w:after="0" w:line="240" w:lineRule="auto"/>
        <w:jc w:val="both"/>
        <w:rPr>
          <w:rFonts w:cs="Times New Roman"/>
          <w:b/>
          <w:sz w:val="24"/>
          <w:szCs w:val="24"/>
        </w:rPr>
      </w:pPr>
      <w:r w:rsidRPr="00590CC5">
        <w:rPr>
          <w:rFonts w:cs="Times New Roman"/>
          <w:b/>
          <w:sz w:val="24"/>
          <w:szCs w:val="24"/>
        </w:rPr>
        <w:t>Lesleyanne Hawthorne</w:t>
      </w:r>
    </w:p>
    <w:p w14:paraId="5CF46754" w14:textId="77777777" w:rsidR="00AA3A90" w:rsidRPr="00590CC5" w:rsidRDefault="00AA3A90" w:rsidP="00DA152E">
      <w:pPr>
        <w:spacing w:after="0" w:line="240" w:lineRule="auto"/>
        <w:jc w:val="both"/>
        <w:rPr>
          <w:rFonts w:cs="Times New Roman"/>
          <w:sz w:val="24"/>
          <w:szCs w:val="24"/>
        </w:rPr>
      </w:pPr>
      <w:r w:rsidRPr="00590CC5">
        <w:rPr>
          <w:rFonts w:cs="Times New Roman"/>
          <w:sz w:val="24"/>
          <w:szCs w:val="24"/>
        </w:rPr>
        <w:t>Professor – International Workforce</w:t>
      </w:r>
    </w:p>
    <w:p w14:paraId="272CF462" w14:textId="77777777" w:rsidR="00AA3A90" w:rsidRPr="00590CC5" w:rsidRDefault="00AA3A90" w:rsidP="00DA152E">
      <w:pPr>
        <w:spacing w:after="0" w:line="240" w:lineRule="auto"/>
        <w:jc w:val="both"/>
        <w:rPr>
          <w:rFonts w:cs="Times New Roman"/>
          <w:sz w:val="24"/>
          <w:szCs w:val="24"/>
        </w:rPr>
      </w:pPr>
      <w:r w:rsidRPr="00590CC5">
        <w:rPr>
          <w:rFonts w:cs="Times New Roman"/>
          <w:sz w:val="24"/>
          <w:szCs w:val="24"/>
        </w:rPr>
        <w:t>University of Melbourne</w:t>
      </w:r>
    </w:p>
    <w:p w14:paraId="02A8188A" w14:textId="77777777" w:rsidR="00AA3A90" w:rsidRPr="00590CC5" w:rsidRDefault="00AA3A90" w:rsidP="00DA152E">
      <w:pPr>
        <w:spacing w:after="0" w:line="240" w:lineRule="auto"/>
        <w:jc w:val="both"/>
        <w:rPr>
          <w:rFonts w:cs="Times New Roman"/>
          <w:b/>
          <w:sz w:val="24"/>
          <w:szCs w:val="24"/>
        </w:rPr>
      </w:pPr>
    </w:p>
    <w:p w14:paraId="05C21DCF" w14:textId="77777777" w:rsidR="00AA3A90" w:rsidRPr="00590CC5" w:rsidRDefault="00AA3A90" w:rsidP="00DA152E">
      <w:pPr>
        <w:spacing w:after="0" w:line="240" w:lineRule="auto"/>
        <w:jc w:val="both"/>
        <w:rPr>
          <w:rFonts w:cs="Times New Roman"/>
          <w:b/>
          <w:sz w:val="24"/>
          <w:szCs w:val="24"/>
        </w:rPr>
      </w:pPr>
      <w:r w:rsidRPr="00590CC5">
        <w:rPr>
          <w:rFonts w:cs="Times New Roman"/>
          <w:b/>
          <w:sz w:val="24"/>
          <w:szCs w:val="24"/>
        </w:rPr>
        <w:t>June 2015</w:t>
      </w:r>
    </w:p>
    <w:p w14:paraId="02FE401C" w14:textId="77777777" w:rsidR="00AA3A90" w:rsidRPr="00BF5564" w:rsidRDefault="00AA3A90" w:rsidP="00DA152E">
      <w:pPr>
        <w:spacing w:after="0" w:line="240" w:lineRule="auto"/>
        <w:jc w:val="both"/>
        <w:rPr>
          <w:rFonts w:cs="Times New Roman"/>
          <w:b/>
        </w:rPr>
      </w:pPr>
    </w:p>
    <w:p w14:paraId="6EEE153B" w14:textId="77777777" w:rsidR="00741B18" w:rsidRPr="00B11B71" w:rsidRDefault="00741B18" w:rsidP="00741B18">
      <w:pPr>
        <w:spacing w:after="0" w:line="240" w:lineRule="auto"/>
        <w:rPr>
          <w:rFonts w:cs="Times New Roman"/>
          <w:b/>
          <w:color w:val="365F91" w:themeColor="accent1" w:themeShade="BF"/>
          <w:sz w:val="28"/>
          <w:szCs w:val="28"/>
        </w:rPr>
      </w:pPr>
      <w:r w:rsidRPr="00B11B71">
        <w:rPr>
          <w:rFonts w:cs="Times New Roman"/>
          <w:b/>
          <w:color w:val="365F91" w:themeColor="accent1" w:themeShade="BF"/>
          <w:sz w:val="28"/>
          <w:szCs w:val="28"/>
        </w:rPr>
        <w:lastRenderedPageBreak/>
        <w:t>Submission Focus</w:t>
      </w:r>
    </w:p>
    <w:p w14:paraId="3EB1714F" w14:textId="77777777" w:rsidR="00741B18" w:rsidRPr="0007196E" w:rsidRDefault="00741B18" w:rsidP="00741B18">
      <w:pPr>
        <w:spacing w:after="0" w:line="240" w:lineRule="auto"/>
        <w:rPr>
          <w:rFonts w:cs="Times New Roman"/>
          <w:b/>
          <w:color w:val="365F91" w:themeColor="accent1" w:themeShade="BF"/>
          <w:sz w:val="32"/>
          <w:szCs w:val="32"/>
        </w:rPr>
      </w:pPr>
    </w:p>
    <w:p w14:paraId="3854C495" w14:textId="77777777" w:rsidR="00741B18" w:rsidRDefault="0035491F" w:rsidP="0035491F">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In line with my 2 June 2015 meeting with </w:t>
      </w:r>
      <w:r w:rsidR="00741B18">
        <w:rPr>
          <w:rFonts w:ascii="Times New Roman" w:hAnsi="Times New Roman" w:cs="Times New Roman"/>
          <w:color w:val="000000"/>
        </w:rPr>
        <w:t>the Productivi</w:t>
      </w:r>
      <w:r w:rsidR="00B11B71">
        <w:rPr>
          <w:rFonts w:ascii="Times New Roman" w:hAnsi="Times New Roman" w:cs="Times New Roman"/>
          <w:color w:val="000000"/>
        </w:rPr>
        <w:t>ty Commission Review Panel, this</w:t>
      </w:r>
      <w:r w:rsidR="00741B18">
        <w:rPr>
          <w:rFonts w:ascii="Times New Roman" w:hAnsi="Times New Roman" w:cs="Times New Roman"/>
          <w:color w:val="000000"/>
        </w:rPr>
        <w:t xml:space="preserve"> submission</w:t>
      </w:r>
      <w:r>
        <w:rPr>
          <w:rFonts w:ascii="Times New Roman" w:hAnsi="Times New Roman" w:cs="Times New Roman"/>
          <w:color w:val="000000"/>
        </w:rPr>
        <w:t xml:space="preserve"> </w:t>
      </w:r>
      <w:r w:rsidR="00741B18">
        <w:rPr>
          <w:rFonts w:ascii="Times New Roman" w:hAnsi="Times New Roman" w:cs="Times New Roman"/>
          <w:color w:val="000000"/>
        </w:rPr>
        <w:t xml:space="preserve">addresses </w:t>
      </w:r>
      <w:r w:rsidR="00741B18" w:rsidRPr="00914399">
        <w:rPr>
          <w:rFonts w:ascii="Times New Roman" w:hAnsi="Times New Roman" w:cs="Times New Roman"/>
          <w:color w:val="000000"/>
        </w:rPr>
        <w:t xml:space="preserve">issues </w:t>
      </w:r>
      <w:r>
        <w:rPr>
          <w:rFonts w:ascii="Times New Roman" w:hAnsi="Times New Roman" w:cs="Times New Roman"/>
          <w:color w:val="000000"/>
        </w:rPr>
        <w:t>of relevance</w:t>
      </w:r>
      <w:r w:rsidR="00741B18" w:rsidRPr="00914399">
        <w:rPr>
          <w:rFonts w:ascii="Times New Roman" w:hAnsi="Times New Roman" w:cs="Times New Roman"/>
          <w:color w:val="000000"/>
        </w:rPr>
        <w:t xml:space="preserve"> to </w:t>
      </w:r>
      <w:r w:rsidR="00741B18">
        <w:rPr>
          <w:rFonts w:ascii="Times New Roman" w:hAnsi="Times New Roman" w:cs="Times New Roman"/>
          <w:color w:val="000000"/>
        </w:rPr>
        <w:t xml:space="preserve">Australia’s </w:t>
      </w:r>
      <w:r w:rsidR="00741B18" w:rsidRPr="00914399">
        <w:rPr>
          <w:rFonts w:ascii="Times New Roman" w:hAnsi="Times New Roman" w:cs="Times New Roman"/>
          <w:color w:val="000000"/>
        </w:rPr>
        <w:t>skilled migration</w:t>
      </w:r>
      <w:r w:rsidR="00741B18">
        <w:rPr>
          <w:rFonts w:ascii="Times New Roman" w:hAnsi="Times New Roman" w:cs="Times New Roman"/>
          <w:color w:val="000000"/>
        </w:rPr>
        <w:t xml:space="preserve"> program, drawing on </w:t>
      </w:r>
      <w:r>
        <w:rPr>
          <w:rFonts w:ascii="Times New Roman" w:hAnsi="Times New Roman" w:cs="Times New Roman"/>
          <w:color w:val="000000"/>
        </w:rPr>
        <w:t xml:space="preserve">DIBP research, and a number of </w:t>
      </w:r>
      <w:r w:rsidR="00B11B71">
        <w:rPr>
          <w:rFonts w:ascii="Times New Roman" w:hAnsi="Times New Roman" w:cs="Times New Roman"/>
          <w:color w:val="000000"/>
        </w:rPr>
        <w:t xml:space="preserve">recent </w:t>
      </w:r>
      <w:r>
        <w:rPr>
          <w:rFonts w:ascii="Times New Roman" w:hAnsi="Times New Roman" w:cs="Times New Roman"/>
          <w:color w:val="000000"/>
        </w:rPr>
        <w:t xml:space="preserve">empirical </w:t>
      </w:r>
      <w:r w:rsidR="00741B18">
        <w:rPr>
          <w:rFonts w:ascii="Times New Roman" w:hAnsi="Times New Roman" w:cs="Times New Roman"/>
          <w:color w:val="000000"/>
        </w:rPr>
        <w:t xml:space="preserve">studies I have conducted with </w:t>
      </w:r>
      <w:r w:rsidR="00B11B71">
        <w:rPr>
          <w:rFonts w:ascii="Times New Roman" w:hAnsi="Times New Roman" w:cs="Times New Roman"/>
          <w:color w:val="000000"/>
        </w:rPr>
        <w:t xml:space="preserve">select </w:t>
      </w:r>
      <w:r>
        <w:rPr>
          <w:rFonts w:ascii="Times New Roman" w:hAnsi="Times New Roman" w:cs="Times New Roman"/>
          <w:color w:val="000000"/>
        </w:rPr>
        <w:t>colleagues</w:t>
      </w:r>
      <w:r w:rsidR="00741B18" w:rsidRPr="00914399">
        <w:rPr>
          <w:rFonts w:ascii="Times New Roman" w:hAnsi="Times New Roman" w:cs="Times New Roman"/>
          <w:color w:val="000000"/>
        </w:rPr>
        <w:t>.</w:t>
      </w:r>
    </w:p>
    <w:p w14:paraId="27065CA6" w14:textId="77777777" w:rsidR="00741B18" w:rsidRDefault="00741B18" w:rsidP="00741B18">
      <w:pPr>
        <w:spacing w:after="0" w:line="240" w:lineRule="auto"/>
        <w:rPr>
          <w:rFonts w:ascii="Times New Roman" w:hAnsi="Times New Roman" w:cs="Times New Roman"/>
          <w:color w:val="000000"/>
        </w:rPr>
      </w:pPr>
    </w:p>
    <w:p w14:paraId="3A1D21F3" w14:textId="77777777" w:rsidR="00741B18" w:rsidRDefault="00741B18" w:rsidP="00741B18">
      <w:pPr>
        <w:spacing w:after="0" w:line="240" w:lineRule="auto"/>
        <w:rPr>
          <w:rFonts w:cs="Times New Roman"/>
          <w:b/>
          <w:color w:val="365F91" w:themeColor="accent1" w:themeShade="BF"/>
          <w:sz w:val="32"/>
          <w:szCs w:val="32"/>
        </w:rPr>
      </w:pPr>
    </w:p>
    <w:p w14:paraId="0AAC325C" w14:textId="77777777" w:rsidR="00B11B71" w:rsidRDefault="00957FAD" w:rsidP="00741B18">
      <w:pPr>
        <w:spacing w:after="0" w:line="240" w:lineRule="auto"/>
        <w:rPr>
          <w:rFonts w:cs="Times New Roman"/>
          <w:b/>
          <w:color w:val="365F91" w:themeColor="accent1" w:themeShade="BF"/>
          <w:sz w:val="28"/>
          <w:szCs w:val="28"/>
        </w:rPr>
      </w:pPr>
      <w:r w:rsidRPr="00B11B71">
        <w:rPr>
          <w:rFonts w:cs="Times New Roman"/>
          <w:b/>
          <w:color w:val="365F91" w:themeColor="accent1" w:themeShade="BF"/>
          <w:sz w:val="28"/>
          <w:szCs w:val="28"/>
        </w:rPr>
        <w:t xml:space="preserve">Issue 1: </w:t>
      </w:r>
    </w:p>
    <w:p w14:paraId="0B14A70D" w14:textId="77777777" w:rsidR="00776DB9" w:rsidRPr="00B11B71" w:rsidRDefault="00957FAD" w:rsidP="00741B18">
      <w:pPr>
        <w:spacing w:after="0" w:line="240" w:lineRule="auto"/>
        <w:rPr>
          <w:rFonts w:cs="Times New Roman"/>
          <w:b/>
          <w:color w:val="365F91" w:themeColor="accent1" w:themeShade="BF"/>
          <w:sz w:val="28"/>
          <w:szCs w:val="28"/>
        </w:rPr>
      </w:pPr>
      <w:r w:rsidRPr="00B11B71">
        <w:rPr>
          <w:rFonts w:cs="Times New Roman"/>
          <w:b/>
          <w:color w:val="365F91" w:themeColor="accent1" w:themeShade="BF"/>
          <w:sz w:val="28"/>
          <w:szCs w:val="28"/>
        </w:rPr>
        <w:t xml:space="preserve">Change in Skilled Migration </w:t>
      </w:r>
      <w:r w:rsidR="00776DB9" w:rsidRPr="00B11B71">
        <w:rPr>
          <w:rFonts w:cs="Times New Roman"/>
          <w:b/>
          <w:color w:val="365F91" w:themeColor="accent1" w:themeShade="BF"/>
          <w:sz w:val="28"/>
          <w:szCs w:val="28"/>
        </w:rPr>
        <w:t>Flows</w:t>
      </w:r>
      <w:r w:rsidRPr="00B11B71">
        <w:rPr>
          <w:rFonts w:cs="Times New Roman"/>
          <w:b/>
          <w:color w:val="365F91" w:themeColor="accent1" w:themeShade="BF"/>
          <w:sz w:val="28"/>
          <w:szCs w:val="28"/>
        </w:rPr>
        <w:t xml:space="preserve"> and Pathways</w:t>
      </w:r>
    </w:p>
    <w:p w14:paraId="325956F8" w14:textId="77777777" w:rsidR="00776DB9" w:rsidRDefault="00776DB9" w:rsidP="0007196E">
      <w:pPr>
        <w:pStyle w:val="MPINormalBodytext"/>
        <w:jc w:val="both"/>
        <w:rPr>
          <w:rFonts w:ascii="Times New Roman" w:eastAsiaTheme="minorHAnsi" w:hAnsi="Times New Roman"/>
          <w:b/>
          <w:spacing w:val="0"/>
          <w:sz w:val="24"/>
          <w:szCs w:val="24"/>
          <w:lang w:val="en-NZ"/>
        </w:rPr>
      </w:pPr>
    </w:p>
    <w:p w14:paraId="286A393E" w14:textId="77777777" w:rsidR="0007196E" w:rsidRPr="00741B18" w:rsidRDefault="0007196E" w:rsidP="00C127E2">
      <w:pPr>
        <w:pStyle w:val="MPINormalBodytext"/>
        <w:jc w:val="both"/>
        <w:rPr>
          <w:rFonts w:ascii="Times New Roman" w:eastAsiaTheme="minorHAnsi" w:hAnsi="Times New Roman"/>
          <w:spacing w:val="0"/>
          <w:lang w:val="en-NZ"/>
        </w:rPr>
      </w:pPr>
      <w:r w:rsidRPr="00741B18">
        <w:rPr>
          <w:rFonts w:ascii="Times New Roman" w:eastAsiaTheme="minorHAnsi" w:hAnsi="Times New Roman"/>
          <w:spacing w:val="0"/>
          <w:lang w:val="en-NZ"/>
        </w:rPr>
        <w:t xml:space="preserve">First, the scale of skilled migration to Australia has transformed since 1999, with marked impact on the professions and trades. By 2011 62% of residents with engineering degrees were overseas-born, compared to 57% of IT professionals, 53% of accountants, 48% of doctors and 29% of nurses (compared to 26% of the population). </w:t>
      </w:r>
      <w:r w:rsidR="00C127E2" w:rsidRPr="00741B18">
        <w:rPr>
          <w:rFonts w:ascii="Times New Roman" w:eastAsiaTheme="minorHAnsi" w:hAnsi="Times New Roman"/>
          <w:spacing w:val="0"/>
          <w:lang w:val="en-NZ"/>
        </w:rPr>
        <w:t xml:space="preserve">Around a third had migrated in the previous five years, including 41,407 engineers, 35,423 accountants, 31,969 IT professionals, 26,348 nurses and 12,696 doctors. (See Table 1.) </w:t>
      </w:r>
      <w:r w:rsidR="0003071E" w:rsidRPr="00741B18">
        <w:rPr>
          <w:rFonts w:ascii="Times New Roman" w:eastAsiaTheme="minorHAnsi" w:hAnsi="Times New Roman"/>
          <w:spacing w:val="0"/>
          <w:lang w:val="en-NZ"/>
        </w:rPr>
        <w:t>In 2014-15 a further 128,550 skilled category permanent migrants will be accepted – including 48,250 who are employer-sponsored, 43,990 Independents, and 28,850 state/ territo</w:t>
      </w:r>
      <w:r w:rsidR="0003071E">
        <w:rPr>
          <w:rFonts w:ascii="Times New Roman" w:eastAsiaTheme="minorHAnsi" w:hAnsi="Times New Roman"/>
          <w:spacing w:val="0"/>
          <w:lang w:val="en-NZ"/>
        </w:rPr>
        <w:t>ry nominated arrivals.</w:t>
      </w:r>
    </w:p>
    <w:p w14:paraId="0E22CE80" w14:textId="77777777" w:rsidR="00C127E2" w:rsidRDefault="00C127E2" w:rsidP="00C127E2">
      <w:pPr>
        <w:pStyle w:val="MPINormalBodytext"/>
        <w:jc w:val="both"/>
        <w:rPr>
          <w:rFonts w:ascii="Times New Roman" w:eastAsiaTheme="minorHAnsi" w:hAnsi="Times New Roman"/>
          <w:spacing w:val="0"/>
          <w:lang w:val="en-NZ"/>
        </w:rPr>
      </w:pPr>
    </w:p>
    <w:p w14:paraId="6858C935" w14:textId="77777777" w:rsidR="0007196E" w:rsidRDefault="0007196E" w:rsidP="0007196E">
      <w:pPr>
        <w:pStyle w:val="MPINormalBodytext"/>
        <w:jc w:val="both"/>
        <w:rPr>
          <w:rFonts w:ascii="Times New Roman" w:eastAsiaTheme="minorHAnsi" w:hAnsi="Times New Roman"/>
          <w:spacing w:val="0"/>
          <w:sz w:val="24"/>
          <w:szCs w:val="24"/>
          <w:lang w:val="en-NZ"/>
        </w:rPr>
      </w:pPr>
      <w:r>
        <w:rPr>
          <w:rFonts w:ascii="Times New Roman" w:hAnsi="Times New Roman"/>
          <w:b/>
        </w:rPr>
        <w:t>Table 1</w:t>
      </w:r>
      <w:r w:rsidRPr="00DC7376">
        <w:rPr>
          <w:rFonts w:ascii="Times New Roman" w:hAnsi="Times New Roman"/>
          <w:b/>
        </w:rPr>
        <w:t xml:space="preserve">: </w:t>
      </w:r>
      <w:r>
        <w:rPr>
          <w:rFonts w:ascii="Times New Roman" w:hAnsi="Times New Roman"/>
          <w:b/>
        </w:rPr>
        <w:t>Growth in Arrivals by Major Professional Field (2006-11 Compared to 2001-05, All Immigration Categories)</w:t>
      </w:r>
    </w:p>
    <w:p w14:paraId="312BE5C0" w14:textId="77777777" w:rsidR="0007196E" w:rsidRDefault="0007196E" w:rsidP="0007196E">
      <w:pPr>
        <w:pStyle w:val="MPINormalBodytext"/>
        <w:jc w:val="both"/>
        <w:rPr>
          <w:rFonts w:ascii="Times New Roman" w:eastAsiaTheme="minorHAnsi" w:hAnsi="Times New Roman"/>
          <w:spacing w:val="0"/>
          <w:sz w:val="24"/>
          <w:szCs w:val="24"/>
          <w:lang w:val="en-NZ"/>
        </w:rPr>
      </w:pPr>
    </w:p>
    <w:tbl>
      <w:tblPr>
        <w:tblStyle w:val="TableGrid"/>
        <w:tblW w:w="0" w:type="auto"/>
        <w:tblInd w:w="108" w:type="dxa"/>
        <w:tblLook w:val="04A0" w:firstRow="1" w:lastRow="0" w:firstColumn="1" w:lastColumn="0" w:noHBand="0" w:noVBand="1"/>
      </w:tblPr>
      <w:tblGrid>
        <w:gridCol w:w="2972"/>
        <w:gridCol w:w="3081"/>
        <w:gridCol w:w="3081"/>
      </w:tblGrid>
      <w:tr w:rsidR="0007196E" w:rsidRPr="0085329C" w14:paraId="3065FBEF" w14:textId="77777777" w:rsidTr="00C127E2">
        <w:tc>
          <w:tcPr>
            <w:tcW w:w="2972" w:type="dxa"/>
            <w:shd w:val="clear" w:color="auto" w:fill="C6D9F1" w:themeFill="text2" w:themeFillTint="33"/>
          </w:tcPr>
          <w:p w14:paraId="7C19B503" w14:textId="77777777" w:rsidR="0007196E" w:rsidRPr="0085329C" w:rsidRDefault="0007196E" w:rsidP="00C127E2">
            <w:pPr>
              <w:textAlignment w:val="top"/>
              <w:rPr>
                <w:rFonts w:ascii="Times New Roman" w:hAnsi="Times New Roman" w:cs="Times New Roman"/>
                <w:b/>
                <w:bCs/>
                <w:color w:val="000000" w:themeColor="dark1"/>
                <w:kern w:val="24"/>
                <w:sz w:val="20"/>
                <w:szCs w:val="20"/>
                <w:lang w:eastAsia="en-US"/>
              </w:rPr>
            </w:pPr>
            <w:r w:rsidRPr="0085329C">
              <w:rPr>
                <w:rFonts w:ascii="Times New Roman" w:hAnsi="Times New Roman" w:cs="Times New Roman"/>
                <w:b/>
                <w:bCs/>
                <w:color w:val="000000" w:themeColor="dark1"/>
                <w:kern w:val="24"/>
                <w:sz w:val="20"/>
                <w:szCs w:val="20"/>
                <w:lang w:eastAsia="en-US"/>
              </w:rPr>
              <w:t>Field</w:t>
            </w:r>
          </w:p>
        </w:tc>
        <w:tc>
          <w:tcPr>
            <w:tcW w:w="3081" w:type="dxa"/>
            <w:shd w:val="clear" w:color="auto" w:fill="C6D9F1" w:themeFill="text2" w:themeFillTint="33"/>
          </w:tcPr>
          <w:p w14:paraId="01423220" w14:textId="77777777" w:rsidR="0007196E" w:rsidRPr="0085329C" w:rsidRDefault="0007196E" w:rsidP="00C127E2">
            <w:pPr>
              <w:jc w:val="right"/>
              <w:textAlignment w:val="top"/>
              <w:rPr>
                <w:rFonts w:ascii="Times New Roman" w:hAnsi="Times New Roman" w:cs="Times New Roman"/>
                <w:b/>
                <w:bCs/>
                <w:color w:val="000000" w:themeColor="dark1"/>
                <w:kern w:val="24"/>
                <w:sz w:val="20"/>
                <w:szCs w:val="20"/>
                <w:lang w:eastAsia="en-US"/>
              </w:rPr>
            </w:pPr>
            <w:r w:rsidRPr="0085329C">
              <w:rPr>
                <w:rFonts w:ascii="Times New Roman" w:hAnsi="Times New Roman" w:cs="Times New Roman"/>
                <w:b/>
                <w:bCs/>
                <w:color w:val="000000" w:themeColor="dark1"/>
                <w:kern w:val="24"/>
                <w:sz w:val="20"/>
                <w:szCs w:val="20"/>
                <w:lang w:eastAsia="en-US"/>
              </w:rPr>
              <w:t>January 2001- December 2005 Arrivals</w:t>
            </w:r>
          </w:p>
        </w:tc>
        <w:tc>
          <w:tcPr>
            <w:tcW w:w="3081" w:type="dxa"/>
            <w:shd w:val="clear" w:color="auto" w:fill="C6D9F1" w:themeFill="text2" w:themeFillTint="33"/>
          </w:tcPr>
          <w:p w14:paraId="638996AB" w14:textId="77777777" w:rsidR="0007196E" w:rsidRPr="0085329C" w:rsidRDefault="0007196E" w:rsidP="00C127E2">
            <w:pPr>
              <w:jc w:val="right"/>
              <w:textAlignment w:val="top"/>
              <w:rPr>
                <w:rFonts w:ascii="Times New Roman" w:hAnsi="Times New Roman" w:cs="Times New Roman"/>
                <w:b/>
                <w:bCs/>
                <w:color w:val="000000" w:themeColor="dark1"/>
                <w:kern w:val="24"/>
                <w:sz w:val="20"/>
                <w:szCs w:val="20"/>
                <w:lang w:eastAsia="en-US"/>
              </w:rPr>
            </w:pPr>
            <w:r w:rsidRPr="0085329C">
              <w:rPr>
                <w:rFonts w:ascii="Times New Roman" w:hAnsi="Times New Roman" w:cs="Times New Roman"/>
                <w:b/>
                <w:bCs/>
                <w:color w:val="000000" w:themeColor="dark1"/>
                <w:kern w:val="24"/>
                <w:sz w:val="20"/>
                <w:szCs w:val="20"/>
                <w:lang w:eastAsia="en-US"/>
              </w:rPr>
              <w:t>January 2006-August 2011 Arrivals</w:t>
            </w:r>
          </w:p>
        </w:tc>
      </w:tr>
      <w:tr w:rsidR="0007196E" w:rsidRPr="0085329C" w14:paraId="0C003E1E" w14:textId="77777777" w:rsidTr="00C127E2">
        <w:tc>
          <w:tcPr>
            <w:tcW w:w="2972" w:type="dxa"/>
            <w:vAlign w:val="bottom"/>
          </w:tcPr>
          <w:p w14:paraId="537ECEA6" w14:textId="77777777" w:rsidR="0007196E" w:rsidRPr="0085329C" w:rsidRDefault="0007196E" w:rsidP="00C127E2">
            <w:pPr>
              <w:textAlignment w:val="top"/>
              <w:rPr>
                <w:rFonts w:ascii="Times New Roman" w:hAnsi="Times New Roman" w:cs="Times New Roman"/>
                <w:bCs/>
                <w:color w:val="000000" w:themeColor="dark1"/>
                <w:kern w:val="24"/>
                <w:sz w:val="20"/>
                <w:szCs w:val="20"/>
                <w:lang w:eastAsia="en-US"/>
              </w:rPr>
            </w:pPr>
            <w:r w:rsidRPr="0085329C">
              <w:rPr>
                <w:rFonts w:ascii="Times New Roman" w:hAnsi="Times New Roman" w:cs="Times New Roman"/>
                <w:bCs/>
                <w:color w:val="000000" w:themeColor="dark1"/>
                <w:kern w:val="24"/>
                <w:sz w:val="20"/>
                <w:szCs w:val="20"/>
                <w:lang w:eastAsia="en-US"/>
              </w:rPr>
              <w:t>Engineering</w:t>
            </w:r>
          </w:p>
        </w:tc>
        <w:tc>
          <w:tcPr>
            <w:tcW w:w="3081" w:type="dxa"/>
            <w:vAlign w:val="bottom"/>
          </w:tcPr>
          <w:p w14:paraId="42CA9371" w14:textId="77777777" w:rsidR="0007196E" w:rsidRPr="0085329C" w:rsidRDefault="0007196E" w:rsidP="00C127E2">
            <w:pPr>
              <w:jc w:val="right"/>
              <w:textAlignment w:val="top"/>
              <w:rPr>
                <w:rFonts w:ascii="Times New Roman" w:hAnsi="Times New Roman" w:cs="Times New Roman"/>
                <w:bCs/>
                <w:color w:val="000000" w:themeColor="dark1"/>
                <w:kern w:val="24"/>
                <w:sz w:val="20"/>
                <w:szCs w:val="20"/>
                <w:lang w:eastAsia="en-US"/>
              </w:rPr>
            </w:pPr>
            <w:r w:rsidRPr="0085329C">
              <w:rPr>
                <w:rFonts w:ascii="Times New Roman" w:hAnsi="Times New Roman" w:cs="Times New Roman"/>
                <w:bCs/>
                <w:color w:val="000000" w:themeColor="dark1"/>
                <w:kern w:val="24"/>
                <w:sz w:val="20"/>
                <w:szCs w:val="20"/>
                <w:lang w:eastAsia="en-US"/>
              </w:rPr>
              <w:t>18,790</w:t>
            </w:r>
          </w:p>
        </w:tc>
        <w:tc>
          <w:tcPr>
            <w:tcW w:w="3081" w:type="dxa"/>
            <w:vAlign w:val="bottom"/>
          </w:tcPr>
          <w:p w14:paraId="7087276C" w14:textId="77777777" w:rsidR="0007196E" w:rsidRPr="0085329C" w:rsidRDefault="0007196E" w:rsidP="00C127E2">
            <w:pPr>
              <w:jc w:val="right"/>
              <w:textAlignment w:val="top"/>
              <w:rPr>
                <w:rFonts w:ascii="Times New Roman" w:hAnsi="Times New Roman" w:cs="Times New Roman"/>
                <w:bCs/>
                <w:color w:val="000000" w:themeColor="dark1"/>
                <w:kern w:val="24"/>
                <w:sz w:val="20"/>
                <w:szCs w:val="20"/>
                <w:lang w:eastAsia="en-US"/>
              </w:rPr>
            </w:pPr>
            <w:r w:rsidRPr="0085329C">
              <w:rPr>
                <w:rFonts w:ascii="Times New Roman" w:hAnsi="Times New Roman" w:cs="Times New Roman"/>
                <w:bCs/>
                <w:color w:val="000000" w:themeColor="dark1"/>
                <w:kern w:val="24"/>
                <w:sz w:val="20"/>
                <w:szCs w:val="20"/>
                <w:lang w:eastAsia="en-US"/>
              </w:rPr>
              <w:t>41,407</w:t>
            </w:r>
          </w:p>
        </w:tc>
      </w:tr>
      <w:tr w:rsidR="0007196E" w:rsidRPr="0085329C" w14:paraId="50CF913E" w14:textId="77777777" w:rsidTr="00C127E2">
        <w:tc>
          <w:tcPr>
            <w:tcW w:w="2972" w:type="dxa"/>
            <w:vAlign w:val="bottom"/>
          </w:tcPr>
          <w:p w14:paraId="005BBD53" w14:textId="77777777" w:rsidR="0007196E" w:rsidRPr="0085329C" w:rsidRDefault="0007196E" w:rsidP="00C127E2">
            <w:pPr>
              <w:textAlignment w:val="top"/>
              <w:rPr>
                <w:rFonts w:ascii="Times New Roman" w:hAnsi="Times New Roman" w:cs="Times New Roman"/>
                <w:bCs/>
                <w:color w:val="000000" w:themeColor="dark1"/>
                <w:kern w:val="24"/>
                <w:sz w:val="20"/>
                <w:szCs w:val="20"/>
                <w:lang w:eastAsia="en-US"/>
              </w:rPr>
            </w:pPr>
            <w:r w:rsidRPr="0085329C">
              <w:rPr>
                <w:rFonts w:ascii="Times New Roman" w:hAnsi="Times New Roman" w:cs="Times New Roman"/>
                <w:bCs/>
                <w:color w:val="000000" w:themeColor="dark1"/>
                <w:kern w:val="24"/>
                <w:sz w:val="20"/>
                <w:szCs w:val="20"/>
                <w:lang w:eastAsia="en-US"/>
              </w:rPr>
              <w:t>Accounting</w:t>
            </w:r>
          </w:p>
        </w:tc>
        <w:tc>
          <w:tcPr>
            <w:tcW w:w="3081" w:type="dxa"/>
            <w:vAlign w:val="bottom"/>
          </w:tcPr>
          <w:p w14:paraId="5A7AC403" w14:textId="77777777" w:rsidR="0007196E" w:rsidRPr="0085329C" w:rsidRDefault="0007196E" w:rsidP="00C127E2">
            <w:pPr>
              <w:jc w:val="right"/>
              <w:textAlignment w:val="top"/>
              <w:rPr>
                <w:rFonts w:ascii="Times New Roman" w:hAnsi="Times New Roman" w:cs="Times New Roman"/>
                <w:bCs/>
                <w:color w:val="000000" w:themeColor="dark1"/>
                <w:kern w:val="24"/>
                <w:sz w:val="20"/>
                <w:szCs w:val="20"/>
                <w:lang w:eastAsia="en-US"/>
              </w:rPr>
            </w:pPr>
            <w:r w:rsidRPr="0085329C">
              <w:rPr>
                <w:rFonts w:ascii="Times New Roman" w:hAnsi="Times New Roman" w:cs="Times New Roman"/>
                <w:bCs/>
                <w:color w:val="000000" w:themeColor="dark1"/>
                <w:kern w:val="24"/>
                <w:sz w:val="20"/>
                <w:szCs w:val="20"/>
                <w:lang w:eastAsia="en-US"/>
              </w:rPr>
              <w:t>26,145</w:t>
            </w:r>
          </w:p>
        </w:tc>
        <w:tc>
          <w:tcPr>
            <w:tcW w:w="3081" w:type="dxa"/>
            <w:vAlign w:val="bottom"/>
          </w:tcPr>
          <w:p w14:paraId="32BE7D09" w14:textId="77777777" w:rsidR="0007196E" w:rsidRPr="0085329C" w:rsidRDefault="0007196E" w:rsidP="00C127E2">
            <w:pPr>
              <w:jc w:val="right"/>
              <w:textAlignment w:val="top"/>
              <w:rPr>
                <w:rFonts w:ascii="Times New Roman" w:hAnsi="Times New Roman" w:cs="Times New Roman"/>
                <w:bCs/>
                <w:color w:val="000000" w:themeColor="dark1"/>
                <w:kern w:val="24"/>
                <w:sz w:val="20"/>
                <w:szCs w:val="20"/>
                <w:lang w:eastAsia="en-US"/>
              </w:rPr>
            </w:pPr>
            <w:r w:rsidRPr="0085329C">
              <w:rPr>
                <w:rFonts w:ascii="Times New Roman" w:hAnsi="Times New Roman" w:cs="Times New Roman"/>
                <w:bCs/>
                <w:color w:val="000000" w:themeColor="dark1"/>
                <w:kern w:val="24"/>
                <w:sz w:val="20"/>
                <w:szCs w:val="20"/>
                <w:lang w:eastAsia="en-US"/>
              </w:rPr>
              <w:t>35,423</w:t>
            </w:r>
          </w:p>
        </w:tc>
      </w:tr>
      <w:tr w:rsidR="0007196E" w:rsidRPr="0085329C" w14:paraId="1208090E" w14:textId="77777777" w:rsidTr="00C127E2">
        <w:tc>
          <w:tcPr>
            <w:tcW w:w="2972" w:type="dxa"/>
            <w:vAlign w:val="bottom"/>
          </w:tcPr>
          <w:p w14:paraId="4603E299" w14:textId="77777777" w:rsidR="0007196E" w:rsidRPr="0085329C" w:rsidRDefault="0007196E" w:rsidP="00C127E2">
            <w:pPr>
              <w:textAlignment w:val="top"/>
              <w:rPr>
                <w:rFonts w:ascii="Times New Roman" w:hAnsi="Times New Roman" w:cs="Times New Roman"/>
                <w:bCs/>
                <w:color w:val="000000" w:themeColor="dark1"/>
                <w:kern w:val="24"/>
                <w:sz w:val="20"/>
                <w:szCs w:val="20"/>
                <w:lang w:eastAsia="en-US"/>
              </w:rPr>
            </w:pPr>
            <w:r w:rsidRPr="0085329C">
              <w:rPr>
                <w:rFonts w:ascii="Times New Roman" w:hAnsi="Times New Roman" w:cs="Times New Roman"/>
                <w:bCs/>
                <w:color w:val="000000" w:themeColor="dark1"/>
                <w:kern w:val="24"/>
                <w:sz w:val="20"/>
                <w:szCs w:val="20"/>
                <w:lang w:eastAsia="en-US"/>
              </w:rPr>
              <w:t>I</w:t>
            </w:r>
            <w:r>
              <w:rPr>
                <w:rFonts w:ascii="Times New Roman" w:hAnsi="Times New Roman" w:cs="Times New Roman"/>
                <w:bCs/>
                <w:color w:val="000000" w:themeColor="dark1"/>
                <w:kern w:val="24"/>
                <w:sz w:val="20"/>
                <w:szCs w:val="20"/>
                <w:lang w:eastAsia="en-US"/>
              </w:rPr>
              <w:t>nformation Technology</w:t>
            </w:r>
          </w:p>
        </w:tc>
        <w:tc>
          <w:tcPr>
            <w:tcW w:w="3081" w:type="dxa"/>
            <w:vAlign w:val="bottom"/>
          </w:tcPr>
          <w:p w14:paraId="1E18D0B7" w14:textId="77777777" w:rsidR="0007196E" w:rsidRPr="0085329C" w:rsidRDefault="0007196E" w:rsidP="00C127E2">
            <w:pPr>
              <w:jc w:val="right"/>
              <w:textAlignment w:val="top"/>
              <w:rPr>
                <w:rFonts w:ascii="Times New Roman" w:hAnsi="Times New Roman" w:cs="Times New Roman"/>
                <w:bCs/>
                <w:color w:val="000000" w:themeColor="dark1"/>
                <w:kern w:val="24"/>
                <w:sz w:val="20"/>
                <w:szCs w:val="20"/>
                <w:lang w:eastAsia="en-US"/>
              </w:rPr>
            </w:pPr>
            <w:r w:rsidRPr="0085329C">
              <w:rPr>
                <w:rFonts w:ascii="Times New Roman" w:hAnsi="Times New Roman" w:cs="Times New Roman"/>
                <w:bCs/>
                <w:color w:val="000000" w:themeColor="dark1"/>
                <w:kern w:val="24"/>
                <w:sz w:val="20"/>
                <w:szCs w:val="20"/>
                <w:lang w:eastAsia="en-US"/>
              </w:rPr>
              <w:t xml:space="preserve">22,630 </w:t>
            </w:r>
          </w:p>
        </w:tc>
        <w:tc>
          <w:tcPr>
            <w:tcW w:w="3081" w:type="dxa"/>
            <w:vAlign w:val="bottom"/>
          </w:tcPr>
          <w:p w14:paraId="390BBABF" w14:textId="77777777" w:rsidR="0007196E" w:rsidRPr="0085329C" w:rsidRDefault="0007196E" w:rsidP="00C127E2">
            <w:pPr>
              <w:jc w:val="right"/>
              <w:textAlignment w:val="top"/>
              <w:rPr>
                <w:rFonts w:ascii="Times New Roman" w:hAnsi="Times New Roman" w:cs="Times New Roman"/>
                <w:bCs/>
                <w:color w:val="000000" w:themeColor="dark1"/>
                <w:kern w:val="24"/>
                <w:sz w:val="20"/>
                <w:szCs w:val="20"/>
                <w:lang w:eastAsia="en-US"/>
              </w:rPr>
            </w:pPr>
            <w:r w:rsidRPr="0085329C">
              <w:rPr>
                <w:rFonts w:ascii="Times New Roman" w:hAnsi="Times New Roman" w:cs="Times New Roman"/>
                <w:bCs/>
                <w:color w:val="000000" w:themeColor="dark1"/>
                <w:kern w:val="24"/>
                <w:sz w:val="20"/>
                <w:szCs w:val="20"/>
                <w:lang w:eastAsia="en-US"/>
              </w:rPr>
              <w:t xml:space="preserve">31,968 </w:t>
            </w:r>
          </w:p>
        </w:tc>
      </w:tr>
      <w:tr w:rsidR="0007196E" w:rsidRPr="0085329C" w14:paraId="4971696C" w14:textId="77777777" w:rsidTr="00C127E2">
        <w:tc>
          <w:tcPr>
            <w:tcW w:w="2972" w:type="dxa"/>
            <w:vAlign w:val="bottom"/>
          </w:tcPr>
          <w:p w14:paraId="5950257E" w14:textId="77777777" w:rsidR="0007196E" w:rsidRPr="0085329C" w:rsidRDefault="0007196E" w:rsidP="00C127E2">
            <w:pPr>
              <w:textAlignment w:val="top"/>
              <w:rPr>
                <w:rFonts w:ascii="Times New Roman" w:hAnsi="Times New Roman" w:cs="Times New Roman"/>
                <w:bCs/>
                <w:color w:val="000000" w:themeColor="dark1"/>
                <w:kern w:val="24"/>
                <w:sz w:val="20"/>
                <w:szCs w:val="20"/>
                <w:lang w:eastAsia="en-US"/>
              </w:rPr>
            </w:pPr>
            <w:r w:rsidRPr="0085329C">
              <w:rPr>
                <w:rFonts w:ascii="Times New Roman" w:hAnsi="Times New Roman" w:cs="Times New Roman"/>
                <w:bCs/>
                <w:color w:val="000000" w:themeColor="dark1"/>
                <w:kern w:val="24"/>
                <w:sz w:val="20"/>
                <w:szCs w:val="20"/>
                <w:lang w:eastAsia="en-US"/>
              </w:rPr>
              <w:t xml:space="preserve">Education </w:t>
            </w:r>
          </w:p>
        </w:tc>
        <w:tc>
          <w:tcPr>
            <w:tcW w:w="3081" w:type="dxa"/>
            <w:vAlign w:val="bottom"/>
          </w:tcPr>
          <w:p w14:paraId="72BB3095" w14:textId="77777777" w:rsidR="0007196E" w:rsidRPr="0085329C" w:rsidRDefault="0007196E" w:rsidP="00C127E2">
            <w:pPr>
              <w:jc w:val="right"/>
              <w:textAlignment w:val="top"/>
              <w:rPr>
                <w:rFonts w:ascii="Times New Roman" w:hAnsi="Times New Roman" w:cs="Times New Roman"/>
                <w:bCs/>
                <w:color w:val="000000" w:themeColor="dark1"/>
                <w:kern w:val="24"/>
                <w:sz w:val="20"/>
                <w:szCs w:val="20"/>
                <w:lang w:eastAsia="en-US"/>
              </w:rPr>
            </w:pPr>
            <w:r w:rsidRPr="0085329C">
              <w:rPr>
                <w:rFonts w:ascii="Times New Roman" w:hAnsi="Times New Roman" w:cs="Times New Roman"/>
                <w:bCs/>
                <w:color w:val="000000" w:themeColor="dark1"/>
                <w:kern w:val="24"/>
                <w:sz w:val="20"/>
                <w:szCs w:val="20"/>
                <w:lang w:eastAsia="en-US"/>
              </w:rPr>
              <w:t xml:space="preserve">15,400 </w:t>
            </w:r>
          </w:p>
        </w:tc>
        <w:tc>
          <w:tcPr>
            <w:tcW w:w="3081" w:type="dxa"/>
            <w:vAlign w:val="bottom"/>
          </w:tcPr>
          <w:p w14:paraId="1243ADDB" w14:textId="77777777" w:rsidR="0007196E" w:rsidRPr="0085329C" w:rsidRDefault="0007196E" w:rsidP="00C127E2">
            <w:pPr>
              <w:jc w:val="right"/>
              <w:textAlignment w:val="top"/>
              <w:rPr>
                <w:rFonts w:ascii="Times New Roman" w:hAnsi="Times New Roman" w:cs="Times New Roman"/>
                <w:bCs/>
                <w:color w:val="000000" w:themeColor="dark1"/>
                <w:kern w:val="24"/>
                <w:sz w:val="20"/>
                <w:szCs w:val="20"/>
                <w:lang w:eastAsia="en-US"/>
              </w:rPr>
            </w:pPr>
            <w:r w:rsidRPr="0085329C">
              <w:rPr>
                <w:rFonts w:ascii="Times New Roman" w:hAnsi="Times New Roman" w:cs="Times New Roman"/>
                <w:bCs/>
                <w:color w:val="000000" w:themeColor="dark1"/>
                <w:kern w:val="24"/>
                <w:sz w:val="20"/>
                <w:szCs w:val="20"/>
                <w:lang w:eastAsia="en-US"/>
              </w:rPr>
              <w:t xml:space="preserve">29,464 </w:t>
            </w:r>
          </w:p>
        </w:tc>
      </w:tr>
      <w:tr w:rsidR="0007196E" w:rsidRPr="0085329C" w14:paraId="3FD79323" w14:textId="77777777" w:rsidTr="00C127E2">
        <w:tc>
          <w:tcPr>
            <w:tcW w:w="2972" w:type="dxa"/>
            <w:vAlign w:val="bottom"/>
          </w:tcPr>
          <w:p w14:paraId="1EE63D49" w14:textId="77777777" w:rsidR="0007196E" w:rsidRPr="0085329C" w:rsidRDefault="0007196E" w:rsidP="00C127E2">
            <w:pPr>
              <w:textAlignment w:val="top"/>
              <w:rPr>
                <w:rFonts w:ascii="Times New Roman" w:hAnsi="Times New Roman" w:cs="Times New Roman"/>
                <w:bCs/>
                <w:color w:val="000000" w:themeColor="dark1"/>
                <w:kern w:val="24"/>
                <w:sz w:val="20"/>
                <w:szCs w:val="20"/>
                <w:lang w:eastAsia="en-US"/>
              </w:rPr>
            </w:pPr>
            <w:r>
              <w:rPr>
                <w:rFonts w:ascii="Times New Roman" w:hAnsi="Times New Roman" w:cs="Times New Roman"/>
                <w:bCs/>
                <w:color w:val="000000" w:themeColor="dark1"/>
                <w:kern w:val="24"/>
                <w:sz w:val="20"/>
                <w:szCs w:val="20"/>
                <w:lang w:eastAsia="en-US"/>
              </w:rPr>
              <w:t>Registered Nursing</w:t>
            </w:r>
            <w:r w:rsidRPr="0085329C">
              <w:rPr>
                <w:rFonts w:ascii="Times New Roman" w:hAnsi="Times New Roman" w:cs="Times New Roman"/>
                <w:bCs/>
                <w:color w:val="000000" w:themeColor="dark1"/>
                <w:kern w:val="24"/>
                <w:sz w:val="20"/>
                <w:szCs w:val="20"/>
                <w:lang w:eastAsia="en-US"/>
              </w:rPr>
              <w:t xml:space="preserve"> </w:t>
            </w:r>
            <w:r>
              <w:rPr>
                <w:rFonts w:ascii="Times New Roman" w:hAnsi="Times New Roman" w:cs="Times New Roman"/>
                <w:bCs/>
                <w:color w:val="000000" w:themeColor="dark1"/>
                <w:kern w:val="24"/>
                <w:sz w:val="20"/>
                <w:szCs w:val="20"/>
                <w:lang w:eastAsia="en-US"/>
              </w:rPr>
              <w:t>(Degrees)</w:t>
            </w:r>
          </w:p>
        </w:tc>
        <w:tc>
          <w:tcPr>
            <w:tcW w:w="3081" w:type="dxa"/>
            <w:vAlign w:val="bottom"/>
          </w:tcPr>
          <w:p w14:paraId="01C9E653" w14:textId="77777777" w:rsidR="0007196E" w:rsidRPr="0085329C" w:rsidRDefault="0007196E" w:rsidP="00C127E2">
            <w:pPr>
              <w:jc w:val="right"/>
              <w:textAlignment w:val="top"/>
              <w:rPr>
                <w:rFonts w:ascii="Times New Roman" w:hAnsi="Times New Roman" w:cs="Times New Roman"/>
                <w:bCs/>
                <w:color w:val="000000" w:themeColor="dark1"/>
                <w:kern w:val="24"/>
                <w:sz w:val="20"/>
                <w:szCs w:val="20"/>
                <w:lang w:eastAsia="en-US"/>
              </w:rPr>
            </w:pPr>
            <w:r w:rsidRPr="0085329C">
              <w:rPr>
                <w:rFonts w:ascii="Times New Roman" w:hAnsi="Times New Roman" w:cs="Times New Roman"/>
                <w:bCs/>
                <w:color w:val="000000" w:themeColor="dark1"/>
                <w:kern w:val="24"/>
                <w:sz w:val="20"/>
                <w:szCs w:val="20"/>
                <w:lang w:eastAsia="en-US"/>
              </w:rPr>
              <w:t xml:space="preserve">8,584 </w:t>
            </w:r>
          </w:p>
        </w:tc>
        <w:tc>
          <w:tcPr>
            <w:tcW w:w="3081" w:type="dxa"/>
            <w:vAlign w:val="bottom"/>
          </w:tcPr>
          <w:p w14:paraId="3995B899" w14:textId="77777777" w:rsidR="0007196E" w:rsidRPr="0085329C" w:rsidRDefault="0007196E" w:rsidP="00C127E2">
            <w:pPr>
              <w:jc w:val="right"/>
              <w:textAlignment w:val="top"/>
              <w:rPr>
                <w:rFonts w:ascii="Times New Roman" w:hAnsi="Times New Roman" w:cs="Times New Roman"/>
                <w:bCs/>
                <w:color w:val="000000" w:themeColor="dark1"/>
                <w:kern w:val="24"/>
                <w:sz w:val="20"/>
                <w:szCs w:val="20"/>
                <w:lang w:eastAsia="en-US"/>
              </w:rPr>
            </w:pPr>
            <w:r w:rsidRPr="0085329C">
              <w:rPr>
                <w:rFonts w:ascii="Times New Roman" w:hAnsi="Times New Roman" w:cs="Times New Roman"/>
                <w:bCs/>
                <w:color w:val="000000" w:themeColor="dark1"/>
                <w:kern w:val="24"/>
                <w:sz w:val="20"/>
                <w:szCs w:val="20"/>
                <w:lang w:eastAsia="en-US"/>
              </w:rPr>
              <w:t xml:space="preserve">16,154 </w:t>
            </w:r>
          </w:p>
        </w:tc>
      </w:tr>
      <w:tr w:rsidR="0007196E" w:rsidRPr="0085329C" w14:paraId="797C1F9A" w14:textId="77777777" w:rsidTr="00C127E2">
        <w:tc>
          <w:tcPr>
            <w:tcW w:w="2972" w:type="dxa"/>
            <w:vAlign w:val="bottom"/>
          </w:tcPr>
          <w:p w14:paraId="4C34701E" w14:textId="77777777" w:rsidR="0007196E" w:rsidRPr="0085329C" w:rsidRDefault="0007196E" w:rsidP="00C127E2">
            <w:pPr>
              <w:textAlignment w:val="top"/>
              <w:rPr>
                <w:rFonts w:ascii="Times New Roman" w:hAnsi="Times New Roman" w:cs="Times New Roman"/>
                <w:bCs/>
                <w:color w:val="000000" w:themeColor="dark1"/>
                <w:kern w:val="24"/>
                <w:sz w:val="20"/>
                <w:szCs w:val="20"/>
                <w:lang w:eastAsia="en-US"/>
              </w:rPr>
            </w:pPr>
            <w:r>
              <w:rPr>
                <w:rFonts w:ascii="Times New Roman" w:hAnsi="Times New Roman" w:cs="Times New Roman"/>
                <w:bCs/>
                <w:color w:val="000000" w:themeColor="dark1"/>
                <w:kern w:val="24"/>
                <w:sz w:val="20"/>
                <w:szCs w:val="20"/>
                <w:lang w:eastAsia="en-US"/>
              </w:rPr>
              <w:t xml:space="preserve">Registered </w:t>
            </w:r>
            <w:r w:rsidRPr="0085329C">
              <w:rPr>
                <w:rFonts w:ascii="Times New Roman" w:hAnsi="Times New Roman" w:cs="Times New Roman"/>
                <w:bCs/>
                <w:color w:val="000000" w:themeColor="dark1"/>
                <w:kern w:val="24"/>
                <w:sz w:val="20"/>
                <w:szCs w:val="20"/>
                <w:lang w:eastAsia="en-US"/>
              </w:rPr>
              <w:t xml:space="preserve">Nursing (Diplomas) </w:t>
            </w:r>
          </w:p>
        </w:tc>
        <w:tc>
          <w:tcPr>
            <w:tcW w:w="3081" w:type="dxa"/>
            <w:vAlign w:val="bottom"/>
          </w:tcPr>
          <w:p w14:paraId="12BE16E7" w14:textId="77777777" w:rsidR="0007196E" w:rsidRPr="0085329C" w:rsidRDefault="0007196E" w:rsidP="00C127E2">
            <w:pPr>
              <w:jc w:val="right"/>
              <w:textAlignment w:val="top"/>
              <w:rPr>
                <w:rFonts w:ascii="Times New Roman" w:hAnsi="Times New Roman" w:cs="Times New Roman"/>
                <w:bCs/>
                <w:color w:val="000000" w:themeColor="dark1"/>
                <w:kern w:val="24"/>
                <w:sz w:val="20"/>
                <w:szCs w:val="20"/>
                <w:lang w:eastAsia="en-US"/>
              </w:rPr>
            </w:pPr>
            <w:r w:rsidRPr="0085329C">
              <w:rPr>
                <w:rFonts w:ascii="Times New Roman" w:hAnsi="Times New Roman" w:cs="Times New Roman"/>
                <w:bCs/>
                <w:color w:val="000000" w:themeColor="dark1"/>
                <w:kern w:val="24"/>
                <w:sz w:val="20"/>
                <w:szCs w:val="20"/>
                <w:lang w:eastAsia="en-US"/>
              </w:rPr>
              <w:t xml:space="preserve">5,649 </w:t>
            </w:r>
          </w:p>
        </w:tc>
        <w:tc>
          <w:tcPr>
            <w:tcW w:w="3081" w:type="dxa"/>
            <w:vAlign w:val="bottom"/>
          </w:tcPr>
          <w:p w14:paraId="218153E4" w14:textId="77777777" w:rsidR="0007196E" w:rsidRPr="0085329C" w:rsidRDefault="0007196E" w:rsidP="00C127E2">
            <w:pPr>
              <w:jc w:val="right"/>
              <w:textAlignment w:val="top"/>
              <w:rPr>
                <w:rFonts w:ascii="Times New Roman" w:hAnsi="Times New Roman" w:cs="Times New Roman"/>
                <w:bCs/>
                <w:color w:val="000000" w:themeColor="dark1"/>
                <w:kern w:val="24"/>
                <w:sz w:val="20"/>
                <w:szCs w:val="20"/>
                <w:lang w:eastAsia="en-US"/>
              </w:rPr>
            </w:pPr>
            <w:r w:rsidRPr="0085329C">
              <w:rPr>
                <w:rFonts w:ascii="Times New Roman" w:hAnsi="Times New Roman" w:cs="Times New Roman"/>
                <w:bCs/>
                <w:color w:val="000000" w:themeColor="dark1"/>
                <w:kern w:val="24"/>
                <w:sz w:val="20"/>
                <w:szCs w:val="20"/>
                <w:lang w:eastAsia="en-US"/>
              </w:rPr>
              <w:t xml:space="preserve">10,194 </w:t>
            </w:r>
          </w:p>
        </w:tc>
      </w:tr>
      <w:tr w:rsidR="0007196E" w:rsidRPr="0085329C" w14:paraId="5A44B9C9" w14:textId="77777777" w:rsidTr="00C127E2">
        <w:tc>
          <w:tcPr>
            <w:tcW w:w="2972" w:type="dxa"/>
            <w:vAlign w:val="bottom"/>
          </w:tcPr>
          <w:p w14:paraId="29D5459E" w14:textId="77777777" w:rsidR="0007196E" w:rsidRPr="0085329C" w:rsidRDefault="0007196E" w:rsidP="00C127E2">
            <w:pPr>
              <w:textAlignment w:val="top"/>
              <w:rPr>
                <w:rFonts w:ascii="Times New Roman" w:hAnsi="Times New Roman" w:cs="Times New Roman"/>
                <w:bCs/>
                <w:color w:val="000000" w:themeColor="dark1"/>
                <w:kern w:val="24"/>
                <w:sz w:val="20"/>
                <w:szCs w:val="20"/>
                <w:lang w:eastAsia="en-US"/>
              </w:rPr>
            </w:pPr>
            <w:r w:rsidRPr="0085329C">
              <w:rPr>
                <w:rFonts w:ascii="Times New Roman" w:hAnsi="Times New Roman" w:cs="Times New Roman"/>
                <w:bCs/>
                <w:color w:val="000000" w:themeColor="dark1"/>
                <w:kern w:val="24"/>
                <w:sz w:val="20"/>
                <w:szCs w:val="20"/>
                <w:lang w:eastAsia="en-US"/>
              </w:rPr>
              <w:t xml:space="preserve">Medicine </w:t>
            </w:r>
          </w:p>
        </w:tc>
        <w:tc>
          <w:tcPr>
            <w:tcW w:w="3081" w:type="dxa"/>
            <w:vAlign w:val="bottom"/>
          </w:tcPr>
          <w:p w14:paraId="75DC7CD0" w14:textId="77777777" w:rsidR="0007196E" w:rsidRPr="0085329C" w:rsidRDefault="0007196E" w:rsidP="00C127E2">
            <w:pPr>
              <w:jc w:val="right"/>
              <w:textAlignment w:val="top"/>
              <w:rPr>
                <w:rFonts w:ascii="Times New Roman" w:hAnsi="Times New Roman" w:cs="Times New Roman"/>
                <w:bCs/>
                <w:color w:val="000000" w:themeColor="dark1"/>
                <w:kern w:val="24"/>
                <w:sz w:val="20"/>
                <w:szCs w:val="20"/>
                <w:lang w:eastAsia="en-US"/>
              </w:rPr>
            </w:pPr>
            <w:r w:rsidRPr="0085329C">
              <w:rPr>
                <w:rFonts w:ascii="Times New Roman" w:hAnsi="Times New Roman" w:cs="Times New Roman"/>
                <w:bCs/>
                <w:color w:val="000000" w:themeColor="dark1"/>
                <w:kern w:val="24"/>
                <w:sz w:val="20"/>
                <w:szCs w:val="20"/>
                <w:lang w:eastAsia="en-US"/>
              </w:rPr>
              <w:t xml:space="preserve">7,241 </w:t>
            </w:r>
          </w:p>
        </w:tc>
        <w:tc>
          <w:tcPr>
            <w:tcW w:w="3081" w:type="dxa"/>
            <w:vAlign w:val="bottom"/>
          </w:tcPr>
          <w:p w14:paraId="26AD1D2B" w14:textId="77777777" w:rsidR="0007196E" w:rsidRPr="0085329C" w:rsidRDefault="0007196E" w:rsidP="00C127E2">
            <w:pPr>
              <w:jc w:val="right"/>
              <w:textAlignment w:val="top"/>
              <w:rPr>
                <w:rFonts w:ascii="Times New Roman" w:hAnsi="Times New Roman" w:cs="Times New Roman"/>
                <w:bCs/>
                <w:color w:val="000000" w:themeColor="dark1"/>
                <w:kern w:val="24"/>
                <w:sz w:val="20"/>
                <w:szCs w:val="20"/>
                <w:lang w:eastAsia="en-US"/>
              </w:rPr>
            </w:pPr>
            <w:r w:rsidRPr="0085329C">
              <w:rPr>
                <w:rFonts w:ascii="Times New Roman" w:hAnsi="Times New Roman" w:cs="Times New Roman"/>
                <w:bCs/>
                <w:color w:val="000000" w:themeColor="dark1"/>
                <w:kern w:val="24"/>
                <w:sz w:val="20"/>
                <w:szCs w:val="20"/>
                <w:lang w:eastAsia="en-US"/>
              </w:rPr>
              <w:t xml:space="preserve">12,696 </w:t>
            </w:r>
          </w:p>
        </w:tc>
      </w:tr>
      <w:tr w:rsidR="0007196E" w:rsidRPr="0085329C" w14:paraId="2615BDAC" w14:textId="77777777" w:rsidTr="00C127E2">
        <w:tc>
          <w:tcPr>
            <w:tcW w:w="2972" w:type="dxa"/>
            <w:vAlign w:val="bottom"/>
          </w:tcPr>
          <w:p w14:paraId="19983295" w14:textId="77777777" w:rsidR="0007196E" w:rsidRPr="0085329C" w:rsidRDefault="0007196E" w:rsidP="00C127E2">
            <w:pPr>
              <w:textAlignment w:val="top"/>
              <w:rPr>
                <w:rFonts w:ascii="Times New Roman" w:hAnsi="Times New Roman" w:cs="Times New Roman"/>
                <w:bCs/>
                <w:color w:val="000000" w:themeColor="dark1"/>
                <w:kern w:val="24"/>
                <w:sz w:val="20"/>
                <w:szCs w:val="20"/>
                <w:lang w:eastAsia="en-US"/>
              </w:rPr>
            </w:pPr>
            <w:r w:rsidRPr="0085329C">
              <w:rPr>
                <w:rFonts w:ascii="Times New Roman" w:hAnsi="Times New Roman" w:cs="Times New Roman"/>
                <w:bCs/>
                <w:color w:val="000000" w:themeColor="dark1"/>
                <w:kern w:val="24"/>
                <w:sz w:val="20"/>
                <w:szCs w:val="20"/>
                <w:lang w:eastAsia="en-US"/>
              </w:rPr>
              <w:t xml:space="preserve">Pharmacy </w:t>
            </w:r>
          </w:p>
        </w:tc>
        <w:tc>
          <w:tcPr>
            <w:tcW w:w="3081" w:type="dxa"/>
            <w:vAlign w:val="bottom"/>
          </w:tcPr>
          <w:p w14:paraId="7ED93A71" w14:textId="77777777" w:rsidR="0007196E" w:rsidRPr="0085329C" w:rsidRDefault="0007196E" w:rsidP="00C127E2">
            <w:pPr>
              <w:jc w:val="right"/>
              <w:textAlignment w:val="top"/>
              <w:rPr>
                <w:rFonts w:ascii="Times New Roman" w:hAnsi="Times New Roman" w:cs="Times New Roman"/>
                <w:bCs/>
                <w:color w:val="000000" w:themeColor="dark1"/>
                <w:kern w:val="24"/>
                <w:sz w:val="20"/>
                <w:szCs w:val="20"/>
                <w:lang w:eastAsia="en-US"/>
              </w:rPr>
            </w:pPr>
            <w:r w:rsidRPr="0085329C">
              <w:rPr>
                <w:rFonts w:ascii="Times New Roman" w:hAnsi="Times New Roman" w:cs="Times New Roman"/>
                <w:bCs/>
                <w:color w:val="000000" w:themeColor="dark1"/>
                <w:kern w:val="24"/>
                <w:sz w:val="20"/>
                <w:szCs w:val="20"/>
                <w:lang w:eastAsia="en-US"/>
              </w:rPr>
              <w:t xml:space="preserve">1,798 </w:t>
            </w:r>
          </w:p>
        </w:tc>
        <w:tc>
          <w:tcPr>
            <w:tcW w:w="3081" w:type="dxa"/>
            <w:vAlign w:val="bottom"/>
          </w:tcPr>
          <w:p w14:paraId="6EA409B8" w14:textId="77777777" w:rsidR="0007196E" w:rsidRPr="0085329C" w:rsidRDefault="0007196E" w:rsidP="00C127E2">
            <w:pPr>
              <w:jc w:val="right"/>
              <w:textAlignment w:val="top"/>
              <w:rPr>
                <w:rFonts w:ascii="Times New Roman" w:hAnsi="Times New Roman" w:cs="Times New Roman"/>
                <w:bCs/>
                <w:color w:val="000000" w:themeColor="dark1"/>
                <w:kern w:val="24"/>
                <w:sz w:val="20"/>
                <w:szCs w:val="20"/>
                <w:lang w:eastAsia="en-US"/>
              </w:rPr>
            </w:pPr>
            <w:r w:rsidRPr="0085329C">
              <w:rPr>
                <w:rFonts w:ascii="Times New Roman" w:hAnsi="Times New Roman" w:cs="Times New Roman"/>
                <w:bCs/>
                <w:color w:val="000000" w:themeColor="dark1"/>
                <w:kern w:val="24"/>
                <w:sz w:val="20"/>
                <w:szCs w:val="20"/>
                <w:lang w:eastAsia="en-US"/>
              </w:rPr>
              <w:t xml:space="preserve">3,005 </w:t>
            </w:r>
          </w:p>
        </w:tc>
      </w:tr>
      <w:tr w:rsidR="0007196E" w:rsidRPr="0085329C" w14:paraId="0FBAB2D0" w14:textId="77777777" w:rsidTr="00C127E2">
        <w:tc>
          <w:tcPr>
            <w:tcW w:w="2972" w:type="dxa"/>
            <w:vAlign w:val="bottom"/>
          </w:tcPr>
          <w:p w14:paraId="2B1A43A1" w14:textId="77777777" w:rsidR="0007196E" w:rsidRPr="0085329C" w:rsidRDefault="0007196E" w:rsidP="00C127E2">
            <w:pPr>
              <w:textAlignment w:val="top"/>
              <w:rPr>
                <w:rFonts w:ascii="Times New Roman" w:hAnsi="Times New Roman" w:cs="Times New Roman"/>
                <w:bCs/>
                <w:color w:val="000000" w:themeColor="dark1"/>
                <w:kern w:val="24"/>
                <w:sz w:val="20"/>
                <w:szCs w:val="20"/>
                <w:lang w:eastAsia="en-US"/>
              </w:rPr>
            </w:pPr>
            <w:r w:rsidRPr="0085329C">
              <w:rPr>
                <w:rFonts w:ascii="Times New Roman" w:hAnsi="Times New Roman" w:cs="Times New Roman"/>
                <w:bCs/>
                <w:color w:val="000000" w:themeColor="dark1"/>
                <w:kern w:val="24"/>
                <w:sz w:val="20"/>
                <w:szCs w:val="20"/>
                <w:lang w:eastAsia="en-US"/>
              </w:rPr>
              <w:t xml:space="preserve">Dentistry </w:t>
            </w:r>
          </w:p>
        </w:tc>
        <w:tc>
          <w:tcPr>
            <w:tcW w:w="3081" w:type="dxa"/>
            <w:vAlign w:val="bottom"/>
          </w:tcPr>
          <w:p w14:paraId="29A150A8" w14:textId="77777777" w:rsidR="0007196E" w:rsidRPr="0085329C" w:rsidRDefault="0007196E" w:rsidP="00C127E2">
            <w:pPr>
              <w:jc w:val="right"/>
              <w:textAlignment w:val="top"/>
              <w:rPr>
                <w:rFonts w:ascii="Times New Roman" w:hAnsi="Times New Roman" w:cs="Times New Roman"/>
                <w:bCs/>
                <w:color w:val="000000" w:themeColor="dark1"/>
                <w:kern w:val="24"/>
                <w:sz w:val="20"/>
                <w:szCs w:val="20"/>
                <w:lang w:eastAsia="en-US"/>
              </w:rPr>
            </w:pPr>
            <w:r w:rsidRPr="0085329C">
              <w:rPr>
                <w:rFonts w:ascii="Times New Roman" w:hAnsi="Times New Roman" w:cs="Times New Roman"/>
                <w:bCs/>
                <w:color w:val="000000" w:themeColor="dark1"/>
                <w:kern w:val="24"/>
                <w:sz w:val="20"/>
                <w:szCs w:val="20"/>
                <w:lang w:eastAsia="en-US"/>
              </w:rPr>
              <w:t xml:space="preserve">1,063 </w:t>
            </w:r>
          </w:p>
        </w:tc>
        <w:tc>
          <w:tcPr>
            <w:tcW w:w="3081" w:type="dxa"/>
            <w:vAlign w:val="bottom"/>
          </w:tcPr>
          <w:p w14:paraId="2C9FF65A" w14:textId="77777777" w:rsidR="0007196E" w:rsidRPr="0085329C" w:rsidRDefault="0007196E" w:rsidP="00C127E2">
            <w:pPr>
              <w:jc w:val="right"/>
              <w:textAlignment w:val="top"/>
              <w:rPr>
                <w:rFonts w:ascii="Times New Roman" w:hAnsi="Times New Roman" w:cs="Times New Roman"/>
                <w:bCs/>
                <w:color w:val="000000" w:themeColor="dark1"/>
                <w:kern w:val="24"/>
                <w:sz w:val="20"/>
                <w:szCs w:val="20"/>
                <w:lang w:eastAsia="en-US"/>
              </w:rPr>
            </w:pPr>
            <w:r w:rsidRPr="0085329C">
              <w:rPr>
                <w:rFonts w:ascii="Times New Roman" w:hAnsi="Times New Roman" w:cs="Times New Roman"/>
                <w:bCs/>
                <w:color w:val="000000" w:themeColor="dark1"/>
                <w:kern w:val="24"/>
                <w:sz w:val="20"/>
                <w:szCs w:val="20"/>
                <w:lang w:eastAsia="en-US"/>
              </w:rPr>
              <w:t xml:space="preserve">2,343 </w:t>
            </w:r>
          </w:p>
        </w:tc>
      </w:tr>
      <w:tr w:rsidR="0007196E" w:rsidRPr="0085329C" w14:paraId="2B917823" w14:textId="77777777" w:rsidTr="00C127E2">
        <w:tc>
          <w:tcPr>
            <w:tcW w:w="2972" w:type="dxa"/>
            <w:vAlign w:val="bottom"/>
          </w:tcPr>
          <w:p w14:paraId="086AA06B" w14:textId="77777777" w:rsidR="0007196E" w:rsidRPr="0085329C" w:rsidRDefault="0007196E" w:rsidP="00C127E2">
            <w:pPr>
              <w:textAlignment w:val="top"/>
              <w:rPr>
                <w:rFonts w:ascii="Times New Roman" w:hAnsi="Times New Roman" w:cs="Times New Roman"/>
                <w:bCs/>
                <w:color w:val="000000" w:themeColor="dark1"/>
                <w:kern w:val="24"/>
                <w:sz w:val="20"/>
                <w:szCs w:val="20"/>
                <w:lang w:eastAsia="en-US"/>
              </w:rPr>
            </w:pPr>
            <w:r w:rsidRPr="0085329C">
              <w:rPr>
                <w:rFonts w:ascii="Times New Roman" w:hAnsi="Times New Roman" w:cs="Times New Roman"/>
                <w:bCs/>
                <w:color w:val="000000" w:themeColor="dark1"/>
                <w:kern w:val="24"/>
                <w:sz w:val="20"/>
                <w:szCs w:val="20"/>
                <w:lang w:eastAsia="en-US"/>
              </w:rPr>
              <w:t xml:space="preserve">Physiotherapy </w:t>
            </w:r>
          </w:p>
        </w:tc>
        <w:tc>
          <w:tcPr>
            <w:tcW w:w="3081" w:type="dxa"/>
            <w:vAlign w:val="bottom"/>
          </w:tcPr>
          <w:p w14:paraId="7D98EDF4" w14:textId="77777777" w:rsidR="0007196E" w:rsidRPr="0085329C" w:rsidRDefault="0007196E" w:rsidP="00C127E2">
            <w:pPr>
              <w:jc w:val="right"/>
              <w:textAlignment w:val="top"/>
              <w:rPr>
                <w:rFonts w:ascii="Times New Roman" w:hAnsi="Times New Roman" w:cs="Times New Roman"/>
                <w:bCs/>
                <w:color w:val="000000" w:themeColor="dark1"/>
                <w:kern w:val="24"/>
                <w:sz w:val="20"/>
                <w:szCs w:val="20"/>
                <w:lang w:eastAsia="en-US"/>
              </w:rPr>
            </w:pPr>
            <w:r w:rsidRPr="0085329C">
              <w:rPr>
                <w:rFonts w:ascii="Times New Roman" w:hAnsi="Times New Roman" w:cs="Times New Roman"/>
                <w:bCs/>
                <w:color w:val="000000" w:themeColor="dark1"/>
                <w:kern w:val="24"/>
                <w:sz w:val="20"/>
                <w:szCs w:val="20"/>
                <w:lang w:eastAsia="en-US"/>
              </w:rPr>
              <w:t xml:space="preserve">755 </w:t>
            </w:r>
          </w:p>
        </w:tc>
        <w:tc>
          <w:tcPr>
            <w:tcW w:w="3081" w:type="dxa"/>
            <w:vAlign w:val="bottom"/>
          </w:tcPr>
          <w:p w14:paraId="6EED959C" w14:textId="77777777" w:rsidR="0007196E" w:rsidRPr="0085329C" w:rsidRDefault="0007196E" w:rsidP="00C127E2">
            <w:pPr>
              <w:jc w:val="right"/>
              <w:textAlignment w:val="top"/>
              <w:rPr>
                <w:rFonts w:ascii="Times New Roman" w:hAnsi="Times New Roman" w:cs="Times New Roman"/>
                <w:bCs/>
                <w:color w:val="000000" w:themeColor="dark1"/>
                <w:kern w:val="24"/>
                <w:sz w:val="20"/>
                <w:szCs w:val="20"/>
                <w:lang w:eastAsia="en-US"/>
              </w:rPr>
            </w:pPr>
            <w:r w:rsidRPr="0085329C">
              <w:rPr>
                <w:rFonts w:ascii="Times New Roman" w:hAnsi="Times New Roman" w:cs="Times New Roman"/>
                <w:bCs/>
                <w:color w:val="000000" w:themeColor="dark1"/>
                <w:kern w:val="24"/>
                <w:sz w:val="20"/>
                <w:szCs w:val="20"/>
                <w:lang w:eastAsia="en-US"/>
              </w:rPr>
              <w:t xml:space="preserve">1,556 </w:t>
            </w:r>
          </w:p>
        </w:tc>
      </w:tr>
      <w:tr w:rsidR="0007196E" w:rsidRPr="0085329C" w14:paraId="0EFF68CF" w14:textId="77777777" w:rsidTr="00C127E2">
        <w:tc>
          <w:tcPr>
            <w:tcW w:w="2972" w:type="dxa"/>
            <w:vAlign w:val="bottom"/>
          </w:tcPr>
          <w:p w14:paraId="06BA90F0" w14:textId="77777777" w:rsidR="0007196E" w:rsidRPr="0085329C" w:rsidRDefault="0007196E" w:rsidP="00C127E2">
            <w:pPr>
              <w:textAlignment w:val="top"/>
              <w:rPr>
                <w:rFonts w:ascii="Times New Roman" w:hAnsi="Times New Roman" w:cs="Times New Roman"/>
                <w:bCs/>
                <w:color w:val="000000" w:themeColor="dark1"/>
                <w:kern w:val="24"/>
                <w:sz w:val="20"/>
                <w:szCs w:val="20"/>
                <w:lang w:eastAsia="en-US"/>
              </w:rPr>
            </w:pPr>
            <w:r w:rsidRPr="0085329C">
              <w:rPr>
                <w:rFonts w:ascii="Times New Roman" w:hAnsi="Times New Roman" w:cs="Times New Roman"/>
                <w:bCs/>
                <w:color w:val="000000" w:themeColor="dark1"/>
                <w:kern w:val="24"/>
                <w:sz w:val="20"/>
                <w:szCs w:val="20"/>
                <w:lang w:eastAsia="en-US"/>
              </w:rPr>
              <w:t xml:space="preserve">Total (All Degrees) </w:t>
            </w:r>
          </w:p>
        </w:tc>
        <w:tc>
          <w:tcPr>
            <w:tcW w:w="3081" w:type="dxa"/>
            <w:vAlign w:val="bottom"/>
          </w:tcPr>
          <w:p w14:paraId="3E56FFD5" w14:textId="77777777" w:rsidR="0007196E" w:rsidRPr="0085329C" w:rsidRDefault="0007196E" w:rsidP="00C127E2">
            <w:pPr>
              <w:jc w:val="right"/>
              <w:textAlignment w:val="top"/>
              <w:rPr>
                <w:rFonts w:ascii="Times New Roman" w:hAnsi="Times New Roman" w:cs="Times New Roman"/>
                <w:bCs/>
                <w:color w:val="000000" w:themeColor="dark1"/>
                <w:kern w:val="24"/>
                <w:sz w:val="20"/>
                <w:szCs w:val="20"/>
                <w:lang w:eastAsia="en-US"/>
              </w:rPr>
            </w:pPr>
            <w:r w:rsidRPr="0085329C">
              <w:rPr>
                <w:rFonts w:ascii="Times New Roman" w:hAnsi="Times New Roman" w:cs="Times New Roman"/>
                <w:bCs/>
                <w:color w:val="000000" w:themeColor="dark1"/>
                <w:kern w:val="24"/>
                <w:sz w:val="20"/>
                <w:szCs w:val="20"/>
                <w:lang w:eastAsia="en-US"/>
              </w:rPr>
              <w:t xml:space="preserve">192,940 </w:t>
            </w:r>
          </w:p>
        </w:tc>
        <w:tc>
          <w:tcPr>
            <w:tcW w:w="3081" w:type="dxa"/>
            <w:vAlign w:val="bottom"/>
          </w:tcPr>
          <w:p w14:paraId="2AA17482" w14:textId="77777777" w:rsidR="0007196E" w:rsidRPr="0085329C" w:rsidRDefault="0007196E" w:rsidP="00C127E2">
            <w:pPr>
              <w:jc w:val="right"/>
              <w:textAlignment w:val="top"/>
              <w:rPr>
                <w:rFonts w:ascii="Times New Roman" w:hAnsi="Times New Roman" w:cs="Times New Roman"/>
                <w:bCs/>
                <w:color w:val="000000" w:themeColor="dark1"/>
                <w:kern w:val="24"/>
                <w:sz w:val="20"/>
                <w:szCs w:val="20"/>
                <w:lang w:eastAsia="en-US"/>
              </w:rPr>
            </w:pPr>
            <w:r w:rsidRPr="0085329C">
              <w:rPr>
                <w:rFonts w:ascii="Times New Roman" w:hAnsi="Times New Roman" w:cs="Times New Roman"/>
                <w:bCs/>
                <w:color w:val="000000" w:themeColor="dark1"/>
                <w:kern w:val="24"/>
                <w:sz w:val="20"/>
                <w:szCs w:val="20"/>
                <w:lang w:eastAsia="en-US"/>
              </w:rPr>
              <w:t xml:space="preserve">347,611 </w:t>
            </w:r>
          </w:p>
        </w:tc>
      </w:tr>
    </w:tbl>
    <w:p w14:paraId="77648EE9" w14:textId="77777777" w:rsidR="0007196E" w:rsidRPr="003B2CF8" w:rsidRDefault="0007196E" w:rsidP="0007196E">
      <w:pPr>
        <w:spacing w:before="120" w:after="0" w:line="240" w:lineRule="auto"/>
        <w:jc w:val="both"/>
        <w:rPr>
          <w:rFonts w:ascii="Times New Roman" w:hAnsi="Times New Roman" w:cs="Times New Roman"/>
          <w:i/>
          <w:sz w:val="20"/>
          <w:szCs w:val="20"/>
        </w:rPr>
      </w:pPr>
      <w:r w:rsidRPr="003B2CF8">
        <w:rPr>
          <w:rFonts w:ascii="Times New Roman" w:hAnsi="Times New Roman" w:cs="Times New Roman"/>
          <w:i/>
          <w:sz w:val="20"/>
          <w:szCs w:val="20"/>
        </w:rPr>
        <w:t xml:space="preserve">Source: </w:t>
      </w:r>
      <w:r w:rsidR="00342963">
        <w:rPr>
          <w:rFonts w:ascii="Times New Roman" w:hAnsi="Times New Roman" w:cs="Times New Roman"/>
          <w:sz w:val="20"/>
          <w:szCs w:val="20"/>
        </w:rPr>
        <w:t xml:space="preserve">Hawthorne, L (2015 in press), ‘Skilled Migration and Foreign Qualification Recognition Trends in Australia’, </w:t>
      </w:r>
      <w:r w:rsidR="00342963">
        <w:rPr>
          <w:rFonts w:ascii="Times New Roman" w:hAnsi="Times New Roman" w:cs="Times New Roman"/>
          <w:i/>
          <w:sz w:val="20"/>
          <w:szCs w:val="20"/>
        </w:rPr>
        <w:t xml:space="preserve">Canadian Public Policy, </w:t>
      </w:r>
      <w:r w:rsidR="00342963">
        <w:rPr>
          <w:rFonts w:ascii="Times New Roman" w:hAnsi="Times New Roman" w:cs="Times New Roman"/>
          <w:sz w:val="20"/>
          <w:szCs w:val="20"/>
        </w:rPr>
        <w:t>based on a</w:t>
      </w:r>
      <w:r w:rsidRPr="007E1633">
        <w:rPr>
          <w:rFonts w:ascii="Times New Roman" w:hAnsi="Times New Roman" w:cs="Times New Roman"/>
          <w:sz w:val="20"/>
          <w:szCs w:val="20"/>
        </w:rPr>
        <w:t>n</w:t>
      </w:r>
      <w:r>
        <w:rPr>
          <w:rFonts w:ascii="Times New Roman" w:hAnsi="Times New Roman" w:cs="Times New Roman"/>
          <w:sz w:val="20"/>
          <w:szCs w:val="20"/>
        </w:rPr>
        <w:t>alysis of</w:t>
      </w:r>
      <w:r w:rsidRPr="003B2CF8">
        <w:rPr>
          <w:rFonts w:ascii="Times New Roman" w:hAnsi="Times New Roman" w:cs="Times New Roman"/>
          <w:sz w:val="20"/>
          <w:szCs w:val="20"/>
        </w:rPr>
        <w:t xml:space="preserve"> </w:t>
      </w:r>
      <w:r>
        <w:rPr>
          <w:rFonts w:ascii="Times New Roman" w:hAnsi="Times New Roman" w:cs="Times New Roman"/>
          <w:sz w:val="20"/>
          <w:szCs w:val="20"/>
        </w:rPr>
        <w:t>unpublished data from the 2011 Census, provided by the Australian Bureau of Statistics.</w:t>
      </w:r>
    </w:p>
    <w:p w14:paraId="67CB65F2" w14:textId="77777777" w:rsidR="0003071E" w:rsidRDefault="0003071E" w:rsidP="0003071E">
      <w:pPr>
        <w:spacing w:after="0" w:line="240" w:lineRule="auto"/>
        <w:jc w:val="both"/>
        <w:rPr>
          <w:rFonts w:ascii="Times New Roman" w:hAnsi="Times New Roman"/>
        </w:rPr>
      </w:pPr>
    </w:p>
    <w:p w14:paraId="0112E4F0" w14:textId="77777777" w:rsidR="00C127E2" w:rsidRPr="00741B18" w:rsidRDefault="00C127E2" w:rsidP="00754930">
      <w:pPr>
        <w:spacing w:after="0" w:line="240" w:lineRule="auto"/>
        <w:jc w:val="both"/>
        <w:rPr>
          <w:rFonts w:ascii="Times New Roman" w:hAnsi="Times New Roman"/>
        </w:rPr>
      </w:pPr>
      <w:r w:rsidRPr="00741B18">
        <w:rPr>
          <w:rFonts w:ascii="Times New Roman" w:hAnsi="Times New Roman"/>
        </w:rPr>
        <w:t xml:space="preserve">Despite the </w:t>
      </w:r>
      <w:r w:rsidR="00B11B71">
        <w:rPr>
          <w:rFonts w:ascii="Times New Roman" w:hAnsi="Times New Roman"/>
        </w:rPr>
        <w:t xml:space="preserve">dominance of </w:t>
      </w:r>
      <w:r w:rsidR="0071565C">
        <w:rPr>
          <w:rFonts w:ascii="Times New Roman" w:hAnsi="Times New Roman"/>
        </w:rPr>
        <w:t xml:space="preserve">Australia’s </w:t>
      </w:r>
      <w:r w:rsidRPr="00741B18">
        <w:rPr>
          <w:rFonts w:ascii="Times New Roman" w:hAnsi="Times New Roman"/>
        </w:rPr>
        <w:t>skilled mig</w:t>
      </w:r>
      <w:r w:rsidR="0071565C">
        <w:rPr>
          <w:rFonts w:ascii="Times New Roman" w:hAnsi="Times New Roman"/>
        </w:rPr>
        <w:t>ration program,</w:t>
      </w:r>
      <w:r w:rsidR="0003071E">
        <w:rPr>
          <w:rFonts w:ascii="Times New Roman" w:hAnsi="Times New Roman"/>
        </w:rPr>
        <w:t xml:space="preserve"> it is important to note migrants with skills</w:t>
      </w:r>
      <w:r w:rsidRPr="00741B18">
        <w:rPr>
          <w:rFonts w:ascii="Times New Roman" w:hAnsi="Times New Roman"/>
        </w:rPr>
        <w:t xml:space="preserve"> </w:t>
      </w:r>
      <w:r w:rsidR="0071565C">
        <w:rPr>
          <w:rFonts w:ascii="Times New Roman" w:hAnsi="Times New Roman"/>
        </w:rPr>
        <w:t xml:space="preserve">are admitted </w:t>
      </w:r>
      <w:r w:rsidR="0003071E">
        <w:rPr>
          <w:rFonts w:ascii="Times New Roman" w:hAnsi="Times New Roman"/>
        </w:rPr>
        <w:t xml:space="preserve">through </w:t>
      </w:r>
      <w:r w:rsidR="0071565C">
        <w:rPr>
          <w:rFonts w:ascii="Times New Roman" w:hAnsi="Times New Roman"/>
        </w:rPr>
        <w:t>seven categories</w:t>
      </w:r>
      <w:r w:rsidRPr="00741B18">
        <w:rPr>
          <w:rFonts w:ascii="Times New Roman" w:hAnsi="Times New Roman"/>
        </w:rPr>
        <w:t xml:space="preserve"> </w:t>
      </w:r>
      <w:r w:rsidR="0003071E">
        <w:rPr>
          <w:rFonts w:ascii="Times New Roman" w:hAnsi="Times New Roman"/>
        </w:rPr>
        <w:t>associated with highly variable employment outcomes</w:t>
      </w:r>
      <w:r w:rsidR="0071565C">
        <w:rPr>
          <w:rFonts w:ascii="Times New Roman" w:hAnsi="Times New Roman"/>
        </w:rPr>
        <w:t>. Only the first three will be considered here, where people are selected on the basis of skills:</w:t>
      </w:r>
    </w:p>
    <w:p w14:paraId="4CE56D81" w14:textId="77777777" w:rsidR="00C127E2" w:rsidRDefault="00C127E2" w:rsidP="00C127E2">
      <w:pPr>
        <w:pStyle w:val="MPINormalBodytext"/>
        <w:jc w:val="both"/>
        <w:rPr>
          <w:rFonts w:ascii="Times New Roman" w:eastAsiaTheme="minorHAnsi" w:hAnsi="Times New Roman"/>
          <w:spacing w:val="0"/>
          <w:sz w:val="24"/>
          <w:szCs w:val="24"/>
          <w:lang w:val="en-NZ"/>
        </w:rPr>
      </w:pPr>
    </w:p>
    <w:p w14:paraId="18A6CF0D" w14:textId="77777777" w:rsidR="00C127E2" w:rsidRPr="00F548EA" w:rsidRDefault="00C127E2" w:rsidP="0071565C">
      <w:pPr>
        <w:pStyle w:val="MPINormalBodytext"/>
        <w:numPr>
          <w:ilvl w:val="0"/>
          <w:numId w:val="41"/>
        </w:numPr>
        <w:shd w:val="clear" w:color="auto" w:fill="FFFFFF" w:themeFill="background1"/>
        <w:rPr>
          <w:rFonts w:ascii="Times New Roman" w:hAnsi="Times New Roman"/>
          <w:lang w:val="en-AU"/>
        </w:rPr>
      </w:pPr>
      <w:r w:rsidRPr="00F548EA">
        <w:rPr>
          <w:rFonts w:ascii="Times New Roman" w:hAnsi="Times New Roman"/>
          <w:bCs/>
          <w:lang w:val="en-AU"/>
        </w:rPr>
        <w:t>Temporary sponsored migrants (457 visa)</w:t>
      </w:r>
    </w:p>
    <w:p w14:paraId="5261D4DA" w14:textId="77777777" w:rsidR="0071565C" w:rsidRPr="00F548EA" w:rsidRDefault="0071565C" w:rsidP="0071565C">
      <w:pPr>
        <w:pStyle w:val="MPINormalBodytext"/>
        <w:numPr>
          <w:ilvl w:val="0"/>
          <w:numId w:val="41"/>
        </w:numPr>
        <w:shd w:val="clear" w:color="auto" w:fill="FFFFFF" w:themeFill="background1"/>
        <w:rPr>
          <w:rFonts w:ascii="Times New Roman" w:hAnsi="Times New Roman"/>
          <w:lang w:val="en-AU"/>
        </w:rPr>
      </w:pPr>
      <w:r w:rsidRPr="00F548EA">
        <w:rPr>
          <w:rFonts w:ascii="Times New Roman" w:hAnsi="Times New Roman"/>
          <w:lang w:val="en-AU"/>
        </w:rPr>
        <w:t>Permanent skilled migrants (General Skilled Migration program)</w:t>
      </w:r>
    </w:p>
    <w:p w14:paraId="0E2F92B4" w14:textId="77777777" w:rsidR="00C127E2" w:rsidRPr="00F548EA" w:rsidRDefault="00C127E2" w:rsidP="0071565C">
      <w:pPr>
        <w:pStyle w:val="MPINormalBodytext"/>
        <w:numPr>
          <w:ilvl w:val="0"/>
          <w:numId w:val="41"/>
        </w:numPr>
        <w:shd w:val="clear" w:color="auto" w:fill="FFFFFF" w:themeFill="background1"/>
        <w:rPr>
          <w:rFonts w:ascii="Times New Roman" w:hAnsi="Times New Roman"/>
          <w:lang w:val="en-AU"/>
        </w:rPr>
      </w:pPr>
      <w:r w:rsidRPr="00F548EA">
        <w:rPr>
          <w:rFonts w:ascii="Times New Roman" w:hAnsi="Times New Roman"/>
          <w:bCs/>
          <w:lang w:val="en-AU"/>
        </w:rPr>
        <w:t>International students (study-migration pathway)</w:t>
      </w:r>
    </w:p>
    <w:p w14:paraId="521BBF42" w14:textId="77777777" w:rsidR="0071565C" w:rsidRPr="0071565C" w:rsidRDefault="0071565C" w:rsidP="0071565C">
      <w:pPr>
        <w:pStyle w:val="MPINormalBodytext"/>
        <w:numPr>
          <w:ilvl w:val="0"/>
          <w:numId w:val="41"/>
        </w:numPr>
        <w:shd w:val="clear" w:color="auto" w:fill="DBE5F1" w:themeFill="accent1" w:themeFillTint="33"/>
        <w:rPr>
          <w:rFonts w:ascii="Times New Roman" w:hAnsi="Times New Roman"/>
          <w:lang w:val="en-AU"/>
        </w:rPr>
      </w:pPr>
      <w:r>
        <w:rPr>
          <w:rFonts w:ascii="Times New Roman" w:hAnsi="Times New Roman"/>
          <w:lang w:val="en-AU"/>
        </w:rPr>
        <w:t>Partners of permanent (GSM) and temporary (457 visa) skilled migrants</w:t>
      </w:r>
    </w:p>
    <w:p w14:paraId="0D8525D7" w14:textId="77777777" w:rsidR="00C127E2" w:rsidRPr="00F548EA" w:rsidRDefault="00C127E2" w:rsidP="0071565C">
      <w:pPr>
        <w:pStyle w:val="MPINormalBodytext"/>
        <w:numPr>
          <w:ilvl w:val="0"/>
          <w:numId w:val="41"/>
        </w:numPr>
        <w:shd w:val="clear" w:color="auto" w:fill="DBE5F1" w:themeFill="accent1" w:themeFillTint="33"/>
        <w:rPr>
          <w:rFonts w:ascii="Times New Roman" w:hAnsi="Times New Roman"/>
          <w:bCs/>
          <w:lang w:val="en-AU"/>
        </w:rPr>
      </w:pPr>
      <w:r w:rsidRPr="00F548EA">
        <w:rPr>
          <w:rFonts w:ascii="Times New Roman" w:hAnsi="Times New Roman"/>
          <w:bCs/>
          <w:lang w:val="en-AU"/>
        </w:rPr>
        <w:t>Family migrants</w:t>
      </w:r>
    </w:p>
    <w:p w14:paraId="48095AEF" w14:textId="77777777" w:rsidR="0071565C" w:rsidRDefault="00C127E2" w:rsidP="0071565C">
      <w:pPr>
        <w:pStyle w:val="MPINormalBodytext"/>
        <w:numPr>
          <w:ilvl w:val="0"/>
          <w:numId w:val="41"/>
        </w:numPr>
        <w:shd w:val="clear" w:color="auto" w:fill="DBE5F1" w:themeFill="accent1" w:themeFillTint="33"/>
        <w:rPr>
          <w:rFonts w:ascii="Times New Roman" w:hAnsi="Times New Roman"/>
          <w:bCs/>
          <w:shd w:val="clear" w:color="auto" w:fill="DBE5F1" w:themeFill="accent1" w:themeFillTint="33"/>
          <w:lang w:val="en-AU"/>
        </w:rPr>
      </w:pPr>
      <w:r w:rsidRPr="00F548EA">
        <w:rPr>
          <w:rFonts w:ascii="Times New Roman" w:hAnsi="Times New Roman"/>
          <w:bCs/>
          <w:shd w:val="clear" w:color="auto" w:fill="DBE5F1" w:themeFill="accent1" w:themeFillTint="33"/>
          <w:lang w:val="en-AU"/>
        </w:rPr>
        <w:t>Humanitarian migrants</w:t>
      </w:r>
      <w:r w:rsidRPr="00F548EA">
        <w:rPr>
          <w:rFonts w:ascii="Times New Roman" w:hAnsi="Times New Roman"/>
          <w:bCs/>
          <w:shd w:val="clear" w:color="auto" w:fill="DBE5F1" w:themeFill="accent1" w:themeFillTint="33"/>
          <w:lang w:val="en-AU"/>
        </w:rPr>
        <w:tab/>
      </w:r>
    </w:p>
    <w:p w14:paraId="29F254A6" w14:textId="77777777" w:rsidR="00C127E2" w:rsidRPr="0071565C" w:rsidRDefault="0071565C" w:rsidP="0071565C">
      <w:pPr>
        <w:pStyle w:val="MPINormalBodytext"/>
        <w:numPr>
          <w:ilvl w:val="0"/>
          <w:numId w:val="41"/>
        </w:numPr>
        <w:shd w:val="clear" w:color="auto" w:fill="DBE5F1" w:themeFill="accent1" w:themeFillTint="33"/>
        <w:rPr>
          <w:rFonts w:ascii="Times New Roman" w:hAnsi="Times New Roman"/>
          <w:lang w:val="en-AU"/>
        </w:rPr>
      </w:pPr>
      <w:r>
        <w:rPr>
          <w:rFonts w:ascii="Times New Roman" w:hAnsi="Times New Roman"/>
          <w:bCs/>
          <w:lang w:val="en-AU"/>
        </w:rPr>
        <w:t>New Zealanders entering via the Trans-Tasman Agreement</w:t>
      </w:r>
      <w:r>
        <w:rPr>
          <w:rFonts w:ascii="Times New Roman" w:hAnsi="Times New Roman"/>
          <w:bCs/>
          <w:shd w:val="clear" w:color="auto" w:fill="DBE5F1" w:themeFill="accent1" w:themeFillTint="33"/>
          <w:lang w:val="en-AU"/>
        </w:rPr>
        <w:tab/>
      </w:r>
      <w:r>
        <w:rPr>
          <w:rFonts w:ascii="Times New Roman" w:hAnsi="Times New Roman"/>
          <w:bCs/>
          <w:shd w:val="clear" w:color="auto" w:fill="DBE5F1" w:themeFill="accent1" w:themeFillTint="33"/>
          <w:lang w:val="en-AU"/>
        </w:rPr>
        <w:tab/>
      </w:r>
      <w:r>
        <w:rPr>
          <w:rFonts w:ascii="Times New Roman" w:hAnsi="Times New Roman"/>
          <w:bCs/>
          <w:shd w:val="clear" w:color="auto" w:fill="DBE5F1" w:themeFill="accent1" w:themeFillTint="33"/>
          <w:lang w:val="en-AU"/>
        </w:rPr>
        <w:tab/>
      </w:r>
      <w:r>
        <w:rPr>
          <w:rFonts w:ascii="Times New Roman" w:hAnsi="Times New Roman"/>
          <w:bCs/>
          <w:shd w:val="clear" w:color="auto" w:fill="DBE5F1" w:themeFill="accent1" w:themeFillTint="33"/>
          <w:lang w:val="en-AU"/>
        </w:rPr>
        <w:tab/>
      </w:r>
      <w:r>
        <w:rPr>
          <w:rFonts w:ascii="Times New Roman" w:hAnsi="Times New Roman"/>
          <w:bCs/>
          <w:shd w:val="clear" w:color="auto" w:fill="DBE5F1" w:themeFill="accent1" w:themeFillTint="33"/>
          <w:lang w:val="en-AU"/>
        </w:rPr>
        <w:tab/>
      </w:r>
      <w:r>
        <w:rPr>
          <w:rFonts w:ascii="Times New Roman" w:hAnsi="Times New Roman"/>
          <w:bCs/>
          <w:shd w:val="clear" w:color="auto" w:fill="DBE5F1" w:themeFill="accent1" w:themeFillTint="33"/>
          <w:lang w:val="en-AU"/>
        </w:rPr>
        <w:tab/>
      </w:r>
    </w:p>
    <w:p w14:paraId="50A62544" w14:textId="77777777" w:rsidR="00B11B71" w:rsidRDefault="00B11B71" w:rsidP="0003071E">
      <w:pPr>
        <w:spacing w:after="0" w:line="240" w:lineRule="auto"/>
        <w:jc w:val="both"/>
        <w:rPr>
          <w:rFonts w:ascii="Times New Roman" w:hAnsi="Times New Roman"/>
        </w:rPr>
      </w:pPr>
    </w:p>
    <w:p w14:paraId="10F08E0D" w14:textId="77777777" w:rsidR="0003071E" w:rsidRPr="00741B18" w:rsidRDefault="00754930" w:rsidP="0003071E">
      <w:pPr>
        <w:spacing w:after="0" w:line="240" w:lineRule="auto"/>
        <w:jc w:val="both"/>
        <w:rPr>
          <w:rFonts w:ascii="Times New Roman" w:hAnsi="Times New Roman" w:cs="Times New Roman"/>
        </w:rPr>
      </w:pPr>
      <w:r>
        <w:rPr>
          <w:rFonts w:ascii="Times New Roman" w:hAnsi="Times New Roman"/>
        </w:rPr>
        <w:lastRenderedPageBreak/>
        <w:t>Migrants admitted</w:t>
      </w:r>
      <w:r w:rsidRPr="00741B18">
        <w:rPr>
          <w:rFonts w:ascii="Times New Roman" w:hAnsi="Times New Roman"/>
        </w:rPr>
        <w:t xml:space="preserve"> as </w:t>
      </w:r>
      <w:r>
        <w:rPr>
          <w:rFonts w:ascii="Times New Roman" w:hAnsi="Times New Roman"/>
        </w:rPr>
        <w:t>skilled category partners, and as family or</w:t>
      </w:r>
      <w:r w:rsidRPr="00741B18">
        <w:rPr>
          <w:rFonts w:ascii="Times New Roman" w:hAnsi="Times New Roman"/>
        </w:rPr>
        <w:t xml:space="preserve"> humanitarian category</w:t>
      </w:r>
      <w:r>
        <w:rPr>
          <w:rFonts w:ascii="Times New Roman" w:hAnsi="Times New Roman"/>
        </w:rPr>
        <w:t xml:space="preserve"> migrants,</w:t>
      </w:r>
      <w:r w:rsidRPr="00741B18">
        <w:rPr>
          <w:rFonts w:ascii="Times New Roman" w:hAnsi="Times New Roman"/>
        </w:rPr>
        <w:t xml:space="preserve"> arrive</w:t>
      </w:r>
      <w:r>
        <w:rPr>
          <w:rFonts w:ascii="Times New Roman" w:hAnsi="Times New Roman"/>
        </w:rPr>
        <w:t xml:space="preserve"> </w:t>
      </w:r>
      <w:r w:rsidRPr="00741B18">
        <w:rPr>
          <w:rFonts w:ascii="Times New Roman" w:hAnsi="Times New Roman"/>
        </w:rPr>
        <w:t xml:space="preserve">unscreened </w:t>
      </w:r>
      <w:r w:rsidR="00D41C6A">
        <w:rPr>
          <w:rFonts w:ascii="Times New Roman" w:hAnsi="Times New Roman"/>
        </w:rPr>
        <w:t xml:space="preserve">in advance </w:t>
      </w:r>
      <w:r w:rsidRPr="00741B18">
        <w:rPr>
          <w:rFonts w:ascii="Times New Roman" w:hAnsi="Times New Roman"/>
        </w:rPr>
        <w:t xml:space="preserve">for human capital attributes – most notably </w:t>
      </w:r>
      <w:r>
        <w:rPr>
          <w:rFonts w:ascii="Times New Roman" w:hAnsi="Times New Roman"/>
        </w:rPr>
        <w:t xml:space="preserve">their </w:t>
      </w:r>
      <w:r w:rsidRPr="00741B18">
        <w:rPr>
          <w:rFonts w:ascii="Times New Roman" w:hAnsi="Times New Roman"/>
        </w:rPr>
        <w:t xml:space="preserve">English ability and </w:t>
      </w:r>
      <w:r>
        <w:rPr>
          <w:rFonts w:ascii="Times New Roman" w:hAnsi="Times New Roman"/>
        </w:rPr>
        <w:t xml:space="preserve">likelihood of </w:t>
      </w:r>
      <w:r w:rsidRPr="00741B18">
        <w:rPr>
          <w:rFonts w:ascii="Times New Roman" w:hAnsi="Times New Roman"/>
        </w:rPr>
        <w:t xml:space="preserve">qualification recognition. In 2014-15 Australia will admit 213,000 permanent migrants overall, including 60,885 family and 13,000 humanitarian entrants, and the partners of skilled migrants. </w:t>
      </w:r>
      <w:r w:rsidR="00342963" w:rsidRPr="00741B18">
        <w:rPr>
          <w:rFonts w:ascii="Times New Roman" w:hAnsi="Times New Roman"/>
        </w:rPr>
        <w:t>As demonstrated by Table 2</w:t>
      </w:r>
      <w:r w:rsidR="00CE7F14" w:rsidRPr="00741B18">
        <w:rPr>
          <w:rFonts w:ascii="Times New Roman" w:hAnsi="Times New Roman"/>
        </w:rPr>
        <w:t xml:space="preserve"> (excluding humanitarian category migrants)</w:t>
      </w:r>
      <w:r w:rsidR="00342963" w:rsidRPr="00741B18">
        <w:rPr>
          <w:rFonts w:ascii="Times New Roman" w:hAnsi="Times New Roman"/>
        </w:rPr>
        <w:t xml:space="preserve">, </w:t>
      </w:r>
      <w:r>
        <w:rPr>
          <w:rFonts w:ascii="Times New Roman" w:hAnsi="Times New Roman"/>
        </w:rPr>
        <w:t xml:space="preserve">highly variable </w:t>
      </w:r>
      <w:r w:rsidR="00342963" w:rsidRPr="00741B18">
        <w:rPr>
          <w:rFonts w:ascii="Times New Roman" w:hAnsi="Times New Roman"/>
        </w:rPr>
        <w:t xml:space="preserve">employment outcomes </w:t>
      </w:r>
      <w:r w:rsidR="00CE7F14" w:rsidRPr="00741B18">
        <w:rPr>
          <w:rFonts w:ascii="Times New Roman" w:hAnsi="Times New Roman"/>
        </w:rPr>
        <w:t xml:space="preserve">are </w:t>
      </w:r>
      <w:r>
        <w:rPr>
          <w:rFonts w:ascii="Times New Roman" w:hAnsi="Times New Roman"/>
        </w:rPr>
        <w:t xml:space="preserve">associated with the different </w:t>
      </w:r>
      <w:r w:rsidR="00CE7F14" w:rsidRPr="00741B18">
        <w:rPr>
          <w:rFonts w:ascii="Times New Roman" w:hAnsi="Times New Roman"/>
        </w:rPr>
        <w:t>migration pathways</w:t>
      </w:r>
      <w:r>
        <w:rPr>
          <w:rFonts w:ascii="Times New Roman" w:hAnsi="Times New Roman"/>
        </w:rPr>
        <w:t xml:space="preserve"> at six and 12 months</w:t>
      </w:r>
      <w:r w:rsidR="00CE7F14" w:rsidRPr="00741B18">
        <w:rPr>
          <w:rFonts w:ascii="Times New Roman" w:hAnsi="Times New Roman"/>
        </w:rPr>
        <w:t xml:space="preserve">, </w:t>
      </w:r>
      <w:r>
        <w:rPr>
          <w:rFonts w:ascii="Times New Roman" w:hAnsi="Times New Roman"/>
        </w:rPr>
        <w:t xml:space="preserve">including </w:t>
      </w:r>
      <w:r w:rsidR="006458D6">
        <w:rPr>
          <w:rFonts w:ascii="Times New Roman" w:hAnsi="Times New Roman"/>
        </w:rPr>
        <w:t xml:space="preserve">subcategories </w:t>
      </w:r>
      <w:r w:rsidR="00CE7F14" w:rsidRPr="00741B18">
        <w:rPr>
          <w:rFonts w:ascii="Times New Roman" w:hAnsi="Times New Roman"/>
        </w:rPr>
        <w:t xml:space="preserve">within the </w:t>
      </w:r>
      <w:r w:rsidR="00342963" w:rsidRPr="00741B18">
        <w:rPr>
          <w:rFonts w:ascii="Times New Roman" w:hAnsi="Times New Roman"/>
        </w:rPr>
        <w:t>General Skilled Migration program.</w:t>
      </w:r>
      <w:r w:rsidR="0003071E">
        <w:rPr>
          <w:rFonts w:ascii="Times New Roman" w:hAnsi="Times New Roman"/>
        </w:rPr>
        <w:t xml:space="preserve"> </w:t>
      </w:r>
      <w:r w:rsidR="0003071E" w:rsidRPr="00741B18">
        <w:rPr>
          <w:rFonts w:ascii="Times New Roman" w:hAnsi="Times New Roman"/>
        </w:rPr>
        <w:t xml:space="preserve">Many </w:t>
      </w:r>
      <w:r>
        <w:rPr>
          <w:rFonts w:ascii="Times New Roman" w:hAnsi="Times New Roman"/>
        </w:rPr>
        <w:t xml:space="preserve">family and humanitarian category </w:t>
      </w:r>
      <w:r w:rsidR="006458D6">
        <w:rPr>
          <w:rFonts w:ascii="Times New Roman" w:hAnsi="Times New Roman"/>
        </w:rPr>
        <w:t xml:space="preserve">arrivals </w:t>
      </w:r>
      <w:r w:rsidR="0003071E" w:rsidRPr="00741B18">
        <w:rPr>
          <w:rFonts w:ascii="Times New Roman" w:hAnsi="Times New Roman"/>
        </w:rPr>
        <w:t>face years of occupational displacement.</w:t>
      </w:r>
    </w:p>
    <w:p w14:paraId="77865539" w14:textId="77777777" w:rsidR="00342963" w:rsidRPr="00741B18" w:rsidRDefault="00342963" w:rsidP="00342963">
      <w:pPr>
        <w:pStyle w:val="MPINormalBodytext"/>
        <w:jc w:val="both"/>
        <w:rPr>
          <w:rFonts w:ascii="Times New Roman" w:eastAsiaTheme="minorHAnsi" w:hAnsi="Times New Roman"/>
          <w:spacing w:val="0"/>
          <w:lang w:val="en-NZ"/>
        </w:rPr>
      </w:pPr>
    </w:p>
    <w:p w14:paraId="77805700" w14:textId="77777777" w:rsidR="0003071E" w:rsidRDefault="0003071E" w:rsidP="0003071E">
      <w:pPr>
        <w:spacing w:after="0" w:line="240" w:lineRule="auto"/>
        <w:rPr>
          <w:rFonts w:ascii="Times New Roman" w:hAnsi="Times New Roman" w:cs="Times New Roman"/>
          <w:b/>
        </w:rPr>
      </w:pPr>
      <w:r>
        <w:rPr>
          <w:rFonts w:ascii="Times New Roman" w:hAnsi="Times New Roman" w:cs="Times New Roman"/>
          <w:b/>
        </w:rPr>
        <w:t>Table 2</w:t>
      </w:r>
      <w:r w:rsidRPr="00DD7133">
        <w:rPr>
          <w:rFonts w:ascii="Times New Roman" w:hAnsi="Times New Roman" w:cs="Times New Roman"/>
          <w:b/>
        </w:rPr>
        <w:t>: Percentage Employment Outcomes At 6 and 12 Months for Primary Applicant Permanent Skilled Migrants by Sub-Category (2009-2011)</w:t>
      </w:r>
    </w:p>
    <w:p w14:paraId="11969F67" w14:textId="77777777" w:rsidR="0003071E" w:rsidRPr="00DD7133" w:rsidRDefault="0003071E" w:rsidP="0003071E">
      <w:pPr>
        <w:spacing w:after="0" w:line="240" w:lineRule="auto"/>
        <w:rPr>
          <w:rFonts w:ascii="Times New Roman" w:hAnsi="Times New Roman" w:cs="Times New Roman"/>
          <w:b/>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962"/>
        <w:gridCol w:w="830"/>
        <w:gridCol w:w="991"/>
        <w:gridCol w:w="1110"/>
        <w:gridCol w:w="1339"/>
        <w:gridCol w:w="1220"/>
        <w:gridCol w:w="1196"/>
      </w:tblGrid>
      <w:tr w:rsidR="0003071E" w:rsidRPr="00DD7133" w14:paraId="4AC8EDB1" w14:textId="77777777" w:rsidTr="00B11B71">
        <w:tc>
          <w:tcPr>
            <w:tcW w:w="1594" w:type="dxa"/>
            <w:shd w:val="clear" w:color="auto" w:fill="B8CCE4" w:themeFill="accent1" w:themeFillTint="66"/>
          </w:tcPr>
          <w:p w14:paraId="5A6DE465" w14:textId="77777777" w:rsidR="0003071E" w:rsidRPr="00DD7133" w:rsidRDefault="0003071E" w:rsidP="00B11B71">
            <w:pPr>
              <w:spacing w:after="0" w:line="240" w:lineRule="auto"/>
              <w:rPr>
                <w:rFonts w:ascii="Times New Roman" w:hAnsi="Times New Roman" w:cs="Times New Roman"/>
                <w:b/>
                <w:sz w:val="20"/>
                <w:szCs w:val="20"/>
              </w:rPr>
            </w:pPr>
            <w:r w:rsidRPr="00DD7133">
              <w:rPr>
                <w:rFonts w:ascii="Times New Roman" w:hAnsi="Times New Roman" w:cs="Times New Roman"/>
                <w:b/>
                <w:sz w:val="20"/>
                <w:szCs w:val="20"/>
              </w:rPr>
              <w:t>Sub-Category @ 6 Months</w:t>
            </w:r>
          </w:p>
        </w:tc>
        <w:tc>
          <w:tcPr>
            <w:tcW w:w="962" w:type="dxa"/>
            <w:shd w:val="clear" w:color="auto" w:fill="B8CCE4" w:themeFill="accent1" w:themeFillTint="66"/>
          </w:tcPr>
          <w:p w14:paraId="44DFD673" w14:textId="77777777" w:rsidR="0003071E" w:rsidRPr="00DD7133" w:rsidRDefault="0003071E" w:rsidP="00B11B71">
            <w:pPr>
              <w:spacing w:after="0" w:line="240" w:lineRule="auto"/>
              <w:jc w:val="right"/>
              <w:rPr>
                <w:rFonts w:ascii="Times New Roman" w:hAnsi="Times New Roman" w:cs="Times New Roman"/>
                <w:b/>
                <w:sz w:val="20"/>
                <w:szCs w:val="20"/>
              </w:rPr>
            </w:pPr>
            <w:r w:rsidRPr="00DD7133">
              <w:rPr>
                <w:rFonts w:ascii="Times New Roman" w:hAnsi="Times New Roman" w:cs="Times New Roman"/>
                <w:b/>
                <w:sz w:val="20"/>
                <w:szCs w:val="20"/>
              </w:rPr>
              <w:t>Skilled Job</w:t>
            </w:r>
          </w:p>
        </w:tc>
        <w:tc>
          <w:tcPr>
            <w:tcW w:w="830" w:type="dxa"/>
            <w:shd w:val="clear" w:color="auto" w:fill="B8CCE4" w:themeFill="accent1" w:themeFillTint="66"/>
          </w:tcPr>
          <w:p w14:paraId="5A32D8DC" w14:textId="77777777" w:rsidR="0003071E" w:rsidRPr="00DD7133" w:rsidRDefault="0003071E" w:rsidP="00B11B71">
            <w:pPr>
              <w:spacing w:after="0" w:line="240" w:lineRule="auto"/>
              <w:jc w:val="right"/>
              <w:rPr>
                <w:rFonts w:ascii="Times New Roman" w:hAnsi="Times New Roman" w:cs="Times New Roman"/>
                <w:b/>
                <w:sz w:val="20"/>
                <w:szCs w:val="20"/>
              </w:rPr>
            </w:pPr>
            <w:r w:rsidRPr="00DD7133">
              <w:rPr>
                <w:rFonts w:ascii="Times New Roman" w:hAnsi="Times New Roman" w:cs="Times New Roman"/>
                <w:b/>
                <w:sz w:val="20"/>
                <w:szCs w:val="20"/>
              </w:rPr>
              <w:t>Other Job %</w:t>
            </w:r>
          </w:p>
        </w:tc>
        <w:tc>
          <w:tcPr>
            <w:tcW w:w="991" w:type="dxa"/>
            <w:shd w:val="clear" w:color="auto" w:fill="B8CCE4" w:themeFill="accent1" w:themeFillTint="66"/>
          </w:tcPr>
          <w:p w14:paraId="6BB65D04" w14:textId="77777777" w:rsidR="0003071E" w:rsidRPr="00DD7133" w:rsidRDefault="0003071E" w:rsidP="00B11B71">
            <w:pPr>
              <w:spacing w:after="0" w:line="240" w:lineRule="auto"/>
              <w:jc w:val="right"/>
              <w:rPr>
                <w:rFonts w:ascii="Times New Roman" w:hAnsi="Times New Roman" w:cs="Times New Roman"/>
                <w:b/>
                <w:sz w:val="20"/>
                <w:szCs w:val="20"/>
              </w:rPr>
            </w:pPr>
            <w:r w:rsidRPr="00DD7133">
              <w:rPr>
                <w:rFonts w:ascii="Times New Roman" w:hAnsi="Times New Roman" w:cs="Times New Roman"/>
                <w:b/>
                <w:sz w:val="20"/>
                <w:szCs w:val="20"/>
              </w:rPr>
              <w:t xml:space="preserve">Not Working </w:t>
            </w:r>
          </w:p>
        </w:tc>
        <w:tc>
          <w:tcPr>
            <w:tcW w:w="1110" w:type="dxa"/>
            <w:shd w:val="clear" w:color="auto" w:fill="B8CCE4" w:themeFill="accent1" w:themeFillTint="66"/>
          </w:tcPr>
          <w:p w14:paraId="4E1B4E46" w14:textId="77777777" w:rsidR="0003071E" w:rsidRPr="00DD7133" w:rsidRDefault="0003071E" w:rsidP="00B11B71">
            <w:pPr>
              <w:spacing w:after="0" w:line="240" w:lineRule="auto"/>
              <w:jc w:val="right"/>
              <w:rPr>
                <w:rFonts w:ascii="Times New Roman" w:hAnsi="Times New Roman" w:cs="Times New Roman"/>
                <w:b/>
                <w:sz w:val="20"/>
                <w:szCs w:val="20"/>
              </w:rPr>
            </w:pPr>
            <w:r w:rsidRPr="00DD7133">
              <w:rPr>
                <w:rFonts w:ascii="Times New Roman" w:hAnsi="Times New Roman" w:cs="Times New Roman"/>
                <w:b/>
                <w:sz w:val="20"/>
                <w:szCs w:val="20"/>
              </w:rPr>
              <w:t>Working Full-time</w:t>
            </w:r>
          </w:p>
        </w:tc>
        <w:tc>
          <w:tcPr>
            <w:tcW w:w="1339" w:type="dxa"/>
            <w:shd w:val="clear" w:color="auto" w:fill="B8CCE4" w:themeFill="accent1" w:themeFillTint="66"/>
          </w:tcPr>
          <w:p w14:paraId="0896BBF5" w14:textId="77777777" w:rsidR="0003071E" w:rsidRPr="00DD7133" w:rsidRDefault="0003071E" w:rsidP="00B11B71">
            <w:pPr>
              <w:spacing w:after="0" w:line="240" w:lineRule="auto"/>
              <w:jc w:val="right"/>
              <w:rPr>
                <w:rFonts w:ascii="Times New Roman" w:hAnsi="Times New Roman" w:cs="Times New Roman"/>
                <w:b/>
                <w:sz w:val="20"/>
                <w:szCs w:val="20"/>
              </w:rPr>
            </w:pPr>
            <w:r w:rsidRPr="00DD7133">
              <w:rPr>
                <w:rFonts w:ascii="Times New Roman" w:hAnsi="Times New Roman" w:cs="Times New Roman"/>
                <w:b/>
                <w:sz w:val="20"/>
                <w:szCs w:val="20"/>
              </w:rPr>
              <w:t>Participation Rate</w:t>
            </w:r>
          </w:p>
        </w:tc>
        <w:tc>
          <w:tcPr>
            <w:tcW w:w="1220" w:type="dxa"/>
            <w:shd w:val="clear" w:color="auto" w:fill="B8CCE4" w:themeFill="accent1" w:themeFillTint="66"/>
          </w:tcPr>
          <w:p w14:paraId="19B56865" w14:textId="77777777" w:rsidR="0003071E" w:rsidRPr="00DD7133" w:rsidRDefault="0003071E" w:rsidP="00B11B71">
            <w:pPr>
              <w:spacing w:after="0" w:line="240" w:lineRule="auto"/>
              <w:jc w:val="right"/>
              <w:rPr>
                <w:rFonts w:ascii="Times New Roman" w:hAnsi="Times New Roman" w:cs="Times New Roman"/>
                <w:b/>
                <w:sz w:val="20"/>
                <w:szCs w:val="20"/>
              </w:rPr>
            </w:pPr>
            <w:r w:rsidRPr="00DD7133">
              <w:rPr>
                <w:rFonts w:ascii="Times New Roman" w:hAnsi="Times New Roman" w:cs="Times New Roman"/>
                <w:b/>
                <w:sz w:val="20"/>
                <w:szCs w:val="20"/>
              </w:rPr>
              <w:t>$A Median Full-time Earnings</w:t>
            </w:r>
          </w:p>
        </w:tc>
        <w:tc>
          <w:tcPr>
            <w:tcW w:w="1196" w:type="dxa"/>
            <w:shd w:val="clear" w:color="auto" w:fill="B8CCE4" w:themeFill="accent1" w:themeFillTint="66"/>
          </w:tcPr>
          <w:p w14:paraId="5F729B9E" w14:textId="77777777" w:rsidR="0003071E" w:rsidRPr="00DD7133" w:rsidRDefault="0003071E" w:rsidP="00B11B71">
            <w:pPr>
              <w:spacing w:after="0" w:line="240" w:lineRule="auto"/>
              <w:jc w:val="right"/>
              <w:rPr>
                <w:rFonts w:ascii="Times New Roman" w:hAnsi="Times New Roman" w:cs="Times New Roman"/>
                <w:b/>
                <w:sz w:val="20"/>
                <w:szCs w:val="20"/>
              </w:rPr>
            </w:pPr>
            <w:proofErr w:type="spellStart"/>
            <w:r>
              <w:rPr>
                <w:rFonts w:ascii="Times New Roman" w:hAnsi="Times New Roman" w:cs="Times New Roman"/>
                <w:b/>
                <w:sz w:val="20"/>
                <w:szCs w:val="20"/>
              </w:rPr>
              <w:t>Unemploy</w:t>
            </w:r>
            <w:proofErr w:type="spellEnd"/>
            <w:r>
              <w:rPr>
                <w:rFonts w:ascii="Times New Roman" w:hAnsi="Times New Roman" w:cs="Times New Roman"/>
                <w:b/>
                <w:sz w:val="20"/>
                <w:szCs w:val="20"/>
              </w:rPr>
              <w:t>.</w:t>
            </w:r>
          </w:p>
        </w:tc>
      </w:tr>
      <w:tr w:rsidR="0003071E" w:rsidRPr="00DD7133" w14:paraId="407F2944" w14:textId="77777777" w:rsidTr="00B11B71">
        <w:tc>
          <w:tcPr>
            <w:tcW w:w="1594" w:type="dxa"/>
            <w:shd w:val="clear" w:color="auto" w:fill="auto"/>
          </w:tcPr>
          <w:p w14:paraId="19536B5B" w14:textId="77777777" w:rsidR="0003071E" w:rsidRPr="00DD7133" w:rsidRDefault="0003071E" w:rsidP="00B11B71">
            <w:pPr>
              <w:spacing w:after="0" w:line="240" w:lineRule="auto"/>
              <w:rPr>
                <w:rFonts w:ascii="Times New Roman" w:hAnsi="Times New Roman" w:cs="Times New Roman"/>
                <w:sz w:val="20"/>
                <w:szCs w:val="20"/>
              </w:rPr>
            </w:pPr>
            <w:r w:rsidRPr="00DD7133">
              <w:rPr>
                <w:rFonts w:ascii="Times New Roman" w:hAnsi="Times New Roman" w:cs="Times New Roman"/>
                <w:sz w:val="20"/>
                <w:szCs w:val="20"/>
              </w:rPr>
              <w:t>Employer Sponsored</w:t>
            </w:r>
          </w:p>
        </w:tc>
        <w:tc>
          <w:tcPr>
            <w:tcW w:w="962" w:type="dxa"/>
            <w:shd w:val="clear" w:color="auto" w:fill="auto"/>
          </w:tcPr>
          <w:p w14:paraId="304A438C"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90</w:t>
            </w:r>
          </w:p>
        </w:tc>
        <w:tc>
          <w:tcPr>
            <w:tcW w:w="830" w:type="dxa"/>
            <w:shd w:val="clear" w:color="auto" w:fill="auto"/>
          </w:tcPr>
          <w:p w14:paraId="2C0E2242"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7</w:t>
            </w:r>
          </w:p>
        </w:tc>
        <w:tc>
          <w:tcPr>
            <w:tcW w:w="991" w:type="dxa"/>
            <w:shd w:val="clear" w:color="auto" w:fill="auto"/>
          </w:tcPr>
          <w:p w14:paraId="354513FF"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3</w:t>
            </w:r>
          </w:p>
        </w:tc>
        <w:tc>
          <w:tcPr>
            <w:tcW w:w="1110" w:type="dxa"/>
            <w:shd w:val="clear" w:color="auto" w:fill="auto"/>
          </w:tcPr>
          <w:p w14:paraId="361CE532"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92</w:t>
            </w:r>
          </w:p>
        </w:tc>
        <w:tc>
          <w:tcPr>
            <w:tcW w:w="1339" w:type="dxa"/>
            <w:shd w:val="clear" w:color="auto" w:fill="auto"/>
          </w:tcPr>
          <w:p w14:paraId="0D91748D"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98</w:t>
            </w:r>
          </w:p>
        </w:tc>
        <w:tc>
          <w:tcPr>
            <w:tcW w:w="1220" w:type="dxa"/>
          </w:tcPr>
          <w:p w14:paraId="20310058"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71,300</w:t>
            </w:r>
          </w:p>
        </w:tc>
        <w:tc>
          <w:tcPr>
            <w:tcW w:w="1196" w:type="dxa"/>
            <w:shd w:val="clear" w:color="auto" w:fill="auto"/>
          </w:tcPr>
          <w:p w14:paraId="12E6EF83"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0.5</w:t>
            </w:r>
          </w:p>
        </w:tc>
      </w:tr>
      <w:tr w:rsidR="0003071E" w:rsidRPr="00DD7133" w14:paraId="0223EC29" w14:textId="77777777" w:rsidTr="00B11B71">
        <w:tc>
          <w:tcPr>
            <w:tcW w:w="1594" w:type="dxa"/>
            <w:shd w:val="clear" w:color="auto" w:fill="auto"/>
          </w:tcPr>
          <w:p w14:paraId="695EE3C7" w14:textId="77777777" w:rsidR="0003071E" w:rsidRPr="00DD7133" w:rsidRDefault="0003071E" w:rsidP="00B11B71">
            <w:pPr>
              <w:spacing w:after="0" w:line="240" w:lineRule="auto"/>
              <w:rPr>
                <w:rFonts w:ascii="Times New Roman" w:hAnsi="Times New Roman" w:cs="Times New Roman"/>
                <w:sz w:val="20"/>
                <w:szCs w:val="20"/>
              </w:rPr>
            </w:pPr>
            <w:r w:rsidRPr="00DD7133">
              <w:rPr>
                <w:rFonts w:ascii="Times New Roman" w:hAnsi="Times New Roman" w:cs="Times New Roman"/>
                <w:sz w:val="20"/>
                <w:szCs w:val="20"/>
              </w:rPr>
              <w:t>Family/ State Sponsored</w:t>
            </w:r>
          </w:p>
        </w:tc>
        <w:tc>
          <w:tcPr>
            <w:tcW w:w="962" w:type="dxa"/>
            <w:shd w:val="clear" w:color="auto" w:fill="auto"/>
          </w:tcPr>
          <w:p w14:paraId="78552D78"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60</w:t>
            </w:r>
          </w:p>
        </w:tc>
        <w:tc>
          <w:tcPr>
            <w:tcW w:w="830" w:type="dxa"/>
            <w:shd w:val="clear" w:color="auto" w:fill="auto"/>
          </w:tcPr>
          <w:p w14:paraId="76BE4F2C"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31</w:t>
            </w:r>
          </w:p>
        </w:tc>
        <w:tc>
          <w:tcPr>
            <w:tcW w:w="991" w:type="dxa"/>
            <w:shd w:val="clear" w:color="auto" w:fill="auto"/>
          </w:tcPr>
          <w:p w14:paraId="7DF0517A"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9</w:t>
            </w:r>
          </w:p>
        </w:tc>
        <w:tc>
          <w:tcPr>
            <w:tcW w:w="1110" w:type="dxa"/>
            <w:shd w:val="clear" w:color="auto" w:fill="auto"/>
          </w:tcPr>
          <w:p w14:paraId="0772B753"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72</w:t>
            </w:r>
          </w:p>
        </w:tc>
        <w:tc>
          <w:tcPr>
            <w:tcW w:w="1339" w:type="dxa"/>
            <w:shd w:val="clear" w:color="auto" w:fill="auto"/>
          </w:tcPr>
          <w:p w14:paraId="56EFA452"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98</w:t>
            </w:r>
          </w:p>
        </w:tc>
        <w:tc>
          <w:tcPr>
            <w:tcW w:w="1220" w:type="dxa"/>
          </w:tcPr>
          <w:p w14:paraId="427FCE55"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50,000</w:t>
            </w:r>
          </w:p>
        </w:tc>
        <w:tc>
          <w:tcPr>
            <w:tcW w:w="1196" w:type="dxa"/>
            <w:shd w:val="clear" w:color="auto" w:fill="auto"/>
          </w:tcPr>
          <w:p w14:paraId="3C1B65FA"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7</w:t>
            </w:r>
          </w:p>
        </w:tc>
      </w:tr>
      <w:tr w:rsidR="0003071E" w:rsidRPr="00DD7133" w14:paraId="660CF573" w14:textId="77777777" w:rsidTr="00B11B71">
        <w:tc>
          <w:tcPr>
            <w:tcW w:w="1594" w:type="dxa"/>
            <w:shd w:val="clear" w:color="auto" w:fill="auto"/>
          </w:tcPr>
          <w:p w14:paraId="3727872F" w14:textId="77777777" w:rsidR="0003071E" w:rsidRPr="00DD7133" w:rsidRDefault="0003071E" w:rsidP="00B11B71">
            <w:pPr>
              <w:spacing w:after="0" w:line="240" w:lineRule="auto"/>
              <w:rPr>
                <w:rFonts w:ascii="Times New Roman" w:hAnsi="Times New Roman" w:cs="Times New Roman"/>
                <w:sz w:val="20"/>
                <w:szCs w:val="20"/>
              </w:rPr>
            </w:pPr>
            <w:r w:rsidRPr="00DD7133">
              <w:rPr>
                <w:rFonts w:ascii="Times New Roman" w:hAnsi="Times New Roman" w:cs="Times New Roman"/>
                <w:sz w:val="20"/>
                <w:szCs w:val="20"/>
              </w:rPr>
              <w:t>Offshore Independent</w:t>
            </w:r>
          </w:p>
        </w:tc>
        <w:tc>
          <w:tcPr>
            <w:tcW w:w="962" w:type="dxa"/>
            <w:shd w:val="clear" w:color="auto" w:fill="auto"/>
          </w:tcPr>
          <w:p w14:paraId="0279E8F4"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75</w:t>
            </w:r>
          </w:p>
        </w:tc>
        <w:tc>
          <w:tcPr>
            <w:tcW w:w="830" w:type="dxa"/>
            <w:shd w:val="clear" w:color="auto" w:fill="auto"/>
          </w:tcPr>
          <w:p w14:paraId="19EA78B6"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12</w:t>
            </w:r>
          </w:p>
        </w:tc>
        <w:tc>
          <w:tcPr>
            <w:tcW w:w="991" w:type="dxa"/>
            <w:shd w:val="clear" w:color="auto" w:fill="auto"/>
          </w:tcPr>
          <w:p w14:paraId="5325AE11"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12</w:t>
            </w:r>
          </w:p>
        </w:tc>
        <w:tc>
          <w:tcPr>
            <w:tcW w:w="1110" w:type="dxa"/>
            <w:shd w:val="clear" w:color="auto" w:fill="auto"/>
          </w:tcPr>
          <w:p w14:paraId="6793ABBF"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76</w:t>
            </w:r>
          </w:p>
        </w:tc>
        <w:tc>
          <w:tcPr>
            <w:tcW w:w="1339" w:type="dxa"/>
            <w:shd w:val="clear" w:color="auto" w:fill="auto"/>
          </w:tcPr>
          <w:p w14:paraId="2730BBF8"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97</w:t>
            </w:r>
          </w:p>
        </w:tc>
        <w:tc>
          <w:tcPr>
            <w:tcW w:w="1220" w:type="dxa"/>
          </w:tcPr>
          <w:p w14:paraId="13A7DD0F"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74,600</w:t>
            </w:r>
          </w:p>
        </w:tc>
        <w:tc>
          <w:tcPr>
            <w:tcW w:w="1196" w:type="dxa"/>
            <w:shd w:val="clear" w:color="auto" w:fill="auto"/>
          </w:tcPr>
          <w:p w14:paraId="29D83243"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10</w:t>
            </w:r>
          </w:p>
        </w:tc>
      </w:tr>
      <w:tr w:rsidR="0003071E" w:rsidRPr="00DD7133" w14:paraId="74546624" w14:textId="77777777" w:rsidTr="00B11B71">
        <w:tc>
          <w:tcPr>
            <w:tcW w:w="1594" w:type="dxa"/>
            <w:shd w:val="clear" w:color="auto" w:fill="auto"/>
          </w:tcPr>
          <w:p w14:paraId="1A313710" w14:textId="77777777" w:rsidR="0003071E" w:rsidRPr="00DD7133" w:rsidRDefault="0003071E" w:rsidP="00B11B71">
            <w:pPr>
              <w:spacing w:after="0" w:line="240" w:lineRule="auto"/>
              <w:rPr>
                <w:rFonts w:ascii="Times New Roman" w:hAnsi="Times New Roman" w:cs="Times New Roman"/>
                <w:sz w:val="20"/>
                <w:szCs w:val="20"/>
              </w:rPr>
            </w:pPr>
            <w:r w:rsidRPr="00DD7133">
              <w:rPr>
                <w:rFonts w:ascii="Times New Roman" w:hAnsi="Times New Roman" w:cs="Times New Roman"/>
                <w:sz w:val="20"/>
                <w:szCs w:val="20"/>
              </w:rPr>
              <w:t>Onshore Independent</w:t>
            </w:r>
          </w:p>
        </w:tc>
        <w:tc>
          <w:tcPr>
            <w:tcW w:w="962" w:type="dxa"/>
            <w:shd w:val="clear" w:color="auto" w:fill="auto"/>
          </w:tcPr>
          <w:p w14:paraId="6D1A2512"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55</w:t>
            </w:r>
          </w:p>
        </w:tc>
        <w:tc>
          <w:tcPr>
            <w:tcW w:w="830" w:type="dxa"/>
            <w:shd w:val="clear" w:color="auto" w:fill="auto"/>
          </w:tcPr>
          <w:p w14:paraId="1F0D0F97"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37</w:t>
            </w:r>
          </w:p>
        </w:tc>
        <w:tc>
          <w:tcPr>
            <w:tcW w:w="991" w:type="dxa"/>
            <w:shd w:val="clear" w:color="auto" w:fill="auto"/>
          </w:tcPr>
          <w:p w14:paraId="531BC47C"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8</w:t>
            </w:r>
          </w:p>
        </w:tc>
        <w:tc>
          <w:tcPr>
            <w:tcW w:w="1110" w:type="dxa"/>
            <w:shd w:val="clear" w:color="auto" w:fill="auto"/>
          </w:tcPr>
          <w:p w14:paraId="6B4D9E76"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69</w:t>
            </w:r>
          </w:p>
        </w:tc>
        <w:tc>
          <w:tcPr>
            <w:tcW w:w="1339" w:type="dxa"/>
            <w:shd w:val="clear" w:color="auto" w:fill="auto"/>
          </w:tcPr>
          <w:p w14:paraId="1BC517C5"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98</w:t>
            </w:r>
          </w:p>
        </w:tc>
        <w:tc>
          <w:tcPr>
            <w:tcW w:w="1220" w:type="dxa"/>
          </w:tcPr>
          <w:p w14:paraId="732DA0A1"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44,400</w:t>
            </w:r>
          </w:p>
        </w:tc>
        <w:tc>
          <w:tcPr>
            <w:tcW w:w="1196" w:type="dxa"/>
            <w:shd w:val="clear" w:color="auto" w:fill="auto"/>
          </w:tcPr>
          <w:p w14:paraId="387825F1"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6</w:t>
            </w:r>
          </w:p>
        </w:tc>
      </w:tr>
      <w:tr w:rsidR="0003071E" w:rsidRPr="00DD7133" w14:paraId="70DAB73D" w14:textId="77777777" w:rsidTr="00B11B71">
        <w:tc>
          <w:tcPr>
            <w:tcW w:w="1594" w:type="dxa"/>
            <w:shd w:val="clear" w:color="auto" w:fill="auto"/>
          </w:tcPr>
          <w:p w14:paraId="64DF59E1" w14:textId="77777777" w:rsidR="0003071E" w:rsidRPr="00DD7133" w:rsidRDefault="0003071E" w:rsidP="00B11B71">
            <w:pPr>
              <w:spacing w:after="0" w:line="240" w:lineRule="auto"/>
              <w:rPr>
                <w:rFonts w:ascii="Times New Roman" w:hAnsi="Times New Roman" w:cs="Times New Roman"/>
                <w:sz w:val="20"/>
                <w:szCs w:val="20"/>
              </w:rPr>
            </w:pPr>
            <w:r w:rsidRPr="00DD7133">
              <w:rPr>
                <w:rFonts w:ascii="Times New Roman" w:hAnsi="Times New Roman" w:cs="Times New Roman"/>
                <w:sz w:val="20"/>
                <w:szCs w:val="20"/>
              </w:rPr>
              <w:t>Skilled Graduates</w:t>
            </w:r>
          </w:p>
        </w:tc>
        <w:tc>
          <w:tcPr>
            <w:tcW w:w="962" w:type="dxa"/>
            <w:shd w:val="clear" w:color="auto" w:fill="auto"/>
          </w:tcPr>
          <w:p w14:paraId="6787EEAB"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58</w:t>
            </w:r>
          </w:p>
        </w:tc>
        <w:tc>
          <w:tcPr>
            <w:tcW w:w="830" w:type="dxa"/>
            <w:shd w:val="clear" w:color="auto" w:fill="auto"/>
          </w:tcPr>
          <w:p w14:paraId="64DBFF78"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36</w:t>
            </w:r>
          </w:p>
        </w:tc>
        <w:tc>
          <w:tcPr>
            <w:tcW w:w="991" w:type="dxa"/>
            <w:shd w:val="clear" w:color="auto" w:fill="auto"/>
          </w:tcPr>
          <w:p w14:paraId="66E48744"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5</w:t>
            </w:r>
          </w:p>
        </w:tc>
        <w:tc>
          <w:tcPr>
            <w:tcW w:w="1110" w:type="dxa"/>
            <w:shd w:val="clear" w:color="auto" w:fill="auto"/>
          </w:tcPr>
          <w:p w14:paraId="68263263"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65</w:t>
            </w:r>
          </w:p>
        </w:tc>
        <w:tc>
          <w:tcPr>
            <w:tcW w:w="1339" w:type="dxa"/>
            <w:shd w:val="clear" w:color="auto" w:fill="auto"/>
          </w:tcPr>
          <w:p w14:paraId="1C67F561"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98</w:t>
            </w:r>
          </w:p>
        </w:tc>
        <w:tc>
          <w:tcPr>
            <w:tcW w:w="1220" w:type="dxa"/>
          </w:tcPr>
          <w:p w14:paraId="5B3D55EA"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40,000</w:t>
            </w:r>
          </w:p>
        </w:tc>
        <w:tc>
          <w:tcPr>
            <w:tcW w:w="1196" w:type="dxa"/>
            <w:shd w:val="clear" w:color="auto" w:fill="auto"/>
          </w:tcPr>
          <w:p w14:paraId="5B15DD61"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3</w:t>
            </w:r>
          </w:p>
        </w:tc>
      </w:tr>
      <w:tr w:rsidR="0003071E" w:rsidRPr="00DD7133" w14:paraId="30E9EA34" w14:textId="77777777" w:rsidTr="00B11B71">
        <w:tc>
          <w:tcPr>
            <w:tcW w:w="1594" w:type="dxa"/>
            <w:shd w:val="clear" w:color="auto" w:fill="D9D9D9" w:themeFill="background1" w:themeFillShade="D9"/>
          </w:tcPr>
          <w:p w14:paraId="11B499AC" w14:textId="77777777" w:rsidR="0003071E" w:rsidRPr="00DD7133" w:rsidRDefault="0003071E" w:rsidP="00B11B71">
            <w:pPr>
              <w:spacing w:after="0" w:line="240" w:lineRule="auto"/>
              <w:rPr>
                <w:rFonts w:ascii="Times New Roman" w:hAnsi="Times New Roman" w:cs="Times New Roman"/>
                <w:sz w:val="20"/>
                <w:szCs w:val="20"/>
              </w:rPr>
            </w:pPr>
            <w:r w:rsidRPr="00DD7133">
              <w:rPr>
                <w:rFonts w:ascii="Times New Roman" w:hAnsi="Times New Roman" w:cs="Times New Roman"/>
                <w:sz w:val="20"/>
                <w:szCs w:val="20"/>
              </w:rPr>
              <w:t>All Skilled Category</w:t>
            </w:r>
          </w:p>
        </w:tc>
        <w:tc>
          <w:tcPr>
            <w:tcW w:w="962" w:type="dxa"/>
            <w:shd w:val="clear" w:color="auto" w:fill="D9D9D9" w:themeFill="background1" w:themeFillShade="D9"/>
          </w:tcPr>
          <w:p w14:paraId="58780E5C"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68</w:t>
            </w:r>
          </w:p>
        </w:tc>
        <w:tc>
          <w:tcPr>
            <w:tcW w:w="830" w:type="dxa"/>
            <w:shd w:val="clear" w:color="auto" w:fill="D9D9D9" w:themeFill="background1" w:themeFillShade="D9"/>
          </w:tcPr>
          <w:p w14:paraId="10CBC614"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24</w:t>
            </w:r>
          </w:p>
        </w:tc>
        <w:tc>
          <w:tcPr>
            <w:tcW w:w="991" w:type="dxa"/>
            <w:shd w:val="clear" w:color="auto" w:fill="D9D9D9" w:themeFill="background1" w:themeFillShade="D9"/>
          </w:tcPr>
          <w:p w14:paraId="747A9AE5"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8</w:t>
            </w:r>
          </w:p>
        </w:tc>
        <w:tc>
          <w:tcPr>
            <w:tcW w:w="1110" w:type="dxa"/>
            <w:shd w:val="clear" w:color="auto" w:fill="D9D9D9" w:themeFill="background1" w:themeFillShade="D9"/>
          </w:tcPr>
          <w:p w14:paraId="1E9534C9"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75</w:t>
            </w:r>
          </w:p>
        </w:tc>
        <w:tc>
          <w:tcPr>
            <w:tcW w:w="1339" w:type="dxa"/>
            <w:shd w:val="clear" w:color="auto" w:fill="D9D9D9" w:themeFill="background1" w:themeFillShade="D9"/>
          </w:tcPr>
          <w:p w14:paraId="5D16C495"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96</w:t>
            </w:r>
          </w:p>
        </w:tc>
        <w:tc>
          <w:tcPr>
            <w:tcW w:w="1220" w:type="dxa"/>
            <w:shd w:val="clear" w:color="auto" w:fill="D9D9D9" w:themeFill="background1" w:themeFillShade="D9"/>
          </w:tcPr>
          <w:p w14:paraId="4D805F7F"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52,000</w:t>
            </w:r>
          </w:p>
        </w:tc>
        <w:tc>
          <w:tcPr>
            <w:tcW w:w="1196" w:type="dxa"/>
            <w:shd w:val="clear" w:color="auto" w:fill="D9D9D9" w:themeFill="background1" w:themeFillShade="D9"/>
          </w:tcPr>
          <w:p w14:paraId="50DC5D08"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5</w:t>
            </w:r>
          </w:p>
        </w:tc>
      </w:tr>
      <w:tr w:rsidR="0003071E" w:rsidRPr="00DD7133" w14:paraId="2A120899" w14:textId="77777777" w:rsidTr="00B11B71">
        <w:tc>
          <w:tcPr>
            <w:tcW w:w="1594" w:type="dxa"/>
            <w:shd w:val="clear" w:color="auto" w:fill="FDE9D9" w:themeFill="accent6" w:themeFillTint="33"/>
          </w:tcPr>
          <w:p w14:paraId="18CA8EC1" w14:textId="77777777" w:rsidR="0003071E" w:rsidRPr="00DD7133" w:rsidRDefault="0003071E" w:rsidP="00B11B71">
            <w:pPr>
              <w:spacing w:after="0" w:line="240" w:lineRule="auto"/>
              <w:rPr>
                <w:rFonts w:ascii="Times New Roman" w:hAnsi="Times New Roman" w:cs="Times New Roman"/>
                <w:sz w:val="20"/>
                <w:szCs w:val="20"/>
              </w:rPr>
            </w:pPr>
            <w:r w:rsidRPr="00DD7133">
              <w:rPr>
                <w:rFonts w:ascii="Times New Roman" w:hAnsi="Times New Roman" w:cs="Times New Roman"/>
                <w:sz w:val="20"/>
                <w:szCs w:val="20"/>
              </w:rPr>
              <w:t>All Family Category</w:t>
            </w:r>
          </w:p>
        </w:tc>
        <w:tc>
          <w:tcPr>
            <w:tcW w:w="962" w:type="dxa"/>
            <w:shd w:val="clear" w:color="auto" w:fill="FDE9D9" w:themeFill="accent6" w:themeFillTint="33"/>
          </w:tcPr>
          <w:p w14:paraId="2DD34EFE"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21</w:t>
            </w:r>
          </w:p>
        </w:tc>
        <w:tc>
          <w:tcPr>
            <w:tcW w:w="830" w:type="dxa"/>
            <w:shd w:val="clear" w:color="auto" w:fill="FDE9D9" w:themeFill="accent6" w:themeFillTint="33"/>
          </w:tcPr>
          <w:p w14:paraId="1E8A27B0"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28</w:t>
            </w:r>
          </w:p>
        </w:tc>
        <w:tc>
          <w:tcPr>
            <w:tcW w:w="991" w:type="dxa"/>
            <w:shd w:val="clear" w:color="auto" w:fill="FDE9D9" w:themeFill="accent6" w:themeFillTint="33"/>
          </w:tcPr>
          <w:p w14:paraId="3521545E"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18</w:t>
            </w:r>
          </w:p>
        </w:tc>
        <w:tc>
          <w:tcPr>
            <w:tcW w:w="1110" w:type="dxa"/>
            <w:shd w:val="clear" w:color="auto" w:fill="FDE9D9" w:themeFill="accent6" w:themeFillTint="33"/>
          </w:tcPr>
          <w:p w14:paraId="5AAE7449"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33</w:t>
            </w:r>
          </w:p>
        </w:tc>
        <w:tc>
          <w:tcPr>
            <w:tcW w:w="1339" w:type="dxa"/>
            <w:shd w:val="clear" w:color="auto" w:fill="FDE9D9" w:themeFill="accent6" w:themeFillTint="33"/>
          </w:tcPr>
          <w:p w14:paraId="71B00210"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28</w:t>
            </w:r>
          </w:p>
        </w:tc>
        <w:tc>
          <w:tcPr>
            <w:tcW w:w="1220" w:type="dxa"/>
            <w:shd w:val="clear" w:color="auto" w:fill="FDE9D9" w:themeFill="accent6" w:themeFillTint="33"/>
          </w:tcPr>
          <w:p w14:paraId="084C0F16"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43,000</w:t>
            </w:r>
          </w:p>
        </w:tc>
        <w:tc>
          <w:tcPr>
            <w:tcW w:w="1196" w:type="dxa"/>
            <w:shd w:val="clear" w:color="auto" w:fill="FDE9D9" w:themeFill="accent6" w:themeFillTint="33"/>
          </w:tcPr>
          <w:p w14:paraId="68EB686D"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67</w:t>
            </w:r>
          </w:p>
        </w:tc>
      </w:tr>
      <w:tr w:rsidR="0003071E" w:rsidRPr="00DD7133" w14:paraId="1D3C8F3C" w14:textId="77777777" w:rsidTr="00B11B71">
        <w:tc>
          <w:tcPr>
            <w:tcW w:w="1594" w:type="dxa"/>
            <w:shd w:val="clear" w:color="auto" w:fill="B8CCE4" w:themeFill="accent1" w:themeFillTint="66"/>
          </w:tcPr>
          <w:p w14:paraId="10E097BF" w14:textId="77777777" w:rsidR="0003071E" w:rsidRPr="00DD7133" w:rsidRDefault="0003071E" w:rsidP="00B11B71">
            <w:pPr>
              <w:spacing w:after="0" w:line="240" w:lineRule="auto"/>
              <w:rPr>
                <w:rFonts w:ascii="Times New Roman" w:hAnsi="Times New Roman" w:cs="Times New Roman"/>
                <w:b/>
                <w:sz w:val="20"/>
                <w:szCs w:val="20"/>
              </w:rPr>
            </w:pPr>
            <w:r w:rsidRPr="00DD7133">
              <w:rPr>
                <w:rFonts w:ascii="Times New Roman" w:hAnsi="Times New Roman" w:cs="Times New Roman"/>
                <w:b/>
                <w:sz w:val="20"/>
                <w:szCs w:val="20"/>
              </w:rPr>
              <w:t>Sub-Category @ 12 Months</w:t>
            </w:r>
          </w:p>
        </w:tc>
        <w:tc>
          <w:tcPr>
            <w:tcW w:w="962" w:type="dxa"/>
            <w:shd w:val="clear" w:color="auto" w:fill="B8CCE4" w:themeFill="accent1" w:themeFillTint="66"/>
          </w:tcPr>
          <w:p w14:paraId="132A3CC7" w14:textId="77777777" w:rsidR="0003071E" w:rsidRPr="00DD7133" w:rsidRDefault="0003071E" w:rsidP="00B11B71">
            <w:pPr>
              <w:spacing w:after="0" w:line="240" w:lineRule="auto"/>
              <w:jc w:val="right"/>
              <w:rPr>
                <w:rFonts w:ascii="Times New Roman" w:hAnsi="Times New Roman" w:cs="Times New Roman"/>
                <w:b/>
                <w:sz w:val="20"/>
                <w:szCs w:val="20"/>
              </w:rPr>
            </w:pPr>
            <w:r w:rsidRPr="00DD7133">
              <w:rPr>
                <w:rFonts w:ascii="Times New Roman" w:hAnsi="Times New Roman" w:cs="Times New Roman"/>
                <w:b/>
                <w:sz w:val="20"/>
                <w:szCs w:val="20"/>
              </w:rPr>
              <w:t>Skilled Job</w:t>
            </w:r>
          </w:p>
        </w:tc>
        <w:tc>
          <w:tcPr>
            <w:tcW w:w="830" w:type="dxa"/>
            <w:shd w:val="clear" w:color="auto" w:fill="B8CCE4" w:themeFill="accent1" w:themeFillTint="66"/>
          </w:tcPr>
          <w:p w14:paraId="566A4F38" w14:textId="77777777" w:rsidR="0003071E" w:rsidRPr="00DD7133" w:rsidRDefault="0003071E" w:rsidP="00B11B71">
            <w:pPr>
              <w:spacing w:after="0" w:line="240" w:lineRule="auto"/>
              <w:jc w:val="right"/>
              <w:rPr>
                <w:rFonts w:ascii="Times New Roman" w:hAnsi="Times New Roman" w:cs="Times New Roman"/>
                <w:b/>
                <w:sz w:val="20"/>
                <w:szCs w:val="20"/>
              </w:rPr>
            </w:pPr>
            <w:r w:rsidRPr="00DD7133">
              <w:rPr>
                <w:rFonts w:ascii="Times New Roman" w:hAnsi="Times New Roman" w:cs="Times New Roman"/>
                <w:b/>
                <w:sz w:val="20"/>
                <w:szCs w:val="20"/>
              </w:rPr>
              <w:t>Other Job %</w:t>
            </w:r>
          </w:p>
        </w:tc>
        <w:tc>
          <w:tcPr>
            <w:tcW w:w="991" w:type="dxa"/>
            <w:shd w:val="clear" w:color="auto" w:fill="B8CCE4" w:themeFill="accent1" w:themeFillTint="66"/>
          </w:tcPr>
          <w:p w14:paraId="476E08A3" w14:textId="77777777" w:rsidR="0003071E" w:rsidRPr="00DD7133" w:rsidRDefault="0003071E" w:rsidP="00B11B71">
            <w:pPr>
              <w:spacing w:after="0" w:line="240" w:lineRule="auto"/>
              <w:jc w:val="right"/>
              <w:rPr>
                <w:rFonts w:ascii="Times New Roman" w:hAnsi="Times New Roman" w:cs="Times New Roman"/>
                <w:b/>
                <w:sz w:val="20"/>
                <w:szCs w:val="20"/>
              </w:rPr>
            </w:pPr>
            <w:r w:rsidRPr="00DD7133">
              <w:rPr>
                <w:rFonts w:ascii="Times New Roman" w:hAnsi="Times New Roman" w:cs="Times New Roman"/>
                <w:b/>
                <w:sz w:val="20"/>
                <w:szCs w:val="20"/>
              </w:rPr>
              <w:t xml:space="preserve">Not Working </w:t>
            </w:r>
          </w:p>
        </w:tc>
        <w:tc>
          <w:tcPr>
            <w:tcW w:w="1110" w:type="dxa"/>
            <w:shd w:val="clear" w:color="auto" w:fill="B8CCE4" w:themeFill="accent1" w:themeFillTint="66"/>
          </w:tcPr>
          <w:p w14:paraId="634E2144" w14:textId="77777777" w:rsidR="0003071E" w:rsidRPr="00DD7133" w:rsidRDefault="0003071E" w:rsidP="00B11B71">
            <w:pPr>
              <w:spacing w:after="0" w:line="240" w:lineRule="auto"/>
              <w:jc w:val="right"/>
              <w:rPr>
                <w:rFonts w:ascii="Times New Roman" w:hAnsi="Times New Roman" w:cs="Times New Roman"/>
                <w:b/>
                <w:sz w:val="20"/>
                <w:szCs w:val="20"/>
              </w:rPr>
            </w:pPr>
            <w:r w:rsidRPr="00DD7133">
              <w:rPr>
                <w:rFonts w:ascii="Times New Roman" w:hAnsi="Times New Roman" w:cs="Times New Roman"/>
                <w:b/>
                <w:sz w:val="20"/>
                <w:szCs w:val="20"/>
              </w:rPr>
              <w:t>Working Full-time</w:t>
            </w:r>
          </w:p>
        </w:tc>
        <w:tc>
          <w:tcPr>
            <w:tcW w:w="1339" w:type="dxa"/>
            <w:shd w:val="clear" w:color="auto" w:fill="B8CCE4" w:themeFill="accent1" w:themeFillTint="66"/>
          </w:tcPr>
          <w:p w14:paraId="475F158E" w14:textId="77777777" w:rsidR="0003071E" w:rsidRPr="00DD7133" w:rsidRDefault="0003071E" w:rsidP="00B11B71">
            <w:pPr>
              <w:spacing w:after="0" w:line="240" w:lineRule="auto"/>
              <w:jc w:val="right"/>
              <w:rPr>
                <w:rFonts w:ascii="Times New Roman" w:hAnsi="Times New Roman" w:cs="Times New Roman"/>
                <w:b/>
                <w:sz w:val="20"/>
                <w:szCs w:val="20"/>
              </w:rPr>
            </w:pPr>
            <w:r w:rsidRPr="00DD7133">
              <w:rPr>
                <w:rFonts w:ascii="Times New Roman" w:hAnsi="Times New Roman" w:cs="Times New Roman"/>
                <w:b/>
                <w:sz w:val="20"/>
                <w:szCs w:val="20"/>
              </w:rPr>
              <w:t>Participation Rate</w:t>
            </w:r>
          </w:p>
        </w:tc>
        <w:tc>
          <w:tcPr>
            <w:tcW w:w="1220" w:type="dxa"/>
            <w:shd w:val="clear" w:color="auto" w:fill="B8CCE4" w:themeFill="accent1" w:themeFillTint="66"/>
          </w:tcPr>
          <w:p w14:paraId="25CAB8FC" w14:textId="77777777" w:rsidR="0003071E" w:rsidRPr="00DD7133" w:rsidRDefault="0003071E" w:rsidP="00B11B71">
            <w:pPr>
              <w:spacing w:after="0" w:line="240" w:lineRule="auto"/>
              <w:jc w:val="right"/>
              <w:rPr>
                <w:rFonts w:ascii="Times New Roman" w:hAnsi="Times New Roman" w:cs="Times New Roman"/>
                <w:b/>
                <w:sz w:val="20"/>
                <w:szCs w:val="20"/>
              </w:rPr>
            </w:pPr>
            <w:r w:rsidRPr="00DD7133">
              <w:rPr>
                <w:rFonts w:ascii="Times New Roman" w:hAnsi="Times New Roman" w:cs="Times New Roman"/>
                <w:b/>
                <w:sz w:val="20"/>
                <w:szCs w:val="20"/>
              </w:rPr>
              <w:t>$A Median Full-time Earnings</w:t>
            </w:r>
          </w:p>
        </w:tc>
        <w:tc>
          <w:tcPr>
            <w:tcW w:w="1196" w:type="dxa"/>
            <w:shd w:val="clear" w:color="auto" w:fill="B8CCE4" w:themeFill="accent1" w:themeFillTint="66"/>
          </w:tcPr>
          <w:p w14:paraId="6D277190" w14:textId="77777777" w:rsidR="0003071E" w:rsidRPr="00DD7133" w:rsidRDefault="0003071E" w:rsidP="00B11B71">
            <w:pPr>
              <w:spacing w:after="0" w:line="240" w:lineRule="auto"/>
              <w:jc w:val="right"/>
              <w:rPr>
                <w:rFonts w:ascii="Times New Roman" w:hAnsi="Times New Roman" w:cs="Times New Roman"/>
                <w:b/>
                <w:sz w:val="20"/>
                <w:szCs w:val="20"/>
              </w:rPr>
            </w:pPr>
            <w:r w:rsidRPr="00DD7133">
              <w:rPr>
                <w:rFonts w:ascii="Times New Roman" w:hAnsi="Times New Roman" w:cs="Times New Roman"/>
                <w:b/>
                <w:sz w:val="20"/>
                <w:szCs w:val="20"/>
              </w:rPr>
              <w:t>Unemployed</w:t>
            </w:r>
          </w:p>
        </w:tc>
      </w:tr>
      <w:tr w:rsidR="0003071E" w:rsidRPr="00DD7133" w14:paraId="572993ED" w14:textId="77777777" w:rsidTr="00B11B71">
        <w:tc>
          <w:tcPr>
            <w:tcW w:w="1594" w:type="dxa"/>
            <w:shd w:val="clear" w:color="auto" w:fill="auto"/>
          </w:tcPr>
          <w:p w14:paraId="374FB642" w14:textId="77777777" w:rsidR="0003071E" w:rsidRPr="00DD7133" w:rsidRDefault="0003071E" w:rsidP="00B11B71">
            <w:pPr>
              <w:spacing w:after="0" w:line="240" w:lineRule="auto"/>
              <w:rPr>
                <w:rFonts w:ascii="Times New Roman" w:hAnsi="Times New Roman" w:cs="Times New Roman"/>
                <w:sz w:val="20"/>
                <w:szCs w:val="20"/>
              </w:rPr>
            </w:pPr>
            <w:r w:rsidRPr="00DD7133">
              <w:rPr>
                <w:rFonts w:ascii="Times New Roman" w:hAnsi="Times New Roman" w:cs="Times New Roman"/>
                <w:sz w:val="20"/>
                <w:szCs w:val="20"/>
              </w:rPr>
              <w:t>Employer Sponsored</w:t>
            </w:r>
          </w:p>
        </w:tc>
        <w:tc>
          <w:tcPr>
            <w:tcW w:w="962" w:type="dxa"/>
            <w:shd w:val="clear" w:color="auto" w:fill="auto"/>
          </w:tcPr>
          <w:p w14:paraId="080FC411"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91</w:t>
            </w:r>
          </w:p>
        </w:tc>
        <w:tc>
          <w:tcPr>
            <w:tcW w:w="830" w:type="dxa"/>
            <w:shd w:val="clear" w:color="auto" w:fill="auto"/>
          </w:tcPr>
          <w:p w14:paraId="5FE17B98"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7</w:t>
            </w:r>
          </w:p>
        </w:tc>
        <w:tc>
          <w:tcPr>
            <w:tcW w:w="991" w:type="dxa"/>
            <w:shd w:val="clear" w:color="auto" w:fill="auto"/>
          </w:tcPr>
          <w:p w14:paraId="684F51A1"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1</w:t>
            </w:r>
          </w:p>
        </w:tc>
        <w:tc>
          <w:tcPr>
            <w:tcW w:w="1110" w:type="dxa"/>
            <w:shd w:val="clear" w:color="auto" w:fill="auto"/>
          </w:tcPr>
          <w:p w14:paraId="45FB7E68"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93</w:t>
            </w:r>
          </w:p>
        </w:tc>
        <w:tc>
          <w:tcPr>
            <w:tcW w:w="1339" w:type="dxa"/>
            <w:shd w:val="clear" w:color="auto" w:fill="auto"/>
          </w:tcPr>
          <w:p w14:paraId="5C2D2B5B"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99</w:t>
            </w:r>
          </w:p>
        </w:tc>
        <w:tc>
          <w:tcPr>
            <w:tcW w:w="1220" w:type="dxa"/>
          </w:tcPr>
          <w:p w14:paraId="4BE51827"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75,000</w:t>
            </w:r>
          </w:p>
        </w:tc>
        <w:tc>
          <w:tcPr>
            <w:tcW w:w="1196" w:type="dxa"/>
            <w:shd w:val="clear" w:color="auto" w:fill="auto"/>
          </w:tcPr>
          <w:p w14:paraId="2EDC5EB2"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0.5</w:t>
            </w:r>
          </w:p>
        </w:tc>
      </w:tr>
      <w:tr w:rsidR="0003071E" w:rsidRPr="00DD7133" w14:paraId="510C2ECA" w14:textId="77777777" w:rsidTr="00B11B71">
        <w:tc>
          <w:tcPr>
            <w:tcW w:w="1594" w:type="dxa"/>
            <w:shd w:val="clear" w:color="auto" w:fill="auto"/>
          </w:tcPr>
          <w:p w14:paraId="711CCCF4" w14:textId="77777777" w:rsidR="0003071E" w:rsidRPr="00DD7133" w:rsidRDefault="0003071E" w:rsidP="00B11B71">
            <w:pPr>
              <w:spacing w:after="0" w:line="240" w:lineRule="auto"/>
              <w:rPr>
                <w:rFonts w:ascii="Times New Roman" w:hAnsi="Times New Roman" w:cs="Times New Roman"/>
                <w:sz w:val="20"/>
                <w:szCs w:val="20"/>
              </w:rPr>
            </w:pPr>
            <w:r w:rsidRPr="00DD7133">
              <w:rPr>
                <w:rFonts w:ascii="Times New Roman" w:hAnsi="Times New Roman" w:cs="Times New Roman"/>
                <w:sz w:val="20"/>
                <w:szCs w:val="20"/>
              </w:rPr>
              <w:t>Family/ State Sponsored</w:t>
            </w:r>
          </w:p>
        </w:tc>
        <w:tc>
          <w:tcPr>
            <w:tcW w:w="962" w:type="dxa"/>
            <w:shd w:val="clear" w:color="auto" w:fill="auto"/>
          </w:tcPr>
          <w:p w14:paraId="78EF8F05"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65</w:t>
            </w:r>
          </w:p>
        </w:tc>
        <w:tc>
          <w:tcPr>
            <w:tcW w:w="830" w:type="dxa"/>
            <w:shd w:val="clear" w:color="auto" w:fill="auto"/>
          </w:tcPr>
          <w:p w14:paraId="194E9FB1"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28</w:t>
            </w:r>
          </w:p>
        </w:tc>
        <w:tc>
          <w:tcPr>
            <w:tcW w:w="991" w:type="dxa"/>
            <w:shd w:val="clear" w:color="auto" w:fill="auto"/>
          </w:tcPr>
          <w:p w14:paraId="7850F9ED"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7</w:t>
            </w:r>
          </w:p>
        </w:tc>
        <w:tc>
          <w:tcPr>
            <w:tcW w:w="1110" w:type="dxa"/>
            <w:shd w:val="clear" w:color="auto" w:fill="auto"/>
          </w:tcPr>
          <w:p w14:paraId="5590F4E1"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78</w:t>
            </w:r>
          </w:p>
        </w:tc>
        <w:tc>
          <w:tcPr>
            <w:tcW w:w="1339" w:type="dxa"/>
            <w:shd w:val="clear" w:color="auto" w:fill="auto"/>
          </w:tcPr>
          <w:p w14:paraId="350F3847"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97</w:t>
            </w:r>
          </w:p>
        </w:tc>
        <w:tc>
          <w:tcPr>
            <w:tcW w:w="1220" w:type="dxa"/>
          </w:tcPr>
          <w:p w14:paraId="23EEBBC9"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55,000</w:t>
            </w:r>
          </w:p>
        </w:tc>
        <w:tc>
          <w:tcPr>
            <w:tcW w:w="1196" w:type="dxa"/>
            <w:shd w:val="clear" w:color="auto" w:fill="auto"/>
          </w:tcPr>
          <w:p w14:paraId="18A6C625"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4</w:t>
            </w:r>
          </w:p>
        </w:tc>
      </w:tr>
      <w:tr w:rsidR="0003071E" w:rsidRPr="00DD7133" w14:paraId="70D81382" w14:textId="77777777" w:rsidTr="00B11B71">
        <w:tc>
          <w:tcPr>
            <w:tcW w:w="1594" w:type="dxa"/>
            <w:shd w:val="clear" w:color="auto" w:fill="auto"/>
          </w:tcPr>
          <w:p w14:paraId="5B6BE1CF" w14:textId="77777777" w:rsidR="0003071E" w:rsidRPr="00DD7133" w:rsidRDefault="0003071E" w:rsidP="00B11B71">
            <w:pPr>
              <w:spacing w:after="0" w:line="240" w:lineRule="auto"/>
              <w:rPr>
                <w:rFonts w:ascii="Times New Roman" w:hAnsi="Times New Roman" w:cs="Times New Roman"/>
                <w:sz w:val="20"/>
                <w:szCs w:val="20"/>
              </w:rPr>
            </w:pPr>
            <w:r w:rsidRPr="00DD7133">
              <w:rPr>
                <w:rFonts w:ascii="Times New Roman" w:hAnsi="Times New Roman" w:cs="Times New Roman"/>
                <w:sz w:val="20"/>
                <w:szCs w:val="20"/>
              </w:rPr>
              <w:t>Offshore Independent</w:t>
            </w:r>
          </w:p>
        </w:tc>
        <w:tc>
          <w:tcPr>
            <w:tcW w:w="962" w:type="dxa"/>
            <w:shd w:val="clear" w:color="auto" w:fill="auto"/>
          </w:tcPr>
          <w:p w14:paraId="54C2A7A7"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83</w:t>
            </w:r>
          </w:p>
        </w:tc>
        <w:tc>
          <w:tcPr>
            <w:tcW w:w="830" w:type="dxa"/>
            <w:shd w:val="clear" w:color="auto" w:fill="auto"/>
          </w:tcPr>
          <w:p w14:paraId="4AA68942"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10</w:t>
            </w:r>
          </w:p>
        </w:tc>
        <w:tc>
          <w:tcPr>
            <w:tcW w:w="991" w:type="dxa"/>
            <w:shd w:val="clear" w:color="auto" w:fill="auto"/>
          </w:tcPr>
          <w:p w14:paraId="71EC8FC7"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7</w:t>
            </w:r>
          </w:p>
        </w:tc>
        <w:tc>
          <w:tcPr>
            <w:tcW w:w="1110" w:type="dxa"/>
            <w:shd w:val="clear" w:color="auto" w:fill="auto"/>
          </w:tcPr>
          <w:p w14:paraId="1B54A73A"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85</w:t>
            </w:r>
          </w:p>
        </w:tc>
        <w:tc>
          <w:tcPr>
            <w:tcW w:w="1339" w:type="dxa"/>
            <w:shd w:val="clear" w:color="auto" w:fill="auto"/>
          </w:tcPr>
          <w:p w14:paraId="19A01F22"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96</w:t>
            </w:r>
          </w:p>
        </w:tc>
        <w:tc>
          <w:tcPr>
            <w:tcW w:w="1220" w:type="dxa"/>
          </w:tcPr>
          <w:p w14:paraId="2ED724A2"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79,000</w:t>
            </w:r>
          </w:p>
        </w:tc>
        <w:tc>
          <w:tcPr>
            <w:tcW w:w="1196" w:type="dxa"/>
            <w:shd w:val="clear" w:color="auto" w:fill="auto"/>
          </w:tcPr>
          <w:p w14:paraId="0EA5270F"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3</w:t>
            </w:r>
          </w:p>
        </w:tc>
      </w:tr>
      <w:tr w:rsidR="0003071E" w:rsidRPr="00DD7133" w14:paraId="6C10503D" w14:textId="77777777" w:rsidTr="00B11B71">
        <w:tc>
          <w:tcPr>
            <w:tcW w:w="1594" w:type="dxa"/>
            <w:shd w:val="clear" w:color="auto" w:fill="auto"/>
          </w:tcPr>
          <w:p w14:paraId="2C7150BF" w14:textId="77777777" w:rsidR="0003071E" w:rsidRPr="00DD7133" w:rsidRDefault="0003071E" w:rsidP="00B11B71">
            <w:pPr>
              <w:spacing w:after="0" w:line="240" w:lineRule="auto"/>
              <w:rPr>
                <w:rFonts w:ascii="Times New Roman" w:hAnsi="Times New Roman" w:cs="Times New Roman"/>
                <w:sz w:val="20"/>
                <w:szCs w:val="20"/>
              </w:rPr>
            </w:pPr>
            <w:r w:rsidRPr="00DD7133">
              <w:rPr>
                <w:rFonts w:ascii="Times New Roman" w:hAnsi="Times New Roman" w:cs="Times New Roman"/>
                <w:sz w:val="20"/>
                <w:szCs w:val="20"/>
              </w:rPr>
              <w:t>Onshore Independent</w:t>
            </w:r>
          </w:p>
        </w:tc>
        <w:tc>
          <w:tcPr>
            <w:tcW w:w="962" w:type="dxa"/>
            <w:shd w:val="clear" w:color="auto" w:fill="auto"/>
          </w:tcPr>
          <w:p w14:paraId="1233863B"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61</w:t>
            </w:r>
          </w:p>
        </w:tc>
        <w:tc>
          <w:tcPr>
            <w:tcW w:w="830" w:type="dxa"/>
            <w:shd w:val="clear" w:color="auto" w:fill="auto"/>
          </w:tcPr>
          <w:p w14:paraId="5DB14CEA"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33</w:t>
            </w:r>
          </w:p>
        </w:tc>
        <w:tc>
          <w:tcPr>
            <w:tcW w:w="991" w:type="dxa"/>
            <w:shd w:val="clear" w:color="auto" w:fill="auto"/>
          </w:tcPr>
          <w:p w14:paraId="75E091C9"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6</w:t>
            </w:r>
          </w:p>
        </w:tc>
        <w:tc>
          <w:tcPr>
            <w:tcW w:w="1110" w:type="dxa"/>
            <w:shd w:val="clear" w:color="auto" w:fill="auto"/>
          </w:tcPr>
          <w:p w14:paraId="4345B19F"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77</w:t>
            </w:r>
          </w:p>
        </w:tc>
        <w:tc>
          <w:tcPr>
            <w:tcW w:w="1339" w:type="dxa"/>
            <w:shd w:val="clear" w:color="auto" w:fill="auto"/>
          </w:tcPr>
          <w:p w14:paraId="63BC064A"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97</w:t>
            </w:r>
          </w:p>
        </w:tc>
        <w:tc>
          <w:tcPr>
            <w:tcW w:w="1220" w:type="dxa"/>
          </w:tcPr>
          <w:p w14:paraId="3F4A2371"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47,000</w:t>
            </w:r>
          </w:p>
        </w:tc>
        <w:tc>
          <w:tcPr>
            <w:tcW w:w="1196" w:type="dxa"/>
            <w:shd w:val="clear" w:color="auto" w:fill="auto"/>
          </w:tcPr>
          <w:p w14:paraId="1A3E88BC"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3</w:t>
            </w:r>
          </w:p>
        </w:tc>
      </w:tr>
      <w:tr w:rsidR="0003071E" w:rsidRPr="00DD7133" w14:paraId="3BC5DF00" w14:textId="77777777" w:rsidTr="00B11B71">
        <w:tc>
          <w:tcPr>
            <w:tcW w:w="1594" w:type="dxa"/>
            <w:shd w:val="clear" w:color="auto" w:fill="auto"/>
          </w:tcPr>
          <w:p w14:paraId="48E319FD" w14:textId="77777777" w:rsidR="0003071E" w:rsidRPr="00DD7133" w:rsidRDefault="0003071E" w:rsidP="00B11B71">
            <w:pPr>
              <w:spacing w:after="0" w:line="240" w:lineRule="auto"/>
              <w:rPr>
                <w:rFonts w:ascii="Times New Roman" w:hAnsi="Times New Roman" w:cs="Times New Roman"/>
                <w:sz w:val="20"/>
                <w:szCs w:val="20"/>
              </w:rPr>
            </w:pPr>
            <w:r w:rsidRPr="00DD7133">
              <w:rPr>
                <w:rFonts w:ascii="Times New Roman" w:hAnsi="Times New Roman" w:cs="Times New Roman"/>
                <w:sz w:val="20"/>
                <w:szCs w:val="20"/>
              </w:rPr>
              <w:t>Skilled Graduates</w:t>
            </w:r>
          </w:p>
        </w:tc>
        <w:tc>
          <w:tcPr>
            <w:tcW w:w="962" w:type="dxa"/>
            <w:shd w:val="clear" w:color="auto" w:fill="auto"/>
          </w:tcPr>
          <w:p w14:paraId="4B68D30E"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62</w:t>
            </w:r>
          </w:p>
        </w:tc>
        <w:tc>
          <w:tcPr>
            <w:tcW w:w="830" w:type="dxa"/>
            <w:shd w:val="clear" w:color="auto" w:fill="auto"/>
          </w:tcPr>
          <w:p w14:paraId="0F759941"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32</w:t>
            </w:r>
          </w:p>
        </w:tc>
        <w:tc>
          <w:tcPr>
            <w:tcW w:w="991" w:type="dxa"/>
            <w:shd w:val="clear" w:color="auto" w:fill="auto"/>
          </w:tcPr>
          <w:p w14:paraId="2D850BEF"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6</w:t>
            </w:r>
          </w:p>
        </w:tc>
        <w:tc>
          <w:tcPr>
            <w:tcW w:w="1110" w:type="dxa"/>
            <w:shd w:val="clear" w:color="auto" w:fill="auto"/>
          </w:tcPr>
          <w:p w14:paraId="6427A7F0"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74</w:t>
            </w:r>
          </w:p>
        </w:tc>
        <w:tc>
          <w:tcPr>
            <w:tcW w:w="1339" w:type="dxa"/>
            <w:shd w:val="clear" w:color="auto" w:fill="auto"/>
          </w:tcPr>
          <w:p w14:paraId="60629367"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96</w:t>
            </w:r>
          </w:p>
        </w:tc>
        <w:tc>
          <w:tcPr>
            <w:tcW w:w="1220" w:type="dxa"/>
          </w:tcPr>
          <w:p w14:paraId="40BDC1DE"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41,600</w:t>
            </w:r>
          </w:p>
        </w:tc>
        <w:tc>
          <w:tcPr>
            <w:tcW w:w="1196" w:type="dxa"/>
            <w:shd w:val="clear" w:color="auto" w:fill="auto"/>
          </w:tcPr>
          <w:p w14:paraId="4AC32742"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2</w:t>
            </w:r>
          </w:p>
        </w:tc>
      </w:tr>
      <w:tr w:rsidR="0003071E" w:rsidRPr="00DD7133" w14:paraId="2D3E7873" w14:textId="77777777" w:rsidTr="00B11B71">
        <w:tc>
          <w:tcPr>
            <w:tcW w:w="1594" w:type="dxa"/>
            <w:shd w:val="clear" w:color="auto" w:fill="D9D9D9" w:themeFill="background1" w:themeFillShade="D9"/>
          </w:tcPr>
          <w:p w14:paraId="3108DC8A" w14:textId="77777777" w:rsidR="0003071E" w:rsidRPr="00DD7133" w:rsidRDefault="0003071E" w:rsidP="00B11B71">
            <w:pPr>
              <w:spacing w:after="0" w:line="240" w:lineRule="auto"/>
              <w:rPr>
                <w:rFonts w:ascii="Times New Roman" w:hAnsi="Times New Roman" w:cs="Times New Roman"/>
                <w:sz w:val="20"/>
                <w:szCs w:val="20"/>
              </w:rPr>
            </w:pPr>
            <w:r w:rsidRPr="00DD7133">
              <w:rPr>
                <w:rFonts w:ascii="Times New Roman" w:hAnsi="Times New Roman" w:cs="Times New Roman"/>
                <w:sz w:val="20"/>
                <w:szCs w:val="20"/>
              </w:rPr>
              <w:t>All Skilled Category</w:t>
            </w:r>
          </w:p>
        </w:tc>
        <w:tc>
          <w:tcPr>
            <w:tcW w:w="962" w:type="dxa"/>
            <w:shd w:val="clear" w:color="auto" w:fill="D9D9D9" w:themeFill="background1" w:themeFillShade="D9"/>
          </w:tcPr>
          <w:p w14:paraId="3C01764C"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73</w:t>
            </w:r>
          </w:p>
        </w:tc>
        <w:tc>
          <w:tcPr>
            <w:tcW w:w="830" w:type="dxa"/>
            <w:shd w:val="clear" w:color="auto" w:fill="D9D9D9" w:themeFill="background1" w:themeFillShade="D9"/>
          </w:tcPr>
          <w:p w14:paraId="1F24051F"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22</w:t>
            </w:r>
          </w:p>
        </w:tc>
        <w:tc>
          <w:tcPr>
            <w:tcW w:w="991" w:type="dxa"/>
            <w:shd w:val="clear" w:color="auto" w:fill="D9D9D9" w:themeFill="background1" w:themeFillShade="D9"/>
          </w:tcPr>
          <w:p w14:paraId="43E542FD"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6</w:t>
            </w:r>
          </w:p>
        </w:tc>
        <w:tc>
          <w:tcPr>
            <w:tcW w:w="1110" w:type="dxa"/>
            <w:shd w:val="clear" w:color="auto" w:fill="D9D9D9" w:themeFill="background1" w:themeFillShade="D9"/>
          </w:tcPr>
          <w:p w14:paraId="4D47BDC0"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81</w:t>
            </w:r>
          </w:p>
        </w:tc>
        <w:tc>
          <w:tcPr>
            <w:tcW w:w="1339" w:type="dxa"/>
            <w:shd w:val="clear" w:color="auto" w:fill="D9D9D9" w:themeFill="background1" w:themeFillShade="D9"/>
          </w:tcPr>
          <w:p w14:paraId="5447406C"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96</w:t>
            </w:r>
          </w:p>
        </w:tc>
        <w:tc>
          <w:tcPr>
            <w:tcW w:w="1220" w:type="dxa"/>
            <w:shd w:val="clear" w:color="auto" w:fill="D9D9D9" w:themeFill="background1" w:themeFillShade="D9"/>
          </w:tcPr>
          <w:p w14:paraId="4C7F48A0"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56,000</w:t>
            </w:r>
          </w:p>
        </w:tc>
        <w:tc>
          <w:tcPr>
            <w:tcW w:w="1196" w:type="dxa"/>
            <w:shd w:val="clear" w:color="auto" w:fill="D9D9D9" w:themeFill="background1" w:themeFillShade="D9"/>
          </w:tcPr>
          <w:p w14:paraId="4A11F05A"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2</w:t>
            </w:r>
          </w:p>
        </w:tc>
      </w:tr>
      <w:tr w:rsidR="0003071E" w:rsidRPr="00DD7133" w14:paraId="46610B90" w14:textId="77777777" w:rsidTr="00B11B71">
        <w:tc>
          <w:tcPr>
            <w:tcW w:w="1594" w:type="dxa"/>
            <w:shd w:val="clear" w:color="auto" w:fill="FDE9D9" w:themeFill="accent6" w:themeFillTint="33"/>
          </w:tcPr>
          <w:p w14:paraId="509F9FC1" w14:textId="77777777" w:rsidR="0003071E" w:rsidRPr="00DD7133" w:rsidRDefault="0003071E" w:rsidP="00B11B71">
            <w:pPr>
              <w:spacing w:after="0" w:line="240" w:lineRule="auto"/>
              <w:rPr>
                <w:rFonts w:ascii="Times New Roman" w:hAnsi="Times New Roman" w:cs="Times New Roman"/>
                <w:sz w:val="20"/>
                <w:szCs w:val="20"/>
              </w:rPr>
            </w:pPr>
            <w:r w:rsidRPr="00DD7133">
              <w:rPr>
                <w:rFonts w:ascii="Times New Roman" w:hAnsi="Times New Roman" w:cs="Times New Roman"/>
                <w:sz w:val="20"/>
                <w:szCs w:val="20"/>
              </w:rPr>
              <w:t>All Family Category</w:t>
            </w:r>
          </w:p>
        </w:tc>
        <w:tc>
          <w:tcPr>
            <w:tcW w:w="962" w:type="dxa"/>
            <w:shd w:val="clear" w:color="auto" w:fill="FDE9D9" w:themeFill="accent6" w:themeFillTint="33"/>
          </w:tcPr>
          <w:p w14:paraId="16C09000"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23</w:t>
            </w:r>
          </w:p>
        </w:tc>
        <w:tc>
          <w:tcPr>
            <w:tcW w:w="830" w:type="dxa"/>
            <w:shd w:val="clear" w:color="auto" w:fill="FDE9D9" w:themeFill="accent6" w:themeFillTint="33"/>
          </w:tcPr>
          <w:p w14:paraId="7460FE27"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30</w:t>
            </w:r>
          </w:p>
        </w:tc>
        <w:tc>
          <w:tcPr>
            <w:tcW w:w="991" w:type="dxa"/>
            <w:shd w:val="clear" w:color="auto" w:fill="FDE9D9" w:themeFill="accent6" w:themeFillTint="33"/>
          </w:tcPr>
          <w:p w14:paraId="48031A2D"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11</w:t>
            </w:r>
          </w:p>
        </w:tc>
        <w:tc>
          <w:tcPr>
            <w:tcW w:w="1110" w:type="dxa"/>
            <w:shd w:val="clear" w:color="auto" w:fill="FDE9D9" w:themeFill="accent6" w:themeFillTint="33"/>
          </w:tcPr>
          <w:p w14:paraId="3A0FFB80"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35</w:t>
            </w:r>
          </w:p>
        </w:tc>
        <w:tc>
          <w:tcPr>
            <w:tcW w:w="1339" w:type="dxa"/>
            <w:shd w:val="clear" w:color="auto" w:fill="FDE9D9" w:themeFill="accent6" w:themeFillTint="33"/>
          </w:tcPr>
          <w:p w14:paraId="12303E76"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17</w:t>
            </w:r>
          </w:p>
        </w:tc>
        <w:tc>
          <w:tcPr>
            <w:tcW w:w="1220" w:type="dxa"/>
            <w:shd w:val="clear" w:color="auto" w:fill="FDE9D9" w:themeFill="accent6" w:themeFillTint="33"/>
          </w:tcPr>
          <w:p w14:paraId="5FD8E9FD"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44,200</w:t>
            </w:r>
          </w:p>
        </w:tc>
        <w:tc>
          <w:tcPr>
            <w:tcW w:w="1196" w:type="dxa"/>
            <w:shd w:val="clear" w:color="auto" w:fill="FDE9D9" w:themeFill="accent6" w:themeFillTint="33"/>
          </w:tcPr>
          <w:p w14:paraId="1F9586CC" w14:textId="77777777" w:rsidR="0003071E" w:rsidRPr="00DD7133" w:rsidRDefault="0003071E" w:rsidP="00B11B71">
            <w:pPr>
              <w:spacing w:after="0" w:line="240" w:lineRule="auto"/>
              <w:jc w:val="right"/>
              <w:rPr>
                <w:rFonts w:ascii="Times New Roman" w:hAnsi="Times New Roman" w:cs="Times New Roman"/>
                <w:sz w:val="20"/>
                <w:szCs w:val="20"/>
              </w:rPr>
            </w:pPr>
            <w:r w:rsidRPr="00DD7133">
              <w:rPr>
                <w:rFonts w:ascii="Times New Roman" w:hAnsi="Times New Roman" w:cs="Times New Roman"/>
                <w:sz w:val="20"/>
                <w:szCs w:val="20"/>
              </w:rPr>
              <w:t>65</w:t>
            </w:r>
          </w:p>
        </w:tc>
      </w:tr>
    </w:tbl>
    <w:p w14:paraId="140569C8" w14:textId="77777777" w:rsidR="0003071E" w:rsidRPr="006458D6" w:rsidRDefault="0003071E" w:rsidP="0003071E">
      <w:pPr>
        <w:spacing w:after="0" w:line="240" w:lineRule="auto"/>
        <w:jc w:val="both"/>
        <w:rPr>
          <w:rFonts w:ascii="Times New Roman" w:hAnsi="Times New Roman" w:cs="Times New Roman"/>
          <w:sz w:val="16"/>
          <w:szCs w:val="16"/>
        </w:rPr>
      </w:pPr>
    </w:p>
    <w:p w14:paraId="2EB7E8A9" w14:textId="77777777" w:rsidR="0003071E" w:rsidRPr="00DD7133" w:rsidRDefault="0003071E" w:rsidP="00754930">
      <w:pPr>
        <w:spacing w:after="120" w:line="240" w:lineRule="auto"/>
        <w:jc w:val="both"/>
        <w:rPr>
          <w:rFonts w:ascii="Times New Roman" w:hAnsi="Times New Roman" w:cs="Times New Roman"/>
          <w:sz w:val="20"/>
          <w:szCs w:val="20"/>
        </w:rPr>
      </w:pPr>
      <w:r w:rsidRPr="00DD7133">
        <w:rPr>
          <w:rFonts w:ascii="Times New Roman" w:hAnsi="Times New Roman" w:cs="Times New Roman"/>
          <w:i/>
          <w:sz w:val="20"/>
          <w:szCs w:val="20"/>
        </w:rPr>
        <w:t>Source</w:t>
      </w:r>
      <w:r w:rsidRPr="00DD7133">
        <w:rPr>
          <w:rFonts w:ascii="Times New Roman" w:hAnsi="Times New Roman" w:cs="Times New Roman"/>
          <w:sz w:val="20"/>
          <w:szCs w:val="20"/>
        </w:rPr>
        <w:t xml:space="preserve">: </w:t>
      </w:r>
      <w:r>
        <w:rPr>
          <w:rFonts w:ascii="Times New Roman" w:hAnsi="Times New Roman" w:cs="Times New Roman"/>
          <w:sz w:val="20"/>
          <w:szCs w:val="20"/>
        </w:rPr>
        <w:t xml:space="preserve">Adapted from </w:t>
      </w:r>
      <w:r w:rsidRPr="00DD7133">
        <w:rPr>
          <w:rFonts w:ascii="Times New Roman" w:hAnsi="Times New Roman" w:cs="Times New Roman"/>
          <w:sz w:val="20"/>
          <w:szCs w:val="20"/>
        </w:rPr>
        <w:t xml:space="preserve">Department of Immigration and Citizenship (2012), </w:t>
      </w:r>
      <w:r>
        <w:rPr>
          <w:rFonts w:ascii="Times New Roman" w:hAnsi="Times New Roman" w:cs="Times New Roman"/>
          <w:sz w:val="20"/>
          <w:szCs w:val="20"/>
        </w:rPr>
        <w:t>‘The Continuous Survey of Australia’s M</w:t>
      </w:r>
      <w:r w:rsidRPr="00DD7133">
        <w:rPr>
          <w:rFonts w:ascii="Times New Roman" w:hAnsi="Times New Roman" w:cs="Times New Roman"/>
          <w:sz w:val="20"/>
          <w:szCs w:val="20"/>
        </w:rPr>
        <w:t>igrants: Cohorts 1 to 5 Report 2009-11’, Canberra, Skilled category data adapted from Table 3.1 (p. 13) with Family category data derived from Table 1.1 (p. 8).</w:t>
      </w:r>
    </w:p>
    <w:p w14:paraId="60656E6A" w14:textId="77777777" w:rsidR="00342963" w:rsidRPr="006458D6" w:rsidRDefault="00342963" w:rsidP="00342963">
      <w:pPr>
        <w:pStyle w:val="List"/>
        <w:ind w:left="0" w:firstLine="0"/>
        <w:rPr>
          <w:rFonts w:ascii="Times New Roman" w:eastAsiaTheme="minorHAnsi" w:hAnsi="Times New Roman"/>
          <w:sz w:val="16"/>
          <w:szCs w:val="16"/>
          <w:lang w:val="en-NZ"/>
        </w:rPr>
      </w:pPr>
    </w:p>
    <w:p w14:paraId="2E49BC3D" w14:textId="77777777" w:rsidR="006458D6" w:rsidRDefault="00776DB9" w:rsidP="00776DB9">
      <w:pPr>
        <w:spacing w:after="0" w:line="240" w:lineRule="auto"/>
        <w:rPr>
          <w:rFonts w:cs="Times New Roman"/>
          <w:b/>
          <w:color w:val="365F91" w:themeColor="accent1" w:themeShade="BF"/>
          <w:sz w:val="28"/>
          <w:szCs w:val="28"/>
        </w:rPr>
      </w:pPr>
      <w:r w:rsidRPr="00B11B71">
        <w:rPr>
          <w:rFonts w:cs="Times New Roman"/>
          <w:b/>
          <w:color w:val="365F91" w:themeColor="accent1" w:themeShade="BF"/>
          <w:sz w:val="28"/>
          <w:szCs w:val="28"/>
        </w:rPr>
        <w:t xml:space="preserve">Issue 2: </w:t>
      </w:r>
    </w:p>
    <w:p w14:paraId="5DC740EE" w14:textId="77777777" w:rsidR="00776DB9" w:rsidRPr="00B11B71" w:rsidRDefault="00776DB9" w:rsidP="00776DB9">
      <w:pPr>
        <w:spacing w:after="0" w:line="240" w:lineRule="auto"/>
        <w:rPr>
          <w:rFonts w:cs="Times New Roman"/>
          <w:b/>
          <w:color w:val="365F91" w:themeColor="accent1" w:themeShade="BF"/>
          <w:sz w:val="28"/>
          <w:szCs w:val="28"/>
        </w:rPr>
      </w:pPr>
      <w:r w:rsidRPr="00B11B71">
        <w:rPr>
          <w:rFonts w:cs="Times New Roman"/>
          <w:b/>
          <w:color w:val="365F91" w:themeColor="accent1" w:themeShade="BF"/>
          <w:sz w:val="28"/>
          <w:szCs w:val="28"/>
        </w:rPr>
        <w:t xml:space="preserve">The </w:t>
      </w:r>
      <w:r w:rsidR="00754930" w:rsidRPr="00B11B71">
        <w:rPr>
          <w:rFonts w:cs="Times New Roman"/>
          <w:b/>
          <w:color w:val="365F91" w:themeColor="accent1" w:themeShade="BF"/>
          <w:sz w:val="28"/>
          <w:szCs w:val="28"/>
        </w:rPr>
        <w:t xml:space="preserve">Current </w:t>
      </w:r>
      <w:r w:rsidRPr="00B11B71">
        <w:rPr>
          <w:rFonts w:cs="Times New Roman"/>
          <w:b/>
          <w:color w:val="365F91" w:themeColor="accent1" w:themeShade="BF"/>
          <w:sz w:val="28"/>
          <w:szCs w:val="28"/>
        </w:rPr>
        <w:t>Dominance of Temporary Entry (457 Visa)</w:t>
      </w:r>
    </w:p>
    <w:p w14:paraId="4012E352" w14:textId="77777777" w:rsidR="00776DB9" w:rsidRDefault="00776DB9" w:rsidP="0007196E">
      <w:pPr>
        <w:spacing w:after="0" w:line="240" w:lineRule="auto"/>
        <w:jc w:val="both"/>
        <w:rPr>
          <w:rFonts w:ascii="Times New Roman" w:hAnsi="Times New Roman" w:cs="Times New Roman"/>
        </w:rPr>
      </w:pPr>
    </w:p>
    <w:p w14:paraId="2FA79A1B" w14:textId="77777777" w:rsidR="0007196E" w:rsidRDefault="00957FAD" w:rsidP="0007196E">
      <w:pPr>
        <w:pStyle w:val="MPINormalBodytext"/>
        <w:jc w:val="both"/>
        <w:rPr>
          <w:rFonts w:ascii="Times New Roman" w:eastAsiaTheme="minorHAnsi" w:hAnsi="Times New Roman"/>
          <w:spacing w:val="0"/>
          <w:lang w:val="en-NZ"/>
        </w:rPr>
      </w:pPr>
      <w:r w:rsidRPr="00741B18">
        <w:rPr>
          <w:rFonts w:ascii="Times New Roman" w:eastAsiaTheme="minorHAnsi" w:hAnsi="Times New Roman"/>
          <w:spacing w:val="0"/>
          <w:lang w:val="en-NZ"/>
        </w:rPr>
        <w:t>In</w:t>
      </w:r>
      <w:r w:rsidR="0007196E" w:rsidRPr="00741B18">
        <w:rPr>
          <w:rFonts w:ascii="Times New Roman" w:eastAsiaTheme="minorHAnsi" w:hAnsi="Times New Roman"/>
          <w:spacing w:val="0"/>
          <w:lang w:val="en-NZ"/>
        </w:rPr>
        <w:t xml:space="preserve"> a dramatic reversal of past patterns the majority of skilled migrants </w:t>
      </w:r>
      <w:r w:rsidR="006458D6">
        <w:rPr>
          <w:rFonts w:ascii="Times New Roman" w:eastAsiaTheme="minorHAnsi" w:hAnsi="Times New Roman"/>
          <w:spacing w:val="0"/>
          <w:lang w:val="en-NZ"/>
        </w:rPr>
        <w:t xml:space="preserve">admitted by </w:t>
      </w:r>
      <w:r w:rsidR="0007196E" w:rsidRPr="00741B18">
        <w:rPr>
          <w:rFonts w:ascii="Times New Roman" w:eastAsiaTheme="minorHAnsi" w:hAnsi="Times New Roman"/>
          <w:spacing w:val="0"/>
          <w:lang w:val="en-NZ"/>
        </w:rPr>
        <w:t xml:space="preserve">Australia in recent </w:t>
      </w:r>
      <w:r w:rsidR="006458D6">
        <w:rPr>
          <w:rFonts w:ascii="Times New Roman" w:eastAsiaTheme="minorHAnsi" w:hAnsi="Times New Roman"/>
          <w:spacing w:val="0"/>
          <w:lang w:val="en-NZ"/>
        </w:rPr>
        <w:t xml:space="preserve">years </w:t>
      </w:r>
      <w:r w:rsidR="0007196E" w:rsidRPr="00741B18">
        <w:rPr>
          <w:rFonts w:ascii="Times New Roman" w:eastAsiaTheme="minorHAnsi" w:hAnsi="Times New Roman"/>
          <w:spacing w:val="0"/>
          <w:lang w:val="en-NZ"/>
        </w:rPr>
        <w:t xml:space="preserve">have been </w:t>
      </w:r>
      <w:r w:rsidR="006458D6">
        <w:rPr>
          <w:rFonts w:ascii="Times New Roman" w:eastAsiaTheme="minorHAnsi" w:hAnsi="Times New Roman"/>
          <w:spacing w:val="0"/>
          <w:lang w:val="en-NZ"/>
        </w:rPr>
        <w:t xml:space="preserve">selected </w:t>
      </w:r>
      <w:r w:rsidR="0007196E" w:rsidRPr="00741B18">
        <w:rPr>
          <w:rFonts w:ascii="Times New Roman" w:eastAsiaTheme="minorHAnsi" w:hAnsi="Times New Roman"/>
          <w:spacing w:val="0"/>
          <w:lang w:val="en-NZ"/>
        </w:rPr>
        <w:t xml:space="preserve">on a temporary rather than a permanent resident basis. </w:t>
      </w:r>
      <w:r w:rsidR="00754930">
        <w:rPr>
          <w:rFonts w:ascii="Times New Roman" w:eastAsiaTheme="minorHAnsi" w:hAnsi="Times New Roman"/>
          <w:spacing w:val="0"/>
          <w:lang w:val="en-NZ"/>
        </w:rPr>
        <w:t>(See Table 3</w:t>
      </w:r>
      <w:r w:rsidRPr="00741B18">
        <w:rPr>
          <w:rFonts w:ascii="Times New Roman" w:eastAsiaTheme="minorHAnsi" w:hAnsi="Times New Roman"/>
          <w:spacing w:val="0"/>
          <w:lang w:val="en-NZ"/>
        </w:rPr>
        <w:t xml:space="preserve"> for </w:t>
      </w:r>
      <w:r w:rsidR="006458D6">
        <w:rPr>
          <w:rFonts w:ascii="Times New Roman" w:eastAsiaTheme="minorHAnsi" w:hAnsi="Times New Roman"/>
          <w:spacing w:val="0"/>
          <w:lang w:val="en-NZ"/>
        </w:rPr>
        <w:t>my analysis of arrivals data by select professional</w:t>
      </w:r>
      <w:r w:rsidRPr="00741B18">
        <w:rPr>
          <w:rFonts w:ascii="Times New Roman" w:eastAsiaTheme="minorHAnsi" w:hAnsi="Times New Roman"/>
          <w:spacing w:val="0"/>
          <w:lang w:val="en-NZ"/>
        </w:rPr>
        <w:t xml:space="preserve"> field.) </w:t>
      </w:r>
    </w:p>
    <w:p w14:paraId="4BCFC511" w14:textId="77777777" w:rsidR="006458D6" w:rsidRDefault="006458D6" w:rsidP="006458D6">
      <w:pPr>
        <w:pStyle w:val="MPINormalBodytext"/>
        <w:jc w:val="both"/>
        <w:rPr>
          <w:rFonts w:ascii="Times New Roman" w:eastAsiaTheme="minorHAnsi" w:hAnsi="Times New Roman"/>
          <w:spacing w:val="0"/>
          <w:lang w:val="en-NZ"/>
        </w:rPr>
      </w:pPr>
      <w:r w:rsidRPr="00741B18">
        <w:rPr>
          <w:rFonts w:ascii="Times New Roman" w:eastAsiaTheme="minorHAnsi" w:hAnsi="Times New Roman"/>
          <w:spacing w:val="0"/>
          <w:lang w:val="en-NZ"/>
        </w:rPr>
        <w:lastRenderedPageBreak/>
        <w:t xml:space="preserve">In 2013-14 108,870 457 visa temporary migrants were directly sponsored to pre-arranged work, in a year when 38,130 permanent skilled migrants were admitted as primary applicants (this number </w:t>
      </w:r>
      <w:r w:rsidRPr="00741B18">
        <w:rPr>
          <w:rFonts w:ascii="Times New Roman" w:eastAsiaTheme="minorHAnsi" w:hAnsi="Times New Roman"/>
          <w:i/>
          <w:spacing w:val="0"/>
          <w:lang w:val="en-NZ"/>
        </w:rPr>
        <w:t>excluding</w:t>
      </w:r>
      <w:r w:rsidRPr="00741B18">
        <w:rPr>
          <w:rFonts w:ascii="Times New Roman" w:eastAsiaTheme="minorHAnsi" w:hAnsi="Times New Roman"/>
          <w:spacing w:val="0"/>
          <w:lang w:val="en-NZ"/>
        </w:rPr>
        <w:t xml:space="preserve"> partners and children typically counted within ‘the migration unit’). </w:t>
      </w:r>
    </w:p>
    <w:p w14:paraId="7CC7ED0C" w14:textId="77777777" w:rsidR="006458D6" w:rsidRDefault="006458D6" w:rsidP="006458D6">
      <w:pPr>
        <w:pStyle w:val="MPINormalBodytext"/>
        <w:jc w:val="both"/>
        <w:rPr>
          <w:rFonts w:ascii="Times New Roman" w:eastAsiaTheme="minorHAnsi" w:hAnsi="Times New Roman"/>
          <w:spacing w:val="0"/>
          <w:lang w:val="en-NZ"/>
        </w:rPr>
      </w:pPr>
    </w:p>
    <w:p w14:paraId="1CDDD754" w14:textId="77777777" w:rsidR="00616886" w:rsidRDefault="00616886" w:rsidP="00616886">
      <w:pPr>
        <w:pStyle w:val="MPINormalBodytext"/>
        <w:jc w:val="both"/>
        <w:rPr>
          <w:rFonts w:ascii="Times New Roman" w:eastAsiaTheme="minorHAnsi" w:hAnsi="Times New Roman"/>
          <w:spacing w:val="0"/>
          <w:lang w:val="en-NZ"/>
        </w:rPr>
      </w:pPr>
      <w:r w:rsidRPr="00741B18">
        <w:rPr>
          <w:rFonts w:ascii="Times New Roman" w:eastAsiaTheme="minorHAnsi" w:hAnsi="Times New Roman"/>
          <w:spacing w:val="0"/>
          <w:lang w:val="en-NZ"/>
        </w:rPr>
        <w:t xml:space="preserve">The 457 visa is of strong interest </w:t>
      </w:r>
      <w:r>
        <w:rPr>
          <w:rFonts w:ascii="Times New Roman" w:eastAsiaTheme="minorHAnsi" w:hAnsi="Times New Roman"/>
          <w:spacing w:val="0"/>
          <w:lang w:val="en-NZ"/>
        </w:rPr>
        <w:t>to Australian employers</w:t>
      </w:r>
      <w:r w:rsidRPr="00741B18">
        <w:rPr>
          <w:rFonts w:ascii="Times New Roman" w:eastAsiaTheme="minorHAnsi" w:hAnsi="Times New Roman"/>
          <w:spacing w:val="0"/>
          <w:lang w:val="en-NZ"/>
        </w:rPr>
        <w:t xml:space="preserve"> in multiple fields – allowing th</w:t>
      </w:r>
      <w:r>
        <w:rPr>
          <w:rFonts w:ascii="Times New Roman" w:eastAsiaTheme="minorHAnsi" w:hAnsi="Times New Roman"/>
          <w:spacing w:val="0"/>
          <w:lang w:val="en-NZ"/>
        </w:rPr>
        <w:t>em direct choice in selecting migrants’ personal</w:t>
      </w:r>
      <w:r w:rsidRPr="00741B18">
        <w:rPr>
          <w:rFonts w:ascii="Times New Roman" w:eastAsiaTheme="minorHAnsi" w:hAnsi="Times New Roman"/>
          <w:spacing w:val="0"/>
          <w:lang w:val="en-NZ"/>
        </w:rPr>
        <w:t xml:space="preserve"> attributes, speed of entry, and capacity to constrain location </w:t>
      </w:r>
      <w:r>
        <w:rPr>
          <w:rFonts w:ascii="Times New Roman" w:eastAsiaTheme="minorHAnsi" w:hAnsi="Times New Roman"/>
          <w:spacing w:val="0"/>
          <w:lang w:val="en-NZ"/>
        </w:rPr>
        <w:t xml:space="preserve">to work </w:t>
      </w:r>
      <w:r w:rsidRPr="00741B18">
        <w:rPr>
          <w:rFonts w:ascii="Times New Roman" w:eastAsiaTheme="minorHAnsi" w:hAnsi="Times New Roman"/>
          <w:spacing w:val="0"/>
          <w:lang w:val="en-NZ"/>
        </w:rPr>
        <w:t>in u</w:t>
      </w:r>
      <w:r>
        <w:rPr>
          <w:rFonts w:ascii="Times New Roman" w:eastAsiaTheme="minorHAnsi" w:hAnsi="Times New Roman"/>
          <w:spacing w:val="0"/>
          <w:lang w:val="en-NZ"/>
        </w:rPr>
        <w:t>nder-supplied sectors and sites</w:t>
      </w:r>
      <w:r w:rsidRPr="00741B18">
        <w:rPr>
          <w:rFonts w:ascii="Times New Roman" w:eastAsiaTheme="minorHAnsi" w:hAnsi="Times New Roman"/>
          <w:spacing w:val="0"/>
          <w:lang w:val="en-NZ"/>
        </w:rPr>
        <w:t xml:space="preserve">. From the migrant’s perspective the 457 visa </w:t>
      </w:r>
      <w:r>
        <w:rPr>
          <w:rFonts w:ascii="Times New Roman" w:eastAsiaTheme="minorHAnsi" w:hAnsi="Times New Roman"/>
          <w:spacing w:val="0"/>
          <w:lang w:val="en-NZ"/>
        </w:rPr>
        <w:t xml:space="preserve">has similar benefits – facilitating </w:t>
      </w:r>
      <w:r w:rsidRPr="00741B18">
        <w:rPr>
          <w:rFonts w:ascii="Times New Roman" w:eastAsiaTheme="minorHAnsi" w:hAnsi="Times New Roman"/>
          <w:spacing w:val="0"/>
          <w:lang w:val="en-NZ"/>
        </w:rPr>
        <w:t xml:space="preserve">priority processing, immediate </w:t>
      </w:r>
      <w:r>
        <w:rPr>
          <w:rFonts w:ascii="Times New Roman" w:eastAsiaTheme="minorHAnsi" w:hAnsi="Times New Roman"/>
          <w:spacing w:val="0"/>
          <w:lang w:val="en-NZ"/>
        </w:rPr>
        <w:t>access to work, opportunity</w:t>
      </w:r>
      <w:r w:rsidRPr="00741B18">
        <w:rPr>
          <w:rFonts w:ascii="Times New Roman" w:eastAsiaTheme="minorHAnsi" w:hAnsi="Times New Roman"/>
          <w:spacing w:val="0"/>
          <w:lang w:val="en-NZ"/>
        </w:rPr>
        <w:t xml:space="preserve"> to change employers, and scope to category-switch to permanent skilled migration. The 457 visa plays a vital role in assuring workforce supply in select fields, including medicine and nursing. </w:t>
      </w:r>
    </w:p>
    <w:p w14:paraId="059A6FA3" w14:textId="77777777" w:rsidR="00616886" w:rsidRDefault="00616886" w:rsidP="00616886">
      <w:pPr>
        <w:pStyle w:val="MPINormalBodytext"/>
        <w:jc w:val="both"/>
        <w:rPr>
          <w:rFonts w:ascii="Times New Roman" w:eastAsiaTheme="minorHAnsi" w:hAnsi="Times New Roman"/>
          <w:spacing w:val="0"/>
          <w:lang w:val="en-NZ"/>
        </w:rPr>
      </w:pPr>
    </w:p>
    <w:p w14:paraId="10B96396" w14:textId="77777777" w:rsidR="00957FAD" w:rsidRPr="00741B18" w:rsidRDefault="00754930" w:rsidP="00741B18">
      <w:pPr>
        <w:spacing w:after="0" w:line="240" w:lineRule="auto"/>
        <w:jc w:val="both"/>
        <w:rPr>
          <w:rFonts w:ascii="Times New Roman" w:hAnsi="Times New Roman" w:cs="Times New Roman"/>
          <w:b/>
        </w:rPr>
      </w:pPr>
      <w:r>
        <w:rPr>
          <w:rFonts w:ascii="Times New Roman" w:hAnsi="Times New Roman" w:cs="Times New Roman"/>
          <w:b/>
        </w:rPr>
        <w:t>Table 3</w:t>
      </w:r>
      <w:r w:rsidR="00957FAD" w:rsidRPr="00741B18">
        <w:rPr>
          <w:rFonts w:ascii="Times New Roman" w:hAnsi="Times New Roman" w:cs="Times New Roman"/>
          <w:b/>
        </w:rPr>
        <w:t>: Australian Employer Demand for Skilled Migrants, Temporary Compared to Permanent Categories, by Major Field and Selection Location (30 June 2008 to 30 June 2014)</w:t>
      </w:r>
    </w:p>
    <w:p w14:paraId="332E1AC7" w14:textId="77777777" w:rsidR="00957FAD" w:rsidRPr="00741B18" w:rsidRDefault="00957FAD" w:rsidP="00957FAD">
      <w:pPr>
        <w:pStyle w:val="PlainText"/>
        <w:jc w:val="both"/>
        <w:rPr>
          <w:szCs w:val="22"/>
        </w:rPr>
      </w:pPr>
    </w:p>
    <w:tbl>
      <w:tblPr>
        <w:tblStyle w:val="TableGrid"/>
        <w:tblW w:w="9639" w:type="dxa"/>
        <w:tblInd w:w="108" w:type="dxa"/>
        <w:tblLook w:val="0600" w:firstRow="0" w:lastRow="0" w:firstColumn="0" w:lastColumn="0" w:noHBand="1" w:noVBand="1"/>
      </w:tblPr>
      <w:tblGrid>
        <w:gridCol w:w="1843"/>
        <w:gridCol w:w="1134"/>
        <w:gridCol w:w="992"/>
        <w:gridCol w:w="993"/>
        <w:gridCol w:w="992"/>
        <w:gridCol w:w="992"/>
        <w:gridCol w:w="992"/>
        <w:gridCol w:w="1701"/>
      </w:tblGrid>
      <w:tr w:rsidR="00957FAD" w:rsidRPr="00607AD4" w14:paraId="78B65986" w14:textId="77777777" w:rsidTr="00957FAD">
        <w:trPr>
          <w:trHeight w:val="530"/>
        </w:trPr>
        <w:tc>
          <w:tcPr>
            <w:tcW w:w="1843" w:type="dxa"/>
            <w:shd w:val="clear" w:color="auto" w:fill="DBE5F1" w:themeFill="accent1" w:themeFillTint="33"/>
            <w:hideMark/>
          </w:tcPr>
          <w:p w14:paraId="0AC6215C" w14:textId="77777777" w:rsidR="00957FAD" w:rsidRPr="00607AD4" w:rsidRDefault="00957FAD" w:rsidP="00741B18">
            <w:pPr>
              <w:textAlignment w:val="top"/>
              <w:rPr>
                <w:rFonts w:ascii="Times New Roman" w:hAnsi="Times New Roman" w:cs="Times New Roman"/>
                <w:b/>
                <w:bCs/>
                <w:color w:val="000000" w:themeColor="dark1"/>
                <w:kern w:val="24"/>
                <w:sz w:val="20"/>
                <w:szCs w:val="20"/>
                <w:lang w:eastAsia="en-US"/>
              </w:rPr>
            </w:pPr>
            <w:r w:rsidRPr="00607AD4">
              <w:rPr>
                <w:rFonts w:ascii="Times New Roman" w:hAnsi="Times New Roman" w:cs="Times New Roman"/>
                <w:b/>
                <w:bCs/>
                <w:color w:val="000000" w:themeColor="dark1"/>
                <w:kern w:val="24"/>
                <w:sz w:val="20"/>
                <w:szCs w:val="20"/>
                <w:lang w:eastAsia="en-US"/>
              </w:rPr>
              <w:t xml:space="preserve">Skilled Migration </w:t>
            </w:r>
          </w:p>
          <w:p w14:paraId="6DFA6A76" w14:textId="77777777" w:rsidR="00957FAD" w:rsidRPr="00607AD4" w:rsidRDefault="00957FAD" w:rsidP="00741B18">
            <w:pPr>
              <w:textAlignment w:val="top"/>
              <w:rPr>
                <w:rFonts w:ascii="Times New Roman" w:hAnsi="Times New Roman" w:cs="Times New Roman"/>
                <w:sz w:val="20"/>
                <w:szCs w:val="20"/>
                <w:lang w:val="en-US" w:eastAsia="en-US"/>
              </w:rPr>
            </w:pPr>
            <w:r w:rsidRPr="00607AD4">
              <w:rPr>
                <w:rFonts w:ascii="Times New Roman" w:hAnsi="Times New Roman" w:cs="Times New Roman"/>
                <w:b/>
                <w:bCs/>
                <w:color w:val="000000" w:themeColor="dark1"/>
                <w:kern w:val="24"/>
                <w:sz w:val="20"/>
                <w:szCs w:val="20"/>
                <w:lang w:eastAsia="en-US"/>
              </w:rPr>
              <w:t>Category</w:t>
            </w:r>
          </w:p>
        </w:tc>
        <w:tc>
          <w:tcPr>
            <w:tcW w:w="1134" w:type="dxa"/>
            <w:shd w:val="clear" w:color="auto" w:fill="DBE5F1" w:themeFill="accent1" w:themeFillTint="33"/>
          </w:tcPr>
          <w:p w14:paraId="3AD318DE" w14:textId="77777777" w:rsidR="00957FAD" w:rsidRPr="00607AD4" w:rsidRDefault="00957FAD" w:rsidP="00741B18">
            <w:pPr>
              <w:jc w:val="right"/>
              <w:textAlignment w:val="top"/>
              <w:rPr>
                <w:rFonts w:ascii="Times New Roman" w:hAnsi="Times New Roman" w:cs="Times New Roman"/>
                <w:b/>
                <w:sz w:val="20"/>
                <w:szCs w:val="20"/>
                <w:lang w:val="en-US" w:eastAsia="en-US"/>
              </w:rPr>
            </w:pPr>
            <w:r w:rsidRPr="00607AD4">
              <w:rPr>
                <w:rFonts w:ascii="Times New Roman" w:hAnsi="Times New Roman" w:cs="Times New Roman"/>
                <w:b/>
                <w:sz w:val="20"/>
                <w:szCs w:val="20"/>
                <w:lang w:val="en-US" w:eastAsia="en-US"/>
              </w:rPr>
              <w:t>2008</w:t>
            </w:r>
            <w:r>
              <w:rPr>
                <w:rFonts w:ascii="Times New Roman" w:hAnsi="Times New Roman" w:cs="Times New Roman"/>
                <w:b/>
                <w:sz w:val="20"/>
                <w:szCs w:val="20"/>
                <w:lang w:val="en-US" w:eastAsia="en-US"/>
              </w:rPr>
              <w:t>-09</w:t>
            </w:r>
          </w:p>
          <w:p w14:paraId="4F6DDAFC" w14:textId="77777777" w:rsidR="00957FAD" w:rsidRPr="00607AD4" w:rsidRDefault="00957FAD" w:rsidP="00741B18">
            <w:pPr>
              <w:jc w:val="right"/>
              <w:textAlignment w:val="top"/>
              <w:rPr>
                <w:rFonts w:ascii="Times New Roman" w:hAnsi="Times New Roman" w:cs="Times New Roman"/>
                <w:b/>
                <w:sz w:val="20"/>
                <w:szCs w:val="20"/>
                <w:lang w:val="en-US" w:eastAsia="en-US"/>
              </w:rPr>
            </w:pPr>
          </w:p>
        </w:tc>
        <w:tc>
          <w:tcPr>
            <w:tcW w:w="992" w:type="dxa"/>
            <w:shd w:val="clear" w:color="auto" w:fill="DBE5F1" w:themeFill="accent1" w:themeFillTint="33"/>
          </w:tcPr>
          <w:p w14:paraId="4476C353" w14:textId="77777777" w:rsidR="00957FAD" w:rsidRPr="00607AD4" w:rsidRDefault="00957FAD" w:rsidP="00741B18">
            <w:pPr>
              <w:jc w:val="right"/>
              <w:textAlignment w:val="top"/>
              <w:rPr>
                <w:rFonts w:ascii="Times New Roman" w:hAnsi="Times New Roman" w:cs="Times New Roman"/>
                <w:b/>
                <w:sz w:val="20"/>
                <w:szCs w:val="20"/>
                <w:lang w:val="en-US" w:eastAsia="en-US"/>
              </w:rPr>
            </w:pPr>
            <w:r w:rsidRPr="00607AD4">
              <w:rPr>
                <w:rFonts w:ascii="Times New Roman" w:hAnsi="Times New Roman" w:cs="Times New Roman"/>
                <w:b/>
                <w:sz w:val="20"/>
                <w:szCs w:val="20"/>
                <w:lang w:val="en-US" w:eastAsia="en-US"/>
              </w:rPr>
              <w:t>2009</w:t>
            </w:r>
            <w:r>
              <w:rPr>
                <w:rFonts w:ascii="Times New Roman" w:hAnsi="Times New Roman" w:cs="Times New Roman"/>
                <w:b/>
                <w:sz w:val="20"/>
                <w:szCs w:val="20"/>
                <w:lang w:val="en-US" w:eastAsia="en-US"/>
              </w:rPr>
              <w:t>-10</w:t>
            </w:r>
          </w:p>
          <w:p w14:paraId="1B300F76" w14:textId="77777777" w:rsidR="00957FAD" w:rsidRPr="00607AD4" w:rsidRDefault="00957FAD" w:rsidP="00741B18">
            <w:pPr>
              <w:jc w:val="right"/>
              <w:textAlignment w:val="top"/>
              <w:rPr>
                <w:rFonts w:ascii="Times New Roman" w:hAnsi="Times New Roman" w:cs="Times New Roman"/>
                <w:b/>
                <w:sz w:val="20"/>
                <w:szCs w:val="20"/>
                <w:lang w:val="en-US" w:eastAsia="en-US"/>
              </w:rPr>
            </w:pPr>
          </w:p>
        </w:tc>
        <w:tc>
          <w:tcPr>
            <w:tcW w:w="993" w:type="dxa"/>
            <w:shd w:val="clear" w:color="auto" w:fill="DBE5F1" w:themeFill="accent1" w:themeFillTint="33"/>
          </w:tcPr>
          <w:p w14:paraId="1DCDE036" w14:textId="77777777" w:rsidR="00957FAD" w:rsidRPr="00607AD4" w:rsidRDefault="00957FAD" w:rsidP="00741B18">
            <w:pPr>
              <w:jc w:val="right"/>
              <w:textAlignment w:val="top"/>
              <w:rPr>
                <w:rFonts w:ascii="Times New Roman" w:hAnsi="Times New Roman" w:cs="Times New Roman"/>
                <w:b/>
                <w:sz w:val="20"/>
                <w:szCs w:val="20"/>
                <w:lang w:val="en-US" w:eastAsia="en-US"/>
              </w:rPr>
            </w:pPr>
            <w:r w:rsidRPr="00607AD4">
              <w:rPr>
                <w:rFonts w:ascii="Times New Roman" w:hAnsi="Times New Roman" w:cs="Times New Roman"/>
                <w:b/>
                <w:sz w:val="20"/>
                <w:szCs w:val="20"/>
                <w:lang w:val="en-US" w:eastAsia="en-US"/>
              </w:rPr>
              <w:t>2010</w:t>
            </w:r>
            <w:r>
              <w:rPr>
                <w:rFonts w:ascii="Times New Roman" w:hAnsi="Times New Roman" w:cs="Times New Roman"/>
                <w:b/>
                <w:sz w:val="20"/>
                <w:szCs w:val="20"/>
                <w:lang w:val="en-US" w:eastAsia="en-US"/>
              </w:rPr>
              <w:t>-11</w:t>
            </w:r>
          </w:p>
          <w:p w14:paraId="7E1F2FE3" w14:textId="77777777" w:rsidR="00957FAD" w:rsidRPr="00607AD4" w:rsidRDefault="00957FAD" w:rsidP="00741B18">
            <w:pPr>
              <w:jc w:val="right"/>
              <w:textAlignment w:val="top"/>
              <w:rPr>
                <w:rFonts w:ascii="Times New Roman" w:hAnsi="Times New Roman" w:cs="Times New Roman"/>
                <w:b/>
                <w:sz w:val="20"/>
                <w:szCs w:val="20"/>
                <w:lang w:val="en-US" w:eastAsia="en-US"/>
              </w:rPr>
            </w:pPr>
          </w:p>
        </w:tc>
        <w:tc>
          <w:tcPr>
            <w:tcW w:w="992" w:type="dxa"/>
            <w:shd w:val="clear" w:color="auto" w:fill="DBE5F1" w:themeFill="accent1" w:themeFillTint="33"/>
          </w:tcPr>
          <w:p w14:paraId="0D7D011E" w14:textId="77777777" w:rsidR="00957FAD" w:rsidRPr="00607AD4" w:rsidRDefault="00957FAD" w:rsidP="00741B18">
            <w:pPr>
              <w:jc w:val="right"/>
              <w:textAlignment w:val="top"/>
              <w:rPr>
                <w:rFonts w:ascii="Times New Roman" w:hAnsi="Times New Roman" w:cs="Times New Roman"/>
                <w:b/>
                <w:sz w:val="20"/>
                <w:szCs w:val="20"/>
                <w:lang w:val="en-US" w:eastAsia="en-US"/>
              </w:rPr>
            </w:pPr>
            <w:r w:rsidRPr="00607AD4">
              <w:rPr>
                <w:rFonts w:ascii="Times New Roman" w:hAnsi="Times New Roman" w:cs="Times New Roman"/>
                <w:b/>
                <w:sz w:val="20"/>
                <w:szCs w:val="20"/>
                <w:lang w:val="en-US" w:eastAsia="en-US"/>
              </w:rPr>
              <w:t>2011</w:t>
            </w:r>
            <w:r>
              <w:rPr>
                <w:rFonts w:ascii="Times New Roman" w:hAnsi="Times New Roman" w:cs="Times New Roman"/>
                <w:b/>
                <w:sz w:val="20"/>
                <w:szCs w:val="20"/>
                <w:lang w:val="en-US" w:eastAsia="en-US"/>
              </w:rPr>
              <w:t>-12</w:t>
            </w:r>
          </w:p>
          <w:p w14:paraId="0FA093B9" w14:textId="77777777" w:rsidR="00957FAD" w:rsidRPr="00607AD4" w:rsidRDefault="00957FAD" w:rsidP="00741B18">
            <w:pPr>
              <w:jc w:val="right"/>
              <w:textAlignment w:val="top"/>
              <w:rPr>
                <w:rFonts w:ascii="Times New Roman" w:hAnsi="Times New Roman" w:cs="Times New Roman"/>
                <w:b/>
                <w:sz w:val="20"/>
                <w:szCs w:val="20"/>
                <w:lang w:val="en-US" w:eastAsia="en-US"/>
              </w:rPr>
            </w:pPr>
          </w:p>
        </w:tc>
        <w:tc>
          <w:tcPr>
            <w:tcW w:w="992" w:type="dxa"/>
            <w:shd w:val="clear" w:color="auto" w:fill="DBE5F1" w:themeFill="accent1" w:themeFillTint="33"/>
          </w:tcPr>
          <w:p w14:paraId="1E4FE00C" w14:textId="77777777" w:rsidR="00957FAD" w:rsidRPr="00607AD4" w:rsidRDefault="00957FAD" w:rsidP="00741B18">
            <w:pPr>
              <w:jc w:val="right"/>
              <w:textAlignment w:val="top"/>
              <w:rPr>
                <w:rFonts w:ascii="Times New Roman" w:hAnsi="Times New Roman" w:cs="Times New Roman"/>
                <w:b/>
                <w:bCs/>
                <w:color w:val="000000" w:themeColor="dark1"/>
                <w:kern w:val="24"/>
                <w:sz w:val="20"/>
                <w:szCs w:val="20"/>
                <w:lang w:eastAsia="en-US"/>
              </w:rPr>
            </w:pPr>
            <w:r w:rsidRPr="00607AD4">
              <w:rPr>
                <w:rFonts w:ascii="Times New Roman" w:hAnsi="Times New Roman" w:cs="Times New Roman"/>
                <w:b/>
                <w:bCs/>
                <w:color w:val="000000" w:themeColor="dark1"/>
                <w:kern w:val="24"/>
                <w:sz w:val="20"/>
                <w:szCs w:val="20"/>
                <w:lang w:eastAsia="en-US"/>
              </w:rPr>
              <w:t>2012</w:t>
            </w:r>
            <w:r>
              <w:rPr>
                <w:rFonts w:ascii="Times New Roman" w:hAnsi="Times New Roman" w:cs="Times New Roman"/>
                <w:b/>
                <w:bCs/>
                <w:color w:val="000000" w:themeColor="dark1"/>
                <w:kern w:val="24"/>
                <w:sz w:val="20"/>
                <w:szCs w:val="20"/>
                <w:lang w:eastAsia="en-US"/>
              </w:rPr>
              <w:t>-13</w:t>
            </w:r>
          </w:p>
          <w:p w14:paraId="7952FCE7" w14:textId="77777777" w:rsidR="00957FAD" w:rsidRPr="00607AD4" w:rsidRDefault="00957FAD" w:rsidP="00741B18">
            <w:pPr>
              <w:jc w:val="right"/>
              <w:textAlignment w:val="top"/>
              <w:rPr>
                <w:rFonts w:ascii="Times New Roman" w:hAnsi="Times New Roman" w:cs="Times New Roman"/>
                <w:b/>
                <w:bCs/>
                <w:color w:val="000000" w:themeColor="dark1"/>
                <w:kern w:val="24"/>
                <w:sz w:val="20"/>
                <w:szCs w:val="20"/>
                <w:lang w:eastAsia="en-US"/>
              </w:rPr>
            </w:pPr>
          </w:p>
        </w:tc>
        <w:tc>
          <w:tcPr>
            <w:tcW w:w="992" w:type="dxa"/>
            <w:shd w:val="clear" w:color="auto" w:fill="DBE5F1" w:themeFill="accent1" w:themeFillTint="33"/>
          </w:tcPr>
          <w:p w14:paraId="7FBD343B" w14:textId="77777777" w:rsidR="00957FAD" w:rsidRPr="00607AD4" w:rsidRDefault="00957FAD" w:rsidP="00741B18">
            <w:pPr>
              <w:jc w:val="right"/>
              <w:textAlignment w:val="top"/>
              <w:rPr>
                <w:rFonts w:ascii="Times New Roman" w:hAnsi="Times New Roman" w:cs="Times New Roman"/>
                <w:b/>
                <w:sz w:val="20"/>
                <w:szCs w:val="20"/>
                <w:lang w:val="en-US" w:eastAsia="en-US"/>
              </w:rPr>
            </w:pPr>
            <w:r w:rsidRPr="00607AD4">
              <w:rPr>
                <w:rFonts w:ascii="Times New Roman" w:hAnsi="Times New Roman" w:cs="Times New Roman"/>
                <w:b/>
                <w:sz w:val="20"/>
                <w:szCs w:val="20"/>
                <w:lang w:val="en-US" w:eastAsia="en-US"/>
              </w:rPr>
              <w:t>2013</w:t>
            </w:r>
            <w:r>
              <w:rPr>
                <w:rFonts w:ascii="Times New Roman" w:hAnsi="Times New Roman" w:cs="Times New Roman"/>
                <w:b/>
                <w:sz w:val="20"/>
                <w:szCs w:val="20"/>
                <w:lang w:val="en-US" w:eastAsia="en-US"/>
              </w:rPr>
              <w:t>-</w:t>
            </w:r>
            <w:r w:rsidRPr="00607AD4">
              <w:rPr>
                <w:rFonts w:ascii="Times New Roman" w:hAnsi="Times New Roman" w:cs="Times New Roman"/>
                <w:b/>
                <w:sz w:val="20"/>
                <w:szCs w:val="20"/>
                <w:lang w:val="en-US" w:eastAsia="en-US"/>
              </w:rPr>
              <w:t>14</w:t>
            </w:r>
          </w:p>
        </w:tc>
        <w:tc>
          <w:tcPr>
            <w:tcW w:w="1701" w:type="dxa"/>
            <w:shd w:val="clear" w:color="auto" w:fill="DBE5F1" w:themeFill="accent1" w:themeFillTint="33"/>
          </w:tcPr>
          <w:p w14:paraId="1889C77A" w14:textId="77777777" w:rsidR="00957FAD" w:rsidRPr="00607AD4" w:rsidRDefault="00957FAD" w:rsidP="00741B18">
            <w:pPr>
              <w:jc w:val="right"/>
              <w:textAlignment w:val="top"/>
              <w:rPr>
                <w:rFonts w:ascii="Times New Roman" w:hAnsi="Times New Roman" w:cs="Times New Roman"/>
                <w:b/>
                <w:sz w:val="20"/>
                <w:szCs w:val="20"/>
                <w:lang w:val="en-US" w:eastAsia="en-US"/>
              </w:rPr>
            </w:pPr>
            <w:r w:rsidRPr="00607AD4">
              <w:rPr>
                <w:rFonts w:ascii="Times New Roman" w:hAnsi="Times New Roman" w:cs="Times New Roman"/>
                <w:b/>
                <w:sz w:val="20"/>
                <w:szCs w:val="20"/>
                <w:lang w:val="en-US" w:eastAsia="en-US"/>
              </w:rPr>
              <w:t>% Selected Onshore 2013-14</w:t>
            </w:r>
          </w:p>
        </w:tc>
      </w:tr>
      <w:tr w:rsidR="00957FAD" w:rsidRPr="00607AD4" w14:paraId="09DEE40C" w14:textId="77777777" w:rsidTr="00957FAD">
        <w:trPr>
          <w:trHeight w:val="280"/>
        </w:trPr>
        <w:tc>
          <w:tcPr>
            <w:tcW w:w="1843" w:type="dxa"/>
            <w:shd w:val="clear" w:color="auto" w:fill="FDE9D9" w:themeFill="accent6" w:themeFillTint="33"/>
            <w:hideMark/>
          </w:tcPr>
          <w:p w14:paraId="06957174" w14:textId="77777777" w:rsidR="00957FAD" w:rsidRPr="00607AD4" w:rsidRDefault="00957FAD" w:rsidP="00741B18">
            <w:pPr>
              <w:textAlignment w:val="top"/>
              <w:rPr>
                <w:rFonts w:ascii="Times New Roman" w:hAnsi="Times New Roman" w:cs="Times New Roman"/>
                <w:b/>
                <w:color w:val="000000" w:themeColor="dark1"/>
                <w:kern w:val="24"/>
                <w:sz w:val="20"/>
                <w:szCs w:val="20"/>
                <w:lang w:eastAsia="en-US"/>
              </w:rPr>
            </w:pPr>
            <w:r w:rsidRPr="00607AD4">
              <w:rPr>
                <w:rFonts w:ascii="Times New Roman" w:hAnsi="Times New Roman" w:cs="Times New Roman"/>
                <w:b/>
                <w:color w:val="000000" w:themeColor="dark1"/>
                <w:kern w:val="24"/>
                <w:sz w:val="20"/>
                <w:szCs w:val="20"/>
                <w:lang w:eastAsia="en-US"/>
              </w:rPr>
              <w:t>Temporary Stock</w:t>
            </w:r>
          </w:p>
          <w:p w14:paraId="2E2E27B7" w14:textId="77777777" w:rsidR="00957FAD" w:rsidRPr="00607AD4" w:rsidRDefault="00957FAD" w:rsidP="00741B18">
            <w:pPr>
              <w:textAlignment w:val="top"/>
              <w:rPr>
                <w:rFonts w:ascii="Times New Roman" w:hAnsi="Times New Roman" w:cs="Times New Roman"/>
                <w:b/>
                <w:color w:val="000000" w:themeColor="dark1"/>
                <w:kern w:val="24"/>
                <w:sz w:val="20"/>
                <w:szCs w:val="20"/>
                <w:lang w:eastAsia="en-US"/>
              </w:rPr>
            </w:pPr>
            <w:r w:rsidRPr="00607AD4">
              <w:rPr>
                <w:rFonts w:ascii="Times New Roman" w:hAnsi="Times New Roman" w:cs="Times New Roman"/>
                <w:b/>
                <w:color w:val="000000" w:themeColor="dark1"/>
                <w:kern w:val="24"/>
                <w:sz w:val="20"/>
                <w:szCs w:val="20"/>
                <w:lang w:eastAsia="en-US"/>
              </w:rPr>
              <w:t>Resident (457 Visa)</w:t>
            </w:r>
          </w:p>
        </w:tc>
        <w:tc>
          <w:tcPr>
            <w:tcW w:w="1134" w:type="dxa"/>
            <w:shd w:val="clear" w:color="auto" w:fill="FDE9D9" w:themeFill="accent6" w:themeFillTint="33"/>
          </w:tcPr>
          <w:p w14:paraId="3BB65047" w14:textId="77777777" w:rsidR="00957FAD" w:rsidRPr="00607AD4" w:rsidRDefault="00957FAD" w:rsidP="00741B18">
            <w:pPr>
              <w:jc w:val="right"/>
              <w:textAlignment w:val="top"/>
              <w:rPr>
                <w:rFonts w:ascii="Times New Roman" w:hAnsi="Times New Roman" w:cs="Times New Roman"/>
                <w:b/>
                <w:sz w:val="20"/>
                <w:szCs w:val="20"/>
                <w:lang w:val="en-US" w:eastAsia="en-US"/>
              </w:rPr>
            </w:pPr>
          </w:p>
        </w:tc>
        <w:tc>
          <w:tcPr>
            <w:tcW w:w="992" w:type="dxa"/>
            <w:shd w:val="clear" w:color="auto" w:fill="FDE9D9" w:themeFill="accent6" w:themeFillTint="33"/>
          </w:tcPr>
          <w:p w14:paraId="5C32817E" w14:textId="77777777" w:rsidR="00957FAD" w:rsidRPr="00607AD4" w:rsidRDefault="00957FAD" w:rsidP="00741B18">
            <w:pPr>
              <w:jc w:val="right"/>
              <w:textAlignment w:val="top"/>
              <w:rPr>
                <w:rFonts w:ascii="Times New Roman" w:hAnsi="Times New Roman" w:cs="Times New Roman"/>
                <w:b/>
                <w:sz w:val="20"/>
                <w:szCs w:val="20"/>
                <w:lang w:val="en-US" w:eastAsia="en-US"/>
              </w:rPr>
            </w:pPr>
          </w:p>
        </w:tc>
        <w:tc>
          <w:tcPr>
            <w:tcW w:w="993" w:type="dxa"/>
            <w:shd w:val="clear" w:color="auto" w:fill="FDE9D9" w:themeFill="accent6" w:themeFillTint="33"/>
          </w:tcPr>
          <w:p w14:paraId="189EA67A" w14:textId="77777777" w:rsidR="00957FAD" w:rsidRPr="00607AD4" w:rsidRDefault="00957FAD" w:rsidP="00741B18">
            <w:pPr>
              <w:jc w:val="right"/>
              <w:textAlignment w:val="top"/>
              <w:rPr>
                <w:rFonts w:ascii="Times New Roman" w:hAnsi="Times New Roman" w:cs="Times New Roman"/>
                <w:b/>
                <w:sz w:val="20"/>
                <w:szCs w:val="20"/>
                <w:lang w:val="en-US" w:eastAsia="en-US"/>
              </w:rPr>
            </w:pPr>
          </w:p>
        </w:tc>
        <w:tc>
          <w:tcPr>
            <w:tcW w:w="992" w:type="dxa"/>
            <w:shd w:val="clear" w:color="auto" w:fill="FDE9D9" w:themeFill="accent6" w:themeFillTint="33"/>
          </w:tcPr>
          <w:p w14:paraId="196558C9" w14:textId="77777777" w:rsidR="00957FAD" w:rsidRPr="00607AD4" w:rsidRDefault="00957FAD" w:rsidP="00741B18">
            <w:pPr>
              <w:jc w:val="right"/>
              <w:textAlignment w:val="top"/>
              <w:rPr>
                <w:rFonts w:ascii="Times New Roman" w:hAnsi="Times New Roman" w:cs="Times New Roman"/>
                <w:b/>
                <w:sz w:val="20"/>
                <w:szCs w:val="20"/>
                <w:lang w:val="en-US" w:eastAsia="en-US"/>
              </w:rPr>
            </w:pPr>
          </w:p>
        </w:tc>
        <w:tc>
          <w:tcPr>
            <w:tcW w:w="992" w:type="dxa"/>
            <w:shd w:val="clear" w:color="auto" w:fill="FDE9D9" w:themeFill="accent6" w:themeFillTint="33"/>
          </w:tcPr>
          <w:p w14:paraId="600BCEEA" w14:textId="77777777" w:rsidR="00957FAD" w:rsidRPr="00607AD4" w:rsidRDefault="00957FAD" w:rsidP="00741B18">
            <w:pPr>
              <w:jc w:val="right"/>
              <w:textAlignment w:val="top"/>
              <w:rPr>
                <w:rFonts w:ascii="Times New Roman" w:hAnsi="Times New Roman" w:cs="Times New Roman"/>
                <w:b/>
                <w:color w:val="000000" w:themeColor="dark1"/>
                <w:kern w:val="24"/>
                <w:sz w:val="20"/>
                <w:szCs w:val="20"/>
                <w:lang w:eastAsia="en-US"/>
              </w:rPr>
            </w:pPr>
          </w:p>
        </w:tc>
        <w:tc>
          <w:tcPr>
            <w:tcW w:w="992" w:type="dxa"/>
            <w:shd w:val="clear" w:color="auto" w:fill="FDE9D9" w:themeFill="accent6" w:themeFillTint="33"/>
          </w:tcPr>
          <w:p w14:paraId="400DD42E" w14:textId="77777777" w:rsidR="00957FAD" w:rsidRPr="00607AD4" w:rsidRDefault="00957FAD" w:rsidP="00741B18">
            <w:pPr>
              <w:jc w:val="right"/>
              <w:textAlignment w:val="top"/>
              <w:rPr>
                <w:rFonts w:ascii="Times New Roman" w:hAnsi="Times New Roman" w:cs="Times New Roman"/>
                <w:b/>
                <w:sz w:val="20"/>
                <w:szCs w:val="20"/>
                <w:lang w:val="en-US" w:eastAsia="en-US"/>
              </w:rPr>
            </w:pPr>
          </w:p>
        </w:tc>
        <w:tc>
          <w:tcPr>
            <w:tcW w:w="1701" w:type="dxa"/>
            <w:shd w:val="clear" w:color="auto" w:fill="FDE9D9" w:themeFill="accent6" w:themeFillTint="33"/>
          </w:tcPr>
          <w:p w14:paraId="6D91B523" w14:textId="77777777" w:rsidR="00957FAD" w:rsidRPr="00607AD4" w:rsidRDefault="00957FAD" w:rsidP="00741B18">
            <w:pPr>
              <w:jc w:val="right"/>
              <w:textAlignment w:val="top"/>
              <w:rPr>
                <w:rFonts w:ascii="Times New Roman" w:hAnsi="Times New Roman" w:cs="Times New Roman"/>
                <w:b/>
                <w:sz w:val="20"/>
                <w:szCs w:val="20"/>
                <w:lang w:val="en-US" w:eastAsia="en-US"/>
              </w:rPr>
            </w:pPr>
            <w:r w:rsidRPr="00607AD4">
              <w:rPr>
                <w:rFonts w:ascii="Times New Roman" w:hAnsi="Times New Roman" w:cs="Times New Roman"/>
                <w:b/>
                <w:sz w:val="20"/>
                <w:szCs w:val="20"/>
                <w:lang w:val="en-US" w:eastAsia="en-US"/>
              </w:rPr>
              <w:t>% New 2013-14 Approvals Only</w:t>
            </w:r>
          </w:p>
        </w:tc>
      </w:tr>
      <w:tr w:rsidR="00957FAD" w:rsidRPr="00607AD4" w14:paraId="1A27DDA7" w14:textId="77777777" w:rsidTr="00957FAD">
        <w:trPr>
          <w:trHeight w:val="226"/>
        </w:trPr>
        <w:tc>
          <w:tcPr>
            <w:tcW w:w="1843" w:type="dxa"/>
          </w:tcPr>
          <w:p w14:paraId="46DF5C3A" w14:textId="77777777" w:rsidR="00957FAD" w:rsidRPr="004C4165" w:rsidRDefault="00957FAD" w:rsidP="00741B18">
            <w:pPr>
              <w:textAlignment w:val="top"/>
              <w:rPr>
                <w:rFonts w:ascii="Times New Roman" w:hAnsi="Times New Roman" w:cs="Times New Roman"/>
                <w:bCs/>
                <w:color w:val="000000" w:themeColor="dark1"/>
                <w:kern w:val="24"/>
                <w:sz w:val="20"/>
                <w:szCs w:val="20"/>
                <w:lang w:eastAsia="en-US"/>
              </w:rPr>
            </w:pPr>
            <w:r w:rsidRPr="004C4165">
              <w:rPr>
                <w:rFonts w:ascii="Times New Roman" w:hAnsi="Times New Roman" w:cs="Times New Roman"/>
                <w:bCs/>
                <w:color w:val="000000" w:themeColor="dark1"/>
                <w:kern w:val="24"/>
                <w:sz w:val="20"/>
                <w:szCs w:val="20"/>
                <w:lang w:eastAsia="en-US"/>
              </w:rPr>
              <w:t>Computing/ IT</w:t>
            </w:r>
          </w:p>
        </w:tc>
        <w:tc>
          <w:tcPr>
            <w:tcW w:w="1134" w:type="dxa"/>
          </w:tcPr>
          <w:p w14:paraId="01E1FBEF" w14:textId="77777777" w:rsidR="00957FAD" w:rsidRPr="004C4165" w:rsidRDefault="00957FAD" w:rsidP="00741B18">
            <w:pPr>
              <w:jc w:val="right"/>
              <w:textAlignment w:val="top"/>
              <w:rPr>
                <w:rFonts w:ascii="Times New Roman" w:hAnsi="Times New Roman" w:cs="Times New Roman"/>
                <w:bCs/>
                <w:color w:val="000000" w:themeColor="dark1"/>
                <w:kern w:val="24"/>
                <w:sz w:val="20"/>
                <w:szCs w:val="20"/>
                <w:lang w:eastAsia="en-US"/>
              </w:rPr>
            </w:pPr>
            <w:r w:rsidRPr="004C4165">
              <w:rPr>
                <w:rFonts w:ascii="Times New Roman" w:hAnsi="Times New Roman" w:cs="Times New Roman"/>
                <w:bCs/>
                <w:color w:val="000000" w:themeColor="dark1"/>
                <w:kern w:val="24"/>
                <w:sz w:val="20"/>
                <w:szCs w:val="20"/>
                <w:lang w:eastAsia="en-US"/>
              </w:rPr>
              <w:t>7,150</w:t>
            </w:r>
          </w:p>
        </w:tc>
        <w:tc>
          <w:tcPr>
            <w:tcW w:w="992" w:type="dxa"/>
          </w:tcPr>
          <w:p w14:paraId="558AB1A7" w14:textId="77777777" w:rsidR="00957FAD" w:rsidRPr="004C4165" w:rsidRDefault="00957FAD" w:rsidP="00741B18">
            <w:pPr>
              <w:jc w:val="right"/>
              <w:textAlignment w:val="top"/>
              <w:rPr>
                <w:rFonts w:ascii="Times New Roman" w:hAnsi="Times New Roman" w:cs="Times New Roman"/>
                <w:bCs/>
                <w:color w:val="000000" w:themeColor="dark1"/>
                <w:kern w:val="24"/>
                <w:sz w:val="20"/>
                <w:szCs w:val="20"/>
                <w:lang w:eastAsia="en-US"/>
              </w:rPr>
            </w:pPr>
            <w:r w:rsidRPr="004C4165">
              <w:rPr>
                <w:rFonts w:ascii="Times New Roman" w:hAnsi="Times New Roman" w:cs="Times New Roman"/>
                <w:bCs/>
                <w:color w:val="000000" w:themeColor="dark1"/>
                <w:kern w:val="24"/>
                <w:sz w:val="20"/>
                <w:szCs w:val="20"/>
                <w:lang w:eastAsia="en-US"/>
              </w:rPr>
              <w:t>7,360</w:t>
            </w:r>
          </w:p>
        </w:tc>
        <w:tc>
          <w:tcPr>
            <w:tcW w:w="993" w:type="dxa"/>
          </w:tcPr>
          <w:p w14:paraId="44CE257E" w14:textId="77777777" w:rsidR="00957FAD" w:rsidRPr="004C4165" w:rsidRDefault="00957FAD" w:rsidP="00741B18">
            <w:pPr>
              <w:jc w:val="right"/>
              <w:textAlignment w:val="top"/>
              <w:rPr>
                <w:rFonts w:ascii="Times New Roman" w:hAnsi="Times New Roman" w:cs="Times New Roman"/>
                <w:bCs/>
                <w:color w:val="000000" w:themeColor="dark1"/>
                <w:kern w:val="24"/>
                <w:sz w:val="20"/>
                <w:szCs w:val="20"/>
                <w:lang w:eastAsia="en-US"/>
              </w:rPr>
            </w:pPr>
            <w:r w:rsidRPr="004C4165">
              <w:rPr>
                <w:rFonts w:ascii="Times New Roman" w:hAnsi="Times New Roman" w:cs="Times New Roman"/>
                <w:bCs/>
                <w:color w:val="000000" w:themeColor="dark1"/>
                <w:kern w:val="24"/>
                <w:sz w:val="20"/>
                <w:szCs w:val="20"/>
                <w:lang w:eastAsia="en-US"/>
              </w:rPr>
              <w:t>9,010</w:t>
            </w:r>
          </w:p>
        </w:tc>
        <w:tc>
          <w:tcPr>
            <w:tcW w:w="992" w:type="dxa"/>
          </w:tcPr>
          <w:p w14:paraId="33812ABE" w14:textId="77777777" w:rsidR="00957FAD" w:rsidRPr="004C4165" w:rsidRDefault="00957FAD" w:rsidP="00741B18">
            <w:pPr>
              <w:jc w:val="right"/>
              <w:textAlignment w:val="top"/>
              <w:rPr>
                <w:rFonts w:ascii="Times New Roman" w:hAnsi="Times New Roman" w:cs="Times New Roman"/>
                <w:bCs/>
                <w:color w:val="000000" w:themeColor="dark1"/>
                <w:kern w:val="24"/>
                <w:sz w:val="20"/>
                <w:szCs w:val="20"/>
                <w:lang w:eastAsia="en-US"/>
              </w:rPr>
            </w:pPr>
            <w:r w:rsidRPr="004C4165">
              <w:rPr>
                <w:rFonts w:ascii="Times New Roman" w:hAnsi="Times New Roman" w:cs="Times New Roman"/>
                <w:bCs/>
                <w:color w:val="000000" w:themeColor="dark1"/>
                <w:kern w:val="24"/>
                <w:sz w:val="20"/>
                <w:szCs w:val="20"/>
                <w:lang w:eastAsia="en-US"/>
              </w:rPr>
              <w:t>10,490</w:t>
            </w:r>
          </w:p>
        </w:tc>
        <w:tc>
          <w:tcPr>
            <w:tcW w:w="992" w:type="dxa"/>
          </w:tcPr>
          <w:p w14:paraId="7D5177F0" w14:textId="77777777" w:rsidR="00957FAD" w:rsidRPr="004C4165" w:rsidRDefault="00957FAD" w:rsidP="00741B18">
            <w:pPr>
              <w:jc w:val="right"/>
              <w:textAlignment w:val="top"/>
              <w:rPr>
                <w:rFonts w:ascii="Times New Roman" w:hAnsi="Times New Roman" w:cs="Times New Roman"/>
                <w:bCs/>
                <w:color w:val="000000" w:themeColor="dark1"/>
                <w:kern w:val="24"/>
                <w:sz w:val="20"/>
                <w:szCs w:val="20"/>
                <w:lang w:eastAsia="en-US"/>
              </w:rPr>
            </w:pPr>
            <w:r w:rsidRPr="004C4165">
              <w:rPr>
                <w:rFonts w:ascii="Times New Roman" w:hAnsi="Times New Roman" w:cs="Times New Roman"/>
                <w:bCs/>
                <w:color w:val="000000" w:themeColor="dark1"/>
                <w:kern w:val="24"/>
                <w:sz w:val="20"/>
                <w:szCs w:val="20"/>
                <w:lang w:eastAsia="en-US"/>
              </w:rPr>
              <w:t>11,050</w:t>
            </w:r>
          </w:p>
        </w:tc>
        <w:tc>
          <w:tcPr>
            <w:tcW w:w="992" w:type="dxa"/>
          </w:tcPr>
          <w:p w14:paraId="397325E1" w14:textId="77777777" w:rsidR="00957FAD" w:rsidRPr="004C4165" w:rsidRDefault="00957FAD" w:rsidP="00741B18">
            <w:pPr>
              <w:jc w:val="right"/>
              <w:textAlignment w:val="top"/>
              <w:rPr>
                <w:rFonts w:ascii="Times New Roman" w:hAnsi="Times New Roman" w:cs="Times New Roman"/>
                <w:bCs/>
                <w:color w:val="000000" w:themeColor="dark1"/>
                <w:kern w:val="24"/>
                <w:sz w:val="20"/>
                <w:szCs w:val="20"/>
                <w:lang w:eastAsia="en-US"/>
              </w:rPr>
            </w:pPr>
            <w:r w:rsidRPr="004C4165">
              <w:rPr>
                <w:rFonts w:ascii="Times New Roman" w:hAnsi="Times New Roman" w:cs="Times New Roman"/>
                <w:bCs/>
                <w:color w:val="000000" w:themeColor="dark1"/>
                <w:kern w:val="24"/>
                <w:sz w:val="20"/>
                <w:szCs w:val="20"/>
                <w:lang w:eastAsia="en-US"/>
              </w:rPr>
              <w:t>10,880</w:t>
            </w:r>
          </w:p>
        </w:tc>
        <w:tc>
          <w:tcPr>
            <w:tcW w:w="1701" w:type="dxa"/>
          </w:tcPr>
          <w:p w14:paraId="1180ED9A" w14:textId="77777777" w:rsidR="00957FAD" w:rsidRPr="004C4165" w:rsidRDefault="00957FAD" w:rsidP="00741B18">
            <w:pPr>
              <w:jc w:val="right"/>
              <w:textAlignment w:val="top"/>
              <w:rPr>
                <w:rFonts w:ascii="Times New Roman" w:hAnsi="Times New Roman" w:cs="Times New Roman"/>
                <w:bCs/>
                <w:color w:val="000000" w:themeColor="dark1"/>
                <w:kern w:val="24"/>
                <w:sz w:val="20"/>
                <w:szCs w:val="20"/>
                <w:lang w:eastAsia="en-US"/>
              </w:rPr>
            </w:pPr>
            <w:r w:rsidRPr="004C4165">
              <w:rPr>
                <w:rFonts w:ascii="Times New Roman" w:hAnsi="Times New Roman" w:cs="Times New Roman"/>
                <w:bCs/>
                <w:color w:val="000000" w:themeColor="dark1"/>
                <w:kern w:val="24"/>
                <w:sz w:val="20"/>
                <w:szCs w:val="20"/>
                <w:lang w:eastAsia="en-US"/>
              </w:rPr>
              <w:t>22.2%</w:t>
            </w:r>
          </w:p>
        </w:tc>
      </w:tr>
      <w:tr w:rsidR="00957FAD" w:rsidRPr="00607AD4" w14:paraId="3C1CBECD" w14:textId="77777777" w:rsidTr="00957FAD">
        <w:trPr>
          <w:trHeight w:val="316"/>
        </w:trPr>
        <w:tc>
          <w:tcPr>
            <w:tcW w:w="1843" w:type="dxa"/>
          </w:tcPr>
          <w:p w14:paraId="066F05B2" w14:textId="77777777" w:rsidR="00957FAD" w:rsidRPr="004C4165" w:rsidRDefault="00957FAD" w:rsidP="00741B18">
            <w:pPr>
              <w:textAlignment w:val="top"/>
              <w:rPr>
                <w:rFonts w:ascii="Times New Roman" w:hAnsi="Times New Roman" w:cs="Times New Roman"/>
                <w:bCs/>
                <w:color w:val="000000" w:themeColor="dark1"/>
                <w:kern w:val="24"/>
                <w:sz w:val="20"/>
                <w:szCs w:val="20"/>
                <w:lang w:eastAsia="en-US"/>
              </w:rPr>
            </w:pPr>
            <w:r w:rsidRPr="004C4165">
              <w:rPr>
                <w:rFonts w:ascii="Times New Roman" w:hAnsi="Times New Roman" w:cs="Times New Roman"/>
                <w:bCs/>
                <w:color w:val="000000" w:themeColor="dark1"/>
                <w:kern w:val="24"/>
                <w:sz w:val="20"/>
                <w:szCs w:val="20"/>
                <w:lang w:eastAsia="en-US"/>
              </w:rPr>
              <w:t>Engineering</w:t>
            </w:r>
          </w:p>
        </w:tc>
        <w:tc>
          <w:tcPr>
            <w:tcW w:w="1134" w:type="dxa"/>
          </w:tcPr>
          <w:p w14:paraId="6C3A2FB7" w14:textId="77777777" w:rsidR="00957FAD" w:rsidRPr="004C4165" w:rsidRDefault="00957FAD" w:rsidP="00741B18">
            <w:pPr>
              <w:jc w:val="right"/>
              <w:textAlignment w:val="top"/>
              <w:rPr>
                <w:rFonts w:ascii="Times New Roman" w:hAnsi="Times New Roman" w:cs="Times New Roman"/>
                <w:bCs/>
                <w:color w:val="000000" w:themeColor="dark1"/>
                <w:kern w:val="24"/>
                <w:sz w:val="20"/>
                <w:szCs w:val="20"/>
                <w:lang w:eastAsia="en-US"/>
              </w:rPr>
            </w:pPr>
            <w:r w:rsidRPr="004C4165">
              <w:rPr>
                <w:rFonts w:ascii="Times New Roman" w:hAnsi="Times New Roman" w:cs="Times New Roman"/>
                <w:bCs/>
                <w:color w:val="000000" w:themeColor="dark1"/>
                <w:kern w:val="24"/>
                <w:sz w:val="20"/>
                <w:szCs w:val="20"/>
                <w:lang w:eastAsia="en-US"/>
              </w:rPr>
              <w:t>6,670</w:t>
            </w:r>
          </w:p>
        </w:tc>
        <w:tc>
          <w:tcPr>
            <w:tcW w:w="992" w:type="dxa"/>
          </w:tcPr>
          <w:p w14:paraId="0F456636" w14:textId="77777777" w:rsidR="00957FAD" w:rsidRPr="004C4165" w:rsidRDefault="00957FAD" w:rsidP="00741B18">
            <w:pPr>
              <w:jc w:val="right"/>
              <w:textAlignment w:val="top"/>
              <w:rPr>
                <w:rFonts w:ascii="Times New Roman" w:hAnsi="Times New Roman" w:cs="Times New Roman"/>
                <w:bCs/>
                <w:color w:val="000000" w:themeColor="dark1"/>
                <w:kern w:val="24"/>
                <w:sz w:val="20"/>
                <w:szCs w:val="20"/>
                <w:lang w:eastAsia="en-US"/>
              </w:rPr>
            </w:pPr>
            <w:r w:rsidRPr="004C4165">
              <w:rPr>
                <w:rFonts w:ascii="Times New Roman" w:hAnsi="Times New Roman" w:cs="Times New Roman"/>
                <w:bCs/>
                <w:color w:val="000000" w:themeColor="dark1"/>
                <w:kern w:val="24"/>
                <w:sz w:val="20"/>
                <w:szCs w:val="20"/>
                <w:lang w:eastAsia="en-US"/>
              </w:rPr>
              <w:t>5,620</w:t>
            </w:r>
          </w:p>
        </w:tc>
        <w:tc>
          <w:tcPr>
            <w:tcW w:w="993" w:type="dxa"/>
          </w:tcPr>
          <w:p w14:paraId="746EDA4A" w14:textId="77777777" w:rsidR="00957FAD" w:rsidRPr="004C4165" w:rsidRDefault="00957FAD" w:rsidP="00741B18">
            <w:pPr>
              <w:jc w:val="right"/>
              <w:textAlignment w:val="top"/>
              <w:rPr>
                <w:rFonts w:ascii="Times New Roman" w:hAnsi="Times New Roman" w:cs="Times New Roman"/>
                <w:bCs/>
                <w:color w:val="000000" w:themeColor="dark1"/>
                <w:kern w:val="24"/>
                <w:sz w:val="20"/>
                <w:szCs w:val="20"/>
                <w:lang w:eastAsia="en-US"/>
              </w:rPr>
            </w:pPr>
            <w:r w:rsidRPr="004C4165">
              <w:rPr>
                <w:rFonts w:ascii="Times New Roman" w:hAnsi="Times New Roman" w:cs="Times New Roman"/>
                <w:bCs/>
                <w:color w:val="000000" w:themeColor="dark1"/>
                <w:kern w:val="24"/>
                <w:sz w:val="20"/>
                <w:szCs w:val="20"/>
                <w:lang w:eastAsia="en-US"/>
              </w:rPr>
              <w:t>6,210</w:t>
            </w:r>
          </w:p>
        </w:tc>
        <w:tc>
          <w:tcPr>
            <w:tcW w:w="992" w:type="dxa"/>
          </w:tcPr>
          <w:p w14:paraId="5BB93D52" w14:textId="77777777" w:rsidR="00957FAD" w:rsidRPr="004C4165" w:rsidRDefault="00957FAD" w:rsidP="00741B18">
            <w:pPr>
              <w:jc w:val="right"/>
              <w:textAlignment w:val="top"/>
              <w:rPr>
                <w:rFonts w:ascii="Times New Roman" w:hAnsi="Times New Roman" w:cs="Times New Roman"/>
                <w:bCs/>
                <w:color w:val="000000" w:themeColor="dark1"/>
                <w:kern w:val="24"/>
                <w:sz w:val="20"/>
                <w:szCs w:val="20"/>
                <w:lang w:eastAsia="en-US"/>
              </w:rPr>
            </w:pPr>
            <w:r w:rsidRPr="004C4165">
              <w:rPr>
                <w:rFonts w:ascii="Times New Roman" w:hAnsi="Times New Roman" w:cs="Times New Roman"/>
                <w:bCs/>
                <w:color w:val="000000" w:themeColor="dark1"/>
                <w:kern w:val="24"/>
                <w:sz w:val="20"/>
                <w:szCs w:val="20"/>
                <w:lang w:eastAsia="en-US"/>
              </w:rPr>
              <w:t>8,280</w:t>
            </w:r>
          </w:p>
        </w:tc>
        <w:tc>
          <w:tcPr>
            <w:tcW w:w="992" w:type="dxa"/>
          </w:tcPr>
          <w:p w14:paraId="6C7256F7" w14:textId="77777777" w:rsidR="00957FAD" w:rsidRPr="004C4165" w:rsidRDefault="00957FAD" w:rsidP="00741B18">
            <w:pPr>
              <w:jc w:val="right"/>
              <w:textAlignment w:val="top"/>
              <w:rPr>
                <w:rFonts w:ascii="Times New Roman" w:hAnsi="Times New Roman" w:cs="Times New Roman"/>
                <w:bCs/>
                <w:color w:val="000000" w:themeColor="dark1"/>
                <w:kern w:val="24"/>
                <w:sz w:val="20"/>
                <w:szCs w:val="20"/>
                <w:lang w:eastAsia="en-US"/>
              </w:rPr>
            </w:pPr>
            <w:r w:rsidRPr="004C4165">
              <w:rPr>
                <w:rFonts w:ascii="Times New Roman" w:hAnsi="Times New Roman" w:cs="Times New Roman"/>
                <w:bCs/>
                <w:color w:val="000000" w:themeColor="dark1"/>
                <w:kern w:val="24"/>
                <w:sz w:val="20"/>
                <w:szCs w:val="20"/>
                <w:lang w:eastAsia="en-US"/>
              </w:rPr>
              <w:t>8,070</w:t>
            </w:r>
          </w:p>
        </w:tc>
        <w:tc>
          <w:tcPr>
            <w:tcW w:w="992" w:type="dxa"/>
          </w:tcPr>
          <w:p w14:paraId="797F3C4F" w14:textId="77777777" w:rsidR="00957FAD" w:rsidRPr="004C4165" w:rsidRDefault="00957FAD" w:rsidP="00741B18">
            <w:pPr>
              <w:jc w:val="right"/>
              <w:textAlignment w:val="top"/>
              <w:rPr>
                <w:rFonts w:ascii="Times New Roman" w:hAnsi="Times New Roman" w:cs="Times New Roman"/>
                <w:bCs/>
                <w:color w:val="000000" w:themeColor="dark1"/>
                <w:kern w:val="24"/>
                <w:sz w:val="20"/>
                <w:szCs w:val="20"/>
                <w:lang w:eastAsia="en-US"/>
              </w:rPr>
            </w:pPr>
            <w:r w:rsidRPr="004C4165">
              <w:rPr>
                <w:rFonts w:ascii="Times New Roman" w:hAnsi="Times New Roman" w:cs="Times New Roman"/>
                <w:bCs/>
                <w:color w:val="000000" w:themeColor="dark1"/>
                <w:kern w:val="24"/>
                <w:sz w:val="20"/>
                <w:szCs w:val="20"/>
                <w:lang w:eastAsia="en-US"/>
              </w:rPr>
              <w:t>6,160</w:t>
            </w:r>
          </w:p>
        </w:tc>
        <w:tc>
          <w:tcPr>
            <w:tcW w:w="1701" w:type="dxa"/>
          </w:tcPr>
          <w:p w14:paraId="2139A933" w14:textId="77777777" w:rsidR="00957FAD" w:rsidRPr="004C4165" w:rsidRDefault="00957FAD" w:rsidP="00741B18">
            <w:pPr>
              <w:jc w:val="right"/>
              <w:textAlignment w:val="top"/>
              <w:rPr>
                <w:rFonts w:ascii="Times New Roman" w:hAnsi="Times New Roman" w:cs="Times New Roman"/>
                <w:bCs/>
                <w:color w:val="000000" w:themeColor="dark1"/>
                <w:kern w:val="24"/>
                <w:sz w:val="20"/>
                <w:szCs w:val="20"/>
                <w:lang w:eastAsia="en-US"/>
              </w:rPr>
            </w:pPr>
            <w:r w:rsidRPr="004C4165">
              <w:rPr>
                <w:rFonts w:ascii="Times New Roman" w:hAnsi="Times New Roman" w:cs="Times New Roman"/>
                <w:bCs/>
                <w:color w:val="000000" w:themeColor="dark1"/>
                <w:kern w:val="24"/>
                <w:sz w:val="20"/>
                <w:szCs w:val="20"/>
                <w:lang w:eastAsia="en-US"/>
              </w:rPr>
              <w:t>39.8%</w:t>
            </w:r>
          </w:p>
        </w:tc>
      </w:tr>
      <w:tr w:rsidR="00957FAD" w:rsidRPr="00607AD4" w14:paraId="0DC56194" w14:textId="77777777" w:rsidTr="00957FAD">
        <w:trPr>
          <w:trHeight w:val="271"/>
        </w:trPr>
        <w:tc>
          <w:tcPr>
            <w:tcW w:w="1843" w:type="dxa"/>
          </w:tcPr>
          <w:p w14:paraId="35D09DEF" w14:textId="77777777" w:rsidR="00957FAD" w:rsidRPr="004C4165" w:rsidRDefault="00957FAD" w:rsidP="00741B18">
            <w:pPr>
              <w:textAlignment w:val="top"/>
              <w:rPr>
                <w:rFonts w:ascii="Times New Roman" w:hAnsi="Times New Roman" w:cs="Times New Roman"/>
                <w:bCs/>
                <w:color w:val="000000" w:themeColor="dark1"/>
                <w:kern w:val="24"/>
                <w:sz w:val="20"/>
                <w:szCs w:val="20"/>
                <w:lang w:eastAsia="en-US"/>
              </w:rPr>
            </w:pPr>
            <w:r w:rsidRPr="004C4165">
              <w:rPr>
                <w:rFonts w:ascii="Times New Roman" w:hAnsi="Times New Roman" w:cs="Times New Roman"/>
                <w:bCs/>
                <w:color w:val="000000" w:themeColor="dark1"/>
                <w:kern w:val="24"/>
                <w:sz w:val="20"/>
                <w:szCs w:val="20"/>
                <w:lang w:eastAsia="en-US"/>
              </w:rPr>
              <w:t>Accounting</w:t>
            </w:r>
          </w:p>
        </w:tc>
        <w:tc>
          <w:tcPr>
            <w:tcW w:w="1134" w:type="dxa"/>
          </w:tcPr>
          <w:p w14:paraId="1F479D0A" w14:textId="77777777" w:rsidR="00957FAD" w:rsidRPr="004C4165" w:rsidRDefault="00957FAD" w:rsidP="00741B18">
            <w:pPr>
              <w:jc w:val="right"/>
              <w:textAlignment w:val="top"/>
              <w:rPr>
                <w:rFonts w:ascii="Times New Roman" w:hAnsi="Times New Roman" w:cs="Times New Roman"/>
                <w:bCs/>
                <w:color w:val="000000" w:themeColor="dark1"/>
                <w:kern w:val="24"/>
                <w:sz w:val="20"/>
                <w:szCs w:val="20"/>
                <w:lang w:eastAsia="en-US"/>
              </w:rPr>
            </w:pPr>
            <w:r w:rsidRPr="004C4165">
              <w:rPr>
                <w:rFonts w:ascii="Times New Roman" w:hAnsi="Times New Roman" w:cs="Times New Roman"/>
                <w:bCs/>
                <w:color w:val="000000" w:themeColor="dark1"/>
                <w:kern w:val="24"/>
                <w:sz w:val="20"/>
                <w:szCs w:val="20"/>
                <w:lang w:eastAsia="en-US"/>
              </w:rPr>
              <w:t>2,580</w:t>
            </w:r>
          </w:p>
        </w:tc>
        <w:tc>
          <w:tcPr>
            <w:tcW w:w="992" w:type="dxa"/>
          </w:tcPr>
          <w:p w14:paraId="1960397D" w14:textId="77777777" w:rsidR="00957FAD" w:rsidRPr="004C4165" w:rsidRDefault="00957FAD" w:rsidP="00741B18">
            <w:pPr>
              <w:jc w:val="right"/>
              <w:textAlignment w:val="top"/>
              <w:rPr>
                <w:rFonts w:ascii="Times New Roman" w:hAnsi="Times New Roman" w:cs="Times New Roman"/>
                <w:bCs/>
                <w:color w:val="000000" w:themeColor="dark1"/>
                <w:kern w:val="24"/>
                <w:sz w:val="20"/>
                <w:szCs w:val="20"/>
                <w:lang w:eastAsia="en-US"/>
              </w:rPr>
            </w:pPr>
            <w:r w:rsidRPr="004C4165">
              <w:rPr>
                <w:rFonts w:ascii="Times New Roman" w:hAnsi="Times New Roman" w:cs="Times New Roman"/>
                <w:bCs/>
                <w:color w:val="000000" w:themeColor="dark1"/>
                <w:kern w:val="24"/>
                <w:sz w:val="20"/>
                <w:szCs w:val="20"/>
                <w:lang w:eastAsia="en-US"/>
              </w:rPr>
              <w:t>2,470</w:t>
            </w:r>
          </w:p>
        </w:tc>
        <w:tc>
          <w:tcPr>
            <w:tcW w:w="993" w:type="dxa"/>
          </w:tcPr>
          <w:p w14:paraId="1B8A345F" w14:textId="77777777" w:rsidR="00957FAD" w:rsidRPr="004C4165" w:rsidRDefault="00957FAD" w:rsidP="00741B18">
            <w:pPr>
              <w:jc w:val="right"/>
              <w:textAlignment w:val="top"/>
              <w:rPr>
                <w:rFonts w:ascii="Times New Roman" w:hAnsi="Times New Roman" w:cs="Times New Roman"/>
                <w:bCs/>
                <w:color w:val="000000" w:themeColor="dark1"/>
                <w:kern w:val="24"/>
                <w:sz w:val="20"/>
                <w:szCs w:val="20"/>
                <w:lang w:eastAsia="en-US"/>
              </w:rPr>
            </w:pPr>
            <w:r w:rsidRPr="004C4165">
              <w:rPr>
                <w:rFonts w:ascii="Times New Roman" w:hAnsi="Times New Roman" w:cs="Times New Roman"/>
                <w:bCs/>
                <w:color w:val="000000" w:themeColor="dark1"/>
                <w:kern w:val="24"/>
                <w:sz w:val="20"/>
                <w:szCs w:val="20"/>
                <w:lang w:eastAsia="en-US"/>
              </w:rPr>
              <w:t>2,710</w:t>
            </w:r>
          </w:p>
        </w:tc>
        <w:tc>
          <w:tcPr>
            <w:tcW w:w="992" w:type="dxa"/>
          </w:tcPr>
          <w:p w14:paraId="2007F0B0" w14:textId="77777777" w:rsidR="00957FAD" w:rsidRPr="004C4165" w:rsidRDefault="00957FAD" w:rsidP="00741B18">
            <w:pPr>
              <w:jc w:val="right"/>
              <w:textAlignment w:val="top"/>
              <w:rPr>
                <w:rFonts w:ascii="Times New Roman" w:hAnsi="Times New Roman" w:cs="Times New Roman"/>
                <w:bCs/>
                <w:color w:val="000000" w:themeColor="dark1"/>
                <w:kern w:val="24"/>
                <w:sz w:val="20"/>
                <w:szCs w:val="20"/>
                <w:lang w:eastAsia="en-US"/>
              </w:rPr>
            </w:pPr>
            <w:r w:rsidRPr="004C4165">
              <w:rPr>
                <w:rFonts w:ascii="Times New Roman" w:hAnsi="Times New Roman" w:cs="Times New Roman"/>
                <w:bCs/>
                <w:color w:val="000000" w:themeColor="dark1"/>
                <w:kern w:val="24"/>
                <w:sz w:val="20"/>
                <w:szCs w:val="20"/>
                <w:lang w:eastAsia="en-US"/>
              </w:rPr>
              <w:t>3,330</w:t>
            </w:r>
          </w:p>
        </w:tc>
        <w:tc>
          <w:tcPr>
            <w:tcW w:w="992" w:type="dxa"/>
          </w:tcPr>
          <w:p w14:paraId="6BA9510C" w14:textId="77777777" w:rsidR="00957FAD" w:rsidRPr="004C4165" w:rsidRDefault="00957FAD" w:rsidP="00741B18">
            <w:pPr>
              <w:jc w:val="right"/>
              <w:textAlignment w:val="top"/>
              <w:rPr>
                <w:rFonts w:ascii="Times New Roman" w:hAnsi="Times New Roman" w:cs="Times New Roman"/>
                <w:bCs/>
                <w:color w:val="000000" w:themeColor="dark1"/>
                <w:kern w:val="24"/>
                <w:sz w:val="20"/>
                <w:szCs w:val="20"/>
                <w:lang w:eastAsia="en-US"/>
              </w:rPr>
            </w:pPr>
            <w:r w:rsidRPr="004C4165">
              <w:rPr>
                <w:rFonts w:ascii="Times New Roman" w:hAnsi="Times New Roman" w:cs="Times New Roman"/>
                <w:bCs/>
                <w:color w:val="000000" w:themeColor="dark1"/>
                <w:kern w:val="24"/>
                <w:sz w:val="20"/>
                <w:szCs w:val="20"/>
                <w:lang w:eastAsia="en-US"/>
              </w:rPr>
              <w:t>3,840</w:t>
            </w:r>
          </w:p>
        </w:tc>
        <w:tc>
          <w:tcPr>
            <w:tcW w:w="992" w:type="dxa"/>
          </w:tcPr>
          <w:p w14:paraId="599733A4" w14:textId="77777777" w:rsidR="00957FAD" w:rsidRPr="004C4165" w:rsidRDefault="00957FAD" w:rsidP="00741B18">
            <w:pPr>
              <w:jc w:val="right"/>
              <w:textAlignment w:val="top"/>
              <w:rPr>
                <w:rFonts w:ascii="Times New Roman" w:hAnsi="Times New Roman" w:cs="Times New Roman"/>
                <w:bCs/>
                <w:color w:val="000000" w:themeColor="dark1"/>
                <w:kern w:val="24"/>
                <w:sz w:val="20"/>
                <w:szCs w:val="20"/>
                <w:lang w:eastAsia="en-US"/>
              </w:rPr>
            </w:pPr>
            <w:r w:rsidRPr="004C4165">
              <w:rPr>
                <w:rFonts w:ascii="Times New Roman" w:hAnsi="Times New Roman" w:cs="Times New Roman"/>
                <w:bCs/>
                <w:color w:val="000000" w:themeColor="dark1"/>
                <w:kern w:val="24"/>
                <w:sz w:val="20"/>
                <w:szCs w:val="20"/>
                <w:lang w:eastAsia="en-US"/>
              </w:rPr>
              <w:t>4,010</w:t>
            </w:r>
          </w:p>
        </w:tc>
        <w:tc>
          <w:tcPr>
            <w:tcW w:w="1701" w:type="dxa"/>
          </w:tcPr>
          <w:p w14:paraId="18A50534" w14:textId="77777777" w:rsidR="00957FAD" w:rsidRPr="004C4165" w:rsidRDefault="00957FAD" w:rsidP="00741B18">
            <w:pPr>
              <w:jc w:val="right"/>
              <w:textAlignment w:val="top"/>
              <w:rPr>
                <w:rFonts w:ascii="Times New Roman" w:hAnsi="Times New Roman" w:cs="Times New Roman"/>
                <w:bCs/>
                <w:color w:val="000000" w:themeColor="dark1"/>
                <w:kern w:val="24"/>
                <w:sz w:val="20"/>
                <w:szCs w:val="20"/>
                <w:lang w:eastAsia="en-US"/>
              </w:rPr>
            </w:pPr>
            <w:r w:rsidRPr="004C4165">
              <w:rPr>
                <w:rFonts w:ascii="Times New Roman" w:hAnsi="Times New Roman" w:cs="Times New Roman"/>
                <w:bCs/>
                <w:color w:val="000000" w:themeColor="dark1"/>
                <w:kern w:val="24"/>
                <w:sz w:val="20"/>
                <w:szCs w:val="20"/>
                <w:lang w:eastAsia="en-US"/>
              </w:rPr>
              <w:t>48.9%</w:t>
            </w:r>
          </w:p>
        </w:tc>
      </w:tr>
      <w:tr w:rsidR="00957FAD" w:rsidRPr="00607AD4" w14:paraId="790F4D4C" w14:textId="77777777" w:rsidTr="00957FAD">
        <w:trPr>
          <w:trHeight w:val="226"/>
        </w:trPr>
        <w:tc>
          <w:tcPr>
            <w:tcW w:w="1843" w:type="dxa"/>
          </w:tcPr>
          <w:p w14:paraId="683D1B64" w14:textId="77777777" w:rsidR="00957FAD" w:rsidRPr="004C4165" w:rsidRDefault="00957FAD" w:rsidP="00741B18">
            <w:pPr>
              <w:textAlignment w:val="top"/>
              <w:rPr>
                <w:rFonts w:ascii="Times New Roman" w:hAnsi="Times New Roman" w:cs="Times New Roman"/>
                <w:bCs/>
                <w:color w:val="000000" w:themeColor="dark1"/>
                <w:kern w:val="24"/>
                <w:sz w:val="20"/>
                <w:szCs w:val="20"/>
                <w:lang w:eastAsia="en-US"/>
              </w:rPr>
            </w:pPr>
            <w:r w:rsidRPr="004C4165">
              <w:rPr>
                <w:rFonts w:ascii="Times New Roman" w:hAnsi="Times New Roman" w:cs="Times New Roman"/>
                <w:bCs/>
                <w:color w:val="000000" w:themeColor="dark1"/>
                <w:kern w:val="24"/>
                <w:sz w:val="20"/>
                <w:szCs w:val="20"/>
                <w:lang w:eastAsia="en-US"/>
              </w:rPr>
              <w:t>Nursing</w:t>
            </w:r>
          </w:p>
        </w:tc>
        <w:tc>
          <w:tcPr>
            <w:tcW w:w="1134" w:type="dxa"/>
          </w:tcPr>
          <w:p w14:paraId="0B50C71D" w14:textId="77777777" w:rsidR="00957FAD" w:rsidRPr="004C4165" w:rsidRDefault="00957FAD" w:rsidP="00741B18">
            <w:pPr>
              <w:jc w:val="right"/>
              <w:textAlignment w:val="top"/>
              <w:rPr>
                <w:rFonts w:ascii="Times New Roman" w:hAnsi="Times New Roman" w:cs="Times New Roman"/>
                <w:bCs/>
                <w:color w:val="000000" w:themeColor="dark1"/>
                <w:kern w:val="24"/>
                <w:sz w:val="20"/>
                <w:szCs w:val="20"/>
                <w:lang w:eastAsia="en-US"/>
              </w:rPr>
            </w:pPr>
            <w:r w:rsidRPr="004C4165">
              <w:rPr>
                <w:rFonts w:ascii="Times New Roman" w:hAnsi="Times New Roman" w:cs="Times New Roman"/>
                <w:bCs/>
                <w:color w:val="000000" w:themeColor="dark1"/>
                <w:kern w:val="24"/>
                <w:sz w:val="20"/>
                <w:szCs w:val="20"/>
                <w:lang w:eastAsia="en-US"/>
              </w:rPr>
              <w:t>4,560</w:t>
            </w:r>
          </w:p>
        </w:tc>
        <w:tc>
          <w:tcPr>
            <w:tcW w:w="992" w:type="dxa"/>
          </w:tcPr>
          <w:p w14:paraId="34F359B6" w14:textId="77777777" w:rsidR="00957FAD" w:rsidRPr="004C4165" w:rsidRDefault="00957FAD" w:rsidP="00741B18">
            <w:pPr>
              <w:jc w:val="right"/>
              <w:textAlignment w:val="top"/>
              <w:rPr>
                <w:rFonts w:ascii="Times New Roman" w:hAnsi="Times New Roman" w:cs="Times New Roman"/>
                <w:bCs/>
                <w:color w:val="000000" w:themeColor="dark1"/>
                <w:kern w:val="24"/>
                <w:sz w:val="20"/>
                <w:szCs w:val="20"/>
                <w:lang w:eastAsia="en-US"/>
              </w:rPr>
            </w:pPr>
            <w:r w:rsidRPr="004C4165">
              <w:rPr>
                <w:rFonts w:ascii="Times New Roman" w:hAnsi="Times New Roman" w:cs="Times New Roman"/>
                <w:bCs/>
                <w:color w:val="000000" w:themeColor="dark1"/>
                <w:kern w:val="24"/>
                <w:sz w:val="20"/>
                <w:szCs w:val="20"/>
                <w:lang w:eastAsia="en-US"/>
              </w:rPr>
              <w:t>3.850</w:t>
            </w:r>
          </w:p>
        </w:tc>
        <w:tc>
          <w:tcPr>
            <w:tcW w:w="993" w:type="dxa"/>
          </w:tcPr>
          <w:p w14:paraId="76C55B1A" w14:textId="77777777" w:rsidR="00957FAD" w:rsidRPr="004C4165" w:rsidRDefault="00957FAD" w:rsidP="00741B18">
            <w:pPr>
              <w:jc w:val="right"/>
              <w:textAlignment w:val="top"/>
              <w:rPr>
                <w:rFonts w:ascii="Times New Roman" w:hAnsi="Times New Roman" w:cs="Times New Roman"/>
                <w:bCs/>
                <w:color w:val="000000" w:themeColor="dark1"/>
                <w:kern w:val="24"/>
                <w:sz w:val="20"/>
                <w:szCs w:val="20"/>
                <w:lang w:eastAsia="en-US"/>
              </w:rPr>
            </w:pPr>
            <w:r w:rsidRPr="004C4165">
              <w:rPr>
                <w:rFonts w:ascii="Times New Roman" w:hAnsi="Times New Roman" w:cs="Times New Roman"/>
                <w:bCs/>
                <w:color w:val="000000" w:themeColor="dark1"/>
                <w:kern w:val="24"/>
                <w:sz w:val="20"/>
                <w:szCs w:val="20"/>
                <w:lang w:eastAsia="en-US"/>
              </w:rPr>
              <w:t>3,300</w:t>
            </w:r>
          </w:p>
        </w:tc>
        <w:tc>
          <w:tcPr>
            <w:tcW w:w="992" w:type="dxa"/>
          </w:tcPr>
          <w:p w14:paraId="0C44F94C" w14:textId="77777777" w:rsidR="00957FAD" w:rsidRPr="004C4165" w:rsidRDefault="00957FAD" w:rsidP="00741B18">
            <w:pPr>
              <w:jc w:val="right"/>
              <w:textAlignment w:val="top"/>
              <w:rPr>
                <w:rFonts w:ascii="Times New Roman" w:hAnsi="Times New Roman" w:cs="Times New Roman"/>
                <w:bCs/>
                <w:color w:val="000000" w:themeColor="dark1"/>
                <w:kern w:val="24"/>
                <w:sz w:val="20"/>
                <w:szCs w:val="20"/>
                <w:lang w:eastAsia="en-US"/>
              </w:rPr>
            </w:pPr>
            <w:r w:rsidRPr="004C4165">
              <w:rPr>
                <w:rFonts w:ascii="Times New Roman" w:hAnsi="Times New Roman" w:cs="Times New Roman"/>
                <w:bCs/>
                <w:color w:val="000000" w:themeColor="dark1"/>
                <w:kern w:val="24"/>
                <w:sz w:val="20"/>
                <w:szCs w:val="20"/>
                <w:lang w:eastAsia="en-US"/>
              </w:rPr>
              <w:t>4,070</w:t>
            </w:r>
          </w:p>
        </w:tc>
        <w:tc>
          <w:tcPr>
            <w:tcW w:w="992" w:type="dxa"/>
          </w:tcPr>
          <w:p w14:paraId="4D1C8E08" w14:textId="77777777" w:rsidR="00957FAD" w:rsidRPr="004C4165" w:rsidRDefault="00957FAD" w:rsidP="00741B18">
            <w:pPr>
              <w:jc w:val="right"/>
              <w:textAlignment w:val="top"/>
              <w:rPr>
                <w:rFonts w:ascii="Times New Roman" w:hAnsi="Times New Roman" w:cs="Times New Roman"/>
                <w:bCs/>
                <w:color w:val="000000" w:themeColor="dark1"/>
                <w:kern w:val="24"/>
                <w:sz w:val="20"/>
                <w:szCs w:val="20"/>
                <w:lang w:eastAsia="en-US"/>
              </w:rPr>
            </w:pPr>
            <w:r w:rsidRPr="004C4165">
              <w:rPr>
                <w:rFonts w:ascii="Times New Roman" w:hAnsi="Times New Roman" w:cs="Times New Roman"/>
                <w:bCs/>
                <w:color w:val="000000" w:themeColor="dark1"/>
                <w:kern w:val="24"/>
                <w:sz w:val="20"/>
                <w:szCs w:val="20"/>
                <w:lang w:eastAsia="en-US"/>
              </w:rPr>
              <w:t>4,770</w:t>
            </w:r>
          </w:p>
        </w:tc>
        <w:tc>
          <w:tcPr>
            <w:tcW w:w="992" w:type="dxa"/>
          </w:tcPr>
          <w:p w14:paraId="5B81B64D" w14:textId="77777777" w:rsidR="00957FAD" w:rsidRPr="004C4165" w:rsidRDefault="00957FAD" w:rsidP="00741B18">
            <w:pPr>
              <w:jc w:val="right"/>
              <w:textAlignment w:val="top"/>
              <w:rPr>
                <w:rFonts w:ascii="Times New Roman" w:hAnsi="Times New Roman" w:cs="Times New Roman"/>
                <w:bCs/>
                <w:color w:val="000000" w:themeColor="dark1"/>
                <w:kern w:val="24"/>
                <w:sz w:val="20"/>
                <w:szCs w:val="20"/>
                <w:lang w:eastAsia="en-US"/>
              </w:rPr>
            </w:pPr>
            <w:r w:rsidRPr="004C4165">
              <w:rPr>
                <w:rFonts w:ascii="Times New Roman" w:hAnsi="Times New Roman" w:cs="Times New Roman"/>
                <w:bCs/>
                <w:color w:val="000000" w:themeColor="dark1"/>
                <w:kern w:val="24"/>
                <w:sz w:val="20"/>
                <w:szCs w:val="20"/>
                <w:lang w:eastAsia="en-US"/>
              </w:rPr>
              <w:t>3,810</w:t>
            </w:r>
          </w:p>
        </w:tc>
        <w:tc>
          <w:tcPr>
            <w:tcW w:w="1701" w:type="dxa"/>
          </w:tcPr>
          <w:p w14:paraId="1A3B894F" w14:textId="77777777" w:rsidR="00957FAD" w:rsidRPr="004C4165" w:rsidRDefault="00957FAD" w:rsidP="00741B18">
            <w:pPr>
              <w:jc w:val="right"/>
              <w:textAlignment w:val="top"/>
              <w:rPr>
                <w:rFonts w:ascii="Times New Roman" w:hAnsi="Times New Roman" w:cs="Times New Roman"/>
                <w:bCs/>
                <w:color w:val="000000" w:themeColor="dark1"/>
                <w:kern w:val="24"/>
                <w:sz w:val="20"/>
                <w:szCs w:val="20"/>
                <w:lang w:eastAsia="en-US"/>
              </w:rPr>
            </w:pPr>
            <w:r w:rsidRPr="004C4165">
              <w:rPr>
                <w:rFonts w:ascii="Times New Roman" w:hAnsi="Times New Roman" w:cs="Times New Roman"/>
                <w:bCs/>
                <w:color w:val="000000" w:themeColor="dark1"/>
                <w:kern w:val="24"/>
                <w:sz w:val="20"/>
                <w:szCs w:val="20"/>
                <w:lang w:eastAsia="en-US"/>
              </w:rPr>
              <w:t>61.6%</w:t>
            </w:r>
          </w:p>
        </w:tc>
      </w:tr>
      <w:tr w:rsidR="00957FAD" w:rsidRPr="00607AD4" w14:paraId="79E26AAF" w14:textId="77777777" w:rsidTr="00957FAD">
        <w:trPr>
          <w:trHeight w:val="271"/>
        </w:trPr>
        <w:tc>
          <w:tcPr>
            <w:tcW w:w="1843" w:type="dxa"/>
          </w:tcPr>
          <w:p w14:paraId="5B156640" w14:textId="77777777" w:rsidR="00957FAD" w:rsidRPr="004C4165" w:rsidRDefault="00957FAD" w:rsidP="00741B18">
            <w:pPr>
              <w:textAlignment w:val="top"/>
              <w:rPr>
                <w:rFonts w:ascii="Times New Roman" w:hAnsi="Times New Roman" w:cs="Times New Roman"/>
                <w:bCs/>
                <w:color w:val="000000" w:themeColor="dark1"/>
                <w:kern w:val="24"/>
                <w:sz w:val="20"/>
                <w:szCs w:val="20"/>
                <w:lang w:eastAsia="en-US"/>
              </w:rPr>
            </w:pPr>
            <w:r w:rsidRPr="004C4165">
              <w:rPr>
                <w:rFonts w:ascii="Times New Roman" w:hAnsi="Times New Roman" w:cs="Times New Roman"/>
                <w:bCs/>
                <w:color w:val="000000" w:themeColor="dark1"/>
                <w:kern w:val="24"/>
                <w:sz w:val="20"/>
                <w:szCs w:val="20"/>
                <w:lang w:eastAsia="en-US"/>
              </w:rPr>
              <w:t>Medicine</w:t>
            </w:r>
          </w:p>
        </w:tc>
        <w:tc>
          <w:tcPr>
            <w:tcW w:w="1134" w:type="dxa"/>
          </w:tcPr>
          <w:p w14:paraId="5F009903" w14:textId="77777777" w:rsidR="00957FAD" w:rsidRPr="004C4165" w:rsidRDefault="00957FAD" w:rsidP="00741B18">
            <w:pPr>
              <w:jc w:val="right"/>
              <w:textAlignment w:val="top"/>
              <w:rPr>
                <w:rFonts w:ascii="Times New Roman" w:hAnsi="Times New Roman" w:cs="Times New Roman"/>
                <w:bCs/>
                <w:color w:val="000000" w:themeColor="dark1"/>
                <w:kern w:val="24"/>
                <w:sz w:val="20"/>
                <w:szCs w:val="20"/>
                <w:lang w:eastAsia="en-US"/>
              </w:rPr>
            </w:pPr>
            <w:r w:rsidRPr="004C4165">
              <w:rPr>
                <w:rFonts w:ascii="Times New Roman" w:hAnsi="Times New Roman" w:cs="Times New Roman"/>
                <w:bCs/>
                <w:color w:val="000000" w:themeColor="dark1"/>
                <w:kern w:val="24"/>
                <w:sz w:val="20"/>
                <w:szCs w:val="20"/>
                <w:lang w:eastAsia="en-US"/>
              </w:rPr>
              <w:t>5,060</w:t>
            </w:r>
          </w:p>
        </w:tc>
        <w:tc>
          <w:tcPr>
            <w:tcW w:w="992" w:type="dxa"/>
          </w:tcPr>
          <w:p w14:paraId="34FAFA48" w14:textId="77777777" w:rsidR="00957FAD" w:rsidRPr="004C4165" w:rsidRDefault="00957FAD" w:rsidP="00741B18">
            <w:pPr>
              <w:jc w:val="right"/>
              <w:textAlignment w:val="top"/>
              <w:rPr>
                <w:rFonts w:ascii="Times New Roman" w:hAnsi="Times New Roman" w:cs="Times New Roman"/>
                <w:bCs/>
                <w:color w:val="000000" w:themeColor="dark1"/>
                <w:kern w:val="24"/>
                <w:sz w:val="20"/>
                <w:szCs w:val="20"/>
                <w:lang w:eastAsia="en-US"/>
              </w:rPr>
            </w:pPr>
            <w:r w:rsidRPr="004C4165">
              <w:rPr>
                <w:rFonts w:ascii="Times New Roman" w:hAnsi="Times New Roman" w:cs="Times New Roman"/>
                <w:bCs/>
                <w:color w:val="000000" w:themeColor="dark1"/>
                <w:kern w:val="24"/>
                <w:sz w:val="20"/>
                <w:szCs w:val="20"/>
                <w:lang w:eastAsia="en-US"/>
              </w:rPr>
              <w:t>4,600</w:t>
            </w:r>
          </w:p>
        </w:tc>
        <w:tc>
          <w:tcPr>
            <w:tcW w:w="993" w:type="dxa"/>
          </w:tcPr>
          <w:p w14:paraId="1B606F1B" w14:textId="77777777" w:rsidR="00957FAD" w:rsidRPr="004C4165" w:rsidRDefault="00957FAD" w:rsidP="00741B18">
            <w:pPr>
              <w:jc w:val="right"/>
              <w:textAlignment w:val="top"/>
              <w:rPr>
                <w:rFonts w:ascii="Times New Roman" w:hAnsi="Times New Roman" w:cs="Times New Roman"/>
                <w:bCs/>
                <w:color w:val="000000" w:themeColor="dark1"/>
                <w:kern w:val="24"/>
                <w:sz w:val="20"/>
                <w:szCs w:val="20"/>
                <w:lang w:eastAsia="en-US"/>
              </w:rPr>
            </w:pPr>
            <w:r w:rsidRPr="004C4165">
              <w:rPr>
                <w:rFonts w:ascii="Times New Roman" w:hAnsi="Times New Roman" w:cs="Times New Roman"/>
                <w:bCs/>
                <w:color w:val="000000" w:themeColor="dark1"/>
                <w:kern w:val="24"/>
                <w:sz w:val="20"/>
                <w:szCs w:val="20"/>
                <w:lang w:eastAsia="en-US"/>
              </w:rPr>
              <w:t>4,990</w:t>
            </w:r>
          </w:p>
        </w:tc>
        <w:tc>
          <w:tcPr>
            <w:tcW w:w="992" w:type="dxa"/>
          </w:tcPr>
          <w:p w14:paraId="5D931534" w14:textId="77777777" w:rsidR="00957FAD" w:rsidRPr="004C4165" w:rsidRDefault="00957FAD" w:rsidP="00741B18">
            <w:pPr>
              <w:jc w:val="right"/>
              <w:textAlignment w:val="top"/>
              <w:rPr>
                <w:rFonts w:ascii="Times New Roman" w:hAnsi="Times New Roman" w:cs="Times New Roman"/>
                <w:bCs/>
                <w:color w:val="000000" w:themeColor="dark1"/>
                <w:kern w:val="24"/>
                <w:sz w:val="20"/>
                <w:szCs w:val="20"/>
                <w:lang w:eastAsia="en-US"/>
              </w:rPr>
            </w:pPr>
            <w:r w:rsidRPr="004C4165">
              <w:rPr>
                <w:rFonts w:ascii="Times New Roman" w:hAnsi="Times New Roman" w:cs="Times New Roman"/>
                <w:bCs/>
                <w:color w:val="000000" w:themeColor="dark1"/>
                <w:kern w:val="24"/>
                <w:sz w:val="20"/>
                <w:szCs w:val="20"/>
                <w:lang w:eastAsia="en-US"/>
              </w:rPr>
              <w:t>5,030</w:t>
            </w:r>
          </w:p>
        </w:tc>
        <w:tc>
          <w:tcPr>
            <w:tcW w:w="992" w:type="dxa"/>
          </w:tcPr>
          <w:p w14:paraId="6EA16725" w14:textId="77777777" w:rsidR="00957FAD" w:rsidRPr="004C4165" w:rsidRDefault="00957FAD" w:rsidP="00741B18">
            <w:pPr>
              <w:jc w:val="right"/>
              <w:textAlignment w:val="top"/>
              <w:rPr>
                <w:rFonts w:ascii="Times New Roman" w:hAnsi="Times New Roman" w:cs="Times New Roman"/>
                <w:bCs/>
                <w:color w:val="000000" w:themeColor="dark1"/>
                <w:kern w:val="24"/>
                <w:sz w:val="20"/>
                <w:szCs w:val="20"/>
                <w:lang w:eastAsia="en-US"/>
              </w:rPr>
            </w:pPr>
            <w:r w:rsidRPr="004C4165">
              <w:rPr>
                <w:rFonts w:ascii="Times New Roman" w:hAnsi="Times New Roman" w:cs="Times New Roman"/>
                <w:bCs/>
                <w:color w:val="000000" w:themeColor="dark1"/>
                <w:kern w:val="24"/>
                <w:sz w:val="20"/>
                <w:szCs w:val="20"/>
                <w:lang w:eastAsia="en-US"/>
              </w:rPr>
              <w:t>4,590</w:t>
            </w:r>
          </w:p>
        </w:tc>
        <w:tc>
          <w:tcPr>
            <w:tcW w:w="992" w:type="dxa"/>
          </w:tcPr>
          <w:p w14:paraId="40FEEEED" w14:textId="77777777" w:rsidR="00957FAD" w:rsidRPr="004C4165" w:rsidRDefault="00957FAD" w:rsidP="00741B18">
            <w:pPr>
              <w:jc w:val="right"/>
              <w:textAlignment w:val="top"/>
              <w:rPr>
                <w:rFonts w:ascii="Times New Roman" w:hAnsi="Times New Roman" w:cs="Times New Roman"/>
                <w:bCs/>
                <w:color w:val="000000" w:themeColor="dark1"/>
                <w:kern w:val="24"/>
                <w:sz w:val="20"/>
                <w:szCs w:val="20"/>
                <w:lang w:eastAsia="en-US"/>
              </w:rPr>
            </w:pPr>
            <w:r w:rsidRPr="004C4165">
              <w:rPr>
                <w:rFonts w:ascii="Times New Roman" w:hAnsi="Times New Roman" w:cs="Times New Roman"/>
                <w:bCs/>
                <w:color w:val="000000" w:themeColor="dark1"/>
                <w:kern w:val="24"/>
                <w:sz w:val="20"/>
                <w:szCs w:val="20"/>
                <w:lang w:eastAsia="en-US"/>
              </w:rPr>
              <w:t>4,160</w:t>
            </w:r>
          </w:p>
        </w:tc>
        <w:tc>
          <w:tcPr>
            <w:tcW w:w="1701" w:type="dxa"/>
          </w:tcPr>
          <w:p w14:paraId="0F20D6F0" w14:textId="77777777" w:rsidR="00957FAD" w:rsidRPr="004C4165" w:rsidRDefault="00957FAD" w:rsidP="00741B18">
            <w:pPr>
              <w:jc w:val="right"/>
              <w:textAlignment w:val="top"/>
              <w:rPr>
                <w:rFonts w:ascii="Times New Roman" w:hAnsi="Times New Roman" w:cs="Times New Roman"/>
                <w:bCs/>
                <w:color w:val="000000" w:themeColor="dark1"/>
                <w:kern w:val="24"/>
                <w:sz w:val="20"/>
                <w:szCs w:val="20"/>
                <w:lang w:eastAsia="en-US"/>
              </w:rPr>
            </w:pPr>
            <w:r w:rsidRPr="004C4165">
              <w:rPr>
                <w:rFonts w:ascii="Times New Roman" w:hAnsi="Times New Roman" w:cs="Times New Roman"/>
                <w:bCs/>
                <w:color w:val="000000" w:themeColor="dark1"/>
                <w:kern w:val="24"/>
                <w:sz w:val="20"/>
                <w:szCs w:val="20"/>
                <w:lang w:eastAsia="en-US"/>
              </w:rPr>
              <w:t>34.7%</w:t>
            </w:r>
          </w:p>
        </w:tc>
      </w:tr>
      <w:tr w:rsidR="00957FAD" w:rsidRPr="00607AD4" w14:paraId="06F15D9A" w14:textId="77777777" w:rsidTr="00957FAD">
        <w:trPr>
          <w:trHeight w:val="271"/>
        </w:trPr>
        <w:tc>
          <w:tcPr>
            <w:tcW w:w="1843" w:type="dxa"/>
          </w:tcPr>
          <w:p w14:paraId="7E23AFEF" w14:textId="77777777" w:rsidR="00957FAD" w:rsidRPr="004C4165" w:rsidRDefault="00957FAD" w:rsidP="00741B18">
            <w:pPr>
              <w:textAlignment w:val="top"/>
              <w:rPr>
                <w:rFonts w:ascii="Times New Roman" w:hAnsi="Times New Roman" w:cs="Times New Roman"/>
                <w:bCs/>
                <w:color w:val="000000" w:themeColor="dark1"/>
                <w:kern w:val="24"/>
                <w:sz w:val="20"/>
                <w:szCs w:val="20"/>
                <w:lang w:eastAsia="en-US"/>
              </w:rPr>
            </w:pPr>
            <w:r w:rsidRPr="004C4165">
              <w:rPr>
                <w:rFonts w:ascii="Times New Roman" w:hAnsi="Times New Roman" w:cs="Times New Roman"/>
                <w:bCs/>
                <w:color w:val="000000" w:themeColor="dark1"/>
                <w:kern w:val="24"/>
                <w:sz w:val="20"/>
                <w:szCs w:val="20"/>
                <w:lang w:eastAsia="en-US"/>
              </w:rPr>
              <w:t>Education</w:t>
            </w:r>
          </w:p>
        </w:tc>
        <w:tc>
          <w:tcPr>
            <w:tcW w:w="1134" w:type="dxa"/>
          </w:tcPr>
          <w:p w14:paraId="3A216779" w14:textId="77777777" w:rsidR="00957FAD" w:rsidRPr="004C4165" w:rsidRDefault="00957FAD" w:rsidP="00741B18">
            <w:pPr>
              <w:jc w:val="right"/>
              <w:textAlignment w:val="top"/>
              <w:rPr>
                <w:rFonts w:ascii="Times New Roman" w:hAnsi="Times New Roman" w:cs="Times New Roman"/>
                <w:bCs/>
                <w:color w:val="000000" w:themeColor="dark1"/>
                <w:kern w:val="24"/>
                <w:sz w:val="20"/>
                <w:szCs w:val="20"/>
                <w:lang w:eastAsia="en-US"/>
              </w:rPr>
            </w:pPr>
            <w:r w:rsidRPr="004C4165">
              <w:rPr>
                <w:rFonts w:ascii="Times New Roman" w:hAnsi="Times New Roman" w:cs="Times New Roman"/>
                <w:bCs/>
                <w:color w:val="000000" w:themeColor="dark1"/>
                <w:kern w:val="24"/>
                <w:sz w:val="20"/>
                <w:szCs w:val="20"/>
                <w:lang w:eastAsia="en-US"/>
              </w:rPr>
              <w:t>1,220</w:t>
            </w:r>
          </w:p>
        </w:tc>
        <w:tc>
          <w:tcPr>
            <w:tcW w:w="992" w:type="dxa"/>
          </w:tcPr>
          <w:p w14:paraId="2E8B6C58" w14:textId="77777777" w:rsidR="00957FAD" w:rsidRPr="004C4165" w:rsidRDefault="00957FAD" w:rsidP="00741B18">
            <w:pPr>
              <w:jc w:val="right"/>
              <w:textAlignment w:val="top"/>
              <w:rPr>
                <w:rFonts w:ascii="Times New Roman" w:hAnsi="Times New Roman" w:cs="Times New Roman"/>
                <w:bCs/>
                <w:color w:val="000000" w:themeColor="dark1"/>
                <w:kern w:val="24"/>
                <w:sz w:val="20"/>
                <w:szCs w:val="20"/>
                <w:lang w:eastAsia="en-US"/>
              </w:rPr>
            </w:pPr>
            <w:r w:rsidRPr="004C4165">
              <w:rPr>
                <w:rFonts w:ascii="Times New Roman" w:hAnsi="Times New Roman" w:cs="Times New Roman"/>
                <w:bCs/>
                <w:color w:val="000000" w:themeColor="dark1"/>
                <w:kern w:val="24"/>
                <w:sz w:val="20"/>
                <w:szCs w:val="20"/>
                <w:lang w:eastAsia="en-US"/>
              </w:rPr>
              <w:t>1,130</w:t>
            </w:r>
          </w:p>
        </w:tc>
        <w:tc>
          <w:tcPr>
            <w:tcW w:w="993" w:type="dxa"/>
          </w:tcPr>
          <w:p w14:paraId="35C82836" w14:textId="77777777" w:rsidR="00957FAD" w:rsidRPr="004C4165" w:rsidRDefault="00957FAD" w:rsidP="00741B18">
            <w:pPr>
              <w:jc w:val="right"/>
              <w:textAlignment w:val="top"/>
              <w:rPr>
                <w:rFonts w:ascii="Times New Roman" w:hAnsi="Times New Roman" w:cs="Times New Roman"/>
                <w:bCs/>
                <w:color w:val="000000" w:themeColor="dark1"/>
                <w:kern w:val="24"/>
                <w:sz w:val="20"/>
                <w:szCs w:val="20"/>
                <w:lang w:eastAsia="en-US"/>
              </w:rPr>
            </w:pPr>
            <w:r w:rsidRPr="004C4165">
              <w:rPr>
                <w:rFonts w:ascii="Times New Roman" w:hAnsi="Times New Roman" w:cs="Times New Roman"/>
                <w:bCs/>
                <w:color w:val="000000" w:themeColor="dark1"/>
                <w:kern w:val="24"/>
                <w:sz w:val="20"/>
                <w:szCs w:val="20"/>
                <w:lang w:eastAsia="en-US"/>
              </w:rPr>
              <w:t>1,420</w:t>
            </w:r>
          </w:p>
        </w:tc>
        <w:tc>
          <w:tcPr>
            <w:tcW w:w="992" w:type="dxa"/>
          </w:tcPr>
          <w:p w14:paraId="5ABB7AF4" w14:textId="77777777" w:rsidR="00957FAD" w:rsidRPr="004C4165" w:rsidRDefault="00957FAD" w:rsidP="00741B18">
            <w:pPr>
              <w:jc w:val="right"/>
              <w:textAlignment w:val="top"/>
              <w:rPr>
                <w:rFonts w:ascii="Times New Roman" w:hAnsi="Times New Roman" w:cs="Times New Roman"/>
                <w:bCs/>
                <w:color w:val="000000" w:themeColor="dark1"/>
                <w:kern w:val="24"/>
                <w:sz w:val="20"/>
                <w:szCs w:val="20"/>
                <w:lang w:eastAsia="en-US"/>
              </w:rPr>
            </w:pPr>
            <w:r w:rsidRPr="004C4165">
              <w:rPr>
                <w:rFonts w:ascii="Times New Roman" w:hAnsi="Times New Roman" w:cs="Times New Roman"/>
                <w:bCs/>
                <w:color w:val="000000" w:themeColor="dark1"/>
                <w:kern w:val="24"/>
                <w:sz w:val="20"/>
                <w:szCs w:val="20"/>
                <w:lang w:eastAsia="en-US"/>
              </w:rPr>
              <w:t>2,190</w:t>
            </w:r>
          </w:p>
        </w:tc>
        <w:tc>
          <w:tcPr>
            <w:tcW w:w="992" w:type="dxa"/>
          </w:tcPr>
          <w:p w14:paraId="6568CC96" w14:textId="77777777" w:rsidR="00957FAD" w:rsidRPr="004C4165" w:rsidRDefault="00957FAD" w:rsidP="00741B18">
            <w:pPr>
              <w:jc w:val="right"/>
              <w:textAlignment w:val="top"/>
              <w:rPr>
                <w:rFonts w:ascii="Times New Roman" w:hAnsi="Times New Roman" w:cs="Times New Roman"/>
                <w:bCs/>
                <w:color w:val="000000" w:themeColor="dark1"/>
                <w:kern w:val="24"/>
                <w:sz w:val="20"/>
                <w:szCs w:val="20"/>
                <w:lang w:eastAsia="en-US"/>
              </w:rPr>
            </w:pPr>
            <w:r w:rsidRPr="004C4165">
              <w:rPr>
                <w:rFonts w:ascii="Times New Roman" w:hAnsi="Times New Roman" w:cs="Times New Roman"/>
                <w:bCs/>
                <w:color w:val="000000" w:themeColor="dark1"/>
                <w:kern w:val="24"/>
                <w:sz w:val="20"/>
                <w:szCs w:val="20"/>
                <w:lang w:eastAsia="en-US"/>
              </w:rPr>
              <w:t>2,830</w:t>
            </w:r>
          </w:p>
        </w:tc>
        <w:tc>
          <w:tcPr>
            <w:tcW w:w="992" w:type="dxa"/>
          </w:tcPr>
          <w:p w14:paraId="007D908E" w14:textId="77777777" w:rsidR="00957FAD" w:rsidRPr="004C4165" w:rsidRDefault="00957FAD" w:rsidP="00741B18">
            <w:pPr>
              <w:jc w:val="right"/>
              <w:textAlignment w:val="top"/>
              <w:rPr>
                <w:rFonts w:ascii="Times New Roman" w:hAnsi="Times New Roman" w:cs="Times New Roman"/>
                <w:bCs/>
                <w:color w:val="000000" w:themeColor="dark1"/>
                <w:kern w:val="24"/>
                <w:sz w:val="20"/>
                <w:szCs w:val="20"/>
                <w:lang w:eastAsia="en-US"/>
              </w:rPr>
            </w:pPr>
            <w:r w:rsidRPr="004C4165">
              <w:rPr>
                <w:rFonts w:ascii="Times New Roman" w:hAnsi="Times New Roman" w:cs="Times New Roman"/>
                <w:bCs/>
                <w:color w:val="000000" w:themeColor="dark1"/>
                <w:kern w:val="24"/>
                <w:sz w:val="20"/>
                <w:szCs w:val="20"/>
                <w:lang w:eastAsia="en-US"/>
              </w:rPr>
              <w:t>2,910</w:t>
            </w:r>
          </w:p>
        </w:tc>
        <w:tc>
          <w:tcPr>
            <w:tcW w:w="1701" w:type="dxa"/>
          </w:tcPr>
          <w:p w14:paraId="6C1F46F0" w14:textId="77777777" w:rsidR="00957FAD" w:rsidRPr="004C4165" w:rsidRDefault="00957FAD" w:rsidP="00741B18">
            <w:pPr>
              <w:jc w:val="right"/>
              <w:textAlignment w:val="top"/>
              <w:rPr>
                <w:rFonts w:ascii="Times New Roman" w:hAnsi="Times New Roman" w:cs="Times New Roman"/>
                <w:bCs/>
                <w:color w:val="000000" w:themeColor="dark1"/>
                <w:kern w:val="24"/>
                <w:sz w:val="20"/>
                <w:szCs w:val="20"/>
                <w:lang w:eastAsia="en-US"/>
              </w:rPr>
            </w:pPr>
            <w:r w:rsidRPr="004C4165">
              <w:rPr>
                <w:rFonts w:ascii="Times New Roman" w:hAnsi="Times New Roman" w:cs="Times New Roman"/>
                <w:bCs/>
                <w:color w:val="000000" w:themeColor="dark1"/>
                <w:kern w:val="24"/>
                <w:sz w:val="20"/>
                <w:szCs w:val="20"/>
                <w:lang w:eastAsia="en-US"/>
              </w:rPr>
              <w:t>50.8%</w:t>
            </w:r>
          </w:p>
        </w:tc>
      </w:tr>
      <w:tr w:rsidR="00957FAD" w:rsidRPr="00607AD4" w14:paraId="0049363A" w14:textId="77777777" w:rsidTr="00957FAD">
        <w:trPr>
          <w:trHeight w:val="316"/>
        </w:trPr>
        <w:tc>
          <w:tcPr>
            <w:tcW w:w="1843" w:type="dxa"/>
          </w:tcPr>
          <w:p w14:paraId="74A097E9" w14:textId="77777777" w:rsidR="00957FAD" w:rsidRPr="004C4165" w:rsidRDefault="00957FAD" w:rsidP="00741B18">
            <w:pPr>
              <w:textAlignment w:val="top"/>
              <w:rPr>
                <w:rFonts w:ascii="Times New Roman" w:hAnsi="Times New Roman" w:cs="Times New Roman"/>
                <w:bCs/>
                <w:color w:val="000000" w:themeColor="dark1"/>
                <w:kern w:val="24"/>
                <w:sz w:val="20"/>
                <w:szCs w:val="20"/>
                <w:lang w:eastAsia="en-US"/>
              </w:rPr>
            </w:pPr>
            <w:r w:rsidRPr="004C4165">
              <w:rPr>
                <w:rFonts w:ascii="Times New Roman" w:hAnsi="Times New Roman" w:cs="Times New Roman"/>
                <w:bCs/>
                <w:color w:val="000000" w:themeColor="dark1"/>
                <w:kern w:val="24"/>
                <w:sz w:val="20"/>
                <w:szCs w:val="20"/>
                <w:lang w:eastAsia="en-US"/>
              </w:rPr>
              <w:t>Total (all fields)</w:t>
            </w:r>
          </w:p>
        </w:tc>
        <w:tc>
          <w:tcPr>
            <w:tcW w:w="1134" w:type="dxa"/>
          </w:tcPr>
          <w:p w14:paraId="4FF0C3F9" w14:textId="77777777" w:rsidR="00957FAD" w:rsidRPr="004C4165" w:rsidRDefault="00957FAD" w:rsidP="00741B18">
            <w:pPr>
              <w:jc w:val="right"/>
              <w:textAlignment w:val="top"/>
              <w:rPr>
                <w:rFonts w:ascii="Times New Roman" w:hAnsi="Times New Roman" w:cs="Times New Roman"/>
                <w:bCs/>
                <w:color w:val="000000" w:themeColor="dark1"/>
                <w:kern w:val="24"/>
                <w:sz w:val="20"/>
                <w:szCs w:val="20"/>
                <w:lang w:eastAsia="en-US"/>
              </w:rPr>
            </w:pPr>
            <w:r w:rsidRPr="004C4165">
              <w:rPr>
                <w:rFonts w:ascii="Times New Roman" w:hAnsi="Times New Roman" w:cs="Times New Roman"/>
                <w:bCs/>
                <w:color w:val="000000" w:themeColor="dark1"/>
                <w:kern w:val="24"/>
                <w:sz w:val="20"/>
                <w:szCs w:val="20"/>
                <w:lang w:eastAsia="en-US"/>
              </w:rPr>
              <w:t>77,300</w:t>
            </w:r>
          </w:p>
        </w:tc>
        <w:tc>
          <w:tcPr>
            <w:tcW w:w="992" w:type="dxa"/>
          </w:tcPr>
          <w:p w14:paraId="629B0ABC" w14:textId="77777777" w:rsidR="00957FAD" w:rsidRPr="004C4165" w:rsidRDefault="00957FAD" w:rsidP="00741B18">
            <w:pPr>
              <w:jc w:val="right"/>
              <w:textAlignment w:val="top"/>
              <w:rPr>
                <w:rFonts w:ascii="Times New Roman" w:hAnsi="Times New Roman" w:cs="Times New Roman"/>
                <w:bCs/>
                <w:color w:val="000000" w:themeColor="dark1"/>
                <w:kern w:val="24"/>
                <w:sz w:val="20"/>
                <w:szCs w:val="20"/>
                <w:lang w:eastAsia="en-US"/>
              </w:rPr>
            </w:pPr>
            <w:r w:rsidRPr="004C4165">
              <w:rPr>
                <w:rFonts w:ascii="Times New Roman" w:hAnsi="Times New Roman" w:cs="Times New Roman"/>
                <w:bCs/>
                <w:color w:val="000000" w:themeColor="dark1"/>
                <w:kern w:val="24"/>
                <w:sz w:val="20"/>
                <w:szCs w:val="20"/>
                <w:lang w:eastAsia="en-US"/>
              </w:rPr>
              <w:t>68,400</w:t>
            </w:r>
          </w:p>
        </w:tc>
        <w:tc>
          <w:tcPr>
            <w:tcW w:w="993" w:type="dxa"/>
          </w:tcPr>
          <w:p w14:paraId="70F7C1FC" w14:textId="77777777" w:rsidR="00957FAD" w:rsidRPr="004C4165" w:rsidRDefault="00957FAD" w:rsidP="00741B18">
            <w:pPr>
              <w:jc w:val="right"/>
              <w:textAlignment w:val="top"/>
              <w:rPr>
                <w:rFonts w:ascii="Times New Roman" w:hAnsi="Times New Roman" w:cs="Times New Roman"/>
                <w:bCs/>
                <w:color w:val="000000" w:themeColor="dark1"/>
                <w:kern w:val="24"/>
                <w:sz w:val="20"/>
                <w:szCs w:val="20"/>
                <w:lang w:eastAsia="en-US"/>
              </w:rPr>
            </w:pPr>
            <w:r w:rsidRPr="004C4165">
              <w:rPr>
                <w:rFonts w:ascii="Times New Roman" w:hAnsi="Times New Roman" w:cs="Times New Roman"/>
                <w:bCs/>
                <w:color w:val="000000" w:themeColor="dark1"/>
                <w:kern w:val="24"/>
                <w:sz w:val="20"/>
                <w:szCs w:val="20"/>
                <w:lang w:eastAsia="en-US"/>
              </w:rPr>
              <w:t>72,030</w:t>
            </w:r>
          </w:p>
        </w:tc>
        <w:tc>
          <w:tcPr>
            <w:tcW w:w="992" w:type="dxa"/>
          </w:tcPr>
          <w:p w14:paraId="6BD9CBC4" w14:textId="77777777" w:rsidR="00957FAD" w:rsidRPr="004C4165" w:rsidRDefault="00957FAD" w:rsidP="00741B18">
            <w:pPr>
              <w:jc w:val="right"/>
              <w:textAlignment w:val="top"/>
              <w:rPr>
                <w:rFonts w:ascii="Times New Roman" w:hAnsi="Times New Roman" w:cs="Times New Roman"/>
                <w:bCs/>
                <w:color w:val="000000" w:themeColor="dark1"/>
                <w:kern w:val="24"/>
                <w:sz w:val="20"/>
                <w:szCs w:val="20"/>
                <w:lang w:eastAsia="en-US"/>
              </w:rPr>
            </w:pPr>
            <w:r w:rsidRPr="004C4165">
              <w:rPr>
                <w:rFonts w:ascii="Times New Roman" w:hAnsi="Times New Roman" w:cs="Times New Roman"/>
                <w:bCs/>
                <w:color w:val="000000" w:themeColor="dark1"/>
                <w:kern w:val="24"/>
                <w:sz w:val="20"/>
                <w:szCs w:val="20"/>
                <w:lang w:eastAsia="en-US"/>
              </w:rPr>
              <w:t>91,050</w:t>
            </w:r>
          </w:p>
        </w:tc>
        <w:tc>
          <w:tcPr>
            <w:tcW w:w="992" w:type="dxa"/>
          </w:tcPr>
          <w:p w14:paraId="1D6B1BB6" w14:textId="77777777" w:rsidR="00957FAD" w:rsidRPr="004C4165" w:rsidRDefault="00957FAD" w:rsidP="00741B18">
            <w:pPr>
              <w:jc w:val="right"/>
              <w:textAlignment w:val="top"/>
              <w:rPr>
                <w:rFonts w:ascii="Times New Roman" w:hAnsi="Times New Roman" w:cs="Times New Roman"/>
                <w:bCs/>
                <w:color w:val="000000" w:themeColor="dark1"/>
                <w:kern w:val="24"/>
                <w:sz w:val="20"/>
                <w:szCs w:val="20"/>
                <w:lang w:eastAsia="en-US"/>
              </w:rPr>
            </w:pPr>
            <w:r w:rsidRPr="004C4165">
              <w:rPr>
                <w:rFonts w:ascii="Times New Roman" w:hAnsi="Times New Roman" w:cs="Times New Roman"/>
                <w:bCs/>
                <w:color w:val="000000" w:themeColor="dark1"/>
                <w:kern w:val="24"/>
                <w:sz w:val="20"/>
                <w:szCs w:val="20"/>
                <w:lang w:eastAsia="en-US"/>
              </w:rPr>
              <w:t>107,970</w:t>
            </w:r>
          </w:p>
        </w:tc>
        <w:tc>
          <w:tcPr>
            <w:tcW w:w="992" w:type="dxa"/>
          </w:tcPr>
          <w:p w14:paraId="3112D22F" w14:textId="77777777" w:rsidR="00957FAD" w:rsidRPr="004C4165" w:rsidRDefault="00957FAD" w:rsidP="00741B18">
            <w:pPr>
              <w:jc w:val="right"/>
              <w:textAlignment w:val="top"/>
              <w:rPr>
                <w:rFonts w:ascii="Times New Roman" w:hAnsi="Times New Roman" w:cs="Times New Roman"/>
                <w:bCs/>
                <w:color w:val="000000" w:themeColor="dark1"/>
                <w:kern w:val="24"/>
                <w:sz w:val="20"/>
                <w:szCs w:val="20"/>
                <w:lang w:eastAsia="en-US"/>
              </w:rPr>
            </w:pPr>
            <w:r w:rsidRPr="004C4165">
              <w:rPr>
                <w:rFonts w:ascii="Times New Roman" w:hAnsi="Times New Roman" w:cs="Times New Roman"/>
                <w:bCs/>
                <w:color w:val="000000" w:themeColor="dark1"/>
                <w:kern w:val="24"/>
                <w:sz w:val="20"/>
                <w:szCs w:val="20"/>
                <w:lang w:eastAsia="en-US"/>
              </w:rPr>
              <w:t>108,870</w:t>
            </w:r>
          </w:p>
        </w:tc>
        <w:tc>
          <w:tcPr>
            <w:tcW w:w="1701" w:type="dxa"/>
          </w:tcPr>
          <w:p w14:paraId="3A163056" w14:textId="77777777" w:rsidR="00957FAD" w:rsidRPr="004C4165" w:rsidRDefault="00957FAD" w:rsidP="00741B18">
            <w:pPr>
              <w:jc w:val="right"/>
              <w:textAlignment w:val="top"/>
              <w:rPr>
                <w:rFonts w:ascii="Times New Roman" w:hAnsi="Times New Roman" w:cs="Times New Roman"/>
                <w:bCs/>
                <w:color w:val="000000" w:themeColor="dark1"/>
                <w:kern w:val="24"/>
                <w:sz w:val="20"/>
                <w:szCs w:val="20"/>
                <w:lang w:eastAsia="en-US"/>
              </w:rPr>
            </w:pPr>
            <w:r w:rsidRPr="004C4165">
              <w:rPr>
                <w:rFonts w:ascii="Times New Roman" w:hAnsi="Times New Roman" w:cs="Times New Roman"/>
                <w:bCs/>
                <w:color w:val="000000" w:themeColor="dark1"/>
                <w:kern w:val="24"/>
                <w:sz w:val="20"/>
                <w:szCs w:val="20"/>
                <w:lang w:eastAsia="en-US"/>
              </w:rPr>
              <w:t>50.9%</w:t>
            </w:r>
          </w:p>
        </w:tc>
      </w:tr>
      <w:tr w:rsidR="00957FAD" w:rsidRPr="00607AD4" w14:paraId="4C6E6201" w14:textId="77777777" w:rsidTr="00957FAD">
        <w:trPr>
          <w:trHeight w:val="280"/>
        </w:trPr>
        <w:tc>
          <w:tcPr>
            <w:tcW w:w="1843" w:type="dxa"/>
            <w:shd w:val="clear" w:color="auto" w:fill="FDE9D9" w:themeFill="accent6" w:themeFillTint="33"/>
            <w:hideMark/>
          </w:tcPr>
          <w:p w14:paraId="13B20087" w14:textId="77777777" w:rsidR="00957FAD" w:rsidRPr="00607AD4" w:rsidRDefault="00957FAD" w:rsidP="00741B18">
            <w:pPr>
              <w:textAlignment w:val="top"/>
              <w:rPr>
                <w:rFonts w:ascii="Times New Roman" w:hAnsi="Times New Roman" w:cs="Times New Roman"/>
                <w:b/>
                <w:color w:val="000000" w:themeColor="dark1"/>
                <w:kern w:val="24"/>
                <w:sz w:val="20"/>
                <w:szCs w:val="20"/>
                <w:lang w:eastAsia="en-US"/>
              </w:rPr>
            </w:pPr>
            <w:r w:rsidRPr="00607AD4">
              <w:rPr>
                <w:rFonts w:ascii="Times New Roman" w:hAnsi="Times New Roman" w:cs="Times New Roman"/>
                <w:b/>
                <w:color w:val="000000" w:themeColor="dark1"/>
                <w:kern w:val="24"/>
                <w:sz w:val="20"/>
                <w:szCs w:val="20"/>
                <w:lang w:eastAsia="en-US"/>
              </w:rPr>
              <w:t xml:space="preserve">Permanent Arrivals </w:t>
            </w:r>
          </w:p>
          <w:p w14:paraId="2ECAEA07" w14:textId="77777777" w:rsidR="00957FAD" w:rsidRPr="00607AD4" w:rsidRDefault="00957FAD" w:rsidP="00741B18">
            <w:pPr>
              <w:textAlignment w:val="top"/>
              <w:rPr>
                <w:rFonts w:ascii="Times New Roman" w:hAnsi="Times New Roman" w:cs="Times New Roman"/>
                <w:b/>
                <w:sz w:val="20"/>
                <w:szCs w:val="20"/>
                <w:lang w:val="en-US" w:eastAsia="en-US"/>
              </w:rPr>
            </w:pPr>
            <w:r w:rsidRPr="00607AD4">
              <w:rPr>
                <w:rFonts w:ascii="Times New Roman" w:hAnsi="Times New Roman" w:cs="Times New Roman"/>
                <w:b/>
                <w:color w:val="000000" w:themeColor="dark1"/>
                <w:kern w:val="24"/>
                <w:sz w:val="20"/>
                <w:szCs w:val="20"/>
                <w:lang w:eastAsia="en-US"/>
              </w:rPr>
              <w:t>(GSM Visa)</w:t>
            </w:r>
          </w:p>
        </w:tc>
        <w:tc>
          <w:tcPr>
            <w:tcW w:w="1134" w:type="dxa"/>
            <w:shd w:val="clear" w:color="auto" w:fill="FDE9D9" w:themeFill="accent6" w:themeFillTint="33"/>
          </w:tcPr>
          <w:p w14:paraId="3980CC1E" w14:textId="77777777" w:rsidR="00957FAD" w:rsidRPr="00607AD4" w:rsidRDefault="00957FAD" w:rsidP="00741B18">
            <w:pPr>
              <w:jc w:val="right"/>
              <w:textAlignment w:val="top"/>
              <w:rPr>
                <w:rFonts w:ascii="Times New Roman" w:hAnsi="Times New Roman" w:cs="Times New Roman"/>
                <w:b/>
                <w:sz w:val="20"/>
                <w:szCs w:val="20"/>
                <w:lang w:val="en-US" w:eastAsia="en-US"/>
              </w:rPr>
            </w:pPr>
          </w:p>
        </w:tc>
        <w:tc>
          <w:tcPr>
            <w:tcW w:w="992" w:type="dxa"/>
            <w:shd w:val="clear" w:color="auto" w:fill="FDE9D9" w:themeFill="accent6" w:themeFillTint="33"/>
          </w:tcPr>
          <w:p w14:paraId="1D236215" w14:textId="77777777" w:rsidR="00957FAD" w:rsidRPr="00607AD4" w:rsidRDefault="00957FAD" w:rsidP="00741B18">
            <w:pPr>
              <w:jc w:val="right"/>
              <w:textAlignment w:val="top"/>
              <w:rPr>
                <w:rFonts w:ascii="Times New Roman" w:hAnsi="Times New Roman" w:cs="Times New Roman"/>
                <w:b/>
                <w:sz w:val="20"/>
                <w:szCs w:val="20"/>
                <w:lang w:val="en-US" w:eastAsia="en-US"/>
              </w:rPr>
            </w:pPr>
          </w:p>
        </w:tc>
        <w:tc>
          <w:tcPr>
            <w:tcW w:w="993" w:type="dxa"/>
            <w:shd w:val="clear" w:color="auto" w:fill="FDE9D9" w:themeFill="accent6" w:themeFillTint="33"/>
          </w:tcPr>
          <w:p w14:paraId="71768888" w14:textId="77777777" w:rsidR="00957FAD" w:rsidRPr="00607AD4" w:rsidRDefault="00957FAD" w:rsidP="00741B18">
            <w:pPr>
              <w:jc w:val="right"/>
              <w:textAlignment w:val="top"/>
              <w:rPr>
                <w:rFonts w:ascii="Times New Roman" w:hAnsi="Times New Roman" w:cs="Times New Roman"/>
                <w:b/>
                <w:sz w:val="20"/>
                <w:szCs w:val="20"/>
                <w:lang w:val="en-US" w:eastAsia="en-US"/>
              </w:rPr>
            </w:pPr>
          </w:p>
        </w:tc>
        <w:tc>
          <w:tcPr>
            <w:tcW w:w="992" w:type="dxa"/>
            <w:shd w:val="clear" w:color="auto" w:fill="FDE9D9" w:themeFill="accent6" w:themeFillTint="33"/>
          </w:tcPr>
          <w:p w14:paraId="6B60BF7E" w14:textId="77777777" w:rsidR="00957FAD" w:rsidRPr="00607AD4" w:rsidRDefault="00957FAD" w:rsidP="00741B18">
            <w:pPr>
              <w:jc w:val="right"/>
              <w:textAlignment w:val="top"/>
              <w:rPr>
                <w:rFonts w:ascii="Times New Roman" w:hAnsi="Times New Roman" w:cs="Times New Roman"/>
                <w:b/>
                <w:sz w:val="20"/>
                <w:szCs w:val="20"/>
                <w:lang w:val="en-US" w:eastAsia="en-US"/>
              </w:rPr>
            </w:pPr>
          </w:p>
        </w:tc>
        <w:tc>
          <w:tcPr>
            <w:tcW w:w="992" w:type="dxa"/>
            <w:shd w:val="clear" w:color="auto" w:fill="FDE9D9" w:themeFill="accent6" w:themeFillTint="33"/>
          </w:tcPr>
          <w:p w14:paraId="799F28CD" w14:textId="77777777" w:rsidR="00957FAD" w:rsidRPr="00607AD4" w:rsidRDefault="00957FAD" w:rsidP="00741B18">
            <w:pPr>
              <w:jc w:val="right"/>
              <w:textAlignment w:val="top"/>
              <w:rPr>
                <w:rFonts w:ascii="Times New Roman" w:hAnsi="Times New Roman" w:cs="Times New Roman"/>
                <w:b/>
                <w:color w:val="000000" w:themeColor="dark1"/>
                <w:kern w:val="24"/>
                <w:sz w:val="20"/>
                <w:szCs w:val="20"/>
                <w:lang w:eastAsia="en-US"/>
              </w:rPr>
            </w:pPr>
          </w:p>
        </w:tc>
        <w:tc>
          <w:tcPr>
            <w:tcW w:w="992" w:type="dxa"/>
            <w:shd w:val="clear" w:color="auto" w:fill="FDE9D9" w:themeFill="accent6" w:themeFillTint="33"/>
          </w:tcPr>
          <w:p w14:paraId="69ED2D31" w14:textId="77777777" w:rsidR="00957FAD" w:rsidRPr="00607AD4" w:rsidRDefault="00957FAD" w:rsidP="00741B18">
            <w:pPr>
              <w:jc w:val="right"/>
              <w:textAlignment w:val="top"/>
              <w:rPr>
                <w:rFonts w:ascii="Times New Roman" w:hAnsi="Times New Roman" w:cs="Times New Roman"/>
                <w:b/>
                <w:sz w:val="20"/>
                <w:szCs w:val="20"/>
                <w:lang w:val="en-US" w:eastAsia="en-US"/>
              </w:rPr>
            </w:pPr>
          </w:p>
        </w:tc>
        <w:tc>
          <w:tcPr>
            <w:tcW w:w="1701" w:type="dxa"/>
            <w:shd w:val="clear" w:color="auto" w:fill="FDE9D9" w:themeFill="accent6" w:themeFillTint="33"/>
          </w:tcPr>
          <w:p w14:paraId="4AEBA038" w14:textId="77777777" w:rsidR="00957FAD" w:rsidRPr="00607AD4" w:rsidRDefault="00957FAD" w:rsidP="00741B18">
            <w:pPr>
              <w:jc w:val="right"/>
              <w:textAlignment w:val="top"/>
              <w:rPr>
                <w:rFonts w:ascii="Times New Roman" w:hAnsi="Times New Roman" w:cs="Times New Roman"/>
                <w:b/>
                <w:sz w:val="20"/>
                <w:szCs w:val="20"/>
                <w:lang w:val="en-US" w:eastAsia="en-US"/>
              </w:rPr>
            </w:pPr>
            <w:r w:rsidRPr="00607AD4">
              <w:rPr>
                <w:rFonts w:ascii="Times New Roman" w:hAnsi="Times New Roman" w:cs="Times New Roman"/>
                <w:b/>
                <w:sz w:val="20"/>
                <w:szCs w:val="20"/>
                <w:lang w:val="en-US" w:eastAsia="en-US"/>
              </w:rPr>
              <w:t>% + No. Total 2008-14 Approvals</w:t>
            </w:r>
          </w:p>
        </w:tc>
      </w:tr>
      <w:tr w:rsidR="00957FAD" w:rsidRPr="00557485" w14:paraId="1B6338C8" w14:textId="77777777" w:rsidTr="00957FAD">
        <w:trPr>
          <w:trHeight w:val="316"/>
        </w:trPr>
        <w:tc>
          <w:tcPr>
            <w:tcW w:w="1843" w:type="dxa"/>
          </w:tcPr>
          <w:p w14:paraId="41B29C27" w14:textId="77777777" w:rsidR="00957FAD" w:rsidRPr="00607AD4" w:rsidRDefault="00957FAD" w:rsidP="00741B18">
            <w:pPr>
              <w:textAlignment w:val="top"/>
              <w:rPr>
                <w:rFonts w:ascii="Times New Roman" w:hAnsi="Times New Roman" w:cs="Times New Roman"/>
                <w:sz w:val="20"/>
                <w:szCs w:val="20"/>
                <w:lang w:val="en-US" w:eastAsia="en-US"/>
              </w:rPr>
            </w:pPr>
            <w:r w:rsidRPr="00607AD4">
              <w:rPr>
                <w:rFonts w:ascii="Times New Roman" w:hAnsi="Times New Roman" w:cs="Times New Roman"/>
                <w:sz w:val="20"/>
                <w:szCs w:val="20"/>
                <w:lang w:val="en-US" w:eastAsia="en-US"/>
              </w:rPr>
              <w:t>Computing/ IT</w:t>
            </w:r>
          </w:p>
        </w:tc>
        <w:tc>
          <w:tcPr>
            <w:tcW w:w="1134" w:type="dxa"/>
          </w:tcPr>
          <w:p w14:paraId="7C1D4B32" w14:textId="77777777" w:rsidR="00957FAD" w:rsidRPr="00607AD4" w:rsidRDefault="00957FAD" w:rsidP="00741B18">
            <w:pPr>
              <w:jc w:val="right"/>
              <w:textAlignment w:val="top"/>
              <w:rPr>
                <w:rFonts w:ascii="Times New Roman" w:hAnsi="Times New Roman" w:cs="Times New Roman"/>
                <w:sz w:val="20"/>
                <w:szCs w:val="20"/>
                <w:lang w:val="en-US" w:eastAsia="en-US"/>
              </w:rPr>
            </w:pPr>
            <w:r w:rsidRPr="00607AD4">
              <w:rPr>
                <w:rFonts w:ascii="Times New Roman" w:hAnsi="Times New Roman" w:cs="Times New Roman"/>
                <w:sz w:val="20"/>
                <w:szCs w:val="20"/>
                <w:lang w:val="en-US" w:eastAsia="en-US"/>
              </w:rPr>
              <w:t>4,774</w:t>
            </w:r>
          </w:p>
        </w:tc>
        <w:tc>
          <w:tcPr>
            <w:tcW w:w="992" w:type="dxa"/>
          </w:tcPr>
          <w:p w14:paraId="0ADAC4DD" w14:textId="77777777" w:rsidR="00957FAD" w:rsidRPr="00607AD4" w:rsidRDefault="00957FAD" w:rsidP="00741B18">
            <w:pPr>
              <w:jc w:val="right"/>
              <w:textAlignment w:val="top"/>
              <w:rPr>
                <w:rFonts w:ascii="Times New Roman" w:hAnsi="Times New Roman" w:cs="Times New Roman"/>
                <w:sz w:val="20"/>
                <w:szCs w:val="20"/>
                <w:lang w:val="en-US" w:eastAsia="en-US"/>
              </w:rPr>
            </w:pPr>
            <w:r w:rsidRPr="00607AD4">
              <w:rPr>
                <w:rFonts w:ascii="Times New Roman" w:hAnsi="Times New Roman" w:cs="Times New Roman"/>
                <w:sz w:val="20"/>
                <w:szCs w:val="20"/>
                <w:lang w:val="en-US" w:eastAsia="en-US"/>
              </w:rPr>
              <w:t>5,205</w:t>
            </w:r>
          </w:p>
        </w:tc>
        <w:tc>
          <w:tcPr>
            <w:tcW w:w="993" w:type="dxa"/>
          </w:tcPr>
          <w:p w14:paraId="05BF03F7" w14:textId="77777777" w:rsidR="00957FAD" w:rsidRPr="00607AD4" w:rsidRDefault="00957FAD" w:rsidP="00741B18">
            <w:pPr>
              <w:jc w:val="right"/>
              <w:textAlignment w:val="top"/>
              <w:rPr>
                <w:rFonts w:ascii="Times New Roman" w:hAnsi="Times New Roman" w:cs="Times New Roman"/>
                <w:sz w:val="20"/>
                <w:szCs w:val="20"/>
                <w:lang w:val="en-US" w:eastAsia="en-US"/>
              </w:rPr>
            </w:pPr>
            <w:r w:rsidRPr="00607AD4">
              <w:rPr>
                <w:rFonts w:ascii="Times New Roman" w:hAnsi="Times New Roman" w:cs="Times New Roman"/>
                <w:sz w:val="20"/>
                <w:szCs w:val="20"/>
                <w:lang w:val="en-US" w:eastAsia="en-US"/>
              </w:rPr>
              <w:t>4,468</w:t>
            </w:r>
          </w:p>
        </w:tc>
        <w:tc>
          <w:tcPr>
            <w:tcW w:w="992" w:type="dxa"/>
          </w:tcPr>
          <w:p w14:paraId="0C07DE9E" w14:textId="77777777" w:rsidR="00957FAD" w:rsidRPr="00607AD4" w:rsidRDefault="00957FAD" w:rsidP="00741B18">
            <w:pPr>
              <w:jc w:val="right"/>
              <w:textAlignment w:val="top"/>
              <w:rPr>
                <w:rFonts w:ascii="Times New Roman" w:hAnsi="Times New Roman" w:cs="Times New Roman"/>
                <w:sz w:val="20"/>
                <w:szCs w:val="20"/>
                <w:lang w:val="en-US" w:eastAsia="en-US"/>
              </w:rPr>
            </w:pPr>
            <w:r w:rsidRPr="00607AD4">
              <w:rPr>
                <w:rFonts w:ascii="Times New Roman" w:hAnsi="Times New Roman" w:cs="Times New Roman"/>
                <w:sz w:val="20"/>
                <w:szCs w:val="20"/>
                <w:lang w:val="en-US" w:eastAsia="en-US"/>
              </w:rPr>
              <w:t>8,538</w:t>
            </w:r>
          </w:p>
        </w:tc>
        <w:tc>
          <w:tcPr>
            <w:tcW w:w="992" w:type="dxa"/>
          </w:tcPr>
          <w:p w14:paraId="24F41C9B" w14:textId="77777777" w:rsidR="00957FAD" w:rsidRPr="00557485" w:rsidRDefault="00957FAD" w:rsidP="00741B18">
            <w:pPr>
              <w:jc w:val="right"/>
              <w:textAlignment w:val="top"/>
              <w:rPr>
                <w:rFonts w:ascii="Times New Roman" w:hAnsi="Times New Roman" w:cs="Times New Roman"/>
                <w:sz w:val="20"/>
                <w:szCs w:val="20"/>
                <w:lang w:val="en-US" w:eastAsia="en-US"/>
              </w:rPr>
            </w:pPr>
            <w:r w:rsidRPr="00557485">
              <w:rPr>
                <w:rFonts w:ascii="Times New Roman" w:hAnsi="Times New Roman" w:cs="Times New Roman"/>
                <w:sz w:val="20"/>
                <w:szCs w:val="20"/>
                <w:lang w:val="en-US" w:eastAsia="en-US"/>
              </w:rPr>
              <w:t>8,389</w:t>
            </w:r>
          </w:p>
        </w:tc>
        <w:tc>
          <w:tcPr>
            <w:tcW w:w="992" w:type="dxa"/>
          </w:tcPr>
          <w:p w14:paraId="43FA2B8B" w14:textId="77777777" w:rsidR="00957FAD" w:rsidRPr="00607AD4" w:rsidRDefault="00957FAD" w:rsidP="00741B18">
            <w:pPr>
              <w:jc w:val="right"/>
              <w:textAlignment w:val="top"/>
              <w:rPr>
                <w:rFonts w:ascii="Times New Roman" w:hAnsi="Times New Roman" w:cs="Times New Roman"/>
                <w:sz w:val="20"/>
                <w:szCs w:val="20"/>
                <w:lang w:val="en-US" w:eastAsia="en-US"/>
              </w:rPr>
            </w:pPr>
            <w:r w:rsidRPr="00607AD4">
              <w:rPr>
                <w:rFonts w:ascii="Times New Roman" w:hAnsi="Times New Roman" w:cs="Times New Roman"/>
                <w:sz w:val="20"/>
                <w:szCs w:val="20"/>
                <w:lang w:val="en-US" w:eastAsia="en-US"/>
              </w:rPr>
              <w:t>7,975</w:t>
            </w:r>
          </w:p>
        </w:tc>
        <w:tc>
          <w:tcPr>
            <w:tcW w:w="1701" w:type="dxa"/>
          </w:tcPr>
          <w:p w14:paraId="6F65470A" w14:textId="77777777" w:rsidR="00957FAD" w:rsidRPr="00607AD4" w:rsidRDefault="00957FAD" w:rsidP="00741B18">
            <w:pPr>
              <w:jc w:val="right"/>
              <w:textAlignment w:val="top"/>
              <w:rPr>
                <w:rFonts w:ascii="Times New Roman" w:hAnsi="Times New Roman" w:cs="Times New Roman"/>
                <w:sz w:val="20"/>
                <w:szCs w:val="20"/>
                <w:lang w:val="en-US" w:eastAsia="en-US"/>
              </w:rPr>
            </w:pPr>
            <w:r>
              <w:rPr>
                <w:rFonts w:ascii="Times New Roman" w:hAnsi="Times New Roman" w:cs="Times New Roman"/>
                <w:sz w:val="20"/>
                <w:szCs w:val="20"/>
                <w:lang w:val="en-US" w:eastAsia="en-US"/>
              </w:rPr>
              <w:t xml:space="preserve">37.2 </w:t>
            </w:r>
            <w:r w:rsidRPr="00607AD4">
              <w:rPr>
                <w:rFonts w:ascii="Times New Roman" w:hAnsi="Times New Roman" w:cs="Times New Roman"/>
                <w:sz w:val="20"/>
                <w:szCs w:val="20"/>
                <w:lang w:val="en-US" w:eastAsia="en-US"/>
              </w:rPr>
              <w:t>(39,349)</w:t>
            </w:r>
          </w:p>
        </w:tc>
      </w:tr>
      <w:tr w:rsidR="00957FAD" w:rsidRPr="00607AD4" w14:paraId="3DCF7098" w14:textId="77777777" w:rsidTr="00957FAD">
        <w:trPr>
          <w:trHeight w:val="316"/>
        </w:trPr>
        <w:tc>
          <w:tcPr>
            <w:tcW w:w="1843" w:type="dxa"/>
          </w:tcPr>
          <w:p w14:paraId="48860495" w14:textId="77777777" w:rsidR="00957FAD" w:rsidRPr="00607AD4" w:rsidRDefault="00957FAD" w:rsidP="00741B18">
            <w:pPr>
              <w:textAlignment w:val="top"/>
              <w:rPr>
                <w:rFonts w:ascii="Times New Roman" w:hAnsi="Times New Roman" w:cs="Times New Roman"/>
                <w:b/>
                <w:sz w:val="20"/>
                <w:szCs w:val="20"/>
                <w:lang w:val="en-US" w:eastAsia="en-US"/>
              </w:rPr>
            </w:pPr>
            <w:r w:rsidRPr="00607AD4">
              <w:rPr>
                <w:rFonts w:ascii="Times New Roman" w:hAnsi="Times New Roman" w:cs="Times New Roman"/>
                <w:sz w:val="20"/>
                <w:szCs w:val="20"/>
                <w:lang w:val="en-US" w:eastAsia="en-US"/>
              </w:rPr>
              <w:t>Engineering</w:t>
            </w:r>
          </w:p>
        </w:tc>
        <w:tc>
          <w:tcPr>
            <w:tcW w:w="1134" w:type="dxa"/>
          </w:tcPr>
          <w:p w14:paraId="586A9D3F" w14:textId="77777777" w:rsidR="00957FAD" w:rsidRPr="00607AD4" w:rsidRDefault="00957FAD" w:rsidP="00741B18">
            <w:pPr>
              <w:jc w:val="right"/>
              <w:textAlignment w:val="top"/>
              <w:rPr>
                <w:rFonts w:ascii="Times New Roman" w:hAnsi="Times New Roman" w:cs="Times New Roman"/>
                <w:sz w:val="20"/>
                <w:szCs w:val="20"/>
                <w:lang w:val="en-US" w:eastAsia="en-US"/>
              </w:rPr>
            </w:pPr>
            <w:r w:rsidRPr="00607AD4">
              <w:rPr>
                <w:rFonts w:ascii="Times New Roman" w:hAnsi="Times New Roman" w:cs="Times New Roman"/>
                <w:sz w:val="20"/>
                <w:szCs w:val="20"/>
                <w:lang w:val="en-US" w:eastAsia="en-US"/>
              </w:rPr>
              <w:t>4,319</w:t>
            </w:r>
          </w:p>
        </w:tc>
        <w:tc>
          <w:tcPr>
            <w:tcW w:w="992" w:type="dxa"/>
          </w:tcPr>
          <w:p w14:paraId="0D1F60EB" w14:textId="77777777" w:rsidR="00957FAD" w:rsidRPr="00607AD4" w:rsidRDefault="00957FAD" w:rsidP="00741B18">
            <w:pPr>
              <w:jc w:val="right"/>
              <w:textAlignment w:val="top"/>
              <w:rPr>
                <w:rFonts w:ascii="Times New Roman" w:hAnsi="Times New Roman" w:cs="Times New Roman"/>
                <w:sz w:val="20"/>
                <w:szCs w:val="20"/>
                <w:lang w:val="en-US" w:eastAsia="en-US"/>
              </w:rPr>
            </w:pPr>
            <w:r w:rsidRPr="00607AD4">
              <w:rPr>
                <w:rFonts w:ascii="Times New Roman" w:hAnsi="Times New Roman" w:cs="Times New Roman"/>
                <w:sz w:val="20"/>
                <w:szCs w:val="20"/>
                <w:lang w:val="en-US" w:eastAsia="en-US"/>
              </w:rPr>
              <w:t>5,907</w:t>
            </w:r>
          </w:p>
        </w:tc>
        <w:tc>
          <w:tcPr>
            <w:tcW w:w="993" w:type="dxa"/>
          </w:tcPr>
          <w:p w14:paraId="07D5C17C" w14:textId="77777777" w:rsidR="00957FAD" w:rsidRPr="00607AD4" w:rsidRDefault="00957FAD" w:rsidP="00741B18">
            <w:pPr>
              <w:jc w:val="right"/>
              <w:textAlignment w:val="top"/>
              <w:rPr>
                <w:rFonts w:ascii="Times New Roman" w:hAnsi="Times New Roman" w:cs="Times New Roman"/>
                <w:sz w:val="20"/>
                <w:szCs w:val="20"/>
                <w:lang w:val="en-US" w:eastAsia="en-US"/>
              </w:rPr>
            </w:pPr>
            <w:r w:rsidRPr="00607AD4">
              <w:rPr>
                <w:rFonts w:ascii="Times New Roman" w:hAnsi="Times New Roman" w:cs="Times New Roman"/>
                <w:sz w:val="20"/>
                <w:szCs w:val="20"/>
                <w:lang w:val="en-US" w:eastAsia="en-US"/>
              </w:rPr>
              <w:t>4,112</w:t>
            </w:r>
          </w:p>
        </w:tc>
        <w:tc>
          <w:tcPr>
            <w:tcW w:w="992" w:type="dxa"/>
          </w:tcPr>
          <w:p w14:paraId="2E6C68AC" w14:textId="77777777" w:rsidR="00957FAD" w:rsidRPr="00607AD4" w:rsidRDefault="00957FAD" w:rsidP="00741B18">
            <w:pPr>
              <w:jc w:val="right"/>
              <w:textAlignment w:val="top"/>
              <w:rPr>
                <w:rFonts w:ascii="Times New Roman" w:hAnsi="Times New Roman" w:cs="Times New Roman"/>
                <w:sz w:val="20"/>
                <w:szCs w:val="20"/>
                <w:lang w:val="en-US" w:eastAsia="en-US"/>
              </w:rPr>
            </w:pPr>
            <w:r w:rsidRPr="00607AD4">
              <w:rPr>
                <w:rFonts w:ascii="Times New Roman" w:hAnsi="Times New Roman" w:cs="Times New Roman"/>
                <w:sz w:val="20"/>
                <w:szCs w:val="20"/>
                <w:lang w:val="en-US" w:eastAsia="en-US"/>
              </w:rPr>
              <w:t>4,891</w:t>
            </w:r>
          </w:p>
        </w:tc>
        <w:tc>
          <w:tcPr>
            <w:tcW w:w="992" w:type="dxa"/>
          </w:tcPr>
          <w:p w14:paraId="0FF851EC" w14:textId="77777777" w:rsidR="00957FAD" w:rsidRPr="00607AD4" w:rsidRDefault="00957FAD" w:rsidP="00741B18">
            <w:pPr>
              <w:jc w:val="right"/>
              <w:textAlignment w:val="top"/>
              <w:rPr>
                <w:rFonts w:ascii="Times New Roman" w:hAnsi="Times New Roman" w:cs="Times New Roman"/>
                <w:color w:val="000000" w:themeColor="dark1"/>
                <w:kern w:val="24"/>
                <w:sz w:val="20"/>
                <w:szCs w:val="20"/>
                <w:lang w:eastAsia="en-US"/>
              </w:rPr>
            </w:pPr>
            <w:r w:rsidRPr="00607AD4">
              <w:rPr>
                <w:rFonts w:ascii="Times New Roman" w:hAnsi="Times New Roman" w:cs="Times New Roman"/>
                <w:color w:val="000000" w:themeColor="dark1"/>
                <w:kern w:val="24"/>
                <w:sz w:val="20"/>
                <w:szCs w:val="20"/>
                <w:lang w:eastAsia="en-US"/>
              </w:rPr>
              <w:t>3,898</w:t>
            </w:r>
          </w:p>
        </w:tc>
        <w:tc>
          <w:tcPr>
            <w:tcW w:w="992" w:type="dxa"/>
          </w:tcPr>
          <w:p w14:paraId="446B907E" w14:textId="77777777" w:rsidR="00957FAD" w:rsidRPr="00607AD4" w:rsidRDefault="00957FAD" w:rsidP="00741B18">
            <w:pPr>
              <w:jc w:val="right"/>
              <w:textAlignment w:val="top"/>
              <w:rPr>
                <w:rFonts w:ascii="Times New Roman" w:hAnsi="Times New Roman" w:cs="Times New Roman"/>
                <w:sz w:val="20"/>
                <w:szCs w:val="20"/>
                <w:lang w:val="en-US" w:eastAsia="en-US"/>
              </w:rPr>
            </w:pPr>
            <w:r w:rsidRPr="00607AD4">
              <w:rPr>
                <w:rFonts w:ascii="Times New Roman" w:hAnsi="Times New Roman" w:cs="Times New Roman"/>
                <w:sz w:val="20"/>
                <w:szCs w:val="20"/>
                <w:lang w:val="en-US" w:eastAsia="en-US"/>
              </w:rPr>
              <w:t>4,160</w:t>
            </w:r>
          </w:p>
        </w:tc>
        <w:tc>
          <w:tcPr>
            <w:tcW w:w="1701" w:type="dxa"/>
          </w:tcPr>
          <w:p w14:paraId="6D930FBB" w14:textId="77777777" w:rsidR="00957FAD" w:rsidRPr="00607AD4" w:rsidRDefault="00957FAD" w:rsidP="00741B18">
            <w:pPr>
              <w:jc w:val="right"/>
              <w:textAlignment w:val="top"/>
              <w:rPr>
                <w:rFonts w:ascii="Times New Roman" w:hAnsi="Times New Roman" w:cs="Times New Roman"/>
                <w:sz w:val="20"/>
                <w:szCs w:val="20"/>
                <w:lang w:val="en-US" w:eastAsia="en-US"/>
              </w:rPr>
            </w:pPr>
            <w:r>
              <w:rPr>
                <w:rFonts w:ascii="Times New Roman" w:hAnsi="Times New Roman" w:cs="Times New Roman"/>
                <w:sz w:val="20"/>
                <w:szCs w:val="20"/>
                <w:lang w:val="en-US" w:eastAsia="en-US"/>
              </w:rPr>
              <w:t xml:space="preserve">35.2 </w:t>
            </w:r>
            <w:r w:rsidRPr="00607AD4">
              <w:rPr>
                <w:rFonts w:ascii="Times New Roman" w:hAnsi="Times New Roman" w:cs="Times New Roman"/>
                <w:sz w:val="20"/>
                <w:szCs w:val="20"/>
                <w:lang w:val="en-US" w:eastAsia="en-US"/>
              </w:rPr>
              <w:t>(27,287)</w:t>
            </w:r>
          </w:p>
        </w:tc>
      </w:tr>
      <w:tr w:rsidR="00957FAD" w:rsidRPr="00607AD4" w14:paraId="3D42DE2B" w14:textId="77777777" w:rsidTr="00957FAD">
        <w:trPr>
          <w:trHeight w:val="226"/>
        </w:trPr>
        <w:tc>
          <w:tcPr>
            <w:tcW w:w="1843" w:type="dxa"/>
          </w:tcPr>
          <w:p w14:paraId="5A1F5434" w14:textId="77777777" w:rsidR="00957FAD" w:rsidRPr="00607AD4" w:rsidRDefault="00957FAD" w:rsidP="00741B18">
            <w:pPr>
              <w:textAlignment w:val="top"/>
              <w:rPr>
                <w:rFonts w:ascii="Times New Roman" w:hAnsi="Times New Roman" w:cs="Times New Roman"/>
                <w:sz w:val="20"/>
                <w:szCs w:val="20"/>
                <w:lang w:val="en-US" w:eastAsia="en-US"/>
              </w:rPr>
            </w:pPr>
            <w:r w:rsidRPr="00607AD4">
              <w:rPr>
                <w:rFonts w:ascii="Times New Roman" w:hAnsi="Times New Roman" w:cs="Times New Roman"/>
                <w:sz w:val="20"/>
                <w:szCs w:val="20"/>
                <w:lang w:val="en-US" w:eastAsia="en-US"/>
              </w:rPr>
              <w:t>Accounting</w:t>
            </w:r>
          </w:p>
        </w:tc>
        <w:tc>
          <w:tcPr>
            <w:tcW w:w="1134" w:type="dxa"/>
          </w:tcPr>
          <w:p w14:paraId="7EEE38B0" w14:textId="77777777" w:rsidR="00957FAD" w:rsidRPr="00607AD4" w:rsidRDefault="00957FAD" w:rsidP="00741B18">
            <w:pPr>
              <w:jc w:val="right"/>
              <w:textAlignment w:val="top"/>
              <w:rPr>
                <w:rFonts w:ascii="Times New Roman" w:hAnsi="Times New Roman" w:cs="Times New Roman"/>
                <w:sz w:val="20"/>
                <w:szCs w:val="20"/>
                <w:lang w:val="en-US" w:eastAsia="en-US"/>
              </w:rPr>
            </w:pPr>
            <w:r w:rsidRPr="00607AD4">
              <w:rPr>
                <w:rFonts w:ascii="Times New Roman" w:hAnsi="Times New Roman" w:cs="Times New Roman"/>
                <w:sz w:val="20"/>
                <w:szCs w:val="20"/>
                <w:lang w:val="en-US" w:eastAsia="en-US"/>
              </w:rPr>
              <w:t>6,642</w:t>
            </w:r>
          </w:p>
        </w:tc>
        <w:tc>
          <w:tcPr>
            <w:tcW w:w="992" w:type="dxa"/>
          </w:tcPr>
          <w:p w14:paraId="1401A410" w14:textId="77777777" w:rsidR="00957FAD" w:rsidRPr="00607AD4" w:rsidRDefault="00957FAD" w:rsidP="00741B18">
            <w:pPr>
              <w:jc w:val="right"/>
              <w:textAlignment w:val="top"/>
              <w:rPr>
                <w:rFonts w:ascii="Times New Roman" w:hAnsi="Times New Roman" w:cs="Times New Roman"/>
                <w:sz w:val="20"/>
                <w:szCs w:val="20"/>
                <w:lang w:val="en-US" w:eastAsia="en-US"/>
              </w:rPr>
            </w:pPr>
            <w:r w:rsidRPr="00607AD4">
              <w:rPr>
                <w:rFonts w:ascii="Times New Roman" w:hAnsi="Times New Roman" w:cs="Times New Roman"/>
                <w:sz w:val="20"/>
                <w:szCs w:val="20"/>
                <w:lang w:val="en-US" w:eastAsia="en-US"/>
              </w:rPr>
              <w:t>6,783</w:t>
            </w:r>
          </w:p>
        </w:tc>
        <w:tc>
          <w:tcPr>
            <w:tcW w:w="993" w:type="dxa"/>
          </w:tcPr>
          <w:p w14:paraId="1DFFB17D" w14:textId="77777777" w:rsidR="00957FAD" w:rsidRPr="00607AD4" w:rsidRDefault="00957FAD" w:rsidP="00741B18">
            <w:pPr>
              <w:jc w:val="right"/>
              <w:textAlignment w:val="top"/>
              <w:rPr>
                <w:rFonts w:ascii="Times New Roman" w:hAnsi="Times New Roman" w:cs="Times New Roman"/>
                <w:sz w:val="20"/>
                <w:szCs w:val="20"/>
                <w:lang w:val="en-US" w:eastAsia="en-US"/>
              </w:rPr>
            </w:pPr>
            <w:r w:rsidRPr="00607AD4">
              <w:rPr>
                <w:rFonts w:ascii="Times New Roman" w:hAnsi="Times New Roman" w:cs="Times New Roman"/>
                <w:sz w:val="20"/>
                <w:szCs w:val="20"/>
                <w:lang w:val="en-US" w:eastAsia="en-US"/>
              </w:rPr>
              <w:t>14,949</w:t>
            </w:r>
          </w:p>
        </w:tc>
        <w:tc>
          <w:tcPr>
            <w:tcW w:w="992" w:type="dxa"/>
          </w:tcPr>
          <w:p w14:paraId="7548BA4F" w14:textId="77777777" w:rsidR="00957FAD" w:rsidRPr="00607AD4" w:rsidRDefault="00957FAD" w:rsidP="00741B18">
            <w:pPr>
              <w:jc w:val="right"/>
              <w:textAlignment w:val="top"/>
              <w:rPr>
                <w:rFonts w:ascii="Times New Roman" w:hAnsi="Times New Roman" w:cs="Times New Roman"/>
                <w:sz w:val="20"/>
                <w:szCs w:val="20"/>
                <w:lang w:val="en-US" w:eastAsia="en-US"/>
              </w:rPr>
            </w:pPr>
            <w:r w:rsidRPr="00607AD4">
              <w:rPr>
                <w:rFonts w:ascii="Times New Roman" w:hAnsi="Times New Roman" w:cs="Times New Roman"/>
                <w:sz w:val="20"/>
                <w:szCs w:val="20"/>
                <w:lang w:val="en-US" w:eastAsia="en-US"/>
              </w:rPr>
              <w:t>7,303</w:t>
            </w:r>
          </w:p>
        </w:tc>
        <w:tc>
          <w:tcPr>
            <w:tcW w:w="992" w:type="dxa"/>
          </w:tcPr>
          <w:p w14:paraId="022067DB" w14:textId="77777777" w:rsidR="00957FAD" w:rsidRPr="00607AD4" w:rsidRDefault="00957FAD" w:rsidP="00741B18">
            <w:pPr>
              <w:jc w:val="right"/>
              <w:textAlignment w:val="top"/>
              <w:rPr>
                <w:rFonts w:ascii="Times New Roman" w:hAnsi="Times New Roman" w:cs="Times New Roman"/>
                <w:color w:val="000000" w:themeColor="dark1"/>
                <w:kern w:val="24"/>
                <w:sz w:val="20"/>
                <w:szCs w:val="20"/>
                <w:lang w:eastAsia="en-US"/>
              </w:rPr>
            </w:pPr>
            <w:r w:rsidRPr="00607AD4">
              <w:rPr>
                <w:rFonts w:ascii="Times New Roman" w:hAnsi="Times New Roman" w:cs="Times New Roman"/>
                <w:color w:val="000000" w:themeColor="dark1"/>
                <w:kern w:val="24"/>
                <w:sz w:val="20"/>
                <w:szCs w:val="20"/>
                <w:lang w:eastAsia="en-US"/>
              </w:rPr>
              <w:t>6,022</w:t>
            </w:r>
          </w:p>
        </w:tc>
        <w:tc>
          <w:tcPr>
            <w:tcW w:w="992" w:type="dxa"/>
          </w:tcPr>
          <w:p w14:paraId="303CF97A" w14:textId="77777777" w:rsidR="00957FAD" w:rsidRPr="00607AD4" w:rsidRDefault="00957FAD" w:rsidP="00741B18">
            <w:pPr>
              <w:jc w:val="right"/>
              <w:textAlignment w:val="top"/>
              <w:rPr>
                <w:rFonts w:ascii="Times New Roman" w:hAnsi="Times New Roman" w:cs="Times New Roman"/>
                <w:sz w:val="20"/>
                <w:szCs w:val="20"/>
                <w:lang w:val="en-US" w:eastAsia="en-US"/>
              </w:rPr>
            </w:pPr>
            <w:r w:rsidRPr="00607AD4">
              <w:rPr>
                <w:rFonts w:ascii="Times New Roman" w:hAnsi="Times New Roman" w:cs="Times New Roman"/>
                <w:sz w:val="20"/>
                <w:szCs w:val="20"/>
                <w:lang w:val="en-US" w:eastAsia="en-US"/>
              </w:rPr>
              <w:t>6,880</w:t>
            </w:r>
          </w:p>
        </w:tc>
        <w:tc>
          <w:tcPr>
            <w:tcW w:w="1701" w:type="dxa"/>
          </w:tcPr>
          <w:p w14:paraId="2E3B8AA6" w14:textId="77777777" w:rsidR="00957FAD" w:rsidRPr="00607AD4" w:rsidRDefault="00957FAD" w:rsidP="00741B18">
            <w:pPr>
              <w:jc w:val="right"/>
              <w:textAlignment w:val="top"/>
              <w:rPr>
                <w:rFonts w:ascii="Times New Roman" w:hAnsi="Times New Roman" w:cs="Times New Roman"/>
                <w:sz w:val="20"/>
                <w:szCs w:val="20"/>
                <w:lang w:val="en-US" w:eastAsia="en-US"/>
              </w:rPr>
            </w:pPr>
            <w:r>
              <w:rPr>
                <w:rFonts w:ascii="Times New Roman" w:hAnsi="Times New Roman" w:cs="Times New Roman"/>
                <w:sz w:val="20"/>
                <w:szCs w:val="20"/>
                <w:lang w:val="en-US" w:eastAsia="en-US"/>
              </w:rPr>
              <w:t xml:space="preserve">70.1 </w:t>
            </w:r>
            <w:r w:rsidRPr="00607AD4">
              <w:rPr>
                <w:rFonts w:ascii="Times New Roman" w:hAnsi="Times New Roman" w:cs="Times New Roman"/>
                <w:sz w:val="20"/>
                <w:szCs w:val="20"/>
                <w:lang w:val="en-US" w:eastAsia="en-US"/>
              </w:rPr>
              <w:t>(48,579)</w:t>
            </w:r>
          </w:p>
        </w:tc>
      </w:tr>
      <w:tr w:rsidR="00957FAD" w:rsidRPr="00607AD4" w14:paraId="60FF5B94" w14:textId="77777777" w:rsidTr="00957FAD">
        <w:trPr>
          <w:trHeight w:val="271"/>
        </w:trPr>
        <w:tc>
          <w:tcPr>
            <w:tcW w:w="1843" w:type="dxa"/>
          </w:tcPr>
          <w:p w14:paraId="4951E59F" w14:textId="77777777" w:rsidR="00957FAD" w:rsidRPr="00607AD4" w:rsidRDefault="00957FAD" w:rsidP="00741B18">
            <w:pPr>
              <w:textAlignment w:val="top"/>
              <w:rPr>
                <w:rFonts w:ascii="Times New Roman" w:hAnsi="Times New Roman" w:cs="Times New Roman"/>
                <w:sz w:val="20"/>
                <w:szCs w:val="20"/>
                <w:lang w:val="en-US" w:eastAsia="en-US"/>
              </w:rPr>
            </w:pPr>
            <w:r w:rsidRPr="00607AD4">
              <w:rPr>
                <w:rFonts w:ascii="Times New Roman" w:hAnsi="Times New Roman" w:cs="Times New Roman"/>
                <w:sz w:val="20"/>
                <w:szCs w:val="20"/>
                <w:lang w:val="en-US" w:eastAsia="en-US"/>
              </w:rPr>
              <w:t>Nursing</w:t>
            </w:r>
          </w:p>
        </w:tc>
        <w:tc>
          <w:tcPr>
            <w:tcW w:w="1134" w:type="dxa"/>
          </w:tcPr>
          <w:p w14:paraId="65E2E1F8" w14:textId="77777777" w:rsidR="00957FAD" w:rsidRPr="00607AD4" w:rsidRDefault="00957FAD" w:rsidP="00741B18">
            <w:pPr>
              <w:jc w:val="right"/>
              <w:textAlignment w:val="top"/>
              <w:rPr>
                <w:rFonts w:ascii="Times New Roman" w:hAnsi="Times New Roman" w:cs="Times New Roman"/>
                <w:sz w:val="20"/>
                <w:szCs w:val="20"/>
                <w:lang w:val="en-US" w:eastAsia="en-US"/>
              </w:rPr>
            </w:pPr>
            <w:r w:rsidRPr="00607AD4">
              <w:rPr>
                <w:rFonts w:ascii="Times New Roman" w:hAnsi="Times New Roman" w:cs="Times New Roman"/>
                <w:sz w:val="20"/>
                <w:szCs w:val="20"/>
                <w:lang w:val="en-US" w:eastAsia="en-US"/>
              </w:rPr>
              <w:t>1,357</w:t>
            </w:r>
          </w:p>
        </w:tc>
        <w:tc>
          <w:tcPr>
            <w:tcW w:w="992" w:type="dxa"/>
          </w:tcPr>
          <w:p w14:paraId="4C03E5CC" w14:textId="77777777" w:rsidR="00957FAD" w:rsidRPr="00607AD4" w:rsidRDefault="00957FAD" w:rsidP="00741B18">
            <w:pPr>
              <w:jc w:val="right"/>
              <w:textAlignment w:val="top"/>
              <w:rPr>
                <w:rFonts w:ascii="Times New Roman" w:hAnsi="Times New Roman" w:cs="Times New Roman"/>
                <w:sz w:val="20"/>
                <w:szCs w:val="20"/>
                <w:lang w:val="en-US" w:eastAsia="en-US"/>
              </w:rPr>
            </w:pPr>
            <w:r w:rsidRPr="00607AD4">
              <w:rPr>
                <w:rFonts w:ascii="Times New Roman" w:hAnsi="Times New Roman" w:cs="Times New Roman"/>
                <w:sz w:val="20"/>
                <w:szCs w:val="20"/>
                <w:lang w:val="en-US" w:eastAsia="en-US"/>
              </w:rPr>
              <w:t>1,700</w:t>
            </w:r>
          </w:p>
        </w:tc>
        <w:tc>
          <w:tcPr>
            <w:tcW w:w="993" w:type="dxa"/>
          </w:tcPr>
          <w:p w14:paraId="4C93A2DE" w14:textId="77777777" w:rsidR="00957FAD" w:rsidRPr="00607AD4" w:rsidRDefault="00957FAD" w:rsidP="00741B18">
            <w:pPr>
              <w:jc w:val="right"/>
              <w:textAlignment w:val="top"/>
              <w:rPr>
                <w:rFonts w:ascii="Times New Roman" w:hAnsi="Times New Roman" w:cs="Times New Roman"/>
                <w:sz w:val="20"/>
                <w:szCs w:val="20"/>
                <w:lang w:val="en-US" w:eastAsia="en-US"/>
              </w:rPr>
            </w:pPr>
            <w:r w:rsidRPr="00607AD4">
              <w:rPr>
                <w:rFonts w:ascii="Times New Roman" w:hAnsi="Times New Roman" w:cs="Times New Roman"/>
                <w:sz w:val="20"/>
                <w:szCs w:val="20"/>
                <w:lang w:val="en-US" w:eastAsia="en-US"/>
              </w:rPr>
              <w:t>1,374</w:t>
            </w:r>
          </w:p>
        </w:tc>
        <w:tc>
          <w:tcPr>
            <w:tcW w:w="992" w:type="dxa"/>
          </w:tcPr>
          <w:p w14:paraId="56DBFDBB" w14:textId="77777777" w:rsidR="00957FAD" w:rsidRPr="00607AD4" w:rsidRDefault="00957FAD" w:rsidP="00741B18">
            <w:pPr>
              <w:jc w:val="right"/>
              <w:textAlignment w:val="top"/>
              <w:rPr>
                <w:rFonts w:ascii="Times New Roman" w:hAnsi="Times New Roman" w:cs="Times New Roman"/>
                <w:sz w:val="20"/>
                <w:szCs w:val="20"/>
                <w:lang w:val="en-US" w:eastAsia="en-US"/>
              </w:rPr>
            </w:pPr>
            <w:r w:rsidRPr="00607AD4">
              <w:rPr>
                <w:rFonts w:ascii="Times New Roman" w:hAnsi="Times New Roman" w:cs="Times New Roman"/>
                <w:sz w:val="20"/>
                <w:szCs w:val="20"/>
                <w:lang w:val="en-US" w:eastAsia="en-US"/>
              </w:rPr>
              <w:t>1,174</w:t>
            </w:r>
          </w:p>
        </w:tc>
        <w:tc>
          <w:tcPr>
            <w:tcW w:w="992" w:type="dxa"/>
          </w:tcPr>
          <w:p w14:paraId="50A1DC07" w14:textId="77777777" w:rsidR="00957FAD" w:rsidRPr="00607AD4" w:rsidRDefault="00957FAD" w:rsidP="00741B18">
            <w:pPr>
              <w:jc w:val="right"/>
              <w:textAlignment w:val="top"/>
              <w:rPr>
                <w:rFonts w:ascii="Times New Roman" w:hAnsi="Times New Roman" w:cs="Times New Roman"/>
                <w:color w:val="000000" w:themeColor="dark1"/>
                <w:kern w:val="24"/>
                <w:sz w:val="20"/>
                <w:szCs w:val="20"/>
                <w:lang w:eastAsia="en-US"/>
              </w:rPr>
            </w:pPr>
            <w:r w:rsidRPr="00607AD4">
              <w:rPr>
                <w:rFonts w:ascii="Times New Roman" w:hAnsi="Times New Roman" w:cs="Times New Roman"/>
                <w:color w:val="000000" w:themeColor="dark1"/>
                <w:kern w:val="24"/>
                <w:sz w:val="20"/>
                <w:szCs w:val="20"/>
                <w:lang w:eastAsia="en-US"/>
              </w:rPr>
              <w:t>1,404</w:t>
            </w:r>
          </w:p>
        </w:tc>
        <w:tc>
          <w:tcPr>
            <w:tcW w:w="992" w:type="dxa"/>
          </w:tcPr>
          <w:p w14:paraId="6C82E45D" w14:textId="77777777" w:rsidR="00957FAD" w:rsidRPr="00607AD4" w:rsidRDefault="00957FAD" w:rsidP="00741B18">
            <w:pPr>
              <w:jc w:val="right"/>
              <w:textAlignment w:val="top"/>
              <w:rPr>
                <w:rFonts w:ascii="Times New Roman" w:hAnsi="Times New Roman" w:cs="Times New Roman"/>
                <w:sz w:val="20"/>
                <w:szCs w:val="20"/>
                <w:lang w:val="en-US" w:eastAsia="en-US"/>
              </w:rPr>
            </w:pPr>
            <w:r w:rsidRPr="00607AD4">
              <w:rPr>
                <w:rFonts w:ascii="Times New Roman" w:hAnsi="Times New Roman" w:cs="Times New Roman"/>
                <w:sz w:val="20"/>
                <w:szCs w:val="20"/>
                <w:lang w:val="en-US" w:eastAsia="en-US"/>
              </w:rPr>
              <w:t>2,761</w:t>
            </w:r>
          </w:p>
        </w:tc>
        <w:tc>
          <w:tcPr>
            <w:tcW w:w="1701" w:type="dxa"/>
          </w:tcPr>
          <w:p w14:paraId="747FAC3B" w14:textId="77777777" w:rsidR="00957FAD" w:rsidRPr="00607AD4" w:rsidRDefault="00957FAD" w:rsidP="00741B18">
            <w:pPr>
              <w:jc w:val="right"/>
              <w:textAlignment w:val="top"/>
              <w:rPr>
                <w:rFonts w:ascii="Times New Roman" w:hAnsi="Times New Roman" w:cs="Times New Roman"/>
                <w:sz w:val="20"/>
                <w:szCs w:val="20"/>
                <w:lang w:val="en-US" w:eastAsia="en-US"/>
              </w:rPr>
            </w:pPr>
            <w:r>
              <w:rPr>
                <w:rFonts w:ascii="Times New Roman" w:hAnsi="Times New Roman" w:cs="Times New Roman"/>
                <w:sz w:val="20"/>
                <w:szCs w:val="20"/>
                <w:lang w:val="en-US" w:eastAsia="en-US"/>
              </w:rPr>
              <w:t xml:space="preserve">57.5 </w:t>
            </w:r>
            <w:r w:rsidRPr="00607AD4">
              <w:rPr>
                <w:rFonts w:ascii="Times New Roman" w:hAnsi="Times New Roman" w:cs="Times New Roman"/>
                <w:sz w:val="20"/>
                <w:szCs w:val="20"/>
                <w:lang w:val="en-US" w:eastAsia="en-US"/>
              </w:rPr>
              <w:t>(9,770)</w:t>
            </w:r>
          </w:p>
        </w:tc>
      </w:tr>
      <w:tr w:rsidR="00957FAD" w:rsidRPr="00607AD4" w14:paraId="33138375" w14:textId="77777777" w:rsidTr="00957FAD">
        <w:trPr>
          <w:trHeight w:val="271"/>
        </w:trPr>
        <w:tc>
          <w:tcPr>
            <w:tcW w:w="1843" w:type="dxa"/>
          </w:tcPr>
          <w:p w14:paraId="3F691841" w14:textId="77777777" w:rsidR="00957FAD" w:rsidRPr="00607AD4" w:rsidRDefault="00957FAD" w:rsidP="00741B18">
            <w:pPr>
              <w:textAlignment w:val="top"/>
              <w:rPr>
                <w:rFonts w:ascii="Times New Roman" w:hAnsi="Times New Roman" w:cs="Times New Roman"/>
                <w:sz w:val="20"/>
                <w:szCs w:val="20"/>
                <w:lang w:val="en-US" w:eastAsia="en-US"/>
              </w:rPr>
            </w:pPr>
            <w:r w:rsidRPr="00607AD4">
              <w:rPr>
                <w:rFonts w:ascii="Times New Roman" w:hAnsi="Times New Roman" w:cs="Times New Roman"/>
                <w:sz w:val="20"/>
                <w:szCs w:val="20"/>
                <w:lang w:val="en-US" w:eastAsia="en-US"/>
              </w:rPr>
              <w:t>Medicine</w:t>
            </w:r>
          </w:p>
        </w:tc>
        <w:tc>
          <w:tcPr>
            <w:tcW w:w="1134" w:type="dxa"/>
          </w:tcPr>
          <w:p w14:paraId="3DD44723" w14:textId="77777777" w:rsidR="00957FAD" w:rsidRPr="00607AD4" w:rsidRDefault="00957FAD" w:rsidP="00741B18">
            <w:pPr>
              <w:jc w:val="right"/>
              <w:textAlignment w:val="top"/>
              <w:rPr>
                <w:rFonts w:ascii="Times New Roman" w:hAnsi="Times New Roman" w:cs="Times New Roman"/>
                <w:sz w:val="20"/>
                <w:szCs w:val="20"/>
                <w:lang w:val="en-US" w:eastAsia="en-US"/>
              </w:rPr>
            </w:pPr>
            <w:r w:rsidRPr="00607AD4">
              <w:rPr>
                <w:rFonts w:ascii="Times New Roman" w:hAnsi="Times New Roman" w:cs="Times New Roman"/>
                <w:sz w:val="20"/>
                <w:szCs w:val="20"/>
                <w:lang w:val="en-US" w:eastAsia="en-US"/>
              </w:rPr>
              <w:t>446</w:t>
            </w:r>
          </w:p>
        </w:tc>
        <w:tc>
          <w:tcPr>
            <w:tcW w:w="992" w:type="dxa"/>
          </w:tcPr>
          <w:p w14:paraId="13B9D52C" w14:textId="77777777" w:rsidR="00957FAD" w:rsidRPr="00607AD4" w:rsidRDefault="00957FAD" w:rsidP="00741B18">
            <w:pPr>
              <w:jc w:val="right"/>
              <w:textAlignment w:val="top"/>
              <w:rPr>
                <w:rFonts w:ascii="Times New Roman" w:hAnsi="Times New Roman" w:cs="Times New Roman"/>
                <w:sz w:val="20"/>
                <w:szCs w:val="20"/>
                <w:lang w:val="en-US" w:eastAsia="en-US"/>
              </w:rPr>
            </w:pPr>
            <w:r w:rsidRPr="00607AD4">
              <w:rPr>
                <w:rFonts w:ascii="Times New Roman" w:hAnsi="Times New Roman" w:cs="Times New Roman"/>
                <w:sz w:val="20"/>
                <w:szCs w:val="20"/>
                <w:lang w:val="en-US" w:eastAsia="en-US"/>
              </w:rPr>
              <w:t>1,070</w:t>
            </w:r>
          </w:p>
        </w:tc>
        <w:tc>
          <w:tcPr>
            <w:tcW w:w="993" w:type="dxa"/>
          </w:tcPr>
          <w:p w14:paraId="5B33A916" w14:textId="77777777" w:rsidR="00957FAD" w:rsidRPr="00607AD4" w:rsidRDefault="00957FAD" w:rsidP="00741B18">
            <w:pPr>
              <w:jc w:val="right"/>
              <w:textAlignment w:val="top"/>
              <w:rPr>
                <w:rFonts w:ascii="Times New Roman" w:hAnsi="Times New Roman" w:cs="Times New Roman"/>
                <w:sz w:val="20"/>
                <w:szCs w:val="20"/>
                <w:lang w:val="en-US" w:eastAsia="en-US"/>
              </w:rPr>
            </w:pPr>
            <w:r w:rsidRPr="00607AD4">
              <w:rPr>
                <w:rFonts w:ascii="Times New Roman" w:hAnsi="Times New Roman" w:cs="Times New Roman"/>
                <w:sz w:val="20"/>
                <w:szCs w:val="20"/>
                <w:lang w:val="en-US" w:eastAsia="en-US"/>
              </w:rPr>
              <w:t>508</w:t>
            </w:r>
          </w:p>
        </w:tc>
        <w:tc>
          <w:tcPr>
            <w:tcW w:w="992" w:type="dxa"/>
          </w:tcPr>
          <w:p w14:paraId="67EAA25B" w14:textId="77777777" w:rsidR="00957FAD" w:rsidRPr="00607AD4" w:rsidRDefault="00957FAD" w:rsidP="00741B18">
            <w:pPr>
              <w:jc w:val="right"/>
              <w:textAlignment w:val="top"/>
              <w:rPr>
                <w:rFonts w:ascii="Times New Roman" w:hAnsi="Times New Roman" w:cs="Times New Roman"/>
                <w:sz w:val="20"/>
                <w:szCs w:val="20"/>
                <w:lang w:val="en-US" w:eastAsia="en-US"/>
              </w:rPr>
            </w:pPr>
            <w:r w:rsidRPr="00607AD4">
              <w:rPr>
                <w:rFonts w:ascii="Times New Roman" w:hAnsi="Times New Roman" w:cs="Times New Roman"/>
                <w:sz w:val="20"/>
                <w:szCs w:val="20"/>
                <w:lang w:val="en-US" w:eastAsia="en-US"/>
              </w:rPr>
              <w:t>1,037</w:t>
            </w:r>
          </w:p>
        </w:tc>
        <w:tc>
          <w:tcPr>
            <w:tcW w:w="992" w:type="dxa"/>
          </w:tcPr>
          <w:p w14:paraId="2F637672" w14:textId="77777777" w:rsidR="00957FAD" w:rsidRPr="00607AD4" w:rsidRDefault="00957FAD" w:rsidP="00741B18">
            <w:pPr>
              <w:jc w:val="right"/>
              <w:textAlignment w:val="top"/>
              <w:rPr>
                <w:rFonts w:ascii="Times New Roman" w:hAnsi="Times New Roman" w:cs="Times New Roman"/>
                <w:color w:val="000000" w:themeColor="dark1"/>
                <w:kern w:val="24"/>
                <w:sz w:val="20"/>
                <w:szCs w:val="20"/>
                <w:lang w:eastAsia="en-US"/>
              </w:rPr>
            </w:pPr>
            <w:r w:rsidRPr="00607AD4">
              <w:rPr>
                <w:rFonts w:ascii="Times New Roman" w:hAnsi="Times New Roman" w:cs="Times New Roman"/>
                <w:color w:val="000000" w:themeColor="dark1"/>
                <w:kern w:val="24"/>
                <w:sz w:val="20"/>
                <w:szCs w:val="20"/>
                <w:lang w:eastAsia="en-US"/>
              </w:rPr>
              <w:t>1,289</w:t>
            </w:r>
          </w:p>
        </w:tc>
        <w:tc>
          <w:tcPr>
            <w:tcW w:w="992" w:type="dxa"/>
          </w:tcPr>
          <w:p w14:paraId="15C3B0C9" w14:textId="77777777" w:rsidR="00957FAD" w:rsidRPr="00607AD4" w:rsidRDefault="00957FAD" w:rsidP="00741B18">
            <w:pPr>
              <w:jc w:val="right"/>
              <w:textAlignment w:val="top"/>
              <w:rPr>
                <w:rFonts w:ascii="Times New Roman" w:hAnsi="Times New Roman" w:cs="Times New Roman"/>
                <w:sz w:val="20"/>
                <w:szCs w:val="20"/>
                <w:lang w:val="en-US" w:eastAsia="en-US"/>
              </w:rPr>
            </w:pPr>
            <w:r w:rsidRPr="00607AD4">
              <w:rPr>
                <w:rFonts w:ascii="Times New Roman" w:hAnsi="Times New Roman" w:cs="Times New Roman"/>
                <w:sz w:val="20"/>
                <w:szCs w:val="20"/>
                <w:lang w:val="en-US" w:eastAsia="en-US"/>
              </w:rPr>
              <w:t>1,134</w:t>
            </w:r>
          </w:p>
        </w:tc>
        <w:tc>
          <w:tcPr>
            <w:tcW w:w="1701" w:type="dxa"/>
          </w:tcPr>
          <w:p w14:paraId="0F61B96F" w14:textId="77777777" w:rsidR="00957FAD" w:rsidRPr="00607AD4" w:rsidRDefault="00957FAD" w:rsidP="00741B18">
            <w:pPr>
              <w:jc w:val="right"/>
              <w:textAlignment w:val="top"/>
              <w:rPr>
                <w:rFonts w:ascii="Times New Roman" w:hAnsi="Times New Roman" w:cs="Times New Roman"/>
                <w:sz w:val="20"/>
                <w:szCs w:val="20"/>
                <w:lang w:val="en-US" w:eastAsia="en-US"/>
              </w:rPr>
            </w:pPr>
            <w:r>
              <w:rPr>
                <w:rFonts w:ascii="Times New Roman" w:hAnsi="Times New Roman" w:cs="Times New Roman"/>
                <w:sz w:val="20"/>
                <w:szCs w:val="20"/>
                <w:lang w:val="en-US" w:eastAsia="en-US"/>
              </w:rPr>
              <w:t xml:space="preserve">28.8% </w:t>
            </w:r>
            <w:r w:rsidRPr="00607AD4">
              <w:rPr>
                <w:rFonts w:ascii="Times New Roman" w:hAnsi="Times New Roman" w:cs="Times New Roman"/>
                <w:sz w:val="20"/>
                <w:szCs w:val="20"/>
                <w:lang w:val="en-US" w:eastAsia="en-US"/>
              </w:rPr>
              <w:t>(5,484)</w:t>
            </w:r>
          </w:p>
        </w:tc>
      </w:tr>
      <w:tr w:rsidR="00957FAD" w:rsidRPr="00607AD4" w14:paraId="347D8C2F" w14:textId="77777777" w:rsidTr="00957FAD">
        <w:trPr>
          <w:trHeight w:val="316"/>
        </w:trPr>
        <w:tc>
          <w:tcPr>
            <w:tcW w:w="1843" w:type="dxa"/>
          </w:tcPr>
          <w:p w14:paraId="0EA6F8D2" w14:textId="77777777" w:rsidR="00957FAD" w:rsidRPr="00607AD4" w:rsidRDefault="00957FAD" w:rsidP="00741B18">
            <w:pPr>
              <w:textAlignment w:val="top"/>
              <w:rPr>
                <w:rFonts w:ascii="Times New Roman" w:hAnsi="Times New Roman" w:cs="Times New Roman"/>
                <w:sz w:val="20"/>
                <w:szCs w:val="20"/>
                <w:lang w:val="en-US" w:eastAsia="en-US"/>
              </w:rPr>
            </w:pPr>
            <w:r w:rsidRPr="00607AD4">
              <w:rPr>
                <w:rFonts w:ascii="Times New Roman" w:hAnsi="Times New Roman" w:cs="Times New Roman"/>
                <w:sz w:val="20"/>
                <w:szCs w:val="20"/>
                <w:lang w:val="en-US" w:eastAsia="en-US"/>
              </w:rPr>
              <w:t>Education</w:t>
            </w:r>
          </w:p>
        </w:tc>
        <w:tc>
          <w:tcPr>
            <w:tcW w:w="1134" w:type="dxa"/>
          </w:tcPr>
          <w:p w14:paraId="36A4578C" w14:textId="77777777" w:rsidR="00957FAD" w:rsidRPr="00607AD4" w:rsidRDefault="00957FAD" w:rsidP="00741B18">
            <w:pPr>
              <w:jc w:val="right"/>
              <w:textAlignment w:val="top"/>
              <w:rPr>
                <w:rFonts w:ascii="Times New Roman" w:hAnsi="Times New Roman" w:cs="Times New Roman"/>
                <w:sz w:val="20"/>
                <w:szCs w:val="20"/>
                <w:lang w:val="en-US" w:eastAsia="en-US"/>
              </w:rPr>
            </w:pPr>
            <w:r w:rsidRPr="00607AD4">
              <w:rPr>
                <w:rFonts w:ascii="Times New Roman" w:hAnsi="Times New Roman" w:cs="Times New Roman"/>
                <w:sz w:val="20"/>
                <w:szCs w:val="20"/>
                <w:lang w:val="en-US" w:eastAsia="en-US"/>
              </w:rPr>
              <w:t>883</w:t>
            </w:r>
          </w:p>
        </w:tc>
        <w:tc>
          <w:tcPr>
            <w:tcW w:w="992" w:type="dxa"/>
          </w:tcPr>
          <w:p w14:paraId="59BF65BB" w14:textId="77777777" w:rsidR="00957FAD" w:rsidRPr="00607AD4" w:rsidRDefault="00957FAD" w:rsidP="00741B18">
            <w:pPr>
              <w:jc w:val="right"/>
              <w:textAlignment w:val="top"/>
              <w:rPr>
                <w:rFonts w:ascii="Times New Roman" w:hAnsi="Times New Roman" w:cs="Times New Roman"/>
                <w:sz w:val="20"/>
                <w:szCs w:val="20"/>
                <w:lang w:val="en-US" w:eastAsia="en-US"/>
              </w:rPr>
            </w:pPr>
            <w:r w:rsidRPr="00607AD4">
              <w:rPr>
                <w:rFonts w:ascii="Times New Roman" w:hAnsi="Times New Roman" w:cs="Times New Roman"/>
                <w:sz w:val="20"/>
                <w:szCs w:val="20"/>
                <w:lang w:val="en-US" w:eastAsia="en-US"/>
              </w:rPr>
              <w:t>754</w:t>
            </w:r>
          </w:p>
        </w:tc>
        <w:tc>
          <w:tcPr>
            <w:tcW w:w="993" w:type="dxa"/>
          </w:tcPr>
          <w:p w14:paraId="1EAEA8E7" w14:textId="77777777" w:rsidR="00957FAD" w:rsidRPr="00607AD4" w:rsidRDefault="00957FAD" w:rsidP="00741B18">
            <w:pPr>
              <w:jc w:val="right"/>
              <w:textAlignment w:val="top"/>
              <w:rPr>
                <w:rFonts w:ascii="Times New Roman" w:hAnsi="Times New Roman" w:cs="Times New Roman"/>
                <w:sz w:val="20"/>
                <w:szCs w:val="20"/>
                <w:lang w:val="en-US" w:eastAsia="en-US"/>
              </w:rPr>
            </w:pPr>
            <w:r w:rsidRPr="00607AD4">
              <w:rPr>
                <w:rFonts w:ascii="Times New Roman" w:hAnsi="Times New Roman" w:cs="Times New Roman"/>
                <w:sz w:val="20"/>
                <w:szCs w:val="20"/>
                <w:lang w:val="en-US" w:eastAsia="en-US"/>
              </w:rPr>
              <w:t>467</w:t>
            </w:r>
          </w:p>
        </w:tc>
        <w:tc>
          <w:tcPr>
            <w:tcW w:w="992" w:type="dxa"/>
          </w:tcPr>
          <w:p w14:paraId="2D9263F6" w14:textId="77777777" w:rsidR="00957FAD" w:rsidRPr="00607AD4" w:rsidRDefault="00957FAD" w:rsidP="00741B18">
            <w:pPr>
              <w:jc w:val="right"/>
              <w:textAlignment w:val="top"/>
              <w:rPr>
                <w:rFonts w:ascii="Times New Roman" w:hAnsi="Times New Roman" w:cs="Times New Roman"/>
                <w:sz w:val="20"/>
                <w:szCs w:val="20"/>
                <w:lang w:val="en-US" w:eastAsia="en-US"/>
              </w:rPr>
            </w:pPr>
            <w:r w:rsidRPr="00607AD4">
              <w:rPr>
                <w:rFonts w:ascii="Times New Roman" w:hAnsi="Times New Roman" w:cs="Times New Roman"/>
                <w:sz w:val="20"/>
                <w:szCs w:val="20"/>
                <w:lang w:val="en-US" w:eastAsia="en-US"/>
              </w:rPr>
              <w:t>730</w:t>
            </w:r>
          </w:p>
        </w:tc>
        <w:tc>
          <w:tcPr>
            <w:tcW w:w="992" w:type="dxa"/>
          </w:tcPr>
          <w:p w14:paraId="64119720" w14:textId="77777777" w:rsidR="00957FAD" w:rsidRPr="00607AD4" w:rsidRDefault="00957FAD" w:rsidP="00741B18">
            <w:pPr>
              <w:jc w:val="right"/>
              <w:textAlignment w:val="top"/>
              <w:rPr>
                <w:rFonts w:ascii="Times New Roman" w:hAnsi="Times New Roman" w:cs="Times New Roman"/>
                <w:color w:val="000000" w:themeColor="dark1"/>
                <w:kern w:val="24"/>
                <w:sz w:val="20"/>
                <w:szCs w:val="20"/>
                <w:lang w:eastAsia="en-US"/>
              </w:rPr>
            </w:pPr>
            <w:r w:rsidRPr="00607AD4">
              <w:rPr>
                <w:rFonts w:ascii="Times New Roman" w:hAnsi="Times New Roman" w:cs="Times New Roman"/>
                <w:color w:val="000000" w:themeColor="dark1"/>
                <w:kern w:val="24"/>
                <w:sz w:val="20"/>
                <w:szCs w:val="20"/>
                <w:lang w:eastAsia="en-US"/>
              </w:rPr>
              <w:t>912</w:t>
            </w:r>
          </w:p>
        </w:tc>
        <w:tc>
          <w:tcPr>
            <w:tcW w:w="992" w:type="dxa"/>
          </w:tcPr>
          <w:p w14:paraId="11DFA0C3" w14:textId="77777777" w:rsidR="00957FAD" w:rsidRPr="00607AD4" w:rsidRDefault="00957FAD" w:rsidP="00741B18">
            <w:pPr>
              <w:jc w:val="right"/>
              <w:textAlignment w:val="top"/>
              <w:rPr>
                <w:rFonts w:ascii="Times New Roman" w:hAnsi="Times New Roman" w:cs="Times New Roman"/>
                <w:sz w:val="20"/>
                <w:szCs w:val="20"/>
                <w:lang w:val="en-US" w:eastAsia="en-US"/>
              </w:rPr>
            </w:pPr>
            <w:r w:rsidRPr="00607AD4">
              <w:rPr>
                <w:rFonts w:ascii="Times New Roman" w:hAnsi="Times New Roman" w:cs="Times New Roman"/>
                <w:sz w:val="20"/>
                <w:szCs w:val="20"/>
                <w:lang w:val="en-US" w:eastAsia="en-US"/>
              </w:rPr>
              <w:t>961</w:t>
            </w:r>
          </w:p>
        </w:tc>
        <w:tc>
          <w:tcPr>
            <w:tcW w:w="1701" w:type="dxa"/>
          </w:tcPr>
          <w:p w14:paraId="4B270F2A" w14:textId="77777777" w:rsidR="00957FAD" w:rsidRPr="00607AD4" w:rsidRDefault="00957FAD" w:rsidP="00741B18">
            <w:pPr>
              <w:jc w:val="right"/>
              <w:textAlignment w:val="top"/>
              <w:rPr>
                <w:rFonts w:ascii="Times New Roman" w:hAnsi="Times New Roman" w:cs="Times New Roman"/>
                <w:sz w:val="20"/>
                <w:szCs w:val="20"/>
                <w:lang w:val="en-US" w:eastAsia="en-US"/>
              </w:rPr>
            </w:pPr>
            <w:r>
              <w:rPr>
                <w:rFonts w:ascii="Times New Roman" w:hAnsi="Times New Roman" w:cs="Times New Roman"/>
                <w:sz w:val="20"/>
                <w:szCs w:val="20"/>
                <w:lang w:val="en-US" w:eastAsia="en-US"/>
              </w:rPr>
              <w:t xml:space="preserve">37.5 </w:t>
            </w:r>
            <w:r w:rsidRPr="00607AD4">
              <w:rPr>
                <w:rFonts w:ascii="Times New Roman" w:hAnsi="Times New Roman" w:cs="Times New Roman"/>
                <w:sz w:val="20"/>
                <w:szCs w:val="20"/>
                <w:lang w:val="en-US" w:eastAsia="en-US"/>
              </w:rPr>
              <w:t>(4,707)</w:t>
            </w:r>
          </w:p>
        </w:tc>
      </w:tr>
      <w:tr w:rsidR="00957FAD" w:rsidRPr="00607AD4" w14:paraId="490F714B" w14:textId="77777777" w:rsidTr="00957FAD">
        <w:trPr>
          <w:trHeight w:val="253"/>
        </w:trPr>
        <w:tc>
          <w:tcPr>
            <w:tcW w:w="1843" w:type="dxa"/>
          </w:tcPr>
          <w:p w14:paraId="4F77BD51" w14:textId="77777777" w:rsidR="00957FAD" w:rsidRPr="00607AD4" w:rsidRDefault="00957FAD" w:rsidP="00741B18">
            <w:pPr>
              <w:textAlignment w:val="top"/>
              <w:rPr>
                <w:rFonts w:ascii="Times New Roman" w:hAnsi="Times New Roman" w:cs="Times New Roman"/>
                <w:sz w:val="20"/>
                <w:szCs w:val="20"/>
                <w:lang w:val="en-US" w:eastAsia="en-US"/>
              </w:rPr>
            </w:pPr>
            <w:r w:rsidRPr="00607AD4">
              <w:rPr>
                <w:rFonts w:ascii="Times New Roman" w:hAnsi="Times New Roman" w:cs="Times New Roman"/>
                <w:sz w:val="20"/>
                <w:szCs w:val="20"/>
                <w:lang w:val="en-US" w:eastAsia="en-US"/>
              </w:rPr>
              <w:t>Total (all fields)</w:t>
            </w:r>
          </w:p>
        </w:tc>
        <w:tc>
          <w:tcPr>
            <w:tcW w:w="1134" w:type="dxa"/>
          </w:tcPr>
          <w:p w14:paraId="3FA6A8E3" w14:textId="77777777" w:rsidR="00957FAD" w:rsidRPr="00607AD4" w:rsidRDefault="00957FAD" w:rsidP="00741B18">
            <w:pPr>
              <w:jc w:val="right"/>
              <w:textAlignment w:val="top"/>
              <w:rPr>
                <w:rFonts w:ascii="Times New Roman" w:hAnsi="Times New Roman" w:cs="Times New Roman"/>
                <w:sz w:val="20"/>
                <w:szCs w:val="20"/>
                <w:lang w:val="en-US" w:eastAsia="en-US"/>
              </w:rPr>
            </w:pPr>
            <w:r w:rsidRPr="00607AD4">
              <w:rPr>
                <w:rFonts w:ascii="Times New Roman" w:hAnsi="Times New Roman" w:cs="Times New Roman"/>
                <w:sz w:val="20"/>
                <w:szCs w:val="20"/>
                <w:lang w:val="en-US" w:eastAsia="en-US"/>
              </w:rPr>
              <w:t>33,604</w:t>
            </w:r>
          </w:p>
        </w:tc>
        <w:tc>
          <w:tcPr>
            <w:tcW w:w="992" w:type="dxa"/>
          </w:tcPr>
          <w:p w14:paraId="77A9EBD8" w14:textId="77777777" w:rsidR="00957FAD" w:rsidRPr="00607AD4" w:rsidRDefault="00957FAD" w:rsidP="00741B18">
            <w:pPr>
              <w:jc w:val="right"/>
              <w:textAlignment w:val="top"/>
              <w:rPr>
                <w:rFonts w:ascii="Times New Roman" w:hAnsi="Times New Roman" w:cs="Times New Roman"/>
                <w:sz w:val="20"/>
                <w:szCs w:val="20"/>
                <w:lang w:val="en-US" w:eastAsia="en-US"/>
              </w:rPr>
            </w:pPr>
            <w:r w:rsidRPr="00607AD4">
              <w:rPr>
                <w:rFonts w:ascii="Times New Roman" w:hAnsi="Times New Roman" w:cs="Times New Roman"/>
                <w:sz w:val="20"/>
                <w:szCs w:val="20"/>
                <w:lang w:val="en-US" w:eastAsia="en-US"/>
              </w:rPr>
              <w:t>28,042</w:t>
            </w:r>
          </w:p>
        </w:tc>
        <w:tc>
          <w:tcPr>
            <w:tcW w:w="993" w:type="dxa"/>
          </w:tcPr>
          <w:p w14:paraId="4CC9C670" w14:textId="77777777" w:rsidR="00957FAD" w:rsidRPr="00607AD4" w:rsidRDefault="00957FAD" w:rsidP="00741B18">
            <w:pPr>
              <w:jc w:val="right"/>
              <w:textAlignment w:val="top"/>
              <w:rPr>
                <w:rFonts w:ascii="Times New Roman" w:hAnsi="Times New Roman" w:cs="Times New Roman"/>
                <w:sz w:val="20"/>
                <w:szCs w:val="20"/>
                <w:lang w:val="en-US" w:eastAsia="en-US"/>
              </w:rPr>
            </w:pPr>
            <w:r w:rsidRPr="00607AD4">
              <w:rPr>
                <w:rFonts w:ascii="Times New Roman" w:hAnsi="Times New Roman" w:cs="Times New Roman"/>
                <w:sz w:val="20"/>
                <w:szCs w:val="20"/>
                <w:lang w:val="en-US" w:eastAsia="en-US"/>
              </w:rPr>
              <w:t>34,913</w:t>
            </w:r>
          </w:p>
        </w:tc>
        <w:tc>
          <w:tcPr>
            <w:tcW w:w="992" w:type="dxa"/>
          </w:tcPr>
          <w:p w14:paraId="73CE9206" w14:textId="77777777" w:rsidR="00957FAD" w:rsidRPr="00607AD4" w:rsidRDefault="00957FAD" w:rsidP="00741B18">
            <w:pPr>
              <w:jc w:val="right"/>
              <w:textAlignment w:val="top"/>
              <w:rPr>
                <w:rFonts w:ascii="Times New Roman" w:hAnsi="Times New Roman" w:cs="Times New Roman"/>
                <w:sz w:val="20"/>
                <w:szCs w:val="20"/>
                <w:lang w:val="en-US" w:eastAsia="en-US"/>
              </w:rPr>
            </w:pPr>
            <w:r w:rsidRPr="00607AD4">
              <w:rPr>
                <w:rFonts w:ascii="Times New Roman" w:hAnsi="Times New Roman" w:cs="Times New Roman"/>
                <w:sz w:val="20"/>
                <w:szCs w:val="20"/>
                <w:lang w:val="en-US" w:eastAsia="en-US"/>
              </w:rPr>
              <w:t>36,893</w:t>
            </w:r>
          </w:p>
        </w:tc>
        <w:tc>
          <w:tcPr>
            <w:tcW w:w="992" w:type="dxa"/>
          </w:tcPr>
          <w:p w14:paraId="56C4DA21" w14:textId="77777777" w:rsidR="00957FAD" w:rsidRPr="00607AD4" w:rsidRDefault="00957FAD" w:rsidP="00741B18">
            <w:pPr>
              <w:jc w:val="right"/>
              <w:textAlignment w:val="top"/>
              <w:rPr>
                <w:rFonts w:ascii="Times New Roman" w:hAnsi="Times New Roman" w:cs="Times New Roman"/>
                <w:color w:val="000000" w:themeColor="dark1"/>
                <w:kern w:val="24"/>
                <w:sz w:val="20"/>
                <w:szCs w:val="20"/>
                <w:lang w:eastAsia="en-US"/>
              </w:rPr>
            </w:pPr>
            <w:r w:rsidRPr="00607AD4">
              <w:rPr>
                <w:rFonts w:ascii="Times New Roman" w:hAnsi="Times New Roman" w:cs="Times New Roman"/>
                <w:color w:val="000000" w:themeColor="dark1"/>
                <w:kern w:val="24"/>
                <w:sz w:val="20"/>
                <w:szCs w:val="20"/>
                <w:lang w:eastAsia="en-US"/>
              </w:rPr>
              <w:t>39,147</w:t>
            </w:r>
          </w:p>
        </w:tc>
        <w:tc>
          <w:tcPr>
            <w:tcW w:w="992" w:type="dxa"/>
          </w:tcPr>
          <w:p w14:paraId="58F0F7AF" w14:textId="77777777" w:rsidR="00957FAD" w:rsidRPr="00607AD4" w:rsidRDefault="00957FAD" w:rsidP="00741B18">
            <w:pPr>
              <w:jc w:val="right"/>
              <w:textAlignment w:val="top"/>
              <w:rPr>
                <w:rFonts w:ascii="Times New Roman" w:hAnsi="Times New Roman" w:cs="Times New Roman"/>
                <w:sz w:val="20"/>
                <w:szCs w:val="20"/>
                <w:lang w:val="en-US" w:eastAsia="en-US"/>
              </w:rPr>
            </w:pPr>
            <w:r w:rsidRPr="00607AD4">
              <w:rPr>
                <w:rFonts w:ascii="Times New Roman" w:hAnsi="Times New Roman" w:cs="Times New Roman"/>
                <w:sz w:val="20"/>
                <w:szCs w:val="20"/>
                <w:lang w:val="en-US" w:eastAsia="en-US"/>
              </w:rPr>
              <w:t>38,130</w:t>
            </w:r>
          </w:p>
        </w:tc>
        <w:tc>
          <w:tcPr>
            <w:tcW w:w="1701" w:type="dxa"/>
          </w:tcPr>
          <w:p w14:paraId="2F5ACA4B" w14:textId="77777777" w:rsidR="00957FAD" w:rsidRPr="00607AD4" w:rsidRDefault="00957FAD" w:rsidP="00741B18">
            <w:pPr>
              <w:jc w:val="right"/>
              <w:textAlignment w:val="top"/>
              <w:rPr>
                <w:rFonts w:ascii="Times New Roman" w:hAnsi="Times New Roman" w:cs="Times New Roman"/>
                <w:sz w:val="20"/>
                <w:szCs w:val="20"/>
                <w:lang w:val="en-US" w:eastAsia="en-US"/>
              </w:rPr>
            </w:pPr>
            <w:r>
              <w:rPr>
                <w:rFonts w:ascii="Times New Roman" w:hAnsi="Times New Roman" w:cs="Times New Roman"/>
                <w:sz w:val="20"/>
                <w:szCs w:val="20"/>
                <w:lang w:val="en-US" w:eastAsia="en-US"/>
              </w:rPr>
              <w:t xml:space="preserve">50.0 </w:t>
            </w:r>
            <w:r w:rsidRPr="00607AD4">
              <w:rPr>
                <w:rFonts w:ascii="Times New Roman" w:hAnsi="Times New Roman" w:cs="Times New Roman"/>
                <w:sz w:val="20"/>
                <w:szCs w:val="20"/>
                <w:lang w:val="en-US" w:eastAsia="en-US"/>
              </w:rPr>
              <w:t>(210,729)</w:t>
            </w:r>
          </w:p>
        </w:tc>
      </w:tr>
    </w:tbl>
    <w:p w14:paraId="707A201C" w14:textId="77777777" w:rsidR="00957FAD" w:rsidRDefault="00957FAD" w:rsidP="00957FAD">
      <w:pPr>
        <w:spacing w:before="120" w:after="0" w:line="240" w:lineRule="auto"/>
        <w:jc w:val="both"/>
        <w:rPr>
          <w:rFonts w:ascii="Times New Roman" w:hAnsi="Times New Roman" w:cs="Times New Roman"/>
          <w:sz w:val="20"/>
          <w:szCs w:val="20"/>
        </w:rPr>
      </w:pPr>
      <w:r w:rsidRPr="003B2CF8">
        <w:rPr>
          <w:rFonts w:ascii="Times New Roman" w:hAnsi="Times New Roman" w:cs="Times New Roman"/>
          <w:i/>
          <w:sz w:val="20"/>
          <w:szCs w:val="20"/>
        </w:rPr>
        <w:t xml:space="preserve">Source: </w:t>
      </w:r>
      <w:r>
        <w:rPr>
          <w:rFonts w:ascii="Times New Roman" w:hAnsi="Times New Roman" w:cs="Times New Roman"/>
          <w:sz w:val="20"/>
          <w:szCs w:val="20"/>
        </w:rPr>
        <w:t xml:space="preserve">Hawthorne, L (2015 in press), ‘Skilled Migration and Foreign Qualification Recognition Trends in Australia’, </w:t>
      </w:r>
      <w:r>
        <w:rPr>
          <w:rFonts w:ascii="Times New Roman" w:hAnsi="Times New Roman" w:cs="Times New Roman"/>
          <w:i/>
          <w:sz w:val="20"/>
          <w:szCs w:val="20"/>
        </w:rPr>
        <w:t xml:space="preserve">Canadian Public Policy, </w:t>
      </w:r>
      <w:r>
        <w:rPr>
          <w:rFonts w:ascii="Times New Roman" w:hAnsi="Times New Roman" w:cs="Times New Roman"/>
          <w:sz w:val="20"/>
          <w:szCs w:val="20"/>
        </w:rPr>
        <w:t>based on analysis of</w:t>
      </w:r>
      <w:r w:rsidRPr="003B2CF8">
        <w:rPr>
          <w:rFonts w:ascii="Times New Roman" w:hAnsi="Times New Roman" w:cs="Times New Roman"/>
          <w:sz w:val="20"/>
          <w:szCs w:val="20"/>
        </w:rPr>
        <w:t xml:space="preserve"> </w:t>
      </w:r>
      <w:r>
        <w:rPr>
          <w:rFonts w:ascii="Times New Roman" w:hAnsi="Times New Roman" w:cs="Times New Roman"/>
          <w:sz w:val="20"/>
          <w:szCs w:val="20"/>
        </w:rPr>
        <w:t xml:space="preserve">unpublished </w:t>
      </w:r>
      <w:r w:rsidRPr="003B2CF8">
        <w:rPr>
          <w:rFonts w:ascii="Times New Roman" w:hAnsi="Times New Roman" w:cs="Times New Roman"/>
          <w:sz w:val="20"/>
          <w:szCs w:val="20"/>
        </w:rPr>
        <w:t xml:space="preserve">Department of Immigration and </w:t>
      </w:r>
      <w:r>
        <w:rPr>
          <w:rFonts w:ascii="Times New Roman" w:hAnsi="Times New Roman" w:cs="Times New Roman"/>
          <w:sz w:val="20"/>
          <w:szCs w:val="20"/>
        </w:rPr>
        <w:t>Border Control immigration arrivals data for permanent compared to temporary skilled migration categories, provided August 2014.</w:t>
      </w:r>
    </w:p>
    <w:p w14:paraId="182ED885" w14:textId="77777777" w:rsidR="00741B18" w:rsidRDefault="00741B18" w:rsidP="007D4E86">
      <w:pPr>
        <w:spacing w:after="0" w:line="240" w:lineRule="auto"/>
        <w:jc w:val="both"/>
        <w:rPr>
          <w:rFonts w:ascii="Times New Roman" w:hAnsi="Times New Roman" w:cs="Times New Roman"/>
          <w:b/>
        </w:rPr>
      </w:pPr>
    </w:p>
    <w:p w14:paraId="58353404" w14:textId="77777777" w:rsidR="00616886" w:rsidRPr="00C127E2" w:rsidRDefault="00616886" w:rsidP="00616886">
      <w:pPr>
        <w:spacing w:after="0" w:line="240" w:lineRule="auto"/>
        <w:jc w:val="both"/>
        <w:rPr>
          <w:rFonts w:ascii="Times New Roman" w:hAnsi="Times New Roman" w:cs="Times New Roman"/>
          <w:b/>
        </w:rPr>
      </w:pPr>
      <w:r>
        <w:rPr>
          <w:rFonts w:ascii="Times New Roman" w:hAnsi="Times New Roman" w:cs="Times New Roman"/>
          <w:b/>
        </w:rPr>
        <w:t>Submission #2</w:t>
      </w:r>
      <w:r w:rsidRPr="00C127E2">
        <w:rPr>
          <w:rFonts w:ascii="Times New Roman" w:hAnsi="Times New Roman" w:cs="Times New Roman"/>
          <w:b/>
        </w:rPr>
        <w:t>:</w:t>
      </w:r>
    </w:p>
    <w:p w14:paraId="0C196528" w14:textId="77777777" w:rsidR="00616886" w:rsidRDefault="00616886" w:rsidP="00616886">
      <w:pPr>
        <w:spacing w:after="0" w:line="240" w:lineRule="auto"/>
        <w:jc w:val="both"/>
        <w:rPr>
          <w:rFonts w:ascii="Times New Roman" w:hAnsi="Times New Roman" w:cs="Times New Roman"/>
        </w:rPr>
      </w:pPr>
    </w:p>
    <w:p w14:paraId="454A71FE" w14:textId="77777777" w:rsidR="00616886" w:rsidRDefault="007D4E86" w:rsidP="00616886">
      <w:pPr>
        <w:pStyle w:val="MPINormalBodytext"/>
        <w:jc w:val="both"/>
        <w:rPr>
          <w:rFonts w:ascii="Times New Roman" w:eastAsiaTheme="minorHAnsi" w:hAnsi="Times New Roman"/>
          <w:spacing w:val="0"/>
          <w:lang w:val="en-NZ"/>
        </w:rPr>
      </w:pPr>
      <w:r w:rsidRPr="00741B18">
        <w:rPr>
          <w:rFonts w:ascii="Times New Roman" w:eastAsiaTheme="minorHAnsi" w:hAnsi="Times New Roman"/>
          <w:spacing w:val="0"/>
          <w:lang w:val="en-NZ"/>
        </w:rPr>
        <w:t>Despite this</w:t>
      </w:r>
      <w:r w:rsidR="00A91183" w:rsidRPr="00741B18">
        <w:rPr>
          <w:rFonts w:ascii="Times New Roman" w:eastAsiaTheme="minorHAnsi" w:hAnsi="Times New Roman"/>
          <w:spacing w:val="0"/>
          <w:lang w:val="en-NZ"/>
        </w:rPr>
        <w:t xml:space="preserve">, </w:t>
      </w:r>
      <w:r w:rsidR="00616886">
        <w:rPr>
          <w:rFonts w:ascii="Times New Roman" w:eastAsiaTheme="minorHAnsi" w:hAnsi="Times New Roman"/>
          <w:spacing w:val="0"/>
          <w:lang w:val="en-NZ"/>
        </w:rPr>
        <w:t>it should be noted that l</w:t>
      </w:r>
      <w:r w:rsidR="00616886" w:rsidRPr="006458D6">
        <w:rPr>
          <w:rFonts w:ascii="Times New Roman" w:eastAsiaTheme="minorHAnsi" w:hAnsi="Times New Roman"/>
          <w:spacing w:val="0"/>
          <w:lang w:val="en-NZ"/>
        </w:rPr>
        <w:t>arge num</w:t>
      </w:r>
      <w:r w:rsidR="00616886">
        <w:rPr>
          <w:rFonts w:ascii="Times New Roman" w:eastAsiaTheme="minorHAnsi" w:hAnsi="Times New Roman"/>
          <w:spacing w:val="0"/>
          <w:lang w:val="en-NZ"/>
        </w:rPr>
        <w:t xml:space="preserve">bers of 457 visa migrants </w:t>
      </w:r>
      <w:r w:rsidR="00103E8C">
        <w:rPr>
          <w:rFonts w:ascii="Times New Roman" w:eastAsiaTheme="minorHAnsi" w:hAnsi="Times New Roman"/>
          <w:spacing w:val="0"/>
          <w:lang w:val="en-NZ"/>
        </w:rPr>
        <w:t xml:space="preserve">arrive </w:t>
      </w:r>
      <w:r w:rsidR="00616886" w:rsidRPr="006458D6">
        <w:rPr>
          <w:rFonts w:ascii="Times New Roman" w:eastAsiaTheme="minorHAnsi" w:hAnsi="Times New Roman"/>
          <w:spacing w:val="0"/>
          <w:lang w:val="en-NZ"/>
        </w:rPr>
        <w:t>unwilling to invest in full qualification recognition –</w:t>
      </w:r>
      <w:r w:rsidR="00103E8C">
        <w:rPr>
          <w:rFonts w:ascii="Times New Roman" w:eastAsiaTheme="minorHAnsi" w:hAnsi="Times New Roman"/>
          <w:spacing w:val="0"/>
          <w:lang w:val="en-NZ"/>
        </w:rPr>
        <w:t xml:space="preserve"> their </w:t>
      </w:r>
      <w:r w:rsidR="00616886" w:rsidRPr="006458D6">
        <w:rPr>
          <w:rFonts w:ascii="Times New Roman" w:eastAsiaTheme="minorHAnsi" w:hAnsi="Times New Roman"/>
          <w:spacing w:val="0"/>
          <w:lang w:val="en-NZ"/>
        </w:rPr>
        <w:t>preferred options being</w:t>
      </w:r>
      <w:r w:rsidR="00616886">
        <w:rPr>
          <w:rFonts w:ascii="Times New Roman" w:eastAsiaTheme="minorHAnsi" w:hAnsi="Times New Roman"/>
          <w:spacing w:val="0"/>
          <w:lang w:val="en-NZ"/>
        </w:rPr>
        <w:t>:</w:t>
      </w:r>
      <w:r w:rsidR="00616886" w:rsidRPr="006458D6">
        <w:rPr>
          <w:rFonts w:ascii="Times New Roman" w:eastAsiaTheme="minorHAnsi" w:hAnsi="Times New Roman"/>
          <w:spacing w:val="0"/>
          <w:lang w:val="en-NZ"/>
        </w:rPr>
        <w:t xml:space="preserve"> </w:t>
      </w:r>
    </w:p>
    <w:p w14:paraId="5403FB88" w14:textId="77777777" w:rsidR="00616886" w:rsidRDefault="00616886" w:rsidP="00616886">
      <w:pPr>
        <w:pStyle w:val="MPINormalBodytext"/>
        <w:numPr>
          <w:ilvl w:val="0"/>
          <w:numId w:val="42"/>
        </w:numPr>
        <w:jc w:val="both"/>
        <w:rPr>
          <w:rFonts w:ascii="Times New Roman" w:eastAsiaTheme="minorHAnsi" w:hAnsi="Times New Roman"/>
          <w:spacing w:val="0"/>
          <w:lang w:val="en-NZ"/>
        </w:rPr>
      </w:pPr>
      <w:r w:rsidRPr="001B1AF2">
        <w:rPr>
          <w:rFonts w:ascii="Times New Roman" w:eastAsiaTheme="minorHAnsi" w:hAnsi="Times New Roman"/>
          <w:i/>
          <w:spacing w:val="0"/>
          <w:lang w:val="en-NZ"/>
        </w:rPr>
        <w:t>Limited scope of practice</w:t>
      </w:r>
      <w:r w:rsidRPr="006458D6">
        <w:rPr>
          <w:rFonts w:ascii="Times New Roman" w:eastAsiaTheme="minorHAnsi" w:hAnsi="Times New Roman"/>
          <w:spacing w:val="0"/>
          <w:lang w:val="en-NZ"/>
        </w:rPr>
        <w:t xml:space="preserve"> (re</w:t>
      </w:r>
      <w:r>
        <w:rPr>
          <w:rFonts w:ascii="Times New Roman" w:eastAsiaTheme="minorHAnsi" w:hAnsi="Times New Roman"/>
          <w:spacing w:val="0"/>
          <w:lang w:val="en-NZ"/>
        </w:rPr>
        <w:t>stricted to defined functions);</w:t>
      </w:r>
    </w:p>
    <w:p w14:paraId="37D57D94" w14:textId="77777777" w:rsidR="00616886" w:rsidRDefault="00616886" w:rsidP="00616886">
      <w:pPr>
        <w:pStyle w:val="MPINormalBodytext"/>
        <w:numPr>
          <w:ilvl w:val="0"/>
          <w:numId w:val="42"/>
        </w:numPr>
        <w:jc w:val="both"/>
        <w:rPr>
          <w:rFonts w:ascii="Times New Roman" w:eastAsiaTheme="minorHAnsi" w:hAnsi="Times New Roman"/>
          <w:spacing w:val="0"/>
          <w:lang w:val="en-NZ"/>
        </w:rPr>
      </w:pPr>
      <w:r w:rsidRPr="001B1AF2">
        <w:rPr>
          <w:rFonts w:ascii="Times New Roman" w:eastAsiaTheme="minorHAnsi" w:hAnsi="Times New Roman"/>
          <w:i/>
          <w:spacing w:val="0"/>
          <w:lang w:val="en-NZ"/>
        </w:rPr>
        <w:t>Conditional registration</w:t>
      </w:r>
      <w:r w:rsidRPr="006458D6">
        <w:rPr>
          <w:rFonts w:ascii="Times New Roman" w:eastAsiaTheme="minorHAnsi" w:hAnsi="Times New Roman"/>
          <w:spacing w:val="0"/>
          <w:lang w:val="en-NZ"/>
        </w:rPr>
        <w:t xml:space="preserve"> (licensed on a limited or conditional basis to undertake training, for example in pre-</w:t>
      </w:r>
      <w:r>
        <w:rPr>
          <w:rFonts w:ascii="Times New Roman" w:eastAsiaTheme="minorHAnsi" w:hAnsi="Times New Roman"/>
          <w:spacing w:val="0"/>
          <w:lang w:val="en-NZ"/>
        </w:rPr>
        <w:t>registration bridging programs);</w:t>
      </w:r>
      <w:r w:rsidRPr="006458D6">
        <w:rPr>
          <w:rFonts w:ascii="Times New Roman" w:eastAsiaTheme="minorHAnsi" w:hAnsi="Times New Roman"/>
          <w:spacing w:val="0"/>
          <w:lang w:val="en-NZ"/>
        </w:rPr>
        <w:t xml:space="preserve"> and </w:t>
      </w:r>
    </w:p>
    <w:p w14:paraId="143F6332" w14:textId="77777777" w:rsidR="00616886" w:rsidRPr="006458D6" w:rsidRDefault="00616886" w:rsidP="00616886">
      <w:pPr>
        <w:pStyle w:val="MPINormalBodytext"/>
        <w:numPr>
          <w:ilvl w:val="0"/>
          <w:numId w:val="42"/>
        </w:numPr>
        <w:jc w:val="both"/>
        <w:rPr>
          <w:rFonts w:ascii="Times New Roman" w:hAnsi="Times New Roman"/>
        </w:rPr>
      </w:pPr>
      <w:r w:rsidRPr="001B1AF2">
        <w:rPr>
          <w:rFonts w:ascii="Times New Roman" w:eastAsiaTheme="minorHAnsi" w:hAnsi="Times New Roman"/>
          <w:i/>
          <w:spacing w:val="0"/>
          <w:lang w:val="en-NZ"/>
        </w:rPr>
        <w:t>Restricted practice time frames</w:t>
      </w:r>
      <w:r w:rsidRPr="006458D6">
        <w:rPr>
          <w:rFonts w:ascii="Times New Roman" w:eastAsiaTheme="minorHAnsi" w:hAnsi="Times New Roman"/>
          <w:spacing w:val="0"/>
          <w:lang w:val="en-NZ"/>
        </w:rPr>
        <w:t xml:space="preserve"> (defined periods of licensure catering for example to international medical graduates, or to transnational corporation employees resident in Australia on a short-stay basis).</w:t>
      </w:r>
    </w:p>
    <w:p w14:paraId="5ECD3321" w14:textId="77777777" w:rsidR="00CA6AEE" w:rsidRDefault="00CA6AEE" w:rsidP="00616886">
      <w:pPr>
        <w:pStyle w:val="MPINormalBodytext"/>
        <w:jc w:val="both"/>
        <w:rPr>
          <w:rFonts w:ascii="Times New Roman" w:eastAsiaTheme="minorHAnsi" w:hAnsi="Times New Roman"/>
          <w:spacing w:val="0"/>
          <w:lang w:val="en-NZ"/>
        </w:rPr>
      </w:pPr>
    </w:p>
    <w:p w14:paraId="012F5B26" w14:textId="77777777" w:rsidR="00616886" w:rsidRPr="001B1AF2" w:rsidRDefault="001B1AF2" w:rsidP="00616886">
      <w:pPr>
        <w:pStyle w:val="MPINormalBodytext"/>
        <w:jc w:val="both"/>
        <w:rPr>
          <w:rFonts w:ascii="Times New Roman" w:eastAsiaTheme="minorHAnsi" w:hAnsi="Times New Roman"/>
          <w:spacing w:val="0"/>
          <w:lang w:val="en-NZ"/>
        </w:rPr>
      </w:pPr>
      <w:r w:rsidRPr="001B1AF2">
        <w:rPr>
          <w:rFonts w:ascii="Times New Roman" w:eastAsiaTheme="minorHAnsi" w:hAnsi="Times New Roman"/>
          <w:spacing w:val="0"/>
          <w:lang w:val="en-NZ"/>
        </w:rPr>
        <w:t>In terms of safe and effective practice, this can be problematic</w:t>
      </w:r>
      <w:r>
        <w:rPr>
          <w:rFonts w:ascii="Times New Roman" w:eastAsiaTheme="minorHAnsi" w:hAnsi="Times New Roman"/>
          <w:spacing w:val="0"/>
          <w:lang w:val="en-NZ"/>
        </w:rPr>
        <w:t xml:space="preserve"> (Hawthorne, 2013a, b)</w:t>
      </w:r>
      <w:r w:rsidRPr="001B1AF2">
        <w:rPr>
          <w:rFonts w:ascii="Times New Roman" w:eastAsiaTheme="minorHAnsi" w:hAnsi="Times New Roman"/>
          <w:spacing w:val="0"/>
          <w:lang w:val="en-NZ"/>
        </w:rPr>
        <w:t>.</w:t>
      </w:r>
    </w:p>
    <w:p w14:paraId="10C87256" w14:textId="77777777" w:rsidR="00616886" w:rsidRDefault="00616886" w:rsidP="007D4E86">
      <w:pPr>
        <w:pStyle w:val="MPINormalBodytext"/>
        <w:jc w:val="both"/>
        <w:rPr>
          <w:rFonts w:ascii="Times New Roman" w:eastAsiaTheme="minorHAnsi" w:hAnsi="Times New Roman"/>
          <w:spacing w:val="0"/>
          <w:lang w:val="en-NZ"/>
        </w:rPr>
      </w:pPr>
    </w:p>
    <w:p w14:paraId="74D70330" w14:textId="77777777" w:rsidR="00A91183" w:rsidRPr="00741B18" w:rsidRDefault="00616886" w:rsidP="007D4E86">
      <w:pPr>
        <w:pStyle w:val="MPINormalBodytext"/>
        <w:jc w:val="both"/>
        <w:rPr>
          <w:rFonts w:ascii="Times New Roman" w:eastAsiaTheme="minorHAnsi" w:hAnsi="Times New Roman"/>
          <w:spacing w:val="0"/>
          <w:lang w:val="en-NZ"/>
        </w:rPr>
      </w:pPr>
      <w:r>
        <w:rPr>
          <w:rFonts w:ascii="Times New Roman" w:eastAsiaTheme="minorHAnsi" w:hAnsi="Times New Roman"/>
          <w:spacing w:val="0"/>
          <w:lang w:val="en-NZ"/>
        </w:rPr>
        <w:t xml:space="preserve">Further, as demonstrated by a range of recent case studies, </w:t>
      </w:r>
      <w:r w:rsidR="00103E8C">
        <w:rPr>
          <w:rFonts w:ascii="Times New Roman" w:eastAsiaTheme="minorHAnsi" w:hAnsi="Times New Roman"/>
          <w:spacing w:val="0"/>
          <w:lang w:val="en-NZ"/>
        </w:rPr>
        <w:t xml:space="preserve">enhanced </w:t>
      </w:r>
      <w:r w:rsidR="00A91183" w:rsidRPr="00741B18">
        <w:rPr>
          <w:rFonts w:ascii="Times New Roman" w:eastAsiaTheme="minorHAnsi" w:hAnsi="Times New Roman"/>
          <w:spacing w:val="0"/>
          <w:lang w:val="en-NZ"/>
        </w:rPr>
        <w:t>overs</w:t>
      </w:r>
      <w:r w:rsidR="00103E8C">
        <w:rPr>
          <w:rFonts w:ascii="Times New Roman" w:eastAsiaTheme="minorHAnsi" w:hAnsi="Times New Roman"/>
          <w:spacing w:val="0"/>
          <w:lang w:val="en-NZ"/>
        </w:rPr>
        <w:t>ight of the 457 visa category remains</w:t>
      </w:r>
      <w:r w:rsidR="00A91183" w:rsidRPr="00741B18">
        <w:rPr>
          <w:rFonts w:ascii="Times New Roman" w:eastAsiaTheme="minorHAnsi" w:hAnsi="Times New Roman"/>
          <w:spacing w:val="0"/>
          <w:lang w:val="en-NZ"/>
        </w:rPr>
        <w:t xml:space="preserve"> essential to:</w:t>
      </w:r>
    </w:p>
    <w:p w14:paraId="77A24BBF" w14:textId="77777777" w:rsidR="00616886" w:rsidRDefault="00103E8C" w:rsidP="00616886">
      <w:pPr>
        <w:pStyle w:val="MPINormalBodytext"/>
        <w:numPr>
          <w:ilvl w:val="0"/>
          <w:numId w:val="36"/>
        </w:numPr>
        <w:jc w:val="both"/>
        <w:rPr>
          <w:rFonts w:ascii="Times New Roman" w:hAnsi="Times New Roman"/>
        </w:rPr>
      </w:pPr>
      <w:r>
        <w:rPr>
          <w:rFonts w:ascii="Times New Roman" w:hAnsi="Times New Roman"/>
        </w:rPr>
        <w:t xml:space="preserve">Improve </w:t>
      </w:r>
      <w:r w:rsidRPr="00103E8C">
        <w:rPr>
          <w:rFonts w:ascii="Times New Roman" w:hAnsi="Times New Roman"/>
        </w:rPr>
        <w:t>the veracity of</w:t>
      </w:r>
      <w:r w:rsidR="00616886" w:rsidRPr="00103E8C">
        <w:rPr>
          <w:rFonts w:ascii="Times New Roman" w:hAnsi="Times New Roman"/>
        </w:rPr>
        <w:t xml:space="preserve"> </w:t>
      </w:r>
      <w:proofErr w:type="spellStart"/>
      <w:r w:rsidR="00616886" w:rsidRPr="00103E8C">
        <w:rPr>
          <w:rFonts w:ascii="Times New Roman" w:hAnsi="Times New Roman"/>
        </w:rPr>
        <w:t>labour</w:t>
      </w:r>
      <w:proofErr w:type="spellEnd"/>
      <w:r w:rsidR="00616886" w:rsidRPr="00103E8C">
        <w:rPr>
          <w:rFonts w:ascii="Times New Roman" w:hAnsi="Times New Roman"/>
        </w:rPr>
        <w:t>-market testing</w:t>
      </w:r>
      <w:r w:rsidR="00616886">
        <w:rPr>
          <w:rFonts w:ascii="Times New Roman" w:hAnsi="Times New Roman"/>
        </w:rPr>
        <w:t xml:space="preserve">, noting the 457 visa </w:t>
      </w:r>
      <w:r w:rsidR="00450659">
        <w:rPr>
          <w:rFonts w:ascii="Times New Roman" w:hAnsi="Times New Roman"/>
        </w:rPr>
        <w:t>to date lacks a</w:t>
      </w:r>
      <w:r w:rsidR="00616886">
        <w:rPr>
          <w:rFonts w:ascii="Times New Roman" w:hAnsi="Times New Roman"/>
        </w:rPr>
        <w:t xml:space="preserve"> cap (a critical issue in potentially oversupplied fields such as engineering, accounting, nursing, pharmacy and dentistry, where there are growing </w:t>
      </w:r>
      <w:r w:rsidR="00450659">
        <w:rPr>
          <w:rFonts w:ascii="Times New Roman" w:hAnsi="Times New Roman"/>
        </w:rPr>
        <w:t xml:space="preserve">issues </w:t>
      </w:r>
      <w:r w:rsidR="00616886">
        <w:rPr>
          <w:rFonts w:ascii="Times New Roman" w:hAnsi="Times New Roman"/>
        </w:rPr>
        <w:t>about the scale of 457 visa entry).</w:t>
      </w:r>
    </w:p>
    <w:p w14:paraId="2840D7D9" w14:textId="77777777" w:rsidR="00741B18" w:rsidRDefault="00741B18" w:rsidP="00A91183">
      <w:pPr>
        <w:pStyle w:val="MPINormalBodytext"/>
        <w:numPr>
          <w:ilvl w:val="0"/>
          <w:numId w:val="36"/>
        </w:numPr>
        <w:jc w:val="both"/>
        <w:rPr>
          <w:rFonts w:ascii="Times New Roman" w:hAnsi="Times New Roman"/>
        </w:rPr>
      </w:pPr>
      <w:r>
        <w:rPr>
          <w:rFonts w:ascii="Times New Roman" w:hAnsi="Times New Roman"/>
        </w:rPr>
        <w:t xml:space="preserve">Monitor the </w:t>
      </w:r>
      <w:r w:rsidR="00450659">
        <w:rPr>
          <w:rFonts w:ascii="Times New Roman" w:hAnsi="Times New Roman"/>
        </w:rPr>
        <w:t xml:space="preserve">number </w:t>
      </w:r>
      <w:r>
        <w:rPr>
          <w:rFonts w:ascii="Times New Roman" w:hAnsi="Times New Roman"/>
        </w:rPr>
        <w:t>of entrants</w:t>
      </w:r>
      <w:r w:rsidR="00616886">
        <w:rPr>
          <w:rFonts w:ascii="Times New Roman" w:hAnsi="Times New Roman"/>
        </w:rPr>
        <w:t xml:space="preserve"> to avoid overs</w:t>
      </w:r>
      <w:r w:rsidR="00450659">
        <w:rPr>
          <w:rFonts w:ascii="Times New Roman" w:hAnsi="Times New Roman"/>
        </w:rPr>
        <w:t>upply</w:t>
      </w:r>
      <w:r w:rsidR="001B1AF2">
        <w:rPr>
          <w:rFonts w:ascii="Times New Roman" w:hAnsi="Times New Roman"/>
        </w:rPr>
        <w:t xml:space="preserve"> (</w:t>
      </w:r>
      <w:proofErr w:type="spellStart"/>
      <w:r w:rsidR="001B1AF2">
        <w:rPr>
          <w:rFonts w:ascii="Times New Roman" w:hAnsi="Times New Roman"/>
        </w:rPr>
        <w:t>eg</w:t>
      </w:r>
      <w:proofErr w:type="spellEnd"/>
      <w:r w:rsidR="001B1AF2">
        <w:rPr>
          <w:rFonts w:ascii="Times New Roman" w:hAnsi="Times New Roman"/>
        </w:rPr>
        <w:t xml:space="preserve"> </w:t>
      </w:r>
      <w:proofErr w:type="spellStart"/>
      <w:r w:rsidR="001B1AF2">
        <w:rPr>
          <w:rFonts w:ascii="Times New Roman" w:hAnsi="Times New Roman"/>
        </w:rPr>
        <w:t>Birrell</w:t>
      </w:r>
      <w:proofErr w:type="spellEnd"/>
      <w:r w:rsidR="001B1AF2">
        <w:rPr>
          <w:rFonts w:ascii="Times New Roman" w:hAnsi="Times New Roman"/>
        </w:rPr>
        <w:t>, 2013)</w:t>
      </w:r>
      <w:r w:rsidR="00450659">
        <w:rPr>
          <w:rFonts w:ascii="Times New Roman" w:hAnsi="Times New Roman"/>
        </w:rPr>
        <w:t>.</w:t>
      </w:r>
    </w:p>
    <w:p w14:paraId="5AA5643E" w14:textId="77777777" w:rsidR="00450659" w:rsidRPr="00A91183" w:rsidRDefault="00450659" w:rsidP="00450659">
      <w:pPr>
        <w:pStyle w:val="MPINormalBodytext"/>
        <w:numPr>
          <w:ilvl w:val="0"/>
          <w:numId w:val="36"/>
        </w:numPr>
        <w:jc w:val="both"/>
        <w:rPr>
          <w:rFonts w:ascii="Times New Roman" w:hAnsi="Times New Roman"/>
        </w:rPr>
      </w:pPr>
      <w:r>
        <w:rPr>
          <w:rFonts w:ascii="Times New Roman" w:hAnsi="Times New Roman"/>
        </w:rPr>
        <w:t xml:space="preserve">Impose caps by field where appropriate (for example to control the scale of arrivals in hospitality and aged care nursing, of relevance to the </w:t>
      </w:r>
      <w:proofErr w:type="spellStart"/>
      <w:r>
        <w:rPr>
          <w:rFonts w:ascii="Times New Roman" w:hAnsi="Times New Roman"/>
        </w:rPr>
        <w:t>labour</w:t>
      </w:r>
      <w:proofErr w:type="spellEnd"/>
      <w:r>
        <w:rPr>
          <w:rFonts w:ascii="Times New Roman" w:hAnsi="Times New Roman"/>
        </w:rPr>
        <w:t xml:space="preserve"> market re-entry of domestic workers).</w:t>
      </w:r>
    </w:p>
    <w:p w14:paraId="16037225" w14:textId="77777777" w:rsidR="00A91183" w:rsidRDefault="00103E8C" w:rsidP="00A91183">
      <w:pPr>
        <w:pStyle w:val="MPINormalBodytext"/>
        <w:numPr>
          <w:ilvl w:val="0"/>
          <w:numId w:val="36"/>
        </w:numPr>
        <w:jc w:val="both"/>
        <w:rPr>
          <w:rFonts w:ascii="Times New Roman" w:hAnsi="Times New Roman"/>
        </w:rPr>
      </w:pPr>
      <w:r>
        <w:rPr>
          <w:rFonts w:ascii="Times New Roman" w:hAnsi="Times New Roman"/>
        </w:rPr>
        <w:t>Increase</w:t>
      </w:r>
      <w:r w:rsidR="00A91183">
        <w:rPr>
          <w:rFonts w:ascii="Times New Roman" w:hAnsi="Times New Roman"/>
        </w:rPr>
        <w:t xml:space="preserve"> the transparency of </w:t>
      </w:r>
      <w:r w:rsidR="00616886">
        <w:rPr>
          <w:rFonts w:ascii="Times New Roman" w:hAnsi="Times New Roman"/>
        </w:rPr>
        <w:t xml:space="preserve">employer </w:t>
      </w:r>
      <w:r w:rsidR="00A91183">
        <w:rPr>
          <w:rFonts w:ascii="Times New Roman" w:hAnsi="Times New Roman"/>
        </w:rPr>
        <w:t>selection</w:t>
      </w:r>
      <w:r w:rsidR="00450659">
        <w:rPr>
          <w:rFonts w:ascii="Times New Roman" w:hAnsi="Times New Roman"/>
        </w:rPr>
        <w:t xml:space="preserve"> processes.</w:t>
      </w:r>
      <w:r w:rsidR="00A91183">
        <w:rPr>
          <w:rFonts w:ascii="Times New Roman" w:hAnsi="Times New Roman"/>
        </w:rPr>
        <w:t xml:space="preserve"> </w:t>
      </w:r>
    </w:p>
    <w:p w14:paraId="1D3EC432" w14:textId="77777777" w:rsidR="00957FAD" w:rsidRPr="00A91183" w:rsidRDefault="00A91183" w:rsidP="00616886">
      <w:pPr>
        <w:pStyle w:val="MPINormalBodytext"/>
        <w:numPr>
          <w:ilvl w:val="0"/>
          <w:numId w:val="36"/>
        </w:numPr>
        <w:jc w:val="both"/>
        <w:rPr>
          <w:rFonts w:ascii="Times New Roman" w:hAnsi="Times New Roman"/>
        </w:rPr>
      </w:pPr>
      <w:r>
        <w:rPr>
          <w:rFonts w:ascii="Times New Roman" w:hAnsi="Times New Roman"/>
        </w:rPr>
        <w:t>Enhance t</w:t>
      </w:r>
      <w:r w:rsidR="00450659">
        <w:rPr>
          <w:rFonts w:ascii="Times New Roman" w:hAnsi="Times New Roman"/>
        </w:rPr>
        <w:t xml:space="preserve">he </w:t>
      </w:r>
      <w:r w:rsidRPr="00A91183">
        <w:rPr>
          <w:rFonts w:ascii="Times New Roman" w:hAnsi="Times New Roman"/>
        </w:rPr>
        <w:t>integrity of the program</w:t>
      </w:r>
      <w:r w:rsidR="00741B18">
        <w:rPr>
          <w:rFonts w:ascii="Times New Roman" w:hAnsi="Times New Roman"/>
        </w:rPr>
        <w:t xml:space="preserve"> (</w:t>
      </w:r>
      <w:r w:rsidR="00616886">
        <w:rPr>
          <w:rFonts w:ascii="Times New Roman" w:hAnsi="Times New Roman"/>
        </w:rPr>
        <w:t xml:space="preserve">to reduce </w:t>
      </w:r>
      <w:r w:rsidR="00450659">
        <w:rPr>
          <w:rFonts w:ascii="Times New Roman" w:hAnsi="Times New Roman"/>
        </w:rPr>
        <w:t xml:space="preserve">employer and/or </w:t>
      </w:r>
      <w:r>
        <w:rPr>
          <w:rFonts w:ascii="Times New Roman" w:hAnsi="Times New Roman"/>
        </w:rPr>
        <w:t xml:space="preserve">worker fraud, and </w:t>
      </w:r>
      <w:r w:rsidR="00616886">
        <w:rPr>
          <w:rFonts w:ascii="Times New Roman" w:hAnsi="Times New Roman"/>
        </w:rPr>
        <w:t>ensure DIBP conduct</w:t>
      </w:r>
      <w:r w:rsidR="00450659">
        <w:rPr>
          <w:rFonts w:ascii="Times New Roman" w:hAnsi="Times New Roman"/>
        </w:rPr>
        <w:t>s</w:t>
      </w:r>
      <w:r>
        <w:rPr>
          <w:rFonts w:ascii="Times New Roman" w:hAnsi="Times New Roman"/>
        </w:rPr>
        <w:t xml:space="preserve"> mandatory character checks)</w:t>
      </w:r>
      <w:r w:rsidR="00450659">
        <w:rPr>
          <w:rFonts w:ascii="Times New Roman" w:hAnsi="Times New Roman"/>
        </w:rPr>
        <w:t>.</w:t>
      </w:r>
    </w:p>
    <w:p w14:paraId="0BF961F9" w14:textId="77777777" w:rsidR="00A91183" w:rsidRDefault="00A91183" w:rsidP="00A91183">
      <w:pPr>
        <w:pStyle w:val="MPINormalBodytext"/>
        <w:numPr>
          <w:ilvl w:val="0"/>
          <w:numId w:val="36"/>
        </w:numPr>
        <w:jc w:val="both"/>
        <w:rPr>
          <w:rFonts w:ascii="Times New Roman" w:hAnsi="Times New Roman"/>
        </w:rPr>
      </w:pPr>
      <w:r>
        <w:rPr>
          <w:rFonts w:ascii="Times New Roman" w:hAnsi="Times New Roman"/>
        </w:rPr>
        <w:t>Maintain appropr</w:t>
      </w:r>
      <w:r w:rsidR="00450659">
        <w:rPr>
          <w:rFonts w:ascii="Times New Roman" w:hAnsi="Times New Roman"/>
        </w:rPr>
        <w:t>iate human capital standards to ensure</w:t>
      </w:r>
      <w:r>
        <w:rPr>
          <w:rFonts w:ascii="Times New Roman" w:hAnsi="Times New Roman"/>
        </w:rPr>
        <w:t xml:space="preserve"> sa</w:t>
      </w:r>
      <w:r w:rsidR="00450659">
        <w:rPr>
          <w:rFonts w:ascii="Times New Roman" w:hAnsi="Times New Roman"/>
        </w:rPr>
        <w:t>fe practice (in relation to caliber of training, registration status</w:t>
      </w:r>
      <w:r>
        <w:rPr>
          <w:rFonts w:ascii="Times New Roman" w:hAnsi="Times New Roman"/>
        </w:rPr>
        <w:t xml:space="preserve"> and English language standards)</w:t>
      </w:r>
      <w:r w:rsidR="00450659">
        <w:rPr>
          <w:rFonts w:ascii="Times New Roman" w:hAnsi="Times New Roman"/>
        </w:rPr>
        <w:t>.</w:t>
      </w:r>
    </w:p>
    <w:p w14:paraId="79303C95" w14:textId="77777777" w:rsidR="00596829" w:rsidRDefault="00596829" w:rsidP="00483278">
      <w:pPr>
        <w:spacing w:after="0" w:line="240" w:lineRule="auto"/>
        <w:rPr>
          <w:rFonts w:cs="Times New Roman"/>
          <w:b/>
          <w:color w:val="365F91" w:themeColor="accent1" w:themeShade="BF"/>
          <w:sz w:val="32"/>
          <w:szCs w:val="32"/>
        </w:rPr>
      </w:pPr>
    </w:p>
    <w:p w14:paraId="4A9129FF" w14:textId="77777777" w:rsidR="00103E8C" w:rsidRDefault="00483278" w:rsidP="00103E8C">
      <w:pPr>
        <w:spacing w:after="0" w:line="240" w:lineRule="auto"/>
        <w:rPr>
          <w:rFonts w:cs="Times New Roman"/>
          <w:b/>
          <w:color w:val="365F91" w:themeColor="accent1" w:themeShade="BF"/>
          <w:sz w:val="28"/>
          <w:szCs w:val="28"/>
        </w:rPr>
      </w:pPr>
      <w:r w:rsidRPr="00B11B71">
        <w:rPr>
          <w:rFonts w:cs="Times New Roman"/>
          <w:b/>
          <w:color w:val="365F91" w:themeColor="accent1" w:themeShade="BF"/>
          <w:sz w:val="28"/>
          <w:szCs w:val="28"/>
        </w:rPr>
        <w:t xml:space="preserve">Issue 3: </w:t>
      </w:r>
    </w:p>
    <w:p w14:paraId="3E04FDDE" w14:textId="77777777" w:rsidR="00483278" w:rsidRPr="00B11B71" w:rsidRDefault="00103E8C" w:rsidP="00103E8C">
      <w:pPr>
        <w:spacing w:after="0" w:line="240" w:lineRule="auto"/>
        <w:rPr>
          <w:rFonts w:cs="Times New Roman"/>
          <w:b/>
          <w:color w:val="365F91" w:themeColor="accent1" w:themeShade="BF"/>
          <w:sz w:val="28"/>
          <w:szCs w:val="28"/>
        </w:rPr>
      </w:pPr>
      <w:r>
        <w:rPr>
          <w:rFonts w:cs="Times New Roman"/>
          <w:b/>
          <w:color w:val="365F91" w:themeColor="accent1" w:themeShade="BF"/>
          <w:sz w:val="28"/>
          <w:szCs w:val="28"/>
        </w:rPr>
        <w:t>Employer Preferences – English Ability and</w:t>
      </w:r>
      <w:r w:rsidR="00483278" w:rsidRPr="00B11B71">
        <w:rPr>
          <w:rFonts w:cs="Times New Roman"/>
          <w:b/>
          <w:color w:val="365F91" w:themeColor="accent1" w:themeShade="BF"/>
          <w:sz w:val="28"/>
          <w:szCs w:val="28"/>
        </w:rPr>
        <w:t xml:space="preserve"> Source Country</w:t>
      </w:r>
    </w:p>
    <w:p w14:paraId="608C0C82" w14:textId="77777777" w:rsidR="00483278" w:rsidRDefault="00483278" w:rsidP="00483278">
      <w:pPr>
        <w:spacing w:before="120" w:after="0" w:line="240" w:lineRule="auto"/>
        <w:jc w:val="both"/>
        <w:rPr>
          <w:rFonts w:ascii="Times New Roman" w:hAnsi="Times New Roman" w:cs="Times New Roman"/>
        </w:rPr>
      </w:pPr>
      <w:r w:rsidRPr="00483278">
        <w:rPr>
          <w:rFonts w:ascii="Times New Roman" w:hAnsi="Times New Roman" w:cs="Times New Roman"/>
        </w:rPr>
        <w:t xml:space="preserve">In </w:t>
      </w:r>
      <w:r w:rsidR="00103E8C">
        <w:rPr>
          <w:rFonts w:ascii="Times New Roman" w:hAnsi="Times New Roman" w:cs="Times New Roman"/>
        </w:rPr>
        <w:t>relation to</w:t>
      </w:r>
      <w:r w:rsidRPr="00483278">
        <w:rPr>
          <w:rFonts w:ascii="Times New Roman" w:hAnsi="Times New Roman" w:cs="Times New Roman"/>
        </w:rPr>
        <w:t xml:space="preserve"> policy</w:t>
      </w:r>
      <w:r w:rsidR="00103E8C">
        <w:rPr>
          <w:rFonts w:ascii="Times New Roman" w:hAnsi="Times New Roman" w:cs="Times New Roman"/>
        </w:rPr>
        <w:t xml:space="preserve"> and employment outcomes</w:t>
      </w:r>
      <w:r w:rsidRPr="00483278">
        <w:rPr>
          <w:rFonts w:ascii="Times New Roman" w:hAnsi="Times New Roman" w:cs="Times New Roman"/>
        </w:rPr>
        <w:t xml:space="preserve">, it is important to be aware </w:t>
      </w:r>
      <w:r>
        <w:rPr>
          <w:rFonts w:ascii="Times New Roman" w:hAnsi="Times New Roman" w:cs="Times New Roman"/>
        </w:rPr>
        <w:t xml:space="preserve">Australian </w:t>
      </w:r>
      <w:r w:rsidRPr="00483278">
        <w:rPr>
          <w:rFonts w:ascii="Times New Roman" w:hAnsi="Times New Roman" w:cs="Times New Roman"/>
        </w:rPr>
        <w:t>employers demonstrate a marked preference for migrant</w:t>
      </w:r>
      <w:r w:rsidR="00103E8C">
        <w:rPr>
          <w:rFonts w:ascii="Times New Roman" w:hAnsi="Times New Roman" w:cs="Times New Roman"/>
        </w:rPr>
        <w:t>s with advanced English language ability,</w:t>
      </w:r>
      <w:r w:rsidRPr="00483278">
        <w:rPr>
          <w:rFonts w:ascii="Times New Roman" w:hAnsi="Times New Roman" w:cs="Times New Roman"/>
        </w:rPr>
        <w:t xml:space="preserve"> training in OECD</w:t>
      </w:r>
      <w:r w:rsidR="00103E8C">
        <w:rPr>
          <w:rFonts w:ascii="Times New Roman" w:hAnsi="Times New Roman" w:cs="Times New Roman"/>
        </w:rPr>
        <w:t xml:space="preserve"> countries, and/or qualifications from Australia</w:t>
      </w:r>
      <w:r w:rsidR="00754930">
        <w:rPr>
          <w:rFonts w:ascii="Times New Roman" w:hAnsi="Times New Roman" w:cs="Times New Roman"/>
        </w:rPr>
        <w:t>. As demonstrated by Table 4</w:t>
      </w:r>
      <w:r w:rsidRPr="00483278">
        <w:rPr>
          <w:rFonts w:ascii="Times New Roman" w:hAnsi="Times New Roman" w:cs="Times New Roman"/>
        </w:rPr>
        <w:t xml:space="preserve">, </w:t>
      </w:r>
      <w:r w:rsidR="00103E8C">
        <w:rPr>
          <w:rFonts w:ascii="Times New Roman" w:hAnsi="Times New Roman" w:cs="Times New Roman"/>
        </w:rPr>
        <w:t xml:space="preserve">showing the top ten </w:t>
      </w:r>
      <w:r>
        <w:rPr>
          <w:rFonts w:ascii="Times New Roman" w:hAnsi="Times New Roman" w:cs="Times New Roman"/>
        </w:rPr>
        <w:t xml:space="preserve">source countries for </w:t>
      </w:r>
      <w:r w:rsidR="00725CAC">
        <w:rPr>
          <w:rFonts w:ascii="Times New Roman" w:hAnsi="Times New Roman" w:cs="Times New Roman"/>
        </w:rPr>
        <w:t xml:space="preserve">employer-sponsored </w:t>
      </w:r>
      <w:r w:rsidR="00103E8C">
        <w:rPr>
          <w:rFonts w:ascii="Times New Roman" w:hAnsi="Times New Roman" w:cs="Times New Roman"/>
        </w:rPr>
        <w:t xml:space="preserve">temporary </w:t>
      </w:r>
      <w:r w:rsidR="00725CAC">
        <w:rPr>
          <w:rFonts w:ascii="Times New Roman" w:hAnsi="Times New Roman" w:cs="Times New Roman"/>
        </w:rPr>
        <w:t xml:space="preserve">applicants </w:t>
      </w:r>
      <w:r w:rsidR="00103E8C">
        <w:rPr>
          <w:rFonts w:ascii="Times New Roman" w:hAnsi="Times New Roman" w:cs="Times New Roman"/>
        </w:rPr>
        <w:t xml:space="preserve">compared to </w:t>
      </w:r>
      <w:r>
        <w:rPr>
          <w:rFonts w:ascii="Times New Roman" w:hAnsi="Times New Roman" w:cs="Times New Roman"/>
        </w:rPr>
        <w:t xml:space="preserve">permanent </w:t>
      </w:r>
      <w:r w:rsidR="00725CAC">
        <w:rPr>
          <w:rFonts w:ascii="Times New Roman" w:hAnsi="Times New Roman" w:cs="Times New Roman"/>
        </w:rPr>
        <w:t xml:space="preserve">skilled </w:t>
      </w:r>
      <w:r>
        <w:rPr>
          <w:rFonts w:ascii="Times New Roman" w:hAnsi="Times New Roman" w:cs="Times New Roman"/>
        </w:rPr>
        <w:t xml:space="preserve">migrants </w:t>
      </w:r>
      <w:r w:rsidR="00725CAC">
        <w:rPr>
          <w:rFonts w:ascii="Times New Roman" w:hAnsi="Times New Roman" w:cs="Times New Roman"/>
        </w:rPr>
        <w:t>in the year to 30 June 20</w:t>
      </w:r>
      <w:r>
        <w:rPr>
          <w:rFonts w:ascii="Times New Roman" w:hAnsi="Times New Roman" w:cs="Times New Roman"/>
        </w:rPr>
        <w:t xml:space="preserve">14, </w:t>
      </w:r>
      <w:r w:rsidR="00C16703">
        <w:rPr>
          <w:rFonts w:ascii="Times New Roman" w:hAnsi="Times New Roman" w:cs="Times New Roman"/>
        </w:rPr>
        <w:t xml:space="preserve">56% of </w:t>
      </w:r>
      <w:r w:rsidR="00103E8C">
        <w:rPr>
          <w:rFonts w:ascii="Times New Roman" w:hAnsi="Times New Roman" w:cs="Times New Roman"/>
        </w:rPr>
        <w:t xml:space="preserve">the </w:t>
      </w:r>
      <w:r w:rsidR="00C16703">
        <w:rPr>
          <w:rFonts w:ascii="Times New Roman" w:hAnsi="Times New Roman" w:cs="Times New Roman"/>
        </w:rPr>
        <w:t xml:space="preserve">457 visa engineers were </w:t>
      </w:r>
      <w:r w:rsidR="00725CAC">
        <w:rPr>
          <w:rFonts w:ascii="Times New Roman" w:hAnsi="Times New Roman" w:cs="Times New Roman"/>
        </w:rPr>
        <w:t>qu</w:t>
      </w:r>
      <w:r w:rsidR="00103E8C">
        <w:rPr>
          <w:rFonts w:ascii="Times New Roman" w:hAnsi="Times New Roman" w:cs="Times New Roman"/>
        </w:rPr>
        <w:t xml:space="preserve">alified in OECD countries, and </w:t>
      </w:r>
      <w:r w:rsidR="00725CAC">
        <w:rPr>
          <w:rFonts w:ascii="Times New Roman" w:hAnsi="Times New Roman" w:cs="Times New Roman"/>
        </w:rPr>
        <w:t xml:space="preserve">50% </w:t>
      </w:r>
      <w:r w:rsidR="00103E8C">
        <w:rPr>
          <w:rFonts w:ascii="Times New Roman" w:hAnsi="Times New Roman" w:cs="Times New Roman"/>
        </w:rPr>
        <w:t xml:space="preserve">were </w:t>
      </w:r>
      <w:r w:rsidR="00725CAC">
        <w:rPr>
          <w:rFonts w:ascii="Times New Roman" w:hAnsi="Times New Roman" w:cs="Times New Roman"/>
        </w:rPr>
        <w:t xml:space="preserve">native English speakers from the UK, Ireland, the USA and Canada. The comparable figure for </w:t>
      </w:r>
      <w:r w:rsidR="00ED7B46">
        <w:rPr>
          <w:rFonts w:ascii="Times New Roman" w:hAnsi="Times New Roman" w:cs="Times New Roman"/>
        </w:rPr>
        <w:t>GSM</w:t>
      </w:r>
      <w:r w:rsidR="00725CAC">
        <w:rPr>
          <w:rFonts w:ascii="Times New Roman" w:hAnsi="Times New Roman" w:cs="Times New Roman"/>
        </w:rPr>
        <w:t xml:space="preserve"> migrants </w:t>
      </w:r>
      <w:r w:rsidR="00ED7B46">
        <w:rPr>
          <w:rFonts w:ascii="Times New Roman" w:hAnsi="Times New Roman" w:cs="Times New Roman"/>
        </w:rPr>
        <w:t xml:space="preserve">(63% selected by government) </w:t>
      </w:r>
      <w:r w:rsidR="00725CAC">
        <w:rPr>
          <w:rFonts w:ascii="Times New Roman" w:hAnsi="Times New Roman" w:cs="Times New Roman"/>
        </w:rPr>
        <w:t>was 8%.</w:t>
      </w:r>
    </w:p>
    <w:p w14:paraId="77C8AF6A" w14:textId="77777777" w:rsidR="00754930" w:rsidRDefault="00754930" w:rsidP="002342DC">
      <w:pPr>
        <w:spacing w:after="0" w:line="240" w:lineRule="auto"/>
        <w:rPr>
          <w:rFonts w:ascii="Times New Roman" w:hAnsi="Times New Roman" w:cs="Times New Roman"/>
          <w:b/>
        </w:rPr>
      </w:pPr>
    </w:p>
    <w:p w14:paraId="68FE6DB1" w14:textId="77777777" w:rsidR="00483278" w:rsidRDefault="00754930" w:rsidP="002342DC">
      <w:pPr>
        <w:spacing w:after="0" w:line="240" w:lineRule="auto"/>
        <w:rPr>
          <w:rFonts w:ascii="Times New Roman" w:hAnsi="Times New Roman" w:cs="Times New Roman"/>
          <w:b/>
        </w:rPr>
      </w:pPr>
      <w:r>
        <w:rPr>
          <w:rFonts w:ascii="Times New Roman" w:hAnsi="Times New Roman" w:cs="Times New Roman"/>
          <w:b/>
        </w:rPr>
        <w:t>Table 4</w:t>
      </w:r>
      <w:r w:rsidR="00483278" w:rsidRPr="00483278">
        <w:rPr>
          <w:rFonts w:ascii="Times New Roman" w:hAnsi="Times New Roman" w:cs="Times New Roman"/>
          <w:b/>
        </w:rPr>
        <w:t xml:space="preserve">. Top 10 Source Countries for Skilled Category Temporary Compared to Permanent Migrant </w:t>
      </w:r>
      <w:r w:rsidR="00C16703">
        <w:rPr>
          <w:rFonts w:ascii="Times New Roman" w:hAnsi="Times New Roman" w:cs="Times New Roman"/>
          <w:b/>
        </w:rPr>
        <w:t xml:space="preserve">Engineer </w:t>
      </w:r>
      <w:r w:rsidR="00483278" w:rsidRPr="00483278">
        <w:rPr>
          <w:rFonts w:ascii="Times New Roman" w:hAnsi="Times New Roman" w:cs="Times New Roman"/>
          <w:b/>
        </w:rPr>
        <w:t>Primary Applicants (30 June 2009-2014)</w:t>
      </w:r>
    </w:p>
    <w:p w14:paraId="03C306A2" w14:textId="77777777" w:rsidR="002342DC" w:rsidRPr="00483278" w:rsidRDefault="002342DC" w:rsidP="002342DC">
      <w:pPr>
        <w:spacing w:after="0" w:line="240" w:lineRule="auto"/>
        <w:rPr>
          <w:rFonts w:ascii="Times New Roman" w:hAnsi="Times New Roman" w:cs="Times New Roman"/>
          <w:b/>
        </w:rPr>
      </w:pPr>
    </w:p>
    <w:tbl>
      <w:tblPr>
        <w:tblStyle w:val="TableGrid"/>
        <w:tblW w:w="0" w:type="auto"/>
        <w:tblInd w:w="108" w:type="dxa"/>
        <w:tblLook w:val="04A0" w:firstRow="1" w:lastRow="0" w:firstColumn="1" w:lastColumn="0" w:noHBand="0" w:noVBand="1"/>
      </w:tblPr>
      <w:tblGrid>
        <w:gridCol w:w="4253"/>
        <w:gridCol w:w="4819"/>
      </w:tblGrid>
      <w:tr w:rsidR="00483278" w:rsidRPr="002342DC" w14:paraId="15F49DE1" w14:textId="77777777" w:rsidTr="002342DC">
        <w:tc>
          <w:tcPr>
            <w:tcW w:w="4253" w:type="dxa"/>
            <w:shd w:val="clear" w:color="auto" w:fill="C6D9F1" w:themeFill="text2" w:themeFillTint="33"/>
          </w:tcPr>
          <w:p w14:paraId="6BE21478" w14:textId="77777777" w:rsidR="00483278" w:rsidRPr="002342DC" w:rsidRDefault="00483278" w:rsidP="00C16703">
            <w:pPr>
              <w:pStyle w:val="PhDSubheading"/>
              <w:spacing w:after="0" w:line="240" w:lineRule="auto"/>
              <w:jc w:val="left"/>
              <w:rPr>
                <w:b/>
                <w:i w:val="0"/>
                <w:kern w:val="2"/>
                <w:sz w:val="22"/>
                <w:szCs w:val="22"/>
              </w:rPr>
            </w:pPr>
            <w:r w:rsidRPr="002342DC">
              <w:rPr>
                <w:b/>
                <w:i w:val="0"/>
                <w:kern w:val="2"/>
                <w:sz w:val="22"/>
                <w:szCs w:val="22"/>
              </w:rPr>
              <w:t>Temporary 457 Visa Stock</w:t>
            </w:r>
            <w:r w:rsidR="00C16703" w:rsidRPr="002342DC">
              <w:rPr>
                <w:b/>
                <w:i w:val="0"/>
                <w:kern w:val="2"/>
                <w:sz w:val="22"/>
                <w:szCs w:val="22"/>
              </w:rPr>
              <w:t xml:space="preserve"> Resident</w:t>
            </w:r>
            <w:r w:rsidRPr="002342DC">
              <w:rPr>
                <w:b/>
                <w:i w:val="0"/>
                <w:kern w:val="2"/>
                <w:sz w:val="22"/>
                <w:szCs w:val="22"/>
              </w:rPr>
              <w:t xml:space="preserve"> </w:t>
            </w:r>
            <w:r w:rsidR="00C16703" w:rsidRPr="002342DC">
              <w:rPr>
                <w:b/>
                <w:i w:val="0"/>
                <w:kern w:val="2"/>
                <w:sz w:val="22"/>
                <w:szCs w:val="22"/>
              </w:rPr>
              <w:t>Year to 30 June 2014 (All Sources</w:t>
            </w:r>
            <w:r w:rsidRPr="002342DC">
              <w:rPr>
                <w:b/>
                <w:i w:val="0"/>
                <w:kern w:val="2"/>
                <w:sz w:val="22"/>
                <w:szCs w:val="22"/>
              </w:rPr>
              <w:t xml:space="preserve"> =</w:t>
            </w:r>
            <w:r w:rsidR="00C16703" w:rsidRPr="002342DC">
              <w:rPr>
                <w:b/>
                <w:i w:val="0"/>
                <w:kern w:val="2"/>
                <w:sz w:val="22"/>
                <w:szCs w:val="22"/>
              </w:rPr>
              <w:t xml:space="preserve"> 6,160) </w:t>
            </w:r>
          </w:p>
        </w:tc>
        <w:tc>
          <w:tcPr>
            <w:tcW w:w="4819" w:type="dxa"/>
            <w:shd w:val="clear" w:color="auto" w:fill="C6D9F1" w:themeFill="text2" w:themeFillTint="33"/>
          </w:tcPr>
          <w:p w14:paraId="5B383275" w14:textId="77777777" w:rsidR="00483278" w:rsidRPr="002342DC" w:rsidRDefault="00483278" w:rsidP="00C16703">
            <w:pPr>
              <w:pStyle w:val="PhDSubheading"/>
              <w:spacing w:after="0" w:line="240" w:lineRule="auto"/>
              <w:jc w:val="left"/>
              <w:rPr>
                <w:b/>
                <w:i w:val="0"/>
                <w:kern w:val="2"/>
                <w:sz w:val="22"/>
                <w:szCs w:val="22"/>
              </w:rPr>
            </w:pPr>
            <w:r w:rsidRPr="002342DC">
              <w:rPr>
                <w:b/>
                <w:i w:val="0"/>
                <w:kern w:val="2"/>
                <w:sz w:val="22"/>
                <w:szCs w:val="22"/>
              </w:rPr>
              <w:t>Permanent Skilled Category</w:t>
            </w:r>
            <w:r w:rsidR="00C16703" w:rsidRPr="002342DC">
              <w:rPr>
                <w:b/>
                <w:i w:val="0"/>
                <w:kern w:val="2"/>
                <w:sz w:val="22"/>
                <w:szCs w:val="22"/>
              </w:rPr>
              <w:t xml:space="preserve"> Total Selected Year to 30 June 2014 (All Sources</w:t>
            </w:r>
            <w:r w:rsidRPr="002342DC">
              <w:rPr>
                <w:b/>
                <w:i w:val="0"/>
                <w:kern w:val="2"/>
                <w:sz w:val="22"/>
                <w:szCs w:val="22"/>
              </w:rPr>
              <w:t xml:space="preserve"> =</w:t>
            </w:r>
            <w:r w:rsidR="00C16703" w:rsidRPr="002342DC">
              <w:rPr>
                <w:b/>
                <w:i w:val="0"/>
                <w:kern w:val="2"/>
                <w:sz w:val="22"/>
                <w:szCs w:val="22"/>
              </w:rPr>
              <w:t xml:space="preserve"> 4,160)</w:t>
            </w:r>
          </w:p>
        </w:tc>
      </w:tr>
      <w:tr w:rsidR="00483278" w:rsidRPr="002342DC" w14:paraId="21E208C5" w14:textId="77777777" w:rsidTr="002342DC">
        <w:tc>
          <w:tcPr>
            <w:tcW w:w="4253" w:type="dxa"/>
            <w:shd w:val="clear" w:color="auto" w:fill="EAF1DD" w:themeFill="accent3" w:themeFillTint="33"/>
          </w:tcPr>
          <w:p w14:paraId="64597F60" w14:textId="77777777" w:rsidR="00483278" w:rsidRPr="002342DC" w:rsidRDefault="00C16703" w:rsidP="00974B66">
            <w:pPr>
              <w:pStyle w:val="PhDSubheading"/>
              <w:spacing w:after="0" w:line="240" w:lineRule="auto"/>
              <w:jc w:val="left"/>
              <w:rPr>
                <w:i w:val="0"/>
                <w:kern w:val="2"/>
                <w:sz w:val="22"/>
                <w:szCs w:val="22"/>
              </w:rPr>
            </w:pPr>
            <w:r w:rsidRPr="002342DC">
              <w:rPr>
                <w:i w:val="0"/>
                <w:kern w:val="2"/>
                <w:sz w:val="22"/>
                <w:szCs w:val="22"/>
              </w:rPr>
              <w:t>UK (24</w:t>
            </w:r>
            <w:r w:rsidR="00483278" w:rsidRPr="002342DC">
              <w:rPr>
                <w:i w:val="0"/>
                <w:kern w:val="2"/>
                <w:sz w:val="22"/>
                <w:szCs w:val="22"/>
              </w:rPr>
              <w:t>%)</w:t>
            </w:r>
          </w:p>
        </w:tc>
        <w:tc>
          <w:tcPr>
            <w:tcW w:w="4819" w:type="dxa"/>
            <w:shd w:val="clear" w:color="auto" w:fill="FFFFFF" w:themeFill="background1"/>
          </w:tcPr>
          <w:p w14:paraId="58788062" w14:textId="77777777" w:rsidR="00483278" w:rsidRPr="002342DC" w:rsidRDefault="00C16703" w:rsidP="00974B66">
            <w:pPr>
              <w:pStyle w:val="PhDSubheading"/>
              <w:spacing w:after="0" w:line="240" w:lineRule="auto"/>
              <w:jc w:val="left"/>
              <w:rPr>
                <w:i w:val="0"/>
                <w:kern w:val="2"/>
                <w:sz w:val="22"/>
                <w:szCs w:val="22"/>
              </w:rPr>
            </w:pPr>
            <w:r w:rsidRPr="002342DC">
              <w:rPr>
                <w:i w:val="0"/>
                <w:kern w:val="2"/>
                <w:sz w:val="22"/>
                <w:szCs w:val="22"/>
              </w:rPr>
              <w:t>India (</w:t>
            </w:r>
            <w:r w:rsidR="00483278" w:rsidRPr="002342DC">
              <w:rPr>
                <w:i w:val="0"/>
                <w:kern w:val="2"/>
                <w:sz w:val="22"/>
                <w:szCs w:val="22"/>
              </w:rPr>
              <w:t>1</w:t>
            </w:r>
            <w:r w:rsidRPr="002342DC">
              <w:rPr>
                <w:i w:val="0"/>
                <w:kern w:val="2"/>
                <w:sz w:val="22"/>
                <w:szCs w:val="22"/>
              </w:rPr>
              <w:t>8</w:t>
            </w:r>
            <w:r w:rsidR="00483278" w:rsidRPr="002342DC">
              <w:rPr>
                <w:i w:val="0"/>
                <w:kern w:val="2"/>
                <w:sz w:val="22"/>
                <w:szCs w:val="22"/>
              </w:rPr>
              <w:t>%)</w:t>
            </w:r>
          </w:p>
        </w:tc>
      </w:tr>
      <w:tr w:rsidR="00483278" w:rsidRPr="002342DC" w14:paraId="0D6BE0FC" w14:textId="77777777" w:rsidTr="002342DC">
        <w:tc>
          <w:tcPr>
            <w:tcW w:w="4253" w:type="dxa"/>
            <w:shd w:val="clear" w:color="auto" w:fill="EAF1DD" w:themeFill="accent3" w:themeFillTint="33"/>
          </w:tcPr>
          <w:p w14:paraId="777726E2" w14:textId="77777777" w:rsidR="00483278" w:rsidRPr="002342DC" w:rsidRDefault="00C16703" w:rsidP="00974B66">
            <w:pPr>
              <w:pStyle w:val="PhDSubheading"/>
              <w:spacing w:after="0" w:line="240" w:lineRule="auto"/>
              <w:jc w:val="left"/>
              <w:rPr>
                <w:i w:val="0"/>
                <w:kern w:val="2"/>
                <w:sz w:val="22"/>
                <w:szCs w:val="22"/>
              </w:rPr>
            </w:pPr>
            <w:r w:rsidRPr="002342DC">
              <w:rPr>
                <w:i w:val="0"/>
                <w:kern w:val="2"/>
                <w:sz w:val="22"/>
                <w:szCs w:val="22"/>
              </w:rPr>
              <w:t>Ireland (13</w:t>
            </w:r>
            <w:r w:rsidR="00483278" w:rsidRPr="002342DC">
              <w:rPr>
                <w:i w:val="0"/>
                <w:kern w:val="2"/>
                <w:sz w:val="22"/>
                <w:szCs w:val="22"/>
              </w:rPr>
              <w:t>%)</w:t>
            </w:r>
          </w:p>
        </w:tc>
        <w:tc>
          <w:tcPr>
            <w:tcW w:w="4819" w:type="dxa"/>
            <w:shd w:val="clear" w:color="auto" w:fill="FFFFFF" w:themeFill="background1"/>
          </w:tcPr>
          <w:p w14:paraId="311BAA95" w14:textId="77777777" w:rsidR="00483278" w:rsidRPr="002342DC" w:rsidRDefault="00C16703" w:rsidP="00974B66">
            <w:pPr>
              <w:pStyle w:val="PhDSubheading"/>
              <w:spacing w:after="0" w:line="240" w:lineRule="auto"/>
              <w:jc w:val="left"/>
              <w:rPr>
                <w:i w:val="0"/>
                <w:kern w:val="2"/>
                <w:sz w:val="22"/>
                <w:szCs w:val="22"/>
              </w:rPr>
            </w:pPr>
            <w:r w:rsidRPr="002342DC">
              <w:rPr>
                <w:i w:val="0"/>
                <w:kern w:val="2"/>
                <w:sz w:val="22"/>
                <w:szCs w:val="22"/>
              </w:rPr>
              <w:t>China (15</w:t>
            </w:r>
            <w:r w:rsidR="00483278" w:rsidRPr="002342DC">
              <w:rPr>
                <w:i w:val="0"/>
                <w:kern w:val="2"/>
                <w:sz w:val="22"/>
                <w:szCs w:val="22"/>
              </w:rPr>
              <w:t>%)</w:t>
            </w:r>
          </w:p>
        </w:tc>
      </w:tr>
      <w:tr w:rsidR="00483278" w:rsidRPr="002342DC" w14:paraId="428C02F7" w14:textId="77777777" w:rsidTr="002342DC">
        <w:tc>
          <w:tcPr>
            <w:tcW w:w="4253" w:type="dxa"/>
            <w:shd w:val="clear" w:color="auto" w:fill="EAF1DD" w:themeFill="accent3" w:themeFillTint="33"/>
          </w:tcPr>
          <w:p w14:paraId="7EA2E8A1" w14:textId="77777777" w:rsidR="00483278" w:rsidRPr="002342DC" w:rsidRDefault="00483278" w:rsidP="00974B66">
            <w:pPr>
              <w:pStyle w:val="PhDSubheading"/>
              <w:spacing w:after="0" w:line="240" w:lineRule="auto"/>
              <w:jc w:val="left"/>
              <w:rPr>
                <w:i w:val="0"/>
                <w:kern w:val="2"/>
                <w:sz w:val="22"/>
                <w:szCs w:val="22"/>
              </w:rPr>
            </w:pPr>
            <w:r w:rsidRPr="002342DC">
              <w:rPr>
                <w:i w:val="0"/>
                <w:kern w:val="2"/>
                <w:sz w:val="22"/>
                <w:szCs w:val="22"/>
              </w:rPr>
              <w:t>US</w:t>
            </w:r>
            <w:r w:rsidR="00725CAC" w:rsidRPr="002342DC">
              <w:rPr>
                <w:i w:val="0"/>
                <w:kern w:val="2"/>
                <w:sz w:val="22"/>
                <w:szCs w:val="22"/>
              </w:rPr>
              <w:t>A</w:t>
            </w:r>
            <w:r w:rsidRPr="002342DC">
              <w:rPr>
                <w:i w:val="0"/>
                <w:kern w:val="2"/>
                <w:sz w:val="22"/>
                <w:szCs w:val="22"/>
              </w:rPr>
              <w:t xml:space="preserve"> (9%)</w:t>
            </w:r>
          </w:p>
        </w:tc>
        <w:tc>
          <w:tcPr>
            <w:tcW w:w="4819" w:type="dxa"/>
            <w:shd w:val="clear" w:color="auto" w:fill="FFFFFF" w:themeFill="background1"/>
          </w:tcPr>
          <w:p w14:paraId="4AC35476" w14:textId="77777777" w:rsidR="00483278" w:rsidRPr="002342DC" w:rsidRDefault="00C16703" w:rsidP="00974B66">
            <w:pPr>
              <w:pStyle w:val="PhDSubheading"/>
              <w:spacing w:after="0" w:line="240" w:lineRule="auto"/>
              <w:jc w:val="left"/>
              <w:rPr>
                <w:i w:val="0"/>
                <w:kern w:val="2"/>
                <w:sz w:val="22"/>
                <w:szCs w:val="22"/>
              </w:rPr>
            </w:pPr>
            <w:r w:rsidRPr="002342DC">
              <w:rPr>
                <w:i w:val="0"/>
                <w:kern w:val="2"/>
                <w:sz w:val="22"/>
                <w:szCs w:val="22"/>
              </w:rPr>
              <w:t>Iran (9</w:t>
            </w:r>
            <w:r w:rsidR="00483278" w:rsidRPr="002342DC">
              <w:rPr>
                <w:i w:val="0"/>
                <w:kern w:val="2"/>
                <w:sz w:val="22"/>
                <w:szCs w:val="22"/>
              </w:rPr>
              <w:t>%)</w:t>
            </w:r>
          </w:p>
        </w:tc>
      </w:tr>
      <w:tr w:rsidR="00483278" w:rsidRPr="002342DC" w14:paraId="554528C6" w14:textId="77777777" w:rsidTr="002342DC">
        <w:tc>
          <w:tcPr>
            <w:tcW w:w="4253" w:type="dxa"/>
          </w:tcPr>
          <w:p w14:paraId="105A9E3E" w14:textId="77777777" w:rsidR="00483278" w:rsidRPr="002342DC" w:rsidRDefault="00C16703" w:rsidP="00974B66">
            <w:pPr>
              <w:pStyle w:val="PhDSubheading"/>
              <w:spacing w:after="0" w:line="240" w:lineRule="auto"/>
              <w:jc w:val="left"/>
              <w:rPr>
                <w:i w:val="0"/>
                <w:kern w:val="2"/>
                <w:sz w:val="22"/>
                <w:szCs w:val="22"/>
              </w:rPr>
            </w:pPr>
            <w:r w:rsidRPr="002342DC">
              <w:rPr>
                <w:i w:val="0"/>
                <w:kern w:val="2"/>
                <w:sz w:val="22"/>
                <w:szCs w:val="22"/>
              </w:rPr>
              <w:t>India (6</w:t>
            </w:r>
            <w:r w:rsidR="00483278" w:rsidRPr="002342DC">
              <w:rPr>
                <w:i w:val="0"/>
                <w:kern w:val="2"/>
                <w:sz w:val="22"/>
                <w:szCs w:val="22"/>
              </w:rPr>
              <w:t>%)</w:t>
            </w:r>
          </w:p>
        </w:tc>
        <w:tc>
          <w:tcPr>
            <w:tcW w:w="4819" w:type="dxa"/>
            <w:shd w:val="clear" w:color="auto" w:fill="FFFFFF" w:themeFill="background1"/>
          </w:tcPr>
          <w:p w14:paraId="7F756233" w14:textId="77777777" w:rsidR="00483278" w:rsidRPr="002342DC" w:rsidRDefault="00C16703" w:rsidP="00974B66">
            <w:pPr>
              <w:pStyle w:val="PhDSubheading"/>
              <w:spacing w:after="0" w:line="240" w:lineRule="auto"/>
              <w:jc w:val="left"/>
              <w:rPr>
                <w:i w:val="0"/>
                <w:kern w:val="2"/>
                <w:sz w:val="22"/>
                <w:szCs w:val="22"/>
              </w:rPr>
            </w:pPr>
            <w:r w:rsidRPr="002342DC">
              <w:rPr>
                <w:i w:val="0"/>
                <w:kern w:val="2"/>
                <w:sz w:val="22"/>
                <w:szCs w:val="22"/>
              </w:rPr>
              <w:t>Pakistan (7%)</w:t>
            </w:r>
          </w:p>
        </w:tc>
      </w:tr>
      <w:tr w:rsidR="00483278" w:rsidRPr="002342DC" w14:paraId="4B52C1D7" w14:textId="77777777" w:rsidTr="002342DC">
        <w:tc>
          <w:tcPr>
            <w:tcW w:w="4253" w:type="dxa"/>
          </w:tcPr>
          <w:p w14:paraId="593A237F" w14:textId="77777777" w:rsidR="00483278" w:rsidRPr="002342DC" w:rsidRDefault="00483278" w:rsidP="00974B66">
            <w:pPr>
              <w:pStyle w:val="PhDSubheading"/>
              <w:spacing w:after="0" w:line="240" w:lineRule="auto"/>
              <w:jc w:val="left"/>
              <w:rPr>
                <w:i w:val="0"/>
                <w:kern w:val="2"/>
                <w:sz w:val="22"/>
                <w:szCs w:val="22"/>
              </w:rPr>
            </w:pPr>
            <w:r w:rsidRPr="002342DC">
              <w:rPr>
                <w:i w:val="0"/>
                <w:kern w:val="2"/>
                <w:sz w:val="22"/>
                <w:szCs w:val="22"/>
              </w:rPr>
              <w:t>Philippines (5%)</w:t>
            </w:r>
          </w:p>
        </w:tc>
        <w:tc>
          <w:tcPr>
            <w:tcW w:w="4819" w:type="dxa"/>
            <w:shd w:val="clear" w:color="auto" w:fill="FFFFFF" w:themeFill="background1"/>
          </w:tcPr>
          <w:p w14:paraId="2670AABC" w14:textId="77777777" w:rsidR="00483278" w:rsidRPr="002342DC" w:rsidRDefault="00C16703" w:rsidP="00974B66">
            <w:pPr>
              <w:pStyle w:val="PhDSubheading"/>
              <w:spacing w:after="0" w:line="240" w:lineRule="auto"/>
              <w:jc w:val="left"/>
              <w:rPr>
                <w:i w:val="0"/>
                <w:kern w:val="2"/>
                <w:sz w:val="22"/>
                <w:szCs w:val="22"/>
              </w:rPr>
            </w:pPr>
            <w:r w:rsidRPr="002342DC">
              <w:rPr>
                <w:i w:val="0"/>
                <w:kern w:val="2"/>
                <w:sz w:val="22"/>
                <w:szCs w:val="22"/>
              </w:rPr>
              <w:t>Malaysia (6%)</w:t>
            </w:r>
          </w:p>
        </w:tc>
      </w:tr>
      <w:tr w:rsidR="00483278" w:rsidRPr="002342DC" w14:paraId="7EF52B3F" w14:textId="77777777" w:rsidTr="002342DC">
        <w:tc>
          <w:tcPr>
            <w:tcW w:w="4253" w:type="dxa"/>
            <w:shd w:val="clear" w:color="auto" w:fill="EAF1DD" w:themeFill="accent3" w:themeFillTint="33"/>
          </w:tcPr>
          <w:p w14:paraId="40E34340" w14:textId="77777777" w:rsidR="00483278" w:rsidRPr="002342DC" w:rsidRDefault="00483278" w:rsidP="00974B66">
            <w:pPr>
              <w:pStyle w:val="PhDSubheading"/>
              <w:spacing w:after="0" w:line="240" w:lineRule="auto"/>
              <w:jc w:val="left"/>
              <w:rPr>
                <w:i w:val="0"/>
                <w:kern w:val="2"/>
                <w:sz w:val="22"/>
                <w:szCs w:val="22"/>
              </w:rPr>
            </w:pPr>
            <w:r w:rsidRPr="002342DC">
              <w:rPr>
                <w:i w:val="0"/>
                <w:kern w:val="2"/>
                <w:sz w:val="22"/>
                <w:szCs w:val="22"/>
              </w:rPr>
              <w:t>Canada (4%)</w:t>
            </w:r>
          </w:p>
        </w:tc>
        <w:tc>
          <w:tcPr>
            <w:tcW w:w="4819" w:type="dxa"/>
            <w:shd w:val="clear" w:color="auto" w:fill="EAF1DD" w:themeFill="accent3" w:themeFillTint="33"/>
          </w:tcPr>
          <w:p w14:paraId="6997C889" w14:textId="77777777" w:rsidR="00483278" w:rsidRPr="002342DC" w:rsidRDefault="00C16703" w:rsidP="00974B66">
            <w:pPr>
              <w:pStyle w:val="PhDSubheading"/>
              <w:spacing w:after="0" w:line="240" w:lineRule="auto"/>
              <w:jc w:val="left"/>
              <w:rPr>
                <w:i w:val="0"/>
                <w:kern w:val="2"/>
                <w:sz w:val="22"/>
                <w:szCs w:val="22"/>
              </w:rPr>
            </w:pPr>
            <w:r w:rsidRPr="002342DC">
              <w:rPr>
                <w:i w:val="0"/>
                <w:kern w:val="2"/>
                <w:sz w:val="22"/>
                <w:szCs w:val="22"/>
              </w:rPr>
              <w:t xml:space="preserve">UK (5%) </w:t>
            </w:r>
          </w:p>
        </w:tc>
      </w:tr>
      <w:tr w:rsidR="00483278" w:rsidRPr="002342DC" w14:paraId="44E7D68F" w14:textId="77777777" w:rsidTr="002342DC">
        <w:tc>
          <w:tcPr>
            <w:tcW w:w="4253" w:type="dxa"/>
            <w:shd w:val="clear" w:color="auto" w:fill="EAF1DD" w:themeFill="accent3" w:themeFillTint="33"/>
          </w:tcPr>
          <w:p w14:paraId="1E891D47" w14:textId="77777777" w:rsidR="00483278" w:rsidRPr="002342DC" w:rsidRDefault="00C16703" w:rsidP="00974B66">
            <w:pPr>
              <w:pStyle w:val="PhDSubheading"/>
              <w:spacing w:after="0" w:line="240" w:lineRule="auto"/>
              <w:jc w:val="left"/>
              <w:rPr>
                <w:i w:val="0"/>
                <w:kern w:val="2"/>
                <w:sz w:val="22"/>
                <w:szCs w:val="22"/>
              </w:rPr>
            </w:pPr>
            <w:r w:rsidRPr="002342DC">
              <w:rPr>
                <w:i w:val="0"/>
                <w:kern w:val="2"/>
                <w:sz w:val="22"/>
                <w:szCs w:val="22"/>
              </w:rPr>
              <w:t>France (4</w:t>
            </w:r>
            <w:r w:rsidR="00483278" w:rsidRPr="002342DC">
              <w:rPr>
                <w:i w:val="0"/>
                <w:kern w:val="2"/>
                <w:sz w:val="22"/>
                <w:szCs w:val="22"/>
              </w:rPr>
              <w:t>%)</w:t>
            </w:r>
          </w:p>
        </w:tc>
        <w:tc>
          <w:tcPr>
            <w:tcW w:w="4819" w:type="dxa"/>
            <w:shd w:val="clear" w:color="auto" w:fill="FFFFFF" w:themeFill="background1"/>
          </w:tcPr>
          <w:p w14:paraId="0D34FD58" w14:textId="77777777" w:rsidR="00483278" w:rsidRPr="002342DC" w:rsidRDefault="00C16703" w:rsidP="00974B66">
            <w:pPr>
              <w:pStyle w:val="PhDSubheading"/>
              <w:spacing w:after="0" w:line="240" w:lineRule="auto"/>
              <w:jc w:val="left"/>
              <w:rPr>
                <w:i w:val="0"/>
                <w:kern w:val="2"/>
                <w:sz w:val="22"/>
                <w:szCs w:val="22"/>
              </w:rPr>
            </w:pPr>
            <w:r w:rsidRPr="002342DC">
              <w:rPr>
                <w:i w:val="0"/>
                <w:kern w:val="2"/>
                <w:sz w:val="22"/>
                <w:szCs w:val="22"/>
              </w:rPr>
              <w:t>Sri Lanka (3</w:t>
            </w:r>
            <w:r w:rsidR="00483278" w:rsidRPr="002342DC">
              <w:rPr>
                <w:i w:val="0"/>
                <w:kern w:val="2"/>
                <w:sz w:val="22"/>
                <w:szCs w:val="22"/>
              </w:rPr>
              <w:t>%)</w:t>
            </w:r>
          </w:p>
        </w:tc>
      </w:tr>
      <w:tr w:rsidR="00483278" w:rsidRPr="002342DC" w14:paraId="5DA19533" w14:textId="77777777" w:rsidTr="002342DC">
        <w:tc>
          <w:tcPr>
            <w:tcW w:w="4253" w:type="dxa"/>
            <w:shd w:val="clear" w:color="auto" w:fill="EAF1DD" w:themeFill="accent3" w:themeFillTint="33"/>
          </w:tcPr>
          <w:p w14:paraId="0D1F11A1" w14:textId="77777777" w:rsidR="00483278" w:rsidRPr="002342DC" w:rsidRDefault="00C16703" w:rsidP="00974B66">
            <w:pPr>
              <w:pStyle w:val="PhDSubheading"/>
              <w:spacing w:after="0" w:line="240" w:lineRule="auto"/>
              <w:jc w:val="left"/>
              <w:rPr>
                <w:i w:val="0"/>
                <w:kern w:val="2"/>
                <w:sz w:val="22"/>
                <w:szCs w:val="22"/>
              </w:rPr>
            </w:pPr>
            <w:r w:rsidRPr="002342DC">
              <w:rPr>
                <w:i w:val="0"/>
                <w:kern w:val="2"/>
                <w:sz w:val="22"/>
                <w:szCs w:val="22"/>
              </w:rPr>
              <w:t>South Africa (2</w:t>
            </w:r>
            <w:r w:rsidR="00483278" w:rsidRPr="002342DC">
              <w:rPr>
                <w:i w:val="0"/>
                <w:kern w:val="2"/>
                <w:sz w:val="22"/>
                <w:szCs w:val="22"/>
              </w:rPr>
              <w:t>%)</w:t>
            </w:r>
          </w:p>
        </w:tc>
        <w:tc>
          <w:tcPr>
            <w:tcW w:w="4819" w:type="dxa"/>
            <w:shd w:val="clear" w:color="auto" w:fill="FFFFFF" w:themeFill="background1"/>
          </w:tcPr>
          <w:p w14:paraId="7BF4139E" w14:textId="77777777" w:rsidR="00483278" w:rsidRPr="002342DC" w:rsidRDefault="00483278" w:rsidP="00974B66">
            <w:pPr>
              <w:pStyle w:val="PhDSubheading"/>
              <w:spacing w:after="0" w:line="240" w:lineRule="auto"/>
              <w:jc w:val="left"/>
              <w:rPr>
                <w:i w:val="0"/>
                <w:kern w:val="2"/>
                <w:sz w:val="22"/>
                <w:szCs w:val="22"/>
              </w:rPr>
            </w:pPr>
            <w:r w:rsidRPr="002342DC">
              <w:rPr>
                <w:i w:val="0"/>
                <w:kern w:val="2"/>
                <w:sz w:val="22"/>
                <w:szCs w:val="22"/>
              </w:rPr>
              <w:t>Philippines (3%)</w:t>
            </w:r>
          </w:p>
        </w:tc>
      </w:tr>
      <w:tr w:rsidR="00483278" w:rsidRPr="002342DC" w14:paraId="22045E1F" w14:textId="77777777" w:rsidTr="002342DC">
        <w:tc>
          <w:tcPr>
            <w:tcW w:w="4253" w:type="dxa"/>
          </w:tcPr>
          <w:p w14:paraId="1AE5A8A9" w14:textId="77777777" w:rsidR="00483278" w:rsidRPr="002342DC" w:rsidRDefault="00C16703" w:rsidP="00974B66">
            <w:pPr>
              <w:pStyle w:val="PhDSubheading"/>
              <w:spacing w:after="0" w:line="240" w:lineRule="auto"/>
              <w:jc w:val="left"/>
              <w:rPr>
                <w:i w:val="0"/>
                <w:kern w:val="2"/>
                <w:sz w:val="22"/>
                <w:szCs w:val="22"/>
              </w:rPr>
            </w:pPr>
            <w:r w:rsidRPr="002342DC">
              <w:rPr>
                <w:i w:val="0"/>
                <w:kern w:val="2"/>
                <w:sz w:val="22"/>
                <w:szCs w:val="22"/>
              </w:rPr>
              <w:t>China (4</w:t>
            </w:r>
            <w:r w:rsidR="00483278" w:rsidRPr="002342DC">
              <w:rPr>
                <w:i w:val="0"/>
                <w:kern w:val="2"/>
                <w:sz w:val="22"/>
                <w:szCs w:val="22"/>
              </w:rPr>
              <w:t>%)</w:t>
            </w:r>
          </w:p>
        </w:tc>
        <w:tc>
          <w:tcPr>
            <w:tcW w:w="4819" w:type="dxa"/>
            <w:shd w:val="clear" w:color="auto" w:fill="EAF1DD" w:themeFill="accent3" w:themeFillTint="33"/>
          </w:tcPr>
          <w:p w14:paraId="77841AC8" w14:textId="77777777" w:rsidR="00483278" w:rsidRPr="002342DC" w:rsidRDefault="00C16703" w:rsidP="00974B66">
            <w:pPr>
              <w:pStyle w:val="PhDSubheading"/>
              <w:spacing w:after="0" w:line="240" w:lineRule="auto"/>
              <w:jc w:val="left"/>
              <w:rPr>
                <w:i w:val="0"/>
                <w:kern w:val="2"/>
                <w:sz w:val="22"/>
                <w:szCs w:val="22"/>
              </w:rPr>
            </w:pPr>
            <w:r w:rsidRPr="002342DC">
              <w:rPr>
                <w:i w:val="0"/>
                <w:kern w:val="2"/>
                <w:sz w:val="22"/>
                <w:szCs w:val="22"/>
              </w:rPr>
              <w:t>South Africa (2</w:t>
            </w:r>
            <w:r w:rsidR="00483278" w:rsidRPr="002342DC">
              <w:rPr>
                <w:i w:val="0"/>
                <w:kern w:val="2"/>
                <w:sz w:val="22"/>
                <w:szCs w:val="22"/>
              </w:rPr>
              <w:t>%)</w:t>
            </w:r>
          </w:p>
        </w:tc>
      </w:tr>
      <w:tr w:rsidR="00483278" w:rsidRPr="002342DC" w14:paraId="14AC5952" w14:textId="77777777" w:rsidTr="002342DC">
        <w:tc>
          <w:tcPr>
            <w:tcW w:w="4253" w:type="dxa"/>
          </w:tcPr>
          <w:p w14:paraId="1C9BA1A8" w14:textId="77777777" w:rsidR="00483278" w:rsidRPr="002342DC" w:rsidRDefault="00C16703" w:rsidP="00974B66">
            <w:pPr>
              <w:pStyle w:val="PhDSubheading"/>
              <w:spacing w:after="0" w:line="240" w:lineRule="auto"/>
              <w:jc w:val="left"/>
              <w:rPr>
                <w:i w:val="0"/>
                <w:kern w:val="2"/>
                <w:sz w:val="22"/>
                <w:szCs w:val="22"/>
              </w:rPr>
            </w:pPr>
            <w:r w:rsidRPr="002342DC">
              <w:rPr>
                <w:i w:val="0"/>
                <w:kern w:val="2"/>
                <w:sz w:val="22"/>
                <w:szCs w:val="22"/>
              </w:rPr>
              <w:t>Malaysia (2</w:t>
            </w:r>
            <w:r w:rsidR="00483278" w:rsidRPr="002342DC">
              <w:rPr>
                <w:i w:val="0"/>
                <w:kern w:val="2"/>
                <w:sz w:val="22"/>
                <w:szCs w:val="22"/>
              </w:rPr>
              <w:t>%)</w:t>
            </w:r>
          </w:p>
        </w:tc>
        <w:tc>
          <w:tcPr>
            <w:tcW w:w="4819" w:type="dxa"/>
            <w:shd w:val="clear" w:color="auto" w:fill="FFFFFF" w:themeFill="background1"/>
          </w:tcPr>
          <w:p w14:paraId="19956E12" w14:textId="77777777" w:rsidR="00483278" w:rsidRPr="002342DC" w:rsidRDefault="00483278" w:rsidP="00974B66">
            <w:pPr>
              <w:pStyle w:val="PhDSubheading"/>
              <w:spacing w:after="0" w:line="240" w:lineRule="auto"/>
              <w:jc w:val="left"/>
              <w:rPr>
                <w:i w:val="0"/>
                <w:kern w:val="2"/>
                <w:sz w:val="22"/>
                <w:szCs w:val="22"/>
              </w:rPr>
            </w:pPr>
            <w:r w:rsidRPr="002342DC">
              <w:rPr>
                <w:i w:val="0"/>
                <w:kern w:val="2"/>
                <w:sz w:val="22"/>
                <w:szCs w:val="22"/>
              </w:rPr>
              <w:t>Bangladesh (3%)</w:t>
            </w:r>
          </w:p>
        </w:tc>
      </w:tr>
    </w:tbl>
    <w:p w14:paraId="32EB5BC8" w14:textId="77777777" w:rsidR="00483278" w:rsidRPr="00BF5564" w:rsidRDefault="00483278" w:rsidP="00483278">
      <w:pPr>
        <w:pStyle w:val="PhDSubheading"/>
        <w:spacing w:after="0" w:line="240" w:lineRule="auto"/>
        <w:rPr>
          <w:rFonts w:asciiTheme="minorHAnsi" w:hAnsiTheme="minorHAnsi"/>
          <w:i w:val="0"/>
          <w:kern w:val="2"/>
          <w:sz w:val="18"/>
          <w:szCs w:val="18"/>
        </w:rPr>
      </w:pPr>
    </w:p>
    <w:p w14:paraId="0A2CDBF4" w14:textId="77777777" w:rsidR="00483278" w:rsidRPr="00483278" w:rsidRDefault="00483278" w:rsidP="002342DC">
      <w:pPr>
        <w:pStyle w:val="PhDSubheading"/>
        <w:spacing w:after="0" w:line="240" w:lineRule="auto"/>
        <w:jc w:val="both"/>
        <w:rPr>
          <w:i w:val="0"/>
          <w:kern w:val="2"/>
          <w:sz w:val="20"/>
          <w:szCs w:val="20"/>
        </w:rPr>
      </w:pPr>
      <w:r w:rsidRPr="00483278">
        <w:rPr>
          <w:kern w:val="2"/>
          <w:sz w:val="20"/>
          <w:szCs w:val="20"/>
        </w:rPr>
        <w:t xml:space="preserve">Source: </w:t>
      </w:r>
      <w:r w:rsidR="00C16703">
        <w:rPr>
          <w:i w:val="0"/>
          <w:kern w:val="2"/>
          <w:sz w:val="20"/>
          <w:szCs w:val="20"/>
        </w:rPr>
        <w:t>Analysis</w:t>
      </w:r>
      <w:r w:rsidRPr="00483278">
        <w:rPr>
          <w:i w:val="0"/>
          <w:kern w:val="2"/>
          <w:sz w:val="20"/>
          <w:szCs w:val="20"/>
        </w:rPr>
        <w:t xml:space="preserve"> of unpublished visa data provided </w:t>
      </w:r>
      <w:r w:rsidR="002342DC">
        <w:rPr>
          <w:i w:val="0"/>
          <w:kern w:val="2"/>
          <w:sz w:val="20"/>
          <w:szCs w:val="20"/>
        </w:rPr>
        <w:t xml:space="preserve">to L Hawthorne </w:t>
      </w:r>
      <w:r w:rsidRPr="00483278">
        <w:rPr>
          <w:i w:val="0"/>
          <w:kern w:val="2"/>
          <w:sz w:val="20"/>
          <w:szCs w:val="20"/>
        </w:rPr>
        <w:t xml:space="preserve">by the Department of Immigration and Border Protection (August 2014). </w:t>
      </w:r>
    </w:p>
    <w:p w14:paraId="75FEE060" w14:textId="77777777" w:rsidR="00483278" w:rsidRPr="00BF5564" w:rsidRDefault="00483278" w:rsidP="00483278">
      <w:pPr>
        <w:pStyle w:val="List"/>
        <w:ind w:left="0" w:firstLine="0"/>
        <w:jc w:val="both"/>
        <w:rPr>
          <w:rFonts w:asciiTheme="minorHAnsi" w:hAnsiTheme="minorHAnsi"/>
          <w:sz w:val="24"/>
          <w:szCs w:val="24"/>
        </w:rPr>
      </w:pPr>
    </w:p>
    <w:p w14:paraId="4DF2C0AE" w14:textId="77777777" w:rsidR="00ED7B46" w:rsidRPr="00ED7B46" w:rsidRDefault="00754930" w:rsidP="00ED7B46">
      <w:pPr>
        <w:pStyle w:val="MPINormalBodytext"/>
        <w:jc w:val="both"/>
        <w:rPr>
          <w:rFonts w:ascii="Times New Roman" w:hAnsi="Times New Roman"/>
        </w:rPr>
      </w:pPr>
      <w:r>
        <w:rPr>
          <w:rFonts w:ascii="Times New Roman" w:hAnsi="Times New Roman"/>
        </w:rPr>
        <w:t xml:space="preserve">As </w:t>
      </w:r>
      <w:r w:rsidR="00ED7B46">
        <w:rPr>
          <w:rFonts w:ascii="Times New Roman" w:hAnsi="Times New Roman"/>
        </w:rPr>
        <w:t xml:space="preserve">shown </w:t>
      </w:r>
      <w:r>
        <w:rPr>
          <w:rFonts w:ascii="Times New Roman" w:hAnsi="Times New Roman"/>
        </w:rPr>
        <w:t xml:space="preserve">by multiple studies in recent decades, English ability is the key determinant of registration for migrants in regulated fields, and </w:t>
      </w:r>
      <w:r w:rsidR="00ED7B46">
        <w:rPr>
          <w:rFonts w:ascii="Times New Roman" w:hAnsi="Times New Roman"/>
        </w:rPr>
        <w:t xml:space="preserve">of </w:t>
      </w:r>
      <w:r>
        <w:rPr>
          <w:rFonts w:ascii="Times New Roman" w:hAnsi="Times New Roman"/>
        </w:rPr>
        <w:t xml:space="preserve">migrants’ early employment outcomes (including their </w:t>
      </w:r>
      <w:r w:rsidR="00ED7B46">
        <w:rPr>
          <w:rFonts w:ascii="Times New Roman" w:hAnsi="Times New Roman"/>
        </w:rPr>
        <w:t>likelihood of utilising</w:t>
      </w:r>
      <w:r>
        <w:rPr>
          <w:rFonts w:ascii="Times New Roman" w:hAnsi="Times New Roman"/>
        </w:rPr>
        <w:t xml:space="preserve"> qualifications in work). </w:t>
      </w:r>
      <w:r w:rsidR="00ED7B46">
        <w:rPr>
          <w:rFonts w:ascii="Times New Roman" w:hAnsi="Times New Roman"/>
        </w:rPr>
        <w:t xml:space="preserve">Those with low English language ability face years of occupational displacement. </w:t>
      </w:r>
      <w:r w:rsidR="00ED7B46" w:rsidRPr="00ED7B46">
        <w:rPr>
          <w:rFonts w:ascii="Times New Roman" w:hAnsi="Times New Roman"/>
        </w:rPr>
        <w:t xml:space="preserve">From 1993 Australia mandated English language testing for skilled migrants in 112 ‘occupations requiring English’, subsequently extended to all fields. By 2007 International English Language Testing System (IELTS) scores of Band 6 were required to migrate (raised from Band 5), or Grade B on Australia’s health-specific Occupational </w:t>
      </w:r>
      <w:r w:rsidR="00ED7B46" w:rsidRPr="00ED7B46">
        <w:rPr>
          <w:rFonts w:ascii="Times New Roman" w:hAnsi="Times New Roman"/>
        </w:rPr>
        <w:lastRenderedPageBreak/>
        <w:t xml:space="preserve">English Test (OET). From 2009 higher levels were set by </w:t>
      </w:r>
      <w:r w:rsidR="00ED7B46">
        <w:rPr>
          <w:rFonts w:ascii="Times New Roman" w:hAnsi="Times New Roman"/>
        </w:rPr>
        <w:t xml:space="preserve">the Immigration Department (now DIBP) </w:t>
      </w:r>
      <w:r w:rsidR="00ED7B46" w:rsidRPr="00ED7B46">
        <w:rPr>
          <w:rFonts w:ascii="Times New Roman" w:hAnsi="Times New Roman"/>
        </w:rPr>
        <w:t xml:space="preserve">where regulatory bodies had mandated these. Forty-eight in Australia specified IELTS or OET standards for registration by this time, ranging from IELTS Band 8 in law, to Band 7-7.5 in health, 6 in engineering, but no minimal standard set for accounting. </w:t>
      </w:r>
    </w:p>
    <w:p w14:paraId="74D6AC26" w14:textId="77777777" w:rsidR="00754930" w:rsidRPr="00483278" w:rsidRDefault="00754930" w:rsidP="00754930">
      <w:pPr>
        <w:spacing w:before="120" w:after="0" w:line="240" w:lineRule="auto"/>
        <w:jc w:val="both"/>
        <w:rPr>
          <w:rFonts w:ascii="Times New Roman" w:hAnsi="Times New Roman" w:cs="Times New Roman"/>
        </w:rPr>
      </w:pPr>
      <w:r>
        <w:rPr>
          <w:rFonts w:ascii="Times New Roman" w:hAnsi="Times New Roman" w:cs="Times New Roman"/>
        </w:rPr>
        <w:t xml:space="preserve">A recent project commissioned by the Australian Health Practitioner Regulation Agency, spanning all health fields, confirmed </w:t>
      </w:r>
      <w:r w:rsidR="00ED7B46">
        <w:rPr>
          <w:rFonts w:ascii="Times New Roman" w:hAnsi="Times New Roman" w:cs="Times New Roman"/>
        </w:rPr>
        <w:t xml:space="preserve">the significance of English language ability </w:t>
      </w:r>
      <w:r w:rsidR="00D41C6A">
        <w:rPr>
          <w:rFonts w:ascii="Times New Roman" w:hAnsi="Times New Roman" w:cs="Times New Roman"/>
        </w:rPr>
        <w:t xml:space="preserve">to skilled migrants’ selection, registration and employment outcomes in </w:t>
      </w:r>
      <w:r>
        <w:rPr>
          <w:rFonts w:ascii="Times New Roman" w:hAnsi="Times New Roman" w:cs="Times New Roman"/>
        </w:rPr>
        <w:t>medicine, nursing and all</w:t>
      </w:r>
      <w:r w:rsidR="00ED7B46">
        <w:rPr>
          <w:rFonts w:ascii="Times New Roman" w:hAnsi="Times New Roman" w:cs="Times New Roman"/>
        </w:rPr>
        <w:t>ied health. A</w:t>
      </w:r>
      <w:r>
        <w:rPr>
          <w:rFonts w:ascii="Times New Roman" w:hAnsi="Times New Roman" w:cs="Times New Roman"/>
        </w:rPr>
        <w:t xml:space="preserve">nalysis of Occupational English Test outcomes for 30,000 candidates </w:t>
      </w:r>
      <w:r w:rsidR="00ED7B46">
        <w:rPr>
          <w:rFonts w:ascii="Times New Roman" w:hAnsi="Times New Roman" w:cs="Times New Roman"/>
        </w:rPr>
        <w:t xml:space="preserve">from 2007-11 </w:t>
      </w:r>
      <w:r>
        <w:rPr>
          <w:rFonts w:ascii="Times New Roman" w:hAnsi="Times New Roman" w:cs="Times New Roman"/>
        </w:rPr>
        <w:t xml:space="preserve">demonstrated just 17% of nurse applicants passed the test on one or successive sittings in 2011, compared to 32% of physiotherapists, 38% of pharmacists, 52% of doctors and 62% of dentists. These were substantially lower pass rates than in pre-registration exams (Hawthorne &amp; To, 2013). </w:t>
      </w:r>
      <w:r w:rsidR="00ED7B46">
        <w:rPr>
          <w:rFonts w:ascii="Times New Roman" w:hAnsi="Times New Roman" w:cs="Times New Roman"/>
        </w:rPr>
        <w:t>(See Figure 1.)</w:t>
      </w:r>
      <w:r>
        <w:rPr>
          <w:rFonts w:ascii="Times New Roman" w:hAnsi="Times New Roman" w:cs="Times New Roman"/>
        </w:rPr>
        <w:t xml:space="preserve">    </w:t>
      </w:r>
    </w:p>
    <w:p w14:paraId="6A971EF2" w14:textId="77777777" w:rsidR="00754930" w:rsidRDefault="00754930" w:rsidP="00754930">
      <w:pPr>
        <w:spacing w:after="0" w:line="240" w:lineRule="auto"/>
        <w:jc w:val="both"/>
        <w:rPr>
          <w:rFonts w:ascii="Times New Roman" w:hAnsi="Times New Roman" w:cs="Times New Roman"/>
          <w:b/>
        </w:rPr>
      </w:pPr>
    </w:p>
    <w:p w14:paraId="428B0E65" w14:textId="77777777" w:rsidR="00725CAC" w:rsidRPr="002342DC" w:rsidRDefault="00ED7B46" w:rsidP="002342DC">
      <w:pPr>
        <w:spacing w:after="0" w:line="240" w:lineRule="auto"/>
        <w:rPr>
          <w:rFonts w:ascii="Times New Roman" w:hAnsi="Times New Roman" w:cs="Times New Roman"/>
          <w:b/>
        </w:rPr>
      </w:pPr>
      <w:r>
        <w:rPr>
          <w:rFonts w:ascii="Times New Roman" w:hAnsi="Times New Roman" w:cs="Times New Roman"/>
          <w:b/>
        </w:rPr>
        <w:t>Figure 1</w:t>
      </w:r>
      <w:r w:rsidR="00725CAC" w:rsidRPr="002342DC">
        <w:rPr>
          <w:rFonts w:ascii="Times New Roman" w:hAnsi="Times New Roman" w:cs="Times New Roman"/>
          <w:b/>
        </w:rPr>
        <w:t>: Occupational English Pass Rates for Migrant Health Professionals by Select Field, (2005, 2010, 2011)</w:t>
      </w:r>
    </w:p>
    <w:p w14:paraId="6BB4026B" w14:textId="77777777" w:rsidR="00725CAC" w:rsidRPr="00725CAC" w:rsidRDefault="00725CAC" w:rsidP="00725CAC">
      <w:pPr>
        <w:pStyle w:val="Normal-doublespaceChar"/>
        <w:spacing w:before="0" w:after="0" w:line="240" w:lineRule="auto"/>
        <w:jc w:val="both"/>
        <w:rPr>
          <w:rFonts w:ascii="Times New Roman" w:eastAsiaTheme="minorHAnsi" w:hAnsi="Times New Roman"/>
          <w:sz w:val="18"/>
          <w:szCs w:val="18"/>
          <w:lang w:val="en-NZ"/>
        </w:rPr>
      </w:pPr>
      <w:r w:rsidRPr="00725CAC">
        <w:rPr>
          <w:rFonts w:ascii="Times New Roman" w:eastAsiaTheme="minorHAnsi" w:hAnsi="Times New Roman"/>
          <w:noProof/>
          <w:sz w:val="18"/>
          <w:szCs w:val="18"/>
          <w:lang w:eastAsia="en-AU"/>
        </w:rPr>
        <w:drawing>
          <wp:inline distT="0" distB="0" distL="0" distR="0" wp14:anchorId="08B6117E" wp14:editId="4BC9D3DC">
            <wp:extent cx="5734050" cy="311467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725CAC">
        <w:rPr>
          <w:rFonts w:ascii="Times New Roman" w:eastAsiaTheme="minorHAnsi" w:hAnsi="Times New Roman"/>
          <w:i/>
          <w:lang w:val="en-NZ"/>
        </w:rPr>
        <w:t>Source</w:t>
      </w:r>
      <w:r w:rsidRPr="00725CAC">
        <w:rPr>
          <w:rFonts w:ascii="Times New Roman" w:eastAsiaTheme="minorHAnsi" w:hAnsi="Times New Roman"/>
          <w:lang w:val="en-NZ"/>
        </w:rPr>
        <w:t>:</w:t>
      </w:r>
      <w:r w:rsidRPr="00725CAC">
        <w:rPr>
          <w:rFonts w:ascii="Times New Roman" w:eastAsiaTheme="minorHAnsi" w:hAnsi="Times New Roman"/>
          <w:sz w:val="18"/>
          <w:szCs w:val="18"/>
          <w:lang w:val="en-NZ"/>
        </w:rPr>
        <w:t xml:space="preserve"> </w:t>
      </w:r>
      <w:r w:rsidRPr="00725CAC">
        <w:rPr>
          <w:rFonts w:ascii="Times New Roman" w:hAnsi="Times New Roman"/>
        </w:rPr>
        <w:t xml:space="preserve">Hawthorne, L &amp; To, A (2013), </w:t>
      </w:r>
      <w:r w:rsidRPr="00725CAC">
        <w:rPr>
          <w:rFonts w:ascii="Times New Roman" w:hAnsi="Times New Roman"/>
          <w:i/>
        </w:rPr>
        <w:t xml:space="preserve">English Language Skills Registration Standards – An Australian and Global Comparative Assessment, </w:t>
      </w:r>
      <w:r w:rsidRPr="00725CAC">
        <w:rPr>
          <w:rFonts w:ascii="Times New Roman" w:hAnsi="Times New Roman"/>
        </w:rPr>
        <w:t>Australian Health Practitioner Regulation Agency, Melbourne</w:t>
      </w:r>
    </w:p>
    <w:p w14:paraId="73CDB8E1" w14:textId="77777777" w:rsidR="00483278" w:rsidRPr="00FD4ED5" w:rsidRDefault="00483278" w:rsidP="00776DB9">
      <w:pPr>
        <w:spacing w:after="0" w:line="240" w:lineRule="auto"/>
        <w:rPr>
          <w:rFonts w:cs="Times New Roman"/>
          <w:color w:val="365F91" w:themeColor="accent1" w:themeShade="BF"/>
          <w:sz w:val="16"/>
          <w:szCs w:val="16"/>
        </w:rPr>
      </w:pPr>
    </w:p>
    <w:p w14:paraId="363A933D" w14:textId="77777777" w:rsidR="00ED7B46" w:rsidRPr="00C127E2" w:rsidRDefault="00ED7B46" w:rsidP="00ED7B46">
      <w:pPr>
        <w:spacing w:after="0" w:line="240" w:lineRule="auto"/>
        <w:jc w:val="both"/>
        <w:rPr>
          <w:rFonts w:ascii="Times New Roman" w:hAnsi="Times New Roman" w:cs="Times New Roman"/>
          <w:b/>
        </w:rPr>
      </w:pPr>
      <w:r>
        <w:rPr>
          <w:rFonts w:ascii="Times New Roman" w:hAnsi="Times New Roman" w:cs="Times New Roman"/>
          <w:b/>
        </w:rPr>
        <w:t>Submission #3</w:t>
      </w:r>
      <w:r w:rsidRPr="00C127E2">
        <w:rPr>
          <w:rFonts w:ascii="Times New Roman" w:hAnsi="Times New Roman" w:cs="Times New Roman"/>
          <w:b/>
        </w:rPr>
        <w:t>:</w:t>
      </w:r>
    </w:p>
    <w:p w14:paraId="002F5C9D" w14:textId="77777777" w:rsidR="00ED7B46" w:rsidRDefault="00ED7B46" w:rsidP="00ED7B46">
      <w:pPr>
        <w:spacing w:after="0" w:line="240" w:lineRule="auto"/>
        <w:jc w:val="both"/>
        <w:rPr>
          <w:rFonts w:ascii="Times New Roman" w:hAnsi="Times New Roman" w:cs="Times New Roman"/>
        </w:rPr>
      </w:pPr>
    </w:p>
    <w:p w14:paraId="34009128" w14:textId="77777777" w:rsidR="00ED7B46" w:rsidRDefault="00ED7B46" w:rsidP="00ED7B46">
      <w:pPr>
        <w:spacing w:after="120" w:line="240" w:lineRule="auto"/>
        <w:jc w:val="both"/>
        <w:rPr>
          <w:rFonts w:ascii="Times New Roman" w:hAnsi="Times New Roman"/>
        </w:rPr>
      </w:pPr>
      <w:r>
        <w:rPr>
          <w:rFonts w:ascii="Times New Roman" w:hAnsi="Times New Roman"/>
        </w:rPr>
        <w:t xml:space="preserve">English language ability is a critical determinant of skilled migrants’ employability in multiple fields. It is an attribute highly sought by employers and regulatory bodies. Current requirements should not be watered down, for example should a policy be adopted where visas are made available for ‘purchase’. </w:t>
      </w:r>
      <w:r w:rsidRPr="00741B18">
        <w:rPr>
          <w:rFonts w:ascii="Times New Roman" w:hAnsi="Times New Roman"/>
        </w:rPr>
        <w:t xml:space="preserve"> </w:t>
      </w:r>
    </w:p>
    <w:p w14:paraId="14CD8620" w14:textId="77777777" w:rsidR="00ED7B46" w:rsidRPr="00ED7B46" w:rsidRDefault="00ED7B46" w:rsidP="00FD4ED5">
      <w:pPr>
        <w:spacing w:after="0" w:line="240" w:lineRule="auto"/>
        <w:jc w:val="both"/>
        <w:rPr>
          <w:rFonts w:ascii="Times New Roman" w:hAnsi="Times New Roman"/>
        </w:rPr>
      </w:pPr>
    </w:p>
    <w:p w14:paraId="2B9F2C47" w14:textId="77777777" w:rsidR="00ED7B46" w:rsidRDefault="00776DB9" w:rsidP="00FD4ED5">
      <w:pPr>
        <w:spacing w:after="0" w:line="240" w:lineRule="auto"/>
        <w:rPr>
          <w:rFonts w:cs="Times New Roman"/>
          <w:b/>
          <w:color w:val="365F91" w:themeColor="accent1" w:themeShade="BF"/>
          <w:sz w:val="28"/>
          <w:szCs w:val="28"/>
        </w:rPr>
      </w:pPr>
      <w:r w:rsidRPr="00B11B71">
        <w:rPr>
          <w:rFonts w:cs="Times New Roman"/>
          <w:b/>
          <w:color w:val="365F91" w:themeColor="accent1" w:themeShade="BF"/>
          <w:sz w:val="28"/>
          <w:szCs w:val="28"/>
        </w:rPr>
        <w:t>Issu</w:t>
      </w:r>
      <w:r w:rsidR="002342DC" w:rsidRPr="00B11B71">
        <w:rPr>
          <w:rFonts w:cs="Times New Roman"/>
          <w:b/>
          <w:color w:val="365F91" w:themeColor="accent1" w:themeShade="BF"/>
          <w:sz w:val="28"/>
          <w:szCs w:val="28"/>
        </w:rPr>
        <w:t>e 4</w:t>
      </w:r>
      <w:r w:rsidR="00E85B59" w:rsidRPr="00B11B71">
        <w:rPr>
          <w:rFonts w:cs="Times New Roman"/>
          <w:b/>
          <w:color w:val="365F91" w:themeColor="accent1" w:themeShade="BF"/>
          <w:sz w:val="28"/>
          <w:szCs w:val="28"/>
        </w:rPr>
        <w:t xml:space="preserve">: </w:t>
      </w:r>
    </w:p>
    <w:p w14:paraId="1472718B" w14:textId="77777777" w:rsidR="00776DB9" w:rsidRPr="00B11B71" w:rsidRDefault="00E85B59" w:rsidP="00ED7B46">
      <w:pPr>
        <w:spacing w:after="0" w:line="240" w:lineRule="auto"/>
        <w:rPr>
          <w:rFonts w:cs="Times New Roman"/>
          <w:b/>
          <w:color w:val="365F91" w:themeColor="accent1" w:themeShade="BF"/>
          <w:sz w:val="28"/>
          <w:szCs w:val="28"/>
        </w:rPr>
      </w:pPr>
      <w:r w:rsidRPr="00B11B71">
        <w:rPr>
          <w:rFonts w:cs="Times New Roman"/>
          <w:b/>
          <w:color w:val="365F91" w:themeColor="accent1" w:themeShade="BF"/>
          <w:sz w:val="28"/>
          <w:szCs w:val="28"/>
        </w:rPr>
        <w:t>International Students as a</w:t>
      </w:r>
      <w:r w:rsidR="00FD4ED5">
        <w:rPr>
          <w:rFonts w:cs="Times New Roman"/>
          <w:b/>
          <w:color w:val="365F91" w:themeColor="accent1" w:themeShade="BF"/>
          <w:sz w:val="28"/>
          <w:szCs w:val="28"/>
        </w:rPr>
        <w:t>n Australian</w:t>
      </w:r>
      <w:r w:rsidRPr="00B11B71">
        <w:rPr>
          <w:rFonts w:cs="Times New Roman"/>
          <w:b/>
          <w:color w:val="365F91" w:themeColor="accent1" w:themeShade="BF"/>
          <w:sz w:val="28"/>
          <w:szCs w:val="28"/>
        </w:rPr>
        <w:t xml:space="preserve"> Workforce Resource</w:t>
      </w:r>
    </w:p>
    <w:p w14:paraId="057A9B7F" w14:textId="77777777" w:rsidR="00B128A6" w:rsidRDefault="00B128A6" w:rsidP="0007196E">
      <w:pPr>
        <w:spacing w:after="0" w:line="240" w:lineRule="auto"/>
        <w:jc w:val="both"/>
        <w:rPr>
          <w:rFonts w:ascii="Times New Roman" w:hAnsi="Times New Roman"/>
          <w:sz w:val="24"/>
          <w:szCs w:val="24"/>
        </w:rPr>
      </w:pPr>
    </w:p>
    <w:p w14:paraId="4BABFAE1" w14:textId="77777777" w:rsidR="00AE4390" w:rsidRPr="00741B18" w:rsidRDefault="0007196E" w:rsidP="0007196E">
      <w:pPr>
        <w:spacing w:after="0" w:line="240" w:lineRule="auto"/>
        <w:jc w:val="both"/>
        <w:rPr>
          <w:rFonts w:ascii="Times New Roman" w:hAnsi="Times New Roman"/>
        </w:rPr>
      </w:pPr>
      <w:r w:rsidRPr="00741B18">
        <w:rPr>
          <w:rFonts w:ascii="Times New Roman" w:hAnsi="Times New Roman"/>
        </w:rPr>
        <w:t xml:space="preserve">Australian employers demonstrate a keen interest in the study-migration pathway, despite level of take-up being highly variable by field. In the year to 30 June 2014, 50% of permanent skilled migrants and 51% of temporary foreign workers were selected </w:t>
      </w:r>
      <w:r w:rsidRPr="00741B18">
        <w:rPr>
          <w:rFonts w:ascii="Times New Roman" w:hAnsi="Times New Roman"/>
          <w:i/>
        </w:rPr>
        <w:t>within</w:t>
      </w:r>
      <w:r w:rsidRPr="00741B18">
        <w:rPr>
          <w:rFonts w:ascii="Times New Roman" w:hAnsi="Times New Roman"/>
        </w:rPr>
        <w:t xml:space="preserve"> Australia – the majority as former inte</w:t>
      </w:r>
      <w:r w:rsidR="00754930">
        <w:rPr>
          <w:rFonts w:ascii="Times New Roman" w:hAnsi="Times New Roman"/>
        </w:rPr>
        <w:t>rnational students. (See Table 3</w:t>
      </w:r>
      <w:r w:rsidRPr="00741B18">
        <w:rPr>
          <w:rFonts w:ascii="Times New Roman" w:hAnsi="Times New Roman"/>
        </w:rPr>
        <w:t xml:space="preserve">.) By definition </w:t>
      </w:r>
      <w:r w:rsidR="00ED7B46">
        <w:rPr>
          <w:rFonts w:ascii="Times New Roman" w:hAnsi="Times New Roman"/>
        </w:rPr>
        <w:t xml:space="preserve">former international </w:t>
      </w:r>
      <w:r w:rsidRPr="00741B18">
        <w:rPr>
          <w:rFonts w:ascii="Times New Roman" w:hAnsi="Times New Roman"/>
        </w:rPr>
        <w:t xml:space="preserve">students qualified in Australia face no recognition barriers. </w:t>
      </w:r>
      <w:r w:rsidR="00ED7B46">
        <w:rPr>
          <w:rFonts w:ascii="Times New Roman" w:hAnsi="Times New Roman"/>
        </w:rPr>
        <w:t>They also offer what I term a ‘productivity premium’, in a context where their ave</w:t>
      </w:r>
      <w:r w:rsidR="00D41C6A">
        <w:rPr>
          <w:rFonts w:ascii="Times New Roman" w:hAnsi="Times New Roman"/>
        </w:rPr>
        <w:t>rage age on graduation is 24</w:t>
      </w:r>
      <w:r w:rsidR="00ED7B46">
        <w:rPr>
          <w:rFonts w:ascii="Times New Roman" w:hAnsi="Times New Roman"/>
        </w:rPr>
        <w:t xml:space="preserve"> years (</w:t>
      </w:r>
      <w:proofErr w:type="spellStart"/>
      <w:r w:rsidR="00ED7B46">
        <w:rPr>
          <w:rFonts w:ascii="Times New Roman" w:hAnsi="Times New Roman"/>
        </w:rPr>
        <w:t>Arkoudis</w:t>
      </w:r>
      <w:proofErr w:type="spellEnd"/>
      <w:r w:rsidR="00ED7B46">
        <w:rPr>
          <w:rFonts w:ascii="Times New Roman" w:hAnsi="Times New Roman"/>
        </w:rPr>
        <w:t xml:space="preserve"> et al, 2009). </w:t>
      </w:r>
      <w:r w:rsidR="00FD4ED5">
        <w:rPr>
          <w:rFonts w:ascii="Times New Roman" w:hAnsi="Times New Roman"/>
        </w:rPr>
        <w:t>I</w:t>
      </w:r>
      <w:r w:rsidRPr="00741B18">
        <w:rPr>
          <w:rFonts w:ascii="Times New Roman" w:hAnsi="Times New Roman"/>
        </w:rPr>
        <w:t xml:space="preserve">n the temporary 457 visa category (where migrants </w:t>
      </w:r>
      <w:r w:rsidR="00FD4ED5">
        <w:rPr>
          <w:rFonts w:ascii="Times New Roman" w:hAnsi="Times New Roman"/>
        </w:rPr>
        <w:t xml:space="preserve">can </w:t>
      </w:r>
      <w:r w:rsidRPr="00741B18">
        <w:rPr>
          <w:rFonts w:ascii="Times New Roman" w:hAnsi="Times New Roman"/>
        </w:rPr>
        <w:t xml:space="preserve">work up to four years in under-supplied sectors or sites) onshore sponsorship </w:t>
      </w:r>
      <w:r w:rsidRPr="00741B18">
        <w:rPr>
          <w:rFonts w:ascii="Times New Roman" w:hAnsi="Times New Roman"/>
        </w:rPr>
        <w:lastRenderedPageBreak/>
        <w:t xml:space="preserve">rates to June 2014 included 62% of nursing, 49% of accountancy, 40% of engineering, 35% of medical, and 22% </w:t>
      </w:r>
      <w:r w:rsidR="00FD4ED5">
        <w:rPr>
          <w:rFonts w:ascii="Times New Roman" w:hAnsi="Times New Roman"/>
        </w:rPr>
        <w:t>of computing/IT approvals. I</w:t>
      </w:r>
      <w:r w:rsidRPr="00741B18">
        <w:rPr>
          <w:rFonts w:ascii="Times New Roman" w:hAnsi="Times New Roman"/>
        </w:rPr>
        <w:t xml:space="preserve">n the permanent skilled category, onshore selection ranged from 70% of accountancy to 58% of nursing, 37% of computing/IT, 35% of engineering and 29% of medical migrants (noting that mature experience / specialist training in engineering and medicine were </w:t>
      </w:r>
      <w:r w:rsidR="00FD4ED5">
        <w:rPr>
          <w:rFonts w:ascii="Times New Roman" w:hAnsi="Times New Roman"/>
        </w:rPr>
        <w:t xml:space="preserve">clearly </w:t>
      </w:r>
      <w:r w:rsidRPr="00741B18">
        <w:rPr>
          <w:rFonts w:ascii="Times New Roman" w:hAnsi="Times New Roman"/>
        </w:rPr>
        <w:t>valued)</w:t>
      </w:r>
      <w:r w:rsidR="00FD4ED5">
        <w:rPr>
          <w:rFonts w:ascii="Times New Roman" w:hAnsi="Times New Roman"/>
        </w:rPr>
        <w:t xml:space="preserve"> (Hawthorne, 2014a, b)</w:t>
      </w:r>
      <w:r w:rsidRPr="00741B18">
        <w:rPr>
          <w:rFonts w:ascii="Times New Roman" w:hAnsi="Times New Roman"/>
        </w:rPr>
        <w:t xml:space="preserve">. </w:t>
      </w:r>
    </w:p>
    <w:p w14:paraId="1FC455DE" w14:textId="77777777" w:rsidR="00AE4390" w:rsidRPr="00741B18" w:rsidRDefault="00AE4390" w:rsidP="0007196E">
      <w:pPr>
        <w:spacing w:after="0" w:line="240" w:lineRule="auto"/>
        <w:jc w:val="both"/>
        <w:rPr>
          <w:rFonts w:ascii="Times New Roman" w:hAnsi="Times New Roman"/>
        </w:rPr>
      </w:pPr>
    </w:p>
    <w:p w14:paraId="4A1EEE1B" w14:textId="77777777" w:rsidR="006A19EC" w:rsidRPr="00741B18" w:rsidRDefault="006A19EC" w:rsidP="006A19EC">
      <w:pPr>
        <w:spacing w:after="0" w:line="240" w:lineRule="auto"/>
        <w:jc w:val="both"/>
        <w:rPr>
          <w:rFonts w:ascii="Times New Roman" w:hAnsi="Times New Roman"/>
        </w:rPr>
      </w:pPr>
      <w:r w:rsidRPr="00741B18">
        <w:rPr>
          <w:rFonts w:ascii="Times New Roman" w:hAnsi="Times New Roman"/>
        </w:rPr>
        <w:t xml:space="preserve">As demonstrated by Australia’s 2005-06 skilled migration review, and </w:t>
      </w:r>
      <w:r w:rsidR="002976FD">
        <w:rPr>
          <w:rFonts w:ascii="Times New Roman" w:hAnsi="Times New Roman"/>
        </w:rPr>
        <w:t xml:space="preserve">affirmed by </w:t>
      </w:r>
      <w:r w:rsidRPr="00741B18">
        <w:rPr>
          <w:rFonts w:ascii="Times New Roman" w:hAnsi="Times New Roman"/>
        </w:rPr>
        <w:t xml:space="preserve">successive DIBP reports, former international students initially secure inferior employment and wage outcomes relative to skilled migrants selected offshore, despite high labour market participation rates. </w:t>
      </w:r>
      <w:r w:rsidR="002976FD">
        <w:rPr>
          <w:rFonts w:ascii="Times New Roman" w:hAnsi="Times New Roman"/>
        </w:rPr>
        <w:t>Most notably, the</w:t>
      </w:r>
      <w:r w:rsidRPr="00741B18">
        <w:rPr>
          <w:rFonts w:ascii="Times New Roman" w:hAnsi="Times New Roman"/>
        </w:rPr>
        <w:t xml:space="preserve"> 2006 </w:t>
      </w:r>
      <w:r w:rsidR="002976FD">
        <w:rPr>
          <w:rFonts w:ascii="Times New Roman" w:hAnsi="Times New Roman"/>
        </w:rPr>
        <w:t xml:space="preserve">review found </w:t>
      </w:r>
      <w:r w:rsidRPr="00741B18">
        <w:rPr>
          <w:rFonts w:ascii="Times New Roman" w:hAnsi="Times New Roman"/>
        </w:rPr>
        <w:t>former international students had ‘Average annual salaries of around $A33,000 (compared to $52,500 for offshore Independents); average weekly earnings of $A641 (compared to $A1,015); lower job satisfaction (with 44 percent liking their work compared to 57 percent); and far less frequent use of formal qualifications in current work (46 percent compared to 63 percent)' (</w:t>
      </w:r>
      <w:proofErr w:type="spellStart"/>
      <w:r w:rsidRPr="00741B18">
        <w:rPr>
          <w:rFonts w:ascii="Times New Roman" w:hAnsi="Times New Roman"/>
        </w:rPr>
        <w:t>Birre</w:t>
      </w:r>
      <w:r w:rsidR="002976FD">
        <w:rPr>
          <w:rFonts w:ascii="Times New Roman" w:hAnsi="Times New Roman"/>
        </w:rPr>
        <w:t>ll</w:t>
      </w:r>
      <w:proofErr w:type="spellEnd"/>
      <w:r w:rsidR="002976FD">
        <w:rPr>
          <w:rFonts w:ascii="Times New Roman" w:hAnsi="Times New Roman"/>
        </w:rPr>
        <w:t>, Hawthorne &amp; Richardson, 2006</w:t>
      </w:r>
      <w:r w:rsidRPr="00741B18">
        <w:rPr>
          <w:rFonts w:ascii="Times New Roman" w:hAnsi="Times New Roman"/>
        </w:rPr>
        <w:t xml:space="preserve">: 97). Key contributory factors included poor English ability, inadequate quality control of the rapidly burgeoning private training sector, compromised academic entry and progression standards, and the extraordinary level of cultural and linguistic enclosure experienced by many international students. </w:t>
      </w:r>
    </w:p>
    <w:p w14:paraId="1FA14E17" w14:textId="77777777" w:rsidR="006A19EC" w:rsidRPr="00741B18" w:rsidRDefault="006A19EC" w:rsidP="006A19EC">
      <w:pPr>
        <w:spacing w:after="0" w:line="240" w:lineRule="auto"/>
        <w:jc w:val="both"/>
        <w:rPr>
          <w:rFonts w:ascii="Times New Roman" w:hAnsi="Times New Roman"/>
        </w:rPr>
      </w:pPr>
    </w:p>
    <w:p w14:paraId="0A3D7863" w14:textId="77777777" w:rsidR="002976FD" w:rsidRPr="00741B18" w:rsidRDefault="002976FD" w:rsidP="002976FD">
      <w:pPr>
        <w:spacing w:line="240" w:lineRule="auto"/>
        <w:jc w:val="both"/>
        <w:rPr>
          <w:rFonts w:ascii="Times New Roman" w:hAnsi="Times New Roman" w:cs="Times New Roman"/>
        </w:rPr>
      </w:pPr>
      <w:r w:rsidRPr="00741B18">
        <w:rPr>
          <w:rFonts w:ascii="Times New Roman" w:hAnsi="Times New Roman" w:cs="Times New Roman"/>
        </w:rPr>
        <w:t xml:space="preserve">It is important to note </w:t>
      </w:r>
      <w:r>
        <w:rPr>
          <w:rFonts w:ascii="Times New Roman" w:hAnsi="Times New Roman" w:cs="Times New Roman"/>
        </w:rPr>
        <w:t xml:space="preserve">that </w:t>
      </w:r>
      <w:r w:rsidRPr="00741B18">
        <w:rPr>
          <w:rFonts w:ascii="Times New Roman" w:hAnsi="Times New Roman" w:cs="Times New Roman"/>
        </w:rPr>
        <w:t>international students’ labour market integrati</w:t>
      </w:r>
      <w:r>
        <w:rPr>
          <w:rFonts w:ascii="Times New Roman" w:hAnsi="Times New Roman" w:cs="Times New Roman"/>
        </w:rPr>
        <w:t>on rates at this time we</w:t>
      </w:r>
      <w:r w:rsidRPr="00741B18">
        <w:rPr>
          <w:rFonts w:ascii="Times New Roman" w:hAnsi="Times New Roman" w:cs="Times New Roman"/>
        </w:rPr>
        <w:t xml:space="preserve">re influenced by highly skewed enrolments by discipline (a pattern replicated globally). </w:t>
      </w:r>
      <w:r>
        <w:rPr>
          <w:rFonts w:ascii="Times New Roman" w:hAnsi="Times New Roman" w:cs="Times New Roman"/>
        </w:rPr>
        <w:t xml:space="preserve">In </w:t>
      </w:r>
      <w:r w:rsidRPr="00741B18">
        <w:rPr>
          <w:rFonts w:ascii="Times New Roman" w:hAnsi="Times New Roman" w:cs="Times New Roman"/>
        </w:rPr>
        <w:t xml:space="preserve">2005, 43,036 international students were undertaking Australian business and commerce degrees, compared to 20,681 in information technology, 13,648 in accounting and 10,203 in engineering. This compared to modest or minuscule numbers in other fields. Source countries were similarly skewed, with Chinese (41,812 degree enrolments), Indian (21,111) and Malaysian (13,892) students dominating in the university sector, compared to modest numbers from the UK/ Europe (8,240), and North America (5,014) (Hawthorne, 2010). </w:t>
      </w:r>
    </w:p>
    <w:p w14:paraId="734031FF" w14:textId="77777777" w:rsidR="006A19EC" w:rsidRPr="00741B18" w:rsidRDefault="006A19EC" w:rsidP="006A19EC">
      <w:pPr>
        <w:spacing w:after="0" w:line="240" w:lineRule="auto"/>
        <w:jc w:val="both"/>
        <w:rPr>
          <w:rFonts w:ascii="Times New Roman" w:hAnsi="Times New Roman"/>
        </w:rPr>
      </w:pPr>
      <w:r w:rsidRPr="00741B18">
        <w:rPr>
          <w:rFonts w:ascii="Times New Roman" w:hAnsi="Times New Roman"/>
        </w:rPr>
        <w:t>From 2007 to 2012, responding to the skilled migration review findings, the Australian government dramat</w:t>
      </w:r>
      <w:r w:rsidR="002976FD">
        <w:rPr>
          <w:rFonts w:ascii="Times New Roman" w:hAnsi="Times New Roman"/>
        </w:rPr>
        <w:t>ically refined its</w:t>
      </w:r>
      <w:r w:rsidRPr="00741B18">
        <w:rPr>
          <w:rFonts w:ascii="Times New Roman" w:hAnsi="Times New Roman"/>
        </w:rPr>
        <w:t xml:space="preserve"> study-migration pathway. Advanced English ability, higher degree qualifications, employer sponsorship and experience </w:t>
      </w:r>
      <w:r w:rsidR="002976FD">
        <w:rPr>
          <w:rFonts w:ascii="Times New Roman" w:hAnsi="Times New Roman"/>
        </w:rPr>
        <w:t>beca</w:t>
      </w:r>
      <w:r w:rsidRPr="00741B18">
        <w:rPr>
          <w:rFonts w:ascii="Times New Roman" w:hAnsi="Times New Roman"/>
        </w:rPr>
        <w:t xml:space="preserve">me key criteria for selection, with ‘employability’ </w:t>
      </w:r>
      <w:r w:rsidR="002976FD">
        <w:rPr>
          <w:rFonts w:ascii="Times New Roman" w:hAnsi="Times New Roman"/>
        </w:rPr>
        <w:t>considered</w:t>
      </w:r>
      <w:r w:rsidRPr="00741B18">
        <w:rPr>
          <w:rFonts w:ascii="Times New Roman" w:hAnsi="Times New Roman"/>
        </w:rPr>
        <w:t xml:space="preserve"> a critical issue. The government’s aims in this were clear: to ‘deliver the best and brightest skilled migrants through emphasising high level qualifications, better English language levels and extensive skilled work experience’ (Department of Immigration and Citizenship, 2010:1) </w:t>
      </w:r>
      <w:r w:rsidR="00F71582">
        <w:rPr>
          <w:rFonts w:ascii="Times New Roman" w:hAnsi="Times New Roman"/>
        </w:rPr>
        <w:t xml:space="preserve">DIBP’s Continuous Survey on Australia’s Migration (CSAM) data from 2009-11, however, strongly affirmed their employment disadvantage at six and 12 months (noting the CSAM aggregated </w:t>
      </w:r>
      <w:r w:rsidR="00F71582" w:rsidRPr="00754930">
        <w:rPr>
          <w:rFonts w:ascii="Times New Roman" w:hAnsi="Times New Roman"/>
          <w:i/>
        </w:rPr>
        <w:t>all</w:t>
      </w:r>
      <w:r w:rsidR="00F71582">
        <w:rPr>
          <w:rFonts w:ascii="Times New Roman" w:hAnsi="Times New Roman"/>
        </w:rPr>
        <w:t xml:space="preserve"> qualification levels and fields for outcomes analysis). (See previous Table 2.) </w:t>
      </w:r>
    </w:p>
    <w:p w14:paraId="00CB0125" w14:textId="77777777" w:rsidR="006A19EC" w:rsidRPr="00741B18" w:rsidRDefault="006A19EC" w:rsidP="0007196E">
      <w:pPr>
        <w:spacing w:after="0" w:line="240" w:lineRule="auto"/>
        <w:jc w:val="both"/>
        <w:rPr>
          <w:rFonts w:ascii="Times New Roman" w:hAnsi="Times New Roman"/>
        </w:rPr>
      </w:pPr>
    </w:p>
    <w:p w14:paraId="06F7A583" w14:textId="77777777" w:rsidR="00394911" w:rsidRPr="00741B18" w:rsidRDefault="00394911" w:rsidP="00F71582">
      <w:pPr>
        <w:spacing w:after="0" w:line="240" w:lineRule="auto"/>
        <w:jc w:val="both"/>
        <w:rPr>
          <w:rFonts w:ascii="Times New Roman" w:hAnsi="Times New Roman" w:cs="Times New Roman"/>
          <w:highlight w:val="yellow"/>
        </w:rPr>
      </w:pPr>
      <w:r w:rsidRPr="00741B18">
        <w:rPr>
          <w:rFonts w:ascii="Times New Roman" w:hAnsi="Times New Roman" w:cs="Times New Roman"/>
        </w:rPr>
        <w:t>Within this context, Australia’s Graduate Destination Survey (GDS) from 2007 to 2011 was examined</w:t>
      </w:r>
      <w:r w:rsidR="00F71582">
        <w:rPr>
          <w:rFonts w:ascii="Times New Roman" w:hAnsi="Times New Roman" w:cs="Times New Roman"/>
        </w:rPr>
        <w:t xml:space="preserve"> by Hawthorne &amp; To</w:t>
      </w:r>
      <w:r w:rsidRPr="00741B18">
        <w:rPr>
          <w:rFonts w:ascii="Times New Roman" w:hAnsi="Times New Roman" w:cs="Times New Roman"/>
        </w:rPr>
        <w:t xml:space="preserve">, to assess </w:t>
      </w:r>
      <w:r w:rsidR="00F71582">
        <w:rPr>
          <w:rFonts w:ascii="Times New Roman" w:hAnsi="Times New Roman" w:cs="Times New Roman"/>
        </w:rPr>
        <w:t xml:space="preserve">former international students’ </w:t>
      </w:r>
      <w:r w:rsidRPr="00741B18">
        <w:rPr>
          <w:rFonts w:ascii="Times New Roman" w:hAnsi="Times New Roman" w:cs="Times New Roman"/>
        </w:rPr>
        <w:t>employment outcomes four months following course completion</w:t>
      </w:r>
      <w:r w:rsidR="00F71582">
        <w:rPr>
          <w:rFonts w:ascii="Times New Roman" w:hAnsi="Times New Roman" w:cs="Times New Roman"/>
        </w:rPr>
        <w:t xml:space="preserve"> compared to domestic graduates</w:t>
      </w:r>
      <w:r w:rsidRPr="00741B18">
        <w:rPr>
          <w:rFonts w:ascii="Times New Roman" w:hAnsi="Times New Roman" w:cs="Times New Roman"/>
        </w:rPr>
        <w:t xml:space="preserve">. </w:t>
      </w:r>
      <w:r w:rsidR="00F71582">
        <w:rPr>
          <w:rFonts w:ascii="Times New Roman" w:hAnsi="Times New Roman" w:cs="Times New Roman"/>
        </w:rPr>
        <w:t xml:space="preserve">This constitutes to date the largest such global quantitative analysis. </w:t>
      </w:r>
      <w:r w:rsidRPr="00741B18">
        <w:rPr>
          <w:rFonts w:ascii="Times New Roman" w:hAnsi="Times New Roman" w:cs="Times New Roman"/>
        </w:rPr>
        <w:t xml:space="preserve">Respondents included </w:t>
      </w:r>
      <w:r w:rsidRPr="00741B18">
        <w:rPr>
          <w:rFonts w:ascii="Times New Roman" w:hAnsi="Times New Roman" w:cs="Times New Roman"/>
          <w:i/>
        </w:rPr>
        <w:t>all</w:t>
      </w:r>
      <w:r w:rsidRPr="00741B18">
        <w:rPr>
          <w:rFonts w:ascii="Times New Roman" w:hAnsi="Times New Roman" w:cs="Times New Roman"/>
        </w:rPr>
        <w:t xml:space="preserve"> international students still resident</w:t>
      </w:r>
      <w:r w:rsidR="00F71582">
        <w:rPr>
          <w:rFonts w:ascii="Times New Roman" w:hAnsi="Times New Roman" w:cs="Times New Roman"/>
        </w:rPr>
        <w:t xml:space="preserve"> and seeking employment in Australia</w:t>
      </w:r>
      <w:r w:rsidRPr="00741B18">
        <w:rPr>
          <w:rFonts w:ascii="Times New Roman" w:hAnsi="Times New Roman" w:cs="Times New Roman"/>
        </w:rPr>
        <w:t xml:space="preserve">, on </w:t>
      </w:r>
      <w:r w:rsidR="00F71582">
        <w:rPr>
          <w:rFonts w:ascii="Times New Roman" w:hAnsi="Times New Roman" w:cs="Times New Roman"/>
        </w:rPr>
        <w:t>a permanent or</w:t>
      </w:r>
      <w:r w:rsidRPr="00741B18">
        <w:rPr>
          <w:rFonts w:ascii="Times New Roman" w:hAnsi="Times New Roman" w:cs="Times New Roman"/>
        </w:rPr>
        <w:t xml:space="preserve"> temporary basis. The </w:t>
      </w:r>
      <w:r w:rsidR="00F71582">
        <w:rPr>
          <w:rFonts w:ascii="Times New Roman" w:hAnsi="Times New Roman" w:cs="Times New Roman"/>
        </w:rPr>
        <w:t xml:space="preserve">GDS </w:t>
      </w:r>
      <w:r w:rsidRPr="00741B18">
        <w:rPr>
          <w:rFonts w:ascii="Times New Roman" w:hAnsi="Times New Roman" w:cs="Times New Roman"/>
        </w:rPr>
        <w:t xml:space="preserve">allowed comparison of 79,046 </w:t>
      </w:r>
      <w:r w:rsidR="00F71582">
        <w:rPr>
          <w:rFonts w:ascii="Times New Roman" w:hAnsi="Times New Roman" w:cs="Times New Roman"/>
        </w:rPr>
        <w:t xml:space="preserve">former </w:t>
      </w:r>
      <w:r w:rsidRPr="00741B18">
        <w:rPr>
          <w:rFonts w:ascii="Times New Roman" w:hAnsi="Times New Roman" w:cs="Times New Roman"/>
        </w:rPr>
        <w:t xml:space="preserve">international </w:t>
      </w:r>
      <w:r w:rsidR="00D41C6A">
        <w:rPr>
          <w:rFonts w:ascii="Times New Roman" w:hAnsi="Times New Roman" w:cs="Times New Roman"/>
        </w:rPr>
        <w:t>student response</w:t>
      </w:r>
      <w:r w:rsidRPr="00741B18">
        <w:rPr>
          <w:rFonts w:ascii="Times New Roman" w:hAnsi="Times New Roman" w:cs="Times New Roman"/>
        </w:rPr>
        <w:t>s from 2007 to 2011, compared to 371,951 domestic students (</w:t>
      </w:r>
      <w:r w:rsidR="00F71582">
        <w:rPr>
          <w:rFonts w:ascii="Times New Roman" w:hAnsi="Times New Roman" w:cs="Times New Roman"/>
        </w:rPr>
        <w:t xml:space="preserve">yielding </w:t>
      </w:r>
      <w:r w:rsidRPr="00741B18">
        <w:rPr>
          <w:rFonts w:ascii="Times New Roman" w:hAnsi="Times New Roman" w:cs="Times New Roman"/>
        </w:rPr>
        <w:t xml:space="preserve">450,997 responses in all). For our purposes graduates were included if they had completed majors in eleven disciplines of interest at </w:t>
      </w:r>
      <w:r w:rsidR="00F71582">
        <w:rPr>
          <w:rFonts w:ascii="Times New Roman" w:hAnsi="Times New Roman" w:cs="Times New Roman"/>
        </w:rPr>
        <w:t xml:space="preserve">bachelor, masters an doctoral </w:t>
      </w:r>
      <w:r w:rsidRPr="00741B18">
        <w:rPr>
          <w:rFonts w:ascii="Times New Roman" w:hAnsi="Times New Roman" w:cs="Times New Roman"/>
        </w:rPr>
        <w:t>levels:</w:t>
      </w:r>
    </w:p>
    <w:p w14:paraId="6595477D" w14:textId="77777777" w:rsidR="006A19EC" w:rsidRPr="00741B18" w:rsidRDefault="00F71582" w:rsidP="006A19EC">
      <w:pPr>
        <w:pStyle w:val="ListParagraph"/>
        <w:numPr>
          <w:ilvl w:val="0"/>
          <w:numId w:val="39"/>
        </w:numPr>
        <w:spacing w:after="0" w:line="240" w:lineRule="auto"/>
        <w:jc w:val="both"/>
        <w:rPr>
          <w:rFonts w:ascii="Times New Roman" w:hAnsi="Times New Roman"/>
        </w:rPr>
      </w:pPr>
      <w:r>
        <w:rPr>
          <w:rFonts w:ascii="Times New Roman" w:hAnsi="Times New Roman"/>
          <w:b/>
        </w:rPr>
        <w:t xml:space="preserve">The </w:t>
      </w:r>
      <w:r w:rsidR="006A19EC" w:rsidRPr="00741B18">
        <w:rPr>
          <w:rFonts w:ascii="Times New Roman" w:hAnsi="Times New Roman"/>
          <w:b/>
        </w:rPr>
        <w:t>medical</w:t>
      </w:r>
      <w:r>
        <w:rPr>
          <w:rFonts w:ascii="Times New Roman" w:hAnsi="Times New Roman"/>
          <w:b/>
        </w:rPr>
        <w:t>, nursing</w:t>
      </w:r>
      <w:r w:rsidR="006A19EC" w:rsidRPr="00741B18">
        <w:rPr>
          <w:rFonts w:ascii="Times New Roman" w:hAnsi="Times New Roman"/>
          <w:b/>
        </w:rPr>
        <w:t xml:space="preserve"> and allied health fields</w:t>
      </w:r>
      <w:r w:rsidR="006A19EC" w:rsidRPr="00741B18">
        <w:rPr>
          <w:rFonts w:ascii="Times New Roman" w:hAnsi="Times New Roman"/>
        </w:rPr>
        <w:t xml:space="preserve"> in which labour market demand was strong to 2011 (medicine, dentistry, nursing, pharmacy and physiotherapy); </w:t>
      </w:r>
    </w:p>
    <w:p w14:paraId="2AE474E5" w14:textId="77777777" w:rsidR="006A19EC" w:rsidRPr="00741B18" w:rsidRDefault="006A19EC" w:rsidP="006A19EC">
      <w:pPr>
        <w:pStyle w:val="ListParagraph"/>
        <w:numPr>
          <w:ilvl w:val="0"/>
          <w:numId w:val="39"/>
        </w:numPr>
        <w:spacing w:after="0" w:line="240" w:lineRule="auto"/>
        <w:jc w:val="both"/>
        <w:rPr>
          <w:rFonts w:ascii="Times New Roman" w:hAnsi="Times New Roman"/>
        </w:rPr>
      </w:pPr>
      <w:r w:rsidRPr="00741B18">
        <w:rPr>
          <w:rFonts w:ascii="Times New Roman" w:hAnsi="Times New Roman"/>
          <w:b/>
        </w:rPr>
        <w:t>The over-supplied fields</w:t>
      </w:r>
      <w:r w:rsidRPr="00741B18">
        <w:rPr>
          <w:rFonts w:ascii="Times New Roman" w:hAnsi="Times New Roman"/>
        </w:rPr>
        <w:t xml:space="preserve"> in w</w:t>
      </w:r>
      <w:r w:rsidR="00F71582">
        <w:rPr>
          <w:rFonts w:ascii="Times New Roman" w:hAnsi="Times New Roman"/>
        </w:rPr>
        <w:t>hich international students had</w:t>
      </w:r>
      <w:r w:rsidRPr="00741B18">
        <w:rPr>
          <w:rFonts w:ascii="Times New Roman" w:hAnsi="Times New Roman"/>
        </w:rPr>
        <w:t xml:space="preserve"> typically enrolled (business and commerce, accounting, and information technology);</w:t>
      </w:r>
    </w:p>
    <w:p w14:paraId="19653555" w14:textId="77777777" w:rsidR="006A19EC" w:rsidRPr="00741B18" w:rsidRDefault="006A19EC" w:rsidP="006A19EC">
      <w:pPr>
        <w:pStyle w:val="ListParagraph"/>
        <w:numPr>
          <w:ilvl w:val="0"/>
          <w:numId w:val="39"/>
        </w:numPr>
        <w:spacing w:after="0" w:line="240" w:lineRule="auto"/>
        <w:jc w:val="both"/>
        <w:rPr>
          <w:rFonts w:ascii="Times New Roman" w:hAnsi="Times New Roman"/>
        </w:rPr>
      </w:pPr>
      <w:r w:rsidRPr="00741B18">
        <w:rPr>
          <w:rFonts w:ascii="Times New Roman" w:hAnsi="Times New Roman"/>
        </w:rPr>
        <w:t xml:space="preserve">A field associated with </w:t>
      </w:r>
      <w:r w:rsidRPr="00741B18">
        <w:rPr>
          <w:rFonts w:ascii="Times New Roman" w:hAnsi="Times New Roman"/>
          <w:b/>
        </w:rPr>
        <w:t>highly variable labour market demand</w:t>
      </w:r>
      <w:r w:rsidRPr="00741B18">
        <w:rPr>
          <w:rFonts w:ascii="Times New Roman" w:hAnsi="Times New Roman"/>
        </w:rPr>
        <w:t xml:space="preserve"> (engineering); and </w:t>
      </w:r>
    </w:p>
    <w:p w14:paraId="5ABBC3F0" w14:textId="77777777" w:rsidR="006A19EC" w:rsidRPr="00741B18" w:rsidRDefault="00F71582" w:rsidP="006A19EC">
      <w:pPr>
        <w:pStyle w:val="ListParagraph"/>
        <w:numPr>
          <w:ilvl w:val="0"/>
          <w:numId w:val="39"/>
        </w:numPr>
        <w:spacing w:after="0" w:line="240" w:lineRule="auto"/>
        <w:jc w:val="both"/>
        <w:rPr>
          <w:rFonts w:ascii="Times New Roman" w:hAnsi="Times New Roman"/>
        </w:rPr>
      </w:pPr>
      <w:r>
        <w:rPr>
          <w:rFonts w:ascii="Times New Roman" w:hAnsi="Times New Roman"/>
          <w:b/>
        </w:rPr>
        <w:t>Two fields which we</w:t>
      </w:r>
      <w:r w:rsidR="006A19EC" w:rsidRPr="00741B18">
        <w:rPr>
          <w:rFonts w:ascii="Times New Roman" w:hAnsi="Times New Roman"/>
          <w:b/>
        </w:rPr>
        <w:t>re rarely studied</w:t>
      </w:r>
      <w:r>
        <w:rPr>
          <w:rFonts w:ascii="Times New Roman" w:hAnsi="Times New Roman"/>
        </w:rPr>
        <w:t xml:space="preserve">, and </w:t>
      </w:r>
      <w:r w:rsidR="006A19EC" w:rsidRPr="00741B18">
        <w:rPr>
          <w:rFonts w:ascii="Times New Roman" w:hAnsi="Times New Roman"/>
        </w:rPr>
        <w:t xml:space="preserve">associated with modest international student flows (education and the law). </w:t>
      </w:r>
    </w:p>
    <w:p w14:paraId="7058A1A8" w14:textId="77777777" w:rsidR="006A19EC" w:rsidRPr="00741B18" w:rsidRDefault="006A19EC" w:rsidP="0007196E">
      <w:pPr>
        <w:spacing w:after="0" w:line="240" w:lineRule="auto"/>
        <w:jc w:val="both"/>
        <w:rPr>
          <w:rFonts w:ascii="Times New Roman" w:hAnsi="Times New Roman"/>
        </w:rPr>
      </w:pPr>
    </w:p>
    <w:p w14:paraId="133E9136" w14:textId="77777777" w:rsidR="00F71582" w:rsidRDefault="00754930" w:rsidP="0007196E">
      <w:pPr>
        <w:spacing w:after="0" w:line="240" w:lineRule="auto"/>
        <w:jc w:val="both"/>
        <w:rPr>
          <w:rFonts w:ascii="Times New Roman" w:hAnsi="Times New Roman"/>
        </w:rPr>
      </w:pPr>
      <w:r>
        <w:rPr>
          <w:rFonts w:ascii="Times New Roman" w:hAnsi="Times New Roman"/>
        </w:rPr>
        <w:t>Focusing here on</w:t>
      </w:r>
      <w:r w:rsidR="00F71582">
        <w:rPr>
          <w:rFonts w:ascii="Times New Roman" w:hAnsi="Times New Roman"/>
        </w:rPr>
        <w:t xml:space="preserve"> </w:t>
      </w:r>
      <w:r>
        <w:rPr>
          <w:rFonts w:ascii="Times New Roman" w:hAnsi="Times New Roman"/>
        </w:rPr>
        <w:t xml:space="preserve">bachelor </w:t>
      </w:r>
      <w:r w:rsidR="00D41C6A">
        <w:rPr>
          <w:rFonts w:ascii="Times New Roman" w:hAnsi="Times New Roman"/>
        </w:rPr>
        <w:t xml:space="preserve">degree </w:t>
      </w:r>
      <w:r>
        <w:rPr>
          <w:rFonts w:ascii="Times New Roman" w:hAnsi="Times New Roman"/>
        </w:rPr>
        <w:t>graduate</w:t>
      </w:r>
      <w:r w:rsidR="002342DC">
        <w:rPr>
          <w:rFonts w:ascii="Times New Roman" w:hAnsi="Times New Roman"/>
        </w:rPr>
        <w:t>s, b</w:t>
      </w:r>
      <w:r w:rsidR="0007196E" w:rsidRPr="00741B18">
        <w:rPr>
          <w:rFonts w:ascii="Times New Roman" w:hAnsi="Times New Roman"/>
        </w:rPr>
        <w:t xml:space="preserve">y 2011 former international students qualified in medicine, dentistry and pharmacy </w:t>
      </w:r>
      <w:r w:rsidR="00F71582">
        <w:rPr>
          <w:rFonts w:ascii="Times New Roman" w:hAnsi="Times New Roman"/>
        </w:rPr>
        <w:t xml:space="preserve">had </w:t>
      </w:r>
      <w:r w:rsidR="0007196E" w:rsidRPr="00741B18">
        <w:rPr>
          <w:rFonts w:ascii="Times New Roman" w:hAnsi="Times New Roman"/>
        </w:rPr>
        <w:t xml:space="preserve">achieved stellar employment outcomes within four months of </w:t>
      </w:r>
      <w:r w:rsidR="0007196E" w:rsidRPr="00741B18">
        <w:rPr>
          <w:rFonts w:ascii="Times New Roman" w:hAnsi="Times New Roman"/>
        </w:rPr>
        <w:lastRenderedPageBreak/>
        <w:t>graduation when remaining in Australia (near identical rates to local students). In medicine 99% had gained fulltime work, along with 96% of dental and pharmacy students and 66% o</w:t>
      </w:r>
      <w:r>
        <w:rPr>
          <w:rFonts w:ascii="Times New Roman" w:hAnsi="Times New Roman"/>
        </w:rPr>
        <w:t>f nursing students. (See Table 5</w:t>
      </w:r>
      <w:r w:rsidR="0007196E" w:rsidRPr="00741B18">
        <w:rPr>
          <w:rFonts w:ascii="Times New Roman" w:hAnsi="Times New Roman"/>
        </w:rPr>
        <w:t xml:space="preserve">.)  By contrast 57% of medical, 32% of dental and 66% of nursing migrants </w:t>
      </w:r>
      <w:r w:rsidR="00F71582">
        <w:rPr>
          <w:rFonts w:ascii="Times New Roman" w:hAnsi="Times New Roman"/>
        </w:rPr>
        <w:t xml:space="preserve">in 2011 </w:t>
      </w:r>
      <w:r w:rsidR="0007196E" w:rsidRPr="00741B18">
        <w:rPr>
          <w:rFonts w:ascii="Times New Roman" w:hAnsi="Times New Roman"/>
        </w:rPr>
        <w:t xml:space="preserve">secured employment in their field in their first five </w:t>
      </w:r>
      <w:r w:rsidR="0007196E" w:rsidRPr="00741B18">
        <w:rPr>
          <w:rFonts w:ascii="Times New Roman" w:hAnsi="Times New Roman"/>
          <w:i/>
        </w:rPr>
        <w:t>years</w:t>
      </w:r>
      <w:r w:rsidR="0007196E" w:rsidRPr="00741B18">
        <w:rPr>
          <w:rFonts w:ascii="Times New Roman" w:hAnsi="Times New Roman"/>
        </w:rPr>
        <w:t xml:space="preserve"> in Australia, selected across all immigration categories. </w:t>
      </w:r>
    </w:p>
    <w:p w14:paraId="62557CBD" w14:textId="77777777" w:rsidR="00F71582" w:rsidRDefault="00F71582" w:rsidP="0007196E">
      <w:pPr>
        <w:spacing w:after="0" w:line="240" w:lineRule="auto"/>
        <w:jc w:val="both"/>
        <w:rPr>
          <w:rFonts w:ascii="Times New Roman" w:hAnsi="Times New Roman"/>
        </w:rPr>
      </w:pPr>
    </w:p>
    <w:p w14:paraId="049F3A60" w14:textId="77777777" w:rsidR="00754930" w:rsidRDefault="0007196E" w:rsidP="00754930">
      <w:pPr>
        <w:spacing w:after="0" w:line="240" w:lineRule="auto"/>
        <w:jc w:val="both"/>
        <w:rPr>
          <w:rFonts w:ascii="Times New Roman" w:hAnsi="Times New Roman"/>
        </w:rPr>
      </w:pPr>
      <w:r w:rsidRPr="00741B18">
        <w:rPr>
          <w:rFonts w:ascii="Times New Roman" w:hAnsi="Times New Roman"/>
        </w:rPr>
        <w:t>O</w:t>
      </w:r>
      <w:r w:rsidR="002342DC">
        <w:rPr>
          <w:rFonts w:ascii="Times New Roman" w:hAnsi="Times New Roman"/>
        </w:rPr>
        <w:t>utcomes were far inferior</w:t>
      </w:r>
      <w:r w:rsidRPr="00741B18">
        <w:rPr>
          <w:rFonts w:ascii="Times New Roman" w:hAnsi="Times New Roman"/>
        </w:rPr>
        <w:t xml:space="preserve"> in oversupplied fields, such as business and accounting</w:t>
      </w:r>
      <w:r w:rsidR="002342DC">
        <w:rPr>
          <w:rFonts w:ascii="Times New Roman" w:hAnsi="Times New Roman"/>
        </w:rPr>
        <w:t xml:space="preserve">, and </w:t>
      </w:r>
      <w:r w:rsidR="00D41C6A">
        <w:rPr>
          <w:rFonts w:ascii="Times New Roman" w:hAnsi="Times New Roman"/>
        </w:rPr>
        <w:t xml:space="preserve">also </w:t>
      </w:r>
      <w:r w:rsidR="002342DC">
        <w:rPr>
          <w:rFonts w:ascii="Times New Roman" w:hAnsi="Times New Roman"/>
        </w:rPr>
        <w:t>surprisingly low in engineering (recently associated with variable levels of demand)</w:t>
      </w:r>
      <w:r w:rsidR="00F71582">
        <w:rPr>
          <w:rFonts w:ascii="Times New Roman" w:hAnsi="Times New Roman"/>
        </w:rPr>
        <w:t xml:space="preserve">. </w:t>
      </w:r>
      <w:r w:rsidR="00754930" w:rsidRPr="00741B18">
        <w:rPr>
          <w:rFonts w:ascii="Times New Roman" w:hAnsi="Times New Roman"/>
        </w:rPr>
        <w:t xml:space="preserve">Overall, analysis of the Graduate Destination Survey revealed </w:t>
      </w:r>
      <w:r w:rsidR="00F71582">
        <w:rPr>
          <w:rFonts w:ascii="Times New Roman" w:hAnsi="Times New Roman"/>
        </w:rPr>
        <w:t xml:space="preserve">that </w:t>
      </w:r>
      <w:r w:rsidR="00754930" w:rsidRPr="00741B18">
        <w:rPr>
          <w:rFonts w:ascii="Times New Roman" w:hAnsi="Times New Roman"/>
        </w:rPr>
        <w:t xml:space="preserve">former international students resident in Australia, on a temporary or permanent basis, faced serious barriers if they were non-native speakers of English, were derived from non-Commonwealth countries, and qualified with masters by coursework degrees. Former students </w:t>
      </w:r>
      <w:r w:rsidR="00F71582">
        <w:rPr>
          <w:rFonts w:ascii="Times New Roman" w:hAnsi="Times New Roman"/>
        </w:rPr>
        <w:t xml:space="preserve">most </w:t>
      </w:r>
      <w:r w:rsidR="00754930">
        <w:rPr>
          <w:rFonts w:ascii="Times New Roman" w:hAnsi="Times New Roman"/>
        </w:rPr>
        <w:t xml:space="preserve">immediately </w:t>
      </w:r>
      <w:r w:rsidR="00754930" w:rsidRPr="00741B18">
        <w:rPr>
          <w:rFonts w:ascii="Times New Roman" w:hAnsi="Times New Roman"/>
        </w:rPr>
        <w:t xml:space="preserve">valued by employers had secured permanent resident status, completed doctoral or bachelor degrees, and most critically </w:t>
      </w:r>
      <w:r w:rsidR="00F71582">
        <w:rPr>
          <w:rFonts w:ascii="Times New Roman" w:hAnsi="Times New Roman"/>
        </w:rPr>
        <w:t xml:space="preserve">possessed </w:t>
      </w:r>
      <w:r w:rsidR="00754930" w:rsidRPr="00741B18">
        <w:rPr>
          <w:rFonts w:ascii="Times New Roman" w:hAnsi="Times New Roman"/>
        </w:rPr>
        <w:t>advanced English language ability. Labour market demand by field could significantly offset disadvantage, favouring immediate integration</w:t>
      </w:r>
      <w:r w:rsidR="00754930">
        <w:rPr>
          <w:rFonts w:ascii="Times New Roman" w:hAnsi="Times New Roman"/>
        </w:rPr>
        <w:t xml:space="preserve"> </w:t>
      </w:r>
      <w:r w:rsidR="00754930" w:rsidRPr="00741B18">
        <w:rPr>
          <w:rFonts w:ascii="Times New Roman" w:hAnsi="Times New Roman"/>
        </w:rPr>
        <w:t xml:space="preserve">(Hawthorne &amp; To, 2014). </w:t>
      </w:r>
    </w:p>
    <w:p w14:paraId="6B8F34F0" w14:textId="77777777" w:rsidR="00754930" w:rsidRPr="00741B18" w:rsidRDefault="00754930" w:rsidP="00754930">
      <w:pPr>
        <w:spacing w:after="0" w:line="240" w:lineRule="auto"/>
        <w:jc w:val="both"/>
        <w:rPr>
          <w:rFonts w:ascii="Times New Roman" w:hAnsi="Times New Roman" w:cs="Times New Roman"/>
        </w:rPr>
      </w:pPr>
      <w:r w:rsidRPr="00741B18">
        <w:rPr>
          <w:rFonts w:ascii="Times New Roman" w:hAnsi="Times New Roman" w:cs="Times New Roman"/>
        </w:rPr>
        <w:t xml:space="preserve">  </w:t>
      </w:r>
    </w:p>
    <w:p w14:paraId="6FEEC0A3" w14:textId="77777777" w:rsidR="002342DC" w:rsidRDefault="00754930" w:rsidP="00F71582">
      <w:pPr>
        <w:spacing w:after="0" w:line="240" w:lineRule="auto"/>
        <w:jc w:val="both"/>
        <w:rPr>
          <w:rFonts w:ascii="Times New Roman" w:hAnsi="Times New Roman" w:cs="Times New Roman"/>
          <w:b/>
        </w:rPr>
      </w:pPr>
      <w:r>
        <w:rPr>
          <w:rFonts w:ascii="Times New Roman" w:hAnsi="Times New Roman" w:cs="Times New Roman"/>
          <w:b/>
        </w:rPr>
        <w:t>Table 5</w:t>
      </w:r>
      <w:r w:rsidR="002342DC" w:rsidRPr="00DC7376">
        <w:rPr>
          <w:rFonts w:ascii="Times New Roman" w:hAnsi="Times New Roman" w:cs="Times New Roman"/>
          <w:b/>
        </w:rPr>
        <w:t xml:space="preserve">: International Student Employment Outcomes </w:t>
      </w:r>
      <w:r w:rsidR="002342DC">
        <w:rPr>
          <w:rFonts w:ascii="Times New Roman" w:hAnsi="Times New Roman" w:cs="Times New Roman"/>
          <w:b/>
        </w:rPr>
        <w:t xml:space="preserve">in Australia </w:t>
      </w:r>
      <w:r w:rsidR="002342DC" w:rsidRPr="00DC7376">
        <w:rPr>
          <w:rFonts w:ascii="Times New Roman" w:hAnsi="Times New Roman" w:cs="Times New Roman"/>
          <w:b/>
        </w:rPr>
        <w:t xml:space="preserve">Relative to Domestic Student Graduates with Bachelor Degrees </w:t>
      </w:r>
      <w:r w:rsidR="002342DC">
        <w:rPr>
          <w:rFonts w:ascii="Times New Roman" w:hAnsi="Times New Roman" w:cs="Times New Roman"/>
          <w:b/>
        </w:rPr>
        <w:t xml:space="preserve">Four Months After Graduation </w:t>
      </w:r>
      <w:r w:rsidR="002342DC" w:rsidRPr="00DC7376">
        <w:rPr>
          <w:rFonts w:ascii="Times New Roman" w:hAnsi="Times New Roman" w:cs="Times New Roman"/>
          <w:b/>
        </w:rPr>
        <w:t>(2009 to 2011)</w:t>
      </w:r>
    </w:p>
    <w:p w14:paraId="35612B2C" w14:textId="77777777" w:rsidR="002342DC" w:rsidRPr="00DC7376" w:rsidRDefault="002342DC" w:rsidP="002342DC">
      <w:pPr>
        <w:spacing w:after="0" w:line="240" w:lineRule="auto"/>
        <w:jc w:val="both"/>
        <w:rPr>
          <w:rFonts w:ascii="Times New Roman" w:hAnsi="Times New Roman" w:cs="Times New Roman"/>
          <w:b/>
        </w:rPr>
      </w:pPr>
    </w:p>
    <w:tbl>
      <w:tblPr>
        <w:tblW w:w="9796" w:type="dxa"/>
        <w:tblInd w:w="93" w:type="dxa"/>
        <w:tblLayout w:type="fixed"/>
        <w:tblLook w:val="04A0" w:firstRow="1" w:lastRow="0" w:firstColumn="1" w:lastColumn="0" w:noHBand="0" w:noVBand="1"/>
      </w:tblPr>
      <w:tblGrid>
        <w:gridCol w:w="2567"/>
        <w:gridCol w:w="850"/>
        <w:gridCol w:w="709"/>
        <w:gridCol w:w="262"/>
        <w:gridCol w:w="589"/>
        <w:gridCol w:w="185"/>
        <w:gridCol w:w="665"/>
        <w:gridCol w:w="221"/>
        <w:gridCol w:w="488"/>
        <w:gridCol w:w="175"/>
        <w:gridCol w:w="663"/>
        <w:gridCol w:w="663"/>
        <w:gridCol w:w="816"/>
        <w:gridCol w:w="943"/>
      </w:tblGrid>
      <w:tr w:rsidR="002342DC" w:rsidRPr="000C1356" w14:paraId="3A0C953D" w14:textId="77777777" w:rsidTr="00974B66">
        <w:trPr>
          <w:trHeight w:val="300"/>
        </w:trPr>
        <w:tc>
          <w:tcPr>
            <w:tcW w:w="2567" w:type="dxa"/>
            <w:vMerge w:val="restart"/>
            <w:tcBorders>
              <w:top w:val="single" w:sz="4" w:space="0" w:color="auto"/>
              <w:left w:val="single" w:sz="4" w:space="0" w:color="auto"/>
              <w:bottom w:val="single" w:sz="4" w:space="0" w:color="000000"/>
              <w:right w:val="single" w:sz="4" w:space="0" w:color="auto"/>
            </w:tcBorders>
            <w:shd w:val="clear" w:color="auto" w:fill="C6D9F1" w:themeFill="text2" w:themeFillTint="33"/>
            <w:noWrap/>
            <w:vAlign w:val="bottom"/>
            <w:hideMark/>
          </w:tcPr>
          <w:p w14:paraId="6BC1F77F" w14:textId="77777777" w:rsidR="002342DC" w:rsidRPr="000C1356" w:rsidRDefault="002342DC" w:rsidP="00974B66">
            <w:pPr>
              <w:spacing w:after="0" w:line="240" w:lineRule="auto"/>
              <w:rPr>
                <w:rFonts w:ascii="Times New Roman" w:hAnsi="Times New Roman" w:cs="Times New Roman"/>
                <w:b/>
                <w:bCs/>
                <w:color w:val="000000"/>
                <w:sz w:val="20"/>
                <w:szCs w:val="20"/>
              </w:rPr>
            </w:pPr>
            <w:r w:rsidRPr="000C1356">
              <w:rPr>
                <w:rFonts w:ascii="Times New Roman" w:hAnsi="Times New Roman" w:cs="Times New Roman"/>
                <w:b/>
                <w:bCs/>
                <w:color w:val="000000"/>
                <w:sz w:val="20"/>
                <w:szCs w:val="20"/>
              </w:rPr>
              <w:t>Activity</w:t>
            </w:r>
          </w:p>
        </w:tc>
        <w:tc>
          <w:tcPr>
            <w:tcW w:w="3260" w:type="dxa"/>
            <w:gridSpan w:val="6"/>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14:paraId="0B40AC0A" w14:textId="77777777" w:rsidR="002342DC" w:rsidRPr="000C1356" w:rsidRDefault="002342DC" w:rsidP="00974B66">
            <w:pPr>
              <w:spacing w:after="0" w:line="240" w:lineRule="auto"/>
              <w:jc w:val="center"/>
              <w:rPr>
                <w:rFonts w:ascii="Times New Roman" w:hAnsi="Times New Roman" w:cs="Times New Roman"/>
                <w:b/>
                <w:bCs/>
                <w:color w:val="000000"/>
                <w:sz w:val="20"/>
                <w:szCs w:val="20"/>
              </w:rPr>
            </w:pPr>
            <w:r w:rsidRPr="000C1356">
              <w:rPr>
                <w:rFonts w:ascii="Times New Roman" w:hAnsi="Times New Roman" w:cs="Times New Roman"/>
                <w:b/>
                <w:bCs/>
                <w:color w:val="000000"/>
                <w:sz w:val="20"/>
                <w:szCs w:val="20"/>
              </w:rPr>
              <w:t>Domestic Students</w:t>
            </w:r>
          </w:p>
        </w:tc>
        <w:tc>
          <w:tcPr>
            <w:tcW w:w="3026" w:type="dxa"/>
            <w:gridSpan w:val="6"/>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14:paraId="4B14BA7F" w14:textId="77777777" w:rsidR="002342DC" w:rsidRPr="000C1356" w:rsidRDefault="002342DC" w:rsidP="00974B66">
            <w:pPr>
              <w:spacing w:after="0" w:line="240" w:lineRule="auto"/>
              <w:jc w:val="center"/>
              <w:rPr>
                <w:rFonts w:ascii="Times New Roman" w:hAnsi="Times New Roman" w:cs="Times New Roman"/>
                <w:b/>
                <w:bCs/>
                <w:color w:val="000000"/>
                <w:sz w:val="20"/>
                <w:szCs w:val="20"/>
              </w:rPr>
            </w:pPr>
            <w:r w:rsidRPr="000C1356">
              <w:rPr>
                <w:rFonts w:ascii="Times New Roman" w:hAnsi="Times New Roman" w:cs="Times New Roman"/>
                <w:b/>
                <w:bCs/>
                <w:color w:val="000000"/>
                <w:sz w:val="20"/>
                <w:szCs w:val="20"/>
              </w:rPr>
              <w:t>International Students</w:t>
            </w:r>
          </w:p>
        </w:tc>
        <w:tc>
          <w:tcPr>
            <w:tcW w:w="943"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14:paraId="7543832F" w14:textId="77777777" w:rsidR="002342DC" w:rsidRPr="000C1356" w:rsidRDefault="002342DC" w:rsidP="00974B66">
            <w:pPr>
              <w:spacing w:after="0" w:line="240" w:lineRule="auto"/>
              <w:jc w:val="center"/>
              <w:rPr>
                <w:rFonts w:ascii="Times New Roman" w:hAnsi="Times New Roman" w:cs="Times New Roman"/>
                <w:b/>
                <w:bCs/>
                <w:color w:val="000000"/>
                <w:sz w:val="20"/>
                <w:szCs w:val="20"/>
              </w:rPr>
            </w:pPr>
            <w:r w:rsidRPr="000C1356">
              <w:rPr>
                <w:rFonts w:ascii="Times New Roman" w:hAnsi="Times New Roman" w:cs="Times New Roman"/>
                <w:b/>
                <w:bCs/>
                <w:color w:val="000000"/>
                <w:sz w:val="20"/>
                <w:szCs w:val="20"/>
              </w:rPr>
              <w:t>Total</w:t>
            </w:r>
          </w:p>
        </w:tc>
      </w:tr>
      <w:tr w:rsidR="002342DC" w:rsidRPr="000C1356" w14:paraId="312DB06A" w14:textId="77777777" w:rsidTr="00974B66">
        <w:trPr>
          <w:trHeight w:val="300"/>
        </w:trPr>
        <w:tc>
          <w:tcPr>
            <w:tcW w:w="2567" w:type="dxa"/>
            <w:vMerge/>
            <w:tcBorders>
              <w:top w:val="single" w:sz="4" w:space="0" w:color="auto"/>
              <w:left w:val="single" w:sz="4" w:space="0" w:color="auto"/>
              <w:bottom w:val="single" w:sz="4" w:space="0" w:color="000000"/>
              <w:right w:val="single" w:sz="4" w:space="0" w:color="auto"/>
            </w:tcBorders>
            <w:vAlign w:val="center"/>
            <w:hideMark/>
          </w:tcPr>
          <w:p w14:paraId="0FC6260C" w14:textId="77777777" w:rsidR="002342DC" w:rsidRPr="000C1356" w:rsidRDefault="002342DC" w:rsidP="00974B66">
            <w:pPr>
              <w:spacing w:after="0" w:line="240" w:lineRule="auto"/>
              <w:jc w:val="right"/>
              <w:rPr>
                <w:rFonts w:ascii="Times New Roman" w:hAnsi="Times New Roman" w:cs="Times New Roman"/>
                <w:b/>
                <w:bCs/>
                <w:color w:val="000000"/>
                <w:sz w:val="20"/>
                <w:szCs w:val="20"/>
              </w:rPr>
            </w:pPr>
          </w:p>
        </w:tc>
        <w:tc>
          <w:tcPr>
            <w:tcW w:w="850" w:type="dxa"/>
            <w:tcBorders>
              <w:top w:val="nil"/>
              <w:left w:val="nil"/>
              <w:bottom w:val="single" w:sz="4" w:space="0" w:color="auto"/>
              <w:right w:val="single" w:sz="4" w:space="0" w:color="auto"/>
            </w:tcBorders>
            <w:shd w:val="clear" w:color="auto" w:fill="auto"/>
            <w:noWrap/>
            <w:vAlign w:val="bottom"/>
            <w:hideMark/>
          </w:tcPr>
          <w:p w14:paraId="3FAE4884" w14:textId="77777777" w:rsidR="002342DC" w:rsidRPr="000C1356" w:rsidRDefault="002342DC" w:rsidP="00974B66">
            <w:pPr>
              <w:spacing w:after="0" w:line="240" w:lineRule="auto"/>
              <w:jc w:val="right"/>
              <w:rPr>
                <w:rFonts w:ascii="Times New Roman" w:hAnsi="Times New Roman" w:cs="Times New Roman"/>
                <w:b/>
                <w:bCs/>
                <w:color w:val="000000"/>
                <w:sz w:val="20"/>
                <w:szCs w:val="20"/>
              </w:rPr>
            </w:pPr>
            <w:r w:rsidRPr="000C1356">
              <w:rPr>
                <w:rFonts w:ascii="Times New Roman" w:hAnsi="Times New Roman" w:cs="Times New Roman"/>
                <w:b/>
                <w:bCs/>
                <w:color w:val="000000"/>
                <w:sz w:val="20"/>
                <w:szCs w:val="20"/>
              </w:rPr>
              <w:t>2009</w:t>
            </w:r>
          </w:p>
        </w:tc>
        <w:tc>
          <w:tcPr>
            <w:tcW w:w="709" w:type="dxa"/>
            <w:tcBorders>
              <w:top w:val="nil"/>
              <w:left w:val="nil"/>
              <w:bottom w:val="single" w:sz="4" w:space="0" w:color="auto"/>
              <w:right w:val="single" w:sz="4" w:space="0" w:color="auto"/>
            </w:tcBorders>
            <w:shd w:val="clear" w:color="auto" w:fill="auto"/>
            <w:noWrap/>
            <w:vAlign w:val="bottom"/>
            <w:hideMark/>
          </w:tcPr>
          <w:p w14:paraId="1C20C599" w14:textId="77777777" w:rsidR="002342DC" w:rsidRPr="000C1356" w:rsidRDefault="002342DC" w:rsidP="00974B66">
            <w:pPr>
              <w:spacing w:after="0" w:line="240" w:lineRule="auto"/>
              <w:jc w:val="right"/>
              <w:rPr>
                <w:rFonts w:ascii="Times New Roman" w:hAnsi="Times New Roman" w:cs="Times New Roman"/>
                <w:b/>
                <w:bCs/>
                <w:color w:val="000000"/>
                <w:sz w:val="20"/>
                <w:szCs w:val="20"/>
              </w:rPr>
            </w:pPr>
            <w:r w:rsidRPr="000C1356">
              <w:rPr>
                <w:rFonts w:ascii="Times New Roman" w:hAnsi="Times New Roman" w:cs="Times New Roman"/>
                <w:b/>
                <w:bCs/>
                <w:color w:val="000000"/>
                <w:sz w:val="20"/>
                <w:szCs w:val="20"/>
              </w:rPr>
              <w:t>2010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04949A9" w14:textId="77777777" w:rsidR="002342DC" w:rsidRPr="000C1356" w:rsidRDefault="002342DC" w:rsidP="00974B66">
            <w:pPr>
              <w:spacing w:after="0" w:line="240" w:lineRule="auto"/>
              <w:jc w:val="right"/>
              <w:rPr>
                <w:rFonts w:ascii="Times New Roman" w:hAnsi="Times New Roman" w:cs="Times New Roman"/>
                <w:b/>
                <w:bCs/>
                <w:color w:val="000000"/>
                <w:sz w:val="20"/>
                <w:szCs w:val="20"/>
              </w:rPr>
            </w:pPr>
            <w:r w:rsidRPr="000C1356">
              <w:rPr>
                <w:rFonts w:ascii="Times New Roman" w:hAnsi="Times New Roman" w:cs="Times New Roman"/>
                <w:b/>
                <w:bCs/>
                <w:color w:val="000000"/>
                <w:sz w:val="20"/>
                <w:szCs w:val="20"/>
              </w:rPr>
              <w:t>2011</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69BB263" w14:textId="77777777" w:rsidR="002342DC" w:rsidRPr="000C1356" w:rsidRDefault="002342DC" w:rsidP="00974B66">
            <w:pPr>
              <w:spacing w:after="0" w:line="240" w:lineRule="auto"/>
              <w:jc w:val="right"/>
              <w:rPr>
                <w:rFonts w:ascii="Times New Roman" w:hAnsi="Times New Roman" w:cs="Times New Roman"/>
                <w:b/>
                <w:bCs/>
                <w:color w:val="000000"/>
                <w:sz w:val="20"/>
                <w:szCs w:val="20"/>
              </w:rPr>
            </w:pPr>
            <w:r w:rsidRPr="000C1356">
              <w:rPr>
                <w:rFonts w:ascii="Times New Roman" w:hAnsi="Times New Roman" w:cs="Times New Roman"/>
                <w:b/>
                <w:bCs/>
                <w:color w:val="000000"/>
                <w:sz w:val="20"/>
                <w:szCs w:val="20"/>
              </w:rPr>
              <w:t>Total</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E173936" w14:textId="77777777" w:rsidR="002342DC" w:rsidRPr="000C1356" w:rsidRDefault="002342DC" w:rsidP="00974B66">
            <w:pPr>
              <w:spacing w:after="0" w:line="240" w:lineRule="auto"/>
              <w:jc w:val="right"/>
              <w:rPr>
                <w:rFonts w:ascii="Times New Roman" w:hAnsi="Times New Roman" w:cs="Times New Roman"/>
                <w:b/>
                <w:bCs/>
                <w:color w:val="000000"/>
                <w:sz w:val="20"/>
                <w:szCs w:val="20"/>
              </w:rPr>
            </w:pPr>
            <w:r w:rsidRPr="000C1356">
              <w:rPr>
                <w:rFonts w:ascii="Times New Roman" w:hAnsi="Times New Roman" w:cs="Times New Roman"/>
                <w:b/>
                <w:bCs/>
                <w:color w:val="000000"/>
                <w:sz w:val="20"/>
                <w:szCs w:val="20"/>
              </w:rPr>
              <w:t>2009</w:t>
            </w:r>
          </w:p>
        </w:tc>
        <w:tc>
          <w:tcPr>
            <w:tcW w:w="838" w:type="dxa"/>
            <w:gridSpan w:val="2"/>
            <w:tcBorders>
              <w:top w:val="nil"/>
              <w:left w:val="nil"/>
              <w:bottom w:val="single" w:sz="4" w:space="0" w:color="auto"/>
              <w:right w:val="single" w:sz="4" w:space="0" w:color="auto"/>
            </w:tcBorders>
            <w:shd w:val="clear" w:color="auto" w:fill="auto"/>
            <w:noWrap/>
            <w:vAlign w:val="bottom"/>
            <w:hideMark/>
          </w:tcPr>
          <w:p w14:paraId="7BFA9DC3" w14:textId="77777777" w:rsidR="002342DC" w:rsidRPr="000C1356" w:rsidRDefault="002342DC" w:rsidP="00974B66">
            <w:pPr>
              <w:spacing w:after="0" w:line="240" w:lineRule="auto"/>
              <w:jc w:val="right"/>
              <w:rPr>
                <w:rFonts w:ascii="Times New Roman" w:hAnsi="Times New Roman" w:cs="Times New Roman"/>
                <w:b/>
                <w:bCs/>
                <w:color w:val="000000"/>
                <w:sz w:val="20"/>
                <w:szCs w:val="20"/>
              </w:rPr>
            </w:pPr>
            <w:r w:rsidRPr="000C1356">
              <w:rPr>
                <w:rFonts w:ascii="Times New Roman" w:hAnsi="Times New Roman" w:cs="Times New Roman"/>
                <w:b/>
                <w:bCs/>
                <w:color w:val="000000"/>
                <w:sz w:val="20"/>
                <w:szCs w:val="20"/>
              </w:rPr>
              <w:t>2010</w:t>
            </w:r>
          </w:p>
        </w:tc>
        <w:tc>
          <w:tcPr>
            <w:tcW w:w="663" w:type="dxa"/>
            <w:tcBorders>
              <w:top w:val="nil"/>
              <w:left w:val="nil"/>
              <w:bottom w:val="single" w:sz="4" w:space="0" w:color="auto"/>
              <w:right w:val="single" w:sz="4" w:space="0" w:color="auto"/>
            </w:tcBorders>
            <w:shd w:val="clear" w:color="auto" w:fill="auto"/>
            <w:noWrap/>
            <w:vAlign w:val="bottom"/>
            <w:hideMark/>
          </w:tcPr>
          <w:p w14:paraId="5883372D" w14:textId="77777777" w:rsidR="002342DC" w:rsidRPr="000C1356" w:rsidRDefault="002342DC" w:rsidP="00974B66">
            <w:pPr>
              <w:spacing w:after="0" w:line="240" w:lineRule="auto"/>
              <w:jc w:val="right"/>
              <w:rPr>
                <w:rFonts w:ascii="Times New Roman" w:hAnsi="Times New Roman" w:cs="Times New Roman"/>
                <w:b/>
                <w:bCs/>
                <w:color w:val="000000"/>
                <w:sz w:val="20"/>
                <w:szCs w:val="20"/>
              </w:rPr>
            </w:pPr>
            <w:r w:rsidRPr="000C1356">
              <w:rPr>
                <w:rFonts w:ascii="Times New Roman" w:hAnsi="Times New Roman" w:cs="Times New Roman"/>
                <w:b/>
                <w:bCs/>
                <w:color w:val="000000"/>
                <w:sz w:val="20"/>
                <w:szCs w:val="20"/>
              </w:rPr>
              <w:t>2011</w:t>
            </w:r>
          </w:p>
        </w:tc>
        <w:tc>
          <w:tcPr>
            <w:tcW w:w="816" w:type="dxa"/>
            <w:tcBorders>
              <w:top w:val="nil"/>
              <w:left w:val="nil"/>
              <w:bottom w:val="single" w:sz="4" w:space="0" w:color="auto"/>
              <w:right w:val="single" w:sz="4" w:space="0" w:color="auto"/>
            </w:tcBorders>
            <w:shd w:val="clear" w:color="auto" w:fill="auto"/>
            <w:noWrap/>
            <w:vAlign w:val="bottom"/>
            <w:hideMark/>
          </w:tcPr>
          <w:p w14:paraId="3CE8A46C" w14:textId="77777777" w:rsidR="002342DC" w:rsidRPr="000C1356" w:rsidRDefault="002342DC" w:rsidP="00974B66">
            <w:pPr>
              <w:spacing w:after="0" w:line="240" w:lineRule="auto"/>
              <w:jc w:val="right"/>
              <w:rPr>
                <w:rFonts w:ascii="Times New Roman" w:hAnsi="Times New Roman" w:cs="Times New Roman"/>
                <w:b/>
                <w:bCs/>
                <w:color w:val="000000"/>
                <w:sz w:val="20"/>
                <w:szCs w:val="20"/>
              </w:rPr>
            </w:pPr>
            <w:r w:rsidRPr="000C1356">
              <w:rPr>
                <w:rFonts w:ascii="Times New Roman" w:hAnsi="Times New Roman" w:cs="Times New Roman"/>
                <w:b/>
                <w:bCs/>
                <w:color w:val="000000"/>
                <w:sz w:val="20"/>
                <w:szCs w:val="20"/>
              </w:rPr>
              <w:t>Total</w:t>
            </w:r>
          </w:p>
        </w:tc>
        <w:tc>
          <w:tcPr>
            <w:tcW w:w="943" w:type="dxa"/>
            <w:tcBorders>
              <w:top w:val="nil"/>
              <w:left w:val="nil"/>
              <w:bottom w:val="single" w:sz="4" w:space="0" w:color="auto"/>
              <w:right w:val="single" w:sz="4" w:space="0" w:color="auto"/>
            </w:tcBorders>
            <w:shd w:val="clear" w:color="auto" w:fill="auto"/>
            <w:noWrap/>
            <w:vAlign w:val="bottom"/>
            <w:hideMark/>
          </w:tcPr>
          <w:p w14:paraId="43F88C5D" w14:textId="77777777" w:rsidR="002342DC" w:rsidRPr="000C1356" w:rsidRDefault="002342DC" w:rsidP="00974B66">
            <w:pPr>
              <w:spacing w:after="0" w:line="240" w:lineRule="auto"/>
              <w:jc w:val="right"/>
              <w:rPr>
                <w:rFonts w:ascii="Times New Roman" w:hAnsi="Times New Roman" w:cs="Times New Roman"/>
                <w:b/>
                <w:bCs/>
                <w:color w:val="000000"/>
                <w:sz w:val="20"/>
                <w:szCs w:val="20"/>
              </w:rPr>
            </w:pPr>
            <w:r w:rsidRPr="000C1356">
              <w:rPr>
                <w:rFonts w:ascii="Times New Roman" w:hAnsi="Times New Roman" w:cs="Times New Roman"/>
                <w:b/>
                <w:bCs/>
                <w:color w:val="000000"/>
                <w:sz w:val="20"/>
                <w:szCs w:val="20"/>
              </w:rPr>
              <w:t>2009-2011</w:t>
            </w:r>
          </w:p>
        </w:tc>
      </w:tr>
      <w:tr w:rsidR="002342DC" w:rsidRPr="000C1356" w14:paraId="5FEE47C1" w14:textId="77777777" w:rsidTr="00974B66">
        <w:trPr>
          <w:trHeight w:val="255"/>
        </w:trPr>
        <w:tc>
          <w:tcPr>
            <w:tcW w:w="9796" w:type="dxa"/>
            <w:gridSpan w:val="14"/>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40D5AA2D" w14:textId="77777777" w:rsidR="002342DC" w:rsidRPr="000C1356" w:rsidRDefault="002342DC" w:rsidP="00974B66">
            <w:pPr>
              <w:spacing w:after="0" w:line="240" w:lineRule="auto"/>
              <w:jc w:val="right"/>
              <w:rPr>
                <w:rFonts w:ascii="Times New Roman" w:hAnsi="Times New Roman" w:cs="Times New Roman"/>
                <w:b/>
                <w:bCs/>
                <w:color w:val="000000"/>
                <w:sz w:val="20"/>
                <w:szCs w:val="20"/>
              </w:rPr>
            </w:pPr>
            <w:r w:rsidRPr="000C1356">
              <w:rPr>
                <w:rFonts w:ascii="Times New Roman" w:hAnsi="Times New Roman" w:cs="Times New Roman"/>
                <w:b/>
                <w:bCs/>
                <w:color w:val="000000"/>
                <w:sz w:val="20"/>
                <w:szCs w:val="20"/>
              </w:rPr>
              <w:t>Medicine</w:t>
            </w:r>
          </w:p>
        </w:tc>
      </w:tr>
      <w:tr w:rsidR="002342DC" w:rsidRPr="000C1356" w14:paraId="2EB93222" w14:textId="77777777" w:rsidTr="00974B66">
        <w:trPr>
          <w:trHeight w:val="25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534394EC" w14:textId="77777777" w:rsidR="002342DC" w:rsidRPr="000C1356" w:rsidRDefault="002342DC" w:rsidP="00974B66">
            <w:pPr>
              <w:spacing w:after="0" w:line="240" w:lineRule="auto"/>
              <w:rPr>
                <w:rFonts w:ascii="Times New Roman" w:hAnsi="Times New Roman" w:cs="Times New Roman"/>
                <w:bCs/>
                <w:color w:val="000000"/>
                <w:sz w:val="20"/>
                <w:szCs w:val="20"/>
              </w:rPr>
            </w:pPr>
            <w:r w:rsidRPr="000C1356">
              <w:rPr>
                <w:rFonts w:ascii="Times New Roman" w:hAnsi="Times New Roman" w:cs="Times New Roman"/>
                <w:bCs/>
                <w:color w:val="000000"/>
                <w:sz w:val="20"/>
                <w:szCs w:val="20"/>
              </w:rPr>
              <w:t>Working FT (%)</w:t>
            </w:r>
          </w:p>
        </w:tc>
        <w:tc>
          <w:tcPr>
            <w:tcW w:w="850" w:type="dxa"/>
            <w:tcBorders>
              <w:top w:val="nil"/>
              <w:left w:val="nil"/>
              <w:bottom w:val="single" w:sz="4" w:space="0" w:color="auto"/>
              <w:right w:val="single" w:sz="4" w:space="0" w:color="auto"/>
            </w:tcBorders>
            <w:shd w:val="clear" w:color="auto" w:fill="auto"/>
            <w:noWrap/>
            <w:vAlign w:val="bottom"/>
            <w:hideMark/>
          </w:tcPr>
          <w:p w14:paraId="62B50B75"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99.5</w:t>
            </w:r>
          </w:p>
        </w:tc>
        <w:tc>
          <w:tcPr>
            <w:tcW w:w="709" w:type="dxa"/>
            <w:tcBorders>
              <w:top w:val="nil"/>
              <w:left w:val="nil"/>
              <w:bottom w:val="single" w:sz="4" w:space="0" w:color="auto"/>
              <w:right w:val="single" w:sz="4" w:space="0" w:color="auto"/>
            </w:tcBorders>
            <w:shd w:val="clear" w:color="auto" w:fill="auto"/>
            <w:noWrap/>
            <w:vAlign w:val="bottom"/>
            <w:hideMark/>
          </w:tcPr>
          <w:p w14:paraId="56856CA8"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99.8</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57A64B1C"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99.7</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219C6876"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99.7</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86030F1"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96.9</w:t>
            </w:r>
          </w:p>
        </w:tc>
        <w:tc>
          <w:tcPr>
            <w:tcW w:w="838" w:type="dxa"/>
            <w:gridSpan w:val="2"/>
            <w:tcBorders>
              <w:top w:val="nil"/>
              <w:left w:val="nil"/>
              <w:bottom w:val="single" w:sz="4" w:space="0" w:color="auto"/>
              <w:right w:val="single" w:sz="4" w:space="0" w:color="auto"/>
            </w:tcBorders>
            <w:shd w:val="clear" w:color="auto" w:fill="auto"/>
            <w:noWrap/>
            <w:vAlign w:val="bottom"/>
            <w:hideMark/>
          </w:tcPr>
          <w:p w14:paraId="6D423842"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98.8</w:t>
            </w:r>
          </w:p>
        </w:tc>
        <w:tc>
          <w:tcPr>
            <w:tcW w:w="663" w:type="dxa"/>
            <w:tcBorders>
              <w:top w:val="nil"/>
              <w:left w:val="nil"/>
              <w:bottom w:val="single" w:sz="4" w:space="0" w:color="auto"/>
              <w:right w:val="single" w:sz="4" w:space="0" w:color="auto"/>
            </w:tcBorders>
            <w:shd w:val="clear" w:color="auto" w:fill="auto"/>
            <w:noWrap/>
            <w:vAlign w:val="bottom"/>
            <w:hideMark/>
          </w:tcPr>
          <w:p w14:paraId="20752A59"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100</w:t>
            </w:r>
          </w:p>
        </w:tc>
        <w:tc>
          <w:tcPr>
            <w:tcW w:w="816" w:type="dxa"/>
            <w:tcBorders>
              <w:top w:val="nil"/>
              <w:left w:val="nil"/>
              <w:bottom w:val="single" w:sz="4" w:space="0" w:color="auto"/>
              <w:right w:val="single" w:sz="4" w:space="0" w:color="auto"/>
            </w:tcBorders>
            <w:shd w:val="clear" w:color="auto" w:fill="auto"/>
            <w:noWrap/>
            <w:vAlign w:val="bottom"/>
            <w:hideMark/>
          </w:tcPr>
          <w:p w14:paraId="49E6613D"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98.8</w:t>
            </w:r>
          </w:p>
        </w:tc>
        <w:tc>
          <w:tcPr>
            <w:tcW w:w="943" w:type="dxa"/>
            <w:tcBorders>
              <w:top w:val="nil"/>
              <w:left w:val="nil"/>
              <w:bottom w:val="single" w:sz="4" w:space="0" w:color="auto"/>
              <w:right w:val="single" w:sz="4" w:space="0" w:color="auto"/>
            </w:tcBorders>
            <w:shd w:val="clear" w:color="auto" w:fill="auto"/>
            <w:noWrap/>
            <w:vAlign w:val="bottom"/>
            <w:hideMark/>
          </w:tcPr>
          <w:p w14:paraId="262D30E3"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99.6</w:t>
            </w:r>
          </w:p>
        </w:tc>
      </w:tr>
      <w:tr w:rsidR="002342DC" w:rsidRPr="000C1356" w14:paraId="0CFC9F56" w14:textId="77777777" w:rsidTr="00974B66">
        <w:trPr>
          <w:trHeight w:val="25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1C508A3" w14:textId="77777777" w:rsidR="002342DC" w:rsidRPr="000C1356" w:rsidRDefault="002342DC" w:rsidP="00974B66">
            <w:pPr>
              <w:spacing w:after="0" w:line="240" w:lineRule="auto"/>
              <w:rPr>
                <w:rFonts w:ascii="Times New Roman" w:hAnsi="Times New Roman" w:cs="Times New Roman"/>
                <w:bCs/>
                <w:color w:val="000000"/>
                <w:sz w:val="20"/>
                <w:szCs w:val="20"/>
              </w:rPr>
            </w:pPr>
            <w:r w:rsidRPr="000C1356">
              <w:rPr>
                <w:rFonts w:ascii="Times New Roman" w:hAnsi="Times New Roman" w:cs="Times New Roman"/>
                <w:bCs/>
                <w:color w:val="000000"/>
                <w:sz w:val="20"/>
                <w:szCs w:val="20"/>
              </w:rPr>
              <w:t>Available for FT work (N)</w:t>
            </w:r>
          </w:p>
        </w:tc>
        <w:tc>
          <w:tcPr>
            <w:tcW w:w="850" w:type="dxa"/>
            <w:tcBorders>
              <w:top w:val="nil"/>
              <w:left w:val="nil"/>
              <w:bottom w:val="single" w:sz="4" w:space="0" w:color="auto"/>
              <w:right w:val="single" w:sz="4" w:space="0" w:color="auto"/>
            </w:tcBorders>
            <w:shd w:val="clear" w:color="auto" w:fill="auto"/>
            <w:noWrap/>
            <w:vAlign w:val="bottom"/>
            <w:hideMark/>
          </w:tcPr>
          <w:p w14:paraId="4EE9173A"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744</w:t>
            </w:r>
          </w:p>
        </w:tc>
        <w:tc>
          <w:tcPr>
            <w:tcW w:w="709" w:type="dxa"/>
            <w:tcBorders>
              <w:top w:val="nil"/>
              <w:left w:val="nil"/>
              <w:bottom w:val="single" w:sz="4" w:space="0" w:color="auto"/>
              <w:right w:val="single" w:sz="4" w:space="0" w:color="auto"/>
            </w:tcBorders>
            <w:shd w:val="clear" w:color="auto" w:fill="auto"/>
            <w:noWrap/>
            <w:vAlign w:val="bottom"/>
            <w:hideMark/>
          </w:tcPr>
          <w:p w14:paraId="5F2CE6E2"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842</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58A24BA2"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1144</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653C7664"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2730</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B96D3C9"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98</w:t>
            </w:r>
          </w:p>
        </w:tc>
        <w:tc>
          <w:tcPr>
            <w:tcW w:w="838" w:type="dxa"/>
            <w:gridSpan w:val="2"/>
            <w:tcBorders>
              <w:top w:val="nil"/>
              <w:left w:val="nil"/>
              <w:bottom w:val="single" w:sz="4" w:space="0" w:color="auto"/>
              <w:right w:val="single" w:sz="4" w:space="0" w:color="auto"/>
            </w:tcBorders>
            <w:shd w:val="clear" w:color="auto" w:fill="auto"/>
            <w:noWrap/>
            <w:vAlign w:val="bottom"/>
            <w:hideMark/>
          </w:tcPr>
          <w:p w14:paraId="4447B0B8"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165</w:t>
            </w:r>
          </w:p>
        </w:tc>
        <w:tc>
          <w:tcPr>
            <w:tcW w:w="663" w:type="dxa"/>
            <w:tcBorders>
              <w:top w:val="nil"/>
              <w:left w:val="nil"/>
              <w:bottom w:val="single" w:sz="4" w:space="0" w:color="auto"/>
              <w:right w:val="single" w:sz="4" w:space="0" w:color="auto"/>
            </w:tcBorders>
            <w:shd w:val="clear" w:color="auto" w:fill="auto"/>
            <w:noWrap/>
            <w:vAlign w:val="bottom"/>
            <w:hideMark/>
          </w:tcPr>
          <w:p w14:paraId="0D534F80"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161</w:t>
            </w:r>
          </w:p>
        </w:tc>
        <w:tc>
          <w:tcPr>
            <w:tcW w:w="816" w:type="dxa"/>
            <w:tcBorders>
              <w:top w:val="nil"/>
              <w:left w:val="nil"/>
              <w:bottom w:val="single" w:sz="4" w:space="0" w:color="auto"/>
              <w:right w:val="single" w:sz="4" w:space="0" w:color="auto"/>
            </w:tcBorders>
            <w:shd w:val="clear" w:color="auto" w:fill="auto"/>
            <w:noWrap/>
            <w:vAlign w:val="bottom"/>
            <w:hideMark/>
          </w:tcPr>
          <w:p w14:paraId="501D8E02"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424</w:t>
            </w:r>
          </w:p>
        </w:tc>
        <w:tc>
          <w:tcPr>
            <w:tcW w:w="943" w:type="dxa"/>
            <w:tcBorders>
              <w:top w:val="nil"/>
              <w:left w:val="nil"/>
              <w:bottom w:val="single" w:sz="4" w:space="0" w:color="auto"/>
              <w:right w:val="single" w:sz="4" w:space="0" w:color="auto"/>
            </w:tcBorders>
            <w:shd w:val="clear" w:color="auto" w:fill="auto"/>
            <w:noWrap/>
            <w:vAlign w:val="bottom"/>
            <w:hideMark/>
          </w:tcPr>
          <w:p w14:paraId="18DDB886"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3154</w:t>
            </w:r>
          </w:p>
        </w:tc>
      </w:tr>
      <w:tr w:rsidR="002342DC" w:rsidRPr="000C1356" w14:paraId="133D477C" w14:textId="77777777" w:rsidTr="00974B66">
        <w:trPr>
          <w:trHeight w:val="255"/>
        </w:trPr>
        <w:tc>
          <w:tcPr>
            <w:tcW w:w="9796" w:type="dxa"/>
            <w:gridSpan w:val="14"/>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527951A0" w14:textId="77777777" w:rsidR="002342DC" w:rsidRPr="000C1356" w:rsidRDefault="002342DC" w:rsidP="00974B66">
            <w:pPr>
              <w:spacing w:after="0" w:line="240" w:lineRule="auto"/>
              <w:jc w:val="right"/>
              <w:rPr>
                <w:rFonts w:ascii="Times New Roman" w:hAnsi="Times New Roman" w:cs="Times New Roman"/>
                <w:b/>
                <w:bCs/>
                <w:color w:val="000000"/>
                <w:sz w:val="20"/>
                <w:szCs w:val="20"/>
              </w:rPr>
            </w:pPr>
            <w:r w:rsidRPr="000C1356">
              <w:rPr>
                <w:rFonts w:ascii="Times New Roman" w:hAnsi="Times New Roman" w:cs="Times New Roman"/>
                <w:b/>
                <w:bCs/>
                <w:color w:val="000000"/>
                <w:sz w:val="20"/>
                <w:szCs w:val="20"/>
              </w:rPr>
              <w:t>Pharmacy</w:t>
            </w:r>
          </w:p>
        </w:tc>
      </w:tr>
      <w:tr w:rsidR="002342DC" w:rsidRPr="000C1356" w14:paraId="6F322BA6" w14:textId="77777777" w:rsidTr="00974B66">
        <w:trPr>
          <w:trHeight w:val="25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0EC2A27" w14:textId="77777777" w:rsidR="002342DC" w:rsidRPr="000C1356" w:rsidRDefault="002342DC" w:rsidP="00974B66">
            <w:pPr>
              <w:spacing w:after="0" w:line="240" w:lineRule="auto"/>
              <w:rPr>
                <w:rFonts w:ascii="Times New Roman" w:hAnsi="Times New Roman" w:cs="Times New Roman"/>
                <w:bCs/>
                <w:color w:val="000000"/>
                <w:sz w:val="20"/>
                <w:szCs w:val="20"/>
              </w:rPr>
            </w:pPr>
            <w:r w:rsidRPr="000C1356">
              <w:rPr>
                <w:rFonts w:ascii="Times New Roman" w:hAnsi="Times New Roman" w:cs="Times New Roman"/>
                <w:bCs/>
                <w:color w:val="000000"/>
                <w:sz w:val="20"/>
                <w:szCs w:val="20"/>
              </w:rPr>
              <w:t>Working FT (%)</w:t>
            </w:r>
          </w:p>
        </w:tc>
        <w:tc>
          <w:tcPr>
            <w:tcW w:w="850" w:type="dxa"/>
            <w:tcBorders>
              <w:top w:val="nil"/>
              <w:left w:val="nil"/>
              <w:bottom w:val="single" w:sz="4" w:space="0" w:color="auto"/>
              <w:right w:val="single" w:sz="4" w:space="0" w:color="auto"/>
            </w:tcBorders>
            <w:shd w:val="clear" w:color="auto" w:fill="auto"/>
            <w:noWrap/>
            <w:vAlign w:val="bottom"/>
            <w:hideMark/>
          </w:tcPr>
          <w:p w14:paraId="6F19E64B"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97.9</w:t>
            </w:r>
          </w:p>
        </w:tc>
        <w:tc>
          <w:tcPr>
            <w:tcW w:w="709" w:type="dxa"/>
            <w:tcBorders>
              <w:top w:val="nil"/>
              <w:left w:val="nil"/>
              <w:bottom w:val="single" w:sz="4" w:space="0" w:color="auto"/>
              <w:right w:val="single" w:sz="4" w:space="0" w:color="auto"/>
            </w:tcBorders>
            <w:shd w:val="clear" w:color="auto" w:fill="auto"/>
            <w:noWrap/>
            <w:vAlign w:val="bottom"/>
            <w:hideMark/>
          </w:tcPr>
          <w:p w14:paraId="4FA4BA10"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97.4</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7D82EA86"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97.5</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226C1A68"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97.6</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83DC7B2"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98.3</w:t>
            </w:r>
          </w:p>
        </w:tc>
        <w:tc>
          <w:tcPr>
            <w:tcW w:w="838" w:type="dxa"/>
            <w:gridSpan w:val="2"/>
            <w:tcBorders>
              <w:top w:val="nil"/>
              <w:left w:val="nil"/>
              <w:bottom w:val="single" w:sz="4" w:space="0" w:color="auto"/>
              <w:right w:val="single" w:sz="4" w:space="0" w:color="auto"/>
            </w:tcBorders>
            <w:shd w:val="clear" w:color="auto" w:fill="auto"/>
            <w:noWrap/>
            <w:vAlign w:val="bottom"/>
            <w:hideMark/>
          </w:tcPr>
          <w:p w14:paraId="6522CF2E"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96.6</w:t>
            </w:r>
          </w:p>
        </w:tc>
        <w:tc>
          <w:tcPr>
            <w:tcW w:w="663" w:type="dxa"/>
            <w:tcBorders>
              <w:top w:val="nil"/>
              <w:left w:val="nil"/>
              <w:bottom w:val="single" w:sz="4" w:space="0" w:color="auto"/>
              <w:right w:val="single" w:sz="4" w:space="0" w:color="auto"/>
            </w:tcBorders>
            <w:shd w:val="clear" w:color="auto" w:fill="auto"/>
            <w:noWrap/>
            <w:vAlign w:val="bottom"/>
            <w:hideMark/>
          </w:tcPr>
          <w:p w14:paraId="0372F78C"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93.1</w:t>
            </w:r>
          </w:p>
        </w:tc>
        <w:tc>
          <w:tcPr>
            <w:tcW w:w="816" w:type="dxa"/>
            <w:tcBorders>
              <w:top w:val="nil"/>
              <w:left w:val="nil"/>
              <w:bottom w:val="single" w:sz="4" w:space="0" w:color="auto"/>
              <w:right w:val="single" w:sz="4" w:space="0" w:color="auto"/>
            </w:tcBorders>
            <w:shd w:val="clear" w:color="auto" w:fill="auto"/>
            <w:noWrap/>
            <w:vAlign w:val="bottom"/>
            <w:hideMark/>
          </w:tcPr>
          <w:p w14:paraId="6C8F758C"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96.1</w:t>
            </w:r>
          </w:p>
        </w:tc>
        <w:tc>
          <w:tcPr>
            <w:tcW w:w="943" w:type="dxa"/>
            <w:tcBorders>
              <w:top w:val="nil"/>
              <w:left w:val="nil"/>
              <w:bottom w:val="single" w:sz="4" w:space="0" w:color="auto"/>
              <w:right w:val="single" w:sz="4" w:space="0" w:color="auto"/>
            </w:tcBorders>
            <w:shd w:val="clear" w:color="auto" w:fill="auto"/>
            <w:noWrap/>
            <w:vAlign w:val="bottom"/>
            <w:hideMark/>
          </w:tcPr>
          <w:p w14:paraId="569D64D5"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97.3</w:t>
            </w:r>
          </w:p>
        </w:tc>
      </w:tr>
      <w:tr w:rsidR="002342DC" w:rsidRPr="000C1356" w14:paraId="6C42594A" w14:textId="77777777" w:rsidTr="00974B66">
        <w:trPr>
          <w:trHeight w:val="25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2C16B33" w14:textId="77777777" w:rsidR="002342DC" w:rsidRPr="000C1356" w:rsidRDefault="002342DC" w:rsidP="00974B66">
            <w:pPr>
              <w:spacing w:after="0" w:line="240" w:lineRule="auto"/>
              <w:rPr>
                <w:rFonts w:ascii="Times New Roman" w:hAnsi="Times New Roman" w:cs="Times New Roman"/>
                <w:bCs/>
                <w:color w:val="000000"/>
                <w:sz w:val="20"/>
                <w:szCs w:val="20"/>
              </w:rPr>
            </w:pPr>
            <w:r w:rsidRPr="000C1356">
              <w:rPr>
                <w:rFonts w:ascii="Times New Roman" w:hAnsi="Times New Roman" w:cs="Times New Roman"/>
                <w:bCs/>
                <w:color w:val="000000"/>
                <w:sz w:val="20"/>
                <w:szCs w:val="20"/>
              </w:rPr>
              <w:t>Available for FT work (N)</w:t>
            </w:r>
          </w:p>
        </w:tc>
        <w:tc>
          <w:tcPr>
            <w:tcW w:w="850" w:type="dxa"/>
            <w:tcBorders>
              <w:top w:val="nil"/>
              <w:left w:val="nil"/>
              <w:bottom w:val="single" w:sz="4" w:space="0" w:color="auto"/>
              <w:right w:val="single" w:sz="4" w:space="0" w:color="auto"/>
            </w:tcBorders>
            <w:shd w:val="clear" w:color="auto" w:fill="auto"/>
            <w:noWrap/>
            <w:vAlign w:val="bottom"/>
            <w:hideMark/>
          </w:tcPr>
          <w:p w14:paraId="013A72F3"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481</w:t>
            </w:r>
          </w:p>
        </w:tc>
        <w:tc>
          <w:tcPr>
            <w:tcW w:w="709" w:type="dxa"/>
            <w:tcBorders>
              <w:top w:val="nil"/>
              <w:left w:val="nil"/>
              <w:bottom w:val="single" w:sz="4" w:space="0" w:color="auto"/>
              <w:right w:val="single" w:sz="4" w:space="0" w:color="auto"/>
            </w:tcBorders>
            <w:shd w:val="clear" w:color="auto" w:fill="auto"/>
            <w:noWrap/>
            <w:vAlign w:val="bottom"/>
            <w:hideMark/>
          </w:tcPr>
          <w:p w14:paraId="3A588BA6"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538</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71F2420F"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484</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75DD2E2F"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1503</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141C120"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116</w:t>
            </w:r>
          </w:p>
        </w:tc>
        <w:tc>
          <w:tcPr>
            <w:tcW w:w="838" w:type="dxa"/>
            <w:gridSpan w:val="2"/>
            <w:tcBorders>
              <w:top w:val="nil"/>
              <w:left w:val="nil"/>
              <w:bottom w:val="single" w:sz="4" w:space="0" w:color="auto"/>
              <w:right w:val="single" w:sz="4" w:space="0" w:color="auto"/>
            </w:tcBorders>
            <w:shd w:val="clear" w:color="auto" w:fill="auto"/>
            <w:noWrap/>
            <w:vAlign w:val="bottom"/>
            <w:hideMark/>
          </w:tcPr>
          <w:p w14:paraId="129AD2CD"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89</w:t>
            </w:r>
          </w:p>
        </w:tc>
        <w:tc>
          <w:tcPr>
            <w:tcW w:w="663" w:type="dxa"/>
            <w:tcBorders>
              <w:top w:val="nil"/>
              <w:left w:val="nil"/>
              <w:bottom w:val="single" w:sz="4" w:space="0" w:color="auto"/>
              <w:right w:val="single" w:sz="4" w:space="0" w:color="auto"/>
            </w:tcBorders>
            <w:shd w:val="clear" w:color="auto" w:fill="auto"/>
            <w:noWrap/>
            <w:vAlign w:val="bottom"/>
            <w:hideMark/>
          </w:tcPr>
          <w:p w14:paraId="5895C4B5"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102</w:t>
            </w:r>
          </w:p>
        </w:tc>
        <w:tc>
          <w:tcPr>
            <w:tcW w:w="816" w:type="dxa"/>
            <w:tcBorders>
              <w:top w:val="nil"/>
              <w:left w:val="nil"/>
              <w:bottom w:val="single" w:sz="4" w:space="0" w:color="auto"/>
              <w:right w:val="single" w:sz="4" w:space="0" w:color="auto"/>
            </w:tcBorders>
            <w:shd w:val="clear" w:color="auto" w:fill="auto"/>
            <w:noWrap/>
            <w:vAlign w:val="bottom"/>
            <w:hideMark/>
          </w:tcPr>
          <w:p w14:paraId="04A8437A"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307</w:t>
            </w:r>
          </w:p>
        </w:tc>
        <w:tc>
          <w:tcPr>
            <w:tcW w:w="943" w:type="dxa"/>
            <w:tcBorders>
              <w:top w:val="nil"/>
              <w:left w:val="nil"/>
              <w:bottom w:val="single" w:sz="4" w:space="0" w:color="auto"/>
              <w:right w:val="single" w:sz="4" w:space="0" w:color="auto"/>
            </w:tcBorders>
            <w:shd w:val="clear" w:color="auto" w:fill="auto"/>
            <w:noWrap/>
            <w:vAlign w:val="bottom"/>
            <w:hideMark/>
          </w:tcPr>
          <w:p w14:paraId="46314C21"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1810</w:t>
            </w:r>
          </w:p>
        </w:tc>
      </w:tr>
      <w:tr w:rsidR="002342DC" w:rsidRPr="000C1356" w14:paraId="666F5789" w14:textId="77777777" w:rsidTr="00974B66">
        <w:trPr>
          <w:trHeight w:val="255"/>
        </w:trPr>
        <w:tc>
          <w:tcPr>
            <w:tcW w:w="9796" w:type="dxa"/>
            <w:gridSpan w:val="14"/>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48685AC7" w14:textId="77777777" w:rsidR="002342DC" w:rsidRPr="000C1356" w:rsidRDefault="002342DC" w:rsidP="00974B66">
            <w:pPr>
              <w:spacing w:after="0" w:line="240" w:lineRule="auto"/>
              <w:jc w:val="right"/>
              <w:rPr>
                <w:rFonts w:ascii="Times New Roman" w:hAnsi="Times New Roman" w:cs="Times New Roman"/>
                <w:b/>
                <w:bCs/>
                <w:color w:val="000000"/>
                <w:sz w:val="20"/>
                <w:szCs w:val="20"/>
              </w:rPr>
            </w:pPr>
            <w:r w:rsidRPr="000C1356">
              <w:rPr>
                <w:rFonts w:ascii="Times New Roman" w:hAnsi="Times New Roman" w:cs="Times New Roman"/>
                <w:b/>
                <w:bCs/>
                <w:color w:val="000000"/>
                <w:sz w:val="20"/>
                <w:szCs w:val="20"/>
              </w:rPr>
              <w:t>Accounting</w:t>
            </w:r>
          </w:p>
        </w:tc>
      </w:tr>
      <w:tr w:rsidR="002342DC" w:rsidRPr="000C1356" w14:paraId="2F27E059" w14:textId="77777777" w:rsidTr="00974B66">
        <w:trPr>
          <w:trHeight w:val="25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587E1B67" w14:textId="77777777" w:rsidR="002342DC" w:rsidRPr="000C1356" w:rsidRDefault="002342DC" w:rsidP="00974B66">
            <w:pPr>
              <w:spacing w:after="0" w:line="240" w:lineRule="auto"/>
              <w:rPr>
                <w:rFonts w:ascii="Times New Roman" w:hAnsi="Times New Roman" w:cs="Times New Roman"/>
                <w:bCs/>
                <w:color w:val="000000"/>
                <w:sz w:val="20"/>
                <w:szCs w:val="20"/>
              </w:rPr>
            </w:pPr>
            <w:r w:rsidRPr="000C1356">
              <w:rPr>
                <w:rFonts w:ascii="Times New Roman" w:hAnsi="Times New Roman" w:cs="Times New Roman"/>
                <w:bCs/>
                <w:color w:val="000000"/>
                <w:sz w:val="20"/>
                <w:szCs w:val="20"/>
              </w:rPr>
              <w:t>Working FT (%)</w:t>
            </w:r>
          </w:p>
        </w:tc>
        <w:tc>
          <w:tcPr>
            <w:tcW w:w="850" w:type="dxa"/>
            <w:tcBorders>
              <w:top w:val="nil"/>
              <w:left w:val="nil"/>
              <w:bottom w:val="single" w:sz="4" w:space="0" w:color="auto"/>
              <w:right w:val="single" w:sz="4" w:space="0" w:color="auto"/>
            </w:tcBorders>
            <w:shd w:val="clear" w:color="auto" w:fill="auto"/>
            <w:noWrap/>
            <w:vAlign w:val="bottom"/>
            <w:hideMark/>
          </w:tcPr>
          <w:p w14:paraId="78EE2930"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86.3</w:t>
            </w:r>
          </w:p>
        </w:tc>
        <w:tc>
          <w:tcPr>
            <w:tcW w:w="709" w:type="dxa"/>
            <w:tcBorders>
              <w:top w:val="nil"/>
              <w:left w:val="nil"/>
              <w:bottom w:val="single" w:sz="4" w:space="0" w:color="auto"/>
              <w:right w:val="single" w:sz="4" w:space="0" w:color="auto"/>
            </w:tcBorders>
            <w:shd w:val="clear" w:color="auto" w:fill="auto"/>
            <w:noWrap/>
            <w:vAlign w:val="bottom"/>
            <w:hideMark/>
          </w:tcPr>
          <w:p w14:paraId="63AF106B"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80.9</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E15CDFC"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81.1</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358C12B7"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82.7</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9B6CBF9"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41.7</w:t>
            </w:r>
          </w:p>
        </w:tc>
        <w:tc>
          <w:tcPr>
            <w:tcW w:w="838" w:type="dxa"/>
            <w:gridSpan w:val="2"/>
            <w:tcBorders>
              <w:top w:val="nil"/>
              <w:left w:val="nil"/>
              <w:bottom w:val="single" w:sz="4" w:space="0" w:color="auto"/>
              <w:right w:val="single" w:sz="4" w:space="0" w:color="auto"/>
            </w:tcBorders>
            <w:shd w:val="clear" w:color="auto" w:fill="auto"/>
            <w:noWrap/>
            <w:vAlign w:val="bottom"/>
            <w:hideMark/>
          </w:tcPr>
          <w:p w14:paraId="54BBF2F6"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32.9</w:t>
            </w:r>
          </w:p>
        </w:tc>
        <w:tc>
          <w:tcPr>
            <w:tcW w:w="663" w:type="dxa"/>
            <w:tcBorders>
              <w:top w:val="nil"/>
              <w:left w:val="nil"/>
              <w:bottom w:val="single" w:sz="4" w:space="0" w:color="auto"/>
              <w:right w:val="single" w:sz="4" w:space="0" w:color="auto"/>
            </w:tcBorders>
            <w:shd w:val="clear" w:color="auto" w:fill="auto"/>
            <w:noWrap/>
            <w:vAlign w:val="bottom"/>
            <w:hideMark/>
          </w:tcPr>
          <w:p w14:paraId="4964A999"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31.6</w:t>
            </w:r>
          </w:p>
        </w:tc>
        <w:tc>
          <w:tcPr>
            <w:tcW w:w="816" w:type="dxa"/>
            <w:tcBorders>
              <w:top w:val="nil"/>
              <w:left w:val="nil"/>
              <w:bottom w:val="single" w:sz="4" w:space="0" w:color="auto"/>
              <w:right w:val="single" w:sz="4" w:space="0" w:color="auto"/>
            </w:tcBorders>
            <w:shd w:val="clear" w:color="auto" w:fill="auto"/>
            <w:noWrap/>
            <w:vAlign w:val="bottom"/>
            <w:hideMark/>
          </w:tcPr>
          <w:p w14:paraId="35CB3171"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35.2</w:t>
            </w:r>
          </w:p>
        </w:tc>
        <w:tc>
          <w:tcPr>
            <w:tcW w:w="943" w:type="dxa"/>
            <w:tcBorders>
              <w:top w:val="nil"/>
              <w:left w:val="nil"/>
              <w:bottom w:val="single" w:sz="4" w:space="0" w:color="auto"/>
              <w:right w:val="single" w:sz="4" w:space="0" w:color="auto"/>
            </w:tcBorders>
            <w:shd w:val="clear" w:color="auto" w:fill="auto"/>
            <w:noWrap/>
            <w:vAlign w:val="bottom"/>
            <w:hideMark/>
          </w:tcPr>
          <w:p w14:paraId="4F34943E"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69.6</w:t>
            </w:r>
          </w:p>
        </w:tc>
      </w:tr>
      <w:tr w:rsidR="002342DC" w:rsidRPr="000C1356" w14:paraId="1606C2D9" w14:textId="77777777" w:rsidTr="00974B66">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7D6774C" w14:textId="77777777" w:rsidR="002342DC" w:rsidRPr="000C1356" w:rsidRDefault="002342DC" w:rsidP="00974B66">
            <w:pPr>
              <w:spacing w:after="0" w:line="240" w:lineRule="auto"/>
              <w:rPr>
                <w:rFonts w:ascii="Times New Roman" w:hAnsi="Times New Roman" w:cs="Times New Roman"/>
                <w:bCs/>
                <w:color w:val="000000"/>
                <w:sz w:val="20"/>
                <w:szCs w:val="20"/>
              </w:rPr>
            </w:pPr>
            <w:r w:rsidRPr="000C1356">
              <w:rPr>
                <w:rFonts w:ascii="Times New Roman" w:hAnsi="Times New Roman" w:cs="Times New Roman"/>
                <w:bCs/>
                <w:color w:val="000000"/>
                <w:sz w:val="20"/>
                <w:szCs w:val="20"/>
              </w:rPr>
              <w:t>Available for FT work (N)</w:t>
            </w:r>
          </w:p>
        </w:tc>
        <w:tc>
          <w:tcPr>
            <w:tcW w:w="850" w:type="dxa"/>
            <w:tcBorders>
              <w:top w:val="nil"/>
              <w:left w:val="nil"/>
              <w:bottom w:val="single" w:sz="4" w:space="0" w:color="auto"/>
              <w:right w:val="single" w:sz="4" w:space="0" w:color="auto"/>
            </w:tcBorders>
            <w:shd w:val="clear" w:color="auto" w:fill="auto"/>
            <w:noWrap/>
            <w:vAlign w:val="bottom"/>
            <w:hideMark/>
          </w:tcPr>
          <w:p w14:paraId="69AB6497"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3213</w:t>
            </w:r>
          </w:p>
        </w:tc>
        <w:tc>
          <w:tcPr>
            <w:tcW w:w="709" w:type="dxa"/>
            <w:tcBorders>
              <w:top w:val="nil"/>
              <w:left w:val="nil"/>
              <w:bottom w:val="single" w:sz="4" w:space="0" w:color="auto"/>
              <w:right w:val="single" w:sz="4" w:space="0" w:color="auto"/>
            </w:tcBorders>
            <w:shd w:val="clear" w:color="auto" w:fill="auto"/>
            <w:noWrap/>
            <w:vAlign w:val="bottom"/>
            <w:hideMark/>
          </w:tcPr>
          <w:p w14:paraId="6F3EE7B8"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3233</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5B4C6924"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3373</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1D6A681E"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9819</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628F8CE"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1193</w:t>
            </w:r>
          </w:p>
        </w:tc>
        <w:tc>
          <w:tcPr>
            <w:tcW w:w="838" w:type="dxa"/>
            <w:gridSpan w:val="2"/>
            <w:tcBorders>
              <w:top w:val="nil"/>
              <w:left w:val="nil"/>
              <w:bottom w:val="single" w:sz="4" w:space="0" w:color="auto"/>
              <w:right w:val="single" w:sz="4" w:space="0" w:color="auto"/>
            </w:tcBorders>
            <w:shd w:val="clear" w:color="auto" w:fill="auto"/>
            <w:noWrap/>
            <w:vAlign w:val="bottom"/>
            <w:hideMark/>
          </w:tcPr>
          <w:p w14:paraId="3CDDA943"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1211</w:t>
            </w:r>
          </w:p>
        </w:tc>
        <w:tc>
          <w:tcPr>
            <w:tcW w:w="663" w:type="dxa"/>
            <w:tcBorders>
              <w:top w:val="nil"/>
              <w:left w:val="nil"/>
              <w:bottom w:val="single" w:sz="4" w:space="0" w:color="auto"/>
              <w:right w:val="single" w:sz="4" w:space="0" w:color="auto"/>
            </w:tcBorders>
            <w:shd w:val="clear" w:color="auto" w:fill="auto"/>
            <w:noWrap/>
            <w:vAlign w:val="bottom"/>
            <w:hideMark/>
          </w:tcPr>
          <w:p w14:paraId="1EB3528C"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1340</w:t>
            </w:r>
          </w:p>
        </w:tc>
        <w:tc>
          <w:tcPr>
            <w:tcW w:w="816" w:type="dxa"/>
            <w:tcBorders>
              <w:top w:val="nil"/>
              <w:left w:val="nil"/>
              <w:bottom w:val="single" w:sz="4" w:space="0" w:color="auto"/>
              <w:right w:val="single" w:sz="4" w:space="0" w:color="auto"/>
            </w:tcBorders>
            <w:shd w:val="clear" w:color="auto" w:fill="auto"/>
            <w:noWrap/>
            <w:vAlign w:val="bottom"/>
            <w:hideMark/>
          </w:tcPr>
          <w:p w14:paraId="60728B37"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3744</w:t>
            </w:r>
          </w:p>
        </w:tc>
        <w:tc>
          <w:tcPr>
            <w:tcW w:w="943" w:type="dxa"/>
            <w:tcBorders>
              <w:top w:val="nil"/>
              <w:left w:val="nil"/>
              <w:bottom w:val="single" w:sz="4" w:space="0" w:color="auto"/>
              <w:right w:val="single" w:sz="4" w:space="0" w:color="auto"/>
            </w:tcBorders>
            <w:shd w:val="clear" w:color="auto" w:fill="auto"/>
            <w:noWrap/>
            <w:vAlign w:val="bottom"/>
            <w:hideMark/>
          </w:tcPr>
          <w:p w14:paraId="2553AC53"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13563</w:t>
            </w:r>
          </w:p>
        </w:tc>
      </w:tr>
      <w:tr w:rsidR="002342DC" w:rsidRPr="000C1356" w14:paraId="384727E5" w14:textId="77777777" w:rsidTr="00974B66">
        <w:trPr>
          <w:trHeight w:val="300"/>
        </w:trPr>
        <w:tc>
          <w:tcPr>
            <w:tcW w:w="9796" w:type="dxa"/>
            <w:gridSpan w:val="14"/>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1C6DB861" w14:textId="77777777" w:rsidR="002342DC" w:rsidRPr="000C1356" w:rsidRDefault="002342DC" w:rsidP="00974B66">
            <w:pPr>
              <w:spacing w:after="0" w:line="240" w:lineRule="auto"/>
              <w:jc w:val="right"/>
              <w:rPr>
                <w:rFonts w:ascii="Times New Roman" w:hAnsi="Times New Roman" w:cs="Times New Roman"/>
                <w:b/>
                <w:bCs/>
                <w:color w:val="000000"/>
                <w:sz w:val="20"/>
                <w:szCs w:val="20"/>
              </w:rPr>
            </w:pPr>
            <w:r w:rsidRPr="000C1356">
              <w:rPr>
                <w:rFonts w:ascii="Times New Roman" w:hAnsi="Times New Roman" w:cs="Times New Roman"/>
                <w:b/>
                <w:bCs/>
                <w:color w:val="000000"/>
                <w:sz w:val="20"/>
                <w:szCs w:val="20"/>
              </w:rPr>
              <w:t>Business / Commerce</w:t>
            </w:r>
          </w:p>
        </w:tc>
      </w:tr>
      <w:tr w:rsidR="002342DC" w:rsidRPr="000C1356" w14:paraId="20E3082D" w14:textId="77777777" w:rsidTr="00974B66">
        <w:trPr>
          <w:trHeight w:val="25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CD2610C" w14:textId="77777777" w:rsidR="002342DC" w:rsidRPr="000C1356" w:rsidRDefault="002342DC" w:rsidP="00974B66">
            <w:pPr>
              <w:spacing w:after="0" w:line="240" w:lineRule="auto"/>
              <w:rPr>
                <w:rFonts w:ascii="Times New Roman" w:hAnsi="Times New Roman" w:cs="Times New Roman"/>
                <w:bCs/>
                <w:color w:val="000000"/>
                <w:sz w:val="20"/>
                <w:szCs w:val="20"/>
              </w:rPr>
            </w:pPr>
            <w:r w:rsidRPr="000C1356">
              <w:rPr>
                <w:rFonts w:ascii="Times New Roman" w:hAnsi="Times New Roman" w:cs="Times New Roman"/>
                <w:bCs/>
                <w:color w:val="000000"/>
                <w:sz w:val="20"/>
                <w:szCs w:val="20"/>
              </w:rPr>
              <w:t>Working FT (%)</w:t>
            </w:r>
          </w:p>
        </w:tc>
        <w:tc>
          <w:tcPr>
            <w:tcW w:w="850" w:type="dxa"/>
            <w:tcBorders>
              <w:top w:val="nil"/>
              <w:left w:val="nil"/>
              <w:bottom w:val="single" w:sz="4" w:space="0" w:color="auto"/>
              <w:right w:val="single" w:sz="4" w:space="0" w:color="auto"/>
            </w:tcBorders>
            <w:shd w:val="clear" w:color="auto" w:fill="auto"/>
            <w:noWrap/>
            <w:vAlign w:val="bottom"/>
            <w:hideMark/>
          </w:tcPr>
          <w:p w14:paraId="4DE1CF91"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77.2</w:t>
            </w:r>
          </w:p>
        </w:tc>
        <w:tc>
          <w:tcPr>
            <w:tcW w:w="709" w:type="dxa"/>
            <w:tcBorders>
              <w:top w:val="nil"/>
              <w:left w:val="nil"/>
              <w:bottom w:val="single" w:sz="4" w:space="0" w:color="auto"/>
              <w:right w:val="single" w:sz="4" w:space="0" w:color="auto"/>
            </w:tcBorders>
            <w:shd w:val="clear" w:color="auto" w:fill="auto"/>
            <w:noWrap/>
            <w:vAlign w:val="bottom"/>
            <w:hideMark/>
          </w:tcPr>
          <w:p w14:paraId="6AE4CF15"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75.6</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66E93790"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76.4</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1C056E8D"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76.4</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76EC588"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39.4</w:t>
            </w:r>
          </w:p>
        </w:tc>
        <w:tc>
          <w:tcPr>
            <w:tcW w:w="838" w:type="dxa"/>
            <w:gridSpan w:val="2"/>
            <w:tcBorders>
              <w:top w:val="nil"/>
              <w:left w:val="nil"/>
              <w:bottom w:val="single" w:sz="4" w:space="0" w:color="auto"/>
              <w:right w:val="single" w:sz="4" w:space="0" w:color="auto"/>
            </w:tcBorders>
            <w:shd w:val="clear" w:color="auto" w:fill="auto"/>
            <w:noWrap/>
            <w:vAlign w:val="bottom"/>
            <w:hideMark/>
          </w:tcPr>
          <w:p w14:paraId="0F9CAFA0"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39.4</w:t>
            </w:r>
          </w:p>
        </w:tc>
        <w:tc>
          <w:tcPr>
            <w:tcW w:w="663" w:type="dxa"/>
            <w:tcBorders>
              <w:top w:val="nil"/>
              <w:left w:val="nil"/>
              <w:bottom w:val="single" w:sz="4" w:space="0" w:color="auto"/>
              <w:right w:val="single" w:sz="4" w:space="0" w:color="auto"/>
            </w:tcBorders>
            <w:shd w:val="clear" w:color="auto" w:fill="auto"/>
            <w:noWrap/>
            <w:vAlign w:val="bottom"/>
            <w:hideMark/>
          </w:tcPr>
          <w:p w14:paraId="090A4FF7"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40.3</w:t>
            </w:r>
          </w:p>
        </w:tc>
        <w:tc>
          <w:tcPr>
            <w:tcW w:w="816" w:type="dxa"/>
            <w:tcBorders>
              <w:top w:val="nil"/>
              <w:left w:val="nil"/>
              <w:bottom w:val="single" w:sz="4" w:space="0" w:color="auto"/>
              <w:right w:val="single" w:sz="4" w:space="0" w:color="auto"/>
            </w:tcBorders>
            <w:shd w:val="clear" w:color="auto" w:fill="auto"/>
            <w:noWrap/>
            <w:vAlign w:val="bottom"/>
            <w:hideMark/>
          </w:tcPr>
          <w:p w14:paraId="6BAA6B1A"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39.7</w:t>
            </w:r>
          </w:p>
        </w:tc>
        <w:tc>
          <w:tcPr>
            <w:tcW w:w="943" w:type="dxa"/>
            <w:tcBorders>
              <w:top w:val="nil"/>
              <w:left w:val="nil"/>
              <w:bottom w:val="single" w:sz="4" w:space="0" w:color="auto"/>
              <w:right w:val="single" w:sz="4" w:space="0" w:color="auto"/>
            </w:tcBorders>
            <w:shd w:val="clear" w:color="auto" w:fill="auto"/>
            <w:noWrap/>
            <w:vAlign w:val="bottom"/>
            <w:hideMark/>
          </w:tcPr>
          <w:p w14:paraId="03DBC361"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72.9</w:t>
            </w:r>
          </w:p>
        </w:tc>
      </w:tr>
      <w:tr w:rsidR="002342DC" w:rsidRPr="000C1356" w14:paraId="2B7C66F1" w14:textId="77777777" w:rsidTr="00974B66">
        <w:trPr>
          <w:trHeight w:val="25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0BD7912" w14:textId="77777777" w:rsidR="002342DC" w:rsidRPr="000C1356" w:rsidRDefault="002342DC" w:rsidP="00974B66">
            <w:pPr>
              <w:spacing w:after="0" w:line="240" w:lineRule="auto"/>
              <w:rPr>
                <w:rFonts w:ascii="Times New Roman" w:hAnsi="Times New Roman" w:cs="Times New Roman"/>
                <w:bCs/>
                <w:color w:val="000000"/>
                <w:sz w:val="20"/>
                <w:szCs w:val="20"/>
              </w:rPr>
            </w:pPr>
            <w:r w:rsidRPr="000C1356">
              <w:rPr>
                <w:rFonts w:ascii="Times New Roman" w:hAnsi="Times New Roman" w:cs="Times New Roman"/>
                <w:bCs/>
                <w:color w:val="000000"/>
                <w:sz w:val="20"/>
                <w:szCs w:val="20"/>
              </w:rPr>
              <w:t>Available for FT work (N)</w:t>
            </w:r>
          </w:p>
        </w:tc>
        <w:tc>
          <w:tcPr>
            <w:tcW w:w="850" w:type="dxa"/>
            <w:tcBorders>
              <w:top w:val="nil"/>
              <w:left w:val="nil"/>
              <w:bottom w:val="single" w:sz="4" w:space="0" w:color="auto"/>
              <w:right w:val="single" w:sz="4" w:space="0" w:color="auto"/>
            </w:tcBorders>
            <w:shd w:val="clear" w:color="auto" w:fill="auto"/>
            <w:noWrap/>
            <w:vAlign w:val="bottom"/>
            <w:hideMark/>
          </w:tcPr>
          <w:p w14:paraId="3FDA6F65"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6282</w:t>
            </w:r>
          </w:p>
        </w:tc>
        <w:tc>
          <w:tcPr>
            <w:tcW w:w="709" w:type="dxa"/>
            <w:tcBorders>
              <w:top w:val="nil"/>
              <w:left w:val="nil"/>
              <w:bottom w:val="single" w:sz="4" w:space="0" w:color="auto"/>
              <w:right w:val="single" w:sz="4" w:space="0" w:color="auto"/>
            </w:tcBorders>
            <w:shd w:val="clear" w:color="auto" w:fill="auto"/>
            <w:noWrap/>
            <w:vAlign w:val="bottom"/>
            <w:hideMark/>
          </w:tcPr>
          <w:p w14:paraId="39F056F3"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6665</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54447946"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7035</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61ED59D4"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19982</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99C0D54"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672</w:t>
            </w:r>
          </w:p>
        </w:tc>
        <w:tc>
          <w:tcPr>
            <w:tcW w:w="838" w:type="dxa"/>
            <w:gridSpan w:val="2"/>
            <w:tcBorders>
              <w:top w:val="nil"/>
              <w:left w:val="nil"/>
              <w:bottom w:val="single" w:sz="4" w:space="0" w:color="auto"/>
              <w:right w:val="single" w:sz="4" w:space="0" w:color="auto"/>
            </w:tcBorders>
            <w:shd w:val="clear" w:color="auto" w:fill="auto"/>
            <w:noWrap/>
            <w:vAlign w:val="bottom"/>
            <w:hideMark/>
          </w:tcPr>
          <w:p w14:paraId="22B83E43"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649</w:t>
            </w:r>
          </w:p>
        </w:tc>
        <w:tc>
          <w:tcPr>
            <w:tcW w:w="663" w:type="dxa"/>
            <w:tcBorders>
              <w:top w:val="nil"/>
              <w:left w:val="nil"/>
              <w:bottom w:val="single" w:sz="4" w:space="0" w:color="auto"/>
              <w:right w:val="single" w:sz="4" w:space="0" w:color="auto"/>
            </w:tcBorders>
            <w:shd w:val="clear" w:color="auto" w:fill="auto"/>
            <w:noWrap/>
            <w:vAlign w:val="bottom"/>
            <w:hideMark/>
          </w:tcPr>
          <w:p w14:paraId="113955A7"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780</w:t>
            </w:r>
          </w:p>
        </w:tc>
        <w:tc>
          <w:tcPr>
            <w:tcW w:w="816" w:type="dxa"/>
            <w:tcBorders>
              <w:top w:val="nil"/>
              <w:left w:val="nil"/>
              <w:bottom w:val="single" w:sz="4" w:space="0" w:color="auto"/>
              <w:right w:val="single" w:sz="4" w:space="0" w:color="auto"/>
            </w:tcBorders>
            <w:shd w:val="clear" w:color="auto" w:fill="auto"/>
            <w:noWrap/>
            <w:vAlign w:val="bottom"/>
            <w:hideMark/>
          </w:tcPr>
          <w:p w14:paraId="5F979BD1"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2101</w:t>
            </w:r>
          </w:p>
        </w:tc>
        <w:tc>
          <w:tcPr>
            <w:tcW w:w="943" w:type="dxa"/>
            <w:tcBorders>
              <w:top w:val="nil"/>
              <w:left w:val="nil"/>
              <w:bottom w:val="single" w:sz="4" w:space="0" w:color="auto"/>
              <w:right w:val="single" w:sz="4" w:space="0" w:color="auto"/>
            </w:tcBorders>
            <w:shd w:val="clear" w:color="auto" w:fill="auto"/>
            <w:noWrap/>
            <w:vAlign w:val="bottom"/>
            <w:hideMark/>
          </w:tcPr>
          <w:p w14:paraId="56418AF3"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22083</w:t>
            </w:r>
          </w:p>
        </w:tc>
      </w:tr>
      <w:tr w:rsidR="002342DC" w:rsidRPr="000C1356" w14:paraId="554D6D3A" w14:textId="77777777" w:rsidTr="00974B66">
        <w:trPr>
          <w:trHeight w:val="255"/>
        </w:trPr>
        <w:tc>
          <w:tcPr>
            <w:tcW w:w="9796" w:type="dxa"/>
            <w:gridSpan w:val="14"/>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5E85FD25" w14:textId="77777777" w:rsidR="002342DC" w:rsidRPr="000C1356" w:rsidRDefault="002342DC" w:rsidP="00974B66">
            <w:pPr>
              <w:spacing w:after="0" w:line="240" w:lineRule="auto"/>
              <w:jc w:val="right"/>
              <w:rPr>
                <w:rFonts w:ascii="Times New Roman" w:hAnsi="Times New Roman" w:cs="Times New Roman"/>
                <w:b/>
                <w:bCs/>
                <w:color w:val="000000"/>
                <w:sz w:val="20"/>
                <w:szCs w:val="20"/>
              </w:rPr>
            </w:pPr>
            <w:r w:rsidRPr="000C1356">
              <w:rPr>
                <w:rFonts w:ascii="Times New Roman" w:hAnsi="Times New Roman" w:cs="Times New Roman"/>
                <w:b/>
                <w:bCs/>
                <w:color w:val="000000"/>
                <w:sz w:val="20"/>
                <w:szCs w:val="20"/>
              </w:rPr>
              <w:t>Information Technology</w:t>
            </w:r>
          </w:p>
        </w:tc>
      </w:tr>
      <w:tr w:rsidR="002342DC" w:rsidRPr="000C1356" w14:paraId="1CA825E2" w14:textId="77777777" w:rsidTr="00974B66">
        <w:trPr>
          <w:trHeight w:val="25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6641C6B" w14:textId="77777777" w:rsidR="002342DC" w:rsidRPr="000C1356" w:rsidRDefault="002342DC" w:rsidP="00974B66">
            <w:pPr>
              <w:spacing w:after="0" w:line="240" w:lineRule="auto"/>
              <w:rPr>
                <w:rFonts w:ascii="Times New Roman" w:hAnsi="Times New Roman" w:cs="Times New Roman"/>
                <w:bCs/>
                <w:color w:val="000000"/>
                <w:sz w:val="20"/>
                <w:szCs w:val="20"/>
              </w:rPr>
            </w:pPr>
            <w:r w:rsidRPr="000C1356">
              <w:rPr>
                <w:rFonts w:ascii="Times New Roman" w:hAnsi="Times New Roman" w:cs="Times New Roman"/>
                <w:bCs/>
                <w:color w:val="000000"/>
                <w:sz w:val="20"/>
                <w:szCs w:val="20"/>
              </w:rPr>
              <w:t>Working FT (%)</w:t>
            </w:r>
          </w:p>
        </w:tc>
        <w:tc>
          <w:tcPr>
            <w:tcW w:w="850" w:type="dxa"/>
            <w:tcBorders>
              <w:top w:val="nil"/>
              <w:left w:val="nil"/>
              <w:bottom w:val="single" w:sz="4" w:space="0" w:color="auto"/>
              <w:right w:val="single" w:sz="4" w:space="0" w:color="auto"/>
            </w:tcBorders>
            <w:shd w:val="clear" w:color="auto" w:fill="auto"/>
            <w:noWrap/>
            <w:vAlign w:val="bottom"/>
            <w:hideMark/>
          </w:tcPr>
          <w:p w14:paraId="19A30040"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79.9</w:t>
            </w:r>
          </w:p>
        </w:tc>
        <w:tc>
          <w:tcPr>
            <w:tcW w:w="709" w:type="dxa"/>
            <w:tcBorders>
              <w:top w:val="nil"/>
              <w:left w:val="nil"/>
              <w:bottom w:val="single" w:sz="4" w:space="0" w:color="auto"/>
              <w:right w:val="single" w:sz="4" w:space="0" w:color="auto"/>
            </w:tcBorders>
            <w:shd w:val="clear" w:color="auto" w:fill="auto"/>
            <w:noWrap/>
            <w:vAlign w:val="bottom"/>
            <w:hideMark/>
          </w:tcPr>
          <w:p w14:paraId="1D4D66C0"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74.8</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D6BA2E0"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79.1</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65543E05"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78.0</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BDC2D11"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43.3</w:t>
            </w:r>
          </w:p>
        </w:tc>
        <w:tc>
          <w:tcPr>
            <w:tcW w:w="838" w:type="dxa"/>
            <w:gridSpan w:val="2"/>
            <w:tcBorders>
              <w:top w:val="nil"/>
              <w:left w:val="nil"/>
              <w:bottom w:val="single" w:sz="4" w:space="0" w:color="auto"/>
              <w:right w:val="single" w:sz="4" w:space="0" w:color="auto"/>
            </w:tcBorders>
            <w:shd w:val="clear" w:color="auto" w:fill="auto"/>
            <w:noWrap/>
            <w:vAlign w:val="bottom"/>
            <w:hideMark/>
          </w:tcPr>
          <w:p w14:paraId="78B9CA8D"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43.5</w:t>
            </w:r>
          </w:p>
        </w:tc>
        <w:tc>
          <w:tcPr>
            <w:tcW w:w="663" w:type="dxa"/>
            <w:tcBorders>
              <w:top w:val="nil"/>
              <w:left w:val="nil"/>
              <w:bottom w:val="single" w:sz="4" w:space="0" w:color="auto"/>
              <w:right w:val="single" w:sz="4" w:space="0" w:color="auto"/>
            </w:tcBorders>
            <w:shd w:val="clear" w:color="auto" w:fill="auto"/>
            <w:noWrap/>
            <w:vAlign w:val="bottom"/>
            <w:hideMark/>
          </w:tcPr>
          <w:p w14:paraId="0A9C7A4A"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40.1</w:t>
            </w:r>
          </w:p>
        </w:tc>
        <w:tc>
          <w:tcPr>
            <w:tcW w:w="816" w:type="dxa"/>
            <w:tcBorders>
              <w:top w:val="nil"/>
              <w:left w:val="nil"/>
              <w:bottom w:val="single" w:sz="4" w:space="0" w:color="auto"/>
              <w:right w:val="single" w:sz="4" w:space="0" w:color="auto"/>
            </w:tcBorders>
            <w:shd w:val="clear" w:color="auto" w:fill="auto"/>
            <w:noWrap/>
            <w:vAlign w:val="bottom"/>
            <w:hideMark/>
          </w:tcPr>
          <w:p w14:paraId="300C0E20"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42.3</w:t>
            </w:r>
          </w:p>
        </w:tc>
        <w:tc>
          <w:tcPr>
            <w:tcW w:w="943" w:type="dxa"/>
            <w:tcBorders>
              <w:top w:val="nil"/>
              <w:left w:val="nil"/>
              <w:bottom w:val="single" w:sz="4" w:space="0" w:color="auto"/>
              <w:right w:val="single" w:sz="4" w:space="0" w:color="auto"/>
            </w:tcBorders>
            <w:shd w:val="clear" w:color="auto" w:fill="auto"/>
            <w:noWrap/>
            <w:vAlign w:val="bottom"/>
            <w:hideMark/>
          </w:tcPr>
          <w:p w14:paraId="59869FAA"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71.2</w:t>
            </w:r>
          </w:p>
        </w:tc>
      </w:tr>
      <w:tr w:rsidR="002342DC" w:rsidRPr="000C1356" w14:paraId="615894FC" w14:textId="77777777" w:rsidTr="00974B66">
        <w:trPr>
          <w:trHeight w:val="25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9C222DE" w14:textId="77777777" w:rsidR="002342DC" w:rsidRPr="000C1356" w:rsidRDefault="002342DC" w:rsidP="00974B66">
            <w:pPr>
              <w:spacing w:after="0" w:line="240" w:lineRule="auto"/>
              <w:rPr>
                <w:rFonts w:ascii="Times New Roman" w:hAnsi="Times New Roman" w:cs="Times New Roman"/>
                <w:bCs/>
                <w:color w:val="000000"/>
                <w:sz w:val="20"/>
                <w:szCs w:val="20"/>
              </w:rPr>
            </w:pPr>
            <w:r w:rsidRPr="000C1356">
              <w:rPr>
                <w:rFonts w:ascii="Times New Roman" w:hAnsi="Times New Roman" w:cs="Times New Roman"/>
                <w:bCs/>
                <w:color w:val="000000"/>
                <w:sz w:val="20"/>
                <w:szCs w:val="20"/>
              </w:rPr>
              <w:t>Available for FT work (N)</w:t>
            </w:r>
          </w:p>
        </w:tc>
        <w:tc>
          <w:tcPr>
            <w:tcW w:w="850" w:type="dxa"/>
            <w:tcBorders>
              <w:top w:val="nil"/>
              <w:left w:val="nil"/>
              <w:bottom w:val="single" w:sz="4" w:space="0" w:color="auto"/>
              <w:right w:val="single" w:sz="4" w:space="0" w:color="auto"/>
            </w:tcBorders>
            <w:shd w:val="clear" w:color="auto" w:fill="auto"/>
            <w:noWrap/>
            <w:vAlign w:val="bottom"/>
            <w:hideMark/>
          </w:tcPr>
          <w:p w14:paraId="27C0A1B3"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1704</w:t>
            </w:r>
          </w:p>
        </w:tc>
        <w:tc>
          <w:tcPr>
            <w:tcW w:w="709" w:type="dxa"/>
            <w:tcBorders>
              <w:top w:val="nil"/>
              <w:left w:val="nil"/>
              <w:bottom w:val="single" w:sz="4" w:space="0" w:color="auto"/>
              <w:right w:val="single" w:sz="4" w:space="0" w:color="auto"/>
            </w:tcBorders>
            <w:shd w:val="clear" w:color="auto" w:fill="auto"/>
            <w:noWrap/>
            <w:vAlign w:val="bottom"/>
            <w:hideMark/>
          </w:tcPr>
          <w:p w14:paraId="24081E08"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1566</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6674CFC0"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1592</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2A52F775"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4862</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BEBFCE6"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397</w:t>
            </w:r>
          </w:p>
        </w:tc>
        <w:tc>
          <w:tcPr>
            <w:tcW w:w="838" w:type="dxa"/>
            <w:gridSpan w:val="2"/>
            <w:tcBorders>
              <w:top w:val="nil"/>
              <w:left w:val="nil"/>
              <w:bottom w:val="single" w:sz="4" w:space="0" w:color="auto"/>
              <w:right w:val="single" w:sz="4" w:space="0" w:color="auto"/>
            </w:tcBorders>
            <w:shd w:val="clear" w:color="auto" w:fill="auto"/>
            <w:noWrap/>
            <w:vAlign w:val="bottom"/>
            <w:hideMark/>
          </w:tcPr>
          <w:p w14:paraId="3751E2A4"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347</w:t>
            </w:r>
          </w:p>
        </w:tc>
        <w:tc>
          <w:tcPr>
            <w:tcW w:w="663" w:type="dxa"/>
            <w:tcBorders>
              <w:top w:val="nil"/>
              <w:left w:val="nil"/>
              <w:bottom w:val="single" w:sz="4" w:space="0" w:color="auto"/>
              <w:right w:val="single" w:sz="4" w:space="0" w:color="auto"/>
            </w:tcBorders>
            <w:shd w:val="clear" w:color="auto" w:fill="auto"/>
            <w:noWrap/>
            <w:vAlign w:val="bottom"/>
            <w:hideMark/>
          </w:tcPr>
          <w:p w14:paraId="5B70744F"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394</w:t>
            </w:r>
          </w:p>
        </w:tc>
        <w:tc>
          <w:tcPr>
            <w:tcW w:w="816" w:type="dxa"/>
            <w:tcBorders>
              <w:top w:val="nil"/>
              <w:left w:val="nil"/>
              <w:bottom w:val="single" w:sz="4" w:space="0" w:color="auto"/>
              <w:right w:val="single" w:sz="4" w:space="0" w:color="auto"/>
            </w:tcBorders>
            <w:shd w:val="clear" w:color="auto" w:fill="auto"/>
            <w:noWrap/>
            <w:vAlign w:val="bottom"/>
            <w:hideMark/>
          </w:tcPr>
          <w:p w14:paraId="042AE686"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1138</w:t>
            </w:r>
          </w:p>
        </w:tc>
        <w:tc>
          <w:tcPr>
            <w:tcW w:w="943" w:type="dxa"/>
            <w:tcBorders>
              <w:top w:val="nil"/>
              <w:left w:val="nil"/>
              <w:bottom w:val="single" w:sz="4" w:space="0" w:color="auto"/>
              <w:right w:val="single" w:sz="4" w:space="0" w:color="auto"/>
            </w:tcBorders>
            <w:shd w:val="clear" w:color="auto" w:fill="auto"/>
            <w:noWrap/>
            <w:vAlign w:val="bottom"/>
            <w:hideMark/>
          </w:tcPr>
          <w:p w14:paraId="7CDA64C3"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6000</w:t>
            </w:r>
          </w:p>
        </w:tc>
      </w:tr>
      <w:tr w:rsidR="002342DC" w:rsidRPr="000C1356" w14:paraId="3FDC21CB" w14:textId="77777777" w:rsidTr="00974B66">
        <w:trPr>
          <w:trHeight w:val="255"/>
        </w:trPr>
        <w:tc>
          <w:tcPr>
            <w:tcW w:w="9796" w:type="dxa"/>
            <w:gridSpan w:val="14"/>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1E586309" w14:textId="77777777" w:rsidR="002342DC" w:rsidRPr="000C1356" w:rsidRDefault="002342DC" w:rsidP="00974B66">
            <w:pPr>
              <w:spacing w:after="0" w:line="240" w:lineRule="auto"/>
              <w:jc w:val="right"/>
              <w:rPr>
                <w:rFonts w:ascii="Times New Roman" w:hAnsi="Times New Roman" w:cs="Times New Roman"/>
                <w:b/>
                <w:bCs/>
                <w:color w:val="000000"/>
                <w:sz w:val="20"/>
                <w:szCs w:val="20"/>
              </w:rPr>
            </w:pPr>
            <w:r w:rsidRPr="000C1356">
              <w:rPr>
                <w:rFonts w:ascii="Times New Roman" w:hAnsi="Times New Roman" w:cs="Times New Roman"/>
                <w:b/>
                <w:bCs/>
                <w:color w:val="000000"/>
                <w:sz w:val="20"/>
                <w:szCs w:val="20"/>
              </w:rPr>
              <w:t>Engineering</w:t>
            </w:r>
          </w:p>
        </w:tc>
      </w:tr>
      <w:tr w:rsidR="002342DC" w:rsidRPr="000C1356" w14:paraId="6EB5696D" w14:textId="77777777" w:rsidTr="00974B66">
        <w:trPr>
          <w:trHeight w:val="25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B093432" w14:textId="77777777" w:rsidR="002342DC" w:rsidRPr="000C1356" w:rsidRDefault="002342DC" w:rsidP="00974B66">
            <w:pPr>
              <w:spacing w:after="0" w:line="240" w:lineRule="auto"/>
              <w:rPr>
                <w:rFonts w:ascii="Times New Roman" w:hAnsi="Times New Roman" w:cs="Times New Roman"/>
                <w:bCs/>
                <w:color w:val="000000"/>
                <w:sz w:val="20"/>
                <w:szCs w:val="20"/>
              </w:rPr>
            </w:pPr>
            <w:r w:rsidRPr="000C1356">
              <w:rPr>
                <w:rFonts w:ascii="Times New Roman" w:hAnsi="Times New Roman" w:cs="Times New Roman"/>
                <w:bCs/>
                <w:color w:val="000000"/>
                <w:sz w:val="20"/>
                <w:szCs w:val="20"/>
              </w:rPr>
              <w:t>Working FT (%)</w:t>
            </w:r>
          </w:p>
        </w:tc>
        <w:tc>
          <w:tcPr>
            <w:tcW w:w="850" w:type="dxa"/>
            <w:tcBorders>
              <w:top w:val="nil"/>
              <w:left w:val="nil"/>
              <w:bottom w:val="single" w:sz="4" w:space="0" w:color="auto"/>
              <w:right w:val="single" w:sz="4" w:space="0" w:color="auto"/>
            </w:tcBorders>
            <w:shd w:val="clear" w:color="auto" w:fill="auto"/>
            <w:noWrap/>
            <w:vAlign w:val="bottom"/>
            <w:hideMark/>
          </w:tcPr>
          <w:p w14:paraId="2B245EFF"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88.3</w:t>
            </w:r>
          </w:p>
        </w:tc>
        <w:tc>
          <w:tcPr>
            <w:tcW w:w="709" w:type="dxa"/>
            <w:tcBorders>
              <w:top w:val="nil"/>
              <w:left w:val="nil"/>
              <w:bottom w:val="single" w:sz="4" w:space="0" w:color="auto"/>
              <w:right w:val="single" w:sz="4" w:space="0" w:color="auto"/>
            </w:tcBorders>
            <w:shd w:val="clear" w:color="auto" w:fill="auto"/>
            <w:noWrap/>
            <w:vAlign w:val="bottom"/>
            <w:hideMark/>
          </w:tcPr>
          <w:p w14:paraId="2D5D27A4"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84</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69C69199"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86.7</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1CC7E51"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86.4</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D1693D6"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51.1</w:t>
            </w:r>
          </w:p>
        </w:tc>
        <w:tc>
          <w:tcPr>
            <w:tcW w:w="838" w:type="dxa"/>
            <w:gridSpan w:val="2"/>
            <w:tcBorders>
              <w:top w:val="nil"/>
              <w:left w:val="nil"/>
              <w:bottom w:val="single" w:sz="4" w:space="0" w:color="auto"/>
              <w:right w:val="single" w:sz="4" w:space="0" w:color="auto"/>
            </w:tcBorders>
            <w:shd w:val="clear" w:color="auto" w:fill="auto"/>
            <w:noWrap/>
            <w:vAlign w:val="bottom"/>
            <w:hideMark/>
          </w:tcPr>
          <w:p w14:paraId="06324B3F"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39.5</w:t>
            </w:r>
          </w:p>
        </w:tc>
        <w:tc>
          <w:tcPr>
            <w:tcW w:w="663" w:type="dxa"/>
            <w:tcBorders>
              <w:top w:val="nil"/>
              <w:left w:val="nil"/>
              <w:bottom w:val="single" w:sz="4" w:space="0" w:color="auto"/>
              <w:right w:val="single" w:sz="4" w:space="0" w:color="auto"/>
            </w:tcBorders>
            <w:shd w:val="clear" w:color="auto" w:fill="auto"/>
            <w:noWrap/>
            <w:vAlign w:val="bottom"/>
            <w:hideMark/>
          </w:tcPr>
          <w:p w14:paraId="527D537A"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40.5</w:t>
            </w:r>
          </w:p>
        </w:tc>
        <w:tc>
          <w:tcPr>
            <w:tcW w:w="816" w:type="dxa"/>
            <w:tcBorders>
              <w:top w:val="nil"/>
              <w:left w:val="nil"/>
              <w:bottom w:val="single" w:sz="4" w:space="0" w:color="auto"/>
              <w:right w:val="single" w:sz="4" w:space="0" w:color="auto"/>
            </w:tcBorders>
            <w:shd w:val="clear" w:color="auto" w:fill="auto"/>
            <w:noWrap/>
            <w:vAlign w:val="bottom"/>
            <w:hideMark/>
          </w:tcPr>
          <w:p w14:paraId="2CF853E0"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43.6</w:t>
            </w:r>
          </w:p>
        </w:tc>
        <w:tc>
          <w:tcPr>
            <w:tcW w:w="943" w:type="dxa"/>
            <w:tcBorders>
              <w:top w:val="nil"/>
              <w:left w:val="nil"/>
              <w:bottom w:val="single" w:sz="4" w:space="0" w:color="auto"/>
              <w:right w:val="single" w:sz="4" w:space="0" w:color="auto"/>
            </w:tcBorders>
            <w:shd w:val="clear" w:color="auto" w:fill="auto"/>
            <w:noWrap/>
            <w:vAlign w:val="bottom"/>
            <w:hideMark/>
          </w:tcPr>
          <w:p w14:paraId="4DB68912"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80.8</w:t>
            </w:r>
          </w:p>
        </w:tc>
      </w:tr>
      <w:tr w:rsidR="002342DC" w:rsidRPr="000C1356" w14:paraId="0AA72C1C" w14:textId="77777777" w:rsidTr="00974B66">
        <w:trPr>
          <w:trHeight w:val="25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09A7E66" w14:textId="77777777" w:rsidR="002342DC" w:rsidRPr="000C1356" w:rsidRDefault="002342DC" w:rsidP="00974B66">
            <w:pPr>
              <w:spacing w:after="0" w:line="240" w:lineRule="auto"/>
              <w:rPr>
                <w:rFonts w:ascii="Times New Roman" w:hAnsi="Times New Roman" w:cs="Times New Roman"/>
                <w:bCs/>
                <w:color w:val="000000"/>
                <w:sz w:val="20"/>
                <w:szCs w:val="20"/>
              </w:rPr>
            </w:pPr>
            <w:r w:rsidRPr="000C1356">
              <w:rPr>
                <w:rFonts w:ascii="Times New Roman" w:hAnsi="Times New Roman" w:cs="Times New Roman"/>
                <w:bCs/>
                <w:color w:val="000000"/>
                <w:sz w:val="20"/>
                <w:szCs w:val="20"/>
              </w:rPr>
              <w:t>Available for FT work (N)</w:t>
            </w:r>
          </w:p>
        </w:tc>
        <w:tc>
          <w:tcPr>
            <w:tcW w:w="850" w:type="dxa"/>
            <w:tcBorders>
              <w:top w:val="nil"/>
              <w:left w:val="nil"/>
              <w:bottom w:val="single" w:sz="4" w:space="0" w:color="auto"/>
              <w:right w:val="single" w:sz="4" w:space="0" w:color="auto"/>
            </w:tcBorders>
            <w:shd w:val="clear" w:color="auto" w:fill="auto"/>
            <w:noWrap/>
            <w:vAlign w:val="bottom"/>
            <w:hideMark/>
          </w:tcPr>
          <w:p w14:paraId="01EFD604"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2708</w:t>
            </w:r>
          </w:p>
        </w:tc>
        <w:tc>
          <w:tcPr>
            <w:tcW w:w="709" w:type="dxa"/>
            <w:tcBorders>
              <w:top w:val="nil"/>
              <w:left w:val="nil"/>
              <w:bottom w:val="single" w:sz="4" w:space="0" w:color="auto"/>
              <w:right w:val="single" w:sz="4" w:space="0" w:color="auto"/>
            </w:tcBorders>
            <w:shd w:val="clear" w:color="auto" w:fill="auto"/>
            <w:noWrap/>
            <w:vAlign w:val="bottom"/>
            <w:hideMark/>
          </w:tcPr>
          <w:p w14:paraId="68F20B74"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2455</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8AE3D3B"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2652</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3F6FD3FB"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7815</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0240BF7"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372</w:t>
            </w:r>
          </w:p>
        </w:tc>
        <w:tc>
          <w:tcPr>
            <w:tcW w:w="838" w:type="dxa"/>
            <w:gridSpan w:val="2"/>
            <w:tcBorders>
              <w:top w:val="nil"/>
              <w:left w:val="nil"/>
              <w:bottom w:val="single" w:sz="4" w:space="0" w:color="auto"/>
              <w:right w:val="single" w:sz="4" w:space="0" w:color="auto"/>
            </w:tcBorders>
            <w:shd w:val="clear" w:color="auto" w:fill="auto"/>
            <w:noWrap/>
            <w:vAlign w:val="bottom"/>
            <w:hideMark/>
          </w:tcPr>
          <w:p w14:paraId="41EBDD05"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334</w:t>
            </w:r>
          </w:p>
        </w:tc>
        <w:tc>
          <w:tcPr>
            <w:tcW w:w="663" w:type="dxa"/>
            <w:tcBorders>
              <w:top w:val="nil"/>
              <w:left w:val="nil"/>
              <w:bottom w:val="single" w:sz="4" w:space="0" w:color="auto"/>
              <w:right w:val="single" w:sz="4" w:space="0" w:color="auto"/>
            </w:tcBorders>
            <w:shd w:val="clear" w:color="auto" w:fill="auto"/>
            <w:noWrap/>
            <w:vAlign w:val="bottom"/>
            <w:hideMark/>
          </w:tcPr>
          <w:p w14:paraId="108ADDF0"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467</w:t>
            </w:r>
          </w:p>
        </w:tc>
        <w:tc>
          <w:tcPr>
            <w:tcW w:w="816" w:type="dxa"/>
            <w:tcBorders>
              <w:top w:val="nil"/>
              <w:left w:val="nil"/>
              <w:bottom w:val="single" w:sz="4" w:space="0" w:color="auto"/>
              <w:right w:val="single" w:sz="4" w:space="0" w:color="auto"/>
            </w:tcBorders>
            <w:shd w:val="clear" w:color="auto" w:fill="auto"/>
            <w:noWrap/>
            <w:vAlign w:val="bottom"/>
            <w:hideMark/>
          </w:tcPr>
          <w:p w14:paraId="3A7100DA"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1173</w:t>
            </w:r>
          </w:p>
        </w:tc>
        <w:tc>
          <w:tcPr>
            <w:tcW w:w="943" w:type="dxa"/>
            <w:tcBorders>
              <w:top w:val="nil"/>
              <w:left w:val="nil"/>
              <w:bottom w:val="single" w:sz="4" w:space="0" w:color="auto"/>
              <w:right w:val="single" w:sz="4" w:space="0" w:color="auto"/>
            </w:tcBorders>
            <w:shd w:val="clear" w:color="auto" w:fill="auto"/>
            <w:noWrap/>
            <w:vAlign w:val="bottom"/>
            <w:hideMark/>
          </w:tcPr>
          <w:p w14:paraId="1C3A7BAC"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8988</w:t>
            </w:r>
          </w:p>
        </w:tc>
      </w:tr>
      <w:tr w:rsidR="002342DC" w:rsidRPr="000C1356" w14:paraId="1168B36F" w14:textId="77777777" w:rsidTr="00974B66">
        <w:trPr>
          <w:trHeight w:val="255"/>
        </w:trPr>
        <w:tc>
          <w:tcPr>
            <w:tcW w:w="9796" w:type="dxa"/>
            <w:gridSpan w:val="14"/>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4A53F19B" w14:textId="77777777" w:rsidR="002342DC" w:rsidRPr="000C1356" w:rsidRDefault="002342DC" w:rsidP="00974B66">
            <w:pPr>
              <w:spacing w:after="0" w:line="240" w:lineRule="auto"/>
              <w:jc w:val="right"/>
              <w:rPr>
                <w:rFonts w:ascii="Times New Roman" w:hAnsi="Times New Roman" w:cs="Times New Roman"/>
                <w:b/>
                <w:bCs/>
                <w:color w:val="000000"/>
                <w:sz w:val="20"/>
                <w:szCs w:val="20"/>
              </w:rPr>
            </w:pPr>
            <w:r w:rsidRPr="000C1356">
              <w:rPr>
                <w:rFonts w:ascii="Times New Roman" w:hAnsi="Times New Roman" w:cs="Times New Roman"/>
                <w:b/>
                <w:bCs/>
                <w:color w:val="000000"/>
                <w:sz w:val="20"/>
                <w:szCs w:val="20"/>
              </w:rPr>
              <w:t>All Disciplines</w:t>
            </w:r>
          </w:p>
        </w:tc>
      </w:tr>
      <w:tr w:rsidR="002342DC" w:rsidRPr="000C1356" w14:paraId="0974F70F" w14:textId="77777777" w:rsidTr="00974B66">
        <w:trPr>
          <w:trHeight w:val="25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8B860EB" w14:textId="77777777" w:rsidR="002342DC" w:rsidRPr="000C1356" w:rsidRDefault="002342DC" w:rsidP="00974B66">
            <w:pPr>
              <w:spacing w:after="0" w:line="240" w:lineRule="auto"/>
              <w:rPr>
                <w:rFonts w:ascii="Times New Roman" w:hAnsi="Times New Roman" w:cs="Times New Roman"/>
                <w:bCs/>
                <w:color w:val="000000"/>
                <w:sz w:val="20"/>
                <w:szCs w:val="20"/>
              </w:rPr>
            </w:pPr>
            <w:r w:rsidRPr="000C1356">
              <w:rPr>
                <w:rFonts w:ascii="Times New Roman" w:hAnsi="Times New Roman" w:cs="Times New Roman"/>
                <w:bCs/>
                <w:color w:val="000000"/>
                <w:sz w:val="20"/>
                <w:szCs w:val="20"/>
              </w:rPr>
              <w:t>Working FT (%)</w:t>
            </w:r>
          </w:p>
        </w:tc>
        <w:tc>
          <w:tcPr>
            <w:tcW w:w="850" w:type="dxa"/>
            <w:tcBorders>
              <w:top w:val="nil"/>
              <w:left w:val="nil"/>
              <w:bottom w:val="single" w:sz="4" w:space="0" w:color="auto"/>
              <w:right w:val="single" w:sz="4" w:space="0" w:color="auto"/>
            </w:tcBorders>
            <w:shd w:val="clear" w:color="auto" w:fill="auto"/>
            <w:noWrap/>
            <w:vAlign w:val="bottom"/>
            <w:hideMark/>
          </w:tcPr>
          <w:p w14:paraId="546B0F08"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79.3</w:t>
            </w:r>
          </w:p>
        </w:tc>
        <w:tc>
          <w:tcPr>
            <w:tcW w:w="971" w:type="dxa"/>
            <w:gridSpan w:val="2"/>
            <w:tcBorders>
              <w:top w:val="nil"/>
              <w:left w:val="nil"/>
              <w:bottom w:val="single" w:sz="4" w:space="0" w:color="auto"/>
              <w:right w:val="single" w:sz="4" w:space="0" w:color="auto"/>
            </w:tcBorders>
            <w:shd w:val="clear" w:color="auto" w:fill="auto"/>
            <w:noWrap/>
            <w:vAlign w:val="bottom"/>
            <w:hideMark/>
          </w:tcPr>
          <w:p w14:paraId="2A2C82E5"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76.6</w:t>
            </w:r>
          </w:p>
        </w:tc>
        <w:tc>
          <w:tcPr>
            <w:tcW w:w="774" w:type="dxa"/>
            <w:gridSpan w:val="2"/>
            <w:tcBorders>
              <w:top w:val="nil"/>
              <w:left w:val="nil"/>
              <w:bottom w:val="single" w:sz="4" w:space="0" w:color="auto"/>
              <w:right w:val="single" w:sz="4" w:space="0" w:color="auto"/>
            </w:tcBorders>
            <w:shd w:val="clear" w:color="auto" w:fill="auto"/>
            <w:noWrap/>
            <w:vAlign w:val="bottom"/>
            <w:hideMark/>
          </w:tcPr>
          <w:p w14:paraId="08A64EA1"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76.8</w:t>
            </w:r>
          </w:p>
        </w:tc>
        <w:tc>
          <w:tcPr>
            <w:tcW w:w="886" w:type="dxa"/>
            <w:gridSpan w:val="2"/>
            <w:tcBorders>
              <w:top w:val="nil"/>
              <w:left w:val="nil"/>
              <w:bottom w:val="single" w:sz="4" w:space="0" w:color="auto"/>
              <w:right w:val="single" w:sz="4" w:space="0" w:color="auto"/>
            </w:tcBorders>
            <w:shd w:val="clear" w:color="auto" w:fill="auto"/>
            <w:noWrap/>
            <w:vAlign w:val="bottom"/>
            <w:hideMark/>
          </w:tcPr>
          <w:p w14:paraId="6F233C3E"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77.5</w:t>
            </w:r>
          </w:p>
        </w:tc>
        <w:tc>
          <w:tcPr>
            <w:tcW w:w="663" w:type="dxa"/>
            <w:gridSpan w:val="2"/>
            <w:tcBorders>
              <w:top w:val="nil"/>
              <w:left w:val="nil"/>
              <w:bottom w:val="single" w:sz="4" w:space="0" w:color="auto"/>
              <w:right w:val="single" w:sz="4" w:space="0" w:color="auto"/>
            </w:tcBorders>
            <w:shd w:val="clear" w:color="auto" w:fill="auto"/>
            <w:noWrap/>
            <w:vAlign w:val="bottom"/>
            <w:hideMark/>
          </w:tcPr>
          <w:p w14:paraId="35CB1AD9"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50.9</w:t>
            </w:r>
          </w:p>
        </w:tc>
        <w:tc>
          <w:tcPr>
            <w:tcW w:w="663" w:type="dxa"/>
            <w:tcBorders>
              <w:top w:val="nil"/>
              <w:left w:val="nil"/>
              <w:bottom w:val="single" w:sz="4" w:space="0" w:color="auto"/>
              <w:right w:val="single" w:sz="4" w:space="0" w:color="auto"/>
            </w:tcBorders>
            <w:shd w:val="clear" w:color="auto" w:fill="auto"/>
            <w:noWrap/>
            <w:vAlign w:val="bottom"/>
            <w:hideMark/>
          </w:tcPr>
          <w:p w14:paraId="4BD1C821"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46.4</w:t>
            </w:r>
          </w:p>
        </w:tc>
        <w:tc>
          <w:tcPr>
            <w:tcW w:w="663" w:type="dxa"/>
            <w:tcBorders>
              <w:top w:val="nil"/>
              <w:left w:val="nil"/>
              <w:bottom w:val="single" w:sz="4" w:space="0" w:color="auto"/>
              <w:right w:val="single" w:sz="4" w:space="0" w:color="auto"/>
            </w:tcBorders>
            <w:shd w:val="clear" w:color="auto" w:fill="auto"/>
            <w:noWrap/>
            <w:vAlign w:val="bottom"/>
            <w:hideMark/>
          </w:tcPr>
          <w:p w14:paraId="49F776E6"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43.2</w:t>
            </w:r>
          </w:p>
        </w:tc>
        <w:tc>
          <w:tcPr>
            <w:tcW w:w="816" w:type="dxa"/>
            <w:tcBorders>
              <w:top w:val="nil"/>
              <w:left w:val="nil"/>
              <w:bottom w:val="single" w:sz="4" w:space="0" w:color="auto"/>
              <w:right w:val="single" w:sz="4" w:space="0" w:color="auto"/>
            </w:tcBorders>
            <w:shd w:val="clear" w:color="auto" w:fill="auto"/>
            <w:noWrap/>
            <w:vAlign w:val="bottom"/>
            <w:hideMark/>
          </w:tcPr>
          <w:p w14:paraId="35993863"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46.7</w:t>
            </w:r>
          </w:p>
        </w:tc>
        <w:tc>
          <w:tcPr>
            <w:tcW w:w="943" w:type="dxa"/>
            <w:tcBorders>
              <w:top w:val="nil"/>
              <w:left w:val="nil"/>
              <w:bottom w:val="single" w:sz="4" w:space="0" w:color="auto"/>
              <w:right w:val="single" w:sz="4" w:space="0" w:color="auto"/>
            </w:tcBorders>
            <w:shd w:val="clear" w:color="auto" w:fill="auto"/>
            <w:noWrap/>
            <w:vAlign w:val="bottom"/>
            <w:hideMark/>
          </w:tcPr>
          <w:p w14:paraId="5214F7D8"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46.7</w:t>
            </w:r>
          </w:p>
        </w:tc>
      </w:tr>
      <w:tr w:rsidR="002342DC" w:rsidRPr="000C1356" w14:paraId="06704CA3" w14:textId="77777777" w:rsidTr="00974B66">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736A8E7" w14:textId="77777777" w:rsidR="002342DC" w:rsidRPr="000C1356" w:rsidRDefault="002342DC" w:rsidP="00974B66">
            <w:pPr>
              <w:spacing w:after="0" w:line="240" w:lineRule="auto"/>
              <w:rPr>
                <w:rFonts w:ascii="Times New Roman" w:hAnsi="Times New Roman" w:cs="Times New Roman"/>
                <w:bCs/>
                <w:color w:val="000000"/>
                <w:sz w:val="20"/>
                <w:szCs w:val="20"/>
              </w:rPr>
            </w:pPr>
            <w:r w:rsidRPr="000C1356">
              <w:rPr>
                <w:rFonts w:ascii="Times New Roman" w:hAnsi="Times New Roman" w:cs="Times New Roman"/>
                <w:bCs/>
                <w:color w:val="000000"/>
                <w:sz w:val="20"/>
                <w:szCs w:val="20"/>
              </w:rPr>
              <w:t>Available for FT work (N)</w:t>
            </w:r>
          </w:p>
        </w:tc>
        <w:tc>
          <w:tcPr>
            <w:tcW w:w="850" w:type="dxa"/>
            <w:tcBorders>
              <w:top w:val="nil"/>
              <w:left w:val="nil"/>
              <w:bottom w:val="single" w:sz="4" w:space="0" w:color="auto"/>
              <w:right w:val="single" w:sz="4" w:space="0" w:color="auto"/>
            </w:tcBorders>
            <w:shd w:val="clear" w:color="auto" w:fill="auto"/>
            <w:noWrap/>
            <w:vAlign w:val="bottom"/>
            <w:hideMark/>
          </w:tcPr>
          <w:p w14:paraId="36FA976F"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39174</w:t>
            </w:r>
          </w:p>
        </w:tc>
        <w:tc>
          <w:tcPr>
            <w:tcW w:w="971" w:type="dxa"/>
            <w:gridSpan w:val="2"/>
            <w:tcBorders>
              <w:top w:val="nil"/>
              <w:left w:val="nil"/>
              <w:bottom w:val="single" w:sz="4" w:space="0" w:color="auto"/>
              <w:right w:val="single" w:sz="4" w:space="0" w:color="auto"/>
            </w:tcBorders>
            <w:shd w:val="clear" w:color="auto" w:fill="auto"/>
            <w:noWrap/>
            <w:vAlign w:val="bottom"/>
            <w:hideMark/>
          </w:tcPr>
          <w:p w14:paraId="46905E48"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39448</w:t>
            </w:r>
          </w:p>
        </w:tc>
        <w:tc>
          <w:tcPr>
            <w:tcW w:w="774" w:type="dxa"/>
            <w:gridSpan w:val="2"/>
            <w:tcBorders>
              <w:top w:val="nil"/>
              <w:left w:val="nil"/>
              <w:bottom w:val="single" w:sz="4" w:space="0" w:color="auto"/>
              <w:right w:val="single" w:sz="4" w:space="0" w:color="auto"/>
            </w:tcBorders>
            <w:shd w:val="clear" w:color="auto" w:fill="auto"/>
            <w:noWrap/>
            <w:vAlign w:val="bottom"/>
            <w:hideMark/>
          </w:tcPr>
          <w:p w14:paraId="2B7DCBA5"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41506</w:t>
            </w:r>
          </w:p>
        </w:tc>
        <w:tc>
          <w:tcPr>
            <w:tcW w:w="886" w:type="dxa"/>
            <w:gridSpan w:val="2"/>
            <w:tcBorders>
              <w:top w:val="nil"/>
              <w:left w:val="nil"/>
              <w:bottom w:val="single" w:sz="4" w:space="0" w:color="auto"/>
              <w:right w:val="single" w:sz="4" w:space="0" w:color="auto"/>
            </w:tcBorders>
            <w:shd w:val="clear" w:color="auto" w:fill="auto"/>
            <w:noWrap/>
            <w:vAlign w:val="bottom"/>
            <w:hideMark/>
          </w:tcPr>
          <w:p w14:paraId="13FA4A77"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120128</w:t>
            </w:r>
          </w:p>
        </w:tc>
        <w:tc>
          <w:tcPr>
            <w:tcW w:w="663" w:type="dxa"/>
            <w:gridSpan w:val="2"/>
            <w:tcBorders>
              <w:top w:val="nil"/>
              <w:left w:val="nil"/>
              <w:bottom w:val="single" w:sz="4" w:space="0" w:color="auto"/>
              <w:right w:val="single" w:sz="4" w:space="0" w:color="auto"/>
            </w:tcBorders>
            <w:shd w:val="clear" w:color="auto" w:fill="auto"/>
            <w:noWrap/>
            <w:vAlign w:val="bottom"/>
            <w:hideMark/>
          </w:tcPr>
          <w:p w14:paraId="040782B0"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4194</w:t>
            </w:r>
          </w:p>
        </w:tc>
        <w:tc>
          <w:tcPr>
            <w:tcW w:w="663" w:type="dxa"/>
            <w:tcBorders>
              <w:top w:val="nil"/>
              <w:left w:val="nil"/>
              <w:bottom w:val="single" w:sz="4" w:space="0" w:color="auto"/>
              <w:right w:val="single" w:sz="4" w:space="0" w:color="auto"/>
            </w:tcBorders>
            <w:shd w:val="clear" w:color="auto" w:fill="auto"/>
            <w:noWrap/>
            <w:vAlign w:val="bottom"/>
            <w:hideMark/>
          </w:tcPr>
          <w:p w14:paraId="2F2D4A0B"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4268</w:t>
            </w:r>
          </w:p>
        </w:tc>
        <w:tc>
          <w:tcPr>
            <w:tcW w:w="663" w:type="dxa"/>
            <w:tcBorders>
              <w:top w:val="nil"/>
              <w:left w:val="nil"/>
              <w:bottom w:val="single" w:sz="4" w:space="0" w:color="auto"/>
              <w:right w:val="single" w:sz="4" w:space="0" w:color="auto"/>
            </w:tcBorders>
            <w:shd w:val="clear" w:color="auto" w:fill="auto"/>
            <w:noWrap/>
            <w:vAlign w:val="bottom"/>
            <w:hideMark/>
          </w:tcPr>
          <w:p w14:paraId="777E52FF"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4675</w:t>
            </w:r>
          </w:p>
        </w:tc>
        <w:tc>
          <w:tcPr>
            <w:tcW w:w="816" w:type="dxa"/>
            <w:tcBorders>
              <w:top w:val="nil"/>
              <w:left w:val="nil"/>
              <w:bottom w:val="single" w:sz="4" w:space="0" w:color="auto"/>
              <w:right w:val="single" w:sz="4" w:space="0" w:color="auto"/>
            </w:tcBorders>
            <w:shd w:val="clear" w:color="auto" w:fill="auto"/>
            <w:noWrap/>
            <w:vAlign w:val="bottom"/>
            <w:hideMark/>
          </w:tcPr>
          <w:p w14:paraId="4442FA05"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13137</w:t>
            </w:r>
          </w:p>
        </w:tc>
        <w:tc>
          <w:tcPr>
            <w:tcW w:w="943" w:type="dxa"/>
            <w:tcBorders>
              <w:top w:val="nil"/>
              <w:left w:val="nil"/>
              <w:bottom w:val="single" w:sz="4" w:space="0" w:color="auto"/>
              <w:right w:val="single" w:sz="4" w:space="0" w:color="auto"/>
            </w:tcBorders>
            <w:shd w:val="clear" w:color="auto" w:fill="auto"/>
            <w:noWrap/>
            <w:vAlign w:val="bottom"/>
            <w:hideMark/>
          </w:tcPr>
          <w:p w14:paraId="587E758B" w14:textId="77777777" w:rsidR="002342DC" w:rsidRPr="000C1356" w:rsidRDefault="002342DC" w:rsidP="00974B66">
            <w:pPr>
              <w:spacing w:after="0" w:line="240" w:lineRule="auto"/>
              <w:jc w:val="right"/>
              <w:rPr>
                <w:rFonts w:ascii="Times New Roman" w:hAnsi="Times New Roman" w:cs="Times New Roman"/>
                <w:color w:val="000000"/>
                <w:sz w:val="20"/>
                <w:szCs w:val="20"/>
              </w:rPr>
            </w:pPr>
            <w:r w:rsidRPr="000C1356">
              <w:rPr>
                <w:rFonts w:ascii="Times New Roman" w:hAnsi="Times New Roman" w:cs="Times New Roman"/>
                <w:color w:val="000000"/>
                <w:sz w:val="20"/>
                <w:szCs w:val="20"/>
              </w:rPr>
              <w:t>13137</w:t>
            </w:r>
          </w:p>
        </w:tc>
      </w:tr>
    </w:tbl>
    <w:p w14:paraId="1D38B55A" w14:textId="77777777" w:rsidR="002342DC" w:rsidRPr="00DC7376" w:rsidRDefault="002342DC" w:rsidP="002342DC">
      <w:pPr>
        <w:spacing w:before="120" w:after="0" w:line="240" w:lineRule="auto"/>
        <w:jc w:val="both"/>
        <w:rPr>
          <w:rFonts w:ascii="Times New Roman" w:hAnsi="Times New Roman" w:cs="Times New Roman"/>
          <w:b/>
          <w:sz w:val="20"/>
          <w:szCs w:val="20"/>
        </w:rPr>
      </w:pPr>
      <w:r w:rsidRPr="00DC7376">
        <w:rPr>
          <w:rFonts w:ascii="Times New Roman" w:hAnsi="Times New Roman" w:cs="Times New Roman"/>
          <w:i/>
          <w:sz w:val="20"/>
          <w:szCs w:val="20"/>
        </w:rPr>
        <w:t>Source:</w:t>
      </w:r>
      <w:r w:rsidRPr="00DC7376">
        <w:rPr>
          <w:rFonts w:ascii="Times New Roman" w:hAnsi="Times New Roman" w:cs="Times New Roman"/>
          <w:b/>
          <w:sz w:val="20"/>
          <w:szCs w:val="20"/>
        </w:rPr>
        <w:t xml:space="preserve"> </w:t>
      </w:r>
      <w:r w:rsidRPr="00295E74">
        <w:rPr>
          <w:rFonts w:ascii="Times New Roman" w:hAnsi="Times New Roman" w:cs="Times New Roman"/>
          <w:sz w:val="20"/>
          <w:szCs w:val="20"/>
        </w:rPr>
        <w:t>Analysis of Australia’s Graduate Destination Survey responses 2009-11, L</w:t>
      </w:r>
      <w:r>
        <w:rPr>
          <w:rFonts w:ascii="Times New Roman" w:hAnsi="Times New Roman" w:cs="Times New Roman"/>
          <w:b/>
          <w:sz w:val="20"/>
          <w:szCs w:val="20"/>
        </w:rPr>
        <w:t xml:space="preserve"> </w:t>
      </w:r>
      <w:r w:rsidRPr="00DC7376">
        <w:rPr>
          <w:rFonts w:ascii="Times New Roman" w:hAnsi="Times New Roman" w:cs="Times New Roman"/>
          <w:sz w:val="20"/>
          <w:szCs w:val="20"/>
        </w:rPr>
        <w:t xml:space="preserve">Hawthorne, &amp; </w:t>
      </w:r>
      <w:r>
        <w:rPr>
          <w:rFonts w:ascii="Times New Roman" w:hAnsi="Times New Roman" w:cs="Times New Roman"/>
          <w:sz w:val="20"/>
          <w:szCs w:val="20"/>
        </w:rPr>
        <w:t xml:space="preserve">A </w:t>
      </w:r>
      <w:r w:rsidRPr="00DC7376">
        <w:rPr>
          <w:rFonts w:ascii="Times New Roman" w:hAnsi="Times New Roman" w:cs="Times New Roman"/>
          <w:sz w:val="20"/>
          <w:szCs w:val="20"/>
        </w:rPr>
        <w:t xml:space="preserve">To, A (2014), ‘Employer Response to the Study-Migration Pathway: The Australian Evidence 2007-2011’, </w:t>
      </w:r>
      <w:r w:rsidRPr="00DC7376">
        <w:rPr>
          <w:rFonts w:ascii="Times New Roman" w:hAnsi="Times New Roman" w:cs="Times New Roman"/>
          <w:i/>
          <w:sz w:val="20"/>
          <w:szCs w:val="20"/>
        </w:rPr>
        <w:t>Highly Skilled Migration: Policies, Processes and Politics</w:t>
      </w:r>
      <w:r w:rsidRPr="00DC7376">
        <w:rPr>
          <w:rFonts w:ascii="Times New Roman" w:hAnsi="Times New Roman" w:cs="Times New Roman"/>
          <w:sz w:val="20"/>
          <w:szCs w:val="20"/>
        </w:rPr>
        <w:t xml:space="preserve">, Special Issue, </w:t>
      </w:r>
      <w:r w:rsidRPr="00DC7376">
        <w:rPr>
          <w:rFonts w:ascii="Times New Roman" w:hAnsi="Times New Roman" w:cs="Times New Roman"/>
          <w:i/>
          <w:sz w:val="20"/>
          <w:szCs w:val="20"/>
        </w:rPr>
        <w:t>International Migration</w:t>
      </w:r>
      <w:r w:rsidRPr="00DC7376">
        <w:rPr>
          <w:rFonts w:ascii="Times New Roman" w:hAnsi="Times New Roman" w:cs="Times New Roman"/>
          <w:sz w:val="20"/>
          <w:szCs w:val="20"/>
        </w:rPr>
        <w:t>, 52(3).</w:t>
      </w:r>
    </w:p>
    <w:p w14:paraId="2391F0A6" w14:textId="77777777" w:rsidR="00DD7133" w:rsidRDefault="00DD7133" w:rsidP="0007196E">
      <w:pPr>
        <w:spacing w:after="0" w:line="240" w:lineRule="auto"/>
        <w:jc w:val="both"/>
        <w:rPr>
          <w:rFonts w:ascii="Times New Roman" w:hAnsi="Times New Roman"/>
        </w:rPr>
      </w:pPr>
    </w:p>
    <w:p w14:paraId="30C9D790" w14:textId="77777777" w:rsidR="00DA675C" w:rsidRPr="00741B18" w:rsidRDefault="00DA675C" w:rsidP="00DA675C">
      <w:pPr>
        <w:spacing w:after="0" w:line="240" w:lineRule="auto"/>
        <w:jc w:val="both"/>
        <w:rPr>
          <w:rFonts w:ascii="Times New Roman" w:hAnsi="Times New Roman" w:cs="Times New Roman"/>
          <w:b/>
        </w:rPr>
      </w:pPr>
      <w:r>
        <w:rPr>
          <w:rFonts w:ascii="Times New Roman" w:hAnsi="Times New Roman" w:cs="Times New Roman"/>
          <w:b/>
        </w:rPr>
        <w:t>Submission #4</w:t>
      </w:r>
      <w:r w:rsidRPr="00741B18">
        <w:rPr>
          <w:rFonts w:ascii="Times New Roman" w:hAnsi="Times New Roman" w:cs="Times New Roman"/>
          <w:b/>
        </w:rPr>
        <w:t>:</w:t>
      </w:r>
    </w:p>
    <w:p w14:paraId="4A5F7F30" w14:textId="77777777" w:rsidR="00DA675C" w:rsidRPr="00741B18" w:rsidRDefault="00DA675C" w:rsidP="00DA675C">
      <w:pPr>
        <w:spacing w:after="0" w:line="240" w:lineRule="auto"/>
        <w:jc w:val="both"/>
        <w:rPr>
          <w:rFonts w:ascii="Times New Roman" w:hAnsi="Times New Roman" w:cs="Times New Roman"/>
        </w:rPr>
      </w:pPr>
    </w:p>
    <w:p w14:paraId="4C9F200A" w14:textId="77777777" w:rsidR="00DA675C" w:rsidRDefault="00F71582" w:rsidP="00DA675C">
      <w:pPr>
        <w:spacing w:after="120" w:line="240" w:lineRule="auto"/>
        <w:jc w:val="both"/>
        <w:rPr>
          <w:rFonts w:ascii="Times New Roman" w:hAnsi="Times New Roman"/>
        </w:rPr>
      </w:pPr>
      <w:r>
        <w:rPr>
          <w:rFonts w:ascii="Times New Roman" w:hAnsi="Times New Roman"/>
        </w:rPr>
        <w:t xml:space="preserve">Averaging </w:t>
      </w:r>
      <w:r w:rsidRPr="00741B18">
        <w:rPr>
          <w:rFonts w:ascii="Times New Roman" w:hAnsi="Times New Roman"/>
        </w:rPr>
        <w:t xml:space="preserve">24 years </w:t>
      </w:r>
      <w:r>
        <w:rPr>
          <w:rFonts w:ascii="Times New Roman" w:hAnsi="Times New Roman"/>
        </w:rPr>
        <w:t xml:space="preserve">of age </w:t>
      </w:r>
      <w:r w:rsidRPr="00741B18">
        <w:rPr>
          <w:rFonts w:ascii="Times New Roman" w:hAnsi="Times New Roman"/>
        </w:rPr>
        <w:t>on graduation</w:t>
      </w:r>
      <w:r>
        <w:rPr>
          <w:rFonts w:ascii="Times New Roman" w:hAnsi="Times New Roman"/>
        </w:rPr>
        <w:t>,</w:t>
      </w:r>
      <w:r w:rsidRPr="00741B18">
        <w:rPr>
          <w:rFonts w:ascii="Times New Roman" w:hAnsi="Times New Roman"/>
        </w:rPr>
        <w:t xml:space="preserve"> </w:t>
      </w:r>
      <w:r>
        <w:rPr>
          <w:rFonts w:ascii="Times New Roman" w:hAnsi="Times New Roman"/>
        </w:rPr>
        <w:t>i</w:t>
      </w:r>
      <w:r w:rsidR="00DA675C" w:rsidRPr="00741B18">
        <w:rPr>
          <w:rFonts w:ascii="Times New Roman" w:hAnsi="Times New Roman"/>
        </w:rPr>
        <w:t xml:space="preserve">nternational students </w:t>
      </w:r>
      <w:r w:rsidR="00DA675C">
        <w:rPr>
          <w:rFonts w:ascii="Times New Roman" w:hAnsi="Times New Roman"/>
        </w:rPr>
        <w:t xml:space="preserve">can </w:t>
      </w:r>
      <w:r w:rsidR="00DA675C" w:rsidRPr="00741B18">
        <w:rPr>
          <w:rFonts w:ascii="Times New Roman" w:hAnsi="Times New Roman"/>
        </w:rPr>
        <w:t>offer governments and employers</w:t>
      </w:r>
      <w:r>
        <w:rPr>
          <w:rFonts w:ascii="Times New Roman" w:hAnsi="Times New Roman"/>
        </w:rPr>
        <w:t xml:space="preserve"> decades of productivity if retained</w:t>
      </w:r>
      <w:r w:rsidR="00DA675C" w:rsidRPr="00741B18">
        <w:rPr>
          <w:rFonts w:ascii="Times New Roman" w:hAnsi="Times New Roman"/>
        </w:rPr>
        <w:t xml:space="preserve">. In theory </w:t>
      </w:r>
      <w:r>
        <w:rPr>
          <w:rFonts w:ascii="Times New Roman" w:hAnsi="Times New Roman"/>
        </w:rPr>
        <w:t>most can</w:t>
      </w:r>
      <w:r w:rsidR="00DA675C" w:rsidRPr="00741B18">
        <w:rPr>
          <w:rFonts w:ascii="Times New Roman" w:hAnsi="Times New Roman"/>
        </w:rPr>
        <w:t xml:space="preserve"> sidestep skills discounting (an endemic challenge to the effective transfer of human capital</w:t>
      </w:r>
      <w:r w:rsidR="00DA675C">
        <w:rPr>
          <w:rFonts w:ascii="Times New Roman" w:hAnsi="Times New Roman"/>
        </w:rPr>
        <w:t xml:space="preserve"> in OECD countries</w:t>
      </w:r>
      <w:r w:rsidR="00DA675C" w:rsidRPr="00741B18">
        <w:rPr>
          <w:rFonts w:ascii="Times New Roman" w:hAnsi="Times New Roman"/>
        </w:rPr>
        <w:t xml:space="preserve">). In terms </w:t>
      </w:r>
      <w:r>
        <w:rPr>
          <w:rFonts w:ascii="Times New Roman" w:hAnsi="Times New Roman"/>
        </w:rPr>
        <w:t>of ethics, their recruitment can</w:t>
      </w:r>
      <w:r w:rsidR="00DA675C" w:rsidRPr="00741B18">
        <w:rPr>
          <w:rFonts w:ascii="Times New Roman" w:hAnsi="Times New Roman"/>
        </w:rPr>
        <w:t xml:space="preserve"> b</w:t>
      </w:r>
      <w:r w:rsidR="00DA675C">
        <w:rPr>
          <w:rFonts w:ascii="Times New Roman" w:hAnsi="Times New Roman"/>
        </w:rPr>
        <w:t>e less problematic than the</w:t>
      </w:r>
      <w:r w:rsidR="00DA675C" w:rsidRPr="00741B18">
        <w:rPr>
          <w:rFonts w:ascii="Times New Roman" w:hAnsi="Times New Roman"/>
        </w:rPr>
        <w:t xml:space="preserve"> norm - selection of mature-age migrants trained by </w:t>
      </w:r>
      <w:r w:rsidR="00DA675C" w:rsidRPr="00741B18">
        <w:rPr>
          <w:rFonts w:ascii="Times New Roman" w:hAnsi="Times New Roman"/>
        </w:rPr>
        <w:lastRenderedPageBreak/>
        <w:t xml:space="preserve">countries of origin. Many are immediately attractive to Australian employers, as evidenced by </w:t>
      </w:r>
      <w:r>
        <w:rPr>
          <w:rFonts w:ascii="Times New Roman" w:hAnsi="Times New Roman"/>
        </w:rPr>
        <w:t xml:space="preserve">permanent GSM </w:t>
      </w:r>
      <w:r w:rsidR="00DA675C">
        <w:rPr>
          <w:rFonts w:ascii="Times New Roman" w:hAnsi="Times New Roman"/>
        </w:rPr>
        <w:t xml:space="preserve">and </w:t>
      </w:r>
      <w:r>
        <w:rPr>
          <w:rFonts w:ascii="Times New Roman" w:hAnsi="Times New Roman"/>
        </w:rPr>
        <w:t xml:space="preserve">temporary </w:t>
      </w:r>
      <w:r w:rsidR="00DA675C">
        <w:rPr>
          <w:rFonts w:ascii="Times New Roman" w:hAnsi="Times New Roman"/>
        </w:rPr>
        <w:t>457 v</w:t>
      </w:r>
      <w:r w:rsidR="00DA675C" w:rsidRPr="00741B18">
        <w:rPr>
          <w:rFonts w:ascii="Times New Roman" w:hAnsi="Times New Roman"/>
        </w:rPr>
        <w:t xml:space="preserve">isa selection. At the same time </w:t>
      </w:r>
      <w:r w:rsidR="00DA675C">
        <w:rPr>
          <w:rFonts w:ascii="Times New Roman" w:hAnsi="Times New Roman"/>
        </w:rPr>
        <w:t xml:space="preserve">the research evidence demonstrates </w:t>
      </w:r>
      <w:r>
        <w:rPr>
          <w:rFonts w:ascii="Times New Roman" w:hAnsi="Times New Roman"/>
        </w:rPr>
        <w:t xml:space="preserve">that their </w:t>
      </w:r>
      <w:r w:rsidR="00DA675C" w:rsidRPr="00741B18">
        <w:rPr>
          <w:rFonts w:ascii="Times New Roman" w:hAnsi="Times New Roman"/>
        </w:rPr>
        <w:t>English ability</w:t>
      </w:r>
      <w:r w:rsidR="00DA675C">
        <w:rPr>
          <w:rFonts w:ascii="Times New Roman" w:hAnsi="Times New Roman"/>
        </w:rPr>
        <w:t>, level</w:t>
      </w:r>
      <w:r w:rsidR="00DA675C" w:rsidRPr="00741B18">
        <w:rPr>
          <w:rFonts w:ascii="Times New Roman" w:hAnsi="Times New Roman"/>
        </w:rPr>
        <w:t xml:space="preserve"> and calibre of training </w:t>
      </w:r>
      <w:r w:rsidR="00DA675C">
        <w:rPr>
          <w:rFonts w:ascii="Times New Roman" w:hAnsi="Times New Roman"/>
        </w:rPr>
        <w:t>exert a powerful influence on immediate employment</w:t>
      </w:r>
      <w:r>
        <w:rPr>
          <w:rFonts w:ascii="Times New Roman" w:hAnsi="Times New Roman"/>
        </w:rPr>
        <w:t xml:space="preserve"> outcomes, in addition to Australian labour market demand by field</w:t>
      </w:r>
      <w:r w:rsidR="00DA675C" w:rsidRPr="00741B18">
        <w:rPr>
          <w:rFonts w:ascii="Times New Roman" w:hAnsi="Times New Roman"/>
        </w:rPr>
        <w:t>.</w:t>
      </w:r>
      <w:r>
        <w:rPr>
          <w:rFonts w:ascii="Times New Roman" w:hAnsi="Times New Roman"/>
        </w:rPr>
        <w:t xml:space="preserve"> </w:t>
      </w:r>
      <w:r w:rsidR="00062B79">
        <w:rPr>
          <w:rFonts w:ascii="Times New Roman" w:hAnsi="Times New Roman"/>
        </w:rPr>
        <w:t xml:space="preserve">In my view these </w:t>
      </w:r>
      <w:r w:rsidR="00D41C6A">
        <w:rPr>
          <w:rFonts w:ascii="Times New Roman" w:hAnsi="Times New Roman"/>
        </w:rPr>
        <w:t xml:space="preserve">remain </w:t>
      </w:r>
      <w:r w:rsidR="00062B79">
        <w:rPr>
          <w:rFonts w:ascii="Times New Roman" w:hAnsi="Times New Roman"/>
        </w:rPr>
        <w:t xml:space="preserve">critical </w:t>
      </w:r>
      <w:r w:rsidR="00D41C6A">
        <w:rPr>
          <w:rFonts w:ascii="Times New Roman" w:hAnsi="Times New Roman"/>
        </w:rPr>
        <w:t xml:space="preserve">strategic </w:t>
      </w:r>
      <w:r w:rsidR="00062B79">
        <w:rPr>
          <w:rFonts w:ascii="Times New Roman" w:hAnsi="Times New Roman"/>
        </w:rPr>
        <w:t>issues in terms of selection.</w:t>
      </w:r>
      <w:r w:rsidR="00DA675C" w:rsidRPr="00741B18">
        <w:rPr>
          <w:rFonts w:ascii="Times New Roman" w:hAnsi="Times New Roman"/>
        </w:rPr>
        <w:t xml:space="preserve"> </w:t>
      </w:r>
    </w:p>
    <w:p w14:paraId="0F9D040A" w14:textId="77777777" w:rsidR="00DD7133" w:rsidRPr="00741B18" w:rsidRDefault="00DD7133" w:rsidP="0007196E">
      <w:pPr>
        <w:spacing w:after="0" w:line="240" w:lineRule="auto"/>
        <w:jc w:val="both"/>
        <w:rPr>
          <w:rFonts w:ascii="Times New Roman" w:hAnsi="Times New Roman"/>
        </w:rPr>
      </w:pPr>
    </w:p>
    <w:p w14:paraId="15B0B666" w14:textId="77777777" w:rsidR="00A35D75" w:rsidRPr="00B11B71" w:rsidRDefault="00741B18" w:rsidP="00741B18">
      <w:pPr>
        <w:spacing w:after="0" w:line="240" w:lineRule="auto"/>
        <w:rPr>
          <w:rFonts w:cs="Times New Roman"/>
          <w:b/>
          <w:color w:val="365F91" w:themeColor="accent1" w:themeShade="BF"/>
          <w:sz w:val="28"/>
          <w:szCs w:val="28"/>
        </w:rPr>
      </w:pPr>
      <w:r w:rsidRPr="00B11B71">
        <w:rPr>
          <w:rFonts w:cs="Times New Roman"/>
          <w:b/>
          <w:color w:val="365F91" w:themeColor="accent1" w:themeShade="BF"/>
          <w:sz w:val="28"/>
          <w:szCs w:val="28"/>
        </w:rPr>
        <w:t xml:space="preserve">Issue 5: </w:t>
      </w:r>
      <w:r w:rsidR="00D41C6A">
        <w:rPr>
          <w:rFonts w:cs="Times New Roman"/>
          <w:b/>
          <w:color w:val="365F91" w:themeColor="accent1" w:themeShade="BF"/>
          <w:sz w:val="28"/>
          <w:szCs w:val="28"/>
        </w:rPr>
        <w:t>Visas for Purchase</w:t>
      </w:r>
      <w:r w:rsidRPr="00B11B71">
        <w:rPr>
          <w:rFonts w:cs="Times New Roman"/>
          <w:b/>
          <w:color w:val="365F91" w:themeColor="accent1" w:themeShade="BF"/>
          <w:sz w:val="28"/>
          <w:szCs w:val="28"/>
        </w:rPr>
        <w:t>?</w:t>
      </w:r>
      <w:r w:rsidR="00A35D75" w:rsidRPr="00B11B71">
        <w:rPr>
          <w:rFonts w:cs="Times New Roman"/>
          <w:b/>
          <w:color w:val="365F91" w:themeColor="accent1" w:themeShade="BF"/>
          <w:sz w:val="28"/>
          <w:szCs w:val="28"/>
        </w:rPr>
        <w:t xml:space="preserve"> </w:t>
      </w:r>
    </w:p>
    <w:p w14:paraId="37521476" w14:textId="77777777" w:rsidR="00A35D75" w:rsidRDefault="00A35D75" w:rsidP="00A35D75">
      <w:pPr>
        <w:pStyle w:val="MPINormalBodytext"/>
        <w:jc w:val="both"/>
        <w:rPr>
          <w:rFonts w:asciiTheme="minorHAnsi" w:hAnsiTheme="minorHAnsi"/>
          <w:b/>
        </w:rPr>
      </w:pPr>
    </w:p>
    <w:p w14:paraId="62E7CF8D" w14:textId="77777777" w:rsidR="00DD7133" w:rsidRDefault="00062B79" w:rsidP="00A35D75">
      <w:pPr>
        <w:pStyle w:val="MPINormalBodytext"/>
        <w:jc w:val="both"/>
        <w:rPr>
          <w:rFonts w:asciiTheme="minorHAnsi" w:hAnsiTheme="minorHAnsi"/>
          <w:b/>
        </w:rPr>
      </w:pPr>
      <w:r>
        <w:rPr>
          <w:rFonts w:ascii="Times New Roman" w:hAnsi="Times New Roman"/>
        </w:rPr>
        <w:t>Finally, i</w:t>
      </w:r>
      <w:r w:rsidR="00435355">
        <w:rPr>
          <w:rFonts w:ascii="Times New Roman" w:hAnsi="Times New Roman"/>
        </w:rPr>
        <w:t>n a marked departure from past practice, t</w:t>
      </w:r>
      <w:r w:rsidR="00DD7133">
        <w:rPr>
          <w:rFonts w:ascii="Times New Roman" w:hAnsi="Times New Roman"/>
        </w:rPr>
        <w:t>he Productivity Commission has been asked</w:t>
      </w:r>
      <w:r w:rsidR="00435355">
        <w:rPr>
          <w:rFonts w:ascii="Times New Roman" w:hAnsi="Times New Roman"/>
        </w:rPr>
        <w:t xml:space="preserve"> to consider the potential value of implementing what might be termed a ‘visa for </w:t>
      </w:r>
      <w:r w:rsidR="00D41C6A">
        <w:rPr>
          <w:rFonts w:ascii="Times New Roman" w:hAnsi="Times New Roman"/>
        </w:rPr>
        <w:t xml:space="preserve">purchase’ </w:t>
      </w:r>
      <w:r w:rsidR="00435355">
        <w:rPr>
          <w:rFonts w:ascii="Times New Roman" w:hAnsi="Times New Roman"/>
        </w:rPr>
        <w:t>strategy</w:t>
      </w:r>
      <w:r w:rsidR="00DA675C">
        <w:rPr>
          <w:rFonts w:ascii="Times New Roman" w:hAnsi="Times New Roman"/>
        </w:rPr>
        <w:t xml:space="preserve"> in relation to future migration</w:t>
      </w:r>
      <w:r w:rsidR="00435355">
        <w:rPr>
          <w:rFonts w:ascii="Times New Roman" w:hAnsi="Times New Roman"/>
        </w:rPr>
        <w:t>.</w:t>
      </w:r>
    </w:p>
    <w:p w14:paraId="72124882" w14:textId="77777777" w:rsidR="00DD7133" w:rsidRDefault="00DD7133" w:rsidP="00A35D75">
      <w:pPr>
        <w:pStyle w:val="MPINormalBodytext"/>
        <w:jc w:val="both"/>
        <w:rPr>
          <w:rFonts w:asciiTheme="minorHAnsi" w:hAnsiTheme="minorHAnsi"/>
          <w:b/>
        </w:rPr>
      </w:pPr>
    </w:p>
    <w:p w14:paraId="42749FD5" w14:textId="77777777" w:rsidR="00435355" w:rsidRPr="00741B18" w:rsidRDefault="00435355" w:rsidP="00435355">
      <w:pPr>
        <w:spacing w:after="0" w:line="240" w:lineRule="auto"/>
        <w:jc w:val="both"/>
        <w:rPr>
          <w:rFonts w:ascii="Times New Roman" w:hAnsi="Times New Roman" w:cs="Times New Roman"/>
          <w:b/>
        </w:rPr>
      </w:pPr>
      <w:r>
        <w:rPr>
          <w:rFonts w:ascii="Times New Roman" w:hAnsi="Times New Roman" w:cs="Times New Roman"/>
          <w:b/>
        </w:rPr>
        <w:t>Submission #5</w:t>
      </w:r>
      <w:r w:rsidRPr="00741B18">
        <w:rPr>
          <w:rFonts w:ascii="Times New Roman" w:hAnsi="Times New Roman" w:cs="Times New Roman"/>
          <w:b/>
        </w:rPr>
        <w:t>:</w:t>
      </w:r>
    </w:p>
    <w:p w14:paraId="0F248AEB" w14:textId="77777777" w:rsidR="00435355" w:rsidRPr="00741B18" w:rsidRDefault="00435355" w:rsidP="00435355">
      <w:pPr>
        <w:spacing w:after="0" w:line="240" w:lineRule="auto"/>
        <w:jc w:val="both"/>
        <w:rPr>
          <w:rFonts w:ascii="Times New Roman" w:hAnsi="Times New Roman" w:cs="Times New Roman"/>
        </w:rPr>
      </w:pPr>
    </w:p>
    <w:p w14:paraId="07F2195D" w14:textId="77777777" w:rsidR="00C95C41" w:rsidRDefault="001B1AF2" w:rsidP="00435355">
      <w:pPr>
        <w:pStyle w:val="MPINormalBodytext"/>
        <w:jc w:val="both"/>
        <w:rPr>
          <w:rFonts w:ascii="Times New Roman" w:hAnsi="Times New Roman"/>
        </w:rPr>
      </w:pPr>
      <w:r>
        <w:rPr>
          <w:rFonts w:ascii="Times New Roman" w:hAnsi="Times New Roman"/>
        </w:rPr>
        <w:t xml:space="preserve">Four </w:t>
      </w:r>
      <w:r w:rsidR="00435355">
        <w:rPr>
          <w:rFonts w:ascii="Times New Roman" w:hAnsi="Times New Roman"/>
        </w:rPr>
        <w:t xml:space="preserve">points are worth noting in relation to this, as follows: </w:t>
      </w:r>
    </w:p>
    <w:p w14:paraId="6DC3BCE7" w14:textId="77777777" w:rsidR="00062B79" w:rsidRDefault="00062B79" w:rsidP="00435355">
      <w:pPr>
        <w:pStyle w:val="MPINormalBodytext"/>
        <w:jc w:val="both"/>
        <w:rPr>
          <w:rFonts w:ascii="Times New Roman" w:hAnsi="Times New Roman"/>
        </w:rPr>
      </w:pPr>
    </w:p>
    <w:p w14:paraId="0932EBFF" w14:textId="77777777" w:rsidR="00C95C41" w:rsidRPr="00062B79" w:rsidRDefault="00435355" w:rsidP="00C95C41">
      <w:pPr>
        <w:pStyle w:val="MPINormalBodytext"/>
        <w:numPr>
          <w:ilvl w:val="0"/>
          <w:numId w:val="40"/>
        </w:numPr>
        <w:jc w:val="both"/>
        <w:rPr>
          <w:rFonts w:ascii="Times New Roman" w:hAnsi="Times New Roman"/>
        </w:rPr>
      </w:pPr>
      <w:r w:rsidRPr="00062B79">
        <w:rPr>
          <w:rFonts w:ascii="Times New Roman" w:hAnsi="Times New Roman"/>
        </w:rPr>
        <w:t xml:space="preserve">First, </w:t>
      </w:r>
      <w:r w:rsidR="00A35D75" w:rsidRPr="00062B79">
        <w:rPr>
          <w:rFonts w:ascii="Times New Roman" w:hAnsi="Times New Roman"/>
        </w:rPr>
        <w:t xml:space="preserve">Australia, Canada, </w:t>
      </w:r>
      <w:r w:rsidRPr="00062B79">
        <w:rPr>
          <w:rFonts w:ascii="Times New Roman" w:hAnsi="Times New Roman"/>
        </w:rPr>
        <w:t xml:space="preserve">the UK and New Zealand have experimented with </w:t>
      </w:r>
      <w:r w:rsidR="00062B79" w:rsidRPr="00062B79">
        <w:rPr>
          <w:rFonts w:ascii="Times New Roman" w:hAnsi="Times New Roman"/>
        </w:rPr>
        <w:t xml:space="preserve">‘visa for purchase’ policies </w:t>
      </w:r>
      <w:r w:rsidRPr="00062B79">
        <w:rPr>
          <w:rFonts w:ascii="Times New Roman" w:hAnsi="Times New Roman"/>
        </w:rPr>
        <w:t xml:space="preserve">in relation to ‘investor’ </w:t>
      </w:r>
      <w:r w:rsidR="00062B79" w:rsidRPr="00062B79">
        <w:rPr>
          <w:rFonts w:ascii="Times New Roman" w:hAnsi="Times New Roman"/>
        </w:rPr>
        <w:t>and/</w:t>
      </w:r>
      <w:r w:rsidRPr="00062B79">
        <w:rPr>
          <w:rFonts w:ascii="Times New Roman" w:hAnsi="Times New Roman"/>
        </w:rPr>
        <w:t xml:space="preserve">or ‘business’ class migration </w:t>
      </w:r>
      <w:r w:rsidR="00062B79" w:rsidRPr="00062B79">
        <w:rPr>
          <w:rFonts w:ascii="Times New Roman" w:hAnsi="Times New Roman"/>
        </w:rPr>
        <w:t xml:space="preserve">in </w:t>
      </w:r>
      <w:r w:rsidRPr="00062B79">
        <w:rPr>
          <w:rFonts w:ascii="Times New Roman" w:hAnsi="Times New Roman"/>
        </w:rPr>
        <w:t xml:space="preserve">the past three decades. In </w:t>
      </w:r>
      <w:r w:rsidR="00DA675C" w:rsidRPr="00062B79">
        <w:rPr>
          <w:rFonts w:ascii="Times New Roman" w:hAnsi="Times New Roman"/>
        </w:rPr>
        <w:t xml:space="preserve">each country </w:t>
      </w:r>
      <w:r w:rsidR="00062B79" w:rsidRPr="00062B79">
        <w:rPr>
          <w:rFonts w:ascii="Times New Roman" w:hAnsi="Times New Roman"/>
        </w:rPr>
        <w:t xml:space="preserve">management of these </w:t>
      </w:r>
      <w:r w:rsidR="00DA675C" w:rsidRPr="00062B79">
        <w:rPr>
          <w:rFonts w:ascii="Times New Roman" w:hAnsi="Times New Roman"/>
        </w:rPr>
        <w:t>program</w:t>
      </w:r>
      <w:r w:rsidR="00062B79" w:rsidRPr="00062B79">
        <w:rPr>
          <w:rFonts w:ascii="Times New Roman" w:hAnsi="Times New Roman"/>
        </w:rPr>
        <w:t xml:space="preserve">s - </w:t>
      </w:r>
      <w:r w:rsidRPr="00062B79">
        <w:rPr>
          <w:rFonts w:ascii="Times New Roman" w:hAnsi="Times New Roman"/>
        </w:rPr>
        <w:t xml:space="preserve">including the certainty of </w:t>
      </w:r>
      <w:r w:rsidR="00DA675C" w:rsidRPr="00062B79">
        <w:rPr>
          <w:rFonts w:ascii="Times New Roman" w:hAnsi="Times New Roman"/>
        </w:rPr>
        <w:t xml:space="preserve">securing </w:t>
      </w:r>
      <w:r w:rsidR="00062B79" w:rsidRPr="00062B79">
        <w:rPr>
          <w:rFonts w:ascii="Times New Roman" w:hAnsi="Times New Roman"/>
        </w:rPr>
        <w:t xml:space="preserve">national benefit - </w:t>
      </w:r>
      <w:r w:rsidR="00DA675C" w:rsidRPr="00062B79">
        <w:rPr>
          <w:rFonts w:ascii="Times New Roman" w:hAnsi="Times New Roman"/>
        </w:rPr>
        <w:t xml:space="preserve">has proven </w:t>
      </w:r>
      <w:r w:rsidRPr="00062B79">
        <w:rPr>
          <w:rFonts w:ascii="Times New Roman" w:hAnsi="Times New Roman"/>
        </w:rPr>
        <w:t xml:space="preserve">problematic. </w:t>
      </w:r>
      <w:r w:rsidR="00211322" w:rsidRPr="00062B79">
        <w:rPr>
          <w:rFonts w:ascii="Times New Roman" w:hAnsi="Times New Roman"/>
        </w:rPr>
        <w:t xml:space="preserve">For example the UK </w:t>
      </w:r>
      <w:r w:rsidR="00062B79" w:rsidRPr="00062B79">
        <w:rPr>
          <w:rFonts w:ascii="Times New Roman" w:hAnsi="Times New Roman"/>
        </w:rPr>
        <w:t>Blair and Cameron governments</w:t>
      </w:r>
      <w:r w:rsidR="00211322" w:rsidRPr="00062B79">
        <w:rPr>
          <w:rFonts w:ascii="Times New Roman" w:hAnsi="Times New Roman"/>
        </w:rPr>
        <w:t xml:space="preserve"> </w:t>
      </w:r>
      <w:proofErr w:type="spellStart"/>
      <w:r w:rsidR="00062B79" w:rsidRPr="00062B79">
        <w:rPr>
          <w:rFonts w:ascii="Times New Roman" w:hAnsi="Times New Roman"/>
        </w:rPr>
        <w:t>prioritised</w:t>
      </w:r>
      <w:proofErr w:type="spellEnd"/>
      <w:r w:rsidR="00211322" w:rsidRPr="00062B79">
        <w:rPr>
          <w:rFonts w:ascii="Times New Roman" w:hAnsi="Times New Roman"/>
        </w:rPr>
        <w:t xml:space="preserve"> </w:t>
      </w:r>
      <w:r w:rsidR="00062B79" w:rsidRPr="00062B79">
        <w:rPr>
          <w:rFonts w:ascii="Times New Roman" w:hAnsi="Times New Roman"/>
        </w:rPr>
        <w:t xml:space="preserve">the admission of </w:t>
      </w:r>
      <w:r w:rsidR="00211322" w:rsidRPr="00062B79">
        <w:rPr>
          <w:rFonts w:ascii="Times New Roman" w:hAnsi="Times New Roman"/>
        </w:rPr>
        <w:t>Entrepreneurs/ Graduate Entrepreneurs (</w:t>
      </w:r>
      <w:r w:rsidR="00062B79" w:rsidRPr="00062B79">
        <w:rPr>
          <w:rFonts w:ascii="Times New Roman" w:hAnsi="Times New Roman"/>
        </w:rPr>
        <w:t>who could invest</w:t>
      </w:r>
      <w:r w:rsidR="00211322" w:rsidRPr="00062B79">
        <w:rPr>
          <w:rFonts w:ascii="Times New Roman" w:hAnsi="Times New Roman"/>
        </w:rPr>
        <w:t xml:space="preserve"> a min</w:t>
      </w:r>
      <w:r w:rsidR="00062B79" w:rsidRPr="00062B79">
        <w:rPr>
          <w:rFonts w:ascii="Times New Roman" w:hAnsi="Times New Roman"/>
        </w:rPr>
        <w:t>imum of GBP 200,000 and create</w:t>
      </w:r>
      <w:r w:rsidR="00211322" w:rsidRPr="00062B79">
        <w:rPr>
          <w:rFonts w:ascii="Times New Roman" w:hAnsi="Times New Roman"/>
        </w:rPr>
        <w:t xml:space="preserve"> two jobs in the first three years) and Investors (</w:t>
      </w:r>
      <w:r w:rsidR="00062B79" w:rsidRPr="00062B79">
        <w:rPr>
          <w:rFonts w:ascii="Times New Roman" w:hAnsi="Times New Roman"/>
        </w:rPr>
        <w:t xml:space="preserve">with </w:t>
      </w:r>
      <w:r w:rsidR="00211322" w:rsidRPr="00062B79">
        <w:rPr>
          <w:rFonts w:ascii="Times New Roman" w:hAnsi="Times New Roman"/>
        </w:rPr>
        <w:t xml:space="preserve">GBP 1 million minimum to invest, and those </w:t>
      </w:r>
      <w:r w:rsidR="00062B79" w:rsidRPr="00062B79">
        <w:rPr>
          <w:rFonts w:ascii="Times New Roman" w:hAnsi="Times New Roman"/>
        </w:rPr>
        <w:t xml:space="preserve">with </w:t>
      </w:r>
      <w:r w:rsidR="00211322" w:rsidRPr="00062B79">
        <w:rPr>
          <w:rFonts w:ascii="Times New Roman" w:hAnsi="Times New Roman"/>
        </w:rPr>
        <w:t xml:space="preserve">GBP 5-10 million </w:t>
      </w:r>
      <w:proofErr w:type="spellStart"/>
      <w:r w:rsidR="00211322" w:rsidRPr="00062B79">
        <w:rPr>
          <w:rFonts w:ascii="Times New Roman" w:hAnsi="Times New Roman"/>
        </w:rPr>
        <w:t>prioritised</w:t>
      </w:r>
      <w:proofErr w:type="spellEnd"/>
      <w:r w:rsidR="00211322" w:rsidRPr="00062B79">
        <w:rPr>
          <w:rFonts w:ascii="Times New Roman" w:hAnsi="Times New Roman"/>
        </w:rPr>
        <w:t>)</w:t>
      </w:r>
      <w:r w:rsidR="00D41C6A">
        <w:rPr>
          <w:rFonts w:ascii="Times New Roman" w:hAnsi="Times New Roman"/>
        </w:rPr>
        <w:t xml:space="preserve"> for a number of years</w:t>
      </w:r>
      <w:r w:rsidR="00211322" w:rsidRPr="00062B79">
        <w:rPr>
          <w:rFonts w:ascii="Times New Roman" w:hAnsi="Times New Roman"/>
        </w:rPr>
        <w:t xml:space="preserve">. </w:t>
      </w:r>
      <w:r w:rsidR="00062B79" w:rsidRPr="00062B79">
        <w:rPr>
          <w:rFonts w:ascii="Times New Roman" w:hAnsi="Times New Roman"/>
        </w:rPr>
        <w:t xml:space="preserve">This strategy was supported by the establishment of 3-5 day and 24-hour ‘super priority’ visa provision, with </w:t>
      </w:r>
      <w:r w:rsidR="00062B79" w:rsidRPr="00FF527C">
        <w:rPr>
          <w:rFonts w:ascii="Times New Roman" w:hAnsi="Times New Roman"/>
        </w:rPr>
        <w:t xml:space="preserve">‘faster settlement for those who create 10 jobs or have a £5 million turnover’. </w:t>
      </w:r>
      <w:r w:rsidR="00D41C6A" w:rsidRPr="00FF527C">
        <w:rPr>
          <w:rFonts w:ascii="Times New Roman" w:hAnsi="Times New Roman"/>
        </w:rPr>
        <w:t xml:space="preserve">By </w:t>
      </w:r>
      <w:r w:rsidR="00211322" w:rsidRPr="00062B79">
        <w:rPr>
          <w:rFonts w:ascii="Times New Roman" w:hAnsi="Times New Roman"/>
        </w:rPr>
        <w:t xml:space="preserve">2013 </w:t>
      </w:r>
      <w:r w:rsidR="00D41C6A">
        <w:rPr>
          <w:rFonts w:ascii="Times New Roman" w:hAnsi="Times New Roman"/>
        </w:rPr>
        <w:t xml:space="preserve">problems were conceded to exist and </w:t>
      </w:r>
      <w:r w:rsidR="00211322" w:rsidRPr="00062B79">
        <w:rPr>
          <w:rFonts w:ascii="Times New Roman" w:hAnsi="Times New Roman"/>
        </w:rPr>
        <w:t xml:space="preserve">a review of this program </w:t>
      </w:r>
      <w:r w:rsidR="00D41C6A">
        <w:rPr>
          <w:rFonts w:ascii="Times New Roman" w:hAnsi="Times New Roman"/>
        </w:rPr>
        <w:t>was</w:t>
      </w:r>
      <w:r w:rsidR="00211322" w:rsidRPr="00062B79">
        <w:rPr>
          <w:rFonts w:ascii="Times New Roman" w:hAnsi="Times New Roman"/>
        </w:rPr>
        <w:t xml:space="preserve"> </w:t>
      </w:r>
      <w:proofErr w:type="spellStart"/>
      <w:r w:rsidR="00211322" w:rsidRPr="00062B79">
        <w:rPr>
          <w:rFonts w:ascii="Times New Roman" w:hAnsi="Times New Roman"/>
        </w:rPr>
        <w:t>signalled</w:t>
      </w:r>
      <w:proofErr w:type="spellEnd"/>
      <w:r w:rsidR="00211322" w:rsidRPr="00062B79">
        <w:rPr>
          <w:rFonts w:ascii="Times New Roman" w:hAnsi="Times New Roman"/>
        </w:rPr>
        <w:t xml:space="preserve"> by the Home Office (Barrett, 2013).</w:t>
      </w:r>
      <w:r w:rsidR="00211322" w:rsidRPr="00062B79">
        <w:rPr>
          <w:lang w:val="en-GB"/>
        </w:rPr>
        <w:t xml:space="preserve"> </w:t>
      </w:r>
    </w:p>
    <w:p w14:paraId="019455B4" w14:textId="77777777" w:rsidR="00062B79" w:rsidRDefault="00062B79" w:rsidP="00062B79">
      <w:pPr>
        <w:pStyle w:val="MPINormalBodytext"/>
        <w:ind w:left="720"/>
        <w:jc w:val="both"/>
        <w:rPr>
          <w:rFonts w:ascii="Times New Roman" w:hAnsi="Times New Roman"/>
        </w:rPr>
      </w:pPr>
    </w:p>
    <w:p w14:paraId="32A8997B" w14:textId="77777777" w:rsidR="00062B79" w:rsidRPr="005356D7" w:rsidRDefault="00C95C41" w:rsidP="00062B79">
      <w:pPr>
        <w:pStyle w:val="MPINormalBodytext"/>
        <w:numPr>
          <w:ilvl w:val="0"/>
          <w:numId w:val="40"/>
        </w:numPr>
        <w:jc w:val="both"/>
        <w:rPr>
          <w:rFonts w:ascii="Times New Roman" w:hAnsi="Times New Roman"/>
        </w:rPr>
      </w:pPr>
      <w:r w:rsidRPr="005356D7">
        <w:rPr>
          <w:rFonts w:ascii="Times New Roman" w:hAnsi="Times New Roman"/>
        </w:rPr>
        <w:t>Second</w:t>
      </w:r>
      <w:r w:rsidR="00435355" w:rsidRPr="005356D7">
        <w:rPr>
          <w:rFonts w:ascii="Times New Roman" w:hAnsi="Times New Roman"/>
        </w:rPr>
        <w:t>, the c</w:t>
      </w:r>
      <w:r w:rsidR="00D45DED" w:rsidRPr="005356D7">
        <w:rPr>
          <w:rFonts w:ascii="Times New Roman" w:hAnsi="Times New Roman"/>
        </w:rPr>
        <w:t xml:space="preserve">haracteristics </w:t>
      </w:r>
      <w:r w:rsidR="00435355" w:rsidRPr="005356D7">
        <w:rPr>
          <w:rFonts w:ascii="Times New Roman" w:hAnsi="Times New Roman"/>
        </w:rPr>
        <w:t xml:space="preserve">of migrants selected </w:t>
      </w:r>
      <w:r w:rsidR="00DA675C" w:rsidRPr="005356D7">
        <w:rPr>
          <w:rFonts w:ascii="Times New Roman" w:hAnsi="Times New Roman"/>
        </w:rPr>
        <w:t>on a fee-for-visa basis seem certain to be skew intakes in terms of</w:t>
      </w:r>
      <w:r w:rsidR="00435355" w:rsidRPr="005356D7">
        <w:rPr>
          <w:rFonts w:ascii="Times New Roman" w:hAnsi="Times New Roman"/>
        </w:rPr>
        <w:t xml:space="preserve"> a</w:t>
      </w:r>
      <w:r w:rsidR="00D45DED" w:rsidRPr="005356D7">
        <w:rPr>
          <w:rFonts w:ascii="Times New Roman" w:hAnsi="Times New Roman"/>
        </w:rPr>
        <w:t xml:space="preserve">ge, source country, </w:t>
      </w:r>
      <w:r w:rsidR="00435355" w:rsidRPr="005356D7">
        <w:rPr>
          <w:rFonts w:ascii="Times New Roman" w:hAnsi="Times New Roman"/>
        </w:rPr>
        <w:t>caliber of training, qualification by field and English</w:t>
      </w:r>
      <w:r w:rsidR="00D45DED" w:rsidRPr="005356D7">
        <w:rPr>
          <w:rFonts w:ascii="Times New Roman" w:hAnsi="Times New Roman"/>
        </w:rPr>
        <w:t xml:space="preserve"> level</w:t>
      </w:r>
      <w:r w:rsidRPr="005356D7">
        <w:rPr>
          <w:rFonts w:ascii="Times New Roman" w:hAnsi="Times New Roman"/>
        </w:rPr>
        <w:t xml:space="preserve"> - in ways at variance with the research evidence</w:t>
      </w:r>
      <w:r w:rsidR="00DA675C" w:rsidRPr="005356D7">
        <w:rPr>
          <w:rFonts w:ascii="Times New Roman" w:hAnsi="Times New Roman"/>
        </w:rPr>
        <w:t xml:space="preserve">. Those selected </w:t>
      </w:r>
      <w:r w:rsidR="005356D7" w:rsidRPr="005356D7">
        <w:rPr>
          <w:rFonts w:ascii="Times New Roman" w:hAnsi="Times New Roman"/>
        </w:rPr>
        <w:t xml:space="preserve">may well </w:t>
      </w:r>
      <w:r w:rsidR="00DA675C" w:rsidRPr="005356D7">
        <w:rPr>
          <w:rFonts w:ascii="Times New Roman" w:hAnsi="Times New Roman"/>
        </w:rPr>
        <w:t>be less</w:t>
      </w:r>
      <w:r w:rsidR="00435355" w:rsidRPr="005356D7">
        <w:rPr>
          <w:rFonts w:ascii="Times New Roman" w:hAnsi="Times New Roman"/>
        </w:rPr>
        <w:t xml:space="preserve"> aligned </w:t>
      </w:r>
      <w:r w:rsidR="00DA675C" w:rsidRPr="005356D7">
        <w:rPr>
          <w:rFonts w:ascii="Times New Roman" w:hAnsi="Times New Roman"/>
        </w:rPr>
        <w:t xml:space="preserve">to employer </w:t>
      </w:r>
      <w:r w:rsidR="00435355" w:rsidRPr="005356D7">
        <w:rPr>
          <w:rFonts w:ascii="Times New Roman" w:hAnsi="Times New Roman"/>
        </w:rPr>
        <w:t xml:space="preserve">demand, or </w:t>
      </w:r>
      <w:r w:rsidR="005356D7" w:rsidRPr="005356D7">
        <w:rPr>
          <w:rFonts w:ascii="Times New Roman" w:hAnsi="Times New Roman"/>
        </w:rPr>
        <w:t xml:space="preserve">less likely to secure immediate </w:t>
      </w:r>
      <w:r w:rsidR="00435355" w:rsidRPr="005356D7">
        <w:rPr>
          <w:rFonts w:ascii="Times New Roman" w:hAnsi="Times New Roman"/>
        </w:rPr>
        <w:t>employment outcomes</w:t>
      </w:r>
      <w:r w:rsidR="005356D7" w:rsidRPr="005356D7">
        <w:rPr>
          <w:rFonts w:ascii="Times New Roman" w:hAnsi="Times New Roman"/>
        </w:rPr>
        <w:t xml:space="preserve"> (their reason for seeking the visa-purchase option)</w:t>
      </w:r>
      <w:r w:rsidR="00D45DED" w:rsidRPr="005356D7">
        <w:rPr>
          <w:rFonts w:ascii="Times New Roman" w:hAnsi="Times New Roman"/>
        </w:rPr>
        <w:t xml:space="preserve">. </w:t>
      </w:r>
      <w:r w:rsidR="005356D7" w:rsidRPr="005356D7">
        <w:rPr>
          <w:rFonts w:ascii="Times New Roman" w:hAnsi="Times New Roman"/>
        </w:rPr>
        <w:t xml:space="preserve">The international medical graduates most likely to purchase visas, for instance, would do so on the basis of previous capital accumulation. Yet </w:t>
      </w:r>
      <w:r w:rsidR="005356D7">
        <w:rPr>
          <w:rFonts w:ascii="Times New Roman" w:hAnsi="Times New Roman"/>
        </w:rPr>
        <w:t>(</w:t>
      </w:r>
      <w:r w:rsidR="005356D7" w:rsidRPr="005356D7">
        <w:rPr>
          <w:rFonts w:ascii="Times New Roman" w:hAnsi="Times New Roman"/>
        </w:rPr>
        <w:t xml:space="preserve">as </w:t>
      </w:r>
      <w:r w:rsidR="00435355" w:rsidRPr="005356D7">
        <w:rPr>
          <w:rFonts w:ascii="Times New Roman" w:hAnsi="Times New Roman"/>
        </w:rPr>
        <w:t>demonstrated by Table 6</w:t>
      </w:r>
      <w:r w:rsidR="005356D7">
        <w:rPr>
          <w:rFonts w:ascii="Times New Roman" w:hAnsi="Times New Roman"/>
        </w:rPr>
        <w:t>)</w:t>
      </w:r>
      <w:r w:rsidR="00435355" w:rsidRPr="005356D7">
        <w:rPr>
          <w:rFonts w:ascii="Times New Roman" w:hAnsi="Times New Roman"/>
        </w:rPr>
        <w:t xml:space="preserve"> older doctors are </w:t>
      </w:r>
      <w:r w:rsidR="005356D7">
        <w:rPr>
          <w:rFonts w:ascii="Times New Roman" w:hAnsi="Times New Roman"/>
        </w:rPr>
        <w:t xml:space="preserve">far </w:t>
      </w:r>
      <w:r w:rsidR="00435355" w:rsidRPr="005356D7">
        <w:rPr>
          <w:rFonts w:ascii="Times New Roman" w:hAnsi="Times New Roman"/>
        </w:rPr>
        <w:t xml:space="preserve">less likely to pass the Australian Medical Council </w:t>
      </w:r>
      <w:r w:rsidR="00DA675C" w:rsidRPr="005356D7">
        <w:rPr>
          <w:rFonts w:ascii="Times New Roman" w:hAnsi="Times New Roman"/>
        </w:rPr>
        <w:t>Clinical Examination</w:t>
      </w:r>
      <w:r w:rsidR="00435355" w:rsidRPr="005356D7">
        <w:rPr>
          <w:rFonts w:ascii="Times New Roman" w:hAnsi="Times New Roman"/>
        </w:rPr>
        <w:t xml:space="preserve"> than recently qualified doctors, based on analysis of 28 years of </w:t>
      </w:r>
      <w:r w:rsidR="00DA675C" w:rsidRPr="005356D7">
        <w:rPr>
          <w:rFonts w:ascii="Times New Roman" w:hAnsi="Times New Roman"/>
        </w:rPr>
        <w:t xml:space="preserve">candidate </w:t>
      </w:r>
      <w:r w:rsidR="00435355" w:rsidRPr="005356D7">
        <w:rPr>
          <w:rFonts w:ascii="Times New Roman" w:hAnsi="Times New Roman"/>
        </w:rPr>
        <w:t>data</w:t>
      </w:r>
      <w:r w:rsidR="005356D7">
        <w:rPr>
          <w:rFonts w:ascii="Times New Roman" w:hAnsi="Times New Roman"/>
        </w:rPr>
        <w:t xml:space="preserve"> (noting such trends continue to hold)</w:t>
      </w:r>
      <w:r w:rsidR="00435355" w:rsidRPr="005356D7">
        <w:rPr>
          <w:rFonts w:ascii="Times New Roman" w:hAnsi="Times New Roman"/>
        </w:rPr>
        <w:t xml:space="preserve">. </w:t>
      </w:r>
      <w:r w:rsidR="00DA675C" w:rsidRPr="005356D7">
        <w:rPr>
          <w:rFonts w:ascii="Times New Roman" w:hAnsi="Times New Roman"/>
        </w:rPr>
        <w:t xml:space="preserve">Further, </w:t>
      </w:r>
      <w:r w:rsidR="005356D7">
        <w:rPr>
          <w:rFonts w:ascii="Times New Roman" w:hAnsi="Times New Roman"/>
        </w:rPr>
        <w:t xml:space="preserve">migrant doctors </w:t>
      </w:r>
      <w:r w:rsidR="00435355" w:rsidRPr="005356D7">
        <w:rPr>
          <w:rFonts w:ascii="Times New Roman" w:hAnsi="Times New Roman"/>
        </w:rPr>
        <w:t xml:space="preserve">qualified in </w:t>
      </w:r>
      <w:r w:rsidR="005356D7">
        <w:rPr>
          <w:rFonts w:ascii="Times New Roman" w:hAnsi="Times New Roman"/>
        </w:rPr>
        <w:t>non-Commonwealth</w:t>
      </w:r>
      <w:r w:rsidR="00435355" w:rsidRPr="005356D7">
        <w:rPr>
          <w:rFonts w:ascii="Times New Roman" w:hAnsi="Times New Roman"/>
        </w:rPr>
        <w:t xml:space="preserve"> source countries are </w:t>
      </w:r>
      <w:r w:rsidR="005356D7">
        <w:rPr>
          <w:rFonts w:ascii="Times New Roman" w:hAnsi="Times New Roman"/>
        </w:rPr>
        <w:t xml:space="preserve">significantly </w:t>
      </w:r>
      <w:r w:rsidR="00435355" w:rsidRPr="005356D7">
        <w:rPr>
          <w:rFonts w:ascii="Times New Roman" w:hAnsi="Times New Roman"/>
        </w:rPr>
        <w:t xml:space="preserve">less likely to pass </w:t>
      </w:r>
      <w:r w:rsidR="00DA675C" w:rsidRPr="005356D7">
        <w:rPr>
          <w:rFonts w:ascii="Times New Roman" w:hAnsi="Times New Roman"/>
        </w:rPr>
        <w:t>the exam</w:t>
      </w:r>
      <w:r w:rsidR="005356D7">
        <w:rPr>
          <w:rFonts w:ascii="Times New Roman" w:hAnsi="Times New Roman"/>
        </w:rPr>
        <w:t xml:space="preserve"> - potentially</w:t>
      </w:r>
      <w:r w:rsidR="00435355" w:rsidRPr="005356D7">
        <w:rPr>
          <w:rFonts w:ascii="Times New Roman" w:hAnsi="Times New Roman"/>
        </w:rPr>
        <w:t xml:space="preserve"> the applicants</w:t>
      </w:r>
      <w:r w:rsidR="005356D7">
        <w:rPr>
          <w:rFonts w:ascii="Times New Roman" w:hAnsi="Times New Roman"/>
        </w:rPr>
        <w:t xml:space="preserve"> attracted to visa-purchase.</w:t>
      </w:r>
      <w:r w:rsidR="00435355" w:rsidRPr="005356D7">
        <w:rPr>
          <w:rFonts w:ascii="Times New Roman" w:hAnsi="Times New Roman"/>
        </w:rPr>
        <w:t xml:space="preserve"> </w:t>
      </w:r>
    </w:p>
    <w:p w14:paraId="0914DB48" w14:textId="77777777" w:rsidR="005356D7" w:rsidRPr="005356D7" w:rsidRDefault="005356D7" w:rsidP="005356D7">
      <w:pPr>
        <w:pStyle w:val="MPINormalBodytext"/>
        <w:jc w:val="both"/>
        <w:rPr>
          <w:rFonts w:ascii="Times New Roman" w:hAnsi="Times New Roman"/>
        </w:rPr>
      </w:pPr>
    </w:p>
    <w:p w14:paraId="002CFEBD" w14:textId="77777777" w:rsidR="005356D7" w:rsidRDefault="005356D7" w:rsidP="005356D7">
      <w:pPr>
        <w:pStyle w:val="MPINormalBodytext"/>
        <w:numPr>
          <w:ilvl w:val="0"/>
          <w:numId w:val="40"/>
        </w:numPr>
        <w:jc w:val="both"/>
        <w:rPr>
          <w:rFonts w:ascii="Times New Roman" w:hAnsi="Times New Roman"/>
        </w:rPr>
      </w:pPr>
      <w:r>
        <w:rPr>
          <w:rFonts w:ascii="Times New Roman" w:hAnsi="Times New Roman"/>
        </w:rPr>
        <w:t>Third, while there could be strong take-up from international students</w:t>
      </w:r>
      <w:r w:rsidR="00D41C6A">
        <w:rPr>
          <w:rFonts w:ascii="Times New Roman" w:hAnsi="Times New Roman"/>
        </w:rPr>
        <w:t xml:space="preserve"> for the visa purchase option </w:t>
      </w:r>
      <w:r>
        <w:rPr>
          <w:rFonts w:ascii="Times New Roman" w:hAnsi="Times New Roman"/>
        </w:rPr>
        <w:t xml:space="preserve"> (unless fees were </w:t>
      </w:r>
      <w:r w:rsidR="00D41C6A">
        <w:rPr>
          <w:rFonts w:ascii="Times New Roman" w:hAnsi="Times New Roman"/>
        </w:rPr>
        <w:t xml:space="preserve">set </w:t>
      </w:r>
      <w:r>
        <w:rPr>
          <w:rFonts w:ascii="Times New Roman" w:hAnsi="Times New Roman"/>
        </w:rPr>
        <w:t xml:space="preserve">exorbitantly high), those selected could have qualified in over-supplied fields. They might have trained in lower caliber courses, and/or achieved less advanced English (factors powerfully influencing their employability and future income level, </w:t>
      </w:r>
      <w:r w:rsidR="00D41C6A">
        <w:rPr>
          <w:rFonts w:ascii="Times New Roman" w:hAnsi="Times New Roman"/>
        </w:rPr>
        <w:t xml:space="preserve">and curbing </w:t>
      </w:r>
      <w:r>
        <w:rPr>
          <w:rFonts w:ascii="Times New Roman" w:hAnsi="Times New Roman"/>
        </w:rPr>
        <w:t xml:space="preserve">their prospects for sponsored or Independent entry). Such students could have strong incentive to </w:t>
      </w:r>
      <w:r w:rsidR="00D41C6A">
        <w:rPr>
          <w:rFonts w:ascii="Times New Roman" w:hAnsi="Times New Roman"/>
        </w:rPr>
        <w:t xml:space="preserve">take on </w:t>
      </w:r>
      <w:r>
        <w:rPr>
          <w:rFonts w:ascii="Times New Roman" w:hAnsi="Times New Roman"/>
        </w:rPr>
        <w:t>very burdensome loans, in addition to any secured to cover their</w:t>
      </w:r>
      <w:r w:rsidR="00D41C6A">
        <w:rPr>
          <w:rFonts w:ascii="Times New Roman" w:hAnsi="Times New Roman"/>
        </w:rPr>
        <w:t xml:space="preserve"> earlier</w:t>
      </w:r>
      <w:r>
        <w:rPr>
          <w:rFonts w:ascii="Times New Roman" w:hAnsi="Times New Roman"/>
        </w:rPr>
        <w:t xml:space="preserve"> Australian studies. What would happen </w:t>
      </w:r>
      <w:r w:rsidR="001B1AF2">
        <w:rPr>
          <w:rFonts w:ascii="Times New Roman" w:hAnsi="Times New Roman"/>
        </w:rPr>
        <w:t>to former students in the case</w:t>
      </w:r>
      <w:r>
        <w:rPr>
          <w:rFonts w:ascii="Times New Roman" w:hAnsi="Times New Roman"/>
        </w:rPr>
        <w:t xml:space="preserve"> of payment default? </w:t>
      </w:r>
      <w:r w:rsidR="001B1AF2">
        <w:rPr>
          <w:rFonts w:ascii="Times New Roman" w:hAnsi="Times New Roman"/>
        </w:rPr>
        <w:t>Would the government deport them?</w:t>
      </w:r>
      <w:r w:rsidRPr="00435355">
        <w:rPr>
          <w:rFonts w:ascii="Times New Roman" w:hAnsi="Times New Roman"/>
        </w:rPr>
        <w:t xml:space="preserve"> </w:t>
      </w:r>
    </w:p>
    <w:p w14:paraId="59353C83" w14:textId="77777777" w:rsidR="005356D7" w:rsidRDefault="005356D7" w:rsidP="005356D7">
      <w:pPr>
        <w:pStyle w:val="MPINormalBodytext"/>
        <w:ind w:left="720"/>
        <w:jc w:val="both"/>
        <w:rPr>
          <w:rFonts w:ascii="Times New Roman" w:hAnsi="Times New Roman"/>
        </w:rPr>
      </w:pPr>
    </w:p>
    <w:p w14:paraId="6A5F575A" w14:textId="77777777" w:rsidR="00062B79" w:rsidRDefault="001B1AF2" w:rsidP="00062B79">
      <w:pPr>
        <w:pStyle w:val="MPINormalBodytext"/>
        <w:numPr>
          <w:ilvl w:val="0"/>
          <w:numId w:val="40"/>
        </w:numPr>
        <w:jc w:val="both"/>
        <w:rPr>
          <w:rFonts w:ascii="Times New Roman" w:hAnsi="Times New Roman"/>
        </w:rPr>
      </w:pPr>
      <w:r>
        <w:rPr>
          <w:rFonts w:ascii="Times New Roman" w:hAnsi="Times New Roman"/>
        </w:rPr>
        <w:t xml:space="preserve">Finally (as long established) </w:t>
      </w:r>
      <w:r w:rsidR="00062B79" w:rsidRPr="00435355">
        <w:rPr>
          <w:rFonts w:ascii="Times New Roman" w:hAnsi="Times New Roman"/>
        </w:rPr>
        <w:t xml:space="preserve">the scope for fraud </w:t>
      </w:r>
      <w:r w:rsidR="00062B79">
        <w:rPr>
          <w:rFonts w:ascii="Times New Roman" w:hAnsi="Times New Roman"/>
        </w:rPr>
        <w:t xml:space="preserve">in relation to </w:t>
      </w:r>
      <w:r w:rsidR="005356D7">
        <w:rPr>
          <w:rFonts w:ascii="Times New Roman" w:hAnsi="Times New Roman"/>
        </w:rPr>
        <w:t xml:space="preserve">visa-purchase </w:t>
      </w:r>
      <w:r w:rsidR="00062B79" w:rsidRPr="00435355">
        <w:rPr>
          <w:rFonts w:ascii="Times New Roman" w:hAnsi="Times New Roman"/>
        </w:rPr>
        <w:t>model</w:t>
      </w:r>
      <w:r w:rsidR="00062B79">
        <w:rPr>
          <w:rFonts w:ascii="Times New Roman" w:hAnsi="Times New Roman"/>
        </w:rPr>
        <w:t>s</w:t>
      </w:r>
      <w:r>
        <w:rPr>
          <w:rFonts w:ascii="Times New Roman" w:hAnsi="Times New Roman"/>
        </w:rPr>
        <w:t xml:space="preserve"> is strong. G</w:t>
      </w:r>
      <w:r w:rsidR="00062B79">
        <w:rPr>
          <w:rFonts w:ascii="Times New Roman" w:hAnsi="Times New Roman"/>
        </w:rPr>
        <w:t xml:space="preserve">overnment </w:t>
      </w:r>
      <w:r w:rsidR="00062B79" w:rsidRPr="00435355">
        <w:rPr>
          <w:rFonts w:ascii="Times New Roman" w:hAnsi="Times New Roman"/>
        </w:rPr>
        <w:t>strategies to minimize rotating ‘capital’</w:t>
      </w:r>
      <w:r w:rsidR="00062B79">
        <w:rPr>
          <w:rFonts w:ascii="Times New Roman" w:hAnsi="Times New Roman"/>
        </w:rPr>
        <w:t xml:space="preserve"> </w:t>
      </w:r>
      <w:r>
        <w:rPr>
          <w:rFonts w:ascii="Times New Roman" w:hAnsi="Times New Roman"/>
        </w:rPr>
        <w:t>would be critical (as with Australia’s past experience</w:t>
      </w:r>
      <w:r w:rsidR="00062B79">
        <w:rPr>
          <w:rFonts w:ascii="Times New Roman" w:hAnsi="Times New Roman"/>
        </w:rPr>
        <w:t xml:space="preserve"> </w:t>
      </w:r>
      <w:r>
        <w:rPr>
          <w:rFonts w:ascii="Times New Roman" w:hAnsi="Times New Roman"/>
        </w:rPr>
        <w:t xml:space="preserve">of the revolving </w:t>
      </w:r>
      <w:r w:rsidR="00062B79">
        <w:rPr>
          <w:rFonts w:ascii="Times New Roman" w:hAnsi="Times New Roman"/>
        </w:rPr>
        <w:t>$500,000)</w:t>
      </w:r>
      <w:r w:rsidR="00062B79" w:rsidRPr="00435355">
        <w:rPr>
          <w:rFonts w:ascii="Times New Roman" w:hAnsi="Times New Roman"/>
        </w:rPr>
        <w:t>.</w:t>
      </w:r>
    </w:p>
    <w:p w14:paraId="66A6FB7F" w14:textId="77777777" w:rsidR="00062B79" w:rsidRDefault="00062B79" w:rsidP="00062B79">
      <w:pPr>
        <w:pStyle w:val="MPINormalBodytext"/>
        <w:ind w:left="720"/>
        <w:jc w:val="both"/>
        <w:rPr>
          <w:rFonts w:ascii="Times New Roman" w:hAnsi="Times New Roman"/>
        </w:rPr>
      </w:pPr>
    </w:p>
    <w:p w14:paraId="2F0B353E" w14:textId="77777777" w:rsidR="000E2283" w:rsidRDefault="000E2283" w:rsidP="009C4F77">
      <w:pPr>
        <w:spacing w:after="0" w:line="240" w:lineRule="auto"/>
        <w:rPr>
          <w:rFonts w:cs="Times New Roman"/>
          <w:b/>
          <w:sz w:val="28"/>
          <w:szCs w:val="28"/>
        </w:rPr>
      </w:pPr>
    </w:p>
    <w:p w14:paraId="5C0659E6" w14:textId="77777777" w:rsidR="002D4EFC" w:rsidRPr="002D4EFC" w:rsidRDefault="002D4EFC" w:rsidP="009C4F77">
      <w:pPr>
        <w:spacing w:after="0" w:line="240" w:lineRule="auto"/>
        <w:rPr>
          <w:rFonts w:ascii="Times New Roman" w:hAnsi="Times New Roman" w:cs="Times New Roman"/>
          <w:b/>
        </w:rPr>
      </w:pPr>
      <w:r w:rsidRPr="002D4EFC">
        <w:rPr>
          <w:rFonts w:ascii="Times New Roman" w:hAnsi="Times New Roman" w:cs="Times New Roman"/>
          <w:b/>
        </w:rPr>
        <w:t>Table 6: Predicting Which International Medical Graduates Will Pass the Australian Medical Council Clinical Examination After Completion of the MCQ (1978-2005)</w:t>
      </w:r>
    </w:p>
    <w:p w14:paraId="7AB3A63E" w14:textId="77777777" w:rsidR="002D4EFC" w:rsidRDefault="002D4EFC" w:rsidP="009C4F77">
      <w:pPr>
        <w:spacing w:after="0" w:line="240" w:lineRule="auto"/>
        <w:rPr>
          <w:rFonts w:cs="Times New Roman"/>
          <w:b/>
          <w:sz w:val="28"/>
          <w:szCs w:val="28"/>
        </w:rPr>
      </w:pPr>
    </w:p>
    <w:tbl>
      <w:tblPr>
        <w:tblW w:w="9214" w:type="dxa"/>
        <w:tblInd w:w="108" w:type="dxa"/>
        <w:tblLayout w:type="fixed"/>
        <w:tblLook w:val="0000" w:firstRow="0" w:lastRow="0" w:firstColumn="0" w:lastColumn="0" w:noHBand="0" w:noVBand="0"/>
      </w:tblPr>
      <w:tblGrid>
        <w:gridCol w:w="1985"/>
        <w:gridCol w:w="2268"/>
        <w:gridCol w:w="1985"/>
        <w:gridCol w:w="851"/>
        <w:gridCol w:w="851"/>
        <w:gridCol w:w="1274"/>
      </w:tblGrid>
      <w:tr w:rsidR="002D4EFC" w:rsidRPr="00D534B0" w14:paraId="16E2B7C0" w14:textId="77777777" w:rsidTr="002D4EFC">
        <w:trPr>
          <w:trHeight w:val="264"/>
        </w:trPr>
        <w:tc>
          <w:tcPr>
            <w:tcW w:w="1985" w:type="dxa"/>
            <w:tcBorders>
              <w:top w:val="single" w:sz="18" w:space="0" w:color="auto"/>
              <w:left w:val="nil"/>
              <w:bottom w:val="nil"/>
              <w:right w:val="nil"/>
            </w:tcBorders>
            <w:shd w:val="clear" w:color="auto" w:fill="B8CCE4" w:themeFill="accent1" w:themeFillTint="66"/>
            <w:noWrap/>
          </w:tcPr>
          <w:p w14:paraId="58FD829F" w14:textId="77777777" w:rsidR="002D4EFC" w:rsidRPr="00D534B0" w:rsidRDefault="002D4EFC" w:rsidP="00974B66">
            <w:pPr>
              <w:pStyle w:val="TableText"/>
              <w:rPr>
                <w:rFonts w:ascii="Times New Roman" w:hAnsi="Times New Roman"/>
                <w:b/>
                <w:bCs/>
                <w:lang w:val="en-US" w:eastAsia="ko-KR"/>
              </w:rPr>
            </w:pPr>
            <w:r w:rsidRPr="00D534B0">
              <w:rPr>
                <w:rFonts w:ascii="Times New Roman" w:hAnsi="Times New Roman"/>
                <w:b/>
                <w:bCs/>
                <w:lang w:val="en-US" w:eastAsia="ko-KR"/>
              </w:rPr>
              <w:t xml:space="preserve"> </w:t>
            </w:r>
          </w:p>
        </w:tc>
        <w:tc>
          <w:tcPr>
            <w:tcW w:w="2268" w:type="dxa"/>
            <w:tcBorders>
              <w:top w:val="single" w:sz="18" w:space="0" w:color="auto"/>
              <w:left w:val="nil"/>
              <w:bottom w:val="nil"/>
              <w:right w:val="nil"/>
            </w:tcBorders>
            <w:shd w:val="clear" w:color="auto" w:fill="B8CCE4" w:themeFill="accent1" w:themeFillTint="66"/>
            <w:noWrap/>
          </w:tcPr>
          <w:p w14:paraId="1088EF66" w14:textId="77777777" w:rsidR="002D4EFC" w:rsidRPr="00D534B0" w:rsidRDefault="002D4EFC" w:rsidP="00974B66">
            <w:pPr>
              <w:pStyle w:val="TableText"/>
              <w:rPr>
                <w:rFonts w:ascii="Times New Roman" w:hAnsi="Times New Roman"/>
                <w:b/>
                <w:bCs/>
                <w:lang w:val="en-US" w:eastAsia="ko-KR"/>
              </w:rPr>
            </w:pPr>
          </w:p>
        </w:tc>
        <w:tc>
          <w:tcPr>
            <w:tcW w:w="1985" w:type="dxa"/>
            <w:tcBorders>
              <w:top w:val="single" w:sz="18" w:space="0" w:color="auto"/>
              <w:left w:val="nil"/>
              <w:bottom w:val="nil"/>
              <w:right w:val="nil"/>
            </w:tcBorders>
            <w:shd w:val="clear" w:color="auto" w:fill="B8CCE4" w:themeFill="accent1" w:themeFillTint="66"/>
            <w:noWrap/>
          </w:tcPr>
          <w:p w14:paraId="7054C32A" w14:textId="77777777" w:rsidR="002D4EFC" w:rsidRPr="00D534B0" w:rsidRDefault="002D4EFC" w:rsidP="00974B66">
            <w:pPr>
              <w:pStyle w:val="TableText"/>
              <w:rPr>
                <w:rFonts w:ascii="Times New Roman" w:hAnsi="Times New Roman"/>
                <w:b/>
                <w:bCs/>
                <w:lang w:val="en-US" w:eastAsia="ko-KR"/>
              </w:rPr>
            </w:pPr>
            <w:r w:rsidRPr="00D534B0">
              <w:rPr>
                <w:rFonts w:ascii="Times New Roman" w:hAnsi="Times New Roman"/>
                <w:b/>
                <w:bCs/>
                <w:lang w:val="en-US" w:eastAsia="ko-KR"/>
              </w:rPr>
              <w:t xml:space="preserve"> </w:t>
            </w:r>
          </w:p>
        </w:tc>
        <w:tc>
          <w:tcPr>
            <w:tcW w:w="851" w:type="dxa"/>
            <w:tcBorders>
              <w:top w:val="single" w:sz="18" w:space="0" w:color="auto"/>
              <w:left w:val="nil"/>
              <w:bottom w:val="nil"/>
              <w:right w:val="nil"/>
            </w:tcBorders>
            <w:shd w:val="clear" w:color="auto" w:fill="B8CCE4" w:themeFill="accent1" w:themeFillTint="66"/>
            <w:noWrap/>
          </w:tcPr>
          <w:p w14:paraId="7ED01B6A" w14:textId="77777777" w:rsidR="002D4EFC" w:rsidRPr="00D534B0" w:rsidRDefault="002D4EFC" w:rsidP="00974B66">
            <w:pPr>
              <w:pStyle w:val="TableText"/>
              <w:rPr>
                <w:rFonts w:ascii="Times New Roman" w:hAnsi="Times New Roman"/>
                <w:b/>
                <w:bCs/>
                <w:lang w:val="en-US" w:eastAsia="ko-KR"/>
              </w:rPr>
            </w:pPr>
            <w:r w:rsidRPr="00D534B0">
              <w:rPr>
                <w:rFonts w:ascii="Times New Roman" w:hAnsi="Times New Roman"/>
                <w:b/>
                <w:bCs/>
                <w:lang w:val="en-US" w:eastAsia="ko-KR"/>
              </w:rPr>
              <w:t>OR</w:t>
            </w:r>
          </w:p>
        </w:tc>
        <w:tc>
          <w:tcPr>
            <w:tcW w:w="2125" w:type="dxa"/>
            <w:gridSpan w:val="2"/>
            <w:tcBorders>
              <w:top w:val="single" w:sz="18" w:space="0" w:color="auto"/>
              <w:left w:val="nil"/>
              <w:bottom w:val="single" w:sz="8" w:space="0" w:color="auto"/>
              <w:right w:val="nil"/>
            </w:tcBorders>
            <w:shd w:val="clear" w:color="auto" w:fill="B8CCE4" w:themeFill="accent1" w:themeFillTint="66"/>
            <w:noWrap/>
          </w:tcPr>
          <w:p w14:paraId="10B8A6C6" w14:textId="77777777" w:rsidR="002D4EFC" w:rsidRPr="00D534B0" w:rsidRDefault="002D4EFC" w:rsidP="00974B66">
            <w:pPr>
              <w:pStyle w:val="TableText"/>
              <w:jc w:val="center"/>
              <w:rPr>
                <w:rFonts w:ascii="Times New Roman" w:hAnsi="Times New Roman"/>
                <w:b/>
                <w:bCs/>
                <w:i/>
                <w:iCs/>
                <w:lang w:val="en-US" w:eastAsia="ko-KR"/>
              </w:rPr>
            </w:pPr>
            <w:r w:rsidRPr="00D534B0">
              <w:rPr>
                <w:rFonts w:ascii="Times New Roman" w:hAnsi="Times New Roman"/>
                <w:b/>
                <w:bCs/>
                <w:i/>
                <w:iCs/>
                <w:lang w:val="en-US" w:eastAsia="ko-KR"/>
              </w:rPr>
              <w:t>95%CI</w:t>
            </w:r>
          </w:p>
        </w:tc>
      </w:tr>
      <w:tr w:rsidR="002D4EFC" w:rsidRPr="00D534B0" w14:paraId="3EEFB2C2" w14:textId="77777777" w:rsidTr="00974B66">
        <w:trPr>
          <w:trHeight w:val="264"/>
        </w:trPr>
        <w:tc>
          <w:tcPr>
            <w:tcW w:w="1985" w:type="dxa"/>
            <w:tcBorders>
              <w:left w:val="nil"/>
              <w:bottom w:val="single" w:sz="8" w:space="0" w:color="auto"/>
              <w:right w:val="nil"/>
            </w:tcBorders>
            <w:shd w:val="clear" w:color="auto" w:fill="auto"/>
            <w:noWrap/>
          </w:tcPr>
          <w:p w14:paraId="12AFEE9C" w14:textId="77777777" w:rsidR="002D4EFC" w:rsidRPr="00D534B0" w:rsidRDefault="002D4EFC" w:rsidP="00974B66">
            <w:pPr>
              <w:pStyle w:val="TableText"/>
              <w:rPr>
                <w:rFonts w:ascii="Times New Roman" w:hAnsi="Times New Roman"/>
                <w:b/>
                <w:bCs/>
                <w:lang w:val="en-US" w:eastAsia="ko-KR"/>
              </w:rPr>
            </w:pPr>
          </w:p>
        </w:tc>
        <w:tc>
          <w:tcPr>
            <w:tcW w:w="2268" w:type="dxa"/>
            <w:tcBorders>
              <w:left w:val="nil"/>
              <w:bottom w:val="single" w:sz="8" w:space="0" w:color="auto"/>
              <w:right w:val="nil"/>
            </w:tcBorders>
            <w:shd w:val="clear" w:color="auto" w:fill="auto"/>
            <w:noWrap/>
          </w:tcPr>
          <w:p w14:paraId="02619072" w14:textId="77777777" w:rsidR="002D4EFC" w:rsidRPr="00D534B0" w:rsidRDefault="002D4EFC" w:rsidP="00974B66">
            <w:pPr>
              <w:pStyle w:val="TableText"/>
              <w:rPr>
                <w:rFonts w:ascii="Times New Roman" w:hAnsi="Times New Roman"/>
                <w:b/>
                <w:bCs/>
                <w:lang w:val="en-US" w:eastAsia="ko-KR"/>
              </w:rPr>
            </w:pPr>
            <w:r w:rsidRPr="00D534B0">
              <w:rPr>
                <w:rFonts w:ascii="Times New Roman" w:hAnsi="Times New Roman"/>
                <w:b/>
                <w:bCs/>
                <w:lang w:val="en-US" w:eastAsia="ko-KR"/>
              </w:rPr>
              <w:t>Base value</w:t>
            </w:r>
          </w:p>
        </w:tc>
        <w:tc>
          <w:tcPr>
            <w:tcW w:w="1985" w:type="dxa"/>
            <w:tcBorders>
              <w:left w:val="nil"/>
              <w:bottom w:val="single" w:sz="8" w:space="0" w:color="auto"/>
              <w:right w:val="nil"/>
            </w:tcBorders>
            <w:shd w:val="clear" w:color="auto" w:fill="auto"/>
            <w:noWrap/>
          </w:tcPr>
          <w:p w14:paraId="73EF1A9C" w14:textId="77777777" w:rsidR="002D4EFC" w:rsidRPr="00D534B0" w:rsidRDefault="002D4EFC" w:rsidP="00974B66">
            <w:pPr>
              <w:pStyle w:val="TableText"/>
              <w:rPr>
                <w:rFonts w:ascii="Times New Roman" w:hAnsi="Times New Roman"/>
                <w:b/>
                <w:bCs/>
                <w:lang w:val="en-US" w:eastAsia="ko-KR"/>
              </w:rPr>
            </w:pPr>
            <w:r w:rsidRPr="00D534B0">
              <w:rPr>
                <w:rFonts w:ascii="Times New Roman" w:hAnsi="Times New Roman"/>
                <w:b/>
                <w:bCs/>
                <w:lang w:val="en-US" w:eastAsia="ko-KR"/>
              </w:rPr>
              <w:t>Comparator levels</w:t>
            </w:r>
          </w:p>
        </w:tc>
        <w:tc>
          <w:tcPr>
            <w:tcW w:w="851" w:type="dxa"/>
            <w:tcBorders>
              <w:left w:val="nil"/>
              <w:bottom w:val="single" w:sz="8" w:space="0" w:color="auto"/>
              <w:right w:val="nil"/>
            </w:tcBorders>
            <w:shd w:val="clear" w:color="auto" w:fill="auto"/>
            <w:noWrap/>
          </w:tcPr>
          <w:p w14:paraId="36DCD187" w14:textId="77777777" w:rsidR="002D4EFC" w:rsidRPr="00D534B0" w:rsidRDefault="002D4EFC" w:rsidP="00974B66">
            <w:pPr>
              <w:pStyle w:val="TableText"/>
              <w:rPr>
                <w:rFonts w:ascii="Times New Roman" w:hAnsi="Times New Roman"/>
                <w:b/>
                <w:bCs/>
                <w:lang w:val="en-US" w:eastAsia="ko-KR"/>
              </w:rPr>
            </w:pPr>
          </w:p>
        </w:tc>
        <w:tc>
          <w:tcPr>
            <w:tcW w:w="851" w:type="dxa"/>
            <w:tcBorders>
              <w:top w:val="single" w:sz="8" w:space="0" w:color="auto"/>
              <w:left w:val="nil"/>
              <w:bottom w:val="single" w:sz="8" w:space="0" w:color="auto"/>
              <w:right w:val="nil"/>
            </w:tcBorders>
            <w:shd w:val="clear" w:color="auto" w:fill="auto"/>
            <w:noWrap/>
          </w:tcPr>
          <w:p w14:paraId="505F0661" w14:textId="77777777" w:rsidR="002D4EFC" w:rsidRPr="00D534B0" w:rsidRDefault="002D4EFC" w:rsidP="00974B66">
            <w:pPr>
              <w:pStyle w:val="TableText"/>
              <w:rPr>
                <w:rFonts w:ascii="Times New Roman" w:hAnsi="Times New Roman"/>
                <w:b/>
                <w:bCs/>
                <w:lang w:val="en-US" w:eastAsia="ko-KR"/>
              </w:rPr>
            </w:pPr>
            <w:r w:rsidRPr="00D534B0">
              <w:rPr>
                <w:rFonts w:ascii="Times New Roman" w:hAnsi="Times New Roman"/>
                <w:b/>
                <w:bCs/>
                <w:lang w:val="en-US" w:eastAsia="ko-KR"/>
              </w:rPr>
              <w:t>Lo</w:t>
            </w:r>
          </w:p>
        </w:tc>
        <w:tc>
          <w:tcPr>
            <w:tcW w:w="1274" w:type="dxa"/>
            <w:tcBorders>
              <w:top w:val="single" w:sz="8" w:space="0" w:color="auto"/>
              <w:left w:val="nil"/>
              <w:bottom w:val="single" w:sz="8" w:space="0" w:color="auto"/>
              <w:right w:val="nil"/>
            </w:tcBorders>
            <w:shd w:val="clear" w:color="auto" w:fill="auto"/>
            <w:noWrap/>
          </w:tcPr>
          <w:p w14:paraId="68848503" w14:textId="77777777" w:rsidR="002D4EFC" w:rsidRPr="00D534B0" w:rsidRDefault="002D4EFC" w:rsidP="00974B66">
            <w:pPr>
              <w:pStyle w:val="TableText"/>
              <w:rPr>
                <w:rFonts w:ascii="Times New Roman" w:hAnsi="Times New Roman"/>
                <w:b/>
                <w:bCs/>
                <w:lang w:val="en-US" w:eastAsia="ko-KR"/>
              </w:rPr>
            </w:pPr>
            <w:r w:rsidRPr="00D534B0">
              <w:rPr>
                <w:rFonts w:ascii="Times New Roman" w:hAnsi="Times New Roman"/>
                <w:b/>
                <w:bCs/>
                <w:lang w:val="en-US" w:eastAsia="ko-KR"/>
              </w:rPr>
              <w:t>Hi</w:t>
            </w:r>
          </w:p>
        </w:tc>
      </w:tr>
      <w:tr w:rsidR="002D4EFC" w:rsidRPr="00D534B0" w14:paraId="0D5A5CA1" w14:textId="77777777" w:rsidTr="00974B66">
        <w:trPr>
          <w:trHeight w:val="264"/>
        </w:trPr>
        <w:tc>
          <w:tcPr>
            <w:tcW w:w="1985" w:type="dxa"/>
            <w:tcBorders>
              <w:top w:val="single" w:sz="8" w:space="0" w:color="auto"/>
              <w:left w:val="nil"/>
              <w:bottom w:val="nil"/>
              <w:right w:val="nil"/>
            </w:tcBorders>
            <w:shd w:val="clear" w:color="auto" w:fill="auto"/>
            <w:noWrap/>
          </w:tcPr>
          <w:p w14:paraId="0CA9A12F" w14:textId="77777777" w:rsidR="002D4EFC" w:rsidRPr="00D534B0" w:rsidRDefault="002D4EFC" w:rsidP="00974B66">
            <w:pPr>
              <w:pStyle w:val="TableText"/>
              <w:rPr>
                <w:rFonts w:ascii="Times New Roman" w:hAnsi="Times New Roman"/>
                <w:lang w:val="en-US" w:eastAsia="ko-KR"/>
              </w:rPr>
            </w:pPr>
            <w:r w:rsidRPr="00D534B0">
              <w:rPr>
                <w:rFonts w:ascii="Times New Roman" w:hAnsi="Times New Roman"/>
                <w:lang w:val="en-US" w:eastAsia="ko-KR"/>
              </w:rPr>
              <w:t>Age (years)</w:t>
            </w:r>
          </w:p>
        </w:tc>
        <w:tc>
          <w:tcPr>
            <w:tcW w:w="2268" w:type="dxa"/>
            <w:tcBorders>
              <w:top w:val="single" w:sz="8" w:space="0" w:color="auto"/>
              <w:left w:val="nil"/>
              <w:bottom w:val="nil"/>
              <w:right w:val="nil"/>
            </w:tcBorders>
            <w:shd w:val="clear" w:color="auto" w:fill="auto"/>
            <w:noWrap/>
          </w:tcPr>
          <w:p w14:paraId="62994058" w14:textId="77777777" w:rsidR="002D4EFC" w:rsidRPr="00D534B0" w:rsidRDefault="002D4EFC" w:rsidP="00974B66">
            <w:pPr>
              <w:pStyle w:val="TableText"/>
              <w:rPr>
                <w:rFonts w:ascii="Times New Roman" w:hAnsi="Times New Roman"/>
                <w:lang w:val="en-US" w:eastAsia="ko-KR"/>
              </w:rPr>
            </w:pPr>
            <w:r w:rsidRPr="00D534B0">
              <w:rPr>
                <w:rFonts w:ascii="Times New Roman" w:hAnsi="Times New Roman"/>
                <w:lang w:val="en-US" w:eastAsia="ko-KR"/>
              </w:rPr>
              <w:t>20-29</w:t>
            </w:r>
          </w:p>
        </w:tc>
        <w:tc>
          <w:tcPr>
            <w:tcW w:w="1985" w:type="dxa"/>
            <w:tcBorders>
              <w:top w:val="single" w:sz="8" w:space="0" w:color="auto"/>
              <w:left w:val="nil"/>
              <w:bottom w:val="nil"/>
              <w:right w:val="nil"/>
            </w:tcBorders>
            <w:shd w:val="clear" w:color="auto" w:fill="auto"/>
            <w:noWrap/>
          </w:tcPr>
          <w:p w14:paraId="2C46599F" w14:textId="77777777" w:rsidR="002D4EFC" w:rsidRPr="00D534B0" w:rsidRDefault="002D4EFC" w:rsidP="00974B66">
            <w:pPr>
              <w:pStyle w:val="TableText"/>
              <w:rPr>
                <w:rFonts w:ascii="Times New Roman" w:hAnsi="Times New Roman"/>
                <w:lang w:val="en-US" w:eastAsia="ko-KR"/>
              </w:rPr>
            </w:pPr>
            <w:r w:rsidRPr="00D534B0">
              <w:rPr>
                <w:rFonts w:ascii="Times New Roman" w:hAnsi="Times New Roman"/>
                <w:lang w:val="en-US" w:eastAsia="ko-KR"/>
              </w:rPr>
              <w:t>30-39</w:t>
            </w:r>
          </w:p>
        </w:tc>
        <w:tc>
          <w:tcPr>
            <w:tcW w:w="851" w:type="dxa"/>
            <w:tcBorders>
              <w:top w:val="single" w:sz="8" w:space="0" w:color="auto"/>
              <w:left w:val="nil"/>
              <w:bottom w:val="nil"/>
              <w:right w:val="nil"/>
            </w:tcBorders>
            <w:shd w:val="clear" w:color="auto" w:fill="auto"/>
            <w:noWrap/>
          </w:tcPr>
          <w:p w14:paraId="21E8E096" w14:textId="77777777" w:rsidR="002D4EFC" w:rsidRPr="00D534B0" w:rsidRDefault="002D4EFC" w:rsidP="00974B66">
            <w:pPr>
              <w:pStyle w:val="TableText"/>
              <w:jc w:val="center"/>
              <w:rPr>
                <w:rFonts w:ascii="Times New Roman" w:hAnsi="Times New Roman"/>
                <w:lang w:val="en-US" w:eastAsia="ko-KR"/>
              </w:rPr>
            </w:pPr>
            <w:r w:rsidRPr="00D534B0">
              <w:rPr>
                <w:rFonts w:ascii="Times New Roman" w:hAnsi="Times New Roman"/>
                <w:lang w:val="en-US" w:eastAsia="ko-KR"/>
              </w:rPr>
              <w:t>0.79</w:t>
            </w:r>
          </w:p>
        </w:tc>
        <w:tc>
          <w:tcPr>
            <w:tcW w:w="851" w:type="dxa"/>
            <w:tcBorders>
              <w:top w:val="single" w:sz="8" w:space="0" w:color="auto"/>
              <w:left w:val="nil"/>
              <w:bottom w:val="nil"/>
              <w:right w:val="nil"/>
            </w:tcBorders>
            <w:shd w:val="clear" w:color="auto" w:fill="auto"/>
            <w:noWrap/>
          </w:tcPr>
          <w:p w14:paraId="7DFC9A54" w14:textId="77777777" w:rsidR="002D4EFC" w:rsidRPr="00D534B0" w:rsidRDefault="002D4EFC" w:rsidP="00974B66">
            <w:pPr>
              <w:pStyle w:val="TableText"/>
              <w:jc w:val="center"/>
              <w:rPr>
                <w:rFonts w:ascii="Times New Roman" w:hAnsi="Times New Roman"/>
                <w:lang w:val="en-US" w:eastAsia="ko-KR"/>
              </w:rPr>
            </w:pPr>
            <w:r w:rsidRPr="00D534B0">
              <w:rPr>
                <w:rFonts w:ascii="Times New Roman" w:hAnsi="Times New Roman"/>
                <w:lang w:val="en-US" w:eastAsia="ko-KR"/>
              </w:rPr>
              <w:t>0.66</w:t>
            </w:r>
          </w:p>
        </w:tc>
        <w:tc>
          <w:tcPr>
            <w:tcW w:w="1274" w:type="dxa"/>
            <w:tcBorders>
              <w:top w:val="single" w:sz="8" w:space="0" w:color="auto"/>
              <w:left w:val="nil"/>
              <w:bottom w:val="nil"/>
              <w:right w:val="nil"/>
            </w:tcBorders>
            <w:shd w:val="clear" w:color="auto" w:fill="auto"/>
            <w:noWrap/>
          </w:tcPr>
          <w:p w14:paraId="5EB97F6D" w14:textId="77777777" w:rsidR="002D4EFC" w:rsidRPr="00D534B0" w:rsidRDefault="002D4EFC" w:rsidP="00974B66">
            <w:pPr>
              <w:pStyle w:val="TableText"/>
              <w:jc w:val="center"/>
              <w:rPr>
                <w:rFonts w:ascii="Times New Roman" w:hAnsi="Times New Roman"/>
                <w:lang w:val="en-US" w:eastAsia="ko-KR"/>
              </w:rPr>
            </w:pPr>
            <w:r w:rsidRPr="00D534B0">
              <w:rPr>
                <w:rFonts w:ascii="Times New Roman" w:hAnsi="Times New Roman"/>
                <w:lang w:val="en-US" w:eastAsia="ko-KR"/>
              </w:rPr>
              <w:t>0.94</w:t>
            </w:r>
          </w:p>
        </w:tc>
      </w:tr>
      <w:tr w:rsidR="002D4EFC" w:rsidRPr="00D534B0" w14:paraId="5A1D5E36" w14:textId="77777777" w:rsidTr="00974B66">
        <w:trPr>
          <w:trHeight w:val="264"/>
        </w:trPr>
        <w:tc>
          <w:tcPr>
            <w:tcW w:w="1985" w:type="dxa"/>
            <w:tcBorders>
              <w:top w:val="nil"/>
              <w:left w:val="nil"/>
              <w:bottom w:val="nil"/>
              <w:right w:val="nil"/>
            </w:tcBorders>
            <w:shd w:val="clear" w:color="auto" w:fill="auto"/>
            <w:noWrap/>
          </w:tcPr>
          <w:p w14:paraId="5EA052C5" w14:textId="77777777" w:rsidR="002D4EFC" w:rsidRPr="00D534B0" w:rsidRDefault="002D4EFC" w:rsidP="00974B66">
            <w:pPr>
              <w:pStyle w:val="TableText"/>
              <w:rPr>
                <w:rFonts w:ascii="Times New Roman" w:hAnsi="Times New Roman"/>
                <w:lang w:val="en-US" w:eastAsia="ko-KR"/>
              </w:rPr>
            </w:pPr>
          </w:p>
        </w:tc>
        <w:tc>
          <w:tcPr>
            <w:tcW w:w="2268" w:type="dxa"/>
            <w:tcBorders>
              <w:top w:val="nil"/>
              <w:left w:val="nil"/>
              <w:bottom w:val="nil"/>
              <w:right w:val="nil"/>
            </w:tcBorders>
            <w:shd w:val="clear" w:color="auto" w:fill="auto"/>
            <w:noWrap/>
          </w:tcPr>
          <w:p w14:paraId="479437F1" w14:textId="77777777" w:rsidR="002D4EFC" w:rsidRPr="00D534B0" w:rsidRDefault="002D4EFC" w:rsidP="00974B66">
            <w:pPr>
              <w:pStyle w:val="TableText"/>
              <w:rPr>
                <w:rFonts w:ascii="Times New Roman" w:hAnsi="Times New Roman"/>
                <w:lang w:val="en-US" w:eastAsia="ko-KR"/>
              </w:rPr>
            </w:pPr>
          </w:p>
        </w:tc>
        <w:tc>
          <w:tcPr>
            <w:tcW w:w="1985" w:type="dxa"/>
            <w:tcBorders>
              <w:top w:val="nil"/>
              <w:left w:val="nil"/>
              <w:bottom w:val="nil"/>
              <w:right w:val="nil"/>
            </w:tcBorders>
            <w:shd w:val="clear" w:color="auto" w:fill="auto"/>
            <w:noWrap/>
          </w:tcPr>
          <w:p w14:paraId="1C32F35E" w14:textId="77777777" w:rsidR="002D4EFC" w:rsidRPr="00D534B0" w:rsidRDefault="002D4EFC" w:rsidP="00974B66">
            <w:pPr>
              <w:pStyle w:val="TableText"/>
              <w:rPr>
                <w:rFonts w:ascii="Times New Roman" w:hAnsi="Times New Roman"/>
                <w:lang w:val="en-US" w:eastAsia="ko-KR"/>
              </w:rPr>
            </w:pPr>
            <w:r w:rsidRPr="00D534B0">
              <w:rPr>
                <w:rFonts w:ascii="Times New Roman" w:hAnsi="Times New Roman"/>
                <w:lang w:val="en-US" w:eastAsia="ko-KR"/>
              </w:rPr>
              <w:t>40-49</w:t>
            </w:r>
          </w:p>
        </w:tc>
        <w:tc>
          <w:tcPr>
            <w:tcW w:w="851" w:type="dxa"/>
            <w:tcBorders>
              <w:top w:val="nil"/>
              <w:left w:val="nil"/>
              <w:bottom w:val="nil"/>
              <w:right w:val="nil"/>
            </w:tcBorders>
            <w:shd w:val="clear" w:color="auto" w:fill="auto"/>
            <w:noWrap/>
          </w:tcPr>
          <w:p w14:paraId="69AF1651" w14:textId="77777777" w:rsidR="002D4EFC" w:rsidRPr="00D534B0" w:rsidRDefault="002D4EFC" w:rsidP="00974B66">
            <w:pPr>
              <w:pStyle w:val="TableText"/>
              <w:jc w:val="center"/>
              <w:rPr>
                <w:rFonts w:ascii="Times New Roman" w:hAnsi="Times New Roman"/>
                <w:lang w:val="en-US" w:eastAsia="ko-KR"/>
              </w:rPr>
            </w:pPr>
            <w:r w:rsidRPr="00D534B0">
              <w:rPr>
                <w:rFonts w:ascii="Times New Roman" w:hAnsi="Times New Roman"/>
                <w:lang w:val="en-US" w:eastAsia="ko-KR"/>
              </w:rPr>
              <w:t>0.35</w:t>
            </w:r>
          </w:p>
        </w:tc>
        <w:tc>
          <w:tcPr>
            <w:tcW w:w="851" w:type="dxa"/>
            <w:tcBorders>
              <w:top w:val="nil"/>
              <w:left w:val="nil"/>
              <w:bottom w:val="nil"/>
              <w:right w:val="nil"/>
            </w:tcBorders>
            <w:shd w:val="clear" w:color="auto" w:fill="auto"/>
            <w:noWrap/>
          </w:tcPr>
          <w:p w14:paraId="7CF811F7" w14:textId="77777777" w:rsidR="002D4EFC" w:rsidRPr="00D534B0" w:rsidRDefault="002D4EFC" w:rsidP="00974B66">
            <w:pPr>
              <w:pStyle w:val="TableText"/>
              <w:jc w:val="center"/>
              <w:rPr>
                <w:rFonts w:ascii="Times New Roman" w:hAnsi="Times New Roman"/>
                <w:lang w:val="en-US" w:eastAsia="ko-KR"/>
              </w:rPr>
            </w:pPr>
            <w:r w:rsidRPr="00D534B0">
              <w:rPr>
                <w:rFonts w:ascii="Times New Roman" w:hAnsi="Times New Roman"/>
                <w:lang w:val="en-US" w:eastAsia="ko-KR"/>
              </w:rPr>
              <w:t>0.27</w:t>
            </w:r>
          </w:p>
        </w:tc>
        <w:tc>
          <w:tcPr>
            <w:tcW w:w="1274" w:type="dxa"/>
            <w:tcBorders>
              <w:top w:val="nil"/>
              <w:left w:val="nil"/>
              <w:bottom w:val="nil"/>
              <w:right w:val="nil"/>
            </w:tcBorders>
            <w:shd w:val="clear" w:color="auto" w:fill="auto"/>
            <w:noWrap/>
          </w:tcPr>
          <w:p w14:paraId="53D62A30" w14:textId="77777777" w:rsidR="002D4EFC" w:rsidRPr="00D534B0" w:rsidRDefault="002D4EFC" w:rsidP="00974B66">
            <w:pPr>
              <w:pStyle w:val="TableText"/>
              <w:jc w:val="center"/>
              <w:rPr>
                <w:rFonts w:ascii="Times New Roman" w:hAnsi="Times New Roman"/>
                <w:lang w:val="en-US" w:eastAsia="ko-KR"/>
              </w:rPr>
            </w:pPr>
            <w:r w:rsidRPr="00D534B0">
              <w:rPr>
                <w:rFonts w:ascii="Times New Roman" w:hAnsi="Times New Roman"/>
                <w:lang w:val="en-US" w:eastAsia="ko-KR"/>
              </w:rPr>
              <w:t>0.45</w:t>
            </w:r>
          </w:p>
        </w:tc>
      </w:tr>
      <w:tr w:rsidR="002D4EFC" w:rsidRPr="00D534B0" w14:paraId="7DCD7FBD" w14:textId="77777777" w:rsidTr="00974B66">
        <w:trPr>
          <w:trHeight w:val="264"/>
        </w:trPr>
        <w:tc>
          <w:tcPr>
            <w:tcW w:w="1985" w:type="dxa"/>
            <w:tcBorders>
              <w:top w:val="nil"/>
              <w:left w:val="nil"/>
              <w:bottom w:val="nil"/>
              <w:right w:val="nil"/>
            </w:tcBorders>
            <w:shd w:val="clear" w:color="auto" w:fill="auto"/>
            <w:noWrap/>
          </w:tcPr>
          <w:p w14:paraId="33B4113D" w14:textId="77777777" w:rsidR="002D4EFC" w:rsidRPr="00D534B0" w:rsidRDefault="002D4EFC" w:rsidP="00974B66">
            <w:pPr>
              <w:pStyle w:val="TableText"/>
              <w:rPr>
                <w:rFonts w:ascii="Times New Roman" w:hAnsi="Times New Roman"/>
                <w:lang w:val="en-US" w:eastAsia="ko-KR"/>
              </w:rPr>
            </w:pPr>
          </w:p>
        </w:tc>
        <w:tc>
          <w:tcPr>
            <w:tcW w:w="2268" w:type="dxa"/>
            <w:tcBorders>
              <w:top w:val="nil"/>
              <w:left w:val="nil"/>
              <w:bottom w:val="nil"/>
              <w:right w:val="nil"/>
            </w:tcBorders>
            <w:shd w:val="clear" w:color="auto" w:fill="auto"/>
            <w:noWrap/>
          </w:tcPr>
          <w:p w14:paraId="1E061FEA" w14:textId="77777777" w:rsidR="002D4EFC" w:rsidRPr="00D534B0" w:rsidRDefault="002D4EFC" w:rsidP="00974B66">
            <w:pPr>
              <w:pStyle w:val="TableText"/>
              <w:rPr>
                <w:rFonts w:ascii="Times New Roman" w:hAnsi="Times New Roman"/>
                <w:lang w:val="en-US" w:eastAsia="ko-KR"/>
              </w:rPr>
            </w:pPr>
          </w:p>
        </w:tc>
        <w:tc>
          <w:tcPr>
            <w:tcW w:w="1985" w:type="dxa"/>
            <w:tcBorders>
              <w:top w:val="nil"/>
              <w:left w:val="nil"/>
              <w:bottom w:val="nil"/>
              <w:right w:val="nil"/>
            </w:tcBorders>
            <w:shd w:val="clear" w:color="auto" w:fill="auto"/>
            <w:noWrap/>
          </w:tcPr>
          <w:p w14:paraId="6C0303CF" w14:textId="77777777" w:rsidR="002D4EFC" w:rsidRPr="00D534B0" w:rsidRDefault="002D4EFC" w:rsidP="00974B66">
            <w:pPr>
              <w:pStyle w:val="TableText"/>
              <w:rPr>
                <w:rFonts w:ascii="Times New Roman" w:hAnsi="Times New Roman"/>
                <w:lang w:val="en-US" w:eastAsia="ko-KR"/>
              </w:rPr>
            </w:pPr>
            <w:r w:rsidRPr="00D534B0">
              <w:rPr>
                <w:rFonts w:ascii="Times New Roman" w:hAnsi="Times New Roman"/>
                <w:lang w:val="en-US" w:eastAsia="ko-KR"/>
              </w:rPr>
              <w:t>50+</w:t>
            </w:r>
          </w:p>
        </w:tc>
        <w:tc>
          <w:tcPr>
            <w:tcW w:w="851" w:type="dxa"/>
            <w:tcBorders>
              <w:top w:val="nil"/>
              <w:left w:val="nil"/>
              <w:bottom w:val="nil"/>
              <w:right w:val="nil"/>
            </w:tcBorders>
            <w:shd w:val="clear" w:color="auto" w:fill="auto"/>
            <w:noWrap/>
          </w:tcPr>
          <w:p w14:paraId="4AB6180E" w14:textId="77777777" w:rsidR="002D4EFC" w:rsidRPr="00D534B0" w:rsidRDefault="002D4EFC" w:rsidP="00974B66">
            <w:pPr>
              <w:pStyle w:val="TableText"/>
              <w:jc w:val="center"/>
              <w:rPr>
                <w:rFonts w:ascii="Times New Roman" w:hAnsi="Times New Roman"/>
                <w:lang w:val="en-US" w:eastAsia="ko-KR"/>
              </w:rPr>
            </w:pPr>
            <w:r w:rsidRPr="00D534B0">
              <w:rPr>
                <w:rFonts w:ascii="Times New Roman" w:hAnsi="Times New Roman"/>
                <w:lang w:val="en-US" w:eastAsia="ko-KR"/>
              </w:rPr>
              <w:t>0.14</w:t>
            </w:r>
          </w:p>
        </w:tc>
        <w:tc>
          <w:tcPr>
            <w:tcW w:w="851" w:type="dxa"/>
            <w:tcBorders>
              <w:top w:val="nil"/>
              <w:left w:val="nil"/>
              <w:bottom w:val="nil"/>
              <w:right w:val="nil"/>
            </w:tcBorders>
            <w:shd w:val="clear" w:color="auto" w:fill="auto"/>
            <w:noWrap/>
          </w:tcPr>
          <w:p w14:paraId="46C5B4AA" w14:textId="77777777" w:rsidR="002D4EFC" w:rsidRPr="00D534B0" w:rsidRDefault="002D4EFC" w:rsidP="00974B66">
            <w:pPr>
              <w:pStyle w:val="TableText"/>
              <w:jc w:val="center"/>
              <w:rPr>
                <w:rFonts w:ascii="Times New Roman" w:hAnsi="Times New Roman"/>
                <w:lang w:val="en-US" w:eastAsia="ko-KR"/>
              </w:rPr>
            </w:pPr>
            <w:r w:rsidRPr="00D534B0">
              <w:rPr>
                <w:rFonts w:ascii="Times New Roman" w:hAnsi="Times New Roman"/>
                <w:lang w:val="en-US" w:eastAsia="ko-KR"/>
              </w:rPr>
              <w:t>0.09</w:t>
            </w:r>
          </w:p>
        </w:tc>
        <w:tc>
          <w:tcPr>
            <w:tcW w:w="1274" w:type="dxa"/>
            <w:tcBorders>
              <w:top w:val="nil"/>
              <w:left w:val="nil"/>
              <w:bottom w:val="nil"/>
              <w:right w:val="nil"/>
            </w:tcBorders>
            <w:shd w:val="clear" w:color="auto" w:fill="auto"/>
            <w:noWrap/>
          </w:tcPr>
          <w:p w14:paraId="29B0C6F5" w14:textId="77777777" w:rsidR="002D4EFC" w:rsidRPr="00D534B0" w:rsidRDefault="002D4EFC" w:rsidP="00974B66">
            <w:pPr>
              <w:pStyle w:val="TableText"/>
              <w:jc w:val="center"/>
              <w:rPr>
                <w:rFonts w:ascii="Times New Roman" w:hAnsi="Times New Roman"/>
                <w:lang w:val="en-US" w:eastAsia="ko-KR"/>
              </w:rPr>
            </w:pPr>
            <w:r w:rsidRPr="00D534B0">
              <w:rPr>
                <w:rFonts w:ascii="Times New Roman" w:hAnsi="Times New Roman"/>
                <w:lang w:val="en-US" w:eastAsia="ko-KR"/>
              </w:rPr>
              <w:t>0.22</w:t>
            </w:r>
          </w:p>
        </w:tc>
      </w:tr>
      <w:tr w:rsidR="002D4EFC" w:rsidRPr="00D534B0" w14:paraId="1EAC5834" w14:textId="77777777" w:rsidTr="00974B66">
        <w:trPr>
          <w:trHeight w:val="264"/>
        </w:trPr>
        <w:tc>
          <w:tcPr>
            <w:tcW w:w="1985" w:type="dxa"/>
            <w:tcBorders>
              <w:top w:val="nil"/>
              <w:left w:val="nil"/>
              <w:bottom w:val="nil"/>
              <w:right w:val="nil"/>
            </w:tcBorders>
            <w:shd w:val="clear" w:color="auto" w:fill="auto"/>
            <w:noWrap/>
          </w:tcPr>
          <w:p w14:paraId="4FAA7497" w14:textId="77777777" w:rsidR="002D4EFC" w:rsidRPr="00D534B0" w:rsidRDefault="002D4EFC" w:rsidP="00974B66">
            <w:pPr>
              <w:pStyle w:val="TableText"/>
              <w:rPr>
                <w:rFonts w:ascii="Times New Roman" w:hAnsi="Times New Roman"/>
                <w:lang w:val="en-US" w:eastAsia="ko-KR"/>
              </w:rPr>
            </w:pPr>
          </w:p>
        </w:tc>
        <w:tc>
          <w:tcPr>
            <w:tcW w:w="2268" w:type="dxa"/>
            <w:tcBorders>
              <w:top w:val="nil"/>
              <w:left w:val="nil"/>
              <w:bottom w:val="nil"/>
              <w:right w:val="nil"/>
            </w:tcBorders>
            <w:shd w:val="clear" w:color="auto" w:fill="auto"/>
            <w:noWrap/>
          </w:tcPr>
          <w:p w14:paraId="59479328" w14:textId="77777777" w:rsidR="002D4EFC" w:rsidRPr="00D534B0" w:rsidRDefault="002D4EFC" w:rsidP="00974B66">
            <w:pPr>
              <w:pStyle w:val="TableText"/>
              <w:rPr>
                <w:rFonts w:ascii="Times New Roman" w:hAnsi="Times New Roman"/>
                <w:lang w:val="en-US" w:eastAsia="ko-KR"/>
              </w:rPr>
            </w:pPr>
          </w:p>
        </w:tc>
        <w:tc>
          <w:tcPr>
            <w:tcW w:w="1985" w:type="dxa"/>
            <w:tcBorders>
              <w:top w:val="nil"/>
              <w:left w:val="nil"/>
              <w:bottom w:val="nil"/>
              <w:right w:val="nil"/>
            </w:tcBorders>
            <w:shd w:val="clear" w:color="auto" w:fill="auto"/>
            <w:noWrap/>
          </w:tcPr>
          <w:p w14:paraId="29E53841" w14:textId="77777777" w:rsidR="002D4EFC" w:rsidRPr="00D534B0" w:rsidRDefault="002D4EFC" w:rsidP="00974B66">
            <w:pPr>
              <w:pStyle w:val="TableText"/>
              <w:rPr>
                <w:rFonts w:ascii="Times New Roman" w:hAnsi="Times New Roman"/>
                <w:lang w:val="en-US" w:eastAsia="ko-KR"/>
              </w:rPr>
            </w:pPr>
          </w:p>
        </w:tc>
        <w:tc>
          <w:tcPr>
            <w:tcW w:w="851" w:type="dxa"/>
            <w:tcBorders>
              <w:top w:val="nil"/>
              <w:left w:val="nil"/>
              <w:bottom w:val="nil"/>
              <w:right w:val="nil"/>
            </w:tcBorders>
            <w:shd w:val="clear" w:color="auto" w:fill="auto"/>
            <w:noWrap/>
          </w:tcPr>
          <w:p w14:paraId="59ABDD78" w14:textId="77777777" w:rsidR="002D4EFC" w:rsidRPr="00D534B0" w:rsidRDefault="002D4EFC" w:rsidP="00974B66">
            <w:pPr>
              <w:pStyle w:val="TableText"/>
              <w:jc w:val="center"/>
              <w:rPr>
                <w:rFonts w:ascii="Times New Roman" w:hAnsi="Times New Roman"/>
                <w:lang w:val="en-US" w:eastAsia="ko-KR"/>
              </w:rPr>
            </w:pPr>
          </w:p>
        </w:tc>
        <w:tc>
          <w:tcPr>
            <w:tcW w:w="851" w:type="dxa"/>
            <w:tcBorders>
              <w:top w:val="nil"/>
              <w:left w:val="nil"/>
              <w:bottom w:val="nil"/>
              <w:right w:val="nil"/>
            </w:tcBorders>
            <w:shd w:val="clear" w:color="auto" w:fill="auto"/>
            <w:noWrap/>
          </w:tcPr>
          <w:p w14:paraId="315C25DA" w14:textId="77777777" w:rsidR="002D4EFC" w:rsidRPr="00D534B0" w:rsidRDefault="002D4EFC" w:rsidP="00974B66">
            <w:pPr>
              <w:pStyle w:val="TableText"/>
              <w:jc w:val="center"/>
              <w:rPr>
                <w:rFonts w:ascii="Times New Roman" w:hAnsi="Times New Roman"/>
                <w:lang w:val="en-US" w:eastAsia="ko-KR"/>
              </w:rPr>
            </w:pPr>
          </w:p>
        </w:tc>
        <w:tc>
          <w:tcPr>
            <w:tcW w:w="1274" w:type="dxa"/>
            <w:tcBorders>
              <w:top w:val="nil"/>
              <w:left w:val="nil"/>
              <w:bottom w:val="nil"/>
              <w:right w:val="nil"/>
            </w:tcBorders>
            <w:shd w:val="clear" w:color="auto" w:fill="auto"/>
            <w:noWrap/>
          </w:tcPr>
          <w:p w14:paraId="3724ED32" w14:textId="77777777" w:rsidR="002D4EFC" w:rsidRPr="00D534B0" w:rsidRDefault="002D4EFC" w:rsidP="00974B66">
            <w:pPr>
              <w:pStyle w:val="TableText"/>
              <w:jc w:val="center"/>
              <w:rPr>
                <w:rFonts w:ascii="Times New Roman" w:hAnsi="Times New Roman"/>
                <w:lang w:val="en-US" w:eastAsia="ko-KR"/>
              </w:rPr>
            </w:pPr>
          </w:p>
        </w:tc>
      </w:tr>
      <w:tr w:rsidR="002D4EFC" w:rsidRPr="00D534B0" w14:paraId="347C7C25" w14:textId="77777777" w:rsidTr="00974B66">
        <w:trPr>
          <w:trHeight w:val="264"/>
        </w:trPr>
        <w:tc>
          <w:tcPr>
            <w:tcW w:w="1985" w:type="dxa"/>
            <w:tcBorders>
              <w:top w:val="nil"/>
              <w:left w:val="nil"/>
              <w:bottom w:val="nil"/>
              <w:right w:val="nil"/>
            </w:tcBorders>
            <w:shd w:val="clear" w:color="auto" w:fill="auto"/>
            <w:noWrap/>
          </w:tcPr>
          <w:p w14:paraId="54C08FD7" w14:textId="77777777" w:rsidR="002D4EFC" w:rsidRPr="00D534B0" w:rsidRDefault="002D4EFC" w:rsidP="00974B66">
            <w:pPr>
              <w:pStyle w:val="TableText"/>
              <w:rPr>
                <w:rFonts w:ascii="Times New Roman" w:hAnsi="Times New Roman"/>
                <w:lang w:val="en-US" w:eastAsia="ko-KR"/>
              </w:rPr>
            </w:pPr>
            <w:r w:rsidRPr="00D534B0">
              <w:rPr>
                <w:rFonts w:ascii="Times New Roman" w:hAnsi="Times New Roman"/>
                <w:lang w:val="en-US" w:eastAsia="ko-KR"/>
              </w:rPr>
              <w:t>English test status</w:t>
            </w:r>
          </w:p>
        </w:tc>
        <w:tc>
          <w:tcPr>
            <w:tcW w:w="2268" w:type="dxa"/>
            <w:tcBorders>
              <w:top w:val="nil"/>
              <w:left w:val="nil"/>
              <w:bottom w:val="nil"/>
              <w:right w:val="nil"/>
            </w:tcBorders>
            <w:shd w:val="clear" w:color="auto" w:fill="auto"/>
            <w:noWrap/>
          </w:tcPr>
          <w:p w14:paraId="7A5B19D9" w14:textId="77777777" w:rsidR="002D4EFC" w:rsidRPr="00D534B0" w:rsidRDefault="002D4EFC" w:rsidP="00974B66">
            <w:pPr>
              <w:pStyle w:val="TableText"/>
              <w:rPr>
                <w:rFonts w:ascii="Times New Roman" w:hAnsi="Times New Roman"/>
                <w:lang w:val="en-US" w:eastAsia="ko-KR"/>
              </w:rPr>
            </w:pPr>
            <w:r w:rsidRPr="00D534B0">
              <w:rPr>
                <w:rFonts w:ascii="Times New Roman" w:hAnsi="Times New Roman"/>
                <w:lang w:val="en-US" w:eastAsia="ko-KR"/>
              </w:rPr>
              <w:t>Pre-OET passed</w:t>
            </w:r>
          </w:p>
        </w:tc>
        <w:tc>
          <w:tcPr>
            <w:tcW w:w="1985" w:type="dxa"/>
            <w:tcBorders>
              <w:top w:val="nil"/>
              <w:left w:val="nil"/>
              <w:bottom w:val="nil"/>
              <w:right w:val="nil"/>
            </w:tcBorders>
            <w:shd w:val="clear" w:color="auto" w:fill="auto"/>
            <w:noWrap/>
          </w:tcPr>
          <w:p w14:paraId="13FB8582" w14:textId="77777777" w:rsidR="002D4EFC" w:rsidRPr="00D534B0" w:rsidRDefault="002D4EFC" w:rsidP="00974B66">
            <w:pPr>
              <w:pStyle w:val="TableText"/>
              <w:rPr>
                <w:rFonts w:ascii="Times New Roman" w:hAnsi="Times New Roman"/>
                <w:lang w:val="en-US" w:eastAsia="ko-KR"/>
              </w:rPr>
            </w:pPr>
            <w:r w:rsidRPr="00D534B0">
              <w:rPr>
                <w:rFonts w:ascii="Times New Roman" w:hAnsi="Times New Roman"/>
                <w:lang w:val="en-US" w:eastAsia="ko-KR"/>
              </w:rPr>
              <w:t>Pre-OET unknown</w:t>
            </w:r>
          </w:p>
        </w:tc>
        <w:tc>
          <w:tcPr>
            <w:tcW w:w="851" w:type="dxa"/>
            <w:tcBorders>
              <w:top w:val="nil"/>
              <w:left w:val="nil"/>
              <w:bottom w:val="nil"/>
              <w:right w:val="nil"/>
            </w:tcBorders>
            <w:shd w:val="clear" w:color="auto" w:fill="auto"/>
            <w:noWrap/>
          </w:tcPr>
          <w:p w14:paraId="333D8074" w14:textId="77777777" w:rsidR="002D4EFC" w:rsidRPr="00D534B0" w:rsidRDefault="002D4EFC" w:rsidP="00974B66">
            <w:pPr>
              <w:pStyle w:val="TableText"/>
              <w:jc w:val="center"/>
              <w:rPr>
                <w:rFonts w:ascii="Times New Roman" w:hAnsi="Times New Roman"/>
                <w:lang w:val="en-US" w:eastAsia="ko-KR"/>
              </w:rPr>
            </w:pPr>
            <w:r w:rsidRPr="00D534B0">
              <w:rPr>
                <w:rFonts w:ascii="Times New Roman" w:hAnsi="Times New Roman"/>
                <w:lang w:val="en-US" w:eastAsia="ko-KR"/>
              </w:rPr>
              <w:t>0.06</w:t>
            </w:r>
          </w:p>
        </w:tc>
        <w:tc>
          <w:tcPr>
            <w:tcW w:w="851" w:type="dxa"/>
            <w:tcBorders>
              <w:top w:val="nil"/>
              <w:left w:val="nil"/>
              <w:bottom w:val="nil"/>
              <w:right w:val="nil"/>
            </w:tcBorders>
            <w:shd w:val="clear" w:color="auto" w:fill="auto"/>
            <w:noWrap/>
          </w:tcPr>
          <w:p w14:paraId="5975ACC5" w14:textId="77777777" w:rsidR="002D4EFC" w:rsidRPr="00D534B0" w:rsidRDefault="002D4EFC" w:rsidP="00974B66">
            <w:pPr>
              <w:pStyle w:val="TableText"/>
              <w:jc w:val="center"/>
              <w:rPr>
                <w:rFonts w:ascii="Times New Roman" w:hAnsi="Times New Roman"/>
                <w:lang w:val="en-US" w:eastAsia="ko-KR"/>
              </w:rPr>
            </w:pPr>
            <w:r w:rsidRPr="00D534B0">
              <w:rPr>
                <w:rFonts w:ascii="Times New Roman" w:hAnsi="Times New Roman"/>
                <w:lang w:val="en-US" w:eastAsia="ko-KR"/>
              </w:rPr>
              <w:t>0.04</w:t>
            </w:r>
          </w:p>
        </w:tc>
        <w:tc>
          <w:tcPr>
            <w:tcW w:w="1274" w:type="dxa"/>
            <w:tcBorders>
              <w:top w:val="nil"/>
              <w:left w:val="nil"/>
              <w:bottom w:val="nil"/>
              <w:right w:val="nil"/>
            </w:tcBorders>
            <w:shd w:val="clear" w:color="auto" w:fill="auto"/>
            <w:noWrap/>
          </w:tcPr>
          <w:p w14:paraId="1271D81D" w14:textId="77777777" w:rsidR="002D4EFC" w:rsidRPr="00D534B0" w:rsidRDefault="002D4EFC" w:rsidP="00974B66">
            <w:pPr>
              <w:pStyle w:val="TableText"/>
              <w:jc w:val="center"/>
              <w:rPr>
                <w:rFonts w:ascii="Times New Roman" w:hAnsi="Times New Roman"/>
                <w:lang w:val="en-US" w:eastAsia="ko-KR"/>
              </w:rPr>
            </w:pPr>
            <w:r w:rsidRPr="00D534B0">
              <w:rPr>
                <w:rFonts w:ascii="Times New Roman" w:hAnsi="Times New Roman"/>
                <w:lang w:val="en-US" w:eastAsia="ko-KR"/>
              </w:rPr>
              <w:t>0.08</w:t>
            </w:r>
          </w:p>
        </w:tc>
      </w:tr>
      <w:tr w:rsidR="002D4EFC" w:rsidRPr="00D534B0" w14:paraId="47F601BA" w14:textId="77777777" w:rsidTr="00974B66">
        <w:trPr>
          <w:trHeight w:val="264"/>
        </w:trPr>
        <w:tc>
          <w:tcPr>
            <w:tcW w:w="1985" w:type="dxa"/>
            <w:tcBorders>
              <w:top w:val="nil"/>
              <w:left w:val="nil"/>
              <w:bottom w:val="nil"/>
              <w:right w:val="nil"/>
            </w:tcBorders>
            <w:shd w:val="clear" w:color="auto" w:fill="auto"/>
            <w:noWrap/>
          </w:tcPr>
          <w:p w14:paraId="26B36658" w14:textId="77777777" w:rsidR="002D4EFC" w:rsidRPr="00D534B0" w:rsidRDefault="002D4EFC" w:rsidP="00974B66">
            <w:pPr>
              <w:pStyle w:val="TableText"/>
              <w:rPr>
                <w:rFonts w:ascii="Times New Roman" w:hAnsi="Times New Roman"/>
                <w:lang w:val="en-US" w:eastAsia="ko-KR"/>
              </w:rPr>
            </w:pPr>
          </w:p>
        </w:tc>
        <w:tc>
          <w:tcPr>
            <w:tcW w:w="2268" w:type="dxa"/>
            <w:tcBorders>
              <w:top w:val="nil"/>
              <w:left w:val="nil"/>
              <w:bottom w:val="nil"/>
              <w:right w:val="nil"/>
            </w:tcBorders>
            <w:shd w:val="clear" w:color="auto" w:fill="auto"/>
            <w:noWrap/>
          </w:tcPr>
          <w:p w14:paraId="4B69FBB6" w14:textId="77777777" w:rsidR="002D4EFC" w:rsidRPr="00D534B0" w:rsidRDefault="002D4EFC" w:rsidP="00974B66">
            <w:pPr>
              <w:pStyle w:val="TableText"/>
              <w:rPr>
                <w:rFonts w:ascii="Times New Roman" w:hAnsi="Times New Roman"/>
                <w:lang w:val="en-US" w:eastAsia="ko-KR"/>
              </w:rPr>
            </w:pPr>
          </w:p>
        </w:tc>
        <w:tc>
          <w:tcPr>
            <w:tcW w:w="1985" w:type="dxa"/>
            <w:tcBorders>
              <w:top w:val="nil"/>
              <w:left w:val="nil"/>
              <w:bottom w:val="nil"/>
              <w:right w:val="nil"/>
            </w:tcBorders>
            <w:shd w:val="clear" w:color="auto" w:fill="auto"/>
            <w:noWrap/>
          </w:tcPr>
          <w:p w14:paraId="3BEA425E" w14:textId="77777777" w:rsidR="002D4EFC" w:rsidRPr="00D534B0" w:rsidRDefault="002D4EFC" w:rsidP="00974B66">
            <w:pPr>
              <w:pStyle w:val="TableText"/>
              <w:rPr>
                <w:rFonts w:ascii="Times New Roman" w:hAnsi="Times New Roman"/>
                <w:lang w:val="en-US" w:eastAsia="ko-KR"/>
              </w:rPr>
            </w:pPr>
            <w:r w:rsidRPr="00D534B0">
              <w:rPr>
                <w:rFonts w:ascii="Times New Roman" w:hAnsi="Times New Roman"/>
                <w:lang w:val="en-US" w:eastAsia="ko-KR"/>
              </w:rPr>
              <w:t>IELTS/PLAB</w:t>
            </w:r>
          </w:p>
        </w:tc>
        <w:tc>
          <w:tcPr>
            <w:tcW w:w="851" w:type="dxa"/>
            <w:tcBorders>
              <w:top w:val="nil"/>
              <w:left w:val="nil"/>
              <w:bottom w:val="nil"/>
              <w:right w:val="nil"/>
            </w:tcBorders>
            <w:shd w:val="clear" w:color="auto" w:fill="auto"/>
            <w:noWrap/>
          </w:tcPr>
          <w:p w14:paraId="2500F468" w14:textId="77777777" w:rsidR="002D4EFC" w:rsidRPr="00D534B0" w:rsidRDefault="002D4EFC" w:rsidP="00974B66">
            <w:pPr>
              <w:pStyle w:val="TableText"/>
              <w:jc w:val="center"/>
              <w:rPr>
                <w:rFonts w:ascii="Times New Roman" w:hAnsi="Times New Roman"/>
                <w:lang w:val="en-US" w:eastAsia="ko-KR"/>
              </w:rPr>
            </w:pPr>
            <w:r w:rsidRPr="00D534B0">
              <w:rPr>
                <w:rFonts w:ascii="Times New Roman" w:hAnsi="Times New Roman"/>
                <w:lang w:val="en-US" w:eastAsia="ko-KR"/>
              </w:rPr>
              <w:t>0.23</w:t>
            </w:r>
          </w:p>
        </w:tc>
        <w:tc>
          <w:tcPr>
            <w:tcW w:w="851" w:type="dxa"/>
            <w:tcBorders>
              <w:top w:val="nil"/>
              <w:left w:val="nil"/>
              <w:bottom w:val="nil"/>
              <w:right w:val="nil"/>
            </w:tcBorders>
            <w:shd w:val="clear" w:color="auto" w:fill="auto"/>
            <w:noWrap/>
          </w:tcPr>
          <w:p w14:paraId="30ACEE9B" w14:textId="77777777" w:rsidR="002D4EFC" w:rsidRPr="00D534B0" w:rsidRDefault="002D4EFC" w:rsidP="00974B66">
            <w:pPr>
              <w:pStyle w:val="TableText"/>
              <w:jc w:val="center"/>
              <w:rPr>
                <w:rFonts w:ascii="Times New Roman" w:hAnsi="Times New Roman"/>
                <w:lang w:val="en-US" w:eastAsia="ko-KR"/>
              </w:rPr>
            </w:pPr>
            <w:r w:rsidRPr="00D534B0">
              <w:rPr>
                <w:rFonts w:ascii="Times New Roman" w:hAnsi="Times New Roman"/>
                <w:lang w:val="en-US" w:eastAsia="ko-KR"/>
              </w:rPr>
              <w:t>0.20</w:t>
            </w:r>
          </w:p>
        </w:tc>
        <w:tc>
          <w:tcPr>
            <w:tcW w:w="1274" w:type="dxa"/>
            <w:tcBorders>
              <w:top w:val="nil"/>
              <w:left w:val="nil"/>
              <w:bottom w:val="nil"/>
              <w:right w:val="nil"/>
            </w:tcBorders>
            <w:shd w:val="clear" w:color="auto" w:fill="auto"/>
            <w:noWrap/>
          </w:tcPr>
          <w:p w14:paraId="754A8C51" w14:textId="77777777" w:rsidR="002D4EFC" w:rsidRPr="00D534B0" w:rsidRDefault="002D4EFC" w:rsidP="00974B66">
            <w:pPr>
              <w:pStyle w:val="TableText"/>
              <w:jc w:val="center"/>
              <w:rPr>
                <w:rFonts w:ascii="Times New Roman" w:hAnsi="Times New Roman"/>
                <w:lang w:val="en-US" w:eastAsia="ko-KR"/>
              </w:rPr>
            </w:pPr>
            <w:r w:rsidRPr="00D534B0">
              <w:rPr>
                <w:rFonts w:ascii="Times New Roman" w:hAnsi="Times New Roman"/>
                <w:lang w:val="en-US" w:eastAsia="ko-KR"/>
              </w:rPr>
              <w:t>0.27</w:t>
            </w:r>
          </w:p>
        </w:tc>
      </w:tr>
      <w:tr w:rsidR="002D4EFC" w:rsidRPr="00D534B0" w14:paraId="754F5E7B" w14:textId="77777777" w:rsidTr="00974B66">
        <w:trPr>
          <w:trHeight w:val="264"/>
        </w:trPr>
        <w:tc>
          <w:tcPr>
            <w:tcW w:w="1985" w:type="dxa"/>
            <w:tcBorders>
              <w:top w:val="nil"/>
              <w:left w:val="nil"/>
              <w:bottom w:val="nil"/>
              <w:right w:val="nil"/>
            </w:tcBorders>
            <w:shd w:val="clear" w:color="auto" w:fill="auto"/>
            <w:noWrap/>
          </w:tcPr>
          <w:p w14:paraId="43AD119D" w14:textId="77777777" w:rsidR="002D4EFC" w:rsidRPr="00D534B0" w:rsidRDefault="002D4EFC" w:rsidP="00974B66">
            <w:pPr>
              <w:pStyle w:val="TableText"/>
              <w:rPr>
                <w:rFonts w:ascii="Times New Roman" w:hAnsi="Times New Roman"/>
                <w:lang w:val="en-US" w:eastAsia="ko-KR"/>
              </w:rPr>
            </w:pPr>
          </w:p>
        </w:tc>
        <w:tc>
          <w:tcPr>
            <w:tcW w:w="2268" w:type="dxa"/>
            <w:tcBorders>
              <w:top w:val="nil"/>
              <w:left w:val="nil"/>
              <w:bottom w:val="nil"/>
              <w:right w:val="nil"/>
            </w:tcBorders>
            <w:shd w:val="clear" w:color="auto" w:fill="auto"/>
            <w:noWrap/>
          </w:tcPr>
          <w:p w14:paraId="61899417" w14:textId="77777777" w:rsidR="002D4EFC" w:rsidRPr="00D534B0" w:rsidRDefault="002D4EFC" w:rsidP="00974B66">
            <w:pPr>
              <w:pStyle w:val="TableText"/>
              <w:rPr>
                <w:rFonts w:ascii="Times New Roman" w:hAnsi="Times New Roman"/>
                <w:lang w:val="en-US" w:eastAsia="ko-KR"/>
              </w:rPr>
            </w:pPr>
          </w:p>
        </w:tc>
        <w:tc>
          <w:tcPr>
            <w:tcW w:w="1985" w:type="dxa"/>
            <w:tcBorders>
              <w:top w:val="nil"/>
              <w:left w:val="nil"/>
              <w:bottom w:val="nil"/>
              <w:right w:val="nil"/>
            </w:tcBorders>
            <w:shd w:val="clear" w:color="auto" w:fill="auto"/>
            <w:noWrap/>
          </w:tcPr>
          <w:p w14:paraId="7603314F" w14:textId="77777777" w:rsidR="002D4EFC" w:rsidRPr="00D534B0" w:rsidRDefault="002D4EFC" w:rsidP="00974B66">
            <w:pPr>
              <w:pStyle w:val="TableText"/>
              <w:rPr>
                <w:rFonts w:ascii="Times New Roman" w:hAnsi="Times New Roman"/>
                <w:lang w:val="en-US" w:eastAsia="ko-KR"/>
              </w:rPr>
            </w:pPr>
            <w:r w:rsidRPr="00D534B0">
              <w:rPr>
                <w:rFonts w:ascii="Times New Roman" w:hAnsi="Times New Roman"/>
                <w:lang w:val="en-US" w:eastAsia="ko-KR"/>
              </w:rPr>
              <w:t>NZREX</w:t>
            </w:r>
          </w:p>
        </w:tc>
        <w:tc>
          <w:tcPr>
            <w:tcW w:w="851" w:type="dxa"/>
            <w:tcBorders>
              <w:top w:val="nil"/>
              <w:left w:val="nil"/>
              <w:bottom w:val="nil"/>
              <w:right w:val="nil"/>
            </w:tcBorders>
            <w:shd w:val="clear" w:color="auto" w:fill="auto"/>
            <w:noWrap/>
          </w:tcPr>
          <w:p w14:paraId="7387A6AC" w14:textId="77777777" w:rsidR="002D4EFC" w:rsidRPr="00D534B0" w:rsidRDefault="002D4EFC" w:rsidP="00974B66">
            <w:pPr>
              <w:pStyle w:val="TableText"/>
              <w:jc w:val="center"/>
              <w:rPr>
                <w:rFonts w:ascii="Times New Roman" w:hAnsi="Times New Roman"/>
                <w:lang w:val="en-US" w:eastAsia="ko-KR"/>
              </w:rPr>
            </w:pPr>
            <w:r w:rsidRPr="00D534B0">
              <w:rPr>
                <w:rFonts w:ascii="Times New Roman" w:hAnsi="Times New Roman"/>
                <w:lang w:val="en-US" w:eastAsia="ko-KR"/>
              </w:rPr>
              <w:t>0.60</w:t>
            </w:r>
          </w:p>
        </w:tc>
        <w:tc>
          <w:tcPr>
            <w:tcW w:w="851" w:type="dxa"/>
            <w:tcBorders>
              <w:top w:val="nil"/>
              <w:left w:val="nil"/>
              <w:bottom w:val="nil"/>
              <w:right w:val="nil"/>
            </w:tcBorders>
            <w:shd w:val="clear" w:color="auto" w:fill="auto"/>
            <w:noWrap/>
          </w:tcPr>
          <w:p w14:paraId="361201CE" w14:textId="77777777" w:rsidR="002D4EFC" w:rsidRPr="00D534B0" w:rsidRDefault="002D4EFC" w:rsidP="00974B66">
            <w:pPr>
              <w:pStyle w:val="TableText"/>
              <w:jc w:val="center"/>
              <w:rPr>
                <w:rFonts w:ascii="Times New Roman" w:hAnsi="Times New Roman"/>
                <w:lang w:val="en-US" w:eastAsia="ko-KR"/>
              </w:rPr>
            </w:pPr>
            <w:r w:rsidRPr="00D534B0">
              <w:rPr>
                <w:rFonts w:ascii="Times New Roman" w:hAnsi="Times New Roman"/>
                <w:lang w:val="en-US" w:eastAsia="ko-KR"/>
              </w:rPr>
              <w:t>0.34</w:t>
            </w:r>
          </w:p>
        </w:tc>
        <w:tc>
          <w:tcPr>
            <w:tcW w:w="1274" w:type="dxa"/>
            <w:tcBorders>
              <w:top w:val="nil"/>
              <w:left w:val="nil"/>
              <w:bottom w:val="nil"/>
              <w:right w:val="nil"/>
            </w:tcBorders>
            <w:shd w:val="clear" w:color="auto" w:fill="auto"/>
            <w:noWrap/>
          </w:tcPr>
          <w:p w14:paraId="6BDC1646" w14:textId="77777777" w:rsidR="002D4EFC" w:rsidRPr="00D534B0" w:rsidRDefault="002D4EFC" w:rsidP="00974B66">
            <w:pPr>
              <w:pStyle w:val="TableText"/>
              <w:jc w:val="center"/>
              <w:rPr>
                <w:rFonts w:ascii="Times New Roman" w:hAnsi="Times New Roman"/>
                <w:lang w:val="en-US" w:eastAsia="ko-KR"/>
              </w:rPr>
            </w:pPr>
            <w:r w:rsidRPr="00D534B0">
              <w:rPr>
                <w:rFonts w:ascii="Times New Roman" w:hAnsi="Times New Roman"/>
                <w:lang w:val="en-US" w:eastAsia="ko-KR"/>
              </w:rPr>
              <w:t>1.07</w:t>
            </w:r>
          </w:p>
        </w:tc>
      </w:tr>
      <w:tr w:rsidR="002D4EFC" w:rsidRPr="00D534B0" w14:paraId="79190EBD" w14:textId="77777777" w:rsidTr="00974B66">
        <w:trPr>
          <w:trHeight w:val="264"/>
        </w:trPr>
        <w:tc>
          <w:tcPr>
            <w:tcW w:w="1985" w:type="dxa"/>
            <w:tcBorders>
              <w:top w:val="nil"/>
              <w:left w:val="nil"/>
              <w:bottom w:val="nil"/>
              <w:right w:val="nil"/>
            </w:tcBorders>
            <w:shd w:val="clear" w:color="auto" w:fill="auto"/>
            <w:noWrap/>
          </w:tcPr>
          <w:p w14:paraId="00E899D6" w14:textId="77777777" w:rsidR="002D4EFC" w:rsidRPr="00D534B0" w:rsidRDefault="002D4EFC" w:rsidP="00974B66">
            <w:pPr>
              <w:pStyle w:val="TableText"/>
              <w:rPr>
                <w:rFonts w:ascii="Times New Roman" w:hAnsi="Times New Roman"/>
                <w:lang w:val="en-US" w:eastAsia="ko-KR"/>
              </w:rPr>
            </w:pPr>
          </w:p>
        </w:tc>
        <w:tc>
          <w:tcPr>
            <w:tcW w:w="2268" w:type="dxa"/>
            <w:tcBorders>
              <w:top w:val="nil"/>
              <w:left w:val="nil"/>
              <w:bottom w:val="nil"/>
              <w:right w:val="nil"/>
            </w:tcBorders>
            <w:shd w:val="clear" w:color="auto" w:fill="auto"/>
            <w:noWrap/>
          </w:tcPr>
          <w:p w14:paraId="766251AC" w14:textId="77777777" w:rsidR="002D4EFC" w:rsidRPr="00D534B0" w:rsidRDefault="002D4EFC" w:rsidP="00974B66">
            <w:pPr>
              <w:pStyle w:val="TableText"/>
              <w:rPr>
                <w:rFonts w:ascii="Times New Roman" w:hAnsi="Times New Roman"/>
                <w:lang w:val="en-US" w:eastAsia="ko-KR"/>
              </w:rPr>
            </w:pPr>
          </w:p>
        </w:tc>
        <w:tc>
          <w:tcPr>
            <w:tcW w:w="1985" w:type="dxa"/>
            <w:tcBorders>
              <w:top w:val="nil"/>
              <w:left w:val="nil"/>
              <w:bottom w:val="nil"/>
              <w:right w:val="nil"/>
            </w:tcBorders>
            <w:shd w:val="clear" w:color="auto" w:fill="auto"/>
            <w:noWrap/>
          </w:tcPr>
          <w:p w14:paraId="34E436C3" w14:textId="77777777" w:rsidR="002D4EFC" w:rsidRPr="00D534B0" w:rsidRDefault="002D4EFC" w:rsidP="00974B66">
            <w:pPr>
              <w:pStyle w:val="TableText"/>
              <w:rPr>
                <w:rFonts w:ascii="Times New Roman" w:hAnsi="Times New Roman"/>
                <w:lang w:val="en-US" w:eastAsia="ko-KR"/>
              </w:rPr>
            </w:pPr>
            <w:r w:rsidRPr="00D534B0">
              <w:rPr>
                <w:rFonts w:ascii="Times New Roman" w:hAnsi="Times New Roman"/>
                <w:lang w:val="en-US" w:eastAsia="ko-KR"/>
              </w:rPr>
              <w:t>OET/Prov. OET</w:t>
            </w:r>
          </w:p>
        </w:tc>
        <w:tc>
          <w:tcPr>
            <w:tcW w:w="851" w:type="dxa"/>
            <w:tcBorders>
              <w:top w:val="nil"/>
              <w:left w:val="nil"/>
              <w:bottom w:val="nil"/>
              <w:right w:val="nil"/>
            </w:tcBorders>
            <w:shd w:val="clear" w:color="auto" w:fill="auto"/>
            <w:noWrap/>
          </w:tcPr>
          <w:p w14:paraId="32159ED9" w14:textId="77777777" w:rsidR="002D4EFC" w:rsidRPr="00D534B0" w:rsidRDefault="002D4EFC" w:rsidP="00974B66">
            <w:pPr>
              <w:pStyle w:val="TableText"/>
              <w:jc w:val="center"/>
              <w:rPr>
                <w:rFonts w:ascii="Times New Roman" w:hAnsi="Times New Roman"/>
                <w:lang w:val="en-US" w:eastAsia="ko-KR"/>
              </w:rPr>
            </w:pPr>
            <w:r w:rsidRPr="00D534B0">
              <w:rPr>
                <w:rFonts w:ascii="Times New Roman" w:hAnsi="Times New Roman"/>
                <w:lang w:val="en-US" w:eastAsia="ko-KR"/>
              </w:rPr>
              <w:t>0.38</w:t>
            </w:r>
          </w:p>
        </w:tc>
        <w:tc>
          <w:tcPr>
            <w:tcW w:w="851" w:type="dxa"/>
            <w:tcBorders>
              <w:top w:val="nil"/>
              <w:left w:val="nil"/>
              <w:bottom w:val="nil"/>
              <w:right w:val="nil"/>
            </w:tcBorders>
            <w:shd w:val="clear" w:color="auto" w:fill="auto"/>
            <w:noWrap/>
          </w:tcPr>
          <w:p w14:paraId="027BB3AB" w14:textId="77777777" w:rsidR="002D4EFC" w:rsidRPr="00D534B0" w:rsidRDefault="002D4EFC" w:rsidP="00974B66">
            <w:pPr>
              <w:pStyle w:val="TableText"/>
              <w:jc w:val="center"/>
              <w:rPr>
                <w:rFonts w:ascii="Times New Roman" w:hAnsi="Times New Roman"/>
                <w:lang w:val="en-US" w:eastAsia="ko-KR"/>
              </w:rPr>
            </w:pPr>
            <w:r w:rsidRPr="00D534B0">
              <w:rPr>
                <w:rFonts w:ascii="Times New Roman" w:hAnsi="Times New Roman"/>
                <w:lang w:val="en-US" w:eastAsia="ko-KR"/>
              </w:rPr>
              <w:t>0.34</w:t>
            </w:r>
          </w:p>
        </w:tc>
        <w:tc>
          <w:tcPr>
            <w:tcW w:w="1274" w:type="dxa"/>
            <w:tcBorders>
              <w:top w:val="nil"/>
              <w:left w:val="nil"/>
              <w:bottom w:val="nil"/>
              <w:right w:val="nil"/>
            </w:tcBorders>
            <w:shd w:val="clear" w:color="auto" w:fill="auto"/>
            <w:noWrap/>
          </w:tcPr>
          <w:p w14:paraId="5EA84983" w14:textId="77777777" w:rsidR="002D4EFC" w:rsidRPr="00D534B0" w:rsidRDefault="002D4EFC" w:rsidP="00974B66">
            <w:pPr>
              <w:pStyle w:val="TableText"/>
              <w:jc w:val="center"/>
              <w:rPr>
                <w:rFonts w:ascii="Times New Roman" w:hAnsi="Times New Roman"/>
                <w:lang w:val="en-US" w:eastAsia="ko-KR"/>
              </w:rPr>
            </w:pPr>
            <w:r w:rsidRPr="00D534B0">
              <w:rPr>
                <w:rFonts w:ascii="Times New Roman" w:hAnsi="Times New Roman"/>
                <w:lang w:val="en-US" w:eastAsia="ko-KR"/>
              </w:rPr>
              <w:t>0.44</w:t>
            </w:r>
          </w:p>
        </w:tc>
      </w:tr>
      <w:tr w:rsidR="002D4EFC" w:rsidRPr="00D534B0" w14:paraId="5DFA060D" w14:textId="77777777" w:rsidTr="00974B66">
        <w:trPr>
          <w:trHeight w:val="264"/>
        </w:trPr>
        <w:tc>
          <w:tcPr>
            <w:tcW w:w="1985" w:type="dxa"/>
            <w:tcBorders>
              <w:top w:val="nil"/>
              <w:left w:val="nil"/>
              <w:bottom w:val="nil"/>
              <w:right w:val="nil"/>
            </w:tcBorders>
            <w:shd w:val="clear" w:color="auto" w:fill="auto"/>
            <w:noWrap/>
          </w:tcPr>
          <w:p w14:paraId="51576BEF" w14:textId="77777777" w:rsidR="002D4EFC" w:rsidRPr="00D534B0" w:rsidRDefault="002D4EFC" w:rsidP="00974B66">
            <w:pPr>
              <w:pStyle w:val="TableText"/>
              <w:rPr>
                <w:rFonts w:ascii="Times New Roman" w:hAnsi="Times New Roman"/>
                <w:lang w:val="en-US" w:eastAsia="ko-KR"/>
              </w:rPr>
            </w:pPr>
          </w:p>
        </w:tc>
        <w:tc>
          <w:tcPr>
            <w:tcW w:w="2268" w:type="dxa"/>
            <w:tcBorders>
              <w:top w:val="nil"/>
              <w:left w:val="nil"/>
              <w:bottom w:val="nil"/>
              <w:right w:val="nil"/>
            </w:tcBorders>
            <w:shd w:val="clear" w:color="auto" w:fill="auto"/>
            <w:noWrap/>
          </w:tcPr>
          <w:p w14:paraId="21D492A8" w14:textId="77777777" w:rsidR="002D4EFC" w:rsidRPr="00D534B0" w:rsidRDefault="002D4EFC" w:rsidP="00974B66">
            <w:pPr>
              <w:pStyle w:val="TableText"/>
              <w:rPr>
                <w:rFonts w:ascii="Times New Roman" w:hAnsi="Times New Roman"/>
                <w:lang w:val="en-US" w:eastAsia="ko-KR"/>
              </w:rPr>
            </w:pPr>
          </w:p>
        </w:tc>
        <w:tc>
          <w:tcPr>
            <w:tcW w:w="1985" w:type="dxa"/>
            <w:tcBorders>
              <w:top w:val="nil"/>
              <w:left w:val="nil"/>
              <w:bottom w:val="nil"/>
              <w:right w:val="nil"/>
            </w:tcBorders>
            <w:shd w:val="clear" w:color="auto" w:fill="auto"/>
            <w:noWrap/>
          </w:tcPr>
          <w:p w14:paraId="730B00E8" w14:textId="77777777" w:rsidR="002D4EFC" w:rsidRPr="00D534B0" w:rsidRDefault="002D4EFC" w:rsidP="00974B66">
            <w:pPr>
              <w:pStyle w:val="TableText"/>
              <w:rPr>
                <w:rFonts w:ascii="Times New Roman" w:hAnsi="Times New Roman"/>
                <w:lang w:val="en-US" w:eastAsia="ko-KR"/>
              </w:rPr>
            </w:pPr>
            <w:r w:rsidRPr="00D534B0">
              <w:rPr>
                <w:rFonts w:ascii="Times New Roman" w:hAnsi="Times New Roman"/>
                <w:lang w:val="en-US" w:eastAsia="ko-KR"/>
              </w:rPr>
              <w:t>USMLE (ECFMG)</w:t>
            </w:r>
          </w:p>
        </w:tc>
        <w:tc>
          <w:tcPr>
            <w:tcW w:w="851" w:type="dxa"/>
            <w:tcBorders>
              <w:top w:val="nil"/>
              <w:left w:val="nil"/>
              <w:bottom w:val="nil"/>
              <w:right w:val="nil"/>
            </w:tcBorders>
            <w:shd w:val="clear" w:color="auto" w:fill="auto"/>
            <w:noWrap/>
          </w:tcPr>
          <w:p w14:paraId="082EC83C" w14:textId="77777777" w:rsidR="002D4EFC" w:rsidRPr="00D534B0" w:rsidRDefault="002D4EFC" w:rsidP="00974B66">
            <w:pPr>
              <w:pStyle w:val="TableText"/>
              <w:jc w:val="center"/>
              <w:rPr>
                <w:rFonts w:ascii="Times New Roman" w:hAnsi="Times New Roman"/>
                <w:lang w:val="en-US" w:eastAsia="ko-KR"/>
              </w:rPr>
            </w:pPr>
            <w:r w:rsidRPr="00D534B0">
              <w:rPr>
                <w:rFonts w:ascii="Times New Roman" w:hAnsi="Times New Roman"/>
                <w:lang w:val="en-US" w:eastAsia="ko-KR"/>
              </w:rPr>
              <w:t>0.67</w:t>
            </w:r>
          </w:p>
        </w:tc>
        <w:tc>
          <w:tcPr>
            <w:tcW w:w="851" w:type="dxa"/>
            <w:tcBorders>
              <w:top w:val="nil"/>
              <w:left w:val="nil"/>
              <w:bottom w:val="nil"/>
              <w:right w:val="nil"/>
            </w:tcBorders>
            <w:shd w:val="clear" w:color="auto" w:fill="auto"/>
            <w:noWrap/>
          </w:tcPr>
          <w:p w14:paraId="05C45455" w14:textId="77777777" w:rsidR="002D4EFC" w:rsidRPr="00D534B0" w:rsidRDefault="002D4EFC" w:rsidP="00974B66">
            <w:pPr>
              <w:pStyle w:val="TableText"/>
              <w:jc w:val="center"/>
              <w:rPr>
                <w:rFonts w:ascii="Times New Roman" w:hAnsi="Times New Roman"/>
                <w:lang w:val="en-US" w:eastAsia="ko-KR"/>
              </w:rPr>
            </w:pPr>
            <w:r w:rsidRPr="00D534B0">
              <w:rPr>
                <w:rFonts w:ascii="Times New Roman" w:hAnsi="Times New Roman"/>
                <w:lang w:val="en-US" w:eastAsia="ko-KR"/>
              </w:rPr>
              <w:t>0.47</w:t>
            </w:r>
          </w:p>
        </w:tc>
        <w:tc>
          <w:tcPr>
            <w:tcW w:w="1274" w:type="dxa"/>
            <w:tcBorders>
              <w:top w:val="nil"/>
              <w:left w:val="nil"/>
              <w:bottom w:val="nil"/>
              <w:right w:val="nil"/>
            </w:tcBorders>
            <w:shd w:val="clear" w:color="auto" w:fill="auto"/>
            <w:noWrap/>
          </w:tcPr>
          <w:p w14:paraId="57E3ECA3" w14:textId="77777777" w:rsidR="002D4EFC" w:rsidRPr="00D534B0" w:rsidRDefault="002D4EFC" w:rsidP="00974B66">
            <w:pPr>
              <w:pStyle w:val="TableText"/>
              <w:jc w:val="center"/>
              <w:rPr>
                <w:rFonts w:ascii="Times New Roman" w:hAnsi="Times New Roman"/>
                <w:lang w:val="en-US" w:eastAsia="ko-KR"/>
              </w:rPr>
            </w:pPr>
            <w:r w:rsidRPr="00D534B0">
              <w:rPr>
                <w:rFonts w:ascii="Times New Roman" w:hAnsi="Times New Roman"/>
                <w:lang w:val="en-US" w:eastAsia="ko-KR"/>
              </w:rPr>
              <w:t>0.96</w:t>
            </w:r>
          </w:p>
        </w:tc>
      </w:tr>
      <w:tr w:rsidR="002D4EFC" w:rsidRPr="00D534B0" w14:paraId="35D6C47B" w14:textId="77777777" w:rsidTr="00974B66">
        <w:trPr>
          <w:trHeight w:val="264"/>
        </w:trPr>
        <w:tc>
          <w:tcPr>
            <w:tcW w:w="1985" w:type="dxa"/>
            <w:tcBorders>
              <w:top w:val="nil"/>
              <w:left w:val="nil"/>
              <w:bottom w:val="nil"/>
              <w:right w:val="nil"/>
            </w:tcBorders>
            <w:shd w:val="clear" w:color="auto" w:fill="auto"/>
            <w:noWrap/>
          </w:tcPr>
          <w:p w14:paraId="5BC6FC95" w14:textId="77777777" w:rsidR="002D4EFC" w:rsidRPr="00D534B0" w:rsidRDefault="002D4EFC" w:rsidP="00974B66">
            <w:pPr>
              <w:pStyle w:val="TableText"/>
              <w:rPr>
                <w:rFonts w:ascii="Times New Roman" w:hAnsi="Times New Roman"/>
                <w:lang w:val="en-US" w:eastAsia="ko-KR"/>
              </w:rPr>
            </w:pPr>
          </w:p>
        </w:tc>
        <w:tc>
          <w:tcPr>
            <w:tcW w:w="2268" w:type="dxa"/>
            <w:tcBorders>
              <w:top w:val="nil"/>
              <w:left w:val="nil"/>
              <w:bottom w:val="nil"/>
              <w:right w:val="nil"/>
            </w:tcBorders>
            <w:shd w:val="clear" w:color="auto" w:fill="auto"/>
            <w:noWrap/>
          </w:tcPr>
          <w:p w14:paraId="7BD4D47D" w14:textId="77777777" w:rsidR="002D4EFC" w:rsidRPr="00D534B0" w:rsidRDefault="002D4EFC" w:rsidP="00974B66">
            <w:pPr>
              <w:pStyle w:val="TableText"/>
              <w:rPr>
                <w:rFonts w:ascii="Times New Roman" w:hAnsi="Times New Roman"/>
                <w:lang w:val="en-US" w:eastAsia="ko-KR"/>
              </w:rPr>
            </w:pPr>
          </w:p>
        </w:tc>
        <w:tc>
          <w:tcPr>
            <w:tcW w:w="1985" w:type="dxa"/>
            <w:tcBorders>
              <w:top w:val="nil"/>
              <w:left w:val="nil"/>
              <w:bottom w:val="nil"/>
              <w:right w:val="nil"/>
            </w:tcBorders>
            <w:shd w:val="clear" w:color="auto" w:fill="auto"/>
            <w:noWrap/>
          </w:tcPr>
          <w:p w14:paraId="2EE8C2FC" w14:textId="77777777" w:rsidR="002D4EFC" w:rsidRPr="00D534B0" w:rsidRDefault="002D4EFC" w:rsidP="00974B66">
            <w:pPr>
              <w:pStyle w:val="TableText"/>
              <w:rPr>
                <w:rFonts w:ascii="Times New Roman" w:hAnsi="Times New Roman"/>
                <w:lang w:val="en-US" w:eastAsia="ko-KR"/>
              </w:rPr>
            </w:pPr>
          </w:p>
        </w:tc>
        <w:tc>
          <w:tcPr>
            <w:tcW w:w="851" w:type="dxa"/>
            <w:tcBorders>
              <w:top w:val="nil"/>
              <w:left w:val="nil"/>
              <w:bottom w:val="nil"/>
              <w:right w:val="nil"/>
            </w:tcBorders>
            <w:shd w:val="clear" w:color="auto" w:fill="auto"/>
            <w:noWrap/>
          </w:tcPr>
          <w:p w14:paraId="328D15E3" w14:textId="77777777" w:rsidR="002D4EFC" w:rsidRPr="00D534B0" w:rsidRDefault="002D4EFC" w:rsidP="00974B66">
            <w:pPr>
              <w:pStyle w:val="TableText"/>
              <w:jc w:val="center"/>
              <w:rPr>
                <w:rFonts w:ascii="Times New Roman" w:hAnsi="Times New Roman"/>
                <w:lang w:val="en-US" w:eastAsia="ko-KR"/>
              </w:rPr>
            </w:pPr>
          </w:p>
        </w:tc>
        <w:tc>
          <w:tcPr>
            <w:tcW w:w="851" w:type="dxa"/>
            <w:tcBorders>
              <w:top w:val="nil"/>
              <w:left w:val="nil"/>
              <w:bottom w:val="nil"/>
              <w:right w:val="nil"/>
            </w:tcBorders>
            <w:shd w:val="clear" w:color="auto" w:fill="auto"/>
            <w:noWrap/>
          </w:tcPr>
          <w:p w14:paraId="698D8539" w14:textId="77777777" w:rsidR="002D4EFC" w:rsidRPr="00D534B0" w:rsidRDefault="002D4EFC" w:rsidP="00974B66">
            <w:pPr>
              <w:pStyle w:val="TableText"/>
              <w:jc w:val="center"/>
              <w:rPr>
                <w:rFonts w:ascii="Times New Roman" w:hAnsi="Times New Roman"/>
                <w:lang w:val="en-US" w:eastAsia="ko-KR"/>
              </w:rPr>
            </w:pPr>
          </w:p>
        </w:tc>
        <w:tc>
          <w:tcPr>
            <w:tcW w:w="1274" w:type="dxa"/>
            <w:tcBorders>
              <w:top w:val="nil"/>
              <w:left w:val="nil"/>
              <w:bottom w:val="nil"/>
              <w:right w:val="nil"/>
            </w:tcBorders>
            <w:shd w:val="clear" w:color="auto" w:fill="auto"/>
            <w:noWrap/>
          </w:tcPr>
          <w:p w14:paraId="753CBACA" w14:textId="77777777" w:rsidR="002D4EFC" w:rsidRPr="00D534B0" w:rsidRDefault="002D4EFC" w:rsidP="00974B66">
            <w:pPr>
              <w:pStyle w:val="TableText"/>
              <w:jc w:val="center"/>
              <w:rPr>
                <w:rFonts w:ascii="Times New Roman" w:hAnsi="Times New Roman"/>
                <w:lang w:val="en-US" w:eastAsia="ko-KR"/>
              </w:rPr>
            </w:pPr>
          </w:p>
        </w:tc>
      </w:tr>
      <w:tr w:rsidR="002D4EFC" w:rsidRPr="00D534B0" w14:paraId="1D79E752" w14:textId="77777777" w:rsidTr="00974B66">
        <w:trPr>
          <w:trHeight w:val="264"/>
        </w:trPr>
        <w:tc>
          <w:tcPr>
            <w:tcW w:w="1985" w:type="dxa"/>
            <w:tcBorders>
              <w:top w:val="nil"/>
              <w:left w:val="nil"/>
              <w:bottom w:val="nil"/>
              <w:right w:val="nil"/>
            </w:tcBorders>
            <w:shd w:val="clear" w:color="auto" w:fill="auto"/>
            <w:noWrap/>
          </w:tcPr>
          <w:p w14:paraId="0B3C6825" w14:textId="77777777" w:rsidR="002D4EFC" w:rsidRPr="00D534B0" w:rsidRDefault="002D4EFC" w:rsidP="00974B66">
            <w:pPr>
              <w:pStyle w:val="TableText"/>
              <w:rPr>
                <w:rFonts w:ascii="Times New Roman" w:hAnsi="Times New Roman"/>
                <w:lang w:val="en-US" w:eastAsia="ko-KR"/>
              </w:rPr>
            </w:pPr>
            <w:r w:rsidRPr="00D534B0">
              <w:rPr>
                <w:rFonts w:ascii="Times New Roman" w:hAnsi="Times New Roman"/>
                <w:lang w:val="en-US" w:eastAsia="ko-KR"/>
              </w:rPr>
              <w:t>Time since qualification</w:t>
            </w:r>
          </w:p>
        </w:tc>
        <w:tc>
          <w:tcPr>
            <w:tcW w:w="2268" w:type="dxa"/>
            <w:tcBorders>
              <w:top w:val="nil"/>
              <w:left w:val="nil"/>
              <w:bottom w:val="nil"/>
              <w:right w:val="nil"/>
            </w:tcBorders>
            <w:shd w:val="clear" w:color="auto" w:fill="auto"/>
            <w:noWrap/>
          </w:tcPr>
          <w:p w14:paraId="27741588" w14:textId="77777777" w:rsidR="002D4EFC" w:rsidRPr="00D534B0" w:rsidRDefault="002D4EFC" w:rsidP="00974B66">
            <w:pPr>
              <w:pStyle w:val="TableText"/>
              <w:rPr>
                <w:rFonts w:ascii="Times New Roman" w:hAnsi="Times New Roman"/>
                <w:lang w:val="en-US" w:eastAsia="ko-KR"/>
              </w:rPr>
            </w:pPr>
            <w:r w:rsidRPr="00D534B0">
              <w:rPr>
                <w:rFonts w:ascii="Times New Roman" w:hAnsi="Times New Roman"/>
                <w:lang w:val="en-US" w:eastAsia="ko-KR"/>
              </w:rPr>
              <w:t>0-4 years</w:t>
            </w:r>
          </w:p>
        </w:tc>
        <w:tc>
          <w:tcPr>
            <w:tcW w:w="1985" w:type="dxa"/>
            <w:tcBorders>
              <w:top w:val="nil"/>
              <w:left w:val="nil"/>
              <w:bottom w:val="nil"/>
              <w:right w:val="nil"/>
            </w:tcBorders>
            <w:shd w:val="clear" w:color="auto" w:fill="auto"/>
            <w:noWrap/>
          </w:tcPr>
          <w:p w14:paraId="2B6ABDD3" w14:textId="77777777" w:rsidR="002D4EFC" w:rsidRPr="00D534B0" w:rsidRDefault="002D4EFC" w:rsidP="00974B66">
            <w:pPr>
              <w:pStyle w:val="TableText"/>
              <w:rPr>
                <w:rFonts w:ascii="Times New Roman" w:hAnsi="Times New Roman"/>
                <w:lang w:val="en-US" w:eastAsia="ko-KR"/>
              </w:rPr>
            </w:pPr>
            <w:r w:rsidRPr="00D534B0">
              <w:rPr>
                <w:rFonts w:ascii="Times New Roman" w:hAnsi="Times New Roman"/>
                <w:lang w:val="en-US" w:eastAsia="ko-KR"/>
              </w:rPr>
              <w:t>5-9 years</w:t>
            </w:r>
          </w:p>
        </w:tc>
        <w:tc>
          <w:tcPr>
            <w:tcW w:w="851" w:type="dxa"/>
            <w:tcBorders>
              <w:top w:val="nil"/>
              <w:left w:val="nil"/>
              <w:bottom w:val="nil"/>
              <w:right w:val="nil"/>
            </w:tcBorders>
            <w:shd w:val="clear" w:color="auto" w:fill="auto"/>
            <w:noWrap/>
          </w:tcPr>
          <w:p w14:paraId="39012311" w14:textId="77777777" w:rsidR="002D4EFC" w:rsidRPr="00D534B0" w:rsidRDefault="002D4EFC" w:rsidP="00974B66">
            <w:pPr>
              <w:pStyle w:val="TableText"/>
              <w:jc w:val="center"/>
              <w:rPr>
                <w:rFonts w:ascii="Times New Roman" w:hAnsi="Times New Roman"/>
                <w:lang w:val="en-US" w:eastAsia="ko-KR"/>
              </w:rPr>
            </w:pPr>
            <w:r w:rsidRPr="00D534B0">
              <w:rPr>
                <w:rFonts w:ascii="Times New Roman" w:hAnsi="Times New Roman"/>
                <w:lang w:val="en-US" w:eastAsia="ko-KR"/>
              </w:rPr>
              <w:t>1.10</w:t>
            </w:r>
          </w:p>
        </w:tc>
        <w:tc>
          <w:tcPr>
            <w:tcW w:w="851" w:type="dxa"/>
            <w:tcBorders>
              <w:top w:val="nil"/>
              <w:left w:val="nil"/>
              <w:bottom w:val="nil"/>
              <w:right w:val="nil"/>
            </w:tcBorders>
            <w:shd w:val="clear" w:color="auto" w:fill="auto"/>
            <w:noWrap/>
          </w:tcPr>
          <w:p w14:paraId="7BAB0DBA" w14:textId="77777777" w:rsidR="002D4EFC" w:rsidRPr="00D534B0" w:rsidRDefault="002D4EFC" w:rsidP="00974B66">
            <w:pPr>
              <w:pStyle w:val="TableText"/>
              <w:jc w:val="center"/>
              <w:rPr>
                <w:rFonts w:ascii="Times New Roman" w:hAnsi="Times New Roman"/>
                <w:lang w:val="en-US" w:eastAsia="ko-KR"/>
              </w:rPr>
            </w:pPr>
            <w:r w:rsidRPr="00D534B0">
              <w:rPr>
                <w:rFonts w:ascii="Times New Roman" w:hAnsi="Times New Roman"/>
                <w:lang w:val="en-US" w:eastAsia="ko-KR"/>
              </w:rPr>
              <w:t>0.93</w:t>
            </w:r>
          </w:p>
        </w:tc>
        <w:tc>
          <w:tcPr>
            <w:tcW w:w="1274" w:type="dxa"/>
            <w:tcBorders>
              <w:top w:val="nil"/>
              <w:left w:val="nil"/>
              <w:bottom w:val="nil"/>
              <w:right w:val="nil"/>
            </w:tcBorders>
            <w:shd w:val="clear" w:color="auto" w:fill="auto"/>
            <w:noWrap/>
          </w:tcPr>
          <w:p w14:paraId="6C3A8E81" w14:textId="77777777" w:rsidR="002D4EFC" w:rsidRPr="00D534B0" w:rsidRDefault="002D4EFC" w:rsidP="00974B66">
            <w:pPr>
              <w:pStyle w:val="TableText"/>
              <w:jc w:val="center"/>
              <w:rPr>
                <w:rFonts w:ascii="Times New Roman" w:hAnsi="Times New Roman"/>
                <w:lang w:val="en-US" w:eastAsia="ko-KR"/>
              </w:rPr>
            </w:pPr>
            <w:r w:rsidRPr="00D534B0">
              <w:rPr>
                <w:rFonts w:ascii="Times New Roman" w:hAnsi="Times New Roman"/>
                <w:lang w:val="en-US" w:eastAsia="ko-KR"/>
              </w:rPr>
              <w:t>1.31</w:t>
            </w:r>
          </w:p>
        </w:tc>
      </w:tr>
      <w:tr w:rsidR="002D4EFC" w:rsidRPr="00D534B0" w14:paraId="78028EAB" w14:textId="77777777" w:rsidTr="00974B66">
        <w:trPr>
          <w:trHeight w:val="264"/>
        </w:trPr>
        <w:tc>
          <w:tcPr>
            <w:tcW w:w="1985" w:type="dxa"/>
            <w:tcBorders>
              <w:top w:val="nil"/>
              <w:left w:val="nil"/>
              <w:bottom w:val="nil"/>
              <w:right w:val="nil"/>
            </w:tcBorders>
            <w:shd w:val="clear" w:color="auto" w:fill="auto"/>
            <w:noWrap/>
          </w:tcPr>
          <w:p w14:paraId="68AC0363" w14:textId="77777777" w:rsidR="002D4EFC" w:rsidRPr="00D534B0" w:rsidRDefault="002D4EFC" w:rsidP="00974B66">
            <w:pPr>
              <w:pStyle w:val="TableText"/>
              <w:rPr>
                <w:rFonts w:ascii="Times New Roman" w:hAnsi="Times New Roman"/>
                <w:lang w:val="en-US" w:eastAsia="ko-KR"/>
              </w:rPr>
            </w:pPr>
          </w:p>
        </w:tc>
        <w:tc>
          <w:tcPr>
            <w:tcW w:w="2268" w:type="dxa"/>
            <w:tcBorders>
              <w:top w:val="nil"/>
              <w:left w:val="nil"/>
              <w:bottom w:val="nil"/>
              <w:right w:val="nil"/>
            </w:tcBorders>
            <w:shd w:val="clear" w:color="auto" w:fill="auto"/>
            <w:noWrap/>
          </w:tcPr>
          <w:p w14:paraId="2A0ADB90" w14:textId="77777777" w:rsidR="002D4EFC" w:rsidRPr="00D534B0" w:rsidRDefault="002D4EFC" w:rsidP="00974B66">
            <w:pPr>
              <w:pStyle w:val="TableText"/>
              <w:rPr>
                <w:rFonts w:ascii="Times New Roman" w:hAnsi="Times New Roman"/>
                <w:lang w:val="en-US" w:eastAsia="ko-KR"/>
              </w:rPr>
            </w:pPr>
          </w:p>
        </w:tc>
        <w:tc>
          <w:tcPr>
            <w:tcW w:w="1985" w:type="dxa"/>
            <w:tcBorders>
              <w:top w:val="nil"/>
              <w:left w:val="nil"/>
              <w:bottom w:val="nil"/>
              <w:right w:val="nil"/>
            </w:tcBorders>
            <w:shd w:val="clear" w:color="auto" w:fill="auto"/>
            <w:noWrap/>
          </w:tcPr>
          <w:p w14:paraId="7D95DAAE" w14:textId="77777777" w:rsidR="002D4EFC" w:rsidRPr="00D534B0" w:rsidRDefault="002D4EFC" w:rsidP="00974B66">
            <w:pPr>
              <w:pStyle w:val="TableText"/>
              <w:rPr>
                <w:rFonts w:ascii="Times New Roman" w:hAnsi="Times New Roman"/>
                <w:lang w:val="en-US" w:eastAsia="ko-KR"/>
              </w:rPr>
            </w:pPr>
            <w:r w:rsidRPr="00D534B0">
              <w:rPr>
                <w:rFonts w:ascii="Times New Roman" w:hAnsi="Times New Roman"/>
                <w:lang w:val="en-US" w:eastAsia="ko-KR"/>
              </w:rPr>
              <w:t>10-14 years</w:t>
            </w:r>
          </w:p>
        </w:tc>
        <w:tc>
          <w:tcPr>
            <w:tcW w:w="851" w:type="dxa"/>
            <w:tcBorders>
              <w:top w:val="nil"/>
              <w:left w:val="nil"/>
              <w:bottom w:val="nil"/>
              <w:right w:val="nil"/>
            </w:tcBorders>
            <w:shd w:val="clear" w:color="auto" w:fill="auto"/>
            <w:noWrap/>
          </w:tcPr>
          <w:p w14:paraId="78F34E54" w14:textId="77777777" w:rsidR="002D4EFC" w:rsidRPr="00D534B0" w:rsidRDefault="002D4EFC" w:rsidP="00974B66">
            <w:pPr>
              <w:pStyle w:val="TableText"/>
              <w:jc w:val="center"/>
              <w:rPr>
                <w:rFonts w:ascii="Times New Roman" w:hAnsi="Times New Roman"/>
                <w:lang w:val="en-US" w:eastAsia="ko-KR"/>
              </w:rPr>
            </w:pPr>
            <w:r w:rsidRPr="00D534B0">
              <w:rPr>
                <w:rFonts w:ascii="Times New Roman" w:hAnsi="Times New Roman"/>
                <w:lang w:val="en-US" w:eastAsia="ko-KR"/>
              </w:rPr>
              <w:t>0.96</w:t>
            </w:r>
          </w:p>
        </w:tc>
        <w:tc>
          <w:tcPr>
            <w:tcW w:w="851" w:type="dxa"/>
            <w:tcBorders>
              <w:top w:val="nil"/>
              <w:left w:val="nil"/>
              <w:bottom w:val="nil"/>
              <w:right w:val="nil"/>
            </w:tcBorders>
            <w:shd w:val="clear" w:color="auto" w:fill="auto"/>
            <w:noWrap/>
          </w:tcPr>
          <w:p w14:paraId="2910D5CB" w14:textId="77777777" w:rsidR="002D4EFC" w:rsidRPr="00D534B0" w:rsidRDefault="002D4EFC" w:rsidP="00974B66">
            <w:pPr>
              <w:pStyle w:val="TableText"/>
              <w:jc w:val="center"/>
              <w:rPr>
                <w:rFonts w:ascii="Times New Roman" w:hAnsi="Times New Roman"/>
                <w:lang w:val="en-US" w:eastAsia="ko-KR"/>
              </w:rPr>
            </w:pPr>
            <w:r w:rsidRPr="00D534B0">
              <w:rPr>
                <w:rFonts w:ascii="Times New Roman" w:hAnsi="Times New Roman"/>
                <w:lang w:val="en-US" w:eastAsia="ko-KR"/>
              </w:rPr>
              <w:t>0.80</w:t>
            </w:r>
          </w:p>
        </w:tc>
        <w:tc>
          <w:tcPr>
            <w:tcW w:w="1274" w:type="dxa"/>
            <w:tcBorders>
              <w:top w:val="nil"/>
              <w:left w:val="nil"/>
              <w:bottom w:val="nil"/>
              <w:right w:val="nil"/>
            </w:tcBorders>
            <w:shd w:val="clear" w:color="auto" w:fill="auto"/>
            <w:noWrap/>
          </w:tcPr>
          <w:p w14:paraId="05E6882B" w14:textId="77777777" w:rsidR="002D4EFC" w:rsidRPr="00D534B0" w:rsidRDefault="002D4EFC" w:rsidP="00974B66">
            <w:pPr>
              <w:pStyle w:val="TableText"/>
              <w:jc w:val="center"/>
              <w:rPr>
                <w:rFonts w:ascii="Times New Roman" w:hAnsi="Times New Roman"/>
                <w:lang w:val="en-US" w:eastAsia="ko-KR"/>
              </w:rPr>
            </w:pPr>
            <w:r w:rsidRPr="00D534B0">
              <w:rPr>
                <w:rFonts w:ascii="Times New Roman" w:hAnsi="Times New Roman"/>
                <w:lang w:val="en-US" w:eastAsia="ko-KR"/>
              </w:rPr>
              <w:t>1.17</w:t>
            </w:r>
          </w:p>
        </w:tc>
      </w:tr>
      <w:tr w:rsidR="002D4EFC" w:rsidRPr="00D534B0" w14:paraId="79DFE9BF" w14:textId="77777777" w:rsidTr="00974B66">
        <w:trPr>
          <w:trHeight w:val="264"/>
        </w:trPr>
        <w:tc>
          <w:tcPr>
            <w:tcW w:w="1985" w:type="dxa"/>
            <w:tcBorders>
              <w:top w:val="nil"/>
              <w:left w:val="nil"/>
              <w:bottom w:val="nil"/>
              <w:right w:val="nil"/>
            </w:tcBorders>
            <w:shd w:val="clear" w:color="auto" w:fill="auto"/>
            <w:noWrap/>
          </w:tcPr>
          <w:p w14:paraId="1528270A" w14:textId="77777777" w:rsidR="002D4EFC" w:rsidRPr="00D534B0" w:rsidRDefault="002D4EFC" w:rsidP="00974B66">
            <w:pPr>
              <w:pStyle w:val="TableText"/>
              <w:rPr>
                <w:rFonts w:ascii="Times New Roman" w:hAnsi="Times New Roman"/>
                <w:lang w:val="en-US" w:eastAsia="ko-KR"/>
              </w:rPr>
            </w:pPr>
          </w:p>
        </w:tc>
        <w:tc>
          <w:tcPr>
            <w:tcW w:w="2268" w:type="dxa"/>
            <w:tcBorders>
              <w:top w:val="nil"/>
              <w:left w:val="nil"/>
              <w:bottom w:val="nil"/>
              <w:right w:val="nil"/>
            </w:tcBorders>
            <w:shd w:val="clear" w:color="auto" w:fill="auto"/>
            <w:noWrap/>
          </w:tcPr>
          <w:p w14:paraId="406E7A48" w14:textId="77777777" w:rsidR="002D4EFC" w:rsidRPr="00D534B0" w:rsidRDefault="002D4EFC" w:rsidP="00974B66">
            <w:pPr>
              <w:pStyle w:val="TableText"/>
              <w:rPr>
                <w:rFonts w:ascii="Times New Roman" w:hAnsi="Times New Roman"/>
                <w:lang w:val="en-US" w:eastAsia="ko-KR"/>
              </w:rPr>
            </w:pPr>
          </w:p>
        </w:tc>
        <w:tc>
          <w:tcPr>
            <w:tcW w:w="1985" w:type="dxa"/>
            <w:tcBorders>
              <w:top w:val="nil"/>
              <w:left w:val="nil"/>
              <w:bottom w:val="nil"/>
              <w:right w:val="nil"/>
            </w:tcBorders>
            <w:shd w:val="clear" w:color="auto" w:fill="auto"/>
            <w:noWrap/>
          </w:tcPr>
          <w:p w14:paraId="6955F937" w14:textId="77777777" w:rsidR="002D4EFC" w:rsidRPr="00D534B0" w:rsidRDefault="002D4EFC" w:rsidP="00974B66">
            <w:pPr>
              <w:pStyle w:val="TableText"/>
              <w:rPr>
                <w:rFonts w:ascii="Times New Roman" w:hAnsi="Times New Roman"/>
                <w:lang w:val="en-US" w:eastAsia="ko-KR"/>
              </w:rPr>
            </w:pPr>
            <w:r w:rsidRPr="00D534B0">
              <w:rPr>
                <w:rFonts w:ascii="Times New Roman" w:hAnsi="Times New Roman"/>
                <w:lang w:val="en-US" w:eastAsia="ko-KR"/>
              </w:rPr>
              <w:t>15-19 years</w:t>
            </w:r>
          </w:p>
        </w:tc>
        <w:tc>
          <w:tcPr>
            <w:tcW w:w="851" w:type="dxa"/>
            <w:tcBorders>
              <w:top w:val="nil"/>
              <w:left w:val="nil"/>
              <w:bottom w:val="nil"/>
              <w:right w:val="nil"/>
            </w:tcBorders>
            <w:shd w:val="clear" w:color="auto" w:fill="auto"/>
            <w:noWrap/>
          </w:tcPr>
          <w:p w14:paraId="2246A3C0" w14:textId="77777777" w:rsidR="002D4EFC" w:rsidRPr="00D534B0" w:rsidRDefault="002D4EFC" w:rsidP="00974B66">
            <w:pPr>
              <w:pStyle w:val="TableText"/>
              <w:jc w:val="center"/>
              <w:rPr>
                <w:rFonts w:ascii="Times New Roman" w:hAnsi="Times New Roman"/>
                <w:lang w:val="en-US" w:eastAsia="ko-KR"/>
              </w:rPr>
            </w:pPr>
            <w:r w:rsidRPr="00D534B0">
              <w:rPr>
                <w:rFonts w:ascii="Times New Roman" w:hAnsi="Times New Roman"/>
                <w:lang w:val="en-US" w:eastAsia="ko-KR"/>
              </w:rPr>
              <w:t>1.22</w:t>
            </w:r>
          </w:p>
        </w:tc>
        <w:tc>
          <w:tcPr>
            <w:tcW w:w="851" w:type="dxa"/>
            <w:tcBorders>
              <w:top w:val="nil"/>
              <w:left w:val="nil"/>
              <w:bottom w:val="nil"/>
              <w:right w:val="nil"/>
            </w:tcBorders>
            <w:shd w:val="clear" w:color="auto" w:fill="auto"/>
            <w:noWrap/>
          </w:tcPr>
          <w:p w14:paraId="0B04BE64" w14:textId="77777777" w:rsidR="002D4EFC" w:rsidRPr="00D534B0" w:rsidRDefault="002D4EFC" w:rsidP="00974B66">
            <w:pPr>
              <w:pStyle w:val="TableText"/>
              <w:jc w:val="center"/>
              <w:rPr>
                <w:rFonts w:ascii="Times New Roman" w:hAnsi="Times New Roman"/>
                <w:lang w:val="en-US" w:eastAsia="ko-KR"/>
              </w:rPr>
            </w:pPr>
            <w:r w:rsidRPr="00D534B0">
              <w:rPr>
                <w:rFonts w:ascii="Times New Roman" w:hAnsi="Times New Roman"/>
                <w:lang w:val="en-US" w:eastAsia="ko-KR"/>
              </w:rPr>
              <w:t>0.94</w:t>
            </w:r>
          </w:p>
        </w:tc>
        <w:tc>
          <w:tcPr>
            <w:tcW w:w="1274" w:type="dxa"/>
            <w:tcBorders>
              <w:top w:val="nil"/>
              <w:left w:val="nil"/>
              <w:bottom w:val="nil"/>
              <w:right w:val="nil"/>
            </w:tcBorders>
            <w:shd w:val="clear" w:color="auto" w:fill="auto"/>
            <w:noWrap/>
          </w:tcPr>
          <w:p w14:paraId="5008BA4D" w14:textId="77777777" w:rsidR="002D4EFC" w:rsidRPr="00D534B0" w:rsidRDefault="002D4EFC" w:rsidP="00974B66">
            <w:pPr>
              <w:pStyle w:val="TableText"/>
              <w:jc w:val="center"/>
              <w:rPr>
                <w:rFonts w:ascii="Times New Roman" w:hAnsi="Times New Roman"/>
                <w:lang w:val="en-US" w:eastAsia="ko-KR"/>
              </w:rPr>
            </w:pPr>
            <w:r w:rsidRPr="00D534B0">
              <w:rPr>
                <w:rFonts w:ascii="Times New Roman" w:hAnsi="Times New Roman"/>
                <w:lang w:val="en-US" w:eastAsia="ko-KR"/>
              </w:rPr>
              <w:t>1.59</w:t>
            </w:r>
          </w:p>
        </w:tc>
      </w:tr>
      <w:tr w:rsidR="002D4EFC" w:rsidRPr="00D534B0" w14:paraId="2FFB73A6" w14:textId="77777777" w:rsidTr="00974B66">
        <w:trPr>
          <w:trHeight w:val="264"/>
        </w:trPr>
        <w:tc>
          <w:tcPr>
            <w:tcW w:w="1985" w:type="dxa"/>
            <w:tcBorders>
              <w:top w:val="nil"/>
              <w:left w:val="nil"/>
              <w:bottom w:val="nil"/>
              <w:right w:val="nil"/>
            </w:tcBorders>
            <w:shd w:val="clear" w:color="auto" w:fill="auto"/>
            <w:noWrap/>
          </w:tcPr>
          <w:p w14:paraId="1E17330F" w14:textId="77777777" w:rsidR="002D4EFC" w:rsidRPr="00D534B0" w:rsidRDefault="002D4EFC" w:rsidP="00974B66">
            <w:pPr>
              <w:pStyle w:val="TableText"/>
              <w:rPr>
                <w:rFonts w:ascii="Times New Roman" w:hAnsi="Times New Roman"/>
                <w:lang w:val="en-US" w:eastAsia="ko-KR"/>
              </w:rPr>
            </w:pPr>
          </w:p>
        </w:tc>
        <w:tc>
          <w:tcPr>
            <w:tcW w:w="2268" w:type="dxa"/>
            <w:tcBorders>
              <w:top w:val="nil"/>
              <w:left w:val="nil"/>
              <w:bottom w:val="nil"/>
              <w:right w:val="nil"/>
            </w:tcBorders>
            <w:shd w:val="clear" w:color="auto" w:fill="auto"/>
            <w:noWrap/>
          </w:tcPr>
          <w:p w14:paraId="7B0E84DC" w14:textId="77777777" w:rsidR="002D4EFC" w:rsidRPr="00D534B0" w:rsidRDefault="002D4EFC" w:rsidP="00974B66">
            <w:pPr>
              <w:pStyle w:val="TableText"/>
              <w:rPr>
                <w:rFonts w:ascii="Times New Roman" w:hAnsi="Times New Roman"/>
                <w:lang w:val="en-US" w:eastAsia="ko-KR"/>
              </w:rPr>
            </w:pPr>
          </w:p>
        </w:tc>
        <w:tc>
          <w:tcPr>
            <w:tcW w:w="1985" w:type="dxa"/>
            <w:tcBorders>
              <w:top w:val="nil"/>
              <w:left w:val="nil"/>
              <w:bottom w:val="nil"/>
              <w:right w:val="nil"/>
            </w:tcBorders>
            <w:shd w:val="clear" w:color="auto" w:fill="auto"/>
            <w:noWrap/>
          </w:tcPr>
          <w:p w14:paraId="770BF7E3" w14:textId="77777777" w:rsidR="002D4EFC" w:rsidRPr="00D534B0" w:rsidRDefault="002D4EFC" w:rsidP="00974B66">
            <w:pPr>
              <w:pStyle w:val="TableText"/>
              <w:rPr>
                <w:rFonts w:ascii="Times New Roman" w:hAnsi="Times New Roman"/>
                <w:lang w:val="en-US" w:eastAsia="ko-KR"/>
              </w:rPr>
            </w:pPr>
            <w:r w:rsidRPr="00D534B0">
              <w:rPr>
                <w:rFonts w:ascii="Times New Roman" w:hAnsi="Times New Roman"/>
                <w:lang w:val="en-US" w:eastAsia="ko-KR"/>
              </w:rPr>
              <w:t>20+ years</w:t>
            </w:r>
          </w:p>
        </w:tc>
        <w:tc>
          <w:tcPr>
            <w:tcW w:w="851" w:type="dxa"/>
            <w:tcBorders>
              <w:top w:val="nil"/>
              <w:left w:val="nil"/>
              <w:bottom w:val="nil"/>
              <w:right w:val="nil"/>
            </w:tcBorders>
            <w:shd w:val="clear" w:color="auto" w:fill="auto"/>
            <w:noWrap/>
          </w:tcPr>
          <w:p w14:paraId="2131A4FF" w14:textId="77777777" w:rsidR="002D4EFC" w:rsidRPr="00D534B0" w:rsidRDefault="002D4EFC" w:rsidP="00974B66">
            <w:pPr>
              <w:pStyle w:val="TableText"/>
              <w:jc w:val="center"/>
              <w:rPr>
                <w:rFonts w:ascii="Times New Roman" w:hAnsi="Times New Roman"/>
                <w:lang w:val="en-US" w:eastAsia="ko-KR"/>
              </w:rPr>
            </w:pPr>
            <w:r w:rsidRPr="00D534B0">
              <w:rPr>
                <w:rFonts w:ascii="Times New Roman" w:hAnsi="Times New Roman"/>
                <w:lang w:val="en-US" w:eastAsia="ko-KR"/>
              </w:rPr>
              <w:t>1.43</w:t>
            </w:r>
          </w:p>
        </w:tc>
        <w:tc>
          <w:tcPr>
            <w:tcW w:w="851" w:type="dxa"/>
            <w:tcBorders>
              <w:top w:val="nil"/>
              <w:left w:val="nil"/>
              <w:bottom w:val="nil"/>
              <w:right w:val="nil"/>
            </w:tcBorders>
            <w:shd w:val="clear" w:color="auto" w:fill="auto"/>
            <w:noWrap/>
          </w:tcPr>
          <w:p w14:paraId="089382E9" w14:textId="77777777" w:rsidR="002D4EFC" w:rsidRPr="00D534B0" w:rsidRDefault="002D4EFC" w:rsidP="00974B66">
            <w:pPr>
              <w:pStyle w:val="TableText"/>
              <w:jc w:val="center"/>
              <w:rPr>
                <w:rFonts w:ascii="Times New Roman" w:hAnsi="Times New Roman"/>
                <w:lang w:val="en-US" w:eastAsia="ko-KR"/>
              </w:rPr>
            </w:pPr>
            <w:r w:rsidRPr="00D534B0">
              <w:rPr>
                <w:rFonts w:ascii="Times New Roman" w:hAnsi="Times New Roman"/>
                <w:lang w:val="en-US" w:eastAsia="ko-KR"/>
              </w:rPr>
              <w:t>1.02</w:t>
            </w:r>
          </w:p>
        </w:tc>
        <w:tc>
          <w:tcPr>
            <w:tcW w:w="1274" w:type="dxa"/>
            <w:tcBorders>
              <w:top w:val="nil"/>
              <w:left w:val="nil"/>
              <w:bottom w:val="nil"/>
              <w:right w:val="nil"/>
            </w:tcBorders>
            <w:shd w:val="clear" w:color="auto" w:fill="auto"/>
            <w:noWrap/>
          </w:tcPr>
          <w:p w14:paraId="1E11E7EF" w14:textId="77777777" w:rsidR="002D4EFC" w:rsidRPr="00D534B0" w:rsidRDefault="002D4EFC" w:rsidP="00974B66">
            <w:pPr>
              <w:pStyle w:val="TableText"/>
              <w:jc w:val="center"/>
              <w:rPr>
                <w:rFonts w:ascii="Times New Roman" w:hAnsi="Times New Roman"/>
                <w:lang w:val="en-US" w:eastAsia="ko-KR"/>
              </w:rPr>
            </w:pPr>
            <w:r w:rsidRPr="00D534B0">
              <w:rPr>
                <w:rFonts w:ascii="Times New Roman" w:hAnsi="Times New Roman"/>
                <w:lang w:val="en-US" w:eastAsia="ko-KR"/>
              </w:rPr>
              <w:t>1.98</w:t>
            </w:r>
          </w:p>
        </w:tc>
      </w:tr>
      <w:tr w:rsidR="002D4EFC" w:rsidRPr="00D534B0" w14:paraId="5DF63F43" w14:textId="77777777" w:rsidTr="00974B66">
        <w:trPr>
          <w:trHeight w:val="264"/>
        </w:trPr>
        <w:tc>
          <w:tcPr>
            <w:tcW w:w="1985" w:type="dxa"/>
            <w:tcBorders>
              <w:top w:val="nil"/>
              <w:left w:val="nil"/>
              <w:bottom w:val="nil"/>
              <w:right w:val="nil"/>
            </w:tcBorders>
            <w:shd w:val="clear" w:color="auto" w:fill="auto"/>
            <w:noWrap/>
          </w:tcPr>
          <w:p w14:paraId="5C906724" w14:textId="77777777" w:rsidR="002D4EFC" w:rsidRPr="00D534B0" w:rsidRDefault="002D4EFC" w:rsidP="00974B66">
            <w:pPr>
              <w:pStyle w:val="TableText"/>
              <w:rPr>
                <w:rFonts w:ascii="Times New Roman" w:hAnsi="Times New Roman"/>
                <w:lang w:val="en-US" w:eastAsia="ko-KR"/>
              </w:rPr>
            </w:pPr>
          </w:p>
        </w:tc>
        <w:tc>
          <w:tcPr>
            <w:tcW w:w="2268" w:type="dxa"/>
            <w:tcBorders>
              <w:top w:val="nil"/>
              <w:left w:val="nil"/>
              <w:bottom w:val="nil"/>
              <w:right w:val="nil"/>
            </w:tcBorders>
            <w:shd w:val="clear" w:color="auto" w:fill="auto"/>
            <w:noWrap/>
          </w:tcPr>
          <w:p w14:paraId="2AD1C6FE" w14:textId="77777777" w:rsidR="002D4EFC" w:rsidRPr="00D534B0" w:rsidRDefault="002D4EFC" w:rsidP="00974B66">
            <w:pPr>
              <w:pStyle w:val="TableText"/>
              <w:rPr>
                <w:rFonts w:ascii="Times New Roman" w:hAnsi="Times New Roman"/>
                <w:lang w:val="en-US" w:eastAsia="ko-KR"/>
              </w:rPr>
            </w:pPr>
          </w:p>
        </w:tc>
        <w:tc>
          <w:tcPr>
            <w:tcW w:w="1985" w:type="dxa"/>
            <w:tcBorders>
              <w:top w:val="nil"/>
              <w:left w:val="nil"/>
              <w:bottom w:val="nil"/>
              <w:right w:val="nil"/>
            </w:tcBorders>
            <w:shd w:val="clear" w:color="auto" w:fill="auto"/>
            <w:noWrap/>
          </w:tcPr>
          <w:p w14:paraId="4CCBBBDD" w14:textId="77777777" w:rsidR="002D4EFC" w:rsidRPr="00D534B0" w:rsidRDefault="002D4EFC" w:rsidP="00974B66">
            <w:pPr>
              <w:pStyle w:val="TableText"/>
              <w:rPr>
                <w:rFonts w:ascii="Times New Roman" w:hAnsi="Times New Roman"/>
                <w:lang w:val="en-US" w:eastAsia="ko-KR"/>
              </w:rPr>
            </w:pPr>
          </w:p>
        </w:tc>
        <w:tc>
          <w:tcPr>
            <w:tcW w:w="851" w:type="dxa"/>
            <w:tcBorders>
              <w:top w:val="nil"/>
              <w:left w:val="nil"/>
              <w:bottom w:val="nil"/>
              <w:right w:val="nil"/>
            </w:tcBorders>
            <w:shd w:val="clear" w:color="auto" w:fill="auto"/>
            <w:noWrap/>
          </w:tcPr>
          <w:p w14:paraId="3EF2F2F7" w14:textId="77777777" w:rsidR="002D4EFC" w:rsidRPr="00D534B0" w:rsidRDefault="002D4EFC" w:rsidP="00974B66">
            <w:pPr>
              <w:pStyle w:val="TableText"/>
              <w:jc w:val="center"/>
              <w:rPr>
                <w:rFonts w:ascii="Times New Roman" w:hAnsi="Times New Roman"/>
                <w:lang w:val="en-US" w:eastAsia="ko-KR"/>
              </w:rPr>
            </w:pPr>
          </w:p>
        </w:tc>
        <w:tc>
          <w:tcPr>
            <w:tcW w:w="851" w:type="dxa"/>
            <w:tcBorders>
              <w:top w:val="nil"/>
              <w:left w:val="nil"/>
              <w:bottom w:val="nil"/>
              <w:right w:val="nil"/>
            </w:tcBorders>
            <w:shd w:val="clear" w:color="auto" w:fill="auto"/>
            <w:noWrap/>
          </w:tcPr>
          <w:p w14:paraId="095FB3DE" w14:textId="77777777" w:rsidR="002D4EFC" w:rsidRPr="00D534B0" w:rsidRDefault="002D4EFC" w:rsidP="00974B66">
            <w:pPr>
              <w:pStyle w:val="TableText"/>
              <w:jc w:val="center"/>
              <w:rPr>
                <w:rFonts w:ascii="Times New Roman" w:hAnsi="Times New Roman"/>
                <w:lang w:val="en-US" w:eastAsia="ko-KR"/>
              </w:rPr>
            </w:pPr>
          </w:p>
        </w:tc>
        <w:tc>
          <w:tcPr>
            <w:tcW w:w="1274" w:type="dxa"/>
            <w:tcBorders>
              <w:top w:val="nil"/>
              <w:left w:val="nil"/>
              <w:bottom w:val="nil"/>
              <w:right w:val="nil"/>
            </w:tcBorders>
            <w:shd w:val="clear" w:color="auto" w:fill="auto"/>
            <w:noWrap/>
          </w:tcPr>
          <w:p w14:paraId="3783FFB9" w14:textId="77777777" w:rsidR="002D4EFC" w:rsidRPr="00D534B0" w:rsidRDefault="002D4EFC" w:rsidP="00974B66">
            <w:pPr>
              <w:pStyle w:val="TableText"/>
              <w:jc w:val="center"/>
              <w:rPr>
                <w:rFonts w:ascii="Times New Roman" w:hAnsi="Times New Roman"/>
                <w:lang w:val="en-US" w:eastAsia="ko-KR"/>
              </w:rPr>
            </w:pPr>
          </w:p>
        </w:tc>
      </w:tr>
      <w:tr w:rsidR="002D4EFC" w:rsidRPr="00D534B0" w14:paraId="0FA4B623" w14:textId="77777777" w:rsidTr="00974B66">
        <w:trPr>
          <w:trHeight w:val="264"/>
        </w:trPr>
        <w:tc>
          <w:tcPr>
            <w:tcW w:w="1985" w:type="dxa"/>
            <w:tcBorders>
              <w:top w:val="nil"/>
              <w:left w:val="nil"/>
              <w:bottom w:val="nil"/>
              <w:right w:val="nil"/>
            </w:tcBorders>
            <w:shd w:val="clear" w:color="auto" w:fill="auto"/>
            <w:noWrap/>
          </w:tcPr>
          <w:p w14:paraId="4AE5CC20" w14:textId="77777777" w:rsidR="002D4EFC" w:rsidRPr="00D534B0" w:rsidRDefault="002D4EFC" w:rsidP="00974B66">
            <w:pPr>
              <w:pStyle w:val="TableText"/>
              <w:rPr>
                <w:rFonts w:ascii="Times New Roman" w:hAnsi="Times New Roman"/>
                <w:lang w:val="en-US" w:eastAsia="ko-KR"/>
              </w:rPr>
            </w:pPr>
            <w:r w:rsidRPr="00D534B0">
              <w:rPr>
                <w:rFonts w:ascii="Times New Roman" w:hAnsi="Times New Roman"/>
                <w:lang w:val="en-US" w:eastAsia="ko-KR"/>
              </w:rPr>
              <w:t>Region of origin</w:t>
            </w:r>
          </w:p>
        </w:tc>
        <w:tc>
          <w:tcPr>
            <w:tcW w:w="2268" w:type="dxa"/>
            <w:tcBorders>
              <w:top w:val="nil"/>
              <w:left w:val="nil"/>
              <w:bottom w:val="nil"/>
              <w:right w:val="nil"/>
            </w:tcBorders>
            <w:shd w:val="clear" w:color="auto" w:fill="auto"/>
            <w:noWrap/>
          </w:tcPr>
          <w:p w14:paraId="6CD4B8D8" w14:textId="77777777" w:rsidR="002D4EFC" w:rsidRPr="00D534B0" w:rsidRDefault="002D4EFC" w:rsidP="00974B66">
            <w:pPr>
              <w:pStyle w:val="TableText"/>
              <w:rPr>
                <w:rFonts w:ascii="Times New Roman" w:hAnsi="Times New Roman"/>
                <w:lang w:val="en-US" w:eastAsia="ko-KR"/>
              </w:rPr>
            </w:pPr>
            <w:r w:rsidRPr="00D534B0">
              <w:rPr>
                <w:rFonts w:ascii="Times New Roman" w:hAnsi="Times New Roman"/>
                <w:lang w:val="en-US" w:eastAsia="ko-KR"/>
              </w:rPr>
              <w:t>English-speaking background</w:t>
            </w:r>
          </w:p>
        </w:tc>
        <w:tc>
          <w:tcPr>
            <w:tcW w:w="1985" w:type="dxa"/>
            <w:tcBorders>
              <w:top w:val="nil"/>
              <w:left w:val="nil"/>
              <w:bottom w:val="nil"/>
              <w:right w:val="nil"/>
            </w:tcBorders>
            <w:shd w:val="clear" w:color="auto" w:fill="auto"/>
            <w:noWrap/>
          </w:tcPr>
          <w:p w14:paraId="37C432C7" w14:textId="77777777" w:rsidR="002D4EFC" w:rsidRPr="00D534B0" w:rsidRDefault="002D4EFC" w:rsidP="00974B66">
            <w:pPr>
              <w:pStyle w:val="TableText"/>
              <w:rPr>
                <w:rFonts w:ascii="Times New Roman" w:hAnsi="Times New Roman"/>
                <w:lang w:val="en-US" w:eastAsia="ko-KR"/>
              </w:rPr>
            </w:pPr>
            <w:r w:rsidRPr="00D534B0">
              <w:rPr>
                <w:rFonts w:ascii="Times New Roman" w:hAnsi="Times New Roman"/>
                <w:lang w:val="en-US" w:eastAsia="ko-KR"/>
              </w:rPr>
              <w:t>Europe</w:t>
            </w:r>
          </w:p>
        </w:tc>
        <w:tc>
          <w:tcPr>
            <w:tcW w:w="851" w:type="dxa"/>
            <w:tcBorders>
              <w:top w:val="nil"/>
              <w:left w:val="nil"/>
              <w:bottom w:val="nil"/>
              <w:right w:val="nil"/>
            </w:tcBorders>
            <w:shd w:val="clear" w:color="auto" w:fill="auto"/>
            <w:noWrap/>
          </w:tcPr>
          <w:p w14:paraId="7CDCBCF4" w14:textId="77777777" w:rsidR="002D4EFC" w:rsidRPr="00D534B0" w:rsidRDefault="002D4EFC" w:rsidP="00974B66">
            <w:pPr>
              <w:pStyle w:val="TableText"/>
              <w:jc w:val="center"/>
              <w:rPr>
                <w:rFonts w:ascii="Times New Roman" w:hAnsi="Times New Roman"/>
                <w:lang w:val="en-US" w:eastAsia="ko-KR"/>
              </w:rPr>
            </w:pPr>
            <w:r w:rsidRPr="00D534B0">
              <w:rPr>
                <w:rFonts w:ascii="Times New Roman" w:hAnsi="Times New Roman"/>
                <w:lang w:val="en-US" w:eastAsia="ko-KR"/>
              </w:rPr>
              <w:t>0.60</w:t>
            </w:r>
          </w:p>
        </w:tc>
        <w:tc>
          <w:tcPr>
            <w:tcW w:w="851" w:type="dxa"/>
            <w:tcBorders>
              <w:top w:val="nil"/>
              <w:left w:val="nil"/>
              <w:bottom w:val="nil"/>
              <w:right w:val="nil"/>
            </w:tcBorders>
            <w:shd w:val="clear" w:color="auto" w:fill="auto"/>
            <w:noWrap/>
          </w:tcPr>
          <w:p w14:paraId="3B49D37A" w14:textId="77777777" w:rsidR="002D4EFC" w:rsidRPr="00D534B0" w:rsidRDefault="002D4EFC" w:rsidP="00974B66">
            <w:pPr>
              <w:pStyle w:val="TableText"/>
              <w:jc w:val="center"/>
              <w:rPr>
                <w:rFonts w:ascii="Times New Roman" w:hAnsi="Times New Roman"/>
                <w:lang w:val="en-US" w:eastAsia="ko-KR"/>
              </w:rPr>
            </w:pPr>
            <w:r w:rsidRPr="00D534B0">
              <w:rPr>
                <w:rFonts w:ascii="Times New Roman" w:hAnsi="Times New Roman"/>
                <w:lang w:val="en-US" w:eastAsia="ko-KR"/>
              </w:rPr>
              <w:t>0.47</w:t>
            </w:r>
          </w:p>
        </w:tc>
        <w:tc>
          <w:tcPr>
            <w:tcW w:w="1274" w:type="dxa"/>
            <w:tcBorders>
              <w:top w:val="nil"/>
              <w:left w:val="nil"/>
              <w:bottom w:val="nil"/>
              <w:right w:val="nil"/>
            </w:tcBorders>
            <w:shd w:val="clear" w:color="auto" w:fill="auto"/>
            <w:noWrap/>
          </w:tcPr>
          <w:p w14:paraId="1A42CC4F" w14:textId="77777777" w:rsidR="002D4EFC" w:rsidRPr="00D534B0" w:rsidRDefault="002D4EFC" w:rsidP="00974B66">
            <w:pPr>
              <w:pStyle w:val="TableText"/>
              <w:jc w:val="center"/>
              <w:rPr>
                <w:rFonts w:ascii="Times New Roman" w:hAnsi="Times New Roman"/>
                <w:lang w:val="en-US" w:eastAsia="ko-KR"/>
              </w:rPr>
            </w:pPr>
            <w:r w:rsidRPr="00D534B0">
              <w:rPr>
                <w:rFonts w:ascii="Times New Roman" w:hAnsi="Times New Roman"/>
                <w:lang w:val="en-US" w:eastAsia="ko-KR"/>
              </w:rPr>
              <w:t>0.78</w:t>
            </w:r>
          </w:p>
        </w:tc>
      </w:tr>
      <w:tr w:rsidR="002D4EFC" w:rsidRPr="00D534B0" w14:paraId="314492B8" w14:textId="77777777" w:rsidTr="00974B66">
        <w:trPr>
          <w:trHeight w:val="264"/>
        </w:trPr>
        <w:tc>
          <w:tcPr>
            <w:tcW w:w="1985" w:type="dxa"/>
            <w:tcBorders>
              <w:top w:val="nil"/>
              <w:left w:val="nil"/>
              <w:bottom w:val="nil"/>
              <w:right w:val="nil"/>
            </w:tcBorders>
            <w:shd w:val="clear" w:color="auto" w:fill="auto"/>
            <w:noWrap/>
          </w:tcPr>
          <w:p w14:paraId="3CEC2279" w14:textId="77777777" w:rsidR="002D4EFC" w:rsidRPr="00D534B0" w:rsidRDefault="002D4EFC" w:rsidP="00974B66">
            <w:pPr>
              <w:pStyle w:val="TableText"/>
              <w:rPr>
                <w:rFonts w:ascii="Times New Roman" w:hAnsi="Times New Roman"/>
                <w:lang w:val="en-US" w:eastAsia="ko-KR"/>
              </w:rPr>
            </w:pPr>
          </w:p>
        </w:tc>
        <w:tc>
          <w:tcPr>
            <w:tcW w:w="2268" w:type="dxa"/>
            <w:tcBorders>
              <w:top w:val="nil"/>
              <w:left w:val="nil"/>
              <w:bottom w:val="nil"/>
              <w:right w:val="nil"/>
            </w:tcBorders>
            <w:shd w:val="clear" w:color="auto" w:fill="auto"/>
            <w:noWrap/>
          </w:tcPr>
          <w:p w14:paraId="49F359EB" w14:textId="77777777" w:rsidR="002D4EFC" w:rsidRPr="00D534B0" w:rsidRDefault="002D4EFC" w:rsidP="00974B66">
            <w:pPr>
              <w:pStyle w:val="TableText"/>
              <w:rPr>
                <w:rFonts w:ascii="Times New Roman" w:hAnsi="Times New Roman"/>
                <w:lang w:val="en-US" w:eastAsia="ko-KR"/>
              </w:rPr>
            </w:pPr>
          </w:p>
        </w:tc>
        <w:tc>
          <w:tcPr>
            <w:tcW w:w="1985" w:type="dxa"/>
            <w:tcBorders>
              <w:top w:val="nil"/>
              <w:left w:val="nil"/>
              <w:bottom w:val="nil"/>
              <w:right w:val="nil"/>
            </w:tcBorders>
            <w:shd w:val="clear" w:color="auto" w:fill="auto"/>
            <w:noWrap/>
          </w:tcPr>
          <w:p w14:paraId="17CD5DAC" w14:textId="77777777" w:rsidR="002D4EFC" w:rsidRPr="00D534B0" w:rsidRDefault="002D4EFC" w:rsidP="00974B66">
            <w:pPr>
              <w:pStyle w:val="TableText"/>
              <w:rPr>
                <w:rFonts w:ascii="Times New Roman" w:hAnsi="Times New Roman"/>
                <w:lang w:val="en-US" w:eastAsia="ko-KR"/>
              </w:rPr>
            </w:pPr>
            <w:r w:rsidRPr="00D534B0">
              <w:rPr>
                <w:rFonts w:ascii="Times New Roman" w:hAnsi="Times New Roman"/>
                <w:lang w:val="en-US" w:eastAsia="ko-KR"/>
              </w:rPr>
              <w:t>N. Africa &amp; M. East</w:t>
            </w:r>
          </w:p>
        </w:tc>
        <w:tc>
          <w:tcPr>
            <w:tcW w:w="851" w:type="dxa"/>
            <w:tcBorders>
              <w:top w:val="nil"/>
              <w:left w:val="nil"/>
              <w:bottom w:val="nil"/>
              <w:right w:val="nil"/>
            </w:tcBorders>
            <w:shd w:val="clear" w:color="auto" w:fill="auto"/>
            <w:noWrap/>
          </w:tcPr>
          <w:p w14:paraId="3C8F4608" w14:textId="77777777" w:rsidR="002D4EFC" w:rsidRPr="00D534B0" w:rsidRDefault="002D4EFC" w:rsidP="00974B66">
            <w:pPr>
              <w:pStyle w:val="TableText"/>
              <w:jc w:val="center"/>
              <w:rPr>
                <w:rFonts w:ascii="Times New Roman" w:hAnsi="Times New Roman"/>
                <w:lang w:val="en-US" w:eastAsia="ko-KR"/>
              </w:rPr>
            </w:pPr>
            <w:r w:rsidRPr="00D534B0">
              <w:rPr>
                <w:rFonts w:ascii="Times New Roman" w:hAnsi="Times New Roman"/>
                <w:lang w:val="en-US" w:eastAsia="ko-KR"/>
              </w:rPr>
              <w:t>0.93</w:t>
            </w:r>
          </w:p>
        </w:tc>
        <w:tc>
          <w:tcPr>
            <w:tcW w:w="851" w:type="dxa"/>
            <w:tcBorders>
              <w:top w:val="nil"/>
              <w:left w:val="nil"/>
              <w:bottom w:val="nil"/>
              <w:right w:val="nil"/>
            </w:tcBorders>
            <w:shd w:val="clear" w:color="auto" w:fill="auto"/>
            <w:noWrap/>
          </w:tcPr>
          <w:p w14:paraId="5F7E83BC" w14:textId="77777777" w:rsidR="002D4EFC" w:rsidRPr="00D534B0" w:rsidRDefault="002D4EFC" w:rsidP="00974B66">
            <w:pPr>
              <w:pStyle w:val="TableText"/>
              <w:jc w:val="center"/>
              <w:rPr>
                <w:rFonts w:ascii="Times New Roman" w:hAnsi="Times New Roman"/>
                <w:lang w:val="en-US" w:eastAsia="ko-KR"/>
              </w:rPr>
            </w:pPr>
            <w:r w:rsidRPr="00D534B0">
              <w:rPr>
                <w:rFonts w:ascii="Times New Roman" w:hAnsi="Times New Roman"/>
                <w:lang w:val="en-US" w:eastAsia="ko-KR"/>
              </w:rPr>
              <w:t>0.72</w:t>
            </w:r>
          </w:p>
        </w:tc>
        <w:tc>
          <w:tcPr>
            <w:tcW w:w="1274" w:type="dxa"/>
            <w:tcBorders>
              <w:top w:val="nil"/>
              <w:left w:val="nil"/>
              <w:bottom w:val="nil"/>
              <w:right w:val="nil"/>
            </w:tcBorders>
            <w:shd w:val="clear" w:color="auto" w:fill="auto"/>
            <w:noWrap/>
          </w:tcPr>
          <w:p w14:paraId="1390B38B" w14:textId="77777777" w:rsidR="002D4EFC" w:rsidRPr="00D534B0" w:rsidRDefault="002D4EFC" w:rsidP="00974B66">
            <w:pPr>
              <w:pStyle w:val="TableText"/>
              <w:jc w:val="center"/>
              <w:rPr>
                <w:rFonts w:ascii="Times New Roman" w:hAnsi="Times New Roman"/>
                <w:lang w:val="en-US" w:eastAsia="ko-KR"/>
              </w:rPr>
            </w:pPr>
            <w:r w:rsidRPr="00D534B0">
              <w:rPr>
                <w:rFonts w:ascii="Times New Roman" w:hAnsi="Times New Roman"/>
                <w:lang w:val="en-US" w:eastAsia="ko-KR"/>
              </w:rPr>
              <w:t>1.19</w:t>
            </w:r>
          </w:p>
        </w:tc>
      </w:tr>
      <w:tr w:rsidR="002D4EFC" w:rsidRPr="00D534B0" w14:paraId="133E84FD" w14:textId="77777777" w:rsidTr="00974B66">
        <w:trPr>
          <w:trHeight w:val="264"/>
        </w:trPr>
        <w:tc>
          <w:tcPr>
            <w:tcW w:w="1985" w:type="dxa"/>
            <w:tcBorders>
              <w:top w:val="nil"/>
              <w:left w:val="nil"/>
              <w:bottom w:val="nil"/>
              <w:right w:val="nil"/>
            </w:tcBorders>
            <w:shd w:val="clear" w:color="auto" w:fill="auto"/>
            <w:noWrap/>
          </w:tcPr>
          <w:p w14:paraId="2EBD71AA" w14:textId="77777777" w:rsidR="002D4EFC" w:rsidRPr="00D534B0" w:rsidRDefault="002D4EFC" w:rsidP="00974B66">
            <w:pPr>
              <w:pStyle w:val="TableText"/>
              <w:rPr>
                <w:rFonts w:ascii="Times New Roman" w:hAnsi="Times New Roman"/>
                <w:lang w:val="en-US" w:eastAsia="ko-KR"/>
              </w:rPr>
            </w:pPr>
          </w:p>
        </w:tc>
        <w:tc>
          <w:tcPr>
            <w:tcW w:w="2268" w:type="dxa"/>
            <w:tcBorders>
              <w:top w:val="nil"/>
              <w:left w:val="nil"/>
              <w:bottom w:val="nil"/>
              <w:right w:val="nil"/>
            </w:tcBorders>
            <w:shd w:val="clear" w:color="auto" w:fill="auto"/>
            <w:noWrap/>
          </w:tcPr>
          <w:p w14:paraId="34BE51E9" w14:textId="77777777" w:rsidR="002D4EFC" w:rsidRPr="00D534B0" w:rsidRDefault="002D4EFC" w:rsidP="00974B66">
            <w:pPr>
              <w:pStyle w:val="TableText"/>
              <w:rPr>
                <w:rFonts w:ascii="Times New Roman" w:hAnsi="Times New Roman"/>
                <w:lang w:val="en-US" w:eastAsia="ko-KR"/>
              </w:rPr>
            </w:pPr>
          </w:p>
        </w:tc>
        <w:tc>
          <w:tcPr>
            <w:tcW w:w="1985" w:type="dxa"/>
            <w:tcBorders>
              <w:top w:val="nil"/>
              <w:left w:val="nil"/>
              <w:bottom w:val="nil"/>
              <w:right w:val="nil"/>
            </w:tcBorders>
            <w:shd w:val="clear" w:color="auto" w:fill="auto"/>
            <w:noWrap/>
          </w:tcPr>
          <w:p w14:paraId="0459389B" w14:textId="77777777" w:rsidR="002D4EFC" w:rsidRPr="00D534B0" w:rsidRDefault="002D4EFC" w:rsidP="00974B66">
            <w:pPr>
              <w:pStyle w:val="TableText"/>
              <w:rPr>
                <w:rFonts w:ascii="Times New Roman" w:hAnsi="Times New Roman"/>
                <w:lang w:val="en-US" w:eastAsia="ko-KR"/>
              </w:rPr>
            </w:pPr>
            <w:r w:rsidRPr="00D534B0">
              <w:rPr>
                <w:rFonts w:ascii="Times New Roman" w:hAnsi="Times New Roman"/>
                <w:lang w:val="en-US" w:eastAsia="ko-KR"/>
              </w:rPr>
              <w:t>Asia-Commonwealth</w:t>
            </w:r>
          </w:p>
        </w:tc>
        <w:tc>
          <w:tcPr>
            <w:tcW w:w="851" w:type="dxa"/>
            <w:tcBorders>
              <w:top w:val="nil"/>
              <w:left w:val="nil"/>
              <w:bottom w:val="nil"/>
              <w:right w:val="nil"/>
            </w:tcBorders>
            <w:shd w:val="clear" w:color="auto" w:fill="auto"/>
            <w:noWrap/>
          </w:tcPr>
          <w:p w14:paraId="6DDD476E" w14:textId="77777777" w:rsidR="002D4EFC" w:rsidRPr="00D534B0" w:rsidRDefault="002D4EFC" w:rsidP="00974B66">
            <w:pPr>
              <w:pStyle w:val="TableText"/>
              <w:jc w:val="center"/>
              <w:rPr>
                <w:rFonts w:ascii="Times New Roman" w:hAnsi="Times New Roman"/>
                <w:lang w:val="en-US" w:eastAsia="ko-KR"/>
              </w:rPr>
            </w:pPr>
            <w:r w:rsidRPr="00D534B0">
              <w:rPr>
                <w:rFonts w:ascii="Times New Roman" w:hAnsi="Times New Roman"/>
                <w:lang w:val="en-US" w:eastAsia="ko-KR"/>
              </w:rPr>
              <w:t>0.73</w:t>
            </w:r>
          </w:p>
        </w:tc>
        <w:tc>
          <w:tcPr>
            <w:tcW w:w="851" w:type="dxa"/>
            <w:tcBorders>
              <w:top w:val="nil"/>
              <w:left w:val="nil"/>
              <w:bottom w:val="nil"/>
              <w:right w:val="nil"/>
            </w:tcBorders>
            <w:shd w:val="clear" w:color="auto" w:fill="auto"/>
            <w:noWrap/>
          </w:tcPr>
          <w:p w14:paraId="5D0A3ED8" w14:textId="77777777" w:rsidR="002D4EFC" w:rsidRPr="00D534B0" w:rsidRDefault="002D4EFC" w:rsidP="00974B66">
            <w:pPr>
              <w:pStyle w:val="TableText"/>
              <w:jc w:val="center"/>
              <w:rPr>
                <w:rFonts w:ascii="Times New Roman" w:hAnsi="Times New Roman"/>
                <w:lang w:val="en-US" w:eastAsia="ko-KR"/>
              </w:rPr>
            </w:pPr>
            <w:r w:rsidRPr="00D534B0">
              <w:rPr>
                <w:rFonts w:ascii="Times New Roman" w:hAnsi="Times New Roman"/>
                <w:lang w:val="en-US" w:eastAsia="ko-KR"/>
              </w:rPr>
              <w:t>0.58</w:t>
            </w:r>
          </w:p>
        </w:tc>
        <w:tc>
          <w:tcPr>
            <w:tcW w:w="1274" w:type="dxa"/>
            <w:tcBorders>
              <w:top w:val="nil"/>
              <w:left w:val="nil"/>
              <w:bottom w:val="nil"/>
              <w:right w:val="nil"/>
            </w:tcBorders>
            <w:shd w:val="clear" w:color="auto" w:fill="auto"/>
            <w:noWrap/>
          </w:tcPr>
          <w:p w14:paraId="6D19D648" w14:textId="77777777" w:rsidR="002D4EFC" w:rsidRPr="00D534B0" w:rsidRDefault="002D4EFC" w:rsidP="00974B66">
            <w:pPr>
              <w:pStyle w:val="TableText"/>
              <w:jc w:val="center"/>
              <w:rPr>
                <w:rFonts w:ascii="Times New Roman" w:hAnsi="Times New Roman"/>
                <w:lang w:val="en-US" w:eastAsia="ko-KR"/>
              </w:rPr>
            </w:pPr>
            <w:r w:rsidRPr="00D534B0">
              <w:rPr>
                <w:rFonts w:ascii="Times New Roman" w:hAnsi="Times New Roman"/>
                <w:lang w:val="en-US" w:eastAsia="ko-KR"/>
              </w:rPr>
              <w:t>0.93</w:t>
            </w:r>
          </w:p>
        </w:tc>
      </w:tr>
      <w:tr w:rsidR="002D4EFC" w:rsidRPr="00D534B0" w14:paraId="72645B69" w14:textId="77777777" w:rsidTr="00974B66">
        <w:trPr>
          <w:trHeight w:val="264"/>
        </w:trPr>
        <w:tc>
          <w:tcPr>
            <w:tcW w:w="1985" w:type="dxa"/>
            <w:tcBorders>
              <w:top w:val="nil"/>
              <w:left w:val="nil"/>
              <w:bottom w:val="single" w:sz="18" w:space="0" w:color="auto"/>
              <w:right w:val="nil"/>
            </w:tcBorders>
            <w:shd w:val="clear" w:color="auto" w:fill="auto"/>
            <w:noWrap/>
          </w:tcPr>
          <w:p w14:paraId="6080A8E9" w14:textId="77777777" w:rsidR="002D4EFC" w:rsidRPr="00D534B0" w:rsidRDefault="002D4EFC" w:rsidP="00974B66">
            <w:pPr>
              <w:pStyle w:val="TableText"/>
              <w:rPr>
                <w:rFonts w:ascii="Times New Roman" w:hAnsi="Times New Roman"/>
                <w:lang w:val="en-US" w:eastAsia="ko-KR"/>
              </w:rPr>
            </w:pPr>
          </w:p>
        </w:tc>
        <w:tc>
          <w:tcPr>
            <w:tcW w:w="2268" w:type="dxa"/>
            <w:tcBorders>
              <w:top w:val="nil"/>
              <w:left w:val="nil"/>
              <w:bottom w:val="single" w:sz="18" w:space="0" w:color="auto"/>
              <w:right w:val="nil"/>
            </w:tcBorders>
            <w:shd w:val="clear" w:color="auto" w:fill="auto"/>
            <w:noWrap/>
          </w:tcPr>
          <w:p w14:paraId="42DCEC07" w14:textId="77777777" w:rsidR="002D4EFC" w:rsidRPr="00D534B0" w:rsidRDefault="002D4EFC" w:rsidP="00974B66">
            <w:pPr>
              <w:pStyle w:val="TableText"/>
              <w:rPr>
                <w:rFonts w:ascii="Times New Roman" w:hAnsi="Times New Roman"/>
                <w:lang w:val="en-US" w:eastAsia="ko-KR"/>
              </w:rPr>
            </w:pPr>
          </w:p>
        </w:tc>
        <w:tc>
          <w:tcPr>
            <w:tcW w:w="1985" w:type="dxa"/>
            <w:tcBorders>
              <w:top w:val="nil"/>
              <w:left w:val="nil"/>
              <w:bottom w:val="single" w:sz="18" w:space="0" w:color="auto"/>
              <w:right w:val="nil"/>
            </w:tcBorders>
            <w:shd w:val="clear" w:color="auto" w:fill="auto"/>
            <w:noWrap/>
          </w:tcPr>
          <w:p w14:paraId="3057AC46" w14:textId="77777777" w:rsidR="002D4EFC" w:rsidRPr="00D534B0" w:rsidRDefault="002D4EFC" w:rsidP="00974B66">
            <w:pPr>
              <w:pStyle w:val="TableText"/>
              <w:rPr>
                <w:rFonts w:ascii="Times New Roman" w:hAnsi="Times New Roman"/>
                <w:lang w:val="en-US" w:eastAsia="ko-KR"/>
              </w:rPr>
            </w:pPr>
            <w:r w:rsidRPr="00D534B0">
              <w:rPr>
                <w:rFonts w:ascii="Times New Roman" w:hAnsi="Times New Roman"/>
                <w:lang w:val="en-US" w:eastAsia="ko-KR"/>
              </w:rPr>
              <w:t>Other</w:t>
            </w:r>
          </w:p>
        </w:tc>
        <w:tc>
          <w:tcPr>
            <w:tcW w:w="851" w:type="dxa"/>
            <w:tcBorders>
              <w:top w:val="nil"/>
              <w:left w:val="nil"/>
              <w:bottom w:val="single" w:sz="18" w:space="0" w:color="auto"/>
              <w:right w:val="nil"/>
            </w:tcBorders>
            <w:shd w:val="clear" w:color="auto" w:fill="auto"/>
            <w:noWrap/>
          </w:tcPr>
          <w:p w14:paraId="2E78CA34" w14:textId="77777777" w:rsidR="002D4EFC" w:rsidRPr="00D534B0" w:rsidRDefault="002D4EFC" w:rsidP="00974B66">
            <w:pPr>
              <w:pStyle w:val="TableText"/>
              <w:jc w:val="center"/>
              <w:rPr>
                <w:rFonts w:ascii="Times New Roman" w:hAnsi="Times New Roman"/>
                <w:lang w:val="en-US" w:eastAsia="ko-KR"/>
              </w:rPr>
            </w:pPr>
            <w:r w:rsidRPr="00D534B0">
              <w:rPr>
                <w:rFonts w:ascii="Times New Roman" w:hAnsi="Times New Roman"/>
                <w:lang w:val="en-US" w:eastAsia="ko-KR"/>
              </w:rPr>
              <w:t>0.51</w:t>
            </w:r>
          </w:p>
        </w:tc>
        <w:tc>
          <w:tcPr>
            <w:tcW w:w="851" w:type="dxa"/>
            <w:tcBorders>
              <w:top w:val="nil"/>
              <w:left w:val="nil"/>
              <w:bottom w:val="single" w:sz="18" w:space="0" w:color="auto"/>
              <w:right w:val="nil"/>
            </w:tcBorders>
            <w:shd w:val="clear" w:color="auto" w:fill="auto"/>
            <w:noWrap/>
          </w:tcPr>
          <w:p w14:paraId="6AF1FF62" w14:textId="77777777" w:rsidR="002D4EFC" w:rsidRPr="00D534B0" w:rsidRDefault="002D4EFC" w:rsidP="00974B66">
            <w:pPr>
              <w:pStyle w:val="TableText"/>
              <w:jc w:val="center"/>
              <w:rPr>
                <w:rFonts w:ascii="Times New Roman" w:hAnsi="Times New Roman"/>
                <w:lang w:val="en-US" w:eastAsia="ko-KR"/>
              </w:rPr>
            </w:pPr>
            <w:r w:rsidRPr="00D534B0">
              <w:rPr>
                <w:rFonts w:ascii="Times New Roman" w:hAnsi="Times New Roman"/>
                <w:lang w:val="en-US" w:eastAsia="ko-KR"/>
              </w:rPr>
              <w:t>0.40</w:t>
            </w:r>
          </w:p>
        </w:tc>
        <w:tc>
          <w:tcPr>
            <w:tcW w:w="1274" w:type="dxa"/>
            <w:tcBorders>
              <w:top w:val="nil"/>
              <w:left w:val="nil"/>
              <w:bottom w:val="single" w:sz="18" w:space="0" w:color="auto"/>
              <w:right w:val="nil"/>
            </w:tcBorders>
            <w:shd w:val="clear" w:color="auto" w:fill="auto"/>
            <w:noWrap/>
          </w:tcPr>
          <w:p w14:paraId="60DF5247" w14:textId="77777777" w:rsidR="002D4EFC" w:rsidRPr="00D534B0" w:rsidRDefault="002D4EFC" w:rsidP="00974B66">
            <w:pPr>
              <w:pStyle w:val="TableText"/>
              <w:jc w:val="center"/>
              <w:rPr>
                <w:rFonts w:ascii="Times New Roman" w:hAnsi="Times New Roman"/>
                <w:lang w:val="en-US" w:eastAsia="ko-KR"/>
              </w:rPr>
            </w:pPr>
            <w:r w:rsidRPr="00D534B0">
              <w:rPr>
                <w:rFonts w:ascii="Times New Roman" w:hAnsi="Times New Roman"/>
                <w:lang w:val="en-US" w:eastAsia="ko-KR"/>
              </w:rPr>
              <w:t>0.65</w:t>
            </w:r>
          </w:p>
        </w:tc>
      </w:tr>
      <w:tr w:rsidR="002D4EFC" w:rsidRPr="00D534B0" w14:paraId="47B5C949" w14:textId="77777777" w:rsidTr="00974B66">
        <w:trPr>
          <w:trHeight w:val="264"/>
        </w:trPr>
        <w:tc>
          <w:tcPr>
            <w:tcW w:w="1985" w:type="dxa"/>
            <w:tcBorders>
              <w:top w:val="single" w:sz="18" w:space="0" w:color="auto"/>
              <w:left w:val="nil"/>
              <w:bottom w:val="nil"/>
              <w:right w:val="nil"/>
            </w:tcBorders>
            <w:shd w:val="clear" w:color="auto" w:fill="auto"/>
            <w:noWrap/>
          </w:tcPr>
          <w:p w14:paraId="0F13C162" w14:textId="77777777" w:rsidR="002D4EFC" w:rsidRPr="00D534B0" w:rsidRDefault="002D4EFC" w:rsidP="00974B66">
            <w:pPr>
              <w:pStyle w:val="TableText"/>
              <w:rPr>
                <w:rFonts w:ascii="Times New Roman" w:hAnsi="Times New Roman"/>
                <w:b/>
                <w:bCs/>
                <w:lang w:val="en-US" w:eastAsia="ko-KR"/>
              </w:rPr>
            </w:pPr>
            <w:r w:rsidRPr="00D534B0">
              <w:rPr>
                <w:rFonts w:ascii="Times New Roman" w:hAnsi="Times New Roman"/>
                <w:b/>
                <w:bCs/>
                <w:lang w:val="en-US" w:eastAsia="ko-KR"/>
              </w:rPr>
              <w:t>Statistics:</w:t>
            </w:r>
            <w:r>
              <w:rPr>
                <w:rFonts w:ascii="Times New Roman" w:hAnsi="Times New Roman"/>
                <w:b/>
                <w:bCs/>
                <w:lang w:val="en-US" w:eastAsia="ko-KR"/>
              </w:rPr>
              <w:t xml:space="preserve">  </w:t>
            </w:r>
          </w:p>
        </w:tc>
        <w:tc>
          <w:tcPr>
            <w:tcW w:w="2268" w:type="dxa"/>
            <w:tcBorders>
              <w:top w:val="single" w:sz="18" w:space="0" w:color="auto"/>
              <w:left w:val="nil"/>
              <w:bottom w:val="nil"/>
              <w:right w:val="nil"/>
            </w:tcBorders>
            <w:shd w:val="clear" w:color="auto" w:fill="auto"/>
            <w:noWrap/>
          </w:tcPr>
          <w:p w14:paraId="03EE9835" w14:textId="77777777" w:rsidR="002D4EFC" w:rsidRPr="00D534B0" w:rsidRDefault="002D4EFC" w:rsidP="00974B66">
            <w:pPr>
              <w:pStyle w:val="TableText"/>
              <w:rPr>
                <w:rFonts w:ascii="Times New Roman" w:hAnsi="Times New Roman"/>
                <w:b/>
                <w:bCs/>
                <w:lang w:val="en-US" w:eastAsia="ko-KR"/>
              </w:rPr>
            </w:pPr>
          </w:p>
        </w:tc>
        <w:tc>
          <w:tcPr>
            <w:tcW w:w="1985" w:type="dxa"/>
            <w:tcBorders>
              <w:top w:val="single" w:sz="18" w:space="0" w:color="auto"/>
              <w:left w:val="nil"/>
              <w:bottom w:val="nil"/>
              <w:right w:val="nil"/>
            </w:tcBorders>
            <w:shd w:val="clear" w:color="auto" w:fill="auto"/>
            <w:noWrap/>
          </w:tcPr>
          <w:p w14:paraId="7351E74B" w14:textId="77777777" w:rsidR="002D4EFC" w:rsidRPr="00D534B0" w:rsidRDefault="002D4EFC" w:rsidP="00974B66">
            <w:pPr>
              <w:pStyle w:val="TableText"/>
              <w:rPr>
                <w:rFonts w:ascii="Times New Roman" w:hAnsi="Times New Roman"/>
                <w:b/>
                <w:bCs/>
                <w:lang w:val="en-US" w:eastAsia="ko-KR"/>
              </w:rPr>
            </w:pPr>
          </w:p>
        </w:tc>
        <w:tc>
          <w:tcPr>
            <w:tcW w:w="851" w:type="dxa"/>
            <w:tcBorders>
              <w:top w:val="single" w:sz="18" w:space="0" w:color="auto"/>
              <w:left w:val="nil"/>
              <w:bottom w:val="nil"/>
              <w:right w:val="nil"/>
            </w:tcBorders>
            <w:shd w:val="clear" w:color="auto" w:fill="auto"/>
            <w:noWrap/>
          </w:tcPr>
          <w:p w14:paraId="2823115F" w14:textId="77777777" w:rsidR="002D4EFC" w:rsidRPr="00D534B0" w:rsidRDefault="002D4EFC" w:rsidP="00974B66">
            <w:pPr>
              <w:pStyle w:val="TableText"/>
              <w:rPr>
                <w:rFonts w:ascii="Times New Roman" w:hAnsi="Times New Roman"/>
                <w:b/>
                <w:bCs/>
                <w:lang w:val="en-US" w:eastAsia="ko-KR"/>
              </w:rPr>
            </w:pPr>
          </w:p>
        </w:tc>
        <w:tc>
          <w:tcPr>
            <w:tcW w:w="851" w:type="dxa"/>
            <w:tcBorders>
              <w:top w:val="single" w:sz="18" w:space="0" w:color="auto"/>
              <w:left w:val="nil"/>
              <w:bottom w:val="nil"/>
              <w:right w:val="nil"/>
            </w:tcBorders>
            <w:shd w:val="clear" w:color="auto" w:fill="auto"/>
            <w:noWrap/>
          </w:tcPr>
          <w:p w14:paraId="645E3D5B" w14:textId="77777777" w:rsidR="002D4EFC" w:rsidRPr="00D534B0" w:rsidRDefault="002D4EFC" w:rsidP="00974B66">
            <w:pPr>
              <w:pStyle w:val="TableText"/>
              <w:rPr>
                <w:rFonts w:ascii="Times New Roman" w:hAnsi="Times New Roman"/>
                <w:b/>
                <w:bCs/>
                <w:lang w:val="en-US" w:eastAsia="ko-KR"/>
              </w:rPr>
            </w:pPr>
          </w:p>
        </w:tc>
        <w:tc>
          <w:tcPr>
            <w:tcW w:w="1274" w:type="dxa"/>
            <w:tcBorders>
              <w:top w:val="single" w:sz="18" w:space="0" w:color="auto"/>
              <w:left w:val="nil"/>
              <w:bottom w:val="nil"/>
              <w:right w:val="nil"/>
            </w:tcBorders>
            <w:shd w:val="clear" w:color="auto" w:fill="auto"/>
            <w:noWrap/>
          </w:tcPr>
          <w:p w14:paraId="0E64AFB7" w14:textId="77777777" w:rsidR="002D4EFC" w:rsidRPr="00D534B0" w:rsidRDefault="002D4EFC" w:rsidP="00974B66">
            <w:pPr>
              <w:pStyle w:val="TableText"/>
              <w:rPr>
                <w:rFonts w:ascii="Times New Roman" w:hAnsi="Times New Roman"/>
                <w:b/>
                <w:bCs/>
                <w:lang w:val="en-US" w:eastAsia="ko-KR"/>
              </w:rPr>
            </w:pPr>
          </w:p>
        </w:tc>
      </w:tr>
      <w:tr w:rsidR="002D4EFC" w:rsidRPr="00D534B0" w14:paraId="034D7ED0" w14:textId="77777777" w:rsidTr="00974B66">
        <w:trPr>
          <w:trHeight w:val="264"/>
        </w:trPr>
        <w:tc>
          <w:tcPr>
            <w:tcW w:w="9214" w:type="dxa"/>
            <w:gridSpan w:val="6"/>
            <w:tcBorders>
              <w:top w:val="nil"/>
              <w:left w:val="nil"/>
              <w:bottom w:val="nil"/>
              <w:right w:val="nil"/>
            </w:tcBorders>
            <w:shd w:val="clear" w:color="auto" w:fill="auto"/>
            <w:noWrap/>
          </w:tcPr>
          <w:p w14:paraId="23F7CC24" w14:textId="77777777" w:rsidR="002D4EFC" w:rsidRDefault="002D4EFC" w:rsidP="00974B66">
            <w:pPr>
              <w:pStyle w:val="TableText"/>
              <w:rPr>
                <w:rFonts w:ascii="Times New Roman" w:hAnsi="Times New Roman"/>
                <w:lang w:val="en-US" w:eastAsia="ko-KR"/>
              </w:rPr>
            </w:pPr>
            <w:r w:rsidRPr="00D534B0">
              <w:rPr>
                <w:rFonts w:ascii="Times New Roman" w:hAnsi="Times New Roman"/>
                <w:i/>
                <w:lang w:val="en-US" w:eastAsia="ko-KR"/>
              </w:rPr>
              <w:t>Logistic regression</w:t>
            </w:r>
            <w:r w:rsidRPr="00D534B0">
              <w:rPr>
                <w:rFonts w:ascii="Times New Roman" w:hAnsi="Times New Roman"/>
                <w:lang w:val="en-US" w:eastAsia="ko-KR"/>
              </w:rPr>
              <w:t>: -2LL: 8808.61, % correctly classified: 68%</w:t>
            </w:r>
            <w:r>
              <w:rPr>
                <w:rFonts w:ascii="Times New Roman" w:hAnsi="Times New Roman"/>
                <w:lang w:val="en-US" w:eastAsia="ko-KR"/>
              </w:rPr>
              <w:t>.</w:t>
            </w:r>
          </w:p>
          <w:p w14:paraId="745F33A7" w14:textId="77777777" w:rsidR="002D4EFC" w:rsidRPr="00D534B0" w:rsidRDefault="002D4EFC" w:rsidP="00974B66">
            <w:pPr>
              <w:pStyle w:val="TableText"/>
              <w:jc w:val="both"/>
              <w:rPr>
                <w:rFonts w:ascii="Times New Roman" w:hAnsi="Times New Roman"/>
                <w:lang w:val="en-US" w:eastAsia="ko-KR"/>
              </w:rPr>
            </w:pPr>
            <w:r w:rsidRPr="00D534B0">
              <w:rPr>
                <w:rFonts w:ascii="Times New Roman" w:hAnsi="Times New Roman"/>
                <w:i/>
                <w:lang w:val="en-US" w:eastAsia="ko-KR"/>
              </w:rPr>
              <w:t>Source</w:t>
            </w:r>
            <w:r>
              <w:rPr>
                <w:rFonts w:ascii="Times New Roman" w:hAnsi="Times New Roman"/>
                <w:lang w:val="en-US" w:eastAsia="ko-KR"/>
              </w:rPr>
              <w:t xml:space="preserve">: </w:t>
            </w:r>
            <w:r w:rsidRPr="00792AB5">
              <w:rPr>
                <w:rFonts w:ascii="Times New Roman" w:hAnsi="Times New Roman"/>
                <w:i/>
                <w:lang w:val="en-US" w:eastAsia="ko-KR"/>
              </w:rPr>
              <w:t>The Registration and Training Status of Overseas Trained Doctors in Australia</w:t>
            </w:r>
            <w:r>
              <w:rPr>
                <w:rFonts w:ascii="Times New Roman" w:hAnsi="Times New Roman"/>
                <w:lang w:val="en-US" w:eastAsia="ko-KR"/>
              </w:rPr>
              <w:t xml:space="preserve"> (2007), L Hawthorne, G Hawthorne and B </w:t>
            </w:r>
            <w:proofErr w:type="spellStart"/>
            <w:r>
              <w:rPr>
                <w:rFonts w:ascii="Times New Roman" w:hAnsi="Times New Roman"/>
                <w:lang w:val="en-US" w:eastAsia="ko-KR"/>
              </w:rPr>
              <w:t>Crotty</w:t>
            </w:r>
            <w:proofErr w:type="spellEnd"/>
            <w:r>
              <w:rPr>
                <w:rFonts w:ascii="Times New Roman" w:hAnsi="Times New Roman"/>
                <w:lang w:val="en-US" w:eastAsia="ko-KR"/>
              </w:rPr>
              <w:t>, Department of Health and Ageing, Canberra, Chapter 3</w:t>
            </w:r>
            <w:r w:rsidRPr="00D534B0">
              <w:rPr>
                <w:rFonts w:ascii="Times New Roman" w:hAnsi="Times New Roman"/>
                <w:lang w:val="en-US" w:eastAsia="ko-KR"/>
              </w:rPr>
              <w:t>.</w:t>
            </w:r>
          </w:p>
        </w:tc>
      </w:tr>
    </w:tbl>
    <w:p w14:paraId="4F06AFAD" w14:textId="77777777" w:rsidR="002D4EFC" w:rsidRPr="00BF5564" w:rsidRDefault="002D4EFC" w:rsidP="009C4F77">
      <w:pPr>
        <w:spacing w:after="0" w:line="240" w:lineRule="auto"/>
        <w:rPr>
          <w:rFonts w:cs="Times New Roman"/>
          <w:b/>
          <w:sz w:val="28"/>
          <w:szCs w:val="28"/>
        </w:rPr>
      </w:pPr>
    </w:p>
    <w:p w14:paraId="4E8E6FF1" w14:textId="77777777" w:rsidR="00B11B71" w:rsidRDefault="00B11B71" w:rsidP="00596829">
      <w:pPr>
        <w:rPr>
          <w:rFonts w:ascii="Times New Roman" w:eastAsia="Calibri" w:hAnsi="Times New Roman" w:cs="Times New Roman"/>
          <w:spacing w:val="2"/>
          <w:lang w:val="en-US"/>
        </w:rPr>
      </w:pPr>
      <w:r>
        <w:rPr>
          <w:rFonts w:cs="Times New Roman"/>
          <w:b/>
          <w:color w:val="365F91" w:themeColor="accent1" w:themeShade="BF"/>
          <w:sz w:val="28"/>
          <w:szCs w:val="28"/>
        </w:rPr>
        <w:t>Conclusion</w:t>
      </w:r>
      <w:r>
        <w:rPr>
          <w:rFonts w:ascii="Times New Roman" w:eastAsia="Calibri" w:hAnsi="Times New Roman" w:cs="Times New Roman"/>
          <w:spacing w:val="2"/>
          <w:lang w:val="en-US"/>
        </w:rPr>
        <w:t xml:space="preserve"> </w:t>
      </w:r>
    </w:p>
    <w:p w14:paraId="49695734" w14:textId="77777777" w:rsidR="008E329A" w:rsidRDefault="001B1AF2" w:rsidP="001B1AF2">
      <w:pPr>
        <w:spacing w:after="0" w:line="240" w:lineRule="auto"/>
        <w:rPr>
          <w:rFonts w:ascii="Times New Roman" w:eastAsia="Calibri" w:hAnsi="Times New Roman" w:cs="Times New Roman"/>
          <w:spacing w:val="2"/>
          <w:lang w:val="en-US"/>
        </w:rPr>
      </w:pPr>
      <w:r>
        <w:rPr>
          <w:rFonts w:ascii="Times New Roman" w:eastAsia="Calibri" w:hAnsi="Times New Roman" w:cs="Times New Roman"/>
          <w:spacing w:val="2"/>
          <w:lang w:val="en-US"/>
        </w:rPr>
        <w:t>I would appreciate the Review Panel’s consideration of t</w:t>
      </w:r>
      <w:r w:rsidR="00B11B71">
        <w:rPr>
          <w:rFonts w:ascii="Times New Roman" w:eastAsia="Calibri" w:hAnsi="Times New Roman" w:cs="Times New Roman"/>
          <w:spacing w:val="2"/>
          <w:lang w:val="en-US"/>
        </w:rPr>
        <w:t xml:space="preserve">he five issues outlined above, </w:t>
      </w:r>
      <w:r>
        <w:rPr>
          <w:rFonts w:ascii="Times New Roman" w:eastAsia="Calibri" w:hAnsi="Times New Roman" w:cs="Times New Roman"/>
          <w:spacing w:val="2"/>
          <w:lang w:val="en-US"/>
        </w:rPr>
        <w:t xml:space="preserve">which </w:t>
      </w:r>
      <w:r w:rsidR="00B11B71">
        <w:rPr>
          <w:rFonts w:ascii="Times New Roman" w:eastAsia="Calibri" w:hAnsi="Times New Roman" w:cs="Times New Roman"/>
          <w:spacing w:val="2"/>
          <w:lang w:val="en-US"/>
        </w:rPr>
        <w:t>merit careful consideration</w:t>
      </w:r>
      <w:r w:rsidR="00C95C41" w:rsidRPr="00C95C41">
        <w:rPr>
          <w:rFonts w:ascii="Times New Roman" w:eastAsia="Calibri" w:hAnsi="Times New Roman" w:cs="Times New Roman"/>
          <w:spacing w:val="2"/>
          <w:lang w:val="en-US"/>
        </w:rPr>
        <w:t>.</w:t>
      </w:r>
    </w:p>
    <w:p w14:paraId="694339E2" w14:textId="77777777" w:rsidR="008E329A" w:rsidRDefault="008E329A" w:rsidP="00596829">
      <w:pPr>
        <w:rPr>
          <w:rFonts w:ascii="Times New Roman" w:eastAsia="Calibri" w:hAnsi="Times New Roman" w:cs="Times New Roman"/>
          <w:spacing w:val="2"/>
          <w:lang w:val="en-US"/>
        </w:rPr>
      </w:pPr>
    </w:p>
    <w:p w14:paraId="531084B1" w14:textId="77777777" w:rsidR="00B11B71" w:rsidRPr="00B11B71" w:rsidRDefault="00B11B71" w:rsidP="00B11B71">
      <w:pPr>
        <w:spacing w:after="0" w:line="240" w:lineRule="auto"/>
        <w:rPr>
          <w:rFonts w:cs="Times New Roman"/>
          <w:b/>
          <w:color w:val="365F91" w:themeColor="accent1" w:themeShade="BF"/>
          <w:sz w:val="28"/>
          <w:szCs w:val="28"/>
        </w:rPr>
      </w:pPr>
      <w:r w:rsidRPr="00B11B71">
        <w:rPr>
          <w:rFonts w:cs="Times New Roman"/>
          <w:b/>
          <w:color w:val="365F91" w:themeColor="accent1" w:themeShade="BF"/>
          <w:sz w:val="28"/>
          <w:szCs w:val="28"/>
        </w:rPr>
        <w:t>Research Profile</w:t>
      </w:r>
    </w:p>
    <w:p w14:paraId="3BBF623A" w14:textId="77777777" w:rsidR="00B11B71" w:rsidRPr="00B11B71" w:rsidRDefault="00B11B71" w:rsidP="00B11B71">
      <w:pPr>
        <w:spacing w:after="0" w:line="240" w:lineRule="auto"/>
        <w:jc w:val="right"/>
        <w:rPr>
          <w:rFonts w:cs="Times New Roman"/>
          <w:color w:val="365F91" w:themeColor="accent1" w:themeShade="BF"/>
          <w:sz w:val="16"/>
          <w:szCs w:val="16"/>
        </w:rPr>
      </w:pPr>
    </w:p>
    <w:p w14:paraId="38282270" w14:textId="77777777" w:rsidR="00B11B71" w:rsidRDefault="00B11B71" w:rsidP="00B11B71">
      <w:pPr>
        <w:spacing w:after="0" w:line="240" w:lineRule="auto"/>
        <w:jc w:val="both"/>
        <w:rPr>
          <w:rFonts w:ascii="Times New Roman" w:hAnsi="Times New Roman" w:cs="Times New Roman"/>
          <w:color w:val="000000"/>
        </w:rPr>
      </w:pPr>
      <w:r w:rsidRPr="00914399">
        <w:rPr>
          <w:rFonts w:ascii="Times New Roman" w:hAnsi="Times New Roman" w:cs="Times New Roman"/>
          <w:color w:val="000000"/>
        </w:rPr>
        <w:t xml:space="preserve">Lesleyanne Hawthorne (PhD, MA, BA Hons, Dip Ed, Grad Dip </w:t>
      </w:r>
      <w:proofErr w:type="spellStart"/>
      <w:r w:rsidRPr="00914399">
        <w:rPr>
          <w:rFonts w:ascii="Times New Roman" w:hAnsi="Times New Roman" w:cs="Times New Roman"/>
          <w:color w:val="000000"/>
        </w:rPr>
        <w:t>Mig</w:t>
      </w:r>
      <w:proofErr w:type="spellEnd"/>
      <w:r w:rsidRPr="00914399">
        <w:rPr>
          <w:rFonts w:ascii="Times New Roman" w:hAnsi="Times New Roman" w:cs="Times New Roman"/>
          <w:color w:val="000000"/>
        </w:rPr>
        <w:t xml:space="preserve"> Stud) is Professor (International Workforce) at the University of Melbourne</w:t>
      </w:r>
      <w:r>
        <w:rPr>
          <w:rFonts w:ascii="Times New Roman" w:hAnsi="Times New Roman" w:cs="Times New Roman"/>
          <w:color w:val="000000"/>
        </w:rPr>
        <w:t>. She is</w:t>
      </w:r>
      <w:r w:rsidRPr="00914399">
        <w:rPr>
          <w:rFonts w:ascii="Times New Roman" w:hAnsi="Times New Roman" w:cs="Times New Roman"/>
          <w:color w:val="000000"/>
        </w:rPr>
        <w:t xml:space="preserve"> an expert on skilled migration policy, foreign credential recognition,</w:t>
      </w:r>
      <w:r>
        <w:rPr>
          <w:rFonts w:ascii="Times New Roman" w:hAnsi="Times New Roman" w:cs="Times New Roman"/>
          <w:color w:val="000000"/>
        </w:rPr>
        <w:t xml:space="preserve"> and</w:t>
      </w:r>
      <w:r w:rsidRPr="00914399">
        <w:rPr>
          <w:rFonts w:ascii="Times New Roman" w:hAnsi="Times New Roman" w:cs="Times New Roman"/>
          <w:color w:val="000000"/>
        </w:rPr>
        <w:t xml:space="preserve"> factors influencing the labour ma</w:t>
      </w:r>
      <w:r>
        <w:rPr>
          <w:rFonts w:ascii="Times New Roman" w:hAnsi="Times New Roman" w:cs="Times New Roman"/>
          <w:color w:val="000000"/>
        </w:rPr>
        <w:t xml:space="preserve">rket integration of immigrants across major fields. Since 2008 her studies have </w:t>
      </w:r>
      <w:r w:rsidRPr="00914399">
        <w:rPr>
          <w:rFonts w:ascii="Times New Roman" w:hAnsi="Times New Roman" w:cs="Times New Roman"/>
          <w:color w:val="000000"/>
        </w:rPr>
        <w:t>included cross-national projects commissioned by</w:t>
      </w:r>
      <w:r>
        <w:rPr>
          <w:rFonts w:ascii="Times New Roman" w:hAnsi="Times New Roman" w:cs="Times New Roman"/>
          <w:color w:val="000000"/>
        </w:rPr>
        <w:t xml:space="preserve"> the </w:t>
      </w:r>
      <w:r w:rsidRPr="00914399">
        <w:rPr>
          <w:rFonts w:ascii="Times New Roman" w:hAnsi="Times New Roman" w:cs="Times New Roman"/>
          <w:color w:val="000000"/>
        </w:rPr>
        <w:t>International Labour Organization</w:t>
      </w:r>
      <w:r>
        <w:rPr>
          <w:rFonts w:ascii="Times New Roman" w:hAnsi="Times New Roman" w:cs="Times New Roman"/>
          <w:color w:val="000000"/>
        </w:rPr>
        <w:t xml:space="preserve">, </w:t>
      </w:r>
      <w:r w:rsidRPr="00914399">
        <w:rPr>
          <w:rFonts w:ascii="Times New Roman" w:hAnsi="Times New Roman" w:cs="Times New Roman"/>
          <w:color w:val="000000"/>
        </w:rPr>
        <w:t xml:space="preserve">World Health Organization, </w:t>
      </w:r>
      <w:r>
        <w:rPr>
          <w:rFonts w:ascii="Times New Roman" w:hAnsi="Times New Roman" w:cs="Times New Roman"/>
          <w:color w:val="000000"/>
        </w:rPr>
        <w:t xml:space="preserve">the </w:t>
      </w:r>
      <w:r w:rsidRPr="00914399">
        <w:rPr>
          <w:rFonts w:ascii="Times New Roman" w:hAnsi="Times New Roman" w:cs="Times New Roman"/>
          <w:color w:val="000000"/>
        </w:rPr>
        <w:t>International Organization of Migration and the European Union</w:t>
      </w:r>
      <w:r>
        <w:rPr>
          <w:rFonts w:ascii="Times New Roman" w:hAnsi="Times New Roman" w:cs="Times New Roman"/>
          <w:color w:val="000000"/>
        </w:rPr>
        <w:t xml:space="preserve">, </w:t>
      </w:r>
      <w:r w:rsidRPr="00914399">
        <w:rPr>
          <w:rFonts w:ascii="Times New Roman" w:hAnsi="Times New Roman" w:cs="Times New Roman"/>
          <w:color w:val="000000"/>
        </w:rPr>
        <w:t>UNESCO</w:t>
      </w:r>
      <w:r>
        <w:rPr>
          <w:rFonts w:ascii="Times New Roman" w:hAnsi="Times New Roman" w:cs="Times New Roman"/>
          <w:color w:val="000000"/>
        </w:rPr>
        <w:t xml:space="preserve">, </w:t>
      </w:r>
      <w:r w:rsidRPr="00914399">
        <w:rPr>
          <w:rFonts w:ascii="Times New Roman" w:hAnsi="Times New Roman" w:cs="Times New Roman"/>
          <w:color w:val="000000"/>
        </w:rPr>
        <w:t xml:space="preserve">the Australian, Canadian and New Zealand governments, </w:t>
      </w:r>
      <w:r>
        <w:rPr>
          <w:rFonts w:ascii="Times New Roman" w:hAnsi="Times New Roman" w:cs="Times New Roman"/>
          <w:color w:val="000000"/>
        </w:rPr>
        <w:t xml:space="preserve">the </w:t>
      </w:r>
      <w:r w:rsidRPr="00914399">
        <w:rPr>
          <w:rFonts w:ascii="Times New Roman" w:hAnsi="Times New Roman" w:cs="Times New Roman"/>
          <w:color w:val="000000"/>
        </w:rPr>
        <w:t>US Migration Policy Institute</w:t>
      </w:r>
      <w:r>
        <w:rPr>
          <w:rFonts w:ascii="Times New Roman" w:hAnsi="Times New Roman" w:cs="Times New Roman"/>
          <w:color w:val="000000"/>
        </w:rPr>
        <w:t xml:space="preserve">, the </w:t>
      </w:r>
      <w:r w:rsidRPr="00914399">
        <w:rPr>
          <w:rFonts w:ascii="Times New Roman" w:hAnsi="Times New Roman" w:cs="Times New Roman"/>
          <w:color w:val="000000"/>
        </w:rPr>
        <w:t>Pacifi</w:t>
      </w:r>
      <w:r>
        <w:rPr>
          <w:rFonts w:ascii="Times New Roman" w:hAnsi="Times New Roman" w:cs="Times New Roman"/>
          <w:color w:val="000000"/>
        </w:rPr>
        <w:t>c Economic Cooperation Council /</w:t>
      </w:r>
      <w:r w:rsidRPr="00914399">
        <w:rPr>
          <w:rFonts w:ascii="Times New Roman" w:hAnsi="Times New Roman" w:cs="Times New Roman"/>
          <w:color w:val="000000"/>
        </w:rPr>
        <w:t>APEC</w:t>
      </w:r>
      <w:r>
        <w:rPr>
          <w:rFonts w:ascii="Times New Roman" w:hAnsi="Times New Roman" w:cs="Times New Roman"/>
          <w:color w:val="000000"/>
        </w:rPr>
        <w:t xml:space="preserve">, and the </w:t>
      </w:r>
      <w:r w:rsidRPr="00914399">
        <w:rPr>
          <w:rFonts w:ascii="Times New Roman" w:hAnsi="Times New Roman" w:cs="Times New Roman"/>
          <w:color w:val="000000"/>
        </w:rPr>
        <w:t>Global Forum of Federations</w:t>
      </w:r>
      <w:r>
        <w:rPr>
          <w:rFonts w:ascii="Times New Roman" w:hAnsi="Times New Roman" w:cs="Times New Roman"/>
          <w:color w:val="000000"/>
        </w:rPr>
        <w:t xml:space="preserve">. This research has included completion of the first detailed comparisons of skilled migration policy and outcomes in Canada and Australia (2004-07, commissioned by the Canadian government), and in New Zealand and Australia (2010-12, commissioned by the New Zealand and Australian governments). Professor Hawthorne’s most recent research spans assessment of the study-migration pathway in major fields; emerging global trends in qualification recognition (for the US Migration Policy Institute); and commissioned reviews of global </w:t>
      </w:r>
      <w:r>
        <w:rPr>
          <w:rFonts w:ascii="Times New Roman" w:hAnsi="Times New Roman" w:cs="Times New Roman"/>
          <w:color w:val="000000"/>
        </w:rPr>
        <w:lastRenderedPageBreak/>
        <w:t>health workforce migration (for WHO, ILO, Health Workforce Australia, the Department of Health, the Australian Health Practitioner Regulation Agency, the Medical Deans of Australia, and the Australian Physiotherapy Council</w:t>
      </w:r>
      <w:r w:rsidRPr="00914399">
        <w:rPr>
          <w:rFonts w:ascii="Times New Roman" w:hAnsi="Times New Roman" w:cs="Times New Roman"/>
          <w:color w:val="000000"/>
        </w:rPr>
        <w:t>)</w:t>
      </w:r>
      <w:r>
        <w:rPr>
          <w:rFonts w:ascii="Times New Roman" w:hAnsi="Times New Roman" w:cs="Times New Roman"/>
          <w:color w:val="000000"/>
        </w:rPr>
        <w:t xml:space="preserve">. </w:t>
      </w:r>
    </w:p>
    <w:p w14:paraId="76BDF495" w14:textId="77777777" w:rsidR="00B11B71" w:rsidRDefault="00B11B71" w:rsidP="00B11B71">
      <w:pPr>
        <w:spacing w:after="0" w:line="240" w:lineRule="auto"/>
        <w:jc w:val="both"/>
        <w:rPr>
          <w:rFonts w:ascii="Times New Roman" w:hAnsi="Times New Roman" w:cs="Times New Roman"/>
          <w:color w:val="000000"/>
        </w:rPr>
      </w:pPr>
    </w:p>
    <w:p w14:paraId="705CE66C" w14:textId="77777777" w:rsidR="00B11B71" w:rsidRDefault="00B11B71" w:rsidP="00B11B71">
      <w:pPr>
        <w:spacing w:after="0" w:line="240" w:lineRule="auto"/>
        <w:jc w:val="both"/>
        <w:rPr>
          <w:rFonts w:ascii="Times New Roman" w:hAnsi="Times New Roman" w:cs="Times New Roman"/>
          <w:color w:val="000000"/>
        </w:rPr>
      </w:pPr>
      <w:r w:rsidRPr="00914399">
        <w:rPr>
          <w:rFonts w:ascii="Times New Roman" w:hAnsi="Times New Roman" w:cs="Times New Roman"/>
          <w:color w:val="000000"/>
        </w:rPr>
        <w:t>In 2005-06 Professor Hawthorne was appointed to an Expert Panel of Three by the Australian government to undertake the most extensive evaluation of Australia’s skille</w:t>
      </w:r>
      <w:r>
        <w:rPr>
          <w:rFonts w:ascii="Times New Roman" w:hAnsi="Times New Roman" w:cs="Times New Roman"/>
          <w:color w:val="000000"/>
        </w:rPr>
        <w:t>d migration program in 20 years. Since 2011 she h</w:t>
      </w:r>
      <w:r w:rsidRPr="00914399">
        <w:rPr>
          <w:rFonts w:ascii="Times New Roman" w:hAnsi="Times New Roman" w:cs="Times New Roman"/>
          <w:color w:val="000000"/>
        </w:rPr>
        <w:t xml:space="preserve">as </w:t>
      </w:r>
      <w:r>
        <w:rPr>
          <w:rFonts w:ascii="Times New Roman" w:hAnsi="Times New Roman" w:cs="Times New Roman"/>
          <w:color w:val="000000"/>
        </w:rPr>
        <w:t xml:space="preserve">been designated </w:t>
      </w:r>
      <w:r w:rsidRPr="00914399">
        <w:rPr>
          <w:rFonts w:ascii="Times New Roman" w:hAnsi="Times New Roman" w:cs="Times New Roman"/>
          <w:color w:val="000000"/>
        </w:rPr>
        <w:t>by the Canadian and Austr</w:t>
      </w:r>
      <w:r>
        <w:rPr>
          <w:rFonts w:ascii="Times New Roman" w:hAnsi="Times New Roman" w:cs="Times New Roman"/>
          <w:color w:val="000000"/>
        </w:rPr>
        <w:t>alian governments</w:t>
      </w:r>
      <w:r w:rsidRPr="00914399">
        <w:rPr>
          <w:rFonts w:ascii="Times New Roman" w:hAnsi="Times New Roman" w:cs="Times New Roman"/>
          <w:color w:val="000000"/>
        </w:rPr>
        <w:t xml:space="preserve"> as </w:t>
      </w:r>
      <w:r>
        <w:rPr>
          <w:rFonts w:ascii="Times New Roman" w:hAnsi="Times New Roman" w:cs="Times New Roman"/>
          <w:color w:val="000000"/>
        </w:rPr>
        <w:t xml:space="preserve">the </w:t>
      </w:r>
      <w:r w:rsidRPr="00914399">
        <w:rPr>
          <w:rFonts w:ascii="Times New Roman" w:hAnsi="Times New Roman" w:cs="Times New Roman"/>
          <w:color w:val="000000"/>
        </w:rPr>
        <w:t xml:space="preserve">Australian academic </w:t>
      </w:r>
      <w:r>
        <w:rPr>
          <w:rFonts w:ascii="Times New Roman" w:hAnsi="Times New Roman" w:cs="Times New Roman"/>
          <w:color w:val="000000"/>
        </w:rPr>
        <w:t>collaborating</w:t>
      </w:r>
      <w:r w:rsidRPr="00914399">
        <w:rPr>
          <w:rFonts w:ascii="Times New Roman" w:hAnsi="Times New Roman" w:cs="Times New Roman"/>
          <w:color w:val="000000"/>
        </w:rPr>
        <w:t xml:space="preserve"> in relation to advancing m</w:t>
      </w:r>
      <w:r>
        <w:rPr>
          <w:rFonts w:ascii="Times New Roman" w:hAnsi="Times New Roman" w:cs="Times New Roman"/>
          <w:color w:val="000000"/>
        </w:rPr>
        <w:t xml:space="preserve">utual recognition in key fields; by the IOM as </w:t>
      </w:r>
      <w:r w:rsidRPr="00914399">
        <w:rPr>
          <w:rFonts w:ascii="Times New Roman" w:hAnsi="Times New Roman" w:cs="Times New Roman"/>
          <w:color w:val="000000"/>
        </w:rPr>
        <w:t>Australian Expert on foreign credential recognition</w:t>
      </w:r>
      <w:r>
        <w:rPr>
          <w:rFonts w:ascii="Times New Roman" w:hAnsi="Times New Roman" w:cs="Times New Roman"/>
          <w:color w:val="000000"/>
        </w:rPr>
        <w:t xml:space="preserve">, </w:t>
      </w:r>
      <w:r w:rsidRPr="00914399">
        <w:rPr>
          <w:rFonts w:ascii="Times New Roman" w:hAnsi="Times New Roman" w:cs="Times New Roman"/>
          <w:color w:val="000000"/>
        </w:rPr>
        <w:t>and appointed International Expert to the Australian Qualifications Framework Inte</w:t>
      </w:r>
      <w:r>
        <w:rPr>
          <w:rFonts w:ascii="Times New Roman" w:hAnsi="Times New Roman" w:cs="Times New Roman"/>
          <w:color w:val="000000"/>
        </w:rPr>
        <w:t>rnational Alignment Committee. I</w:t>
      </w:r>
      <w:r w:rsidRPr="00914399">
        <w:rPr>
          <w:rFonts w:ascii="Times New Roman" w:hAnsi="Times New Roman" w:cs="Times New Roman"/>
          <w:color w:val="000000"/>
        </w:rPr>
        <w:t xml:space="preserve">n 2014 </w:t>
      </w:r>
      <w:r>
        <w:rPr>
          <w:rFonts w:ascii="Times New Roman" w:hAnsi="Times New Roman" w:cs="Times New Roman"/>
          <w:color w:val="000000"/>
        </w:rPr>
        <w:t xml:space="preserve">Professor Hawthorne’s </w:t>
      </w:r>
      <w:r w:rsidRPr="00914399">
        <w:rPr>
          <w:rFonts w:ascii="Times New Roman" w:hAnsi="Times New Roman" w:cs="Times New Roman"/>
          <w:color w:val="000000"/>
        </w:rPr>
        <w:t xml:space="preserve">invited </w:t>
      </w:r>
      <w:r>
        <w:rPr>
          <w:rFonts w:ascii="Times New Roman" w:hAnsi="Times New Roman" w:cs="Times New Roman"/>
          <w:color w:val="000000"/>
        </w:rPr>
        <w:t>p</w:t>
      </w:r>
      <w:r w:rsidRPr="00914399">
        <w:rPr>
          <w:rFonts w:ascii="Times New Roman" w:hAnsi="Times New Roman" w:cs="Times New Roman"/>
          <w:color w:val="000000"/>
        </w:rPr>
        <w:t>resent</w:t>
      </w:r>
      <w:r>
        <w:rPr>
          <w:rFonts w:ascii="Times New Roman" w:hAnsi="Times New Roman" w:cs="Times New Roman"/>
          <w:color w:val="000000"/>
        </w:rPr>
        <w:t>ations included</w:t>
      </w:r>
      <w:r w:rsidRPr="00914399">
        <w:rPr>
          <w:rFonts w:ascii="Times New Roman" w:hAnsi="Times New Roman" w:cs="Times New Roman"/>
          <w:color w:val="000000"/>
        </w:rPr>
        <w:t xml:space="preserve"> </w:t>
      </w:r>
      <w:r>
        <w:rPr>
          <w:rFonts w:ascii="Times New Roman" w:hAnsi="Times New Roman" w:cs="Times New Roman"/>
          <w:color w:val="000000"/>
        </w:rPr>
        <w:t xml:space="preserve">to </w:t>
      </w:r>
      <w:r w:rsidRPr="00914399">
        <w:rPr>
          <w:rFonts w:ascii="Times New Roman" w:hAnsi="Times New Roman" w:cs="Times New Roman"/>
          <w:color w:val="000000"/>
        </w:rPr>
        <w:t>the US National Academies on Science, Engineering and Medicine (</w:t>
      </w:r>
      <w:r>
        <w:rPr>
          <w:rFonts w:ascii="Times New Roman" w:hAnsi="Times New Roman" w:cs="Times New Roman"/>
          <w:color w:val="000000"/>
        </w:rPr>
        <w:t xml:space="preserve">at a time when </w:t>
      </w:r>
      <w:r w:rsidRPr="00914399">
        <w:rPr>
          <w:rFonts w:ascii="Times New Roman" w:hAnsi="Times New Roman" w:cs="Times New Roman"/>
          <w:color w:val="000000"/>
        </w:rPr>
        <w:t xml:space="preserve">Congress is considering the introduction of a skilled migration policy), </w:t>
      </w:r>
      <w:r>
        <w:rPr>
          <w:rFonts w:ascii="Times New Roman" w:hAnsi="Times New Roman" w:cs="Times New Roman"/>
          <w:color w:val="000000"/>
        </w:rPr>
        <w:t xml:space="preserve">to </w:t>
      </w:r>
      <w:r w:rsidRPr="00914399">
        <w:rPr>
          <w:rFonts w:ascii="Times New Roman" w:hAnsi="Times New Roman" w:cs="Times New Roman"/>
          <w:color w:val="000000"/>
        </w:rPr>
        <w:t>the UK conference on the Drivers and Dyna</w:t>
      </w:r>
      <w:r>
        <w:rPr>
          <w:rFonts w:ascii="Times New Roman" w:hAnsi="Times New Roman" w:cs="Times New Roman"/>
          <w:color w:val="000000"/>
        </w:rPr>
        <w:t>mics of High-Skilled Migration</w:t>
      </w:r>
      <w:r w:rsidRPr="00914399">
        <w:rPr>
          <w:rFonts w:ascii="Times New Roman" w:hAnsi="Times New Roman" w:cs="Times New Roman"/>
          <w:color w:val="000000"/>
        </w:rPr>
        <w:t xml:space="preserve">, and </w:t>
      </w:r>
      <w:r>
        <w:rPr>
          <w:rFonts w:ascii="Times New Roman" w:hAnsi="Times New Roman" w:cs="Times New Roman"/>
          <w:color w:val="000000"/>
        </w:rPr>
        <w:t xml:space="preserve">to </w:t>
      </w:r>
      <w:r w:rsidRPr="00914399">
        <w:rPr>
          <w:rFonts w:ascii="Times New Roman" w:hAnsi="Times New Roman" w:cs="Times New Roman"/>
          <w:color w:val="000000"/>
        </w:rPr>
        <w:t>the New Zealand Annual Migration Conference</w:t>
      </w:r>
      <w:r>
        <w:rPr>
          <w:rFonts w:ascii="Times New Roman" w:hAnsi="Times New Roman" w:cs="Times New Roman"/>
          <w:color w:val="000000"/>
        </w:rPr>
        <w:t xml:space="preserve">. (A full list of </w:t>
      </w:r>
      <w:r w:rsidRPr="00914399">
        <w:rPr>
          <w:rFonts w:ascii="Times New Roman" w:hAnsi="Times New Roman" w:cs="Times New Roman"/>
          <w:color w:val="000000"/>
        </w:rPr>
        <w:t>publications is available on request</w:t>
      </w:r>
      <w:r>
        <w:rPr>
          <w:rFonts w:ascii="Times New Roman" w:hAnsi="Times New Roman" w:cs="Times New Roman"/>
          <w:color w:val="000000"/>
        </w:rPr>
        <w:t>.)</w:t>
      </w:r>
    </w:p>
    <w:p w14:paraId="3700A576" w14:textId="77777777" w:rsidR="00B11B71" w:rsidRDefault="00B11B71" w:rsidP="00B11B71">
      <w:pPr>
        <w:spacing w:after="0" w:line="240" w:lineRule="auto"/>
        <w:jc w:val="both"/>
        <w:rPr>
          <w:rFonts w:ascii="Times New Roman" w:hAnsi="Times New Roman" w:cs="Times New Roman"/>
          <w:color w:val="000000"/>
        </w:rPr>
      </w:pPr>
    </w:p>
    <w:p w14:paraId="2ED86CD2" w14:textId="77777777" w:rsidR="00B11B71" w:rsidRDefault="00B11B71" w:rsidP="00B11B71">
      <w:pPr>
        <w:jc w:val="both"/>
        <w:rPr>
          <w:rFonts w:ascii="Tahoma" w:hAnsi="Tahoma" w:cs="Tahoma"/>
          <w:sz w:val="20"/>
          <w:szCs w:val="20"/>
        </w:rPr>
      </w:pPr>
    </w:p>
    <w:p w14:paraId="3FD37CAC" w14:textId="77777777" w:rsidR="00B11B71" w:rsidRPr="00914399" w:rsidRDefault="00B11B71" w:rsidP="00B11B71">
      <w:pPr>
        <w:spacing w:after="0" w:line="240" w:lineRule="auto"/>
        <w:jc w:val="both"/>
        <w:rPr>
          <w:rFonts w:ascii="Times New Roman" w:hAnsi="Times New Roman" w:cs="Times New Roman"/>
          <w:color w:val="000000"/>
        </w:rPr>
      </w:pPr>
      <w:r w:rsidRPr="00914399">
        <w:rPr>
          <w:rFonts w:ascii="Times New Roman" w:hAnsi="Times New Roman" w:cs="Times New Roman"/>
          <w:color w:val="000000"/>
        </w:rPr>
        <w:br w:type="page"/>
      </w:r>
    </w:p>
    <w:p w14:paraId="2F6297CB" w14:textId="77777777" w:rsidR="003B0A50" w:rsidRDefault="001B1AF2" w:rsidP="00596829">
      <w:pPr>
        <w:rPr>
          <w:rFonts w:cs="Times New Roman"/>
          <w:b/>
          <w:color w:val="365F91" w:themeColor="accent1" w:themeShade="BF"/>
          <w:sz w:val="32"/>
          <w:szCs w:val="32"/>
        </w:rPr>
      </w:pPr>
      <w:r>
        <w:rPr>
          <w:rFonts w:cs="Times New Roman"/>
          <w:b/>
          <w:color w:val="365F91" w:themeColor="accent1" w:themeShade="BF"/>
          <w:sz w:val="32"/>
          <w:szCs w:val="32"/>
        </w:rPr>
        <w:lastRenderedPageBreak/>
        <w:t xml:space="preserve">External </w:t>
      </w:r>
      <w:r w:rsidR="00F548EA">
        <w:rPr>
          <w:rFonts w:cs="Times New Roman"/>
          <w:b/>
          <w:color w:val="365F91" w:themeColor="accent1" w:themeShade="BF"/>
          <w:sz w:val="32"/>
          <w:szCs w:val="32"/>
        </w:rPr>
        <w:t>R</w:t>
      </w:r>
      <w:r w:rsidR="00CC5FAA" w:rsidRPr="002D4EFC">
        <w:rPr>
          <w:rFonts w:cs="Times New Roman"/>
          <w:b/>
          <w:color w:val="365F91" w:themeColor="accent1" w:themeShade="BF"/>
          <w:sz w:val="32"/>
          <w:szCs w:val="32"/>
        </w:rPr>
        <w:t>eferences</w:t>
      </w:r>
      <w:r w:rsidR="00596829">
        <w:rPr>
          <w:rFonts w:cs="Times New Roman"/>
          <w:b/>
          <w:color w:val="365F91" w:themeColor="accent1" w:themeShade="BF"/>
          <w:sz w:val="32"/>
          <w:szCs w:val="32"/>
        </w:rPr>
        <w:t xml:space="preserve"> Cited</w:t>
      </w:r>
      <w:r w:rsidR="003B0A50">
        <w:rPr>
          <w:rFonts w:cs="Times New Roman"/>
          <w:b/>
          <w:color w:val="365F91" w:themeColor="accent1" w:themeShade="BF"/>
          <w:sz w:val="32"/>
          <w:szCs w:val="32"/>
        </w:rPr>
        <w:t xml:space="preserve">: </w:t>
      </w:r>
    </w:p>
    <w:p w14:paraId="74662142" w14:textId="77777777" w:rsidR="00211322" w:rsidRDefault="00211322" w:rsidP="003B0A50">
      <w:pPr>
        <w:pStyle w:val="FootnoteText"/>
        <w:rPr>
          <w:sz w:val="22"/>
          <w:szCs w:val="22"/>
        </w:rPr>
      </w:pPr>
      <w:r>
        <w:rPr>
          <w:sz w:val="22"/>
          <w:szCs w:val="22"/>
        </w:rPr>
        <w:t>Barrett, P (2013), ‘The Global Elite – UK Immigration Policy’, International Metropolis Conference,</w:t>
      </w:r>
      <w:r w:rsidR="00FD4ED5">
        <w:rPr>
          <w:sz w:val="22"/>
          <w:szCs w:val="22"/>
        </w:rPr>
        <w:t xml:space="preserve"> Tampere (September), for Home Office, London, access </w:t>
      </w:r>
      <w:r>
        <w:rPr>
          <w:sz w:val="22"/>
          <w:szCs w:val="22"/>
        </w:rPr>
        <w:t>Pa</w:t>
      </w:r>
      <w:r w:rsidRPr="00211322">
        <w:rPr>
          <w:sz w:val="22"/>
          <w:szCs w:val="22"/>
        </w:rPr>
        <w:t>ul.Barrett@homeoffice.gsi.gov.uk</w:t>
      </w:r>
      <w:r>
        <w:rPr>
          <w:sz w:val="22"/>
          <w:szCs w:val="22"/>
        </w:rPr>
        <w:t>.</w:t>
      </w:r>
    </w:p>
    <w:p w14:paraId="0D16CB01" w14:textId="77777777" w:rsidR="001B1AF2" w:rsidRDefault="001B1AF2" w:rsidP="003B0A50">
      <w:pPr>
        <w:pStyle w:val="FootnoteText"/>
        <w:rPr>
          <w:sz w:val="22"/>
          <w:szCs w:val="22"/>
        </w:rPr>
      </w:pPr>
      <w:proofErr w:type="spellStart"/>
      <w:r>
        <w:rPr>
          <w:sz w:val="22"/>
          <w:szCs w:val="22"/>
        </w:rPr>
        <w:t>Birrell</w:t>
      </w:r>
      <w:proofErr w:type="spellEnd"/>
      <w:r>
        <w:rPr>
          <w:sz w:val="22"/>
          <w:szCs w:val="22"/>
        </w:rPr>
        <w:t>, B (2013), ‘Too Many GPs’, CPUR Research Report March 2013, Monash University, Clayton.</w:t>
      </w:r>
    </w:p>
    <w:p w14:paraId="3E7699BD" w14:textId="77777777" w:rsidR="00407611" w:rsidRDefault="00407611" w:rsidP="003B0A50">
      <w:pPr>
        <w:pStyle w:val="FootnoteText"/>
        <w:rPr>
          <w:sz w:val="22"/>
          <w:szCs w:val="22"/>
        </w:rPr>
      </w:pPr>
      <w:r>
        <w:rPr>
          <w:sz w:val="22"/>
          <w:szCs w:val="22"/>
        </w:rPr>
        <w:t xml:space="preserve">Department of Immigration and Border Protection (2014), Unpublished 30 June 2009-30 June 2014 </w:t>
      </w:r>
      <w:r w:rsidR="00F548EA">
        <w:rPr>
          <w:sz w:val="22"/>
          <w:szCs w:val="22"/>
        </w:rPr>
        <w:t xml:space="preserve">skilled migrant arrivals data (457 Visa and General Skilled Migration Visa), </w:t>
      </w:r>
      <w:r>
        <w:rPr>
          <w:sz w:val="22"/>
          <w:szCs w:val="22"/>
        </w:rPr>
        <w:t>provided to L Hawthorne for analysis August 2014</w:t>
      </w:r>
      <w:r w:rsidR="00F548EA">
        <w:rPr>
          <w:sz w:val="22"/>
          <w:szCs w:val="22"/>
        </w:rPr>
        <w:t>, Statistics Section, Canberra</w:t>
      </w:r>
      <w:r>
        <w:rPr>
          <w:sz w:val="22"/>
          <w:szCs w:val="22"/>
        </w:rPr>
        <w:t>.</w:t>
      </w:r>
    </w:p>
    <w:p w14:paraId="66F4C039" w14:textId="77777777" w:rsidR="003B0A50" w:rsidRPr="003B0A50" w:rsidRDefault="003B0A50" w:rsidP="003B0A50">
      <w:pPr>
        <w:pStyle w:val="FootnoteText"/>
        <w:rPr>
          <w:sz w:val="22"/>
          <w:szCs w:val="22"/>
        </w:rPr>
      </w:pPr>
      <w:r w:rsidRPr="003B0A50">
        <w:rPr>
          <w:sz w:val="22"/>
          <w:szCs w:val="22"/>
        </w:rPr>
        <w:t>Department of Immigration and Citizenship (2012), ‘The Continuous Survey of Australia’s Migrants: Cohorts 1 to 5 Report 2009-11’, Canberra</w:t>
      </w:r>
      <w:r>
        <w:rPr>
          <w:sz w:val="22"/>
          <w:szCs w:val="22"/>
        </w:rPr>
        <w:t>.</w:t>
      </w:r>
    </w:p>
    <w:p w14:paraId="567F3F5F" w14:textId="77777777" w:rsidR="003B0A50" w:rsidRPr="00A07723" w:rsidRDefault="003B0A50" w:rsidP="003B0A50">
      <w:pPr>
        <w:pStyle w:val="FootnoteText"/>
        <w:rPr>
          <w:sz w:val="22"/>
          <w:szCs w:val="22"/>
        </w:rPr>
      </w:pPr>
      <w:r w:rsidRPr="00A07723">
        <w:rPr>
          <w:sz w:val="22"/>
          <w:szCs w:val="22"/>
        </w:rPr>
        <w:t xml:space="preserve">Department of Immigration and Citizenship </w:t>
      </w:r>
      <w:r>
        <w:rPr>
          <w:sz w:val="22"/>
          <w:szCs w:val="22"/>
        </w:rPr>
        <w:t>(2010), ‘</w:t>
      </w:r>
      <w:r w:rsidRPr="00A07723">
        <w:rPr>
          <w:sz w:val="22"/>
          <w:szCs w:val="22"/>
        </w:rPr>
        <w:t>In</w:t>
      </w:r>
      <w:r>
        <w:rPr>
          <w:sz w:val="22"/>
          <w:szCs w:val="22"/>
        </w:rPr>
        <w:t>troduction of a New Points Test’</w:t>
      </w:r>
      <w:r w:rsidRPr="00A07723">
        <w:rPr>
          <w:sz w:val="22"/>
          <w:szCs w:val="22"/>
        </w:rPr>
        <w:t>,</w:t>
      </w:r>
      <w:r>
        <w:rPr>
          <w:sz w:val="22"/>
          <w:szCs w:val="22"/>
        </w:rPr>
        <w:t xml:space="preserve"> </w:t>
      </w:r>
      <w:hyperlink r:id="rId16" w:history="1">
        <w:r w:rsidRPr="00844632">
          <w:rPr>
            <w:rStyle w:val="Hyperlink"/>
            <w:sz w:val="22"/>
            <w:szCs w:val="22"/>
          </w:rPr>
          <w:t>http://www.immi.gov.au/skilled/general-skilled-</w:t>
        </w:r>
        <w:r w:rsidRPr="00844632">
          <w:rPr>
            <w:rStyle w:val="Hyperlink"/>
            <w:sz w:val="22"/>
            <w:szCs w:val="22"/>
          </w:rPr>
          <w:tab/>
          <w:t>migration/pdf/points-fact.pdf</w:t>
        </w:r>
      </w:hyperlink>
      <w:r w:rsidRPr="00A07723">
        <w:rPr>
          <w:sz w:val="22"/>
          <w:szCs w:val="22"/>
        </w:rPr>
        <w:t>, accessed 27 December 2010.</w:t>
      </w:r>
    </w:p>
    <w:p w14:paraId="6AAEF23B" w14:textId="77777777" w:rsidR="00211322" w:rsidRPr="002976FD" w:rsidRDefault="00211322" w:rsidP="003B0A50">
      <w:pPr>
        <w:spacing w:after="0" w:line="240" w:lineRule="auto"/>
        <w:rPr>
          <w:rFonts w:cs="Times New Roman"/>
          <w:b/>
          <w:color w:val="365F91" w:themeColor="accent1" w:themeShade="BF"/>
          <w:sz w:val="16"/>
          <w:szCs w:val="16"/>
        </w:rPr>
      </w:pPr>
    </w:p>
    <w:p w14:paraId="548FAFA7" w14:textId="77777777" w:rsidR="003B0A50" w:rsidRDefault="00FD4ED5" w:rsidP="003B0A50">
      <w:pPr>
        <w:spacing w:after="0" w:line="240" w:lineRule="auto"/>
        <w:rPr>
          <w:rFonts w:cs="Times New Roman"/>
          <w:b/>
          <w:color w:val="365F91" w:themeColor="accent1" w:themeShade="BF"/>
          <w:sz w:val="32"/>
          <w:szCs w:val="32"/>
        </w:rPr>
      </w:pPr>
      <w:r>
        <w:rPr>
          <w:rFonts w:cs="Times New Roman"/>
          <w:b/>
          <w:color w:val="365F91" w:themeColor="accent1" w:themeShade="BF"/>
          <w:sz w:val="32"/>
          <w:szCs w:val="32"/>
        </w:rPr>
        <w:t xml:space="preserve">Hawthorne &amp; Colleagues </w:t>
      </w:r>
      <w:r w:rsidR="003B0A50" w:rsidRPr="002D4EFC">
        <w:rPr>
          <w:rFonts w:cs="Times New Roman"/>
          <w:b/>
          <w:color w:val="365F91" w:themeColor="accent1" w:themeShade="BF"/>
          <w:sz w:val="32"/>
          <w:szCs w:val="32"/>
        </w:rPr>
        <w:t>References</w:t>
      </w:r>
      <w:r w:rsidR="003B0A50">
        <w:rPr>
          <w:rFonts w:cs="Times New Roman"/>
          <w:b/>
          <w:color w:val="365F91" w:themeColor="accent1" w:themeShade="BF"/>
          <w:sz w:val="32"/>
          <w:szCs w:val="32"/>
        </w:rPr>
        <w:t xml:space="preserve"> </w:t>
      </w:r>
      <w:r>
        <w:rPr>
          <w:rFonts w:cs="Times New Roman"/>
          <w:b/>
          <w:color w:val="365F91" w:themeColor="accent1" w:themeShade="BF"/>
          <w:sz w:val="32"/>
          <w:szCs w:val="32"/>
        </w:rPr>
        <w:t>Cited</w:t>
      </w:r>
      <w:r w:rsidR="003B0A50">
        <w:rPr>
          <w:rFonts w:cs="Times New Roman"/>
          <w:b/>
          <w:color w:val="365F91" w:themeColor="accent1" w:themeShade="BF"/>
          <w:sz w:val="32"/>
          <w:szCs w:val="32"/>
        </w:rPr>
        <w:t xml:space="preserve">: </w:t>
      </w:r>
    </w:p>
    <w:p w14:paraId="27527AED" w14:textId="77777777" w:rsidR="003B0A50" w:rsidRPr="002976FD" w:rsidRDefault="003B0A50" w:rsidP="003B0A50">
      <w:pPr>
        <w:spacing w:after="0" w:line="240" w:lineRule="auto"/>
        <w:rPr>
          <w:rFonts w:cs="Times New Roman"/>
          <w:b/>
          <w:sz w:val="16"/>
          <w:szCs w:val="16"/>
        </w:rPr>
      </w:pPr>
    </w:p>
    <w:p w14:paraId="2242A719" w14:textId="77777777" w:rsidR="00ED7B46" w:rsidRPr="00DB03A4" w:rsidRDefault="00ED7B46" w:rsidP="00FD4ED5">
      <w:pPr>
        <w:spacing w:after="0" w:line="240" w:lineRule="auto"/>
        <w:rPr>
          <w:rFonts w:ascii="Times New Roman" w:hAnsi="Times New Roman"/>
          <w:lang w:eastAsia="en-AU"/>
        </w:rPr>
      </w:pPr>
      <w:proofErr w:type="spellStart"/>
      <w:r w:rsidRPr="00DB03A4">
        <w:rPr>
          <w:rFonts w:ascii="Times New Roman" w:hAnsi="Times New Roman"/>
          <w:lang w:eastAsia="en-AU"/>
        </w:rPr>
        <w:t>Arkoudis</w:t>
      </w:r>
      <w:proofErr w:type="spellEnd"/>
      <w:r w:rsidRPr="00DB03A4">
        <w:rPr>
          <w:rFonts w:ascii="Times New Roman" w:hAnsi="Times New Roman"/>
          <w:lang w:eastAsia="en-AU"/>
        </w:rPr>
        <w:t xml:space="preserve">, </w:t>
      </w:r>
      <w:r>
        <w:rPr>
          <w:rFonts w:ascii="Times New Roman" w:hAnsi="Times New Roman"/>
          <w:lang w:eastAsia="en-AU"/>
        </w:rPr>
        <w:t xml:space="preserve">S, </w:t>
      </w:r>
      <w:r w:rsidRPr="00DB03A4">
        <w:rPr>
          <w:rFonts w:ascii="Times New Roman" w:hAnsi="Times New Roman"/>
          <w:lang w:eastAsia="en-AU"/>
        </w:rPr>
        <w:t xml:space="preserve">Hawthorne, </w:t>
      </w:r>
      <w:r>
        <w:rPr>
          <w:rFonts w:ascii="Times New Roman" w:hAnsi="Times New Roman"/>
          <w:lang w:eastAsia="en-AU"/>
        </w:rPr>
        <w:t xml:space="preserve">L, </w:t>
      </w:r>
      <w:proofErr w:type="spellStart"/>
      <w:r w:rsidRPr="00DB03A4">
        <w:rPr>
          <w:rFonts w:ascii="Times New Roman" w:hAnsi="Times New Roman"/>
          <w:lang w:eastAsia="en-AU"/>
        </w:rPr>
        <w:t>Baik</w:t>
      </w:r>
      <w:proofErr w:type="spellEnd"/>
      <w:r w:rsidRPr="00DB03A4">
        <w:rPr>
          <w:rFonts w:ascii="Times New Roman" w:hAnsi="Times New Roman"/>
          <w:lang w:eastAsia="en-AU"/>
        </w:rPr>
        <w:t xml:space="preserve">, </w:t>
      </w:r>
      <w:r>
        <w:rPr>
          <w:rFonts w:ascii="Times New Roman" w:hAnsi="Times New Roman"/>
          <w:lang w:eastAsia="en-AU"/>
        </w:rPr>
        <w:t xml:space="preserve">C, </w:t>
      </w:r>
      <w:r w:rsidRPr="00DB03A4">
        <w:rPr>
          <w:rFonts w:ascii="Times New Roman" w:hAnsi="Times New Roman"/>
          <w:lang w:eastAsia="en-AU"/>
        </w:rPr>
        <w:t xml:space="preserve">Hawthorne, </w:t>
      </w:r>
      <w:r>
        <w:rPr>
          <w:rFonts w:ascii="Times New Roman" w:hAnsi="Times New Roman"/>
          <w:lang w:eastAsia="en-AU"/>
        </w:rPr>
        <w:t xml:space="preserve">G, </w:t>
      </w:r>
      <w:r w:rsidRPr="00DB03A4">
        <w:rPr>
          <w:rFonts w:ascii="Times New Roman" w:hAnsi="Times New Roman"/>
          <w:lang w:eastAsia="en-AU"/>
        </w:rPr>
        <w:t xml:space="preserve">O’Loughlin, </w:t>
      </w:r>
      <w:r>
        <w:rPr>
          <w:rFonts w:ascii="Times New Roman" w:hAnsi="Times New Roman"/>
          <w:lang w:eastAsia="en-AU"/>
        </w:rPr>
        <w:t>K, B</w:t>
      </w:r>
      <w:r w:rsidRPr="00DB03A4">
        <w:rPr>
          <w:rFonts w:ascii="Times New Roman" w:hAnsi="Times New Roman"/>
          <w:lang w:eastAsia="en-AU"/>
        </w:rPr>
        <w:t>exley</w:t>
      </w:r>
      <w:r>
        <w:rPr>
          <w:rFonts w:ascii="Times New Roman" w:hAnsi="Times New Roman"/>
          <w:lang w:eastAsia="en-AU"/>
        </w:rPr>
        <w:t>, E</w:t>
      </w:r>
      <w:r w:rsidRPr="00DB03A4">
        <w:rPr>
          <w:rFonts w:ascii="Times New Roman" w:hAnsi="Times New Roman"/>
          <w:lang w:eastAsia="en-AU"/>
        </w:rPr>
        <w:t xml:space="preserve"> &amp; Leach</w:t>
      </w:r>
      <w:r>
        <w:rPr>
          <w:rFonts w:ascii="Times New Roman" w:hAnsi="Times New Roman"/>
          <w:lang w:eastAsia="en-AU"/>
        </w:rPr>
        <w:t xml:space="preserve">, D (2009), </w:t>
      </w:r>
      <w:r w:rsidRPr="00FD4ED5">
        <w:rPr>
          <w:rFonts w:ascii="Times New Roman" w:hAnsi="Times New Roman"/>
          <w:i/>
          <w:lang w:eastAsia="en-AU"/>
        </w:rPr>
        <w:t>The Impact of English Language Proficiency and Workplace Readiness on the Employment Outcomes of Tertiary International Students</w:t>
      </w:r>
      <w:r w:rsidRPr="00FD4ED5">
        <w:rPr>
          <w:rFonts w:ascii="Times New Roman" w:hAnsi="Times New Roman"/>
          <w:lang w:eastAsia="en-AU"/>
        </w:rPr>
        <w:t xml:space="preserve">, </w:t>
      </w:r>
      <w:r w:rsidRPr="00DB03A4">
        <w:rPr>
          <w:rFonts w:ascii="Times New Roman" w:hAnsi="Times New Roman"/>
          <w:lang w:eastAsia="en-AU"/>
        </w:rPr>
        <w:t>Department of Employment, Education and Work</w:t>
      </w:r>
      <w:r w:rsidR="00FD4ED5">
        <w:rPr>
          <w:rFonts w:ascii="Times New Roman" w:hAnsi="Times New Roman"/>
          <w:lang w:eastAsia="en-AU"/>
        </w:rPr>
        <w:t xml:space="preserve">place Relations, Canberra, </w:t>
      </w:r>
      <w:r w:rsidRPr="00DB03A4">
        <w:rPr>
          <w:rFonts w:ascii="Times New Roman" w:hAnsi="Times New Roman"/>
          <w:lang w:eastAsia="en-AU"/>
        </w:rPr>
        <w:t>http://aei.gov.au/AEI/PublicationsAndResearch/Publications/ELP_Full_Report_pdf.pdf</w:t>
      </w:r>
      <w:r w:rsidR="00FD4ED5">
        <w:rPr>
          <w:rFonts w:ascii="Times New Roman" w:hAnsi="Times New Roman"/>
          <w:lang w:eastAsia="en-AU"/>
        </w:rPr>
        <w:t>.</w:t>
      </w:r>
    </w:p>
    <w:p w14:paraId="72112B1E" w14:textId="77777777" w:rsidR="00FD4ED5" w:rsidRPr="003B0A50" w:rsidRDefault="00FD4ED5" w:rsidP="00FD4ED5">
      <w:pPr>
        <w:spacing w:after="0" w:line="240" w:lineRule="auto"/>
        <w:rPr>
          <w:rFonts w:ascii="Times New Roman" w:hAnsi="Times New Roman"/>
          <w:lang w:val="en-US" w:eastAsia="ko-KR"/>
        </w:rPr>
      </w:pPr>
      <w:proofErr w:type="spellStart"/>
      <w:r w:rsidRPr="003B0A50">
        <w:rPr>
          <w:rFonts w:ascii="Times New Roman" w:hAnsi="Times New Roman"/>
          <w:lang w:val="en-US" w:eastAsia="ko-KR"/>
        </w:rPr>
        <w:t>Birrell</w:t>
      </w:r>
      <w:proofErr w:type="spellEnd"/>
      <w:r w:rsidRPr="003B0A50">
        <w:rPr>
          <w:rFonts w:ascii="Times New Roman" w:hAnsi="Times New Roman"/>
          <w:lang w:val="en-US" w:eastAsia="ko-KR"/>
        </w:rPr>
        <w:t xml:space="preserve">, B, Hawthorne, L &amp; Richardson, S (2006), </w:t>
      </w:r>
      <w:r w:rsidRPr="003B0A50">
        <w:rPr>
          <w:rFonts w:ascii="Times New Roman" w:hAnsi="Times New Roman"/>
          <w:i/>
          <w:lang w:val="en-US" w:eastAsia="ko-KR"/>
        </w:rPr>
        <w:t>Evaluation of the General Skilled Migration Categories</w:t>
      </w:r>
      <w:r w:rsidRPr="003B0A50">
        <w:rPr>
          <w:rFonts w:ascii="Times New Roman" w:hAnsi="Times New Roman"/>
          <w:lang w:val="en-US" w:eastAsia="ko-KR"/>
        </w:rPr>
        <w:t>, Commissioned by the Commonwealth of Australia, Canberra, p.102.</w:t>
      </w:r>
    </w:p>
    <w:p w14:paraId="17B01137" w14:textId="77777777" w:rsidR="003B0A50" w:rsidRPr="003B0A50" w:rsidRDefault="003B0A50" w:rsidP="00FD4ED5">
      <w:pPr>
        <w:spacing w:after="0" w:line="240" w:lineRule="auto"/>
        <w:rPr>
          <w:rFonts w:ascii="Times New Roman" w:hAnsi="Times New Roman"/>
          <w:lang w:eastAsia="en-AU"/>
        </w:rPr>
      </w:pPr>
      <w:r w:rsidRPr="003B0A50">
        <w:rPr>
          <w:rFonts w:ascii="Times New Roman" w:hAnsi="Times New Roman"/>
          <w:lang w:eastAsia="en-AU"/>
        </w:rPr>
        <w:t xml:space="preserve">Hawthorne, L (2015 in press), ‘Skilled Migration and Australian Qualification Recognition Reform’, </w:t>
      </w:r>
      <w:r w:rsidRPr="003B0A50">
        <w:rPr>
          <w:rFonts w:ascii="Times New Roman" w:hAnsi="Times New Roman"/>
          <w:i/>
          <w:lang w:eastAsia="en-AU"/>
        </w:rPr>
        <w:t>Canadian Public Policy Journal</w:t>
      </w:r>
      <w:r w:rsidRPr="003B0A50">
        <w:rPr>
          <w:rFonts w:ascii="Times New Roman" w:hAnsi="Times New Roman"/>
          <w:lang w:eastAsia="en-AU"/>
        </w:rPr>
        <w:t xml:space="preserve">. </w:t>
      </w:r>
    </w:p>
    <w:p w14:paraId="5891336F" w14:textId="77777777" w:rsidR="00FD4ED5" w:rsidRDefault="00FD4ED5" w:rsidP="00FD4ED5">
      <w:pPr>
        <w:spacing w:after="0" w:line="240" w:lineRule="auto"/>
        <w:rPr>
          <w:rFonts w:ascii="Times New Roman" w:hAnsi="Times New Roman"/>
        </w:rPr>
      </w:pPr>
      <w:r>
        <w:rPr>
          <w:rFonts w:ascii="Times New Roman" w:hAnsi="Times New Roman"/>
        </w:rPr>
        <w:t xml:space="preserve">Hawthorne, L (2014a), ‘A Comparison of Skilled Migration Policy: Australia, Canada and New Zealand’, High-Skilled Immigration Policy and the Global Competition for Talent Papers, National Academies of Science Engineering and Medicine, Washington DC, </w:t>
      </w:r>
      <w:r w:rsidRPr="003F4A00">
        <w:rPr>
          <w:rFonts w:ascii="Times New Roman" w:hAnsi="Times New Roman"/>
        </w:rPr>
        <w:t>http://sites.nationalacademies.org/PGA/step/PGA_146763</w:t>
      </w:r>
      <w:r>
        <w:rPr>
          <w:rFonts w:ascii="Times New Roman" w:hAnsi="Times New Roman"/>
        </w:rPr>
        <w:t>.</w:t>
      </w:r>
    </w:p>
    <w:p w14:paraId="556F1BF7" w14:textId="77777777" w:rsidR="00FD4ED5" w:rsidRDefault="00FD4ED5" w:rsidP="00FD4ED5">
      <w:pPr>
        <w:spacing w:after="0" w:line="240" w:lineRule="auto"/>
        <w:rPr>
          <w:rFonts w:ascii="Times New Roman" w:hAnsi="Times New Roman"/>
        </w:rPr>
      </w:pPr>
      <w:r>
        <w:rPr>
          <w:rFonts w:ascii="Times New Roman" w:hAnsi="Times New Roman"/>
        </w:rPr>
        <w:t xml:space="preserve">Hawthorne, L (2014b), ‘Global Demand for International Students as Skilled Migrants’, High-Skilled Immigration Policy and the Global Competition for Talent Papers, National Academies of Science Engineering and Medicine, Washington DC, </w:t>
      </w:r>
      <w:r w:rsidRPr="003F4A00">
        <w:rPr>
          <w:rFonts w:ascii="Times New Roman" w:hAnsi="Times New Roman"/>
        </w:rPr>
        <w:t>http://sites.nationalacademies.org/PGA/step/PGA_146763</w:t>
      </w:r>
      <w:r>
        <w:rPr>
          <w:rFonts w:ascii="Times New Roman" w:hAnsi="Times New Roman"/>
        </w:rPr>
        <w:t>.</w:t>
      </w:r>
    </w:p>
    <w:p w14:paraId="2290A920" w14:textId="77777777" w:rsidR="00FD4ED5" w:rsidRDefault="00FD4ED5" w:rsidP="00FD4ED5">
      <w:pPr>
        <w:spacing w:after="0" w:line="240" w:lineRule="auto"/>
        <w:rPr>
          <w:rFonts w:ascii="Times New Roman" w:hAnsi="Times New Roman"/>
          <w:lang w:eastAsia="en-AU"/>
        </w:rPr>
      </w:pPr>
      <w:r>
        <w:rPr>
          <w:rFonts w:ascii="Times New Roman" w:hAnsi="Times New Roman"/>
          <w:lang w:eastAsia="en-AU"/>
        </w:rPr>
        <w:t xml:space="preserve">Hawthorne, L (2013a), ‘Recognizing Foreign Qualifications – Emerging Global Trends’, Migration Policy Institute, Washington DC, </w:t>
      </w:r>
      <w:hyperlink r:id="rId17" w:history="1">
        <w:r w:rsidRPr="0068121A">
          <w:rPr>
            <w:rStyle w:val="Hyperlink"/>
            <w:rFonts w:cstheme="minorBidi"/>
            <w:lang w:eastAsia="en-AU"/>
          </w:rPr>
          <w:t>http://www.migrationpolicy.org/pubs/Credentialing-GlobalTrends.pdf</w:t>
        </w:r>
      </w:hyperlink>
      <w:r>
        <w:rPr>
          <w:rFonts w:ascii="Times New Roman" w:hAnsi="Times New Roman"/>
          <w:lang w:eastAsia="en-AU"/>
        </w:rPr>
        <w:t>.</w:t>
      </w:r>
    </w:p>
    <w:p w14:paraId="22B4F4A9" w14:textId="77777777" w:rsidR="00FD4ED5" w:rsidRPr="00DB03A4" w:rsidRDefault="00FD4ED5" w:rsidP="00FD4ED5">
      <w:pPr>
        <w:spacing w:after="0" w:line="240" w:lineRule="auto"/>
        <w:rPr>
          <w:rFonts w:ascii="Times New Roman" w:hAnsi="Times New Roman"/>
          <w:lang w:eastAsia="en-AU"/>
        </w:rPr>
      </w:pPr>
      <w:r>
        <w:rPr>
          <w:rFonts w:ascii="Times New Roman" w:hAnsi="Times New Roman"/>
          <w:lang w:eastAsia="en-AU"/>
        </w:rPr>
        <w:t>Hawthorne, L (2013b</w:t>
      </w:r>
      <w:r w:rsidRPr="00DB03A4">
        <w:rPr>
          <w:rFonts w:ascii="Times New Roman" w:hAnsi="Times New Roman"/>
          <w:lang w:eastAsia="en-AU"/>
        </w:rPr>
        <w:t xml:space="preserve">), ‘Recognition of Qualifications and Competences of Third-Country Nationals – Australia’, </w:t>
      </w:r>
      <w:r>
        <w:rPr>
          <w:rFonts w:ascii="Times New Roman" w:hAnsi="Times New Roman"/>
          <w:lang w:eastAsia="en-AU"/>
        </w:rPr>
        <w:t xml:space="preserve">Chapter 7, </w:t>
      </w:r>
      <w:r w:rsidRPr="00D42AB5">
        <w:rPr>
          <w:rFonts w:ascii="Times New Roman" w:hAnsi="Times New Roman"/>
          <w:i/>
          <w:lang w:eastAsia="en-AU"/>
        </w:rPr>
        <w:t>Recognition of Qualifications and Competences of Migrants</w:t>
      </w:r>
      <w:r>
        <w:rPr>
          <w:rFonts w:ascii="Times New Roman" w:hAnsi="Times New Roman"/>
          <w:lang w:eastAsia="en-AU"/>
        </w:rPr>
        <w:t xml:space="preserve">, ed. A Schuster, M </w:t>
      </w:r>
      <w:proofErr w:type="spellStart"/>
      <w:r>
        <w:rPr>
          <w:rFonts w:ascii="Times New Roman" w:hAnsi="Times New Roman"/>
          <w:lang w:eastAsia="en-AU"/>
        </w:rPr>
        <w:t>Vincenza</w:t>
      </w:r>
      <w:proofErr w:type="spellEnd"/>
      <w:r>
        <w:rPr>
          <w:rFonts w:ascii="Times New Roman" w:hAnsi="Times New Roman"/>
          <w:lang w:eastAsia="en-AU"/>
        </w:rPr>
        <w:t xml:space="preserve"> </w:t>
      </w:r>
      <w:proofErr w:type="spellStart"/>
      <w:r>
        <w:rPr>
          <w:rFonts w:ascii="Times New Roman" w:hAnsi="Times New Roman"/>
          <w:lang w:eastAsia="en-AU"/>
        </w:rPr>
        <w:t>Desiderio</w:t>
      </w:r>
      <w:proofErr w:type="spellEnd"/>
      <w:r>
        <w:rPr>
          <w:rFonts w:ascii="Times New Roman" w:hAnsi="Times New Roman"/>
          <w:lang w:eastAsia="en-AU"/>
        </w:rPr>
        <w:t xml:space="preserve">, &amp; G </w:t>
      </w:r>
      <w:proofErr w:type="spellStart"/>
      <w:r>
        <w:rPr>
          <w:rFonts w:ascii="Times New Roman" w:hAnsi="Times New Roman"/>
          <w:lang w:eastAsia="en-AU"/>
        </w:rPr>
        <w:t>Urso</w:t>
      </w:r>
      <w:proofErr w:type="spellEnd"/>
      <w:r>
        <w:rPr>
          <w:rFonts w:ascii="Times New Roman" w:hAnsi="Times New Roman"/>
          <w:lang w:eastAsia="en-AU"/>
        </w:rPr>
        <w:t xml:space="preserve">, </w:t>
      </w:r>
      <w:r w:rsidRPr="00DB03A4">
        <w:rPr>
          <w:rFonts w:ascii="Times New Roman" w:hAnsi="Times New Roman"/>
          <w:lang w:eastAsia="en-AU"/>
        </w:rPr>
        <w:t>I</w:t>
      </w:r>
      <w:r>
        <w:rPr>
          <w:rFonts w:ascii="Times New Roman" w:hAnsi="Times New Roman"/>
          <w:lang w:eastAsia="en-AU"/>
        </w:rPr>
        <w:t xml:space="preserve">nternational </w:t>
      </w:r>
      <w:r w:rsidRPr="00DB03A4">
        <w:rPr>
          <w:rFonts w:ascii="Times New Roman" w:hAnsi="Times New Roman"/>
          <w:lang w:eastAsia="en-AU"/>
        </w:rPr>
        <w:t>O</w:t>
      </w:r>
      <w:r>
        <w:rPr>
          <w:rFonts w:ascii="Times New Roman" w:hAnsi="Times New Roman"/>
          <w:lang w:eastAsia="en-AU"/>
        </w:rPr>
        <w:t xml:space="preserve">rganization of </w:t>
      </w:r>
      <w:r w:rsidRPr="00DB03A4">
        <w:rPr>
          <w:rFonts w:ascii="Times New Roman" w:hAnsi="Times New Roman"/>
          <w:lang w:eastAsia="en-AU"/>
        </w:rPr>
        <w:t>M</w:t>
      </w:r>
      <w:r>
        <w:rPr>
          <w:rFonts w:ascii="Times New Roman" w:hAnsi="Times New Roman"/>
          <w:lang w:eastAsia="en-AU"/>
        </w:rPr>
        <w:t xml:space="preserve">igration, Brussels, </w:t>
      </w:r>
      <w:hyperlink r:id="rId18" w:history="1">
        <w:r w:rsidRPr="0024001A">
          <w:rPr>
            <w:rStyle w:val="Hyperlink"/>
            <w:lang w:eastAsia="en-AU"/>
          </w:rPr>
          <w:t>http://www.labourmigration.eu/research/report/20-recognition-of-qualifications-and-competences-of-migrants</w:t>
        </w:r>
      </w:hyperlink>
      <w:r>
        <w:rPr>
          <w:rFonts w:ascii="Times New Roman" w:hAnsi="Times New Roman"/>
          <w:lang w:eastAsia="en-AU"/>
        </w:rPr>
        <w:t>, pp. 201-228.</w:t>
      </w:r>
    </w:p>
    <w:p w14:paraId="131ACE8A" w14:textId="77777777" w:rsidR="00FD4ED5" w:rsidRPr="003B0A50" w:rsidRDefault="00FD4ED5" w:rsidP="00FD4ED5">
      <w:pPr>
        <w:tabs>
          <w:tab w:val="left" w:pos="720"/>
        </w:tabs>
        <w:spacing w:after="0" w:line="240" w:lineRule="auto"/>
        <w:rPr>
          <w:rFonts w:ascii="Times New Roman" w:eastAsia="Times New Roman" w:hAnsi="Times New Roman"/>
          <w:color w:val="000000"/>
        </w:rPr>
      </w:pPr>
      <w:r w:rsidRPr="003B0A50">
        <w:rPr>
          <w:rFonts w:ascii="Times New Roman" w:eastAsia="Times New Roman" w:hAnsi="Times New Roman"/>
          <w:color w:val="000000"/>
        </w:rPr>
        <w:t xml:space="preserve">Hawthorne, L (2010), ‘How Valuable is “Two-Step Migration”? Labour Market Outcomes for International Student Migrants to Australia’, Special Edition, </w:t>
      </w:r>
      <w:r w:rsidRPr="003B0A50">
        <w:rPr>
          <w:rFonts w:ascii="Times New Roman" w:eastAsia="Times New Roman" w:hAnsi="Times New Roman"/>
          <w:i/>
          <w:color w:val="000000"/>
        </w:rPr>
        <w:t>Asia-Pacific Migration Journal</w:t>
      </w:r>
      <w:r w:rsidRPr="003B0A50">
        <w:rPr>
          <w:rFonts w:ascii="Times New Roman" w:eastAsia="Times New Roman" w:hAnsi="Times New Roman"/>
          <w:color w:val="000000"/>
        </w:rPr>
        <w:t>, Vol 19 No 1: 5-36</w:t>
      </w:r>
    </w:p>
    <w:p w14:paraId="06724121" w14:textId="77777777" w:rsidR="00F548EA" w:rsidRPr="003B0A50" w:rsidRDefault="00F548EA" w:rsidP="00FD4ED5">
      <w:pPr>
        <w:spacing w:after="0" w:line="240" w:lineRule="auto"/>
        <w:rPr>
          <w:rFonts w:ascii="Times New Roman" w:hAnsi="Times New Roman"/>
          <w:lang w:eastAsia="en-AU"/>
        </w:rPr>
      </w:pPr>
      <w:r w:rsidRPr="003B0A50">
        <w:rPr>
          <w:rFonts w:ascii="Times New Roman" w:hAnsi="Times New Roman"/>
          <w:lang w:eastAsia="en-AU"/>
        </w:rPr>
        <w:t xml:space="preserve">Hawthorne, L &amp; To, A (2014), ‘Employer Response to the Study-Migration Pathway: The Australian Evidence 2007-2011’, </w:t>
      </w:r>
      <w:r w:rsidRPr="003B0A50">
        <w:rPr>
          <w:rFonts w:ascii="Times New Roman" w:hAnsi="Times New Roman"/>
          <w:i/>
          <w:lang w:eastAsia="en-AU"/>
        </w:rPr>
        <w:t>Highly Skilled Migration: Policies, Processes and Politics</w:t>
      </w:r>
      <w:r w:rsidRPr="003B0A50">
        <w:rPr>
          <w:rFonts w:ascii="Times New Roman" w:hAnsi="Times New Roman"/>
          <w:lang w:eastAsia="en-AU"/>
        </w:rPr>
        <w:t xml:space="preserve">, Special Issue, </w:t>
      </w:r>
      <w:r w:rsidRPr="003B0A50">
        <w:rPr>
          <w:rFonts w:ascii="Times New Roman" w:hAnsi="Times New Roman"/>
          <w:i/>
          <w:lang w:eastAsia="en-AU"/>
        </w:rPr>
        <w:t>International Migration</w:t>
      </w:r>
      <w:r w:rsidRPr="003B0A50">
        <w:rPr>
          <w:rFonts w:ascii="Times New Roman" w:hAnsi="Times New Roman"/>
          <w:lang w:eastAsia="en-AU"/>
        </w:rPr>
        <w:t xml:space="preserve"> (Geneva), 52(3): 99-115, August.</w:t>
      </w:r>
    </w:p>
    <w:p w14:paraId="68393CEB" w14:textId="77777777" w:rsidR="00F548EA" w:rsidRPr="003B0A50" w:rsidRDefault="00F548EA" w:rsidP="00FD4ED5">
      <w:pPr>
        <w:numPr>
          <w:ilvl w:val="12"/>
          <w:numId w:val="0"/>
        </w:numPr>
        <w:spacing w:after="0" w:line="240" w:lineRule="auto"/>
        <w:rPr>
          <w:rFonts w:ascii="Times New Roman" w:hAnsi="Times New Roman"/>
        </w:rPr>
      </w:pPr>
      <w:r w:rsidRPr="003B0A50">
        <w:rPr>
          <w:rFonts w:ascii="Times New Roman" w:hAnsi="Times New Roman"/>
        </w:rPr>
        <w:t xml:space="preserve">Hawthorne, L &amp; To, A (2013), </w:t>
      </w:r>
      <w:r w:rsidRPr="003B0A50">
        <w:rPr>
          <w:rFonts w:ascii="Times New Roman" w:hAnsi="Times New Roman"/>
          <w:i/>
        </w:rPr>
        <w:t xml:space="preserve">English Language Skills Registration Standards – An Australian and Global Comparative Assessment, </w:t>
      </w:r>
      <w:r w:rsidRPr="003B0A50">
        <w:rPr>
          <w:rFonts w:ascii="Times New Roman" w:hAnsi="Times New Roman"/>
        </w:rPr>
        <w:t>Commissioned by the Australian Health Practitioner Regulation Agency, Melbourne.</w:t>
      </w:r>
    </w:p>
    <w:p w14:paraId="76E2EA78" w14:textId="77777777" w:rsidR="003B0A50" w:rsidRPr="003B0A50" w:rsidRDefault="003B0A50" w:rsidP="00FD4ED5">
      <w:pPr>
        <w:spacing w:after="0" w:line="240" w:lineRule="auto"/>
        <w:rPr>
          <w:rFonts w:ascii="Times New Roman" w:hAnsi="Times New Roman"/>
          <w:lang w:val="en-US" w:eastAsia="ko-KR"/>
        </w:rPr>
      </w:pPr>
      <w:r w:rsidRPr="003B0A50">
        <w:rPr>
          <w:rFonts w:ascii="Times New Roman" w:hAnsi="Times New Roman"/>
          <w:lang w:val="en-US" w:eastAsia="ko-KR"/>
        </w:rPr>
        <w:t xml:space="preserve">Hawthorne, L, Hawthorne, G &amp; </w:t>
      </w:r>
      <w:proofErr w:type="spellStart"/>
      <w:r w:rsidRPr="003B0A50">
        <w:rPr>
          <w:rFonts w:ascii="Times New Roman" w:hAnsi="Times New Roman"/>
          <w:lang w:val="en-US" w:eastAsia="ko-KR"/>
        </w:rPr>
        <w:t>Crotty</w:t>
      </w:r>
      <w:proofErr w:type="spellEnd"/>
      <w:r w:rsidRPr="003B0A50">
        <w:rPr>
          <w:rFonts w:ascii="Times New Roman" w:hAnsi="Times New Roman"/>
          <w:lang w:val="en-US" w:eastAsia="ko-KR"/>
        </w:rPr>
        <w:t xml:space="preserve">, B (2007), </w:t>
      </w:r>
      <w:r w:rsidRPr="003B0A50">
        <w:rPr>
          <w:rFonts w:ascii="Times New Roman" w:hAnsi="Times New Roman"/>
          <w:i/>
          <w:lang w:val="en-US" w:eastAsia="ko-KR"/>
        </w:rPr>
        <w:t>The Registration and Training Status of Overseas Trained Doctors in Australia</w:t>
      </w:r>
      <w:r w:rsidRPr="003B0A50">
        <w:rPr>
          <w:rFonts w:ascii="Times New Roman" w:hAnsi="Times New Roman"/>
          <w:lang w:val="en-US" w:eastAsia="ko-KR"/>
        </w:rPr>
        <w:t>, Commissioned by the Department of Health and Ageing, Canberra.</w:t>
      </w:r>
    </w:p>
    <w:sectPr w:rsidR="003B0A50" w:rsidRPr="003B0A50" w:rsidSect="006651E3">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FCC28E" w14:textId="77777777" w:rsidR="00B64B3C" w:rsidRDefault="00B64B3C" w:rsidP="00242EE2">
      <w:pPr>
        <w:spacing w:after="0" w:line="240" w:lineRule="auto"/>
      </w:pPr>
      <w:r>
        <w:separator/>
      </w:r>
    </w:p>
  </w:endnote>
  <w:endnote w:type="continuationSeparator" w:id="0">
    <w:p w14:paraId="6B2C17E4" w14:textId="77777777" w:rsidR="00B64B3C" w:rsidRDefault="00B64B3C" w:rsidP="00242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464501"/>
      <w:docPartObj>
        <w:docPartGallery w:val="Page Numbers (Bottom of Page)"/>
        <w:docPartUnique/>
      </w:docPartObj>
    </w:sdtPr>
    <w:sdtEndPr/>
    <w:sdtContent>
      <w:p w14:paraId="56B2F815" w14:textId="77777777" w:rsidR="00B11B71" w:rsidRDefault="00B11B71">
        <w:pPr>
          <w:pStyle w:val="Footer"/>
          <w:jc w:val="right"/>
        </w:pPr>
        <w:r>
          <w:fldChar w:fldCharType="begin"/>
        </w:r>
        <w:r>
          <w:instrText xml:space="preserve"> PAGE   \* MERGEFORMAT </w:instrText>
        </w:r>
        <w:r>
          <w:fldChar w:fldCharType="separate"/>
        </w:r>
        <w:r w:rsidR="00AA2667">
          <w:rPr>
            <w:noProof/>
          </w:rPr>
          <w:t>1</w:t>
        </w:r>
        <w:r>
          <w:rPr>
            <w:noProof/>
          </w:rPr>
          <w:fldChar w:fldCharType="end"/>
        </w:r>
      </w:p>
    </w:sdtContent>
  </w:sdt>
  <w:p w14:paraId="2AE4319F" w14:textId="77777777" w:rsidR="00B11B71" w:rsidRDefault="00B11B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D17B87" w14:textId="77777777" w:rsidR="00B64B3C" w:rsidRDefault="00B64B3C" w:rsidP="00242EE2">
      <w:pPr>
        <w:spacing w:after="0" w:line="240" w:lineRule="auto"/>
      </w:pPr>
      <w:r>
        <w:separator/>
      </w:r>
    </w:p>
  </w:footnote>
  <w:footnote w:type="continuationSeparator" w:id="0">
    <w:p w14:paraId="4354C1BF" w14:textId="77777777" w:rsidR="00B64B3C" w:rsidRDefault="00B64B3C" w:rsidP="00242E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1CAFBC2"/>
    <w:lvl w:ilvl="0">
      <w:start w:val="1"/>
      <w:numFmt w:val="bullet"/>
      <w:pStyle w:val="Style1"/>
      <w:lvlText w:val=""/>
      <w:lvlJc w:val="left"/>
      <w:pPr>
        <w:tabs>
          <w:tab w:val="num" w:pos="720"/>
        </w:tabs>
        <w:ind w:left="720" w:hanging="360"/>
      </w:pPr>
      <w:rPr>
        <w:rFonts w:ascii="Symbol" w:hAnsi="Symbol" w:cs="Symbol" w:hint="default"/>
      </w:rPr>
    </w:lvl>
  </w:abstractNum>
  <w:abstractNum w:abstractNumId="1">
    <w:nsid w:val="00D8021C"/>
    <w:multiLevelType w:val="hybridMultilevel"/>
    <w:tmpl w:val="32122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1136F17"/>
    <w:multiLevelType w:val="hybridMultilevel"/>
    <w:tmpl w:val="22A6C568"/>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035A46A3"/>
    <w:multiLevelType w:val="singleLevel"/>
    <w:tmpl w:val="8A322718"/>
    <w:lvl w:ilvl="0">
      <w:start w:val="1"/>
      <w:numFmt w:val="bullet"/>
      <w:pStyle w:val="BulletDoublespace"/>
      <w:lvlText w:val=""/>
      <w:lvlJc w:val="left"/>
      <w:pPr>
        <w:tabs>
          <w:tab w:val="num" w:pos="360"/>
        </w:tabs>
        <w:ind w:left="360" w:hanging="360"/>
      </w:pPr>
      <w:rPr>
        <w:rFonts w:ascii="Symbol" w:hAnsi="Symbol" w:hint="default"/>
        <w:sz w:val="18"/>
      </w:rPr>
    </w:lvl>
  </w:abstractNum>
  <w:abstractNum w:abstractNumId="4">
    <w:nsid w:val="05C17C8B"/>
    <w:multiLevelType w:val="hybridMultilevel"/>
    <w:tmpl w:val="46B050F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B1E299A"/>
    <w:multiLevelType w:val="hybridMultilevel"/>
    <w:tmpl w:val="816A59F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0DC9009F"/>
    <w:multiLevelType w:val="hybridMultilevel"/>
    <w:tmpl w:val="17F6C0C2"/>
    <w:lvl w:ilvl="0" w:tplc="0409000F">
      <w:start w:val="1"/>
      <w:numFmt w:val="decimal"/>
      <w:lvlText w:val="%1."/>
      <w:lvlJc w:val="left"/>
      <w:pPr>
        <w:ind w:left="1080" w:hanging="360"/>
      </w:pPr>
      <w:rPr>
        <w:rFont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0EF50AB7"/>
    <w:multiLevelType w:val="hybridMultilevel"/>
    <w:tmpl w:val="0A02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CA661C"/>
    <w:multiLevelType w:val="hybridMultilevel"/>
    <w:tmpl w:val="F7F634D2"/>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129504F0"/>
    <w:multiLevelType w:val="hybridMultilevel"/>
    <w:tmpl w:val="153ABF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A626132"/>
    <w:multiLevelType w:val="hybridMultilevel"/>
    <w:tmpl w:val="F52A0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CDC4AEE"/>
    <w:multiLevelType w:val="hybridMultilevel"/>
    <w:tmpl w:val="890CFA28"/>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1E9C707B"/>
    <w:multiLevelType w:val="hybridMultilevel"/>
    <w:tmpl w:val="F6DE3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0BA2B82"/>
    <w:multiLevelType w:val="hybridMultilevel"/>
    <w:tmpl w:val="B3289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264002F"/>
    <w:multiLevelType w:val="hybridMultilevel"/>
    <w:tmpl w:val="920098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4C00B5E"/>
    <w:multiLevelType w:val="hybridMultilevel"/>
    <w:tmpl w:val="702A8C20"/>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16">
    <w:nsid w:val="25AE2F1B"/>
    <w:multiLevelType w:val="hybridMultilevel"/>
    <w:tmpl w:val="AC0018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nsid w:val="25C8279E"/>
    <w:multiLevelType w:val="hybridMultilevel"/>
    <w:tmpl w:val="2EA03EC4"/>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271D4233"/>
    <w:multiLevelType w:val="singleLevel"/>
    <w:tmpl w:val="C4D83852"/>
    <w:lvl w:ilvl="0">
      <w:start w:val="1"/>
      <w:numFmt w:val="bullet"/>
      <w:lvlText w:val=""/>
      <w:lvlJc w:val="left"/>
      <w:pPr>
        <w:tabs>
          <w:tab w:val="num" w:pos="360"/>
        </w:tabs>
        <w:ind w:left="360" w:hanging="360"/>
      </w:pPr>
      <w:rPr>
        <w:rFonts w:ascii="Symbol" w:hAnsi="Symbol" w:hint="default"/>
      </w:rPr>
    </w:lvl>
  </w:abstractNum>
  <w:abstractNum w:abstractNumId="19">
    <w:nsid w:val="284C2414"/>
    <w:multiLevelType w:val="hybridMultilevel"/>
    <w:tmpl w:val="AA4A70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9F71396"/>
    <w:multiLevelType w:val="hybridMultilevel"/>
    <w:tmpl w:val="489851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nsid w:val="2CA74A29"/>
    <w:multiLevelType w:val="hybridMultilevel"/>
    <w:tmpl w:val="A00420C8"/>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2">
    <w:nsid w:val="2DC47863"/>
    <w:multiLevelType w:val="singleLevel"/>
    <w:tmpl w:val="C4D83852"/>
    <w:lvl w:ilvl="0">
      <w:start w:val="1"/>
      <w:numFmt w:val="bullet"/>
      <w:lvlText w:val=""/>
      <w:lvlJc w:val="left"/>
      <w:pPr>
        <w:tabs>
          <w:tab w:val="num" w:pos="360"/>
        </w:tabs>
        <w:ind w:left="360" w:hanging="360"/>
      </w:pPr>
      <w:rPr>
        <w:rFonts w:ascii="Symbol" w:hAnsi="Symbol" w:hint="default"/>
      </w:rPr>
    </w:lvl>
  </w:abstractNum>
  <w:abstractNum w:abstractNumId="23">
    <w:nsid w:val="307A6839"/>
    <w:multiLevelType w:val="hybridMultilevel"/>
    <w:tmpl w:val="3FBC8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2B7448D"/>
    <w:multiLevelType w:val="hybridMultilevel"/>
    <w:tmpl w:val="266EC1D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nsid w:val="370C09CC"/>
    <w:multiLevelType w:val="hybridMultilevel"/>
    <w:tmpl w:val="F2EAA03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3D220C0B"/>
    <w:multiLevelType w:val="hybridMultilevel"/>
    <w:tmpl w:val="5CACCDE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7">
    <w:nsid w:val="45DC499D"/>
    <w:multiLevelType w:val="hybridMultilevel"/>
    <w:tmpl w:val="7AEC491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nsid w:val="4A0F62D6"/>
    <w:multiLevelType w:val="hybridMultilevel"/>
    <w:tmpl w:val="A8CAF4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BD903F5"/>
    <w:multiLevelType w:val="hybridMultilevel"/>
    <w:tmpl w:val="FC282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7E12E4"/>
    <w:multiLevelType w:val="hybridMultilevel"/>
    <w:tmpl w:val="DC309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3634BF"/>
    <w:multiLevelType w:val="hybridMultilevel"/>
    <w:tmpl w:val="A3A0D64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nsid w:val="5654174C"/>
    <w:multiLevelType w:val="singleLevel"/>
    <w:tmpl w:val="C4D83852"/>
    <w:lvl w:ilvl="0">
      <w:start w:val="1"/>
      <w:numFmt w:val="bullet"/>
      <w:lvlText w:val=""/>
      <w:lvlJc w:val="left"/>
      <w:pPr>
        <w:tabs>
          <w:tab w:val="num" w:pos="360"/>
        </w:tabs>
        <w:ind w:left="360" w:hanging="360"/>
      </w:pPr>
      <w:rPr>
        <w:rFonts w:ascii="Symbol" w:hAnsi="Symbol" w:hint="default"/>
      </w:rPr>
    </w:lvl>
  </w:abstractNum>
  <w:abstractNum w:abstractNumId="33">
    <w:nsid w:val="64D74CA7"/>
    <w:multiLevelType w:val="hybridMultilevel"/>
    <w:tmpl w:val="EA8A6F2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nsid w:val="67131CC5"/>
    <w:multiLevelType w:val="hybridMultilevel"/>
    <w:tmpl w:val="D97AC01A"/>
    <w:lvl w:ilvl="0" w:tplc="531CB3E4">
      <w:start w:val="1"/>
      <w:numFmt w:val="decimal"/>
      <w:lvlText w:val="%1."/>
      <w:lvlJc w:val="left"/>
      <w:pPr>
        <w:tabs>
          <w:tab w:val="num" w:pos="720"/>
        </w:tabs>
        <w:ind w:left="720" w:hanging="360"/>
      </w:pPr>
    </w:lvl>
    <w:lvl w:ilvl="1" w:tplc="C0AAE30E" w:tentative="1">
      <w:start w:val="1"/>
      <w:numFmt w:val="decimal"/>
      <w:lvlText w:val="%2."/>
      <w:lvlJc w:val="left"/>
      <w:pPr>
        <w:tabs>
          <w:tab w:val="num" w:pos="1440"/>
        </w:tabs>
        <w:ind w:left="1440" w:hanging="360"/>
      </w:pPr>
    </w:lvl>
    <w:lvl w:ilvl="2" w:tplc="0C823BBE" w:tentative="1">
      <w:start w:val="1"/>
      <w:numFmt w:val="decimal"/>
      <w:lvlText w:val="%3."/>
      <w:lvlJc w:val="left"/>
      <w:pPr>
        <w:tabs>
          <w:tab w:val="num" w:pos="2160"/>
        </w:tabs>
        <w:ind w:left="2160" w:hanging="360"/>
      </w:pPr>
    </w:lvl>
    <w:lvl w:ilvl="3" w:tplc="3BACA9B8" w:tentative="1">
      <w:start w:val="1"/>
      <w:numFmt w:val="decimal"/>
      <w:lvlText w:val="%4."/>
      <w:lvlJc w:val="left"/>
      <w:pPr>
        <w:tabs>
          <w:tab w:val="num" w:pos="2880"/>
        </w:tabs>
        <w:ind w:left="2880" w:hanging="360"/>
      </w:pPr>
    </w:lvl>
    <w:lvl w:ilvl="4" w:tplc="84505398" w:tentative="1">
      <w:start w:val="1"/>
      <w:numFmt w:val="decimal"/>
      <w:lvlText w:val="%5."/>
      <w:lvlJc w:val="left"/>
      <w:pPr>
        <w:tabs>
          <w:tab w:val="num" w:pos="3600"/>
        </w:tabs>
        <w:ind w:left="3600" w:hanging="360"/>
      </w:pPr>
    </w:lvl>
    <w:lvl w:ilvl="5" w:tplc="797AE38E" w:tentative="1">
      <w:start w:val="1"/>
      <w:numFmt w:val="decimal"/>
      <w:lvlText w:val="%6."/>
      <w:lvlJc w:val="left"/>
      <w:pPr>
        <w:tabs>
          <w:tab w:val="num" w:pos="4320"/>
        </w:tabs>
        <w:ind w:left="4320" w:hanging="360"/>
      </w:pPr>
    </w:lvl>
    <w:lvl w:ilvl="6" w:tplc="83DC32D4" w:tentative="1">
      <w:start w:val="1"/>
      <w:numFmt w:val="decimal"/>
      <w:lvlText w:val="%7."/>
      <w:lvlJc w:val="left"/>
      <w:pPr>
        <w:tabs>
          <w:tab w:val="num" w:pos="5040"/>
        </w:tabs>
        <w:ind w:left="5040" w:hanging="360"/>
      </w:pPr>
    </w:lvl>
    <w:lvl w:ilvl="7" w:tplc="45EAA5A8" w:tentative="1">
      <w:start w:val="1"/>
      <w:numFmt w:val="decimal"/>
      <w:lvlText w:val="%8."/>
      <w:lvlJc w:val="left"/>
      <w:pPr>
        <w:tabs>
          <w:tab w:val="num" w:pos="5760"/>
        </w:tabs>
        <w:ind w:left="5760" w:hanging="360"/>
      </w:pPr>
    </w:lvl>
    <w:lvl w:ilvl="8" w:tplc="8ED282C4" w:tentative="1">
      <w:start w:val="1"/>
      <w:numFmt w:val="decimal"/>
      <w:lvlText w:val="%9."/>
      <w:lvlJc w:val="left"/>
      <w:pPr>
        <w:tabs>
          <w:tab w:val="num" w:pos="6480"/>
        </w:tabs>
        <w:ind w:left="6480" w:hanging="360"/>
      </w:pPr>
    </w:lvl>
  </w:abstractNum>
  <w:abstractNum w:abstractNumId="35">
    <w:nsid w:val="693D17DC"/>
    <w:multiLevelType w:val="hybridMultilevel"/>
    <w:tmpl w:val="EA3CB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E725967"/>
    <w:multiLevelType w:val="hybridMultilevel"/>
    <w:tmpl w:val="C374D7EE"/>
    <w:lvl w:ilvl="0" w:tplc="0E8EAEC2">
      <w:start w:val="1"/>
      <w:numFmt w:val="lowerLetter"/>
      <w:lvlText w:val="(%1)"/>
      <w:lvlJc w:val="left"/>
      <w:pPr>
        <w:ind w:left="1080" w:hanging="360"/>
      </w:pPr>
      <w:rPr>
        <w:i w:val="0"/>
      </w:rPr>
    </w:lvl>
    <w:lvl w:ilvl="1" w:tplc="0C090019">
      <w:start w:val="1"/>
      <w:numFmt w:val="decimal"/>
      <w:lvlText w:val="%2."/>
      <w:lvlJc w:val="left"/>
      <w:pPr>
        <w:tabs>
          <w:tab w:val="num" w:pos="1800"/>
        </w:tabs>
        <w:ind w:left="1800" w:hanging="360"/>
      </w:pPr>
    </w:lvl>
    <w:lvl w:ilvl="2" w:tplc="0C09001B">
      <w:start w:val="1"/>
      <w:numFmt w:val="decimal"/>
      <w:lvlText w:val="%3."/>
      <w:lvlJc w:val="left"/>
      <w:pPr>
        <w:tabs>
          <w:tab w:val="num" w:pos="2520"/>
        </w:tabs>
        <w:ind w:left="2520" w:hanging="360"/>
      </w:pPr>
    </w:lvl>
    <w:lvl w:ilvl="3" w:tplc="0C09000F">
      <w:start w:val="1"/>
      <w:numFmt w:val="decimal"/>
      <w:lvlText w:val="%4."/>
      <w:lvlJc w:val="left"/>
      <w:pPr>
        <w:tabs>
          <w:tab w:val="num" w:pos="3240"/>
        </w:tabs>
        <w:ind w:left="3240" w:hanging="360"/>
      </w:pPr>
    </w:lvl>
    <w:lvl w:ilvl="4" w:tplc="0C090019">
      <w:start w:val="1"/>
      <w:numFmt w:val="decimal"/>
      <w:lvlText w:val="%5."/>
      <w:lvlJc w:val="left"/>
      <w:pPr>
        <w:tabs>
          <w:tab w:val="num" w:pos="3960"/>
        </w:tabs>
        <w:ind w:left="3960" w:hanging="360"/>
      </w:pPr>
    </w:lvl>
    <w:lvl w:ilvl="5" w:tplc="0C09001B">
      <w:start w:val="1"/>
      <w:numFmt w:val="decimal"/>
      <w:lvlText w:val="%6."/>
      <w:lvlJc w:val="left"/>
      <w:pPr>
        <w:tabs>
          <w:tab w:val="num" w:pos="4680"/>
        </w:tabs>
        <w:ind w:left="4680" w:hanging="360"/>
      </w:pPr>
    </w:lvl>
    <w:lvl w:ilvl="6" w:tplc="0C09000F">
      <w:start w:val="1"/>
      <w:numFmt w:val="decimal"/>
      <w:lvlText w:val="%7."/>
      <w:lvlJc w:val="left"/>
      <w:pPr>
        <w:tabs>
          <w:tab w:val="num" w:pos="5400"/>
        </w:tabs>
        <w:ind w:left="5400" w:hanging="360"/>
      </w:pPr>
    </w:lvl>
    <w:lvl w:ilvl="7" w:tplc="0C090019">
      <w:start w:val="1"/>
      <w:numFmt w:val="decimal"/>
      <w:lvlText w:val="%8."/>
      <w:lvlJc w:val="left"/>
      <w:pPr>
        <w:tabs>
          <w:tab w:val="num" w:pos="6120"/>
        </w:tabs>
        <w:ind w:left="6120" w:hanging="360"/>
      </w:pPr>
    </w:lvl>
    <w:lvl w:ilvl="8" w:tplc="0C09001B">
      <w:start w:val="1"/>
      <w:numFmt w:val="decimal"/>
      <w:lvlText w:val="%9."/>
      <w:lvlJc w:val="left"/>
      <w:pPr>
        <w:tabs>
          <w:tab w:val="num" w:pos="6840"/>
        </w:tabs>
        <w:ind w:left="6840" w:hanging="360"/>
      </w:pPr>
    </w:lvl>
  </w:abstractNum>
  <w:abstractNum w:abstractNumId="37">
    <w:nsid w:val="76514A29"/>
    <w:multiLevelType w:val="hybridMultilevel"/>
    <w:tmpl w:val="7422C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BB29AB"/>
    <w:multiLevelType w:val="hybridMultilevel"/>
    <w:tmpl w:val="5CC09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9"/>
  </w:num>
  <w:num w:numId="3">
    <w:abstractNumId w:val="0"/>
  </w:num>
  <w:num w:numId="4">
    <w:abstractNumId w:val="5"/>
  </w:num>
  <w:num w:numId="5">
    <w:abstractNumId w:val="3"/>
  </w:num>
  <w:num w:numId="6">
    <w:abstractNumId w:val="33"/>
  </w:num>
  <w:num w:numId="7">
    <w:abstractNumId w:val="16"/>
  </w:num>
  <w:num w:numId="8">
    <w:abstractNumId w:val="20"/>
  </w:num>
  <w:num w:numId="9">
    <w:abstractNumId w:val="24"/>
  </w:num>
  <w:num w:numId="10">
    <w:abstractNumId w:val="21"/>
  </w:num>
  <w:num w:numId="11">
    <w:abstractNumId w:val="28"/>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5"/>
  </w:num>
  <w:num w:numId="15">
    <w:abstractNumId w:val="35"/>
  </w:num>
  <w:num w:numId="16">
    <w:abstractNumId w:val="0"/>
  </w:num>
  <w:num w:numId="17">
    <w:abstractNumId w:val="22"/>
  </w:num>
  <w:num w:numId="18">
    <w:abstractNumId w:val="32"/>
  </w:num>
  <w:num w:numId="19">
    <w:abstractNumId w:val="18"/>
  </w:num>
  <w:num w:numId="20">
    <w:abstractNumId w:val="0"/>
  </w:num>
  <w:num w:numId="21">
    <w:abstractNumId w:val="13"/>
  </w:num>
  <w:num w:numId="22">
    <w:abstractNumId w:val="30"/>
  </w:num>
  <w:num w:numId="23">
    <w:abstractNumId w:val="0"/>
  </w:num>
  <w:num w:numId="24">
    <w:abstractNumId w:val="29"/>
  </w:num>
  <w:num w:numId="25">
    <w:abstractNumId w:val="23"/>
  </w:num>
  <w:num w:numId="26">
    <w:abstractNumId w:val="7"/>
  </w:num>
  <w:num w:numId="27">
    <w:abstractNumId w:val="6"/>
  </w:num>
  <w:num w:numId="28">
    <w:abstractNumId w:val="37"/>
  </w:num>
  <w:num w:numId="29">
    <w:abstractNumId w:val="27"/>
  </w:num>
  <w:num w:numId="30">
    <w:abstractNumId w:val="11"/>
  </w:num>
  <w:num w:numId="31">
    <w:abstractNumId w:val="34"/>
  </w:num>
  <w:num w:numId="32">
    <w:abstractNumId w:val="2"/>
  </w:num>
  <w:num w:numId="33">
    <w:abstractNumId w:val="17"/>
  </w:num>
  <w:num w:numId="34">
    <w:abstractNumId w:val="4"/>
  </w:num>
  <w:num w:numId="35">
    <w:abstractNumId w:val="8"/>
  </w:num>
  <w:num w:numId="36">
    <w:abstractNumId w:val="26"/>
  </w:num>
  <w:num w:numId="37">
    <w:abstractNumId w:val="14"/>
  </w:num>
  <w:num w:numId="38">
    <w:abstractNumId w:val="19"/>
  </w:num>
  <w:num w:numId="39">
    <w:abstractNumId w:val="1"/>
  </w:num>
  <w:num w:numId="40">
    <w:abstractNumId w:val="38"/>
  </w:num>
  <w:num w:numId="41">
    <w:abstractNumId w:val="31"/>
  </w:num>
  <w:num w:numId="4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EE2"/>
    <w:rsid w:val="00001390"/>
    <w:rsid w:val="00021491"/>
    <w:rsid w:val="00026C7B"/>
    <w:rsid w:val="0003071E"/>
    <w:rsid w:val="00031438"/>
    <w:rsid w:val="00033D63"/>
    <w:rsid w:val="00037396"/>
    <w:rsid w:val="0004075B"/>
    <w:rsid w:val="0005245F"/>
    <w:rsid w:val="00053D29"/>
    <w:rsid w:val="000565F2"/>
    <w:rsid w:val="000571B5"/>
    <w:rsid w:val="00062B79"/>
    <w:rsid w:val="00063D72"/>
    <w:rsid w:val="00070570"/>
    <w:rsid w:val="0007196E"/>
    <w:rsid w:val="0007659C"/>
    <w:rsid w:val="00082BDA"/>
    <w:rsid w:val="00087A97"/>
    <w:rsid w:val="00087CF3"/>
    <w:rsid w:val="00090753"/>
    <w:rsid w:val="00091E3D"/>
    <w:rsid w:val="00094AB1"/>
    <w:rsid w:val="00094E23"/>
    <w:rsid w:val="000A187B"/>
    <w:rsid w:val="000A2910"/>
    <w:rsid w:val="000A6DA1"/>
    <w:rsid w:val="000B6462"/>
    <w:rsid w:val="000B651F"/>
    <w:rsid w:val="000B6AA5"/>
    <w:rsid w:val="000B7FF9"/>
    <w:rsid w:val="000C5C48"/>
    <w:rsid w:val="000C647B"/>
    <w:rsid w:val="000E2283"/>
    <w:rsid w:val="000E42FB"/>
    <w:rsid w:val="000F4D83"/>
    <w:rsid w:val="001005FB"/>
    <w:rsid w:val="00103E8C"/>
    <w:rsid w:val="00114887"/>
    <w:rsid w:val="00114F69"/>
    <w:rsid w:val="00126C98"/>
    <w:rsid w:val="00130275"/>
    <w:rsid w:val="001350F0"/>
    <w:rsid w:val="00136A81"/>
    <w:rsid w:val="001374A4"/>
    <w:rsid w:val="001425D7"/>
    <w:rsid w:val="00145305"/>
    <w:rsid w:val="00150349"/>
    <w:rsid w:val="0015415D"/>
    <w:rsid w:val="001574C3"/>
    <w:rsid w:val="00160736"/>
    <w:rsid w:val="0016741C"/>
    <w:rsid w:val="0016753E"/>
    <w:rsid w:val="00172631"/>
    <w:rsid w:val="00183BFB"/>
    <w:rsid w:val="00184F53"/>
    <w:rsid w:val="0019001E"/>
    <w:rsid w:val="001965F9"/>
    <w:rsid w:val="001A0388"/>
    <w:rsid w:val="001B1AF2"/>
    <w:rsid w:val="001C320D"/>
    <w:rsid w:val="001C5423"/>
    <w:rsid w:val="001C583A"/>
    <w:rsid w:val="001D06EC"/>
    <w:rsid w:val="001D16C0"/>
    <w:rsid w:val="001D327E"/>
    <w:rsid w:val="001D486D"/>
    <w:rsid w:val="001D48D2"/>
    <w:rsid w:val="001E11A3"/>
    <w:rsid w:val="001E5B2D"/>
    <w:rsid w:val="001E602B"/>
    <w:rsid w:val="001F0B6D"/>
    <w:rsid w:val="001F0CAF"/>
    <w:rsid w:val="001F0E24"/>
    <w:rsid w:val="001F439F"/>
    <w:rsid w:val="001F7D5C"/>
    <w:rsid w:val="0020035B"/>
    <w:rsid w:val="00202B80"/>
    <w:rsid w:val="00207236"/>
    <w:rsid w:val="0020728F"/>
    <w:rsid w:val="00210C63"/>
    <w:rsid w:val="00211322"/>
    <w:rsid w:val="00211D31"/>
    <w:rsid w:val="00212C5F"/>
    <w:rsid w:val="0021402B"/>
    <w:rsid w:val="00216057"/>
    <w:rsid w:val="00217F07"/>
    <w:rsid w:val="00230CCB"/>
    <w:rsid w:val="002342DC"/>
    <w:rsid w:val="002347C1"/>
    <w:rsid w:val="00241DE4"/>
    <w:rsid w:val="00242EE2"/>
    <w:rsid w:val="00254878"/>
    <w:rsid w:val="00254BFD"/>
    <w:rsid w:val="0025507E"/>
    <w:rsid w:val="0026217F"/>
    <w:rsid w:val="00264036"/>
    <w:rsid w:val="00264357"/>
    <w:rsid w:val="002663BD"/>
    <w:rsid w:val="00266850"/>
    <w:rsid w:val="00270F66"/>
    <w:rsid w:val="002719D0"/>
    <w:rsid w:val="00276360"/>
    <w:rsid w:val="00290C50"/>
    <w:rsid w:val="00292006"/>
    <w:rsid w:val="0029243F"/>
    <w:rsid w:val="00295E74"/>
    <w:rsid w:val="002976FD"/>
    <w:rsid w:val="002A5392"/>
    <w:rsid w:val="002B06CC"/>
    <w:rsid w:val="002B574E"/>
    <w:rsid w:val="002B6AD2"/>
    <w:rsid w:val="002C3451"/>
    <w:rsid w:val="002C5117"/>
    <w:rsid w:val="002C52FC"/>
    <w:rsid w:val="002C5529"/>
    <w:rsid w:val="002C592A"/>
    <w:rsid w:val="002C5DCB"/>
    <w:rsid w:val="002C70E3"/>
    <w:rsid w:val="002D4EFC"/>
    <w:rsid w:val="002D7B09"/>
    <w:rsid w:val="002E0CC4"/>
    <w:rsid w:val="002E17FC"/>
    <w:rsid w:val="002E3635"/>
    <w:rsid w:val="002E7DA5"/>
    <w:rsid w:val="002F3E55"/>
    <w:rsid w:val="002F4D79"/>
    <w:rsid w:val="003005E7"/>
    <w:rsid w:val="00301309"/>
    <w:rsid w:val="00301A31"/>
    <w:rsid w:val="00302001"/>
    <w:rsid w:val="003021F6"/>
    <w:rsid w:val="003039D2"/>
    <w:rsid w:val="00307465"/>
    <w:rsid w:val="0031064B"/>
    <w:rsid w:val="003124B2"/>
    <w:rsid w:val="00312610"/>
    <w:rsid w:val="00313E25"/>
    <w:rsid w:val="00316377"/>
    <w:rsid w:val="00317FE3"/>
    <w:rsid w:val="003209CC"/>
    <w:rsid w:val="0032215D"/>
    <w:rsid w:val="00342963"/>
    <w:rsid w:val="003429FA"/>
    <w:rsid w:val="00342CAB"/>
    <w:rsid w:val="00344293"/>
    <w:rsid w:val="0034540F"/>
    <w:rsid w:val="003511BB"/>
    <w:rsid w:val="00351C20"/>
    <w:rsid w:val="0035491F"/>
    <w:rsid w:val="003758A4"/>
    <w:rsid w:val="0037663A"/>
    <w:rsid w:val="0038520F"/>
    <w:rsid w:val="00386EEA"/>
    <w:rsid w:val="003937AA"/>
    <w:rsid w:val="00394911"/>
    <w:rsid w:val="003A5AF2"/>
    <w:rsid w:val="003A634F"/>
    <w:rsid w:val="003B0A50"/>
    <w:rsid w:val="003B0DB7"/>
    <w:rsid w:val="003C0B36"/>
    <w:rsid w:val="003C0CD3"/>
    <w:rsid w:val="003C0E3C"/>
    <w:rsid w:val="003C1820"/>
    <w:rsid w:val="003C2812"/>
    <w:rsid w:val="003C6C5B"/>
    <w:rsid w:val="003C7140"/>
    <w:rsid w:val="003C721C"/>
    <w:rsid w:val="003D3A96"/>
    <w:rsid w:val="003D4A41"/>
    <w:rsid w:val="003D6DBD"/>
    <w:rsid w:val="003D7199"/>
    <w:rsid w:val="003E0EE9"/>
    <w:rsid w:val="003F13D0"/>
    <w:rsid w:val="003F1C31"/>
    <w:rsid w:val="003F34EC"/>
    <w:rsid w:val="003F4027"/>
    <w:rsid w:val="003F50D8"/>
    <w:rsid w:val="003F5188"/>
    <w:rsid w:val="003F5B18"/>
    <w:rsid w:val="004020D0"/>
    <w:rsid w:val="0040435C"/>
    <w:rsid w:val="00407611"/>
    <w:rsid w:val="0041578B"/>
    <w:rsid w:val="00417D74"/>
    <w:rsid w:val="00424139"/>
    <w:rsid w:val="00433DC9"/>
    <w:rsid w:val="00435355"/>
    <w:rsid w:val="004416B3"/>
    <w:rsid w:val="00445A2A"/>
    <w:rsid w:val="00446FB3"/>
    <w:rsid w:val="00450659"/>
    <w:rsid w:val="0045068E"/>
    <w:rsid w:val="004513CF"/>
    <w:rsid w:val="00454389"/>
    <w:rsid w:val="004558E1"/>
    <w:rsid w:val="00466764"/>
    <w:rsid w:val="00470671"/>
    <w:rsid w:val="00470FBB"/>
    <w:rsid w:val="00481146"/>
    <w:rsid w:val="00482034"/>
    <w:rsid w:val="00483278"/>
    <w:rsid w:val="004841DC"/>
    <w:rsid w:val="00485572"/>
    <w:rsid w:val="0049619C"/>
    <w:rsid w:val="004A17BF"/>
    <w:rsid w:val="004B0085"/>
    <w:rsid w:val="004B4850"/>
    <w:rsid w:val="004B7CAE"/>
    <w:rsid w:val="004C348C"/>
    <w:rsid w:val="004C4165"/>
    <w:rsid w:val="004C6A24"/>
    <w:rsid w:val="004D09EA"/>
    <w:rsid w:val="004D1E63"/>
    <w:rsid w:val="004D7D37"/>
    <w:rsid w:val="004E0209"/>
    <w:rsid w:val="004E2DFA"/>
    <w:rsid w:val="004E4706"/>
    <w:rsid w:val="004E4F93"/>
    <w:rsid w:val="004E7D00"/>
    <w:rsid w:val="004F03F1"/>
    <w:rsid w:val="004F465A"/>
    <w:rsid w:val="0051768D"/>
    <w:rsid w:val="00517867"/>
    <w:rsid w:val="0052675D"/>
    <w:rsid w:val="0052681F"/>
    <w:rsid w:val="005304D2"/>
    <w:rsid w:val="0053165D"/>
    <w:rsid w:val="00531A7B"/>
    <w:rsid w:val="005356D7"/>
    <w:rsid w:val="00542334"/>
    <w:rsid w:val="00544BB3"/>
    <w:rsid w:val="005474AE"/>
    <w:rsid w:val="005503BD"/>
    <w:rsid w:val="0055229F"/>
    <w:rsid w:val="00552FCD"/>
    <w:rsid w:val="005560AB"/>
    <w:rsid w:val="00557485"/>
    <w:rsid w:val="00563197"/>
    <w:rsid w:val="00574361"/>
    <w:rsid w:val="00576E9F"/>
    <w:rsid w:val="0058079A"/>
    <w:rsid w:val="005816A5"/>
    <w:rsid w:val="005843A0"/>
    <w:rsid w:val="005863AE"/>
    <w:rsid w:val="00586C4A"/>
    <w:rsid w:val="00590CC5"/>
    <w:rsid w:val="005913F1"/>
    <w:rsid w:val="00591B6F"/>
    <w:rsid w:val="00594F3C"/>
    <w:rsid w:val="005956FE"/>
    <w:rsid w:val="00596829"/>
    <w:rsid w:val="005A0DF0"/>
    <w:rsid w:val="005A2DE1"/>
    <w:rsid w:val="005A3EEE"/>
    <w:rsid w:val="005A6DDC"/>
    <w:rsid w:val="005B0440"/>
    <w:rsid w:val="005B2751"/>
    <w:rsid w:val="005B286C"/>
    <w:rsid w:val="005C01FA"/>
    <w:rsid w:val="005D2FDE"/>
    <w:rsid w:val="005D4951"/>
    <w:rsid w:val="005D6970"/>
    <w:rsid w:val="005E0842"/>
    <w:rsid w:val="005E2F5C"/>
    <w:rsid w:val="005E53E1"/>
    <w:rsid w:val="005E6DDC"/>
    <w:rsid w:val="00602902"/>
    <w:rsid w:val="0060385D"/>
    <w:rsid w:val="00614B05"/>
    <w:rsid w:val="00616886"/>
    <w:rsid w:val="00621688"/>
    <w:rsid w:val="006322A7"/>
    <w:rsid w:val="006365EE"/>
    <w:rsid w:val="0063719F"/>
    <w:rsid w:val="00637E28"/>
    <w:rsid w:val="00643F3F"/>
    <w:rsid w:val="006458D6"/>
    <w:rsid w:val="00647C23"/>
    <w:rsid w:val="00651E4E"/>
    <w:rsid w:val="0065204B"/>
    <w:rsid w:val="006560A5"/>
    <w:rsid w:val="00660B0B"/>
    <w:rsid w:val="00660E4A"/>
    <w:rsid w:val="006619C9"/>
    <w:rsid w:val="00661EB4"/>
    <w:rsid w:val="006651E3"/>
    <w:rsid w:val="00671751"/>
    <w:rsid w:val="00673355"/>
    <w:rsid w:val="00673824"/>
    <w:rsid w:val="00685473"/>
    <w:rsid w:val="00686A20"/>
    <w:rsid w:val="00687930"/>
    <w:rsid w:val="006952AF"/>
    <w:rsid w:val="006A0872"/>
    <w:rsid w:val="006A19EC"/>
    <w:rsid w:val="006A2D19"/>
    <w:rsid w:val="006A3AE9"/>
    <w:rsid w:val="006A77BB"/>
    <w:rsid w:val="006C21A8"/>
    <w:rsid w:val="006C24F2"/>
    <w:rsid w:val="006C793F"/>
    <w:rsid w:val="006D0FA1"/>
    <w:rsid w:val="006D3FAA"/>
    <w:rsid w:val="006E019E"/>
    <w:rsid w:val="006E0D7B"/>
    <w:rsid w:val="006E16D4"/>
    <w:rsid w:val="006F124F"/>
    <w:rsid w:val="006F2933"/>
    <w:rsid w:val="006F2DD2"/>
    <w:rsid w:val="006F321E"/>
    <w:rsid w:val="006F646D"/>
    <w:rsid w:val="00704018"/>
    <w:rsid w:val="00704181"/>
    <w:rsid w:val="0070463C"/>
    <w:rsid w:val="00705C33"/>
    <w:rsid w:val="00706362"/>
    <w:rsid w:val="0071006C"/>
    <w:rsid w:val="00712B52"/>
    <w:rsid w:val="0071565C"/>
    <w:rsid w:val="00715C76"/>
    <w:rsid w:val="0071678E"/>
    <w:rsid w:val="00720F80"/>
    <w:rsid w:val="00721798"/>
    <w:rsid w:val="00725CAC"/>
    <w:rsid w:val="007276B1"/>
    <w:rsid w:val="00733D5E"/>
    <w:rsid w:val="00741B18"/>
    <w:rsid w:val="007434ED"/>
    <w:rsid w:val="00754930"/>
    <w:rsid w:val="00760C4F"/>
    <w:rsid w:val="00770DC2"/>
    <w:rsid w:val="007719A0"/>
    <w:rsid w:val="0077623B"/>
    <w:rsid w:val="00776DB9"/>
    <w:rsid w:val="00777340"/>
    <w:rsid w:val="00777D39"/>
    <w:rsid w:val="00780F62"/>
    <w:rsid w:val="007835D0"/>
    <w:rsid w:val="00784342"/>
    <w:rsid w:val="00785953"/>
    <w:rsid w:val="007915EA"/>
    <w:rsid w:val="00792AB5"/>
    <w:rsid w:val="007A2E3E"/>
    <w:rsid w:val="007A6FE5"/>
    <w:rsid w:val="007B1212"/>
    <w:rsid w:val="007B21B3"/>
    <w:rsid w:val="007B38BA"/>
    <w:rsid w:val="007B51D2"/>
    <w:rsid w:val="007B7639"/>
    <w:rsid w:val="007C47A0"/>
    <w:rsid w:val="007C4B99"/>
    <w:rsid w:val="007C60F7"/>
    <w:rsid w:val="007D02DE"/>
    <w:rsid w:val="007D0B74"/>
    <w:rsid w:val="007D4E86"/>
    <w:rsid w:val="007E1633"/>
    <w:rsid w:val="007E3D32"/>
    <w:rsid w:val="007E43B5"/>
    <w:rsid w:val="007E5304"/>
    <w:rsid w:val="007F00FD"/>
    <w:rsid w:val="007F40B4"/>
    <w:rsid w:val="007F698B"/>
    <w:rsid w:val="00801CE8"/>
    <w:rsid w:val="00803827"/>
    <w:rsid w:val="00806BE8"/>
    <w:rsid w:val="008100B1"/>
    <w:rsid w:val="008139C1"/>
    <w:rsid w:val="00826BAE"/>
    <w:rsid w:val="00826BF9"/>
    <w:rsid w:val="00830CD0"/>
    <w:rsid w:val="00833E0B"/>
    <w:rsid w:val="00836F91"/>
    <w:rsid w:val="008465F3"/>
    <w:rsid w:val="00846D2D"/>
    <w:rsid w:val="00851486"/>
    <w:rsid w:val="0085329C"/>
    <w:rsid w:val="0085520A"/>
    <w:rsid w:val="00856A8E"/>
    <w:rsid w:val="008619D9"/>
    <w:rsid w:val="00863D93"/>
    <w:rsid w:val="00864821"/>
    <w:rsid w:val="008674DB"/>
    <w:rsid w:val="00867C88"/>
    <w:rsid w:val="00874B14"/>
    <w:rsid w:val="00876557"/>
    <w:rsid w:val="008824F5"/>
    <w:rsid w:val="0088786F"/>
    <w:rsid w:val="0089229A"/>
    <w:rsid w:val="00892885"/>
    <w:rsid w:val="00893F4F"/>
    <w:rsid w:val="00895BB7"/>
    <w:rsid w:val="0089628D"/>
    <w:rsid w:val="00896C10"/>
    <w:rsid w:val="008A55AF"/>
    <w:rsid w:val="008B133D"/>
    <w:rsid w:val="008B3605"/>
    <w:rsid w:val="008B4363"/>
    <w:rsid w:val="008C7068"/>
    <w:rsid w:val="008D1CE9"/>
    <w:rsid w:val="008E329A"/>
    <w:rsid w:val="008E5DE3"/>
    <w:rsid w:val="008F1FB5"/>
    <w:rsid w:val="008F352A"/>
    <w:rsid w:val="008F4703"/>
    <w:rsid w:val="008F6CF9"/>
    <w:rsid w:val="008F7E70"/>
    <w:rsid w:val="00900E22"/>
    <w:rsid w:val="009018E3"/>
    <w:rsid w:val="009044CA"/>
    <w:rsid w:val="0091386E"/>
    <w:rsid w:val="009139C8"/>
    <w:rsid w:val="00913F89"/>
    <w:rsid w:val="00914345"/>
    <w:rsid w:val="00914399"/>
    <w:rsid w:val="009200F6"/>
    <w:rsid w:val="00925863"/>
    <w:rsid w:val="009327A5"/>
    <w:rsid w:val="00933131"/>
    <w:rsid w:val="00937A18"/>
    <w:rsid w:val="00950983"/>
    <w:rsid w:val="00957FAD"/>
    <w:rsid w:val="00965DEF"/>
    <w:rsid w:val="00970198"/>
    <w:rsid w:val="00970FF2"/>
    <w:rsid w:val="009728E0"/>
    <w:rsid w:val="00973129"/>
    <w:rsid w:val="00974B66"/>
    <w:rsid w:val="00977393"/>
    <w:rsid w:val="00987271"/>
    <w:rsid w:val="009A1297"/>
    <w:rsid w:val="009A1BD8"/>
    <w:rsid w:val="009B0AAB"/>
    <w:rsid w:val="009B738B"/>
    <w:rsid w:val="009C01DD"/>
    <w:rsid w:val="009C1478"/>
    <w:rsid w:val="009C4F77"/>
    <w:rsid w:val="009D6CFC"/>
    <w:rsid w:val="009D6F61"/>
    <w:rsid w:val="009E0F37"/>
    <w:rsid w:val="009F0F1E"/>
    <w:rsid w:val="009F369D"/>
    <w:rsid w:val="009F761E"/>
    <w:rsid w:val="00A0634A"/>
    <w:rsid w:val="00A078D6"/>
    <w:rsid w:val="00A10CDB"/>
    <w:rsid w:val="00A10ED7"/>
    <w:rsid w:val="00A17300"/>
    <w:rsid w:val="00A23E8E"/>
    <w:rsid w:val="00A24E80"/>
    <w:rsid w:val="00A2758F"/>
    <w:rsid w:val="00A32ABF"/>
    <w:rsid w:val="00A3456F"/>
    <w:rsid w:val="00A354A0"/>
    <w:rsid w:val="00A35D75"/>
    <w:rsid w:val="00A41EBE"/>
    <w:rsid w:val="00A5039D"/>
    <w:rsid w:val="00A506D3"/>
    <w:rsid w:val="00A5453D"/>
    <w:rsid w:val="00A61643"/>
    <w:rsid w:val="00A71095"/>
    <w:rsid w:val="00A72EBA"/>
    <w:rsid w:val="00A825A7"/>
    <w:rsid w:val="00A876B9"/>
    <w:rsid w:val="00A9109B"/>
    <w:rsid w:val="00A91183"/>
    <w:rsid w:val="00A94DE1"/>
    <w:rsid w:val="00AA1506"/>
    <w:rsid w:val="00AA2667"/>
    <w:rsid w:val="00AA3A90"/>
    <w:rsid w:val="00AB2F0E"/>
    <w:rsid w:val="00AB41DA"/>
    <w:rsid w:val="00AB5DD3"/>
    <w:rsid w:val="00AD1B0C"/>
    <w:rsid w:val="00AD3D7F"/>
    <w:rsid w:val="00AD6623"/>
    <w:rsid w:val="00AD6A4C"/>
    <w:rsid w:val="00AD7F13"/>
    <w:rsid w:val="00AE4390"/>
    <w:rsid w:val="00AE6246"/>
    <w:rsid w:val="00AE67EF"/>
    <w:rsid w:val="00AE7FD5"/>
    <w:rsid w:val="00AF797F"/>
    <w:rsid w:val="00B0398B"/>
    <w:rsid w:val="00B11B71"/>
    <w:rsid w:val="00B128A6"/>
    <w:rsid w:val="00B209F0"/>
    <w:rsid w:val="00B213D6"/>
    <w:rsid w:val="00B22B5D"/>
    <w:rsid w:val="00B23DAB"/>
    <w:rsid w:val="00B267FC"/>
    <w:rsid w:val="00B35FE2"/>
    <w:rsid w:val="00B35FED"/>
    <w:rsid w:val="00B3708A"/>
    <w:rsid w:val="00B3779D"/>
    <w:rsid w:val="00B44EA3"/>
    <w:rsid w:val="00B51C6A"/>
    <w:rsid w:val="00B6205A"/>
    <w:rsid w:val="00B64B3C"/>
    <w:rsid w:val="00B67CBC"/>
    <w:rsid w:val="00B71BA6"/>
    <w:rsid w:val="00B744FA"/>
    <w:rsid w:val="00B77B02"/>
    <w:rsid w:val="00B82CB1"/>
    <w:rsid w:val="00B83B6A"/>
    <w:rsid w:val="00B843CA"/>
    <w:rsid w:val="00B947E5"/>
    <w:rsid w:val="00BA3070"/>
    <w:rsid w:val="00BA5A7A"/>
    <w:rsid w:val="00BB4524"/>
    <w:rsid w:val="00BB667E"/>
    <w:rsid w:val="00BC01CA"/>
    <w:rsid w:val="00BC0642"/>
    <w:rsid w:val="00BD39EE"/>
    <w:rsid w:val="00BD5700"/>
    <w:rsid w:val="00BF5564"/>
    <w:rsid w:val="00C007B6"/>
    <w:rsid w:val="00C02AB4"/>
    <w:rsid w:val="00C04AEA"/>
    <w:rsid w:val="00C0523D"/>
    <w:rsid w:val="00C0618A"/>
    <w:rsid w:val="00C127E2"/>
    <w:rsid w:val="00C163EB"/>
    <w:rsid w:val="00C16703"/>
    <w:rsid w:val="00C207A0"/>
    <w:rsid w:val="00C21F24"/>
    <w:rsid w:val="00C25EC8"/>
    <w:rsid w:val="00C25F13"/>
    <w:rsid w:val="00C300CD"/>
    <w:rsid w:val="00C3061A"/>
    <w:rsid w:val="00C31BB5"/>
    <w:rsid w:val="00C3637A"/>
    <w:rsid w:val="00C3695D"/>
    <w:rsid w:val="00C40E9D"/>
    <w:rsid w:val="00C44C1E"/>
    <w:rsid w:val="00C65001"/>
    <w:rsid w:val="00C655E4"/>
    <w:rsid w:val="00C66DFE"/>
    <w:rsid w:val="00C757AB"/>
    <w:rsid w:val="00C83570"/>
    <w:rsid w:val="00C8514D"/>
    <w:rsid w:val="00C87348"/>
    <w:rsid w:val="00C902F7"/>
    <w:rsid w:val="00C95C41"/>
    <w:rsid w:val="00C9615F"/>
    <w:rsid w:val="00C96351"/>
    <w:rsid w:val="00C9679D"/>
    <w:rsid w:val="00CA1D81"/>
    <w:rsid w:val="00CA2CE7"/>
    <w:rsid w:val="00CA6257"/>
    <w:rsid w:val="00CA6AEE"/>
    <w:rsid w:val="00CA6B66"/>
    <w:rsid w:val="00CB180F"/>
    <w:rsid w:val="00CB5F3B"/>
    <w:rsid w:val="00CC17E3"/>
    <w:rsid w:val="00CC337F"/>
    <w:rsid w:val="00CC5FAA"/>
    <w:rsid w:val="00CD38B0"/>
    <w:rsid w:val="00CD52F8"/>
    <w:rsid w:val="00CE4025"/>
    <w:rsid w:val="00CE404C"/>
    <w:rsid w:val="00CE7F14"/>
    <w:rsid w:val="00CF1F70"/>
    <w:rsid w:val="00CF2924"/>
    <w:rsid w:val="00D000D7"/>
    <w:rsid w:val="00D030CE"/>
    <w:rsid w:val="00D077C9"/>
    <w:rsid w:val="00D16C46"/>
    <w:rsid w:val="00D2513C"/>
    <w:rsid w:val="00D37AB7"/>
    <w:rsid w:val="00D41C6A"/>
    <w:rsid w:val="00D431E4"/>
    <w:rsid w:val="00D43272"/>
    <w:rsid w:val="00D4580B"/>
    <w:rsid w:val="00D45DED"/>
    <w:rsid w:val="00D4707A"/>
    <w:rsid w:val="00D534B0"/>
    <w:rsid w:val="00D576F8"/>
    <w:rsid w:val="00D649E5"/>
    <w:rsid w:val="00D67B1D"/>
    <w:rsid w:val="00D73740"/>
    <w:rsid w:val="00D746DA"/>
    <w:rsid w:val="00D80171"/>
    <w:rsid w:val="00D8251E"/>
    <w:rsid w:val="00D865E1"/>
    <w:rsid w:val="00D91F3C"/>
    <w:rsid w:val="00D93FEA"/>
    <w:rsid w:val="00D94DA2"/>
    <w:rsid w:val="00DA152E"/>
    <w:rsid w:val="00DA2646"/>
    <w:rsid w:val="00DA5F01"/>
    <w:rsid w:val="00DA6457"/>
    <w:rsid w:val="00DA65A7"/>
    <w:rsid w:val="00DA675C"/>
    <w:rsid w:val="00DB17E0"/>
    <w:rsid w:val="00DB74E0"/>
    <w:rsid w:val="00DC08AD"/>
    <w:rsid w:val="00DC1F34"/>
    <w:rsid w:val="00DC5DDD"/>
    <w:rsid w:val="00DC6056"/>
    <w:rsid w:val="00DD2B1A"/>
    <w:rsid w:val="00DD4261"/>
    <w:rsid w:val="00DD4CE7"/>
    <w:rsid w:val="00DD5FC3"/>
    <w:rsid w:val="00DD7133"/>
    <w:rsid w:val="00DE138B"/>
    <w:rsid w:val="00DE77BC"/>
    <w:rsid w:val="00DF14BE"/>
    <w:rsid w:val="00DF27CE"/>
    <w:rsid w:val="00E00B9D"/>
    <w:rsid w:val="00E01206"/>
    <w:rsid w:val="00E03EEF"/>
    <w:rsid w:val="00E07260"/>
    <w:rsid w:val="00E07861"/>
    <w:rsid w:val="00E124FF"/>
    <w:rsid w:val="00E20D2F"/>
    <w:rsid w:val="00E311DB"/>
    <w:rsid w:val="00E35A16"/>
    <w:rsid w:val="00E36F1E"/>
    <w:rsid w:val="00E37232"/>
    <w:rsid w:val="00E37716"/>
    <w:rsid w:val="00E4457F"/>
    <w:rsid w:val="00E44A58"/>
    <w:rsid w:val="00E50AD4"/>
    <w:rsid w:val="00E53672"/>
    <w:rsid w:val="00E562F5"/>
    <w:rsid w:val="00E62D51"/>
    <w:rsid w:val="00E665FB"/>
    <w:rsid w:val="00E75F8C"/>
    <w:rsid w:val="00E819B6"/>
    <w:rsid w:val="00E827DC"/>
    <w:rsid w:val="00E85B59"/>
    <w:rsid w:val="00E870D1"/>
    <w:rsid w:val="00E918BC"/>
    <w:rsid w:val="00E93651"/>
    <w:rsid w:val="00E95211"/>
    <w:rsid w:val="00E96074"/>
    <w:rsid w:val="00EA042C"/>
    <w:rsid w:val="00EA5A06"/>
    <w:rsid w:val="00EA7E63"/>
    <w:rsid w:val="00EB22D4"/>
    <w:rsid w:val="00EB37D3"/>
    <w:rsid w:val="00EB3E56"/>
    <w:rsid w:val="00EC4756"/>
    <w:rsid w:val="00ED1925"/>
    <w:rsid w:val="00ED4BA9"/>
    <w:rsid w:val="00ED56E9"/>
    <w:rsid w:val="00ED7B46"/>
    <w:rsid w:val="00EE0D37"/>
    <w:rsid w:val="00EE1BD5"/>
    <w:rsid w:val="00EE2F92"/>
    <w:rsid w:val="00EE3B35"/>
    <w:rsid w:val="00EE3FB2"/>
    <w:rsid w:val="00EF482A"/>
    <w:rsid w:val="00EF4D8D"/>
    <w:rsid w:val="00F02947"/>
    <w:rsid w:val="00F131FD"/>
    <w:rsid w:val="00F214E1"/>
    <w:rsid w:val="00F23013"/>
    <w:rsid w:val="00F259FF"/>
    <w:rsid w:val="00F274A7"/>
    <w:rsid w:val="00F434B8"/>
    <w:rsid w:val="00F44210"/>
    <w:rsid w:val="00F5075E"/>
    <w:rsid w:val="00F508BC"/>
    <w:rsid w:val="00F548EA"/>
    <w:rsid w:val="00F5659E"/>
    <w:rsid w:val="00F652AE"/>
    <w:rsid w:val="00F71582"/>
    <w:rsid w:val="00F74109"/>
    <w:rsid w:val="00F742A4"/>
    <w:rsid w:val="00F762C4"/>
    <w:rsid w:val="00F80E35"/>
    <w:rsid w:val="00F82323"/>
    <w:rsid w:val="00F87B11"/>
    <w:rsid w:val="00FA0992"/>
    <w:rsid w:val="00FA1EA0"/>
    <w:rsid w:val="00FA2947"/>
    <w:rsid w:val="00FA5373"/>
    <w:rsid w:val="00FA5799"/>
    <w:rsid w:val="00FB3269"/>
    <w:rsid w:val="00FC0145"/>
    <w:rsid w:val="00FD08F4"/>
    <w:rsid w:val="00FD2F26"/>
    <w:rsid w:val="00FD4ED5"/>
    <w:rsid w:val="00FE2270"/>
    <w:rsid w:val="00FE30A3"/>
    <w:rsid w:val="00FE6848"/>
    <w:rsid w:val="00FF527C"/>
    <w:rsid w:val="00FF6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DF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856A8E"/>
    <w:pPr>
      <w:keepNext/>
      <w:spacing w:before="240" w:after="60" w:line="360" w:lineRule="auto"/>
      <w:jc w:val="both"/>
      <w:outlineLvl w:val="1"/>
    </w:pPr>
    <w:rPr>
      <w:rFonts w:ascii="Cambria" w:eastAsia="Times New Roman" w:hAnsi="Cambria" w:cs="Times New Roman"/>
      <w:b/>
      <w:bCs/>
      <w:i/>
      <w:iCs/>
      <w:sz w:val="28"/>
      <w:szCs w:val="28"/>
      <w:lang w:val="en-AU"/>
    </w:rPr>
  </w:style>
  <w:style w:type="paragraph" w:styleId="Heading9">
    <w:name w:val="heading 9"/>
    <w:basedOn w:val="Normal"/>
    <w:next w:val="Normal"/>
    <w:link w:val="Heading9Char"/>
    <w:uiPriority w:val="9"/>
    <w:semiHidden/>
    <w:unhideWhenUsed/>
    <w:qFormat/>
    <w:rsid w:val="009327A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EE2"/>
    <w:pPr>
      <w:ind w:left="720"/>
      <w:contextualSpacing/>
    </w:pPr>
  </w:style>
  <w:style w:type="paragraph" w:styleId="FootnoteText">
    <w:name w:val="footnote text"/>
    <w:basedOn w:val="Normal"/>
    <w:link w:val="FootnoteTextChar"/>
    <w:unhideWhenUsed/>
    <w:rsid w:val="00242EE2"/>
    <w:pPr>
      <w:spacing w:after="0" w:line="240" w:lineRule="auto"/>
    </w:pPr>
    <w:rPr>
      <w:rFonts w:ascii="Times New Roman" w:eastAsia="Calibri" w:hAnsi="Times New Roman" w:cs="Times New Roman"/>
      <w:sz w:val="20"/>
      <w:szCs w:val="20"/>
      <w:lang w:val="en-AU"/>
    </w:rPr>
  </w:style>
  <w:style w:type="character" w:customStyle="1" w:styleId="FootnoteTextChar">
    <w:name w:val="Footnote Text Char"/>
    <w:basedOn w:val="DefaultParagraphFont"/>
    <w:link w:val="FootnoteText"/>
    <w:rsid w:val="00242EE2"/>
    <w:rPr>
      <w:rFonts w:ascii="Times New Roman" w:eastAsia="Calibri" w:hAnsi="Times New Roman" w:cs="Times New Roman"/>
      <w:sz w:val="20"/>
      <w:szCs w:val="20"/>
      <w:lang w:val="en-AU"/>
    </w:rPr>
  </w:style>
  <w:style w:type="character" w:customStyle="1" w:styleId="KindentlistChar">
    <w:name w:val="K indent list Char"/>
    <w:basedOn w:val="DefaultParagraphFont"/>
    <w:link w:val="Kindentlist"/>
    <w:locked/>
    <w:rsid w:val="00242EE2"/>
    <w:rPr>
      <w:rFonts w:ascii="Times New Roman" w:hAnsi="Times New Roman" w:cs="Times New Roman"/>
      <w:sz w:val="24"/>
      <w:szCs w:val="24"/>
      <w:lang w:val="en-AU"/>
    </w:rPr>
  </w:style>
  <w:style w:type="paragraph" w:customStyle="1" w:styleId="Kindentlist">
    <w:name w:val="K indent list"/>
    <w:basedOn w:val="Normal"/>
    <w:link w:val="KindentlistChar"/>
    <w:qFormat/>
    <w:rsid w:val="00242EE2"/>
    <w:pPr>
      <w:spacing w:after="0" w:line="360" w:lineRule="auto"/>
      <w:ind w:left="1134" w:hanging="425"/>
      <w:jc w:val="both"/>
    </w:pPr>
    <w:rPr>
      <w:rFonts w:ascii="Times New Roman" w:hAnsi="Times New Roman" w:cs="Times New Roman"/>
      <w:sz w:val="24"/>
      <w:szCs w:val="24"/>
      <w:lang w:val="en-AU"/>
    </w:rPr>
  </w:style>
  <w:style w:type="character" w:styleId="FootnoteReference">
    <w:name w:val="footnote reference"/>
    <w:basedOn w:val="DefaultParagraphFont"/>
    <w:unhideWhenUsed/>
    <w:rsid w:val="00242EE2"/>
    <w:rPr>
      <w:rFonts w:ascii="Times New Roman" w:hAnsi="Times New Roman" w:cs="Times New Roman" w:hint="default"/>
      <w:vertAlign w:val="superscript"/>
    </w:rPr>
  </w:style>
  <w:style w:type="character" w:customStyle="1" w:styleId="Heading2Char">
    <w:name w:val="Heading 2 Char"/>
    <w:basedOn w:val="DefaultParagraphFont"/>
    <w:link w:val="Heading2"/>
    <w:uiPriority w:val="99"/>
    <w:semiHidden/>
    <w:rsid w:val="00856A8E"/>
    <w:rPr>
      <w:rFonts w:ascii="Cambria" w:eastAsia="Times New Roman" w:hAnsi="Cambria" w:cs="Times New Roman"/>
      <w:b/>
      <w:bCs/>
      <w:i/>
      <w:iCs/>
      <w:sz w:val="28"/>
      <w:szCs w:val="28"/>
      <w:lang w:val="en-AU"/>
    </w:rPr>
  </w:style>
  <w:style w:type="paragraph" w:styleId="Caption">
    <w:name w:val="caption"/>
    <w:basedOn w:val="Normal"/>
    <w:next w:val="Normal"/>
    <w:uiPriority w:val="35"/>
    <w:semiHidden/>
    <w:unhideWhenUsed/>
    <w:qFormat/>
    <w:rsid w:val="00856A8E"/>
    <w:pPr>
      <w:spacing w:line="240" w:lineRule="auto"/>
      <w:jc w:val="center"/>
    </w:pPr>
    <w:rPr>
      <w:rFonts w:ascii="Times New Roman" w:eastAsia="Calibri" w:hAnsi="Times New Roman" w:cs="Times New Roman"/>
      <w:bCs/>
      <w:sz w:val="24"/>
      <w:szCs w:val="24"/>
      <w:lang w:val="en-AU"/>
    </w:rPr>
  </w:style>
  <w:style w:type="paragraph" w:styleId="Quote">
    <w:name w:val="Quote"/>
    <w:basedOn w:val="Normal"/>
    <w:next w:val="Normal"/>
    <w:link w:val="QuoteChar"/>
    <w:uiPriority w:val="99"/>
    <w:qFormat/>
    <w:rsid w:val="00856A8E"/>
    <w:pPr>
      <w:spacing w:after="240" w:line="360" w:lineRule="auto"/>
      <w:ind w:left="709" w:right="663"/>
      <w:jc w:val="both"/>
    </w:pPr>
    <w:rPr>
      <w:rFonts w:ascii="Times New Roman" w:eastAsia="Calibri" w:hAnsi="Times New Roman" w:cs="Times New Roman"/>
      <w:lang w:val="en-AU"/>
    </w:rPr>
  </w:style>
  <w:style w:type="character" w:customStyle="1" w:styleId="QuoteChar">
    <w:name w:val="Quote Char"/>
    <w:basedOn w:val="DefaultParagraphFont"/>
    <w:link w:val="Quote"/>
    <w:uiPriority w:val="99"/>
    <w:rsid w:val="00856A8E"/>
    <w:rPr>
      <w:rFonts w:ascii="Times New Roman" w:eastAsia="Calibri" w:hAnsi="Times New Roman" w:cs="Times New Roman"/>
      <w:lang w:val="en-AU"/>
    </w:rPr>
  </w:style>
  <w:style w:type="paragraph" w:customStyle="1" w:styleId="Ksubheading">
    <w:name w:val="Ksubheading"/>
    <w:basedOn w:val="Normal"/>
    <w:uiPriority w:val="99"/>
    <w:qFormat/>
    <w:rsid w:val="00856A8E"/>
    <w:pPr>
      <w:keepNext/>
      <w:keepLines/>
      <w:suppressAutoHyphens/>
      <w:spacing w:after="240" w:line="360" w:lineRule="auto"/>
      <w:jc w:val="center"/>
    </w:pPr>
    <w:rPr>
      <w:rFonts w:ascii="Times New Roman" w:eastAsia="Calibri" w:hAnsi="Times New Roman" w:cs="Times New Roman"/>
      <w:i/>
      <w:iCs/>
      <w:kern w:val="2"/>
      <w:sz w:val="24"/>
      <w:szCs w:val="24"/>
      <w:lang w:eastAsia="ar-SA"/>
    </w:rPr>
  </w:style>
  <w:style w:type="character" w:customStyle="1" w:styleId="PhDsubsubheadingChar">
    <w:name w:val="PhD subsubheading Char"/>
    <w:basedOn w:val="DefaultParagraphFont"/>
    <w:link w:val="PhDsubsubheading"/>
    <w:locked/>
    <w:rsid w:val="00856A8E"/>
    <w:rPr>
      <w:rFonts w:ascii="Times New Roman" w:eastAsia="Arial Unicode MS" w:hAnsi="Times New Roman" w:cs="Times New Roman"/>
      <w:i/>
      <w:kern w:val="2"/>
      <w:sz w:val="24"/>
      <w:szCs w:val="24"/>
      <w:lang w:eastAsia="ar-SA"/>
    </w:rPr>
  </w:style>
  <w:style w:type="paragraph" w:customStyle="1" w:styleId="PhDsubsubheading">
    <w:name w:val="PhD subsubheading"/>
    <w:basedOn w:val="Normal"/>
    <w:link w:val="PhDsubsubheadingChar"/>
    <w:qFormat/>
    <w:rsid w:val="00856A8E"/>
    <w:pPr>
      <w:keepNext/>
      <w:keepLines/>
      <w:suppressAutoHyphens/>
      <w:spacing w:after="240" w:line="240" w:lineRule="auto"/>
    </w:pPr>
    <w:rPr>
      <w:rFonts w:ascii="Times New Roman" w:eastAsia="Arial Unicode MS" w:hAnsi="Times New Roman" w:cs="Times New Roman"/>
      <w:i/>
      <w:kern w:val="2"/>
      <w:sz w:val="24"/>
      <w:szCs w:val="24"/>
      <w:lang w:eastAsia="ar-SA"/>
    </w:rPr>
  </w:style>
  <w:style w:type="character" w:customStyle="1" w:styleId="PhDParagraphheadingChar">
    <w:name w:val="PhD Paragraph heading Char"/>
    <w:basedOn w:val="PhDsubsubheadingChar"/>
    <w:link w:val="PhDParagraphheading"/>
    <w:locked/>
    <w:rsid w:val="00856A8E"/>
    <w:rPr>
      <w:rFonts w:ascii="Times New Roman" w:eastAsia="Arial Unicode MS" w:hAnsi="Times New Roman" w:cs="Times New Roman"/>
      <w:i w:val="0"/>
      <w:kern w:val="2"/>
      <w:sz w:val="24"/>
      <w:szCs w:val="24"/>
      <w:lang w:eastAsia="ar-SA"/>
    </w:rPr>
  </w:style>
  <w:style w:type="paragraph" w:customStyle="1" w:styleId="PhDParagraphheading">
    <w:name w:val="PhD Paragraph heading"/>
    <w:basedOn w:val="PhDsubsubheading"/>
    <w:next w:val="Normal"/>
    <w:link w:val="PhDParagraphheadingChar"/>
    <w:qFormat/>
    <w:rsid w:val="00856A8E"/>
    <w:rPr>
      <w:i w:val="0"/>
    </w:rPr>
  </w:style>
  <w:style w:type="character" w:customStyle="1" w:styleId="PhDHeading1Char">
    <w:name w:val="PhD Heading 1 Char"/>
    <w:basedOn w:val="DefaultParagraphFont"/>
    <w:link w:val="PhDHeading1"/>
    <w:locked/>
    <w:rsid w:val="00856A8E"/>
    <w:rPr>
      <w:rFonts w:ascii="Times New Roman" w:eastAsia="Arial Unicode MS" w:hAnsi="Times New Roman" w:cs="Times New Roman"/>
      <w:kern w:val="2"/>
      <w:sz w:val="28"/>
      <w:szCs w:val="28"/>
      <w:lang w:eastAsia="ar-SA"/>
    </w:rPr>
  </w:style>
  <w:style w:type="paragraph" w:customStyle="1" w:styleId="PhDHeading1">
    <w:name w:val="PhD Heading 1"/>
    <w:basedOn w:val="Normal"/>
    <w:link w:val="PhDHeading1Char"/>
    <w:qFormat/>
    <w:rsid w:val="00856A8E"/>
    <w:pPr>
      <w:keepNext/>
      <w:tabs>
        <w:tab w:val="left" w:pos="370"/>
      </w:tabs>
      <w:suppressAutoHyphens/>
      <w:spacing w:before="360" w:after="240" w:line="240" w:lineRule="auto"/>
      <w:jc w:val="center"/>
    </w:pPr>
    <w:rPr>
      <w:rFonts w:ascii="Times New Roman" w:eastAsia="Arial Unicode MS" w:hAnsi="Times New Roman" w:cs="Times New Roman"/>
      <w:kern w:val="2"/>
      <w:sz w:val="28"/>
      <w:szCs w:val="28"/>
      <w:lang w:eastAsia="ar-SA"/>
    </w:rPr>
  </w:style>
  <w:style w:type="paragraph" w:customStyle="1" w:styleId="MERWlvl1">
    <w:name w:val="MERW lvl1"/>
    <w:basedOn w:val="Normal"/>
    <w:autoRedefine/>
    <w:uiPriority w:val="99"/>
    <w:rsid w:val="00856A8E"/>
    <w:pPr>
      <w:tabs>
        <w:tab w:val="left" w:pos="284"/>
      </w:tabs>
      <w:spacing w:after="0" w:line="240" w:lineRule="auto"/>
      <w:ind w:left="284" w:hanging="284"/>
      <w:jc w:val="both"/>
      <w:outlineLvl w:val="0"/>
    </w:pPr>
    <w:rPr>
      <w:rFonts w:ascii="Times New Roman" w:eastAsia="Calibri" w:hAnsi="Times New Roman" w:cs="Times New Roman"/>
      <w:sz w:val="20"/>
      <w:szCs w:val="20"/>
      <w:lang w:eastAsia="en-GB"/>
    </w:rPr>
  </w:style>
  <w:style w:type="paragraph" w:customStyle="1" w:styleId="Kindentlist0">
    <w:name w:val="Kindentlist"/>
    <w:basedOn w:val="Normal"/>
    <w:link w:val="KindentlistChar0"/>
    <w:qFormat/>
    <w:rsid w:val="00856A8E"/>
    <w:pPr>
      <w:spacing w:after="0" w:line="360" w:lineRule="auto"/>
      <w:ind w:left="1276" w:hanging="567"/>
      <w:jc w:val="both"/>
    </w:pPr>
    <w:rPr>
      <w:rFonts w:ascii="Times New Roman" w:eastAsia="Calibri" w:hAnsi="Times New Roman" w:cs="Times New Roman"/>
      <w:sz w:val="24"/>
      <w:szCs w:val="24"/>
      <w:lang w:val="en-AU"/>
    </w:rPr>
  </w:style>
  <w:style w:type="character" w:customStyle="1" w:styleId="KindentlistChar0">
    <w:name w:val="Kindentlist Char"/>
    <w:basedOn w:val="DefaultParagraphFont"/>
    <w:link w:val="Kindentlist0"/>
    <w:locked/>
    <w:rsid w:val="00856A8E"/>
    <w:rPr>
      <w:rFonts w:ascii="Times New Roman" w:eastAsia="Calibri" w:hAnsi="Times New Roman" w:cs="Times New Roman"/>
      <w:sz w:val="24"/>
      <w:szCs w:val="24"/>
      <w:lang w:val="en-AU"/>
    </w:rPr>
  </w:style>
  <w:style w:type="paragraph" w:customStyle="1" w:styleId="PhDHeading">
    <w:name w:val="PhD Heading"/>
    <w:basedOn w:val="Normal"/>
    <w:link w:val="PhDHeadingChar1"/>
    <w:rsid w:val="00856A8E"/>
    <w:pPr>
      <w:keepNext/>
      <w:tabs>
        <w:tab w:val="left" w:pos="370"/>
      </w:tabs>
      <w:suppressAutoHyphens/>
      <w:spacing w:before="360" w:after="240" w:line="360" w:lineRule="auto"/>
      <w:jc w:val="center"/>
    </w:pPr>
    <w:rPr>
      <w:rFonts w:ascii="Times New Roman" w:eastAsia="Arial Unicode MS" w:hAnsi="Times New Roman" w:cs="Times New Roman"/>
      <w:kern w:val="1"/>
      <w:sz w:val="28"/>
      <w:szCs w:val="28"/>
      <w:lang w:eastAsia="ar-SA"/>
    </w:rPr>
  </w:style>
  <w:style w:type="character" w:customStyle="1" w:styleId="PhDHeadingChar1">
    <w:name w:val="PhD Heading Char1"/>
    <w:basedOn w:val="DefaultParagraphFont"/>
    <w:link w:val="PhDHeading"/>
    <w:rsid w:val="00856A8E"/>
    <w:rPr>
      <w:rFonts w:ascii="Times New Roman" w:eastAsia="Arial Unicode MS" w:hAnsi="Times New Roman" w:cs="Times New Roman"/>
      <w:kern w:val="1"/>
      <w:sz w:val="28"/>
      <w:szCs w:val="28"/>
      <w:lang w:eastAsia="ar-SA"/>
    </w:rPr>
  </w:style>
  <w:style w:type="paragraph" w:customStyle="1" w:styleId="PhDSubheading">
    <w:name w:val="PhD Subheading"/>
    <w:basedOn w:val="Normal"/>
    <w:link w:val="PhDSubheadingChar1"/>
    <w:qFormat/>
    <w:rsid w:val="00856A8E"/>
    <w:pPr>
      <w:keepNext/>
      <w:suppressAutoHyphens/>
      <w:spacing w:after="240" w:line="360" w:lineRule="auto"/>
      <w:jc w:val="center"/>
    </w:pPr>
    <w:rPr>
      <w:rFonts w:ascii="Times New Roman" w:eastAsia="Arial Unicode MS" w:hAnsi="Times New Roman" w:cs="Times New Roman"/>
      <w:i/>
      <w:kern w:val="1"/>
      <w:sz w:val="24"/>
      <w:szCs w:val="24"/>
      <w:lang w:eastAsia="ar-SA"/>
    </w:rPr>
  </w:style>
  <w:style w:type="character" w:customStyle="1" w:styleId="PhDSubheadingChar1">
    <w:name w:val="PhD Subheading Char1"/>
    <w:basedOn w:val="DefaultParagraphFont"/>
    <w:link w:val="PhDSubheading"/>
    <w:rsid w:val="00856A8E"/>
    <w:rPr>
      <w:rFonts w:ascii="Times New Roman" w:eastAsia="Arial Unicode MS" w:hAnsi="Times New Roman" w:cs="Times New Roman"/>
      <w:i/>
      <w:kern w:val="1"/>
      <w:sz w:val="24"/>
      <w:szCs w:val="24"/>
      <w:lang w:eastAsia="ar-SA"/>
    </w:rPr>
  </w:style>
  <w:style w:type="character" w:styleId="Hyperlink">
    <w:name w:val="Hyperlink"/>
    <w:basedOn w:val="DefaultParagraphFont"/>
    <w:uiPriority w:val="99"/>
    <w:unhideWhenUsed/>
    <w:rsid w:val="00AB2F0E"/>
    <w:rPr>
      <w:rFonts w:ascii="Times New Roman" w:hAnsi="Times New Roman" w:cs="Times New Roman" w:hint="default"/>
      <w:color w:val="0000FF"/>
      <w:u w:val="single"/>
    </w:rPr>
  </w:style>
  <w:style w:type="paragraph" w:customStyle="1" w:styleId="KatieNormal">
    <w:name w:val="Katie Normal"/>
    <w:basedOn w:val="Normal"/>
    <w:link w:val="KatieNormalChar"/>
    <w:qFormat/>
    <w:rsid w:val="0025507E"/>
    <w:pPr>
      <w:spacing w:after="240" w:line="360" w:lineRule="auto"/>
      <w:jc w:val="both"/>
    </w:pPr>
    <w:rPr>
      <w:rFonts w:ascii="Times New Roman" w:hAnsi="Times New Roman" w:cs="Times New Roman"/>
      <w:sz w:val="24"/>
      <w:szCs w:val="24"/>
      <w:lang w:val="en-AU"/>
    </w:rPr>
  </w:style>
  <w:style w:type="paragraph" w:customStyle="1" w:styleId="KatieQuotesingle">
    <w:name w:val="Katie Quote single"/>
    <w:basedOn w:val="Quote"/>
    <w:link w:val="KatieQuotesingleChar"/>
    <w:qFormat/>
    <w:rsid w:val="00777340"/>
    <w:pPr>
      <w:spacing w:line="240" w:lineRule="auto"/>
    </w:pPr>
    <w:rPr>
      <w:sz w:val="24"/>
      <w:szCs w:val="24"/>
    </w:rPr>
  </w:style>
  <w:style w:type="character" w:customStyle="1" w:styleId="KatieNormalChar">
    <w:name w:val="Katie Normal Char"/>
    <w:basedOn w:val="DefaultParagraphFont"/>
    <w:link w:val="KatieNormal"/>
    <w:rsid w:val="0025507E"/>
    <w:rPr>
      <w:rFonts w:ascii="Times New Roman" w:hAnsi="Times New Roman" w:cs="Times New Roman"/>
      <w:sz w:val="24"/>
      <w:szCs w:val="24"/>
      <w:lang w:val="en-AU"/>
    </w:rPr>
  </w:style>
  <w:style w:type="paragraph" w:styleId="BalloonText">
    <w:name w:val="Balloon Text"/>
    <w:basedOn w:val="Normal"/>
    <w:link w:val="BalloonTextChar"/>
    <w:uiPriority w:val="99"/>
    <w:semiHidden/>
    <w:unhideWhenUsed/>
    <w:rsid w:val="00987271"/>
    <w:pPr>
      <w:spacing w:after="0" w:line="240" w:lineRule="auto"/>
    </w:pPr>
    <w:rPr>
      <w:rFonts w:ascii="Tahoma" w:hAnsi="Tahoma" w:cs="Tahoma"/>
      <w:sz w:val="16"/>
      <w:szCs w:val="16"/>
    </w:rPr>
  </w:style>
  <w:style w:type="character" w:customStyle="1" w:styleId="KatieQuotesingleChar">
    <w:name w:val="Katie Quote single Char"/>
    <w:basedOn w:val="QuoteChar"/>
    <w:link w:val="KatieQuotesingle"/>
    <w:rsid w:val="00777340"/>
    <w:rPr>
      <w:rFonts w:ascii="Times New Roman" w:eastAsia="Calibri" w:hAnsi="Times New Roman" w:cs="Times New Roman"/>
      <w:sz w:val="24"/>
      <w:szCs w:val="24"/>
      <w:lang w:val="en-AU"/>
    </w:rPr>
  </w:style>
  <w:style w:type="character" w:customStyle="1" w:styleId="BalloonTextChar">
    <w:name w:val="Balloon Text Char"/>
    <w:basedOn w:val="DefaultParagraphFont"/>
    <w:link w:val="BalloonText"/>
    <w:uiPriority w:val="99"/>
    <w:semiHidden/>
    <w:rsid w:val="00987271"/>
    <w:rPr>
      <w:rFonts w:ascii="Tahoma" w:hAnsi="Tahoma" w:cs="Tahoma"/>
      <w:sz w:val="16"/>
      <w:szCs w:val="16"/>
    </w:rPr>
  </w:style>
  <w:style w:type="paragraph" w:styleId="EndnoteText">
    <w:name w:val="endnote text"/>
    <w:basedOn w:val="Normal"/>
    <w:link w:val="EndnoteTextChar"/>
    <w:uiPriority w:val="99"/>
    <w:semiHidden/>
    <w:unhideWhenUsed/>
    <w:rsid w:val="00EA7E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A7E63"/>
    <w:rPr>
      <w:sz w:val="20"/>
      <w:szCs w:val="20"/>
    </w:rPr>
  </w:style>
  <w:style w:type="character" w:styleId="EndnoteReference">
    <w:name w:val="endnote reference"/>
    <w:basedOn w:val="DefaultParagraphFont"/>
    <w:uiPriority w:val="99"/>
    <w:unhideWhenUsed/>
    <w:rsid w:val="00EA7E63"/>
    <w:rPr>
      <w:vertAlign w:val="superscript"/>
    </w:rPr>
  </w:style>
  <w:style w:type="character" w:styleId="FollowedHyperlink">
    <w:name w:val="FollowedHyperlink"/>
    <w:basedOn w:val="DefaultParagraphFont"/>
    <w:uiPriority w:val="99"/>
    <w:semiHidden/>
    <w:unhideWhenUsed/>
    <w:rsid w:val="0007659C"/>
    <w:rPr>
      <w:color w:val="800080" w:themeColor="followedHyperlink"/>
      <w:u w:val="single"/>
    </w:rPr>
  </w:style>
  <w:style w:type="paragraph" w:styleId="Header">
    <w:name w:val="header"/>
    <w:basedOn w:val="Normal"/>
    <w:link w:val="HeaderChar"/>
    <w:uiPriority w:val="99"/>
    <w:semiHidden/>
    <w:unhideWhenUsed/>
    <w:rsid w:val="001F0B6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F0B6D"/>
  </w:style>
  <w:style w:type="paragraph" w:styleId="Footer">
    <w:name w:val="footer"/>
    <w:basedOn w:val="Normal"/>
    <w:link w:val="FooterChar"/>
    <w:uiPriority w:val="99"/>
    <w:unhideWhenUsed/>
    <w:rsid w:val="001F0B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0B6D"/>
  </w:style>
  <w:style w:type="paragraph" w:customStyle="1" w:styleId="MPINormalBodytext">
    <w:name w:val="MPI Normal Body text"/>
    <w:basedOn w:val="Normal"/>
    <w:link w:val="MPINormalBodytextChar"/>
    <w:qFormat/>
    <w:rsid w:val="00B213D6"/>
    <w:pPr>
      <w:spacing w:after="0" w:line="240" w:lineRule="auto"/>
    </w:pPr>
    <w:rPr>
      <w:rFonts w:ascii="Cambria" w:eastAsia="Calibri" w:hAnsi="Cambria" w:cs="Times New Roman"/>
      <w:spacing w:val="2"/>
      <w:lang w:val="en-US"/>
    </w:rPr>
  </w:style>
  <w:style w:type="character" w:customStyle="1" w:styleId="MPINormalBodytextChar">
    <w:name w:val="MPI Normal Body text Char"/>
    <w:link w:val="MPINormalBodytext"/>
    <w:rsid w:val="00B213D6"/>
    <w:rPr>
      <w:rFonts w:ascii="Cambria" w:eastAsia="Calibri" w:hAnsi="Cambria" w:cs="Times New Roman"/>
      <w:spacing w:val="2"/>
      <w:lang w:val="en-US"/>
    </w:rPr>
  </w:style>
  <w:style w:type="paragraph" w:styleId="List">
    <w:name w:val="List"/>
    <w:basedOn w:val="Normal"/>
    <w:uiPriority w:val="99"/>
    <w:unhideWhenUsed/>
    <w:rsid w:val="00B213D6"/>
    <w:pPr>
      <w:spacing w:after="0" w:line="240" w:lineRule="auto"/>
      <w:ind w:left="283" w:hanging="283"/>
    </w:pPr>
    <w:rPr>
      <w:rFonts w:ascii="Calibri" w:eastAsia="Calibri" w:hAnsi="Calibri" w:cs="Times New Roman"/>
      <w:lang w:val="en-AU"/>
    </w:rPr>
  </w:style>
  <w:style w:type="paragraph" w:customStyle="1" w:styleId="Normal-doublespaceChar">
    <w:name w:val="Normal-doublespace Char"/>
    <w:basedOn w:val="Normal"/>
    <w:link w:val="Normal-doublespaceCharChar"/>
    <w:uiPriority w:val="99"/>
    <w:rsid w:val="00C87348"/>
    <w:pPr>
      <w:tabs>
        <w:tab w:val="left" w:pos="567"/>
        <w:tab w:val="left" w:pos="1701"/>
        <w:tab w:val="left" w:pos="2268"/>
        <w:tab w:val="left" w:pos="2835"/>
      </w:tabs>
      <w:spacing w:before="100" w:after="100" w:line="480" w:lineRule="auto"/>
    </w:pPr>
    <w:rPr>
      <w:rFonts w:ascii="Arial" w:eastAsia="Times New Roman" w:hAnsi="Arial" w:cs="Times New Roman"/>
      <w:sz w:val="20"/>
      <w:szCs w:val="20"/>
      <w:lang w:val="en-AU"/>
    </w:rPr>
  </w:style>
  <w:style w:type="character" w:customStyle="1" w:styleId="Normal-doublespaceCharChar">
    <w:name w:val="Normal-doublespace Char Char"/>
    <w:link w:val="Normal-doublespaceChar"/>
    <w:uiPriority w:val="99"/>
    <w:locked/>
    <w:rsid w:val="00C87348"/>
    <w:rPr>
      <w:rFonts w:ascii="Arial" w:eastAsia="Times New Roman" w:hAnsi="Arial" w:cs="Times New Roman"/>
      <w:sz w:val="20"/>
      <w:szCs w:val="20"/>
      <w:lang w:val="en-AU"/>
    </w:rPr>
  </w:style>
  <w:style w:type="table" w:styleId="TableGrid">
    <w:name w:val="Table Grid"/>
    <w:basedOn w:val="TableNormal"/>
    <w:rsid w:val="000A187B"/>
    <w:pPr>
      <w:spacing w:after="0" w:line="240" w:lineRule="auto"/>
    </w:pPr>
    <w:rPr>
      <w:rFonts w:eastAsiaTheme="minorEastAsia"/>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0A187B"/>
    <w:pPr>
      <w:spacing w:after="0" w:line="240" w:lineRule="auto"/>
    </w:pPr>
    <w:rPr>
      <w:rFonts w:ascii="Calibri" w:hAnsi="Calibri"/>
      <w:szCs w:val="21"/>
      <w:lang w:val="en-AU"/>
    </w:rPr>
  </w:style>
  <w:style w:type="character" w:customStyle="1" w:styleId="PlainTextChar">
    <w:name w:val="Plain Text Char"/>
    <w:basedOn w:val="DefaultParagraphFont"/>
    <w:link w:val="PlainText"/>
    <w:uiPriority w:val="99"/>
    <w:rsid w:val="000A187B"/>
    <w:rPr>
      <w:rFonts w:ascii="Calibri" w:hAnsi="Calibri"/>
      <w:szCs w:val="21"/>
      <w:lang w:val="en-AU"/>
    </w:rPr>
  </w:style>
  <w:style w:type="paragraph" w:customStyle="1" w:styleId="Style1">
    <w:name w:val="Style1"/>
    <w:basedOn w:val="Normal"/>
    <w:rsid w:val="00DE77BC"/>
    <w:pPr>
      <w:numPr>
        <w:numId w:val="3"/>
      </w:numPr>
      <w:spacing w:after="0" w:line="280" w:lineRule="atLeast"/>
    </w:pPr>
    <w:rPr>
      <w:rFonts w:ascii="Verdana" w:eastAsia="Calibri" w:hAnsi="Verdana" w:cs="Verdana"/>
      <w:sz w:val="20"/>
      <w:szCs w:val="20"/>
      <w:lang w:val="en-US"/>
    </w:rPr>
  </w:style>
  <w:style w:type="paragraph" w:styleId="NormalWeb">
    <w:name w:val="Normal (Web)"/>
    <w:basedOn w:val="Normal"/>
    <w:uiPriority w:val="99"/>
    <w:unhideWhenUsed/>
    <w:rsid w:val="0085329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ulletDoublespace">
    <w:name w:val="Bullet Doublespace"/>
    <w:rsid w:val="009B738B"/>
    <w:pPr>
      <w:numPr>
        <w:numId w:val="5"/>
      </w:numPr>
      <w:spacing w:before="40" w:after="40" w:line="480" w:lineRule="auto"/>
      <w:ind w:right="284"/>
    </w:pPr>
    <w:rPr>
      <w:rFonts w:ascii="Arial" w:eastAsia="Times New Roman" w:hAnsi="Arial" w:cs="Times New Roman"/>
      <w:noProof/>
      <w:sz w:val="20"/>
      <w:szCs w:val="20"/>
      <w:lang w:val="en-AU"/>
    </w:rPr>
  </w:style>
  <w:style w:type="character" w:styleId="Strong">
    <w:name w:val="Strong"/>
    <w:uiPriority w:val="22"/>
    <w:qFormat/>
    <w:rsid w:val="000E2283"/>
    <w:rPr>
      <w:b/>
      <w:bCs/>
    </w:rPr>
  </w:style>
  <w:style w:type="paragraph" w:customStyle="1" w:styleId="TableText">
    <w:name w:val="Table Text"/>
    <w:basedOn w:val="Normal"/>
    <w:rsid w:val="002663BD"/>
    <w:pPr>
      <w:keepNext/>
      <w:widowControl w:val="0"/>
      <w:spacing w:before="20" w:after="20" w:line="240" w:lineRule="auto"/>
      <w:ind w:right="57"/>
    </w:pPr>
    <w:rPr>
      <w:rFonts w:ascii="Arial Narrow" w:eastAsia="Times New Roman" w:hAnsi="Arial Narrow" w:cs="Times New Roman"/>
      <w:sz w:val="18"/>
      <w:szCs w:val="24"/>
      <w:lang w:val="en-AU"/>
    </w:rPr>
  </w:style>
  <w:style w:type="paragraph" w:styleId="NormalIndent">
    <w:name w:val="Normal Indent"/>
    <w:basedOn w:val="Normal"/>
    <w:semiHidden/>
    <w:rsid w:val="00704181"/>
    <w:pPr>
      <w:tabs>
        <w:tab w:val="right" w:pos="8640"/>
      </w:tabs>
      <w:spacing w:after="160" w:line="240" w:lineRule="auto"/>
      <w:ind w:left="720"/>
      <w:jc w:val="both"/>
    </w:pPr>
    <w:rPr>
      <w:rFonts w:ascii="Garamond" w:eastAsia="Times New Roman" w:hAnsi="Garamond" w:cs="Times New Roman"/>
      <w:i/>
      <w:spacing w:val="-2"/>
      <w:sz w:val="24"/>
      <w:szCs w:val="20"/>
      <w:lang w:val="en-US"/>
    </w:rPr>
  </w:style>
  <w:style w:type="paragraph" w:styleId="BodyText">
    <w:name w:val="Body Text"/>
    <w:basedOn w:val="Normal"/>
    <w:link w:val="BodyTextChar"/>
    <w:uiPriority w:val="99"/>
    <w:rsid w:val="00021491"/>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021491"/>
    <w:rPr>
      <w:rFonts w:ascii="Times New Roman" w:eastAsia="Times New Roman" w:hAnsi="Times New Roman" w:cs="Times New Roman"/>
      <w:sz w:val="24"/>
      <w:szCs w:val="24"/>
      <w:lang w:val="en-US"/>
    </w:rPr>
  </w:style>
  <w:style w:type="character" w:customStyle="1" w:styleId="Heading9Char">
    <w:name w:val="Heading 9 Char"/>
    <w:basedOn w:val="DefaultParagraphFont"/>
    <w:link w:val="Heading9"/>
    <w:uiPriority w:val="9"/>
    <w:semiHidden/>
    <w:rsid w:val="009327A5"/>
    <w:rPr>
      <w:rFonts w:asciiTheme="majorHAnsi" w:eastAsiaTheme="majorEastAsia" w:hAnsiTheme="majorHAnsi" w:cstheme="majorBidi"/>
      <w:i/>
      <w:iCs/>
      <w:color w:val="404040" w:themeColor="text1" w:themeTint="BF"/>
      <w:sz w:val="20"/>
      <w:szCs w:val="20"/>
    </w:rPr>
  </w:style>
  <w:style w:type="paragraph" w:styleId="ListBullet">
    <w:name w:val="List Bullet"/>
    <w:basedOn w:val="Normal"/>
    <w:autoRedefine/>
    <w:semiHidden/>
    <w:rsid w:val="00B267FC"/>
    <w:pPr>
      <w:spacing w:before="160" w:after="0" w:line="360" w:lineRule="auto"/>
      <w:jc w:val="both"/>
    </w:pPr>
    <w:rPr>
      <w:rFonts w:ascii="Arial" w:eastAsia="Times New Roman" w:hAnsi="Arial" w:cs="Times New Roman"/>
      <w:sz w:val="20"/>
      <w:szCs w:val="20"/>
      <w:lang w:val="en-AU"/>
    </w:rPr>
  </w:style>
  <w:style w:type="paragraph" w:customStyle="1" w:styleId="Standard">
    <w:name w:val="Standard"/>
    <w:rsid w:val="00254878"/>
    <w:pPr>
      <w:suppressAutoHyphens/>
      <w:autoSpaceDN w:val="0"/>
      <w:textAlignment w:val="baseline"/>
    </w:pPr>
    <w:rPr>
      <w:rFonts w:ascii="Calibri" w:eastAsia="SimSun" w:hAnsi="Calibri" w:cs="F"/>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856A8E"/>
    <w:pPr>
      <w:keepNext/>
      <w:spacing w:before="240" w:after="60" w:line="360" w:lineRule="auto"/>
      <w:jc w:val="both"/>
      <w:outlineLvl w:val="1"/>
    </w:pPr>
    <w:rPr>
      <w:rFonts w:ascii="Cambria" w:eastAsia="Times New Roman" w:hAnsi="Cambria" w:cs="Times New Roman"/>
      <w:b/>
      <w:bCs/>
      <w:i/>
      <w:iCs/>
      <w:sz w:val="28"/>
      <w:szCs w:val="28"/>
      <w:lang w:val="en-AU"/>
    </w:rPr>
  </w:style>
  <w:style w:type="paragraph" w:styleId="Heading9">
    <w:name w:val="heading 9"/>
    <w:basedOn w:val="Normal"/>
    <w:next w:val="Normal"/>
    <w:link w:val="Heading9Char"/>
    <w:uiPriority w:val="9"/>
    <w:semiHidden/>
    <w:unhideWhenUsed/>
    <w:qFormat/>
    <w:rsid w:val="009327A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EE2"/>
    <w:pPr>
      <w:ind w:left="720"/>
      <w:contextualSpacing/>
    </w:pPr>
  </w:style>
  <w:style w:type="paragraph" w:styleId="FootnoteText">
    <w:name w:val="footnote text"/>
    <w:basedOn w:val="Normal"/>
    <w:link w:val="FootnoteTextChar"/>
    <w:unhideWhenUsed/>
    <w:rsid w:val="00242EE2"/>
    <w:pPr>
      <w:spacing w:after="0" w:line="240" w:lineRule="auto"/>
    </w:pPr>
    <w:rPr>
      <w:rFonts w:ascii="Times New Roman" w:eastAsia="Calibri" w:hAnsi="Times New Roman" w:cs="Times New Roman"/>
      <w:sz w:val="20"/>
      <w:szCs w:val="20"/>
      <w:lang w:val="en-AU"/>
    </w:rPr>
  </w:style>
  <w:style w:type="character" w:customStyle="1" w:styleId="FootnoteTextChar">
    <w:name w:val="Footnote Text Char"/>
    <w:basedOn w:val="DefaultParagraphFont"/>
    <w:link w:val="FootnoteText"/>
    <w:rsid w:val="00242EE2"/>
    <w:rPr>
      <w:rFonts w:ascii="Times New Roman" w:eastAsia="Calibri" w:hAnsi="Times New Roman" w:cs="Times New Roman"/>
      <w:sz w:val="20"/>
      <w:szCs w:val="20"/>
      <w:lang w:val="en-AU"/>
    </w:rPr>
  </w:style>
  <w:style w:type="character" w:customStyle="1" w:styleId="KindentlistChar">
    <w:name w:val="K indent list Char"/>
    <w:basedOn w:val="DefaultParagraphFont"/>
    <w:link w:val="Kindentlist"/>
    <w:locked/>
    <w:rsid w:val="00242EE2"/>
    <w:rPr>
      <w:rFonts w:ascii="Times New Roman" w:hAnsi="Times New Roman" w:cs="Times New Roman"/>
      <w:sz w:val="24"/>
      <w:szCs w:val="24"/>
      <w:lang w:val="en-AU"/>
    </w:rPr>
  </w:style>
  <w:style w:type="paragraph" w:customStyle="1" w:styleId="Kindentlist">
    <w:name w:val="K indent list"/>
    <w:basedOn w:val="Normal"/>
    <w:link w:val="KindentlistChar"/>
    <w:qFormat/>
    <w:rsid w:val="00242EE2"/>
    <w:pPr>
      <w:spacing w:after="0" w:line="360" w:lineRule="auto"/>
      <w:ind w:left="1134" w:hanging="425"/>
      <w:jc w:val="both"/>
    </w:pPr>
    <w:rPr>
      <w:rFonts w:ascii="Times New Roman" w:hAnsi="Times New Roman" w:cs="Times New Roman"/>
      <w:sz w:val="24"/>
      <w:szCs w:val="24"/>
      <w:lang w:val="en-AU"/>
    </w:rPr>
  </w:style>
  <w:style w:type="character" w:styleId="FootnoteReference">
    <w:name w:val="footnote reference"/>
    <w:basedOn w:val="DefaultParagraphFont"/>
    <w:unhideWhenUsed/>
    <w:rsid w:val="00242EE2"/>
    <w:rPr>
      <w:rFonts w:ascii="Times New Roman" w:hAnsi="Times New Roman" w:cs="Times New Roman" w:hint="default"/>
      <w:vertAlign w:val="superscript"/>
    </w:rPr>
  </w:style>
  <w:style w:type="character" w:customStyle="1" w:styleId="Heading2Char">
    <w:name w:val="Heading 2 Char"/>
    <w:basedOn w:val="DefaultParagraphFont"/>
    <w:link w:val="Heading2"/>
    <w:uiPriority w:val="99"/>
    <w:semiHidden/>
    <w:rsid w:val="00856A8E"/>
    <w:rPr>
      <w:rFonts w:ascii="Cambria" w:eastAsia="Times New Roman" w:hAnsi="Cambria" w:cs="Times New Roman"/>
      <w:b/>
      <w:bCs/>
      <w:i/>
      <w:iCs/>
      <w:sz w:val="28"/>
      <w:szCs w:val="28"/>
      <w:lang w:val="en-AU"/>
    </w:rPr>
  </w:style>
  <w:style w:type="paragraph" w:styleId="Caption">
    <w:name w:val="caption"/>
    <w:basedOn w:val="Normal"/>
    <w:next w:val="Normal"/>
    <w:uiPriority w:val="35"/>
    <w:semiHidden/>
    <w:unhideWhenUsed/>
    <w:qFormat/>
    <w:rsid w:val="00856A8E"/>
    <w:pPr>
      <w:spacing w:line="240" w:lineRule="auto"/>
      <w:jc w:val="center"/>
    </w:pPr>
    <w:rPr>
      <w:rFonts w:ascii="Times New Roman" w:eastAsia="Calibri" w:hAnsi="Times New Roman" w:cs="Times New Roman"/>
      <w:bCs/>
      <w:sz w:val="24"/>
      <w:szCs w:val="24"/>
      <w:lang w:val="en-AU"/>
    </w:rPr>
  </w:style>
  <w:style w:type="paragraph" w:styleId="Quote">
    <w:name w:val="Quote"/>
    <w:basedOn w:val="Normal"/>
    <w:next w:val="Normal"/>
    <w:link w:val="QuoteChar"/>
    <w:uiPriority w:val="99"/>
    <w:qFormat/>
    <w:rsid w:val="00856A8E"/>
    <w:pPr>
      <w:spacing w:after="240" w:line="360" w:lineRule="auto"/>
      <w:ind w:left="709" w:right="663"/>
      <w:jc w:val="both"/>
    </w:pPr>
    <w:rPr>
      <w:rFonts w:ascii="Times New Roman" w:eastAsia="Calibri" w:hAnsi="Times New Roman" w:cs="Times New Roman"/>
      <w:lang w:val="en-AU"/>
    </w:rPr>
  </w:style>
  <w:style w:type="character" w:customStyle="1" w:styleId="QuoteChar">
    <w:name w:val="Quote Char"/>
    <w:basedOn w:val="DefaultParagraphFont"/>
    <w:link w:val="Quote"/>
    <w:uiPriority w:val="99"/>
    <w:rsid w:val="00856A8E"/>
    <w:rPr>
      <w:rFonts w:ascii="Times New Roman" w:eastAsia="Calibri" w:hAnsi="Times New Roman" w:cs="Times New Roman"/>
      <w:lang w:val="en-AU"/>
    </w:rPr>
  </w:style>
  <w:style w:type="paragraph" w:customStyle="1" w:styleId="Ksubheading">
    <w:name w:val="Ksubheading"/>
    <w:basedOn w:val="Normal"/>
    <w:uiPriority w:val="99"/>
    <w:qFormat/>
    <w:rsid w:val="00856A8E"/>
    <w:pPr>
      <w:keepNext/>
      <w:keepLines/>
      <w:suppressAutoHyphens/>
      <w:spacing w:after="240" w:line="360" w:lineRule="auto"/>
      <w:jc w:val="center"/>
    </w:pPr>
    <w:rPr>
      <w:rFonts w:ascii="Times New Roman" w:eastAsia="Calibri" w:hAnsi="Times New Roman" w:cs="Times New Roman"/>
      <w:i/>
      <w:iCs/>
      <w:kern w:val="2"/>
      <w:sz w:val="24"/>
      <w:szCs w:val="24"/>
      <w:lang w:eastAsia="ar-SA"/>
    </w:rPr>
  </w:style>
  <w:style w:type="character" w:customStyle="1" w:styleId="PhDsubsubheadingChar">
    <w:name w:val="PhD subsubheading Char"/>
    <w:basedOn w:val="DefaultParagraphFont"/>
    <w:link w:val="PhDsubsubheading"/>
    <w:locked/>
    <w:rsid w:val="00856A8E"/>
    <w:rPr>
      <w:rFonts w:ascii="Times New Roman" w:eastAsia="Arial Unicode MS" w:hAnsi="Times New Roman" w:cs="Times New Roman"/>
      <w:i/>
      <w:kern w:val="2"/>
      <w:sz w:val="24"/>
      <w:szCs w:val="24"/>
      <w:lang w:eastAsia="ar-SA"/>
    </w:rPr>
  </w:style>
  <w:style w:type="paragraph" w:customStyle="1" w:styleId="PhDsubsubheading">
    <w:name w:val="PhD subsubheading"/>
    <w:basedOn w:val="Normal"/>
    <w:link w:val="PhDsubsubheadingChar"/>
    <w:qFormat/>
    <w:rsid w:val="00856A8E"/>
    <w:pPr>
      <w:keepNext/>
      <w:keepLines/>
      <w:suppressAutoHyphens/>
      <w:spacing w:after="240" w:line="240" w:lineRule="auto"/>
    </w:pPr>
    <w:rPr>
      <w:rFonts w:ascii="Times New Roman" w:eastAsia="Arial Unicode MS" w:hAnsi="Times New Roman" w:cs="Times New Roman"/>
      <w:i/>
      <w:kern w:val="2"/>
      <w:sz w:val="24"/>
      <w:szCs w:val="24"/>
      <w:lang w:eastAsia="ar-SA"/>
    </w:rPr>
  </w:style>
  <w:style w:type="character" w:customStyle="1" w:styleId="PhDParagraphheadingChar">
    <w:name w:val="PhD Paragraph heading Char"/>
    <w:basedOn w:val="PhDsubsubheadingChar"/>
    <w:link w:val="PhDParagraphheading"/>
    <w:locked/>
    <w:rsid w:val="00856A8E"/>
    <w:rPr>
      <w:rFonts w:ascii="Times New Roman" w:eastAsia="Arial Unicode MS" w:hAnsi="Times New Roman" w:cs="Times New Roman"/>
      <w:i w:val="0"/>
      <w:kern w:val="2"/>
      <w:sz w:val="24"/>
      <w:szCs w:val="24"/>
      <w:lang w:eastAsia="ar-SA"/>
    </w:rPr>
  </w:style>
  <w:style w:type="paragraph" w:customStyle="1" w:styleId="PhDParagraphheading">
    <w:name w:val="PhD Paragraph heading"/>
    <w:basedOn w:val="PhDsubsubheading"/>
    <w:next w:val="Normal"/>
    <w:link w:val="PhDParagraphheadingChar"/>
    <w:qFormat/>
    <w:rsid w:val="00856A8E"/>
    <w:rPr>
      <w:i w:val="0"/>
    </w:rPr>
  </w:style>
  <w:style w:type="character" w:customStyle="1" w:styleId="PhDHeading1Char">
    <w:name w:val="PhD Heading 1 Char"/>
    <w:basedOn w:val="DefaultParagraphFont"/>
    <w:link w:val="PhDHeading1"/>
    <w:locked/>
    <w:rsid w:val="00856A8E"/>
    <w:rPr>
      <w:rFonts w:ascii="Times New Roman" w:eastAsia="Arial Unicode MS" w:hAnsi="Times New Roman" w:cs="Times New Roman"/>
      <w:kern w:val="2"/>
      <w:sz w:val="28"/>
      <w:szCs w:val="28"/>
      <w:lang w:eastAsia="ar-SA"/>
    </w:rPr>
  </w:style>
  <w:style w:type="paragraph" w:customStyle="1" w:styleId="PhDHeading1">
    <w:name w:val="PhD Heading 1"/>
    <w:basedOn w:val="Normal"/>
    <w:link w:val="PhDHeading1Char"/>
    <w:qFormat/>
    <w:rsid w:val="00856A8E"/>
    <w:pPr>
      <w:keepNext/>
      <w:tabs>
        <w:tab w:val="left" w:pos="370"/>
      </w:tabs>
      <w:suppressAutoHyphens/>
      <w:spacing w:before="360" w:after="240" w:line="240" w:lineRule="auto"/>
      <w:jc w:val="center"/>
    </w:pPr>
    <w:rPr>
      <w:rFonts w:ascii="Times New Roman" w:eastAsia="Arial Unicode MS" w:hAnsi="Times New Roman" w:cs="Times New Roman"/>
      <w:kern w:val="2"/>
      <w:sz w:val="28"/>
      <w:szCs w:val="28"/>
      <w:lang w:eastAsia="ar-SA"/>
    </w:rPr>
  </w:style>
  <w:style w:type="paragraph" w:customStyle="1" w:styleId="MERWlvl1">
    <w:name w:val="MERW lvl1"/>
    <w:basedOn w:val="Normal"/>
    <w:autoRedefine/>
    <w:uiPriority w:val="99"/>
    <w:rsid w:val="00856A8E"/>
    <w:pPr>
      <w:tabs>
        <w:tab w:val="left" w:pos="284"/>
      </w:tabs>
      <w:spacing w:after="0" w:line="240" w:lineRule="auto"/>
      <w:ind w:left="284" w:hanging="284"/>
      <w:jc w:val="both"/>
      <w:outlineLvl w:val="0"/>
    </w:pPr>
    <w:rPr>
      <w:rFonts w:ascii="Times New Roman" w:eastAsia="Calibri" w:hAnsi="Times New Roman" w:cs="Times New Roman"/>
      <w:sz w:val="20"/>
      <w:szCs w:val="20"/>
      <w:lang w:eastAsia="en-GB"/>
    </w:rPr>
  </w:style>
  <w:style w:type="paragraph" w:customStyle="1" w:styleId="Kindentlist0">
    <w:name w:val="Kindentlist"/>
    <w:basedOn w:val="Normal"/>
    <w:link w:val="KindentlistChar0"/>
    <w:qFormat/>
    <w:rsid w:val="00856A8E"/>
    <w:pPr>
      <w:spacing w:after="0" w:line="360" w:lineRule="auto"/>
      <w:ind w:left="1276" w:hanging="567"/>
      <w:jc w:val="both"/>
    </w:pPr>
    <w:rPr>
      <w:rFonts w:ascii="Times New Roman" w:eastAsia="Calibri" w:hAnsi="Times New Roman" w:cs="Times New Roman"/>
      <w:sz w:val="24"/>
      <w:szCs w:val="24"/>
      <w:lang w:val="en-AU"/>
    </w:rPr>
  </w:style>
  <w:style w:type="character" w:customStyle="1" w:styleId="KindentlistChar0">
    <w:name w:val="Kindentlist Char"/>
    <w:basedOn w:val="DefaultParagraphFont"/>
    <w:link w:val="Kindentlist0"/>
    <w:locked/>
    <w:rsid w:val="00856A8E"/>
    <w:rPr>
      <w:rFonts w:ascii="Times New Roman" w:eastAsia="Calibri" w:hAnsi="Times New Roman" w:cs="Times New Roman"/>
      <w:sz w:val="24"/>
      <w:szCs w:val="24"/>
      <w:lang w:val="en-AU"/>
    </w:rPr>
  </w:style>
  <w:style w:type="paragraph" w:customStyle="1" w:styleId="PhDHeading">
    <w:name w:val="PhD Heading"/>
    <w:basedOn w:val="Normal"/>
    <w:link w:val="PhDHeadingChar1"/>
    <w:rsid w:val="00856A8E"/>
    <w:pPr>
      <w:keepNext/>
      <w:tabs>
        <w:tab w:val="left" w:pos="370"/>
      </w:tabs>
      <w:suppressAutoHyphens/>
      <w:spacing w:before="360" w:after="240" w:line="360" w:lineRule="auto"/>
      <w:jc w:val="center"/>
    </w:pPr>
    <w:rPr>
      <w:rFonts w:ascii="Times New Roman" w:eastAsia="Arial Unicode MS" w:hAnsi="Times New Roman" w:cs="Times New Roman"/>
      <w:kern w:val="1"/>
      <w:sz w:val="28"/>
      <w:szCs w:val="28"/>
      <w:lang w:eastAsia="ar-SA"/>
    </w:rPr>
  </w:style>
  <w:style w:type="character" w:customStyle="1" w:styleId="PhDHeadingChar1">
    <w:name w:val="PhD Heading Char1"/>
    <w:basedOn w:val="DefaultParagraphFont"/>
    <w:link w:val="PhDHeading"/>
    <w:rsid w:val="00856A8E"/>
    <w:rPr>
      <w:rFonts w:ascii="Times New Roman" w:eastAsia="Arial Unicode MS" w:hAnsi="Times New Roman" w:cs="Times New Roman"/>
      <w:kern w:val="1"/>
      <w:sz w:val="28"/>
      <w:szCs w:val="28"/>
      <w:lang w:eastAsia="ar-SA"/>
    </w:rPr>
  </w:style>
  <w:style w:type="paragraph" w:customStyle="1" w:styleId="PhDSubheading">
    <w:name w:val="PhD Subheading"/>
    <w:basedOn w:val="Normal"/>
    <w:link w:val="PhDSubheadingChar1"/>
    <w:qFormat/>
    <w:rsid w:val="00856A8E"/>
    <w:pPr>
      <w:keepNext/>
      <w:suppressAutoHyphens/>
      <w:spacing w:after="240" w:line="360" w:lineRule="auto"/>
      <w:jc w:val="center"/>
    </w:pPr>
    <w:rPr>
      <w:rFonts w:ascii="Times New Roman" w:eastAsia="Arial Unicode MS" w:hAnsi="Times New Roman" w:cs="Times New Roman"/>
      <w:i/>
      <w:kern w:val="1"/>
      <w:sz w:val="24"/>
      <w:szCs w:val="24"/>
      <w:lang w:eastAsia="ar-SA"/>
    </w:rPr>
  </w:style>
  <w:style w:type="character" w:customStyle="1" w:styleId="PhDSubheadingChar1">
    <w:name w:val="PhD Subheading Char1"/>
    <w:basedOn w:val="DefaultParagraphFont"/>
    <w:link w:val="PhDSubheading"/>
    <w:rsid w:val="00856A8E"/>
    <w:rPr>
      <w:rFonts w:ascii="Times New Roman" w:eastAsia="Arial Unicode MS" w:hAnsi="Times New Roman" w:cs="Times New Roman"/>
      <w:i/>
      <w:kern w:val="1"/>
      <w:sz w:val="24"/>
      <w:szCs w:val="24"/>
      <w:lang w:eastAsia="ar-SA"/>
    </w:rPr>
  </w:style>
  <w:style w:type="character" w:styleId="Hyperlink">
    <w:name w:val="Hyperlink"/>
    <w:basedOn w:val="DefaultParagraphFont"/>
    <w:uiPriority w:val="99"/>
    <w:unhideWhenUsed/>
    <w:rsid w:val="00AB2F0E"/>
    <w:rPr>
      <w:rFonts w:ascii="Times New Roman" w:hAnsi="Times New Roman" w:cs="Times New Roman" w:hint="default"/>
      <w:color w:val="0000FF"/>
      <w:u w:val="single"/>
    </w:rPr>
  </w:style>
  <w:style w:type="paragraph" w:customStyle="1" w:styleId="KatieNormal">
    <w:name w:val="Katie Normal"/>
    <w:basedOn w:val="Normal"/>
    <w:link w:val="KatieNormalChar"/>
    <w:qFormat/>
    <w:rsid w:val="0025507E"/>
    <w:pPr>
      <w:spacing w:after="240" w:line="360" w:lineRule="auto"/>
      <w:jc w:val="both"/>
    </w:pPr>
    <w:rPr>
      <w:rFonts w:ascii="Times New Roman" w:hAnsi="Times New Roman" w:cs="Times New Roman"/>
      <w:sz w:val="24"/>
      <w:szCs w:val="24"/>
      <w:lang w:val="en-AU"/>
    </w:rPr>
  </w:style>
  <w:style w:type="paragraph" w:customStyle="1" w:styleId="KatieQuotesingle">
    <w:name w:val="Katie Quote single"/>
    <w:basedOn w:val="Quote"/>
    <w:link w:val="KatieQuotesingleChar"/>
    <w:qFormat/>
    <w:rsid w:val="00777340"/>
    <w:pPr>
      <w:spacing w:line="240" w:lineRule="auto"/>
    </w:pPr>
    <w:rPr>
      <w:sz w:val="24"/>
      <w:szCs w:val="24"/>
    </w:rPr>
  </w:style>
  <w:style w:type="character" w:customStyle="1" w:styleId="KatieNormalChar">
    <w:name w:val="Katie Normal Char"/>
    <w:basedOn w:val="DefaultParagraphFont"/>
    <w:link w:val="KatieNormal"/>
    <w:rsid w:val="0025507E"/>
    <w:rPr>
      <w:rFonts w:ascii="Times New Roman" w:hAnsi="Times New Roman" w:cs="Times New Roman"/>
      <w:sz w:val="24"/>
      <w:szCs w:val="24"/>
      <w:lang w:val="en-AU"/>
    </w:rPr>
  </w:style>
  <w:style w:type="paragraph" w:styleId="BalloonText">
    <w:name w:val="Balloon Text"/>
    <w:basedOn w:val="Normal"/>
    <w:link w:val="BalloonTextChar"/>
    <w:uiPriority w:val="99"/>
    <w:semiHidden/>
    <w:unhideWhenUsed/>
    <w:rsid w:val="00987271"/>
    <w:pPr>
      <w:spacing w:after="0" w:line="240" w:lineRule="auto"/>
    </w:pPr>
    <w:rPr>
      <w:rFonts w:ascii="Tahoma" w:hAnsi="Tahoma" w:cs="Tahoma"/>
      <w:sz w:val="16"/>
      <w:szCs w:val="16"/>
    </w:rPr>
  </w:style>
  <w:style w:type="character" w:customStyle="1" w:styleId="KatieQuotesingleChar">
    <w:name w:val="Katie Quote single Char"/>
    <w:basedOn w:val="QuoteChar"/>
    <w:link w:val="KatieQuotesingle"/>
    <w:rsid w:val="00777340"/>
    <w:rPr>
      <w:rFonts w:ascii="Times New Roman" w:eastAsia="Calibri" w:hAnsi="Times New Roman" w:cs="Times New Roman"/>
      <w:sz w:val="24"/>
      <w:szCs w:val="24"/>
      <w:lang w:val="en-AU"/>
    </w:rPr>
  </w:style>
  <w:style w:type="character" w:customStyle="1" w:styleId="BalloonTextChar">
    <w:name w:val="Balloon Text Char"/>
    <w:basedOn w:val="DefaultParagraphFont"/>
    <w:link w:val="BalloonText"/>
    <w:uiPriority w:val="99"/>
    <w:semiHidden/>
    <w:rsid w:val="00987271"/>
    <w:rPr>
      <w:rFonts w:ascii="Tahoma" w:hAnsi="Tahoma" w:cs="Tahoma"/>
      <w:sz w:val="16"/>
      <w:szCs w:val="16"/>
    </w:rPr>
  </w:style>
  <w:style w:type="paragraph" w:styleId="EndnoteText">
    <w:name w:val="endnote text"/>
    <w:basedOn w:val="Normal"/>
    <w:link w:val="EndnoteTextChar"/>
    <w:uiPriority w:val="99"/>
    <w:semiHidden/>
    <w:unhideWhenUsed/>
    <w:rsid w:val="00EA7E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A7E63"/>
    <w:rPr>
      <w:sz w:val="20"/>
      <w:szCs w:val="20"/>
    </w:rPr>
  </w:style>
  <w:style w:type="character" w:styleId="EndnoteReference">
    <w:name w:val="endnote reference"/>
    <w:basedOn w:val="DefaultParagraphFont"/>
    <w:uiPriority w:val="99"/>
    <w:unhideWhenUsed/>
    <w:rsid w:val="00EA7E63"/>
    <w:rPr>
      <w:vertAlign w:val="superscript"/>
    </w:rPr>
  </w:style>
  <w:style w:type="character" w:styleId="FollowedHyperlink">
    <w:name w:val="FollowedHyperlink"/>
    <w:basedOn w:val="DefaultParagraphFont"/>
    <w:uiPriority w:val="99"/>
    <w:semiHidden/>
    <w:unhideWhenUsed/>
    <w:rsid w:val="0007659C"/>
    <w:rPr>
      <w:color w:val="800080" w:themeColor="followedHyperlink"/>
      <w:u w:val="single"/>
    </w:rPr>
  </w:style>
  <w:style w:type="paragraph" w:styleId="Header">
    <w:name w:val="header"/>
    <w:basedOn w:val="Normal"/>
    <w:link w:val="HeaderChar"/>
    <w:uiPriority w:val="99"/>
    <w:semiHidden/>
    <w:unhideWhenUsed/>
    <w:rsid w:val="001F0B6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F0B6D"/>
  </w:style>
  <w:style w:type="paragraph" w:styleId="Footer">
    <w:name w:val="footer"/>
    <w:basedOn w:val="Normal"/>
    <w:link w:val="FooterChar"/>
    <w:uiPriority w:val="99"/>
    <w:unhideWhenUsed/>
    <w:rsid w:val="001F0B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0B6D"/>
  </w:style>
  <w:style w:type="paragraph" w:customStyle="1" w:styleId="MPINormalBodytext">
    <w:name w:val="MPI Normal Body text"/>
    <w:basedOn w:val="Normal"/>
    <w:link w:val="MPINormalBodytextChar"/>
    <w:qFormat/>
    <w:rsid w:val="00B213D6"/>
    <w:pPr>
      <w:spacing w:after="0" w:line="240" w:lineRule="auto"/>
    </w:pPr>
    <w:rPr>
      <w:rFonts w:ascii="Cambria" w:eastAsia="Calibri" w:hAnsi="Cambria" w:cs="Times New Roman"/>
      <w:spacing w:val="2"/>
      <w:lang w:val="en-US"/>
    </w:rPr>
  </w:style>
  <w:style w:type="character" w:customStyle="1" w:styleId="MPINormalBodytextChar">
    <w:name w:val="MPI Normal Body text Char"/>
    <w:link w:val="MPINormalBodytext"/>
    <w:rsid w:val="00B213D6"/>
    <w:rPr>
      <w:rFonts w:ascii="Cambria" w:eastAsia="Calibri" w:hAnsi="Cambria" w:cs="Times New Roman"/>
      <w:spacing w:val="2"/>
      <w:lang w:val="en-US"/>
    </w:rPr>
  </w:style>
  <w:style w:type="paragraph" w:styleId="List">
    <w:name w:val="List"/>
    <w:basedOn w:val="Normal"/>
    <w:uiPriority w:val="99"/>
    <w:unhideWhenUsed/>
    <w:rsid w:val="00B213D6"/>
    <w:pPr>
      <w:spacing w:after="0" w:line="240" w:lineRule="auto"/>
      <w:ind w:left="283" w:hanging="283"/>
    </w:pPr>
    <w:rPr>
      <w:rFonts w:ascii="Calibri" w:eastAsia="Calibri" w:hAnsi="Calibri" w:cs="Times New Roman"/>
      <w:lang w:val="en-AU"/>
    </w:rPr>
  </w:style>
  <w:style w:type="paragraph" w:customStyle="1" w:styleId="Normal-doublespaceChar">
    <w:name w:val="Normal-doublespace Char"/>
    <w:basedOn w:val="Normal"/>
    <w:link w:val="Normal-doublespaceCharChar"/>
    <w:uiPriority w:val="99"/>
    <w:rsid w:val="00C87348"/>
    <w:pPr>
      <w:tabs>
        <w:tab w:val="left" w:pos="567"/>
        <w:tab w:val="left" w:pos="1701"/>
        <w:tab w:val="left" w:pos="2268"/>
        <w:tab w:val="left" w:pos="2835"/>
      </w:tabs>
      <w:spacing w:before="100" w:after="100" w:line="480" w:lineRule="auto"/>
    </w:pPr>
    <w:rPr>
      <w:rFonts w:ascii="Arial" w:eastAsia="Times New Roman" w:hAnsi="Arial" w:cs="Times New Roman"/>
      <w:sz w:val="20"/>
      <w:szCs w:val="20"/>
      <w:lang w:val="en-AU"/>
    </w:rPr>
  </w:style>
  <w:style w:type="character" w:customStyle="1" w:styleId="Normal-doublespaceCharChar">
    <w:name w:val="Normal-doublespace Char Char"/>
    <w:link w:val="Normal-doublespaceChar"/>
    <w:uiPriority w:val="99"/>
    <w:locked/>
    <w:rsid w:val="00C87348"/>
    <w:rPr>
      <w:rFonts w:ascii="Arial" w:eastAsia="Times New Roman" w:hAnsi="Arial" w:cs="Times New Roman"/>
      <w:sz w:val="20"/>
      <w:szCs w:val="20"/>
      <w:lang w:val="en-AU"/>
    </w:rPr>
  </w:style>
  <w:style w:type="table" w:styleId="TableGrid">
    <w:name w:val="Table Grid"/>
    <w:basedOn w:val="TableNormal"/>
    <w:rsid w:val="000A187B"/>
    <w:pPr>
      <w:spacing w:after="0" w:line="240" w:lineRule="auto"/>
    </w:pPr>
    <w:rPr>
      <w:rFonts w:eastAsiaTheme="minorEastAsia"/>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0A187B"/>
    <w:pPr>
      <w:spacing w:after="0" w:line="240" w:lineRule="auto"/>
    </w:pPr>
    <w:rPr>
      <w:rFonts w:ascii="Calibri" w:hAnsi="Calibri"/>
      <w:szCs w:val="21"/>
      <w:lang w:val="en-AU"/>
    </w:rPr>
  </w:style>
  <w:style w:type="character" w:customStyle="1" w:styleId="PlainTextChar">
    <w:name w:val="Plain Text Char"/>
    <w:basedOn w:val="DefaultParagraphFont"/>
    <w:link w:val="PlainText"/>
    <w:uiPriority w:val="99"/>
    <w:rsid w:val="000A187B"/>
    <w:rPr>
      <w:rFonts w:ascii="Calibri" w:hAnsi="Calibri"/>
      <w:szCs w:val="21"/>
      <w:lang w:val="en-AU"/>
    </w:rPr>
  </w:style>
  <w:style w:type="paragraph" w:customStyle="1" w:styleId="Style1">
    <w:name w:val="Style1"/>
    <w:basedOn w:val="Normal"/>
    <w:rsid w:val="00DE77BC"/>
    <w:pPr>
      <w:numPr>
        <w:numId w:val="3"/>
      </w:numPr>
      <w:spacing w:after="0" w:line="280" w:lineRule="atLeast"/>
    </w:pPr>
    <w:rPr>
      <w:rFonts w:ascii="Verdana" w:eastAsia="Calibri" w:hAnsi="Verdana" w:cs="Verdana"/>
      <w:sz w:val="20"/>
      <w:szCs w:val="20"/>
      <w:lang w:val="en-US"/>
    </w:rPr>
  </w:style>
  <w:style w:type="paragraph" w:styleId="NormalWeb">
    <w:name w:val="Normal (Web)"/>
    <w:basedOn w:val="Normal"/>
    <w:uiPriority w:val="99"/>
    <w:unhideWhenUsed/>
    <w:rsid w:val="0085329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ulletDoublespace">
    <w:name w:val="Bullet Doublespace"/>
    <w:rsid w:val="009B738B"/>
    <w:pPr>
      <w:numPr>
        <w:numId w:val="5"/>
      </w:numPr>
      <w:spacing w:before="40" w:after="40" w:line="480" w:lineRule="auto"/>
      <w:ind w:right="284"/>
    </w:pPr>
    <w:rPr>
      <w:rFonts w:ascii="Arial" w:eastAsia="Times New Roman" w:hAnsi="Arial" w:cs="Times New Roman"/>
      <w:noProof/>
      <w:sz w:val="20"/>
      <w:szCs w:val="20"/>
      <w:lang w:val="en-AU"/>
    </w:rPr>
  </w:style>
  <w:style w:type="character" w:styleId="Strong">
    <w:name w:val="Strong"/>
    <w:uiPriority w:val="22"/>
    <w:qFormat/>
    <w:rsid w:val="000E2283"/>
    <w:rPr>
      <w:b/>
      <w:bCs/>
    </w:rPr>
  </w:style>
  <w:style w:type="paragraph" w:customStyle="1" w:styleId="TableText">
    <w:name w:val="Table Text"/>
    <w:basedOn w:val="Normal"/>
    <w:rsid w:val="002663BD"/>
    <w:pPr>
      <w:keepNext/>
      <w:widowControl w:val="0"/>
      <w:spacing w:before="20" w:after="20" w:line="240" w:lineRule="auto"/>
      <w:ind w:right="57"/>
    </w:pPr>
    <w:rPr>
      <w:rFonts w:ascii="Arial Narrow" w:eastAsia="Times New Roman" w:hAnsi="Arial Narrow" w:cs="Times New Roman"/>
      <w:sz w:val="18"/>
      <w:szCs w:val="24"/>
      <w:lang w:val="en-AU"/>
    </w:rPr>
  </w:style>
  <w:style w:type="paragraph" w:styleId="NormalIndent">
    <w:name w:val="Normal Indent"/>
    <w:basedOn w:val="Normal"/>
    <w:semiHidden/>
    <w:rsid w:val="00704181"/>
    <w:pPr>
      <w:tabs>
        <w:tab w:val="right" w:pos="8640"/>
      </w:tabs>
      <w:spacing w:after="160" w:line="240" w:lineRule="auto"/>
      <w:ind w:left="720"/>
      <w:jc w:val="both"/>
    </w:pPr>
    <w:rPr>
      <w:rFonts w:ascii="Garamond" w:eastAsia="Times New Roman" w:hAnsi="Garamond" w:cs="Times New Roman"/>
      <w:i/>
      <w:spacing w:val="-2"/>
      <w:sz w:val="24"/>
      <w:szCs w:val="20"/>
      <w:lang w:val="en-US"/>
    </w:rPr>
  </w:style>
  <w:style w:type="paragraph" w:styleId="BodyText">
    <w:name w:val="Body Text"/>
    <w:basedOn w:val="Normal"/>
    <w:link w:val="BodyTextChar"/>
    <w:uiPriority w:val="99"/>
    <w:rsid w:val="00021491"/>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021491"/>
    <w:rPr>
      <w:rFonts w:ascii="Times New Roman" w:eastAsia="Times New Roman" w:hAnsi="Times New Roman" w:cs="Times New Roman"/>
      <w:sz w:val="24"/>
      <w:szCs w:val="24"/>
      <w:lang w:val="en-US"/>
    </w:rPr>
  </w:style>
  <w:style w:type="character" w:customStyle="1" w:styleId="Heading9Char">
    <w:name w:val="Heading 9 Char"/>
    <w:basedOn w:val="DefaultParagraphFont"/>
    <w:link w:val="Heading9"/>
    <w:uiPriority w:val="9"/>
    <w:semiHidden/>
    <w:rsid w:val="009327A5"/>
    <w:rPr>
      <w:rFonts w:asciiTheme="majorHAnsi" w:eastAsiaTheme="majorEastAsia" w:hAnsiTheme="majorHAnsi" w:cstheme="majorBidi"/>
      <w:i/>
      <w:iCs/>
      <w:color w:val="404040" w:themeColor="text1" w:themeTint="BF"/>
      <w:sz w:val="20"/>
      <w:szCs w:val="20"/>
    </w:rPr>
  </w:style>
  <w:style w:type="paragraph" w:styleId="ListBullet">
    <w:name w:val="List Bullet"/>
    <w:basedOn w:val="Normal"/>
    <w:autoRedefine/>
    <w:semiHidden/>
    <w:rsid w:val="00B267FC"/>
    <w:pPr>
      <w:spacing w:before="160" w:after="0" w:line="360" w:lineRule="auto"/>
      <w:jc w:val="both"/>
    </w:pPr>
    <w:rPr>
      <w:rFonts w:ascii="Arial" w:eastAsia="Times New Roman" w:hAnsi="Arial" w:cs="Times New Roman"/>
      <w:sz w:val="20"/>
      <w:szCs w:val="20"/>
      <w:lang w:val="en-AU"/>
    </w:rPr>
  </w:style>
  <w:style w:type="paragraph" w:customStyle="1" w:styleId="Standard">
    <w:name w:val="Standard"/>
    <w:rsid w:val="00254878"/>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341124">
      <w:bodyDiv w:val="1"/>
      <w:marLeft w:val="0"/>
      <w:marRight w:val="0"/>
      <w:marTop w:val="0"/>
      <w:marBottom w:val="0"/>
      <w:divBdr>
        <w:top w:val="none" w:sz="0" w:space="0" w:color="auto"/>
        <w:left w:val="none" w:sz="0" w:space="0" w:color="auto"/>
        <w:bottom w:val="none" w:sz="0" w:space="0" w:color="auto"/>
        <w:right w:val="none" w:sz="0" w:space="0" w:color="auto"/>
      </w:divBdr>
    </w:div>
    <w:div w:id="507793011">
      <w:bodyDiv w:val="1"/>
      <w:marLeft w:val="0"/>
      <w:marRight w:val="0"/>
      <w:marTop w:val="0"/>
      <w:marBottom w:val="0"/>
      <w:divBdr>
        <w:top w:val="none" w:sz="0" w:space="0" w:color="auto"/>
        <w:left w:val="none" w:sz="0" w:space="0" w:color="auto"/>
        <w:bottom w:val="none" w:sz="0" w:space="0" w:color="auto"/>
        <w:right w:val="none" w:sz="0" w:space="0" w:color="auto"/>
      </w:divBdr>
    </w:div>
    <w:div w:id="566307125">
      <w:bodyDiv w:val="1"/>
      <w:marLeft w:val="0"/>
      <w:marRight w:val="0"/>
      <w:marTop w:val="0"/>
      <w:marBottom w:val="0"/>
      <w:divBdr>
        <w:top w:val="none" w:sz="0" w:space="0" w:color="auto"/>
        <w:left w:val="none" w:sz="0" w:space="0" w:color="auto"/>
        <w:bottom w:val="none" w:sz="0" w:space="0" w:color="auto"/>
        <w:right w:val="none" w:sz="0" w:space="0" w:color="auto"/>
      </w:divBdr>
      <w:divsChild>
        <w:div w:id="1807510613">
          <w:marLeft w:val="662"/>
          <w:marRight w:val="0"/>
          <w:marTop w:val="0"/>
          <w:marBottom w:val="0"/>
          <w:divBdr>
            <w:top w:val="none" w:sz="0" w:space="0" w:color="auto"/>
            <w:left w:val="none" w:sz="0" w:space="0" w:color="auto"/>
            <w:bottom w:val="none" w:sz="0" w:space="0" w:color="auto"/>
            <w:right w:val="none" w:sz="0" w:space="0" w:color="auto"/>
          </w:divBdr>
        </w:div>
        <w:div w:id="1002661017">
          <w:marLeft w:val="662"/>
          <w:marRight w:val="0"/>
          <w:marTop w:val="96"/>
          <w:marBottom w:val="0"/>
          <w:divBdr>
            <w:top w:val="none" w:sz="0" w:space="0" w:color="auto"/>
            <w:left w:val="none" w:sz="0" w:space="0" w:color="auto"/>
            <w:bottom w:val="none" w:sz="0" w:space="0" w:color="auto"/>
            <w:right w:val="none" w:sz="0" w:space="0" w:color="auto"/>
          </w:divBdr>
        </w:div>
        <w:div w:id="1168715240">
          <w:marLeft w:val="662"/>
          <w:marRight w:val="0"/>
          <w:marTop w:val="96"/>
          <w:marBottom w:val="0"/>
          <w:divBdr>
            <w:top w:val="none" w:sz="0" w:space="0" w:color="auto"/>
            <w:left w:val="none" w:sz="0" w:space="0" w:color="auto"/>
            <w:bottom w:val="none" w:sz="0" w:space="0" w:color="auto"/>
            <w:right w:val="none" w:sz="0" w:space="0" w:color="auto"/>
          </w:divBdr>
        </w:div>
        <w:div w:id="1858495301">
          <w:marLeft w:val="662"/>
          <w:marRight w:val="0"/>
          <w:marTop w:val="96"/>
          <w:marBottom w:val="0"/>
          <w:divBdr>
            <w:top w:val="none" w:sz="0" w:space="0" w:color="auto"/>
            <w:left w:val="none" w:sz="0" w:space="0" w:color="auto"/>
            <w:bottom w:val="none" w:sz="0" w:space="0" w:color="auto"/>
            <w:right w:val="none" w:sz="0" w:space="0" w:color="auto"/>
          </w:divBdr>
        </w:div>
        <w:div w:id="251399625">
          <w:marLeft w:val="662"/>
          <w:marRight w:val="0"/>
          <w:marTop w:val="0"/>
          <w:marBottom w:val="0"/>
          <w:divBdr>
            <w:top w:val="none" w:sz="0" w:space="0" w:color="auto"/>
            <w:left w:val="none" w:sz="0" w:space="0" w:color="auto"/>
            <w:bottom w:val="none" w:sz="0" w:space="0" w:color="auto"/>
            <w:right w:val="none" w:sz="0" w:space="0" w:color="auto"/>
          </w:divBdr>
        </w:div>
        <w:div w:id="283464570">
          <w:marLeft w:val="662"/>
          <w:marRight w:val="0"/>
          <w:marTop w:val="0"/>
          <w:marBottom w:val="0"/>
          <w:divBdr>
            <w:top w:val="none" w:sz="0" w:space="0" w:color="auto"/>
            <w:left w:val="none" w:sz="0" w:space="0" w:color="auto"/>
            <w:bottom w:val="none" w:sz="0" w:space="0" w:color="auto"/>
            <w:right w:val="none" w:sz="0" w:space="0" w:color="auto"/>
          </w:divBdr>
        </w:div>
      </w:divsChild>
    </w:div>
    <w:div w:id="614210418">
      <w:bodyDiv w:val="1"/>
      <w:marLeft w:val="0"/>
      <w:marRight w:val="0"/>
      <w:marTop w:val="0"/>
      <w:marBottom w:val="0"/>
      <w:divBdr>
        <w:top w:val="none" w:sz="0" w:space="0" w:color="auto"/>
        <w:left w:val="none" w:sz="0" w:space="0" w:color="auto"/>
        <w:bottom w:val="none" w:sz="0" w:space="0" w:color="auto"/>
        <w:right w:val="none" w:sz="0" w:space="0" w:color="auto"/>
      </w:divBdr>
    </w:div>
    <w:div w:id="1041325747">
      <w:bodyDiv w:val="1"/>
      <w:marLeft w:val="0"/>
      <w:marRight w:val="0"/>
      <w:marTop w:val="0"/>
      <w:marBottom w:val="0"/>
      <w:divBdr>
        <w:top w:val="none" w:sz="0" w:space="0" w:color="auto"/>
        <w:left w:val="none" w:sz="0" w:space="0" w:color="auto"/>
        <w:bottom w:val="none" w:sz="0" w:space="0" w:color="auto"/>
        <w:right w:val="none" w:sz="0" w:space="0" w:color="auto"/>
      </w:divBdr>
    </w:div>
    <w:div w:id="1175800575">
      <w:bodyDiv w:val="1"/>
      <w:marLeft w:val="0"/>
      <w:marRight w:val="0"/>
      <w:marTop w:val="0"/>
      <w:marBottom w:val="0"/>
      <w:divBdr>
        <w:top w:val="none" w:sz="0" w:space="0" w:color="auto"/>
        <w:left w:val="none" w:sz="0" w:space="0" w:color="auto"/>
        <w:bottom w:val="none" w:sz="0" w:space="0" w:color="auto"/>
        <w:right w:val="none" w:sz="0" w:space="0" w:color="auto"/>
      </w:divBdr>
    </w:div>
    <w:div w:id="1209217547">
      <w:bodyDiv w:val="1"/>
      <w:marLeft w:val="0"/>
      <w:marRight w:val="0"/>
      <w:marTop w:val="0"/>
      <w:marBottom w:val="0"/>
      <w:divBdr>
        <w:top w:val="none" w:sz="0" w:space="0" w:color="auto"/>
        <w:left w:val="none" w:sz="0" w:space="0" w:color="auto"/>
        <w:bottom w:val="none" w:sz="0" w:space="0" w:color="auto"/>
        <w:right w:val="none" w:sz="0" w:space="0" w:color="auto"/>
      </w:divBdr>
    </w:div>
    <w:div w:id="1398701496">
      <w:bodyDiv w:val="1"/>
      <w:marLeft w:val="0"/>
      <w:marRight w:val="0"/>
      <w:marTop w:val="0"/>
      <w:marBottom w:val="0"/>
      <w:divBdr>
        <w:top w:val="none" w:sz="0" w:space="0" w:color="auto"/>
        <w:left w:val="none" w:sz="0" w:space="0" w:color="auto"/>
        <w:bottom w:val="none" w:sz="0" w:space="0" w:color="auto"/>
        <w:right w:val="none" w:sz="0" w:space="0" w:color="auto"/>
      </w:divBdr>
    </w:div>
    <w:div w:id="1412585282">
      <w:bodyDiv w:val="1"/>
      <w:marLeft w:val="0"/>
      <w:marRight w:val="0"/>
      <w:marTop w:val="0"/>
      <w:marBottom w:val="0"/>
      <w:divBdr>
        <w:top w:val="none" w:sz="0" w:space="0" w:color="auto"/>
        <w:left w:val="none" w:sz="0" w:space="0" w:color="auto"/>
        <w:bottom w:val="none" w:sz="0" w:space="0" w:color="auto"/>
        <w:right w:val="none" w:sz="0" w:space="0" w:color="auto"/>
      </w:divBdr>
    </w:div>
    <w:div w:id="1623075785">
      <w:bodyDiv w:val="1"/>
      <w:marLeft w:val="0"/>
      <w:marRight w:val="0"/>
      <w:marTop w:val="0"/>
      <w:marBottom w:val="0"/>
      <w:divBdr>
        <w:top w:val="none" w:sz="0" w:space="0" w:color="auto"/>
        <w:left w:val="none" w:sz="0" w:space="0" w:color="auto"/>
        <w:bottom w:val="none" w:sz="0" w:space="0" w:color="auto"/>
        <w:right w:val="none" w:sz="0" w:space="0" w:color="auto"/>
      </w:divBdr>
    </w:div>
    <w:div w:id="1652326169">
      <w:bodyDiv w:val="1"/>
      <w:marLeft w:val="0"/>
      <w:marRight w:val="0"/>
      <w:marTop w:val="0"/>
      <w:marBottom w:val="0"/>
      <w:divBdr>
        <w:top w:val="none" w:sz="0" w:space="0" w:color="auto"/>
        <w:left w:val="none" w:sz="0" w:space="0" w:color="auto"/>
        <w:bottom w:val="none" w:sz="0" w:space="0" w:color="auto"/>
        <w:right w:val="none" w:sz="0" w:space="0" w:color="auto"/>
      </w:divBdr>
    </w:div>
    <w:div w:id="1717122496">
      <w:bodyDiv w:val="1"/>
      <w:marLeft w:val="0"/>
      <w:marRight w:val="0"/>
      <w:marTop w:val="0"/>
      <w:marBottom w:val="0"/>
      <w:divBdr>
        <w:top w:val="none" w:sz="0" w:space="0" w:color="auto"/>
        <w:left w:val="none" w:sz="0" w:space="0" w:color="auto"/>
        <w:bottom w:val="none" w:sz="0" w:space="0" w:color="auto"/>
        <w:right w:val="none" w:sz="0" w:space="0" w:color="auto"/>
      </w:divBdr>
    </w:div>
    <w:div w:id="1800876164">
      <w:bodyDiv w:val="1"/>
      <w:marLeft w:val="0"/>
      <w:marRight w:val="0"/>
      <w:marTop w:val="0"/>
      <w:marBottom w:val="0"/>
      <w:divBdr>
        <w:top w:val="none" w:sz="0" w:space="0" w:color="auto"/>
        <w:left w:val="none" w:sz="0" w:space="0" w:color="auto"/>
        <w:bottom w:val="none" w:sz="0" w:space="0" w:color="auto"/>
        <w:right w:val="none" w:sz="0" w:space="0" w:color="auto"/>
      </w:divBdr>
    </w:div>
    <w:div w:id="1809126163">
      <w:bodyDiv w:val="1"/>
      <w:marLeft w:val="0"/>
      <w:marRight w:val="0"/>
      <w:marTop w:val="0"/>
      <w:marBottom w:val="0"/>
      <w:divBdr>
        <w:top w:val="none" w:sz="0" w:space="0" w:color="auto"/>
        <w:left w:val="none" w:sz="0" w:space="0" w:color="auto"/>
        <w:bottom w:val="none" w:sz="0" w:space="0" w:color="auto"/>
        <w:right w:val="none" w:sz="0" w:space="0" w:color="auto"/>
      </w:divBdr>
    </w:div>
    <w:div w:id="1860198741">
      <w:bodyDiv w:val="1"/>
      <w:marLeft w:val="0"/>
      <w:marRight w:val="0"/>
      <w:marTop w:val="0"/>
      <w:marBottom w:val="0"/>
      <w:divBdr>
        <w:top w:val="none" w:sz="0" w:space="0" w:color="auto"/>
        <w:left w:val="none" w:sz="0" w:space="0" w:color="auto"/>
        <w:bottom w:val="none" w:sz="0" w:space="0" w:color="auto"/>
        <w:right w:val="none" w:sz="0" w:space="0" w:color="auto"/>
      </w:divBdr>
    </w:div>
    <w:div w:id="18774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labourmigration.eu/research/report/20-recognition-of-qualifications-and-competences-of-migrant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migrationpolicy.org/pubs/Credentialing-GlobalTrends.pdf" TargetMode="External"/><Relationship Id="rId2" Type="http://schemas.openxmlformats.org/officeDocument/2006/relationships/customXml" Target="../customXml/item2.xml"/><Relationship Id="rId16" Type="http://schemas.openxmlformats.org/officeDocument/2006/relationships/hyperlink" Target="http://www.immi.gov.au/skilled/general-skilled-%09migration/pdf/points-fact.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hart" Target="charts/chart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emf"/></Relationships>
</file>

<file path=word/charts/_rels/chart1.xml.rels><?xml version="1.0" encoding="UTF-8" standalone="yes"?>
<Relationships xmlns="http://schemas.openxmlformats.org/package/2006/relationships"><Relationship Id="rId2" Type="http://schemas.openxmlformats.org/officeDocument/2006/relationships/oleObject" Target="file:///C:\Documents%20and%20Settings\lhawt\Desktop\Ottawa%20IAMRA\Medicine2011%20Tables24%20Sept%202012.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82978230662369"/>
          <c:y val="4.3715846994535526E-2"/>
          <c:w val="0.79014371365344216"/>
          <c:h val="0.6554324254550149"/>
        </c:manualLayout>
      </c:layout>
      <c:barChart>
        <c:barDir val="col"/>
        <c:grouping val="clustered"/>
        <c:varyColors val="0"/>
        <c:ser>
          <c:idx val="0"/>
          <c:order val="0"/>
          <c:tx>
            <c:strRef>
              <c:f>'3. OET pass by field'!$B$29</c:f>
              <c:strCache>
                <c:ptCount val="1"/>
                <c:pt idx="0">
                  <c:v>2005</c:v>
                </c:pt>
              </c:strCache>
            </c:strRef>
          </c:tx>
          <c:invertIfNegative val="0"/>
          <c:dLbls>
            <c:dLbl>
              <c:idx val="1"/>
              <c:layout>
                <c:manualLayout>
                  <c:x val="0"/>
                  <c:y val="-4.4852191641182523E-2"/>
                </c:manualLayout>
              </c:layout>
              <c:showLegendKey val="0"/>
              <c:showVal val="1"/>
              <c:showCatName val="0"/>
              <c:showSerName val="0"/>
              <c:showPercent val="0"/>
              <c:showBubbleSize val="0"/>
            </c:dLbl>
            <c:numFmt formatCode="0%" sourceLinked="0"/>
            <c:txPr>
              <a:bodyPr/>
              <a:lstStyle/>
              <a:p>
                <a:pPr>
                  <a:defRPr sz="9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dLbls>
          <c:cat>
            <c:strRef>
              <c:f>'3. OET pass by field'!$A$30:$A$36</c:f>
              <c:strCache>
                <c:ptCount val="7"/>
                <c:pt idx="0">
                  <c:v>Medicine</c:v>
                </c:pt>
                <c:pt idx="1">
                  <c:v>Nursing</c:v>
                </c:pt>
                <c:pt idx="2">
                  <c:v>Dentistry</c:v>
                </c:pt>
                <c:pt idx="3">
                  <c:v>Physiotherapy</c:v>
                </c:pt>
                <c:pt idx="4">
                  <c:v>Pharmacy</c:v>
                </c:pt>
                <c:pt idx="5">
                  <c:v>Other Allied Health</c:v>
                </c:pt>
                <c:pt idx="6">
                  <c:v>Total</c:v>
                </c:pt>
              </c:strCache>
            </c:strRef>
          </c:cat>
          <c:val>
            <c:numRef>
              <c:f>'3. OET pass by field'!$B$30:$B$36</c:f>
              <c:numCache>
                <c:formatCode>0.0%</c:formatCode>
                <c:ptCount val="7"/>
                <c:pt idx="0">
                  <c:v>0.53428571428571425</c:v>
                </c:pt>
                <c:pt idx="1">
                  <c:v>0.1968390804597705</c:v>
                </c:pt>
                <c:pt idx="2">
                  <c:v>0.4</c:v>
                </c:pt>
                <c:pt idx="3">
                  <c:v>0.3846153846153848</c:v>
                </c:pt>
                <c:pt idx="4">
                  <c:v>0.39062500000000072</c:v>
                </c:pt>
                <c:pt idx="5">
                  <c:v>0.4642857142857143</c:v>
                </c:pt>
                <c:pt idx="6">
                  <c:v>0.37329545454545454</c:v>
                </c:pt>
              </c:numCache>
            </c:numRef>
          </c:val>
        </c:ser>
        <c:ser>
          <c:idx val="1"/>
          <c:order val="1"/>
          <c:tx>
            <c:strRef>
              <c:f>'3. OET pass by field'!$C$29</c:f>
              <c:strCache>
                <c:ptCount val="1"/>
                <c:pt idx="0">
                  <c:v>2010</c:v>
                </c:pt>
              </c:strCache>
            </c:strRef>
          </c:tx>
          <c:invertIfNegative val="0"/>
          <c:dLbls>
            <c:dLbl>
              <c:idx val="6"/>
              <c:layout>
                <c:manualLayout>
                  <c:x val="1.2598425196850418E-2"/>
                  <c:y val="0"/>
                </c:manualLayout>
              </c:layout>
              <c:showLegendKey val="0"/>
              <c:showVal val="1"/>
              <c:showCatName val="0"/>
              <c:showSerName val="0"/>
              <c:showPercent val="0"/>
              <c:showBubbleSize val="0"/>
            </c:dLbl>
            <c:numFmt formatCode="0%" sourceLinked="0"/>
            <c:txPr>
              <a:bodyPr/>
              <a:lstStyle/>
              <a:p>
                <a:pPr>
                  <a:defRPr sz="9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dLbls>
          <c:cat>
            <c:strRef>
              <c:f>'3. OET pass by field'!$A$30:$A$36</c:f>
              <c:strCache>
                <c:ptCount val="7"/>
                <c:pt idx="0">
                  <c:v>Medicine</c:v>
                </c:pt>
                <c:pt idx="1">
                  <c:v>Nursing</c:v>
                </c:pt>
                <c:pt idx="2">
                  <c:v>Dentistry</c:v>
                </c:pt>
                <c:pt idx="3">
                  <c:v>Physiotherapy</c:v>
                </c:pt>
                <c:pt idx="4">
                  <c:v>Pharmacy</c:v>
                </c:pt>
                <c:pt idx="5">
                  <c:v>Other Allied Health</c:v>
                </c:pt>
                <c:pt idx="6">
                  <c:v>Total</c:v>
                </c:pt>
              </c:strCache>
            </c:strRef>
          </c:cat>
          <c:val>
            <c:numRef>
              <c:f>'3. OET pass by field'!$C$30:$C$36</c:f>
              <c:numCache>
                <c:formatCode>0.0%</c:formatCode>
                <c:ptCount val="7"/>
                <c:pt idx="0">
                  <c:v>0.43163097199341155</c:v>
                </c:pt>
                <c:pt idx="1">
                  <c:v>0.19353155972874267</c:v>
                </c:pt>
                <c:pt idx="2">
                  <c:v>0.47099767981438601</c:v>
                </c:pt>
                <c:pt idx="3">
                  <c:v>0.33928571428571513</c:v>
                </c:pt>
                <c:pt idx="4">
                  <c:v>0.27700831024930822</c:v>
                </c:pt>
                <c:pt idx="5">
                  <c:v>0.31746031746031816</c:v>
                </c:pt>
                <c:pt idx="6">
                  <c:v>0.33508064516129155</c:v>
                </c:pt>
              </c:numCache>
            </c:numRef>
          </c:val>
        </c:ser>
        <c:ser>
          <c:idx val="2"/>
          <c:order val="2"/>
          <c:tx>
            <c:strRef>
              <c:f>'3. OET pass by field'!$D$29</c:f>
              <c:strCache>
                <c:ptCount val="1"/>
                <c:pt idx="0">
                  <c:v>2011</c:v>
                </c:pt>
              </c:strCache>
            </c:strRef>
          </c:tx>
          <c:spPr>
            <a:solidFill>
              <a:srgbClr val="FFFF00"/>
            </a:solidFill>
          </c:spPr>
          <c:invertIfNegative val="0"/>
          <c:dLbls>
            <c:dLbl>
              <c:idx val="1"/>
              <c:layout>
                <c:manualLayout>
                  <c:x val="0"/>
                  <c:y val="-4.0774719673802265E-2"/>
                </c:manualLayout>
              </c:layout>
              <c:showLegendKey val="0"/>
              <c:showVal val="1"/>
              <c:showCatName val="0"/>
              <c:showSerName val="0"/>
              <c:showPercent val="0"/>
              <c:showBubbleSize val="0"/>
            </c:dLbl>
            <c:numFmt formatCode="0%" sourceLinked="0"/>
            <c:txPr>
              <a:bodyPr/>
              <a:lstStyle/>
              <a:p>
                <a:pPr>
                  <a:defRPr sz="900" b="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dLbls>
          <c:cat>
            <c:strRef>
              <c:f>'3. OET pass by field'!$A$30:$A$36</c:f>
              <c:strCache>
                <c:ptCount val="7"/>
                <c:pt idx="0">
                  <c:v>Medicine</c:v>
                </c:pt>
                <c:pt idx="1">
                  <c:v>Nursing</c:v>
                </c:pt>
                <c:pt idx="2">
                  <c:v>Dentistry</c:v>
                </c:pt>
                <c:pt idx="3">
                  <c:v>Physiotherapy</c:v>
                </c:pt>
                <c:pt idx="4">
                  <c:v>Pharmacy</c:v>
                </c:pt>
                <c:pt idx="5">
                  <c:v>Other Allied Health</c:v>
                </c:pt>
                <c:pt idx="6">
                  <c:v>Total</c:v>
                </c:pt>
              </c:strCache>
            </c:strRef>
          </c:cat>
          <c:val>
            <c:numRef>
              <c:f>'3. OET pass by field'!$D$30:$D$36</c:f>
              <c:numCache>
                <c:formatCode>0.0%</c:formatCode>
                <c:ptCount val="7"/>
                <c:pt idx="0">
                  <c:v>0.52</c:v>
                </c:pt>
                <c:pt idx="1">
                  <c:v>0.16800000000000009</c:v>
                </c:pt>
                <c:pt idx="2">
                  <c:v>0.62000000000000144</c:v>
                </c:pt>
                <c:pt idx="3">
                  <c:v>0.31900000000000084</c:v>
                </c:pt>
                <c:pt idx="4">
                  <c:v>0.37600000000000072</c:v>
                </c:pt>
                <c:pt idx="5">
                  <c:v>0.39700000000000096</c:v>
                </c:pt>
                <c:pt idx="6">
                  <c:v>0.40600000000000008</c:v>
                </c:pt>
              </c:numCache>
            </c:numRef>
          </c:val>
        </c:ser>
        <c:dLbls>
          <c:showLegendKey val="0"/>
          <c:showVal val="1"/>
          <c:showCatName val="0"/>
          <c:showSerName val="0"/>
          <c:showPercent val="0"/>
          <c:showBubbleSize val="0"/>
        </c:dLbls>
        <c:gapWidth val="150"/>
        <c:axId val="116769920"/>
        <c:axId val="116771456"/>
      </c:barChart>
      <c:catAx>
        <c:axId val="116769920"/>
        <c:scaling>
          <c:orientation val="minMax"/>
        </c:scaling>
        <c:delete val="0"/>
        <c:axPos val="b"/>
        <c:numFmt formatCode="General" sourceLinked="1"/>
        <c:majorTickMark val="out"/>
        <c:minorTickMark val="none"/>
        <c:tickLblPos val="nextTo"/>
        <c:txPr>
          <a:bodyPr/>
          <a:lstStyle/>
          <a:p>
            <a:pPr>
              <a:defRPr sz="1000" b="1">
                <a:latin typeface="Times New Roman" pitchFamily="18" charset="0"/>
                <a:cs typeface="Times New Roman" pitchFamily="18" charset="0"/>
              </a:defRPr>
            </a:pPr>
            <a:endParaRPr lang="en-US"/>
          </a:p>
        </c:txPr>
        <c:crossAx val="116771456"/>
        <c:crosses val="autoZero"/>
        <c:auto val="1"/>
        <c:lblAlgn val="ctr"/>
        <c:lblOffset val="100"/>
        <c:noMultiLvlLbl val="0"/>
      </c:catAx>
      <c:valAx>
        <c:axId val="116771456"/>
        <c:scaling>
          <c:orientation val="minMax"/>
          <c:max val="0.70000000000000062"/>
        </c:scaling>
        <c:delete val="0"/>
        <c:axPos val="l"/>
        <c:title>
          <c:tx>
            <c:rich>
              <a:bodyPr rot="-5400000" vert="horz"/>
              <a:lstStyle/>
              <a:p>
                <a:pPr>
                  <a:defRPr sz="1000" b="1">
                    <a:latin typeface="Times New Roman" pitchFamily="18" charset="0"/>
                    <a:cs typeface="Times New Roman" pitchFamily="18" charset="0"/>
                  </a:defRPr>
                </a:pPr>
                <a:r>
                  <a:rPr lang="en-US" sz="1000" b="1">
                    <a:latin typeface="Times New Roman" pitchFamily="18" charset="0"/>
                    <a:cs typeface="Times New Roman" pitchFamily="18" charset="0"/>
                  </a:rPr>
                  <a:t>Candidate pass rate (%)</a:t>
                </a:r>
              </a:p>
            </c:rich>
          </c:tx>
          <c:overlay val="0"/>
        </c:title>
        <c:numFmt formatCode="0%" sourceLinked="0"/>
        <c:majorTickMark val="out"/>
        <c:minorTickMark val="none"/>
        <c:tickLblPos val="nextTo"/>
        <c:crossAx val="116769920"/>
        <c:crosses val="autoZero"/>
        <c:crossBetween val="between"/>
      </c:valAx>
    </c:plotArea>
    <c:legend>
      <c:legendPos val="r"/>
      <c:overlay val="0"/>
      <c:txPr>
        <a:bodyPr/>
        <a:lstStyle/>
        <a:p>
          <a:pPr>
            <a:defRPr sz="1000" b="1">
              <a:latin typeface="Times New Roman" pitchFamily="18" charset="0"/>
              <a:cs typeface="Times New Roman" pitchFamily="18" charset="0"/>
            </a:defRPr>
          </a:pPr>
          <a:endParaRPr lang="en-US"/>
        </a:p>
      </c:txPr>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
    <a:dk1>
      <a:srgbClr val="000000"/>
    </a:dk1>
    <a:lt1>
      <a:srgbClr val="FFFFFF"/>
    </a:lt1>
    <a:dk2>
      <a:srgbClr val="000000"/>
    </a:dk2>
    <a:lt2>
      <a:srgbClr val="919191"/>
    </a:lt2>
    <a:accent1>
      <a:srgbClr val="618FFD"/>
    </a:accent1>
    <a:accent2>
      <a:srgbClr val="00AE00"/>
    </a:accent2>
    <a:accent3>
      <a:srgbClr val="FFFFFF"/>
    </a:accent3>
    <a:accent4>
      <a:srgbClr val="000000"/>
    </a:accent4>
    <a:accent5>
      <a:srgbClr val="B7C6FE"/>
    </a:accent5>
    <a:accent6>
      <a:srgbClr val="009D00"/>
    </a:accent6>
    <a:hlink>
      <a:srgbClr val="FC0128"/>
    </a:hlink>
    <a:folHlink>
      <a:srgbClr val="CECECE"/>
    </a:folHlink>
  </a:clrScheme>
  <a:fontScheme name="Lesleyann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CB14E346695644469095BFFBE1A5A5AB" ma:contentTypeVersion="3" ma:contentTypeDescription="" ma:contentTypeScope="" ma:versionID="3b9ba91f82ef05030f4d51f6df19d284">
  <xsd:schema xmlns:xsd="http://www.w3.org/2001/XMLSchema" xmlns:xs="http://www.w3.org/2001/XMLSchema" xmlns:p="http://schemas.microsoft.com/office/2006/metadata/properties" xmlns:ns2="379f305f-0eae-4f49-a597-ac36ed55be43" targetNamespace="http://schemas.microsoft.com/office/2006/metadata/properties" ma:root="true" ma:fieldsID="2113e198c540af78c7db22f6bed48953" ns2:_="">
    <xsd:import namespace="379f305f-0eae-4f49-a597-ac36ed55be43"/>
    <xsd:element name="properties">
      <xsd:complexType>
        <xsd:sequence>
          <xsd:element name="documentManagement">
            <xsd:complexType>
              <xsd:all>
                <xsd:element ref="ns2:Jurisdiction"/>
                <xsd:element ref="ns2:Sub_x0020_number" minOccurs="0"/>
                <xsd:element ref="ns2:Submitter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f305f-0eae-4f49-a597-ac36ed55be43" elementFormDefault="qualified">
    <xsd:import namespace="http://schemas.microsoft.com/office/2006/documentManagement/types"/>
    <xsd:import namespace="http://schemas.microsoft.com/office/infopath/2007/PartnerControls"/>
    <xsd:element name="Jurisdiction" ma:index="8" ma:displayName="Jurisdiction" ma:default="National" ma:format="Dropdown" ma:internalName="Jurisdiction">
      <xsd:simpleType>
        <xsd:restriction base="dms:Choice">
          <xsd:enumeration value="National"/>
          <xsd:enumeration value="Overseas"/>
          <xsd:enumeration value="NSW"/>
          <xsd:enumeration value="QLD"/>
          <xsd:enumeration value="VIC"/>
          <xsd:enumeration value="WA"/>
          <xsd:enumeration value="SA"/>
          <xsd:enumeration value="TAS"/>
          <xsd:enumeration value="ACT"/>
          <xsd:enumeration value="NT"/>
        </xsd:restriction>
      </xsd:simpleType>
    </xsd:element>
    <xsd:element name="Sub_x0020_number" ma:index="9" nillable="true" ma:displayName="Sub number" ma:description="All files associated with this submission number" ma:internalName="Sub_x0020_number">
      <xsd:simpleType>
        <xsd:restriction base="dms:Text">
          <xsd:maxLength value="255"/>
        </xsd:restriction>
      </xsd:simpleType>
    </xsd:element>
    <xsd:element name="Submitter_x0020_Type" ma:index="10" nillable="true" ma:displayName="Submitter Type" ma:format="Dropdown" ma:internalName="Submitter_x0020_Type">
      <xsd:simpleType>
        <xsd:restriction base="dms:Choice">
          <xsd:enumeration value="Individual"/>
          <xsd:enumeration value="Business"/>
          <xsd:enumeration value="Business / professional association"/>
          <xsd:enumeration value="Government / government body"/>
          <xsd:enumeration value="Academic"/>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urisdiction xmlns="379f305f-0eae-4f49-a597-ac36ed55be43">National</Jurisdiction>
    <Submitter_x0020_Type xmlns="379f305f-0eae-4f49-a597-ac36ed55be43" xsi:nil="true"/>
    <Sub_x0020_number xmlns="379f305f-0eae-4f49-a597-ac36ed55be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E517D-58A3-4FB3-A95F-CA6982606DDF}">
  <ds:schemaRefs>
    <ds:schemaRef ds:uri="http://schemas.microsoft.com/office/2006/metadata/customXsn"/>
  </ds:schemaRefs>
</ds:datastoreItem>
</file>

<file path=customXml/itemProps2.xml><?xml version="1.0" encoding="utf-8"?>
<ds:datastoreItem xmlns:ds="http://schemas.openxmlformats.org/officeDocument/2006/customXml" ds:itemID="{D3DB636D-A14C-4BBD-B41F-FBDB73529224}">
  <ds:schemaRefs>
    <ds:schemaRef ds:uri="http://schemas.microsoft.com/sharepoint/events"/>
  </ds:schemaRefs>
</ds:datastoreItem>
</file>

<file path=customXml/itemProps3.xml><?xml version="1.0" encoding="utf-8"?>
<ds:datastoreItem xmlns:ds="http://schemas.openxmlformats.org/officeDocument/2006/customXml" ds:itemID="{CA7BAE9F-8ABF-499A-BD70-90F9D47CD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f305f-0eae-4f49-a597-ac36ed55b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1840D2-6555-42CB-9688-FCF363A2215F}">
  <ds:schemaRefs>
    <ds:schemaRef ds:uri="http://schemas.openxmlformats.org/package/2006/metadata/core-properties"/>
    <ds:schemaRef ds:uri="http://purl.org/dc/dcmitype/"/>
    <ds:schemaRef ds:uri="http://purl.org/dc/elements/1.1/"/>
    <ds:schemaRef ds:uri="http://www.w3.org/XML/1998/namespace"/>
    <ds:schemaRef ds:uri="http://schemas.microsoft.com/office/2006/documentManagement/types"/>
    <ds:schemaRef ds:uri="379f305f-0eae-4f49-a597-ac36ed55be43"/>
    <ds:schemaRef ds:uri="http://schemas.microsoft.com/office/infopath/2007/PartnerControls"/>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414F6E75-76BD-4128-AACC-637B1E9309E4}">
  <ds:schemaRefs>
    <ds:schemaRef ds:uri="http://schemas.microsoft.com/sharepoint/v3/contenttype/forms"/>
  </ds:schemaRefs>
</ds:datastoreItem>
</file>

<file path=customXml/itemProps6.xml><?xml version="1.0" encoding="utf-8"?>
<ds:datastoreItem xmlns:ds="http://schemas.openxmlformats.org/officeDocument/2006/customXml" ds:itemID="{B4080E3F-365C-4DC3-9B57-EC69A0963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4621</Words>
  <Characters>28134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Submission 43 - Lesleyanne Hawthorne - Migrant Intake into Australia - Public inquiry</vt:lpstr>
    </vt:vector>
  </TitlesOfParts>
  <Company/>
  <LinksUpToDate>false</LinksUpToDate>
  <CharactersWithSpaces>32690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43 - Lesleyanne Hawthorne - Migrant Intake into Australia - Public inquiry</dc:title>
  <dc:creator>Lesleyanne Hawthorne</dc:creator>
  <cp:lastModifiedBy>Mark Pimperl</cp:lastModifiedBy>
  <cp:revision>3</cp:revision>
  <cp:lastPrinted>2015-06-15T22:58:00Z</cp:lastPrinted>
  <dcterms:created xsi:type="dcterms:W3CDTF">2015-06-15T23:48:00Z</dcterms:created>
  <dcterms:modified xsi:type="dcterms:W3CDTF">2015-06-16T00:06:00Z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0x01010066EDC8E18BFE9C418F00295EA55D44EA0015EE9FD84A134F42A8E78176E2093D4400CB14E346695644469095BFFBE1A5A5AB</vt:lpwstr>
  </property>
  <property fmtid="{D5CDD505-2E9C-101B-9397-08002B2CF9AE}" pid="3" name="RecordPoint_WorkflowType">
    <vt:lpwstr>ActiveSubmitStub</vt:lpwstr>
  </property>
  <property fmtid="{D5CDD505-2E9C-101B-9397-08002B2CF9AE}" pid="4" name="RecordPoint_ActiveItemSiteId">
    <vt:lpwstr>{5750d626-0aa0-474c-a55f-8063909d4906}</vt:lpwstr>
  </property>
  <property fmtid="{D5CDD505-2E9C-101B-9397-08002B2CF9AE}" pid="5" name="RecordPoint_ActiveItemListId">
    <vt:lpwstr>{379f305f-0eae-4f49-a597-ac36ed55be43}</vt:lpwstr>
  </property>
  <property fmtid="{D5CDD505-2E9C-101B-9397-08002B2CF9AE}" pid="6" name="RecordPoint_ActiveItemUniqueId">
    <vt:lpwstr>{d61ff333-398c-4bd4-b376-1500506ea4ef}</vt:lpwstr>
  </property>
  <property fmtid="{D5CDD505-2E9C-101B-9397-08002B2CF9AE}" pid="7" name="RecordPoint_ActiveItemWebId">
    <vt:lpwstr>{1255bf9b-13bc-4d3b-b9db-113cc2ac867f}</vt:lpwstr>
  </property>
</Properties>
</file>