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DE84F20" w14:textId="77777777" w:rsidR="008D72C1" w:rsidRDefault="008D72C1" w:rsidP="00FB5977">
      <w:pPr>
        <w:pStyle w:val="ARITAReportHeading1"/>
        <w:numPr>
          <w:ilvl w:val="0"/>
          <w:numId w:val="0"/>
        </w:numPr>
        <w:rPr>
          <w:b/>
          <w:sz w:val="44"/>
          <w:szCs w:val="44"/>
          <w:lang w:val="en-AU"/>
        </w:rPr>
      </w:pPr>
      <w:bookmarkStart w:id="0" w:name="_GoBack"/>
      <w:bookmarkEnd w:id="0"/>
    </w:p>
    <w:p w14:paraId="64306401" w14:textId="77777777" w:rsidR="008D72C1" w:rsidRDefault="008D72C1" w:rsidP="00FB5977">
      <w:pPr>
        <w:pStyle w:val="ARITAReportHeading1"/>
        <w:numPr>
          <w:ilvl w:val="0"/>
          <w:numId w:val="0"/>
        </w:numPr>
        <w:rPr>
          <w:b/>
          <w:sz w:val="44"/>
          <w:szCs w:val="44"/>
          <w:lang w:val="en-AU"/>
        </w:rPr>
      </w:pPr>
    </w:p>
    <w:p w14:paraId="2F795674" w14:textId="77777777" w:rsidR="008D72C1" w:rsidRDefault="008D72C1" w:rsidP="00FB5977">
      <w:pPr>
        <w:pStyle w:val="ARITAReportHeading1"/>
        <w:numPr>
          <w:ilvl w:val="0"/>
          <w:numId w:val="0"/>
        </w:numPr>
        <w:rPr>
          <w:b/>
          <w:sz w:val="44"/>
          <w:szCs w:val="44"/>
          <w:lang w:val="en-AU"/>
        </w:rPr>
      </w:pPr>
    </w:p>
    <w:p w14:paraId="5CF65CAE" w14:textId="77777777" w:rsidR="008D72C1" w:rsidRDefault="008D72C1" w:rsidP="00FB5977">
      <w:pPr>
        <w:pStyle w:val="ARITAReportHeading1"/>
        <w:numPr>
          <w:ilvl w:val="0"/>
          <w:numId w:val="0"/>
        </w:numPr>
        <w:rPr>
          <w:b/>
          <w:sz w:val="44"/>
          <w:szCs w:val="44"/>
          <w:lang w:val="en-AU"/>
        </w:rPr>
      </w:pPr>
    </w:p>
    <w:p w14:paraId="724E766B" w14:textId="77777777" w:rsidR="008D72C1" w:rsidRDefault="008D72C1" w:rsidP="00FB5977">
      <w:pPr>
        <w:pStyle w:val="ARITAReportHeading1"/>
        <w:numPr>
          <w:ilvl w:val="0"/>
          <w:numId w:val="0"/>
        </w:numPr>
        <w:rPr>
          <w:b/>
          <w:sz w:val="44"/>
          <w:szCs w:val="44"/>
          <w:lang w:val="en-AU"/>
        </w:rPr>
      </w:pPr>
    </w:p>
    <w:p w14:paraId="4721E6B3" w14:textId="77777777" w:rsidR="00FB5977" w:rsidRPr="00FB5977" w:rsidRDefault="00FB5977" w:rsidP="00FB5977">
      <w:pPr>
        <w:pStyle w:val="ARITAReportHeading1"/>
        <w:numPr>
          <w:ilvl w:val="0"/>
          <w:numId w:val="0"/>
        </w:numPr>
        <w:rPr>
          <w:lang w:val="en-AU"/>
        </w:rPr>
      </w:pPr>
      <w:r w:rsidRPr="00322415">
        <w:rPr>
          <w:b/>
          <w:sz w:val="44"/>
          <w:szCs w:val="44"/>
          <w:lang w:val="en-AU"/>
        </w:rPr>
        <w:t>Policy Positions</w:t>
      </w:r>
    </w:p>
    <w:p w14:paraId="7A9C3638" w14:textId="77777777" w:rsidR="00FB5977" w:rsidRPr="00FB5977" w:rsidRDefault="00FB5977" w:rsidP="00FB5977">
      <w:pPr>
        <w:pStyle w:val="ARITAReportHeading1"/>
        <w:numPr>
          <w:ilvl w:val="0"/>
          <w:numId w:val="0"/>
        </w:numPr>
        <w:rPr>
          <w:b/>
          <w:lang w:val="en-AU"/>
        </w:rPr>
      </w:pPr>
      <w:r w:rsidRPr="00FB5977">
        <w:rPr>
          <w:lang w:val="en-AU"/>
        </w:rPr>
        <w:t>of the</w:t>
      </w:r>
    </w:p>
    <w:p w14:paraId="55D8F056" w14:textId="77777777" w:rsidR="00FB5977" w:rsidRPr="00322415" w:rsidRDefault="00FB5977" w:rsidP="00FB5977">
      <w:pPr>
        <w:pStyle w:val="ARITAReportHeading1"/>
        <w:numPr>
          <w:ilvl w:val="0"/>
          <w:numId w:val="0"/>
        </w:numPr>
        <w:rPr>
          <w:b/>
          <w:sz w:val="44"/>
          <w:szCs w:val="44"/>
          <w:lang w:val="en-AU"/>
        </w:rPr>
      </w:pPr>
      <w:r w:rsidRPr="00322415">
        <w:rPr>
          <w:b/>
          <w:sz w:val="44"/>
          <w:szCs w:val="44"/>
          <w:lang w:val="en-AU"/>
        </w:rPr>
        <w:t>Australian Restructuring Insolvency and Turnaround Association</w:t>
      </w:r>
    </w:p>
    <w:p w14:paraId="7E8905F4" w14:textId="77777777" w:rsidR="00322415" w:rsidRDefault="00322415" w:rsidP="00B76E2B">
      <w:pPr>
        <w:pStyle w:val="ARITAReportHeading1"/>
        <w:numPr>
          <w:ilvl w:val="0"/>
          <w:numId w:val="0"/>
        </w:numPr>
        <w:rPr>
          <w:bCs/>
          <w:lang w:val="en-AU"/>
        </w:rPr>
      </w:pPr>
    </w:p>
    <w:p w14:paraId="69B6655D" w14:textId="77777777" w:rsidR="00186765" w:rsidRPr="00D81648" w:rsidRDefault="00FB5977" w:rsidP="00B76E2B">
      <w:pPr>
        <w:pStyle w:val="ARITAReportHeading1"/>
        <w:numPr>
          <w:ilvl w:val="0"/>
          <w:numId w:val="0"/>
        </w:numPr>
        <w:rPr>
          <w:sz w:val="18"/>
          <w:lang w:val="en-AU"/>
        </w:rPr>
      </w:pPr>
      <w:r w:rsidRPr="00FB5977">
        <w:rPr>
          <w:bCs/>
          <w:lang w:val="en-AU"/>
        </w:rPr>
        <w:t>as at February 2015</w:t>
      </w:r>
      <w:r w:rsidR="00376775" w:rsidRPr="00D81648">
        <w:rPr>
          <w:sz w:val="18"/>
          <w:lang w:val="en-AU"/>
        </w:rPr>
        <w:br w:type="page"/>
      </w:r>
    </w:p>
    <w:tbl>
      <w:tblPr>
        <w:tblStyle w:val="TableGrid"/>
        <w:tblW w:w="0" w:type="auto"/>
        <w:shd w:val="clear" w:color="auto" w:fill="EEECE8"/>
        <w:tblLook w:val="04A0" w:firstRow="1" w:lastRow="0" w:firstColumn="1" w:lastColumn="0" w:noHBand="0" w:noVBand="1"/>
      </w:tblPr>
      <w:tblGrid>
        <w:gridCol w:w="9242"/>
      </w:tblGrid>
      <w:tr w:rsidR="00B76E2B" w:rsidRPr="00D81648" w14:paraId="395723BE" w14:textId="77777777" w:rsidTr="00180698">
        <w:tc>
          <w:tcPr>
            <w:tcW w:w="9242" w:type="dxa"/>
            <w:tcBorders>
              <w:top w:val="nil"/>
              <w:left w:val="nil"/>
              <w:bottom w:val="nil"/>
              <w:right w:val="nil"/>
            </w:tcBorders>
            <w:shd w:val="clear" w:color="auto" w:fill="EEECE8"/>
          </w:tcPr>
          <w:p w14:paraId="155B8711" w14:textId="77777777" w:rsidR="00B76E2B" w:rsidRPr="00D81648" w:rsidRDefault="00B76E2B" w:rsidP="006E7C8E">
            <w:pPr>
              <w:pStyle w:val="ARITAReportHeading2"/>
              <w:numPr>
                <w:ilvl w:val="0"/>
                <w:numId w:val="0"/>
              </w:numPr>
              <w:spacing w:before="240" w:after="120"/>
              <w:rPr>
                <w:lang w:val="en-AU"/>
              </w:rPr>
            </w:pPr>
            <w:bookmarkStart w:id="1" w:name="_Toc398706300"/>
            <w:r w:rsidRPr="00D81648">
              <w:rPr>
                <w:lang w:val="en-AU"/>
              </w:rPr>
              <w:lastRenderedPageBreak/>
              <w:t xml:space="preserve">Policy 15-01: ARITA </w:t>
            </w:r>
            <w:r w:rsidR="00DB5385" w:rsidRPr="00D81648">
              <w:rPr>
                <w:lang w:val="en-AU"/>
              </w:rPr>
              <w:t>law reform objectives (corp</w:t>
            </w:r>
            <w:r w:rsidRPr="00D81648">
              <w:rPr>
                <w:lang w:val="en-AU"/>
              </w:rPr>
              <w:t>orate)</w:t>
            </w:r>
          </w:p>
          <w:p w14:paraId="73594853" w14:textId="77777777" w:rsidR="0098293E" w:rsidRPr="00D81648" w:rsidRDefault="00B76E2B" w:rsidP="006E7C8E">
            <w:pPr>
              <w:pStyle w:val="ARITABodyText"/>
              <w:spacing w:after="200"/>
              <w:rPr>
                <w:lang w:val="en-AU"/>
              </w:rPr>
            </w:pPr>
            <w:r w:rsidRPr="00D81648">
              <w:rPr>
                <w:lang w:val="en-AU"/>
              </w:rPr>
              <w:t xml:space="preserve">We believe that the Australian </w:t>
            </w:r>
            <w:r w:rsidR="00DB5385" w:rsidRPr="00D81648">
              <w:rPr>
                <w:lang w:val="en-AU"/>
              </w:rPr>
              <w:t>corporate restructuring, insolvency and turnaround r</w:t>
            </w:r>
            <w:r w:rsidRPr="00D81648">
              <w:rPr>
                <w:lang w:val="en-AU"/>
              </w:rPr>
              <w:t>egime should:</w:t>
            </w:r>
          </w:p>
          <w:p w14:paraId="43389E59" w14:textId="77777777" w:rsidR="00DB5385" w:rsidRPr="00DB5385" w:rsidRDefault="00DB5385" w:rsidP="00DB5385">
            <w:pPr>
              <w:pStyle w:val="ListBullet"/>
              <w:spacing w:after="200"/>
              <w:contextualSpacing w:val="0"/>
              <w:rPr>
                <w:rFonts w:eastAsia="Times New Roman"/>
                <w:lang w:val="en-AU"/>
              </w:rPr>
            </w:pPr>
            <w:r w:rsidRPr="00DB5385">
              <w:rPr>
                <w:rFonts w:eastAsia="Times New Roman"/>
                <w:lang w:val="en-AU"/>
              </w:rPr>
              <w:t xml:space="preserve">support the preservation of viable </w:t>
            </w:r>
            <w:r w:rsidR="008138F8">
              <w:rPr>
                <w:rFonts w:eastAsia="Times New Roman"/>
                <w:lang w:val="en-AU"/>
              </w:rPr>
              <w:t>organisations</w:t>
            </w:r>
            <w:r w:rsidR="00FF1A57" w:rsidRPr="00DB5385">
              <w:rPr>
                <w:rFonts w:eastAsia="Times New Roman"/>
                <w:lang w:val="en-AU"/>
              </w:rPr>
              <w:t xml:space="preserve"> </w:t>
            </w:r>
            <w:r w:rsidRPr="00DB5385">
              <w:rPr>
                <w:rFonts w:eastAsia="Times New Roman"/>
                <w:lang w:val="en-AU"/>
              </w:rPr>
              <w:t>that have otherwise found themselves in, or heading towards, financial distress, provided they:</w:t>
            </w:r>
          </w:p>
          <w:p w14:paraId="6E1FA275" w14:textId="77777777" w:rsidR="00DB5385" w:rsidRPr="00DB5385" w:rsidRDefault="00DB5385" w:rsidP="00DB5385">
            <w:pPr>
              <w:pStyle w:val="ListBullet2"/>
              <w:spacing w:after="200"/>
              <w:contextualSpacing w:val="0"/>
              <w:rPr>
                <w:lang w:val="en-AU"/>
              </w:rPr>
            </w:pPr>
            <w:r w:rsidRPr="00DB5385">
              <w:rPr>
                <w:lang w:val="en-AU"/>
              </w:rPr>
              <w:t>have good financial systems and controls</w:t>
            </w:r>
          </w:p>
          <w:p w14:paraId="4EA85272" w14:textId="77777777" w:rsidR="00DB5385" w:rsidRPr="00DB5385" w:rsidRDefault="00DB5385" w:rsidP="00DB5385">
            <w:pPr>
              <w:pStyle w:val="ListBullet2"/>
              <w:spacing w:after="200"/>
              <w:contextualSpacing w:val="0"/>
              <w:rPr>
                <w:lang w:val="en-AU"/>
              </w:rPr>
            </w:pPr>
            <w:r w:rsidRPr="00DB5385">
              <w:rPr>
                <w:lang w:val="en-AU"/>
              </w:rPr>
              <w:t>are tax compliant</w:t>
            </w:r>
          </w:p>
          <w:p w14:paraId="2A6FC77E" w14:textId="77777777" w:rsidR="00DB5385" w:rsidRPr="00DB5385" w:rsidRDefault="00DB5385" w:rsidP="00DB5385">
            <w:pPr>
              <w:pStyle w:val="ListBullet2"/>
              <w:spacing w:after="200"/>
              <w:contextualSpacing w:val="0"/>
              <w:rPr>
                <w:lang w:val="en-AU"/>
              </w:rPr>
            </w:pPr>
            <w:r w:rsidRPr="00DB5385">
              <w:rPr>
                <w:lang w:val="en-AU"/>
              </w:rPr>
              <w:t>are compliant with other regulatory obligations (e.g. corporate, WHS, environmental, product safety, etc.), and</w:t>
            </w:r>
          </w:p>
          <w:p w14:paraId="1D44EBB7" w14:textId="77777777" w:rsidR="00DB5385" w:rsidRPr="00DB5385" w:rsidRDefault="00DB5385" w:rsidP="00DB5385">
            <w:pPr>
              <w:pStyle w:val="ListBullet2"/>
              <w:spacing w:after="200"/>
              <w:contextualSpacing w:val="0"/>
              <w:rPr>
                <w:lang w:val="en-AU"/>
              </w:rPr>
            </w:pPr>
            <w:r w:rsidRPr="00DB5385">
              <w:rPr>
                <w:lang w:val="en-AU"/>
              </w:rPr>
              <w:t>demonstrate good corporate governance</w:t>
            </w:r>
          </w:p>
          <w:p w14:paraId="78139522" w14:textId="77777777" w:rsidR="00B76E2B" w:rsidRPr="00D81648" w:rsidRDefault="00B76E2B" w:rsidP="006E7C8E">
            <w:pPr>
              <w:pStyle w:val="ListBullet"/>
              <w:spacing w:after="200"/>
              <w:contextualSpacing w:val="0"/>
              <w:rPr>
                <w:rFonts w:eastAsia="Times New Roman"/>
                <w:lang w:val="en-AU"/>
              </w:rPr>
            </w:pPr>
            <w:r w:rsidRPr="00D81648">
              <w:rPr>
                <w:rFonts w:eastAsia="Times New Roman"/>
                <w:lang w:val="en-AU"/>
              </w:rPr>
              <w:t xml:space="preserve">recognise the value to the economy of sustaining continuous employment for employees involved in viable </w:t>
            </w:r>
            <w:r w:rsidR="008138F8">
              <w:rPr>
                <w:rFonts w:eastAsia="Times New Roman"/>
                <w:lang w:val="en-AU"/>
              </w:rPr>
              <w:t>organisations</w:t>
            </w:r>
            <w:r w:rsidR="00FF1A57" w:rsidRPr="00D81648">
              <w:rPr>
                <w:rFonts w:eastAsia="Times New Roman"/>
                <w:lang w:val="en-AU"/>
              </w:rPr>
              <w:t xml:space="preserve"> </w:t>
            </w:r>
            <w:r w:rsidRPr="00D81648">
              <w:rPr>
                <w:rFonts w:eastAsia="Times New Roman"/>
                <w:lang w:val="en-AU"/>
              </w:rPr>
              <w:t>facing financial distress</w:t>
            </w:r>
          </w:p>
          <w:p w14:paraId="224D2866" w14:textId="77777777" w:rsidR="00B76E2B" w:rsidRPr="00D81648" w:rsidRDefault="00B76E2B" w:rsidP="006E7C8E">
            <w:pPr>
              <w:pStyle w:val="ListBullet"/>
              <w:spacing w:after="200"/>
              <w:contextualSpacing w:val="0"/>
              <w:rPr>
                <w:rFonts w:eastAsia="Times New Roman"/>
                <w:lang w:val="en-AU"/>
              </w:rPr>
            </w:pPr>
            <w:r w:rsidRPr="00D81648">
              <w:rPr>
                <w:rFonts w:eastAsia="Times New Roman"/>
                <w:lang w:val="en-AU"/>
              </w:rPr>
              <w:t xml:space="preserve">recognise as a micro-economic principle </w:t>
            </w:r>
            <w:r w:rsidR="00DB5385" w:rsidRPr="00D81648">
              <w:rPr>
                <w:rFonts w:eastAsia="Times New Roman"/>
                <w:lang w:val="en-AU"/>
              </w:rPr>
              <w:t xml:space="preserve">that </w:t>
            </w:r>
            <w:r w:rsidRPr="00D81648">
              <w:rPr>
                <w:rFonts w:eastAsia="Times New Roman"/>
                <w:lang w:val="en-AU"/>
              </w:rPr>
              <w:t>capital should be recycled from non-performing businesses to performing businesses and that some element of business failure is a necessary and appropriate mechanism in ensuring an efficient and productive economy</w:t>
            </w:r>
          </w:p>
          <w:p w14:paraId="05138BE1" w14:textId="77777777" w:rsidR="00B76E2B" w:rsidRPr="00621754" w:rsidRDefault="00B76E2B" w:rsidP="00621754">
            <w:pPr>
              <w:pStyle w:val="ListBullet"/>
              <w:spacing w:after="200"/>
              <w:contextualSpacing w:val="0"/>
              <w:rPr>
                <w:lang w:val="en-AU"/>
              </w:rPr>
            </w:pPr>
            <w:r w:rsidRPr="00621754">
              <w:rPr>
                <w:rFonts w:eastAsia="Times New Roman"/>
                <w:lang w:val="en-AU"/>
              </w:rPr>
              <w:t>encourage directors</w:t>
            </w:r>
            <w:r w:rsidR="00E52646" w:rsidRPr="00621754">
              <w:rPr>
                <w:rFonts w:eastAsia="Times New Roman"/>
                <w:lang w:val="en-AU"/>
              </w:rPr>
              <w:t>,</w:t>
            </w:r>
            <w:r w:rsidRPr="00621754">
              <w:rPr>
                <w:rFonts w:eastAsia="Times New Roman"/>
                <w:lang w:val="en-AU"/>
              </w:rPr>
              <w:t xml:space="preserve"> management</w:t>
            </w:r>
            <w:r w:rsidR="00E52646" w:rsidRPr="00621754">
              <w:rPr>
                <w:rFonts w:eastAsia="Times New Roman"/>
                <w:lang w:val="en-AU"/>
              </w:rPr>
              <w:t>,</w:t>
            </w:r>
            <w:r w:rsidRPr="00621754">
              <w:rPr>
                <w:rFonts w:eastAsia="Times New Roman"/>
                <w:lang w:val="en-AU"/>
              </w:rPr>
              <w:t xml:space="preserve"> and independent</w:t>
            </w:r>
            <w:r w:rsidR="00E52646" w:rsidRPr="00621754">
              <w:rPr>
                <w:rFonts w:eastAsia="Times New Roman"/>
                <w:lang w:val="en-AU"/>
              </w:rPr>
              <w:t xml:space="preserve"> and</w:t>
            </w:r>
            <w:r w:rsidRPr="00621754">
              <w:rPr>
                <w:rFonts w:eastAsia="Times New Roman"/>
                <w:lang w:val="en-AU"/>
              </w:rPr>
              <w:t xml:space="preserve"> qualified financial and insolvency advisers to assist </w:t>
            </w:r>
            <w:r w:rsidR="008138F8">
              <w:rPr>
                <w:rFonts w:eastAsia="Times New Roman"/>
                <w:lang w:val="en-AU"/>
              </w:rPr>
              <w:t>organisations</w:t>
            </w:r>
            <w:r w:rsidR="008138F8" w:rsidRPr="00621754">
              <w:rPr>
                <w:rFonts w:eastAsia="Times New Roman"/>
                <w:lang w:val="en-AU"/>
              </w:rPr>
              <w:t xml:space="preserve"> </w:t>
            </w:r>
            <w:r w:rsidR="00FF1A57">
              <w:rPr>
                <w:rFonts w:eastAsia="Times New Roman"/>
                <w:lang w:val="en-AU"/>
              </w:rPr>
              <w:t xml:space="preserve">operating viable businesses </w:t>
            </w:r>
            <w:r w:rsidR="00E52646" w:rsidRPr="00621754">
              <w:rPr>
                <w:rFonts w:eastAsia="Times New Roman"/>
                <w:lang w:val="en-AU"/>
              </w:rPr>
              <w:t>to recover</w:t>
            </w:r>
            <w:r w:rsidRPr="00621754">
              <w:rPr>
                <w:rFonts w:eastAsia="Times New Roman"/>
                <w:lang w:val="en-AU"/>
              </w:rPr>
              <w:t xml:space="preserve"> from financial distress</w:t>
            </w:r>
            <w:r w:rsidR="00621754" w:rsidRPr="00621754">
              <w:rPr>
                <w:rFonts w:eastAsia="Times New Roman"/>
                <w:lang w:val="en-AU"/>
              </w:rPr>
              <w:t xml:space="preserve"> and </w:t>
            </w:r>
            <w:r w:rsidRPr="00621754">
              <w:rPr>
                <w:lang w:val="en-AU"/>
              </w:rPr>
              <w:t>provide a restructuring moratorium (safe harbour) from potential later claims, subject to certain requirements</w:t>
            </w:r>
          </w:p>
          <w:p w14:paraId="59E9DA67" w14:textId="77777777" w:rsidR="00B76E2B" w:rsidRPr="00D81648" w:rsidRDefault="00B76E2B" w:rsidP="006E7C8E">
            <w:pPr>
              <w:pStyle w:val="ListBullet"/>
              <w:spacing w:after="200"/>
              <w:contextualSpacing w:val="0"/>
              <w:rPr>
                <w:rFonts w:eastAsia="Times New Roman"/>
                <w:lang w:val="en-AU"/>
              </w:rPr>
            </w:pPr>
            <w:r w:rsidRPr="00D81648">
              <w:rPr>
                <w:rFonts w:eastAsia="Times New Roman"/>
                <w:lang w:val="en-AU"/>
              </w:rPr>
              <w:t>otherwise support the preservation of a viable business as a going-concern, including to allow the business to continue to have the benefit of existing contracts and leases</w:t>
            </w:r>
          </w:p>
          <w:p w14:paraId="7B6C8CF0" w14:textId="77777777" w:rsidR="00B76E2B" w:rsidRPr="00621754" w:rsidRDefault="00B76E2B" w:rsidP="006E7C8E">
            <w:pPr>
              <w:pStyle w:val="ListBullet"/>
              <w:spacing w:after="200"/>
              <w:contextualSpacing w:val="0"/>
              <w:rPr>
                <w:rFonts w:eastAsia="Times New Roman"/>
                <w:lang w:val="en-AU"/>
              </w:rPr>
            </w:pPr>
            <w:r w:rsidRPr="00621754">
              <w:rPr>
                <w:rFonts w:eastAsia="Times New Roman"/>
                <w:lang w:val="en-AU"/>
              </w:rPr>
              <w:t>require the interests of existing and new creditors to be taken into account, but at the same time recognise their responsibilities to attend to their own interests</w:t>
            </w:r>
            <w:r w:rsidR="00621754" w:rsidRPr="00621754">
              <w:rPr>
                <w:rFonts w:eastAsia="Times New Roman"/>
                <w:lang w:val="en-AU"/>
              </w:rPr>
              <w:t xml:space="preserve"> and to </w:t>
            </w:r>
            <w:r w:rsidR="00621754">
              <w:rPr>
                <w:rFonts w:eastAsia="Times New Roman"/>
                <w:lang w:val="en-AU"/>
              </w:rPr>
              <w:t>d</w:t>
            </w:r>
            <w:r w:rsidRPr="00621754">
              <w:rPr>
                <w:rFonts w:eastAsia="Times New Roman"/>
                <w:lang w:val="en-AU"/>
              </w:rPr>
              <w:t>o so at a cost in proportion to the value and potential of the business</w:t>
            </w:r>
          </w:p>
          <w:p w14:paraId="0E67C621" w14:textId="77777777" w:rsidR="00B76E2B" w:rsidRPr="00D81648" w:rsidRDefault="00B76E2B" w:rsidP="006E7C8E">
            <w:pPr>
              <w:pStyle w:val="ListBullet"/>
              <w:spacing w:after="200"/>
              <w:contextualSpacing w:val="0"/>
              <w:rPr>
                <w:rFonts w:eastAsia="Times New Roman"/>
                <w:lang w:val="en-AU"/>
              </w:rPr>
            </w:pPr>
            <w:r w:rsidRPr="00D81648">
              <w:rPr>
                <w:rFonts w:eastAsia="Times New Roman"/>
                <w:lang w:val="en-AU"/>
              </w:rPr>
              <w:t xml:space="preserve">allow </w:t>
            </w:r>
            <w:r w:rsidR="00E52646">
              <w:rPr>
                <w:rFonts w:eastAsia="Times New Roman"/>
                <w:lang w:val="en-AU"/>
              </w:rPr>
              <w:t>the</w:t>
            </w:r>
            <w:r w:rsidR="00E52646" w:rsidRPr="00D81648">
              <w:rPr>
                <w:rFonts w:eastAsia="Times New Roman"/>
                <w:lang w:val="en-AU"/>
              </w:rPr>
              <w:t xml:space="preserve"> </w:t>
            </w:r>
            <w:r w:rsidRPr="00D81648">
              <w:rPr>
                <w:rFonts w:eastAsia="Times New Roman"/>
                <w:lang w:val="en-AU"/>
              </w:rPr>
              <w:t xml:space="preserve">resolution of </w:t>
            </w:r>
            <w:r w:rsidR="00E52646">
              <w:rPr>
                <w:rFonts w:eastAsia="Times New Roman"/>
                <w:lang w:val="en-AU"/>
              </w:rPr>
              <w:t>a</w:t>
            </w:r>
            <w:r w:rsidR="00E52646" w:rsidRPr="00D81648">
              <w:rPr>
                <w:rFonts w:eastAsia="Times New Roman"/>
                <w:lang w:val="en-AU"/>
              </w:rPr>
              <w:t xml:space="preserve"> </w:t>
            </w:r>
            <w:r w:rsidRPr="00D81648">
              <w:rPr>
                <w:rFonts w:eastAsia="Times New Roman"/>
                <w:lang w:val="en-AU"/>
              </w:rPr>
              <w:t>company’s financial distress to be dealt with as quickly as possible, consistently with the interests of creditors and of the company</w:t>
            </w:r>
          </w:p>
          <w:p w14:paraId="3E28ABE4" w14:textId="77777777" w:rsidR="00B76E2B" w:rsidRPr="00D81648" w:rsidRDefault="00B76E2B" w:rsidP="00180698">
            <w:pPr>
              <w:pStyle w:val="ListBullet"/>
              <w:spacing w:after="200"/>
              <w:contextualSpacing w:val="0"/>
              <w:rPr>
                <w:rFonts w:eastAsia="Times New Roman"/>
                <w:lang w:val="en-AU"/>
              </w:rPr>
            </w:pPr>
            <w:r w:rsidRPr="00D81648">
              <w:rPr>
                <w:rFonts w:eastAsia="Times New Roman"/>
                <w:lang w:val="en-AU"/>
              </w:rPr>
              <w:t>provide for the prompt assessment and orderly disposal of a failed business, recognising that there is a cost to delivering this service</w:t>
            </w:r>
          </w:p>
        </w:tc>
      </w:tr>
      <w:tr w:rsidR="00713890" w:rsidRPr="00D81648" w14:paraId="595311AC" w14:textId="77777777" w:rsidTr="00713890">
        <w:trPr>
          <w:cantSplit/>
        </w:trPr>
        <w:tc>
          <w:tcPr>
            <w:tcW w:w="9242" w:type="dxa"/>
            <w:tcBorders>
              <w:top w:val="nil"/>
              <w:left w:val="nil"/>
              <w:bottom w:val="nil"/>
              <w:right w:val="nil"/>
            </w:tcBorders>
            <w:shd w:val="clear" w:color="auto" w:fill="EEECE8"/>
          </w:tcPr>
          <w:p w14:paraId="5F0308A9" w14:textId="77777777" w:rsidR="00180698" w:rsidRPr="00D81648" w:rsidRDefault="00E52646" w:rsidP="006E7C8E">
            <w:pPr>
              <w:pStyle w:val="ListBullet"/>
              <w:spacing w:after="200"/>
              <w:contextualSpacing w:val="0"/>
              <w:rPr>
                <w:rFonts w:eastAsia="Times New Roman"/>
                <w:lang w:val="en-AU"/>
              </w:rPr>
            </w:pPr>
            <w:r>
              <w:rPr>
                <w:rFonts w:eastAsia="Times New Roman"/>
                <w:lang w:val="en-AU"/>
              </w:rPr>
              <w:lastRenderedPageBreak/>
              <w:t>acknowledge that different sized companies may require different approaches to dealing with financial distress</w:t>
            </w:r>
          </w:p>
          <w:p w14:paraId="12703708" w14:textId="77777777" w:rsidR="00713890" w:rsidRPr="00D81648" w:rsidRDefault="00713890" w:rsidP="006E7C8E">
            <w:pPr>
              <w:pStyle w:val="ListBullet"/>
              <w:spacing w:after="200"/>
              <w:contextualSpacing w:val="0"/>
              <w:rPr>
                <w:rFonts w:eastAsia="Times New Roman"/>
                <w:lang w:val="en-AU"/>
              </w:rPr>
            </w:pPr>
            <w:r w:rsidRPr="00D81648">
              <w:rPr>
                <w:rFonts w:eastAsia="Times New Roman"/>
                <w:lang w:val="en-AU"/>
              </w:rPr>
              <w:t xml:space="preserve">have regard to international precedents </w:t>
            </w:r>
            <w:r w:rsidR="00E52646">
              <w:rPr>
                <w:rFonts w:eastAsia="Times New Roman"/>
                <w:lang w:val="en-AU"/>
              </w:rPr>
              <w:t xml:space="preserve">and best practice </w:t>
            </w:r>
            <w:r w:rsidRPr="00D81648">
              <w:rPr>
                <w:rFonts w:eastAsia="Times New Roman"/>
                <w:lang w:val="en-AU"/>
              </w:rPr>
              <w:t>in the UK, US, New Zealand, Canada and elsewhere, and</w:t>
            </w:r>
          </w:p>
          <w:p w14:paraId="75FBD624" w14:textId="77777777" w:rsidR="00713890" w:rsidRPr="00D81648" w:rsidRDefault="00713890" w:rsidP="00E52646">
            <w:pPr>
              <w:pStyle w:val="ListBullet"/>
              <w:spacing w:after="200"/>
              <w:contextualSpacing w:val="0"/>
              <w:rPr>
                <w:lang w:val="en-AU"/>
              </w:rPr>
            </w:pPr>
            <w:r w:rsidRPr="00D81648">
              <w:rPr>
                <w:rFonts w:eastAsia="Times New Roman"/>
                <w:lang w:val="en-AU"/>
              </w:rPr>
              <w:t xml:space="preserve">provide proper remuneration for its practitioners, and not require </w:t>
            </w:r>
            <w:r w:rsidR="00E52646">
              <w:rPr>
                <w:rFonts w:eastAsia="Times New Roman"/>
                <w:lang w:val="en-AU"/>
              </w:rPr>
              <w:t>them</w:t>
            </w:r>
            <w:r w:rsidRPr="00D81648">
              <w:rPr>
                <w:rFonts w:eastAsia="Times New Roman"/>
                <w:lang w:val="en-AU"/>
              </w:rPr>
              <w:t xml:space="preserve"> to do work or incur expenses in assetless administrations without recompense.</w:t>
            </w:r>
          </w:p>
        </w:tc>
      </w:tr>
    </w:tbl>
    <w:p w14:paraId="62D9D138" w14:textId="77777777" w:rsidR="00B76E2B" w:rsidRPr="00D81648" w:rsidRDefault="00B76E2B" w:rsidP="00713890">
      <w:pPr>
        <w:pStyle w:val="ARITABodyText"/>
        <w:rPr>
          <w:lang w:val="en-AU"/>
        </w:rPr>
      </w:pPr>
    </w:p>
    <w:p w14:paraId="593C3419" w14:textId="77777777" w:rsidR="002F23E4" w:rsidRPr="00D81648" w:rsidRDefault="002F23E4" w:rsidP="00B76E2B">
      <w:pPr>
        <w:pStyle w:val="ARITAReportHeading2"/>
        <w:numPr>
          <w:ilvl w:val="0"/>
          <w:numId w:val="0"/>
        </w:numPr>
        <w:rPr>
          <w:lang w:val="en-AU"/>
        </w:rPr>
      </w:pPr>
      <w:r w:rsidRPr="00D81648">
        <w:rPr>
          <w:lang w:val="en-AU"/>
        </w:rPr>
        <w:t>Explanatory notes:</w:t>
      </w:r>
    </w:p>
    <w:p w14:paraId="75A78C5A" w14:textId="77777777" w:rsidR="0098293E" w:rsidRPr="00D81648" w:rsidRDefault="002F23E4" w:rsidP="00DE5B2C">
      <w:pPr>
        <w:rPr>
          <w:rFonts w:eastAsiaTheme="majorEastAsia"/>
          <w:lang w:val="en-AU"/>
        </w:rPr>
      </w:pPr>
      <w:r w:rsidRPr="00D81648">
        <w:rPr>
          <w:rFonts w:eastAsia="Times New Roman"/>
          <w:lang w:val="en-AU"/>
        </w:rPr>
        <w:t>The distinction between high performing and distressed companies and the impact on asset values over the viability spectrum is depicted below.</w:t>
      </w:r>
    </w:p>
    <w:p w14:paraId="37C060C4" w14:textId="77777777" w:rsidR="008C2BEE" w:rsidRPr="00D81648" w:rsidRDefault="00F94119" w:rsidP="00DE5B2C">
      <w:pPr>
        <w:pStyle w:val="ARITAHeading"/>
        <w:jc w:val="center"/>
        <w:rPr>
          <w:rFonts w:eastAsiaTheme="majorEastAsia"/>
          <w:lang w:val="en-AU"/>
        </w:rPr>
      </w:pPr>
      <w:r w:rsidRPr="00D81648">
        <w:rPr>
          <w:rFonts w:eastAsiaTheme="majorEastAsia"/>
          <w:lang w:val="en-AU"/>
        </w:rPr>
        <w:t>Value v</w:t>
      </w:r>
      <w:r w:rsidR="00713890" w:rsidRPr="00D81648">
        <w:rPr>
          <w:rFonts w:eastAsiaTheme="majorEastAsia"/>
          <w:lang w:val="en-AU"/>
        </w:rPr>
        <w:t>s. v</w:t>
      </w:r>
      <w:r w:rsidR="004F25C6">
        <w:rPr>
          <w:rFonts w:eastAsiaTheme="majorEastAsia"/>
          <w:lang w:val="en-AU"/>
        </w:rPr>
        <w:t>iability</w:t>
      </w:r>
    </w:p>
    <w:p w14:paraId="6A4D13A5" w14:textId="77777777" w:rsidR="002F23E4" w:rsidRPr="00D81648" w:rsidRDefault="002F23E4" w:rsidP="00DE5B2C">
      <w:pPr>
        <w:jc w:val="center"/>
        <w:rPr>
          <w:rStyle w:val="ARITABodyTextChar"/>
          <w:lang w:val="en-AU"/>
        </w:rPr>
      </w:pPr>
      <w:r w:rsidRPr="00D81648">
        <w:rPr>
          <w:noProof/>
          <w:lang w:val="en-AU" w:eastAsia="en-AU" w:bidi="ar-SA"/>
        </w:rPr>
        <w:drawing>
          <wp:inline distT="0" distB="0" distL="0" distR="0" wp14:anchorId="7AB68F04" wp14:editId="48997534">
            <wp:extent cx="4848207" cy="3505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49631" cy="3506229"/>
                    </a:xfrm>
                    <a:prstGeom prst="rect">
                      <a:avLst/>
                    </a:prstGeom>
                    <a:noFill/>
                  </pic:spPr>
                </pic:pic>
              </a:graphicData>
            </a:graphic>
          </wp:inline>
        </w:drawing>
      </w:r>
    </w:p>
    <w:p w14:paraId="29F795FB" w14:textId="77777777" w:rsidR="00C33AE9" w:rsidRPr="00D81648" w:rsidRDefault="00C33AE9" w:rsidP="00713890">
      <w:pPr>
        <w:rPr>
          <w:rFonts w:eastAsiaTheme="majorEastAsia"/>
          <w:lang w:val="en-AU"/>
        </w:rPr>
      </w:pPr>
      <w:r w:rsidRPr="00D81648">
        <w:rPr>
          <w:rFonts w:eastAsia="Times New Roman"/>
          <w:lang w:val="en-AU"/>
        </w:rPr>
        <w:t>A foundation of our thinking is that a</w:t>
      </w:r>
      <w:r w:rsidR="00C61C45">
        <w:rPr>
          <w:rFonts w:eastAsia="Times New Roman"/>
          <w:lang w:val="en-AU"/>
        </w:rPr>
        <w:t xml:space="preserve"> </w:t>
      </w:r>
      <w:r w:rsidR="00C05BC8">
        <w:rPr>
          <w:rFonts w:eastAsia="Times New Roman"/>
          <w:lang w:val="en-AU"/>
        </w:rPr>
        <w:t>“</w:t>
      </w:r>
      <w:r w:rsidRPr="00D81648">
        <w:rPr>
          <w:rFonts w:eastAsia="Times New Roman"/>
          <w:lang w:val="en-AU"/>
        </w:rPr>
        <w:t>one size fits all</w:t>
      </w:r>
      <w:r w:rsidR="00CA66FE">
        <w:rPr>
          <w:rFonts w:eastAsia="Times New Roman"/>
          <w:lang w:val="en-AU"/>
        </w:rPr>
        <w:t>”</w:t>
      </w:r>
      <w:r w:rsidR="00C61C45">
        <w:rPr>
          <w:rFonts w:eastAsia="Times New Roman"/>
          <w:lang w:val="en-AU"/>
        </w:rPr>
        <w:t xml:space="preserve"> </w:t>
      </w:r>
      <w:r w:rsidRPr="00D81648">
        <w:rPr>
          <w:rFonts w:eastAsia="Times New Roman"/>
          <w:lang w:val="en-AU"/>
        </w:rPr>
        <w:t>approach to dealing with companies in financial distress is flawed. For example, such an approach does not take into account the scale of societal impacts of insolvencies in large enterprise collapses compared to small</w:t>
      </w:r>
      <w:r w:rsidR="004F25C6">
        <w:rPr>
          <w:rFonts w:eastAsia="Times New Roman"/>
          <w:lang w:val="en-AU"/>
        </w:rPr>
        <w:t xml:space="preserve">. </w:t>
      </w:r>
      <w:r w:rsidR="004F25C6" w:rsidRPr="00D81648">
        <w:rPr>
          <w:rFonts w:eastAsia="Times New Roman"/>
          <w:lang w:val="en-AU"/>
        </w:rPr>
        <w:t xml:space="preserve">Nor </w:t>
      </w:r>
      <w:r w:rsidRPr="00D81648">
        <w:rPr>
          <w:rFonts w:eastAsia="Times New Roman"/>
          <w:lang w:val="en-AU"/>
        </w:rPr>
        <w:t>does it take into account the differences in governance between large and small entities.</w:t>
      </w:r>
    </w:p>
    <w:p w14:paraId="1A418D63" w14:textId="77777777" w:rsidR="00C33AE9" w:rsidRPr="00D81648" w:rsidRDefault="00C33AE9" w:rsidP="00DE5B2C">
      <w:pPr>
        <w:autoSpaceDE w:val="0"/>
        <w:autoSpaceDN w:val="0"/>
        <w:spacing w:before="240"/>
        <w:rPr>
          <w:lang w:val="en-AU"/>
        </w:rPr>
      </w:pPr>
      <w:r w:rsidRPr="00D81648">
        <w:rPr>
          <w:lang w:val="en-AU"/>
        </w:rPr>
        <w:t>To that end, we conceive that there are three framework approaches required:</w:t>
      </w:r>
    </w:p>
    <w:p w14:paraId="5FD9C237" w14:textId="77777777" w:rsidR="00C33AE9" w:rsidRPr="00D81648" w:rsidRDefault="001C5A16" w:rsidP="00713890">
      <w:pPr>
        <w:pStyle w:val="ListBullet"/>
        <w:numPr>
          <w:ilvl w:val="0"/>
          <w:numId w:val="44"/>
        </w:numPr>
        <w:spacing w:after="120"/>
        <w:ind w:left="714" w:hanging="357"/>
        <w:contextualSpacing w:val="0"/>
        <w:rPr>
          <w:lang w:val="en-AU"/>
        </w:rPr>
      </w:pPr>
      <w:r w:rsidRPr="00D81648">
        <w:rPr>
          <w:lang w:val="en-AU"/>
        </w:rPr>
        <w:t>large enterprises</w:t>
      </w:r>
    </w:p>
    <w:p w14:paraId="3FFC9B1C" w14:textId="77777777" w:rsidR="00C33AE9" w:rsidRPr="00D81648" w:rsidRDefault="001C5A16" w:rsidP="00713890">
      <w:pPr>
        <w:pStyle w:val="ListBullet"/>
        <w:numPr>
          <w:ilvl w:val="0"/>
          <w:numId w:val="44"/>
        </w:numPr>
        <w:spacing w:after="120"/>
        <w:ind w:left="714" w:hanging="357"/>
        <w:contextualSpacing w:val="0"/>
        <w:rPr>
          <w:lang w:val="en-AU"/>
        </w:rPr>
      </w:pPr>
      <w:r w:rsidRPr="00D81648">
        <w:rPr>
          <w:lang w:val="en-AU"/>
        </w:rPr>
        <w:t>small</w:t>
      </w:r>
      <w:r>
        <w:rPr>
          <w:lang w:val="en-AU"/>
        </w:rPr>
        <w:t>-to-</w:t>
      </w:r>
      <w:r w:rsidRPr="00D81648">
        <w:rPr>
          <w:lang w:val="en-AU"/>
        </w:rPr>
        <w:t>medium enterprises</w:t>
      </w:r>
      <w:r w:rsidR="00C33AE9" w:rsidRPr="00D81648">
        <w:rPr>
          <w:lang w:val="en-AU"/>
        </w:rPr>
        <w:t xml:space="preserve"> (SMEs)</w:t>
      </w:r>
    </w:p>
    <w:p w14:paraId="58D766EC" w14:textId="77777777" w:rsidR="00C33AE9" w:rsidRPr="00D81648" w:rsidRDefault="001C5A16" w:rsidP="00713890">
      <w:pPr>
        <w:pStyle w:val="ListBullet"/>
        <w:numPr>
          <w:ilvl w:val="0"/>
          <w:numId w:val="44"/>
        </w:numPr>
        <w:ind w:left="714" w:hanging="357"/>
        <w:contextualSpacing w:val="0"/>
        <w:rPr>
          <w:lang w:val="en-AU"/>
        </w:rPr>
      </w:pPr>
      <w:r w:rsidRPr="00D81648">
        <w:rPr>
          <w:lang w:val="en-AU"/>
        </w:rPr>
        <w:t>micro companies</w:t>
      </w:r>
      <w:r w:rsidR="00C33AE9" w:rsidRPr="00D81648">
        <w:rPr>
          <w:lang w:val="en-AU"/>
        </w:rPr>
        <w:t xml:space="preserve"> (</w:t>
      </w:r>
      <w:r w:rsidR="00D81648" w:rsidRPr="00D81648">
        <w:rPr>
          <w:lang w:val="en-AU"/>
        </w:rPr>
        <w:t xml:space="preserve">provable </w:t>
      </w:r>
      <w:r w:rsidR="00DA7C13" w:rsidRPr="00D81648">
        <w:rPr>
          <w:lang w:val="en-AU"/>
        </w:rPr>
        <w:t>l</w:t>
      </w:r>
      <w:r w:rsidR="00C33AE9" w:rsidRPr="00D81648">
        <w:rPr>
          <w:lang w:val="en-AU"/>
        </w:rPr>
        <w:t>iabilities less than $250,000).</w:t>
      </w:r>
    </w:p>
    <w:p w14:paraId="5A945F33" w14:textId="77777777" w:rsidR="00C33AE9" w:rsidRDefault="00C33AE9" w:rsidP="00DE5B2C">
      <w:pPr>
        <w:pStyle w:val="ARITABodyText"/>
        <w:rPr>
          <w:lang w:val="en-AU"/>
        </w:rPr>
      </w:pPr>
      <w:r w:rsidRPr="00D81648">
        <w:rPr>
          <w:lang w:val="en-AU"/>
        </w:rPr>
        <w:lastRenderedPageBreak/>
        <w:t xml:space="preserve">The </w:t>
      </w:r>
      <w:r w:rsidR="00D81648">
        <w:rPr>
          <w:lang w:val="en-AU"/>
        </w:rPr>
        <w:t>following flowchart</w:t>
      </w:r>
      <w:r w:rsidR="00AE6214" w:rsidRPr="00D81648">
        <w:rPr>
          <w:lang w:val="en-AU"/>
        </w:rPr>
        <w:t xml:space="preserve"> </w:t>
      </w:r>
      <w:r w:rsidRPr="00D81648">
        <w:rPr>
          <w:lang w:val="en-AU"/>
        </w:rPr>
        <w:t xml:space="preserve">provides a summary of the proposed reform concepts developed by ARITA based on the three approaches </w:t>
      </w:r>
      <w:r w:rsidR="00DA7C13" w:rsidRPr="00D81648">
        <w:rPr>
          <w:lang w:val="en-AU"/>
        </w:rPr>
        <w:t xml:space="preserve">detailed </w:t>
      </w:r>
      <w:r w:rsidRPr="00D81648">
        <w:rPr>
          <w:lang w:val="en-AU"/>
        </w:rPr>
        <w:t>above and the belief that size distinctions are required to better achieve the aims of Australian insolvency law.</w:t>
      </w:r>
    </w:p>
    <w:p w14:paraId="0914FDD9" w14:textId="77777777" w:rsidR="00B02C2A" w:rsidRPr="00B02C2A" w:rsidRDefault="00B02C2A" w:rsidP="00B02C2A">
      <w:pPr>
        <w:pStyle w:val="ARITAHeading"/>
        <w:jc w:val="center"/>
        <w:rPr>
          <w:lang w:val="en-AU"/>
        </w:rPr>
      </w:pPr>
      <w:r>
        <w:rPr>
          <w:lang w:val="en-AU"/>
        </w:rPr>
        <w:t>Reformed insolvency regime</w:t>
      </w:r>
    </w:p>
    <w:p w14:paraId="055B2AE7" w14:textId="77777777" w:rsidR="00C33AE9" w:rsidRPr="00D81648" w:rsidRDefault="00C33AE9" w:rsidP="00DE5B2C">
      <w:pPr>
        <w:jc w:val="center"/>
        <w:rPr>
          <w:rFonts w:cs="Arial"/>
          <w:sz w:val="20"/>
          <w:szCs w:val="20"/>
          <w:lang w:val="en-AU"/>
        </w:rPr>
      </w:pPr>
      <w:r w:rsidRPr="00D81648">
        <w:rPr>
          <w:rFonts w:cs="Arial"/>
          <w:noProof/>
          <w:sz w:val="20"/>
          <w:szCs w:val="20"/>
          <w:lang w:val="en-AU" w:eastAsia="en-AU" w:bidi="ar-SA"/>
        </w:rPr>
        <w:drawing>
          <wp:inline distT="0" distB="0" distL="0" distR="0" wp14:anchorId="4232232F" wp14:editId="187C8D01">
            <wp:extent cx="5778383" cy="38792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80398" cy="3880626"/>
                    </a:xfrm>
                    <a:prstGeom prst="rect">
                      <a:avLst/>
                    </a:prstGeom>
                    <a:noFill/>
                  </pic:spPr>
                </pic:pic>
              </a:graphicData>
            </a:graphic>
          </wp:inline>
        </w:drawing>
      </w:r>
    </w:p>
    <w:p w14:paraId="158994D2" w14:textId="77777777" w:rsidR="00C33AE9" w:rsidRPr="00D81648" w:rsidRDefault="00C33AE9" w:rsidP="00DE5B2C">
      <w:pPr>
        <w:rPr>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6A5944" w:rsidRPr="00D81648" w14:paraId="63D5F988" w14:textId="77777777" w:rsidTr="00EF1334">
        <w:trPr>
          <w:cantSplit/>
        </w:trPr>
        <w:tc>
          <w:tcPr>
            <w:tcW w:w="9242" w:type="dxa"/>
            <w:shd w:val="clear" w:color="auto" w:fill="EEECE8"/>
          </w:tcPr>
          <w:p w14:paraId="5A1EF8E8" w14:textId="77777777" w:rsidR="006A5944" w:rsidRPr="00D81648" w:rsidRDefault="006A5944" w:rsidP="00F753FC">
            <w:pPr>
              <w:pStyle w:val="ARITAReportHeading2"/>
              <w:numPr>
                <w:ilvl w:val="0"/>
                <w:numId w:val="0"/>
              </w:numPr>
              <w:spacing w:before="240" w:after="120"/>
              <w:rPr>
                <w:lang w:val="en-AU"/>
              </w:rPr>
            </w:pPr>
            <w:r w:rsidRPr="00D81648">
              <w:rPr>
                <w:lang w:val="en-AU"/>
              </w:rPr>
              <w:lastRenderedPageBreak/>
              <w:t>Policy 15-02: Aims of insolvency law</w:t>
            </w:r>
          </w:p>
          <w:p w14:paraId="713FB418" w14:textId="77777777" w:rsidR="0098293E" w:rsidRPr="00D81648" w:rsidRDefault="006A5944" w:rsidP="0098293E">
            <w:pPr>
              <w:spacing w:after="200"/>
              <w:rPr>
                <w:color w:val="000000"/>
                <w:lang w:val="en-AU"/>
              </w:rPr>
            </w:pPr>
            <w:r w:rsidRPr="00D81648">
              <w:rPr>
                <w:color w:val="000000"/>
                <w:lang w:val="en-AU"/>
              </w:rPr>
              <w:t>We believe that the fundamental principles of and aims of insolvency law are to:</w:t>
            </w:r>
            <w:r w:rsidRPr="00D81648">
              <w:rPr>
                <w:vertAlign w:val="superscript"/>
                <w:lang w:val="en-AU"/>
              </w:rPr>
              <w:footnoteReference w:id="1"/>
            </w:r>
          </w:p>
          <w:p w14:paraId="33ECF86D" w14:textId="77777777" w:rsidR="006A5944" w:rsidRPr="00D81648" w:rsidRDefault="006A5944" w:rsidP="00E8698F">
            <w:pPr>
              <w:pStyle w:val="ListBullet"/>
              <w:spacing w:after="200"/>
              <w:contextualSpacing w:val="0"/>
              <w:rPr>
                <w:lang w:val="en-AU"/>
              </w:rPr>
            </w:pPr>
            <w:r w:rsidRPr="00D81648">
              <w:rPr>
                <w:lang w:val="en-AU"/>
              </w:rPr>
              <w:t xml:space="preserve">provide an </w:t>
            </w:r>
            <w:r w:rsidR="00FF1A57">
              <w:rPr>
                <w:lang w:val="en-AU"/>
              </w:rPr>
              <w:t>equitable</w:t>
            </w:r>
            <w:r w:rsidRPr="00D81648">
              <w:rPr>
                <w:lang w:val="en-AU"/>
              </w:rPr>
              <w:t xml:space="preserve">, fair and orderly procedure </w:t>
            </w:r>
            <w:r w:rsidR="00FF1A57">
              <w:rPr>
                <w:lang w:val="en-AU"/>
              </w:rPr>
              <w:t>for</w:t>
            </w:r>
            <w:r w:rsidR="00FF1A57" w:rsidRPr="00D81648">
              <w:rPr>
                <w:lang w:val="en-AU"/>
              </w:rPr>
              <w:t xml:space="preserve"> </w:t>
            </w:r>
            <w:r w:rsidRPr="00D81648">
              <w:rPr>
                <w:lang w:val="en-AU"/>
              </w:rPr>
              <w:t xml:space="preserve">handling the affairs of insolvent debtors </w:t>
            </w:r>
            <w:r w:rsidR="00FF1A57">
              <w:rPr>
                <w:lang w:val="en-AU"/>
              </w:rPr>
              <w:t xml:space="preserve">to ensure that claims of priority creditors are appropriately recognised and other </w:t>
            </w:r>
            <w:r w:rsidRPr="00D81648">
              <w:rPr>
                <w:lang w:val="en-AU"/>
              </w:rPr>
              <w:t>creditors receive an equitable distribution of the debtor’s</w:t>
            </w:r>
            <w:r w:rsidR="00FF1A57">
              <w:rPr>
                <w:lang w:val="en-AU"/>
              </w:rPr>
              <w:t xml:space="preserve"> remaining</w:t>
            </w:r>
            <w:r w:rsidRPr="00D81648">
              <w:rPr>
                <w:lang w:val="en-AU"/>
              </w:rPr>
              <w:t xml:space="preserve"> assets</w:t>
            </w:r>
            <w:r w:rsidR="00A718FB">
              <w:rPr>
                <w:lang w:val="en-AU"/>
              </w:rPr>
              <w:t xml:space="preserve">: </w:t>
            </w:r>
            <w:r w:rsidRPr="00D81648">
              <w:rPr>
                <w:lang w:val="en-AU"/>
              </w:rPr>
              <w:t>the pari passu (equal sharing) principle</w:t>
            </w:r>
          </w:p>
          <w:p w14:paraId="2503433E" w14:textId="77777777" w:rsidR="006A5944" w:rsidRPr="00D81648" w:rsidRDefault="006A5944" w:rsidP="00E8698F">
            <w:pPr>
              <w:pStyle w:val="ListBullet"/>
              <w:spacing w:after="200"/>
              <w:contextualSpacing w:val="0"/>
              <w:rPr>
                <w:lang w:val="en-AU"/>
              </w:rPr>
            </w:pPr>
            <w:r w:rsidRPr="00D81648">
              <w:rPr>
                <w:lang w:val="en-AU"/>
              </w:rPr>
              <w:t xml:space="preserve">provide procedures and processes for dealing with an insolvency with </w:t>
            </w:r>
            <w:r w:rsidR="008138F8">
              <w:rPr>
                <w:lang w:val="en-AU"/>
              </w:rPr>
              <w:t xml:space="preserve">the greatest efficiency and </w:t>
            </w:r>
            <w:r w:rsidRPr="00D81648">
              <w:rPr>
                <w:lang w:val="en-AU"/>
              </w:rPr>
              <w:t>as little expense as possible</w:t>
            </w:r>
          </w:p>
          <w:p w14:paraId="09376C9B" w14:textId="77777777" w:rsidR="006A5944" w:rsidRPr="00D81648" w:rsidRDefault="006A5944" w:rsidP="00E8698F">
            <w:pPr>
              <w:pStyle w:val="ListBullet"/>
              <w:spacing w:after="200"/>
              <w:contextualSpacing w:val="0"/>
              <w:rPr>
                <w:lang w:val="en-AU"/>
              </w:rPr>
            </w:pPr>
            <w:r w:rsidRPr="00D81648">
              <w:rPr>
                <w:lang w:val="en-AU"/>
              </w:rPr>
              <w:t>ensure that administrations are conducted in an independent</w:t>
            </w:r>
            <w:r w:rsidR="00A718FB">
              <w:rPr>
                <w:lang w:val="en-AU"/>
              </w:rPr>
              <w:t xml:space="preserve">, </w:t>
            </w:r>
            <w:r w:rsidRPr="00D81648">
              <w:rPr>
                <w:lang w:val="en-AU"/>
              </w:rPr>
              <w:t>competent and efficient manner</w:t>
            </w:r>
          </w:p>
          <w:p w14:paraId="2E4E29F0" w14:textId="77777777" w:rsidR="006A5944" w:rsidRPr="00D81648" w:rsidRDefault="006A5944" w:rsidP="00E8698F">
            <w:pPr>
              <w:pStyle w:val="ListBullet"/>
              <w:spacing w:after="200"/>
              <w:contextualSpacing w:val="0"/>
              <w:rPr>
                <w:lang w:val="en-AU"/>
              </w:rPr>
            </w:pPr>
            <w:r w:rsidRPr="00D81648">
              <w:rPr>
                <w:lang w:val="en-AU"/>
              </w:rPr>
              <w:t xml:space="preserve">provide mechanisms </w:t>
            </w:r>
            <w:r w:rsidR="00A718FB">
              <w:rPr>
                <w:lang w:val="en-AU"/>
              </w:rPr>
              <w:t>that</w:t>
            </w:r>
            <w:r w:rsidR="00A718FB" w:rsidRPr="00D81648">
              <w:rPr>
                <w:lang w:val="en-AU"/>
              </w:rPr>
              <w:t xml:space="preserve"> </w:t>
            </w:r>
            <w:r w:rsidRPr="00D81648">
              <w:rPr>
                <w:lang w:val="en-AU"/>
              </w:rPr>
              <w:t xml:space="preserve">allow for </w:t>
            </w:r>
            <w:r w:rsidR="00FF1A57">
              <w:rPr>
                <w:lang w:val="en-AU"/>
              </w:rPr>
              <w:t>rehabilitation</w:t>
            </w:r>
            <w:r w:rsidR="00FF1A57" w:rsidRPr="00D81648">
              <w:rPr>
                <w:lang w:val="en-AU"/>
              </w:rPr>
              <w:t xml:space="preserve"> </w:t>
            </w:r>
            <w:r w:rsidRPr="00D81648">
              <w:rPr>
                <w:lang w:val="en-AU"/>
              </w:rPr>
              <w:t>of the affairs of insolvents before their position becomes hopeless</w:t>
            </w:r>
          </w:p>
          <w:p w14:paraId="07AB9570" w14:textId="77777777" w:rsidR="008B6325" w:rsidRPr="00D81648" w:rsidRDefault="006A5944" w:rsidP="00E8698F">
            <w:pPr>
              <w:pStyle w:val="ListBullet"/>
              <w:spacing w:after="200"/>
              <w:contextualSpacing w:val="0"/>
              <w:rPr>
                <w:lang w:val="en-AU"/>
              </w:rPr>
            </w:pPr>
            <w:r w:rsidRPr="00D81648">
              <w:rPr>
                <w:lang w:val="en-AU"/>
              </w:rPr>
              <w:t xml:space="preserve">provide procedures which enable both debtors and creditors to </w:t>
            </w:r>
            <w:r w:rsidR="00FF1A57">
              <w:rPr>
                <w:lang w:val="en-AU"/>
              </w:rPr>
              <w:t>have a voice</w:t>
            </w:r>
            <w:r w:rsidRPr="00D81648">
              <w:rPr>
                <w:lang w:val="en-AU"/>
              </w:rPr>
              <w:t xml:space="preserve"> in the resolution of the reality of</w:t>
            </w:r>
            <w:r w:rsidR="00FF1A57">
              <w:rPr>
                <w:lang w:val="en-AU"/>
              </w:rPr>
              <w:t xml:space="preserve"> the</w:t>
            </w:r>
            <w:r w:rsidRPr="00D81648">
              <w:rPr>
                <w:lang w:val="en-AU"/>
              </w:rPr>
              <w:t xml:space="preserve"> insolvency</w:t>
            </w:r>
          </w:p>
          <w:p w14:paraId="5C909478" w14:textId="77777777" w:rsidR="008B6325" w:rsidRPr="00D81648" w:rsidRDefault="008B6325" w:rsidP="00E8698F">
            <w:pPr>
              <w:pStyle w:val="ListBullet"/>
              <w:spacing w:after="200"/>
              <w:contextualSpacing w:val="0"/>
              <w:rPr>
                <w:lang w:val="en-AU"/>
              </w:rPr>
            </w:pPr>
            <w:r w:rsidRPr="00D81648">
              <w:rPr>
                <w:lang w:val="en-AU"/>
              </w:rPr>
              <w:t xml:space="preserve">ascertain the reasons for the insolvency and to provide </w:t>
            </w:r>
            <w:r w:rsidR="008138F8">
              <w:rPr>
                <w:lang w:val="en-AU"/>
              </w:rPr>
              <w:t xml:space="preserve">powers and </w:t>
            </w:r>
            <w:r w:rsidRPr="00D81648">
              <w:rPr>
                <w:lang w:val="en-AU"/>
              </w:rPr>
              <w:t>mechanisms which allow for the examination of the conduct of insolvents, their associates and the officers of corporate insolvents</w:t>
            </w:r>
            <w:r w:rsidR="00D81648">
              <w:rPr>
                <w:lang w:val="en-AU"/>
              </w:rPr>
              <w:t>,</w:t>
            </w:r>
            <w:r w:rsidRPr="00D81648">
              <w:rPr>
                <w:lang w:val="en-AU"/>
              </w:rPr>
              <w:t xml:space="preserve"> and</w:t>
            </w:r>
          </w:p>
          <w:p w14:paraId="319CB4EF" w14:textId="77777777" w:rsidR="006A5944" w:rsidRPr="00D81648" w:rsidRDefault="00FF1A57" w:rsidP="00E8698F">
            <w:pPr>
              <w:pStyle w:val="ListBullet"/>
              <w:spacing w:after="200"/>
              <w:contextualSpacing w:val="0"/>
              <w:rPr>
                <w:lang w:val="en-AU"/>
              </w:rPr>
            </w:pPr>
            <w:r>
              <w:rPr>
                <w:lang w:val="en-AU"/>
              </w:rPr>
              <w:t>enable identification of</w:t>
            </w:r>
            <w:r w:rsidR="008B6325" w:rsidRPr="00D81648">
              <w:rPr>
                <w:lang w:val="en-AU"/>
              </w:rPr>
              <w:t xml:space="preserve"> any offences have been committed by insolvents or their associates with a view to those offences being prosecuted.</w:t>
            </w:r>
          </w:p>
        </w:tc>
      </w:tr>
    </w:tbl>
    <w:p w14:paraId="22D2C5E7" w14:textId="77777777" w:rsidR="006A5944" w:rsidRPr="00D81648" w:rsidRDefault="006A5944" w:rsidP="006A5944">
      <w:pPr>
        <w:rPr>
          <w:color w:val="000000"/>
          <w:lang w:val="en-AU"/>
        </w:rPr>
      </w:pPr>
    </w:p>
    <w:p w14:paraId="0AFEED30" w14:textId="77777777" w:rsidR="008D72C1" w:rsidRDefault="008D72C1">
      <w:pPr>
        <w:rPr>
          <w:lang w:val="en-AU"/>
        </w:rPr>
      </w:pPr>
      <w:r>
        <w:rPr>
          <w:lang w:val="en-AU"/>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6A5944" w:rsidRPr="00D81648" w14:paraId="6707C4ED" w14:textId="77777777" w:rsidTr="00EF1334">
        <w:trPr>
          <w:cantSplit/>
        </w:trPr>
        <w:tc>
          <w:tcPr>
            <w:tcW w:w="9242" w:type="dxa"/>
            <w:shd w:val="clear" w:color="auto" w:fill="EEECE8"/>
          </w:tcPr>
          <w:bookmarkEnd w:id="1"/>
          <w:p w14:paraId="70DDFBBD" w14:textId="77777777" w:rsidR="006A5944" w:rsidRPr="00D81648" w:rsidRDefault="006A5944" w:rsidP="00F753FC">
            <w:pPr>
              <w:pStyle w:val="ARITAReportHeading2"/>
              <w:numPr>
                <w:ilvl w:val="0"/>
                <w:numId w:val="0"/>
              </w:numPr>
              <w:spacing w:before="240" w:after="120"/>
              <w:rPr>
                <w:lang w:val="en-AU"/>
              </w:rPr>
            </w:pPr>
            <w:r w:rsidRPr="00D81648">
              <w:rPr>
                <w:lang w:val="en-AU"/>
              </w:rPr>
              <w:lastRenderedPageBreak/>
              <w:t>Policy 15-03: Current Australian corporate restructuring, insolvency and turnaround regime and the need for change</w:t>
            </w:r>
          </w:p>
          <w:p w14:paraId="0F0F6F6F" w14:textId="77777777" w:rsidR="00CC16F7" w:rsidRDefault="006A5944" w:rsidP="00984348">
            <w:pPr>
              <w:spacing w:after="200"/>
              <w:rPr>
                <w:lang w:val="en-AU"/>
              </w:rPr>
            </w:pPr>
            <w:r w:rsidRPr="00D81648">
              <w:rPr>
                <w:lang w:val="en-AU"/>
              </w:rPr>
              <w:t>It is ARITA’s position that our current corporate insolvency regime has served, and continues to serve, Australia well. In particular, it has sustained economic value through a number of downturns and market shocks and major corporate failures.</w:t>
            </w:r>
          </w:p>
          <w:p w14:paraId="5E32ACD8" w14:textId="77777777" w:rsidR="006A5944" w:rsidRPr="00D81648" w:rsidRDefault="006A5944" w:rsidP="00984348">
            <w:pPr>
              <w:spacing w:after="200"/>
              <w:rPr>
                <w:lang w:val="en-AU"/>
              </w:rPr>
            </w:pPr>
            <w:r w:rsidRPr="00D81648">
              <w:rPr>
                <w:lang w:val="en-AU"/>
              </w:rPr>
              <w:t>Importantly, during the 2008 global financial crisis the Australian economy fared better than</w:t>
            </w:r>
            <w:r w:rsidR="00DD221C">
              <w:rPr>
                <w:lang w:val="en-AU"/>
              </w:rPr>
              <w:t xml:space="preserve"> other comparable economies</w:t>
            </w:r>
            <w:r w:rsidR="00CC16F7">
              <w:rPr>
                <w:lang w:val="en-AU"/>
              </w:rPr>
              <w:t xml:space="preserve">. </w:t>
            </w:r>
            <w:r w:rsidR="00CC16F7" w:rsidRPr="00D81648">
              <w:rPr>
                <w:lang w:val="en-AU"/>
              </w:rPr>
              <w:t>It</w:t>
            </w:r>
            <w:r w:rsidR="00FF1A57">
              <w:rPr>
                <w:lang w:val="en-AU"/>
              </w:rPr>
              <w:t xml:space="preserve"> i</w:t>
            </w:r>
            <w:r w:rsidR="00CC16F7" w:rsidRPr="00D81648">
              <w:rPr>
                <w:lang w:val="en-AU"/>
              </w:rPr>
              <w:t xml:space="preserve">s </w:t>
            </w:r>
            <w:r w:rsidRPr="00D81648">
              <w:rPr>
                <w:lang w:val="en-AU"/>
              </w:rPr>
              <w:t xml:space="preserve">reasonable to claim that our </w:t>
            </w:r>
            <w:r w:rsidR="00FF1A57">
              <w:rPr>
                <w:lang w:val="en-AU"/>
              </w:rPr>
              <w:t xml:space="preserve">robust </w:t>
            </w:r>
            <w:r w:rsidRPr="00D81648">
              <w:rPr>
                <w:lang w:val="en-AU"/>
              </w:rPr>
              <w:t>insolvency regime played a part in that – especially from credit provision and market confidence perspectives.</w:t>
            </w:r>
          </w:p>
          <w:p w14:paraId="591DCB29" w14:textId="77777777" w:rsidR="006A5944" w:rsidRPr="00D81648" w:rsidRDefault="006A5944" w:rsidP="00CC16F7">
            <w:pPr>
              <w:spacing w:after="200"/>
              <w:rPr>
                <w:color w:val="000000"/>
                <w:lang w:val="en-AU"/>
              </w:rPr>
            </w:pPr>
            <w:r w:rsidRPr="00D81648">
              <w:rPr>
                <w:lang w:val="en-AU"/>
              </w:rPr>
              <w:t xml:space="preserve">At the same time, we do </w:t>
            </w:r>
            <w:r w:rsidR="00CC16F7">
              <w:rPr>
                <w:lang w:val="en-AU"/>
              </w:rPr>
              <w:t>believe</w:t>
            </w:r>
            <w:r w:rsidR="00CC16F7" w:rsidRPr="00D81648">
              <w:rPr>
                <w:lang w:val="en-AU"/>
              </w:rPr>
              <w:t xml:space="preserve"> </w:t>
            </w:r>
            <w:r w:rsidRPr="00D81648">
              <w:rPr>
                <w:lang w:val="en-AU"/>
              </w:rPr>
              <w:t xml:space="preserve">that fundamental changes are needed, in particular in relation to government involvement in the regime, and the need for greater emphasis on </w:t>
            </w:r>
            <w:r w:rsidR="00FF1A57">
              <w:rPr>
                <w:lang w:val="en-AU"/>
              </w:rPr>
              <w:t xml:space="preserve">enabling </w:t>
            </w:r>
            <w:r w:rsidRPr="00D81648">
              <w:rPr>
                <w:lang w:val="en-AU"/>
              </w:rPr>
              <w:t>restructuring outcomes.</w:t>
            </w:r>
          </w:p>
        </w:tc>
      </w:tr>
    </w:tbl>
    <w:p w14:paraId="301A9A8E" w14:textId="77777777" w:rsidR="006A5944" w:rsidRPr="00D81648" w:rsidRDefault="006A5944" w:rsidP="006A5944">
      <w:pPr>
        <w:rPr>
          <w:color w:val="000000"/>
          <w:lang w:val="en-AU"/>
        </w:rPr>
      </w:pPr>
    </w:p>
    <w:p w14:paraId="07A806FE" w14:textId="77777777" w:rsidR="001A3BD5" w:rsidRPr="00D81648" w:rsidRDefault="001A3BD5" w:rsidP="00B76E2B">
      <w:pPr>
        <w:pStyle w:val="ARITAReportHeading2"/>
        <w:numPr>
          <w:ilvl w:val="0"/>
          <w:numId w:val="0"/>
        </w:numPr>
        <w:rPr>
          <w:lang w:val="en-AU"/>
        </w:rPr>
      </w:pPr>
      <w:r w:rsidRPr="00D81648">
        <w:rPr>
          <w:lang w:val="en-AU"/>
        </w:rPr>
        <w:t>Explanatory notes:</w:t>
      </w:r>
    </w:p>
    <w:p w14:paraId="5420E3BD" w14:textId="77777777" w:rsidR="00CC16F7" w:rsidRDefault="001A3BD5" w:rsidP="00DE5B2C">
      <w:pPr>
        <w:rPr>
          <w:lang w:val="en-AU"/>
        </w:rPr>
      </w:pPr>
      <w:r w:rsidRPr="00D81648">
        <w:rPr>
          <w:lang w:val="en-AU"/>
        </w:rPr>
        <w:t>Australians tend to</w:t>
      </w:r>
      <w:r w:rsidR="00CC16F7">
        <w:rPr>
          <w:lang w:val="en-AU"/>
        </w:rPr>
        <w:t xml:space="preserve"> </w:t>
      </w:r>
      <w:r w:rsidRPr="00D81648">
        <w:rPr>
          <w:lang w:val="en-AU"/>
        </w:rPr>
        <w:t>hold an idealised view of how other markets operate: we see the success</w:t>
      </w:r>
      <w:r w:rsidR="00CC16F7">
        <w:rPr>
          <w:lang w:val="en-AU"/>
        </w:rPr>
        <w:t>es</w:t>
      </w:r>
      <w:r w:rsidRPr="00D81648">
        <w:rPr>
          <w:lang w:val="en-AU"/>
        </w:rPr>
        <w:t xml:space="preserve"> but gloss over some of the failings.</w:t>
      </w:r>
    </w:p>
    <w:p w14:paraId="0CCD9C9C" w14:textId="77777777" w:rsidR="001A3BD5" w:rsidRPr="00D81648" w:rsidRDefault="001A3BD5" w:rsidP="00CC16F7">
      <w:pPr>
        <w:rPr>
          <w:lang w:val="en-AU"/>
        </w:rPr>
      </w:pPr>
      <w:r w:rsidRPr="00D81648">
        <w:rPr>
          <w:lang w:val="en-AU"/>
        </w:rPr>
        <w:t xml:space="preserve">ARITA believes we should carefully and </w:t>
      </w:r>
      <w:r w:rsidR="00EB692E" w:rsidRPr="00D81648">
        <w:rPr>
          <w:lang w:val="en-AU"/>
        </w:rPr>
        <w:t xml:space="preserve">systematically </w:t>
      </w:r>
      <w:r w:rsidRPr="00D81648">
        <w:rPr>
          <w:lang w:val="en-AU"/>
        </w:rPr>
        <w:t xml:space="preserve">analyse recovery and insolvency regimes elsewhere to see what </w:t>
      </w:r>
      <w:r w:rsidR="00CC16F7">
        <w:rPr>
          <w:lang w:val="en-AU"/>
        </w:rPr>
        <w:t xml:space="preserve">approaches we </w:t>
      </w:r>
      <w:r w:rsidRPr="00D81648">
        <w:rPr>
          <w:lang w:val="en-AU"/>
        </w:rPr>
        <w:t xml:space="preserve">may </w:t>
      </w:r>
      <w:r w:rsidR="00CC16F7">
        <w:rPr>
          <w:lang w:val="en-AU"/>
        </w:rPr>
        <w:t xml:space="preserve">employ here to improve our regime. </w:t>
      </w:r>
      <w:r w:rsidR="00CC16F7" w:rsidRPr="00D81648">
        <w:rPr>
          <w:lang w:val="en-AU"/>
        </w:rPr>
        <w:t>However</w:t>
      </w:r>
      <w:r w:rsidRPr="00D81648">
        <w:rPr>
          <w:lang w:val="en-AU"/>
        </w:rPr>
        <w:t xml:space="preserve">, </w:t>
      </w:r>
      <w:r w:rsidR="00CC16F7">
        <w:rPr>
          <w:lang w:val="en-AU"/>
        </w:rPr>
        <w:t>the</w:t>
      </w:r>
      <w:r w:rsidR="00CC16F7" w:rsidRPr="00D81648">
        <w:rPr>
          <w:lang w:val="en-AU"/>
        </w:rPr>
        <w:t xml:space="preserve"> </w:t>
      </w:r>
      <w:r w:rsidRPr="00D81648">
        <w:rPr>
          <w:lang w:val="en-AU"/>
        </w:rPr>
        <w:t>notion that we can simply transplant other systems here fails to acknowledge our own unique circumstances and ethos.</w:t>
      </w:r>
    </w:p>
    <w:p w14:paraId="46FDC312" w14:textId="77777777" w:rsidR="0098293E" w:rsidRPr="00D81648" w:rsidRDefault="001A3BD5" w:rsidP="00DE5B2C">
      <w:pPr>
        <w:rPr>
          <w:lang w:val="en-AU"/>
        </w:rPr>
      </w:pPr>
      <w:r w:rsidRPr="00D81648">
        <w:rPr>
          <w:lang w:val="en-AU"/>
        </w:rPr>
        <w:t>ARITA’s view is that change and reform</w:t>
      </w:r>
      <w:r w:rsidRPr="00D81648">
        <w:rPr>
          <w:i/>
          <w:iCs/>
          <w:lang w:val="en-AU"/>
        </w:rPr>
        <w:t xml:space="preserve"> </w:t>
      </w:r>
      <w:r w:rsidRPr="00CC16F7">
        <w:rPr>
          <w:iCs/>
          <w:lang w:val="en-AU"/>
        </w:rPr>
        <w:t>is</w:t>
      </w:r>
      <w:r w:rsidRPr="00D81648">
        <w:rPr>
          <w:lang w:val="en-AU"/>
        </w:rPr>
        <w:t xml:space="preserve"> needed for the regime to improve its social and economic outcomes.</w:t>
      </w:r>
      <w:r w:rsidR="00B76E2B" w:rsidRPr="00D81648">
        <w:rPr>
          <w:lang w:val="en-AU"/>
        </w:rPr>
        <w:t xml:space="preserve"> </w:t>
      </w:r>
      <w:r w:rsidRPr="00D81648">
        <w:rPr>
          <w:lang w:val="en-AU"/>
        </w:rPr>
        <w:t>We necessarily accept some of the current legal and practice structures in place in Australia and do not wish to suggest the impossible or impractical; for example, we are content to maintain the separate laws for personal and corporate insolvency.</w:t>
      </w:r>
    </w:p>
    <w:p w14:paraId="10315E70" w14:textId="77777777" w:rsidR="001A3BD5" w:rsidRPr="00D81648" w:rsidRDefault="001A3BD5" w:rsidP="006A5944">
      <w:pPr>
        <w:rPr>
          <w:lang w:val="en-AU"/>
        </w:rPr>
      </w:pPr>
      <w:r w:rsidRPr="00D81648">
        <w:rPr>
          <w:lang w:val="en-AU"/>
        </w:rPr>
        <w:t xml:space="preserve">The </w:t>
      </w:r>
      <w:r w:rsidR="00CC16F7">
        <w:rPr>
          <w:lang w:val="en-AU"/>
        </w:rPr>
        <w:t>current</w:t>
      </w:r>
      <w:r w:rsidR="00CC16F7" w:rsidRPr="00D81648">
        <w:rPr>
          <w:lang w:val="en-AU"/>
        </w:rPr>
        <w:t xml:space="preserve"> </w:t>
      </w:r>
      <w:r w:rsidRPr="00D81648">
        <w:rPr>
          <w:lang w:val="en-AU"/>
        </w:rPr>
        <w:t>Australian regime could be described as</w:t>
      </w:r>
      <w:r w:rsidR="00CC16F7">
        <w:rPr>
          <w:lang w:val="en-AU"/>
        </w:rPr>
        <w:t xml:space="preserve"> having</w:t>
      </w:r>
      <w:r w:rsidRPr="00D81648">
        <w:rPr>
          <w:lang w:val="en-AU"/>
        </w:rPr>
        <w:t xml:space="preserve"> a strong bias towards preserving creditors’ rights. </w:t>
      </w:r>
      <w:r w:rsidR="00CC16F7" w:rsidRPr="00D81648">
        <w:rPr>
          <w:lang w:val="en-AU"/>
        </w:rPr>
        <w:t xml:space="preserve">Other </w:t>
      </w:r>
      <w:r w:rsidRPr="00D81648">
        <w:rPr>
          <w:lang w:val="en-AU"/>
        </w:rPr>
        <w:t xml:space="preserve">jurisdictions </w:t>
      </w:r>
      <w:r w:rsidR="00CC16F7">
        <w:rPr>
          <w:lang w:val="en-AU"/>
        </w:rPr>
        <w:t>are</w:t>
      </w:r>
      <w:r w:rsidR="00CC16F7" w:rsidRPr="00D81648">
        <w:rPr>
          <w:lang w:val="en-AU"/>
        </w:rPr>
        <w:t xml:space="preserve"> </w:t>
      </w:r>
      <w:r w:rsidRPr="00D81648">
        <w:rPr>
          <w:lang w:val="en-AU"/>
        </w:rPr>
        <w:t>more bias</w:t>
      </w:r>
      <w:r w:rsidR="00CC16F7">
        <w:rPr>
          <w:lang w:val="en-AU"/>
        </w:rPr>
        <w:t>ed</w:t>
      </w:r>
      <w:r w:rsidRPr="00D81648">
        <w:rPr>
          <w:lang w:val="en-AU"/>
        </w:rPr>
        <w:t xml:space="preserve"> towards preserv</w:t>
      </w:r>
      <w:r w:rsidR="00CC16F7">
        <w:rPr>
          <w:lang w:val="en-AU"/>
        </w:rPr>
        <w:t>ing the troubled company as a going concern.</w:t>
      </w:r>
      <w:r w:rsidRPr="00D81648">
        <w:rPr>
          <w:lang w:val="en-AU"/>
        </w:rPr>
        <w:t xml:space="preserve"> There are significant arguments around where the balance is appropriately set between these two approaches, and th</w:t>
      </w:r>
      <w:r w:rsidR="00CC16F7">
        <w:rPr>
          <w:lang w:val="en-AU"/>
        </w:rPr>
        <w:t>e</w:t>
      </w:r>
      <w:r w:rsidRPr="00D81648">
        <w:rPr>
          <w:lang w:val="en-AU"/>
        </w:rPr>
        <w:t xml:space="preserve"> balance </w:t>
      </w:r>
      <w:r w:rsidR="00CC16F7">
        <w:rPr>
          <w:lang w:val="en-AU"/>
        </w:rPr>
        <w:t xml:space="preserve">point advocated </w:t>
      </w:r>
      <w:r w:rsidRPr="00D81648">
        <w:rPr>
          <w:lang w:val="en-AU"/>
        </w:rPr>
        <w:t>may alter depend</w:t>
      </w:r>
      <w:r w:rsidR="00CC16F7">
        <w:rPr>
          <w:lang w:val="en-AU"/>
        </w:rPr>
        <w:t>ing</w:t>
      </w:r>
      <w:r w:rsidRPr="00D81648">
        <w:rPr>
          <w:lang w:val="en-AU"/>
        </w:rPr>
        <w:t xml:space="preserve"> on where an economy’s performance </w:t>
      </w:r>
      <w:r w:rsidR="00CC16F7">
        <w:rPr>
          <w:lang w:val="en-AU"/>
        </w:rPr>
        <w:t>is</w:t>
      </w:r>
      <w:r w:rsidRPr="00D81648">
        <w:rPr>
          <w:lang w:val="en-AU"/>
        </w:rPr>
        <w:t xml:space="preserve"> trending</w:t>
      </w:r>
      <w:r w:rsidR="00CC16F7">
        <w:rPr>
          <w:lang w:val="en-AU"/>
        </w:rPr>
        <w:t>.</w:t>
      </w:r>
      <w:r w:rsidRPr="00D81648">
        <w:rPr>
          <w:lang w:val="en-AU"/>
        </w:rPr>
        <w:br w:type="page"/>
      </w:r>
    </w:p>
    <w:tbl>
      <w:tblPr>
        <w:tblStyle w:val="TableGrid"/>
        <w:tblW w:w="0" w:type="auto"/>
        <w:tblLook w:val="04A0" w:firstRow="1" w:lastRow="0" w:firstColumn="1" w:lastColumn="0" w:noHBand="0" w:noVBand="1"/>
      </w:tblPr>
      <w:tblGrid>
        <w:gridCol w:w="9242"/>
      </w:tblGrid>
      <w:tr w:rsidR="006A5944" w:rsidRPr="00D81648" w14:paraId="069795A4" w14:textId="77777777" w:rsidTr="0080643C">
        <w:tc>
          <w:tcPr>
            <w:tcW w:w="9242" w:type="dxa"/>
            <w:tcBorders>
              <w:top w:val="nil"/>
              <w:left w:val="nil"/>
              <w:bottom w:val="nil"/>
              <w:right w:val="nil"/>
            </w:tcBorders>
            <w:shd w:val="clear" w:color="auto" w:fill="EEECE8"/>
          </w:tcPr>
          <w:p w14:paraId="51009A72" w14:textId="77777777" w:rsidR="006A5944" w:rsidRPr="00D81648" w:rsidRDefault="006A5944" w:rsidP="00F753FC">
            <w:pPr>
              <w:pStyle w:val="ARITAReportHeading2"/>
              <w:numPr>
                <w:ilvl w:val="0"/>
                <w:numId w:val="0"/>
              </w:numPr>
              <w:spacing w:before="240" w:after="120"/>
              <w:rPr>
                <w:lang w:val="en-AU"/>
              </w:rPr>
            </w:pPr>
            <w:r w:rsidRPr="00D81648">
              <w:rPr>
                <w:lang w:val="en-AU"/>
              </w:rPr>
              <w:lastRenderedPageBreak/>
              <w:t xml:space="preserve">Policy 15-04: Creation of a </w:t>
            </w:r>
            <w:r w:rsidR="00A22850" w:rsidRPr="00D81648">
              <w:rPr>
                <w:lang w:val="en-AU"/>
              </w:rPr>
              <w:t>restructuring moratorium</w:t>
            </w:r>
          </w:p>
          <w:p w14:paraId="1F31E441" w14:textId="77777777" w:rsidR="006A5944" w:rsidRPr="00D81648" w:rsidRDefault="006A5944" w:rsidP="00984348">
            <w:pPr>
              <w:spacing w:after="200"/>
              <w:rPr>
                <w:lang w:val="en-AU"/>
              </w:rPr>
            </w:pPr>
            <w:r w:rsidRPr="00D81648">
              <w:rPr>
                <w:lang w:val="en-AU"/>
              </w:rPr>
              <w:t>ARITA supports a business judgement rule with the following elements, that directors</w:t>
            </w:r>
            <w:r w:rsidRPr="00D81648">
              <w:rPr>
                <w:vertAlign w:val="superscript"/>
                <w:lang w:val="en-AU"/>
              </w:rPr>
              <w:footnoteReference w:id="2"/>
            </w:r>
            <w:r w:rsidRPr="00D81648">
              <w:rPr>
                <w:lang w:val="en-AU"/>
              </w:rPr>
              <w:t>:</w:t>
            </w:r>
          </w:p>
          <w:p w14:paraId="580E471C" w14:textId="77777777" w:rsidR="006A5944" w:rsidRPr="00D81648" w:rsidRDefault="006A5944" w:rsidP="00E8698F">
            <w:pPr>
              <w:pStyle w:val="ListBullet"/>
              <w:spacing w:after="200"/>
              <w:contextualSpacing w:val="0"/>
              <w:rPr>
                <w:lang w:val="en-AU"/>
              </w:rPr>
            </w:pPr>
            <w:r w:rsidRPr="00D81648">
              <w:rPr>
                <w:lang w:val="en-AU"/>
              </w:rPr>
              <w:t>make a business judgement in good faith for proper purpose</w:t>
            </w:r>
          </w:p>
          <w:p w14:paraId="36CAF189" w14:textId="77777777" w:rsidR="006A5944" w:rsidRPr="00D81648" w:rsidRDefault="006A5944" w:rsidP="00E8698F">
            <w:pPr>
              <w:pStyle w:val="ListBullet"/>
              <w:spacing w:after="200"/>
              <w:contextualSpacing w:val="0"/>
              <w:rPr>
                <w:lang w:val="en-AU"/>
              </w:rPr>
            </w:pPr>
            <w:r w:rsidRPr="00D81648">
              <w:rPr>
                <w:lang w:val="en-AU"/>
              </w:rPr>
              <w:t>after informing themselves about the subject matter of the judgement to the extent they reasonably believe to be appropriate</w:t>
            </w:r>
          </w:p>
          <w:p w14:paraId="22A0F1FC" w14:textId="77777777" w:rsidR="006A5944" w:rsidRPr="00D81648" w:rsidRDefault="006A5944" w:rsidP="00E8698F">
            <w:pPr>
              <w:pStyle w:val="ListBullet"/>
              <w:spacing w:after="200"/>
              <w:contextualSpacing w:val="0"/>
              <w:rPr>
                <w:lang w:val="en-AU"/>
              </w:rPr>
            </w:pPr>
            <w:r w:rsidRPr="00D81648">
              <w:rPr>
                <w:lang w:val="en-AU"/>
              </w:rPr>
              <w:t xml:space="preserve">rationally believe that the judgement was in the best interests of the </w:t>
            </w:r>
            <w:r w:rsidR="00570E88">
              <w:rPr>
                <w:lang w:val="en-AU"/>
              </w:rPr>
              <w:t>company (and its shareholders)</w:t>
            </w:r>
          </w:p>
          <w:p w14:paraId="13700287" w14:textId="77777777" w:rsidR="006A5944" w:rsidRPr="00D81648" w:rsidRDefault="006A5944" w:rsidP="00E8698F">
            <w:pPr>
              <w:pStyle w:val="ListBullet"/>
              <w:spacing w:after="200"/>
              <w:contextualSpacing w:val="0"/>
              <w:rPr>
                <w:lang w:val="en-AU"/>
              </w:rPr>
            </w:pPr>
            <w:r w:rsidRPr="00D81648">
              <w:rPr>
                <w:lang w:val="en-AU"/>
              </w:rPr>
              <w:t>the director has taken all proper steps to ensure that the financial information of the company necessary for the provision of restructuring advice is accurate, or is ensuring that all resources necessary in the circumstances to remedy any material deficiencies in that information are being diligently deployed</w:t>
            </w:r>
          </w:p>
          <w:p w14:paraId="4B1DAE70" w14:textId="77777777" w:rsidR="006A5944" w:rsidRPr="00D81648" w:rsidRDefault="006A5944" w:rsidP="00E8698F">
            <w:pPr>
              <w:pStyle w:val="ListBullet"/>
              <w:spacing w:after="200"/>
              <w:contextualSpacing w:val="0"/>
              <w:rPr>
                <w:lang w:val="en-AU"/>
              </w:rPr>
            </w:pPr>
            <w:r w:rsidRPr="00D81648">
              <w:rPr>
                <w:lang w:val="en-AU"/>
              </w:rPr>
              <w:t>the director was informed with restructuring advice from an appropriately experienced and qualified professional engaged or employed by the company, with access to all pertinent financial information, as to the feasibility of and means for ensuring that the company remains solvent, or that it is returned to a state of solvency within a reasonable period of time</w:t>
            </w:r>
          </w:p>
          <w:p w14:paraId="4CB9DDC5" w14:textId="77777777" w:rsidR="006A5944" w:rsidRPr="00D81648" w:rsidRDefault="006A5944" w:rsidP="00E8698F">
            <w:pPr>
              <w:pStyle w:val="ListBullet"/>
              <w:spacing w:after="200"/>
              <w:contextualSpacing w:val="0"/>
              <w:rPr>
                <w:lang w:val="en-AU"/>
              </w:rPr>
            </w:pPr>
            <w:r w:rsidRPr="00D81648">
              <w:rPr>
                <w:lang w:val="en-AU"/>
              </w:rPr>
              <w:t>it was the director’s business judgement that the interests of the company’s body of creditors as a whole, as well as members, were best served by pursuing restructuring, and</w:t>
            </w:r>
          </w:p>
          <w:p w14:paraId="117DBBAA" w14:textId="77777777" w:rsidR="006A5944" w:rsidRPr="00D81648" w:rsidRDefault="006A5944" w:rsidP="00E8698F">
            <w:pPr>
              <w:pStyle w:val="ListBullet"/>
              <w:spacing w:after="200"/>
              <w:contextualSpacing w:val="0"/>
              <w:rPr>
                <w:lang w:val="en-AU"/>
              </w:rPr>
            </w:pPr>
            <w:r w:rsidRPr="00D81648">
              <w:rPr>
                <w:lang w:val="en-AU"/>
              </w:rPr>
              <w:t>the director took all reasonable steps to ensure that the company diligently pursued the restructuring.</w:t>
            </w:r>
          </w:p>
          <w:p w14:paraId="1F952E38" w14:textId="77777777" w:rsidR="006A5944" w:rsidRPr="00D81648" w:rsidRDefault="006A5944" w:rsidP="00984348">
            <w:pPr>
              <w:spacing w:after="200"/>
              <w:rPr>
                <w:lang w:val="en-AU"/>
              </w:rPr>
            </w:pPr>
            <w:r w:rsidRPr="00D81648">
              <w:rPr>
                <w:lang w:val="en-AU"/>
              </w:rPr>
              <w:t>A restructuring moratorium (safe harbour) that provides a defence to insolvent trading liability is required as:</w:t>
            </w:r>
          </w:p>
          <w:p w14:paraId="391ADC6E" w14:textId="77777777" w:rsidR="0080643C" w:rsidRPr="00D81648" w:rsidRDefault="0080643C" w:rsidP="00E8698F">
            <w:pPr>
              <w:pStyle w:val="ListBullet"/>
              <w:numPr>
                <w:ilvl w:val="0"/>
                <w:numId w:val="54"/>
              </w:numPr>
              <w:spacing w:after="200"/>
              <w:contextualSpacing w:val="0"/>
              <w:rPr>
                <w:lang w:val="en-AU"/>
              </w:rPr>
            </w:pPr>
            <w:r w:rsidRPr="00D81648">
              <w:rPr>
                <w:lang w:val="en-AU"/>
              </w:rPr>
              <w:t>the existing law, without any restructuring moratorium, can impede or prevent proper attempts at informal workouts</w:t>
            </w:r>
          </w:p>
          <w:p w14:paraId="568749BE" w14:textId="77777777" w:rsidR="0080643C" w:rsidRPr="00D81648" w:rsidRDefault="0080643C" w:rsidP="00E8698F">
            <w:pPr>
              <w:pStyle w:val="ListBullet"/>
              <w:numPr>
                <w:ilvl w:val="0"/>
                <w:numId w:val="54"/>
              </w:numPr>
              <w:spacing w:after="200"/>
              <w:contextualSpacing w:val="0"/>
              <w:rPr>
                <w:lang w:val="en-AU"/>
              </w:rPr>
            </w:pPr>
            <w:r w:rsidRPr="00D81648">
              <w:rPr>
                <w:lang w:val="en-AU"/>
              </w:rPr>
              <w:t>the adverse effect of the existing laws on honest, capable directors, particularly non-executive directors</w:t>
            </w:r>
          </w:p>
          <w:p w14:paraId="1F24D970" w14:textId="77777777" w:rsidR="0080643C" w:rsidRPr="00D81648" w:rsidRDefault="0080643C" w:rsidP="00E8698F">
            <w:pPr>
              <w:pStyle w:val="ListBullet"/>
              <w:numPr>
                <w:ilvl w:val="0"/>
                <w:numId w:val="54"/>
              </w:numPr>
              <w:spacing w:after="200"/>
              <w:contextualSpacing w:val="0"/>
              <w:rPr>
                <w:lang w:val="en-AU"/>
              </w:rPr>
            </w:pPr>
            <w:r w:rsidRPr="00D81648">
              <w:rPr>
                <w:lang w:val="en-AU"/>
              </w:rPr>
              <w:t>the focus of directors of a financially troubled company should primarily be (as it is in many other comparable jurisdictions) on the interests of creditors</w:t>
            </w:r>
          </w:p>
          <w:p w14:paraId="63B6683D" w14:textId="77777777" w:rsidR="0080643C" w:rsidRPr="00D81648" w:rsidRDefault="0080643C" w:rsidP="00E8698F">
            <w:pPr>
              <w:pStyle w:val="ListBullet"/>
              <w:numPr>
                <w:ilvl w:val="0"/>
                <w:numId w:val="54"/>
              </w:numPr>
              <w:spacing w:after="200"/>
              <w:contextualSpacing w:val="0"/>
              <w:rPr>
                <w:lang w:val="en-AU"/>
              </w:rPr>
            </w:pPr>
            <w:r w:rsidRPr="00D81648">
              <w:rPr>
                <w:lang w:val="en-AU"/>
              </w:rPr>
              <w:t>the existing insolvent trading laws limit the options available to deal with financial distress, and</w:t>
            </w:r>
          </w:p>
          <w:p w14:paraId="67C9E218" w14:textId="77777777" w:rsidR="0080643C" w:rsidRPr="00D81648" w:rsidRDefault="0080643C" w:rsidP="00E8698F">
            <w:pPr>
              <w:pStyle w:val="ListBullet"/>
              <w:numPr>
                <w:ilvl w:val="0"/>
                <w:numId w:val="54"/>
              </w:numPr>
              <w:spacing w:after="200"/>
              <w:contextualSpacing w:val="0"/>
              <w:rPr>
                <w:lang w:val="en-AU"/>
              </w:rPr>
            </w:pPr>
            <w:r w:rsidRPr="00D81648">
              <w:rPr>
                <w:lang w:val="en-AU"/>
              </w:rPr>
              <w:t xml:space="preserve">a </w:t>
            </w:r>
            <w:r w:rsidR="00961B44" w:rsidRPr="00D81648">
              <w:rPr>
                <w:lang w:val="en-AU"/>
              </w:rPr>
              <w:t>restructuring moratorium</w:t>
            </w:r>
            <w:r w:rsidRPr="00D81648">
              <w:rPr>
                <w:lang w:val="en-AU"/>
              </w:rPr>
              <w:t xml:space="preserve"> would promote the critically important policy objective </w:t>
            </w:r>
            <w:r w:rsidRPr="00D81648">
              <w:rPr>
                <w:lang w:val="en-AU"/>
              </w:rPr>
              <w:lastRenderedPageBreak/>
              <w:t>of obliging directors to obtain early restructuring advice.</w:t>
            </w:r>
          </w:p>
          <w:p w14:paraId="46F3AF2D" w14:textId="77777777" w:rsidR="006A5944" w:rsidRPr="00D81648" w:rsidRDefault="006A5944" w:rsidP="0080643C">
            <w:pPr>
              <w:spacing w:after="200"/>
              <w:rPr>
                <w:lang w:val="en-AU"/>
              </w:rPr>
            </w:pPr>
            <w:r w:rsidRPr="00D81648">
              <w:rPr>
                <w:lang w:val="en-AU"/>
              </w:rPr>
              <w:t xml:space="preserve">We note that directors should not be permitted to </w:t>
            </w:r>
            <w:r w:rsidR="00C05BC8">
              <w:rPr>
                <w:lang w:val="en-AU"/>
              </w:rPr>
              <w:t>view</w:t>
            </w:r>
            <w:r w:rsidR="00C05BC8" w:rsidRPr="00D81648">
              <w:rPr>
                <w:lang w:val="en-AU"/>
              </w:rPr>
              <w:t xml:space="preserve"> </w:t>
            </w:r>
            <w:r w:rsidRPr="00D81648">
              <w:rPr>
                <w:lang w:val="en-AU"/>
              </w:rPr>
              <w:t>the restructuring moratorium provisions as a relaxation of their responsibilities. If anything, their responsibilities should be seen as being heightened during this period by the business judgement rule requiring positive and beneficial governance thresholds to be met before the rule can be used.</w:t>
            </w:r>
          </w:p>
          <w:p w14:paraId="0D941FE0" w14:textId="77777777" w:rsidR="006A5944" w:rsidRPr="00D81648" w:rsidRDefault="006A5944" w:rsidP="0080643C">
            <w:pPr>
              <w:rPr>
                <w:lang w:val="en-AU"/>
              </w:rPr>
            </w:pPr>
            <w:r w:rsidRPr="00D81648">
              <w:rPr>
                <w:lang w:val="en-AU"/>
              </w:rPr>
              <w:t>In situations where the obligations for the protections are not met, the insolvent trading rules should actually be easier for a liquidator to prove in order to be able to obtain compensation for the affected creditors.</w:t>
            </w:r>
          </w:p>
        </w:tc>
      </w:tr>
    </w:tbl>
    <w:p w14:paraId="00547013" w14:textId="77777777" w:rsidR="008D72C1" w:rsidRDefault="008D72C1" w:rsidP="006A5944">
      <w:pPr>
        <w:pStyle w:val="ARITABodyText"/>
        <w:rPr>
          <w:lang w:val="en-AU"/>
        </w:rPr>
      </w:pPr>
    </w:p>
    <w:p w14:paraId="425C44EC" w14:textId="77777777" w:rsidR="008D72C1" w:rsidRDefault="008D72C1" w:rsidP="008D72C1">
      <w:pPr>
        <w:rPr>
          <w:szCs w:val="21"/>
          <w:lang w:val="en-AU"/>
        </w:rPr>
      </w:pPr>
      <w:r>
        <w:rPr>
          <w:lang w:val="en-AU"/>
        </w:rPr>
        <w:br w:type="page"/>
      </w:r>
    </w:p>
    <w:tbl>
      <w:tblPr>
        <w:tblStyle w:val="TableGrid"/>
        <w:tblW w:w="0" w:type="auto"/>
        <w:tblLook w:val="04A0" w:firstRow="1" w:lastRow="0" w:firstColumn="1" w:lastColumn="0" w:noHBand="0" w:noVBand="1"/>
      </w:tblPr>
      <w:tblGrid>
        <w:gridCol w:w="9242"/>
      </w:tblGrid>
      <w:tr w:rsidR="006A5944" w:rsidRPr="00D81648" w14:paraId="7B3CCFC7" w14:textId="77777777" w:rsidTr="00EF1334">
        <w:trPr>
          <w:cantSplit/>
        </w:trPr>
        <w:tc>
          <w:tcPr>
            <w:tcW w:w="9242" w:type="dxa"/>
            <w:tcBorders>
              <w:top w:val="nil"/>
              <w:left w:val="nil"/>
              <w:bottom w:val="nil"/>
              <w:right w:val="nil"/>
            </w:tcBorders>
            <w:shd w:val="clear" w:color="auto" w:fill="EEECE8"/>
          </w:tcPr>
          <w:p w14:paraId="68CCD82B" w14:textId="77777777" w:rsidR="006A5944" w:rsidRPr="00D81648" w:rsidRDefault="006A5944" w:rsidP="00F753FC">
            <w:pPr>
              <w:pStyle w:val="ARITAReportHeading2"/>
              <w:numPr>
                <w:ilvl w:val="0"/>
                <w:numId w:val="0"/>
              </w:numPr>
              <w:spacing w:before="240" w:after="120"/>
              <w:rPr>
                <w:lang w:val="en-AU"/>
              </w:rPr>
            </w:pPr>
            <w:r w:rsidRPr="00D81648">
              <w:rPr>
                <w:lang w:val="en-AU"/>
              </w:rPr>
              <w:lastRenderedPageBreak/>
              <w:t xml:space="preserve">Policy 15-05: </w:t>
            </w:r>
            <w:r w:rsidR="008450CD">
              <w:rPr>
                <w:lang w:val="en-AU"/>
              </w:rPr>
              <w:t>Stronger regulation of directors and c</w:t>
            </w:r>
            <w:r w:rsidRPr="00D81648">
              <w:rPr>
                <w:lang w:val="en-AU"/>
              </w:rPr>
              <w:t xml:space="preserve">reation of a </w:t>
            </w:r>
            <w:r w:rsidR="00C05BC8" w:rsidRPr="00D81648">
              <w:rPr>
                <w:lang w:val="en-AU"/>
              </w:rPr>
              <w:t>director identification number</w:t>
            </w:r>
          </w:p>
          <w:p w14:paraId="158DC7F5" w14:textId="77777777" w:rsidR="006A5944" w:rsidRPr="00D81648" w:rsidRDefault="00570E88" w:rsidP="00570E88">
            <w:pPr>
              <w:spacing w:after="200"/>
              <w:rPr>
                <w:lang w:val="en-AU"/>
              </w:rPr>
            </w:pPr>
            <w:r>
              <w:rPr>
                <w:lang w:val="en-AU"/>
              </w:rPr>
              <w:t>The</w:t>
            </w:r>
            <w:r w:rsidRPr="00D81648">
              <w:rPr>
                <w:lang w:val="en-AU"/>
              </w:rPr>
              <w:t xml:space="preserve"> </w:t>
            </w:r>
            <w:r w:rsidR="006A5944" w:rsidRPr="00D81648">
              <w:rPr>
                <w:lang w:val="en-AU"/>
              </w:rPr>
              <w:t xml:space="preserve">strengthening of insolvent trading rules should be supported by </w:t>
            </w:r>
            <w:r>
              <w:rPr>
                <w:lang w:val="en-AU"/>
              </w:rPr>
              <w:t>stronger</w:t>
            </w:r>
            <w:r w:rsidRPr="00D81648">
              <w:rPr>
                <w:lang w:val="en-AU"/>
              </w:rPr>
              <w:t xml:space="preserve"> </w:t>
            </w:r>
            <w:r w:rsidR="006A5944" w:rsidRPr="00D81648">
              <w:rPr>
                <w:lang w:val="en-AU"/>
              </w:rPr>
              <w:t>regulation of directors. Consideration should be given to the implementation of a unique</w:t>
            </w:r>
            <w:r w:rsidR="00C61C45">
              <w:rPr>
                <w:lang w:val="en-AU"/>
              </w:rPr>
              <w:t xml:space="preserve"> </w:t>
            </w:r>
            <w:r w:rsidR="00C05BC8">
              <w:rPr>
                <w:lang w:val="en-AU"/>
              </w:rPr>
              <w:t>“</w:t>
            </w:r>
            <w:r w:rsidR="006A5944" w:rsidRPr="00D81648">
              <w:rPr>
                <w:lang w:val="en-AU"/>
              </w:rPr>
              <w:t>director identity number</w:t>
            </w:r>
            <w:r w:rsidR="00CA66FE">
              <w:rPr>
                <w:lang w:val="en-AU"/>
              </w:rPr>
              <w:t>”</w:t>
            </w:r>
            <w:r w:rsidR="00C61C45">
              <w:rPr>
                <w:lang w:val="en-AU"/>
              </w:rPr>
              <w:t xml:space="preserve"> </w:t>
            </w:r>
            <w:r w:rsidR="006A5944" w:rsidRPr="00D81648">
              <w:rPr>
                <w:lang w:val="en-AU"/>
              </w:rPr>
              <w:t>(DIN) in order to more readily identify and monitor a director’s involvement in companies.</w:t>
            </w:r>
          </w:p>
        </w:tc>
      </w:tr>
    </w:tbl>
    <w:p w14:paraId="66FBF3F6" w14:textId="77777777" w:rsidR="006A5944" w:rsidRPr="00D81648" w:rsidRDefault="006A5944" w:rsidP="006A5944">
      <w:pPr>
        <w:rPr>
          <w:lang w:val="en-AU"/>
        </w:rPr>
      </w:pPr>
    </w:p>
    <w:p w14:paraId="6ACB0925" w14:textId="77777777" w:rsidR="005B1A83" w:rsidRPr="00D81648" w:rsidRDefault="005B1A83" w:rsidP="00B76E2B">
      <w:pPr>
        <w:pStyle w:val="ARITAReportHeading2"/>
        <w:numPr>
          <w:ilvl w:val="0"/>
          <w:numId w:val="0"/>
        </w:numPr>
        <w:rPr>
          <w:lang w:val="en-AU"/>
        </w:rPr>
      </w:pPr>
      <w:r w:rsidRPr="00D81648">
        <w:rPr>
          <w:lang w:val="en-AU"/>
        </w:rPr>
        <w:t>Explanatory notes:</w:t>
      </w:r>
    </w:p>
    <w:p w14:paraId="0A2AB60C" w14:textId="77777777" w:rsidR="00B61495" w:rsidRPr="00D81648" w:rsidRDefault="00B61495" w:rsidP="00DE5B2C">
      <w:pPr>
        <w:pStyle w:val="ARITABodyText"/>
        <w:rPr>
          <w:lang w:val="en-AU"/>
        </w:rPr>
      </w:pPr>
      <w:r w:rsidRPr="00D81648">
        <w:rPr>
          <w:lang w:val="en-AU"/>
        </w:rPr>
        <w:t xml:space="preserve">Presently there is no requirement to provide proof of identity when updating the corporate register maintained by </w:t>
      </w:r>
      <w:r w:rsidR="00B54F9A" w:rsidRPr="00D81648">
        <w:rPr>
          <w:lang w:val="en-AU"/>
        </w:rPr>
        <w:t>the Australian Securities &amp; Investments Commission (</w:t>
      </w:r>
      <w:r w:rsidRPr="00D81648">
        <w:rPr>
          <w:lang w:val="en-AU"/>
        </w:rPr>
        <w:t>ASIC</w:t>
      </w:r>
      <w:r w:rsidR="00B54F9A" w:rsidRPr="00D81648">
        <w:rPr>
          <w:lang w:val="en-AU"/>
        </w:rPr>
        <w:t>)</w:t>
      </w:r>
      <w:r w:rsidRPr="00D81648">
        <w:rPr>
          <w:lang w:val="en-AU"/>
        </w:rPr>
        <w:t xml:space="preserve"> of a director appointment. Safeguards, such as proof of identity requirements, could be put in place at the time of obtaining a DIN to mitigate the chance of inconsistent, misleading or false information being included on the corporate register.</w:t>
      </w:r>
    </w:p>
    <w:p w14:paraId="2396A987" w14:textId="77777777" w:rsidR="00B07685" w:rsidRPr="00D81648" w:rsidRDefault="00C05BC8" w:rsidP="00DE5B2C">
      <w:pPr>
        <w:pStyle w:val="ARITABodyText"/>
        <w:rPr>
          <w:lang w:val="en-AU"/>
        </w:rPr>
      </w:pPr>
      <w:r>
        <w:rPr>
          <w:lang w:val="en-AU"/>
        </w:rPr>
        <w:t>The skills and abilities of directors cover a wide spectrum. T</w:t>
      </w:r>
      <w:r w:rsidR="00B61495" w:rsidRPr="00D81648">
        <w:rPr>
          <w:lang w:val="en-AU"/>
        </w:rPr>
        <w:t>here is a need to ensure that all directors adequately understand the duties and responsibilities of their position, and the good corporate and financial judgment requirements that underpin our proposal</w:t>
      </w:r>
      <w:r w:rsidR="00182D01" w:rsidRPr="00D81648">
        <w:rPr>
          <w:lang w:val="en-AU"/>
        </w:rPr>
        <w:t xml:space="preserve"> for the creation of a restructuring moratorium</w:t>
      </w:r>
      <w:r w:rsidR="00B61495" w:rsidRPr="00D81648">
        <w:rPr>
          <w:lang w:val="en-AU"/>
        </w:rPr>
        <w:t>. We recommend that the successful completion of a suitably structured</w:t>
      </w:r>
      <w:r w:rsidR="00C61C45">
        <w:rPr>
          <w:lang w:val="en-AU"/>
        </w:rPr>
        <w:t xml:space="preserve"> </w:t>
      </w:r>
      <w:r>
        <w:rPr>
          <w:lang w:val="en-AU"/>
        </w:rPr>
        <w:t>“</w:t>
      </w:r>
      <w:r w:rsidR="00B61495" w:rsidRPr="00D81648">
        <w:rPr>
          <w:lang w:val="en-AU"/>
        </w:rPr>
        <w:t>new director</w:t>
      </w:r>
      <w:r>
        <w:rPr>
          <w:lang w:val="en-AU"/>
        </w:rPr>
        <w:t>”</w:t>
      </w:r>
      <w:r w:rsidR="00C61C45">
        <w:rPr>
          <w:lang w:val="en-AU"/>
        </w:rPr>
        <w:t xml:space="preserve"> </w:t>
      </w:r>
      <w:r w:rsidR="00B61495" w:rsidRPr="00D81648">
        <w:rPr>
          <w:lang w:val="en-AU"/>
        </w:rPr>
        <w:t>course be required as a pre-requisite to the issuing of a DIN. This could be endorsed by ASIC and offered as an online course.</w:t>
      </w:r>
      <w:r w:rsidR="00B07685" w:rsidRPr="00D81648">
        <w:rPr>
          <w:lang w:val="en-AU"/>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6A5944" w:rsidRPr="00D81648" w14:paraId="277A0187" w14:textId="77777777" w:rsidTr="00EF1334">
        <w:trPr>
          <w:cantSplit/>
        </w:trPr>
        <w:tc>
          <w:tcPr>
            <w:tcW w:w="9242" w:type="dxa"/>
            <w:shd w:val="clear" w:color="auto" w:fill="EEECE8"/>
          </w:tcPr>
          <w:p w14:paraId="65F2583D" w14:textId="77777777" w:rsidR="006A5944" w:rsidRPr="00D81648" w:rsidRDefault="006A5944" w:rsidP="00F753FC">
            <w:pPr>
              <w:pStyle w:val="ARITAReportHeading2"/>
              <w:numPr>
                <w:ilvl w:val="0"/>
                <w:numId w:val="0"/>
              </w:numPr>
              <w:spacing w:before="240" w:after="120"/>
              <w:rPr>
                <w:lang w:val="en-AU"/>
              </w:rPr>
            </w:pPr>
            <w:r w:rsidRPr="00D81648">
              <w:rPr>
                <w:lang w:val="en-AU"/>
              </w:rPr>
              <w:lastRenderedPageBreak/>
              <w:t xml:space="preserve">Policy 15-06: Advocate for </w:t>
            </w:r>
            <w:r w:rsidR="00EE3E1A" w:rsidRPr="00D81648">
              <w:rPr>
                <w:lang w:val="en-AU"/>
              </w:rPr>
              <w:t>informal restructuring</w:t>
            </w:r>
          </w:p>
          <w:p w14:paraId="1D2FFED8" w14:textId="77777777" w:rsidR="006A5944" w:rsidRPr="00D81648" w:rsidRDefault="006A5944" w:rsidP="003D323A">
            <w:pPr>
              <w:spacing w:after="200"/>
              <w:rPr>
                <w:lang w:val="en-AU"/>
              </w:rPr>
            </w:pPr>
            <w:r w:rsidRPr="00D81648">
              <w:rPr>
                <w:lang w:val="en-AU"/>
              </w:rPr>
              <w:t xml:space="preserve">Restructuring moratorium proposals are intended to provide an environment whereby, in appropriate circumstances, companies and their directors can undertake informal restructuring initiatives without the threat of </w:t>
            </w:r>
            <w:r w:rsidR="00570E88">
              <w:rPr>
                <w:lang w:val="en-AU"/>
              </w:rPr>
              <w:t xml:space="preserve">incurring liability from </w:t>
            </w:r>
            <w:r w:rsidRPr="00D81648">
              <w:rPr>
                <w:lang w:val="en-AU"/>
              </w:rPr>
              <w:t>insolvent trading. It is reiterated that eligibility for this protection is dependent on meeting specific criteria.</w:t>
            </w:r>
          </w:p>
          <w:p w14:paraId="55506069" w14:textId="77777777" w:rsidR="006A5944" w:rsidRDefault="006A5944" w:rsidP="003D323A">
            <w:pPr>
              <w:spacing w:after="200"/>
              <w:rPr>
                <w:lang w:val="en-AU"/>
              </w:rPr>
            </w:pPr>
            <w:r w:rsidRPr="00D81648">
              <w:rPr>
                <w:lang w:val="en-AU"/>
              </w:rPr>
              <w:t xml:space="preserve">Furthermore, the protections will mean that appropriately qualified and experienced professionals can be engaged in roles such as a </w:t>
            </w:r>
            <w:r w:rsidR="00EE3E1A" w:rsidRPr="00D81648">
              <w:rPr>
                <w:lang w:val="en-AU"/>
              </w:rPr>
              <w:t xml:space="preserve">chief restructuring officer </w:t>
            </w:r>
            <w:r w:rsidRPr="00D81648">
              <w:rPr>
                <w:lang w:val="en-AU"/>
              </w:rPr>
              <w:t xml:space="preserve">(CRO) without </w:t>
            </w:r>
            <w:r w:rsidR="00570E88">
              <w:rPr>
                <w:lang w:val="en-AU"/>
              </w:rPr>
              <w:t xml:space="preserve">facing </w:t>
            </w:r>
            <w:r w:rsidRPr="00D81648">
              <w:rPr>
                <w:lang w:val="en-AU"/>
              </w:rPr>
              <w:t xml:space="preserve">the potential </w:t>
            </w:r>
            <w:r w:rsidR="00570E88">
              <w:rPr>
                <w:lang w:val="en-AU"/>
              </w:rPr>
              <w:t xml:space="preserve">risk of incurring </w:t>
            </w:r>
            <w:r w:rsidR="008138F8">
              <w:rPr>
                <w:lang w:val="en-AU"/>
              </w:rPr>
              <w:t>an</w:t>
            </w:r>
            <w:r w:rsidR="008138F8" w:rsidRPr="00D81648">
              <w:rPr>
                <w:lang w:val="en-AU"/>
              </w:rPr>
              <w:t xml:space="preserve"> </w:t>
            </w:r>
            <w:r w:rsidRPr="00D81648">
              <w:rPr>
                <w:lang w:val="en-AU"/>
              </w:rPr>
              <w:t>insolvent trading liability as a shadow director</w:t>
            </w:r>
            <w:r w:rsidRPr="00EE3E1A">
              <w:rPr>
                <w:rStyle w:val="ARITAFootnoteChar"/>
                <w:rFonts w:ascii="Arial" w:hAnsi="Arial" w:cs="Arial"/>
                <w:vertAlign w:val="superscript"/>
              </w:rPr>
              <w:footnoteReference w:id="3"/>
            </w:r>
            <w:r w:rsidRPr="00D81648">
              <w:rPr>
                <w:lang w:val="en-AU"/>
              </w:rPr>
              <w:t>. This would allow greater scope in a CRO role than is currently possible due to the risks imposed under current legislation.</w:t>
            </w:r>
          </w:p>
          <w:p w14:paraId="078F81FA" w14:textId="77777777" w:rsidR="006A5944" w:rsidRPr="00D81648" w:rsidRDefault="008138F8" w:rsidP="00570E88">
            <w:pPr>
              <w:spacing w:after="200"/>
              <w:rPr>
                <w:lang w:val="en-AU"/>
              </w:rPr>
            </w:pPr>
            <w:r>
              <w:rPr>
                <w:lang w:val="en-AU"/>
              </w:rPr>
              <w:t xml:space="preserve">To </w:t>
            </w:r>
            <w:r w:rsidR="006A5944" w:rsidRPr="00D81648">
              <w:rPr>
                <w:lang w:val="en-AU"/>
              </w:rPr>
              <w:t xml:space="preserve">The protection provided by the safe harbour of a restructuring moratorium would also </w:t>
            </w:r>
            <w:r w:rsidR="00570E88">
              <w:rPr>
                <w:lang w:val="en-AU"/>
              </w:rPr>
              <w:t>deliver</w:t>
            </w:r>
            <w:r w:rsidR="006A5944" w:rsidRPr="00D81648">
              <w:rPr>
                <w:lang w:val="en-AU"/>
              </w:rPr>
              <w:t xml:space="preserve"> time to explore informal restructuring options where the solvency of a company may be in doubt.</w:t>
            </w:r>
          </w:p>
        </w:tc>
      </w:tr>
    </w:tbl>
    <w:p w14:paraId="0E996A3E" w14:textId="77777777" w:rsidR="006A5944" w:rsidRPr="00D81648" w:rsidRDefault="006A5944" w:rsidP="006A5944">
      <w:pPr>
        <w:pStyle w:val="ARITABodyText"/>
        <w:rPr>
          <w:lang w:val="en-AU"/>
        </w:rPr>
      </w:pPr>
    </w:p>
    <w:p w14:paraId="2E8D89F7" w14:textId="77777777" w:rsidR="00FB6BC7" w:rsidRPr="00D81648" w:rsidRDefault="00FB6BC7" w:rsidP="00B76E2B">
      <w:pPr>
        <w:pStyle w:val="ARITAReportHeading2"/>
        <w:numPr>
          <w:ilvl w:val="0"/>
          <w:numId w:val="0"/>
        </w:numPr>
        <w:rPr>
          <w:lang w:val="en-AU"/>
        </w:rPr>
      </w:pPr>
      <w:r w:rsidRPr="00D81648">
        <w:rPr>
          <w:lang w:val="en-AU"/>
        </w:rPr>
        <w:t>Explanatory notes:</w:t>
      </w:r>
    </w:p>
    <w:p w14:paraId="06F2A07A" w14:textId="77777777" w:rsidR="00E9085C" w:rsidRPr="00D81648" w:rsidRDefault="004C7755" w:rsidP="00DE5B2C">
      <w:pPr>
        <w:pStyle w:val="ARITABodyText"/>
        <w:jc w:val="center"/>
        <w:rPr>
          <w:lang w:val="en-AU"/>
        </w:rPr>
      </w:pPr>
      <w:r w:rsidRPr="00D81648">
        <w:rPr>
          <w:noProof/>
          <w:lang w:val="en-AU" w:eastAsia="en-AU" w:bidi="ar-SA"/>
        </w:rPr>
        <w:drawing>
          <wp:inline distT="0" distB="0" distL="0" distR="0" wp14:anchorId="7D3A2B69" wp14:editId="3BA0695C">
            <wp:extent cx="3596400" cy="2106000"/>
            <wp:effectExtent l="0" t="0" r="4445"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96400" cy="2106000"/>
                    </a:xfrm>
                    <a:prstGeom prst="rect">
                      <a:avLst/>
                    </a:prstGeom>
                    <a:noFill/>
                  </pic:spPr>
                </pic:pic>
              </a:graphicData>
            </a:graphic>
          </wp:inline>
        </w:drawing>
      </w:r>
    </w:p>
    <w:p w14:paraId="25031056" w14:textId="77777777" w:rsidR="00FB6BC7" w:rsidRPr="00D81648" w:rsidRDefault="00990B27" w:rsidP="00DE5B2C">
      <w:pPr>
        <w:rPr>
          <w:lang w:val="en-AU"/>
        </w:rPr>
      </w:pPr>
      <w:r w:rsidRPr="00D81648">
        <w:rPr>
          <w:lang w:val="en-AU"/>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843D6B" w:rsidRPr="00D81648" w14:paraId="3200456C" w14:textId="77777777" w:rsidTr="00EF4C51">
        <w:trPr>
          <w:cantSplit/>
        </w:trPr>
        <w:tc>
          <w:tcPr>
            <w:tcW w:w="9242" w:type="dxa"/>
            <w:shd w:val="clear" w:color="auto" w:fill="EEECE8"/>
          </w:tcPr>
          <w:p w14:paraId="01966692" w14:textId="77777777" w:rsidR="00843D6B" w:rsidRPr="00D81648" w:rsidRDefault="00843D6B" w:rsidP="00F753FC">
            <w:pPr>
              <w:pStyle w:val="ARITAReportHeading2"/>
              <w:numPr>
                <w:ilvl w:val="0"/>
                <w:numId w:val="0"/>
              </w:numPr>
              <w:spacing w:before="240" w:after="120"/>
              <w:rPr>
                <w:lang w:val="en-AU"/>
              </w:rPr>
            </w:pPr>
            <w:r w:rsidRPr="00D81648">
              <w:rPr>
                <w:lang w:val="en-AU"/>
              </w:rPr>
              <w:lastRenderedPageBreak/>
              <w:t>Policy 15-07: Reworked Schemes/Voluntary Administration</w:t>
            </w:r>
            <w:r w:rsidR="008138F8">
              <w:rPr>
                <w:lang w:val="en-AU"/>
              </w:rPr>
              <w:t xml:space="preserve"> to</w:t>
            </w:r>
            <w:r w:rsidRPr="00D81648">
              <w:rPr>
                <w:lang w:val="en-AU"/>
              </w:rPr>
              <w:t xml:space="preserve"> aid in the rehabilitation of large enterprises in financial distress</w:t>
            </w:r>
          </w:p>
          <w:p w14:paraId="01E9B2C7" w14:textId="77777777" w:rsidR="00843D6B" w:rsidRPr="00D81648" w:rsidRDefault="00843D6B" w:rsidP="00531707">
            <w:pPr>
              <w:spacing w:after="200"/>
              <w:rPr>
                <w:lang w:val="en-AU"/>
              </w:rPr>
            </w:pPr>
            <w:r w:rsidRPr="00D81648">
              <w:rPr>
                <w:lang w:val="en-AU"/>
              </w:rPr>
              <w:t xml:space="preserve">ARITA recommends that the following enhancements be made to the current Scheme of Arrangement provisions (and in some instances, to the Voluntary Administration/Deed of Company Arrangement provisions in Part 5.3A of the </w:t>
            </w:r>
            <w:r w:rsidRPr="00D81648">
              <w:rPr>
                <w:i/>
                <w:lang w:val="en-AU"/>
              </w:rPr>
              <w:t>Corporations Act 2001</w:t>
            </w:r>
            <w:r w:rsidRPr="00D81648">
              <w:rPr>
                <w:lang w:val="en-AU"/>
              </w:rPr>
              <w:t xml:space="preserve">) to </w:t>
            </w:r>
            <w:r w:rsidR="00570E88">
              <w:rPr>
                <w:lang w:val="en-AU"/>
              </w:rPr>
              <w:t>further</w:t>
            </w:r>
            <w:r w:rsidR="00570E88" w:rsidRPr="00D81648">
              <w:rPr>
                <w:lang w:val="en-AU"/>
              </w:rPr>
              <w:t xml:space="preserve"> </w:t>
            </w:r>
            <w:r w:rsidRPr="00D81648">
              <w:rPr>
                <w:lang w:val="en-AU"/>
              </w:rPr>
              <w:t>foster restructuring in Australia via statutory insolvency administration:</w:t>
            </w:r>
          </w:p>
          <w:p w14:paraId="7D7C378F" w14:textId="77777777" w:rsidR="00843D6B" w:rsidRPr="00D81648" w:rsidRDefault="00843D6B" w:rsidP="000A4F14">
            <w:pPr>
              <w:pStyle w:val="ListBullet"/>
              <w:spacing w:after="200"/>
              <w:contextualSpacing w:val="0"/>
              <w:rPr>
                <w:lang w:val="en-AU"/>
              </w:rPr>
            </w:pPr>
            <w:r w:rsidRPr="00D81648">
              <w:rPr>
                <w:lang w:val="en-AU"/>
              </w:rPr>
              <w:t>implement ARITA’s restructuring moratorium (safe harbour) proposal to remove the current necessity for a precursor administration in Schemes of Arrangements</w:t>
            </w:r>
          </w:p>
          <w:p w14:paraId="216C684A" w14:textId="77777777" w:rsidR="00843D6B" w:rsidRPr="00D81648" w:rsidRDefault="00570E88" w:rsidP="000A4F14">
            <w:pPr>
              <w:pStyle w:val="ListBullet"/>
              <w:spacing w:after="200"/>
              <w:contextualSpacing w:val="0"/>
              <w:rPr>
                <w:lang w:val="en-AU"/>
              </w:rPr>
            </w:pPr>
            <w:r>
              <w:rPr>
                <w:lang w:val="en-AU"/>
              </w:rPr>
              <w:t xml:space="preserve">enact a </w:t>
            </w:r>
            <w:r w:rsidR="00843D6B" w:rsidRPr="00D81648">
              <w:rPr>
                <w:lang w:val="en-AU"/>
              </w:rPr>
              <w:t xml:space="preserve">specific provision </w:t>
            </w:r>
            <w:r>
              <w:rPr>
                <w:lang w:val="en-AU"/>
              </w:rPr>
              <w:t xml:space="preserve">enabling </w:t>
            </w:r>
            <w:r w:rsidR="00843D6B" w:rsidRPr="00D81648">
              <w:rPr>
                <w:lang w:val="en-AU"/>
              </w:rPr>
              <w:t xml:space="preserve">a </w:t>
            </w:r>
            <w:r w:rsidR="008138F8">
              <w:rPr>
                <w:lang w:val="en-AU"/>
              </w:rPr>
              <w:t>S</w:t>
            </w:r>
            <w:r w:rsidR="008138F8" w:rsidRPr="00D81648">
              <w:rPr>
                <w:lang w:val="en-AU"/>
              </w:rPr>
              <w:t>cheme</w:t>
            </w:r>
            <w:r w:rsidR="008138F8">
              <w:rPr>
                <w:lang w:val="en-AU"/>
              </w:rPr>
              <w:t xml:space="preserve"> of Arrangement</w:t>
            </w:r>
            <w:r>
              <w:rPr>
                <w:lang w:val="en-AU"/>
              </w:rPr>
              <w:t>, subject to court approval,</w:t>
            </w:r>
            <w:r w:rsidR="00843D6B" w:rsidRPr="00D81648">
              <w:rPr>
                <w:lang w:val="en-AU"/>
              </w:rPr>
              <w:t xml:space="preserve"> to have a standalone moratorium, including a restriction on the exercising of ipso facto clauses</w:t>
            </w:r>
          </w:p>
          <w:p w14:paraId="56E9A949" w14:textId="77777777" w:rsidR="00843D6B" w:rsidRPr="00D81648" w:rsidRDefault="00843D6B" w:rsidP="000A4F14">
            <w:pPr>
              <w:pStyle w:val="ListBullet"/>
              <w:spacing w:after="200"/>
              <w:contextualSpacing w:val="0"/>
              <w:rPr>
                <w:lang w:val="en-AU"/>
              </w:rPr>
            </w:pPr>
            <w:r w:rsidRPr="00D81648">
              <w:rPr>
                <w:lang w:val="en-AU"/>
              </w:rPr>
              <w:t>exten</w:t>
            </w:r>
            <w:r w:rsidR="00570E88">
              <w:rPr>
                <w:lang w:val="en-AU"/>
              </w:rPr>
              <w:t>d</w:t>
            </w:r>
            <w:r w:rsidRPr="00D81648">
              <w:rPr>
                <w:lang w:val="en-AU"/>
              </w:rPr>
              <w:t xml:space="preserve"> the voluntary administration moratorium to ipso facto clauses (refer policy 15-08 below)</w:t>
            </w:r>
          </w:p>
          <w:p w14:paraId="5D103D85" w14:textId="77777777" w:rsidR="00843D6B" w:rsidRPr="00D81648" w:rsidRDefault="00570E88" w:rsidP="000A4F14">
            <w:pPr>
              <w:pStyle w:val="ListBullet"/>
              <w:spacing w:after="200"/>
              <w:contextualSpacing w:val="0"/>
              <w:rPr>
                <w:lang w:val="en-AU"/>
              </w:rPr>
            </w:pPr>
            <w:r>
              <w:rPr>
                <w:lang w:val="en-AU"/>
              </w:rPr>
              <w:t xml:space="preserve">legislate to enable recovery of </w:t>
            </w:r>
            <w:r w:rsidR="00843D6B" w:rsidRPr="00D81648">
              <w:rPr>
                <w:lang w:val="en-AU"/>
              </w:rPr>
              <w:t>director related antecedent transactions in Schemes of Arrangement and Deeds of Company Arrangement to reduce their misuse by directors to protect their own interests</w:t>
            </w:r>
          </w:p>
          <w:p w14:paraId="5314F5A6" w14:textId="77777777" w:rsidR="00843D6B" w:rsidRPr="00D81648" w:rsidRDefault="00971C44" w:rsidP="000701EA">
            <w:pPr>
              <w:pStyle w:val="ListBullet2"/>
              <w:spacing w:after="200"/>
              <w:contextualSpacing w:val="0"/>
              <w:rPr>
                <w:lang w:val="en-AU"/>
              </w:rPr>
            </w:pPr>
            <w:r w:rsidRPr="00D81648">
              <w:rPr>
                <w:lang w:val="en-AU"/>
              </w:rPr>
              <w:t xml:space="preserve">directors </w:t>
            </w:r>
            <w:r w:rsidR="00843D6B" w:rsidRPr="00D81648">
              <w:rPr>
                <w:lang w:val="en-AU"/>
              </w:rPr>
              <w:t>to have the ability to contract out of this liability with the Administrator in both Schemes and Deeds</w:t>
            </w:r>
          </w:p>
          <w:p w14:paraId="6620D571" w14:textId="77777777" w:rsidR="00843D6B" w:rsidRPr="00D81648" w:rsidRDefault="00570E88" w:rsidP="000A4F14">
            <w:pPr>
              <w:pStyle w:val="ListBullet"/>
              <w:spacing w:after="200"/>
              <w:contextualSpacing w:val="0"/>
              <w:rPr>
                <w:lang w:val="en-AU"/>
              </w:rPr>
            </w:pPr>
            <w:r>
              <w:rPr>
                <w:lang w:val="en-AU"/>
              </w:rPr>
              <w:t xml:space="preserve">implement </w:t>
            </w:r>
            <w:r w:rsidR="00843D6B" w:rsidRPr="00D81648">
              <w:rPr>
                <w:lang w:val="en-AU"/>
              </w:rPr>
              <w:t>statutory provision for the obtaining of financing via a Scheme of Arrangement</w:t>
            </w:r>
            <w:r w:rsidR="00961B44">
              <w:rPr>
                <w:lang w:val="en-AU"/>
              </w:rPr>
              <w:t xml:space="preserve"> </w:t>
            </w:r>
            <w:r w:rsidR="00843D6B" w:rsidRPr="00D81648">
              <w:rPr>
                <w:lang w:val="en-AU"/>
              </w:rPr>
              <w:t>(or Voluntary Administration/Deed of Company Arrangement</w:t>
            </w:r>
            <w:r w:rsidR="00961B44">
              <w:rPr>
                <w:lang w:val="en-AU"/>
              </w:rPr>
              <w:t>)</w:t>
            </w:r>
          </w:p>
          <w:p w14:paraId="14A93EB9" w14:textId="77777777" w:rsidR="00843D6B" w:rsidRPr="00D81648" w:rsidRDefault="00843D6B" w:rsidP="000A4F14">
            <w:pPr>
              <w:pStyle w:val="ListBullet"/>
              <w:spacing w:after="200"/>
              <w:contextualSpacing w:val="0"/>
              <w:rPr>
                <w:lang w:val="en-AU"/>
              </w:rPr>
            </w:pPr>
            <w:r w:rsidRPr="00D81648">
              <w:rPr>
                <w:lang w:val="en-AU"/>
              </w:rPr>
              <w:t>remov</w:t>
            </w:r>
            <w:r w:rsidR="00570E88">
              <w:rPr>
                <w:lang w:val="en-AU"/>
              </w:rPr>
              <w:t>e</w:t>
            </w:r>
            <w:r w:rsidRPr="00D81648">
              <w:rPr>
                <w:lang w:val="en-AU"/>
              </w:rPr>
              <w:t xml:space="preserve"> related party voting in a Scheme of Arrangement and Voluntary Administration/Deed of Company Arrangement and reduction of voting requirements to a majority threshold in line with those in a Voluntary Administration/Deed of Company Arrangement, and</w:t>
            </w:r>
          </w:p>
          <w:p w14:paraId="3BD7FD8C" w14:textId="77777777" w:rsidR="00843D6B" w:rsidRPr="00D81648" w:rsidRDefault="00570E88" w:rsidP="000A4F14">
            <w:pPr>
              <w:pStyle w:val="ListBullet"/>
              <w:spacing w:after="200"/>
              <w:contextualSpacing w:val="0"/>
              <w:rPr>
                <w:lang w:val="en-AU"/>
              </w:rPr>
            </w:pPr>
            <w:r>
              <w:rPr>
                <w:lang w:val="en-AU"/>
              </w:rPr>
              <w:t xml:space="preserve">limit </w:t>
            </w:r>
            <w:r w:rsidR="00843D6B" w:rsidRPr="00D81648">
              <w:rPr>
                <w:lang w:val="en-AU"/>
              </w:rPr>
              <w:t xml:space="preserve">voting using purchased debts to the value of consideration paid, consistent with the current requirements in the </w:t>
            </w:r>
            <w:r w:rsidR="00843D6B" w:rsidRPr="00151CF2">
              <w:rPr>
                <w:i/>
                <w:lang w:val="en-AU"/>
              </w:rPr>
              <w:t>Bankruptcy Act 1966</w:t>
            </w:r>
            <w:r w:rsidR="00843D6B" w:rsidRPr="00D81648">
              <w:rPr>
                <w:lang w:val="en-AU"/>
              </w:rPr>
              <w:t>.</w:t>
            </w:r>
          </w:p>
          <w:p w14:paraId="6826C27E" w14:textId="77777777" w:rsidR="00843D6B" w:rsidRPr="00D81648" w:rsidRDefault="00843D6B" w:rsidP="00531707">
            <w:pPr>
              <w:spacing w:after="200"/>
              <w:rPr>
                <w:lang w:val="en-AU"/>
              </w:rPr>
            </w:pPr>
            <w:r w:rsidRPr="00D81648">
              <w:rPr>
                <w:lang w:val="en-AU"/>
              </w:rPr>
              <w:t>In addition to the above, ARITA believes that consideration should be given to the implementation of a</w:t>
            </w:r>
            <w:r w:rsidR="00C61C45">
              <w:rPr>
                <w:lang w:val="en-AU"/>
              </w:rPr>
              <w:t xml:space="preserve"> </w:t>
            </w:r>
            <w:r w:rsidR="00C05BC8">
              <w:rPr>
                <w:lang w:val="en-AU"/>
              </w:rPr>
              <w:t>“</w:t>
            </w:r>
            <w:r w:rsidRPr="00D81648">
              <w:rPr>
                <w:lang w:val="en-AU"/>
              </w:rPr>
              <w:t>Schemes Panel</w:t>
            </w:r>
            <w:r w:rsidR="00CA66FE">
              <w:rPr>
                <w:lang w:val="en-AU"/>
              </w:rPr>
              <w:t>”</w:t>
            </w:r>
            <w:r w:rsidR="00C61C45">
              <w:rPr>
                <w:lang w:val="en-AU"/>
              </w:rPr>
              <w:t xml:space="preserve"> </w:t>
            </w:r>
            <w:r w:rsidRPr="00D81648">
              <w:rPr>
                <w:lang w:val="en-AU"/>
              </w:rPr>
              <w:t>to replace the Court’s oversight of Schemes of Arrangement. It is envisaged that this panel would operate in a similar manner to the Takeovers Panel and be a government regulated peer review panel.</w:t>
            </w:r>
          </w:p>
        </w:tc>
      </w:tr>
    </w:tbl>
    <w:p w14:paraId="4F741E6B" w14:textId="77777777" w:rsidR="0006220A" w:rsidRPr="00D81648" w:rsidRDefault="0006220A" w:rsidP="00DE5B2C">
      <w:pPr>
        <w:pStyle w:val="ARITABodyText"/>
        <w:rPr>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843D6B" w:rsidRPr="00D81648" w14:paraId="2213352C" w14:textId="77777777" w:rsidTr="00EF4C51">
        <w:trPr>
          <w:cantSplit/>
        </w:trPr>
        <w:tc>
          <w:tcPr>
            <w:tcW w:w="9242" w:type="dxa"/>
            <w:shd w:val="clear" w:color="auto" w:fill="EEECE8"/>
          </w:tcPr>
          <w:p w14:paraId="34BFD513" w14:textId="77777777" w:rsidR="00843D6B" w:rsidRPr="00D81648" w:rsidRDefault="00843D6B" w:rsidP="00F753FC">
            <w:pPr>
              <w:pStyle w:val="ARITAReportHeading2"/>
              <w:numPr>
                <w:ilvl w:val="0"/>
                <w:numId w:val="0"/>
              </w:numPr>
              <w:spacing w:before="240" w:after="120"/>
              <w:rPr>
                <w:lang w:val="en-AU"/>
              </w:rPr>
            </w:pPr>
            <w:r w:rsidRPr="00D81648">
              <w:rPr>
                <w:lang w:val="en-AU"/>
              </w:rPr>
              <w:lastRenderedPageBreak/>
              <w:t>Policy 15-08: Extension of moratorium to ipso facto clauses</w:t>
            </w:r>
          </w:p>
          <w:p w14:paraId="3E5E0A73" w14:textId="77777777" w:rsidR="00843D6B" w:rsidRPr="00D81648" w:rsidRDefault="00843D6B" w:rsidP="006E7C8E">
            <w:pPr>
              <w:spacing w:after="200"/>
              <w:rPr>
                <w:lang w:val="en-AU"/>
              </w:rPr>
            </w:pPr>
            <w:r w:rsidRPr="00D81648">
              <w:rPr>
                <w:lang w:val="en-AU"/>
              </w:rPr>
              <w:t xml:space="preserve">It is ARITA’s view that </w:t>
            </w:r>
            <w:r w:rsidR="004D5571">
              <w:rPr>
                <w:lang w:val="en-AU"/>
              </w:rPr>
              <w:t xml:space="preserve">successful restructuring through </w:t>
            </w:r>
            <w:r w:rsidRPr="00D81648">
              <w:rPr>
                <w:lang w:val="en-AU"/>
              </w:rPr>
              <w:t xml:space="preserve">voluntary administrations </w:t>
            </w:r>
            <w:r w:rsidR="004D5571">
              <w:rPr>
                <w:lang w:val="en-AU"/>
              </w:rPr>
              <w:t xml:space="preserve">is hampered because </w:t>
            </w:r>
            <w:r w:rsidRPr="00D81648">
              <w:rPr>
                <w:lang w:val="en-AU"/>
              </w:rPr>
              <w:t>the moratorium in a voluntary administration does not extend to clauses that allow the termination of contracts simply because of the insolvency event (ipso facto clauses).</w:t>
            </w:r>
          </w:p>
          <w:p w14:paraId="38C3C1BC" w14:textId="77777777" w:rsidR="00843D6B" w:rsidRPr="00D81648" w:rsidRDefault="00037E33" w:rsidP="006E7C8E">
            <w:pPr>
              <w:spacing w:after="200"/>
              <w:rPr>
                <w:lang w:val="en-AU"/>
              </w:rPr>
            </w:pPr>
            <w:r>
              <w:rPr>
                <w:lang w:val="en-AU"/>
              </w:rPr>
              <w:t>Extending the moratorium</w:t>
            </w:r>
            <w:r w:rsidR="00843D6B" w:rsidRPr="00D81648">
              <w:rPr>
                <w:lang w:val="en-AU"/>
              </w:rPr>
              <w:t xml:space="preserve"> to cover such clauses </w:t>
            </w:r>
            <w:r>
              <w:rPr>
                <w:lang w:val="en-AU"/>
              </w:rPr>
              <w:t xml:space="preserve">will </w:t>
            </w:r>
            <w:r w:rsidR="00843D6B" w:rsidRPr="00D81648">
              <w:rPr>
                <w:lang w:val="en-AU"/>
              </w:rPr>
              <w:t xml:space="preserve">ensure that important contracts of the business are maintained so that goodwill is preserved while the company is under administration. This serves to maximise the </w:t>
            </w:r>
            <w:r>
              <w:rPr>
                <w:lang w:val="en-AU"/>
              </w:rPr>
              <w:t>potential</w:t>
            </w:r>
            <w:r w:rsidRPr="00D81648">
              <w:rPr>
                <w:lang w:val="en-AU"/>
              </w:rPr>
              <w:t xml:space="preserve"> </w:t>
            </w:r>
            <w:r w:rsidR="00843D6B" w:rsidRPr="00D81648">
              <w:rPr>
                <w:lang w:val="en-AU"/>
              </w:rPr>
              <w:t xml:space="preserve">of the company and its business continuing as a going concern or otherwise maintaining its value to third parties. </w:t>
            </w:r>
            <w:r>
              <w:rPr>
                <w:lang w:val="en-AU"/>
              </w:rPr>
              <w:t>C</w:t>
            </w:r>
            <w:r w:rsidR="00843D6B" w:rsidRPr="00D81648">
              <w:rPr>
                <w:lang w:val="en-AU"/>
              </w:rPr>
              <w:t>urrently the experience of our members is that where the business is reliant on maintenance of contracts, voluntary administration sees the swift demise of the business due to</w:t>
            </w:r>
            <w:r>
              <w:rPr>
                <w:lang w:val="en-AU"/>
              </w:rPr>
              <w:t xml:space="preserve"> automatic</w:t>
            </w:r>
            <w:r w:rsidR="00843D6B" w:rsidRPr="00D81648">
              <w:rPr>
                <w:lang w:val="en-AU"/>
              </w:rPr>
              <w:t xml:space="preserve"> termination of these contracts</w:t>
            </w:r>
            <w:r>
              <w:rPr>
                <w:lang w:val="en-AU"/>
              </w:rPr>
              <w:t xml:space="preserve"> – the rights of contractual counterparties are escalated above the rights and interests of creditors as a whole</w:t>
            </w:r>
            <w:r w:rsidR="00843D6B" w:rsidRPr="00D81648">
              <w:rPr>
                <w:lang w:val="en-AU"/>
              </w:rPr>
              <w:t>.</w:t>
            </w:r>
          </w:p>
          <w:p w14:paraId="48EC089C" w14:textId="77777777" w:rsidR="00843D6B" w:rsidRPr="00D81648" w:rsidRDefault="00843D6B" w:rsidP="00961B44">
            <w:pPr>
              <w:spacing w:after="200"/>
              <w:rPr>
                <w:lang w:val="en-AU"/>
              </w:rPr>
            </w:pPr>
            <w:r w:rsidRPr="00D81648">
              <w:rPr>
                <w:lang w:val="en-AU"/>
              </w:rPr>
              <w:t xml:space="preserve">Voluntary administration </w:t>
            </w:r>
            <w:r w:rsidR="00037E33">
              <w:rPr>
                <w:lang w:val="en-AU"/>
              </w:rPr>
              <w:t xml:space="preserve">already </w:t>
            </w:r>
            <w:r w:rsidRPr="00D81648">
              <w:rPr>
                <w:lang w:val="en-AU"/>
              </w:rPr>
              <w:t>provides a limited and temporary moratorium against ipso facto clauses in some types of contracts. The law restricts the rights of landlords, secured creditors, and others during the voluntary administration process, but not contracts generally. We see the need for a restriction on the right to enforce all ipso facto clauses at least for the period of the administration, which is generally some few weeks. Leave of the court could be available to challenge the moratorium.</w:t>
            </w:r>
          </w:p>
        </w:tc>
      </w:tr>
    </w:tbl>
    <w:p w14:paraId="55EB8D0F" w14:textId="77777777" w:rsidR="00FB6BC7" w:rsidRPr="00D81648" w:rsidRDefault="00FB6BC7" w:rsidP="00DE5B2C">
      <w:pPr>
        <w:rPr>
          <w:lang w:val="en-AU"/>
        </w:rPr>
      </w:pPr>
    </w:p>
    <w:p w14:paraId="488F5B81" w14:textId="77777777" w:rsidR="00594D25" w:rsidRPr="00D81648" w:rsidRDefault="00594D25" w:rsidP="00B76E2B">
      <w:pPr>
        <w:pStyle w:val="ARITAReportHeading2"/>
        <w:numPr>
          <w:ilvl w:val="0"/>
          <w:numId w:val="0"/>
        </w:numPr>
        <w:rPr>
          <w:lang w:val="en-AU"/>
        </w:rPr>
      </w:pPr>
      <w:r w:rsidRPr="00D81648">
        <w:rPr>
          <w:lang w:val="en-AU"/>
        </w:rPr>
        <w:t>Explanatory notes:</w:t>
      </w:r>
    </w:p>
    <w:p w14:paraId="3EB642A6" w14:textId="77777777" w:rsidR="0098293E" w:rsidRPr="00D81648" w:rsidRDefault="00FF551A" w:rsidP="00DE5B2C">
      <w:pPr>
        <w:pStyle w:val="ARITABodyText"/>
        <w:rPr>
          <w:lang w:val="en-AU"/>
        </w:rPr>
      </w:pPr>
      <w:r w:rsidRPr="00D81648">
        <w:rPr>
          <w:lang w:val="en-AU"/>
        </w:rPr>
        <w:t>An</w:t>
      </w:r>
      <w:r w:rsidR="002C15C3" w:rsidRPr="00D81648">
        <w:rPr>
          <w:lang w:val="en-AU"/>
        </w:rPr>
        <w:t xml:space="preserve"> </w:t>
      </w:r>
      <w:r w:rsidRPr="00D81648">
        <w:rPr>
          <w:lang w:val="en-AU"/>
        </w:rPr>
        <w:t>ipso</w:t>
      </w:r>
      <w:r w:rsidR="002C15C3" w:rsidRPr="00D81648">
        <w:rPr>
          <w:lang w:val="en-AU"/>
        </w:rPr>
        <w:t xml:space="preserve"> </w:t>
      </w:r>
      <w:r w:rsidRPr="00D81648">
        <w:rPr>
          <w:lang w:val="en-AU"/>
        </w:rPr>
        <w:t>facto</w:t>
      </w:r>
      <w:r w:rsidR="002C15C3" w:rsidRPr="00D81648">
        <w:rPr>
          <w:lang w:val="en-AU"/>
        </w:rPr>
        <w:t xml:space="preserve"> </w:t>
      </w:r>
      <w:r w:rsidRPr="00D81648">
        <w:rPr>
          <w:lang w:val="en-AU"/>
        </w:rPr>
        <w:t>contractual</w:t>
      </w:r>
      <w:r w:rsidR="002C15C3" w:rsidRPr="00D81648">
        <w:rPr>
          <w:lang w:val="en-AU"/>
        </w:rPr>
        <w:t xml:space="preserve"> </w:t>
      </w:r>
      <w:r w:rsidRPr="00D81648">
        <w:rPr>
          <w:lang w:val="en-AU"/>
        </w:rPr>
        <w:t>clause</w:t>
      </w:r>
      <w:r w:rsidR="002C15C3" w:rsidRPr="00D81648">
        <w:rPr>
          <w:lang w:val="en-AU"/>
        </w:rPr>
        <w:t xml:space="preserve"> </w:t>
      </w:r>
      <w:r w:rsidRPr="00D81648">
        <w:rPr>
          <w:lang w:val="en-AU"/>
        </w:rPr>
        <w:t>allows</w:t>
      </w:r>
      <w:r w:rsidR="002C15C3" w:rsidRPr="00D81648">
        <w:rPr>
          <w:lang w:val="en-AU"/>
        </w:rPr>
        <w:t xml:space="preserve"> </w:t>
      </w:r>
      <w:r w:rsidRPr="00D81648">
        <w:rPr>
          <w:lang w:val="en-AU"/>
        </w:rPr>
        <w:t>one</w:t>
      </w:r>
      <w:r w:rsidR="002C15C3" w:rsidRPr="00D81648">
        <w:rPr>
          <w:lang w:val="en-AU"/>
        </w:rPr>
        <w:t xml:space="preserve"> </w:t>
      </w:r>
      <w:r w:rsidRPr="00D81648">
        <w:rPr>
          <w:lang w:val="en-AU"/>
        </w:rPr>
        <w:t>party</w:t>
      </w:r>
      <w:r w:rsidR="002C15C3" w:rsidRPr="00D81648">
        <w:rPr>
          <w:lang w:val="en-AU"/>
        </w:rPr>
        <w:t xml:space="preserve"> </w:t>
      </w:r>
      <w:r w:rsidRPr="00D81648">
        <w:rPr>
          <w:lang w:val="en-AU"/>
        </w:rPr>
        <w:t>to</w:t>
      </w:r>
      <w:r w:rsidR="002C15C3" w:rsidRPr="00D81648">
        <w:rPr>
          <w:lang w:val="en-AU"/>
        </w:rPr>
        <w:t xml:space="preserve"> </w:t>
      </w:r>
      <w:r w:rsidRPr="00D81648">
        <w:rPr>
          <w:lang w:val="en-AU"/>
        </w:rPr>
        <w:t>terminate</w:t>
      </w:r>
      <w:r w:rsidR="002C15C3" w:rsidRPr="00D81648">
        <w:rPr>
          <w:lang w:val="en-AU"/>
        </w:rPr>
        <w:t xml:space="preserve"> </w:t>
      </w:r>
      <w:r w:rsidRPr="00D81648">
        <w:rPr>
          <w:lang w:val="en-AU"/>
        </w:rPr>
        <w:t>a</w:t>
      </w:r>
      <w:r w:rsidR="002C15C3" w:rsidRPr="00D81648">
        <w:rPr>
          <w:lang w:val="en-AU"/>
        </w:rPr>
        <w:t xml:space="preserve"> </w:t>
      </w:r>
      <w:r w:rsidRPr="00D81648">
        <w:rPr>
          <w:lang w:val="en-AU"/>
        </w:rPr>
        <w:t>contract</w:t>
      </w:r>
      <w:r w:rsidR="002C15C3" w:rsidRPr="00D81648">
        <w:rPr>
          <w:lang w:val="en-AU"/>
        </w:rPr>
        <w:t xml:space="preserve"> </w:t>
      </w:r>
      <w:r w:rsidRPr="00D81648">
        <w:rPr>
          <w:lang w:val="en-AU"/>
        </w:rPr>
        <w:t>by</w:t>
      </w:r>
      <w:r w:rsidR="002C15C3" w:rsidRPr="00D81648">
        <w:rPr>
          <w:lang w:val="en-AU"/>
        </w:rPr>
        <w:t xml:space="preserve"> </w:t>
      </w:r>
      <w:r w:rsidRPr="00D81648">
        <w:rPr>
          <w:lang w:val="en-AU"/>
        </w:rPr>
        <w:t>reason</w:t>
      </w:r>
      <w:r w:rsidR="002C15C3" w:rsidRPr="00D81648">
        <w:rPr>
          <w:lang w:val="en-AU"/>
        </w:rPr>
        <w:t xml:space="preserve"> </w:t>
      </w:r>
      <w:r w:rsidRPr="00D81648">
        <w:rPr>
          <w:lang w:val="en-AU"/>
        </w:rPr>
        <w:t>only</w:t>
      </w:r>
      <w:r w:rsidR="002C15C3" w:rsidRPr="00D81648">
        <w:rPr>
          <w:lang w:val="en-AU"/>
        </w:rPr>
        <w:t xml:space="preserve"> </w:t>
      </w:r>
      <w:r w:rsidRPr="00D81648">
        <w:rPr>
          <w:lang w:val="en-AU"/>
        </w:rPr>
        <w:t>of</w:t>
      </w:r>
      <w:r w:rsidR="002C15C3" w:rsidRPr="00D81648">
        <w:rPr>
          <w:lang w:val="en-AU"/>
        </w:rPr>
        <w:t xml:space="preserve"> </w:t>
      </w:r>
      <w:r w:rsidRPr="00D81648">
        <w:rPr>
          <w:lang w:val="en-AU"/>
        </w:rPr>
        <w:t>the</w:t>
      </w:r>
      <w:r w:rsidR="002C15C3" w:rsidRPr="00D81648">
        <w:rPr>
          <w:lang w:val="en-AU"/>
        </w:rPr>
        <w:t xml:space="preserve"> </w:t>
      </w:r>
      <w:r w:rsidRPr="00D81648">
        <w:rPr>
          <w:lang w:val="en-AU"/>
        </w:rPr>
        <w:t>fact</w:t>
      </w:r>
      <w:r w:rsidR="002C15C3" w:rsidRPr="00D81648">
        <w:rPr>
          <w:lang w:val="en-AU"/>
        </w:rPr>
        <w:t xml:space="preserve"> </w:t>
      </w:r>
      <w:r w:rsidRPr="00D81648">
        <w:rPr>
          <w:lang w:val="en-AU"/>
        </w:rPr>
        <w:t>(ipso</w:t>
      </w:r>
      <w:r w:rsidR="002C15C3" w:rsidRPr="00D81648">
        <w:rPr>
          <w:lang w:val="en-AU"/>
        </w:rPr>
        <w:t xml:space="preserve"> </w:t>
      </w:r>
      <w:r w:rsidRPr="00D81648">
        <w:rPr>
          <w:lang w:val="en-AU"/>
        </w:rPr>
        <w:t>facto)</w:t>
      </w:r>
      <w:r w:rsidR="002C15C3" w:rsidRPr="00D81648">
        <w:rPr>
          <w:lang w:val="en-AU"/>
        </w:rPr>
        <w:t xml:space="preserve"> </w:t>
      </w:r>
      <w:r w:rsidRPr="00D81648">
        <w:rPr>
          <w:lang w:val="en-AU"/>
        </w:rPr>
        <w:t>of</w:t>
      </w:r>
      <w:r w:rsidR="002C15C3" w:rsidRPr="00D81648">
        <w:rPr>
          <w:lang w:val="en-AU"/>
        </w:rPr>
        <w:t xml:space="preserve"> </w:t>
      </w:r>
      <w:r w:rsidRPr="00D81648">
        <w:rPr>
          <w:lang w:val="en-AU"/>
        </w:rPr>
        <w:t>the</w:t>
      </w:r>
      <w:r w:rsidR="002C15C3" w:rsidRPr="00D81648">
        <w:rPr>
          <w:lang w:val="en-AU"/>
        </w:rPr>
        <w:t xml:space="preserve"> </w:t>
      </w:r>
      <w:r w:rsidRPr="00D81648">
        <w:rPr>
          <w:lang w:val="en-AU"/>
        </w:rPr>
        <w:t>insolvency</w:t>
      </w:r>
      <w:r w:rsidR="002C15C3" w:rsidRPr="00D81648">
        <w:rPr>
          <w:lang w:val="en-AU"/>
        </w:rPr>
        <w:t xml:space="preserve"> </w:t>
      </w:r>
      <w:r w:rsidRPr="00D81648">
        <w:rPr>
          <w:lang w:val="en-AU"/>
        </w:rPr>
        <w:t>of</w:t>
      </w:r>
      <w:r w:rsidR="002C15C3" w:rsidRPr="00D81648">
        <w:rPr>
          <w:lang w:val="en-AU"/>
        </w:rPr>
        <w:t xml:space="preserve"> </w:t>
      </w:r>
      <w:r w:rsidRPr="00D81648">
        <w:rPr>
          <w:lang w:val="en-AU"/>
        </w:rPr>
        <w:t>the</w:t>
      </w:r>
      <w:r w:rsidR="002C15C3" w:rsidRPr="00D81648">
        <w:rPr>
          <w:lang w:val="en-AU"/>
        </w:rPr>
        <w:t xml:space="preserve"> </w:t>
      </w:r>
      <w:r w:rsidRPr="00D81648">
        <w:rPr>
          <w:lang w:val="en-AU"/>
        </w:rPr>
        <w:t>other</w:t>
      </w:r>
      <w:r w:rsidR="002C15C3" w:rsidRPr="00D81648">
        <w:rPr>
          <w:lang w:val="en-AU"/>
        </w:rPr>
        <w:t xml:space="preserve"> </w:t>
      </w:r>
      <w:r w:rsidRPr="00D81648">
        <w:rPr>
          <w:lang w:val="en-AU"/>
        </w:rPr>
        <w:t>party.</w:t>
      </w:r>
      <w:r w:rsidR="002C15C3" w:rsidRPr="00D81648">
        <w:rPr>
          <w:lang w:val="en-AU"/>
        </w:rPr>
        <w:t xml:space="preserve"> </w:t>
      </w:r>
      <w:r w:rsidRPr="00D81648">
        <w:rPr>
          <w:lang w:val="en-AU"/>
        </w:rPr>
        <w:t>These</w:t>
      </w:r>
      <w:r w:rsidR="002C15C3" w:rsidRPr="00D81648">
        <w:rPr>
          <w:lang w:val="en-AU"/>
        </w:rPr>
        <w:t xml:space="preserve"> </w:t>
      </w:r>
      <w:r w:rsidRPr="00D81648">
        <w:rPr>
          <w:lang w:val="en-AU"/>
        </w:rPr>
        <w:t>clauses</w:t>
      </w:r>
      <w:r w:rsidR="002C15C3" w:rsidRPr="00D81648">
        <w:rPr>
          <w:lang w:val="en-AU"/>
        </w:rPr>
        <w:t xml:space="preserve"> </w:t>
      </w:r>
      <w:r w:rsidRPr="00D81648">
        <w:rPr>
          <w:lang w:val="en-AU"/>
        </w:rPr>
        <w:t>are</w:t>
      </w:r>
      <w:r w:rsidR="002C15C3" w:rsidRPr="00D81648">
        <w:rPr>
          <w:lang w:val="en-AU"/>
        </w:rPr>
        <w:t xml:space="preserve"> </w:t>
      </w:r>
      <w:r w:rsidRPr="00D81648">
        <w:rPr>
          <w:lang w:val="en-AU"/>
        </w:rPr>
        <w:t>found</w:t>
      </w:r>
      <w:r w:rsidR="002C15C3" w:rsidRPr="00D81648">
        <w:rPr>
          <w:lang w:val="en-AU"/>
        </w:rPr>
        <w:t xml:space="preserve"> </w:t>
      </w:r>
      <w:r w:rsidRPr="00D81648">
        <w:rPr>
          <w:lang w:val="en-AU"/>
        </w:rPr>
        <w:t>in</w:t>
      </w:r>
      <w:r w:rsidR="002C15C3" w:rsidRPr="00D81648">
        <w:rPr>
          <w:lang w:val="en-AU"/>
        </w:rPr>
        <w:t xml:space="preserve"> </w:t>
      </w:r>
      <w:r w:rsidR="00D81458" w:rsidRPr="00D81648">
        <w:rPr>
          <w:lang w:val="en-AU"/>
        </w:rPr>
        <w:t>the</w:t>
      </w:r>
      <w:r w:rsidR="002C15C3" w:rsidRPr="00D81648">
        <w:rPr>
          <w:lang w:val="en-AU"/>
        </w:rPr>
        <w:t xml:space="preserve"> </w:t>
      </w:r>
      <w:r w:rsidR="00D81458" w:rsidRPr="00D81648">
        <w:rPr>
          <w:lang w:val="en-AU"/>
        </w:rPr>
        <w:t>majority</w:t>
      </w:r>
      <w:r w:rsidR="002C15C3" w:rsidRPr="00D81648">
        <w:rPr>
          <w:lang w:val="en-AU"/>
        </w:rPr>
        <w:t xml:space="preserve"> </w:t>
      </w:r>
      <w:r w:rsidR="00961B44">
        <w:rPr>
          <w:lang w:val="en-AU"/>
        </w:rPr>
        <w:t xml:space="preserve">of </w:t>
      </w:r>
      <w:r w:rsidRPr="00D81648">
        <w:rPr>
          <w:lang w:val="en-AU"/>
        </w:rPr>
        <w:t>critical</w:t>
      </w:r>
      <w:r w:rsidR="002C15C3" w:rsidRPr="00D81648">
        <w:rPr>
          <w:lang w:val="en-AU"/>
        </w:rPr>
        <w:t xml:space="preserve"> </w:t>
      </w:r>
      <w:r w:rsidRPr="00D81648">
        <w:rPr>
          <w:lang w:val="en-AU"/>
        </w:rPr>
        <w:t>supplier</w:t>
      </w:r>
      <w:r w:rsidR="002C15C3" w:rsidRPr="00D81648">
        <w:rPr>
          <w:lang w:val="en-AU"/>
        </w:rPr>
        <w:t xml:space="preserve"> </w:t>
      </w:r>
      <w:r w:rsidRPr="00D81648">
        <w:rPr>
          <w:lang w:val="en-AU"/>
        </w:rPr>
        <w:t>contracts,</w:t>
      </w:r>
      <w:r w:rsidR="002C15C3" w:rsidRPr="00D81648">
        <w:rPr>
          <w:lang w:val="en-AU"/>
        </w:rPr>
        <w:t xml:space="preserve"> </w:t>
      </w:r>
      <w:r w:rsidRPr="00D81648">
        <w:rPr>
          <w:lang w:val="en-AU"/>
        </w:rPr>
        <w:t>franchise</w:t>
      </w:r>
      <w:r w:rsidR="002C15C3" w:rsidRPr="00D81648">
        <w:rPr>
          <w:lang w:val="en-AU"/>
        </w:rPr>
        <w:t xml:space="preserve"> </w:t>
      </w:r>
      <w:r w:rsidRPr="00D81648">
        <w:rPr>
          <w:lang w:val="en-AU"/>
        </w:rPr>
        <w:t>and</w:t>
      </w:r>
      <w:r w:rsidR="002C15C3" w:rsidRPr="00D81648">
        <w:rPr>
          <w:lang w:val="en-AU"/>
        </w:rPr>
        <w:t xml:space="preserve"> </w:t>
      </w:r>
      <w:r w:rsidRPr="00D81648">
        <w:rPr>
          <w:lang w:val="en-AU"/>
        </w:rPr>
        <w:t>license</w:t>
      </w:r>
      <w:r w:rsidR="002C15C3" w:rsidRPr="00D81648">
        <w:rPr>
          <w:lang w:val="en-AU"/>
        </w:rPr>
        <w:t xml:space="preserve"> </w:t>
      </w:r>
      <w:r w:rsidRPr="00D81648">
        <w:rPr>
          <w:lang w:val="en-AU"/>
        </w:rPr>
        <w:t>agreements</w:t>
      </w:r>
      <w:r w:rsidR="002C15C3" w:rsidRPr="00D81648">
        <w:rPr>
          <w:lang w:val="en-AU"/>
        </w:rPr>
        <w:t xml:space="preserve"> </w:t>
      </w:r>
      <w:r w:rsidRPr="00D81648">
        <w:rPr>
          <w:lang w:val="en-AU"/>
        </w:rPr>
        <w:t>as</w:t>
      </w:r>
      <w:r w:rsidR="002C15C3" w:rsidRPr="00D81648">
        <w:rPr>
          <w:lang w:val="en-AU"/>
        </w:rPr>
        <w:t xml:space="preserve"> </w:t>
      </w:r>
      <w:r w:rsidRPr="00D81648">
        <w:rPr>
          <w:lang w:val="en-AU"/>
        </w:rPr>
        <w:t>well</w:t>
      </w:r>
      <w:r w:rsidR="002C15C3" w:rsidRPr="00D81648">
        <w:rPr>
          <w:lang w:val="en-AU"/>
        </w:rPr>
        <w:t xml:space="preserve"> </w:t>
      </w:r>
      <w:r w:rsidRPr="00D81648">
        <w:rPr>
          <w:lang w:val="en-AU"/>
        </w:rPr>
        <w:t>as</w:t>
      </w:r>
      <w:r w:rsidR="002C15C3" w:rsidRPr="00D81648">
        <w:rPr>
          <w:lang w:val="en-AU"/>
        </w:rPr>
        <w:t xml:space="preserve"> </w:t>
      </w:r>
      <w:r w:rsidRPr="00D81648">
        <w:rPr>
          <w:lang w:val="en-AU"/>
        </w:rPr>
        <w:t>leases</w:t>
      </w:r>
      <w:r w:rsidR="002C15C3" w:rsidRPr="00D81648">
        <w:rPr>
          <w:lang w:val="en-AU"/>
        </w:rPr>
        <w:t xml:space="preserve"> </w:t>
      </w:r>
      <w:r w:rsidRPr="00D81648">
        <w:rPr>
          <w:lang w:val="en-AU"/>
        </w:rPr>
        <w:t>for</w:t>
      </w:r>
      <w:r w:rsidR="002C15C3" w:rsidRPr="00D81648">
        <w:rPr>
          <w:lang w:val="en-AU"/>
        </w:rPr>
        <w:t xml:space="preserve"> </w:t>
      </w:r>
      <w:r w:rsidRPr="00D81648">
        <w:rPr>
          <w:lang w:val="en-AU"/>
        </w:rPr>
        <w:t>land</w:t>
      </w:r>
      <w:r w:rsidR="002C15C3" w:rsidRPr="00D81648">
        <w:rPr>
          <w:lang w:val="en-AU"/>
        </w:rPr>
        <w:t xml:space="preserve"> </w:t>
      </w:r>
      <w:r w:rsidRPr="00D81648">
        <w:rPr>
          <w:lang w:val="en-AU"/>
        </w:rPr>
        <w:t>and</w:t>
      </w:r>
      <w:r w:rsidR="002C15C3" w:rsidRPr="00D81648">
        <w:rPr>
          <w:lang w:val="en-AU"/>
        </w:rPr>
        <w:t xml:space="preserve"> </w:t>
      </w:r>
      <w:r w:rsidRPr="00D81648">
        <w:rPr>
          <w:lang w:val="en-AU"/>
        </w:rPr>
        <w:t>equipment.</w:t>
      </w:r>
    </w:p>
    <w:p w14:paraId="7127AB86" w14:textId="77777777" w:rsidR="002C15C3" w:rsidRPr="00D81648" w:rsidRDefault="00FF551A" w:rsidP="00DE5B2C">
      <w:pPr>
        <w:pStyle w:val="ARITABodyText"/>
        <w:rPr>
          <w:lang w:val="en-AU"/>
        </w:rPr>
      </w:pPr>
      <w:r w:rsidRPr="00D81648">
        <w:rPr>
          <w:lang w:val="en-AU"/>
        </w:rPr>
        <w:t>Under</w:t>
      </w:r>
      <w:r w:rsidR="002C15C3" w:rsidRPr="00D81648">
        <w:rPr>
          <w:lang w:val="en-AU"/>
        </w:rPr>
        <w:t xml:space="preserve"> </w:t>
      </w:r>
      <w:r w:rsidRPr="00D81648">
        <w:rPr>
          <w:lang w:val="en-AU"/>
        </w:rPr>
        <w:t>s</w:t>
      </w:r>
      <w:r w:rsidR="002C15C3" w:rsidRPr="00D81648">
        <w:rPr>
          <w:lang w:val="en-AU"/>
        </w:rPr>
        <w:t xml:space="preserve"> </w:t>
      </w:r>
      <w:r w:rsidRPr="00D81648">
        <w:rPr>
          <w:lang w:val="en-AU"/>
        </w:rPr>
        <w:t>301</w:t>
      </w:r>
      <w:r w:rsidR="002C15C3" w:rsidRPr="00D81648">
        <w:rPr>
          <w:lang w:val="en-AU"/>
        </w:rPr>
        <w:t xml:space="preserve"> </w:t>
      </w:r>
      <w:r w:rsidRPr="00D81648">
        <w:rPr>
          <w:lang w:val="en-AU"/>
        </w:rPr>
        <w:t>of</w:t>
      </w:r>
      <w:r w:rsidR="002C15C3" w:rsidRPr="00D81648">
        <w:rPr>
          <w:lang w:val="en-AU"/>
        </w:rPr>
        <w:t xml:space="preserve"> </w:t>
      </w:r>
      <w:r w:rsidRPr="00D81648">
        <w:rPr>
          <w:lang w:val="en-AU"/>
        </w:rPr>
        <w:t>the</w:t>
      </w:r>
      <w:r w:rsidR="002C15C3" w:rsidRPr="00D81648">
        <w:rPr>
          <w:lang w:val="en-AU"/>
        </w:rPr>
        <w:t xml:space="preserve"> </w:t>
      </w:r>
      <w:r w:rsidRPr="00D81648">
        <w:rPr>
          <w:i/>
          <w:lang w:val="en-AU"/>
        </w:rPr>
        <w:t>Bankruptcy</w:t>
      </w:r>
      <w:r w:rsidR="002C15C3" w:rsidRPr="00D81648">
        <w:rPr>
          <w:i/>
          <w:lang w:val="en-AU"/>
        </w:rPr>
        <w:t xml:space="preserve"> </w:t>
      </w:r>
      <w:r w:rsidRPr="00D81648">
        <w:rPr>
          <w:i/>
          <w:lang w:val="en-AU"/>
        </w:rPr>
        <w:t>Act</w:t>
      </w:r>
      <w:r w:rsidR="002C15C3" w:rsidRPr="00D81648">
        <w:rPr>
          <w:i/>
          <w:lang w:val="en-AU"/>
        </w:rPr>
        <w:t xml:space="preserve"> </w:t>
      </w:r>
      <w:r w:rsidRPr="00D81648">
        <w:rPr>
          <w:i/>
          <w:lang w:val="en-AU"/>
        </w:rPr>
        <w:t>1966</w:t>
      </w:r>
      <w:r w:rsidRPr="00D81648">
        <w:rPr>
          <w:lang w:val="en-AU"/>
        </w:rPr>
        <w:t>,</w:t>
      </w:r>
      <w:r w:rsidR="002C15C3" w:rsidRPr="00D81648">
        <w:rPr>
          <w:lang w:val="en-AU"/>
        </w:rPr>
        <w:t xml:space="preserve"> </w:t>
      </w:r>
      <w:r w:rsidRPr="00D81648">
        <w:rPr>
          <w:lang w:val="en-AU"/>
        </w:rPr>
        <w:t>ipso</w:t>
      </w:r>
      <w:r w:rsidR="002C15C3" w:rsidRPr="00D81648">
        <w:rPr>
          <w:lang w:val="en-AU"/>
        </w:rPr>
        <w:t xml:space="preserve"> </w:t>
      </w:r>
      <w:r w:rsidRPr="00D81648">
        <w:rPr>
          <w:lang w:val="en-AU"/>
        </w:rPr>
        <w:t>facto</w:t>
      </w:r>
      <w:r w:rsidR="002C15C3" w:rsidRPr="00D81648">
        <w:rPr>
          <w:lang w:val="en-AU"/>
        </w:rPr>
        <w:t xml:space="preserve"> </w:t>
      </w:r>
      <w:r w:rsidRPr="00D81648">
        <w:rPr>
          <w:lang w:val="en-AU"/>
        </w:rPr>
        <w:t>clauses</w:t>
      </w:r>
      <w:r w:rsidR="002C15C3" w:rsidRPr="00D81648">
        <w:rPr>
          <w:lang w:val="en-AU"/>
        </w:rPr>
        <w:t xml:space="preserve"> </w:t>
      </w:r>
      <w:r w:rsidRPr="00D81648">
        <w:rPr>
          <w:lang w:val="en-AU"/>
        </w:rPr>
        <w:t>are</w:t>
      </w:r>
      <w:r w:rsidR="002C15C3" w:rsidRPr="00D81648">
        <w:rPr>
          <w:lang w:val="en-AU"/>
        </w:rPr>
        <w:t xml:space="preserve"> </w:t>
      </w:r>
      <w:r w:rsidRPr="00D81648">
        <w:rPr>
          <w:lang w:val="en-AU"/>
        </w:rPr>
        <w:t>rendered</w:t>
      </w:r>
      <w:r w:rsidR="002C15C3" w:rsidRPr="00D81648">
        <w:rPr>
          <w:lang w:val="en-AU"/>
        </w:rPr>
        <w:t xml:space="preserve"> </w:t>
      </w:r>
      <w:r w:rsidRPr="00D81648">
        <w:rPr>
          <w:lang w:val="en-AU"/>
        </w:rPr>
        <w:t>void</w:t>
      </w:r>
      <w:r w:rsidR="002C15C3" w:rsidRPr="00D81648">
        <w:rPr>
          <w:lang w:val="en-AU"/>
        </w:rPr>
        <w:t xml:space="preserve"> </w:t>
      </w:r>
      <w:r w:rsidRPr="00D81648">
        <w:rPr>
          <w:lang w:val="en-AU"/>
        </w:rPr>
        <w:t>if</w:t>
      </w:r>
      <w:r w:rsidR="002C15C3" w:rsidRPr="00D81648">
        <w:rPr>
          <w:lang w:val="en-AU"/>
        </w:rPr>
        <w:t xml:space="preserve"> </w:t>
      </w:r>
      <w:r w:rsidRPr="00D81648">
        <w:rPr>
          <w:lang w:val="en-AU"/>
        </w:rPr>
        <w:t>the</w:t>
      </w:r>
      <w:r w:rsidR="002C15C3" w:rsidRPr="00D81648">
        <w:rPr>
          <w:lang w:val="en-AU"/>
        </w:rPr>
        <w:t xml:space="preserve"> </w:t>
      </w:r>
      <w:r w:rsidRPr="00D81648">
        <w:rPr>
          <w:lang w:val="en-AU"/>
        </w:rPr>
        <w:t>relevant</w:t>
      </w:r>
      <w:r w:rsidR="002C15C3" w:rsidRPr="00D81648">
        <w:rPr>
          <w:lang w:val="en-AU"/>
        </w:rPr>
        <w:t xml:space="preserve"> </w:t>
      </w:r>
      <w:r w:rsidRPr="00D81648">
        <w:rPr>
          <w:lang w:val="en-AU"/>
        </w:rPr>
        <w:t>obligor</w:t>
      </w:r>
      <w:r w:rsidR="002C15C3" w:rsidRPr="00D81648">
        <w:rPr>
          <w:lang w:val="en-AU"/>
        </w:rPr>
        <w:t xml:space="preserve"> </w:t>
      </w:r>
      <w:r w:rsidRPr="00D81648">
        <w:rPr>
          <w:lang w:val="en-AU"/>
        </w:rPr>
        <w:t>becomes</w:t>
      </w:r>
      <w:r w:rsidR="002C15C3" w:rsidRPr="00D81648">
        <w:rPr>
          <w:lang w:val="en-AU"/>
        </w:rPr>
        <w:t xml:space="preserve"> </w:t>
      </w:r>
      <w:r w:rsidRPr="00D81648">
        <w:rPr>
          <w:lang w:val="en-AU"/>
        </w:rPr>
        <w:t>bankrupt.</w:t>
      </w:r>
      <w:r w:rsidR="002C15C3" w:rsidRPr="00D81648">
        <w:rPr>
          <w:lang w:val="en-AU"/>
        </w:rPr>
        <w:t xml:space="preserve"> </w:t>
      </w:r>
      <w:r w:rsidRPr="00D81648">
        <w:rPr>
          <w:lang w:val="en-AU"/>
        </w:rPr>
        <w:t>However,</w:t>
      </w:r>
      <w:r w:rsidR="002C15C3" w:rsidRPr="00D81648">
        <w:rPr>
          <w:lang w:val="en-AU"/>
        </w:rPr>
        <w:t xml:space="preserve"> </w:t>
      </w:r>
      <w:r w:rsidRPr="00D81648">
        <w:rPr>
          <w:lang w:val="en-AU"/>
        </w:rPr>
        <w:t>there</w:t>
      </w:r>
      <w:r w:rsidR="002C15C3" w:rsidRPr="00D81648">
        <w:rPr>
          <w:lang w:val="en-AU"/>
        </w:rPr>
        <w:t xml:space="preserve"> </w:t>
      </w:r>
      <w:r w:rsidRPr="00D81648">
        <w:rPr>
          <w:lang w:val="en-AU"/>
        </w:rPr>
        <w:t>is</w:t>
      </w:r>
      <w:r w:rsidR="002C15C3" w:rsidRPr="00D81648">
        <w:rPr>
          <w:lang w:val="en-AU"/>
        </w:rPr>
        <w:t xml:space="preserve"> </w:t>
      </w:r>
      <w:r w:rsidRPr="00D81648">
        <w:rPr>
          <w:lang w:val="en-AU"/>
        </w:rPr>
        <w:t>no</w:t>
      </w:r>
      <w:r w:rsidR="002C15C3" w:rsidRPr="00D81648">
        <w:rPr>
          <w:lang w:val="en-AU"/>
        </w:rPr>
        <w:t xml:space="preserve"> </w:t>
      </w:r>
      <w:r w:rsidRPr="00D81648">
        <w:rPr>
          <w:lang w:val="en-AU"/>
        </w:rPr>
        <w:t>such</w:t>
      </w:r>
      <w:r w:rsidR="002C15C3" w:rsidRPr="00D81648">
        <w:rPr>
          <w:lang w:val="en-AU"/>
        </w:rPr>
        <w:t xml:space="preserve"> </w:t>
      </w:r>
      <w:r w:rsidRPr="00D81648">
        <w:rPr>
          <w:lang w:val="en-AU"/>
        </w:rPr>
        <w:t>prohibition</w:t>
      </w:r>
      <w:r w:rsidR="002C15C3" w:rsidRPr="00D81648">
        <w:rPr>
          <w:lang w:val="en-AU"/>
        </w:rPr>
        <w:t xml:space="preserve"> </w:t>
      </w:r>
      <w:r w:rsidRPr="00D81648">
        <w:rPr>
          <w:lang w:val="en-AU"/>
        </w:rPr>
        <w:t>in</w:t>
      </w:r>
      <w:r w:rsidR="002C15C3" w:rsidRPr="00D81648">
        <w:rPr>
          <w:lang w:val="en-AU"/>
        </w:rPr>
        <w:t xml:space="preserve"> </w:t>
      </w:r>
      <w:r w:rsidRPr="00D81648">
        <w:rPr>
          <w:lang w:val="en-AU"/>
        </w:rPr>
        <w:t>relation</w:t>
      </w:r>
      <w:r w:rsidR="002C15C3" w:rsidRPr="00D81648">
        <w:rPr>
          <w:lang w:val="en-AU"/>
        </w:rPr>
        <w:t xml:space="preserve"> </w:t>
      </w:r>
      <w:r w:rsidRPr="00D81648">
        <w:rPr>
          <w:lang w:val="en-AU"/>
        </w:rPr>
        <w:t>to</w:t>
      </w:r>
      <w:r w:rsidR="002C15C3" w:rsidRPr="00D81648">
        <w:rPr>
          <w:lang w:val="en-AU"/>
        </w:rPr>
        <w:t xml:space="preserve"> </w:t>
      </w:r>
      <w:r w:rsidRPr="00D81648">
        <w:rPr>
          <w:lang w:val="en-AU"/>
        </w:rPr>
        <w:t>corporat</w:t>
      </w:r>
      <w:r w:rsidR="00AB18AE" w:rsidRPr="00D81648">
        <w:rPr>
          <w:lang w:val="en-AU"/>
        </w:rPr>
        <w:t>e</w:t>
      </w:r>
      <w:r w:rsidR="002C15C3" w:rsidRPr="00D81648">
        <w:rPr>
          <w:lang w:val="en-AU"/>
        </w:rPr>
        <w:t xml:space="preserve"> </w:t>
      </w:r>
      <w:r w:rsidRPr="00D81648">
        <w:rPr>
          <w:lang w:val="en-AU"/>
        </w:rPr>
        <w:t>insolvency,</w:t>
      </w:r>
      <w:r w:rsidR="002C15C3" w:rsidRPr="00D81648">
        <w:rPr>
          <w:lang w:val="en-AU"/>
        </w:rPr>
        <w:t xml:space="preserve"> </w:t>
      </w:r>
      <w:r w:rsidRPr="00D81648">
        <w:rPr>
          <w:lang w:val="en-AU"/>
        </w:rPr>
        <w:t>and</w:t>
      </w:r>
      <w:r w:rsidR="002C15C3" w:rsidRPr="00D81648">
        <w:rPr>
          <w:lang w:val="en-AU"/>
        </w:rPr>
        <w:t xml:space="preserve"> </w:t>
      </w:r>
      <w:r w:rsidRPr="00D81648">
        <w:rPr>
          <w:lang w:val="en-AU"/>
        </w:rPr>
        <w:t>more</w:t>
      </w:r>
      <w:r w:rsidR="002C15C3" w:rsidRPr="00D81648">
        <w:rPr>
          <w:lang w:val="en-AU"/>
        </w:rPr>
        <w:t xml:space="preserve"> </w:t>
      </w:r>
      <w:r w:rsidRPr="00D81648">
        <w:rPr>
          <w:lang w:val="en-AU"/>
        </w:rPr>
        <w:t>particularly</w:t>
      </w:r>
      <w:r w:rsidR="002C15C3" w:rsidRPr="00D81648">
        <w:rPr>
          <w:lang w:val="en-AU"/>
        </w:rPr>
        <w:t xml:space="preserve"> </w:t>
      </w:r>
      <w:r w:rsidRPr="00D81648">
        <w:rPr>
          <w:lang w:val="en-AU"/>
        </w:rPr>
        <w:t>voluntary</w:t>
      </w:r>
      <w:r w:rsidR="002C15C3" w:rsidRPr="00D81648">
        <w:rPr>
          <w:lang w:val="en-AU"/>
        </w:rPr>
        <w:t xml:space="preserve"> </w:t>
      </w:r>
      <w:r w:rsidRPr="00D81648">
        <w:rPr>
          <w:lang w:val="en-AU"/>
        </w:rPr>
        <w:t>administration,</w:t>
      </w:r>
      <w:r w:rsidR="002C15C3" w:rsidRPr="00D81648">
        <w:rPr>
          <w:lang w:val="en-AU"/>
        </w:rPr>
        <w:t xml:space="preserve"> </w:t>
      </w:r>
      <w:r w:rsidRPr="00D81648">
        <w:rPr>
          <w:lang w:val="en-AU"/>
        </w:rPr>
        <w:t>under</w:t>
      </w:r>
      <w:r w:rsidR="002C15C3" w:rsidRPr="00D81648">
        <w:rPr>
          <w:lang w:val="en-AU"/>
        </w:rPr>
        <w:t xml:space="preserve"> </w:t>
      </w:r>
      <w:r w:rsidRPr="00D81648">
        <w:rPr>
          <w:lang w:val="en-AU"/>
        </w:rPr>
        <w:t>the</w:t>
      </w:r>
      <w:r w:rsidR="002C15C3" w:rsidRPr="00D81648">
        <w:rPr>
          <w:lang w:val="en-AU"/>
        </w:rPr>
        <w:t xml:space="preserve"> </w:t>
      </w:r>
      <w:r w:rsidR="00E46507" w:rsidRPr="00D81648">
        <w:rPr>
          <w:i/>
          <w:lang w:val="en-AU"/>
        </w:rPr>
        <w:t>Corporations Act 2001</w:t>
      </w:r>
      <w:r w:rsidRPr="00D81648">
        <w:rPr>
          <w:lang w:val="en-AU"/>
        </w:rPr>
        <w:t>.</w:t>
      </w:r>
    </w:p>
    <w:p w14:paraId="19EC2FFD" w14:textId="77777777" w:rsidR="0006220A" w:rsidRPr="00D81648" w:rsidRDefault="00FF551A" w:rsidP="00DE5B2C">
      <w:pPr>
        <w:pStyle w:val="ARITABodyText"/>
        <w:rPr>
          <w:lang w:val="en-AU"/>
        </w:rPr>
      </w:pPr>
      <w:r w:rsidRPr="00D81648">
        <w:rPr>
          <w:lang w:val="en-AU"/>
        </w:rPr>
        <w:t>As</w:t>
      </w:r>
      <w:r w:rsidR="002C15C3" w:rsidRPr="00D81648">
        <w:rPr>
          <w:lang w:val="en-AU"/>
        </w:rPr>
        <w:t xml:space="preserve"> </w:t>
      </w:r>
      <w:r w:rsidRPr="00D81648">
        <w:rPr>
          <w:lang w:val="en-AU"/>
        </w:rPr>
        <w:t>a</w:t>
      </w:r>
      <w:r w:rsidR="002C15C3" w:rsidRPr="00D81648">
        <w:rPr>
          <w:lang w:val="en-AU"/>
        </w:rPr>
        <w:t xml:space="preserve"> </w:t>
      </w:r>
      <w:r w:rsidRPr="00D81648">
        <w:rPr>
          <w:lang w:val="en-AU"/>
        </w:rPr>
        <w:t>result,</w:t>
      </w:r>
      <w:r w:rsidR="002C15C3" w:rsidRPr="00D81648">
        <w:rPr>
          <w:lang w:val="en-AU"/>
        </w:rPr>
        <w:t xml:space="preserve"> </w:t>
      </w:r>
      <w:r w:rsidRPr="00D81648">
        <w:rPr>
          <w:lang w:val="en-AU"/>
        </w:rPr>
        <w:t>if</w:t>
      </w:r>
      <w:r w:rsidR="002C15C3" w:rsidRPr="00D81648">
        <w:rPr>
          <w:lang w:val="en-AU"/>
        </w:rPr>
        <w:t xml:space="preserve"> </w:t>
      </w:r>
      <w:r w:rsidRPr="00D81648">
        <w:rPr>
          <w:lang w:val="en-AU"/>
        </w:rPr>
        <w:t>a</w:t>
      </w:r>
      <w:r w:rsidR="002C15C3" w:rsidRPr="00D81648">
        <w:rPr>
          <w:lang w:val="en-AU"/>
        </w:rPr>
        <w:t xml:space="preserve"> </w:t>
      </w:r>
      <w:r w:rsidRPr="00D81648">
        <w:rPr>
          <w:lang w:val="en-AU"/>
        </w:rPr>
        <w:t>financially</w:t>
      </w:r>
      <w:r w:rsidR="002C15C3" w:rsidRPr="00D81648">
        <w:rPr>
          <w:lang w:val="en-AU"/>
        </w:rPr>
        <w:t xml:space="preserve"> </w:t>
      </w:r>
      <w:r w:rsidRPr="00D81648">
        <w:rPr>
          <w:lang w:val="en-AU"/>
        </w:rPr>
        <w:t>distressed</w:t>
      </w:r>
      <w:r w:rsidR="002C15C3" w:rsidRPr="00D81648">
        <w:rPr>
          <w:lang w:val="en-AU"/>
        </w:rPr>
        <w:t xml:space="preserve"> </w:t>
      </w:r>
      <w:r w:rsidRPr="00D81648">
        <w:rPr>
          <w:lang w:val="en-AU"/>
        </w:rPr>
        <w:t>but</w:t>
      </w:r>
      <w:r w:rsidR="002C15C3" w:rsidRPr="00D81648">
        <w:rPr>
          <w:lang w:val="en-AU"/>
        </w:rPr>
        <w:t xml:space="preserve"> </w:t>
      </w:r>
      <w:r w:rsidRPr="00D81648">
        <w:rPr>
          <w:lang w:val="en-AU"/>
        </w:rPr>
        <w:t>viable</w:t>
      </w:r>
      <w:r w:rsidR="002C15C3" w:rsidRPr="00D81648">
        <w:rPr>
          <w:lang w:val="en-AU"/>
        </w:rPr>
        <w:t xml:space="preserve"> </w:t>
      </w:r>
      <w:r w:rsidRPr="00D81648">
        <w:rPr>
          <w:lang w:val="en-AU"/>
        </w:rPr>
        <w:t>business</w:t>
      </w:r>
      <w:r w:rsidR="002C15C3" w:rsidRPr="00D81648">
        <w:rPr>
          <w:lang w:val="en-AU"/>
        </w:rPr>
        <w:t xml:space="preserve"> </w:t>
      </w:r>
      <w:r w:rsidRPr="00D81648">
        <w:rPr>
          <w:lang w:val="en-AU"/>
        </w:rPr>
        <w:t>that</w:t>
      </w:r>
      <w:r w:rsidR="002C15C3" w:rsidRPr="00D81648">
        <w:rPr>
          <w:lang w:val="en-AU"/>
        </w:rPr>
        <w:t xml:space="preserve"> </w:t>
      </w:r>
      <w:r w:rsidRPr="00D81648">
        <w:rPr>
          <w:lang w:val="en-AU"/>
        </w:rPr>
        <w:t>is</w:t>
      </w:r>
      <w:r w:rsidR="002C15C3" w:rsidRPr="00D81648">
        <w:rPr>
          <w:lang w:val="en-AU"/>
        </w:rPr>
        <w:t xml:space="preserve"> </w:t>
      </w:r>
      <w:r w:rsidRPr="00D81648">
        <w:rPr>
          <w:lang w:val="en-AU"/>
        </w:rPr>
        <w:t>reliant</w:t>
      </w:r>
      <w:r w:rsidR="002C15C3" w:rsidRPr="00D81648">
        <w:rPr>
          <w:lang w:val="en-AU"/>
        </w:rPr>
        <w:t xml:space="preserve"> </w:t>
      </w:r>
      <w:r w:rsidRPr="00D81648">
        <w:rPr>
          <w:lang w:val="en-AU"/>
        </w:rPr>
        <w:t>on</w:t>
      </w:r>
      <w:r w:rsidR="002C15C3" w:rsidRPr="00D81648">
        <w:rPr>
          <w:lang w:val="en-AU"/>
        </w:rPr>
        <w:t xml:space="preserve"> </w:t>
      </w:r>
      <w:r w:rsidRPr="00D81648">
        <w:rPr>
          <w:lang w:val="en-AU"/>
        </w:rPr>
        <w:t>essential</w:t>
      </w:r>
      <w:r w:rsidR="002C15C3" w:rsidRPr="00D81648">
        <w:rPr>
          <w:lang w:val="en-AU"/>
        </w:rPr>
        <w:t xml:space="preserve"> </w:t>
      </w:r>
      <w:r w:rsidRPr="00D81648">
        <w:rPr>
          <w:lang w:val="en-AU"/>
        </w:rPr>
        <w:t>contracts</w:t>
      </w:r>
      <w:r w:rsidR="002C15C3" w:rsidRPr="00D81648">
        <w:rPr>
          <w:lang w:val="en-AU"/>
        </w:rPr>
        <w:t xml:space="preserve"> </w:t>
      </w:r>
      <w:r w:rsidRPr="00D81648">
        <w:rPr>
          <w:lang w:val="en-AU"/>
        </w:rPr>
        <w:t>continuing</w:t>
      </w:r>
      <w:r w:rsidR="002C15C3" w:rsidRPr="00D81648">
        <w:rPr>
          <w:lang w:val="en-AU"/>
        </w:rPr>
        <w:t xml:space="preserve"> </w:t>
      </w:r>
      <w:r w:rsidRPr="00D81648">
        <w:rPr>
          <w:lang w:val="en-AU"/>
        </w:rPr>
        <w:t>enters</w:t>
      </w:r>
      <w:r w:rsidR="002C15C3" w:rsidRPr="00D81648">
        <w:rPr>
          <w:lang w:val="en-AU"/>
        </w:rPr>
        <w:t xml:space="preserve"> </w:t>
      </w:r>
      <w:r w:rsidRPr="00D81648">
        <w:rPr>
          <w:lang w:val="en-AU"/>
        </w:rPr>
        <w:t>into</w:t>
      </w:r>
      <w:r w:rsidR="002C15C3" w:rsidRPr="00D81648">
        <w:rPr>
          <w:lang w:val="en-AU"/>
        </w:rPr>
        <w:t xml:space="preserve"> </w:t>
      </w:r>
      <w:r w:rsidRPr="00D81648">
        <w:rPr>
          <w:lang w:val="en-AU"/>
        </w:rPr>
        <w:t>voluntary</w:t>
      </w:r>
      <w:r w:rsidR="002C15C3" w:rsidRPr="00D81648">
        <w:rPr>
          <w:lang w:val="en-AU"/>
        </w:rPr>
        <w:t xml:space="preserve"> </w:t>
      </w:r>
      <w:r w:rsidRPr="00D81648">
        <w:rPr>
          <w:lang w:val="en-AU"/>
        </w:rPr>
        <w:t>administration,</w:t>
      </w:r>
      <w:r w:rsidR="002C15C3" w:rsidRPr="00D81648">
        <w:rPr>
          <w:lang w:val="en-AU"/>
        </w:rPr>
        <w:t xml:space="preserve"> </w:t>
      </w:r>
      <w:r w:rsidRPr="00D81648">
        <w:rPr>
          <w:lang w:val="en-AU"/>
        </w:rPr>
        <w:t>it</w:t>
      </w:r>
      <w:r w:rsidR="002C15C3" w:rsidRPr="00D81648">
        <w:rPr>
          <w:lang w:val="en-AU"/>
        </w:rPr>
        <w:t xml:space="preserve"> </w:t>
      </w:r>
      <w:r w:rsidRPr="00D81648">
        <w:rPr>
          <w:lang w:val="en-AU"/>
        </w:rPr>
        <w:t>is</w:t>
      </w:r>
      <w:r w:rsidR="002C15C3" w:rsidRPr="00D81648">
        <w:rPr>
          <w:lang w:val="en-AU"/>
        </w:rPr>
        <w:t xml:space="preserve"> </w:t>
      </w:r>
      <w:r w:rsidRPr="00D81648">
        <w:rPr>
          <w:lang w:val="en-AU"/>
        </w:rPr>
        <w:t>likely</w:t>
      </w:r>
      <w:r w:rsidR="002C15C3" w:rsidRPr="00D81648">
        <w:rPr>
          <w:lang w:val="en-AU"/>
        </w:rPr>
        <w:t xml:space="preserve"> </w:t>
      </w:r>
      <w:r w:rsidRPr="00D81648">
        <w:rPr>
          <w:lang w:val="en-AU"/>
        </w:rPr>
        <w:t>that:</w:t>
      </w:r>
    </w:p>
    <w:p w14:paraId="14F9BD94" w14:textId="77777777" w:rsidR="00F06386" w:rsidRPr="00D81648" w:rsidRDefault="00FF551A" w:rsidP="00164507">
      <w:pPr>
        <w:pStyle w:val="ListBullet"/>
        <w:numPr>
          <w:ilvl w:val="0"/>
          <w:numId w:val="47"/>
        </w:numPr>
        <w:spacing w:after="120"/>
        <w:contextualSpacing w:val="0"/>
        <w:rPr>
          <w:lang w:val="en-AU"/>
        </w:rPr>
      </w:pPr>
      <w:r w:rsidRPr="00D81648">
        <w:rPr>
          <w:lang w:val="en-AU"/>
        </w:rPr>
        <w:t>contracts</w:t>
      </w:r>
      <w:r w:rsidR="002C15C3" w:rsidRPr="00D81648">
        <w:rPr>
          <w:lang w:val="en-AU"/>
        </w:rPr>
        <w:t xml:space="preserve"> </w:t>
      </w:r>
      <w:r w:rsidRPr="00D81648">
        <w:rPr>
          <w:lang w:val="en-AU"/>
        </w:rPr>
        <w:t>will</w:t>
      </w:r>
      <w:r w:rsidR="002C15C3" w:rsidRPr="00D81648">
        <w:rPr>
          <w:lang w:val="en-AU"/>
        </w:rPr>
        <w:t xml:space="preserve"> </w:t>
      </w:r>
      <w:r w:rsidRPr="00D81648">
        <w:rPr>
          <w:lang w:val="en-AU"/>
        </w:rPr>
        <w:t>immediately</w:t>
      </w:r>
      <w:r w:rsidR="002C15C3" w:rsidRPr="00D81648">
        <w:rPr>
          <w:lang w:val="en-AU"/>
        </w:rPr>
        <w:t xml:space="preserve"> </w:t>
      </w:r>
      <w:r w:rsidRPr="00D81648">
        <w:rPr>
          <w:lang w:val="en-AU"/>
        </w:rPr>
        <w:t>be</w:t>
      </w:r>
      <w:r w:rsidR="002C15C3" w:rsidRPr="00D81648">
        <w:rPr>
          <w:lang w:val="en-AU"/>
        </w:rPr>
        <w:t xml:space="preserve"> </w:t>
      </w:r>
      <w:r w:rsidRPr="00D81648">
        <w:rPr>
          <w:lang w:val="en-AU"/>
        </w:rPr>
        <w:t>terminated</w:t>
      </w:r>
    </w:p>
    <w:p w14:paraId="4BEA80E0" w14:textId="77777777" w:rsidR="0006220A" w:rsidRPr="00D81648" w:rsidRDefault="00FF551A" w:rsidP="00164507">
      <w:pPr>
        <w:pStyle w:val="ListBullet"/>
        <w:numPr>
          <w:ilvl w:val="0"/>
          <w:numId w:val="47"/>
        </w:numPr>
        <w:spacing w:after="120"/>
        <w:contextualSpacing w:val="0"/>
        <w:rPr>
          <w:lang w:val="en-AU"/>
        </w:rPr>
      </w:pPr>
      <w:r w:rsidRPr="00D81648">
        <w:rPr>
          <w:lang w:val="en-AU"/>
        </w:rPr>
        <w:t>there</w:t>
      </w:r>
      <w:r w:rsidR="002C15C3" w:rsidRPr="00D81648">
        <w:rPr>
          <w:lang w:val="en-AU"/>
        </w:rPr>
        <w:t xml:space="preserve"> </w:t>
      </w:r>
      <w:r w:rsidRPr="00D81648">
        <w:rPr>
          <w:lang w:val="en-AU"/>
        </w:rPr>
        <w:t>will</w:t>
      </w:r>
      <w:r w:rsidR="002C15C3" w:rsidRPr="00D81648">
        <w:rPr>
          <w:lang w:val="en-AU"/>
        </w:rPr>
        <w:t xml:space="preserve"> </w:t>
      </w:r>
      <w:r w:rsidRPr="00D81648">
        <w:rPr>
          <w:lang w:val="en-AU"/>
        </w:rPr>
        <w:t>no</w:t>
      </w:r>
      <w:r w:rsidR="002C15C3" w:rsidRPr="00D81648">
        <w:rPr>
          <w:lang w:val="en-AU"/>
        </w:rPr>
        <w:t xml:space="preserve"> </w:t>
      </w:r>
      <w:r w:rsidRPr="00D81648">
        <w:rPr>
          <w:lang w:val="en-AU"/>
        </w:rPr>
        <w:t>longer</w:t>
      </w:r>
      <w:r w:rsidR="002C15C3" w:rsidRPr="00D81648">
        <w:rPr>
          <w:lang w:val="en-AU"/>
        </w:rPr>
        <w:t xml:space="preserve"> </w:t>
      </w:r>
      <w:r w:rsidRPr="00D81648">
        <w:rPr>
          <w:lang w:val="en-AU"/>
        </w:rPr>
        <w:t>be</w:t>
      </w:r>
      <w:r w:rsidR="002C15C3" w:rsidRPr="00D81648">
        <w:rPr>
          <w:lang w:val="en-AU"/>
        </w:rPr>
        <w:t xml:space="preserve"> </w:t>
      </w:r>
      <w:r w:rsidRPr="00D81648">
        <w:rPr>
          <w:lang w:val="en-AU"/>
        </w:rPr>
        <w:t>any</w:t>
      </w:r>
      <w:r w:rsidR="002C15C3" w:rsidRPr="00D81648">
        <w:rPr>
          <w:lang w:val="en-AU"/>
        </w:rPr>
        <w:t xml:space="preserve"> </w:t>
      </w:r>
      <w:r w:rsidRPr="00D81648">
        <w:rPr>
          <w:lang w:val="en-AU"/>
        </w:rPr>
        <w:t>business</w:t>
      </w:r>
      <w:r w:rsidR="002C15C3" w:rsidRPr="00D81648">
        <w:rPr>
          <w:lang w:val="en-AU"/>
        </w:rPr>
        <w:t xml:space="preserve"> </w:t>
      </w:r>
      <w:r w:rsidRPr="00D81648">
        <w:rPr>
          <w:lang w:val="en-AU"/>
        </w:rPr>
        <w:t>to</w:t>
      </w:r>
      <w:r w:rsidR="002C15C3" w:rsidRPr="00D81648">
        <w:rPr>
          <w:lang w:val="en-AU"/>
        </w:rPr>
        <w:t xml:space="preserve"> </w:t>
      </w:r>
      <w:r w:rsidRPr="00D81648">
        <w:rPr>
          <w:lang w:val="en-AU"/>
        </w:rPr>
        <w:t>restructure</w:t>
      </w:r>
      <w:r w:rsidR="00F06386" w:rsidRPr="00D81648">
        <w:rPr>
          <w:lang w:val="en-AU"/>
        </w:rPr>
        <w:t>, and</w:t>
      </w:r>
    </w:p>
    <w:p w14:paraId="7E5EEE5C" w14:textId="77777777" w:rsidR="0006220A" w:rsidRPr="00D81648" w:rsidRDefault="00FF551A" w:rsidP="00164507">
      <w:pPr>
        <w:pStyle w:val="ListBullet"/>
        <w:numPr>
          <w:ilvl w:val="0"/>
          <w:numId w:val="47"/>
        </w:numPr>
        <w:rPr>
          <w:lang w:val="en-AU"/>
        </w:rPr>
      </w:pPr>
      <w:r w:rsidRPr="00D81648">
        <w:rPr>
          <w:lang w:val="en-AU"/>
        </w:rPr>
        <w:t>there</w:t>
      </w:r>
      <w:r w:rsidR="002C15C3" w:rsidRPr="00D81648">
        <w:rPr>
          <w:lang w:val="en-AU"/>
        </w:rPr>
        <w:t xml:space="preserve"> </w:t>
      </w:r>
      <w:r w:rsidRPr="00D81648">
        <w:rPr>
          <w:lang w:val="en-AU"/>
        </w:rPr>
        <w:t>will</w:t>
      </w:r>
      <w:r w:rsidR="002C15C3" w:rsidRPr="00D81648">
        <w:rPr>
          <w:lang w:val="en-AU"/>
        </w:rPr>
        <w:t xml:space="preserve"> </w:t>
      </w:r>
      <w:r w:rsidRPr="00D81648">
        <w:rPr>
          <w:lang w:val="en-AU"/>
        </w:rPr>
        <w:t>no</w:t>
      </w:r>
      <w:r w:rsidR="002C15C3" w:rsidRPr="00D81648">
        <w:rPr>
          <w:lang w:val="en-AU"/>
        </w:rPr>
        <w:t xml:space="preserve"> </w:t>
      </w:r>
      <w:r w:rsidRPr="00D81648">
        <w:rPr>
          <w:lang w:val="en-AU"/>
        </w:rPr>
        <w:t>longer</w:t>
      </w:r>
      <w:r w:rsidR="002C15C3" w:rsidRPr="00D81648">
        <w:rPr>
          <w:lang w:val="en-AU"/>
        </w:rPr>
        <w:t xml:space="preserve"> </w:t>
      </w:r>
      <w:r w:rsidRPr="00D81648">
        <w:rPr>
          <w:lang w:val="en-AU"/>
        </w:rPr>
        <w:t>be</w:t>
      </w:r>
      <w:r w:rsidR="002C15C3" w:rsidRPr="00D81648">
        <w:rPr>
          <w:lang w:val="en-AU"/>
        </w:rPr>
        <w:t xml:space="preserve"> </w:t>
      </w:r>
      <w:r w:rsidRPr="00D81648">
        <w:rPr>
          <w:lang w:val="en-AU"/>
        </w:rPr>
        <w:t>any</w:t>
      </w:r>
      <w:r w:rsidR="002C15C3" w:rsidRPr="00D81648">
        <w:rPr>
          <w:lang w:val="en-AU"/>
        </w:rPr>
        <w:t xml:space="preserve"> </w:t>
      </w:r>
      <w:r w:rsidR="00182D01" w:rsidRPr="00D81648">
        <w:rPr>
          <w:lang w:val="en-AU"/>
        </w:rPr>
        <w:t xml:space="preserve">going concern </w:t>
      </w:r>
      <w:r w:rsidRPr="00D81648">
        <w:rPr>
          <w:lang w:val="en-AU"/>
        </w:rPr>
        <w:t>value</w:t>
      </w:r>
      <w:r w:rsidR="002C15C3" w:rsidRPr="00D81648">
        <w:rPr>
          <w:lang w:val="en-AU"/>
        </w:rPr>
        <w:t xml:space="preserve"> </w:t>
      </w:r>
      <w:r w:rsidRPr="00D81648">
        <w:rPr>
          <w:lang w:val="en-AU"/>
        </w:rPr>
        <w:t>for</w:t>
      </w:r>
      <w:r w:rsidR="002C15C3" w:rsidRPr="00D81648">
        <w:rPr>
          <w:lang w:val="en-AU"/>
        </w:rPr>
        <w:t xml:space="preserve"> </w:t>
      </w:r>
      <w:r w:rsidRPr="00D81648">
        <w:rPr>
          <w:lang w:val="en-AU"/>
        </w:rPr>
        <w:t>creditors.</w:t>
      </w:r>
    </w:p>
    <w:p w14:paraId="1AEB2939" w14:textId="77777777" w:rsidR="0006220A" w:rsidRPr="00D81648" w:rsidRDefault="00FF551A" w:rsidP="00DE5B2C">
      <w:pPr>
        <w:pStyle w:val="ARITABodyText"/>
        <w:rPr>
          <w:rFonts w:eastAsia="Calibri"/>
          <w:lang w:val="en-AU"/>
        </w:rPr>
      </w:pPr>
      <w:r w:rsidRPr="00D81648">
        <w:rPr>
          <w:rFonts w:eastAsia="Calibri"/>
          <w:lang w:val="en-AU"/>
        </w:rPr>
        <w:t>In</w:t>
      </w:r>
      <w:r w:rsidR="002C15C3" w:rsidRPr="00D81648">
        <w:rPr>
          <w:rFonts w:eastAsia="Calibri"/>
          <w:lang w:val="en-AU"/>
        </w:rPr>
        <w:t xml:space="preserve"> </w:t>
      </w:r>
      <w:r w:rsidRPr="00D81648">
        <w:rPr>
          <w:rFonts w:eastAsia="Calibri"/>
          <w:lang w:val="en-AU"/>
        </w:rPr>
        <w:t>some</w:t>
      </w:r>
      <w:r w:rsidR="002C15C3" w:rsidRPr="00D81648">
        <w:rPr>
          <w:rFonts w:eastAsia="Calibri"/>
          <w:lang w:val="en-AU"/>
        </w:rPr>
        <w:t xml:space="preserve"> </w:t>
      </w:r>
      <w:r w:rsidRPr="00D81648">
        <w:rPr>
          <w:rFonts w:eastAsia="Calibri"/>
          <w:lang w:val="en-AU"/>
        </w:rPr>
        <w:t>cases,</w:t>
      </w:r>
      <w:r w:rsidR="002C15C3" w:rsidRPr="00D81648">
        <w:rPr>
          <w:rFonts w:eastAsia="Calibri"/>
          <w:lang w:val="en-AU"/>
        </w:rPr>
        <w:t xml:space="preserve"> </w:t>
      </w:r>
      <w:r w:rsidRPr="00D81648">
        <w:rPr>
          <w:rFonts w:eastAsia="Calibri"/>
          <w:lang w:val="en-AU"/>
        </w:rPr>
        <w:t>directors</w:t>
      </w:r>
      <w:r w:rsidR="002C15C3" w:rsidRPr="00D81648">
        <w:rPr>
          <w:rFonts w:eastAsia="Calibri"/>
          <w:lang w:val="en-AU"/>
        </w:rPr>
        <w:t xml:space="preserve"> </w:t>
      </w:r>
      <w:r w:rsidRPr="00D81648">
        <w:rPr>
          <w:rFonts w:eastAsia="Calibri"/>
          <w:lang w:val="en-AU"/>
        </w:rPr>
        <w:t>may</w:t>
      </w:r>
      <w:r w:rsidR="002C15C3" w:rsidRPr="00D81648">
        <w:rPr>
          <w:rFonts w:eastAsia="Calibri"/>
          <w:lang w:val="en-AU"/>
        </w:rPr>
        <w:t xml:space="preserve"> </w:t>
      </w:r>
      <w:r w:rsidRPr="00D81648">
        <w:rPr>
          <w:rFonts w:eastAsia="Calibri"/>
          <w:lang w:val="en-AU"/>
        </w:rPr>
        <w:t>in</w:t>
      </w:r>
      <w:r w:rsidR="002C15C3" w:rsidRPr="00D81648">
        <w:rPr>
          <w:rFonts w:eastAsia="Calibri"/>
          <w:lang w:val="en-AU"/>
        </w:rPr>
        <w:t xml:space="preserve"> </w:t>
      </w:r>
      <w:r w:rsidRPr="00D81648">
        <w:rPr>
          <w:rFonts w:eastAsia="Calibri"/>
          <w:lang w:val="en-AU"/>
        </w:rPr>
        <w:t>fact</w:t>
      </w:r>
      <w:r w:rsidR="002C15C3" w:rsidRPr="00D81648">
        <w:rPr>
          <w:rFonts w:eastAsia="Calibri"/>
          <w:lang w:val="en-AU"/>
        </w:rPr>
        <w:t xml:space="preserve"> </w:t>
      </w:r>
      <w:r w:rsidRPr="00D81648">
        <w:rPr>
          <w:rFonts w:eastAsia="Calibri"/>
          <w:lang w:val="en-AU"/>
        </w:rPr>
        <w:t>be</w:t>
      </w:r>
      <w:r w:rsidR="002C15C3" w:rsidRPr="00D81648">
        <w:rPr>
          <w:rFonts w:eastAsia="Calibri"/>
          <w:lang w:val="en-AU"/>
        </w:rPr>
        <w:t xml:space="preserve"> </w:t>
      </w:r>
      <w:r w:rsidRPr="00D81648">
        <w:rPr>
          <w:rFonts w:eastAsia="Calibri"/>
          <w:lang w:val="en-AU"/>
        </w:rPr>
        <w:t>reluctant</w:t>
      </w:r>
      <w:r w:rsidR="002C15C3" w:rsidRPr="00D81648">
        <w:rPr>
          <w:rFonts w:eastAsia="Calibri"/>
          <w:lang w:val="en-AU"/>
        </w:rPr>
        <w:t xml:space="preserve"> </w:t>
      </w:r>
      <w:r w:rsidRPr="00D81648">
        <w:rPr>
          <w:rFonts w:eastAsia="Calibri"/>
          <w:lang w:val="en-AU"/>
        </w:rPr>
        <w:t>to</w:t>
      </w:r>
      <w:r w:rsidR="002C15C3" w:rsidRPr="00D81648">
        <w:rPr>
          <w:rFonts w:eastAsia="Calibri"/>
          <w:lang w:val="en-AU"/>
        </w:rPr>
        <w:t xml:space="preserve"> </w:t>
      </w:r>
      <w:r w:rsidRPr="00D81648">
        <w:rPr>
          <w:rFonts w:eastAsia="Calibri"/>
          <w:lang w:val="en-AU"/>
        </w:rPr>
        <w:t>place</w:t>
      </w:r>
      <w:r w:rsidR="002C15C3" w:rsidRPr="00D81648">
        <w:rPr>
          <w:rFonts w:eastAsia="Calibri"/>
          <w:lang w:val="en-AU"/>
        </w:rPr>
        <w:t xml:space="preserve"> </w:t>
      </w:r>
      <w:r w:rsidRPr="00D81648">
        <w:rPr>
          <w:rFonts w:eastAsia="Calibri"/>
          <w:lang w:val="en-AU"/>
        </w:rPr>
        <w:t>their</w:t>
      </w:r>
      <w:r w:rsidR="002C15C3" w:rsidRPr="00D81648">
        <w:rPr>
          <w:rFonts w:eastAsia="Calibri"/>
          <w:lang w:val="en-AU"/>
        </w:rPr>
        <w:t xml:space="preserve"> </w:t>
      </w:r>
      <w:r w:rsidRPr="00D81648">
        <w:rPr>
          <w:rFonts w:eastAsia="Calibri"/>
          <w:lang w:val="en-AU"/>
        </w:rPr>
        <w:t>companies</w:t>
      </w:r>
      <w:r w:rsidR="002C15C3" w:rsidRPr="00D81648">
        <w:rPr>
          <w:rFonts w:eastAsia="Calibri"/>
          <w:lang w:val="en-AU"/>
        </w:rPr>
        <w:t xml:space="preserve"> </w:t>
      </w:r>
      <w:r w:rsidRPr="00D81648">
        <w:rPr>
          <w:rFonts w:eastAsia="Calibri"/>
          <w:lang w:val="en-AU"/>
        </w:rPr>
        <w:t>into</w:t>
      </w:r>
      <w:r w:rsidR="002C15C3" w:rsidRPr="00D81648">
        <w:rPr>
          <w:rFonts w:eastAsia="Calibri"/>
          <w:lang w:val="en-AU"/>
        </w:rPr>
        <w:t xml:space="preserve"> </w:t>
      </w:r>
      <w:r w:rsidRPr="00D81648">
        <w:rPr>
          <w:rFonts w:eastAsia="Calibri"/>
          <w:lang w:val="en-AU"/>
        </w:rPr>
        <w:t>voluntary</w:t>
      </w:r>
      <w:r w:rsidR="002C15C3" w:rsidRPr="00D81648">
        <w:rPr>
          <w:rFonts w:eastAsia="Calibri"/>
          <w:lang w:val="en-AU"/>
        </w:rPr>
        <w:t xml:space="preserve"> </w:t>
      </w:r>
      <w:r w:rsidRPr="00D81648">
        <w:rPr>
          <w:rFonts w:eastAsia="Calibri"/>
          <w:lang w:val="en-AU"/>
        </w:rPr>
        <w:t>administration</w:t>
      </w:r>
      <w:r w:rsidR="002C15C3" w:rsidRPr="00D81648">
        <w:rPr>
          <w:rFonts w:eastAsia="Calibri"/>
          <w:lang w:val="en-AU"/>
        </w:rPr>
        <w:t xml:space="preserve"> </w:t>
      </w:r>
      <w:r w:rsidRPr="00D81648">
        <w:rPr>
          <w:rFonts w:eastAsia="Calibri"/>
          <w:lang w:val="en-AU"/>
        </w:rPr>
        <w:t>because</w:t>
      </w:r>
      <w:r w:rsidR="002C15C3" w:rsidRPr="00D81648">
        <w:rPr>
          <w:rFonts w:eastAsia="Calibri"/>
          <w:lang w:val="en-AU"/>
        </w:rPr>
        <w:t xml:space="preserve"> </w:t>
      </w:r>
      <w:r w:rsidRPr="00D81648">
        <w:rPr>
          <w:rFonts w:eastAsia="Calibri"/>
          <w:lang w:val="en-AU"/>
        </w:rPr>
        <w:t>of</w:t>
      </w:r>
      <w:r w:rsidR="002C15C3" w:rsidRPr="00D81648">
        <w:rPr>
          <w:rFonts w:eastAsia="Calibri"/>
          <w:lang w:val="en-AU"/>
        </w:rPr>
        <w:t xml:space="preserve"> </w:t>
      </w:r>
      <w:r w:rsidRPr="00D81648">
        <w:rPr>
          <w:rFonts w:eastAsia="Calibri"/>
          <w:lang w:val="en-AU"/>
        </w:rPr>
        <w:t>concern</w:t>
      </w:r>
      <w:r w:rsidR="002C15C3" w:rsidRPr="00D81648">
        <w:rPr>
          <w:rFonts w:eastAsia="Calibri"/>
          <w:lang w:val="en-AU"/>
        </w:rPr>
        <w:t xml:space="preserve"> </w:t>
      </w:r>
      <w:r w:rsidRPr="00D81648">
        <w:rPr>
          <w:rFonts w:eastAsia="Calibri"/>
          <w:lang w:val="en-AU"/>
        </w:rPr>
        <w:t>that</w:t>
      </w:r>
      <w:r w:rsidR="002C15C3" w:rsidRPr="00D81648">
        <w:rPr>
          <w:rFonts w:eastAsia="Calibri"/>
          <w:lang w:val="en-AU"/>
        </w:rPr>
        <w:t xml:space="preserve"> </w:t>
      </w:r>
      <w:r w:rsidRPr="00D81648">
        <w:rPr>
          <w:rFonts w:eastAsia="Calibri"/>
          <w:lang w:val="en-AU"/>
        </w:rPr>
        <w:t>this</w:t>
      </w:r>
      <w:r w:rsidR="002C15C3" w:rsidRPr="00D81648">
        <w:rPr>
          <w:rFonts w:eastAsia="Calibri"/>
          <w:lang w:val="en-AU"/>
        </w:rPr>
        <w:t xml:space="preserve"> </w:t>
      </w:r>
      <w:r w:rsidRPr="00D81648">
        <w:rPr>
          <w:rFonts w:eastAsia="Calibri"/>
          <w:lang w:val="en-AU"/>
        </w:rPr>
        <w:t>may</w:t>
      </w:r>
      <w:r w:rsidR="002C15C3" w:rsidRPr="00D81648">
        <w:rPr>
          <w:rFonts w:eastAsia="Calibri"/>
          <w:lang w:val="en-AU"/>
        </w:rPr>
        <w:t xml:space="preserve"> </w:t>
      </w:r>
      <w:r w:rsidRPr="00D81648">
        <w:rPr>
          <w:rFonts w:eastAsia="Calibri"/>
          <w:lang w:val="en-AU"/>
        </w:rPr>
        <w:t>result</w:t>
      </w:r>
      <w:r w:rsidR="002C15C3" w:rsidRPr="00D81648">
        <w:rPr>
          <w:rFonts w:eastAsia="Calibri"/>
          <w:lang w:val="en-AU"/>
        </w:rPr>
        <w:t xml:space="preserve"> </w:t>
      </w:r>
      <w:r w:rsidRPr="00D81648">
        <w:rPr>
          <w:rFonts w:eastAsia="Calibri"/>
          <w:lang w:val="en-AU"/>
        </w:rPr>
        <w:t>in</w:t>
      </w:r>
      <w:r w:rsidR="002C15C3" w:rsidRPr="00D81648">
        <w:rPr>
          <w:rFonts w:eastAsia="Calibri"/>
          <w:lang w:val="en-AU"/>
        </w:rPr>
        <w:t xml:space="preserve"> </w:t>
      </w:r>
      <w:r w:rsidRPr="00D81648">
        <w:rPr>
          <w:rFonts w:eastAsia="Calibri"/>
          <w:lang w:val="en-AU"/>
        </w:rPr>
        <w:t>creditors</w:t>
      </w:r>
      <w:r w:rsidR="002C15C3" w:rsidRPr="00D81648">
        <w:rPr>
          <w:rFonts w:eastAsia="Calibri"/>
          <w:lang w:val="en-AU"/>
        </w:rPr>
        <w:t xml:space="preserve"> </w:t>
      </w:r>
      <w:r w:rsidRPr="00D81648">
        <w:rPr>
          <w:rFonts w:eastAsia="Calibri"/>
          <w:lang w:val="en-AU"/>
        </w:rPr>
        <w:t>exercising</w:t>
      </w:r>
      <w:r w:rsidR="002C15C3" w:rsidRPr="00D81648">
        <w:rPr>
          <w:rFonts w:eastAsia="Calibri"/>
          <w:lang w:val="en-AU"/>
        </w:rPr>
        <w:t xml:space="preserve"> </w:t>
      </w:r>
      <w:r w:rsidRPr="00D81648">
        <w:rPr>
          <w:rFonts w:eastAsia="Calibri"/>
          <w:lang w:val="en-AU"/>
        </w:rPr>
        <w:t>their</w:t>
      </w:r>
      <w:r w:rsidR="002C15C3" w:rsidRPr="00D81648">
        <w:rPr>
          <w:rFonts w:eastAsia="Calibri"/>
          <w:lang w:val="en-AU"/>
        </w:rPr>
        <w:t xml:space="preserve"> </w:t>
      </w:r>
      <w:r w:rsidRPr="00D81648">
        <w:rPr>
          <w:rFonts w:eastAsia="Calibri"/>
          <w:lang w:val="en-AU"/>
        </w:rPr>
        <w:t>right</w:t>
      </w:r>
      <w:r w:rsidR="002C15C3" w:rsidRPr="00D81648">
        <w:rPr>
          <w:rFonts w:eastAsia="Calibri"/>
          <w:lang w:val="en-AU"/>
        </w:rPr>
        <w:t xml:space="preserve"> </w:t>
      </w:r>
      <w:r w:rsidRPr="00D81648">
        <w:rPr>
          <w:rFonts w:eastAsia="Calibri"/>
          <w:lang w:val="en-AU"/>
        </w:rPr>
        <w:t>to</w:t>
      </w:r>
      <w:r w:rsidR="002C15C3" w:rsidRPr="00D81648">
        <w:rPr>
          <w:rFonts w:eastAsia="Calibri"/>
          <w:lang w:val="en-AU"/>
        </w:rPr>
        <w:t xml:space="preserve"> </w:t>
      </w:r>
      <w:r w:rsidRPr="00D81648">
        <w:rPr>
          <w:rFonts w:eastAsia="Calibri"/>
          <w:lang w:val="en-AU"/>
        </w:rPr>
        <w:t>terminate</w:t>
      </w:r>
      <w:r w:rsidR="002C15C3" w:rsidRPr="00D81648">
        <w:rPr>
          <w:rFonts w:eastAsia="Calibri"/>
          <w:lang w:val="en-AU"/>
        </w:rPr>
        <w:t xml:space="preserve"> </w:t>
      </w:r>
      <w:r w:rsidRPr="00D81648">
        <w:rPr>
          <w:rFonts w:eastAsia="Calibri"/>
          <w:lang w:val="en-AU"/>
        </w:rPr>
        <w:t>under</w:t>
      </w:r>
      <w:r w:rsidR="002C15C3" w:rsidRPr="00D81648">
        <w:rPr>
          <w:rFonts w:eastAsia="Calibri"/>
          <w:lang w:val="en-AU"/>
        </w:rPr>
        <w:t xml:space="preserve"> </w:t>
      </w:r>
      <w:r w:rsidRPr="00D81648">
        <w:rPr>
          <w:rFonts w:eastAsia="Calibri"/>
          <w:lang w:val="en-AU"/>
        </w:rPr>
        <w:t>an</w:t>
      </w:r>
      <w:r w:rsidR="002C15C3" w:rsidRPr="00D81648">
        <w:rPr>
          <w:rFonts w:eastAsia="Calibri"/>
          <w:lang w:val="en-AU"/>
        </w:rPr>
        <w:t xml:space="preserve"> </w:t>
      </w:r>
      <w:r w:rsidRPr="00D81648">
        <w:rPr>
          <w:rFonts w:eastAsia="Calibri"/>
          <w:lang w:val="en-AU"/>
        </w:rPr>
        <w:t>ipso</w:t>
      </w:r>
      <w:r w:rsidR="002C15C3" w:rsidRPr="00D81648">
        <w:rPr>
          <w:rFonts w:eastAsia="Calibri"/>
          <w:lang w:val="en-AU"/>
        </w:rPr>
        <w:t xml:space="preserve"> </w:t>
      </w:r>
      <w:r w:rsidRPr="00D81648">
        <w:rPr>
          <w:rFonts w:eastAsia="Calibri"/>
          <w:lang w:val="en-AU"/>
        </w:rPr>
        <w:t>facto</w:t>
      </w:r>
      <w:r w:rsidR="002C15C3" w:rsidRPr="00D81648">
        <w:rPr>
          <w:rFonts w:eastAsia="Calibri"/>
          <w:lang w:val="en-AU"/>
        </w:rPr>
        <w:t xml:space="preserve"> </w:t>
      </w:r>
      <w:r w:rsidRPr="00D81648">
        <w:rPr>
          <w:rFonts w:eastAsia="Calibri"/>
          <w:lang w:val="en-AU"/>
        </w:rPr>
        <w:t>clause</w:t>
      </w:r>
      <w:r w:rsidR="002C15C3" w:rsidRPr="00D81648">
        <w:rPr>
          <w:rFonts w:eastAsia="Calibri"/>
          <w:lang w:val="en-AU"/>
        </w:rPr>
        <w:t xml:space="preserve"> </w:t>
      </w:r>
      <w:r w:rsidRPr="00D81648">
        <w:rPr>
          <w:rFonts w:eastAsia="Calibri"/>
          <w:lang w:val="en-AU"/>
        </w:rPr>
        <w:t>and</w:t>
      </w:r>
      <w:r w:rsidR="002C15C3" w:rsidRPr="00D81648">
        <w:rPr>
          <w:rFonts w:eastAsia="Calibri"/>
          <w:lang w:val="en-AU"/>
        </w:rPr>
        <w:t xml:space="preserve"> </w:t>
      </w:r>
      <w:r w:rsidRPr="00D81648">
        <w:rPr>
          <w:rFonts w:eastAsia="Calibri"/>
          <w:lang w:val="en-AU"/>
        </w:rPr>
        <w:t>in</w:t>
      </w:r>
      <w:r w:rsidR="002C15C3" w:rsidRPr="00D81648">
        <w:rPr>
          <w:rFonts w:eastAsia="Calibri"/>
          <w:lang w:val="en-AU"/>
        </w:rPr>
        <w:t xml:space="preserve"> </w:t>
      </w:r>
      <w:r w:rsidRPr="00D81648">
        <w:rPr>
          <w:rFonts w:eastAsia="Calibri"/>
          <w:lang w:val="en-AU"/>
        </w:rPr>
        <w:t>effect</w:t>
      </w:r>
      <w:r w:rsidR="002C15C3" w:rsidRPr="00D81648">
        <w:rPr>
          <w:rFonts w:eastAsia="Calibri"/>
          <w:lang w:val="en-AU"/>
        </w:rPr>
        <w:t xml:space="preserve"> </w:t>
      </w:r>
      <w:r w:rsidRPr="00D81648">
        <w:rPr>
          <w:rFonts w:eastAsia="Calibri"/>
          <w:lang w:val="en-AU"/>
        </w:rPr>
        <w:t>terminat</w:t>
      </w:r>
      <w:r w:rsidR="00F81F9A" w:rsidRPr="00D81648">
        <w:rPr>
          <w:rFonts w:eastAsia="Calibri"/>
          <w:lang w:val="en-AU"/>
        </w:rPr>
        <w:t>e</w:t>
      </w:r>
      <w:r w:rsidR="002C15C3" w:rsidRPr="00D81648">
        <w:rPr>
          <w:rFonts w:eastAsia="Calibri"/>
          <w:lang w:val="en-AU"/>
        </w:rPr>
        <w:t xml:space="preserve"> </w:t>
      </w:r>
      <w:r w:rsidRPr="00D81648">
        <w:rPr>
          <w:rFonts w:eastAsia="Calibri"/>
          <w:lang w:val="en-AU"/>
        </w:rPr>
        <w:t>the</w:t>
      </w:r>
      <w:r w:rsidR="002C15C3" w:rsidRPr="00D81648">
        <w:rPr>
          <w:rFonts w:eastAsia="Calibri"/>
          <w:lang w:val="en-AU"/>
        </w:rPr>
        <w:t xml:space="preserve"> </w:t>
      </w:r>
      <w:r w:rsidRPr="00D81648">
        <w:rPr>
          <w:rFonts w:eastAsia="Calibri"/>
          <w:lang w:val="en-AU"/>
        </w:rPr>
        <w:t>company’s</w:t>
      </w:r>
      <w:r w:rsidR="002C15C3" w:rsidRPr="00D81648">
        <w:rPr>
          <w:rFonts w:eastAsia="Calibri"/>
          <w:lang w:val="en-AU"/>
        </w:rPr>
        <w:t xml:space="preserve"> </w:t>
      </w:r>
      <w:r w:rsidRPr="00D81648">
        <w:rPr>
          <w:rFonts w:eastAsia="Calibri"/>
          <w:lang w:val="en-AU"/>
        </w:rPr>
        <w:t>business.</w:t>
      </w:r>
      <w:r w:rsidR="002C15C3" w:rsidRPr="00D81648">
        <w:rPr>
          <w:rFonts w:eastAsia="Calibri"/>
          <w:lang w:val="en-AU"/>
        </w:rPr>
        <w:t xml:space="preserve"> </w:t>
      </w:r>
      <w:r w:rsidRPr="00D81648">
        <w:rPr>
          <w:rFonts w:eastAsia="Calibri"/>
          <w:lang w:val="en-AU"/>
        </w:rPr>
        <w:t>This</w:t>
      </w:r>
      <w:r w:rsidR="002C15C3" w:rsidRPr="00D81648">
        <w:rPr>
          <w:rFonts w:eastAsia="Calibri"/>
          <w:lang w:val="en-AU"/>
        </w:rPr>
        <w:t xml:space="preserve"> </w:t>
      </w:r>
      <w:r w:rsidRPr="00D81648">
        <w:rPr>
          <w:rFonts w:eastAsia="Calibri"/>
          <w:lang w:val="en-AU"/>
        </w:rPr>
        <w:t>delay</w:t>
      </w:r>
      <w:r w:rsidR="002C15C3" w:rsidRPr="00D81648">
        <w:rPr>
          <w:rFonts w:eastAsia="Calibri"/>
          <w:lang w:val="en-AU"/>
        </w:rPr>
        <w:t xml:space="preserve"> </w:t>
      </w:r>
      <w:r w:rsidRPr="00D81648">
        <w:rPr>
          <w:rFonts w:eastAsia="Calibri"/>
          <w:lang w:val="en-AU"/>
        </w:rPr>
        <w:t>may</w:t>
      </w:r>
      <w:r w:rsidR="002C15C3" w:rsidRPr="00D81648">
        <w:rPr>
          <w:rFonts w:eastAsia="Calibri"/>
          <w:lang w:val="en-AU"/>
        </w:rPr>
        <w:t xml:space="preserve"> </w:t>
      </w:r>
      <w:r w:rsidRPr="00D81648">
        <w:rPr>
          <w:rFonts w:eastAsia="Calibri"/>
          <w:lang w:val="en-AU"/>
        </w:rPr>
        <w:t>weaken</w:t>
      </w:r>
      <w:r w:rsidR="002C15C3" w:rsidRPr="00D81648">
        <w:rPr>
          <w:rFonts w:eastAsia="Calibri"/>
          <w:lang w:val="en-AU"/>
        </w:rPr>
        <w:t xml:space="preserve"> </w:t>
      </w:r>
      <w:r w:rsidRPr="00D81648">
        <w:rPr>
          <w:rFonts w:eastAsia="Calibri"/>
          <w:lang w:val="en-AU"/>
        </w:rPr>
        <w:t>the</w:t>
      </w:r>
      <w:r w:rsidR="002C15C3" w:rsidRPr="00D81648">
        <w:rPr>
          <w:rFonts w:eastAsia="Calibri"/>
          <w:lang w:val="en-AU"/>
        </w:rPr>
        <w:t xml:space="preserve"> </w:t>
      </w:r>
      <w:r w:rsidRPr="00D81648">
        <w:rPr>
          <w:rFonts w:eastAsia="Calibri"/>
          <w:lang w:val="en-AU"/>
        </w:rPr>
        <w:t>company’s</w:t>
      </w:r>
      <w:r w:rsidR="002C15C3" w:rsidRPr="00D81648">
        <w:rPr>
          <w:rFonts w:eastAsia="Calibri"/>
          <w:lang w:val="en-AU"/>
        </w:rPr>
        <w:t xml:space="preserve"> </w:t>
      </w:r>
      <w:r w:rsidRPr="00D81648">
        <w:rPr>
          <w:rFonts w:eastAsia="Calibri"/>
          <w:lang w:val="en-AU"/>
        </w:rPr>
        <w:t>chance</w:t>
      </w:r>
      <w:r w:rsidR="002C15C3" w:rsidRPr="00D81648">
        <w:rPr>
          <w:rFonts w:eastAsia="Calibri"/>
          <w:lang w:val="en-AU"/>
        </w:rPr>
        <w:t xml:space="preserve"> </w:t>
      </w:r>
      <w:r w:rsidRPr="00D81648">
        <w:rPr>
          <w:rFonts w:eastAsia="Calibri"/>
          <w:lang w:val="en-AU"/>
        </w:rPr>
        <w:t>of</w:t>
      </w:r>
      <w:r w:rsidR="002C15C3" w:rsidRPr="00D81648">
        <w:rPr>
          <w:rFonts w:eastAsia="Calibri"/>
          <w:lang w:val="en-AU"/>
        </w:rPr>
        <w:t xml:space="preserve"> </w:t>
      </w:r>
      <w:r w:rsidRPr="00D81648">
        <w:rPr>
          <w:rFonts w:eastAsia="Calibri"/>
          <w:lang w:val="en-AU"/>
        </w:rPr>
        <w:t>financial</w:t>
      </w:r>
      <w:r w:rsidR="002C15C3" w:rsidRPr="00D81648">
        <w:rPr>
          <w:rFonts w:eastAsia="Calibri"/>
          <w:lang w:val="en-AU"/>
        </w:rPr>
        <w:t xml:space="preserve"> </w:t>
      </w:r>
      <w:r w:rsidRPr="00D81648">
        <w:rPr>
          <w:rFonts w:eastAsia="Calibri"/>
          <w:lang w:val="en-AU"/>
        </w:rPr>
        <w:t>recovery.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843D6B" w:rsidRPr="00D81648" w14:paraId="7C2985CB" w14:textId="77777777" w:rsidTr="00D55F61">
        <w:trPr>
          <w:cantSplit/>
        </w:trPr>
        <w:tc>
          <w:tcPr>
            <w:tcW w:w="9026" w:type="dxa"/>
            <w:shd w:val="clear" w:color="auto" w:fill="EEECE8"/>
          </w:tcPr>
          <w:p w14:paraId="4A993577" w14:textId="77777777" w:rsidR="00843D6B" w:rsidRPr="00D81648" w:rsidRDefault="00843D6B" w:rsidP="00F753FC">
            <w:pPr>
              <w:pStyle w:val="ARITAReportHeading2"/>
              <w:numPr>
                <w:ilvl w:val="0"/>
                <w:numId w:val="0"/>
              </w:numPr>
              <w:spacing w:before="240" w:after="120"/>
              <w:rPr>
                <w:lang w:val="en-AU"/>
              </w:rPr>
            </w:pPr>
            <w:r w:rsidRPr="00D81648">
              <w:rPr>
                <w:lang w:val="en-AU"/>
              </w:rPr>
              <w:lastRenderedPageBreak/>
              <w:t xml:space="preserve">Policy 15-09: Streamlined </w:t>
            </w:r>
            <w:r w:rsidR="00961B44" w:rsidRPr="00D81648">
              <w:rPr>
                <w:lang w:val="en-AU"/>
              </w:rPr>
              <w:t>liquidation for micro companies</w:t>
            </w:r>
          </w:p>
          <w:p w14:paraId="72A4F430" w14:textId="77777777" w:rsidR="00843D6B" w:rsidRPr="00D81648" w:rsidRDefault="00843D6B" w:rsidP="000E6F75">
            <w:pPr>
              <w:spacing w:after="200"/>
              <w:rPr>
                <w:lang w:val="en-AU"/>
              </w:rPr>
            </w:pPr>
            <w:r w:rsidRPr="00D81648">
              <w:rPr>
                <w:lang w:val="en-AU"/>
              </w:rPr>
              <w:t xml:space="preserve">Given the </w:t>
            </w:r>
            <w:r w:rsidR="002260BD">
              <w:rPr>
                <w:lang w:val="en-AU"/>
              </w:rPr>
              <w:t xml:space="preserve">inherent </w:t>
            </w:r>
            <w:r w:rsidRPr="00D81648">
              <w:rPr>
                <w:lang w:val="en-AU"/>
              </w:rPr>
              <w:t>lack of funding available</w:t>
            </w:r>
            <w:r w:rsidR="002260BD">
              <w:rPr>
                <w:lang w:val="en-AU"/>
              </w:rPr>
              <w:t xml:space="preserve"> for a formal insolvency process in financially distressed SMEs</w:t>
            </w:r>
            <w:r w:rsidR="008138F8">
              <w:rPr>
                <w:lang w:val="en-AU"/>
              </w:rPr>
              <w:t xml:space="preserve">. </w:t>
            </w:r>
            <w:r w:rsidRPr="00D81648">
              <w:rPr>
                <w:lang w:val="en-AU"/>
              </w:rPr>
              <w:t xml:space="preserve"> ARITA believes that a reduced process liquidation option should be made available in certain circumstances for those companies at the small end of the SME spectrum</w:t>
            </w:r>
            <w:r w:rsidR="00037E33">
              <w:rPr>
                <w:lang w:val="en-AU"/>
              </w:rPr>
              <w:t>, “the “micro companies”.</w:t>
            </w:r>
          </w:p>
          <w:p w14:paraId="3D38CD19" w14:textId="77777777" w:rsidR="00843D6B" w:rsidRPr="00D81648" w:rsidRDefault="00843D6B" w:rsidP="000E6F75">
            <w:pPr>
              <w:spacing w:after="200"/>
              <w:rPr>
                <w:lang w:val="en-AU"/>
              </w:rPr>
            </w:pPr>
            <w:r w:rsidRPr="00D81648">
              <w:rPr>
                <w:lang w:val="en-AU"/>
              </w:rPr>
              <w:t>For companies where the micro criteria is not met</w:t>
            </w:r>
            <w:r w:rsidR="00961B44">
              <w:rPr>
                <w:lang w:val="en-AU"/>
              </w:rPr>
              <w:t>,</w:t>
            </w:r>
            <w:r w:rsidRPr="00D81648">
              <w:rPr>
                <w:lang w:val="en-AU"/>
              </w:rPr>
              <w:t xml:space="preserve"> or creditors elect for a creditors voluntary liquidation </w:t>
            </w:r>
            <w:r w:rsidR="00037E33">
              <w:rPr>
                <w:lang w:val="en-AU"/>
              </w:rPr>
              <w:t>in order to ensure investigation processes are undertaken</w:t>
            </w:r>
            <w:r w:rsidRPr="00D81648">
              <w:rPr>
                <w:lang w:val="en-AU"/>
              </w:rPr>
              <w:t>, ready access for practitioners to an enhanced Assetless Administration Fund-style arrangement</w:t>
            </w:r>
            <w:r w:rsidR="00037E33">
              <w:rPr>
                <w:lang w:val="en-AU"/>
              </w:rPr>
              <w:t xml:space="preserve"> is necessary</w:t>
            </w:r>
            <w:r w:rsidRPr="00D81648">
              <w:rPr>
                <w:lang w:val="en-AU"/>
              </w:rPr>
              <w:t>.</w:t>
            </w:r>
          </w:p>
          <w:p w14:paraId="47211511" w14:textId="77777777" w:rsidR="00C66DBB" w:rsidRPr="00D81648" w:rsidRDefault="00C66DBB" w:rsidP="00C66DBB">
            <w:pPr>
              <w:spacing w:after="200"/>
              <w:rPr>
                <w:lang w:val="en-AU"/>
              </w:rPr>
            </w:pPr>
            <w:r w:rsidRPr="00D81648">
              <w:rPr>
                <w:lang w:val="en-AU"/>
              </w:rPr>
              <w:t>The current requirements of Australia’s liquidation processes impose a number of statutory reporting and process obligations on liquidators, which have the effect of increasing the costs of the liquidation and reducing, or eliminating, the return to creditors</w:t>
            </w:r>
          </w:p>
          <w:p w14:paraId="5B3216F9" w14:textId="77777777" w:rsidR="00C66DBB" w:rsidRPr="00D81648" w:rsidRDefault="00C66DBB" w:rsidP="00C66DBB">
            <w:pPr>
              <w:spacing w:after="200"/>
              <w:rPr>
                <w:lang w:val="en-AU"/>
              </w:rPr>
            </w:pPr>
            <w:r w:rsidRPr="00D81648">
              <w:rPr>
                <w:lang w:val="en-AU"/>
              </w:rPr>
              <w:t>We propose that to maximise the return to creditors</w:t>
            </w:r>
            <w:r>
              <w:rPr>
                <w:lang w:val="en-AU"/>
              </w:rPr>
              <w:t>,</w:t>
            </w:r>
            <w:r w:rsidRPr="00D81648">
              <w:rPr>
                <w:lang w:val="en-AU"/>
              </w:rPr>
              <w:t xml:space="preserve"> where companies with minimal liabilities fail, and they meet the micro company criteria (i.e. liabilities to unrelated entities less than $250,000), </w:t>
            </w:r>
            <w:r>
              <w:rPr>
                <w:lang w:val="en-AU"/>
              </w:rPr>
              <w:t xml:space="preserve">a </w:t>
            </w:r>
            <w:r w:rsidRPr="00D81648">
              <w:rPr>
                <w:lang w:val="en-AU"/>
              </w:rPr>
              <w:t>new streamlined liquidation process automatically apply.</w:t>
            </w:r>
          </w:p>
          <w:p w14:paraId="2BA83A95" w14:textId="77777777" w:rsidR="00C66DBB" w:rsidRPr="00D81648" w:rsidRDefault="00C66DBB" w:rsidP="00C66DBB">
            <w:pPr>
              <w:spacing w:after="200"/>
              <w:rPr>
                <w:lang w:val="en-AU"/>
              </w:rPr>
            </w:pPr>
            <w:r w:rsidRPr="00D81648">
              <w:rPr>
                <w:lang w:val="en-AU"/>
              </w:rPr>
              <w:t>A new streamlined liquidation process would differ from the current liquidation requirement as follows:</w:t>
            </w:r>
          </w:p>
          <w:p w14:paraId="6FDC1DB9" w14:textId="77777777" w:rsidR="00C66DBB" w:rsidRPr="00D81648" w:rsidRDefault="00037E33" w:rsidP="00C66DBB">
            <w:pPr>
              <w:pStyle w:val="ListBullet"/>
              <w:spacing w:after="200"/>
              <w:contextualSpacing w:val="0"/>
              <w:rPr>
                <w:rFonts w:eastAsia="Calibri"/>
                <w:lang w:val="en-AU"/>
              </w:rPr>
            </w:pPr>
            <w:r>
              <w:rPr>
                <w:rFonts w:eastAsia="Calibri"/>
                <w:lang w:val="en-AU"/>
              </w:rPr>
              <w:t>no</w:t>
            </w:r>
            <w:r w:rsidR="00C66DBB" w:rsidRPr="00D81648">
              <w:rPr>
                <w:rFonts w:eastAsia="Calibri"/>
                <w:lang w:val="en-AU"/>
              </w:rPr>
              <w:t xml:space="preserve"> requirement to call meetings, report to creditors, undertake investigations into the company and officers’ conduct and complete statutory reporting (e.g. s 533 report)</w:t>
            </w:r>
          </w:p>
          <w:p w14:paraId="6A6D39DE" w14:textId="77777777" w:rsidR="00C66DBB" w:rsidRPr="00D81648" w:rsidRDefault="00C66DBB" w:rsidP="00C66DBB">
            <w:pPr>
              <w:pStyle w:val="ListBullet"/>
              <w:spacing w:after="200" w:line="240" w:lineRule="auto"/>
              <w:contextualSpacing w:val="0"/>
              <w:rPr>
                <w:rFonts w:eastAsia="Calibri"/>
                <w:lang w:val="en-AU"/>
              </w:rPr>
            </w:pPr>
            <w:r w:rsidRPr="00D81648">
              <w:rPr>
                <w:rFonts w:eastAsia="Calibri"/>
                <w:lang w:val="en-AU"/>
              </w:rPr>
              <w:t>expedited dividend process:</w:t>
            </w:r>
          </w:p>
          <w:p w14:paraId="7B51D6A2" w14:textId="77777777" w:rsidR="00C66DBB" w:rsidRPr="00D81648" w:rsidRDefault="00C66DBB" w:rsidP="00C66DBB">
            <w:pPr>
              <w:pStyle w:val="ListBullet2"/>
              <w:spacing w:after="200" w:line="240" w:lineRule="auto"/>
              <w:contextualSpacing w:val="0"/>
              <w:rPr>
                <w:rFonts w:eastAsia="Calibri"/>
                <w:lang w:val="en-AU"/>
              </w:rPr>
            </w:pPr>
            <w:r w:rsidRPr="00D81648">
              <w:rPr>
                <w:rFonts w:eastAsia="Calibri"/>
                <w:lang w:val="en-AU"/>
              </w:rPr>
              <w:t>streamlined proofs of debt dealing process for debts under $10,000</w:t>
            </w:r>
          </w:p>
          <w:p w14:paraId="0DA3EEA7" w14:textId="77777777" w:rsidR="00C66DBB" w:rsidRPr="00D81648" w:rsidRDefault="00C66DBB" w:rsidP="00C66DBB">
            <w:pPr>
              <w:pStyle w:val="ListBullet2"/>
              <w:spacing w:after="200" w:line="240" w:lineRule="auto"/>
              <w:contextualSpacing w:val="0"/>
              <w:rPr>
                <w:rFonts w:eastAsia="Calibri"/>
                <w:lang w:val="en-AU"/>
              </w:rPr>
            </w:pPr>
            <w:r w:rsidRPr="00D81648">
              <w:rPr>
                <w:rFonts w:eastAsia="Calibri"/>
                <w:lang w:val="en-AU"/>
              </w:rPr>
              <w:t>no tax clearance required from the Australian Taxation Office where the dividend is less than $25,000 (10% of maximum liability amount) or 10 cents in the dollar, and</w:t>
            </w:r>
          </w:p>
          <w:p w14:paraId="6507426D" w14:textId="77777777" w:rsidR="00C66DBB" w:rsidRPr="00D81648" w:rsidRDefault="00C66DBB" w:rsidP="00C66DBB">
            <w:pPr>
              <w:pStyle w:val="ListBullet2"/>
              <w:spacing w:after="200" w:line="240" w:lineRule="auto"/>
              <w:contextualSpacing w:val="0"/>
              <w:rPr>
                <w:rFonts w:eastAsia="Calibri"/>
                <w:lang w:val="en-AU"/>
              </w:rPr>
            </w:pPr>
            <w:r w:rsidRPr="00D81648">
              <w:rPr>
                <w:rFonts w:eastAsia="Calibri"/>
                <w:lang w:val="en-AU"/>
              </w:rPr>
              <w:t>streamlined advertising and notice requirements for dividends less than $25,000 (10% of maximum liability amount) or 10 cents in the dollar, and</w:t>
            </w:r>
          </w:p>
          <w:p w14:paraId="628C2D8E" w14:textId="77777777" w:rsidR="00C66DBB" w:rsidRPr="00D81648" w:rsidRDefault="00C66DBB" w:rsidP="00C66DBB">
            <w:pPr>
              <w:pStyle w:val="ListBullet"/>
              <w:spacing w:after="200"/>
              <w:contextualSpacing w:val="0"/>
              <w:rPr>
                <w:rFonts w:eastAsia="Calibri"/>
                <w:lang w:val="en-AU"/>
              </w:rPr>
            </w:pPr>
            <w:r w:rsidRPr="00D81648">
              <w:rPr>
                <w:rFonts w:eastAsia="Calibri"/>
                <w:lang w:val="en-AU"/>
              </w:rPr>
              <w:t>fixed fee set by government for this type of liquidation, no remuneration accounting or approval.</w:t>
            </w:r>
          </w:p>
          <w:p w14:paraId="36BC983F" w14:textId="77777777" w:rsidR="00C66DBB" w:rsidRPr="00C66DBB" w:rsidRDefault="00C66DBB" w:rsidP="00C66DBB">
            <w:pPr>
              <w:pStyle w:val="ListBullet"/>
              <w:numPr>
                <w:ilvl w:val="0"/>
                <w:numId w:val="0"/>
              </w:numPr>
              <w:ind w:left="567"/>
              <w:contextualSpacing w:val="0"/>
              <w:rPr>
                <w:lang w:val="en-AU"/>
              </w:rPr>
            </w:pPr>
          </w:p>
        </w:tc>
      </w:tr>
      <w:tr w:rsidR="00C66DBB" w:rsidRPr="00D81648" w14:paraId="4D98417E" w14:textId="77777777" w:rsidTr="00D55F61">
        <w:trPr>
          <w:cantSplit/>
        </w:trPr>
        <w:tc>
          <w:tcPr>
            <w:tcW w:w="9026" w:type="dxa"/>
            <w:shd w:val="clear" w:color="auto" w:fill="EEECE8"/>
          </w:tcPr>
          <w:p w14:paraId="5FFEC5F0" w14:textId="77777777" w:rsidR="00C66DBB" w:rsidRPr="00D81648" w:rsidRDefault="00C66DBB" w:rsidP="00C66DBB">
            <w:pPr>
              <w:pStyle w:val="ARITABodyText"/>
              <w:spacing w:after="200"/>
              <w:rPr>
                <w:rFonts w:eastAsia="Calibri"/>
                <w:lang w:val="en-AU"/>
              </w:rPr>
            </w:pPr>
            <w:r w:rsidRPr="00D81648">
              <w:rPr>
                <w:lang w:val="en-AU"/>
              </w:rPr>
              <w:lastRenderedPageBreak/>
              <w:t xml:space="preserve">In order to protect the rights of creditors and the integrity of the regime, the </w:t>
            </w:r>
            <w:r w:rsidRPr="00D81648">
              <w:rPr>
                <w:rFonts w:eastAsia="Calibri"/>
                <w:lang w:val="en-AU"/>
              </w:rPr>
              <w:t>streamlined liquidation process would incorporate provisions whereby:</w:t>
            </w:r>
          </w:p>
          <w:p w14:paraId="4BFC7881" w14:textId="77777777" w:rsidR="00C66DBB" w:rsidRPr="00D81648" w:rsidRDefault="00C66DBB" w:rsidP="00C66DBB">
            <w:pPr>
              <w:pStyle w:val="ListBullet"/>
              <w:spacing w:after="200"/>
              <w:contextualSpacing w:val="0"/>
              <w:rPr>
                <w:rFonts w:eastAsia="Calibri"/>
                <w:lang w:val="en-AU"/>
              </w:rPr>
            </w:pPr>
            <w:r w:rsidRPr="00D81648">
              <w:rPr>
                <w:rFonts w:eastAsia="Calibri"/>
                <w:lang w:val="en-AU"/>
              </w:rPr>
              <w:t>the liquidator would report to creditors on appointment and gives them the option of converting the streamlined liquidation into a full creditors’ voluntary liquidation (i.e. where normal investigating and reporting obligations apply and remuneration of liquidator is given priority in the normal way)</w:t>
            </w:r>
          </w:p>
          <w:p w14:paraId="2FA7D16B" w14:textId="77777777" w:rsidR="00C66DBB" w:rsidRPr="00D81648" w:rsidRDefault="00C66DBB" w:rsidP="00C66DBB">
            <w:pPr>
              <w:pStyle w:val="ListBullet"/>
              <w:spacing w:after="200"/>
              <w:contextualSpacing w:val="0"/>
              <w:rPr>
                <w:rFonts w:eastAsia="Calibri"/>
                <w:lang w:val="en-AU"/>
              </w:rPr>
            </w:pPr>
            <w:r w:rsidRPr="00D81648">
              <w:rPr>
                <w:rFonts w:eastAsia="Calibri"/>
                <w:lang w:val="en-AU"/>
              </w:rPr>
              <w:t>if a majority of creditors (excluding related party creditors) vote for this to occur then it converts and the liquidator does not have the power to convert to a full liquidation without this consent</w:t>
            </w:r>
          </w:p>
          <w:p w14:paraId="5419C691" w14:textId="77777777" w:rsidR="00C66DBB" w:rsidRPr="00D81648" w:rsidRDefault="00C66DBB" w:rsidP="00C66DBB">
            <w:pPr>
              <w:pStyle w:val="ListBullet"/>
              <w:spacing w:after="200"/>
              <w:contextualSpacing w:val="0"/>
              <w:rPr>
                <w:rFonts w:eastAsia="Calibri"/>
                <w:lang w:val="en-AU"/>
              </w:rPr>
            </w:pPr>
            <w:r w:rsidRPr="00D81648">
              <w:rPr>
                <w:rFonts w:eastAsia="Calibri"/>
                <w:lang w:val="en-AU"/>
              </w:rPr>
              <w:t>if the liquidator subsequently becomes aware of a matter which may warrant investigation, they can again seek creditor directions (including resolution by circulation, if appropriate) as to whether the liquidation should convert to a full liquidation, and</w:t>
            </w:r>
          </w:p>
          <w:p w14:paraId="7BE39A90" w14:textId="77777777" w:rsidR="00C66DBB" w:rsidRPr="00D81648" w:rsidRDefault="00C66DBB" w:rsidP="00C66DBB">
            <w:pPr>
              <w:pStyle w:val="ListBullet"/>
              <w:spacing w:after="200"/>
              <w:contextualSpacing w:val="0"/>
              <w:rPr>
                <w:lang w:val="en-AU" w:eastAsia="en-US"/>
              </w:rPr>
            </w:pPr>
            <w:r w:rsidRPr="00D81648">
              <w:rPr>
                <w:rFonts w:eastAsia="Calibri"/>
                <w:lang w:val="en-AU"/>
              </w:rPr>
              <w:t>if provable liabilities at any time in the process exceed $250,000 to unrelated entities the streamlined liquidation process would no longer be available and the existing creditors’ voluntary liquidation requirements would apply.</w:t>
            </w:r>
          </w:p>
          <w:p w14:paraId="65AD8A1C" w14:textId="77777777" w:rsidR="00C66DBB" w:rsidRPr="00D81648" w:rsidRDefault="00C66DBB" w:rsidP="00F753FC">
            <w:pPr>
              <w:pStyle w:val="ARITAReportHeading2"/>
              <w:numPr>
                <w:ilvl w:val="0"/>
                <w:numId w:val="0"/>
              </w:numPr>
              <w:spacing w:before="240" w:after="120"/>
              <w:rPr>
                <w:lang w:val="en-AU"/>
              </w:rPr>
            </w:pPr>
          </w:p>
        </w:tc>
      </w:tr>
    </w:tbl>
    <w:p w14:paraId="65155923" w14:textId="77777777" w:rsidR="00843D6B" w:rsidRPr="00D81648" w:rsidRDefault="00843D6B" w:rsidP="00843D6B">
      <w:pPr>
        <w:pStyle w:val="ARITABodyText"/>
        <w:rPr>
          <w:lang w:val="en-AU"/>
        </w:rPr>
      </w:pPr>
    </w:p>
    <w:p w14:paraId="7F096FCC" w14:textId="77777777" w:rsidR="00EF030F" w:rsidRPr="00D81648" w:rsidRDefault="00EF030F" w:rsidP="00DE5B2C">
      <w:pPr>
        <w:rPr>
          <w:lang w:val="en-AU"/>
        </w:rPr>
      </w:pPr>
      <w:bookmarkStart w:id="2" w:name="_Ref400597121"/>
      <w:r w:rsidRPr="00D81648">
        <w:rPr>
          <w:lang w:val="en-AU"/>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8"/>
        <w:tblLook w:val="04A0" w:firstRow="1" w:lastRow="0" w:firstColumn="1" w:lastColumn="0" w:noHBand="0" w:noVBand="1"/>
      </w:tblPr>
      <w:tblGrid>
        <w:gridCol w:w="9242"/>
      </w:tblGrid>
      <w:tr w:rsidR="00FB1692" w:rsidRPr="00D81648" w14:paraId="006C689A" w14:textId="77777777" w:rsidTr="00EF4C51">
        <w:tc>
          <w:tcPr>
            <w:tcW w:w="9242" w:type="dxa"/>
            <w:shd w:val="clear" w:color="auto" w:fill="EEECE8"/>
          </w:tcPr>
          <w:bookmarkEnd w:id="2"/>
          <w:p w14:paraId="2812EE61" w14:textId="77777777" w:rsidR="00FB1692" w:rsidRPr="00D81648" w:rsidRDefault="00FB1692" w:rsidP="00F753FC">
            <w:pPr>
              <w:pStyle w:val="ARITAReportHeading2"/>
              <w:numPr>
                <w:ilvl w:val="0"/>
                <w:numId w:val="0"/>
              </w:numPr>
              <w:spacing w:before="240" w:after="120"/>
              <w:rPr>
                <w:lang w:val="en-AU"/>
              </w:rPr>
            </w:pPr>
            <w:r w:rsidRPr="00D81648">
              <w:rPr>
                <w:lang w:val="en-AU"/>
              </w:rPr>
              <w:lastRenderedPageBreak/>
              <w:t>Policy 15-10: Micro Restructuring</w:t>
            </w:r>
          </w:p>
          <w:p w14:paraId="794FD015" w14:textId="77777777" w:rsidR="00FB1692" w:rsidRPr="00D81648" w:rsidRDefault="00FB1692" w:rsidP="00164507">
            <w:pPr>
              <w:pStyle w:val="ARITABodyText"/>
              <w:spacing w:after="200"/>
              <w:rPr>
                <w:lang w:val="en-AU"/>
              </w:rPr>
            </w:pPr>
            <w:r w:rsidRPr="00D81648">
              <w:rPr>
                <w:lang w:val="en-AU"/>
              </w:rPr>
              <w:t xml:space="preserve">Section 185C of the </w:t>
            </w:r>
            <w:r w:rsidRPr="00D81648">
              <w:rPr>
                <w:i/>
                <w:lang w:val="en-AU"/>
              </w:rPr>
              <w:t>Bankruptcy Act 1966</w:t>
            </w:r>
            <w:r w:rsidRPr="00D81648">
              <w:rPr>
                <w:lang w:val="en-AU"/>
              </w:rPr>
              <w:t xml:space="preserve"> provides a mechanism for individual debtors who meet specific eligibility criteria to enter a binding agreement with their creditors to accept a sum of money that the debtor can afford, more commonly referred to as a Part IX Debt Agreement.</w:t>
            </w:r>
          </w:p>
          <w:p w14:paraId="05EEB576" w14:textId="77777777" w:rsidR="00FB1692" w:rsidRPr="00D81648" w:rsidRDefault="00FB1692" w:rsidP="00164507">
            <w:pPr>
              <w:pStyle w:val="ARITABodyText"/>
              <w:spacing w:after="200"/>
              <w:rPr>
                <w:lang w:val="en-AU"/>
              </w:rPr>
            </w:pPr>
            <w:r w:rsidRPr="00D81648">
              <w:rPr>
                <w:lang w:val="en-AU"/>
              </w:rPr>
              <w:t xml:space="preserve">Maximising the </w:t>
            </w:r>
            <w:r w:rsidR="00037E33">
              <w:rPr>
                <w:lang w:val="en-AU"/>
              </w:rPr>
              <w:t>prospects</w:t>
            </w:r>
            <w:r w:rsidR="00037E33" w:rsidRPr="00D81648">
              <w:rPr>
                <w:lang w:val="en-AU"/>
              </w:rPr>
              <w:t xml:space="preserve"> </w:t>
            </w:r>
            <w:r w:rsidRPr="00D81648">
              <w:rPr>
                <w:lang w:val="en-AU"/>
              </w:rPr>
              <w:t xml:space="preserve">of continuing the operations of financially distressed but viable small companies, we propose that a similar mechanism be implemented to deal with micro companies. It is envisaged that this process would be more streamlined and cost effective </w:t>
            </w:r>
            <w:r w:rsidR="00037E33">
              <w:rPr>
                <w:lang w:val="en-AU"/>
              </w:rPr>
              <w:t xml:space="preserve">to implement </w:t>
            </w:r>
            <w:r w:rsidRPr="00D81648">
              <w:rPr>
                <w:lang w:val="en-AU"/>
              </w:rPr>
              <w:t xml:space="preserve">than the compromise alternatives that are available under the existing Voluntary Administration/Deed of Company Arrangement provisions of the </w:t>
            </w:r>
            <w:r w:rsidRPr="00D81648">
              <w:rPr>
                <w:i/>
                <w:lang w:val="en-AU"/>
              </w:rPr>
              <w:t>Corporations Act 2001</w:t>
            </w:r>
            <w:r w:rsidRPr="00D81648">
              <w:rPr>
                <w:lang w:val="en-AU"/>
              </w:rPr>
              <w:t>.</w:t>
            </w:r>
          </w:p>
          <w:p w14:paraId="31B41EB3" w14:textId="77777777" w:rsidR="00FB1692" w:rsidRPr="00D81648" w:rsidRDefault="00037E33" w:rsidP="00164507">
            <w:pPr>
              <w:pStyle w:val="ARITABodyText"/>
              <w:spacing w:after="200"/>
              <w:rPr>
                <w:lang w:val="en-AU"/>
              </w:rPr>
            </w:pPr>
            <w:r>
              <w:rPr>
                <w:lang w:val="en-AU"/>
              </w:rPr>
              <w:t xml:space="preserve">To be eligible </w:t>
            </w:r>
            <w:r w:rsidR="00FB1692" w:rsidRPr="00D81648">
              <w:rPr>
                <w:lang w:val="en-AU"/>
              </w:rPr>
              <w:t xml:space="preserve">to undertake a micro restructuring agreement </w:t>
            </w:r>
            <w:r>
              <w:rPr>
                <w:lang w:val="en-AU"/>
              </w:rPr>
              <w:t>the company must</w:t>
            </w:r>
            <w:r w:rsidR="00FB1692" w:rsidRPr="00D81648">
              <w:rPr>
                <w:lang w:val="en-AU"/>
              </w:rPr>
              <w:t>:</w:t>
            </w:r>
          </w:p>
          <w:p w14:paraId="660A80A8" w14:textId="77777777" w:rsidR="00FB1692" w:rsidRPr="00D81648" w:rsidRDefault="00FB1692" w:rsidP="005307C8">
            <w:pPr>
              <w:pStyle w:val="ListBullet"/>
              <w:spacing w:after="200"/>
              <w:contextualSpacing w:val="0"/>
              <w:rPr>
                <w:lang w:val="en-AU"/>
              </w:rPr>
            </w:pPr>
            <w:r w:rsidRPr="00D81648">
              <w:rPr>
                <w:lang w:val="en-AU"/>
              </w:rPr>
              <w:t xml:space="preserve">meet the definition requirements </w:t>
            </w:r>
            <w:r w:rsidR="002260BD">
              <w:rPr>
                <w:lang w:val="en-AU"/>
              </w:rPr>
              <w:t>of</w:t>
            </w:r>
            <w:r w:rsidR="002260BD" w:rsidRPr="00D81648">
              <w:rPr>
                <w:lang w:val="en-AU"/>
              </w:rPr>
              <w:t xml:space="preserve"> </w:t>
            </w:r>
            <w:r w:rsidRPr="00D81648">
              <w:rPr>
                <w:lang w:val="en-AU"/>
              </w:rPr>
              <w:t>a micro company</w:t>
            </w:r>
          </w:p>
          <w:p w14:paraId="3BF69FBF" w14:textId="77777777" w:rsidR="00FB1692" w:rsidRPr="00D81648" w:rsidRDefault="00FB1692" w:rsidP="005307C8">
            <w:pPr>
              <w:pStyle w:val="ListBullet"/>
              <w:spacing w:after="200"/>
              <w:contextualSpacing w:val="0"/>
              <w:rPr>
                <w:lang w:val="en-AU"/>
              </w:rPr>
            </w:pPr>
            <w:r w:rsidRPr="00D81648">
              <w:rPr>
                <w:lang w:val="en-AU"/>
              </w:rPr>
              <w:t>be insolvent, and</w:t>
            </w:r>
          </w:p>
          <w:p w14:paraId="7F5B3FBE" w14:textId="77777777" w:rsidR="00FB1692" w:rsidRPr="00D81648" w:rsidRDefault="00FB1692" w:rsidP="005307C8">
            <w:pPr>
              <w:pStyle w:val="ListBullet"/>
              <w:spacing w:after="200"/>
              <w:contextualSpacing w:val="0"/>
              <w:rPr>
                <w:lang w:val="en-AU"/>
              </w:rPr>
            </w:pPr>
            <w:r w:rsidRPr="00D81648">
              <w:rPr>
                <w:lang w:val="en-AU"/>
              </w:rPr>
              <w:t xml:space="preserve">not </w:t>
            </w:r>
            <w:r w:rsidR="00037E33">
              <w:rPr>
                <w:lang w:val="en-AU"/>
              </w:rPr>
              <w:t>have, or have</w:t>
            </w:r>
            <w:r w:rsidRPr="00D81648">
              <w:rPr>
                <w:lang w:val="en-AU"/>
              </w:rPr>
              <w:t xml:space="preserve"> directors</w:t>
            </w:r>
            <w:r w:rsidR="00037E33">
              <w:rPr>
                <w:lang w:val="en-AU"/>
              </w:rPr>
              <w:t xml:space="preserve"> who </w:t>
            </w:r>
            <w:r w:rsidR="00037E33" w:rsidRPr="00D81648">
              <w:rPr>
                <w:lang w:val="en-AU"/>
              </w:rPr>
              <w:t>have</w:t>
            </w:r>
            <w:r w:rsidRPr="00D81648">
              <w:rPr>
                <w:lang w:val="en-AU"/>
              </w:rPr>
              <w:t>, previously done a micro restructuring agreement. Such protection would be available under our restructuring moratorium proposals in Policy 15-04.</w:t>
            </w:r>
          </w:p>
          <w:p w14:paraId="6AA968A9" w14:textId="77777777" w:rsidR="00FB1692" w:rsidRPr="00D81648" w:rsidRDefault="00FB1692" w:rsidP="005307C8">
            <w:pPr>
              <w:spacing w:after="200"/>
              <w:rPr>
                <w:lang w:val="en-AU"/>
              </w:rPr>
            </w:pPr>
            <w:r w:rsidRPr="00D81648">
              <w:rPr>
                <w:lang w:val="en-AU"/>
              </w:rPr>
              <w:t>We would recommend that any micro restructuring mechanism would require:</w:t>
            </w:r>
          </w:p>
          <w:p w14:paraId="0021195A" w14:textId="77777777" w:rsidR="00FB1692" w:rsidRPr="00D81648" w:rsidRDefault="00FB1692" w:rsidP="005307C8">
            <w:pPr>
              <w:pStyle w:val="ListBullet"/>
              <w:spacing w:after="200"/>
              <w:contextualSpacing w:val="0"/>
              <w:rPr>
                <w:lang w:val="en-AU"/>
              </w:rPr>
            </w:pPr>
            <w:r w:rsidRPr="00D81648">
              <w:rPr>
                <w:lang w:val="en-AU"/>
              </w:rPr>
              <w:t>The company to prepare a Report as to Affairs (RATA) to be provided with the proposal.</w:t>
            </w:r>
          </w:p>
          <w:p w14:paraId="10D65223" w14:textId="77777777" w:rsidR="00FB1692" w:rsidRPr="00D81648" w:rsidRDefault="00FB1692" w:rsidP="005307C8">
            <w:pPr>
              <w:pStyle w:val="ListBullet"/>
              <w:spacing w:after="200"/>
              <w:contextualSpacing w:val="0"/>
              <w:rPr>
                <w:lang w:val="en-AU"/>
              </w:rPr>
            </w:pPr>
            <w:r w:rsidRPr="00D81648">
              <w:rPr>
                <w:lang w:val="en-AU"/>
              </w:rPr>
              <w:t>A Registered Liquidator to oversee the development and implementation of the proposal, possibly referred to as a Restructuring Monitor:</w:t>
            </w:r>
          </w:p>
          <w:p w14:paraId="0919C44A" w14:textId="77777777" w:rsidR="00FB1692" w:rsidRPr="00D81648" w:rsidRDefault="00FB1692" w:rsidP="005307C8">
            <w:pPr>
              <w:pStyle w:val="ListBullet2"/>
              <w:spacing w:after="200"/>
              <w:contextualSpacing w:val="0"/>
              <w:rPr>
                <w:rFonts w:eastAsia="Calibri"/>
                <w:lang w:val="en-AU"/>
              </w:rPr>
            </w:pPr>
            <w:r w:rsidRPr="00D81648">
              <w:rPr>
                <w:rFonts w:eastAsia="Calibri"/>
                <w:lang w:val="en-AU"/>
              </w:rPr>
              <w:t>who examines and approves the proposal</w:t>
            </w:r>
          </w:p>
          <w:p w14:paraId="3C8BF5E0" w14:textId="77777777" w:rsidR="00FB1692" w:rsidRPr="00D81648" w:rsidRDefault="00FB1692" w:rsidP="005307C8">
            <w:pPr>
              <w:pStyle w:val="ListBullet2"/>
              <w:spacing w:after="200"/>
              <w:contextualSpacing w:val="0"/>
              <w:rPr>
                <w:rFonts w:eastAsia="Calibri"/>
                <w:lang w:val="en-AU"/>
              </w:rPr>
            </w:pPr>
            <w:r w:rsidRPr="00D81648">
              <w:rPr>
                <w:rFonts w:eastAsia="Calibri"/>
                <w:lang w:val="en-AU"/>
              </w:rPr>
              <w:t>issues the proposal to creditors, and</w:t>
            </w:r>
          </w:p>
          <w:p w14:paraId="606457BD" w14:textId="77777777" w:rsidR="00FB1692" w:rsidRPr="00D81648" w:rsidRDefault="00FB1692" w:rsidP="005307C8">
            <w:pPr>
              <w:pStyle w:val="ListBullet2"/>
              <w:spacing w:after="200"/>
              <w:contextualSpacing w:val="0"/>
              <w:rPr>
                <w:rFonts w:eastAsia="Calibri"/>
                <w:lang w:val="en-AU"/>
              </w:rPr>
            </w:pPr>
            <w:r w:rsidRPr="00D81648">
              <w:rPr>
                <w:rFonts w:eastAsia="Calibri"/>
                <w:lang w:val="en-AU"/>
              </w:rPr>
              <w:t>may set fixed or other fee basis for creditor consideration and approval at same time as proposal.</w:t>
            </w:r>
          </w:p>
          <w:p w14:paraId="0486D703" w14:textId="77777777" w:rsidR="00FB1692" w:rsidRPr="00D81648" w:rsidRDefault="00FB1692" w:rsidP="005307C8">
            <w:pPr>
              <w:pStyle w:val="ListBullet"/>
              <w:spacing w:after="200"/>
              <w:contextualSpacing w:val="0"/>
              <w:rPr>
                <w:rFonts w:eastAsia="Calibri"/>
                <w:lang w:val="en-AU"/>
              </w:rPr>
            </w:pPr>
            <w:r w:rsidRPr="00D81648">
              <w:rPr>
                <w:rFonts w:eastAsia="Calibri"/>
                <w:lang w:val="en-AU"/>
              </w:rPr>
              <w:t>Creditors vote to accept or to put the company into liquidation:</w:t>
            </w:r>
          </w:p>
          <w:p w14:paraId="43F35067" w14:textId="77777777" w:rsidR="00FB1692" w:rsidRPr="00D81648" w:rsidRDefault="00FB1692" w:rsidP="005307C8">
            <w:pPr>
              <w:pStyle w:val="ListBullet2"/>
              <w:spacing w:after="200"/>
              <w:contextualSpacing w:val="0"/>
              <w:rPr>
                <w:rFonts w:eastAsia="Calibri"/>
                <w:lang w:val="en-AU"/>
              </w:rPr>
            </w:pPr>
            <w:r w:rsidRPr="00D81648">
              <w:rPr>
                <w:rFonts w:eastAsia="Calibri"/>
                <w:lang w:val="en-AU"/>
              </w:rPr>
              <w:t>no need for physical meeting, with the resolution able to be considered by circulation</w:t>
            </w:r>
          </w:p>
          <w:p w14:paraId="68604FBD" w14:textId="77777777" w:rsidR="00FB1692" w:rsidRPr="00D81648" w:rsidRDefault="00FB1692" w:rsidP="005307C8">
            <w:pPr>
              <w:pStyle w:val="ListBullet2"/>
              <w:spacing w:after="200"/>
              <w:contextualSpacing w:val="0"/>
              <w:rPr>
                <w:rFonts w:eastAsia="Calibri"/>
                <w:lang w:val="en-AU"/>
              </w:rPr>
            </w:pPr>
            <w:r w:rsidRPr="00D81648">
              <w:rPr>
                <w:rFonts w:eastAsia="Calibri"/>
                <w:lang w:val="en-AU"/>
              </w:rPr>
              <w:t>if creditors vote for liquidation then the company proceeds to liquidation immediately</w:t>
            </w:r>
          </w:p>
          <w:p w14:paraId="51DFFB12" w14:textId="77777777" w:rsidR="00FB1692" w:rsidRPr="00D81648" w:rsidRDefault="00FB1692" w:rsidP="005307C8">
            <w:pPr>
              <w:pStyle w:val="ListBullet2"/>
              <w:spacing w:after="200"/>
              <w:contextualSpacing w:val="0"/>
              <w:rPr>
                <w:rFonts w:eastAsia="Calibri"/>
                <w:lang w:val="en-AU"/>
              </w:rPr>
            </w:pPr>
            <w:r w:rsidRPr="00D81648">
              <w:rPr>
                <w:rFonts w:eastAsia="Calibri"/>
                <w:lang w:val="en-AU"/>
              </w:rPr>
              <w:t>related parties cannot vote, and</w:t>
            </w:r>
          </w:p>
          <w:p w14:paraId="18AFD395" w14:textId="77777777" w:rsidR="00FB1692" w:rsidRPr="00D81648" w:rsidRDefault="00FB1692" w:rsidP="005307C8">
            <w:pPr>
              <w:pStyle w:val="ListBullet2"/>
              <w:spacing w:after="200"/>
              <w:contextualSpacing w:val="0"/>
              <w:rPr>
                <w:rFonts w:eastAsia="Calibri"/>
                <w:lang w:val="en-AU"/>
              </w:rPr>
            </w:pPr>
            <w:r w:rsidRPr="00D81648">
              <w:rPr>
                <w:rFonts w:eastAsia="Calibri"/>
                <w:lang w:val="en-AU"/>
              </w:rPr>
              <w:t xml:space="preserve">if debt is purchased then purchaser only entitled to vote for amount for </w:t>
            </w:r>
            <w:r w:rsidRPr="00D81648">
              <w:rPr>
                <w:rFonts w:eastAsia="Calibri"/>
                <w:lang w:val="en-AU"/>
              </w:rPr>
              <w:lastRenderedPageBreak/>
              <w:t>which debt purchased.</w:t>
            </w:r>
          </w:p>
          <w:p w14:paraId="2C54C024" w14:textId="77777777" w:rsidR="00FB1692" w:rsidRPr="00D81648" w:rsidRDefault="00FB1692" w:rsidP="005307C8">
            <w:pPr>
              <w:pStyle w:val="ListBullet"/>
              <w:spacing w:after="200"/>
              <w:contextualSpacing w:val="0"/>
              <w:rPr>
                <w:rFonts w:eastAsia="Calibri"/>
                <w:lang w:val="en-AU"/>
              </w:rPr>
            </w:pPr>
            <w:r w:rsidRPr="00D81648">
              <w:rPr>
                <w:rFonts w:eastAsia="Calibri"/>
                <w:lang w:val="en-AU"/>
              </w:rPr>
              <w:t>An accepted proposal would be put into effect by the Liquidator/Restructuring Monitor and would be subject to the following provisions:</w:t>
            </w:r>
          </w:p>
          <w:p w14:paraId="4A5BE3B8" w14:textId="77777777" w:rsidR="00FB1692" w:rsidRPr="00D81648" w:rsidRDefault="00FB1692" w:rsidP="005307C8">
            <w:pPr>
              <w:pStyle w:val="ListBullet2"/>
              <w:spacing w:after="200"/>
              <w:contextualSpacing w:val="0"/>
              <w:rPr>
                <w:rFonts w:eastAsia="Calibri"/>
                <w:lang w:val="en-AU"/>
              </w:rPr>
            </w:pPr>
            <w:r w:rsidRPr="00D81648">
              <w:rPr>
                <w:rFonts w:eastAsia="Calibri"/>
                <w:lang w:val="en-AU"/>
              </w:rPr>
              <w:t>no requirement to call or hold further meetings</w:t>
            </w:r>
          </w:p>
          <w:p w14:paraId="423BDDFD" w14:textId="77777777" w:rsidR="00FB1692" w:rsidRPr="00D81648" w:rsidRDefault="00FB1692" w:rsidP="005307C8">
            <w:pPr>
              <w:pStyle w:val="ListBullet2"/>
              <w:spacing w:after="200"/>
              <w:contextualSpacing w:val="0"/>
              <w:rPr>
                <w:rFonts w:eastAsia="Calibri"/>
                <w:lang w:val="en-AU"/>
              </w:rPr>
            </w:pPr>
            <w:r w:rsidRPr="00D81648">
              <w:rPr>
                <w:rFonts w:eastAsia="Calibri"/>
                <w:lang w:val="en-AU"/>
              </w:rPr>
              <w:t>if provable debts to unrelated entities exceed $250,000 then appointment would automatically convert to a Voluntary Administration with full investigation and reporting requirements (if directors wish to continue to put a Deed of Company Arrangement proposal to creditors), or creditors voluntary liquidation (if there is no Deed of Company Arrangement proposal)</w:t>
            </w:r>
          </w:p>
          <w:p w14:paraId="0DC00C14" w14:textId="77777777" w:rsidR="00FB1692" w:rsidRPr="00D81648" w:rsidRDefault="00FB1692" w:rsidP="005307C8">
            <w:pPr>
              <w:pStyle w:val="ListBullet2"/>
              <w:spacing w:after="200"/>
              <w:contextualSpacing w:val="0"/>
              <w:rPr>
                <w:rFonts w:eastAsia="Calibri"/>
                <w:lang w:val="en-AU"/>
              </w:rPr>
            </w:pPr>
            <w:r w:rsidRPr="00D81648">
              <w:rPr>
                <w:rFonts w:eastAsia="Calibri"/>
                <w:lang w:val="en-AU"/>
              </w:rPr>
              <w:t>streamlined proofs of debt process for debts under $10,000</w:t>
            </w:r>
          </w:p>
          <w:p w14:paraId="1B9C1497" w14:textId="77777777" w:rsidR="00FB1692" w:rsidRPr="00D81648" w:rsidRDefault="00FB1692" w:rsidP="005307C8">
            <w:pPr>
              <w:pStyle w:val="ListBullet2"/>
              <w:spacing w:after="200"/>
              <w:contextualSpacing w:val="0"/>
              <w:rPr>
                <w:rFonts w:eastAsia="Calibri"/>
                <w:lang w:val="en-AU"/>
              </w:rPr>
            </w:pPr>
            <w:r w:rsidRPr="00D81648">
              <w:rPr>
                <w:rFonts w:eastAsia="Calibri"/>
                <w:lang w:val="en-AU"/>
              </w:rPr>
              <w:t>no tax clearance from Australian Taxation Office required where dividend is less than $25,000 (10% of maximum liability amount) or 10 cents in the dollar, and</w:t>
            </w:r>
          </w:p>
          <w:p w14:paraId="4DCE969B" w14:textId="77777777" w:rsidR="00FB1692" w:rsidRPr="00D81648" w:rsidRDefault="00FB1692" w:rsidP="005307C8">
            <w:pPr>
              <w:pStyle w:val="ListBullet2"/>
              <w:spacing w:after="200"/>
              <w:contextualSpacing w:val="0"/>
              <w:rPr>
                <w:rFonts w:eastAsia="Calibri"/>
                <w:lang w:val="en-AU"/>
              </w:rPr>
            </w:pPr>
            <w:r w:rsidRPr="00D81648">
              <w:rPr>
                <w:rFonts w:eastAsia="Calibri"/>
                <w:lang w:val="en-AU"/>
              </w:rPr>
              <w:t xml:space="preserve">a default longer than </w:t>
            </w:r>
            <w:r w:rsidR="00961B44">
              <w:rPr>
                <w:rFonts w:eastAsia="Calibri"/>
                <w:lang w:val="en-AU"/>
              </w:rPr>
              <w:t>six</w:t>
            </w:r>
            <w:r w:rsidR="00961B44" w:rsidRPr="00D81648">
              <w:rPr>
                <w:rFonts w:eastAsia="Calibri"/>
                <w:lang w:val="en-AU"/>
              </w:rPr>
              <w:t xml:space="preserve"> </w:t>
            </w:r>
            <w:r w:rsidRPr="00D81648">
              <w:rPr>
                <w:rFonts w:eastAsia="Calibri"/>
                <w:lang w:val="en-AU"/>
              </w:rPr>
              <w:t>months automatically results in the company being placed into liquidation.</w:t>
            </w:r>
          </w:p>
          <w:p w14:paraId="0974A987" w14:textId="77777777" w:rsidR="00FB1692" w:rsidRPr="00D81648" w:rsidRDefault="00FB1692" w:rsidP="00FB1692">
            <w:pPr>
              <w:pStyle w:val="ListBullet"/>
              <w:rPr>
                <w:rFonts w:asciiTheme="minorHAnsi" w:hAnsiTheme="minorHAnsi"/>
                <w:szCs w:val="22"/>
                <w:lang w:val="en-AU"/>
              </w:rPr>
            </w:pPr>
            <w:r w:rsidRPr="00D81648">
              <w:rPr>
                <w:lang w:val="en-AU"/>
              </w:rPr>
              <w:t>Creditors may apply set aside the proposal if there is a lack of full disclosure in the proposal or injustice provisions, similar to the current requirements in a Part IX Debt Agreement.</w:t>
            </w:r>
          </w:p>
          <w:p w14:paraId="5B986520" w14:textId="77777777" w:rsidR="00FB1692" w:rsidRPr="00D81648" w:rsidRDefault="00FB1692" w:rsidP="00FB1692">
            <w:pPr>
              <w:pStyle w:val="ARITABodyText"/>
              <w:rPr>
                <w:lang w:val="en-AU"/>
              </w:rPr>
            </w:pPr>
          </w:p>
        </w:tc>
      </w:tr>
    </w:tbl>
    <w:p w14:paraId="59F5859B" w14:textId="77777777" w:rsidR="00FB1692" w:rsidRPr="00D81648" w:rsidRDefault="00FB1692" w:rsidP="00FB1692">
      <w:pPr>
        <w:pStyle w:val="ARITABodyText"/>
        <w:rPr>
          <w:lang w:val="en-AU"/>
        </w:rPr>
      </w:pPr>
    </w:p>
    <w:p w14:paraId="3B1364DA" w14:textId="77777777" w:rsidR="008170F6" w:rsidRPr="00D81648" w:rsidRDefault="008170F6" w:rsidP="00DE5B2C">
      <w:pPr>
        <w:rPr>
          <w:lang w:val="en-AU"/>
        </w:rPr>
      </w:pPr>
    </w:p>
    <w:p w14:paraId="7210C075" w14:textId="77777777" w:rsidR="00C47CB2" w:rsidRPr="00D81648" w:rsidRDefault="00C47CB2" w:rsidP="00EF4C51">
      <w:pPr>
        <w:pStyle w:val="ARITABodyText"/>
        <w:rPr>
          <w:rStyle w:val="ARITAReportHeading2Char"/>
          <w:color w:val="auto"/>
          <w:sz w:val="22"/>
          <w:lang w:val="en-AU"/>
        </w:rPr>
      </w:pPr>
      <w:r w:rsidRPr="00D81648">
        <w:rPr>
          <w:rStyle w:val="ARITAReportHeading2Char"/>
          <w:color w:val="auto"/>
          <w:sz w:val="22"/>
          <w:lang w:val="en-AU"/>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8"/>
        <w:tblLook w:val="04A0" w:firstRow="1" w:lastRow="0" w:firstColumn="1" w:lastColumn="0" w:noHBand="0" w:noVBand="1"/>
      </w:tblPr>
      <w:tblGrid>
        <w:gridCol w:w="9242"/>
      </w:tblGrid>
      <w:tr w:rsidR="00FB1692" w:rsidRPr="00D81648" w14:paraId="361DD084" w14:textId="77777777" w:rsidTr="007617AB">
        <w:tc>
          <w:tcPr>
            <w:tcW w:w="9242" w:type="dxa"/>
            <w:shd w:val="clear" w:color="auto" w:fill="EEECE8"/>
          </w:tcPr>
          <w:p w14:paraId="07B42A5D" w14:textId="77777777" w:rsidR="00FB1692" w:rsidRPr="00D81648" w:rsidRDefault="00FB1692" w:rsidP="00F753FC">
            <w:pPr>
              <w:pStyle w:val="ARITAReportHeading2"/>
              <w:numPr>
                <w:ilvl w:val="0"/>
                <w:numId w:val="0"/>
              </w:numPr>
              <w:spacing w:before="240" w:after="120"/>
              <w:rPr>
                <w:lang w:val="en-AU"/>
              </w:rPr>
            </w:pPr>
            <w:r w:rsidRPr="00D81648">
              <w:rPr>
                <w:lang w:val="en-AU"/>
              </w:rPr>
              <w:lastRenderedPageBreak/>
              <w:t>Policy 15-1</w:t>
            </w:r>
            <w:r w:rsidR="00C66DBB">
              <w:rPr>
                <w:lang w:val="en-AU"/>
              </w:rPr>
              <w:t>1</w:t>
            </w:r>
            <w:r w:rsidRPr="00D81648">
              <w:rPr>
                <w:lang w:val="en-AU"/>
              </w:rPr>
              <w:t>: Pre-positioned sales</w:t>
            </w:r>
          </w:p>
          <w:p w14:paraId="25C9EDCE" w14:textId="77777777" w:rsidR="00FB1692" w:rsidRPr="00D81648" w:rsidRDefault="00FB1692" w:rsidP="00164507">
            <w:pPr>
              <w:spacing w:after="200"/>
              <w:rPr>
                <w:lang w:val="en-AU"/>
              </w:rPr>
            </w:pPr>
            <w:r w:rsidRPr="00D81648">
              <w:rPr>
                <w:lang w:val="en-AU"/>
              </w:rPr>
              <w:t>ARITA supports a</w:t>
            </w:r>
            <w:r w:rsidR="00C61C45">
              <w:rPr>
                <w:lang w:val="en-AU"/>
              </w:rPr>
              <w:t xml:space="preserve"> </w:t>
            </w:r>
            <w:r w:rsidR="00C05BC8">
              <w:rPr>
                <w:lang w:val="en-AU"/>
              </w:rPr>
              <w:t>“</w:t>
            </w:r>
            <w:r w:rsidRPr="00D81648">
              <w:rPr>
                <w:lang w:val="en-AU"/>
              </w:rPr>
              <w:t>pre-positioning</w:t>
            </w:r>
            <w:r w:rsidR="00CA66FE">
              <w:rPr>
                <w:lang w:val="en-AU"/>
              </w:rPr>
              <w:t>”</w:t>
            </w:r>
            <w:r w:rsidR="00C61C45">
              <w:rPr>
                <w:lang w:val="en-AU"/>
              </w:rPr>
              <w:t xml:space="preserve"> </w:t>
            </w:r>
            <w:r w:rsidRPr="00D81648">
              <w:rPr>
                <w:lang w:val="en-AU"/>
              </w:rPr>
              <w:t>arrangement in situations of corporate financial distress</w:t>
            </w:r>
            <w:r w:rsidR="00961B44">
              <w:rPr>
                <w:lang w:val="en-AU"/>
              </w:rPr>
              <w:t>,</w:t>
            </w:r>
            <w:r w:rsidRPr="00D81648">
              <w:rPr>
                <w:lang w:val="en-AU"/>
              </w:rPr>
              <w:t xml:space="preserve"> to enabl</w:t>
            </w:r>
            <w:r w:rsidR="00961B44">
              <w:rPr>
                <w:lang w:val="en-AU"/>
              </w:rPr>
              <w:t>e</w:t>
            </w:r>
            <w:r w:rsidRPr="00D81648">
              <w:rPr>
                <w:lang w:val="en-AU"/>
              </w:rPr>
              <w:t xml:space="preserve"> viable businesses to continue and maximise return for creditors via a sale of business negotiated prior to an insolvency appointment.</w:t>
            </w:r>
          </w:p>
          <w:p w14:paraId="4EB4BE45" w14:textId="77777777" w:rsidR="00FB1692" w:rsidRPr="00D81648" w:rsidRDefault="00FB1692" w:rsidP="00164507">
            <w:pPr>
              <w:spacing w:after="200"/>
              <w:rPr>
                <w:lang w:val="en-AU"/>
              </w:rPr>
            </w:pPr>
            <w:r w:rsidRPr="00D81648">
              <w:rPr>
                <w:lang w:val="en-AU"/>
              </w:rPr>
              <w:t>Pre-positioning is work done prior to a statutory insolvency appointment</w:t>
            </w:r>
            <w:r w:rsidR="00961B44">
              <w:rPr>
                <w:lang w:val="en-AU"/>
              </w:rPr>
              <w:t>.</w:t>
            </w:r>
            <w:r w:rsidRPr="00D81648">
              <w:rPr>
                <w:lang w:val="en-AU"/>
              </w:rPr>
              <w:t xml:space="preserve"> </w:t>
            </w:r>
            <w:r w:rsidR="00961B44" w:rsidRPr="00D81648">
              <w:rPr>
                <w:lang w:val="en-AU"/>
              </w:rPr>
              <w:t xml:space="preserve">Directors </w:t>
            </w:r>
            <w:r w:rsidRPr="00D81648">
              <w:rPr>
                <w:lang w:val="en-AU"/>
              </w:rPr>
              <w:t>tak</w:t>
            </w:r>
            <w:r w:rsidR="00961B44">
              <w:rPr>
                <w:lang w:val="en-AU"/>
              </w:rPr>
              <w:t>e</w:t>
            </w:r>
            <w:r w:rsidRPr="00D81648">
              <w:rPr>
                <w:lang w:val="en-AU"/>
              </w:rPr>
              <w:t xml:space="preserve"> advantage of the proposed restructuring moratorium protections, subject to meeting the criteria for eligibility, to undertake an orderly wind down of the company’s operations – that is a well-managed process where assets may be realised for market value in a non-distressed sale – prior to making a formal insolvency appointment. Directors may obtain the assistance of advisors, including insolvency practitioners, during this process.</w:t>
            </w:r>
          </w:p>
          <w:p w14:paraId="06F42D05" w14:textId="77777777" w:rsidR="00FB1692" w:rsidRPr="00D81648" w:rsidRDefault="00FB1692" w:rsidP="00164507">
            <w:pPr>
              <w:spacing w:after="200"/>
              <w:rPr>
                <w:lang w:val="en-AU"/>
              </w:rPr>
            </w:pPr>
            <w:r w:rsidRPr="00D81648">
              <w:rPr>
                <w:lang w:val="en-AU"/>
              </w:rPr>
              <w:t>ARITA’s proposed pre-positioning framework would require that:</w:t>
            </w:r>
          </w:p>
          <w:p w14:paraId="606FC506" w14:textId="77777777" w:rsidR="00FB1692" w:rsidRPr="00D81648" w:rsidRDefault="00FB1692" w:rsidP="00E86BF8">
            <w:pPr>
              <w:pStyle w:val="ListBullet"/>
              <w:spacing w:after="200"/>
              <w:contextualSpacing w:val="0"/>
              <w:rPr>
                <w:lang w:val="en-AU"/>
              </w:rPr>
            </w:pPr>
            <w:r w:rsidRPr="00D81648">
              <w:rPr>
                <w:lang w:val="en-AU"/>
              </w:rPr>
              <w:t>Any advisor retained by the directors in the pre-positioning phase could not subsequently be appointed in any formal insolvency administration. This is consistent with the current and appropriate independence requirements for insolvency practitioners in Australia.</w:t>
            </w:r>
          </w:p>
          <w:p w14:paraId="3AE65777" w14:textId="77777777" w:rsidR="00E86BF8" w:rsidRPr="00D81648" w:rsidRDefault="00FB1692" w:rsidP="00E86BF8">
            <w:pPr>
              <w:pStyle w:val="ListBullet"/>
              <w:spacing w:after="200"/>
              <w:contextualSpacing w:val="0"/>
              <w:rPr>
                <w:lang w:val="en-AU"/>
              </w:rPr>
            </w:pPr>
            <w:r w:rsidRPr="00D81648">
              <w:rPr>
                <w:lang w:val="en-AU"/>
              </w:rPr>
              <w:t>Any sales that occur in the pre-positioning phase must be for value and would be subject to review in any subsequent statutory insolvency administration.</w:t>
            </w:r>
          </w:p>
          <w:p w14:paraId="31B6335E" w14:textId="77777777" w:rsidR="0098293E" w:rsidRPr="00D81648" w:rsidRDefault="00FB1692" w:rsidP="00E86BF8">
            <w:pPr>
              <w:pStyle w:val="ListBullet"/>
              <w:spacing w:after="200"/>
              <w:contextualSpacing w:val="0"/>
              <w:rPr>
                <w:lang w:val="en-AU"/>
              </w:rPr>
            </w:pPr>
            <w:r w:rsidRPr="00D81648">
              <w:rPr>
                <w:lang w:val="en-AU"/>
              </w:rPr>
              <w:t>Any sale of assets undertaken during the statutory insolvency administration, where the terms of sale were negotiated in the pre-positioning phase, would be subject to review by the external administrator prior to being effectuated and the external administrator would be subject to the currently existing statutory and professional requirements regarding the sale of assets.</w:t>
            </w:r>
          </w:p>
          <w:p w14:paraId="35DD6D66" w14:textId="77777777" w:rsidR="00FB1692" w:rsidRDefault="00FB1692" w:rsidP="00164507">
            <w:pPr>
              <w:spacing w:after="200"/>
              <w:rPr>
                <w:lang w:val="en-AU"/>
              </w:rPr>
            </w:pPr>
            <w:r w:rsidRPr="00D81648">
              <w:rPr>
                <w:lang w:val="en-AU"/>
              </w:rPr>
              <w:t>It is ARITA’s view that consideration should be given to restricting the sale of company assets/business to related entities during this pre-positioning phase. Rather</w:t>
            </w:r>
            <w:r w:rsidR="00961B44">
              <w:rPr>
                <w:lang w:val="en-AU"/>
              </w:rPr>
              <w:t>,</w:t>
            </w:r>
            <w:r w:rsidRPr="00D81648">
              <w:rPr>
                <w:lang w:val="en-AU"/>
              </w:rPr>
              <w:t xml:space="preserve"> where the sale of a business or the assets to a related entity is contemplated, and the company is insolvent, that sale must be undertaken under the control of an independent insolvency practitioner through a statutory insolvency regime</w:t>
            </w:r>
            <w:r w:rsidR="00961B44">
              <w:rPr>
                <w:lang w:val="en-AU"/>
              </w:rPr>
              <w:t>;</w:t>
            </w:r>
            <w:r w:rsidRPr="00D81648">
              <w:rPr>
                <w:lang w:val="en-AU"/>
              </w:rPr>
              <w:t xml:space="preserve"> either a Voluntary Administration (subject to ARITA’s recommendations for improvements), a </w:t>
            </w:r>
            <w:r w:rsidR="00961B44" w:rsidRPr="00D81648">
              <w:rPr>
                <w:lang w:val="en-AU"/>
              </w:rPr>
              <w:t xml:space="preserve">micro </w:t>
            </w:r>
            <w:r w:rsidRPr="00D81648">
              <w:rPr>
                <w:lang w:val="en-AU"/>
              </w:rPr>
              <w:t>restructuring (refer Policy 15-10) or liquidation.</w:t>
            </w:r>
          </w:p>
          <w:p w14:paraId="0ABAAA24" w14:textId="77777777" w:rsidR="00FB1692" w:rsidRPr="00D81648" w:rsidRDefault="00FB1692" w:rsidP="00961B44">
            <w:pPr>
              <w:spacing w:after="200"/>
              <w:rPr>
                <w:lang w:val="en-AU"/>
              </w:rPr>
            </w:pPr>
            <w:r w:rsidRPr="00D81648">
              <w:rPr>
                <w:lang w:val="en-AU"/>
              </w:rPr>
              <w:t>For a number of reasons</w:t>
            </w:r>
            <w:r w:rsidR="00961B44">
              <w:rPr>
                <w:lang w:val="en-AU"/>
              </w:rPr>
              <w:t xml:space="preserve"> (</w:t>
            </w:r>
            <w:r w:rsidRPr="00D81648">
              <w:rPr>
                <w:lang w:val="en-AU"/>
              </w:rPr>
              <w:t>including independence, whether the sale is for value and the lack of creditor involvement</w:t>
            </w:r>
            <w:r w:rsidR="00961B44">
              <w:rPr>
                <w:lang w:val="en-AU"/>
              </w:rPr>
              <w:t>)</w:t>
            </w:r>
            <w:r w:rsidRPr="00D81648">
              <w:rPr>
                <w:lang w:val="en-AU"/>
              </w:rPr>
              <w:t xml:space="preserve"> we do not consider that a UK</w:t>
            </w:r>
            <w:r w:rsidR="00961B44">
              <w:rPr>
                <w:lang w:val="en-AU"/>
              </w:rPr>
              <w:t>-style</w:t>
            </w:r>
            <w:r w:rsidRPr="00D81648">
              <w:rPr>
                <w:lang w:val="en-AU"/>
              </w:rPr>
              <w:t xml:space="preserve"> pre-pack process would be suitable for Australia.</w:t>
            </w:r>
          </w:p>
        </w:tc>
      </w:tr>
    </w:tbl>
    <w:p w14:paraId="30D51C97" w14:textId="77777777" w:rsidR="00FB1692" w:rsidRPr="00D81648" w:rsidRDefault="00FB1692">
      <w:pPr>
        <w:spacing w:after="240" w:line="240" w:lineRule="auto"/>
        <w:rPr>
          <w:b/>
          <w:lang w:val="en-AU"/>
        </w:rPr>
      </w:pPr>
    </w:p>
    <w:sectPr w:rsidR="00FB1692" w:rsidRPr="00D81648" w:rsidSect="008164A3">
      <w:headerReference w:type="default" r:id="rId17"/>
      <w:footerReference w:type="default" r:id="rId18"/>
      <w:headerReference w:type="first" r:id="rId19"/>
      <w:pgSz w:w="11906" w:h="16838" w:code="9"/>
      <w:pgMar w:top="1440" w:right="1440" w:bottom="1440" w:left="1440" w:header="709"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9A1C6" w14:textId="77777777" w:rsidR="00B42D8A" w:rsidRDefault="00B42D8A" w:rsidP="00C8648F">
      <w:pPr>
        <w:spacing w:after="0"/>
      </w:pPr>
      <w:r>
        <w:separator/>
      </w:r>
    </w:p>
  </w:endnote>
  <w:endnote w:type="continuationSeparator" w:id="0">
    <w:p w14:paraId="7F87C387" w14:textId="77777777" w:rsidR="00B42D8A" w:rsidRDefault="00B42D8A" w:rsidP="00C864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IN">
    <w:altName w:val="Arial"/>
    <w:panose1 w:val="00000000000000000000"/>
    <w:charset w:val="00"/>
    <w:family w:val="modern"/>
    <w:notTrueType/>
    <w:pitch w:val="variable"/>
    <w:sig w:usb0="00000001" w:usb1="40002048"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DE695" w14:textId="77777777" w:rsidR="00A718FB" w:rsidRPr="000064A0" w:rsidRDefault="00A718FB" w:rsidP="008164A3">
    <w:pPr>
      <w:pStyle w:val="ARITAfooter"/>
      <w:rPr>
        <w:rFonts w:ascii="Arial" w:hAnsi="Arial" w:cs="Arial"/>
      </w:rPr>
    </w:pPr>
  </w:p>
  <w:p w14:paraId="1053C497" w14:textId="77777777" w:rsidR="00A718FB" w:rsidRPr="000064A0" w:rsidRDefault="00A718FB" w:rsidP="008164A3">
    <w:pPr>
      <w:pStyle w:val="ARITAfooter"/>
      <w:pBdr>
        <w:bottom w:val="single" w:sz="2" w:space="1" w:color="A39D92"/>
      </w:pBdr>
      <w:spacing w:after="0"/>
      <w:ind w:left="-567" w:right="-567"/>
      <w:jc w:val="right"/>
      <w:rPr>
        <w:rFonts w:ascii="Arial" w:hAnsi="Arial" w:cs="Arial"/>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4A0" w:firstRow="1" w:lastRow="0" w:firstColumn="1" w:lastColumn="0" w:noHBand="0" w:noVBand="1"/>
    </w:tblPr>
    <w:tblGrid>
      <w:gridCol w:w="7905"/>
      <w:gridCol w:w="1842"/>
    </w:tblGrid>
    <w:tr w:rsidR="00A718FB" w:rsidRPr="000064A0" w14:paraId="1B59AEC4" w14:textId="77777777" w:rsidTr="001411BF">
      <w:tc>
        <w:tcPr>
          <w:tcW w:w="7905" w:type="dxa"/>
        </w:tcPr>
        <w:p w14:paraId="78A97BE4" w14:textId="77777777" w:rsidR="00A718FB" w:rsidRPr="000064A0" w:rsidRDefault="00A718FB" w:rsidP="001411BF">
          <w:pPr>
            <w:pStyle w:val="ARITAfooter"/>
            <w:spacing w:before="80" w:after="0"/>
            <w:jc w:val="right"/>
            <w:rPr>
              <w:rFonts w:ascii="Arial" w:hAnsi="Arial" w:cs="Arial"/>
              <w:sz w:val="18"/>
              <w:szCs w:val="18"/>
            </w:rPr>
          </w:pPr>
          <w:r w:rsidRPr="000064A0">
            <w:rPr>
              <w:rFonts w:ascii="Arial" w:hAnsi="Arial" w:cs="Arial"/>
              <w:sz w:val="18"/>
              <w:szCs w:val="18"/>
            </w:rPr>
            <w:t>AUSTRALIAN RESTRUCTURING INSOLVENCY &amp; TURNAROUND ASSOCIATION</w:t>
          </w:r>
        </w:p>
      </w:tc>
      <w:tc>
        <w:tcPr>
          <w:tcW w:w="1842" w:type="dxa"/>
        </w:tcPr>
        <w:p w14:paraId="1902CC06" w14:textId="77777777" w:rsidR="00A718FB" w:rsidRPr="000064A0" w:rsidRDefault="00A718FB" w:rsidP="001411BF">
          <w:pPr>
            <w:pStyle w:val="ARITAfooter"/>
            <w:spacing w:before="80" w:after="0"/>
            <w:jc w:val="right"/>
            <w:rPr>
              <w:rFonts w:ascii="Arial" w:hAnsi="Arial" w:cs="Arial"/>
              <w:sz w:val="18"/>
              <w:szCs w:val="18"/>
            </w:rPr>
          </w:pPr>
          <w:r w:rsidRPr="000064A0">
            <w:rPr>
              <w:rFonts w:ascii="Arial" w:hAnsi="Arial" w:cs="Arial"/>
              <w:sz w:val="18"/>
              <w:szCs w:val="18"/>
            </w:rPr>
            <w:t xml:space="preserve">PAGE </w:t>
          </w:r>
          <w:r w:rsidRPr="000064A0">
            <w:rPr>
              <w:rFonts w:ascii="Arial" w:hAnsi="Arial" w:cs="Arial"/>
              <w:sz w:val="18"/>
              <w:szCs w:val="18"/>
            </w:rPr>
            <w:fldChar w:fldCharType="begin"/>
          </w:r>
          <w:r w:rsidRPr="000064A0">
            <w:rPr>
              <w:rFonts w:ascii="Arial" w:hAnsi="Arial" w:cs="Arial"/>
              <w:sz w:val="18"/>
              <w:szCs w:val="18"/>
            </w:rPr>
            <w:instrText xml:space="preserve"> PAGE   \* MERGEFORMAT </w:instrText>
          </w:r>
          <w:r w:rsidRPr="000064A0">
            <w:rPr>
              <w:rFonts w:ascii="Arial" w:hAnsi="Arial" w:cs="Arial"/>
              <w:sz w:val="18"/>
              <w:szCs w:val="18"/>
            </w:rPr>
            <w:fldChar w:fldCharType="separate"/>
          </w:r>
          <w:r w:rsidR="00C7471A">
            <w:rPr>
              <w:rFonts w:ascii="Arial" w:hAnsi="Arial" w:cs="Arial"/>
              <w:noProof/>
              <w:sz w:val="18"/>
              <w:szCs w:val="18"/>
            </w:rPr>
            <w:t>17</w:t>
          </w:r>
          <w:r w:rsidRPr="000064A0">
            <w:rPr>
              <w:rFonts w:ascii="Arial" w:hAnsi="Arial" w:cs="Arial"/>
              <w:sz w:val="18"/>
              <w:szCs w:val="18"/>
            </w:rPr>
            <w:fldChar w:fldCharType="end"/>
          </w:r>
        </w:p>
      </w:tc>
    </w:tr>
  </w:tbl>
  <w:p w14:paraId="5A924B9A" w14:textId="77777777" w:rsidR="00A718FB" w:rsidRPr="008164A3" w:rsidRDefault="00A718FB" w:rsidP="008164A3">
    <w:pPr>
      <w:pStyle w:val="Footer"/>
      <w:rPr>
        <w:rFonts w:cs="Arial"/>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6BED3" w14:textId="77777777" w:rsidR="00B42D8A" w:rsidRDefault="00B42D8A" w:rsidP="00C8648F">
      <w:pPr>
        <w:spacing w:after="0"/>
      </w:pPr>
      <w:r>
        <w:separator/>
      </w:r>
    </w:p>
  </w:footnote>
  <w:footnote w:type="continuationSeparator" w:id="0">
    <w:p w14:paraId="26C62242" w14:textId="77777777" w:rsidR="00B42D8A" w:rsidRDefault="00B42D8A" w:rsidP="00C8648F">
      <w:pPr>
        <w:spacing w:after="0"/>
      </w:pPr>
      <w:r>
        <w:continuationSeparator/>
      </w:r>
    </w:p>
  </w:footnote>
  <w:footnote w:id="1">
    <w:p w14:paraId="1929482E" w14:textId="77777777" w:rsidR="00A718FB" w:rsidRDefault="00A718FB" w:rsidP="006A5944">
      <w:pPr>
        <w:pStyle w:val="FootnoteText"/>
        <w:rPr>
          <w:rFonts w:ascii="Calibri" w:hAnsi="Calibri"/>
          <w:sz w:val="20"/>
          <w:szCs w:val="20"/>
        </w:rPr>
      </w:pPr>
      <w:r>
        <w:rPr>
          <w:rStyle w:val="FootnoteReference"/>
        </w:rPr>
        <w:footnoteRef/>
      </w:r>
      <w:r>
        <w:rPr>
          <w:color w:val="000000"/>
          <w:sz w:val="16"/>
          <w:szCs w:val="16"/>
        </w:rPr>
        <w:t xml:space="preserve"> The list is adapted from the Harmer Report ([33]) and the Cork Report ([198]). See also the 2004 Parliamentary Joint Committee Report, Appendix 4.</w:t>
      </w:r>
    </w:p>
  </w:footnote>
  <w:footnote w:id="2">
    <w:p w14:paraId="5FC2D371" w14:textId="77777777" w:rsidR="00A718FB" w:rsidRDefault="00A718FB" w:rsidP="006A5944">
      <w:pPr>
        <w:pStyle w:val="ARITAFootnote"/>
      </w:pPr>
      <w:r w:rsidRPr="00101EC6">
        <w:rPr>
          <w:rStyle w:val="FootnoteReference"/>
          <w:rFonts w:ascii="DIN" w:hAnsi="DIN"/>
        </w:rPr>
        <w:footnoteRef/>
      </w:r>
      <w:r>
        <w:t xml:space="preserve"> </w:t>
      </w:r>
      <w:r w:rsidRPr="00101EC6">
        <w:t>Taken</w:t>
      </w:r>
      <w:r>
        <w:t xml:space="preserve"> </w:t>
      </w:r>
      <w:r w:rsidRPr="00101EC6">
        <w:t>directly</w:t>
      </w:r>
      <w:r>
        <w:t xml:space="preserve"> </w:t>
      </w:r>
      <w:r w:rsidRPr="00101EC6">
        <w:t>from</w:t>
      </w:r>
      <w:r>
        <w:t xml:space="preserve"> </w:t>
      </w:r>
      <w:r w:rsidRPr="00101EC6">
        <w:t>the</w:t>
      </w:r>
      <w:r>
        <w:t xml:space="preserve"> </w:t>
      </w:r>
      <w:r w:rsidRPr="00101EC6">
        <w:t>ARITA</w:t>
      </w:r>
      <w:r>
        <w:t xml:space="preserve"> </w:t>
      </w:r>
      <w:r w:rsidRPr="00101EC6">
        <w:t>(then</w:t>
      </w:r>
      <w:r>
        <w:t xml:space="preserve"> </w:t>
      </w:r>
      <w:r w:rsidRPr="00101EC6">
        <w:t>IPA),</w:t>
      </w:r>
      <w:r>
        <w:t xml:space="preserve"> </w:t>
      </w:r>
      <w:r w:rsidRPr="00101EC6">
        <w:t>Law</w:t>
      </w:r>
      <w:r>
        <w:t xml:space="preserve"> </w:t>
      </w:r>
      <w:r w:rsidRPr="00101EC6">
        <w:t>Council</w:t>
      </w:r>
      <w:r>
        <w:t xml:space="preserve"> </w:t>
      </w:r>
      <w:r w:rsidRPr="00101EC6">
        <w:t>of</w:t>
      </w:r>
      <w:r>
        <w:t xml:space="preserve"> </w:t>
      </w:r>
      <w:r w:rsidRPr="00101EC6">
        <w:t>Australia</w:t>
      </w:r>
      <w:r>
        <w:t xml:space="preserve"> </w:t>
      </w:r>
      <w:r w:rsidRPr="00101EC6">
        <w:t>and</w:t>
      </w:r>
      <w:r>
        <w:t xml:space="preserve"> </w:t>
      </w:r>
      <w:r w:rsidRPr="00101EC6">
        <w:t>the</w:t>
      </w:r>
      <w:r>
        <w:t xml:space="preserve"> </w:t>
      </w:r>
      <w:r w:rsidRPr="00101EC6">
        <w:t>Turnaround</w:t>
      </w:r>
      <w:r>
        <w:t xml:space="preserve"> </w:t>
      </w:r>
      <w:r w:rsidRPr="00101EC6">
        <w:t>Management</w:t>
      </w:r>
      <w:r>
        <w:t xml:space="preserve"> </w:t>
      </w:r>
      <w:r w:rsidRPr="00101EC6">
        <w:t>Association</w:t>
      </w:r>
      <w:r>
        <w:t xml:space="preserve"> </w:t>
      </w:r>
      <w:r w:rsidRPr="00101EC6">
        <w:t>Australia</w:t>
      </w:r>
      <w:r>
        <w:t xml:space="preserve"> </w:t>
      </w:r>
      <w:r w:rsidRPr="00101EC6">
        <w:t>joint</w:t>
      </w:r>
      <w:r>
        <w:t xml:space="preserve"> </w:t>
      </w:r>
      <w:r w:rsidRPr="00101EC6">
        <w:t>submission</w:t>
      </w:r>
      <w:r>
        <w:t xml:space="preserve"> </w:t>
      </w:r>
      <w:r w:rsidRPr="00101EC6">
        <w:t>dated</w:t>
      </w:r>
      <w:r>
        <w:t xml:space="preserve"> </w:t>
      </w:r>
      <w:r w:rsidRPr="00101EC6">
        <w:t>2</w:t>
      </w:r>
      <w:r>
        <w:t xml:space="preserve"> </w:t>
      </w:r>
      <w:r w:rsidRPr="00101EC6">
        <w:t>March</w:t>
      </w:r>
      <w:r>
        <w:t xml:space="preserve"> </w:t>
      </w:r>
      <w:r w:rsidRPr="00101EC6">
        <w:t>2010</w:t>
      </w:r>
      <w:r>
        <w:t xml:space="preserve"> </w:t>
      </w:r>
      <w:r w:rsidRPr="00101EC6">
        <w:t>in</w:t>
      </w:r>
      <w:r>
        <w:t xml:space="preserve"> </w:t>
      </w:r>
      <w:r w:rsidRPr="00101EC6">
        <w:t>response</w:t>
      </w:r>
      <w:r>
        <w:t xml:space="preserve"> </w:t>
      </w:r>
      <w:r w:rsidRPr="00101EC6">
        <w:t>to</w:t>
      </w:r>
      <w:r>
        <w:t xml:space="preserve"> </w:t>
      </w:r>
      <w:r w:rsidRPr="00101EC6">
        <w:t>the</w:t>
      </w:r>
      <w:r>
        <w:t xml:space="preserve"> </w:t>
      </w:r>
      <w:r w:rsidRPr="00101EC6">
        <w:t>discussion</w:t>
      </w:r>
      <w:r>
        <w:t xml:space="preserve"> </w:t>
      </w:r>
      <w:r w:rsidRPr="00101EC6">
        <w:t>paper</w:t>
      </w:r>
      <w:r>
        <w:t xml:space="preserve"> </w:t>
      </w:r>
      <w:r w:rsidRPr="007105D3">
        <w:rPr>
          <w:i/>
        </w:rPr>
        <w:t xml:space="preserve">Insolvent Trading: A Safe Harbour for Reorganisation Attempts </w:t>
      </w:r>
      <w:r w:rsidR="00C05BC8">
        <w:rPr>
          <w:i/>
        </w:rPr>
        <w:t>O</w:t>
      </w:r>
      <w:r w:rsidRPr="007105D3">
        <w:rPr>
          <w:i/>
        </w:rPr>
        <w:t>utside of External Administration</w:t>
      </w:r>
    </w:p>
  </w:footnote>
  <w:footnote w:id="3">
    <w:p w14:paraId="503681DF" w14:textId="77777777" w:rsidR="00A718FB" w:rsidRDefault="00A718FB" w:rsidP="006A5944">
      <w:pPr>
        <w:pStyle w:val="FootnoteText"/>
      </w:pPr>
      <w:r>
        <w:rPr>
          <w:rStyle w:val="FootnoteReference"/>
        </w:rPr>
        <w:footnoteRef/>
      </w:r>
      <w:r>
        <w:t xml:space="preserve"> Noting that other statutory duties may still apply to these types of roles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F7541" w14:textId="77777777" w:rsidR="00D55F61" w:rsidRDefault="00D55F61" w:rsidP="00D55F61">
    <w:pPr>
      <w:pStyle w:val="Header"/>
      <w:jc w:val="right"/>
    </w:pPr>
    <w:r>
      <w:rPr>
        <w:noProof/>
        <w:lang w:val="en-AU" w:bidi="ar-SA"/>
      </w:rPr>
      <w:drawing>
        <wp:inline distT="0" distB="0" distL="0" distR="0" wp14:anchorId="40013771" wp14:editId="09B8C744">
          <wp:extent cx="713105" cy="6769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 cy="67691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4353A" w14:textId="77777777" w:rsidR="00D55F61" w:rsidRDefault="00D55F61" w:rsidP="00D55F61">
    <w:pPr>
      <w:pStyle w:val="Header"/>
      <w:jc w:val="right"/>
    </w:pPr>
    <w:r>
      <w:rPr>
        <w:noProof/>
        <w:lang w:val="en-AU" w:bidi="ar-SA"/>
      </w:rPr>
      <w:drawing>
        <wp:inline distT="0" distB="0" distL="0" distR="0" wp14:anchorId="10C12DAF" wp14:editId="5E024BF8">
          <wp:extent cx="1048385" cy="13290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13290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7D21390"/>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89D2C992"/>
    <w:lvl w:ilvl="0">
      <w:start w:val="1"/>
      <w:numFmt w:val="bullet"/>
      <w:lvlText w:val=""/>
      <w:lvlJc w:val="left"/>
      <w:pPr>
        <w:tabs>
          <w:tab w:val="num" w:pos="360"/>
        </w:tabs>
        <w:ind w:left="360" w:hanging="360"/>
      </w:pPr>
      <w:rPr>
        <w:rFonts w:ascii="Symbol" w:hAnsi="Symbol" w:hint="default"/>
      </w:rPr>
    </w:lvl>
  </w:abstractNum>
  <w:abstractNum w:abstractNumId="2">
    <w:nsid w:val="036A24A7"/>
    <w:multiLevelType w:val="hybridMultilevel"/>
    <w:tmpl w:val="2D62680A"/>
    <w:lvl w:ilvl="0" w:tplc="5C220684">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0C5D7782"/>
    <w:multiLevelType w:val="multilevel"/>
    <w:tmpl w:val="BB8432F4"/>
    <w:styleLink w:val="ARITANumberedLists"/>
    <w:lvl w:ilvl="0">
      <w:start w:val="1"/>
      <w:numFmt w:val="decimal"/>
      <w:pStyle w:val="List"/>
      <w:lvlText w:val="%1."/>
      <w:lvlJc w:val="left"/>
      <w:pPr>
        <w:tabs>
          <w:tab w:val="num" w:pos="567"/>
        </w:tabs>
        <w:ind w:left="567" w:hanging="567"/>
      </w:pPr>
      <w:rPr>
        <w:rFonts w:hint="default"/>
      </w:rPr>
    </w:lvl>
    <w:lvl w:ilvl="1">
      <w:start w:val="1"/>
      <w:numFmt w:val="upperLetter"/>
      <w:pStyle w:val="List2"/>
      <w:lvlText w:val="%2."/>
      <w:lvlJc w:val="left"/>
      <w:pPr>
        <w:tabs>
          <w:tab w:val="num" w:pos="1134"/>
        </w:tabs>
        <w:ind w:left="1134" w:hanging="567"/>
      </w:pPr>
      <w:rPr>
        <w:rFonts w:hint="default"/>
      </w:rPr>
    </w:lvl>
    <w:lvl w:ilvl="2">
      <w:start w:val="1"/>
      <w:numFmt w:val="lowerRoman"/>
      <w:pStyle w:val="List3"/>
      <w:lvlText w:val="%3."/>
      <w:lvlJc w:val="left"/>
      <w:pPr>
        <w:tabs>
          <w:tab w:val="num" w:pos="1701"/>
        </w:tabs>
        <w:ind w:left="1701" w:hanging="567"/>
      </w:pPr>
      <w:rPr>
        <w:rFonts w:hint="default"/>
      </w:rPr>
    </w:lvl>
    <w:lvl w:ilvl="3">
      <w:start w:val="1"/>
      <w:numFmt w:val="lowerLetter"/>
      <w:pStyle w:val="List4"/>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
    <w:nsid w:val="0F35144E"/>
    <w:multiLevelType w:val="hybridMultilevel"/>
    <w:tmpl w:val="4D1467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AD0AEE"/>
    <w:multiLevelType w:val="multilevel"/>
    <w:tmpl w:val="F04AF06A"/>
    <w:lvl w:ilvl="0">
      <w:start w:val="1"/>
      <w:numFmt w:val="decimal"/>
      <w:lvlText w:val="%1."/>
      <w:lvlJc w:val="left"/>
      <w:pPr>
        <w:ind w:left="1134" w:hanging="567"/>
      </w:pPr>
      <w:rPr>
        <w:rFonts w:hint="default"/>
      </w:rPr>
    </w:lvl>
    <w:lvl w:ilvl="1">
      <w:start w:val="1"/>
      <w:numFmt w:val="bullet"/>
      <w:lvlText w:val=""/>
      <w:lvlJc w:val="left"/>
      <w:pPr>
        <w:ind w:left="1701" w:hanging="567"/>
      </w:pPr>
      <w:rPr>
        <w:rFonts w:ascii="Symbol" w:hAnsi="Symbol" w:hint="default"/>
      </w:rPr>
    </w:lvl>
    <w:lvl w:ilvl="2">
      <w:start w:val="1"/>
      <w:numFmt w:val="bullet"/>
      <w:lvlText w:val=""/>
      <w:lvlJc w:val="left"/>
      <w:pPr>
        <w:ind w:left="2268" w:hanging="567"/>
      </w:pPr>
      <w:rPr>
        <w:rFonts w:ascii="Wingdings" w:hAnsi="Wingdings" w:hint="default"/>
        <w:color w:val="auto"/>
      </w:rPr>
    </w:lvl>
    <w:lvl w:ilvl="3">
      <w:start w:val="1"/>
      <w:numFmt w:val="bullet"/>
      <w:lvlText w:val=""/>
      <w:lvlJc w:val="left"/>
      <w:pPr>
        <w:ind w:left="2835" w:hanging="567"/>
      </w:pPr>
      <w:rPr>
        <w:rFonts w:ascii="Symbol" w:hAnsi="Symbol" w:hint="default"/>
        <w:color w:val="auto"/>
      </w:rPr>
    </w:lvl>
    <w:lvl w:ilvl="4">
      <w:start w:val="1"/>
      <w:numFmt w:val="bullet"/>
      <w:lvlText w:val=""/>
      <w:lvlJc w:val="left"/>
      <w:pPr>
        <w:ind w:left="3402" w:hanging="567"/>
      </w:pPr>
      <w:rPr>
        <w:rFonts w:ascii="Symbol" w:hAnsi="Symbol" w:hint="default"/>
        <w:color w:val="auto"/>
      </w:rPr>
    </w:lvl>
    <w:lvl w:ilvl="5">
      <w:start w:val="1"/>
      <w:numFmt w:val="none"/>
      <w:lvlText w:val=""/>
      <w:lvlJc w:val="left"/>
      <w:pPr>
        <w:ind w:left="3969" w:hanging="567"/>
      </w:pPr>
      <w:rPr>
        <w:rFonts w:hint="default"/>
      </w:rPr>
    </w:lvl>
    <w:lvl w:ilvl="6">
      <w:start w:val="1"/>
      <w:numFmt w:val="none"/>
      <w:lvlText w:val="%7"/>
      <w:lvlJc w:val="left"/>
      <w:pPr>
        <w:ind w:left="4536" w:hanging="567"/>
      </w:pPr>
      <w:rPr>
        <w:rFonts w:hint="default"/>
      </w:rPr>
    </w:lvl>
    <w:lvl w:ilvl="7">
      <w:start w:val="1"/>
      <w:numFmt w:val="none"/>
      <w:lvlText w:val=""/>
      <w:lvlJc w:val="left"/>
      <w:pPr>
        <w:ind w:left="5103" w:hanging="567"/>
      </w:pPr>
      <w:rPr>
        <w:rFonts w:hint="default"/>
      </w:rPr>
    </w:lvl>
    <w:lvl w:ilvl="8">
      <w:start w:val="1"/>
      <w:numFmt w:val="none"/>
      <w:lvlText w:val="%9"/>
      <w:lvlJc w:val="left"/>
      <w:pPr>
        <w:ind w:left="5670" w:hanging="567"/>
      </w:pPr>
      <w:rPr>
        <w:rFonts w:hint="default"/>
      </w:rPr>
    </w:lvl>
  </w:abstractNum>
  <w:abstractNum w:abstractNumId="6">
    <w:nsid w:val="11AD41E1"/>
    <w:multiLevelType w:val="hybridMultilevel"/>
    <w:tmpl w:val="2A987E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54B25DD"/>
    <w:multiLevelType w:val="hybridMultilevel"/>
    <w:tmpl w:val="ACD03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9231C44"/>
    <w:multiLevelType w:val="multilevel"/>
    <w:tmpl w:val="4A9CA32E"/>
    <w:numStyleLink w:val="ARITAListBullets"/>
  </w:abstractNum>
  <w:abstractNum w:abstractNumId="9">
    <w:nsid w:val="1EBF38A8"/>
    <w:multiLevelType w:val="hybridMultilevel"/>
    <w:tmpl w:val="72E65E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nsid w:val="26D86C9F"/>
    <w:multiLevelType w:val="multilevel"/>
    <w:tmpl w:val="4A9CA32E"/>
    <w:lvl w:ilvl="0">
      <w:start w:val="1"/>
      <w:numFmt w:val="bullet"/>
      <w:pStyle w:val="ListBullet"/>
      <w:lvlText w:val=""/>
      <w:lvlJc w:val="left"/>
      <w:pPr>
        <w:ind w:left="1134" w:hanging="567"/>
      </w:pPr>
      <w:rPr>
        <w:rFonts w:ascii="Symbol" w:hAnsi="Symbol" w:hint="default"/>
      </w:rPr>
    </w:lvl>
    <w:lvl w:ilvl="1">
      <w:start w:val="1"/>
      <w:numFmt w:val="bullet"/>
      <w:pStyle w:val="ListBullet2"/>
      <w:lvlText w:val=""/>
      <w:lvlJc w:val="left"/>
      <w:pPr>
        <w:ind w:left="1701" w:hanging="567"/>
      </w:pPr>
      <w:rPr>
        <w:rFonts w:ascii="Symbol" w:hAnsi="Symbol" w:hint="default"/>
      </w:rPr>
    </w:lvl>
    <w:lvl w:ilvl="2">
      <w:start w:val="1"/>
      <w:numFmt w:val="bullet"/>
      <w:pStyle w:val="ListBullet3"/>
      <w:lvlText w:val=""/>
      <w:lvlJc w:val="left"/>
      <w:pPr>
        <w:ind w:left="2268" w:hanging="567"/>
      </w:pPr>
      <w:rPr>
        <w:rFonts w:ascii="Wingdings" w:hAnsi="Wingdings" w:hint="default"/>
        <w:color w:val="auto"/>
      </w:rPr>
    </w:lvl>
    <w:lvl w:ilvl="3">
      <w:start w:val="1"/>
      <w:numFmt w:val="bullet"/>
      <w:pStyle w:val="ListBullet4"/>
      <w:lvlText w:val=""/>
      <w:lvlJc w:val="left"/>
      <w:pPr>
        <w:ind w:left="2835" w:hanging="567"/>
      </w:pPr>
      <w:rPr>
        <w:rFonts w:ascii="Symbol" w:hAnsi="Symbol" w:hint="default"/>
        <w:color w:val="auto"/>
      </w:rPr>
    </w:lvl>
    <w:lvl w:ilvl="4">
      <w:start w:val="1"/>
      <w:numFmt w:val="bullet"/>
      <w:pStyle w:val="ListBullet5"/>
      <w:lvlText w:val=""/>
      <w:lvlJc w:val="left"/>
      <w:pPr>
        <w:ind w:left="3402" w:hanging="567"/>
      </w:pPr>
      <w:rPr>
        <w:rFonts w:ascii="Symbol" w:hAnsi="Symbol" w:hint="default"/>
        <w:color w:val="auto"/>
      </w:rPr>
    </w:lvl>
    <w:lvl w:ilvl="5">
      <w:start w:val="1"/>
      <w:numFmt w:val="none"/>
      <w:lvlText w:val=""/>
      <w:lvlJc w:val="left"/>
      <w:pPr>
        <w:ind w:left="3969" w:hanging="567"/>
      </w:pPr>
      <w:rPr>
        <w:rFonts w:hint="default"/>
      </w:rPr>
    </w:lvl>
    <w:lvl w:ilvl="6">
      <w:start w:val="1"/>
      <w:numFmt w:val="none"/>
      <w:lvlText w:val="%7"/>
      <w:lvlJc w:val="left"/>
      <w:pPr>
        <w:ind w:left="4536" w:hanging="567"/>
      </w:pPr>
      <w:rPr>
        <w:rFonts w:hint="default"/>
      </w:rPr>
    </w:lvl>
    <w:lvl w:ilvl="7">
      <w:start w:val="1"/>
      <w:numFmt w:val="none"/>
      <w:lvlText w:val=""/>
      <w:lvlJc w:val="left"/>
      <w:pPr>
        <w:ind w:left="5103" w:hanging="567"/>
      </w:pPr>
      <w:rPr>
        <w:rFonts w:hint="default"/>
      </w:rPr>
    </w:lvl>
    <w:lvl w:ilvl="8">
      <w:start w:val="1"/>
      <w:numFmt w:val="none"/>
      <w:lvlText w:val="%9"/>
      <w:lvlJc w:val="left"/>
      <w:pPr>
        <w:ind w:left="5670" w:hanging="567"/>
      </w:pPr>
      <w:rPr>
        <w:rFonts w:hint="default"/>
      </w:rPr>
    </w:lvl>
  </w:abstractNum>
  <w:abstractNum w:abstractNumId="11">
    <w:nsid w:val="27482B99"/>
    <w:multiLevelType w:val="hybridMultilevel"/>
    <w:tmpl w:val="B062358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nsid w:val="281E4733"/>
    <w:multiLevelType w:val="hybridMultilevel"/>
    <w:tmpl w:val="4F889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27040C1"/>
    <w:multiLevelType w:val="hybridMultilevel"/>
    <w:tmpl w:val="C54C813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nsid w:val="382D612C"/>
    <w:multiLevelType w:val="hybridMultilevel"/>
    <w:tmpl w:val="FFAE609A"/>
    <w:lvl w:ilvl="0" w:tplc="0C09000F">
      <w:start w:val="1"/>
      <w:numFmt w:val="decimal"/>
      <w:lvlText w:val="%1."/>
      <w:lvlJc w:val="left"/>
      <w:pPr>
        <w:ind w:left="720" w:hanging="360"/>
      </w:p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nsid w:val="3A614D3B"/>
    <w:multiLevelType w:val="multilevel"/>
    <w:tmpl w:val="69FEAB38"/>
    <w:lvl w:ilvl="0">
      <w:start w:val="1"/>
      <w:numFmt w:val="decimal"/>
      <w:pStyle w:val="ARITAReportHeading1"/>
      <w:lvlText w:val="%1"/>
      <w:lvlJc w:val="left"/>
      <w:pPr>
        <w:tabs>
          <w:tab w:val="num" w:pos="1134"/>
        </w:tabs>
        <w:ind w:left="1134" w:hanging="1134"/>
      </w:pPr>
      <w:rPr>
        <w:rFonts w:hint="default"/>
      </w:rPr>
    </w:lvl>
    <w:lvl w:ilvl="1">
      <w:start w:val="1"/>
      <w:numFmt w:val="decimal"/>
      <w:pStyle w:val="ARITAReportHeading2"/>
      <w:lvlText w:val="%1.%2"/>
      <w:lvlJc w:val="left"/>
      <w:pPr>
        <w:tabs>
          <w:tab w:val="num" w:pos="1134"/>
        </w:tabs>
        <w:ind w:left="1134" w:hanging="1134"/>
      </w:pPr>
      <w:rPr>
        <w:rFonts w:hint="default"/>
      </w:rPr>
    </w:lvl>
    <w:lvl w:ilvl="2">
      <w:start w:val="1"/>
      <w:numFmt w:val="decimal"/>
      <w:pStyle w:val="ARITAReportHeading3"/>
      <w:lvlText w:val="%1.%2.%3"/>
      <w:lvlJc w:val="left"/>
      <w:pPr>
        <w:tabs>
          <w:tab w:val="num" w:pos="1134"/>
        </w:tabs>
        <w:ind w:left="1134" w:hanging="1134"/>
      </w:pPr>
      <w:rPr>
        <w:rFonts w:hint="default"/>
      </w:rPr>
    </w:lvl>
    <w:lvl w:ilvl="3">
      <w:start w:val="1"/>
      <w:numFmt w:val="decimal"/>
      <w:pStyle w:val="ARITAReportHeading4"/>
      <w:lvlText w:val="%1.%2.%3.%4"/>
      <w:lvlJc w:val="left"/>
      <w:pPr>
        <w:tabs>
          <w:tab w:val="num" w:pos="1134"/>
        </w:tabs>
        <w:ind w:left="1134" w:hanging="1134"/>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3B18350A"/>
    <w:multiLevelType w:val="multilevel"/>
    <w:tmpl w:val="AA5ADD16"/>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nsid w:val="3C3B58C6"/>
    <w:multiLevelType w:val="hybridMultilevel"/>
    <w:tmpl w:val="EE78FEA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nsid w:val="3EF31F13"/>
    <w:multiLevelType w:val="hybridMultilevel"/>
    <w:tmpl w:val="B4965322"/>
    <w:lvl w:ilvl="0" w:tplc="D1F09BEC">
      <w:start w:val="1"/>
      <w:numFmt w:val="decimal"/>
      <w:pStyle w:val="ARITAParagraph"/>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nsid w:val="415527B7"/>
    <w:multiLevelType w:val="multilevel"/>
    <w:tmpl w:val="BB8432F4"/>
    <w:numStyleLink w:val="ARITANumberedLists"/>
  </w:abstractNum>
  <w:abstractNum w:abstractNumId="20">
    <w:nsid w:val="44AC4A74"/>
    <w:multiLevelType w:val="hybridMultilevel"/>
    <w:tmpl w:val="ECFC3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F4F52B6"/>
    <w:multiLevelType w:val="hybridMultilevel"/>
    <w:tmpl w:val="AAE0F4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3867223"/>
    <w:multiLevelType w:val="hybridMultilevel"/>
    <w:tmpl w:val="C0B68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1304B48"/>
    <w:multiLevelType w:val="hybridMultilevel"/>
    <w:tmpl w:val="829E5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3C430B7"/>
    <w:multiLevelType w:val="hybridMultilevel"/>
    <w:tmpl w:val="1A929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42064AC"/>
    <w:multiLevelType w:val="hybridMultilevel"/>
    <w:tmpl w:val="ABA2F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4D73D6"/>
    <w:multiLevelType w:val="hybridMultilevel"/>
    <w:tmpl w:val="74F681BE"/>
    <w:lvl w:ilvl="0" w:tplc="0C09000F">
      <w:start w:val="1"/>
      <w:numFmt w:val="decimal"/>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7">
    <w:nsid w:val="743269D4"/>
    <w:multiLevelType w:val="hybridMultilevel"/>
    <w:tmpl w:val="4DB45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91033E9"/>
    <w:multiLevelType w:val="multilevel"/>
    <w:tmpl w:val="4A9CA32E"/>
    <w:styleLink w:val="ARITAListBullets"/>
    <w:lvl w:ilvl="0">
      <w:start w:val="1"/>
      <w:numFmt w:val="bulle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ind w:left="1701" w:hanging="567"/>
      </w:pPr>
      <w:rPr>
        <w:rFonts w:ascii="Wingdings" w:hAnsi="Wingdings" w:hint="default"/>
        <w:color w:val="auto"/>
      </w:rPr>
    </w:lvl>
    <w:lvl w:ilvl="3">
      <w:start w:val="1"/>
      <w:numFmt w:val="bullet"/>
      <w:lvlText w:val=""/>
      <w:lvlJc w:val="left"/>
      <w:pPr>
        <w:ind w:left="2268" w:hanging="567"/>
      </w:pPr>
      <w:rPr>
        <w:rFonts w:ascii="Symbol" w:hAnsi="Symbol" w:hint="default"/>
        <w:color w:val="auto"/>
      </w:rPr>
    </w:lvl>
    <w:lvl w:ilvl="4">
      <w:start w:val="1"/>
      <w:numFmt w:val="bullet"/>
      <w:lvlText w:val=""/>
      <w:lvlJc w:val="left"/>
      <w:pPr>
        <w:ind w:left="2835" w:hanging="567"/>
      </w:pPr>
      <w:rPr>
        <w:rFonts w:ascii="Symbol" w:hAnsi="Symbol" w:hint="default"/>
        <w:color w:val="auto"/>
      </w:rPr>
    </w:lvl>
    <w:lvl w:ilvl="5">
      <w:start w:val="1"/>
      <w:numFmt w:val="none"/>
      <w:lvlText w:val=""/>
      <w:lvlJc w:val="left"/>
      <w:pPr>
        <w:ind w:left="3402" w:hanging="567"/>
      </w:pPr>
      <w:rPr>
        <w:rFonts w:hint="default"/>
      </w:rPr>
    </w:lvl>
    <w:lvl w:ilvl="6">
      <w:start w:val="1"/>
      <w:numFmt w:val="none"/>
      <w:lvlText w:val="%7"/>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9"/>
      <w:lvlJc w:val="left"/>
      <w:pPr>
        <w:ind w:left="5103" w:hanging="567"/>
      </w:pPr>
      <w:rPr>
        <w:rFonts w:hint="default"/>
      </w:rPr>
    </w:lvl>
  </w:abstractNum>
  <w:abstractNum w:abstractNumId="29">
    <w:nsid w:val="7E444D25"/>
    <w:multiLevelType w:val="hybridMultilevel"/>
    <w:tmpl w:val="76FC20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28"/>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
  </w:num>
  <w:num w:numId="9">
    <w:abstractNumId w:val="19"/>
  </w:num>
  <w:num w:numId="10">
    <w:abstractNumId w:val="2"/>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9"/>
  </w:num>
  <w:num w:numId="15">
    <w:abstractNumId w:val="16"/>
  </w:num>
  <w:num w:numId="16">
    <w:abstractNumId w:val="19"/>
  </w:num>
  <w:num w:numId="17">
    <w:abstractNumId w:val="10"/>
  </w:num>
  <w:num w:numId="18">
    <w:abstractNumId w:val="15"/>
  </w:num>
  <w:num w:numId="19">
    <w:abstractNumId w:val="10"/>
  </w:num>
  <w:num w:numId="2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
  </w:num>
  <w:num w:numId="23">
    <w:abstractNumId w:val="8"/>
  </w:num>
  <w:num w:numId="24">
    <w:abstractNumId w:val="26"/>
  </w:num>
  <w:num w:numId="25">
    <w:abstractNumId w:val="23"/>
  </w:num>
  <w:num w:numId="26">
    <w:abstractNumId w:val="0"/>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21"/>
  </w:num>
  <w:num w:numId="43">
    <w:abstractNumId w:val="10"/>
  </w:num>
  <w:num w:numId="44">
    <w:abstractNumId w:val="25"/>
  </w:num>
  <w:num w:numId="45">
    <w:abstractNumId w:val="12"/>
  </w:num>
  <w:num w:numId="46">
    <w:abstractNumId w:val="20"/>
  </w:num>
  <w:num w:numId="47">
    <w:abstractNumId w:val="24"/>
  </w:num>
  <w:num w:numId="48">
    <w:abstractNumId w:val="27"/>
  </w:num>
  <w:num w:numId="49">
    <w:abstractNumId w:val="10"/>
  </w:num>
  <w:num w:numId="50">
    <w:abstractNumId w:val="6"/>
  </w:num>
  <w:num w:numId="51">
    <w:abstractNumId w:val="4"/>
  </w:num>
  <w:num w:numId="52">
    <w:abstractNumId w:val="15"/>
  </w:num>
  <w:num w:numId="53">
    <w:abstractNumId w:val="10"/>
  </w:num>
  <w:num w:numId="54">
    <w:abstractNumId w:val="5"/>
  </w:num>
  <w:num w:numId="55">
    <w:abstractNumId w:val="15"/>
  </w:num>
  <w:num w:numId="56">
    <w:abstractNumId w:val="15"/>
  </w:num>
  <w:num w:numId="57">
    <w:abstractNumId w:val="15"/>
  </w:num>
  <w:num w:numId="58">
    <w:abstractNumId w:val="7"/>
  </w:num>
  <w:num w:numId="59">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05"/>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75"/>
    <w:rsid w:val="000016F9"/>
    <w:rsid w:val="00005049"/>
    <w:rsid w:val="0001241B"/>
    <w:rsid w:val="000158D7"/>
    <w:rsid w:val="000276C8"/>
    <w:rsid w:val="000339A6"/>
    <w:rsid w:val="000377B1"/>
    <w:rsid w:val="00037E33"/>
    <w:rsid w:val="00041DD7"/>
    <w:rsid w:val="00050EAD"/>
    <w:rsid w:val="000563F1"/>
    <w:rsid w:val="00057148"/>
    <w:rsid w:val="0006220A"/>
    <w:rsid w:val="000627D9"/>
    <w:rsid w:val="00062D60"/>
    <w:rsid w:val="000701EA"/>
    <w:rsid w:val="000753D7"/>
    <w:rsid w:val="00080338"/>
    <w:rsid w:val="00086149"/>
    <w:rsid w:val="000933B7"/>
    <w:rsid w:val="000A4F14"/>
    <w:rsid w:val="000B0AF0"/>
    <w:rsid w:val="000D20F1"/>
    <w:rsid w:val="000E2D77"/>
    <w:rsid w:val="000E6F75"/>
    <w:rsid w:val="000F2934"/>
    <w:rsid w:val="000F5A93"/>
    <w:rsid w:val="000F6DC8"/>
    <w:rsid w:val="00101EC6"/>
    <w:rsid w:val="00105FB5"/>
    <w:rsid w:val="001411BF"/>
    <w:rsid w:val="00141B0F"/>
    <w:rsid w:val="00145ADE"/>
    <w:rsid w:val="00151CF2"/>
    <w:rsid w:val="00157439"/>
    <w:rsid w:val="00160371"/>
    <w:rsid w:val="00161348"/>
    <w:rsid w:val="00164507"/>
    <w:rsid w:val="00167ED7"/>
    <w:rsid w:val="00171C09"/>
    <w:rsid w:val="00180698"/>
    <w:rsid w:val="00182D01"/>
    <w:rsid w:val="00183D22"/>
    <w:rsid w:val="00186765"/>
    <w:rsid w:val="001902C0"/>
    <w:rsid w:val="00191FC1"/>
    <w:rsid w:val="00194F2A"/>
    <w:rsid w:val="0019543C"/>
    <w:rsid w:val="001A3BD5"/>
    <w:rsid w:val="001C146F"/>
    <w:rsid w:val="001C1AB3"/>
    <w:rsid w:val="001C3C88"/>
    <w:rsid w:val="001C5A16"/>
    <w:rsid w:val="001D4196"/>
    <w:rsid w:val="001E7C3D"/>
    <w:rsid w:val="002026B0"/>
    <w:rsid w:val="00215BAC"/>
    <w:rsid w:val="00217FCB"/>
    <w:rsid w:val="00220758"/>
    <w:rsid w:val="00224D3F"/>
    <w:rsid w:val="002260BD"/>
    <w:rsid w:val="00234127"/>
    <w:rsid w:val="00235179"/>
    <w:rsid w:val="0024001D"/>
    <w:rsid w:val="00244988"/>
    <w:rsid w:val="0024645A"/>
    <w:rsid w:val="00261645"/>
    <w:rsid w:val="00261C80"/>
    <w:rsid w:val="00266EFD"/>
    <w:rsid w:val="00282F85"/>
    <w:rsid w:val="002843EB"/>
    <w:rsid w:val="002C15C3"/>
    <w:rsid w:val="002C22ED"/>
    <w:rsid w:val="002C4C5C"/>
    <w:rsid w:val="002C710B"/>
    <w:rsid w:val="002D1268"/>
    <w:rsid w:val="002E605F"/>
    <w:rsid w:val="002E6E54"/>
    <w:rsid w:val="002E79BD"/>
    <w:rsid w:val="002F1D1A"/>
    <w:rsid w:val="002F23E4"/>
    <w:rsid w:val="002F78F2"/>
    <w:rsid w:val="003050DC"/>
    <w:rsid w:val="0031025E"/>
    <w:rsid w:val="00313E7C"/>
    <w:rsid w:val="00314021"/>
    <w:rsid w:val="00322415"/>
    <w:rsid w:val="003232DD"/>
    <w:rsid w:val="003459DC"/>
    <w:rsid w:val="003571C3"/>
    <w:rsid w:val="00362E44"/>
    <w:rsid w:val="003638E5"/>
    <w:rsid w:val="00367654"/>
    <w:rsid w:val="00374773"/>
    <w:rsid w:val="00376775"/>
    <w:rsid w:val="003831DA"/>
    <w:rsid w:val="00383722"/>
    <w:rsid w:val="00383FEC"/>
    <w:rsid w:val="003870EB"/>
    <w:rsid w:val="00393C48"/>
    <w:rsid w:val="00395052"/>
    <w:rsid w:val="003B2C3D"/>
    <w:rsid w:val="003B4552"/>
    <w:rsid w:val="003B5683"/>
    <w:rsid w:val="003C09E3"/>
    <w:rsid w:val="003C1CA4"/>
    <w:rsid w:val="003D323A"/>
    <w:rsid w:val="003D63D7"/>
    <w:rsid w:val="003F5231"/>
    <w:rsid w:val="00400B32"/>
    <w:rsid w:val="004161E3"/>
    <w:rsid w:val="00421ABA"/>
    <w:rsid w:val="00426E24"/>
    <w:rsid w:val="00446748"/>
    <w:rsid w:val="00457F98"/>
    <w:rsid w:val="00483CB1"/>
    <w:rsid w:val="004A23E2"/>
    <w:rsid w:val="004A3177"/>
    <w:rsid w:val="004A3D39"/>
    <w:rsid w:val="004B38B4"/>
    <w:rsid w:val="004B68A7"/>
    <w:rsid w:val="004C7755"/>
    <w:rsid w:val="004D1FCA"/>
    <w:rsid w:val="004D5571"/>
    <w:rsid w:val="004F25C6"/>
    <w:rsid w:val="004F6433"/>
    <w:rsid w:val="004F6CB4"/>
    <w:rsid w:val="00513079"/>
    <w:rsid w:val="00514765"/>
    <w:rsid w:val="005307C8"/>
    <w:rsid w:val="00531707"/>
    <w:rsid w:val="005319D8"/>
    <w:rsid w:val="0054108A"/>
    <w:rsid w:val="00542694"/>
    <w:rsid w:val="00546D17"/>
    <w:rsid w:val="00570E88"/>
    <w:rsid w:val="00573D2D"/>
    <w:rsid w:val="005772AF"/>
    <w:rsid w:val="00580C5C"/>
    <w:rsid w:val="00581367"/>
    <w:rsid w:val="00594B4B"/>
    <w:rsid w:val="00594D25"/>
    <w:rsid w:val="005A2CEC"/>
    <w:rsid w:val="005B1A83"/>
    <w:rsid w:val="005B4B2C"/>
    <w:rsid w:val="005C448F"/>
    <w:rsid w:val="005D7613"/>
    <w:rsid w:val="005E1BCB"/>
    <w:rsid w:val="005E3487"/>
    <w:rsid w:val="005E367C"/>
    <w:rsid w:val="005F73C2"/>
    <w:rsid w:val="00603243"/>
    <w:rsid w:val="00614910"/>
    <w:rsid w:val="00617443"/>
    <w:rsid w:val="00621754"/>
    <w:rsid w:val="006228D5"/>
    <w:rsid w:val="006263F5"/>
    <w:rsid w:val="00627093"/>
    <w:rsid w:val="00643CA0"/>
    <w:rsid w:val="00681DEE"/>
    <w:rsid w:val="006877AD"/>
    <w:rsid w:val="006904AB"/>
    <w:rsid w:val="00690A52"/>
    <w:rsid w:val="006A5944"/>
    <w:rsid w:val="006A7C85"/>
    <w:rsid w:val="006B2024"/>
    <w:rsid w:val="006B47AC"/>
    <w:rsid w:val="006B4CFA"/>
    <w:rsid w:val="006C4624"/>
    <w:rsid w:val="006D4ED4"/>
    <w:rsid w:val="006E1E49"/>
    <w:rsid w:val="006E1F02"/>
    <w:rsid w:val="006E7C8E"/>
    <w:rsid w:val="006F4119"/>
    <w:rsid w:val="00702176"/>
    <w:rsid w:val="00703FD7"/>
    <w:rsid w:val="00705BB0"/>
    <w:rsid w:val="007105D3"/>
    <w:rsid w:val="00712573"/>
    <w:rsid w:val="00713890"/>
    <w:rsid w:val="0072540E"/>
    <w:rsid w:val="007431FE"/>
    <w:rsid w:val="007459A9"/>
    <w:rsid w:val="007617AB"/>
    <w:rsid w:val="00764A2D"/>
    <w:rsid w:val="00772ACB"/>
    <w:rsid w:val="00777CE9"/>
    <w:rsid w:val="00784B74"/>
    <w:rsid w:val="007A1D88"/>
    <w:rsid w:val="007A569A"/>
    <w:rsid w:val="007B201B"/>
    <w:rsid w:val="007B6E2C"/>
    <w:rsid w:val="007C197D"/>
    <w:rsid w:val="007C7442"/>
    <w:rsid w:val="007D7D25"/>
    <w:rsid w:val="007E0B25"/>
    <w:rsid w:val="007F3B20"/>
    <w:rsid w:val="007F3DEB"/>
    <w:rsid w:val="00801EEF"/>
    <w:rsid w:val="0080643C"/>
    <w:rsid w:val="008138F8"/>
    <w:rsid w:val="008140D1"/>
    <w:rsid w:val="008164A3"/>
    <w:rsid w:val="008170F6"/>
    <w:rsid w:val="008220B9"/>
    <w:rsid w:val="00843D6B"/>
    <w:rsid w:val="008450CD"/>
    <w:rsid w:val="008621DB"/>
    <w:rsid w:val="008A5A6F"/>
    <w:rsid w:val="008A6728"/>
    <w:rsid w:val="008A6C23"/>
    <w:rsid w:val="008B6325"/>
    <w:rsid w:val="008C2340"/>
    <w:rsid w:val="008C2BEE"/>
    <w:rsid w:val="008D72C1"/>
    <w:rsid w:val="008E2D38"/>
    <w:rsid w:val="008F3E03"/>
    <w:rsid w:val="00902906"/>
    <w:rsid w:val="00911B3A"/>
    <w:rsid w:val="00913D5D"/>
    <w:rsid w:val="0091472D"/>
    <w:rsid w:val="00925664"/>
    <w:rsid w:val="009317D3"/>
    <w:rsid w:val="00940706"/>
    <w:rsid w:val="0094280F"/>
    <w:rsid w:val="00961B44"/>
    <w:rsid w:val="00964405"/>
    <w:rsid w:val="00966F2C"/>
    <w:rsid w:val="00970253"/>
    <w:rsid w:val="00971C44"/>
    <w:rsid w:val="00975E74"/>
    <w:rsid w:val="0098293E"/>
    <w:rsid w:val="00984348"/>
    <w:rsid w:val="00990423"/>
    <w:rsid w:val="00990B27"/>
    <w:rsid w:val="009A0C70"/>
    <w:rsid w:val="009A2762"/>
    <w:rsid w:val="009A6918"/>
    <w:rsid w:val="009B1879"/>
    <w:rsid w:val="009B1C0E"/>
    <w:rsid w:val="009B4BA5"/>
    <w:rsid w:val="009C74BF"/>
    <w:rsid w:val="00A0007D"/>
    <w:rsid w:val="00A0039F"/>
    <w:rsid w:val="00A15028"/>
    <w:rsid w:val="00A22850"/>
    <w:rsid w:val="00A4715A"/>
    <w:rsid w:val="00A57A97"/>
    <w:rsid w:val="00A60A8F"/>
    <w:rsid w:val="00A64484"/>
    <w:rsid w:val="00A718FB"/>
    <w:rsid w:val="00A84188"/>
    <w:rsid w:val="00A90A15"/>
    <w:rsid w:val="00A93466"/>
    <w:rsid w:val="00A9485F"/>
    <w:rsid w:val="00AA21F4"/>
    <w:rsid w:val="00AB18AE"/>
    <w:rsid w:val="00AB1D45"/>
    <w:rsid w:val="00AB759A"/>
    <w:rsid w:val="00AE6214"/>
    <w:rsid w:val="00AF2720"/>
    <w:rsid w:val="00B02C2A"/>
    <w:rsid w:val="00B07685"/>
    <w:rsid w:val="00B25E1A"/>
    <w:rsid w:val="00B268AC"/>
    <w:rsid w:val="00B34D0B"/>
    <w:rsid w:val="00B4007E"/>
    <w:rsid w:val="00B41A20"/>
    <w:rsid w:val="00B42D8A"/>
    <w:rsid w:val="00B54F9A"/>
    <w:rsid w:val="00B61495"/>
    <w:rsid w:val="00B618CE"/>
    <w:rsid w:val="00B67874"/>
    <w:rsid w:val="00B7694E"/>
    <w:rsid w:val="00B76E2B"/>
    <w:rsid w:val="00B80773"/>
    <w:rsid w:val="00B87339"/>
    <w:rsid w:val="00B96AD9"/>
    <w:rsid w:val="00BA1F58"/>
    <w:rsid w:val="00BA399D"/>
    <w:rsid w:val="00BA6C4B"/>
    <w:rsid w:val="00BB5653"/>
    <w:rsid w:val="00BB7934"/>
    <w:rsid w:val="00BD70C0"/>
    <w:rsid w:val="00BE4CC7"/>
    <w:rsid w:val="00BF4279"/>
    <w:rsid w:val="00C05BC8"/>
    <w:rsid w:val="00C1589B"/>
    <w:rsid w:val="00C33AE9"/>
    <w:rsid w:val="00C35647"/>
    <w:rsid w:val="00C41547"/>
    <w:rsid w:val="00C47CB2"/>
    <w:rsid w:val="00C54C77"/>
    <w:rsid w:val="00C61C45"/>
    <w:rsid w:val="00C61C5C"/>
    <w:rsid w:val="00C66289"/>
    <w:rsid w:val="00C66DBB"/>
    <w:rsid w:val="00C7471A"/>
    <w:rsid w:val="00C826C8"/>
    <w:rsid w:val="00C8648F"/>
    <w:rsid w:val="00CA2E70"/>
    <w:rsid w:val="00CA5584"/>
    <w:rsid w:val="00CA66FE"/>
    <w:rsid w:val="00CB39FF"/>
    <w:rsid w:val="00CC16F7"/>
    <w:rsid w:val="00CC1BAA"/>
    <w:rsid w:val="00CC7BC1"/>
    <w:rsid w:val="00CE32D6"/>
    <w:rsid w:val="00CF2929"/>
    <w:rsid w:val="00CF45B8"/>
    <w:rsid w:val="00CF6E5D"/>
    <w:rsid w:val="00D04EFF"/>
    <w:rsid w:val="00D12932"/>
    <w:rsid w:val="00D17B46"/>
    <w:rsid w:val="00D21795"/>
    <w:rsid w:val="00D51AC3"/>
    <w:rsid w:val="00D55F61"/>
    <w:rsid w:val="00D61AB7"/>
    <w:rsid w:val="00D63C70"/>
    <w:rsid w:val="00D81458"/>
    <w:rsid w:val="00D81648"/>
    <w:rsid w:val="00D835B5"/>
    <w:rsid w:val="00D8407A"/>
    <w:rsid w:val="00D90D46"/>
    <w:rsid w:val="00DA7C13"/>
    <w:rsid w:val="00DB5385"/>
    <w:rsid w:val="00DC538E"/>
    <w:rsid w:val="00DC6BC3"/>
    <w:rsid w:val="00DD00B0"/>
    <w:rsid w:val="00DD0503"/>
    <w:rsid w:val="00DD221C"/>
    <w:rsid w:val="00DD28B5"/>
    <w:rsid w:val="00DD34BE"/>
    <w:rsid w:val="00DD3FE5"/>
    <w:rsid w:val="00DD400E"/>
    <w:rsid w:val="00DE4417"/>
    <w:rsid w:val="00DE5B2C"/>
    <w:rsid w:val="00DF2A48"/>
    <w:rsid w:val="00DF5DE7"/>
    <w:rsid w:val="00E02FB9"/>
    <w:rsid w:val="00E07478"/>
    <w:rsid w:val="00E07A17"/>
    <w:rsid w:val="00E17BBC"/>
    <w:rsid w:val="00E20CE3"/>
    <w:rsid w:val="00E36A5B"/>
    <w:rsid w:val="00E45B44"/>
    <w:rsid w:val="00E46507"/>
    <w:rsid w:val="00E52646"/>
    <w:rsid w:val="00E53CBC"/>
    <w:rsid w:val="00E57B72"/>
    <w:rsid w:val="00E60F0B"/>
    <w:rsid w:val="00E648C8"/>
    <w:rsid w:val="00E64B88"/>
    <w:rsid w:val="00E72729"/>
    <w:rsid w:val="00E8698F"/>
    <w:rsid w:val="00E86BF8"/>
    <w:rsid w:val="00E9085C"/>
    <w:rsid w:val="00EA6048"/>
    <w:rsid w:val="00EA6CC4"/>
    <w:rsid w:val="00EB692E"/>
    <w:rsid w:val="00EC2BDA"/>
    <w:rsid w:val="00EC722D"/>
    <w:rsid w:val="00ED650C"/>
    <w:rsid w:val="00ED7EB8"/>
    <w:rsid w:val="00EE24F2"/>
    <w:rsid w:val="00EE3E1A"/>
    <w:rsid w:val="00EE43B8"/>
    <w:rsid w:val="00EF030F"/>
    <w:rsid w:val="00EF1334"/>
    <w:rsid w:val="00EF4C51"/>
    <w:rsid w:val="00F02EB0"/>
    <w:rsid w:val="00F03488"/>
    <w:rsid w:val="00F06386"/>
    <w:rsid w:val="00F12F82"/>
    <w:rsid w:val="00F169D6"/>
    <w:rsid w:val="00F200CB"/>
    <w:rsid w:val="00F211A6"/>
    <w:rsid w:val="00F30C0D"/>
    <w:rsid w:val="00F601E2"/>
    <w:rsid w:val="00F71413"/>
    <w:rsid w:val="00F753FC"/>
    <w:rsid w:val="00F81F9A"/>
    <w:rsid w:val="00F83E70"/>
    <w:rsid w:val="00F87B49"/>
    <w:rsid w:val="00F94119"/>
    <w:rsid w:val="00FA0FF7"/>
    <w:rsid w:val="00FB1692"/>
    <w:rsid w:val="00FB5977"/>
    <w:rsid w:val="00FB6BC7"/>
    <w:rsid w:val="00FC4C8C"/>
    <w:rsid w:val="00FD1896"/>
    <w:rsid w:val="00FF1A57"/>
    <w:rsid w:val="00FF55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1E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76E2B"/>
    <w:rPr>
      <w:rFonts w:ascii="Arial" w:hAnsi="Arial"/>
    </w:rPr>
  </w:style>
  <w:style w:type="paragraph" w:styleId="Heading1">
    <w:name w:val="heading 1"/>
    <w:basedOn w:val="Normal"/>
    <w:next w:val="Normal"/>
    <w:link w:val="Heading1Char"/>
    <w:uiPriority w:val="9"/>
    <w:qFormat/>
    <w:rsid w:val="00A57A97"/>
    <w:pPr>
      <w:keepNext/>
      <w:keepLines/>
      <w:numPr>
        <w:numId w:val="1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4A31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76E2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76E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76E2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76E2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76E2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76E2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76E2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85C"/>
    <w:pPr>
      <w:spacing w:before="100" w:beforeAutospacing="1" w:after="100" w:afterAutospacing="1"/>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E9085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85C"/>
    <w:rPr>
      <w:rFonts w:ascii="Tahoma" w:hAnsi="Tahoma" w:cs="Tahoma"/>
      <w:sz w:val="16"/>
      <w:szCs w:val="16"/>
    </w:rPr>
  </w:style>
  <w:style w:type="character" w:customStyle="1" w:styleId="Heading1Char">
    <w:name w:val="Heading 1 Char"/>
    <w:basedOn w:val="DefaultParagraphFont"/>
    <w:link w:val="Heading1"/>
    <w:uiPriority w:val="9"/>
    <w:rsid w:val="00A57A9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57A97"/>
    <w:pPr>
      <w:ind w:left="720"/>
      <w:contextualSpacing/>
    </w:pPr>
  </w:style>
  <w:style w:type="paragraph" w:styleId="FootnoteText">
    <w:name w:val="footnote text"/>
    <w:aliases w:val="ft"/>
    <w:basedOn w:val="ARITABodyText"/>
    <w:link w:val="FootnoteTextChar"/>
    <w:autoRedefine/>
    <w:unhideWhenUsed/>
    <w:rsid w:val="00764A2D"/>
    <w:pPr>
      <w:tabs>
        <w:tab w:val="left" w:pos="426"/>
      </w:tabs>
      <w:spacing w:after="0"/>
    </w:pPr>
    <w:rPr>
      <w:rFonts w:cs="Times New Roman"/>
      <w:sz w:val="18"/>
      <w:szCs w:val="18"/>
      <w:lang w:eastAsia="en-AU"/>
    </w:rPr>
  </w:style>
  <w:style w:type="character" w:customStyle="1" w:styleId="FootnoteTextChar">
    <w:name w:val="Footnote Text Char"/>
    <w:aliases w:val="ft Char"/>
    <w:basedOn w:val="DefaultParagraphFont"/>
    <w:link w:val="FootnoteText"/>
    <w:rsid w:val="00764A2D"/>
    <w:rPr>
      <w:rFonts w:ascii="DIN" w:hAnsi="DIN" w:cs="Times New Roman"/>
      <w:sz w:val="18"/>
      <w:szCs w:val="18"/>
      <w:lang w:eastAsia="en-AU"/>
    </w:rPr>
  </w:style>
  <w:style w:type="character" w:styleId="FootnoteReference">
    <w:name w:val="footnote reference"/>
    <w:basedOn w:val="DefaultParagraphFont"/>
    <w:uiPriority w:val="99"/>
    <w:unhideWhenUsed/>
    <w:rsid w:val="00C8648F"/>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C8648F"/>
    <w:rPr>
      <w:sz w:val="16"/>
      <w:szCs w:val="16"/>
    </w:rPr>
  </w:style>
  <w:style w:type="paragraph" w:styleId="CommentText">
    <w:name w:val="annotation text"/>
    <w:basedOn w:val="Normal"/>
    <w:link w:val="CommentTextChar"/>
    <w:uiPriority w:val="99"/>
    <w:semiHidden/>
    <w:unhideWhenUsed/>
    <w:rsid w:val="00C8648F"/>
    <w:pPr>
      <w:spacing w:after="0"/>
    </w:pPr>
    <w:rPr>
      <w:rFonts w:ascii="Calibri" w:hAnsi="Calibri" w:cs="Times New Roman"/>
      <w:sz w:val="20"/>
      <w:szCs w:val="20"/>
      <w:lang w:eastAsia="en-AU"/>
    </w:rPr>
  </w:style>
  <w:style w:type="character" w:customStyle="1" w:styleId="CommentTextChar">
    <w:name w:val="Comment Text Char"/>
    <w:basedOn w:val="DefaultParagraphFont"/>
    <w:link w:val="CommentText"/>
    <w:uiPriority w:val="99"/>
    <w:semiHidden/>
    <w:rsid w:val="00C8648F"/>
    <w:rPr>
      <w:rFonts w:ascii="Calibri" w:hAnsi="Calibri" w:cs="Times New Roman"/>
      <w:sz w:val="20"/>
      <w:szCs w:val="20"/>
      <w:lang w:eastAsia="en-AU"/>
    </w:rPr>
  </w:style>
  <w:style w:type="paragraph" w:styleId="Header">
    <w:name w:val="header"/>
    <w:basedOn w:val="Normal"/>
    <w:link w:val="HeaderChar"/>
    <w:uiPriority w:val="99"/>
    <w:unhideWhenUsed/>
    <w:rsid w:val="00990423"/>
    <w:pPr>
      <w:tabs>
        <w:tab w:val="center" w:pos="4513"/>
        <w:tab w:val="right" w:pos="9026"/>
      </w:tabs>
      <w:spacing w:after="0"/>
    </w:pPr>
    <w:rPr>
      <w:lang w:eastAsia="en-AU"/>
    </w:rPr>
  </w:style>
  <w:style w:type="character" w:customStyle="1" w:styleId="HeaderChar">
    <w:name w:val="Header Char"/>
    <w:basedOn w:val="DefaultParagraphFont"/>
    <w:link w:val="Header"/>
    <w:uiPriority w:val="99"/>
    <w:rsid w:val="00990423"/>
    <w:rPr>
      <w:rFonts w:ascii="DIN" w:eastAsiaTheme="minorEastAsia" w:hAnsi="DIN"/>
      <w:sz w:val="21"/>
      <w:szCs w:val="21"/>
      <w:lang w:eastAsia="en-AU"/>
    </w:rPr>
  </w:style>
  <w:style w:type="table" w:styleId="TableGrid">
    <w:name w:val="Table Grid"/>
    <w:basedOn w:val="TableNormal"/>
    <w:uiPriority w:val="59"/>
    <w:rsid w:val="00990423"/>
    <w:pPr>
      <w:spacing w:after="0"/>
    </w:pPr>
    <w:rPr>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ITAfooter">
    <w:name w:val="ARITA footer"/>
    <w:rsid w:val="00990423"/>
    <w:pPr>
      <w:spacing w:after="60"/>
      <w:ind w:right="6"/>
    </w:pPr>
    <w:rPr>
      <w:rFonts w:ascii="DIN" w:hAnsi="DIN"/>
      <w:color w:val="7F7F7F" w:themeColor="text1" w:themeTint="80"/>
      <w:sz w:val="16"/>
      <w:szCs w:val="16"/>
      <w:lang w:eastAsia="en-AU"/>
    </w:rPr>
  </w:style>
  <w:style w:type="paragraph" w:customStyle="1" w:styleId="ARITAHeading">
    <w:name w:val="ARITA Heading"/>
    <w:basedOn w:val="Normal"/>
    <w:next w:val="Normal"/>
    <w:link w:val="ARITAHeadingChar"/>
    <w:qFormat/>
    <w:rsid w:val="00B76E2B"/>
    <w:rPr>
      <w:b/>
      <w:color w:val="1E46AA"/>
      <w:szCs w:val="21"/>
    </w:rPr>
  </w:style>
  <w:style w:type="numbering" w:customStyle="1" w:styleId="ARITAListBullets">
    <w:name w:val="ARITA List Bullets"/>
    <w:uiPriority w:val="99"/>
    <w:rsid w:val="00990423"/>
    <w:pPr>
      <w:numPr>
        <w:numId w:val="1"/>
      </w:numPr>
    </w:pPr>
  </w:style>
  <w:style w:type="paragraph" w:styleId="ListBullet">
    <w:name w:val="List Bullet"/>
    <w:basedOn w:val="ARITABodyText"/>
    <w:uiPriority w:val="99"/>
    <w:qFormat/>
    <w:rsid w:val="002F78F2"/>
    <w:pPr>
      <w:numPr>
        <w:numId w:val="17"/>
      </w:numPr>
      <w:contextualSpacing/>
    </w:pPr>
  </w:style>
  <w:style w:type="paragraph" w:styleId="ListBullet2">
    <w:name w:val="List Bullet 2"/>
    <w:basedOn w:val="Normal"/>
    <w:uiPriority w:val="99"/>
    <w:unhideWhenUsed/>
    <w:rsid w:val="00990423"/>
    <w:pPr>
      <w:numPr>
        <w:ilvl w:val="1"/>
        <w:numId w:val="17"/>
      </w:numPr>
      <w:contextualSpacing/>
    </w:pPr>
    <w:rPr>
      <w:lang w:eastAsia="en-AU"/>
    </w:rPr>
  </w:style>
  <w:style w:type="paragraph" w:styleId="ListBullet3">
    <w:name w:val="List Bullet 3"/>
    <w:basedOn w:val="Normal"/>
    <w:uiPriority w:val="99"/>
    <w:unhideWhenUsed/>
    <w:rsid w:val="00990423"/>
    <w:pPr>
      <w:numPr>
        <w:ilvl w:val="2"/>
        <w:numId w:val="17"/>
      </w:numPr>
      <w:contextualSpacing/>
    </w:pPr>
    <w:rPr>
      <w:lang w:eastAsia="en-AU"/>
    </w:rPr>
  </w:style>
  <w:style w:type="paragraph" w:styleId="ListBullet4">
    <w:name w:val="List Bullet 4"/>
    <w:basedOn w:val="Normal"/>
    <w:uiPriority w:val="99"/>
    <w:unhideWhenUsed/>
    <w:rsid w:val="00990423"/>
    <w:pPr>
      <w:numPr>
        <w:ilvl w:val="3"/>
        <w:numId w:val="17"/>
      </w:numPr>
      <w:contextualSpacing/>
    </w:pPr>
    <w:rPr>
      <w:lang w:eastAsia="en-AU"/>
    </w:rPr>
  </w:style>
  <w:style w:type="paragraph" w:styleId="ListBullet5">
    <w:name w:val="List Bullet 5"/>
    <w:basedOn w:val="Normal"/>
    <w:uiPriority w:val="99"/>
    <w:unhideWhenUsed/>
    <w:rsid w:val="00990423"/>
    <w:pPr>
      <w:numPr>
        <w:ilvl w:val="4"/>
        <w:numId w:val="17"/>
      </w:numPr>
      <w:contextualSpacing/>
    </w:pPr>
    <w:rPr>
      <w:lang w:eastAsia="en-AU"/>
    </w:rPr>
  </w:style>
  <w:style w:type="paragraph" w:customStyle="1" w:styleId="ARITABodyText">
    <w:name w:val="ARITA Body Text"/>
    <w:basedOn w:val="Normal"/>
    <w:next w:val="Normal"/>
    <w:link w:val="ARITABodyTextChar"/>
    <w:qFormat/>
    <w:rsid w:val="00B76E2B"/>
    <w:rPr>
      <w:szCs w:val="21"/>
    </w:rPr>
  </w:style>
  <w:style w:type="character" w:customStyle="1" w:styleId="ARITABodyTextChar">
    <w:name w:val="ARITA Body Text Char"/>
    <w:basedOn w:val="DefaultParagraphFont"/>
    <w:link w:val="ARITABodyText"/>
    <w:rsid w:val="00B76E2B"/>
    <w:rPr>
      <w:rFonts w:ascii="Arial" w:hAnsi="Arial"/>
      <w:szCs w:val="21"/>
    </w:rPr>
  </w:style>
  <w:style w:type="character" w:customStyle="1" w:styleId="ARITAHeadingChar">
    <w:name w:val="ARITA Heading Char"/>
    <w:basedOn w:val="ARITABodyTextChar"/>
    <w:link w:val="ARITAHeading"/>
    <w:rsid w:val="00B76E2B"/>
    <w:rPr>
      <w:rFonts w:ascii="Arial" w:hAnsi="Arial"/>
      <w:b/>
      <w:color w:val="1E46AA"/>
      <w:szCs w:val="21"/>
    </w:rPr>
  </w:style>
  <w:style w:type="table" w:customStyle="1" w:styleId="LightShading-Accent11">
    <w:name w:val="Light Shading - Accent 11"/>
    <w:basedOn w:val="TableNormal"/>
    <w:uiPriority w:val="60"/>
    <w:rsid w:val="00990423"/>
    <w:pPr>
      <w:spacing w:after="0" w:line="240" w:lineRule="auto"/>
    </w:pPr>
    <w:rPr>
      <w:color w:val="365F91" w:themeColor="accent1" w:themeShade="BF"/>
      <w:lang w:eastAsia="en-AU"/>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RITAReportHeading2">
    <w:name w:val="ARITA Report Heading 2"/>
    <w:basedOn w:val="ARITAReportHeading1"/>
    <w:next w:val="Normal"/>
    <w:link w:val="ARITAReportHeading2Char"/>
    <w:qFormat/>
    <w:rsid w:val="00B76E2B"/>
    <w:pPr>
      <w:numPr>
        <w:ilvl w:val="1"/>
      </w:numPr>
    </w:pPr>
    <w:rPr>
      <w:sz w:val="32"/>
      <w:szCs w:val="32"/>
    </w:rPr>
  </w:style>
  <w:style w:type="paragraph" w:customStyle="1" w:styleId="ARITAReportHeading1">
    <w:name w:val="ARITA Report Heading 1"/>
    <w:basedOn w:val="ARITABodyText"/>
    <w:next w:val="Normal"/>
    <w:link w:val="ARITAReportHeading1Char"/>
    <w:qFormat/>
    <w:rsid w:val="00B76E2B"/>
    <w:pPr>
      <w:numPr>
        <w:numId w:val="30"/>
      </w:numPr>
    </w:pPr>
    <w:rPr>
      <w:color w:val="1E46AA"/>
      <w:sz w:val="40"/>
      <w:szCs w:val="40"/>
    </w:rPr>
  </w:style>
  <w:style w:type="character" w:customStyle="1" w:styleId="ARITAReportHeading1Char">
    <w:name w:val="ARITA Report Heading 1 Char"/>
    <w:basedOn w:val="ARITABodyTextChar"/>
    <w:link w:val="ARITAReportHeading1"/>
    <w:rsid w:val="00B76E2B"/>
    <w:rPr>
      <w:rFonts w:ascii="Arial" w:hAnsi="Arial"/>
      <w:color w:val="1E46AA"/>
      <w:sz w:val="40"/>
      <w:szCs w:val="40"/>
    </w:rPr>
  </w:style>
  <w:style w:type="paragraph" w:customStyle="1" w:styleId="ARITAReportHeading3">
    <w:name w:val="ARITA Report Heading 3"/>
    <w:basedOn w:val="ARITAReportHeading2"/>
    <w:next w:val="Normal"/>
    <w:link w:val="ARITAReportHeading3Char"/>
    <w:qFormat/>
    <w:rsid w:val="00B76E2B"/>
    <w:pPr>
      <w:numPr>
        <w:ilvl w:val="2"/>
      </w:numPr>
    </w:pPr>
    <w:rPr>
      <w:b/>
      <w:color w:val="auto"/>
      <w:sz w:val="26"/>
      <w:szCs w:val="24"/>
    </w:rPr>
  </w:style>
  <w:style w:type="paragraph" w:customStyle="1" w:styleId="ARITAParagraph">
    <w:name w:val="ARITA # Paragraph"/>
    <w:basedOn w:val="ListParagraph"/>
    <w:uiPriority w:val="99"/>
    <w:rsid w:val="00975E74"/>
    <w:pPr>
      <w:numPr>
        <w:numId w:val="7"/>
      </w:numPr>
      <w:contextualSpacing w:val="0"/>
    </w:pPr>
    <w:rPr>
      <w:sz w:val="20"/>
      <w:szCs w:val="20"/>
      <w:lang w:eastAsia="en-AU"/>
    </w:rPr>
  </w:style>
  <w:style w:type="paragraph" w:customStyle="1" w:styleId="ARITAReportHeading4">
    <w:name w:val="ARITA Report Heading 4"/>
    <w:basedOn w:val="ARITAReportHeading3"/>
    <w:next w:val="Normal"/>
    <w:link w:val="ARITAReportHeading4Char"/>
    <w:qFormat/>
    <w:rsid w:val="00B76E2B"/>
    <w:pPr>
      <w:numPr>
        <w:ilvl w:val="3"/>
      </w:numPr>
    </w:pPr>
    <w:rPr>
      <w:i/>
      <w:sz w:val="22"/>
    </w:rPr>
  </w:style>
  <w:style w:type="numbering" w:customStyle="1" w:styleId="ARITANumberedLists">
    <w:name w:val="ARITA Numbered Lists"/>
    <w:uiPriority w:val="99"/>
    <w:rsid w:val="00FF551A"/>
    <w:pPr>
      <w:numPr>
        <w:numId w:val="8"/>
      </w:numPr>
    </w:pPr>
  </w:style>
  <w:style w:type="paragraph" w:styleId="List">
    <w:name w:val="List"/>
    <w:basedOn w:val="Normal"/>
    <w:uiPriority w:val="99"/>
    <w:rsid w:val="002F78F2"/>
    <w:pPr>
      <w:numPr>
        <w:numId w:val="16"/>
      </w:numPr>
      <w:contextualSpacing/>
    </w:pPr>
  </w:style>
  <w:style w:type="paragraph" w:styleId="List2">
    <w:name w:val="List 2"/>
    <w:basedOn w:val="Normal"/>
    <w:uiPriority w:val="99"/>
    <w:unhideWhenUsed/>
    <w:rsid w:val="00FF551A"/>
    <w:pPr>
      <w:numPr>
        <w:ilvl w:val="1"/>
        <w:numId w:val="16"/>
      </w:numPr>
      <w:contextualSpacing/>
    </w:pPr>
    <w:rPr>
      <w:lang w:eastAsia="en-AU"/>
    </w:rPr>
  </w:style>
  <w:style w:type="paragraph" w:styleId="List3">
    <w:name w:val="List 3"/>
    <w:basedOn w:val="Normal"/>
    <w:uiPriority w:val="99"/>
    <w:unhideWhenUsed/>
    <w:rsid w:val="00FF551A"/>
    <w:pPr>
      <w:numPr>
        <w:ilvl w:val="2"/>
        <w:numId w:val="16"/>
      </w:numPr>
      <w:contextualSpacing/>
    </w:pPr>
    <w:rPr>
      <w:lang w:eastAsia="en-AU"/>
    </w:rPr>
  </w:style>
  <w:style w:type="paragraph" w:styleId="List4">
    <w:name w:val="List 4"/>
    <w:basedOn w:val="Normal"/>
    <w:uiPriority w:val="99"/>
    <w:unhideWhenUsed/>
    <w:rsid w:val="00FF551A"/>
    <w:pPr>
      <w:numPr>
        <w:ilvl w:val="3"/>
        <w:numId w:val="16"/>
      </w:numPr>
      <w:contextualSpacing/>
    </w:pPr>
    <w:rPr>
      <w:lang w:eastAsia="en-AU"/>
    </w:rPr>
  </w:style>
  <w:style w:type="character" w:customStyle="1" w:styleId="ARITAReportHeading4Char">
    <w:name w:val="ARITA Report Heading 4 Char"/>
    <w:basedOn w:val="ARITABodyTextChar"/>
    <w:link w:val="ARITAReportHeading4"/>
    <w:rsid w:val="00B76E2B"/>
    <w:rPr>
      <w:rFonts w:ascii="Arial" w:hAnsi="Arial"/>
      <w:b/>
      <w:i/>
      <w:szCs w:val="24"/>
    </w:rPr>
  </w:style>
  <w:style w:type="character" w:styleId="Emphasis">
    <w:name w:val="Emphasis"/>
    <w:uiPriority w:val="20"/>
    <w:rsid w:val="00FF551A"/>
    <w:rPr>
      <w:i/>
      <w:iCs/>
    </w:rPr>
  </w:style>
  <w:style w:type="paragraph" w:styleId="CommentSubject">
    <w:name w:val="annotation subject"/>
    <w:basedOn w:val="CommentText"/>
    <w:next w:val="CommentText"/>
    <w:link w:val="CommentSubjectChar"/>
    <w:uiPriority w:val="99"/>
    <w:semiHidden/>
    <w:unhideWhenUsed/>
    <w:rsid w:val="00220758"/>
    <w:pPr>
      <w:spacing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20758"/>
    <w:rPr>
      <w:rFonts w:ascii="Calibri" w:hAnsi="Calibri" w:cs="Times New Roman"/>
      <w:b/>
      <w:bCs/>
      <w:sz w:val="20"/>
      <w:szCs w:val="20"/>
      <w:lang w:eastAsia="en-AU"/>
    </w:rPr>
  </w:style>
  <w:style w:type="paragraph" w:styleId="Revision">
    <w:name w:val="Revision"/>
    <w:hidden/>
    <w:uiPriority w:val="99"/>
    <w:semiHidden/>
    <w:rsid w:val="00BE4CC7"/>
    <w:pPr>
      <w:spacing w:after="0" w:line="240" w:lineRule="auto"/>
    </w:pPr>
  </w:style>
  <w:style w:type="paragraph" w:styleId="Footer">
    <w:name w:val="footer"/>
    <w:basedOn w:val="Normal"/>
    <w:link w:val="FooterChar"/>
    <w:uiPriority w:val="99"/>
    <w:unhideWhenUsed/>
    <w:rsid w:val="00617443"/>
    <w:pPr>
      <w:tabs>
        <w:tab w:val="center" w:pos="4513"/>
        <w:tab w:val="right" w:pos="9026"/>
      </w:tabs>
      <w:spacing w:after="0"/>
    </w:pPr>
  </w:style>
  <w:style w:type="character" w:customStyle="1" w:styleId="FooterChar">
    <w:name w:val="Footer Char"/>
    <w:basedOn w:val="DefaultParagraphFont"/>
    <w:link w:val="Footer"/>
    <w:uiPriority w:val="99"/>
    <w:rsid w:val="00617443"/>
  </w:style>
  <w:style w:type="paragraph" w:styleId="TOCHeading">
    <w:name w:val="TOC Heading"/>
    <w:basedOn w:val="Heading1"/>
    <w:next w:val="Normal"/>
    <w:uiPriority w:val="39"/>
    <w:semiHidden/>
    <w:unhideWhenUsed/>
    <w:qFormat/>
    <w:rsid w:val="00B76E2B"/>
    <w:pPr>
      <w:numPr>
        <w:numId w:val="0"/>
      </w:numPr>
      <w:outlineLvl w:val="9"/>
    </w:pPr>
  </w:style>
  <w:style w:type="paragraph" w:styleId="TOC1">
    <w:name w:val="toc 1"/>
    <w:basedOn w:val="Normal"/>
    <w:next w:val="Normal"/>
    <w:autoRedefine/>
    <w:uiPriority w:val="39"/>
    <w:unhideWhenUsed/>
    <w:rsid w:val="00617443"/>
    <w:pPr>
      <w:spacing w:after="100"/>
    </w:pPr>
  </w:style>
  <w:style w:type="character" w:styleId="Hyperlink">
    <w:name w:val="Hyperlink"/>
    <w:basedOn w:val="DefaultParagraphFont"/>
    <w:uiPriority w:val="99"/>
    <w:unhideWhenUsed/>
    <w:rsid w:val="00617443"/>
    <w:rPr>
      <w:color w:val="0000FF" w:themeColor="hyperlink"/>
      <w:u w:val="single"/>
    </w:rPr>
  </w:style>
  <w:style w:type="character" w:customStyle="1" w:styleId="Heading3Char">
    <w:name w:val="Heading 3 Char"/>
    <w:basedOn w:val="DefaultParagraphFont"/>
    <w:link w:val="Heading3"/>
    <w:uiPriority w:val="9"/>
    <w:rsid w:val="00B76E2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76E2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76E2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76E2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76E2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76E2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76E2B"/>
    <w:rPr>
      <w:rFonts w:asciiTheme="majorHAnsi" w:eastAsiaTheme="majorEastAsia" w:hAnsiTheme="majorHAnsi" w:cstheme="majorBidi"/>
      <w:i/>
      <w:iCs/>
      <w:color w:val="404040" w:themeColor="text1" w:themeTint="BF"/>
      <w:sz w:val="20"/>
      <w:szCs w:val="20"/>
    </w:rPr>
  </w:style>
  <w:style w:type="character" w:customStyle="1" w:styleId="ARITAReportHeading2Char">
    <w:name w:val="ARITA Report Heading 2 Char"/>
    <w:basedOn w:val="ARITABodyTextChar"/>
    <w:link w:val="ARITAReportHeading2"/>
    <w:rsid w:val="00B76E2B"/>
    <w:rPr>
      <w:rFonts w:ascii="Arial" w:hAnsi="Arial"/>
      <w:color w:val="1E46AA"/>
      <w:sz w:val="32"/>
      <w:szCs w:val="32"/>
    </w:rPr>
  </w:style>
  <w:style w:type="character" w:customStyle="1" w:styleId="ARITAReportHeading3Char">
    <w:name w:val="ARITA Report Heading 3 Char"/>
    <w:basedOn w:val="ARITABodyTextChar"/>
    <w:link w:val="ARITAReportHeading3"/>
    <w:rsid w:val="00B76E2B"/>
    <w:rPr>
      <w:rFonts w:ascii="Arial" w:hAnsi="Arial"/>
      <w:b/>
      <w:sz w:val="26"/>
      <w:szCs w:val="24"/>
    </w:rPr>
  </w:style>
  <w:style w:type="paragraph" w:customStyle="1" w:styleId="ARITAFootnote">
    <w:name w:val="ARITA Footnote"/>
    <w:basedOn w:val="FootnoteText"/>
    <w:link w:val="ARITAFootnoteChar"/>
    <w:qFormat/>
    <w:rsid w:val="004A3177"/>
  </w:style>
  <w:style w:type="character" w:customStyle="1" w:styleId="ARITAFootnoteChar">
    <w:name w:val="ARITA Footnote Char"/>
    <w:basedOn w:val="FootnoteTextChar"/>
    <w:link w:val="ARITAFootnote"/>
    <w:rsid w:val="004A3177"/>
    <w:rPr>
      <w:rFonts w:ascii="DIN" w:eastAsiaTheme="minorHAnsi" w:hAnsi="DIN" w:cs="Times New Roman"/>
      <w:sz w:val="18"/>
      <w:szCs w:val="18"/>
      <w:lang w:eastAsia="en-AU"/>
    </w:rPr>
  </w:style>
  <w:style w:type="paragraph" w:styleId="EndnoteText">
    <w:name w:val="endnote text"/>
    <w:basedOn w:val="Normal"/>
    <w:link w:val="EndnoteTextChar"/>
    <w:uiPriority w:val="99"/>
    <w:semiHidden/>
    <w:unhideWhenUsed/>
    <w:rsid w:val="004161E3"/>
    <w:pPr>
      <w:spacing w:after="0"/>
    </w:pPr>
    <w:rPr>
      <w:sz w:val="20"/>
      <w:szCs w:val="20"/>
    </w:rPr>
  </w:style>
  <w:style w:type="character" w:customStyle="1" w:styleId="EndnoteTextChar">
    <w:name w:val="Endnote Text Char"/>
    <w:basedOn w:val="DefaultParagraphFont"/>
    <w:link w:val="EndnoteText"/>
    <w:uiPriority w:val="99"/>
    <w:semiHidden/>
    <w:rsid w:val="004161E3"/>
    <w:rPr>
      <w:rFonts w:ascii="DIN" w:hAnsi="DIN"/>
      <w:sz w:val="20"/>
      <w:szCs w:val="20"/>
    </w:rPr>
  </w:style>
  <w:style w:type="character" w:styleId="EndnoteReference">
    <w:name w:val="endnote reference"/>
    <w:basedOn w:val="DefaultParagraphFont"/>
    <w:uiPriority w:val="99"/>
    <w:semiHidden/>
    <w:unhideWhenUsed/>
    <w:rsid w:val="004161E3"/>
    <w:rPr>
      <w:vertAlign w:val="superscript"/>
    </w:rPr>
  </w:style>
  <w:style w:type="character" w:customStyle="1" w:styleId="Heading2Char">
    <w:name w:val="Heading 2 Char"/>
    <w:basedOn w:val="DefaultParagraphFont"/>
    <w:link w:val="Heading2"/>
    <w:uiPriority w:val="9"/>
    <w:semiHidden/>
    <w:rsid w:val="004A3177"/>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086149"/>
    <w:rPr>
      <w:color w:val="800080" w:themeColor="followedHyperlink"/>
      <w:u w:val="single"/>
    </w:rPr>
  </w:style>
  <w:style w:type="paragraph" w:styleId="Caption">
    <w:name w:val="caption"/>
    <w:basedOn w:val="Normal"/>
    <w:next w:val="Normal"/>
    <w:uiPriority w:val="35"/>
    <w:semiHidden/>
    <w:unhideWhenUsed/>
    <w:qFormat/>
    <w:rsid w:val="00B76E2B"/>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76E2B"/>
    <w:rPr>
      <w:rFonts w:ascii="Arial" w:hAnsi="Arial"/>
    </w:rPr>
  </w:style>
  <w:style w:type="paragraph" w:styleId="Heading1">
    <w:name w:val="heading 1"/>
    <w:basedOn w:val="Normal"/>
    <w:next w:val="Normal"/>
    <w:link w:val="Heading1Char"/>
    <w:uiPriority w:val="9"/>
    <w:qFormat/>
    <w:rsid w:val="00A57A97"/>
    <w:pPr>
      <w:keepNext/>
      <w:keepLines/>
      <w:numPr>
        <w:numId w:val="1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4A31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76E2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76E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76E2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76E2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76E2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76E2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76E2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85C"/>
    <w:pPr>
      <w:spacing w:before="100" w:beforeAutospacing="1" w:after="100" w:afterAutospacing="1"/>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E9085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85C"/>
    <w:rPr>
      <w:rFonts w:ascii="Tahoma" w:hAnsi="Tahoma" w:cs="Tahoma"/>
      <w:sz w:val="16"/>
      <w:szCs w:val="16"/>
    </w:rPr>
  </w:style>
  <w:style w:type="character" w:customStyle="1" w:styleId="Heading1Char">
    <w:name w:val="Heading 1 Char"/>
    <w:basedOn w:val="DefaultParagraphFont"/>
    <w:link w:val="Heading1"/>
    <w:uiPriority w:val="9"/>
    <w:rsid w:val="00A57A9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57A97"/>
    <w:pPr>
      <w:ind w:left="720"/>
      <w:contextualSpacing/>
    </w:pPr>
  </w:style>
  <w:style w:type="paragraph" w:styleId="FootnoteText">
    <w:name w:val="footnote text"/>
    <w:aliases w:val="ft"/>
    <w:basedOn w:val="ARITABodyText"/>
    <w:link w:val="FootnoteTextChar"/>
    <w:autoRedefine/>
    <w:unhideWhenUsed/>
    <w:rsid w:val="00764A2D"/>
    <w:pPr>
      <w:tabs>
        <w:tab w:val="left" w:pos="426"/>
      </w:tabs>
      <w:spacing w:after="0"/>
    </w:pPr>
    <w:rPr>
      <w:rFonts w:cs="Times New Roman"/>
      <w:sz w:val="18"/>
      <w:szCs w:val="18"/>
      <w:lang w:eastAsia="en-AU"/>
    </w:rPr>
  </w:style>
  <w:style w:type="character" w:customStyle="1" w:styleId="FootnoteTextChar">
    <w:name w:val="Footnote Text Char"/>
    <w:aliases w:val="ft Char"/>
    <w:basedOn w:val="DefaultParagraphFont"/>
    <w:link w:val="FootnoteText"/>
    <w:rsid w:val="00764A2D"/>
    <w:rPr>
      <w:rFonts w:ascii="DIN" w:hAnsi="DIN" w:cs="Times New Roman"/>
      <w:sz w:val="18"/>
      <w:szCs w:val="18"/>
      <w:lang w:eastAsia="en-AU"/>
    </w:rPr>
  </w:style>
  <w:style w:type="character" w:styleId="FootnoteReference">
    <w:name w:val="footnote reference"/>
    <w:basedOn w:val="DefaultParagraphFont"/>
    <w:uiPriority w:val="99"/>
    <w:unhideWhenUsed/>
    <w:rsid w:val="00C8648F"/>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C8648F"/>
    <w:rPr>
      <w:sz w:val="16"/>
      <w:szCs w:val="16"/>
    </w:rPr>
  </w:style>
  <w:style w:type="paragraph" w:styleId="CommentText">
    <w:name w:val="annotation text"/>
    <w:basedOn w:val="Normal"/>
    <w:link w:val="CommentTextChar"/>
    <w:uiPriority w:val="99"/>
    <w:semiHidden/>
    <w:unhideWhenUsed/>
    <w:rsid w:val="00C8648F"/>
    <w:pPr>
      <w:spacing w:after="0"/>
    </w:pPr>
    <w:rPr>
      <w:rFonts w:ascii="Calibri" w:hAnsi="Calibri" w:cs="Times New Roman"/>
      <w:sz w:val="20"/>
      <w:szCs w:val="20"/>
      <w:lang w:eastAsia="en-AU"/>
    </w:rPr>
  </w:style>
  <w:style w:type="character" w:customStyle="1" w:styleId="CommentTextChar">
    <w:name w:val="Comment Text Char"/>
    <w:basedOn w:val="DefaultParagraphFont"/>
    <w:link w:val="CommentText"/>
    <w:uiPriority w:val="99"/>
    <w:semiHidden/>
    <w:rsid w:val="00C8648F"/>
    <w:rPr>
      <w:rFonts w:ascii="Calibri" w:hAnsi="Calibri" w:cs="Times New Roman"/>
      <w:sz w:val="20"/>
      <w:szCs w:val="20"/>
      <w:lang w:eastAsia="en-AU"/>
    </w:rPr>
  </w:style>
  <w:style w:type="paragraph" w:styleId="Header">
    <w:name w:val="header"/>
    <w:basedOn w:val="Normal"/>
    <w:link w:val="HeaderChar"/>
    <w:uiPriority w:val="99"/>
    <w:unhideWhenUsed/>
    <w:rsid w:val="00990423"/>
    <w:pPr>
      <w:tabs>
        <w:tab w:val="center" w:pos="4513"/>
        <w:tab w:val="right" w:pos="9026"/>
      </w:tabs>
      <w:spacing w:after="0"/>
    </w:pPr>
    <w:rPr>
      <w:lang w:eastAsia="en-AU"/>
    </w:rPr>
  </w:style>
  <w:style w:type="character" w:customStyle="1" w:styleId="HeaderChar">
    <w:name w:val="Header Char"/>
    <w:basedOn w:val="DefaultParagraphFont"/>
    <w:link w:val="Header"/>
    <w:uiPriority w:val="99"/>
    <w:rsid w:val="00990423"/>
    <w:rPr>
      <w:rFonts w:ascii="DIN" w:eastAsiaTheme="minorEastAsia" w:hAnsi="DIN"/>
      <w:sz w:val="21"/>
      <w:szCs w:val="21"/>
      <w:lang w:eastAsia="en-AU"/>
    </w:rPr>
  </w:style>
  <w:style w:type="table" w:styleId="TableGrid">
    <w:name w:val="Table Grid"/>
    <w:basedOn w:val="TableNormal"/>
    <w:uiPriority w:val="59"/>
    <w:rsid w:val="00990423"/>
    <w:pPr>
      <w:spacing w:after="0"/>
    </w:pPr>
    <w:rPr>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ITAfooter">
    <w:name w:val="ARITA footer"/>
    <w:rsid w:val="00990423"/>
    <w:pPr>
      <w:spacing w:after="60"/>
      <w:ind w:right="6"/>
    </w:pPr>
    <w:rPr>
      <w:rFonts w:ascii="DIN" w:hAnsi="DIN"/>
      <w:color w:val="7F7F7F" w:themeColor="text1" w:themeTint="80"/>
      <w:sz w:val="16"/>
      <w:szCs w:val="16"/>
      <w:lang w:eastAsia="en-AU"/>
    </w:rPr>
  </w:style>
  <w:style w:type="paragraph" w:customStyle="1" w:styleId="ARITAHeading">
    <w:name w:val="ARITA Heading"/>
    <w:basedOn w:val="Normal"/>
    <w:next w:val="Normal"/>
    <w:link w:val="ARITAHeadingChar"/>
    <w:qFormat/>
    <w:rsid w:val="00B76E2B"/>
    <w:rPr>
      <w:b/>
      <w:color w:val="1E46AA"/>
      <w:szCs w:val="21"/>
    </w:rPr>
  </w:style>
  <w:style w:type="numbering" w:customStyle="1" w:styleId="ARITAListBullets">
    <w:name w:val="ARITA List Bullets"/>
    <w:uiPriority w:val="99"/>
    <w:rsid w:val="00990423"/>
    <w:pPr>
      <w:numPr>
        <w:numId w:val="1"/>
      </w:numPr>
    </w:pPr>
  </w:style>
  <w:style w:type="paragraph" w:styleId="ListBullet">
    <w:name w:val="List Bullet"/>
    <w:basedOn w:val="ARITABodyText"/>
    <w:uiPriority w:val="99"/>
    <w:qFormat/>
    <w:rsid w:val="002F78F2"/>
    <w:pPr>
      <w:numPr>
        <w:numId w:val="17"/>
      </w:numPr>
      <w:contextualSpacing/>
    </w:pPr>
  </w:style>
  <w:style w:type="paragraph" w:styleId="ListBullet2">
    <w:name w:val="List Bullet 2"/>
    <w:basedOn w:val="Normal"/>
    <w:uiPriority w:val="99"/>
    <w:unhideWhenUsed/>
    <w:rsid w:val="00990423"/>
    <w:pPr>
      <w:numPr>
        <w:ilvl w:val="1"/>
        <w:numId w:val="17"/>
      </w:numPr>
      <w:contextualSpacing/>
    </w:pPr>
    <w:rPr>
      <w:lang w:eastAsia="en-AU"/>
    </w:rPr>
  </w:style>
  <w:style w:type="paragraph" w:styleId="ListBullet3">
    <w:name w:val="List Bullet 3"/>
    <w:basedOn w:val="Normal"/>
    <w:uiPriority w:val="99"/>
    <w:unhideWhenUsed/>
    <w:rsid w:val="00990423"/>
    <w:pPr>
      <w:numPr>
        <w:ilvl w:val="2"/>
        <w:numId w:val="17"/>
      </w:numPr>
      <w:contextualSpacing/>
    </w:pPr>
    <w:rPr>
      <w:lang w:eastAsia="en-AU"/>
    </w:rPr>
  </w:style>
  <w:style w:type="paragraph" w:styleId="ListBullet4">
    <w:name w:val="List Bullet 4"/>
    <w:basedOn w:val="Normal"/>
    <w:uiPriority w:val="99"/>
    <w:unhideWhenUsed/>
    <w:rsid w:val="00990423"/>
    <w:pPr>
      <w:numPr>
        <w:ilvl w:val="3"/>
        <w:numId w:val="17"/>
      </w:numPr>
      <w:contextualSpacing/>
    </w:pPr>
    <w:rPr>
      <w:lang w:eastAsia="en-AU"/>
    </w:rPr>
  </w:style>
  <w:style w:type="paragraph" w:styleId="ListBullet5">
    <w:name w:val="List Bullet 5"/>
    <w:basedOn w:val="Normal"/>
    <w:uiPriority w:val="99"/>
    <w:unhideWhenUsed/>
    <w:rsid w:val="00990423"/>
    <w:pPr>
      <w:numPr>
        <w:ilvl w:val="4"/>
        <w:numId w:val="17"/>
      </w:numPr>
      <w:contextualSpacing/>
    </w:pPr>
    <w:rPr>
      <w:lang w:eastAsia="en-AU"/>
    </w:rPr>
  </w:style>
  <w:style w:type="paragraph" w:customStyle="1" w:styleId="ARITABodyText">
    <w:name w:val="ARITA Body Text"/>
    <w:basedOn w:val="Normal"/>
    <w:next w:val="Normal"/>
    <w:link w:val="ARITABodyTextChar"/>
    <w:qFormat/>
    <w:rsid w:val="00B76E2B"/>
    <w:rPr>
      <w:szCs w:val="21"/>
    </w:rPr>
  </w:style>
  <w:style w:type="character" w:customStyle="1" w:styleId="ARITABodyTextChar">
    <w:name w:val="ARITA Body Text Char"/>
    <w:basedOn w:val="DefaultParagraphFont"/>
    <w:link w:val="ARITABodyText"/>
    <w:rsid w:val="00B76E2B"/>
    <w:rPr>
      <w:rFonts w:ascii="Arial" w:hAnsi="Arial"/>
      <w:szCs w:val="21"/>
    </w:rPr>
  </w:style>
  <w:style w:type="character" w:customStyle="1" w:styleId="ARITAHeadingChar">
    <w:name w:val="ARITA Heading Char"/>
    <w:basedOn w:val="ARITABodyTextChar"/>
    <w:link w:val="ARITAHeading"/>
    <w:rsid w:val="00B76E2B"/>
    <w:rPr>
      <w:rFonts w:ascii="Arial" w:hAnsi="Arial"/>
      <w:b/>
      <w:color w:val="1E46AA"/>
      <w:szCs w:val="21"/>
    </w:rPr>
  </w:style>
  <w:style w:type="table" w:customStyle="1" w:styleId="LightShading-Accent11">
    <w:name w:val="Light Shading - Accent 11"/>
    <w:basedOn w:val="TableNormal"/>
    <w:uiPriority w:val="60"/>
    <w:rsid w:val="00990423"/>
    <w:pPr>
      <w:spacing w:after="0" w:line="240" w:lineRule="auto"/>
    </w:pPr>
    <w:rPr>
      <w:color w:val="365F91" w:themeColor="accent1" w:themeShade="BF"/>
      <w:lang w:eastAsia="en-AU"/>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RITAReportHeading2">
    <w:name w:val="ARITA Report Heading 2"/>
    <w:basedOn w:val="ARITAReportHeading1"/>
    <w:next w:val="Normal"/>
    <w:link w:val="ARITAReportHeading2Char"/>
    <w:qFormat/>
    <w:rsid w:val="00B76E2B"/>
    <w:pPr>
      <w:numPr>
        <w:ilvl w:val="1"/>
      </w:numPr>
    </w:pPr>
    <w:rPr>
      <w:sz w:val="32"/>
      <w:szCs w:val="32"/>
    </w:rPr>
  </w:style>
  <w:style w:type="paragraph" w:customStyle="1" w:styleId="ARITAReportHeading1">
    <w:name w:val="ARITA Report Heading 1"/>
    <w:basedOn w:val="ARITABodyText"/>
    <w:next w:val="Normal"/>
    <w:link w:val="ARITAReportHeading1Char"/>
    <w:qFormat/>
    <w:rsid w:val="00B76E2B"/>
    <w:pPr>
      <w:numPr>
        <w:numId w:val="30"/>
      </w:numPr>
    </w:pPr>
    <w:rPr>
      <w:color w:val="1E46AA"/>
      <w:sz w:val="40"/>
      <w:szCs w:val="40"/>
    </w:rPr>
  </w:style>
  <w:style w:type="character" w:customStyle="1" w:styleId="ARITAReportHeading1Char">
    <w:name w:val="ARITA Report Heading 1 Char"/>
    <w:basedOn w:val="ARITABodyTextChar"/>
    <w:link w:val="ARITAReportHeading1"/>
    <w:rsid w:val="00B76E2B"/>
    <w:rPr>
      <w:rFonts w:ascii="Arial" w:hAnsi="Arial"/>
      <w:color w:val="1E46AA"/>
      <w:sz w:val="40"/>
      <w:szCs w:val="40"/>
    </w:rPr>
  </w:style>
  <w:style w:type="paragraph" w:customStyle="1" w:styleId="ARITAReportHeading3">
    <w:name w:val="ARITA Report Heading 3"/>
    <w:basedOn w:val="ARITAReportHeading2"/>
    <w:next w:val="Normal"/>
    <w:link w:val="ARITAReportHeading3Char"/>
    <w:qFormat/>
    <w:rsid w:val="00B76E2B"/>
    <w:pPr>
      <w:numPr>
        <w:ilvl w:val="2"/>
      </w:numPr>
    </w:pPr>
    <w:rPr>
      <w:b/>
      <w:color w:val="auto"/>
      <w:sz w:val="26"/>
      <w:szCs w:val="24"/>
    </w:rPr>
  </w:style>
  <w:style w:type="paragraph" w:customStyle="1" w:styleId="ARITAParagraph">
    <w:name w:val="ARITA # Paragraph"/>
    <w:basedOn w:val="ListParagraph"/>
    <w:uiPriority w:val="99"/>
    <w:rsid w:val="00975E74"/>
    <w:pPr>
      <w:numPr>
        <w:numId w:val="7"/>
      </w:numPr>
      <w:contextualSpacing w:val="0"/>
    </w:pPr>
    <w:rPr>
      <w:sz w:val="20"/>
      <w:szCs w:val="20"/>
      <w:lang w:eastAsia="en-AU"/>
    </w:rPr>
  </w:style>
  <w:style w:type="paragraph" w:customStyle="1" w:styleId="ARITAReportHeading4">
    <w:name w:val="ARITA Report Heading 4"/>
    <w:basedOn w:val="ARITAReportHeading3"/>
    <w:next w:val="Normal"/>
    <w:link w:val="ARITAReportHeading4Char"/>
    <w:qFormat/>
    <w:rsid w:val="00B76E2B"/>
    <w:pPr>
      <w:numPr>
        <w:ilvl w:val="3"/>
      </w:numPr>
    </w:pPr>
    <w:rPr>
      <w:i/>
      <w:sz w:val="22"/>
    </w:rPr>
  </w:style>
  <w:style w:type="numbering" w:customStyle="1" w:styleId="ARITANumberedLists">
    <w:name w:val="ARITA Numbered Lists"/>
    <w:uiPriority w:val="99"/>
    <w:rsid w:val="00FF551A"/>
    <w:pPr>
      <w:numPr>
        <w:numId w:val="8"/>
      </w:numPr>
    </w:pPr>
  </w:style>
  <w:style w:type="paragraph" w:styleId="List">
    <w:name w:val="List"/>
    <w:basedOn w:val="Normal"/>
    <w:uiPriority w:val="99"/>
    <w:rsid w:val="002F78F2"/>
    <w:pPr>
      <w:numPr>
        <w:numId w:val="16"/>
      </w:numPr>
      <w:contextualSpacing/>
    </w:pPr>
  </w:style>
  <w:style w:type="paragraph" w:styleId="List2">
    <w:name w:val="List 2"/>
    <w:basedOn w:val="Normal"/>
    <w:uiPriority w:val="99"/>
    <w:unhideWhenUsed/>
    <w:rsid w:val="00FF551A"/>
    <w:pPr>
      <w:numPr>
        <w:ilvl w:val="1"/>
        <w:numId w:val="16"/>
      </w:numPr>
      <w:contextualSpacing/>
    </w:pPr>
    <w:rPr>
      <w:lang w:eastAsia="en-AU"/>
    </w:rPr>
  </w:style>
  <w:style w:type="paragraph" w:styleId="List3">
    <w:name w:val="List 3"/>
    <w:basedOn w:val="Normal"/>
    <w:uiPriority w:val="99"/>
    <w:unhideWhenUsed/>
    <w:rsid w:val="00FF551A"/>
    <w:pPr>
      <w:numPr>
        <w:ilvl w:val="2"/>
        <w:numId w:val="16"/>
      </w:numPr>
      <w:contextualSpacing/>
    </w:pPr>
    <w:rPr>
      <w:lang w:eastAsia="en-AU"/>
    </w:rPr>
  </w:style>
  <w:style w:type="paragraph" w:styleId="List4">
    <w:name w:val="List 4"/>
    <w:basedOn w:val="Normal"/>
    <w:uiPriority w:val="99"/>
    <w:unhideWhenUsed/>
    <w:rsid w:val="00FF551A"/>
    <w:pPr>
      <w:numPr>
        <w:ilvl w:val="3"/>
        <w:numId w:val="16"/>
      </w:numPr>
      <w:contextualSpacing/>
    </w:pPr>
    <w:rPr>
      <w:lang w:eastAsia="en-AU"/>
    </w:rPr>
  </w:style>
  <w:style w:type="character" w:customStyle="1" w:styleId="ARITAReportHeading4Char">
    <w:name w:val="ARITA Report Heading 4 Char"/>
    <w:basedOn w:val="ARITABodyTextChar"/>
    <w:link w:val="ARITAReportHeading4"/>
    <w:rsid w:val="00B76E2B"/>
    <w:rPr>
      <w:rFonts w:ascii="Arial" w:hAnsi="Arial"/>
      <w:b/>
      <w:i/>
      <w:szCs w:val="24"/>
    </w:rPr>
  </w:style>
  <w:style w:type="character" w:styleId="Emphasis">
    <w:name w:val="Emphasis"/>
    <w:uiPriority w:val="20"/>
    <w:rsid w:val="00FF551A"/>
    <w:rPr>
      <w:i/>
      <w:iCs/>
    </w:rPr>
  </w:style>
  <w:style w:type="paragraph" w:styleId="CommentSubject">
    <w:name w:val="annotation subject"/>
    <w:basedOn w:val="CommentText"/>
    <w:next w:val="CommentText"/>
    <w:link w:val="CommentSubjectChar"/>
    <w:uiPriority w:val="99"/>
    <w:semiHidden/>
    <w:unhideWhenUsed/>
    <w:rsid w:val="00220758"/>
    <w:pPr>
      <w:spacing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20758"/>
    <w:rPr>
      <w:rFonts w:ascii="Calibri" w:hAnsi="Calibri" w:cs="Times New Roman"/>
      <w:b/>
      <w:bCs/>
      <w:sz w:val="20"/>
      <w:szCs w:val="20"/>
      <w:lang w:eastAsia="en-AU"/>
    </w:rPr>
  </w:style>
  <w:style w:type="paragraph" w:styleId="Revision">
    <w:name w:val="Revision"/>
    <w:hidden/>
    <w:uiPriority w:val="99"/>
    <w:semiHidden/>
    <w:rsid w:val="00BE4CC7"/>
    <w:pPr>
      <w:spacing w:after="0" w:line="240" w:lineRule="auto"/>
    </w:pPr>
  </w:style>
  <w:style w:type="paragraph" w:styleId="Footer">
    <w:name w:val="footer"/>
    <w:basedOn w:val="Normal"/>
    <w:link w:val="FooterChar"/>
    <w:uiPriority w:val="99"/>
    <w:unhideWhenUsed/>
    <w:rsid w:val="00617443"/>
    <w:pPr>
      <w:tabs>
        <w:tab w:val="center" w:pos="4513"/>
        <w:tab w:val="right" w:pos="9026"/>
      </w:tabs>
      <w:spacing w:after="0"/>
    </w:pPr>
  </w:style>
  <w:style w:type="character" w:customStyle="1" w:styleId="FooterChar">
    <w:name w:val="Footer Char"/>
    <w:basedOn w:val="DefaultParagraphFont"/>
    <w:link w:val="Footer"/>
    <w:uiPriority w:val="99"/>
    <w:rsid w:val="00617443"/>
  </w:style>
  <w:style w:type="paragraph" w:styleId="TOCHeading">
    <w:name w:val="TOC Heading"/>
    <w:basedOn w:val="Heading1"/>
    <w:next w:val="Normal"/>
    <w:uiPriority w:val="39"/>
    <w:semiHidden/>
    <w:unhideWhenUsed/>
    <w:qFormat/>
    <w:rsid w:val="00B76E2B"/>
    <w:pPr>
      <w:numPr>
        <w:numId w:val="0"/>
      </w:numPr>
      <w:outlineLvl w:val="9"/>
    </w:pPr>
  </w:style>
  <w:style w:type="paragraph" w:styleId="TOC1">
    <w:name w:val="toc 1"/>
    <w:basedOn w:val="Normal"/>
    <w:next w:val="Normal"/>
    <w:autoRedefine/>
    <w:uiPriority w:val="39"/>
    <w:unhideWhenUsed/>
    <w:rsid w:val="00617443"/>
    <w:pPr>
      <w:spacing w:after="100"/>
    </w:pPr>
  </w:style>
  <w:style w:type="character" w:styleId="Hyperlink">
    <w:name w:val="Hyperlink"/>
    <w:basedOn w:val="DefaultParagraphFont"/>
    <w:uiPriority w:val="99"/>
    <w:unhideWhenUsed/>
    <w:rsid w:val="00617443"/>
    <w:rPr>
      <w:color w:val="0000FF" w:themeColor="hyperlink"/>
      <w:u w:val="single"/>
    </w:rPr>
  </w:style>
  <w:style w:type="character" w:customStyle="1" w:styleId="Heading3Char">
    <w:name w:val="Heading 3 Char"/>
    <w:basedOn w:val="DefaultParagraphFont"/>
    <w:link w:val="Heading3"/>
    <w:uiPriority w:val="9"/>
    <w:rsid w:val="00B76E2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76E2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76E2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76E2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76E2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76E2B"/>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B76E2B"/>
    <w:rPr>
      <w:rFonts w:asciiTheme="majorHAnsi" w:eastAsiaTheme="majorEastAsia" w:hAnsiTheme="majorHAnsi" w:cstheme="majorBidi"/>
      <w:i/>
      <w:iCs/>
      <w:color w:val="404040" w:themeColor="text1" w:themeTint="BF"/>
      <w:sz w:val="20"/>
      <w:szCs w:val="20"/>
    </w:rPr>
  </w:style>
  <w:style w:type="character" w:customStyle="1" w:styleId="ARITAReportHeading2Char">
    <w:name w:val="ARITA Report Heading 2 Char"/>
    <w:basedOn w:val="ARITABodyTextChar"/>
    <w:link w:val="ARITAReportHeading2"/>
    <w:rsid w:val="00B76E2B"/>
    <w:rPr>
      <w:rFonts w:ascii="Arial" w:hAnsi="Arial"/>
      <w:color w:val="1E46AA"/>
      <w:sz w:val="32"/>
      <w:szCs w:val="32"/>
    </w:rPr>
  </w:style>
  <w:style w:type="character" w:customStyle="1" w:styleId="ARITAReportHeading3Char">
    <w:name w:val="ARITA Report Heading 3 Char"/>
    <w:basedOn w:val="ARITABodyTextChar"/>
    <w:link w:val="ARITAReportHeading3"/>
    <w:rsid w:val="00B76E2B"/>
    <w:rPr>
      <w:rFonts w:ascii="Arial" w:hAnsi="Arial"/>
      <w:b/>
      <w:sz w:val="26"/>
      <w:szCs w:val="24"/>
    </w:rPr>
  </w:style>
  <w:style w:type="paragraph" w:customStyle="1" w:styleId="ARITAFootnote">
    <w:name w:val="ARITA Footnote"/>
    <w:basedOn w:val="FootnoteText"/>
    <w:link w:val="ARITAFootnoteChar"/>
    <w:qFormat/>
    <w:rsid w:val="004A3177"/>
  </w:style>
  <w:style w:type="character" w:customStyle="1" w:styleId="ARITAFootnoteChar">
    <w:name w:val="ARITA Footnote Char"/>
    <w:basedOn w:val="FootnoteTextChar"/>
    <w:link w:val="ARITAFootnote"/>
    <w:rsid w:val="004A3177"/>
    <w:rPr>
      <w:rFonts w:ascii="DIN" w:eastAsiaTheme="minorHAnsi" w:hAnsi="DIN" w:cs="Times New Roman"/>
      <w:sz w:val="18"/>
      <w:szCs w:val="18"/>
      <w:lang w:eastAsia="en-AU"/>
    </w:rPr>
  </w:style>
  <w:style w:type="paragraph" w:styleId="EndnoteText">
    <w:name w:val="endnote text"/>
    <w:basedOn w:val="Normal"/>
    <w:link w:val="EndnoteTextChar"/>
    <w:uiPriority w:val="99"/>
    <w:semiHidden/>
    <w:unhideWhenUsed/>
    <w:rsid w:val="004161E3"/>
    <w:pPr>
      <w:spacing w:after="0"/>
    </w:pPr>
    <w:rPr>
      <w:sz w:val="20"/>
      <w:szCs w:val="20"/>
    </w:rPr>
  </w:style>
  <w:style w:type="character" w:customStyle="1" w:styleId="EndnoteTextChar">
    <w:name w:val="Endnote Text Char"/>
    <w:basedOn w:val="DefaultParagraphFont"/>
    <w:link w:val="EndnoteText"/>
    <w:uiPriority w:val="99"/>
    <w:semiHidden/>
    <w:rsid w:val="004161E3"/>
    <w:rPr>
      <w:rFonts w:ascii="DIN" w:hAnsi="DIN"/>
      <w:sz w:val="20"/>
      <w:szCs w:val="20"/>
    </w:rPr>
  </w:style>
  <w:style w:type="character" w:styleId="EndnoteReference">
    <w:name w:val="endnote reference"/>
    <w:basedOn w:val="DefaultParagraphFont"/>
    <w:uiPriority w:val="99"/>
    <w:semiHidden/>
    <w:unhideWhenUsed/>
    <w:rsid w:val="004161E3"/>
    <w:rPr>
      <w:vertAlign w:val="superscript"/>
    </w:rPr>
  </w:style>
  <w:style w:type="character" w:customStyle="1" w:styleId="Heading2Char">
    <w:name w:val="Heading 2 Char"/>
    <w:basedOn w:val="DefaultParagraphFont"/>
    <w:link w:val="Heading2"/>
    <w:uiPriority w:val="9"/>
    <w:semiHidden/>
    <w:rsid w:val="004A3177"/>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086149"/>
    <w:rPr>
      <w:color w:val="800080" w:themeColor="followedHyperlink"/>
      <w:u w:val="single"/>
    </w:rPr>
  </w:style>
  <w:style w:type="paragraph" w:styleId="Caption">
    <w:name w:val="caption"/>
    <w:basedOn w:val="Normal"/>
    <w:next w:val="Normal"/>
    <w:uiPriority w:val="35"/>
    <w:semiHidden/>
    <w:unhideWhenUsed/>
    <w:qFormat/>
    <w:rsid w:val="00B76E2B"/>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6429">
      <w:bodyDiv w:val="1"/>
      <w:marLeft w:val="0"/>
      <w:marRight w:val="0"/>
      <w:marTop w:val="0"/>
      <w:marBottom w:val="0"/>
      <w:divBdr>
        <w:top w:val="none" w:sz="0" w:space="0" w:color="auto"/>
        <w:left w:val="none" w:sz="0" w:space="0" w:color="auto"/>
        <w:bottom w:val="none" w:sz="0" w:space="0" w:color="auto"/>
        <w:right w:val="none" w:sz="0" w:space="0" w:color="auto"/>
      </w:divBdr>
    </w:div>
    <w:div w:id="251819603">
      <w:bodyDiv w:val="1"/>
      <w:marLeft w:val="0"/>
      <w:marRight w:val="0"/>
      <w:marTop w:val="0"/>
      <w:marBottom w:val="0"/>
      <w:divBdr>
        <w:top w:val="none" w:sz="0" w:space="0" w:color="auto"/>
        <w:left w:val="none" w:sz="0" w:space="0" w:color="auto"/>
        <w:bottom w:val="none" w:sz="0" w:space="0" w:color="auto"/>
        <w:right w:val="none" w:sz="0" w:space="0" w:color="auto"/>
      </w:divBdr>
    </w:div>
    <w:div w:id="574559472">
      <w:bodyDiv w:val="1"/>
      <w:marLeft w:val="0"/>
      <w:marRight w:val="0"/>
      <w:marTop w:val="0"/>
      <w:marBottom w:val="0"/>
      <w:divBdr>
        <w:top w:val="none" w:sz="0" w:space="0" w:color="auto"/>
        <w:left w:val="none" w:sz="0" w:space="0" w:color="auto"/>
        <w:bottom w:val="none" w:sz="0" w:space="0" w:color="auto"/>
        <w:right w:val="none" w:sz="0" w:space="0" w:color="auto"/>
      </w:divBdr>
    </w:div>
    <w:div w:id="1482770902">
      <w:bodyDiv w:val="1"/>
      <w:marLeft w:val="0"/>
      <w:marRight w:val="0"/>
      <w:marTop w:val="0"/>
      <w:marBottom w:val="0"/>
      <w:divBdr>
        <w:top w:val="none" w:sz="0" w:space="0" w:color="auto"/>
        <w:left w:val="none" w:sz="0" w:space="0" w:color="auto"/>
        <w:bottom w:val="none" w:sz="0" w:space="0" w:color="auto"/>
        <w:right w:val="none" w:sz="0" w:space="0" w:color="auto"/>
      </w:divBdr>
    </w:div>
    <w:div w:id="1488550484">
      <w:bodyDiv w:val="1"/>
      <w:marLeft w:val="0"/>
      <w:marRight w:val="0"/>
      <w:marTop w:val="0"/>
      <w:marBottom w:val="0"/>
      <w:divBdr>
        <w:top w:val="none" w:sz="0" w:space="0" w:color="auto"/>
        <w:left w:val="none" w:sz="0" w:space="0" w:color="auto"/>
        <w:bottom w:val="none" w:sz="0" w:space="0" w:color="auto"/>
        <w:right w:val="none" w:sz="0" w:space="0" w:color="auto"/>
      </w:divBdr>
    </w:div>
    <w:div w:id="1553080964">
      <w:bodyDiv w:val="1"/>
      <w:marLeft w:val="0"/>
      <w:marRight w:val="0"/>
      <w:marTop w:val="0"/>
      <w:marBottom w:val="0"/>
      <w:divBdr>
        <w:top w:val="none" w:sz="0" w:space="0" w:color="auto"/>
        <w:left w:val="none" w:sz="0" w:space="0" w:color="auto"/>
        <w:bottom w:val="none" w:sz="0" w:space="0" w:color="auto"/>
        <w:right w:val="none" w:sz="0" w:space="0" w:color="auto"/>
      </w:divBdr>
    </w:div>
    <w:div w:id="201375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6DB654723AED94BB725236A5B0F3AE3" ma:contentTypeVersion="5" ma:contentTypeDescription="" ma:contentTypeScope="" ma:versionID="d117582cab1127ea6aa78a894608469a">
  <xsd:schema xmlns:xsd="http://www.w3.org/2001/XMLSchema" xmlns:xs="http://www.w3.org/2001/XMLSchema" xmlns:p="http://schemas.microsoft.com/office/2006/metadata/properties" xmlns:ns2="ee13c9c8-6565-4e71-a0a2-a2050e330ad8" xmlns:ns3="7f4cf430-939c-4e86-a306-e6be23f89472" targetNamespace="http://schemas.microsoft.com/office/2006/metadata/properties" ma:root="true" ma:fieldsID="4e97abc5e99623172acb40ffc6902899" ns2:_="" ns3:_="">
    <xsd:import namespace="ee13c9c8-6565-4e71-a0a2-a2050e330ad8"/>
    <xsd:import namespace="7f4cf430-939c-4e86-a306-e6be23f89472"/>
    <xsd:element name="properties">
      <xsd:complexType>
        <xsd:sequence>
          <xsd:element name="documentManagement">
            <xsd:complexType>
              <xsd:all>
                <xsd:element ref="ns2:Jurisdiction"/>
                <xsd:element ref="ns3:Sub_x0020_number"/>
                <xsd:element ref="ns3:Submitter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3c9c8-6565-4e71-a0a2-a2050e330ad8" elementFormDefault="qualified">
    <xsd:import namespace="http://schemas.microsoft.com/office/2006/documentManagement/types"/>
    <xsd:import namespace="http://schemas.microsoft.com/office/infopath/2007/PartnerControls"/>
    <xsd:element name="Jurisdiction" ma:index="8" ma:displayName="Jurisdiction" ma:default="National" ma:description="Jurisdiction"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schema>
  <xsd:schema xmlns:xsd="http://www.w3.org/2001/XMLSchema" xmlns:xs="http://www.w3.org/2001/XMLSchema" xmlns:dms="http://schemas.microsoft.com/office/2006/documentManagement/types" xmlns:pc="http://schemas.microsoft.com/office/infopath/2007/PartnerControls" targetNamespace="7f4cf430-939c-4e86-a306-e6be23f89472" elementFormDefault="qualified">
    <xsd:import namespace="http://schemas.microsoft.com/office/2006/documentManagement/types"/>
    <xsd:import namespace="http://schemas.microsoft.com/office/infopath/2007/PartnerControls"/>
    <xsd:element name="Sub_x0020_number" ma:index="9" ma:displayName="Sub number" ma:description="All files associated with this submission number" ma:internalName="Sub_x0020_number">
      <xsd:simpleType>
        <xsd:restriction base="dms:Text">
          <xsd:maxLength value="10"/>
        </xsd:restriction>
      </xsd:simpleType>
    </xsd:element>
    <xsd:element name="Submitter_x0020_type" ma:index="10" ma:displayName="Submitter type" ma:description="Type of submitter" ma:format="Dropdown" ma:internalName="Submitter_x0020_type">
      <xsd:simpleType>
        <xsd:restriction base="dms:Choice">
          <xsd:enumeration value="Individual"/>
          <xsd:enumeration value="Business"/>
          <xsd:enumeration value="Business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ee13c9c8-6565-4e71-a0a2-a2050e330ad8">National</Jurisdiction>
    <Sub_x0020_number xmlns="7f4cf430-939c-4e86-a306-e6be23f89472">31</Sub_x0020_number>
    <Submitter_x0020_type xmlns="7f4cf430-939c-4e86-a306-e6be23f89472">Business</Submitter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E6AE4-CE18-40E1-980E-8EC2CA0EA14D}">
  <ds:schemaRefs>
    <ds:schemaRef ds:uri="http://schemas.microsoft.com/office/2006/metadata/customXsn"/>
  </ds:schemaRefs>
</ds:datastoreItem>
</file>

<file path=customXml/itemProps2.xml><?xml version="1.0" encoding="utf-8"?>
<ds:datastoreItem xmlns:ds="http://schemas.openxmlformats.org/officeDocument/2006/customXml" ds:itemID="{FB118E7E-C925-438D-8C99-3DDAB25FB8BF}">
  <ds:schemaRefs>
    <ds:schemaRef ds:uri="http://schemas.microsoft.com/sharepoint/events"/>
  </ds:schemaRefs>
</ds:datastoreItem>
</file>

<file path=customXml/itemProps3.xml><?xml version="1.0" encoding="utf-8"?>
<ds:datastoreItem xmlns:ds="http://schemas.openxmlformats.org/officeDocument/2006/customXml" ds:itemID="{E5FDF6C0-E81B-421E-9590-815641E7E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3c9c8-6565-4e71-a0a2-a2050e330ad8"/>
    <ds:schemaRef ds:uri="7f4cf430-939c-4e86-a306-e6be23f8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5AB6A7-DCE6-4091-8981-1E3EAF3A88F5}">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ee13c9c8-6565-4e71-a0a2-a2050e330ad8"/>
    <ds:schemaRef ds:uri="http://purl.org/dc/elements/1.1/"/>
    <ds:schemaRef ds:uri="http://schemas.microsoft.com/office/infopath/2007/PartnerControls"/>
    <ds:schemaRef ds:uri="7f4cf430-939c-4e86-a306-e6be23f89472"/>
    <ds:schemaRef ds:uri="http://www.w3.org/XML/1998/namespace"/>
  </ds:schemaRefs>
</ds:datastoreItem>
</file>

<file path=customXml/itemProps5.xml><?xml version="1.0" encoding="utf-8"?>
<ds:datastoreItem xmlns:ds="http://schemas.openxmlformats.org/officeDocument/2006/customXml" ds:itemID="{D2D7BD66-3BB3-470D-BAF6-118F98784809}">
  <ds:schemaRefs>
    <ds:schemaRef ds:uri="http://schemas.microsoft.com/sharepoint/v3/contenttype/forms"/>
  </ds:schemaRefs>
</ds:datastoreItem>
</file>

<file path=customXml/itemProps6.xml><?xml version="1.0" encoding="utf-8"?>
<ds:datastoreItem xmlns:ds="http://schemas.openxmlformats.org/officeDocument/2006/customXml" ds:itemID="{4107078A-267B-4B38-955D-0DCA63FE8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3747</Words>
  <Characters>21358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Submission 31 - Attachment - Australian Restructuring Insolvency &amp; Turnaround Association (ARITA) - Business Set-up, Transfer and Closure - Public inquiry</vt:lpstr>
    </vt:vector>
  </TitlesOfParts>
  <Company>Australian Restructuring Insolvency &amp; Turnaround Association (ARITA)</Company>
  <LinksUpToDate>false</LinksUpToDate>
  <CharactersWithSpaces>25055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31 - Attachment - Australian Restructuring Insolvency &amp; Turnaround Association (ARITA) - Business Set-up, Transfer and Closure - Public inquiry</dc:title>
  <dc:creator>Australian Restructuring Insolvency &amp; Turnaround Association (ARITA)</dc:creator>
  <cp:lastModifiedBy>Mark Pimperl</cp:lastModifiedBy>
  <cp:revision>3</cp:revision>
  <cp:lastPrinted>2015-03-02T05:51:00Z</cp:lastPrinted>
  <dcterms:created xsi:type="dcterms:W3CDTF">2015-03-04T00:10:00Z</dcterms:created>
  <dcterms:modified xsi:type="dcterms:W3CDTF">2015-03-04T00:45:00Z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0x01010066EDC8E18BFE9C418F00295EA55D44EA0015EE9FD84A134F42A8E78176E2093D4400F6DB654723AED94BB725236A5B0F3AE3</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{ee13c9c8-6565-4e71-a0a2-a2050e330ad8}</vt:lpwstr>
  </property>
  <property fmtid="{D5CDD505-2E9C-101B-9397-08002B2CF9AE}" pid="6" name="RecordPoint_ActiveItemUniqueId">
    <vt:lpwstr>{561e5eaf-ff8e-4adc-91ff-8f1e4c40df02}</vt:lpwstr>
  </property>
  <property fmtid="{D5CDD505-2E9C-101B-9397-08002B2CF9AE}" pid="7" name="RecordPoint_ActiveItemWebId">
    <vt:lpwstr>{7f4cf430-939c-4e86-a306-e6be23f89472}</vt:lpwstr>
  </property>
  <property fmtid="{D5CDD505-2E9C-101B-9397-08002B2CF9AE}" pid="8" name="IconOverlay">
    <vt:lpwstr/>
  </property>
  <property fmtid="{D5CDD505-2E9C-101B-9397-08002B2CF9AE}" pid="9" name="RecordPoint_SubmissionCompleted">
    <vt:lpwstr>2015-03-04T11:10:55.7192528+11:00</vt:lpwstr>
  </property>
  <property fmtid="{D5CDD505-2E9C-101B-9397-08002B2CF9AE}" pid="10" name="RecordPoint_RecordNumberSubmitted">
    <vt:lpwstr>R0000009295</vt:lpwstr>
  </property>
</Properties>
</file>