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C0AAD" w14:textId="77777777" w:rsidR="00D67BA0" w:rsidRPr="00ED2260" w:rsidRDefault="00ED2260" w:rsidP="00ED2260">
      <w:pPr>
        <w:jc w:val="center"/>
        <w:rPr>
          <w:rFonts w:ascii="Times New Roman" w:hAnsi="Times New Roman"/>
          <w:sz w:val="32"/>
          <w:szCs w:val="32"/>
        </w:rPr>
      </w:pPr>
      <w:bookmarkStart w:id="0" w:name="_GoBack"/>
      <w:bookmarkEnd w:id="0"/>
      <w:r w:rsidRPr="00ED2260">
        <w:rPr>
          <w:rFonts w:ascii="Times New Roman" w:hAnsi="Times New Roman"/>
          <w:sz w:val="32"/>
          <w:szCs w:val="32"/>
        </w:rPr>
        <w:t>Protected Industrial Action Ballot Order Applications</w:t>
      </w:r>
    </w:p>
    <w:p w14:paraId="18625BCE" w14:textId="77777777" w:rsidR="00ED2260" w:rsidRDefault="00ED2260" w:rsidP="00ED2260">
      <w:pPr>
        <w:jc w:val="center"/>
        <w:rPr>
          <w:rFonts w:ascii="Times New Roman" w:hAnsi="Times New Roman"/>
        </w:rPr>
      </w:pPr>
    </w:p>
    <w:p w14:paraId="10689B52" w14:textId="77777777" w:rsidR="00ED2260" w:rsidRPr="00ED2260" w:rsidRDefault="00ED2260" w:rsidP="00ED2260">
      <w:pPr>
        <w:jc w:val="center"/>
        <w:rPr>
          <w:rFonts w:ascii="Times New Roman" w:hAnsi="Times New Roman"/>
          <w:sz w:val="28"/>
          <w:szCs w:val="28"/>
        </w:rPr>
      </w:pPr>
      <w:r w:rsidRPr="00ED2260">
        <w:rPr>
          <w:rFonts w:ascii="Times New Roman" w:hAnsi="Times New Roman"/>
          <w:sz w:val="28"/>
          <w:szCs w:val="28"/>
        </w:rPr>
        <w:t>Professor Breen Creighton</w:t>
      </w:r>
    </w:p>
    <w:p w14:paraId="181B5615" w14:textId="77777777" w:rsidR="00ED2260" w:rsidRDefault="00ED2260" w:rsidP="00ED2260">
      <w:pPr>
        <w:jc w:val="center"/>
        <w:rPr>
          <w:rFonts w:ascii="Times New Roman" w:hAnsi="Times New Roman"/>
        </w:rPr>
      </w:pPr>
      <w:r>
        <w:rPr>
          <w:rFonts w:ascii="Times New Roman" w:hAnsi="Times New Roman"/>
        </w:rPr>
        <w:t xml:space="preserve">RMIT </w:t>
      </w:r>
      <w:r w:rsidR="00F64344">
        <w:rPr>
          <w:rFonts w:ascii="Times New Roman" w:hAnsi="Times New Roman"/>
        </w:rPr>
        <w:t xml:space="preserve">Graduate </w:t>
      </w:r>
      <w:r>
        <w:rPr>
          <w:rFonts w:ascii="Times New Roman" w:hAnsi="Times New Roman"/>
        </w:rPr>
        <w:t>School of Business and Law</w:t>
      </w:r>
    </w:p>
    <w:p w14:paraId="6BC22D6E" w14:textId="77777777" w:rsidR="00ED2260" w:rsidRPr="00ED2260" w:rsidRDefault="00ED2260" w:rsidP="00F64344">
      <w:pPr>
        <w:jc w:val="center"/>
        <w:rPr>
          <w:rFonts w:ascii="Times New Roman" w:hAnsi="Times New Roman"/>
          <w:sz w:val="28"/>
          <w:szCs w:val="28"/>
        </w:rPr>
      </w:pPr>
      <w:r w:rsidRPr="00ED2260">
        <w:rPr>
          <w:rFonts w:ascii="Times New Roman" w:hAnsi="Times New Roman"/>
          <w:sz w:val="28"/>
          <w:szCs w:val="28"/>
        </w:rPr>
        <w:t>Associate Professor Shae McCrystal</w:t>
      </w:r>
    </w:p>
    <w:p w14:paraId="1355D1F2" w14:textId="77777777" w:rsidR="00ED2260" w:rsidRDefault="00ED2260" w:rsidP="00ED2260">
      <w:pPr>
        <w:jc w:val="center"/>
        <w:rPr>
          <w:rFonts w:ascii="Times New Roman" w:hAnsi="Times New Roman"/>
        </w:rPr>
      </w:pPr>
      <w:r>
        <w:rPr>
          <w:rFonts w:ascii="Times New Roman" w:hAnsi="Times New Roman"/>
        </w:rPr>
        <w:t>Sydney Law School</w:t>
      </w:r>
    </w:p>
    <w:p w14:paraId="5E63E37D" w14:textId="77777777" w:rsidR="00F64344" w:rsidRPr="00ED2260" w:rsidRDefault="00F64344" w:rsidP="00F64344">
      <w:pPr>
        <w:jc w:val="center"/>
        <w:rPr>
          <w:rFonts w:ascii="Times New Roman" w:hAnsi="Times New Roman"/>
          <w:sz w:val="28"/>
          <w:szCs w:val="28"/>
        </w:rPr>
      </w:pPr>
      <w:r w:rsidRPr="00ED2260">
        <w:rPr>
          <w:rFonts w:ascii="Times New Roman" w:hAnsi="Times New Roman"/>
          <w:sz w:val="28"/>
          <w:szCs w:val="28"/>
        </w:rPr>
        <w:t>Professor Richard Johnstone</w:t>
      </w:r>
    </w:p>
    <w:p w14:paraId="391B238D" w14:textId="77777777" w:rsidR="00F64344" w:rsidRDefault="00F64344" w:rsidP="00F64344">
      <w:pPr>
        <w:jc w:val="center"/>
        <w:rPr>
          <w:rFonts w:ascii="Times New Roman" w:hAnsi="Times New Roman"/>
        </w:rPr>
      </w:pPr>
      <w:r>
        <w:rPr>
          <w:rFonts w:ascii="Times New Roman" w:hAnsi="Times New Roman"/>
        </w:rPr>
        <w:t>QUT School of Law</w:t>
      </w:r>
    </w:p>
    <w:p w14:paraId="612FBCB3" w14:textId="77777777" w:rsidR="00ED2260" w:rsidRDefault="00ED2260" w:rsidP="00ED2260">
      <w:pPr>
        <w:jc w:val="center"/>
        <w:rPr>
          <w:rFonts w:ascii="Times New Roman" w:hAnsi="Times New Roman"/>
        </w:rPr>
      </w:pPr>
    </w:p>
    <w:p w14:paraId="7F670F1E" w14:textId="77777777" w:rsidR="00ED2260" w:rsidRDefault="00ED2260" w:rsidP="00ED2260">
      <w:pPr>
        <w:jc w:val="center"/>
        <w:rPr>
          <w:rFonts w:ascii="Times New Roman" w:hAnsi="Times New Roman"/>
        </w:rPr>
      </w:pPr>
    </w:p>
    <w:p w14:paraId="2FBBE7E9" w14:textId="77777777" w:rsidR="00ED2260" w:rsidRDefault="00ED2260" w:rsidP="00ED2260">
      <w:pPr>
        <w:jc w:val="center"/>
        <w:rPr>
          <w:rFonts w:ascii="Times New Roman" w:hAnsi="Times New Roman"/>
        </w:rPr>
      </w:pPr>
      <w:r>
        <w:rPr>
          <w:rFonts w:ascii="Times New Roman" w:hAnsi="Times New Roman"/>
        </w:rPr>
        <w:t>Submission to the Productivity Commission Inquiry into the Workplace Relations Framework</w:t>
      </w:r>
    </w:p>
    <w:p w14:paraId="56BCB2C8" w14:textId="77777777" w:rsidR="00ED2260" w:rsidRPr="00ED2260" w:rsidRDefault="00ED2260" w:rsidP="00ED2260">
      <w:pPr>
        <w:jc w:val="center"/>
        <w:rPr>
          <w:rFonts w:ascii="Times New Roman" w:hAnsi="Times New Roman"/>
        </w:rPr>
      </w:pPr>
      <w:r>
        <w:rPr>
          <w:rFonts w:ascii="Times New Roman" w:hAnsi="Times New Roman"/>
        </w:rPr>
        <w:t>March 2015</w:t>
      </w:r>
    </w:p>
    <w:p w14:paraId="20237408" w14:textId="77777777" w:rsidR="00ED2260" w:rsidRDefault="00ED2260"/>
    <w:p w14:paraId="0B27146D" w14:textId="77777777" w:rsidR="002A7832" w:rsidRDefault="002A7832"/>
    <w:p w14:paraId="754751F1" w14:textId="77777777" w:rsidR="002A7832" w:rsidRDefault="002A7832"/>
    <w:p w14:paraId="4C1F7B2B" w14:textId="77777777" w:rsidR="002A7832" w:rsidRDefault="002A7832"/>
    <w:p w14:paraId="6EC4FAC2" w14:textId="77777777" w:rsidR="002A7832" w:rsidRDefault="002A7832"/>
    <w:p w14:paraId="15D4D206" w14:textId="77777777" w:rsidR="002A7832" w:rsidRDefault="002A7832"/>
    <w:p w14:paraId="2089F916" w14:textId="77777777" w:rsidR="002A7832" w:rsidRDefault="002A7832">
      <w:pPr>
        <w:spacing w:after="0" w:line="240" w:lineRule="auto"/>
      </w:pPr>
      <w:r>
        <w:br w:type="page"/>
      </w:r>
    </w:p>
    <w:p w14:paraId="682590B7" w14:textId="77777777" w:rsidR="00D84C09" w:rsidRPr="007F07F5" w:rsidRDefault="002A7832" w:rsidP="00295B0B">
      <w:pPr>
        <w:spacing w:line="360" w:lineRule="auto"/>
        <w:jc w:val="both"/>
        <w:rPr>
          <w:rFonts w:ascii="Times New Roman" w:hAnsi="Times New Roman"/>
          <w:sz w:val="24"/>
          <w:szCs w:val="24"/>
        </w:rPr>
      </w:pPr>
      <w:r w:rsidRPr="007F07F5">
        <w:rPr>
          <w:rFonts w:ascii="Times New Roman" w:hAnsi="Times New Roman"/>
          <w:sz w:val="24"/>
          <w:szCs w:val="24"/>
        </w:rPr>
        <w:lastRenderedPageBreak/>
        <w:t xml:space="preserve">This submission has been prepared by Professor Breen Creighton, Professor Richard Johnstone and Associate Professor Shae McCrystal, who are the co-chief investigators on a three year Australian Research Council funded project examining protected industrial action ballot order applications made to the Fair Work Commission. </w:t>
      </w:r>
      <w:r w:rsidR="00D84C09" w:rsidRPr="007F07F5">
        <w:rPr>
          <w:rFonts w:ascii="Times New Roman" w:hAnsi="Times New Roman"/>
          <w:sz w:val="24"/>
          <w:szCs w:val="24"/>
        </w:rPr>
        <w:t xml:space="preserve"> </w:t>
      </w:r>
    </w:p>
    <w:p w14:paraId="042DA084" w14:textId="77777777" w:rsidR="00D84C09" w:rsidRPr="007F07F5" w:rsidRDefault="00D84C09" w:rsidP="00295B0B">
      <w:pPr>
        <w:spacing w:line="360" w:lineRule="auto"/>
        <w:jc w:val="both"/>
        <w:rPr>
          <w:rFonts w:ascii="Times New Roman" w:hAnsi="Times New Roman"/>
          <w:sz w:val="24"/>
          <w:szCs w:val="24"/>
        </w:rPr>
      </w:pPr>
      <w:r w:rsidRPr="007F07F5">
        <w:rPr>
          <w:rFonts w:ascii="Times New Roman" w:hAnsi="Times New Roman"/>
          <w:sz w:val="24"/>
          <w:szCs w:val="24"/>
        </w:rPr>
        <w:t xml:space="preserve">The submission is made in response to questions raised by the Productivity Commission in Issues Paper 3, </w:t>
      </w:r>
      <w:r w:rsidRPr="007F07F5">
        <w:rPr>
          <w:rFonts w:ascii="Times New Roman" w:hAnsi="Times New Roman"/>
          <w:i/>
          <w:sz w:val="24"/>
          <w:szCs w:val="24"/>
        </w:rPr>
        <w:t>Workplace Relations Framework: The Bargaining Framework</w:t>
      </w:r>
      <w:r w:rsidRPr="007F07F5">
        <w:rPr>
          <w:rFonts w:ascii="Times New Roman" w:hAnsi="Times New Roman"/>
          <w:sz w:val="24"/>
          <w:szCs w:val="24"/>
        </w:rPr>
        <w:t xml:space="preserve"> relating to the protected industrial action ballot order application requirement under the </w:t>
      </w:r>
      <w:r w:rsidRPr="007F07F5">
        <w:rPr>
          <w:rFonts w:ascii="Times New Roman" w:hAnsi="Times New Roman"/>
          <w:i/>
          <w:sz w:val="24"/>
          <w:szCs w:val="24"/>
        </w:rPr>
        <w:t>Fair Work Act 2009</w:t>
      </w:r>
      <w:r w:rsidRPr="007F07F5">
        <w:rPr>
          <w:rFonts w:ascii="Times New Roman" w:hAnsi="Times New Roman"/>
          <w:sz w:val="24"/>
          <w:szCs w:val="24"/>
        </w:rPr>
        <w:t xml:space="preserve"> (Cth)</w:t>
      </w:r>
      <w:r w:rsidR="00295B0B">
        <w:rPr>
          <w:rFonts w:ascii="Times New Roman" w:hAnsi="Times New Roman"/>
          <w:sz w:val="24"/>
          <w:szCs w:val="24"/>
        </w:rPr>
        <w:t xml:space="preserve"> (FW Act)</w:t>
      </w:r>
      <w:r w:rsidRPr="007F07F5">
        <w:rPr>
          <w:rFonts w:ascii="Times New Roman" w:hAnsi="Times New Roman"/>
          <w:sz w:val="24"/>
          <w:szCs w:val="24"/>
        </w:rPr>
        <w:t>, and will inform the Productivity Commission about work we are undertaking empirically to answer those questions. The questions are: ‘Some commentators argue that the secret ballot requirements are too prescriptive. The Commission seeks participants views’ (p 13); and ‘any need to change the protected action ballot process’ (p 14). The research project may also provide empirical information with respect to the related question about aborted strikes – ‘the prevalence of ‘aborted strikes’ … as a negotiating tool’.</w:t>
      </w:r>
    </w:p>
    <w:p w14:paraId="657387DF" w14:textId="77777777" w:rsidR="007F07F5" w:rsidRDefault="00D21F9F" w:rsidP="00295B0B">
      <w:pPr>
        <w:spacing w:line="360" w:lineRule="auto"/>
        <w:jc w:val="both"/>
        <w:rPr>
          <w:rFonts w:ascii="Times New Roman" w:hAnsi="Times New Roman"/>
          <w:sz w:val="24"/>
          <w:szCs w:val="24"/>
        </w:rPr>
      </w:pPr>
      <w:r w:rsidRPr="007F07F5">
        <w:rPr>
          <w:rFonts w:ascii="Times New Roman" w:hAnsi="Times New Roman"/>
          <w:sz w:val="24"/>
          <w:szCs w:val="24"/>
        </w:rPr>
        <w:t>The</w:t>
      </w:r>
      <w:r w:rsidR="00295B0B">
        <w:rPr>
          <w:rFonts w:ascii="Times New Roman" w:hAnsi="Times New Roman"/>
          <w:sz w:val="24"/>
          <w:szCs w:val="24"/>
        </w:rPr>
        <w:t xml:space="preserve"> FW Act</w:t>
      </w:r>
      <w:r w:rsidRPr="007F07F5">
        <w:rPr>
          <w:rFonts w:ascii="Times New Roman" w:hAnsi="Times New Roman"/>
          <w:sz w:val="24"/>
          <w:szCs w:val="24"/>
        </w:rPr>
        <w:t xml:space="preserve"> provides that protected industrial action by employees and their bargaining representatives is restricted to support for negotiations for a single-enterprise agreement, </w:t>
      </w:r>
      <w:proofErr w:type="gramStart"/>
      <w:r w:rsidRPr="007F07F5">
        <w:rPr>
          <w:rFonts w:ascii="Times New Roman" w:hAnsi="Times New Roman"/>
          <w:sz w:val="24"/>
          <w:szCs w:val="24"/>
        </w:rPr>
        <w:t>subject</w:t>
      </w:r>
      <w:proofErr w:type="gramEnd"/>
      <w:r w:rsidRPr="007F07F5">
        <w:rPr>
          <w:rFonts w:ascii="Times New Roman" w:hAnsi="Times New Roman"/>
          <w:sz w:val="24"/>
          <w:szCs w:val="24"/>
        </w:rPr>
        <w:t xml:space="preserve"> to the Fair Work Commission (‘FWC’) authorising an independent secret ballot of employees to approve the taking of protected industrial action through a protected action ballot order.  Any industrial action taken without a protected industrial action ballot order may give rise to common law or statutory liability.  This means that protected industrial action ballot orders are the ‘access gate’ to lawful industrial action and that FWC authorisation of protected action ballot applications plays a crucial role in mediating access to such action.  </w:t>
      </w:r>
    </w:p>
    <w:p w14:paraId="1C305E64" w14:textId="77777777" w:rsidR="00D21F9F" w:rsidRPr="007F07F5" w:rsidRDefault="00D21F9F" w:rsidP="00295B0B">
      <w:pPr>
        <w:spacing w:after="60" w:line="360" w:lineRule="auto"/>
        <w:jc w:val="both"/>
        <w:rPr>
          <w:rFonts w:ascii="Times New Roman" w:hAnsi="Times New Roman"/>
          <w:sz w:val="24"/>
          <w:szCs w:val="24"/>
        </w:rPr>
      </w:pPr>
      <w:r w:rsidRPr="007F07F5">
        <w:rPr>
          <w:rFonts w:ascii="Times New Roman" w:hAnsi="Times New Roman"/>
          <w:sz w:val="24"/>
          <w:szCs w:val="24"/>
        </w:rPr>
        <w:t xml:space="preserve">Because the threat of industrial action is an important bargaining lever in negotiations, the protected action ballot order process impacts on bargaining conduct, including the timing of protected action, and the conduct of bargaining representatives.  In practice, applications for protected action ballot orders may be made for a variety of reasons: </w:t>
      </w:r>
    </w:p>
    <w:p w14:paraId="06A1D6C8" w14:textId="77777777" w:rsidR="00D21F9F" w:rsidRPr="007F07F5" w:rsidRDefault="00D21F9F" w:rsidP="00295B0B">
      <w:pPr>
        <w:pStyle w:val="ListParagraph"/>
        <w:numPr>
          <w:ilvl w:val="0"/>
          <w:numId w:val="1"/>
        </w:numPr>
        <w:spacing w:after="60" w:line="360" w:lineRule="auto"/>
        <w:jc w:val="both"/>
        <w:rPr>
          <w:rFonts w:ascii="Times New Roman" w:hAnsi="Times New Roman"/>
          <w:sz w:val="24"/>
          <w:szCs w:val="24"/>
        </w:rPr>
      </w:pPr>
      <w:r w:rsidRPr="007F07F5">
        <w:rPr>
          <w:rFonts w:ascii="Times New Roman" w:hAnsi="Times New Roman"/>
          <w:sz w:val="24"/>
          <w:szCs w:val="24"/>
        </w:rPr>
        <w:t xml:space="preserve">because the bargaining representative is ready and prepared to take protected industrial action; </w:t>
      </w:r>
    </w:p>
    <w:p w14:paraId="09B96FD5" w14:textId="77777777" w:rsidR="00D21F9F" w:rsidRPr="007F07F5" w:rsidRDefault="00D21F9F" w:rsidP="00295B0B">
      <w:pPr>
        <w:pStyle w:val="ListParagraph"/>
        <w:numPr>
          <w:ilvl w:val="0"/>
          <w:numId w:val="1"/>
        </w:numPr>
        <w:spacing w:after="60" w:line="360" w:lineRule="auto"/>
        <w:jc w:val="both"/>
        <w:rPr>
          <w:rFonts w:ascii="Times New Roman" w:hAnsi="Times New Roman"/>
          <w:sz w:val="24"/>
          <w:szCs w:val="24"/>
        </w:rPr>
      </w:pPr>
      <w:r w:rsidRPr="007F07F5">
        <w:rPr>
          <w:rFonts w:ascii="Times New Roman" w:hAnsi="Times New Roman"/>
          <w:sz w:val="24"/>
          <w:szCs w:val="24"/>
        </w:rPr>
        <w:t xml:space="preserve">because the bargaining representative is contemplating the possibility of taking protected industrial action and wishes to be able to access that option at relatively short notice; or </w:t>
      </w:r>
    </w:p>
    <w:p w14:paraId="2A03E232" w14:textId="77777777" w:rsidR="00D21F9F" w:rsidRPr="007F07F5" w:rsidRDefault="00D21F9F" w:rsidP="00295B0B">
      <w:pPr>
        <w:pStyle w:val="ListParagraph"/>
        <w:numPr>
          <w:ilvl w:val="0"/>
          <w:numId w:val="1"/>
        </w:numPr>
        <w:spacing w:after="60" w:line="360" w:lineRule="auto"/>
        <w:jc w:val="both"/>
        <w:rPr>
          <w:rFonts w:ascii="Times New Roman" w:hAnsi="Times New Roman"/>
          <w:sz w:val="24"/>
          <w:szCs w:val="24"/>
        </w:rPr>
      </w:pPr>
      <w:proofErr w:type="gramStart"/>
      <w:r w:rsidRPr="007F07F5">
        <w:rPr>
          <w:rFonts w:ascii="Times New Roman" w:hAnsi="Times New Roman"/>
          <w:sz w:val="24"/>
          <w:szCs w:val="24"/>
        </w:rPr>
        <w:lastRenderedPageBreak/>
        <w:t>because</w:t>
      </w:r>
      <w:proofErr w:type="gramEnd"/>
      <w:r w:rsidRPr="007F07F5">
        <w:rPr>
          <w:rFonts w:ascii="Times New Roman" w:hAnsi="Times New Roman"/>
          <w:sz w:val="24"/>
          <w:szCs w:val="24"/>
        </w:rPr>
        <w:t xml:space="preserve"> the bargaining representative wishes to obtain leverage in enterprise bargaining negotiations without necessarily having an intention actually to take such action. </w:t>
      </w:r>
    </w:p>
    <w:p w14:paraId="72096B42" w14:textId="77777777" w:rsidR="003635AE" w:rsidRPr="0018755B" w:rsidRDefault="00D21F9F" w:rsidP="0018755B">
      <w:pPr>
        <w:spacing w:line="360" w:lineRule="auto"/>
        <w:jc w:val="both"/>
      </w:pPr>
      <w:r>
        <w:t xml:space="preserve"> </w:t>
      </w:r>
      <w:r w:rsidR="003635AE" w:rsidRPr="003635AE">
        <w:rPr>
          <w:rFonts w:ascii="Times New Roman" w:hAnsi="Times New Roman"/>
          <w:sz w:val="24"/>
          <w:szCs w:val="24"/>
        </w:rPr>
        <w:t xml:space="preserve">A review of the literature on the </w:t>
      </w:r>
      <w:r w:rsidR="003635AE">
        <w:rPr>
          <w:rFonts w:ascii="Times New Roman" w:hAnsi="Times New Roman"/>
          <w:sz w:val="24"/>
          <w:szCs w:val="24"/>
        </w:rPr>
        <w:t>protected action ballot</w:t>
      </w:r>
      <w:r w:rsidR="003635AE" w:rsidRPr="003635AE">
        <w:rPr>
          <w:rFonts w:ascii="Times New Roman" w:hAnsi="Times New Roman"/>
          <w:sz w:val="24"/>
          <w:szCs w:val="24"/>
        </w:rPr>
        <w:t xml:space="preserve"> process shows that there are no empirical data with respect to its impact in practice. A s</w:t>
      </w:r>
      <w:r w:rsidR="003635AE">
        <w:rPr>
          <w:rFonts w:ascii="Times New Roman" w:hAnsi="Times New Roman"/>
          <w:sz w:val="24"/>
          <w:szCs w:val="24"/>
        </w:rPr>
        <w:t>tudy by Orr and Murugesan</w:t>
      </w:r>
      <w:r w:rsidR="003635AE" w:rsidRPr="003635AE">
        <w:rPr>
          <w:rFonts w:ascii="Times New Roman" w:hAnsi="Times New Roman"/>
          <w:sz w:val="24"/>
          <w:szCs w:val="24"/>
        </w:rPr>
        <w:t xml:space="preserve"> examined compulsory ballots through the lens of theories of freedom of association and democracy, questioning whether </w:t>
      </w:r>
      <w:r w:rsidR="003635AE">
        <w:rPr>
          <w:rFonts w:ascii="Times New Roman" w:hAnsi="Times New Roman"/>
          <w:sz w:val="24"/>
          <w:szCs w:val="24"/>
        </w:rPr>
        <w:t>protected industrial action ballots</w:t>
      </w:r>
      <w:r w:rsidR="003635AE" w:rsidRPr="003635AE">
        <w:rPr>
          <w:rFonts w:ascii="Times New Roman" w:hAnsi="Times New Roman"/>
          <w:sz w:val="24"/>
          <w:szCs w:val="24"/>
        </w:rPr>
        <w:t xml:space="preserve"> are necessary from the perspective of facilitating democracy.</w:t>
      </w:r>
      <w:r w:rsidR="003635AE">
        <w:rPr>
          <w:rStyle w:val="FootnoteReference"/>
          <w:rFonts w:ascii="Times New Roman" w:hAnsi="Times New Roman"/>
          <w:sz w:val="24"/>
          <w:szCs w:val="24"/>
        </w:rPr>
        <w:footnoteReference w:id="1"/>
      </w:r>
      <w:r w:rsidR="003635AE" w:rsidRPr="003635AE">
        <w:rPr>
          <w:rFonts w:ascii="Times New Roman" w:hAnsi="Times New Roman"/>
          <w:sz w:val="24"/>
          <w:szCs w:val="24"/>
        </w:rPr>
        <w:t xml:space="preserve">  Other scholars have explored the complex law that has developed with respect to the requirement that an applicant for a ballot ‘genuinely try to </w:t>
      </w:r>
      <w:r w:rsidR="003635AE">
        <w:rPr>
          <w:rFonts w:ascii="Times New Roman" w:hAnsi="Times New Roman"/>
          <w:sz w:val="24"/>
          <w:szCs w:val="24"/>
        </w:rPr>
        <w:t>reach agreement’</w:t>
      </w:r>
      <w:r w:rsidR="003635AE" w:rsidRPr="003635AE">
        <w:rPr>
          <w:rFonts w:ascii="Times New Roman" w:hAnsi="Times New Roman"/>
          <w:sz w:val="24"/>
          <w:szCs w:val="24"/>
        </w:rPr>
        <w:t>;</w:t>
      </w:r>
      <w:r w:rsidR="003635AE">
        <w:rPr>
          <w:rStyle w:val="FootnoteReference"/>
          <w:rFonts w:ascii="Times New Roman" w:hAnsi="Times New Roman"/>
          <w:sz w:val="24"/>
          <w:szCs w:val="24"/>
        </w:rPr>
        <w:footnoteReference w:id="2"/>
      </w:r>
      <w:r w:rsidR="003635AE" w:rsidRPr="003635AE">
        <w:rPr>
          <w:rFonts w:ascii="Times New Roman" w:hAnsi="Times New Roman"/>
          <w:sz w:val="24"/>
          <w:szCs w:val="24"/>
        </w:rPr>
        <w:t xml:space="preserve"> and the extent to which the FW Act implements international labour standards concerning the r</w:t>
      </w:r>
      <w:r w:rsidR="003635AE">
        <w:rPr>
          <w:rFonts w:ascii="Times New Roman" w:hAnsi="Times New Roman"/>
          <w:sz w:val="24"/>
          <w:szCs w:val="24"/>
        </w:rPr>
        <w:t>ight to strike</w:t>
      </w:r>
      <w:r w:rsidR="003635AE" w:rsidRPr="003635AE">
        <w:rPr>
          <w:rFonts w:ascii="Times New Roman" w:hAnsi="Times New Roman"/>
          <w:sz w:val="24"/>
          <w:szCs w:val="24"/>
        </w:rPr>
        <w:t>.</w:t>
      </w:r>
      <w:r w:rsidR="003635AE">
        <w:rPr>
          <w:rStyle w:val="FootnoteReference"/>
          <w:rFonts w:ascii="Times New Roman" w:hAnsi="Times New Roman"/>
          <w:sz w:val="24"/>
          <w:szCs w:val="24"/>
        </w:rPr>
        <w:footnoteReference w:id="3"/>
      </w:r>
      <w:r w:rsidR="003635AE" w:rsidRPr="003635AE">
        <w:rPr>
          <w:rFonts w:ascii="Times New Roman" w:hAnsi="Times New Roman"/>
          <w:sz w:val="24"/>
          <w:szCs w:val="24"/>
        </w:rPr>
        <w:t xml:space="preserve">  There are also three text books and a monograph which describe and analyse the PABO provisions</w:t>
      </w:r>
      <w:r w:rsidR="003635AE">
        <w:rPr>
          <w:rFonts w:ascii="Times New Roman" w:hAnsi="Times New Roman"/>
          <w:sz w:val="24"/>
          <w:szCs w:val="24"/>
        </w:rPr>
        <w:t>.</w:t>
      </w:r>
      <w:r w:rsidR="003635AE">
        <w:rPr>
          <w:rStyle w:val="FootnoteReference"/>
          <w:rFonts w:ascii="Times New Roman" w:hAnsi="Times New Roman"/>
          <w:sz w:val="24"/>
          <w:szCs w:val="24"/>
        </w:rPr>
        <w:footnoteReference w:id="4"/>
      </w:r>
      <w:r w:rsidR="003635AE" w:rsidRPr="003635AE">
        <w:rPr>
          <w:rFonts w:ascii="Times New Roman" w:hAnsi="Times New Roman"/>
          <w:sz w:val="24"/>
          <w:szCs w:val="24"/>
        </w:rPr>
        <w:t xml:space="preserve"> </w:t>
      </w:r>
    </w:p>
    <w:p w14:paraId="6E64ADAC" w14:textId="77777777" w:rsidR="003635AE" w:rsidRPr="003635AE" w:rsidRDefault="003635AE" w:rsidP="00295B0B">
      <w:pPr>
        <w:spacing w:line="360" w:lineRule="auto"/>
        <w:jc w:val="both"/>
        <w:rPr>
          <w:rFonts w:ascii="Times New Roman" w:hAnsi="Times New Roman"/>
          <w:sz w:val="24"/>
          <w:szCs w:val="24"/>
        </w:rPr>
      </w:pPr>
      <w:r w:rsidRPr="003635AE">
        <w:rPr>
          <w:rFonts w:ascii="Times New Roman" w:hAnsi="Times New Roman"/>
          <w:sz w:val="24"/>
          <w:szCs w:val="24"/>
        </w:rPr>
        <w:t xml:space="preserve">The </w:t>
      </w:r>
      <w:r w:rsidR="00295B0B">
        <w:rPr>
          <w:rFonts w:ascii="Times New Roman" w:hAnsi="Times New Roman"/>
          <w:sz w:val="24"/>
          <w:szCs w:val="24"/>
        </w:rPr>
        <w:t xml:space="preserve">protected industrial action provisions were also </w:t>
      </w:r>
      <w:r w:rsidRPr="003635AE">
        <w:rPr>
          <w:rFonts w:ascii="Times New Roman" w:hAnsi="Times New Roman"/>
          <w:sz w:val="24"/>
          <w:szCs w:val="24"/>
        </w:rPr>
        <w:t>considered by</w:t>
      </w:r>
      <w:r w:rsidR="00295B0B">
        <w:rPr>
          <w:rFonts w:ascii="Times New Roman" w:hAnsi="Times New Roman"/>
          <w:sz w:val="24"/>
          <w:szCs w:val="24"/>
        </w:rPr>
        <w:t xml:space="preserve"> the FW Act Review Panel which</w:t>
      </w:r>
      <w:r w:rsidRPr="003635AE">
        <w:rPr>
          <w:rFonts w:ascii="Times New Roman" w:hAnsi="Times New Roman"/>
          <w:sz w:val="24"/>
          <w:szCs w:val="24"/>
        </w:rPr>
        <w:t xml:space="preserve"> expressly noted the lack of empirical data concerning the incidence, timing </w:t>
      </w:r>
      <w:r w:rsidR="00295B0B">
        <w:rPr>
          <w:rFonts w:ascii="Times New Roman" w:hAnsi="Times New Roman"/>
          <w:sz w:val="24"/>
          <w:szCs w:val="24"/>
        </w:rPr>
        <w:t>and nature of ballot orders</w:t>
      </w:r>
      <w:r w:rsidRPr="003635AE">
        <w:rPr>
          <w:rFonts w:ascii="Times New Roman" w:hAnsi="Times New Roman"/>
          <w:sz w:val="24"/>
          <w:szCs w:val="24"/>
        </w:rPr>
        <w:t>.</w:t>
      </w:r>
      <w:r w:rsidR="00295B0B">
        <w:rPr>
          <w:rStyle w:val="FootnoteReference"/>
          <w:rFonts w:ascii="Times New Roman" w:hAnsi="Times New Roman"/>
          <w:sz w:val="24"/>
          <w:szCs w:val="24"/>
        </w:rPr>
        <w:footnoteReference w:id="5"/>
      </w:r>
      <w:r w:rsidRPr="003635AE">
        <w:rPr>
          <w:rFonts w:ascii="Times New Roman" w:hAnsi="Times New Roman"/>
          <w:sz w:val="24"/>
          <w:szCs w:val="24"/>
        </w:rPr>
        <w:t xml:space="preserve">  On the basis of submissions by stakeholders and a small sample of the results of protected action ballots, the panel suggested that the PABO provisions ‘have a significant impact on employees and their union representatives’.</w:t>
      </w:r>
      <w:r w:rsidR="00295B0B">
        <w:rPr>
          <w:rStyle w:val="FootnoteReference"/>
          <w:rFonts w:ascii="Times New Roman" w:hAnsi="Times New Roman"/>
          <w:sz w:val="24"/>
          <w:szCs w:val="24"/>
        </w:rPr>
        <w:footnoteReference w:id="6"/>
      </w:r>
      <w:r w:rsidRPr="003635AE">
        <w:rPr>
          <w:rFonts w:ascii="Times New Roman" w:hAnsi="Times New Roman"/>
          <w:sz w:val="24"/>
          <w:szCs w:val="24"/>
        </w:rPr>
        <w:t xml:space="preserve">  </w:t>
      </w:r>
    </w:p>
    <w:p w14:paraId="27679280" w14:textId="77777777" w:rsidR="003635AE" w:rsidRPr="003635AE" w:rsidRDefault="003635AE" w:rsidP="00295B0B">
      <w:pPr>
        <w:spacing w:line="360" w:lineRule="auto"/>
        <w:jc w:val="both"/>
        <w:rPr>
          <w:rFonts w:ascii="Times New Roman" w:hAnsi="Times New Roman"/>
          <w:sz w:val="24"/>
          <w:szCs w:val="24"/>
        </w:rPr>
      </w:pPr>
      <w:r w:rsidRPr="003635AE">
        <w:rPr>
          <w:rFonts w:ascii="Times New Roman" w:hAnsi="Times New Roman"/>
          <w:sz w:val="24"/>
          <w:szCs w:val="24"/>
        </w:rPr>
        <w:t>The available literature suggests that PABO applications hinder employee and emplo</w:t>
      </w:r>
      <w:r w:rsidR="00F64344">
        <w:rPr>
          <w:rFonts w:ascii="Times New Roman" w:hAnsi="Times New Roman"/>
          <w:sz w:val="24"/>
          <w:szCs w:val="24"/>
        </w:rPr>
        <w:t>yee representative access to protected industrial action</w:t>
      </w:r>
      <w:r w:rsidRPr="003635AE">
        <w:rPr>
          <w:rFonts w:ascii="Times New Roman" w:hAnsi="Times New Roman"/>
          <w:sz w:val="24"/>
          <w:szCs w:val="24"/>
        </w:rPr>
        <w:t>, but no empirical evidence supp</w:t>
      </w:r>
      <w:r w:rsidR="00F64344">
        <w:rPr>
          <w:rFonts w:ascii="Times New Roman" w:hAnsi="Times New Roman"/>
          <w:sz w:val="24"/>
          <w:szCs w:val="24"/>
        </w:rPr>
        <w:t>orts or refutes this proposition</w:t>
      </w:r>
      <w:r w:rsidRPr="003635AE">
        <w:rPr>
          <w:rFonts w:ascii="Times New Roman" w:hAnsi="Times New Roman"/>
          <w:sz w:val="24"/>
          <w:szCs w:val="24"/>
        </w:rPr>
        <w:t>, or empirically describes the ballot application process.</w:t>
      </w:r>
    </w:p>
    <w:p w14:paraId="4B6C0B72" w14:textId="77777777" w:rsidR="003635AE" w:rsidRDefault="003635AE" w:rsidP="00295B0B">
      <w:pPr>
        <w:autoSpaceDE w:val="0"/>
        <w:autoSpaceDN w:val="0"/>
        <w:adjustRightInd w:val="0"/>
        <w:spacing w:after="160" w:line="360" w:lineRule="auto"/>
        <w:jc w:val="both"/>
        <w:rPr>
          <w:rFonts w:ascii="Times New Roman" w:hAnsi="Times New Roman"/>
          <w:sz w:val="24"/>
          <w:szCs w:val="24"/>
        </w:rPr>
      </w:pPr>
      <w:r w:rsidRPr="003635AE">
        <w:rPr>
          <w:rFonts w:ascii="Times New Roman" w:hAnsi="Times New Roman"/>
          <w:sz w:val="24"/>
          <w:szCs w:val="24"/>
        </w:rPr>
        <w:t>United Kingdom legislation has required secret ballots of union members as a prerequisite to protection against civil liability for industrial action since 1984.</w:t>
      </w:r>
      <w:r w:rsidR="00BF2A8E">
        <w:rPr>
          <w:rStyle w:val="FootnoteReference"/>
          <w:rFonts w:ascii="Times New Roman" w:hAnsi="Times New Roman"/>
          <w:sz w:val="24"/>
          <w:szCs w:val="24"/>
        </w:rPr>
        <w:footnoteReference w:id="7"/>
      </w:r>
      <w:r w:rsidRPr="003635AE">
        <w:rPr>
          <w:rFonts w:ascii="Times New Roman" w:hAnsi="Times New Roman"/>
          <w:sz w:val="24"/>
          <w:szCs w:val="24"/>
        </w:rPr>
        <w:t xml:space="preserve">  A long term empirical study</w:t>
      </w:r>
      <w:r w:rsidR="00BF2A8E">
        <w:rPr>
          <w:rFonts w:ascii="Times New Roman" w:hAnsi="Times New Roman"/>
          <w:sz w:val="24"/>
          <w:szCs w:val="24"/>
        </w:rPr>
        <w:t xml:space="preserve"> undertaken by </w:t>
      </w:r>
      <w:proofErr w:type="spellStart"/>
      <w:r w:rsidR="00BF2A8E">
        <w:rPr>
          <w:rFonts w:ascii="Times New Roman" w:hAnsi="Times New Roman"/>
          <w:sz w:val="24"/>
          <w:szCs w:val="24"/>
        </w:rPr>
        <w:t>Undy</w:t>
      </w:r>
      <w:proofErr w:type="spellEnd"/>
      <w:r w:rsidR="00BF2A8E">
        <w:rPr>
          <w:rFonts w:ascii="Times New Roman" w:hAnsi="Times New Roman"/>
          <w:sz w:val="24"/>
          <w:szCs w:val="24"/>
        </w:rPr>
        <w:t xml:space="preserve"> et al</w:t>
      </w:r>
      <w:r w:rsidRPr="003635AE">
        <w:rPr>
          <w:rFonts w:ascii="Times New Roman" w:hAnsi="Times New Roman"/>
          <w:sz w:val="24"/>
          <w:szCs w:val="24"/>
        </w:rPr>
        <w:t xml:space="preserve"> examined the effects of the UK legislation on trade union decision-</w:t>
      </w:r>
      <w:r w:rsidRPr="003635AE">
        <w:rPr>
          <w:rFonts w:ascii="Times New Roman" w:hAnsi="Times New Roman"/>
          <w:sz w:val="24"/>
          <w:szCs w:val="24"/>
        </w:rPr>
        <w:lastRenderedPageBreak/>
        <w:t>making, finding that the UK ballot requirement had a differential effect on large and small unions, posing more problems for smaller unions; offered a ‘credible way of demonstrating the resolve of union members before strike action was taken’; and encouraged union moderation as to the forms of action proposed in ballot p</w:t>
      </w:r>
      <w:r w:rsidR="00BF2A8E">
        <w:rPr>
          <w:rFonts w:ascii="Times New Roman" w:hAnsi="Times New Roman"/>
          <w:sz w:val="24"/>
          <w:szCs w:val="24"/>
        </w:rPr>
        <w:t>apers</w:t>
      </w:r>
      <w:r w:rsidRPr="003635AE">
        <w:rPr>
          <w:rFonts w:ascii="Times New Roman" w:hAnsi="Times New Roman"/>
          <w:sz w:val="24"/>
          <w:szCs w:val="24"/>
        </w:rPr>
        <w:t>.</w:t>
      </w:r>
      <w:r w:rsidR="00BF2A8E">
        <w:rPr>
          <w:rStyle w:val="FootnoteReference"/>
          <w:rFonts w:ascii="Times New Roman" w:hAnsi="Times New Roman"/>
          <w:sz w:val="24"/>
          <w:szCs w:val="24"/>
        </w:rPr>
        <w:footnoteReference w:id="8"/>
      </w:r>
      <w:r w:rsidR="00BF2A8E">
        <w:rPr>
          <w:rFonts w:ascii="Times New Roman" w:hAnsi="Times New Roman"/>
          <w:sz w:val="24"/>
          <w:szCs w:val="24"/>
        </w:rPr>
        <w:t xml:space="preserve">  T</w:t>
      </w:r>
      <w:r w:rsidRPr="003635AE">
        <w:rPr>
          <w:rFonts w:ascii="Times New Roman" w:hAnsi="Times New Roman"/>
          <w:sz w:val="24"/>
          <w:szCs w:val="24"/>
        </w:rPr>
        <w:t xml:space="preserve">hese findings are not directly applicable to Australia due to significant differences in the legal regimes and patterns of industrial action in the two countries, </w:t>
      </w:r>
      <w:r w:rsidR="00BF2A8E">
        <w:rPr>
          <w:rFonts w:ascii="Times New Roman" w:hAnsi="Times New Roman"/>
          <w:sz w:val="24"/>
          <w:szCs w:val="24"/>
        </w:rPr>
        <w:t xml:space="preserve">but </w:t>
      </w:r>
      <w:r w:rsidR="00531448">
        <w:rPr>
          <w:rFonts w:ascii="Times New Roman" w:hAnsi="Times New Roman"/>
          <w:sz w:val="24"/>
          <w:szCs w:val="24"/>
        </w:rPr>
        <w:t xml:space="preserve">they do </w:t>
      </w:r>
      <w:r w:rsidR="00BF2A8E">
        <w:rPr>
          <w:rFonts w:ascii="Times New Roman" w:hAnsi="Times New Roman"/>
          <w:sz w:val="24"/>
          <w:szCs w:val="24"/>
        </w:rPr>
        <w:t>offer some insight into the impact that ballot provisions can impact upon industrial decision making.</w:t>
      </w:r>
    </w:p>
    <w:p w14:paraId="0AFFF12E" w14:textId="77777777" w:rsidR="0018755B" w:rsidRPr="00F17BAA" w:rsidRDefault="0018755B" w:rsidP="00F17BAA">
      <w:pPr>
        <w:spacing w:after="60" w:line="360" w:lineRule="auto"/>
        <w:jc w:val="both"/>
        <w:rPr>
          <w:rFonts w:ascii="Times New Roman" w:hAnsi="Times New Roman"/>
          <w:sz w:val="24"/>
          <w:szCs w:val="24"/>
        </w:rPr>
      </w:pPr>
      <w:r w:rsidRPr="00F17BAA">
        <w:rPr>
          <w:rFonts w:ascii="Times New Roman" w:hAnsi="Times New Roman"/>
          <w:sz w:val="24"/>
          <w:szCs w:val="24"/>
        </w:rPr>
        <w:t>The research project will address the gaps in our understanding of the protected industrial action ballot order process through empirically describing ballot applications, and qualitatively analysing the extent to which the statutory regime impacts upon industrial behaviour in practice. The aims of the research project are to understand the manner in which the protected industrial action ballot process impacts upon enterprise bargaining behaviour and decision-making by bargaining representatives.  In particular the project aims:</w:t>
      </w:r>
    </w:p>
    <w:p w14:paraId="17D4203F" w14:textId="77777777" w:rsidR="0018755B" w:rsidRPr="00F17BAA" w:rsidRDefault="0018755B" w:rsidP="00F17BAA">
      <w:pPr>
        <w:pStyle w:val="ListParagraph"/>
        <w:numPr>
          <w:ilvl w:val="0"/>
          <w:numId w:val="2"/>
        </w:numPr>
        <w:spacing w:after="100" w:line="360" w:lineRule="auto"/>
        <w:ind w:left="714" w:hanging="357"/>
        <w:contextualSpacing w:val="0"/>
        <w:jc w:val="both"/>
        <w:rPr>
          <w:rFonts w:ascii="Times New Roman" w:hAnsi="Times New Roman"/>
          <w:sz w:val="24"/>
          <w:szCs w:val="24"/>
        </w:rPr>
      </w:pPr>
      <w:r w:rsidRPr="00F17BAA">
        <w:rPr>
          <w:rFonts w:ascii="Times New Roman" w:hAnsi="Times New Roman"/>
          <w:sz w:val="24"/>
          <w:szCs w:val="24"/>
        </w:rPr>
        <w:t xml:space="preserve">empirically to describe the protected action ballot order process in practice and the subsequent use of protected industrial action by industrial actors;   </w:t>
      </w:r>
    </w:p>
    <w:p w14:paraId="3FE5BCA5" w14:textId="77777777" w:rsidR="0018755B" w:rsidRPr="00F17BAA" w:rsidRDefault="0018755B" w:rsidP="00F17BAA">
      <w:pPr>
        <w:pStyle w:val="ListParagraph"/>
        <w:numPr>
          <w:ilvl w:val="0"/>
          <w:numId w:val="2"/>
        </w:numPr>
        <w:spacing w:after="60" w:line="360" w:lineRule="auto"/>
        <w:contextualSpacing w:val="0"/>
        <w:jc w:val="both"/>
        <w:rPr>
          <w:rFonts w:ascii="Times New Roman" w:hAnsi="Times New Roman"/>
          <w:sz w:val="24"/>
          <w:szCs w:val="24"/>
        </w:rPr>
      </w:pPr>
      <w:r w:rsidRPr="00F17BAA">
        <w:rPr>
          <w:rFonts w:ascii="Times New Roman" w:hAnsi="Times New Roman"/>
          <w:sz w:val="24"/>
          <w:szCs w:val="24"/>
        </w:rPr>
        <w:t>to explore the effect of the protected industrial action ballot order requirements on the enterprise bargaining behaviour of ballot applicants</w:t>
      </w:r>
      <w:r w:rsidR="00C16294">
        <w:rPr>
          <w:rFonts w:ascii="Times New Roman" w:hAnsi="Times New Roman"/>
          <w:sz w:val="24"/>
          <w:szCs w:val="24"/>
        </w:rPr>
        <w:t xml:space="preserve"> and employers</w:t>
      </w:r>
      <w:r w:rsidRPr="00F17BAA">
        <w:rPr>
          <w:rFonts w:ascii="Times New Roman" w:hAnsi="Times New Roman"/>
          <w:sz w:val="24"/>
          <w:szCs w:val="24"/>
        </w:rPr>
        <w:t>; and</w:t>
      </w:r>
    </w:p>
    <w:p w14:paraId="6B82E2C6" w14:textId="77777777" w:rsidR="0018755B" w:rsidRPr="00F17BAA" w:rsidRDefault="0018755B" w:rsidP="00F17BAA">
      <w:pPr>
        <w:pStyle w:val="ListParagraph"/>
        <w:numPr>
          <w:ilvl w:val="0"/>
          <w:numId w:val="2"/>
        </w:numPr>
        <w:spacing w:after="60" w:line="360" w:lineRule="auto"/>
        <w:contextualSpacing w:val="0"/>
        <w:jc w:val="both"/>
        <w:rPr>
          <w:rFonts w:ascii="Times New Roman" w:hAnsi="Times New Roman"/>
          <w:sz w:val="24"/>
          <w:szCs w:val="24"/>
        </w:rPr>
      </w:pPr>
      <w:proofErr w:type="gramStart"/>
      <w:r w:rsidRPr="00F17BAA">
        <w:rPr>
          <w:rFonts w:ascii="Times New Roman" w:hAnsi="Times New Roman"/>
          <w:sz w:val="24"/>
          <w:szCs w:val="24"/>
        </w:rPr>
        <w:t>to</w:t>
      </w:r>
      <w:proofErr w:type="gramEnd"/>
      <w:r w:rsidRPr="00F17BAA">
        <w:rPr>
          <w:rFonts w:ascii="Times New Roman" w:hAnsi="Times New Roman"/>
          <w:sz w:val="24"/>
          <w:szCs w:val="24"/>
        </w:rPr>
        <w:t xml:space="preserve"> determine the extent to which the provisions place restraints upon taking of protected industrial action.</w:t>
      </w:r>
    </w:p>
    <w:p w14:paraId="1742C828" w14:textId="77777777" w:rsidR="00F17BAA" w:rsidRPr="00F17BAA" w:rsidRDefault="00F17BAA" w:rsidP="00F17BAA">
      <w:pPr>
        <w:spacing w:after="120" w:line="360" w:lineRule="auto"/>
        <w:jc w:val="both"/>
        <w:rPr>
          <w:rFonts w:ascii="Times New Roman" w:hAnsi="Times New Roman"/>
          <w:sz w:val="24"/>
          <w:szCs w:val="24"/>
        </w:rPr>
      </w:pPr>
      <w:r w:rsidRPr="00F17BAA">
        <w:rPr>
          <w:rFonts w:ascii="Times New Roman" w:hAnsi="Times New Roman"/>
          <w:sz w:val="24"/>
          <w:szCs w:val="24"/>
        </w:rPr>
        <w:t>The first component of the research project will statistically examine all ballot applications made to the FWC over a 12 month period (≈1,000; based on 1011 for 2011-12).  The data will analyse patterns of relationships between a number of variables including: the number of ballot applications made; who actually made the application; the proportion of successful, unsuccessful and withdrawn applications; the proportion of ballots opposed by employers; the ballot methods (postal, attendance, electronic or a mix) used by the A</w:t>
      </w:r>
      <w:r>
        <w:rPr>
          <w:rFonts w:ascii="Times New Roman" w:hAnsi="Times New Roman"/>
          <w:sz w:val="24"/>
          <w:szCs w:val="24"/>
        </w:rPr>
        <w:t xml:space="preserve">ustralian </w:t>
      </w:r>
      <w:r w:rsidRPr="00F17BAA">
        <w:rPr>
          <w:rFonts w:ascii="Times New Roman" w:hAnsi="Times New Roman"/>
          <w:sz w:val="24"/>
          <w:szCs w:val="24"/>
        </w:rPr>
        <w:t>E</w:t>
      </w:r>
      <w:r>
        <w:rPr>
          <w:rFonts w:ascii="Times New Roman" w:hAnsi="Times New Roman"/>
          <w:sz w:val="24"/>
          <w:szCs w:val="24"/>
        </w:rPr>
        <w:t xml:space="preserve">lectoral </w:t>
      </w:r>
      <w:r w:rsidRPr="00F17BAA">
        <w:rPr>
          <w:rFonts w:ascii="Times New Roman" w:hAnsi="Times New Roman"/>
          <w:sz w:val="24"/>
          <w:szCs w:val="24"/>
        </w:rPr>
        <w:t>C</w:t>
      </w:r>
      <w:r>
        <w:rPr>
          <w:rFonts w:ascii="Times New Roman" w:hAnsi="Times New Roman"/>
          <w:sz w:val="24"/>
          <w:szCs w:val="24"/>
        </w:rPr>
        <w:t>ommission</w:t>
      </w:r>
      <w:r w:rsidRPr="00F17BAA">
        <w:rPr>
          <w:rFonts w:ascii="Times New Roman" w:hAnsi="Times New Roman"/>
          <w:sz w:val="24"/>
          <w:szCs w:val="24"/>
        </w:rPr>
        <w:t xml:space="preserve"> or independent ballot agent (if one was used); the range of questions asked in the ballot; the range of questions approved or disapproved by ballot; the size of the bargaining groups balloted; and the proportion of ballots endorsing or rejecting protected industrial action.  It will also provide statistical information about the average timeframes involved in ballot applications. </w:t>
      </w:r>
    </w:p>
    <w:p w14:paraId="78057487" w14:textId="77777777" w:rsidR="0018755B" w:rsidRDefault="00F17BAA" w:rsidP="00887BCA">
      <w:pPr>
        <w:spacing w:before="120" w:after="120" w:line="360" w:lineRule="auto"/>
        <w:jc w:val="both"/>
        <w:rPr>
          <w:rFonts w:ascii="Times New Roman" w:hAnsi="Times New Roman"/>
          <w:sz w:val="24"/>
          <w:szCs w:val="24"/>
        </w:rPr>
      </w:pPr>
      <w:r w:rsidRPr="00F17BAA">
        <w:rPr>
          <w:rFonts w:ascii="Times New Roman" w:hAnsi="Times New Roman"/>
          <w:sz w:val="24"/>
          <w:szCs w:val="24"/>
        </w:rPr>
        <w:lastRenderedPageBreak/>
        <w:t xml:space="preserve">The second component of the research project will examine a smaller sample of ballot applications in order to explore the factors that influence balloting decisions by bargaining representatives, and bargaining representative and employer perceptions of the impact of the ballot process on enterprise bargaining behaviour.  For each application in the sample, there will be an interview with the bargaining representative and employer and tracking of progress </w:t>
      </w:r>
      <w:proofErr w:type="gramStart"/>
      <w:r w:rsidRPr="00F17BAA">
        <w:rPr>
          <w:rFonts w:ascii="Times New Roman" w:hAnsi="Times New Roman"/>
          <w:sz w:val="24"/>
          <w:szCs w:val="24"/>
        </w:rPr>
        <w:t>from</w:t>
      </w:r>
      <w:proofErr w:type="gramEnd"/>
      <w:r w:rsidRPr="00F17BAA">
        <w:rPr>
          <w:rFonts w:ascii="Times New Roman" w:hAnsi="Times New Roman"/>
          <w:sz w:val="24"/>
          <w:szCs w:val="24"/>
        </w:rPr>
        <w:t xml:space="preserve"> the point of application to the FWC through to the resolution of the bargaining process relevant to the dispute.  This will provide qualitative data with respect to the </w:t>
      </w:r>
      <w:r w:rsidRPr="00F17BAA">
        <w:rPr>
          <w:rFonts w:ascii="Times New Roman" w:hAnsi="Times New Roman"/>
          <w:i/>
          <w:iCs/>
          <w:sz w:val="24"/>
          <w:szCs w:val="24"/>
        </w:rPr>
        <w:t>decision-making processes</w:t>
      </w:r>
      <w:r w:rsidRPr="00F17BAA">
        <w:rPr>
          <w:rFonts w:ascii="Times New Roman" w:hAnsi="Times New Roman"/>
          <w:sz w:val="24"/>
          <w:szCs w:val="24"/>
        </w:rPr>
        <w:t xml:space="preserve"> of bargaining representatives, and stakeholders’ perceptions of the impact of the legislative regime on bargaining behaviour. </w:t>
      </w:r>
      <w:r>
        <w:rPr>
          <w:rFonts w:ascii="Times New Roman" w:hAnsi="Times New Roman"/>
          <w:sz w:val="24"/>
          <w:szCs w:val="24"/>
        </w:rPr>
        <w:t>It will also enable analysis of patterns of industrial action use in practice.</w:t>
      </w:r>
      <w:r w:rsidRPr="00F17BAA">
        <w:rPr>
          <w:rFonts w:ascii="Times New Roman" w:hAnsi="Times New Roman"/>
          <w:sz w:val="24"/>
          <w:szCs w:val="24"/>
        </w:rPr>
        <w:t xml:space="preserve"> </w:t>
      </w:r>
    </w:p>
    <w:p w14:paraId="0454629F" w14:textId="77777777" w:rsidR="00887BCA" w:rsidRPr="00F17BAA" w:rsidRDefault="00887BCA" w:rsidP="00887BCA">
      <w:pPr>
        <w:spacing w:before="120" w:after="120" w:line="360" w:lineRule="auto"/>
        <w:jc w:val="both"/>
        <w:rPr>
          <w:rFonts w:ascii="Times New Roman" w:hAnsi="Times New Roman"/>
          <w:sz w:val="24"/>
          <w:szCs w:val="24"/>
        </w:rPr>
      </w:pPr>
      <w:r>
        <w:rPr>
          <w:rFonts w:ascii="Times New Roman" w:hAnsi="Times New Roman"/>
          <w:sz w:val="24"/>
          <w:szCs w:val="24"/>
        </w:rPr>
        <w:t>Planning for the project is currently underway, and findings will be reported in late 2016.</w:t>
      </w:r>
    </w:p>
    <w:p w14:paraId="34581FBD" w14:textId="77777777" w:rsidR="00F17BAA" w:rsidRPr="00F17BAA" w:rsidRDefault="00F17BAA">
      <w:pPr>
        <w:spacing w:line="360" w:lineRule="auto"/>
        <w:jc w:val="both"/>
        <w:rPr>
          <w:rFonts w:ascii="Times New Roman" w:hAnsi="Times New Roman"/>
          <w:sz w:val="24"/>
          <w:szCs w:val="24"/>
        </w:rPr>
      </w:pPr>
    </w:p>
    <w:sectPr w:rsidR="00F17BAA" w:rsidRPr="00F17BA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44C58" w14:textId="77777777" w:rsidR="003635AE" w:rsidRDefault="003635AE" w:rsidP="003635AE">
      <w:pPr>
        <w:spacing w:after="0" w:line="240" w:lineRule="auto"/>
      </w:pPr>
      <w:r>
        <w:separator/>
      </w:r>
    </w:p>
  </w:endnote>
  <w:endnote w:type="continuationSeparator" w:id="0">
    <w:p w14:paraId="5DB33805" w14:textId="77777777" w:rsidR="003635AE" w:rsidRDefault="003635AE" w:rsidP="0036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625238"/>
      <w:docPartObj>
        <w:docPartGallery w:val="Page Numbers (Bottom of Page)"/>
        <w:docPartUnique/>
      </w:docPartObj>
    </w:sdtPr>
    <w:sdtEndPr>
      <w:rPr>
        <w:noProof/>
      </w:rPr>
    </w:sdtEndPr>
    <w:sdtContent>
      <w:p w14:paraId="225C37D8" w14:textId="77777777" w:rsidR="00462AD3" w:rsidRDefault="00462AD3">
        <w:pPr>
          <w:pStyle w:val="Footer"/>
          <w:jc w:val="center"/>
        </w:pPr>
        <w:r>
          <w:fldChar w:fldCharType="begin"/>
        </w:r>
        <w:r>
          <w:instrText xml:space="preserve"> PAGE   \* MERGEFORMAT </w:instrText>
        </w:r>
        <w:r>
          <w:fldChar w:fldCharType="separate"/>
        </w:r>
        <w:r w:rsidR="0085509F">
          <w:rPr>
            <w:noProof/>
          </w:rPr>
          <w:t>1</w:t>
        </w:r>
        <w:r>
          <w:rPr>
            <w:noProof/>
          </w:rPr>
          <w:fldChar w:fldCharType="end"/>
        </w:r>
      </w:p>
    </w:sdtContent>
  </w:sdt>
  <w:p w14:paraId="46D72FF0" w14:textId="77777777" w:rsidR="00462AD3" w:rsidRDefault="00462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6756B" w14:textId="77777777" w:rsidR="003635AE" w:rsidRDefault="003635AE" w:rsidP="003635AE">
      <w:pPr>
        <w:spacing w:after="0" w:line="240" w:lineRule="auto"/>
      </w:pPr>
      <w:r>
        <w:separator/>
      </w:r>
    </w:p>
  </w:footnote>
  <w:footnote w:type="continuationSeparator" w:id="0">
    <w:p w14:paraId="352E45BD" w14:textId="77777777" w:rsidR="003635AE" w:rsidRDefault="003635AE" w:rsidP="003635AE">
      <w:pPr>
        <w:spacing w:after="0" w:line="240" w:lineRule="auto"/>
      </w:pPr>
      <w:r>
        <w:continuationSeparator/>
      </w:r>
    </w:p>
  </w:footnote>
  <w:footnote w:id="1">
    <w:p w14:paraId="4229DB05" w14:textId="77777777" w:rsidR="003635AE" w:rsidRPr="004318E3" w:rsidRDefault="003635AE" w:rsidP="00D15FCE">
      <w:pPr>
        <w:pStyle w:val="FootnoteText"/>
        <w:jc w:val="both"/>
        <w:rPr>
          <w:rFonts w:ascii="Times New Roman" w:hAnsi="Times New Roman"/>
        </w:rPr>
      </w:pPr>
      <w:r w:rsidRPr="004318E3">
        <w:rPr>
          <w:rStyle w:val="FootnoteReference"/>
          <w:rFonts w:ascii="Times New Roman" w:hAnsi="Times New Roman"/>
        </w:rPr>
        <w:footnoteRef/>
      </w:r>
      <w:r w:rsidRPr="004318E3">
        <w:rPr>
          <w:rFonts w:ascii="Times New Roman" w:hAnsi="Times New Roman"/>
        </w:rPr>
        <w:t xml:space="preserve"> </w:t>
      </w:r>
      <w:proofErr w:type="gramStart"/>
      <w:r w:rsidRPr="004318E3">
        <w:rPr>
          <w:rFonts w:ascii="Times New Roman" w:hAnsi="Times New Roman"/>
        </w:rPr>
        <w:t>Orr, G, and Murugesan, S (2007).</w:t>
      </w:r>
      <w:proofErr w:type="gramEnd"/>
      <w:r w:rsidRPr="004318E3">
        <w:rPr>
          <w:rFonts w:ascii="Times New Roman" w:hAnsi="Times New Roman"/>
        </w:rPr>
        <w:t xml:space="preserve"> </w:t>
      </w:r>
      <w:proofErr w:type="gramStart"/>
      <w:r w:rsidRPr="004318E3">
        <w:rPr>
          <w:rFonts w:ascii="Times New Roman" w:hAnsi="Times New Roman"/>
        </w:rPr>
        <w:t xml:space="preserve">‘Mandatory Secret Ballots Before Employee Industrial Action’ 20 </w:t>
      </w:r>
      <w:r w:rsidRPr="004318E3">
        <w:rPr>
          <w:rFonts w:ascii="Times New Roman" w:hAnsi="Times New Roman"/>
          <w:i/>
          <w:iCs/>
        </w:rPr>
        <w:t>Australian Journal of Labour Law</w:t>
      </w:r>
      <w:r w:rsidRPr="004318E3">
        <w:rPr>
          <w:rFonts w:ascii="Times New Roman" w:hAnsi="Times New Roman"/>
        </w:rPr>
        <w:t xml:space="preserve"> 272.</w:t>
      </w:r>
      <w:proofErr w:type="gramEnd"/>
    </w:p>
  </w:footnote>
  <w:footnote w:id="2">
    <w:p w14:paraId="5AC41F96" w14:textId="77777777" w:rsidR="003635AE" w:rsidRPr="004318E3" w:rsidRDefault="003635AE" w:rsidP="00D15FCE">
      <w:pPr>
        <w:pStyle w:val="FootnoteText"/>
        <w:jc w:val="both"/>
        <w:rPr>
          <w:rFonts w:ascii="Times New Roman" w:hAnsi="Times New Roman"/>
        </w:rPr>
      </w:pPr>
      <w:r w:rsidRPr="004318E3">
        <w:rPr>
          <w:rStyle w:val="FootnoteReference"/>
          <w:rFonts w:ascii="Times New Roman" w:hAnsi="Times New Roman"/>
        </w:rPr>
        <w:footnoteRef/>
      </w:r>
      <w:r w:rsidRPr="004318E3">
        <w:rPr>
          <w:rFonts w:ascii="Times New Roman" w:hAnsi="Times New Roman"/>
        </w:rPr>
        <w:t xml:space="preserve"> </w:t>
      </w:r>
      <w:proofErr w:type="spellStart"/>
      <w:r w:rsidRPr="004318E3">
        <w:rPr>
          <w:rFonts w:ascii="Times New Roman" w:hAnsi="Times New Roman"/>
        </w:rPr>
        <w:t>Naughton</w:t>
      </w:r>
      <w:proofErr w:type="spellEnd"/>
      <w:r w:rsidRPr="004318E3">
        <w:rPr>
          <w:rFonts w:ascii="Times New Roman" w:hAnsi="Times New Roman"/>
        </w:rPr>
        <w:t>, R (2008). ‘Just What Does “Genuinely Try to Reach Agreement” Mean?</w:t>
      </w:r>
      <w:proofErr w:type="gramStart"/>
      <w:r w:rsidRPr="004318E3">
        <w:rPr>
          <w:rFonts w:ascii="Times New Roman" w:hAnsi="Times New Roman"/>
        </w:rPr>
        <w:t>’,</w:t>
      </w:r>
      <w:proofErr w:type="gramEnd"/>
      <w:r w:rsidRPr="004318E3">
        <w:rPr>
          <w:rFonts w:ascii="Times New Roman" w:hAnsi="Times New Roman"/>
        </w:rPr>
        <w:t xml:space="preserve"> Australian Labour Law Association, Fourth Biennial Conference, Melbourne, November.</w:t>
      </w:r>
    </w:p>
  </w:footnote>
  <w:footnote w:id="3">
    <w:p w14:paraId="30FCB65A" w14:textId="77777777" w:rsidR="003635AE" w:rsidRPr="004318E3" w:rsidRDefault="003635AE" w:rsidP="00D15FCE">
      <w:pPr>
        <w:pStyle w:val="FootnoteText"/>
        <w:jc w:val="both"/>
        <w:rPr>
          <w:rFonts w:ascii="Times New Roman" w:hAnsi="Times New Roman"/>
        </w:rPr>
      </w:pPr>
      <w:r w:rsidRPr="004318E3">
        <w:rPr>
          <w:rStyle w:val="FootnoteReference"/>
          <w:rFonts w:ascii="Times New Roman" w:hAnsi="Times New Roman"/>
        </w:rPr>
        <w:footnoteRef/>
      </w:r>
      <w:r w:rsidRPr="004318E3">
        <w:rPr>
          <w:rFonts w:ascii="Times New Roman" w:hAnsi="Times New Roman"/>
        </w:rPr>
        <w:t xml:space="preserve"> </w:t>
      </w:r>
      <w:proofErr w:type="gramStart"/>
      <w:r w:rsidRPr="004318E3">
        <w:rPr>
          <w:rFonts w:ascii="Times New Roman" w:hAnsi="Times New Roman"/>
        </w:rPr>
        <w:t xml:space="preserve">McCrystal, S (2010) ‘The FW Act and the Right to Strike’ 23 </w:t>
      </w:r>
      <w:r w:rsidRPr="004318E3">
        <w:rPr>
          <w:rFonts w:ascii="Times New Roman" w:hAnsi="Times New Roman"/>
          <w:i/>
          <w:iCs/>
        </w:rPr>
        <w:t>Australian Journal of Labour Law</w:t>
      </w:r>
      <w:r w:rsidRPr="004318E3">
        <w:rPr>
          <w:rFonts w:ascii="Times New Roman" w:hAnsi="Times New Roman"/>
        </w:rPr>
        <w:t xml:space="preserve"> 3.</w:t>
      </w:r>
      <w:proofErr w:type="gramEnd"/>
    </w:p>
  </w:footnote>
  <w:footnote w:id="4">
    <w:p w14:paraId="69EC7402" w14:textId="77777777" w:rsidR="003635AE" w:rsidRPr="004318E3" w:rsidRDefault="003635AE" w:rsidP="00D15FCE">
      <w:pPr>
        <w:spacing w:after="0" w:line="240" w:lineRule="auto"/>
        <w:jc w:val="both"/>
        <w:rPr>
          <w:rFonts w:ascii="Times New Roman" w:hAnsi="Times New Roman"/>
          <w:sz w:val="20"/>
          <w:szCs w:val="20"/>
        </w:rPr>
      </w:pPr>
      <w:r w:rsidRPr="004318E3">
        <w:rPr>
          <w:rStyle w:val="FootnoteReference"/>
          <w:rFonts w:ascii="Times New Roman" w:hAnsi="Times New Roman"/>
          <w:sz w:val="20"/>
          <w:szCs w:val="20"/>
        </w:rPr>
        <w:footnoteRef/>
      </w:r>
      <w:r w:rsidRPr="004318E3">
        <w:rPr>
          <w:rFonts w:ascii="Times New Roman" w:hAnsi="Times New Roman"/>
          <w:sz w:val="20"/>
          <w:szCs w:val="20"/>
        </w:rPr>
        <w:t xml:space="preserve"> </w:t>
      </w:r>
      <w:r w:rsidR="00295B0B" w:rsidRPr="004318E3">
        <w:rPr>
          <w:rFonts w:ascii="Times New Roman" w:hAnsi="Times New Roman"/>
          <w:sz w:val="20"/>
          <w:szCs w:val="20"/>
        </w:rPr>
        <w:t xml:space="preserve">Creighton, B and Stewart, </w:t>
      </w:r>
      <w:proofErr w:type="gramStart"/>
      <w:r w:rsidR="00295B0B" w:rsidRPr="004318E3">
        <w:rPr>
          <w:rFonts w:ascii="Times New Roman" w:hAnsi="Times New Roman"/>
          <w:sz w:val="20"/>
          <w:szCs w:val="20"/>
        </w:rPr>
        <w:t>A</w:t>
      </w:r>
      <w:proofErr w:type="gramEnd"/>
      <w:r w:rsidR="00295B0B" w:rsidRPr="004318E3">
        <w:rPr>
          <w:rFonts w:ascii="Times New Roman" w:hAnsi="Times New Roman"/>
          <w:sz w:val="20"/>
          <w:szCs w:val="20"/>
        </w:rPr>
        <w:t xml:space="preserve"> (2010). </w:t>
      </w:r>
      <w:r w:rsidR="00295B0B" w:rsidRPr="004318E3">
        <w:rPr>
          <w:rFonts w:ascii="Times New Roman" w:hAnsi="Times New Roman"/>
          <w:i/>
          <w:iCs/>
          <w:sz w:val="20"/>
          <w:szCs w:val="20"/>
        </w:rPr>
        <w:t>Labour Law</w:t>
      </w:r>
      <w:r w:rsidR="00295B0B" w:rsidRPr="004318E3">
        <w:rPr>
          <w:rFonts w:ascii="Times New Roman" w:hAnsi="Times New Roman"/>
          <w:sz w:val="20"/>
          <w:szCs w:val="20"/>
        </w:rPr>
        <w:t>, 5</w:t>
      </w:r>
      <w:r w:rsidR="00295B0B" w:rsidRPr="004318E3">
        <w:rPr>
          <w:rFonts w:ascii="Times New Roman" w:hAnsi="Times New Roman"/>
          <w:sz w:val="20"/>
          <w:szCs w:val="20"/>
          <w:vertAlign w:val="superscript"/>
        </w:rPr>
        <w:t>th</w:t>
      </w:r>
      <w:r w:rsidR="00D15FCE">
        <w:rPr>
          <w:rFonts w:ascii="Times New Roman" w:hAnsi="Times New Roman"/>
          <w:sz w:val="20"/>
          <w:szCs w:val="20"/>
        </w:rPr>
        <w:t xml:space="preserve"> </w:t>
      </w:r>
      <w:proofErr w:type="spellStart"/>
      <w:proofErr w:type="gramStart"/>
      <w:r w:rsidR="00D15FCE">
        <w:rPr>
          <w:rFonts w:ascii="Times New Roman" w:hAnsi="Times New Roman"/>
          <w:sz w:val="20"/>
          <w:szCs w:val="20"/>
        </w:rPr>
        <w:t>e</w:t>
      </w:r>
      <w:r w:rsidR="00295B0B" w:rsidRPr="004318E3">
        <w:rPr>
          <w:rFonts w:ascii="Times New Roman" w:hAnsi="Times New Roman"/>
          <w:sz w:val="20"/>
          <w:szCs w:val="20"/>
        </w:rPr>
        <w:t>d</w:t>
      </w:r>
      <w:proofErr w:type="spellEnd"/>
      <w:proofErr w:type="gramEnd"/>
      <w:r w:rsidR="00295B0B" w:rsidRPr="004318E3">
        <w:rPr>
          <w:rFonts w:ascii="Times New Roman" w:hAnsi="Times New Roman"/>
          <w:sz w:val="20"/>
          <w:szCs w:val="20"/>
        </w:rPr>
        <w:t xml:space="preserve">, Federation Press, Sydney; Owens, R, Riley, J and Murray, J (2010). </w:t>
      </w:r>
      <w:proofErr w:type="gramStart"/>
      <w:r w:rsidR="00295B0B" w:rsidRPr="004318E3">
        <w:rPr>
          <w:rFonts w:ascii="Times New Roman" w:hAnsi="Times New Roman"/>
          <w:i/>
          <w:iCs/>
          <w:sz w:val="20"/>
          <w:szCs w:val="20"/>
        </w:rPr>
        <w:t>The Law of Work</w:t>
      </w:r>
      <w:r w:rsidR="00295B0B" w:rsidRPr="004318E3">
        <w:rPr>
          <w:rFonts w:ascii="Times New Roman" w:hAnsi="Times New Roman"/>
          <w:sz w:val="20"/>
          <w:szCs w:val="20"/>
        </w:rPr>
        <w:t>, 2</w:t>
      </w:r>
      <w:r w:rsidR="00295B0B" w:rsidRPr="004318E3">
        <w:rPr>
          <w:rFonts w:ascii="Times New Roman" w:hAnsi="Times New Roman"/>
          <w:sz w:val="20"/>
          <w:szCs w:val="20"/>
          <w:vertAlign w:val="superscript"/>
        </w:rPr>
        <w:t>nd</w:t>
      </w:r>
      <w:r w:rsidR="00295B0B" w:rsidRPr="004318E3">
        <w:rPr>
          <w:rFonts w:ascii="Times New Roman" w:hAnsi="Times New Roman"/>
          <w:sz w:val="20"/>
          <w:szCs w:val="20"/>
        </w:rPr>
        <w:t xml:space="preserve"> Ed, Oxford University Press, Melbourne; </w:t>
      </w:r>
      <w:proofErr w:type="spellStart"/>
      <w:r w:rsidR="00295B0B" w:rsidRPr="004318E3">
        <w:rPr>
          <w:rFonts w:ascii="Times New Roman" w:hAnsi="Times New Roman"/>
          <w:sz w:val="20"/>
          <w:szCs w:val="20"/>
        </w:rPr>
        <w:t>Pittard</w:t>
      </w:r>
      <w:proofErr w:type="spellEnd"/>
      <w:r w:rsidR="00295B0B" w:rsidRPr="004318E3">
        <w:rPr>
          <w:rFonts w:ascii="Times New Roman" w:hAnsi="Times New Roman"/>
          <w:sz w:val="20"/>
          <w:szCs w:val="20"/>
        </w:rPr>
        <w:t xml:space="preserve">, M and </w:t>
      </w:r>
      <w:proofErr w:type="spellStart"/>
      <w:r w:rsidR="00295B0B" w:rsidRPr="004318E3">
        <w:rPr>
          <w:rFonts w:ascii="Times New Roman" w:hAnsi="Times New Roman"/>
          <w:sz w:val="20"/>
          <w:szCs w:val="20"/>
        </w:rPr>
        <w:t>Naughton</w:t>
      </w:r>
      <w:proofErr w:type="spellEnd"/>
      <w:r w:rsidR="00295B0B" w:rsidRPr="004318E3">
        <w:rPr>
          <w:rFonts w:ascii="Times New Roman" w:hAnsi="Times New Roman"/>
          <w:sz w:val="20"/>
          <w:szCs w:val="20"/>
        </w:rPr>
        <w:t>, R (2010).</w:t>
      </w:r>
      <w:proofErr w:type="gramEnd"/>
      <w:r w:rsidR="00295B0B" w:rsidRPr="004318E3">
        <w:rPr>
          <w:rFonts w:ascii="Times New Roman" w:hAnsi="Times New Roman"/>
          <w:sz w:val="20"/>
          <w:szCs w:val="20"/>
        </w:rPr>
        <w:t xml:space="preserve"> </w:t>
      </w:r>
      <w:r w:rsidR="00295B0B" w:rsidRPr="004318E3">
        <w:rPr>
          <w:rFonts w:ascii="Times New Roman" w:hAnsi="Times New Roman"/>
          <w:i/>
          <w:iCs/>
          <w:sz w:val="20"/>
          <w:szCs w:val="20"/>
        </w:rPr>
        <w:t>Australian Labour Law: Text, Cases &amp; Commentary</w:t>
      </w:r>
      <w:r w:rsidR="00295B0B" w:rsidRPr="004318E3">
        <w:rPr>
          <w:rFonts w:ascii="Times New Roman" w:hAnsi="Times New Roman"/>
          <w:sz w:val="20"/>
          <w:szCs w:val="20"/>
        </w:rPr>
        <w:t>, 5</w:t>
      </w:r>
      <w:r w:rsidR="00295B0B" w:rsidRPr="004318E3">
        <w:rPr>
          <w:rFonts w:ascii="Times New Roman" w:hAnsi="Times New Roman"/>
          <w:sz w:val="20"/>
          <w:szCs w:val="20"/>
          <w:vertAlign w:val="superscript"/>
        </w:rPr>
        <w:t>th</w:t>
      </w:r>
      <w:r w:rsidR="00295B0B" w:rsidRPr="004318E3">
        <w:rPr>
          <w:rFonts w:ascii="Times New Roman" w:hAnsi="Times New Roman"/>
          <w:sz w:val="20"/>
          <w:szCs w:val="20"/>
        </w:rPr>
        <w:t xml:space="preserve"> Ed, LexisNexis, Sydney; McCrystal, S (2010a). </w:t>
      </w:r>
      <w:proofErr w:type="gramStart"/>
      <w:r w:rsidR="00295B0B" w:rsidRPr="004318E3">
        <w:rPr>
          <w:rFonts w:ascii="Times New Roman" w:hAnsi="Times New Roman"/>
          <w:i/>
          <w:iCs/>
          <w:sz w:val="20"/>
          <w:szCs w:val="20"/>
        </w:rPr>
        <w:t>The Right to Strike in Australia</w:t>
      </w:r>
      <w:r w:rsidR="00295B0B" w:rsidRPr="004318E3">
        <w:rPr>
          <w:rFonts w:ascii="Times New Roman" w:hAnsi="Times New Roman"/>
          <w:sz w:val="20"/>
          <w:szCs w:val="20"/>
        </w:rPr>
        <w:t>, Federation Press, Sydney.</w:t>
      </w:r>
      <w:proofErr w:type="gramEnd"/>
    </w:p>
  </w:footnote>
  <w:footnote w:id="5">
    <w:p w14:paraId="2F2B5E59" w14:textId="77777777" w:rsidR="00295B0B" w:rsidRPr="004318E3" w:rsidRDefault="00295B0B" w:rsidP="00D15FCE">
      <w:pPr>
        <w:pStyle w:val="FootnoteText"/>
        <w:jc w:val="both"/>
        <w:rPr>
          <w:rFonts w:ascii="Times New Roman" w:hAnsi="Times New Roman"/>
        </w:rPr>
      </w:pPr>
      <w:r w:rsidRPr="004318E3">
        <w:rPr>
          <w:rStyle w:val="FootnoteReference"/>
          <w:rFonts w:ascii="Times New Roman" w:hAnsi="Times New Roman"/>
        </w:rPr>
        <w:footnoteRef/>
      </w:r>
      <w:r w:rsidRPr="004318E3">
        <w:rPr>
          <w:rFonts w:ascii="Times New Roman" w:hAnsi="Times New Roman"/>
        </w:rPr>
        <w:t xml:space="preserve"> </w:t>
      </w:r>
      <w:proofErr w:type="gramStart"/>
      <w:r w:rsidRPr="004318E3">
        <w:rPr>
          <w:rFonts w:ascii="Times New Roman" w:hAnsi="Times New Roman"/>
        </w:rPr>
        <w:t>Australian Government (2012).</w:t>
      </w:r>
      <w:proofErr w:type="gramEnd"/>
      <w:r w:rsidRPr="004318E3">
        <w:rPr>
          <w:rFonts w:ascii="Times New Roman" w:hAnsi="Times New Roman"/>
        </w:rPr>
        <w:t xml:space="preserve"> </w:t>
      </w:r>
      <w:r w:rsidRPr="004318E3">
        <w:rPr>
          <w:rFonts w:ascii="Times New Roman" w:hAnsi="Times New Roman"/>
          <w:i/>
        </w:rPr>
        <w:t>Towards More Productive and Equitable Workplaces: An Evaluation of the Fair Work Legislation</w:t>
      </w:r>
      <w:r w:rsidRPr="004318E3">
        <w:rPr>
          <w:rFonts w:ascii="Times New Roman" w:hAnsi="Times New Roman"/>
        </w:rPr>
        <w:t>, Commonwealth of Australia, 180.</w:t>
      </w:r>
    </w:p>
  </w:footnote>
  <w:footnote w:id="6">
    <w:p w14:paraId="2DCF4C35" w14:textId="77777777" w:rsidR="00295B0B" w:rsidRPr="004318E3" w:rsidRDefault="00295B0B" w:rsidP="00D15FCE">
      <w:pPr>
        <w:pStyle w:val="FootnoteText"/>
        <w:jc w:val="both"/>
        <w:rPr>
          <w:rFonts w:ascii="Times New Roman" w:hAnsi="Times New Roman"/>
        </w:rPr>
      </w:pPr>
      <w:r w:rsidRPr="004318E3">
        <w:rPr>
          <w:rStyle w:val="FootnoteReference"/>
          <w:rFonts w:ascii="Times New Roman" w:hAnsi="Times New Roman"/>
        </w:rPr>
        <w:footnoteRef/>
      </w:r>
      <w:r w:rsidRPr="004318E3">
        <w:rPr>
          <w:rFonts w:ascii="Times New Roman" w:hAnsi="Times New Roman"/>
        </w:rPr>
        <w:t xml:space="preserve"> Ibid.</w:t>
      </w:r>
    </w:p>
  </w:footnote>
  <w:footnote w:id="7">
    <w:p w14:paraId="04AB58DC" w14:textId="77777777" w:rsidR="00BF2A8E" w:rsidRPr="004318E3" w:rsidRDefault="00BF2A8E" w:rsidP="00D15FCE">
      <w:pPr>
        <w:spacing w:after="0" w:line="240" w:lineRule="auto"/>
        <w:jc w:val="both"/>
        <w:rPr>
          <w:rFonts w:ascii="Times New Roman" w:hAnsi="Times New Roman"/>
          <w:sz w:val="20"/>
          <w:szCs w:val="20"/>
        </w:rPr>
      </w:pPr>
      <w:r w:rsidRPr="004318E3">
        <w:rPr>
          <w:rStyle w:val="FootnoteReference"/>
          <w:rFonts w:ascii="Times New Roman" w:hAnsi="Times New Roman"/>
          <w:sz w:val="20"/>
          <w:szCs w:val="20"/>
        </w:rPr>
        <w:footnoteRef/>
      </w:r>
      <w:r w:rsidRPr="004318E3">
        <w:rPr>
          <w:rFonts w:ascii="Times New Roman" w:hAnsi="Times New Roman"/>
          <w:sz w:val="20"/>
          <w:szCs w:val="20"/>
        </w:rPr>
        <w:t xml:space="preserve"> See McCrystal, S and Novitz, T (2012). </w:t>
      </w:r>
      <w:r w:rsidRPr="004318E3">
        <w:rPr>
          <w:rFonts w:ascii="Times New Roman" w:eastAsia="Times New Roman" w:hAnsi="Times New Roman"/>
          <w:sz w:val="20"/>
          <w:szCs w:val="20"/>
          <w:lang w:eastAsia="en-AU"/>
        </w:rPr>
        <w:t xml:space="preserve">‘”Democratic” Pre-conditions for Strike Action: A Comparative Study of Australian and UK Labour Legislation’ 28 </w:t>
      </w:r>
      <w:proofErr w:type="gramStart"/>
      <w:r w:rsidRPr="004318E3">
        <w:rPr>
          <w:rFonts w:ascii="Times New Roman" w:eastAsia="Times New Roman" w:hAnsi="Times New Roman"/>
          <w:i/>
          <w:iCs/>
          <w:sz w:val="20"/>
          <w:szCs w:val="20"/>
          <w:lang w:eastAsia="en-AU"/>
        </w:rPr>
        <w:t>The</w:t>
      </w:r>
      <w:proofErr w:type="gramEnd"/>
      <w:r w:rsidRPr="004318E3">
        <w:rPr>
          <w:rFonts w:ascii="Times New Roman" w:eastAsia="Times New Roman" w:hAnsi="Times New Roman"/>
          <w:i/>
          <w:iCs/>
          <w:sz w:val="20"/>
          <w:szCs w:val="20"/>
          <w:lang w:eastAsia="en-AU"/>
        </w:rPr>
        <w:t xml:space="preserve"> International Journal of Comparative Labour Law and Industrial Relations</w:t>
      </w:r>
      <w:r w:rsidRPr="004318E3">
        <w:rPr>
          <w:rFonts w:ascii="Times New Roman" w:eastAsia="Times New Roman" w:hAnsi="Times New Roman"/>
          <w:sz w:val="20"/>
          <w:szCs w:val="20"/>
          <w:lang w:eastAsia="en-AU"/>
        </w:rPr>
        <w:t xml:space="preserve"> 115</w:t>
      </w:r>
      <w:r w:rsidRPr="004318E3">
        <w:rPr>
          <w:rFonts w:ascii="Times New Roman" w:eastAsia="Times New Roman" w:hAnsi="Times New Roman"/>
          <w:i/>
          <w:iCs/>
          <w:sz w:val="20"/>
          <w:szCs w:val="20"/>
          <w:lang w:eastAsia="en-AU"/>
        </w:rPr>
        <w:t>.</w:t>
      </w:r>
    </w:p>
  </w:footnote>
  <w:footnote w:id="8">
    <w:p w14:paraId="3C7CADF7" w14:textId="77777777" w:rsidR="00BF2A8E" w:rsidRPr="004318E3" w:rsidRDefault="00BF2A8E" w:rsidP="00D15FCE">
      <w:pPr>
        <w:spacing w:after="0" w:line="240" w:lineRule="auto"/>
        <w:jc w:val="both"/>
        <w:rPr>
          <w:rFonts w:ascii="Times New Roman" w:hAnsi="Times New Roman"/>
          <w:sz w:val="20"/>
          <w:szCs w:val="20"/>
        </w:rPr>
      </w:pPr>
      <w:r w:rsidRPr="004318E3">
        <w:rPr>
          <w:rStyle w:val="FootnoteReference"/>
          <w:rFonts w:ascii="Times New Roman" w:hAnsi="Times New Roman"/>
          <w:sz w:val="20"/>
          <w:szCs w:val="20"/>
        </w:rPr>
        <w:footnoteRef/>
      </w:r>
      <w:r w:rsidRPr="004318E3">
        <w:rPr>
          <w:rFonts w:ascii="Times New Roman" w:hAnsi="Times New Roman"/>
          <w:sz w:val="20"/>
          <w:szCs w:val="20"/>
        </w:rPr>
        <w:t xml:space="preserve"> </w:t>
      </w:r>
      <w:proofErr w:type="spellStart"/>
      <w:proofErr w:type="gramStart"/>
      <w:r w:rsidRPr="004318E3">
        <w:rPr>
          <w:rFonts w:ascii="Times New Roman" w:hAnsi="Times New Roman"/>
          <w:sz w:val="20"/>
          <w:szCs w:val="20"/>
        </w:rPr>
        <w:t>Undy</w:t>
      </w:r>
      <w:proofErr w:type="spellEnd"/>
      <w:r w:rsidRPr="004318E3">
        <w:rPr>
          <w:rFonts w:ascii="Times New Roman" w:hAnsi="Times New Roman"/>
          <w:sz w:val="20"/>
          <w:szCs w:val="20"/>
        </w:rPr>
        <w:t xml:space="preserve">, R, </w:t>
      </w:r>
      <w:proofErr w:type="spellStart"/>
      <w:r w:rsidRPr="004318E3">
        <w:rPr>
          <w:rFonts w:ascii="Times New Roman" w:hAnsi="Times New Roman"/>
          <w:sz w:val="20"/>
          <w:szCs w:val="20"/>
        </w:rPr>
        <w:t>Fosh</w:t>
      </w:r>
      <w:proofErr w:type="spellEnd"/>
      <w:r w:rsidRPr="004318E3">
        <w:rPr>
          <w:rFonts w:ascii="Times New Roman" w:hAnsi="Times New Roman"/>
          <w:sz w:val="20"/>
          <w:szCs w:val="20"/>
        </w:rPr>
        <w:t>, P, Morris, H, Smith, P and Martin, R (1996).</w:t>
      </w:r>
      <w:proofErr w:type="gramEnd"/>
      <w:r w:rsidRPr="004318E3">
        <w:rPr>
          <w:rFonts w:ascii="Times New Roman" w:hAnsi="Times New Roman"/>
          <w:sz w:val="20"/>
          <w:szCs w:val="20"/>
        </w:rPr>
        <w:t xml:space="preserve"> </w:t>
      </w:r>
      <w:proofErr w:type="gramStart"/>
      <w:r w:rsidRPr="004318E3">
        <w:rPr>
          <w:rFonts w:ascii="Times New Roman" w:hAnsi="Times New Roman"/>
          <w:i/>
          <w:iCs/>
          <w:sz w:val="20"/>
          <w:szCs w:val="20"/>
        </w:rPr>
        <w:t>Managing the Unions: The Impact of Legislation on Trade Union Behaviour</w:t>
      </w:r>
      <w:r w:rsidRPr="004318E3">
        <w:rPr>
          <w:rFonts w:ascii="Times New Roman" w:hAnsi="Times New Roman"/>
          <w:sz w:val="20"/>
          <w:szCs w:val="20"/>
        </w:rPr>
        <w:t>, Clarendon Press, Oxford, 229-230.</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55C8F"/>
    <w:multiLevelType w:val="hybridMultilevel"/>
    <w:tmpl w:val="37A41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880000"/>
    <w:multiLevelType w:val="hybridMultilevel"/>
    <w:tmpl w:val="4E9C1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10D62C5"/>
    <w:multiLevelType w:val="hybridMultilevel"/>
    <w:tmpl w:val="1B340850"/>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60"/>
    <w:rsid w:val="0018755B"/>
    <w:rsid w:val="00295B0B"/>
    <w:rsid w:val="002A7832"/>
    <w:rsid w:val="003635AE"/>
    <w:rsid w:val="004318E3"/>
    <w:rsid w:val="00462AD3"/>
    <w:rsid w:val="00531448"/>
    <w:rsid w:val="007F07F5"/>
    <w:rsid w:val="0085509F"/>
    <w:rsid w:val="00887BCA"/>
    <w:rsid w:val="00BF2A8E"/>
    <w:rsid w:val="00C16294"/>
    <w:rsid w:val="00D15FCE"/>
    <w:rsid w:val="00D21F9F"/>
    <w:rsid w:val="00D67BA0"/>
    <w:rsid w:val="00D84C09"/>
    <w:rsid w:val="00E44CE1"/>
    <w:rsid w:val="00ED2260"/>
    <w:rsid w:val="00F17BAA"/>
    <w:rsid w:val="00F64344"/>
    <w:rsid w:val="00F95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21F9F"/>
    <w:pPr>
      <w:ind w:left="720"/>
      <w:contextualSpacing/>
    </w:pPr>
  </w:style>
  <w:style w:type="paragraph" w:styleId="FootnoteText">
    <w:name w:val="footnote text"/>
    <w:basedOn w:val="Normal"/>
    <w:link w:val="FootnoteTextChar"/>
    <w:uiPriority w:val="99"/>
    <w:semiHidden/>
    <w:unhideWhenUsed/>
    <w:rsid w:val="003635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5AE"/>
    <w:rPr>
      <w:lang w:eastAsia="en-US"/>
    </w:rPr>
  </w:style>
  <w:style w:type="character" w:styleId="FootnoteReference">
    <w:name w:val="footnote reference"/>
    <w:basedOn w:val="DefaultParagraphFont"/>
    <w:uiPriority w:val="99"/>
    <w:semiHidden/>
    <w:unhideWhenUsed/>
    <w:rsid w:val="003635AE"/>
    <w:rPr>
      <w:vertAlign w:val="superscript"/>
    </w:rPr>
  </w:style>
  <w:style w:type="paragraph" w:styleId="Header">
    <w:name w:val="header"/>
    <w:basedOn w:val="Normal"/>
    <w:link w:val="HeaderChar"/>
    <w:uiPriority w:val="99"/>
    <w:unhideWhenUsed/>
    <w:rsid w:val="00462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AD3"/>
    <w:rPr>
      <w:sz w:val="22"/>
      <w:szCs w:val="22"/>
      <w:lang w:eastAsia="en-US"/>
    </w:rPr>
  </w:style>
  <w:style w:type="paragraph" w:styleId="Footer">
    <w:name w:val="footer"/>
    <w:basedOn w:val="Normal"/>
    <w:link w:val="FooterChar"/>
    <w:uiPriority w:val="99"/>
    <w:unhideWhenUsed/>
    <w:rsid w:val="00462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AD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21F9F"/>
    <w:pPr>
      <w:ind w:left="720"/>
      <w:contextualSpacing/>
    </w:pPr>
  </w:style>
  <w:style w:type="paragraph" w:styleId="FootnoteText">
    <w:name w:val="footnote text"/>
    <w:basedOn w:val="Normal"/>
    <w:link w:val="FootnoteTextChar"/>
    <w:uiPriority w:val="99"/>
    <w:semiHidden/>
    <w:unhideWhenUsed/>
    <w:rsid w:val="003635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5AE"/>
    <w:rPr>
      <w:lang w:eastAsia="en-US"/>
    </w:rPr>
  </w:style>
  <w:style w:type="character" w:styleId="FootnoteReference">
    <w:name w:val="footnote reference"/>
    <w:basedOn w:val="DefaultParagraphFont"/>
    <w:uiPriority w:val="99"/>
    <w:semiHidden/>
    <w:unhideWhenUsed/>
    <w:rsid w:val="003635AE"/>
    <w:rPr>
      <w:vertAlign w:val="superscript"/>
    </w:rPr>
  </w:style>
  <w:style w:type="paragraph" w:styleId="Header">
    <w:name w:val="header"/>
    <w:basedOn w:val="Normal"/>
    <w:link w:val="HeaderChar"/>
    <w:uiPriority w:val="99"/>
    <w:unhideWhenUsed/>
    <w:rsid w:val="00462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AD3"/>
    <w:rPr>
      <w:sz w:val="22"/>
      <w:szCs w:val="22"/>
      <w:lang w:eastAsia="en-US"/>
    </w:rPr>
  </w:style>
  <w:style w:type="paragraph" w:styleId="Footer">
    <w:name w:val="footer"/>
    <w:basedOn w:val="Normal"/>
    <w:link w:val="FooterChar"/>
    <w:uiPriority w:val="99"/>
    <w:unhideWhenUsed/>
    <w:rsid w:val="00462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A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2C100-999A-40A3-9A83-1D148E7382B0}">
  <ds:schemaRefs>
    <ds:schemaRef ds:uri="http://schemas.microsoft.com/office/2006/metadata/customXsn"/>
  </ds:schemaRefs>
</ds:datastoreItem>
</file>

<file path=customXml/itemProps2.xml><?xml version="1.0" encoding="utf-8"?>
<ds:datastoreItem xmlns:ds="http://schemas.openxmlformats.org/officeDocument/2006/customXml" ds:itemID="{243E0736-058C-42F1-891F-C38CEF9DFA67}">
  <ds:schemaRefs>
    <ds:schemaRef ds:uri="http://schemas.microsoft.com/sharepoint/events"/>
  </ds:schemaRefs>
</ds:datastoreItem>
</file>

<file path=customXml/itemProps3.xml><?xml version="1.0" encoding="utf-8"?>
<ds:datastoreItem xmlns:ds="http://schemas.openxmlformats.org/officeDocument/2006/customXml" ds:itemID="{8AE7FBB3-81B1-42FD-9BF4-49BEE0DAD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C9EAF4-967E-4635-B999-9B2BEA852A70}">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8B81E244-438C-4BC5-BC30-E570D3879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Submission 48 - Breen Creighton, Shae McCrystal and Richard Johnstone - Workplace Relations Framework - Public inquiry</vt:lpstr>
    </vt:vector>
  </TitlesOfParts>
  <Company>Breen Creighton, Shae McCrystal and Richard Johnstone</Company>
  <LinksUpToDate>false</LinksUpToDate>
  <CharactersWithSpaces>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48 - Breen Creighton, Shae McCrystal and Richard Johnstone - Workplace Relations Framework - Public inquiry</dc:title>
  <dc:creator>Breen Creighton, Shae McCrystal and Richard Johnstone</dc:creator>
  <cp:lastModifiedBy>Productivity Commission</cp:lastModifiedBy>
  <cp:revision>3</cp:revision>
  <dcterms:created xsi:type="dcterms:W3CDTF">2015-03-15T03:27:00Z</dcterms:created>
  <dcterms:modified xsi:type="dcterms:W3CDTF">2015-03-15T21:52:00Z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