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EF" w:rsidRPr="00BE0ABB" w:rsidRDefault="000C45BD" w:rsidP="00D10DEF">
      <w:pPr>
        <w:pStyle w:val="BodyCopy"/>
        <w:spacing w:after="0"/>
        <w:rPr>
          <w:rFonts w:asciiTheme="majorHAnsi" w:eastAsia="Myriad Pro" w:hAnsiTheme="majorHAnsi" w:cs="Times New Roman"/>
          <w:color w:val="auto"/>
          <w:szCs w:val="22"/>
          <w:lang w:val="en-AU"/>
        </w:rPr>
      </w:pPr>
      <w:r w:rsidRPr="00BE0ABB">
        <w:rPr>
          <w:rFonts w:asciiTheme="majorHAnsi" w:eastAsia="Myriad Pro" w:hAnsiTheme="majorHAnsi" w:cs="Times New Roman"/>
          <w:color w:val="auto"/>
          <w:szCs w:val="22"/>
          <w:lang w:val="en-AU"/>
        </w:rPr>
        <w:t>13</w:t>
      </w:r>
      <w:r w:rsidR="00D10DEF" w:rsidRPr="00BE0ABB">
        <w:rPr>
          <w:rFonts w:asciiTheme="majorHAnsi" w:eastAsia="Myriad Pro" w:hAnsiTheme="majorHAnsi" w:cs="Times New Roman"/>
          <w:color w:val="auto"/>
          <w:szCs w:val="22"/>
          <w:lang w:val="en-AU"/>
        </w:rPr>
        <w:t xml:space="preserve"> March 2015</w:t>
      </w:r>
    </w:p>
    <w:p w:rsidR="00D10DEF" w:rsidRPr="00BE0ABB" w:rsidRDefault="00D10DEF" w:rsidP="000C45BD">
      <w:pPr>
        <w:pStyle w:val="BodyCopy"/>
        <w:rPr>
          <w:rFonts w:asciiTheme="majorHAnsi" w:eastAsia="Myriad Pro" w:hAnsiTheme="majorHAnsi" w:cs="Times New Roman"/>
          <w:color w:val="auto"/>
          <w:szCs w:val="22"/>
          <w:lang w:val="en-AU"/>
        </w:rPr>
      </w:pPr>
      <w:r w:rsidRPr="00BE0ABB">
        <w:rPr>
          <w:rFonts w:asciiTheme="majorHAnsi" w:eastAsia="Myriad Pro" w:hAnsiTheme="majorHAnsi" w:cs="Times New Roman"/>
          <w:color w:val="auto"/>
          <w:szCs w:val="22"/>
          <w:lang w:val="en-AU"/>
        </w:rPr>
        <w:br/>
      </w:r>
      <w:r w:rsidR="000C45BD" w:rsidRPr="00BE0ABB">
        <w:rPr>
          <w:rFonts w:asciiTheme="majorHAnsi" w:eastAsia="Myriad Pro" w:hAnsiTheme="majorHAnsi" w:cs="Times New Roman"/>
          <w:color w:val="auto"/>
          <w:szCs w:val="22"/>
          <w:lang w:val="en-AU"/>
        </w:rPr>
        <w:t>Workplace Relations Framework</w:t>
      </w:r>
      <w:r w:rsidR="000C45BD" w:rsidRPr="00BE0ABB">
        <w:rPr>
          <w:rFonts w:asciiTheme="majorHAnsi" w:eastAsia="Myriad Pro" w:hAnsiTheme="majorHAnsi" w:cs="Times New Roman"/>
          <w:color w:val="auto"/>
          <w:szCs w:val="22"/>
          <w:lang w:val="en-AU"/>
        </w:rPr>
        <w:br/>
        <w:t>Productivity Commission</w:t>
      </w:r>
      <w:r w:rsidR="000C45BD" w:rsidRPr="00BE0ABB">
        <w:rPr>
          <w:rFonts w:asciiTheme="majorHAnsi" w:eastAsia="Myriad Pro" w:hAnsiTheme="majorHAnsi" w:cs="Times New Roman"/>
          <w:color w:val="auto"/>
          <w:szCs w:val="22"/>
          <w:lang w:val="en-AU"/>
        </w:rPr>
        <w:br/>
        <w:t>GPO Box 1428</w:t>
      </w:r>
      <w:r w:rsidR="000C45BD" w:rsidRPr="00BE0ABB">
        <w:rPr>
          <w:rFonts w:asciiTheme="majorHAnsi" w:eastAsia="Myriad Pro" w:hAnsiTheme="majorHAnsi" w:cs="Times New Roman"/>
          <w:color w:val="auto"/>
          <w:szCs w:val="22"/>
          <w:lang w:val="en-AU"/>
        </w:rPr>
        <w:br/>
        <w:t>Canberra City ACT 2601</w:t>
      </w:r>
    </w:p>
    <w:p w:rsidR="00D93989" w:rsidRPr="00BE0ABB" w:rsidRDefault="000C45BD" w:rsidP="00D10DEF">
      <w:pPr>
        <w:rPr>
          <w:rFonts w:asciiTheme="majorHAnsi" w:eastAsia="Myriad Pro" w:hAnsiTheme="majorHAnsi"/>
          <w:sz w:val="22"/>
          <w:szCs w:val="22"/>
        </w:rPr>
      </w:pPr>
      <w:r w:rsidRPr="00BE0ABB">
        <w:rPr>
          <w:rFonts w:asciiTheme="majorHAnsi" w:eastAsia="Myriad Pro" w:hAnsiTheme="majorHAnsi"/>
          <w:sz w:val="22"/>
          <w:szCs w:val="22"/>
        </w:rPr>
        <w:t xml:space="preserve">Via email: </w:t>
      </w:r>
      <w:hyperlink r:id="rId9" w:history="1">
        <w:r w:rsidR="00D93989" w:rsidRPr="00BE0ABB">
          <w:rPr>
            <w:rStyle w:val="Hyperlink"/>
            <w:rFonts w:asciiTheme="majorHAnsi" w:eastAsia="Myriad Pro" w:hAnsiTheme="majorHAnsi"/>
            <w:b/>
            <w:color w:val="BD2B0B"/>
            <w:sz w:val="22"/>
            <w:szCs w:val="22"/>
          </w:rPr>
          <w:t>workplace.relations@pc.gov.au</w:t>
        </w:r>
      </w:hyperlink>
    </w:p>
    <w:p w:rsidR="000C45BD" w:rsidRPr="00BE0ABB" w:rsidRDefault="000C45BD" w:rsidP="00D10DEF">
      <w:pPr>
        <w:rPr>
          <w:rFonts w:asciiTheme="majorHAnsi" w:eastAsia="Myriad Pro" w:hAnsiTheme="majorHAnsi"/>
          <w:sz w:val="22"/>
          <w:szCs w:val="22"/>
        </w:rPr>
      </w:pPr>
    </w:p>
    <w:p w:rsidR="00D10DEF" w:rsidRPr="00BE0ABB" w:rsidRDefault="00D10DEF" w:rsidP="00D10DEF">
      <w:pPr>
        <w:rPr>
          <w:rFonts w:asciiTheme="majorHAnsi" w:eastAsia="Myriad Pro" w:hAnsiTheme="majorHAnsi"/>
          <w:sz w:val="22"/>
          <w:szCs w:val="22"/>
        </w:rPr>
      </w:pP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 xml:space="preserve">Anglicare Australia would like to put forward a number of preliminary issues to help guide the Commission in its deliberation of the Workplace Relations Framework as it relates to issues of social justice and community cohesion. Although not a large employer itself – the Anglicare Australia offices comprises six paid employees and one volunteer – the Anglicare network which includes around 40 member agencies employs </w:t>
      </w:r>
      <w:r w:rsidR="00844F04" w:rsidRPr="00BE0ABB">
        <w:rPr>
          <w:rFonts w:asciiTheme="majorHAnsi" w:eastAsia="Myriad Pro" w:hAnsiTheme="majorHAnsi"/>
          <w:sz w:val="22"/>
          <w:szCs w:val="22"/>
        </w:rPr>
        <w:t>1</w:t>
      </w:r>
      <w:r w:rsidRPr="00BE0ABB">
        <w:rPr>
          <w:rFonts w:asciiTheme="majorHAnsi" w:eastAsia="Myriad Pro" w:hAnsiTheme="majorHAnsi"/>
          <w:sz w:val="22"/>
          <w:szCs w:val="22"/>
        </w:rPr>
        <w:t xml:space="preserve">3,000 staff and </w:t>
      </w:r>
      <w:r w:rsidR="00844F04" w:rsidRPr="00BE0ABB">
        <w:rPr>
          <w:rFonts w:asciiTheme="majorHAnsi" w:eastAsia="Myriad Pro" w:hAnsiTheme="majorHAnsi"/>
          <w:sz w:val="22"/>
          <w:szCs w:val="22"/>
        </w:rPr>
        <w:t>8</w:t>
      </w:r>
      <w:r w:rsidRPr="00BE0ABB">
        <w:rPr>
          <w:rFonts w:asciiTheme="majorHAnsi" w:eastAsia="Myriad Pro" w:hAnsiTheme="majorHAnsi"/>
          <w:sz w:val="22"/>
          <w:szCs w:val="22"/>
        </w:rPr>
        <w:t xml:space="preserve">,000 volunteers in its work to support roughly </w:t>
      </w:r>
      <w:r w:rsidR="00844F04" w:rsidRPr="00BE0ABB">
        <w:rPr>
          <w:rFonts w:asciiTheme="majorHAnsi" w:eastAsia="Myriad Pro" w:hAnsiTheme="majorHAnsi"/>
          <w:sz w:val="22"/>
          <w:szCs w:val="22"/>
        </w:rPr>
        <w:t>6</w:t>
      </w:r>
      <w:r w:rsidRPr="00BE0ABB">
        <w:rPr>
          <w:rFonts w:asciiTheme="majorHAnsi" w:eastAsia="Myriad Pro" w:hAnsiTheme="majorHAnsi"/>
          <w:sz w:val="22"/>
          <w:szCs w:val="22"/>
        </w:rPr>
        <w:t>00,000 Australians. For many of these individuals workforce participation and inadequate income are contributing factors to entrenched disadvantage.</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The points that have been laid out below have been garnered from the experience and evidence of the Anglicare Australia network and relate most closely to the following terms of reference:</w:t>
      </w:r>
    </w:p>
    <w:p w:rsidR="00201CC1" w:rsidRPr="00BE0ABB" w:rsidRDefault="00201CC1" w:rsidP="000C45BD">
      <w:pPr>
        <w:numPr>
          <w:ilvl w:val="0"/>
          <w:numId w:val="3"/>
        </w:numPr>
        <w:spacing w:after="200" w:line="276" w:lineRule="auto"/>
        <w:contextualSpacing/>
        <w:jc w:val="both"/>
        <w:rPr>
          <w:rFonts w:asciiTheme="majorHAnsi" w:eastAsia="Myriad Pro" w:hAnsiTheme="majorHAnsi"/>
          <w:sz w:val="22"/>
          <w:szCs w:val="22"/>
        </w:rPr>
      </w:pPr>
      <w:r w:rsidRPr="00BE0ABB">
        <w:rPr>
          <w:rFonts w:asciiTheme="majorHAnsi" w:eastAsia="Myriad Pro" w:hAnsiTheme="majorHAnsi"/>
          <w:sz w:val="22"/>
          <w:szCs w:val="22"/>
        </w:rPr>
        <w:t>unemployment, underemployment and job creation</w:t>
      </w:r>
    </w:p>
    <w:p w:rsidR="00201CC1" w:rsidRPr="00BE0ABB" w:rsidRDefault="00201CC1" w:rsidP="000C45BD">
      <w:pPr>
        <w:numPr>
          <w:ilvl w:val="0"/>
          <w:numId w:val="3"/>
        </w:numPr>
        <w:spacing w:after="200" w:line="276" w:lineRule="auto"/>
        <w:contextualSpacing/>
        <w:jc w:val="both"/>
        <w:rPr>
          <w:rFonts w:asciiTheme="majorHAnsi" w:eastAsia="Myriad Pro" w:hAnsiTheme="majorHAnsi"/>
          <w:sz w:val="22"/>
          <w:szCs w:val="22"/>
        </w:rPr>
      </w:pPr>
      <w:r w:rsidRPr="00BE0ABB">
        <w:rPr>
          <w:rFonts w:asciiTheme="majorHAnsi" w:eastAsia="Myriad Pro" w:hAnsiTheme="majorHAnsi"/>
          <w:sz w:val="22"/>
          <w:szCs w:val="22"/>
        </w:rPr>
        <w:t>fair and equitable pay and conditions for employees, including the maintenance of a relevant safety net</w:t>
      </w:r>
    </w:p>
    <w:p w:rsidR="00201CC1" w:rsidRPr="00BE0ABB" w:rsidRDefault="00201CC1" w:rsidP="000C45BD">
      <w:pPr>
        <w:numPr>
          <w:ilvl w:val="0"/>
          <w:numId w:val="3"/>
        </w:numPr>
        <w:spacing w:after="200" w:line="276" w:lineRule="auto"/>
        <w:contextualSpacing/>
        <w:jc w:val="both"/>
        <w:rPr>
          <w:rFonts w:asciiTheme="majorHAnsi" w:eastAsia="Myriad Pro" w:hAnsiTheme="majorHAnsi"/>
          <w:sz w:val="22"/>
          <w:szCs w:val="22"/>
        </w:rPr>
      </w:pPr>
      <w:r w:rsidRPr="00BE0ABB">
        <w:rPr>
          <w:rFonts w:asciiTheme="majorHAnsi" w:eastAsia="Myriad Pro" w:hAnsiTheme="majorHAnsi"/>
          <w:sz w:val="22"/>
          <w:szCs w:val="22"/>
        </w:rPr>
        <w:t>the ability of business and the labour market to respond appropriately to changing economic conditions patterns of engagement in the labour market</w:t>
      </w:r>
    </w:p>
    <w:p w:rsidR="00201CC1" w:rsidRPr="00BE0ABB" w:rsidRDefault="00201CC1" w:rsidP="000C45BD">
      <w:pPr>
        <w:numPr>
          <w:ilvl w:val="0"/>
          <w:numId w:val="3"/>
        </w:numPr>
        <w:spacing w:after="200" w:line="276" w:lineRule="auto"/>
        <w:contextualSpacing/>
        <w:jc w:val="both"/>
        <w:rPr>
          <w:rFonts w:asciiTheme="majorHAnsi" w:eastAsia="Myriad Pro" w:hAnsiTheme="majorHAnsi"/>
          <w:sz w:val="22"/>
          <w:szCs w:val="22"/>
        </w:rPr>
      </w:pPr>
      <w:r w:rsidRPr="00BE0ABB">
        <w:rPr>
          <w:rFonts w:asciiTheme="majorHAnsi" w:eastAsia="Myriad Pro" w:hAnsiTheme="majorHAnsi"/>
          <w:sz w:val="22"/>
          <w:szCs w:val="22"/>
        </w:rPr>
        <w:t>the ability for employers to flexibly manage and engage with their employees</w:t>
      </w:r>
    </w:p>
    <w:p w:rsidR="000C45BD" w:rsidRPr="00BE0ABB" w:rsidRDefault="000C45BD" w:rsidP="000C45BD">
      <w:pPr>
        <w:spacing w:after="200" w:line="276" w:lineRule="auto"/>
        <w:contextualSpacing/>
        <w:jc w:val="both"/>
        <w:rPr>
          <w:rFonts w:asciiTheme="majorHAnsi" w:eastAsia="Myriad Pro" w:hAnsiTheme="majorHAnsi"/>
          <w:sz w:val="22"/>
          <w:szCs w:val="22"/>
        </w:rPr>
      </w:pPr>
    </w:p>
    <w:p w:rsidR="00201CC1" w:rsidRPr="00BE0ABB" w:rsidRDefault="00201CC1" w:rsidP="000C45BD">
      <w:pPr>
        <w:spacing w:after="200" w:line="276" w:lineRule="auto"/>
        <w:jc w:val="both"/>
        <w:rPr>
          <w:rFonts w:asciiTheme="majorHAnsi" w:eastAsia="Myriad Pro" w:hAnsiTheme="majorHAnsi"/>
          <w:b/>
          <w:sz w:val="22"/>
          <w:szCs w:val="22"/>
        </w:rPr>
      </w:pPr>
      <w:r w:rsidRPr="00BE0ABB">
        <w:rPr>
          <w:rFonts w:asciiTheme="majorHAnsi" w:eastAsia="Myriad Pro" w:hAnsiTheme="majorHAnsi"/>
          <w:b/>
          <w:sz w:val="22"/>
          <w:szCs w:val="22"/>
        </w:rPr>
        <w:t xml:space="preserve"> ‘Life-first’ Approach</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 xml:space="preserve">The culture around employment and participation privileges a ‘work-first’ approach to employment </w:t>
      </w:r>
      <w:proofErr w:type="gramStart"/>
      <w:r w:rsidRPr="00BE0ABB">
        <w:rPr>
          <w:rFonts w:asciiTheme="majorHAnsi" w:eastAsia="Myriad Pro" w:hAnsiTheme="majorHAnsi"/>
          <w:sz w:val="22"/>
          <w:szCs w:val="22"/>
        </w:rPr>
        <w:t>and</w:t>
      </w:r>
      <w:proofErr w:type="gramEnd"/>
      <w:r w:rsidRPr="00BE0ABB">
        <w:rPr>
          <w:rFonts w:asciiTheme="majorHAnsi" w:eastAsia="Myriad Pro" w:hAnsiTheme="majorHAnsi"/>
          <w:sz w:val="22"/>
          <w:szCs w:val="22"/>
        </w:rPr>
        <w:t xml:space="preserve"> training. However, a report developed </w:t>
      </w:r>
      <w:r w:rsidR="004B61A0" w:rsidRPr="00BE0ABB">
        <w:rPr>
          <w:rFonts w:asciiTheme="majorHAnsi" w:eastAsia="Myriad Pro" w:hAnsiTheme="majorHAnsi"/>
          <w:sz w:val="22"/>
          <w:szCs w:val="22"/>
        </w:rPr>
        <w:t xml:space="preserve">for Anglicare Australia </w:t>
      </w:r>
      <w:r w:rsidRPr="00BE0ABB">
        <w:rPr>
          <w:rFonts w:asciiTheme="majorHAnsi" w:eastAsia="Myriad Pro" w:hAnsiTheme="majorHAnsi"/>
          <w:sz w:val="22"/>
          <w:szCs w:val="22"/>
        </w:rPr>
        <w:t>by the Australian Centre for Community Services Research shows that a ‘life-first’ approach, which focuses on the needs and aspirations of the individual, is far more effective for supporting people into sustainable employment.</w:t>
      </w:r>
      <w:r w:rsidRPr="00BE0ABB">
        <w:rPr>
          <w:rFonts w:asciiTheme="majorHAnsi" w:eastAsia="Myriad Pro" w:hAnsiTheme="majorHAnsi"/>
          <w:sz w:val="22"/>
          <w:szCs w:val="22"/>
          <w:vertAlign w:val="superscript"/>
        </w:rPr>
        <w:footnoteReference w:id="1"/>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 xml:space="preserve">Supporting people into employment is not merely a matter of getting people jobs but rather a matter of generating meaningful employment for people and ensuring that they have the capacity to take up and </w:t>
      </w:r>
      <w:r w:rsidRPr="00BE0ABB">
        <w:rPr>
          <w:rFonts w:asciiTheme="majorHAnsi" w:eastAsia="Myriad Pro" w:hAnsiTheme="majorHAnsi"/>
          <w:sz w:val="22"/>
          <w:szCs w:val="22"/>
          <w:u w:val="single"/>
        </w:rPr>
        <w:t>sustain</w:t>
      </w:r>
      <w:r w:rsidRPr="00BE0ABB">
        <w:rPr>
          <w:rFonts w:asciiTheme="majorHAnsi" w:eastAsia="Myriad Pro" w:hAnsiTheme="majorHAnsi"/>
          <w:sz w:val="22"/>
          <w:szCs w:val="22"/>
        </w:rPr>
        <w:t xml:space="preserve"> those opportunities.</w:t>
      </w:r>
    </w:p>
    <w:p w:rsidR="00D871CC" w:rsidRPr="00BE0ABB" w:rsidRDefault="00D871CC" w:rsidP="000C45BD">
      <w:pPr>
        <w:spacing w:after="200" w:line="276" w:lineRule="auto"/>
        <w:jc w:val="both"/>
        <w:rPr>
          <w:rFonts w:asciiTheme="majorHAnsi" w:eastAsia="Myriad Pro" w:hAnsiTheme="majorHAnsi"/>
          <w:b/>
          <w:sz w:val="22"/>
          <w:szCs w:val="22"/>
        </w:rPr>
      </w:pPr>
    </w:p>
    <w:p w:rsidR="00D871CC" w:rsidRPr="00BE0ABB" w:rsidRDefault="00D871CC" w:rsidP="000C45BD">
      <w:pPr>
        <w:spacing w:after="200" w:line="276" w:lineRule="auto"/>
        <w:jc w:val="both"/>
        <w:rPr>
          <w:rFonts w:asciiTheme="majorHAnsi" w:eastAsia="Myriad Pro" w:hAnsiTheme="majorHAnsi"/>
          <w:b/>
          <w:sz w:val="22"/>
          <w:szCs w:val="22"/>
        </w:rPr>
      </w:pPr>
    </w:p>
    <w:p w:rsidR="00201CC1" w:rsidRPr="00BE0ABB" w:rsidRDefault="00201CC1" w:rsidP="000C45BD">
      <w:pPr>
        <w:spacing w:after="200" w:line="276" w:lineRule="auto"/>
        <w:jc w:val="both"/>
        <w:rPr>
          <w:rFonts w:asciiTheme="majorHAnsi" w:eastAsia="Myriad Pro" w:hAnsiTheme="majorHAnsi"/>
          <w:b/>
          <w:sz w:val="22"/>
          <w:szCs w:val="22"/>
        </w:rPr>
      </w:pPr>
      <w:r w:rsidRPr="00BE0ABB">
        <w:rPr>
          <w:rFonts w:asciiTheme="majorHAnsi" w:eastAsia="Myriad Pro" w:hAnsiTheme="majorHAnsi"/>
          <w:b/>
          <w:sz w:val="22"/>
          <w:szCs w:val="22"/>
        </w:rPr>
        <w:lastRenderedPageBreak/>
        <w:t>Transition into employment… and out again</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Often the hard edges between income support and employment can be a barrier for people to seek out and sustain employment. Typically, the work that people who have experienced long periods of unemployment obtain is cyclic, of short duration and physical in nature. It is also likely to be low-paid with limited protections or benefits.</w:t>
      </w:r>
      <w:r w:rsidRPr="00BE0ABB">
        <w:rPr>
          <w:rFonts w:asciiTheme="majorHAnsi" w:eastAsia="Myriad Pro" w:hAnsiTheme="majorHAnsi"/>
          <w:sz w:val="22"/>
          <w:szCs w:val="22"/>
          <w:vertAlign w:val="superscript"/>
        </w:rPr>
        <w:footnoteReference w:id="2"/>
      </w:r>
      <w:r w:rsidRPr="00BE0ABB">
        <w:rPr>
          <w:rFonts w:asciiTheme="majorHAnsi" w:eastAsia="Myriad Pro" w:hAnsiTheme="majorHAnsi"/>
          <w:sz w:val="22"/>
          <w:szCs w:val="22"/>
        </w:rPr>
        <w:t xml:space="preserve"> The conditions for accessing income support are such that moving off benefits makes it very difficult to return to receiving benefits once the employment period is over. In these situations taking up work is tantamount to a threat to life; a reality that the recent Welfare Review</w:t>
      </w:r>
      <w:r w:rsidRPr="00BE0ABB">
        <w:rPr>
          <w:rFonts w:asciiTheme="majorHAnsi" w:eastAsia="Myriad Pro" w:hAnsiTheme="majorHAnsi"/>
          <w:sz w:val="22"/>
          <w:szCs w:val="22"/>
          <w:vertAlign w:val="superscript"/>
        </w:rPr>
        <w:footnoteReference w:id="3"/>
      </w:r>
      <w:r w:rsidRPr="00BE0ABB">
        <w:rPr>
          <w:rFonts w:asciiTheme="majorHAnsi" w:eastAsia="Myriad Pro" w:hAnsiTheme="majorHAnsi"/>
          <w:sz w:val="22"/>
          <w:szCs w:val="22"/>
        </w:rPr>
        <w:t xml:space="preserve"> seems to have touched upon with the Passport to Work which would allow income support recipients greater flexibility to return to income support should the work opportunity prove to be unsustainable</w:t>
      </w:r>
      <w:r w:rsidR="001E1C25" w:rsidRPr="00BE0ABB">
        <w:rPr>
          <w:rFonts w:asciiTheme="majorHAnsi" w:eastAsia="Myriad Pro" w:hAnsiTheme="majorHAnsi"/>
          <w:sz w:val="22"/>
          <w:szCs w:val="22"/>
        </w:rPr>
        <w:t xml:space="preserve"> as well as an individualised understanding of the monetary implications of work</w:t>
      </w:r>
      <w:r w:rsidRPr="00BE0ABB">
        <w:rPr>
          <w:rFonts w:asciiTheme="majorHAnsi" w:eastAsia="Myriad Pro" w:hAnsiTheme="majorHAnsi"/>
          <w:sz w:val="22"/>
          <w:szCs w:val="22"/>
        </w:rPr>
        <w:t xml:space="preserve">. </w:t>
      </w:r>
    </w:p>
    <w:p w:rsidR="00201CC1" w:rsidRPr="00BE0ABB" w:rsidRDefault="00201CC1" w:rsidP="000C45BD">
      <w:pPr>
        <w:spacing w:after="200" w:line="276" w:lineRule="auto"/>
        <w:jc w:val="both"/>
        <w:rPr>
          <w:rFonts w:asciiTheme="majorHAnsi" w:eastAsia="Myriad Pro" w:hAnsiTheme="majorHAnsi"/>
          <w:b/>
          <w:sz w:val="22"/>
          <w:szCs w:val="22"/>
        </w:rPr>
      </w:pPr>
      <w:r w:rsidRPr="00BE0ABB">
        <w:rPr>
          <w:rFonts w:asciiTheme="majorHAnsi" w:eastAsia="Myriad Pro" w:hAnsiTheme="majorHAnsi"/>
          <w:b/>
          <w:sz w:val="22"/>
          <w:szCs w:val="22"/>
        </w:rPr>
        <w:t>One size fits all and the onus of participation</w:t>
      </w:r>
    </w:p>
    <w:p w:rsidR="00201CC1" w:rsidRPr="00BE0ABB" w:rsidRDefault="00201CC1" w:rsidP="000C45BD">
      <w:pPr>
        <w:widowControl w:val="0"/>
        <w:suppressAutoHyphens/>
        <w:autoSpaceDE w:val="0"/>
        <w:autoSpaceDN w:val="0"/>
        <w:adjustRightInd w:val="0"/>
        <w:spacing w:after="170" w:line="288" w:lineRule="auto"/>
        <w:jc w:val="both"/>
        <w:textAlignment w:val="center"/>
        <w:rPr>
          <w:rFonts w:asciiTheme="majorHAnsi" w:hAnsiTheme="majorHAnsi" w:cs="LucidaSans"/>
          <w:color w:val="000000"/>
          <w:sz w:val="22"/>
          <w:szCs w:val="18"/>
        </w:rPr>
      </w:pPr>
      <w:r w:rsidRPr="00BE0ABB">
        <w:rPr>
          <w:rFonts w:asciiTheme="majorHAnsi" w:hAnsiTheme="majorHAnsi" w:cs="LucidaSans"/>
          <w:color w:val="000000"/>
          <w:sz w:val="22"/>
          <w:szCs w:val="18"/>
          <w:lang w:val="en-GB"/>
        </w:rPr>
        <w:t xml:space="preserve">Workforce participation policy is largely predicated on the broad assumption that people are automatically in a position to choose </w:t>
      </w:r>
      <w:r w:rsidR="001E1C25" w:rsidRPr="00BE0ABB">
        <w:rPr>
          <w:rFonts w:asciiTheme="majorHAnsi" w:hAnsiTheme="majorHAnsi" w:cs="LucidaSans"/>
          <w:color w:val="000000"/>
          <w:sz w:val="22"/>
          <w:szCs w:val="18"/>
          <w:lang w:val="en-GB"/>
        </w:rPr>
        <w:t xml:space="preserve">whether </w:t>
      </w:r>
      <w:r w:rsidRPr="00BE0ABB">
        <w:rPr>
          <w:rFonts w:asciiTheme="majorHAnsi" w:hAnsiTheme="majorHAnsi" w:cs="LucidaSans"/>
          <w:color w:val="000000"/>
          <w:sz w:val="22"/>
          <w:szCs w:val="18"/>
          <w:lang w:val="en-GB"/>
        </w:rPr>
        <w:t>to enter into employment</w:t>
      </w:r>
      <w:r w:rsidR="001E1C25" w:rsidRPr="00BE0ABB">
        <w:rPr>
          <w:rFonts w:asciiTheme="majorHAnsi" w:hAnsiTheme="majorHAnsi" w:cs="LucidaSans"/>
          <w:color w:val="000000"/>
          <w:sz w:val="22"/>
          <w:szCs w:val="18"/>
          <w:lang w:val="en-GB"/>
        </w:rPr>
        <w:t xml:space="preserve"> or not</w:t>
      </w:r>
      <w:r w:rsidRPr="00BE0ABB">
        <w:rPr>
          <w:rFonts w:asciiTheme="majorHAnsi" w:hAnsiTheme="majorHAnsi" w:cs="LucidaSans"/>
          <w:color w:val="000000"/>
          <w:sz w:val="22"/>
          <w:szCs w:val="18"/>
          <w:lang w:val="en-GB"/>
        </w:rPr>
        <w:t xml:space="preserve">. For many, particularly those marginally attached to the workforce or </w:t>
      </w:r>
      <w:r w:rsidR="002A56E0" w:rsidRPr="00BE0ABB">
        <w:rPr>
          <w:rFonts w:asciiTheme="majorHAnsi" w:hAnsiTheme="majorHAnsi" w:cs="LucidaSans"/>
          <w:color w:val="000000"/>
          <w:sz w:val="22"/>
          <w:szCs w:val="18"/>
          <w:lang w:val="en-GB"/>
        </w:rPr>
        <w:t xml:space="preserve">who </w:t>
      </w:r>
      <w:r w:rsidR="001E1C25" w:rsidRPr="00BE0ABB">
        <w:rPr>
          <w:rFonts w:asciiTheme="majorHAnsi" w:hAnsiTheme="majorHAnsi" w:cs="LucidaSans"/>
          <w:color w:val="000000"/>
          <w:sz w:val="22"/>
          <w:szCs w:val="18"/>
          <w:lang w:val="en-GB"/>
        </w:rPr>
        <w:t>are described as ‘not in</w:t>
      </w:r>
      <w:r w:rsidRPr="00BE0ABB">
        <w:rPr>
          <w:rFonts w:asciiTheme="majorHAnsi" w:hAnsiTheme="majorHAnsi" w:cs="LucidaSans"/>
          <w:color w:val="000000"/>
          <w:sz w:val="22"/>
          <w:szCs w:val="18"/>
          <w:lang w:val="en-GB"/>
        </w:rPr>
        <w:t xml:space="preserve"> the labour force</w:t>
      </w:r>
      <w:r w:rsidR="001E1C25" w:rsidRPr="00BE0ABB">
        <w:rPr>
          <w:rFonts w:asciiTheme="majorHAnsi" w:hAnsiTheme="majorHAnsi" w:cs="LucidaSans"/>
          <w:color w:val="000000"/>
          <w:sz w:val="22"/>
          <w:szCs w:val="18"/>
          <w:lang w:val="en-GB"/>
        </w:rPr>
        <w:t>’ for long periods</w:t>
      </w:r>
      <w:r w:rsidRPr="00BE0ABB">
        <w:rPr>
          <w:rFonts w:asciiTheme="majorHAnsi" w:hAnsiTheme="majorHAnsi" w:cs="LucidaSans"/>
          <w:color w:val="000000"/>
          <w:sz w:val="22"/>
          <w:szCs w:val="18"/>
          <w:lang w:val="en-GB"/>
        </w:rPr>
        <w:t xml:space="preserve">, this is not necessarily the case. Each of them experiences their own barriers and limitations to entering into the workforce </w:t>
      </w:r>
      <w:r w:rsidR="001E1C25" w:rsidRPr="00BE0ABB">
        <w:rPr>
          <w:rFonts w:asciiTheme="majorHAnsi" w:hAnsiTheme="majorHAnsi" w:cs="LucidaSans"/>
          <w:color w:val="000000"/>
          <w:sz w:val="22"/>
          <w:szCs w:val="18"/>
          <w:lang w:val="en-GB"/>
        </w:rPr>
        <w:t>which</w:t>
      </w:r>
      <w:r w:rsidRPr="00BE0ABB">
        <w:rPr>
          <w:rFonts w:asciiTheme="majorHAnsi" w:hAnsiTheme="majorHAnsi" w:cs="LucidaSans"/>
          <w:color w:val="000000"/>
          <w:sz w:val="22"/>
          <w:szCs w:val="18"/>
          <w:lang w:val="en-GB"/>
        </w:rPr>
        <w:t xml:space="preserve"> may impede the ability to take up and sustain paid employment. What </w:t>
      </w:r>
      <w:r w:rsidR="002A56E0" w:rsidRPr="00BE0ABB">
        <w:rPr>
          <w:rFonts w:asciiTheme="majorHAnsi" w:hAnsiTheme="majorHAnsi" w:cs="LucidaSans"/>
          <w:color w:val="000000"/>
          <w:sz w:val="22"/>
          <w:szCs w:val="18"/>
          <w:lang w:val="en-GB"/>
        </w:rPr>
        <w:t xml:space="preserve">are </w:t>
      </w:r>
      <w:r w:rsidRPr="00BE0ABB">
        <w:rPr>
          <w:rFonts w:asciiTheme="majorHAnsi" w:hAnsiTheme="majorHAnsi" w:cs="LucidaSans"/>
          <w:color w:val="000000"/>
          <w:sz w:val="22"/>
          <w:szCs w:val="18"/>
          <w:lang w:val="en-GB"/>
        </w:rPr>
        <w:t xml:space="preserve">required are the right individualised supports and a supportive system to guide people–people of all ages– through </w:t>
      </w:r>
      <w:r w:rsidR="001E1C25" w:rsidRPr="00BE0ABB">
        <w:rPr>
          <w:rFonts w:asciiTheme="majorHAnsi" w:hAnsiTheme="majorHAnsi" w:cs="LucidaSans"/>
          <w:color w:val="000000"/>
          <w:sz w:val="22"/>
          <w:szCs w:val="18"/>
          <w:lang w:val="en-GB"/>
        </w:rPr>
        <w:t>‘</w:t>
      </w:r>
      <w:r w:rsidRPr="00BE0ABB">
        <w:rPr>
          <w:rFonts w:asciiTheme="majorHAnsi" w:hAnsiTheme="majorHAnsi" w:cs="LucidaSans"/>
          <w:color w:val="000000"/>
          <w:sz w:val="22"/>
          <w:szCs w:val="18"/>
          <w:lang w:val="en-GB"/>
        </w:rPr>
        <w:t>the system</w:t>
      </w:r>
      <w:r w:rsidR="001E1C25" w:rsidRPr="00BE0ABB">
        <w:rPr>
          <w:rFonts w:asciiTheme="majorHAnsi" w:hAnsiTheme="majorHAnsi" w:cs="LucidaSans"/>
          <w:color w:val="000000"/>
          <w:sz w:val="22"/>
          <w:szCs w:val="18"/>
          <w:lang w:val="en-GB"/>
        </w:rPr>
        <w:t>’</w:t>
      </w:r>
      <w:r w:rsidRPr="00BE0ABB">
        <w:rPr>
          <w:rFonts w:asciiTheme="majorHAnsi" w:hAnsiTheme="majorHAnsi" w:cs="LucidaSans"/>
          <w:color w:val="000000"/>
          <w:sz w:val="22"/>
          <w:szCs w:val="18"/>
          <w:lang w:val="en-GB"/>
        </w:rPr>
        <w:t>, allowing them to maximise the benefits of work.</w:t>
      </w:r>
    </w:p>
    <w:p w:rsidR="00201CC1" w:rsidRPr="00BE0ABB" w:rsidRDefault="00201CC1" w:rsidP="000C45BD">
      <w:pPr>
        <w:widowControl w:val="0"/>
        <w:suppressAutoHyphens/>
        <w:autoSpaceDE w:val="0"/>
        <w:autoSpaceDN w:val="0"/>
        <w:adjustRightInd w:val="0"/>
        <w:spacing w:before="120" w:after="120" w:line="288" w:lineRule="auto"/>
        <w:jc w:val="both"/>
        <w:textAlignment w:val="center"/>
        <w:rPr>
          <w:rFonts w:asciiTheme="majorHAnsi" w:hAnsiTheme="majorHAnsi" w:cs="LucidaSans"/>
          <w:b/>
          <w:color w:val="000000"/>
          <w:sz w:val="22"/>
          <w:szCs w:val="18"/>
          <w:lang w:val="en-GB"/>
        </w:rPr>
      </w:pPr>
      <w:r w:rsidRPr="00BE0ABB">
        <w:rPr>
          <w:rFonts w:asciiTheme="majorHAnsi" w:hAnsiTheme="majorHAnsi" w:cs="LucidaSans"/>
          <w:b/>
          <w:color w:val="000000"/>
          <w:sz w:val="22"/>
          <w:szCs w:val="18"/>
          <w:lang w:val="en-GB"/>
        </w:rPr>
        <w:t>Leadership and attitude adjustments</w:t>
      </w:r>
    </w:p>
    <w:p w:rsidR="00201CC1" w:rsidRPr="00BE0ABB" w:rsidRDefault="00201CC1" w:rsidP="000C45BD">
      <w:pPr>
        <w:widowControl w:val="0"/>
        <w:suppressAutoHyphens/>
        <w:autoSpaceDE w:val="0"/>
        <w:autoSpaceDN w:val="0"/>
        <w:adjustRightInd w:val="0"/>
        <w:spacing w:before="120" w:after="120" w:line="288" w:lineRule="auto"/>
        <w:jc w:val="both"/>
        <w:textAlignment w:val="center"/>
        <w:rPr>
          <w:rFonts w:asciiTheme="majorHAnsi" w:hAnsiTheme="majorHAnsi" w:cs="LucidaSans"/>
          <w:color w:val="000000"/>
          <w:sz w:val="22"/>
          <w:szCs w:val="18"/>
          <w:lang w:val="en-GB"/>
        </w:rPr>
      </w:pPr>
      <w:r w:rsidRPr="00BE0ABB">
        <w:rPr>
          <w:rFonts w:asciiTheme="majorHAnsi" w:hAnsiTheme="majorHAnsi" w:cs="LucidaSans"/>
          <w:color w:val="000000"/>
          <w:sz w:val="22"/>
          <w:szCs w:val="18"/>
          <w:lang w:val="en-GB"/>
        </w:rPr>
        <w:t xml:space="preserve">Government and business have a dual role to play in job creation </w:t>
      </w:r>
      <w:r w:rsidR="002A56E0" w:rsidRPr="00BE0ABB">
        <w:rPr>
          <w:rFonts w:asciiTheme="majorHAnsi" w:hAnsiTheme="majorHAnsi" w:cs="LucidaSans"/>
          <w:color w:val="000000"/>
          <w:sz w:val="22"/>
          <w:szCs w:val="18"/>
          <w:lang w:val="en-GB"/>
        </w:rPr>
        <w:t xml:space="preserve">itself </w:t>
      </w:r>
      <w:r w:rsidRPr="00BE0ABB">
        <w:rPr>
          <w:rFonts w:asciiTheme="majorHAnsi" w:hAnsiTheme="majorHAnsi" w:cs="LucidaSans"/>
          <w:color w:val="000000"/>
          <w:sz w:val="22"/>
          <w:szCs w:val="18"/>
          <w:lang w:val="en-GB"/>
        </w:rPr>
        <w:t>and in influencing employers</w:t>
      </w:r>
      <w:r w:rsidR="002A56E0" w:rsidRPr="00BE0ABB">
        <w:rPr>
          <w:rFonts w:asciiTheme="majorHAnsi" w:hAnsiTheme="majorHAnsi" w:cs="LucidaSans"/>
          <w:color w:val="000000"/>
          <w:sz w:val="22"/>
          <w:szCs w:val="18"/>
          <w:lang w:val="en-GB"/>
        </w:rPr>
        <w:t>’</w:t>
      </w:r>
      <w:r w:rsidRPr="00BE0ABB">
        <w:rPr>
          <w:rFonts w:asciiTheme="majorHAnsi" w:hAnsiTheme="majorHAnsi" w:cs="LucidaSans"/>
          <w:color w:val="000000"/>
          <w:sz w:val="22"/>
          <w:szCs w:val="18"/>
          <w:lang w:val="en-GB"/>
        </w:rPr>
        <w:t xml:space="preserve"> and co-workers</w:t>
      </w:r>
      <w:r w:rsidR="002A56E0" w:rsidRPr="00BE0ABB">
        <w:rPr>
          <w:rFonts w:asciiTheme="majorHAnsi" w:hAnsiTheme="majorHAnsi" w:cs="LucidaSans"/>
          <w:color w:val="000000"/>
          <w:sz w:val="22"/>
          <w:szCs w:val="18"/>
          <w:lang w:val="en-GB"/>
        </w:rPr>
        <w:t>’</w:t>
      </w:r>
      <w:r w:rsidRPr="00BE0ABB">
        <w:rPr>
          <w:rFonts w:asciiTheme="majorHAnsi" w:hAnsiTheme="majorHAnsi" w:cs="LucidaSans"/>
          <w:color w:val="000000"/>
          <w:sz w:val="22"/>
          <w:szCs w:val="18"/>
          <w:lang w:val="en-GB"/>
        </w:rPr>
        <w:t xml:space="preserve"> attitudes towards employing people </w:t>
      </w:r>
      <w:r w:rsidR="002A56E0" w:rsidRPr="00BE0ABB">
        <w:rPr>
          <w:rFonts w:asciiTheme="majorHAnsi" w:hAnsiTheme="majorHAnsi" w:cs="LucidaSans"/>
          <w:color w:val="000000"/>
          <w:sz w:val="22"/>
          <w:szCs w:val="18"/>
          <w:lang w:val="en-GB"/>
        </w:rPr>
        <w:t xml:space="preserve">from </w:t>
      </w:r>
      <w:r w:rsidRPr="00BE0ABB">
        <w:rPr>
          <w:rFonts w:asciiTheme="majorHAnsi" w:hAnsiTheme="majorHAnsi" w:cs="LucidaSans"/>
          <w:color w:val="000000"/>
          <w:sz w:val="22"/>
          <w:szCs w:val="18"/>
          <w:lang w:val="en-GB"/>
        </w:rPr>
        <w:t xml:space="preserve">groups that experience workforce exclusions–young people, people with disability, returning parents, Aboriginal people, people who have been long-term unemployed, etc. </w:t>
      </w:r>
    </w:p>
    <w:p w:rsidR="00201CC1" w:rsidRPr="00BE0ABB" w:rsidRDefault="00201CC1" w:rsidP="000C45BD">
      <w:pPr>
        <w:widowControl w:val="0"/>
        <w:suppressAutoHyphens/>
        <w:autoSpaceDE w:val="0"/>
        <w:autoSpaceDN w:val="0"/>
        <w:adjustRightInd w:val="0"/>
        <w:spacing w:after="170" w:line="288" w:lineRule="auto"/>
        <w:jc w:val="both"/>
        <w:textAlignment w:val="center"/>
        <w:rPr>
          <w:rFonts w:asciiTheme="majorHAnsi" w:hAnsiTheme="majorHAnsi" w:cs="LucidaSans"/>
          <w:color w:val="000000"/>
          <w:sz w:val="22"/>
          <w:szCs w:val="18"/>
          <w:lang w:val="en-GB"/>
        </w:rPr>
      </w:pPr>
      <w:r w:rsidRPr="00BE0ABB">
        <w:rPr>
          <w:rFonts w:asciiTheme="majorHAnsi" w:hAnsiTheme="majorHAnsi" w:cs="LucidaSans"/>
          <w:color w:val="000000"/>
          <w:sz w:val="22"/>
          <w:szCs w:val="18"/>
          <w:lang w:val="en-GB"/>
        </w:rPr>
        <w:t>There are a number of mechanisms through which this might be achieved given the will to do so. Anglicare Australia has suggested that employment services could adopt a work practice of collaborating with business and community sector partners to identify opportunities for welfare recipients</w:t>
      </w:r>
      <w:r w:rsidR="002A56E0" w:rsidRPr="00BE0ABB">
        <w:rPr>
          <w:rFonts w:asciiTheme="majorHAnsi" w:hAnsiTheme="majorHAnsi" w:cs="LucidaSans"/>
          <w:color w:val="000000"/>
          <w:sz w:val="22"/>
          <w:szCs w:val="18"/>
          <w:lang w:val="en-GB"/>
        </w:rPr>
        <w:t xml:space="preserve">, and </w:t>
      </w:r>
      <w:r w:rsidRPr="00BE0ABB">
        <w:rPr>
          <w:rFonts w:asciiTheme="majorHAnsi" w:hAnsiTheme="majorHAnsi" w:cs="LucidaSans"/>
          <w:color w:val="000000"/>
          <w:sz w:val="22"/>
          <w:szCs w:val="18"/>
          <w:lang w:val="en-GB"/>
        </w:rPr>
        <w:t xml:space="preserve">provide a </w:t>
      </w:r>
      <w:r w:rsidRPr="00BE0ABB">
        <w:rPr>
          <w:rFonts w:asciiTheme="majorHAnsi" w:hAnsiTheme="majorHAnsi" w:cs="LucidaSans"/>
          <w:i/>
          <w:color w:val="000000"/>
          <w:sz w:val="22"/>
          <w:szCs w:val="18"/>
          <w:lang w:val="en-GB"/>
        </w:rPr>
        <w:t>line of sight</w:t>
      </w:r>
      <w:r w:rsidRPr="00BE0ABB">
        <w:rPr>
          <w:rFonts w:asciiTheme="majorHAnsi" w:hAnsiTheme="majorHAnsi" w:cs="LucidaSans"/>
          <w:color w:val="000000"/>
          <w:sz w:val="22"/>
          <w:szCs w:val="18"/>
          <w:lang w:val="en-GB"/>
        </w:rPr>
        <w:t xml:space="preserve"> to stable employment through a process of step-migration and long-term flexible support which increase as the duration of income support increases. One mechanism Anglicare has suggested </w:t>
      </w:r>
      <w:r w:rsidR="000C45BD" w:rsidRPr="00BE0ABB">
        <w:rPr>
          <w:rFonts w:asciiTheme="majorHAnsi" w:hAnsiTheme="majorHAnsi" w:cs="LucidaSans"/>
          <w:color w:val="000000"/>
          <w:sz w:val="22"/>
          <w:szCs w:val="18"/>
          <w:lang w:val="en-GB"/>
        </w:rPr>
        <w:t xml:space="preserve">for this </w:t>
      </w:r>
      <w:r w:rsidR="002A56E0" w:rsidRPr="00BE0ABB">
        <w:rPr>
          <w:rFonts w:asciiTheme="majorHAnsi" w:hAnsiTheme="majorHAnsi" w:cs="LucidaSans"/>
          <w:color w:val="000000"/>
          <w:sz w:val="22"/>
          <w:szCs w:val="18"/>
          <w:lang w:val="en-GB"/>
        </w:rPr>
        <w:t xml:space="preserve">is </w:t>
      </w:r>
      <w:r w:rsidRPr="00BE0ABB">
        <w:rPr>
          <w:rFonts w:asciiTheme="majorHAnsi" w:hAnsiTheme="majorHAnsi" w:cs="LucidaSans"/>
          <w:color w:val="000000"/>
          <w:sz w:val="22"/>
          <w:szCs w:val="18"/>
          <w:lang w:val="en-GB"/>
        </w:rPr>
        <w:t xml:space="preserve">the establishment of local employment committees </w:t>
      </w:r>
      <w:proofErr w:type="spellStart"/>
      <w:r w:rsidRPr="00BE0ABB">
        <w:rPr>
          <w:rFonts w:asciiTheme="majorHAnsi" w:hAnsiTheme="majorHAnsi" w:cs="LucidaSans"/>
          <w:color w:val="000000"/>
          <w:sz w:val="22"/>
          <w:szCs w:val="18"/>
          <w:lang w:val="en-GB"/>
        </w:rPr>
        <w:t>auspiced</w:t>
      </w:r>
      <w:proofErr w:type="spellEnd"/>
      <w:r w:rsidRPr="00BE0ABB">
        <w:rPr>
          <w:rFonts w:asciiTheme="majorHAnsi" w:hAnsiTheme="majorHAnsi" w:cs="LucidaSans"/>
          <w:color w:val="000000"/>
          <w:sz w:val="22"/>
          <w:szCs w:val="18"/>
          <w:lang w:val="en-GB"/>
        </w:rPr>
        <w:t xml:space="preserve"> by government and comprising local business representatives, social service agencies and other local representatives</w:t>
      </w:r>
      <w:r w:rsidR="002A56E0" w:rsidRPr="00BE0ABB">
        <w:rPr>
          <w:rFonts w:asciiTheme="majorHAnsi" w:hAnsiTheme="majorHAnsi" w:cs="LucidaSans"/>
          <w:color w:val="000000"/>
          <w:sz w:val="22"/>
          <w:szCs w:val="18"/>
          <w:lang w:val="en-GB"/>
        </w:rPr>
        <w:t xml:space="preserve"> –</w:t>
      </w:r>
      <w:r w:rsidRPr="00BE0ABB">
        <w:rPr>
          <w:rFonts w:asciiTheme="majorHAnsi" w:hAnsiTheme="majorHAnsi" w:cs="LucidaSans"/>
          <w:color w:val="000000"/>
          <w:sz w:val="22"/>
          <w:szCs w:val="18"/>
          <w:lang w:val="en-GB"/>
        </w:rPr>
        <w:t xml:space="preserve"> with a view to identifying and providing local pathways into employment.</w:t>
      </w:r>
    </w:p>
    <w:p w:rsidR="00201CC1" w:rsidRPr="00BE0ABB" w:rsidRDefault="00201CC1" w:rsidP="000C45BD">
      <w:pPr>
        <w:widowControl w:val="0"/>
        <w:suppressAutoHyphens/>
        <w:autoSpaceDE w:val="0"/>
        <w:autoSpaceDN w:val="0"/>
        <w:adjustRightInd w:val="0"/>
        <w:spacing w:before="120" w:after="120" w:line="288" w:lineRule="auto"/>
        <w:jc w:val="both"/>
        <w:textAlignment w:val="center"/>
        <w:rPr>
          <w:rFonts w:asciiTheme="majorHAnsi" w:hAnsiTheme="majorHAnsi" w:cs="LucidaSans"/>
          <w:color w:val="000000"/>
          <w:sz w:val="22"/>
          <w:szCs w:val="18"/>
          <w:lang w:val="en-GB"/>
        </w:rPr>
      </w:pPr>
      <w:r w:rsidRPr="00BE0ABB">
        <w:rPr>
          <w:rFonts w:asciiTheme="majorHAnsi" w:hAnsiTheme="majorHAnsi" w:cs="LucidaSans"/>
          <w:color w:val="000000"/>
          <w:sz w:val="22"/>
          <w:szCs w:val="18"/>
          <w:lang w:val="en-GB"/>
        </w:rPr>
        <w:t>Government could also provide innovative incentives to employers to increase the demand for labour. For example, by broadening and increasing wage subsidy schemes; tax incentives for the long-term employment of a long-term unemployed person; tax incentives upon demonstration of skill development for an employee from a disadvantaged background.</w:t>
      </w:r>
      <w:r w:rsidR="001E1C25" w:rsidRPr="00BE0ABB">
        <w:rPr>
          <w:rFonts w:asciiTheme="majorHAnsi" w:hAnsiTheme="majorHAnsi" w:cs="LucidaSans"/>
          <w:color w:val="000000"/>
          <w:sz w:val="22"/>
          <w:szCs w:val="18"/>
          <w:lang w:val="en-GB"/>
        </w:rPr>
        <w:t xml:space="preserve"> These could be in addition to those payment incentives within the Job Services Australia framework which have traditionally rewarded short-termism and churn but which should encourage longer term employment. In any </w:t>
      </w:r>
      <w:r w:rsidR="001E1C25" w:rsidRPr="00BE0ABB">
        <w:rPr>
          <w:rFonts w:asciiTheme="majorHAnsi" w:hAnsiTheme="majorHAnsi" w:cs="LucidaSans"/>
          <w:color w:val="000000"/>
          <w:sz w:val="22"/>
          <w:szCs w:val="18"/>
          <w:lang w:val="en-GB"/>
        </w:rPr>
        <w:lastRenderedPageBreak/>
        <w:t>event, a long-term approach to employment should enable the value to the employer exceed that of the start-up costs of a new employee.</w:t>
      </w:r>
    </w:p>
    <w:p w:rsidR="00201CC1" w:rsidRPr="00BE0ABB" w:rsidRDefault="00201CC1" w:rsidP="000C45BD">
      <w:pPr>
        <w:widowControl w:val="0"/>
        <w:suppressAutoHyphens/>
        <w:autoSpaceDE w:val="0"/>
        <w:autoSpaceDN w:val="0"/>
        <w:adjustRightInd w:val="0"/>
        <w:spacing w:before="120" w:after="120" w:line="288" w:lineRule="auto"/>
        <w:jc w:val="both"/>
        <w:textAlignment w:val="center"/>
        <w:rPr>
          <w:rFonts w:asciiTheme="majorHAnsi" w:hAnsiTheme="majorHAnsi" w:cs="LucidaSans"/>
          <w:color w:val="000000"/>
          <w:sz w:val="22"/>
          <w:szCs w:val="18"/>
          <w:lang w:val="en-GB"/>
        </w:rPr>
      </w:pPr>
      <w:r w:rsidRPr="00BE0ABB">
        <w:rPr>
          <w:rFonts w:asciiTheme="majorHAnsi" w:hAnsiTheme="majorHAnsi" w:cs="LucidaSans"/>
          <w:color w:val="000000"/>
          <w:sz w:val="22"/>
          <w:szCs w:val="18"/>
          <w:lang w:val="en-GB"/>
        </w:rPr>
        <w:t xml:space="preserve">The market is failing people who are excluded from the workforce and as such there is room for the government to intervene. </w:t>
      </w:r>
    </w:p>
    <w:p w:rsidR="00201CC1" w:rsidRPr="00BE0ABB" w:rsidRDefault="00201CC1" w:rsidP="000C45BD">
      <w:pPr>
        <w:widowControl w:val="0"/>
        <w:suppressAutoHyphens/>
        <w:autoSpaceDE w:val="0"/>
        <w:autoSpaceDN w:val="0"/>
        <w:adjustRightInd w:val="0"/>
        <w:spacing w:before="120" w:after="120" w:line="288" w:lineRule="auto"/>
        <w:jc w:val="both"/>
        <w:textAlignment w:val="center"/>
        <w:rPr>
          <w:rFonts w:asciiTheme="majorHAnsi" w:hAnsiTheme="majorHAnsi" w:cs="LucidaSans"/>
          <w:b/>
          <w:color w:val="000000"/>
          <w:sz w:val="22"/>
          <w:szCs w:val="18"/>
          <w:lang w:val="en-GB"/>
        </w:rPr>
      </w:pPr>
      <w:r w:rsidRPr="00BE0ABB">
        <w:rPr>
          <w:rFonts w:asciiTheme="majorHAnsi" w:hAnsiTheme="majorHAnsi" w:cs="LucidaSans"/>
          <w:b/>
          <w:color w:val="000000"/>
          <w:sz w:val="22"/>
          <w:szCs w:val="18"/>
          <w:lang w:val="en-GB"/>
        </w:rPr>
        <w:t>Line of sight</w:t>
      </w:r>
    </w:p>
    <w:p w:rsidR="00201CC1" w:rsidRPr="00BE0ABB" w:rsidRDefault="00201CC1" w:rsidP="000C45BD">
      <w:pPr>
        <w:widowControl w:val="0"/>
        <w:suppressAutoHyphens/>
        <w:autoSpaceDE w:val="0"/>
        <w:autoSpaceDN w:val="0"/>
        <w:adjustRightInd w:val="0"/>
        <w:spacing w:after="170" w:line="288" w:lineRule="auto"/>
        <w:jc w:val="both"/>
        <w:textAlignment w:val="center"/>
        <w:rPr>
          <w:rFonts w:asciiTheme="majorHAnsi" w:hAnsiTheme="majorHAnsi" w:cs="LucidaSans"/>
          <w:color w:val="000000"/>
          <w:sz w:val="22"/>
          <w:szCs w:val="18"/>
          <w:lang w:val="en-GB"/>
        </w:rPr>
      </w:pPr>
      <w:r w:rsidRPr="00BE0ABB">
        <w:rPr>
          <w:rFonts w:asciiTheme="majorHAnsi" w:hAnsiTheme="majorHAnsi" w:cs="LucidaSans"/>
          <w:color w:val="000000"/>
          <w:sz w:val="22"/>
          <w:szCs w:val="18"/>
          <w:lang w:val="en-GB"/>
        </w:rPr>
        <w:t xml:space="preserve">Following on from the previous point, where support mechanisms are put in place they need to take into account a clear line of sight between the current activity, </w:t>
      </w:r>
      <w:r w:rsidR="003A09BC" w:rsidRPr="00BE0ABB">
        <w:rPr>
          <w:rFonts w:asciiTheme="majorHAnsi" w:hAnsiTheme="majorHAnsi" w:cs="LucidaSans"/>
          <w:color w:val="000000"/>
          <w:sz w:val="22"/>
          <w:szCs w:val="18"/>
          <w:lang w:val="en-GB"/>
        </w:rPr>
        <w:t xml:space="preserve">such as </w:t>
      </w:r>
      <w:r w:rsidRPr="00BE0ABB">
        <w:rPr>
          <w:rFonts w:asciiTheme="majorHAnsi" w:hAnsiTheme="majorHAnsi" w:cs="LucidaSans"/>
          <w:color w:val="000000"/>
          <w:sz w:val="22"/>
          <w:szCs w:val="18"/>
          <w:lang w:val="en-GB"/>
        </w:rPr>
        <w:t>training</w:t>
      </w:r>
      <w:r w:rsidR="001E1C25" w:rsidRPr="00BE0ABB">
        <w:rPr>
          <w:rFonts w:asciiTheme="majorHAnsi" w:hAnsiTheme="majorHAnsi" w:cs="LucidaSans"/>
          <w:color w:val="000000"/>
          <w:sz w:val="22"/>
          <w:szCs w:val="18"/>
          <w:lang w:val="en-GB"/>
        </w:rPr>
        <w:t xml:space="preserve"> and support</w:t>
      </w:r>
      <w:r w:rsidRPr="00BE0ABB">
        <w:rPr>
          <w:rFonts w:asciiTheme="majorHAnsi" w:hAnsiTheme="majorHAnsi" w:cs="LucidaSans"/>
          <w:color w:val="000000"/>
          <w:sz w:val="22"/>
          <w:szCs w:val="18"/>
          <w:lang w:val="en-GB"/>
        </w:rPr>
        <w:t xml:space="preserve">, and employment prospects. They also need to be built upon </w:t>
      </w:r>
      <w:r w:rsidRPr="00BE0ABB">
        <w:rPr>
          <w:rFonts w:asciiTheme="majorHAnsi" w:hAnsiTheme="majorHAnsi" w:cs="LucidaSans"/>
          <w:i/>
          <w:color w:val="000000"/>
          <w:sz w:val="22"/>
          <w:szCs w:val="18"/>
          <w:lang w:val="en-GB"/>
        </w:rPr>
        <w:t>reliable</w:t>
      </w:r>
      <w:r w:rsidRPr="00BE0ABB">
        <w:rPr>
          <w:rFonts w:asciiTheme="majorHAnsi" w:hAnsiTheme="majorHAnsi" w:cs="LucidaSans"/>
          <w:color w:val="000000"/>
          <w:sz w:val="22"/>
          <w:szCs w:val="18"/>
          <w:lang w:val="en-GB"/>
        </w:rPr>
        <w:t xml:space="preserve"> structures and services.  </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 xml:space="preserve">Anglicare Australia has been advocating in this space for some time now and has developed a number of submissions and other publications that speak to the need to take a social view of employment that puts the individual in the centre. </w:t>
      </w:r>
      <w:r w:rsidR="000C45BD" w:rsidRPr="00BE0ABB">
        <w:rPr>
          <w:rFonts w:asciiTheme="majorHAnsi" w:eastAsia="Myriad Pro" w:hAnsiTheme="majorHAnsi"/>
          <w:sz w:val="22"/>
          <w:szCs w:val="22"/>
        </w:rPr>
        <w:t xml:space="preserve">Links to these, should they be desired, can be found in the following attachment. </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 xml:space="preserve">Policies developed from this </w:t>
      </w:r>
      <w:r w:rsidR="000C45BD" w:rsidRPr="00BE0ABB">
        <w:rPr>
          <w:rFonts w:asciiTheme="majorHAnsi" w:eastAsia="Myriad Pro" w:hAnsiTheme="majorHAnsi"/>
          <w:sz w:val="22"/>
          <w:szCs w:val="22"/>
        </w:rPr>
        <w:t xml:space="preserve">type of </w:t>
      </w:r>
      <w:r w:rsidRPr="00BE0ABB">
        <w:rPr>
          <w:rFonts w:asciiTheme="majorHAnsi" w:eastAsia="Myriad Pro" w:hAnsiTheme="majorHAnsi"/>
          <w:sz w:val="22"/>
          <w:szCs w:val="22"/>
        </w:rPr>
        <w:t xml:space="preserve">framework </w:t>
      </w:r>
      <w:r w:rsidR="003A09BC" w:rsidRPr="00BE0ABB">
        <w:rPr>
          <w:rFonts w:asciiTheme="majorHAnsi" w:eastAsia="Myriad Pro" w:hAnsiTheme="majorHAnsi"/>
          <w:sz w:val="22"/>
          <w:szCs w:val="22"/>
        </w:rPr>
        <w:t xml:space="preserve">would </w:t>
      </w:r>
      <w:r w:rsidRPr="00BE0ABB">
        <w:rPr>
          <w:rFonts w:asciiTheme="majorHAnsi" w:eastAsia="Myriad Pro" w:hAnsiTheme="majorHAnsi"/>
          <w:sz w:val="22"/>
          <w:szCs w:val="22"/>
        </w:rPr>
        <w:t xml:space="preserve">view the individual as more than a productive unit and seek to develop all </w:t>
      </w:r>
      <w:proofErr w:type="gramStart"/>
      <w:r w:rsidRPr="00BE0ABB">
        <w:rPr>
          <w:rFonts w:asciiTheme="majorHAnsi" w:eastAsia="Myriad Pro" w:hAnsiTheme="majorHAnsi"/>
          <w:sz w:val="22"/>
          <w:szCs w:val="22"/>
        </w:rPr>
        <w:t>worker</w:t>
      </w:r>
      <w:r w:rsidR="001E1C25" w:rsidRPr="00BE0ABB">
        <w:rPr>
          <w:rFonts w:asciiTheme="majorHAnsi" w:eastAsia="Myriad Pro" w:hAnsiTheme="majorHAnsi"/>
          <w:sz w:val="22"/>
          <w:szCs w:val="22"/>
        </w:rPr>
        <w:t>’</w:t>
      </w:r>
      <w:r w:rsidRPr="00BE0ABB">
        <w:rPr>
          <w:rFonts w:asciiTheme="majorHAnsi" w:eastAsia="Myriad Pro" w:hAnsiTheme="majorHAnsi"/>
          <w:sz w:val="22"/>
          <w:szCs w:val="22"/>
        </w:rPr>
        <w:t>s</w:t>
      </w:r>
      <w:proofErr w:type="gramEnd"/>
      <w:r w:rsidRPr="00BE0ABB">
        <w:rPr>
          <w:rFonts w:asciiTheme="majorHAnsi" w:eastAsia="Myriad Pro" w:hAnsiTheme="majorHAnsi"/>
          <w:sz w:val="22"/>
          <w:szCs w:val="22"/>
        </w:rPr>
        <w:t xml:space="preserve"> capabilities for the mutual benefit of improved standards of living for all.</w:t>
      </w:r>
    </w:p>
    <w:p w:rsidR="00201CC1" w:rsidRPr="00BE0ABB" w:rsidRDefault="00201CC1" w:rsidP="000C45BD">
      <w:pPr>
        <w:spacing w:after="200" w:line="276" w:lineRule="auto"/>
        <w:jc w:val="both"/>
        <w:rPr>
          <w:rFonts w:asciiTheme="majorHAnsi" w:eastAsia="Myriad Pro" w:hAnsiTheme="majorHAnsi"/>
          <w:sz w:val="22"/>
          <w:szCs w:val="22"/>
        </w:rPr>
      </w:pPr>
      <w:r w:rsidRPr="00BE0ABB">
        <w:rPr>
          <w:rFonts w:asciiTheme="majorHAnsi" w:eastAsia="Myriad Pro" w:hAnsiTheme="majorHAnsi"/>
          <w:sz w:val="22"/>
          <w:szCs w:val="22"/>
        </w:rPr>
        <w:t>Anglicare Australia looks forward to reviewing the draft report and may respond more fully in that process.</w:t>
      </w:r>
    </w:p>
    <w:p w:rsidR="000C45BD" w:rsidRPr="00BE0ABB" w:rsidRDefault="000C45BD" w:rsidP="00201CC1">
      <w:pPr>
        <w:spacing w:after="200" w:line="276" w:lineRule="auto"/>
        <w:rPr>
          <w:rFonts w:asciiTheme="majorHAnsi" w:eastAsia="Myriad Pro" w:hAnsiTheme="majorHAnsi"/>
          <w:sz w:val="22"/>
          <w:szCs w:val="22"/>
        </w:rPr>
      </w:pPr>
      <w:bookmarkStart w:id="0" w:name="_GoBack"/>
      <w:bookmarkEnd w:id="0"/>
      <w:r w:rsidRPr="00BE0ABB">
        <w:rPr>
          <w:rFonts w:asciiTheme="majorHAnsi" w:eastAsia="Myriad Pro" w:hAnsiTheme="majorHAnsi"/>
          <w:sz w:val="22"/>
          <w:szCs w:val="22"/>
        </w:rPr>
        <w:t>Yours sincerely</w:t>
      </w:r>
    </w:p>
    <w:p w:rsidR="000C45BD" w:rsidRPr="00BE0ABB" w:rsidRDefault="000C45BD" w:rsidP="00201CC1">
      <w:pPr>
        <w:spacing w:after="200" w:line="276" w:lineRule="auto"/>
        <w:rPr>
          <w:rFonts w:asciiTheme="majorHAnsi" w:eastAsia="Myriad Pro" w:hAnsiTheme="majorHAnsi"/>
          <w:sz w:val="22"/>
          <w:szCs w:val="22"/>
        </w:rPr>
      </w:pPr>
    </w:p>
    <w:p w:rsidR="000C45BD" w:rsidRPr="00BE0ABB" w:rsidRDefault="000C45BD" w:rsidP="00201CC1">
      <w:pPr>
        <w:spacing w:after="200" w:line="276" w:lineRule="auto"/>
        <w:rPr>
          <w:rFonts w:asciiTheme="majorHAnsi" w:eastAsia="Myriad Pro" w:hAnsiTheme="majorHAnsi"/>
          <w:sz w:val="22"/>
          <w:szCs w:val="22"/>
        </w:rPr>
      </w:pPr>
    </w:p>
    <w:p w:rsidR="000C45BD" w:rsidRPr="00BE0ABB" w:rsidRDefault="000C45BD" w:rsidP="00201CC1">
      <w:pPr>
        <w:spacing w:after="200" w:line="276" w:lineRule="auto"/>
        <w:rPr>
          <w:rFonts w:asciiTheme="majorHAnsi" w:eastAsia="Myriad Pro" w:hAnsiTheme="majorHAnsi"/>
          <w:sz w:val="22"/>
          <w:szCs w:val="22"/>
        </w:rPr>
      </w:pPr>
      <w:r w:rsidRPr="00BE0ABB">
        <w:rPr>
          <w:rFonts w:asciiTheme="majorHAnsi" w:eastAsia="Myriad Pro" w:hAnsiTheme="majorHAnsi"/>
          <w:sz w:val="22"/>
          <w:szCs w:val="22"/>
        </w:rPr>
        <w:t>Kasy Chambers</w:t>
      </w:r>
      <w:r w:rsidRPr="00BE0ABB">
        <w:rPr>
          <w:rFonts w:asciiTheme="majorHAnsi" w:eastAsia="Myriad Pro" w:hAnsiTheme="majorHAnsi"/>
          <w:sz w:val="22"/>
          <w:szCs w:val="22"/>
        </w:rPr>
        <w:br/>
        <w:t>Executive Director</w:t>
      </w:r>
    </w:p>
    <w:p w:rsidR="000C45BD" w:rsidRPr="00BE0ABB" w:rsidRDefault="000C45BD" w:rsidP="00201CC1">
      <w:pPr>
        <w:spacing w:after="200" w:line="276" w:lineRule="auto"/>
        <w:rPr>
          <w:rFonts w:asciiTheme="majorHAnsi" w:eastAsia="Myriad Pro" w:hAnsiTheme="majorHAnsi"/>
          <w:sz w:val="22"/>
          <w:szCs w:val="22"/>
        </w:rPr>
      </w:pPr>
    </w:p>
    <w:p w:rsidR="00201CC1" w:rsidRPr="00BE0ABB" w:rsidRDefault="00201CC1" w:rsidP="00201CC1">
      <w:pPr>
        <w:spacing w:after="200" w:line="276" w:lineRule="auto"/>
        <w:rPr>
          <w:rFonts w:asciiTheme="majorHAnsi" w:eastAsia="Myriad Pro" w:hAnsiTheme="majorHAnsi"/>
          <w:sz w:val="22"/>
          <w:szCs w:val="22"/>
        </w:rPr>
      </w:pPr>
    </w:p>
    <w:p w:rsidR="000C45BD" w:rsidRPr="00BE0ABB" w:rsidRDefault="000C45BD">
      <w:pPr>
        <w:rPr>
          <w:rFonts w:asciiTheme="majorHAnsi" w:eastAsia="Myriad Pro" w:hAnsiTheme="majorHAnsi"/>
          <w:i/>
          <w:sz w:val="22"/>
          <w:szCs w:val="22"/>
        </w:rPr>
      </w:pPr>
      <w:r w:rsidRPr="00BE0ABB">
        <w:rPr>
          <w:rFonts w:asciiTheme="majorHAnsi" w:eastAsia="Myriad Pro" w:hAnsiTheme="majorHAnsi"/>
          <w:i/>
          <w:sz w:val="22"/>
          <w:szCs w:val="22"/>
        </w:rPr>
        <w:br w:type="page"/>
      </w:r>
    </w:p>
    <w:p w:rsidR="001E1C25" w:rsidRPr="00BE0ABB" w:rsidRDefault="001E1C25" w:rsidP="001E1C25">
      <w:pPr>
        <w:spacing w:after="200" w:line="276" w:lineRule="auto"/>
        <w:jc w:val="center"/>
        <w:rPr>
          <w:rFonts w:asciiTheme="majorHAnsi" w:eastAsia="Myriad Pro" w:hAnsiTheme="majorHAnsi"/>
          <w:sz w:val="28"/>
          <w:szCs w:val="22"/>
        </w:rPr>
      </w:pPr>
      <w:r w:rsidRPr="00BE0ABB">
        <w:rPr>
          <w:rFonts w:asciiTheme="majorHAnsi" w:eastAsia="Myriad Pro" w:hAnsiTheme="majorHAnsi"/>
          <w:sz w:val="28"/>
          <w:szCs w:val="22"/>
        </w:rPr>
        <w:lastRenderedPageBreak/>
        <w:t>Anglicare Australia publications and submissions on Workforce Participation</w:t>
      </w:r>
    </w:p>
    <w:p w:rsidR="00201CC1" w:rsidRPr="00BE0ABB" w:rsidRDefault="00201CC1" w:rsidP="004A628B">
      <w:pPr>
        <w:spacing w:after="200" w:line="276" w:lineRule="auto"/>
        <w:rPr>
          <w:rFonts w:asciiTheme="majorHAnsi" w:eastAsia="Myriad Pro" w:hAnsiTheme="majorHAnsi"/>
          <w:i/>
          <w:sz w:val="22"/>
          <w:szCs w:val="22"/>
        </w:rPr>
      </w:pPr>
      <w:r w:rsidRPr="00BE0ABB">
        <w:rPr>
          <w:rFonts w:asciiTheme="majorHAnsi" w:eastAsia="Myriad Pro" w:hAnsiTheme="majorHAnsi"/>
          <w:i/>
          <w:sz w:val="22"/>
          <w:szCs w:val="22"/>
        </w:rPr>
        <w:t>Publications</w:t>
      </w:r>
    </w:p>
    <w:p w:rsidR="00201CC1" w:rsidRPr="00BE0ABB" w:rsidRDefault="00922655" w:rsidP="00201CC1">
      <w:pPr>
        <w:spacing w:after="200" w:line="276" w:lineRule="auto"/>
        <w:ind w:left="720"/>
        <w:rPr>
          <w:rFonts w:asciiTheme="majorHAnsi" w:eastAsia="Myriad Pro" w:hAnsiTheme="majorHAnsi"/>
          <w:sz w:val="22"/>
          <w:szCs w:val="22"/>
        </w:rPr>
      </w:pPr>
      <w:hyperlink r:id="rId10" w:history="1">
        <w:r w:rsidR="00201CC1" w:rsidRPr="00BE0ABB">
          <w:rPr>
            <w:rFonts w:asciiTheme="majorHAnsi" w:eastAsia="Myriad Pro" w:hAnsiTheme="majorHAnsi"/>
            <w:color w:val="568EBE"/>
            <w:sz w:val="22"/>
            <w:szCs w:val="22"/>
            <w:u w:val="single"/>
          </w:rPr>
          <w:t>Beyond Supply and Demand: addressing the complexities of workforce exclusion in Australia</w:t>
        </w:r>
      </w:hyperlink>
    </w:p>
    <w:p w:rsidR="00201CC1" w:rsidRPr="00BE0ABB" w:rsidRDefault="00922655" w:rsidP="00201CC1">
      <w:pPr>
        <w:spacing w:after="200" w:line="276" w:lineRule="auto"/>
        <w:ind w:left="720"/>
        <w:rPr>
          <w:rFonts w:asciiTheme="majorHAnsi" w:eastAsia="Myriad Pro" w:hAnsiTheme="majorHAnsi"/>
          <w:sz w:val="22"/>
          <w:szCs w:val="22"/>
        </w:rPr>
      </w:pPr>
      <w:hyperlink r:id="rId11" w:history="1">
        <w:r w:rsidR="00201CC1" w:rsidRPr="00BE0ABB">
          <w:rPr>
            <w:rFonts w:asciiTheme="majorHAnsi" w:eastAsia="Myriad Pro" w:hAnsiTheme="majorHAnsi"/>
            <w:color w:val="568EBE"/>
            <w:sz w:val="22"/>
            <w:szCs w:val="22"/>
            <w:u w:val="single"/>
          </w:rPr>
          <w:t>Going Without: Financial Hardship in Australia</w:t>
        </w:r>
      </w:hyperlink>
    </w:p>
    <w:p w:rsidR="00201CC1" w:rsidRPr="00BE0ABB" w:rsidRDefault="00922655" w:rsidP="00201CC1">
      <w:pPr>
        <w:spacing w:after="200" w:line="276" w:lineRule="auto"/>
        <w:ind w:left="720"/>
        <w:rPr>
          <w:rFonts w:asciiTheme="majorHAnsi" w:eastAsia="Myriad Pro" w:hAnsiTheme="majorHAnsi"/>
          <w:sz w:val="22"/>
          <w:szCs w:val="22"/>
        </w:rPr>
      </w:pPr>
      <w:hyperlink r:id="rId12" w:history="1">
        <w:r w:rsidR="00201CC1" w:rsidRPr="00BE0ABB">
          <w:rPr>
            <w:rFonts w:asciiTheme="majorHAnsi" w:eastAsia="Myriad Pro" w:hAnsiTheme="majorHAnsi"/>
            <w:color w:val="568EBE"/>
            <w:sz w:val="22"/>
            <w:szCs w:val="22"/>
            <w:u w:val="single"/>
          </w:rPr>
          <w:t>What if Employers Say No</w:t>
        </w:r>
      </w:hyperlink>
      <w:r w:rsidR="00201CC1" w:rsidRPr="00BE0ABB">
        <w:rPr>
          <w:rFonts w:asciiTheme="majorHAnsi" w:eastAsia="Myriad Pro" w:hAnsiTheme="majorHAnsi"/>
          <w:sz w:val="22"/>
          <w:szCs w:val="22"/>
        </w:rPr>
        <w:t>?</w:t>
      </w:r>
    </w:p>
    <w:p w:rsidR="00201CC1" w:rsidRPr="00BE0ABB" w:rsidRDefault="00201CC1" w:rsidP="004A628B">
      <w:pPr>
        <w:spacing w:after="200" w:line="276" w:lineRule="auto"/>
        <w:rPr>
          <w:rFonts w:asciiTheme="majorHAnsi" w:eastAsia="Myriad Pro" w:hAnsiTheme="majorHAnsi"/>
          <w:i/>
          <w:sz w:val="22"/>
          <w:szCs w:val="22"/>
        </w:rPr>
      </w:pPr>
      <w:r w:rsidRPr="00BE0ABB">
        <w:rPr>
          <w:rFonts w:asciiTheme="majorHAnsi" w:eastAsia="Myriad Pro" w:hAnsiTheme="majorHAnsi"/>
          <w:i/>
          <w:sz w:val="22"/>
          <w:szCs w:val="22"/>
        </w:rPr>
        <w:t>Submissions</w:t>
      </w:r>
    </w:p>
    <w:p w:rsidR="00201CC1" w:rsidRPr="00BE0ABB" w:rsidRDefault="00201CC1" w:rsidP="004A628B">
      <w:pPr>
        <w:spacing w:after="200" w:line="276" w:lineRule="auto"/>
        <w:jc w:val="right"/>
        <w:rPr>
          <w:rFonts w:asciiTheme="majorHAnsi" w:eastAsia="Myriad Pro" w:hAnsiTheme="majorHAnsi"/>
          <w:sz w:val="22"/>
          <w:szCs w:val="22"/>
        </w:rPr>
      </w:pPr>
      <w:r w:rsidRPr="00BE0ABB">
        <w:rPr>
          <w:rFonts w:asciiTheme="majorHAnsi" w:eastAsia="Myriad Pro" w:hAnsiTheme="majorHAnsi"/>
          <w:sz w:val="20"/>
          <w:szCs w:val="22"/>
        </w:rPr>
        <w:t xml:space="preserve">All submissions can be found on the Anglicare Australia website: </w:t>
      </w:r>
      <w:hyperlink r:id="rId13" w:history="1">
        <w:r w:rsidRPr="00BE0ABB">
          <w:rPr>
            <w:rFonts w:asciiTheme="majorHAnsi" w:eastAsia="Myriad Pro" w:hAnsiTheme="majorHAnsi"/>
            <w:color w:val="568EBE"/>
            <w:sz w:val="20"/>
            <w:szCs w:val="22"/>
            <w:u w:val="single"/>
          </w:rPr>
          <w:t>http://www.anglicare.asn.au/site/submissions_advocacy.php</w:t>
        </w:r>
      </w:hyperlink>
      <w:r w:rsidRPr="00BE0ABB">
        <w:rPr>
          <w:rFonts w:asciiTheme="majorHAnsi" w:eastAsia="Myriad Pro" w:hAnsiTheme="majorHAnsi"/>
          <w:sz w:val="22"/>
          <w:szCs w:val="22"/>
        </w:rPr>
        <w:t xml:space="preserve"> </w:t>
      </w:r>
    </w:p>
    <w:p w:rsidR="00F24D69" w:rsidRPr="00BE0ABB" w:rsidRDefault="00201CC1" w:rsidP="00201CC1">
      <w:pPr>
        <w:spacing w:after="200" w:line="276" w:lineRule="auto"/>
        <w:rPr>
          <w:rFonts w:asciiTheme="majorHAnsi" w:eastAsia="Myriad Pro" w:hAnsiTheme="majorHAnsi"/>
          <w:sz w:val="22"/>
          <w:szCs w:val="22"/>
        </w:rPr>
      </w:pPr>
      <w:r w:rsidRPr="00BE0ABB">
        <w:rPr>
          <w:rFonts w:asciiTheme="majorHAnsi" w:eastAsia="Myriad Pro" w:hAnsiTheme="majorHAnsi"/>
          <w:sz w:val="22"/>
          <w:szCs w:val="22"/>
        </w:rPr>
        <w:tab/>
      </w:r>
    </w:p>
    <w:p w:rsidR="00201CC1" w:rsidRPr="00BE0ABB" w:rsidRDefault="00201CC1" w:rsidP="00F24D69">
      <w:pPr>
        <w:spacing w:after="200" w:line="276" w:lineRule="auto"/>
        <w:ind w:firstLine="720"/>
        <w:rPr>
          <w:rFonts w:asciiTheme="majorHAnsi" w:eastAsia="Myriad Pro" w:hAnsiTheme="majorHAnsi"/>
          <w:sz w:val="22"/>
          <w:szCs w:val="22"/>
        </w:rPr>
      </w:pPr>
      <w:r w:rsidRPr="00BE0ABB">
        <w:rPr>
          <w:rFonts w:asciiTheme="majorHAnsi" w:eastAsia="Myriad Pro" w:hAnsiTheme="majorHAnsi"/>
          <w:sz w:val="22"/>
          <w:szCs w:val="22"/>
        </w:rPr>
        <w:t>Inequality, hardship and social change, 2014</w:t>
      </w:r>
    </w:p>
    <w:p w:rsidR="00201CC1" w:rsidRPr="00BE0ABB" w:rsidRDefault="00201CC1" w:rsidP="00201CC1">
      <w:pPr>
        <w:spacing w:after="200" w:line="276" w:lineRule="auto"/>
        <w:rPr>
          <w:rFonts w:asciiTheme="majorHAnsi" w:eastAsia="Myriad Pro" w:hAnsiTheme="majorHAnsi"/>
          <w:sz w:val="22"/>
          <w:szCs w:val="22"/>
        </w:rPr>
      </w:pPr>
      <w:r w:rsidRPr="00BE0ABB">
        <w:rPr>
          <w:rFonts w:asciiTheme="majorHAnsi" w:eastAsia="Myriad Pro" w:hAnsiTheme="majorHAnsi"/>
          <w:sz w:val="22"/>
          <w:szCs w:val="22"/>
        </w:rPr>
        <w:tab/>
        <w:t>Response to Employment Services 2015-2020 Exposure Draft, 2014</w:t>
      </w:r>
    </w:p>
    <w:p w:rsidR="00201CC1" w:rsidRPr="00BE0ABB" w:rsidRDefault="00201CC1" w:rsidP="00201CC1">
      <w:pPr>
        <w:spacing w:after="200" w:line="276" w:lineRule="auto"/>
        <w:rPr>
          <w:rFonts w:asciiTheme="majorHAnsi" w:eastAsia="Myriad Pro" w:hAnsiTheme="majorHAnsi"/>
          <w:sz w:val="22"/>
          <w:szCs w:val="22"/>
        </w:rPr>
      </w:pPr>
      <w:r w:rsidRPr="00BE0ABB">
        <w:rPr>
          <w:rFonts w:asciiTheme="majorHAnsi" w:eastAsia="Myriad Pro" w:hAnsiTheme="majorHAnsi"/>
          <w:sz w:val="22"/>
          <w:szCs w:val="22"/>
        </w:rPr>
        <w:tab/>
        <w:t>Income, jobs and support- a recipe for welfare success, 2014</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Pathways to Participation, 2014</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Limits to Mobility, 2014</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Supporting Working Parents: Pregnancy and Return to Work National Review, 2014</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Aboriginal Workforce Development Strategy, 2013</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Supporting More Australians into Work, 2013</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A social view of employment: A vision for the future, 2013</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Social Security Amendment (Fair Incentives to Work) Bill Inquiry, 2012</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In and Out: The challenges of work insecurity, 2012</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Impairment or Entrapment: Disability and employment submission, 2011</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Job Seeker Compliance Bill, 2011</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Breaking the Cycle of Disadvantage, 2010</w:t>
      </w:r>
    </w:p>
    <w:p w:rsidR="00201CC1" w:rsidRPr="00BE0ABB" w:rsidRDefault="00201CC1" w:rsidP="00201CC1">
      <w:pPr>
        <w:spacing w:after="200" w:line="276" w:lineRule="auto"/>
        <w:ind w:left="720"/>
        <w:rPr>
          <w:rFonts w:asciiTheme="majorHAnsi" w:eastAsia="Myriad Pro" w:hAnsiTheme="majorHAnsi"/>
          <w:sz w:val="22"/>
          <w:szCs w:val="22"/>
        </w:rPr>
      </w:pPr>
      <w:r w:rsidRPr="00BE0ABB">
        <w:rPr>
          <w:rFonts w:asciiTheme="majorHAnsi" w:eastAsia="Myriad Pro" w:hAnsiTheme="majorHAnsi"/>
          <w:sz w:val="22"/>
          <w:szCs w:val="22"/>
        </w:rPr>
        <w:t>The Future of Employment Services in Australia, 2008</w:t>
      </w:r>
    </w:p>
    <w:p w:rsidR="00201CC1" w:rsidRPr="00BE0ABB" w:rsidRDefault="00201CC1" w:rsidP="00201CC1">
      <w:pPr>
        <w:spacing w:after="200" w:line="276" w:lineRule="auto"/>
        <w:rPr>
          <w:rFonts w:asciiTheme="majorHAnsi" w:eastAsia="Myriad Pro" w:hAnsiTheme="majorHAnsi"/>
          <w:sz w:val="22"/>
          <w:szCs w:val="22"/>
        </w:rPr>
      </w:pPr>
    </w:p>
    <w:p w:rsidR="00201CC1" w:rsidRPr="00BE0ABB" w:rsidRDefault="00201CC1" w:rsidP="00201CC1">
      <w:pPr>
        <w:spacing w:after="200" w:line="276" w:lineRule="auto"/>
        <w:rPr>
          <w:rFonts w:asciiTheme="majorHAnsi" w:eastAsia="Myriad Pro" w:hAnsiTheme="majorHAnsi"/>
          <w:sz w:val="22"/>
          <w:szCs w:val="22"/>
        </w:rPr>
      </w:pPr>
    </w:p>
    <w:p w:rsidR="00201CC1" w:rsidRPr="00BE0ABB" w:rsidRDefault="00201CC1" w:rsidP="00201CC1">
      <w:pPr>
        <w:spacing w:after="200" w:line="276" w:lineRule="auto"/>
        <w:rPr>
          <w:rFonts w:asciiTheme="majorHAnsi" w:eastAsia="Myriad Pro" w:hAnsiTheme="majorHAnsi"/>
          <w:sz w:val="22"/>
          <w:szCs w:val="22"/>
        </w:rPr>
      </w:pPr>
    </w:p>
    <w:p w:rsidR="00201CC1" w:rsidRPr="00BE0ABB" w:rsidRDefault="00201CC1" w:rsidP="00201CC1">
      <w:pPr>
        <w:spacing w:after="200" w:line="276" w:lineRule="auto"/>
        <w:rPr>
          <w:rFonts w:asciiTheme="majorHAnsi" w:eastAsia="Myriad Pro" w:hAnsiTheme="majorHAnsi"/>
          <w:sz w:val="22"/>
          <w:szCs w:val="22"/>
        </w:rPr>
      </w:pPr>
    </w:p>
    <w:p w:rsidR="00D10DEF" w:rsidRPr="00BE0ABB" w:rsidRDefault="00D10DEF" w:rsidP="00D10DEF">
      <w:pPr>
        <w:rPr>
          <w:rFonts w:asciiTheme="majorHAnsi" w:hAnsiTheme="majorHAnsi"/>
          <w:sz w:val="22"/>
          <w:szCs w:val="22"/>
        </w:rPr>
      </w:pPr>
    </w:p>
    <w:sectPr w:rsidR="00D10DEF" w:rsidRPr="00BE0ABB" w:rsidSect="00D871CC">
      <w:headerReference w:type="default" r:id="rId14"/>
      <w:footerReference w:type="default" r:id="rId15"/>
      <w:headerReference w:type="first" r:id="rId16"/>
      <w:footerReference w:type="first" r:id="rId17"/>
      <w:pgSz w:w="11900" w:h="16840"/>
      <w:pgMar w:top="1134" w:right="1191" w:bottom="1276" w:left="1191" w:header="709" w:footer="111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15" w:rsidRDefault="00302E15">
      <w:r>
        <w:separator/>
      </w:r>
    </w:p>
  </w:endnote>
  <w:endnote w:type="continuationSeparator" w:id="0">
    <w:p w:rsidR="00302E15" w:rsidRDefault="0030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armony Text">
    <w:altName w:val="Eras Light ITC"/>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Sans">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5BD" w:rsidRDefault="000C45BD">
    <w:pPr>
      <w:pStyle w:val="Footer"/>
    </w:pPr>
    <w:r>
      <w:rPr>
        <w:noProof/>
        <w:lang w:eastAsia="en-AU"/>
      </w:rPr>
      <w:drawing>
        <wp:anchor distT="0" distB="0" distL="114300" distR="114300" simplePos="0" relativeHeight="251662336" behindDoc="0" locked="0" layoutInCell="1" allowOverlap="1" wp14:anchorId="30D4F6E8" wp14:editId="7510F0A7">
          <wp:simplePos x="0" y="0"/>
          <wp:positionH relativeFrom="column">
            <wp:posOffset>-603885</wp:posOffset>
          </wp:positionH>
          <wp:positionV relativeFrom="paragraph">
            <wp:posOffset>240030</wp:posOffset>
          </wp:positionV>
          <wp:extent cx="7548245" cy="791210"/>
          <wp:effectExtent l="0" t="0" r="0" b="8890"/>
          <wp:wrapSquare wrapText="bothSides"/>
          <wp:docPr id="9" name="Picture 3" descr="7117-ANGLICARE-Letterhead_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7-ANGLICARE-Letterhead_FA-3"/>
                  <pic:cNvPicPr>
                    <a:picLocks noChangeAspect="1" noChangeArrowheads="1"/>
                  </pic:cNvPicPr>
                </pic:nvPicPr>
                <pic:blipFill rotWithShape="1">
                  <a:blip r:embed="rId1">
                    <a:extLst>
                      <a:ext uri="{28A0092B-C50C-407E-A947-70E740481C1C}">
                        <a14:useLocalDpi xmlns:a14="http://schemas.microsoft.com/office/drawing/2010/main" val="0"/>
                      </a:ext>
                    </a:extLst>
                  </a:blip>
                  <a:srcRect t="59512"/>
                  <a:stretch/>
                </pic:blipFill>
                <pic:spPr bwMode="auto">
                  <a:xfrm>
                    <a:off x="0" y="0"/>
                    <a:ext cx="754824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C" w:rsidRDefault="000C45BD">
    <w:pPr>
      <w:pStyle w:val="Footer"/>
    </w:pPr>
    <w:r>
      <w:rPr>
        <w:noProof/>
        <w:lang w:eastAsia="en-AU"/>
      </w:rPr>
      <w:drawing>
        <wp:anchor distT="0" distB="0" distL="114300" distR="114300" simplePos="0" relativeHeight="251660288" behindDoc="0" locked="0" layoutInCell="1" allowOverlap="1" wp14:anchorId="317C7539" wp14:editId="0EA9D72A">
          <wp:simplePos x="0" y="0"/>
          <wp:positionH relativeFrom="column">
            <wp:posOffset>-756285</wp:posOffset>
          </wp:positionH>
          <wp:positionV relativeFrom="paragraph">
            <wp:posOffset>93345</wp:posOffset>
          </wp:positionV>
          <wp:extent cx="7548245" cy="791210"/>
          <wp:effectExtent l="0" t="0" r="0" b="8890"/>
          <wp:wrapSquare wrapText="bothSides"/>
          <wp:docPr id="10" name="Picture 3" descr="7117-ANGLICARE-Letterhead_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7-ANGLICARE-Letterhead_FA-3"/>
                  <pic:cNvPicPr>
                    <a:picLocks noChangeAspect="1" noChangeArrowheads="1"/>
                  </pic:cNvPicPr>
                </pic:nvPicPr>
                <pic:blipFill rotWithShape="1">
                  <a:blip r:embed="rId1">
                    <a:extLst>
                      <a:ext uri="{28A0092B-C50C-407E-A947-70E740481C1C}">
                        <a14:useLocalDpi xmlns:a14="http://schemas.microsoft.com/office/drawing/2010/main" val="0"/>
                      </a:ext>
                    </a:extLst>
                  </a:blip>
                  <a:srcRect t="59512"/>
                  <a:stretch/>
                </pic:blipFill>
                <pic:spPr bwMode="auto">
                  <a:xfrm>
                    <a:off x="0" y="0"/>
                    <a:ext cx="754824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15" w:rsidRDefault="00302E15">
      <w:r>
        <w:separator/>
      </w:r>
    </w:p>
  </w:footnote>
  <w:footnote w:type="continuationSeparator" w:id="0">
    <w:p w:rsidR="00302E15" w:rsidRDefault="00302E15">
      <w:r>
        <w:continuationSeparator/>
      </w:r>
    </w:p>
  </w:footnote>
  <w:footnote w:id="1">
    <w:p w:rsidR="00201CC1" w:rsidRDefault="00201CC1" w:rsidP="00201CC1">
      <w:pPr>
        <w:pStyle w:val="FootnoteText"/>
      </w:pPr>
      <w:r>
        <w:rPr>
          <w:rStyle w:val="FootnoteReference"/>
        </w:rPr>
        <w:footnoteRef/>
      </w:r>
      <w:r>
        <w:t xml:space="preserve"> </w:t>
      </w:r>
      <w:r w:rsidR="00F24D69" w:rsidRPr="00F24D69">
        <w:t>Australian Centre for Community Services Research</w:t>
      </w:r>
      <w:r w:rsidR="00F24D69">
        <w:t>, 2014,</w:t>
      </w:r>
      <w:r w:rsidR="00F24D69" w:rsidRPr="00F24D69">
        <w:t xml:space="preserve"> </w:t>
      </w:r>
      <w:r w:rsidR="00F24D69" w:rsidRPr="00F24D69">
        <w:rPr>
          <w:i/>
        </w:rPr>
        <w:t xml:space="preserve">Beyond </w:t>
      </w:r>
      <w:r w:rsidRPr="00F24D69">
        <w:rPr>
          <w:i/>
        </w:rPr>
        <w:t>Supply and Demand</w:t>
      </w:r>
      <w:r w:rsidR="00F24D69" w:rsidRPr="00F24D69">
        <w:rPr>
          <w:i/>
        </w:rPr>
        <w:t>: addressing the complexities of workforce exclusion in Australia</w:t>
      </w:r>
      <w:r w:rsidR="00F24D69">
        <w:t>, Anglicare Australia: Canberra.</w:t>
      </w:r>
    </w:p>
  </w:footnote>
  <w:footnote w:id="2">
    <w:p w:rsidR="00201CC1" w:rsidRDefault="00201CC1" w:rsidP="00201CC1">
      <w:pPr>
        <w:pStyle w:val="FootnoteText"/>
      </w:pPr>
      <w:r>
        <w:rPr>
          <w:rStyle w:val="FootnoteReference"/>
        </w:rPr>
        <w:footnoteRef/>
      </w:r>
      <w:r>
        <w:t xml:space="preserve"> A</w:t>
      </w:r>
      <w:r w:rsidR="00F24D69">
        <w:t xml:space="preserve">ustralian </w:t>
      </w:r>
      <w:r>
        <w:t>C</w:t>
      </w:r>
      <w:r w:rsidR="00F24D69">
        <w:t xml:space="preserve">ouncil of </w:t>
      </w:r>
      <w:r>
        <w:t>T</w:t>
      </w:r>
      <w:r w:rsidR="00F24D69">
        <w:t xml:space="preserve">rade </w:t>
      </w:r>
      <w:r>
        <w:t>U</w:t>
      </w:r>
      <w:r w:rsidR="00F24D69">
        <w:t xml:space="preserve">nions, 2013, </w:t>
      </w:r>
      <w:r w:rsidR="00F24D69" w:rsidRPr="00F24D69">
        <w:rPr>
          <w:i/>
        </w:rPr>
        <w:t>Lives on Hold: Unlocking the potential of Australia's workforce</w:t>
      </w:r>
      <w:r w:rsidR="00F24D69">
        <w:t>, Australian Council of Trade Unions: Melbourne.</w:t>
      </w:r>
    </w:p>
  </w:footnote>
  <w:footnote w:id="3">
    <w:p w:rsidR="00201CC1" w:rsidRDefault="00201CC1" w:rsidP="00201CC1">
      <w:pPr>
        <w:pStyle w:val="FootnoteText"/>
      </w:pPr>
      <w:r>
        <w:rPr>
          <w:rStyle w:val="FootnoteReference"/>
        </w:rPr>
        <w:footnoteRef/>
      </w:r>
      <w:r>
        <w:t xml:space="preserve"> </w:t>
      </w:r>
      <w:r w:rsidR="00F24D69" w:rsidRPr="00F24D69">
        <w:rPr>
          <w:i/>
        </w:rPr>
        <w:t>A New System for Better Employment and Social Outcomes</w:t>
      </w:r>
      <w:r w:rsidR="00F24D69">
        <w:t>, Department of Social Services: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EF" w:rsidRPr="00D871CC" w:rsidRDefault="00D10DEF">
    <w:pPr>
      <w:pStyle w:val="Header"/>
      <w:jc w:val="center"/>
      <w:rPr>
        <w:sz w:val="20"/>
      </w:rPr>
    </w:pPr>
    <w:r w:rsidRPr="00D871CC">
      <w:rPr>
        <w:sz w:val="20"/>
      </w:rPr>
      <w:fldChar w:fldCharType="begin"/>
    </w:r>
    <w:r w:rsidRPr="00D871CC">
      <w:rPr>
        <w:sz w:val="20"/>
      </w:rPr>
      <w:instrText xml:space="preserve"> PAGE   \* MERGEFORMAT </w:instrText>
    </w:r>
    <w:r w:rsidRPr="00D871CC">
      <w:rPr>
        <w:sz w:val="20"/>
      </w:rPr>
      <w:fldChar w:fldCharType="separate"/>
    </w:r>
    <w:r w:rsidR="00922655">
      <w:rPr>
        <w:noProof/>
        <w:sz w:val="20"/>
      </w:rPr>
      <w:t>2</w:t>
    </w:r>
    <w:r w:rsidRPr="00D871CC">
      <w:rPr>
        <w:noProof/>
        <w:sz w:val="20"/>
      </w:rPr>
      <w:fldChar w:fldCharType="end"/>
    </w:r>
  </w:p>
  <w:p w:rsidR="00D10DEF" w:rsidRDefault="00D10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96A" w:rsidRDefault="00201CC1">
    <w:pPr>
      <w:pStyle w:val="Header"/>
    </w:pPr>
    <w:r>
      <w:rPr>
        <w:noProof/>
        <w:lang w:eastAsia="en-AU"/>
      </w:rPr>
      <mc:AlternateContent>
        <mc:Choice Requires="wps">
          <w:drawing>
            <wp:anchor distT="0" distB="0" distL="114300" distR="114300" simplePos="0" relativeHeight="251659264" behindDoc="0" locked="1" layoutInCell="1" allowOverlap="1" wp14:anchorId="25ED36B9" wp14:editId="18591B05">
              <wp:simplePos x="0" y="0"/>
              <wp:positionH relativeFrom="column">
                <wp:posOffset>4210050</wp:posOffset>
              </wp:positionH>
              <wp:positionV relativeFrom="paragraph">
                <wp:posOffset>1087755</wp:posOffset>
              </wp:positionV>
              <wp:extent cx="2171700" cy="1327150"/>
              <wp:effectExtent l="3810" t="4445" r="0" b="1905"/>
              <wp:wrapTight wrapText="bothSides">
                <wp:wrapPolygon edited="0">
                  <wp:start x="0" y="0"/>
                  <wp:lineTo x="21600" y="0"/>
                  <wp:lineTo x="21600" y="21600"/>
                  <wp:lineTo x="0" y="2160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A" w:rsidRPr="000545B2" w:rsidRDefault="00F8596A" w:rsidP="00F8596A">
                          <w:pPr>
                            <w:pStyle w:val="BasicParagraph"/>
                            <w:tabs>
                              <w:tab w:val="left" w:pos="340"/>
                            </w:tabs>
                            <w:suppressAutoHyphens/>
                            <w:jc w:val="right"/>
                            <w:rPr>
                              <w:rFonts w:ascii="Cambria" w:hAnsi="Cambria" w:cs="Cambria"/>
                              <w:sz w:val="22"/>
                              <w:szCs w:val="22"/>
                            </w:rPr>
                          </w:pPr>
                          <w:r w:rsidRPr="000545B2">
                            <w:rPr>
                              <w:rFonts w:ascii="Cambria" w:hAnsi="Cambria" w:cs="LucidaSans"/>
                              <w:color w:val="00407D"/>
                              <w:sz w:val="15"/>
                              <w:szCs w:val="14"/>
                              <w:lang w:val="en-US"/>
                            </w:rPr>
                            <w:t xml:space="preserve"> </w:t>
                          </w:r>
                          <w:r w:rsidRPr="000545B2">
                            <w:rPr>
                              <w:rFonts w:ascii="Cambria" w:hAnsi="Cambria" w:cs="Cambria"/>
                              <w:sz w:val="22"/>
                              <w:szCs w:val="22"/>
                            </w:rPr>
                            <w:t>PO Box 4093</w:t>
                          </w:r>
                          <w:r w:rsidRPr="000545B2">
                            <w:rPr>
                              <w:rFonts w:ascii="Cambria" w:hAnsi="Cambria" w:cs="Cambria"/>
                              <w:sz w:val="22"/>
                              <w:szCs w:val="22"/>
                            </w:rPr>
                            <w:br/>
                            <w:t>Ainslie ACT 2602</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Bold"/>
                              <w:bCs/>
                              <w:spacing w:val="-2"/>
                              <w:sz w:val="22"/>
                              <w:szCs w:val="22"/>
                            </w:rPr>
                            <w:t>T</w:t>
                          </w:r>
                          <w:r w:rsidRPr="000545B2">
                            <w:rPr>
                              <w:rFonts w:ascii="Cambria" w:hAnsi="Cambria" w:cs="Cambria"/>
                              <w:spacing w:val="-2"/>
                              <w:sz w:val="22"/>
                              <w:szCs w:val="22"/>
                            </w:rPr>
                            <w:t xml:space="preserve"> (02) 6230 1775</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Bold"/>
                              <w:bCs/>
                              <w:spacing w:val="-2"/>
                              <w:sz w:val="22"/>
                              <w:szCs w:val="22"/>
                            </w:rPr>
                            <w:t>F</w:t>
                          </w:r>
                          <w:r w:rsidRPr="000545B2">
                            <w:rPr>
                              <w:rFonts w:ascii="Cambria" w:hAnsi="Cambria" w:cs="Cambria"/>
                              <w:spacing w:val="-2"/>
                              <w:sz w:val="22"/>
                              <w:szCs w:val="22"/>
                            </w:rPr>
                            <w:t xml:space="preserve"> (02) 6230 1704</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
                              <w:spacing w:val="-2"/>
                              <w:sz w:val="22"/>
                              <w:szCs w:val="22"/>
                            </w:rPr>
                            <w:t>anglicare@anglicare.asn.au</w:t>
                          </w:r>
                        </w:p>
                        <w:p w:rsidR="00F8596A" w:rsidRPr="000545B2" w:rsidRDefault="00F8596A" w:rsidP="00F8596A">
                          <w:pPr>
                            <w:pStyle w:val="BasicParagraph"/>
                            <w:tabs>
                              <w:tab w:val="left" w:pos="340"/>
                            </w:tabs>
                            <w:suppressAutoHyphens/>
                            <w:spacing w:after="57"/>
                            <w:jc w:val="right"/>
                            <w:rPr>
                              <w:rFonts w:ascii="Cambria" w:hAnsi="Cambria" w:cs="Cambria"/>
                              <w:spacing w:val="-2"/>
                              <w:sz w:val="22"/>
                              <w:szCs w:val="22"/>
                            </w:rPr>
                          </w:pPr>
                          <w:r w:rsidRPr="000545B2">
                            <w:rPr>
                              <w:rFonts w:ascii="Cambria" w:hAnsi="Cambria" w:cs="Cambria"/>
                              <w:spacing w:val="-2"/>
                              <w:sz w:val="22"/>
                              <w:szCs w:val="22"/>
                            </w:rPr>
                            <w:t>www.anglicare.asn.au</w:t>
                          </w:r>
                        </w:p>
                        <w:p w:rsidR="00F8596A" w:rsidRPr="000545B2" w:rsidRDefault="00F8596A" w:rsidP="00F8596A">
                          <w:pPr>
                            <w:pStyle w:val="BasicParagraph"/>
                            <w:spacing w:before="57"/>
                            <w:jc w:val="right"/>
                            <w:rPr>
                              <w:rFonts w:ascii="Cambria" w:hAnsi="Cambria" w:cs="LucidaSans"/>
                              <w:color w:val="00407D"/>
                              <w:sz w:val="15"/>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1.5pt;margin-top:85.65pt;width:171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" filled="f" stroked="f">
              <v:textbox inset=",7.2pt,,7.2pt">
                <w:txbxContent>
                  <w:p w:rsidR="00F8596A" w:rsidRPr="000545B2" w:rsidRDefault="00F8596A" w:rsidP="00F8596A">
                    <w:pPr>
                      <w:pStyle w:val="BasicParagraph"/>
                      <w:tabs>
                        <w:tab w:val="left" w:pos="340"/>
                      </w:tabs>
                      <w:suppressAutoHyphens/>
                      <w:jc w:val="right"/>
                      <w:rPr>
                        <w:rFonts w:ascii="Cambria" w:hAnsi="Cambria" w:cs="Cambria"/>
                        <w:sz w:val="22"/>
                        <w:szCs w:val="22"/>
                      </w:rPr>
                    </w:pPr>
                    <w:r w:rsidRPr="000545B2">
                      <w:rPr>
                        <w:rFonts w:ascii="Cambria" w:hAnsi="Cambria" w:cs="LucidaSans"/>
                        <w:color w:val="00407D"/>
                        <w:sz w:val="15"/>
                        <w:szCs w:val="14"/>
                        <w:lang w:val="en-US"/>
                      </w:rPr>
                      <w:t xml:space="preserve"> </w:t>
                    </w:r>
                    <w:r w:rsidRPr="000545B2">
                      <w:rPr>
                        <w:rFonts w:ascii="Cambria" w:hAnsi="Cambria" w:cs="Cambria"/>
                        <w:sz w:val="22"/>
                        <w:szCs w:val="22"/>
                      </w:rPr>
                      <w:t>PO Box 4093</w:t>
                    </w:r>
                    <w:r w:rsidRPr="000545B2">
                      <w:rPr>
                        <w:rFonts w:ascii="Cambria" w:hAnsi="Cambria" w:cs="Cambria"/>
                        <w:sz w:val="22"/>
                        <w:szCs w:val="22"/>
                      </w:rPr>
                      <w:br/>
                      <w:t>Ainslie ACT 2602</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Bold"/>
                        <w:bCs/>
                        <w:spacing w:val="-2"/>
                        <w:sz w:val="22"/>
                        <w:szCs w:val="22"/>
                      </w:rPr>
                      <w:t>T</w:t>
                    </w:r>
                    <w:r w:rsidRPr="000545B2">
                      <w:rPr>
                        <w:rFonts w:ascii="Cambria" w:hAnsi="Cambria" w:cs="Cambria"/>
                        <w:spacing w:val="-2"/>
                        <w:sz w:val="22"/>
                        <w:szCs w:val="22"/>
                      </w:rPr>
                      <w:t xml:space="preserve"> (02) 6230 1775</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Bold"/>
                        <w:bCs/>
                        <w:spacing w:val="-2"/>
                        <w:sz w:val="22"/>
                        <w:szCs w:val="22"/>
                      </w:rPr>
                      <w:t>F</w:t>
                    </w:r>
                    <w:r w:rsidRPr="000545B2">
                      <w:rPr>
                        <w:rFonts w:ascii="Cambria" w:hAnsi="Cambria" w:cs="Cambria"/>
                        <w:spacing w:val="-2"/>
                        <w:sz w:val="22"/>
                        <w:szCs w:val="22"/>
                      </w:rPr>
                      <w:t xml:space="preserve"> (02) 6230 1704</w:t>
                    </w:r>
                  </w:p>
                  <w:p w:rsidR="00F8596A" w:rsidRPr="000545B2" w:rsidRDefault="00F8596A" w:rsidP="00F8596A">
                    <w:pPr>
                      <w:pStyle w:val="BasicParagraph"/>
                      <w:tabs>
                        <w:tab w:val="left" w:pos="340"/>
                      </w:tabs>
                      <w:suppressAutoHyphens/>
                      <w:jc w:val="right"/>
                      <w:rPr>
                        <w:rFonts w:ascii="Cambria" w:hAnsi="Cambria" w:cs="Cambria"/>
                        <w:spacing w:val="-2"/>
                        <w:sz w:val="22"/>
                        <w:szCs w:val="22"/>
                      </w:rPr>
                    </w:pPr>
                    <w:r w:rsidRPr="000545B2">
                      <w:rPr>
                        <w:rFonts w:ascii="Cambria" w:hAnsi="Cambria" w:cs="Cambria"/>
                        <w:spacing w:val="-2"/>
                        <w:sz w:val="22"/>
                        <w:szCs w:val="22"/>
                      </w:rPr>
                      <w:t>anglicare@anglicare.asn.au</w:t>
                    </w:r>
                  </w:p>
                  <w:p w:rsidR="00F8596A" w:rsidRPr="000545B2" w:rsidRDefault="00F8596A" w:rsidP="00F8596A">
                    <w:pPr>
                      <w:pStyle w:val="BasicParagraph"/>
                      <w:tabs>
                        <w:tab w:val="left" w:pos="340"/>
                      </w:tabs>
                      <w:suppressAutoHyphens/>
                      <w:spacing w:after="57"/>
                      <w:jc w:val="right"/>
                      <w:rPr>
                        <w:rFonts w:ascii="Cambria" w:hAnsi="Cambria" w:cs="Cambria"/>
                        <w:spacing w:val="-2"/>
                        <w:sz w:val="22"/>
                        <w:szCs w:val="22"/>
                      </w:rPr>
                    </w:pPr>
                    <w:r w:rsidRPr="000545B2">
                      <w:rPr>
                        <w:rFonts w:ascii="Cambria" w:hAnsi="Cambria" w:cs="Cambria"/>
                        <w:spacing w:val="-2"/>
                        <w:sz w:val="22"/>
                        <w:szCs w:val="22"/>
                      </w:rPr>
                      <w:t>www.anglicare.asn.au</w:t>
                    </w:r>
                  </w:p>
                  <w:p w:rsidR="00F8596A" w:rsidRPr="000545B2" w:rsidRDefault="00F8596A" w:rsidP="00F8596A">
                    <w:pPr>
                      <w:pStyle w:val="BasicParagraph"/>
                      <w:spacing w:before="57"/>
                      <w:jc w:val="right"/>
                      <w:rPr>
                        <w:rFonts w:ascii="Cambria" w:hAnsi="Cambria" w:cs="LucidaSans"/>
                        <w:color w:val="00407D"/>
                        <w:sz w:val="15"/>
                        <w:szCs w:val="14"/>
                      </w:rPr>
                    </w:pPr>
                  </w:p>
                </w:txbxContent>
              </v:textbox>
              <w10:wrap type="tight"/>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2D6E510E" wp14:editId="7C284F70">
              <wp:simplePos x="0" y="0"/>
              <wp:positionH relativeFrom="column">
                <wp:posOffset>-756285</wp:posOffset>
              </wp:positionH>
              <wp:positionV relativeFrom="paragraph">
                <wp:posOffset>-446405</wp:posOffset>
              </wp:positionV>
              <wp:extent cx="7569200" cy="1534160"/>
              <wp:effectExtent l="0" t="3810" r="3175"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0"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A" w:rsidRDefault="00201CC1" w:rsidP="00F8596A">
                          <w:r>
                            <w:rPr>
                              <w:noProof/>
                              <w:lang w:eastAsia="en-AU"/>
                            </w:rPr>
                            <w:drawing>
                              <wp:inline distT="0" distB="0" distL="0" distR="0" wp14:anchorId="442634F3" wp14:editId="08CA1CA8">
                                <wp:extent cx="7566660" cy="1531620"/>
                                <wp:effectExtent l="0" t="0" r="0" b="0"/>
                                <wp:docPr id="11" name="Picture 2" descr="7117-ANGLICARE-Letterhead_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7-ANGLICARE-Letterhead_F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5316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9.55pt;margin-top:-35.15pt;width:596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PAsgIAALE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" filled="f" stroked="f">
              <v:textbox inset="0,0,0,0">
                <w:txbxContent>
                  <w:p w:rsidR="00F8596A" w:rsidRDefault="00201CC1" w:rsidP="00F8596A">
                    <w:r>
                      <w:rPr>
                        <w:noProof/>
                        <w:lang w:eastAsia="en-AU"/>
                      </w:rPr>
                      <w:drawing>
                        <wp:inline distT="0" distB="0" distL="0" distR="0" wp14:anchorId="442634F3" wp14:editId="08CA1CA8">
                          <wp:extent cx="7566660" cy="1531620"/>
                          <wp:effectExtent l="0" t="0" r="0" b="0"/>
                          <wp:docPr id="11" name="Picture 2" descr="7117-ANGLICARE-Letterhead_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7-ANGLICARE-Letterhead_F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6660" cy="1531620"/>
                                  </a:xfrm>
                                  <a:prstGeom prst="rect">
                                    <a:avLst/>
                                  </a:prstGeom>
                                  <a:noFill/>
                                  <a:ln>
                                    <a:noFill/>
                                  </a:ln>
                                </pic:spPr>
                              </pic:pic>
                            </a:graphicData>
                          </a:graphic>
                        </wp:inline>
                      </w:drawing>
                    </w: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B4881"/>
    <w:multiLevelType w:val="hybridMultilevel"/>
    <w:tmpl w:val="CF14CC04"/>
    <w:lvl w:ilvl="0" w:tplc="583678DA">
      <w:start w:val="1"/>
      <w:numFmt w:val="bullet"/>
      <w:pStyle w:val="dot"/>
      <w:lvlText w:val="•"/>
      <w:lvlJc w:val="left"/>
      <w:pPr>
        <w:tabs>
          <w:tab w:val="num" w:pos="578"/>
        </w:tabs>
        <w:ind w:left="578" w:hanging="360"/>
      </w:pPr>
      <w:rPr>
        <w:rFonts w:ascii="Harmony Text" w:hAnsi="Harmony Text" w:hint="default"/>
        <w:b w:val="0"/>
        <w:i w:val="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3CC50E93"/>
    <w:multiLevelType w:val="hybridMultilevel"/>
    <w:tmpl w:val="415CCB62"/>
    <w:lvl w:ilvl="0" w:tplc="7932F85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904A26"/>
    <w:multiLevelType w:val="hybridMultilevel"/>
    <w:tmpl w:val="C678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C1"/>
    <w:rsid w:val="000C45BD"/>
    <w:rsid w:val="00174304"/>
    <w:rsid w:val="001E1C25"/>
    <w:rsid w:val="00201CC1"/>
    <w:rsid w:val="002A56E0"/>
    <w:rsid w:val="00302E15"/>
    <w:rsid w:val="003A0475"/>
    <w:rsid w:val="003A09BC"/>
    <w:rsid w:val="004743EC"/>
    <w:rsid w:val="004A628B"/>
    <w:rsid w:val="004B61A0"/>
    <w:rsid w:val="004E74D8"/>
    <w:rsid w:val="00546D0D"/>
    <w:rsid w:val="005A4725"/>
    <w:rsid w:val="006E1202"/>
    <w:rsid w:val="00712C48"/>
    <w:rsid w:val="00723B02"/>
    <w:rsid w:val="00775D0C"/>
    <w:rsid w:val="00844F04"/>
    <w:rsid w:val="008F1F6A"/>
    <w:rsid w:val="00922655"/>
    <w:rsid w:val="00A742F4"/>
    <w:rsid w:val="00AB038B"/>
    <w:rsid w:val="00BE0ABB"/>
    <w:rsid w:val="00CA34B3"/>
    <w:rsid w:val="00CB78F3"/>
    <w:rsid w:val="00D10DEF"/>
    <w:rsid w:val="00D60F6C"/>
    <w:rsid w:val="00D871CC"/>
    <w:rsid w:val="00D93989"/>
    <w:rsid w:val="00ED34EE"/>
    <w:rsid w:val="00F24D69"/>
    <w:rsid w:val="00F8596A"/>
    <w:rsid w:val="00FC5C4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A1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8F"/>
    <w:pPr>
      <w:tabs>
        <w:tab w:val="center" w:pos="4320"/>
        <w:tab w:val="right" w:pos="8640"/>
      </w:tabs>
    </w:pPr>
  </w:style>
  <w:style w:type="character" w:customStyle="1" w:styleId="HeaderChar">
    <w:name w:val="Header Char"/>
    <w:link w:val="Header"/>
    <w:uiPriority w:val="99"/>
    <w:rsid w:val="00EA438F"/>
    <w:rPr>
      <w:sz w:val="24"/>
      <w:szCs w:val="24"/>
    </w:rPr>
  </w:style>
  <w:style w:type="paragraph" w:styleId="Footer">
    <w:name w:val="footer"/>
    <w:basedOn w:val="Normal"/>
    <w:link w:val="FooterChar"/>
    <w:uiPriority w:val="99"/>
    <w:unhideWhenUsed/>
    <w:rsid w:val="00EA438F"/>
    <w:pPr>
      <w:tabs>
        <w:tab w:val="center" w:pos="4320"/>
        <w:tab w:val="right" w:pos="8640"/>
      </w:tabs>
    </w:pPr>
  </w:style>
  <w:style w:type="character" w:customStyle="1" w:styleId="FooterChar">
    <w:name w:val="Footer Char"/>
    <w:link w:val="Footer"/>
    <w:uiPriority w:val="99"/>
    <w:rsid w:val="00EA438F"/>
    <w:rPr>
      <w:sz w:val="24"/>
      <w:szCs w:val="24"/>
    </w:rPr>
  </w:style>
  <w:style w:type="paragraph" w:customStyle="1" w:styleId="BasicParagraph">
    <w:name w:val="[Basic Paragraph]"/>
    <w:basedOn w:val="Normal"/>
    <w:uiPriority w:val="99"/>
    <w:rsid w:val="008C64F7"/>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MainHeading">
    <w:name w:val="Main Heading"/>
    <w:basedOn w:val="BasicParagraph"/>
    <w:qFormat/>
    <w:rsid w:val="00EB1919"/>
    <w:pPr>
      <w:suppressAutoHyphens/>
    </w:pPr>
    <w:rPr>
      <w:rFonts w:ascii="Cambria" w:hAnsi="Cambria" w:cs="Cambria"/>
      <w:color w:val="00437A"/>
      <w:sz w:val="44"/>
      <w:szCs w:val="44"/>
    </w:rPr>
  </w:style>
  <w:style w:type="paragraph" w:customStyle="1" w:styleId="BodyCopy">
    <w:name w:val="BodyCopy"/>
    <w:basedOn w:val="BasicParagraph"/>
    <w:qFormat/>
    <w:rsid w:val="004B7CCB"/>
    <w:pPr>
      <w:suppressAutoHyphens/>
      <w:spacing w:after="170"/>
    </w:pPr>
    <w:rPr>
      <w:rFonts w:ascii="Cambria" w:hAnsi="Cambria" w:cs="LucidaSans"/>
      <w:sz w:val="22"/>
      <w:szCs w:val="18"/>
    </w:rPr>
  </w:style>
  <w:style w:type="paragraph" w:customStyle="1" w:styleId="Subheading">
    <w:name w:val="Subheading"/>
    <w:basedOn w:val="BasicParagraph"/>
    <w:qFormat/>
    <w:rsid w:val="00EB1919"/>
    <w:pPr>
      <w:suppressAutoHyphens/>
      <w:spacing w:before="283" w:after="113"/>
    </w:pPr>
    <w:rPr>
      <w:rFonts w:ascii="Cambria" w:hAnsi="Cambria" w:cs="Cambria"/>
      <w:color w:val="00437A"/>
      <w:sz w:val="28"/>
      <w:szCs w:val="28"/>
    </w:rPr>
  </w:style>
  <w:style w:type="character" w:styleId="Hyperlink">
    <w:name w:val="Hyperlink"/>
    <w:unhideWhenUsed/>
    <w:rsid w:val="006E1202"/>
    <w:rPr>
      <w:color w:val="0000FF"/>
      <w:u w:val="single"/>
    </w:rPr>
  </w:style>
  <w:style w:type="paragraph" w:customStyle="1" w:styleId="dot">
    <w:name w:val="dot"/>
    <w:basedOn w:val="Normal"/>
    <w:autoRedefine/>
    <w:rsid w:val="006E1202"/>
    <w:pPr>
      <w:numPr>
        <w:numId w:val="2"/>
      </w:numPr>
      <w:spacing w:before="120"/>
    </w:pPr>
    <w:rPr>
      <w:rFonts w:ascii="Harmony Text" w:eastAsia="Times New Roman" w:hAnsi="Harmony Text"/>
      <w:szCs w:val="20"/>
    </w:rPr>
  </w:style>
  <w:style w:type="paragraph" w:customStyle="1" w:styleId="H">
    <w:name w:val="H!"/>
    <w:basedOn w:val="Normal"/>
    <w:autoRedefine/>
    <w:rsid w:val="006E1202"/>
    <w:pPr>
      <w:spacing w:before="240"/>
      <w:ind w:right="-53"/>
    </w:pPr>
    <w:rPr>
      <w:rFonts w:ascii="Arial" w:hAnsi="Arial"/>
      <w:b/>
      <w:spacing w:val="-2"/>
      <w:sz w:val="20"/>
      <w:szCs w:val="22"/>
    </w:rPr>
  </w:style>
  <w:style w:type="paragraph" w:styleId="FootnoteText">
    <w:name w:val="footnote text"/>
    <w:basedOn w:val="Normal"/>
    <w:link w:val="FootnoteTextChar"/>
    <w:uiPriority w:val="99"/>
    <w:unhideWhenUsed/>
    <w:rsid w:val="00201CC1"/>
    <w:rPr>
      <w:rFonts w:ascii="Myriad Pro" w:eastAsia="Myriad Pro" w:hAnsi="Myriad Pro"/>
      <w:sz w:val="20"/>
      <w:szCs w:val="20"/>
    </w:rPr>
  </w:style>
  <w:style w:type="character" w:customStyle="1" w:styleId="FootnoteTextChar">
    <w:name w:val="Footnote Text Char"/>
    <w:basedOn w:val="DefaultParagraphFont"/>
    <w:link w:val="FootnoteText"/>
    <w:uiPriority w:val="99"/>
    <w:rsid w:val="00201CC1"/>
    <w:rPr>
      <w:rFonts w:ascii="Myriad Pro" w:eastAsia="Myriad Pro" w:hAnsi="Myriad Pro"/>
      <w:lang w:eastAsia="en-US"/>
    </w:rPr>
  </w:style>
  <w:style w:type="character" w:styleId="FootnoteReference">
    <w:name w:val="footnote reference"/>
    <w:uiPriority w:val="99"/>
    <w:unhideWhenUsed/>
    <w:rsid w:val="00201CC1"/>
    <w:rPr>
      <w:vertAlign w:val="superscript"/>
    </w:rPr>
  </w:style>
  <w:style w:type="paragraph" w:styleId="BalloonText">
    <w:name w:val="Balloon Text"/>
    <w:basedOn w:val="Normal"/>
    <w:link w:val="BalloonTextChar"/>
    <w:rsid w:val="00201CC1"/>
    <w:rPr>
      <w:rFonts w:ascii="Tahoma" w:hAnsi="Tahoma" w:cs="Tahoma"/>
      <w:sz w:val="16"/>
      <w:szCs w:val="16"/>
    </w:rPr>
  </w:style>
  <w:style w:type="character" w:customStyle="1" w:styleId="BalloonTextChar">
    <w:name w:val="Balloon Text Char"/>
    <w:basedOn w:val="DefaultParagraphFont"/>
    <w:link w:val="BalloonText"/>
    <w:rsid w:val="00201CC1"/>
    <w:rPr>
      <w:rFonts w:ascii="Tahoma" w:hAnsi="Tahoma" w:cs="Tahoma"/>
      <w:sz w:val="16"/>
      <w:szCs w:val="16"/>
      <w:lang w:eastAsia="en-US"/>
    </w:rPr>
  </w:style>
  <w:style w:type="character" w:styleId="FollowedHyperlink">
    <w:name w:val="FollowedHyperlink"/>
    <w:basedOn w:val="DefaultParagraphFont"/>
    <w:rsid w:val="00D939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A1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8F"/>
    <w:pPr>
      <w:tabs>
        <w:tab w:val="center" w:pos="4320"/>
        <w:tab w:val="right" w:pos="8640"/>
      </w:tabs>
    </w:pPr>
  </w:style>
  <w:style w:type="character" w:customStyle="1" w:styleId="HeaderChar">
    <w:name w:val="Header Char"/>
    <w:link w:val="Header"/>
    <w:uiPriority w:val="99"/>
    <w:rsid w:val="00EA438F"/>
    <w:rPr>
      <w:sz w:val="24"/>
      <w:szCs w:val="24"/>
    </w:rPr>
  </w:style>
  <w:style w:type="paragraph" w:styleId="Footer">
    <w:name w:val="footer"/>
    <w:basedOn w:val="Normal"/>
    <w:link w:val="FooterChar"/>
    <w:uiPriority w:val="99"/>
    <w:unhideWhenUsed/>
    <w:rsid w:val="00EA438F"/>
    <w:pPr>
      <w:tabs>
        <w:tab w:val="center" w:pos="4320"/>
        <w:tab w:val="right" w:pos="8640"/>
      </w:tabs>
    </w:pPr>
  </w:style>
  <w:style w:type="character" w:customStyle="1" w:styleId="FooterChar">
    <w:name w:val="Footer Char"/>
    <w:link w:val="Footer"/>
    <w:uiPriority w:val="99"/>
    <w:rsid w:val="00EA438F"/>
    <w:rPr>
      <w:sz w:val="24"/>
      <w:szCs w:val="24"/>
    </w:rPr>
  </w:style>
  <w:style w:type="paragraph" w:customStyle="1" w:styleId="BasicParagraph">
    <w:name w:val="[Basic Paragraph]"/>
    <w:basedOn w:val="Normal"/>
    <w:uiPriority w:val="99"/>
    <w:rsid w:val="008C64F7"/>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MainHeading">
    <w:name w:val="Main Heading"/>
    <w:basedOn w:val="BasicParagraph"/>
    <w:qFormat/>
    <w:rsid w:val="00EB1919"/>
    <w:pPr>
      <w:suppressAutoHyphens/>
    </w:pPr>
    <w:rPr>
      <w:rFonts w:ascii="Cambria" w:hAnsi="Cambria" w:cs="Cambria"/>
      <w:color w:val="00437A"/>
      <w:sz w:val="44"/>
      <w:szCs w:val="44"/>
    </w:rPr>
  </w:style>
  <w:style w:type="paragraph" w:customStyle="1" w:styleId="BodyCopy">
    <w:name w:val="BodyCopy"/>
    <w:basedOn w:val="BasicParagraph"/>
    <w:qFormat/>
    <w:rsid w:val="004B7CCB"/>
    <w:pPr>
      <w:suppressAutoHyphens/>
      <w:spacing w:after="170"/>
    </w:pPr>
    <w:rPr>
      <w:rFonts w:ascii="Cambria" w:hAnsi="Cambria" w:cs="LucidaSans"/>
      <w:sz w:val="22"/>
      <w:szCs w:val="18"/>
    </w:rPr>
  </w:style>
  <w:style w:type="paragraph" w:customStyle="1" w:styleId="Subheading">
    <w:name w:val="Subheading"/>
    <w:basedOn w:val="BasicParagraph"/>
    <w:qFormat/>
    <w:rsid w:val="00EB1919"/>
    <w:pPr>
      <w:suppressAutoHyphens/>
      <w:spacing w:before="283" w:after="113"/>
    </w:pPr>
    <w:rPr>
      <w:rFonts w:ascii="Cambria" w:hAnsi="Cambria" w:cs="Cambria"/>
      <w:color w:val="00437A"/>
      <w:sz w:val="28"/>
      <w:szCs w:val="28"/>
    </w:rPr>
  </w:style>
  <w:style w:type="character" w:styleId="Hyperlink">
    <w:name w:val="Hyperlink"/>
    <w:unhideWhenUsed/>
    <w:rsid w:val="006E1202"/>
    <w:rPr>
      <w:color w:val="0000FF"/>
      <w:u w:val="single"/>
    </w:rPr>
  </w:style>
  <w:style w:type="paragraph" w:customStyle="1" w:styleId="dot">
    <w:name w:val="dot"/>
    <w:basedOn w:val="Normal"/>
    <w:autoRedefine/>
    <w:rsid w:val="006E1202"/>
    <w:pPr>
      <w:numPr>
        <w:numId w:val="2"/>
      </w:numPr>
      <w:spacing w:before="120"/>
    </w:pPr>
    <w:rPr>
      <w:rFonts w:ascii="Harmony Text" w:eastAsia="Times New Roman" w:hAnsi="Harmony Text"/>
      <w:szCs w:val="20"/>
    </w:rPr>
  </w:style>
  <w:style w:type="paragraph" w:customStyle="1" w:styleId="H">
    <w:name w:val="H!"/>
    <w:basedOn w:val="Normal"/>
    <w:autoRedefine/>
    <w:rsid w:val="006E1202"/>
    <w:pPr>
      <w:spacing w:before="240"/>
      <w:ind w:right="-53"/>
    </w:pPr>
    <w:rPr>
      <w:rFonts w:ascii="Arial" w:hAnsi="Arial"/>
      <w:b/>
      <w:spacing w:val="-2"/>
      <w:sz w:val="20"/>
      <w:szCs w:val="22"/>
    </w:rPr>
  </w:style>
  <w:style w:type="paragraph" w:styleId="FootnoteText">
    <w:name w:val="footnote text"/>
    <w:basedOn w:val="Normal"/>
    <w:link w:val="FootnoteTextChar"/>
    <w:uiPriority w:val="99"/>
    <w:unhideWhenUsed/>
    <w:rsid w:val="00201CC1"/>
    <w:rPr>
      <w:rFonts w:ascii="Myriad Pro" w:eastAsia="Myriad Pro" w:hAnsi="Myriad Pro"/>
      <w:sz w:val="20"/>
      <w:szCs w:val="20"/>
    </w:rPr>
  </w:style>
  <w:style w:type="character" w:customStyle="1" w:styleId="FootnoteTextChar">
    <w:name w:val="Footnote Text Char"/>
    <w:basedOn w:val="DefaultParagraphFont"/>
    <w:link w:val="FootnoteText"/>
    <w:uiPriority w:val="99"/>
    <w:rsid w:val="00201CC1"/>
    <w:rPr>
      <w:rFonts w:ascii="Myriad Pro" w:eastAsia="Myriad Pro" w:hAnsi="Myriad Pro"/>
      <w:lang w:eastAsia="en-US"/>
    </w:rPr>
  </w:style>
  <w:style w:type="character" w:styleId="FootnoteReference">
    <w:name w:val="footnote reference"/>
    <w:uiPriority w:val="99"/>
    <w:unhideWhenUsed/>
    <w:rsid w:val="00201CC1"/>
    <w:rPr>
      <w:vertAlign w:val="superscript"/>
    </w:rPr>
  </w:style>
  <w:style w:type="paragraph" w:styleId="BalloonText">
    <w:name w:val="Balloon Text"/>
    <w:basedOn w:val="Normal"/>
    <w:link w:val="BalloonTextChar"/>
    <w:rsid w:val="00201CC1"/>
    <w:rPr>
      <w:rFonts w:ascii="Tahoma" w:hAnsi="Tahoma" w:cs="Tahoma"/>
      <w:sz w:val="16"/>
      <w:szCs w:val="16"/>
    </w:rPr>
  </w:style>
  <w:style w:type="character" w:customStyle="1" w:styleId="BalloonTextChar">
    <w:name w:val="Balloon Text Char"/>
    <w:basedOn w:val="DefaultParagraphFont"/>
    <w:link w:val="BalloonText"/>
    <w:rsid w:val="00201CC1"/>
    <w:rPr>
      <w:rFonts w:ascii="Tahoma" w:hAnsi="Tahoma" w:cs="Tahoma"/>
      <w:sz w:val="16"/>
      <w:szCs w:val="16"/>
      <w:lang w:eastAsia="en-US"/>
    </w:rPr>
  </w:style>
  <w:style w:type="character" w:styleId="FollowedHyperlink">
    <w:name w:val="FollowedHyperlink"/>
    <w:basedOn w:val="DefaultParagraphFont"/>
    <w:rsid w:val="00D93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88061">
      <w:bodyDiv w:val="1"/>
      <w:marLeft w:val="0"/>
      <w:marRight w:val="0"/>
      <w:marTop w:val="0"/>
      <w:marBottom w:val="0"/>
      <w:divBdr>
        <w:top w:val="none" w:sz="0" w:space="0" w:color="auto"/>
        <w:left w:val="none" w:sz="0" w:space="0" w:color="auto"/>
        <w:bottom w:val="none" w:sz="0" w:space="0" w:color="auto"/>
        <w:right w:val="none" w:sz="0" w:space="0" w:color="auto"/>
      </w:divBdr>
    </w:div>
    <w:div w:id="20836047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glicare.asn.au/site/submissions_advocacy.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glicare.asn.au/userfiles/file/What%20if%20employers%20say%20n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glicare.asn.au/userfiles/document/file.5036f41829fe3.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glicare.asn.au/userfiles/Beyond%20Supply%20and%20Demand%20final%20without%20embargo.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orkplace.relations@pc.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1Anglicare\Admin\Templates\Letterhead%20templates\7117%20ANGLICARE%20-%20Letterhead_2-PAG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8989-DC7E-440C-97DF-B9FD00C8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7117 ANGLICARE - Letterhead_2-PAGE_FA.dot</Template>
  <TotalTime>3</TotalTime>
  <Pages>4</Pages>
  <Words>1165</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108 - Anglicare Australia - Workplace Relations Framework - Public inquiry</vt:lpstr>
    </vt:vector>
  </TitlesOfParts>
  <Company>Anglicare Australia</Company>
  <LinksUpToDate>false</LinksUpToDate>
  <CharactersWithSpaces>8205</CharactersWithSpaces>
  <SharedDoc>false</SharedDoc>
  <HLinks>
    <vt:vector size="18" baseType="variant">
      <vt:variant>
        <vt:i4>458856</vt:i4>
      </vt:variant>
      <vt:variant>
        <vt:i4>6</vt:i4>
      </vt:variant>
      <vt:variant>
        <vt:i4>0</vt:i4>
      </vt:variant>
      <vt:variant>
        <vt:i4>5</vt:i4>
      </vt:variant>
      <vt:variant>
        <vt:lpwstr>mailto:jhoward@anglicaresa.com.au</vt:lpwstr>
      </vt:variant>
      <vt:variant>
        <vt:lpwstr/>
      </vt:variant>
      <vt:variant>
        <vt:i4>1769524</vt:i4>
      </vt:variant>
      <vt:variant>
        <vt:i4>3</vt:i4>
      </vt:variant>
      <vt:variant>
        <vt:i4>0</vt:i4>
      </vt:variant>
      <vt:variant>
        <vt:i4>5</vt:i4>
      </vt:variant>
      <vt:variant>
        <vt:lpwstr>mailto:Jeremy.McAuliffe@benetas.com.au</vt:lpwstr>
      </vt:variant>
      <vt:variant>
        <vt:lpwstr/>
      </vt:variant>
      <vt:variant>
        <vt:i4>524396</vt:i4>
      </vt:variant>
      <vt:variant>
        <vt:i4>0</vt:i4>
      </vt:variant>
      <vt:variant>
        <vt:i4>0</vt:i4>
      </vt:variant>
      <vt:variant>
        <vt:i4>5</vt:i4>
      </vt:variant>
      <vt:variant>
        <vt:lpwstr>mailto:alittle@anglicaresq.org.au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108 - Anglicare Australia - Workplace Relations Framework - Public inquiry</dc:title>
  <dc:creator>Anglicare Australia</dc:creator>
  <cp:lastModifiedBy>Productivity Commission</cp:lastModifiedBy>
  <cp:revision>7</cp:revision>
  <cp:lastPrinted>2015-03-13T03:28:00Z</cp:lastPrinted>
  <dcterms:created xsi:type="dcterms:W3CDTF">2015-03-23T05:50:00Z</dcterms:created>
  <dcterms:modified xsi:type="dcterms:W3CDTF">2015-03-25T03:17:00Z</dcterms:modified>
</cp:coreProperties>
</file>